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0560" w14:textId="0EF90722" w:rsidR="00C67870" w:rsidRPr="009759A5" w:rsidRDefault="005116F4" w:rsidP="00C67870">
      <w:pPr>
        <w:spacing w:line="240" w:lineRule="auto"/>
        <w:rPr>
          <w:sz w:val="20"/>
        </w:rPr>
      </w:pPr>
      <w:r w:rsidRPr="009759A5">
        <w:rPr>
          <w:sz w:val="20"/>
        </w:rPr>
        <w:t xml:space="preserve">Filed </w:t>
      </w:r>
      <w:r w:rsidR="00A97D83" w:rsidRPr="009759A5">
        <w:rPr>
          <w:sz w:val="20"/>
        </w:rPr>
        <w:t>1/10/22</w:t>
      </w:r>
      <w:r w:rsidR="00C80A6F" w:rsidRPr="009759A5">
        <w:rPr>
          <w:sz w:val="20"/>
        </w:rPr>
        <w:t xml:space="preserve"> </w:t>
      </w:r>
      <w:r w:rsidR="009759A5">
        <w:rPr>
          <w:sz w:val="20"/>
          <w:szCs w:val="20"/>
        </w:rPr>
        <w:t xml:space="preserve">Certified for Publication 1/28/22 (order attached) </w:t>
      </w:r>
      <w:r w:rsidR="00C80A6F" w:rsidRPr="009759A5">
        <w:rPr>
          <w:sz w:val="20"/>
        </w:rPr>
        <w:t xml:space="preserve"> </w:t>
      </w:r>
      <w:r w:rsidR="009759A5">
        <w:rPr>
          <w:sz w:val="20"/>
        </w:rPr>
        <w:t xml:space="preserve"> </w:t>
      </w:r>
    </w:p>
    <w:p w14:paraId="67E1BE43" w14:textId="7B11D740" w:rsidR="00C67870" w:rsidRDefault="00C67870" w:rsidP="00C67870">
      <w:pPr>
        <w:spacing w:line="240" w:lineRule="auto"/>
        <w:jc w:val="center"/>
      </w:pPr>
    </w:p>
    <w:p w14:paraId="767BB4C6" w14:textId="02D2F9F5" w:rsidR="009759A5" w:rsidRDefault="009759A5" w:rsidP="00C67870">
      <w:pPr>
        <w:spacing w:line="240" w:lineRule="auto"/>
        <w:jc w:val="center"/>
      </w:pPr>
    </w:p>
    <w:p w14:paraId="72CBE060" w14:textId="126BC1CF" w:rsidR="009759A5" w:rsidRDefault="009759A5" w:rsidP="00C67870">
      <w:pPr>
        <w:spacing w:line="240" w:lineRule="auto"/>
        <w:jc w:val="center"/>
      </w:pPr>
    </w:p>
    <w:p w14:paraId="4AF6E137" w14:textId="77777777" w:rsidR="009759A5" w:rsidRDefault="009759A5" w:rsidP="00C67870">
      <w:pPr>
        <w:spacing w:line="240" w:lineRule="auto"/>
        <w:jc w:val="center"/>
      </w:pPr>
    </w:p>
    <w:p w14:paraId="675BA0B9" w14:textId="14B110E4" w:rsidR="008C69C3" w:rsidRDefault="005116F4" w:rsidP="00C67870">
      <w:pPr>
        <w:spacing w:line="240" w:lineRule="auto"/>
        <w:jc w:val="center"/>
      </w:pPr>
      <w:r>
        <w:t>IN THE COURT OF APPEAL OF THE STATE OF CALIFORNIA</w:t>
      </w:r>
    </w:p>
    <w:p w14:paraId="704BEC89" w14:textId="2BBE3EBA" w:rsidR="008709E3" w:rsidRDefault="008709E3" w:rsidP="008709E3">
      <w:pPr>
        <w:spacing w:line="240" w:lineRule="auto"/>
        <w:jc w:val="center"/>
      </w:pPr>
    </w:p>
    <w:p w14:paraId="3C794242" w14:textId="0FA2932A" w:rsidR="008709E3" w:rsidRDefault="005116F4" w:rsidP="008709E3">
      <w:pPr>
        <w:spacing w:line="240" w:lineRule="auto"/>
        <w:jc w:val="center"/>
      </w:pPr>
      <w:r>
        <w:t>FIRST APPELLATE DISTRICT</w:t>
      </w:r>
    </w:p>
    <w:p w14:paraId="6AF4685B" w14:textId="3D544A71" w:rsidR="008709E3" w:rsidRDefault="008709E3" w:rsidP="008709E3">
      <w:pPr>
        <w:spacing w:line="240" w:lineRule="auto"/>
        <w:jc w:val="center"/>
      </w:pPr>
    </w:p>
    <w:p w14:paraId="65B8B3BB" w14:textId="528DDCFD" w:rsidR="008709E3" w:rsidRDefault="005116F4" w:rsidP="008709E3">
      <w:pPr>
        <w:spacing w:line="240" w:lineRule="auto"/>
        <w:jc w:val="center"/>
      </w:pPr>
      <w:r>
        <w:t>DIVISION ONE</w:t>
      </w:r>
    </w:p>
    <w:p w14:paraId="2763AA0E" w14:textId="357FB440" w:rsidR="008709E3" w:rsidRDefault="008709E3" w:rsidP="008709E3">
      <w:pPr>
        <w:spacing w:line="240" w:lineRule="auto"/>
        <w:jc w:val="center"/>
      </w:pPr>
    </w:p>
    <w:p w14:paraId="7F32DAEE" w14:textId="5D05DAF0" w:rsidR="008709E3" w:rsidRDefault="008709E3" w:rsidP="008709E3">
      <w:pPr>
        <w:spacing w:line="240" w:lineRule="auto"/>
        <w:jc w:val="center"/>
      </w:pPr>
    </w:p>
    <w:tbl>
      <w:tblPr>
        <w:tblW w:w="0" w:type="auto"/>
        <w:tblLayout w:type="fixed"/>
        <w:tblLook w:val="0000" w:firstRow="0" w:lastRow="0" w:firstColumn="0" w:lastColumn="0" w:noHBand="0" w:noVBand="0"/>
      </w:tblPr>
      <w:tblGrid>
        <w:gridCol w:w="4680"/>
        <w:gridCol w:w="4680"/>
      </w:tblGrid>
      <w:tr w:rsidR="00896A3F" w14:paraId="1224714C" w14:textId="77777777" w:rsidTr="008709E3">
        <w:tc>
          <w:tcPr>
            <w:tcW w:w="4680" w:type="dxa"/>
            <w:tcBorders>
              <w:bottom w:val="single" w:sz="4" w:space="0" w:color="auto"/>
              <w:right w:val="single" w:sz="4" w:space="0" w:color="auto"/>
            </w:tcBorders>
            <w:shd w:val="clear" w:color="auto" w:fill="auto"/>
          </w:tcPr>
          <w:p w14:paraId="0D9B7889" w14:textId="287B70E8" w:rsidR="008709E3" w:rsidRDefault="005116F4" w:rsidP="008709E3">
            <w:pPr>
              <w:spacing w:after="120" w:line="240" w:lineRule="auto"/>
            </w:pPr>
            <w:r>
              <w:t>BLUE MOUNTAIN ENTERPRISES, LLC.,</w:t>
            </w:r>
          </w:p>
          <w:p w14:paraId="057F630F" w14:textId="77777777" w:rsidR="008709E3" w:rsidRDefault="005116F4" w:rsidP="008709E3">
            <w:pPr>
              <w:spacing w:after="120" w:line="240" w:lineRule="auto"/>
            </w:pPr>
            <w:r>
              <w:tab/>
              <w:t>Plaintiff and Respondent,</w:t>
            </w:r>
          </w:p>
          <w:p w14:paraId="6CFD2D7F" w14:textId="77777777" w:rsidR="008709E3" w:rsidRDefault="005116F4" w:rsidP="008709E3">
            <w:pPr>
              <w:spacing w:after="120" w:line="240" w:lineRule="auto"/>
            </w:pPr>
            <w:r>
              <w:t>v.</w:t>
            </w:r>
          </w:p>
          <w:p w14:paraId="48E58B08" w14:textId="091E7084" w:rsidR="008709E3" w:rsidRDefault="005116F4" w:rsidP="008709E3">
            <w:pPr>
              <w:spacing w:after="120" w:line="240" w:lineRule="auto"/>
            </w:pPr>
            <w:r>
              <w:t xml:space="preserve">GREGORY </w:t>
            </w:r>
            <w:r w:rsidR="00C95177">
              <w:t xml:space="preserve">S. </w:t>
            </w:r>
            <w:r>
              <w:t>OWEN et al</w:t>
            </w:r>
            <w:r w:rsidR="00E63E28">
              <w:t>.</w:t>
            </w:r>
            <w:r>
              <w:t>,</w:t>
            </w:r>
          </w:p>
          <w:p w14:paraId="2FB28200" w14:textId="7C2036F1" w:rsidR="008709E3" w:rsidRDefault="005116F4" w:rsidP="008709E3">
            <w:pPr>
              <w:spacing w:after="120" w:line="240" w:lineRule="auto"/>
            </w:pPr>
            <w:r>
              <w:tab/>
              <w:t>Defendants and Appellants.</w:t>
            </w:r>
          </w:p>
        </w:tc>
        <w:tc>
          <w:tcPr>
            <w:tcW w:w="4680" w:type="dxa"/>
            <w:tcBorders>
              <w:left w:val="single" w:sz="4" w:space="0" w:color="auto"/>
            </w:tcBorders>
            <w:shd w:val="clear" w:color="auto" w:fill="auto"/>
          </w:tcPr>
          <w:p w14:paraId="416A6261" w14:textId="77777777" w:rsidR="008709E3" w:rsidRDefault="008709E3" w:rsidP="008709E3">
            <w:pPr>
              <w:spacing w:line="240" w:lineRule="auto"/>
            </w:pPr>
          </w:p>
          <w:p w14:paraId="09F1B5CD" w14:textId="77777777" w:rsidR="008709E3" w:rsidRDefault="008709E3" w:rsidP="008709E3">
            <w:pPr>
              <w:spacing w:line="240" w:lineRule="auto"/>
            </w:pPr>
          </w:p>
          <w:p w14:paraId="329CE3D6" w14:textId="18683E5B" w:rsidR="008709E3" w:rsidRDefault="005116F4" w:rsidP="008709E3">
            <w:pPr>
              <w:spacing w:line="240" w:lineRule="auto"/>
            </w:pPr>
            <w:r>
              <w:t xml:space="preserve">      A157054</w:t>
            </w:r>
            <w:r w:rsidR="00BA0723">
              <w:t>,</w:t>
            </w:r>
            <w:r>
              <w:t xml:space="preserve"> A158783</w:t>
            </w:r>
          </w:p>
          <w:p w14:paraId="0FF40425" w14:textId="77777777" w:rsidR="008709E3" w:rsidRDefault="008709E3" w:rsidP="008709E3">
            <w:pPr>
              <w:spacing w:line="240" w:lineRule="auto"/>
            </w:pPr>
          </w:p>
          <w:p w14:paraId="2D4F56A8" w14:textId="77777777" w:rsidR="008709E3" w:rsidRDefault="005116F4" w:rsidP="008709E3">
            <w:pPr>
              <w:spacing w:line="240" w:lineRule="auto"/>
            </w:pPr>
            <w:r>
              <w:t xml:space="preserve">      (Solano County</w:t>
            </w:r>
          </w:p>
          <w:p w14:paraId="53D06F3C" w14:textId="77777777" w:rsidR="008709E3" w:rsidRDefault="005116F4" w:rsidP="008709E3">
            <w:pPr>
              <w:spacing w:line="240" w:lineRule="auto"/>
            </w:pPr>
            <w:r>
              <w:t xml:space="preserve">      Super. Ct. No. FCS049313)</w:t>
            </w:r>
          </w:p>
          <w:p w14:paraId="6E321389" w14:textId="6A2CCD64" w:rsidR="008709E3" w:rsidRDefault="008709E3" w:rsidP="008709E3">
            <w:pPr>
              <w:spacing w:line="240" w:lineRule="auto"/>
            </w:pPr>
          </w:p>
        </w:tc>
      </w:tr>
    </w:tbl>
    <w:p w14:paraId="44AD1A67" w14:textId="7E483EF0" w:rsidR="008709E3" w:rsidRDefault="008709E3" w:rsidP="008709E3">
      <w:pPr>
        <w:spacing w:line="360" w:lineRule="auto"/>
      </w:pPr>
    </w:p>
    <w:p w14:paraId="4987492F" w14:textId="722CE287" w:rsidR="00153C11" w:rsidRDefault="005116F4" w:rsidP="008709E3">
      <w:pPr>
        <w:spacing w:line="360" w:lineRule="auto"/>
      </w:pPr>
      <w:r>
        <w:tab/>
      </w:r>
      <w:r w:rsidR="004C767D">
        <w:t xml:space="preserve">In </w:t>
      </w:r>
      <w:r w:rsidR="005D53DD">
        <w:t xml:space="preserve">April </w:t>
      </w:r>
      <w:r w:rsidR="004C767D">
        <w:t xml:space="preserve">2011, </w:t>
      </w:r>
      <w:r w:rsidR="00100690">
        <w:t xml:space="preserve">Gregory </w:t>
      </w:r>
      <w:r w:rsidR="008A3802">
        <w:t>S</w:t>
      </w:r>
      <w:r w:rsidR="004F4ED9">
        <w:t xml:space="preserve">. </w:t>
      </w:r>
      <w:r w:rsidR="00C67CC0">
        <w:t xml:space="preserve">Owen transferred </w:t>
      </w:r>
      <w:r w:rsidR="00385195">
        <w:t xml:space="preserve">his ownership interest in </w:t>
      </w:r>
      <w:r w:rsidR="00660326">
        <w:t>several</w:t>
      </w:r>
      <w:r w:rsidR="00385195">
        <w:t xml:space="preserve"> </w:t>
      </w:r>
      <w:r w:rsidR="00A17655">
        <w:t>real estate and construction-related</w:t>
      </w:r>
      <w:r w:rsidR="00A67BA2">
        <w:t xml:space="preserve"> </w:t>
      </w:r>
      <w:r w:rsidR="00197D79">
        <w:t>firms</w:t>
      </w:r>
      <w:r w:rsidR="00385195">
        <w:t xml:space="preserve"> </w:t>
      </w:r>
      <w:r w:rsidR="003A6E82">
        <w:t xml:space="preserve">he had founded </w:t>
      </w:r>
      <w:r w:rsidR="00385195">
        <w:t xml:space="preserve">to </w:t>
      </w:r>
      <w:r w:rsidR="00F26448">
        <w:t xml:space="preserve">a new entity, </w:t>
      </w:r>
      <w:r w:rsidR="00D2260E">
        <w:t>Blue Mountain Enterprises, LLC (Blue Mountain)</w:t>
      </w:r>
      <w:r w:rsidR="00F26448">
        <w:t>,</w:t>
      </w:r>
      <w:r w:rsidR="00D2260E">
        <w:t xml:space="preserve"> </w:t>
      </w:r>
      <w:r w:rsidR="00DE71F4">
        <w:t>as part of a joint venture</w:t>
      </w:r>
      <w:r w:rsidR="00F64455">
        <w:t xml:space="preserve"> with Acolyte Limited (Acolyte)</w:t>
      </w:r>
      <w:r w:rsidR="006A6D5E">
        <w:t xml:space="preserve">.  </w:t>
      </w:r>
      <w:r w:rsidR="00F64455">
        <w:t xml:space="preserve">The joint venture </w:t>
      </w:r>
      <w:r w:rsidR="00A31215">
        <w:t xml:space="preserve">was </w:t>
      </w:r>
      <w:r w:rsidR="00254E2A">
        <w:t xml:space="preserve">established </w:t>
      </w:r>
      <w:r w:rsidR="00673C3A">
        <w:t xml:space="preserve">through </w:t>
      </w:r>
      <w:r w:rsidR="00A31215">
        <w:t>several interrelated contracts</w:t>
      </w:r>
      <w:r w:rsidR="000B1446">
        <w:t xml:space="preserve"> </w:t>
      </w:r>
      <w:r w:rsidR="00067321">
        <w:t>executed</w:t>
      </w:r>
      <w:r w:rsidR="00D12323">
        <w:t xml:space="preserve"> over a </w:t>
      </w:r>
      <w:r w:rsidR="00056621">
        <w:t>five</w:t>
      </w:r>
      <w:r w:rsidR="00D12323">
        <w:t>-day period</w:t>
      </w:r>
      <w:r w:rsidR="00D1227F">
        <w:t xml:space="preserve">.  Acolyte acquired </w:t>
      </w:r>
      <w:r w:rsidR="00041709">
        <w:t xml:space="preserve">a </w:t>
      </w:r>
      <w:r w:rsidR="00BA0723">
        <w:t xml:space="preserve">50 </w:t>
      </w:r>
      <w:r w:rsidR="00041709">
        <w:t xml:space="preserve">percent ownership interest in Blue Mountain </w:t>
      </w:r>
      <w:r w:rsidR="00D1227F">
        <w:t xml:space="preserve">and Owen </w:t>
      </w:r>
      <w:r w:rsidR="00063F72">
        <w:t xml:space="preserve">became </w:t>
      </w:r>
      <w:r w:rsidR="0063130B">
        <w:t>the company’s</w:t>
      </w:r>
      <w:r w:rsidR="00063F72">
        <w:t xml:space="preserve"> chief executive officer.  </w:t>
      </w:r>
      <w:r w:rsidR="00722B39">
        <w:t xml:space="preserve">As part of his employment </w:t>
      </w:r>
      <w:r w:rsidR="000A2204">
        <w:t>contract</w:t>
      </w:r>
      <w:r w:rsidR="00722B39">
        <w:t xml:space="preserve">, </w:t>
      </w:r>
      <w:r w:rsidR="00794C43">
        <w:t xml:space="preserve">Owen </w:t>
      </w:r>
      <w:r w:rsidR="0063130B">
        <w:t xml:space="preserve">agreed to </w:t>
      </w:r>
      <w:r w:rsidR="000A2204">
        <w:t xml:space="preserve">abide by </w:t>
      </w:r>
      <w:r w:rsidR="00C53EE5">
        <w:t xml:space="preserve">certain </w:t>
      </w:r>
      <w:r w:rsidR="00A70F99">
        <w:t xml:space="preserve">restrictive </w:t>
      </w:r>
      <w:r w:rsidR="00C53EE5">
        <w:t>covenants</w:t>
      </w:r>
      <w:r w:rsidR="00E31504">
        <w:t>, including a covenant barring him from soliciting Blue Mountain’s customers</w:t>
      </w:r>
      <w:r w:rsidR="003A7057">
        <w:t xml:space="preserve"> </w:t>
      </w:r>
      <w:r w:rsidR="00D963E6">
        <w:t xml:space="preserve">for a </w:t>
      </w:r>
      <w:r w:rsidR="00996173">
        <w:t xml:space="preserve">three-year </w:t>
      </w:r>
      <w:r w:rsidR="00D963E6">
        <w:t>period foll</w:t>
      </w:r>
      <w:r w:rsidR="00A70F99">
        <w:t xml:space="preserve">owing </w:t>
      </w:r>
      <w:r w:rsidR="00EE1297">
        <w:t>the</w:t>
      </w:r>
      <w:r w:rsidR="00A70F99">
        <w:t xml:space="preserve"> termination of </w:t>
      </w:r>
      <w:r w:rsidR="00EE1297">
        <w:t xml:space="preserve">his </w:t>
      </w:r>
      <w:r w:rsidR="00A70F99">
        <w:t xml:space="preserve">employment.  </w:t>
      </w:r>
    </w:p>
    <w:p w14:paraId="4E361E7E" w14:textId="13D33001" w:rsidR="00D14090" w:rsidRDefault="005116F4" w:rsidP="008709E3">
      <w:pPr>
        <w:spacing w:line="360" w:lineRule="auto"/>
      </w:pPr>
      <w:r>
        <w:tab/>
      </w:r>
      <w:r w:rsidR="00350ADC">
        <w:t xml:space="preserve">In April 2016, Owen was terminated </w:t>
      </w:r>
      <w:r w:rsidR="00A44088">
        <w:t xml:space="preserve">from Blue Mountain </w:t>
      </w:r>
      <w:r w:rsidR="00350ADC">
        <w:t>for cause</w:t>
      </w:r>
      <w:r w:rsidR="00B1457A">
        <w:t xml:space="preserve">.  </w:t>
      </w:r>
      <w:r w:rsidR="00B053F9">
        <w:t xml:space="preserve">Months later, </w:t>
      </w:r>
      <w:r w:rsidR="00890117">
        <w:t>Owen</w:t>
      </w:r>
      <w:r w:rsidR="004C20D5">
        <w:t xml:space="preserve"> </w:t>
      </w:r>
      <w:r w:rsidR="00B053F9">
        <w:t>established</w:t>
      </w:r>
      <w:r w:rsidR="008E3CE5">
        <w:t xml:space="preserve"> a new construction </w:t>
      </w:r>
      <w:r w:rsidR="0003156B">
        <w:t xml:space="preserve">services </w:t>
      </w:r>
      <w:r w:rsidR="008E3CE5">
        <w:t xml:space="preserve">company </w:t>
      </w:r>
      <w:r w:rsidR="00C372BB">
        <w:t xml:space="preserve">to compete with Blue Mountain.  </w:t>
      </w:r>
      <w:r w:rsidR="000740CE">
        <w:t>H</w:t>
      </w:r>
      <w:r w:rsidR="005220A9">
        <w:t xml:space="preserve">e sent a letter to </w:t>
      </w:r>
      <w:r w:rsidR="001F5467">
        <w:t xml:space="preserve">several </w:t>
      </w:r>
      <w:r w:rsidR="00294FA4">
        <w:t xml:space="preserve">companies </w:t>
      </w:r>
      <w:r w:rsidR="00293A04">
        <w:t>within</w:t>
      </w:r>
      <w:r w:rsidR="00294FA4">
        <w:t xml:space="preserve"> </w:t>
      </w:r>
      <w:r w:rsidR="00294FA4">
        <w:lastRenderedPageBreak/>
        <w:t xml:space="preserve">the </w:t>
      </w:r>
      <w:r w:rsidR="00587BA2">
        <w:t>building and construction trades</w:t>
      </w:r>
      <w:r w:rsidR="000740CE">
        <w:t xml:space="preserve"> describing this new venture</w:t>
      </w:r>
      <w:r w:rsidR="00587BA2">
        <w:t xml:space="preserve">, including </w:t>
      </w:r>
      <w:r w:rsidR="00333AC2">
        <w:t xml:space="preserve">existing </w:t>
      </w:r>
      <w:r w:rsidR="00293A04">
        <w:t>customers</w:t>
      </w:r>
      <w:r w:rsidR="009C2C5F">
        <w:t xml:space="preserve"> of Blue Mountain</w:t>
      </w:r>
      <w:r w:rsidR="00293A04">
        <w:t xml:space="preserve">.  </w:t>
      </w:r>
      <w:r w:rsidR="007B79DB" w:rsidRPr="007B79DB">
        <w:t>Blue Mountain successfully obtained preliminary and permanent injunctive relief prohibiting Owen from soliciting Blue Mountain’s customers and prevailed on its motion for summary adjudication of its breach of contract claim</w:t>
      </w:r>
      <w:r w:rsidR="007B79DB">
        <w:t>.</w:t>
      </w:r>
      <w:r w:rsidR="00F549A1">
        <w:t xml:space="preserve">  </w:t>
      </w:r>
    </w:p>
    <w:p w14:paraId="34A37DD7" w14:textId="3862706C" w:rsidR="008709E3" w:rsidRDefault="005116F4" w:rsidP="008709E3">
      <w:pPr>
        <w:spacing w:line="360" w:lineRule="auto"/>
      </w:pPr>
      <w:r>
        <w:tab/>
      </w:r>
      <w:r w:rsidR="00623E02">
        <w:t xml:space="preserve">In </w:t>
      </w:r>
      <w:r w:rsidR="00A318C9">
        <w:t xml:space="preserve">these </w:t>
      </w:r>
      <w:r w:rsidR="00623E02">
        <w:t>consolidated appeal</w:t>
      </w:r>
      <w:r w:rsidR="00A318C9">
        <w:t>s</w:t>
      </w:r>
      <w:r w:rsidR="00623E02">
        <w:t xml:space="preserve">, Owen </w:t>
      </w:r>
      <w:r w:rsidR="00A318C9">
        <w:t xml:space="preserve">challenges </w:t>
      </w:r>
      <w:r w:rsidR="00623E02">
        <w:t xml:space="preserve">the trial court’s order granting summary adjudication in favor of Blue Mountain.  </w:t>
      </w:r>
      <w:r w:rsidR="008A3802">
        <w:t xml:space="preserve">Owen contends </w:t>
      </w:r>
      <w:r w:rsidR="00520E46">
        <w:t xml:space="preserve">that </w:t>
      </w:r>
      <w:r w:rsidR="008A3802">
        <w:t xml:space="preserve">the </w:t>
      </w:r>
      <w:r w:rsidR="00520E46">
        <w:t xml:space="preserve">nonsolicitation </w:t>
      </w:r>
      <w:r w:rsidR="008A3802">
        <w:t xml:space="preserve">covenant </w:t>
      </w:r>
      <w:r w:rsidR="005528FB">
        <w:t xml:space="preserve">is </w:t>
      </w:r>
      <w:r w:rsidR="008A3802">
        <w:t xml:space="preserve">unenforceable because </w:t>
      </w:r>
      <w:r w:rsidR="00C35C11">
        <w:t xml:space="preserve">it </w:t>
      </w:r>
      <w:r w:rsidR="003B7F5D">
        <w:t xml:space="preserve">does not </w:t>
      </w:r>
      <w:r w:rsidR="00AB4CF8">
        <w:t xml:space="preserve">meet </w:t>
      </w:r>
      <w:r w:rsidR="003B7F5D">
        <w:t xml:space="preserve">the </w:t>
      </w:r>
      <w:r w:rsidR="00EB314C">
        <w:t xml:space="preserve">requirements </w:t>
      </w:r>
      <w:r w:rsidR="00D56D53">
        <w:t>set forth in</w:t>
      </w:r>
      <w:r w:rsidR="00B4013B">
        <w:t xml:space="preserve"> </w:t>
      </w:r>
      <w:r w:rsidR="00EC5B1B">
        <w:t>Business and Professions Code</w:t>
      </w:r>
      <w:r>
        <w:rPr>
          <w:rStyle w:val="FootnoteReference"/>
        </w:rPr>
        <w:footnoteReference w:id="1"/>
      </w:r>
      <w:r w:rsidR="00EC5B1B">
        <w:t xml:space="preserve"> section 16601, </w:t>
      </w:r>
      <w:r w:rsidR="00F51239">
        <w:t>a</w:t>
      </w:r>
      <w:r w:rsidR="00B4013B">
        <w:t xml:space="preserve"> statut</w:t>
      </w:r>
      <w:r w:rsidR="00C158F9">
        <w:t>ory</w:t>
      </w:r>
      <w:r w:rsidR="00B4013B">
        <w:t xml:space="preserve"> </w:t>
      </w:r>
      <w:r w:rsidR="00C158F9">
        <w:t xml:space="preserve">exemption </w:t>
      </w:r>
      <w:r w:rsidR="00C15BEC">
        <w:t xml:space="preserve">to </w:t>
      </w:r>
      <w:r w:rsidR="00055F8E">
        <w:t>section 16600’s</w:t>
      </w:r>
      <w:r w:rsidR="00C15BEC">
        <w:t xml:space="preserve"> general ban on</w:t>
      </w:r>
      <w:r w:rsidR="00B4013B">
        <w:t xml:space="preserve"> noncompetition covenants.</w:t>
      </w:r>
      <w:r w:rsidR="00F507EF">
        <w:t xml:space="preserve">  </w:t>
      </w:r>
      <w:r w:rsidR="00804FCF">
        <w:t xml:space="preserve">He </w:t>
      </w:r>
      <w:r w:rsidR="0072053A">
        <w:t>further</w:t>
      </w:r>
      <w:r w:rsidR="00804FCF">
        <w:t xml:space="preserve"> </w:t>
      </w:r>
      <w:r w:rsidR="00245AA4">
        <w:t xml:space="preserve">asserts that his </w:t>
      </w:r>
      <w:r w:rsidR="00CD0E8C">
        <w:t>co</w:t>
      </w:r>
      <w:r w:rsidR="0013472D">
        <w:t xml:space="preserve">mmunications </w:t>
      </w:r>
      <w:r w:rsidR="00245AA4">
        <w:t>with Blue Mountain</w:t>
      </w:r>
      <w:r w:rsidR="00F0601E">
        <w:t>’s</w:t>
      </w:r>
      <w:r w:rsidR="00245AA4">
        <w:t xml:space="preserve"> customers </w:t>
      </w:r>
      <w:r w:rsidR="00803B00">
        <w:t>were not so</w:t>
      </w:r>
      <w:r w:rsidR="00874548">
        <w:t>licitations</w:t>
      </w:r>
      <w:r w:rsidR="00D66363">
        <w:t xml:space="preserve"> as a matter of law</w:t>
      </w:r>
      <w:r w:rsidR="00874548">
        <w:t xml:space="preserve">.  </w:t>
      </w:r>
      <w:r w:rsidR="001D14B5">
        <w:t xml:space="preserve">Finally, he </w:t>
      </w:r>
      <w:r w:rsidR="0072053A">
        <w:t xml:space="preserve">challenges the </w:t>
      </w:r>
      <w:r w:rsidR="00953922">
        <w:t xml:space="preserve">court’s </w:t>
      </w:r>
      <w:r w:rsidR="003404C6">
        <w:t>order awarding Blue Mountain approximately $600,000 in attorney fees</w:t>
      </w:r>
      <w:r w:rsidR="005C3620">
        <w:t xml:space="preserve"> </w:t>
      </w:r>
      <w:r w:rsidR="003404C6">
        <w:t xml:space="preserve">as the prevailing party.  We </w:t>
      </w:r>
      <w:r w:rsidR="00D9184D">
        <w:t xml:space="preserve">reject these contentions and </w:t>
      </w:r>
      <w:r w:rsidR="003404C6">
        <w:t xml:space="preserve">affirm. </w:t>
      </w:r>
    </w:p>
    <w:p w14:paraId="04ED5E60" w14:textId="7E9D10EA" w:rsidR="00505179" w:rsidRPr="0001028E" w:rsidRDefault="005116F4" w:rsidP="0001028E">
      <w:pPr>
        <w:spacing w:line="360" w:lineRule="auto"/>
        <w:jc w:val="center"/>
        <w:rPr>
          <w:b/>
          <w:bCs/>
        </w:rPr>
      </w:pPr>
      <w:r w:rsidRPr="0001028E">
        <w:rPr>
          <w:b/>
          <w:bCs/>
        </w:rPr>
        <w:t>I.  FACTUAL AND PROCEDURAL BACKGROUND</w:t>
      </w:r>
    </w:p>
    <w:p w14:paraId="17567889" w14:textId="2764B29F" w:rsidR="00870F6F" w:rsidRPr="00BA0C0E" w:rsidRDefault="005116F4" w:rsidP="00147849">
      <w:pPr>
        <w:spacing w:line="360" w:lineRule="auto"/>
        <w:rPr>
          <w:b/>
          <w:bCs/>
        </w:rPr>
      </w:pPr>
      <w:r w:rsidRPr="00BA0C0E">
        <w:rPr>
          <w:b/>
          <w:bCs/>
        </w:rPr>
        <w:t>A.</w:t>
      </w:r>
      <w:r w:rsidRPr="00BA0C0E">
        <w:rPr>
          <w:b/>
          <w:bCs/>
        </w:rPr>
        <w:tab/>
      </w:r>
      <w:r w:rsidR="00BA0C0E" w:rsidRPr="00BA0C0E">
        <w:rPr>
          <w:b/>
          <w:bCs/>
        </w:rPr>
        <w:t xml:space="preserve">Background </w:t>
      </w:r>
      <w:r w:rsidR="001C026A">
        <w:rPr>
          <w:b/>
          <w:bCs/>
        </w:rPr>
        <w:t xml:space="preserve">Leading </w:t>
      </w:r>
      <w:r w:rsidR="00DB1618">
        <w:rPr>
          <w:b/>
          <w:bCs/>
        </w:rPr>
        <w:t>t</w:t>
      </w:r>
      <w:r w:rsidR="00BA0C0E" w:rsidRPr="00BA0C0E">
        <w:rPr>
          <w:b/>
          <w:bCs/>
        </w:rPr>
        <w:t>o Present Dispute</w:t>
      </w:r>
    </w:p>
    <w:p w14:paraId="6E3EBD7C" w14:textId="633181A6" w:rsidR="00F92E3A" w:rsidRPr="00F92E3A" w:rsidRDefault="005116F4" w:rsidP="00147849">
      <w:pPr>
        <w:spacing w:line="360" w:lineRule="auto"/>
        <w:rPr>
          <w:b/>
          <w:bCs/>
          <w:i/>
          <w:iCs/>
        </w:rPr>
      </w:pPr>
      <w:r>
        <w:rPr>
          <w:b/>
          <w:bCs/>
          <w:i/>
          <w:iCs/>
        </w:rPr>
        <w:tab/>
      </w:r>
      <w:r w:rsidRPr="00F92E3A">
        <w:rPr>
          <w:b/>
          <w:bCs/>
          <w:i/>
          <w:iCs/>
        </w:rPr>
        <w:t>i.</w:t>
      </w:r>
      <w:r w:rsidRPr="00F92E3A">
        <w:rPr>
          <w:b/>
          <w:bCs/>
          <w:i/>
          <w:iCs/>
        </w:rPr>
        <w:tab/>
      </w:r>
      <w:r w:rsidR="00823647">
        <w:rPr>
          <w:b/>
          <w:bCs/>
          <w:i/>
          <w:iCs/>
        </w:rPr>
        <w:t xml:space="preserve">The Formation of </w:t>
      </w:r>
      <w:r w:rsidRPr="00F92E3A">
        <w:rPr>
          <w:b/>
          <w:bCs/>
          <w:i/>
          <w:iCs/>
        </w:rPr>
        <w:t>Blue Mountain</w:t>
      </w:r>
    </w:p>
    <w:p w14:paraId="4380C78C" w14:textId="43A3BF7A" w:rsidR="005110CA" w:rsidRDefault="005116F4" w:rsidP="008709E3">
      <w:pPr>
        <w:spacing w:line="360" w:lineRule="auto"/>
      </w:pPr>
      <w:r>
        <w:tab/>
        <w:t>Beginning in 198</w:t>
      </w:r>
      <w:r w:rsidR="00623C6C">
        <w:t>2</w:t>
      </w:r>
      <w:r>
        <w:t xml:space="preserve">, Owen </w:t>
      </w:r>
      <w:r w:rsidR="000B0A4F">
        <w:t>founded</w:t>
      </w:r>
      <w:r>
        <w:t xml:space="preserve"> a series of </w:t>
      </w:r>
      <w:r w:rsidR="00DF77AD">
        <w:t xml:space="preserve">real estate development and </w:t>
      </w:r>
      <w:r>
        <w:t>construction businesses</w:t>
      </w:r>
      <w:r w:rsidR="00921E18">
        <w:t xml:space="preserve">. </w:t>
      </w:r>
      <w:r w:rsidR="00147849" w:rsidRPr="00147849">
        <w:t xml:space="preserve"> </w:t>
      </w:r>
      <w:r w:rsidR="00147849">
        <w:t xml:space="preserve">One </w:t>
      </w:r>
      <w:r w:rsidR="009253DC">
        <w:t xml:space="preserve">such business </w:t>
      </w:r>
      <w:r w:rsidR="00147849">
        <w:t xml:space="preserve">was Blue Mountain Air, </w:t>
      </w:r>
      <w:r w:rsidR="00FD2A14">
        <w:t xml:space="preserve">Inc., </w:t>
      </w:r>
      <w:r w:rsidR="00147849">
        <w:t xml:space="preserve">which </w:t>
      </w:r>
      <w:r w:rsidR="00A45C65">
        <w:t>became</w:t>
      </w:r>
      <w:r w:rsidR="00147849">
        <w:t xml:space="preserve"> a leader in the heating, </w:t>
      </w:r>
      <w:r w:rsidR="00A21D18">
        <w:t>ventilation,</w:t>
      </w:r>
      <w:r w:rsidR="00147849">
        <w:t xml:space="preserve"> and air conditioning (HVAC) market</w:t>
      </w:r>
      <w:r w:rsidR="007463AB" w:rsidRPr="007463AB">
        <w:t xml:space="preserve"> </w:t>
      </w:r>
      <w:r w:rsidR="007463AB">
        <w:t>in Northern California</w:t>
      </w:r>
      <w:r w:rsidR="00147849">
        <w:t xml:space="preserve">. </w:t>
      </w:r>
      <w:r w:rsidR="00C67870">
        <w:rPr>
          <w:color w:val="FF0000"/>
        </w:rPr>
        <w:t xml:space="preserve"> </w:t>
      </w:r>
      <w:r w:rsidR="00EE34A1">
        <w:t xml:space="preserve">In late 2010, Owen met </w:t>
      </w:r>
      <w:r w:rsidR="00BB13A4">
        <w:t xml:space="preserve">with </w:t>
      </w:r>
      <w:r w:rsidR="00EE34A1">
        <w:t xml:space="preserve">representatives </w:t>
      </w:r>
      <w:r w:rsidR="00CF60C6">
        <w:t>of</w:t>
      </w:r>
      <w:r w:rsidR="008F7A37">
        <w:t xml:space="preserve"> the </w:t>
      </w:r>
      <w:r w:rsidR="00BD752F">
        <w:t xml:space="preserve">Meyer </w:t>
      </w:r>
      <w:r w:rsidR="00167C50">
        <w:t>Corporation U.S. (Meyer)</w:t>
      </w:r>
      <w:r w:rsidR="001A0E6D">
        <w:t xml:space="preserve">, a Chinese </w:t>
      </w:r>
      <w:r w:rsidR="009253DC">
        <w:t>multinational corporation</w:t>
      </w:r>
      <w:r w:rsidR="001A0E6D">
        <w:t xml:space="preserve"> that was looking for land and development opportunities in California</w:t>
      </w:r>
      <w:r w:rsidR="00EB2928">
        <w:t>.  Owen and Meyer</w:t>
      </w:r>
      <w:r w:rsidR="00167C50">
        <w:t xml:space="preserve"> </w:t>
      </w:r>
      <w:r w:rsidR="001D3266">
        <w:t xml:space="preserve">decided to </w:t>
      </w:r>
      <w:r w:rsidR="00897E9E">
        <w:t xml:space="preserve">enter into </w:t>
      </w:r>
      <w:r w:rsidR="00453F24">
        <w:t>a joint venture</w:t>
      </w:r>
      <w:r w:rsidR="001D3266">
        <w:t xml:space="preserve"> </w:t>
      </w:r>
      <w:r w:rsidR="003C072F">
        <w:t>by which</w:t>
      </w:r>
      <w:r w:rsidR="001D3266">
        <w:t xml:space="preserve"> Meyer </w:t>
      </w:r>
      <w:r w:rsidR="003C072F">
        <w:t>would provide</w:t>
      </w:r>
      <w:r w:rsidR="009A18EC">
        <w:t xml:space="preserve"> the </w:t>
      </w:r>
      <w:r w:rsidR="00E47847">
        <w:t xml:space="preserve">capital and management skills </w:t>
      </w:r>
      <w:r w:rsidR="00915953">
        <w:lastRenderedPageBreak/>
        <w:t xml:space="preserve">necessary to </w:t>
      </w:r>
      <w:r w:rsidR="00CB0BA8">
        <w:t xml:space="preserve">expand </w:t>
      </w:r>
      <w:r w:rsidR="001D3BA5">
        <w:t xml:space="preserve">Owen’s </w:t>
      </w:r>
      <w:r w:rsidR="00A13412">
        <w:t>enterprises</w:t>
      </w:r>
      <w:r w:rsidR="00D75B8B">
        <w:t xml:space="preserve"> </w:t>
      </w:r>
      <w:r w:rsidR="00CF60C6">
        <w:t>and</w:t>
      </w:r>
      <w:r w:rsidR="004A6F77">
        <w:t xml:space="preserve"> </w:t>
      </w:r>
      <w:r w:rsidR="00470756" w:rsidRPr="00D739A4">
        <w:t>Owen would continu</w:t>
      </w:r>
      <w:r w:rsidR="00EB6F60" w:rsidRPr="00D739A4">
        <w:t>e</w:t>
      </w:r>
      <w:r w:rsidR="00C421E7" w:rsidRPr="00D739A4">
        <w:t xml:space="preserve"> to </w:t>
      </w:r>
      <w:r w:rsidR="00DE7D55">
        <w:t xml:space="preserve">oversee </w:t>
      </w:r>
      <w:r w:rsidR="001C67FC">
        <w:t>the growth and expansion of</w:t>
      </w:r>
      <w:r w:rsidR="00DE7D55">
        <w:t xml:space="preserve"> </w:t>
      </w:r>
      <w:r w:rsidR="002C07D8">
        <w:t>these</w:t>
      </w:r>
      <w:r w:rsidR="00A13412">
        <w:t xml:space="preserve"> businesses</w:t>
      </w:r>
      <w:r w:rsidR="00561BDB">
        <w:t>.</w:t>
      </w:r>
      <w:r w:rsidR="00D732B1">
        <w:t xml:space="preserve"> </w:t>
      </w:r>
      <w:r w:rsidR="00BD752F">
        <w:t xml:space="preserve"> </w:t>
      </w:r>
      <w:r w:rsidR="00AA5E5B">
        <w:t xml:space="preserve">The parties agreed to form a new entity named </w:t>
      </w:r>
      <w:r w:rsidR="00D229DE">
        <w:t>“</w:t>
      </w:r>
      <w:r w:rsidR="00AA5E5B">
        <w:t>Blue Mountain Enterprises</w:t>
      </w:r>
      <w:r w:rsidR="00616022">
        <w:t>,</w:t>
      </w:r>
      <w:r w:rsidR="00D842F3">
        <w:t xml:space="preserve"> LLC.</w:t>
      </w:r>
      <w:r w:rsidR="00D229DE">
        <w:t>”</w:t>
      </w:r>
      <w:r w:rsidR="00AA5E5B">
        <w:t xml:space="preserve">  </w:t>
      </w:r>
      <w:r w:rsidR="00860988">
        <w:t>Over the course of several months, Owen and Meyer negotiated four contracts</w:t>
      </w:r>
      <w:r w:rsidR="005867F4">
        <w:t xml:space="preserve"> to formalize </w:t>
      </w:r>
      <w:r w:rsidR="001F50D9">
        <w:t>the joint venture</w:t>
      </w:r>
      <w:r w:rsidR="00355EE3">
        <w:t>:</w:t>
      </w:r>
      <w:r w:rsidR="009A11C1">
        <w:t xml:space="preserve">  </w:t>
      </w:r>
      <w:r w:rsidR="009B6703">
        <w:t xml:space="preserve">a </w:t>
      </w:r>
      <w:r w:rsidR="0088234C">
        <w:t>“</w:t>
      </w:r>
      <w:r w:rsidR="0049493A">
        <w:t>Contribution Agreement</w:t>
      </w:r>
      <w:r w:rsidR="0088234C">
        <w:t>”</w:t>
      </w:r>
      <w:r w:rsidR="009B6703">
        <w:t xml:space="preserve"> by which </w:t>
      </w:r>
      <w:r w:rsidR="00A107A6">
        <w:t>Owen</w:t>
      </w:r>
      <w:r w:rsidR="009B6703">
        <w:t xml:space="preserve"> </w:t>
      </w:r>
      <w:r w:rsidR="00402360">
        <w:t xml:space="preserve">transferred </w:t>
      </w:r>
      <w:r w:rsidR="000401CB">
        <w:t>his ownership interest</w:t>
      </w:r>
      <w:r w:rsidR="00402360">
        <w:t xml:space="preserve"> </w:t>
      </w:r>
      <w:r w:rsidR="00224C07">
        <w:t xml:space="preserve">in </w:t>
      </w:r>
      <w:r w:rsidR="009B6703">
        <w:t>all of his businesses</w:t>
      </w:r>
      <w:r w:rsidR="0098590A">
        <w:t xml:space="preserve">, </w:t>
      </w:r>
      <w:r w:rsidR="00BA778A">
        <w:t>described</w:t>
      </w:r>
      <w:r w:rsidR="00224C07">
        <w:t xml:space="preserve"> </w:t>
      </w:r>
      <w:r w:rsidR="00524351">
        <w:t xml:space="preserve">in the </w:t>
      </w:r>
      <w:r w:rsidR="00044AEA">
        <w:t>agreements</w:t>
      </w:r>
      <w:r w:rsidR="00524351">
        <w:t xml:space="preserve"> </w:t>
      </w:r>
      <w:r w:rsidR="003338C3">
        <w:t xml:space="preserve">as </w:t>
      </w:r>
      <w:r w:rsidR="00224C07">
        <w:t>the “Blue Mountain Entities</w:t>
      </w:r>
      <w:r w:rsidR="00EF4AAB">
        <w:t>,</w:t>
      </w:r>
      <w:r w:rsidR="00224C07">
        <w:t>”</w:t>
      </w:r>
      <w:r w:rsidR="009B6703">
        <w:t xml:space="preserve"> </w:t>
      </w:r>
      <w:r w:rsidR="00EC14EF">
        <w:t>in</w:t>
      </w:r>
      <w:r w:rsidR="00EF4AAB">
        <w:t>to</w:t>
      </w:r>
      <w:r w:rsidR="00306152">
        <w:t xml:space="preserve"> a </w:t>
      </w:r>
      <w:r w:rsidR="00B565A0">
        <w:t>new</w:t>
      </w:r>
      <w:r w:rsidR="00EF4AAB">
        <w:t>ly formed</w:t>
      </w:r>
      <w:r w:rsidR="00B565A0">
        <w:t xml:space="preserve"> </w:t>
      </w:r>
      <w:r w:rsidR="00306152">
        <w:t xml:space="preserve">limited liability </w:t>
      </w:r>
      <w:r w:rsidR="003A22EE">
        <w:t>company</w:t>
      </w:r>
      <w:r w:rsidR="00A26CD1">
        <w:t xml:space="preserve"> (Blue Mountain)</w:t>
      </w:r>
      <w:r w:rsidR="000401CB">
        <w:t>;</w:t>
      </w:r>
      <w:r w:rsidR="003F5BBE">
        <w:t xml:space="preserve"> </w:t>
      </w:r>
      <w:r w:rsidR="0049493A">
        <w:t xml:space="preserve">a </w:t>
      </w:r>
      <w:r w:rsidR="0088234C">
        <w:t>“</w:t>
      </w:r>
      <w:r w:rsidR="0049493A">
        <w:t>Membership Interest Purchase Agreement</w:t>
      </w:r>
      <w:r w:rsidR="0088234C">
        <w:t>”</w:t>
      </w:r>
      <w:r w:rsidR="0032352F">
        <w:t xml:space="preserve"> </w:t>
      </w:r>
      <w:r w:rsidR="00BC0F86">
        <w:t xml:space="preserve">by which </w:t>
      </w:r>
      <w:r w:rsidR="00BE3CF3">
        <w:t xml:space="preserve">Acolyte, a Meyer subsidiary, </w:t>
      </w:r>
      <w:r w:rsidR="00254E2A">
        <w:t>acquired</w:t>
      </w:r>
      <w:r w:rsidR="0032352F">
        <w:t xml:space="preserve"> a 50 percent </w:t>
      </w:r>
      <w:r w:rsidR="00E91736">
        <w:t xml:space="preserve">ownership </w:t>
      </w:r>
      <w:r w:rsidR="0032352F">
        <w:t xml:space="preserve">interest in </w:t>
      </w:r>
      <w:r w:rsidR="005129B4">
        <w:t>Blue Mountain</w:t>
      </w:r>
      <w:r w:rsidR="00BE3CF3">
        <w:t>;</w:t>
      </w:r>
      <w:r w:rsidR="003F5BBE">
        <w:t xml:space="preserve"> </w:t>
      </w:r>
      <w:r w:rsidR="00F85E54">
        <w:t xml:space="preserve">an </w:t>
      </w:r>
      <w:r w:rsidR="0088234C">
        <w:t>“</w:t>
      </w:r>
      <w:r w:rsidR="00F85E54">
        <w:t>Operating Agreement</w:t>
      </w:r>
      <w:r w:rsidR="0088234C">
        <w:t>”</w:t>
      </w:r>
      <w:r w:rsidR="00456202">
        <w:t xml:space="preserve"> for the new </w:t>
      </w:r>
      <w:r w:rsidR="00DA24B9">
        <w:t>company</w:t>
      </w:r>
      <w:r w:rsidR="00C34086">
        <w:t xml:space="preserve">; </w:t>
      </w:r>
      <w:r w:rsidR="00F85E54">
        <w:t xml:space="preserve">and an </w:t>
      </w:r>
      <w:r w:rsidR="0088234C">
        <w:t>“</w:t>
      </w:r>
      <w:r w:rsidR="00F85E54">
        <w:t>Employment Agreement</w:t>
      </w:r>
      <w:r w:rsidR="0088234C">
        <w:t>”</w:t>
      </w:r>
      <w:r w:rsidR="00456202">
        <w:t xml:space="preserve"> </w:t>
      </w:r>
      <w:r w:rsidR="00762A1B">
        <w:t xml:space="preserve">that </w:t>
      </w:r>
      <w:r w:rsidR="00747C0E">
        <w:t>defin</w:t>
      </w:r>
      <w:r w:rsidR="00762A1B">
        <w:t>ed</w:t>
      </w:r>
      <w:r w:rsidR="00747C0E">
        <w:t xml:space="preserve"> </w:t>
      </w:r>
      <w:r w:rsidR="00456202">
        <w:t xml:space="preserve">Owen’s </w:t>
      </w:r>
      <w:r w:rsidR="001F7654">
        <w:t xml:space="preserve">future </w:t>
      </w:r>
      <w:r w:rsidR="00456202">
        <w:t>management role</w:t>
      </w:r>
      <w:r w:rsidR="005129B4">
        <w:t xml:space="preserve"> in Blue Mountain</w:t>
      </w:r>
      <w:r w:rsidR="003C357D">
        <w:t>.</w:t>
      </w:r>
      <w:r w:rsidR="00DA7C0B">
        <w:t xml:space="preserve"> </w:t>
      </w:r>
      <w:r w:rsidR="003C357D">
        <w:t xml:space="preserve"> </w:t>
      </w:r>
    </w:p>
    <w:p w14:paraId="4302E395" w14:textId="68AC3EE6" w:rsidR="00FF006F" w:rsidRDefault="005116F4" w:rsidP="008709E3">
      <w:pPr>
        <w:spacing w:line="360" w:lineRule="auto"/>
      </w:pPr>
      <w:r>
        <w:tab/>
      </w:r>
      <w:r w:rsidR="00972276">
        <w:t xml:space="preserve">The </w:t>
      </w:r>
      <w:r w:rsidR="003A22EE">
        <w:t>joint</w:t>
      </w:r>
      <w:r w:rsidR="00972276">
        <w:t xml:space="preserve"> venture was formalized </w:t>
      </w:r>
      <w:r w:rsidR="00080193">
        <w:t>over</w:t>
      </w:r>
      <w:r w:rsidR="00654784">
        <w:t xml:space="preserve"> a five-day period</w:t>
      </w:r>
      <w:r w:rsidR="00223595">
        <w:t xml:space="preserve"> </w:t>
      </w:r>
      <w:r w:rsidR="00972276">
        <w:t xml:space="preserve">in April 2011.  </w:t>
      </w:r>
      <w:r w:rsidR="00CC6DC9">
        <w:t xml:space="preserve">On April 22, 2011, Blue Mountain </w:t>
      </w:r>
      <w:r w:rsidR="00601F84">
        <w:t xml:space="preserve">was </w:t>
      </w:r>
      <w:r w:rsidR="00897D68">
        <w:t>registered as a limited liability company with the Secretary of State</w:t>
      </w:r>
      <w:r w:rsidR="00F91291">
        <w:t xml:space="preserve">.  </w:t>
      </w:r>
      <w:r w:rsidR="001967F0">
        <w:t xml:space="preserve">That same day, </w:t>
      </w:r>
      <w:r w:rsidR="000B4B16">
        <w:t>Owen</w:t>
      </w:r>
      <w:r w:rsidR="0005051E">
        <w:t xml:space="preserve"> </w:t>
      </w:r>
      <w:r w:rsidR="009C0B46">
        <w:t>transferred</w:t>
      </w:r>
      <w:r w:rsidR="0005051E">
        <w:t xml:space="preserve"> his </w:t>
      </w:r>
      <w:r w:rsidR="00DF33C3">
        <w:t>ownership</w:t>
      </w:r>
      <w:r w:rsidR="000B4B16">
        <w:t xml:space="preserve"> </w:t>
      </w:r>
      <w:r w:rsidR="0005051E">
        <w:t xml:space="preserve">interest </w:t>
      </w:r>
      <w:r w:rsidR="00B85003">
        <w:t xml:space="preserve">of the Blue Mountain Entities </w:t>
      </w:r>
      <w:r w:rsidR="00792C08">
        <w:t xml:space="preserve">to </w:t>
      </w:r>
      <w:r w:rsidR="00DA0A9E">
        <w:t>Blue Mountain</w:t>
      </w:r>
      <w:r w:rsidR="00792C08">
        <w:t xml:space="preserve"> under</w:t>
      </w:r>
      <w:r w:rsidR="001C4CA0">
        <w:t xml:space="preserve"> the Contribution Agreement</w:t>
      </w:r>
      <w:r w:rsidR="003E1DA2">
        <w:t>,</w:t>
      </w:r>
      <w:r w:rsidR="00AE3B89">
        <w:t xml:space="preserve"> </w:t>
      </w:r>
      <w:r w:rsidR="0096630C">
        <w:t>receiv</w:t>
      </w:r>
      <w:r w:rsidR="003E1DA2">
        <w:t>ing</w:t>
      </w:r>
      <w:r w:rsidR="0096630C">
        <w:t xml:space="preserve"> in </w:t>
      </w:r>
      <w:r w:rsidR="00E20C24">
        <w:t xml:space="preserve">exchange </w:t>
      </w:r>
      <w:r w:rsidR="007D2CFC">
        <w:t xml:space="preserve">a 100 percent membership interest </w:t>
      </w:r>
      <w:r w:rsidR="00AE3B89">
        <w:t>in Blue Mountain</w:t>
      </w:r>
      <w:r w:rsidR="00933B03">
        <w:t xml:space="preserve">. </w:t>
      </w:r>
      <w:r w:rsidR="00DB4105">
        <w:t xml:space="preserve"> </w:t>
      </w:r>
    </w:p>
    <w:p w14:paraId="7F4A593E" w14:textId="17CA6B1D" w:rsidR="005B6CD8" w:rsidRDefault="005116F4" w:rsidP="008709E3">
      <w:pPr>
        <w:spacing w:line="360" w:lineRule="auto"/>
      </w:pPr>
      <w:r>
        <w:tab/>
      </w:r>
      <w:r w:rsidR="005454F5">
        <w:t xml:space="preserve">On April 26, 2011, </w:t>
      </w:r>
      <w:r w:rsidR="00602193">
        <w:t>Acolyte</w:t>
      </w:r>
      <w:r w:rsidR="003B7D2D">
        <w:t xml:space="preserve"> </w:t>
      </w:r>
      <w:r w:rsidR="006803C7">
        <w:t xml:space="preserve">acquired a 50 percent </w:t>
      </w:r>
      <w:r w:rsidR="007B78FB">
        <w:t xml:space="preserve">membership </w:t>
      </w:r>
      <w:r w:rsidR="006803C7">
        <w:t>interest in</w:t>
      </w:r>
      <w:r w:rsidR="006B7A4D">
        <w:t xml:space="preserve"> </w:t>
      </w:r>
      <w:r w:rsidR="00747D63">
        <w:t>Blue Mountain</w:t>
      </w:r>
      <w:r w:rsidR="006803C7">
        <w:t xml:space="preserve"> </w:t>
      </w:r>
      <w:r w:rsidR="00EA6FF8">
        <w:t>pursuant to the Membership Interest Purchase Agreement.  Acolyte paid $</w:t>
      </w:r>
      <w:r w:rsidR="007B78FB">
        <w:t>16.5 million</w:t>
      </w:r>
      <w:r w:rsidR="001147AB">
        <w:t xml:space="preserve"> </w:t>
      </w:r>
      <w:r w:rsidR="00713D61">
        <w:t>in exchange for its interest</w:t>
      </w:r>
      <w:r w:rsidR="007B78FB">
        <w:t xml:space="preserve">, $3 million </w:t>
      </w:r>
      <w:r w:rsidR="000C2392">
        <w:t xml:space="preserve">of which </w:t>
      </w:r>
      <w:r w:rsidR="00EA6FF8">
        <w:t>went directly</w:t>
      </w:r>
      <w:r w:rsidR="000C2392">
        <w:t xml:space="preserve"> </w:t>
      </w:r>
      <w:r w:rsidR="007B78FB">
        <w:t xml:space="preserve">to Owen.  </w:t>
      </w:r>
      <w:r w:rsidR="00F01A48">
        <w:t>The</w:t>
      </w:r>
      <w:r w:rsidR="00CC6B00">
        <w:t xml:space="preserve"> </w:t>
      </w:r>
      <w:r w:rsidR="000B3611">
        <w:t>residual</w:t>
      </w:r>
      <w:r w:rsidR="00CC6B00">
        <w:t xml:space="preserve"> $13.5 million was </w:t>
      </w:r>
      <w:r w:rsidR="00C87D37">
        <w:t xml:space="preserve">retained as </w:t>
      </w:r>
      <w:r w:rsidR="00C72DA9">
        <w:t>working capital</w:t>
      </w:r>
      <w:r w:rsidR="00C34BED">
        <w:t xml:space="preserve"> for Blue Mountain</w:t>
      </w:r>
      <w:r w:rsidR="00C72DA9">
        <w:t xml:space="preserve">. </w:t>
      </w:r>
      <w:r w:rsidR="003B649B">
        <w:t xml:space="preserve"> </w:t>
      </w:r>
      <w:r w:rsidR="00A70EC9">
        <w:t>The Operating Agreement</w:t>
      </w:r>
      <w:r w:rsidR="00734CB6">
        <w:t xml:space="preserve"> and the Employment Agreement </w:t>
      </w:r>
      <w:r w:rsidR="00D45684">
        <w:t xml:space="preserve">were </w:t>
      </w:r>
      <w:r>
        <w:t xml:space="preserve">also </w:t>
      </w:r>
      <w:r w:rsidR="00D45684">
        <w:t xml:space="preserve">executed </w:t>
      </w:r>
      <w:r w:rsidR="00B54436">
        <w:t>on April 26</w:t>
      </w:r>
      <w:r w:rsidR="00FA4655">
        <w:t>, 2011</w:t>
      </w:r>
      <w:r w:rsidR="00734CB6">
        <w:t>.  The</w:t>
      </w:r>
      <w:r w:rsidR="00D12499">
        <w:t>se</w:t>
      </w:r>
      <w:r w:rsidR="00734CB6">
        <w:t xml:space="preserve"> </w:t>
      </w:r>
      <w:r w:rsidR="00132B6C">
        <w:t xml:space="preserve">two </w:t>
      </w:r>
      <w:r w:rsidR="00D12499">
        <w:t xml:space="preserve">agreements </w:t>
      </w:r>
      <w:r w:rsidR="0060643A">
        <w:t>a</w:t>
      </w:r>
      <w:r w:rsidR="00755FA8">
        <w:t>ddress</w:t>
      </w:r>
      <w:r w:rsidR="0060643A">
        <w:t>ed</w:t>
      </w:r>
      <w:r w:rsidR="00755FA8">
        <w:t xml:space="preserve"> </w:t>
      </w:r>
      <w:r w:rsidR="00467252">
        <w:t xml:space="preserve">Owen’s </w:t>
      </w:r>
      <w:r w:rsidR="009C51E6">
        <w:t>continued role in</w:t>
      </w:r>
      <w:r w:rsidR="00DA08EC">
        <w:t xml:space="preserve"> managing</w:t>
      </w:r>
      <w:r w:rsidR="009C51E6">
        <w:t xml:space="preserve"> </w:t>
      </w:r>
      <w:r w:rsidR="00755FA8">
        <w:t xml:space="preserve">Blue Mountain’s </w:t>
      </w:r>
      <w:r w:rsidR="009C51E6">
        <w:t>businesses.</w:t>
      </w:r>
      <w:r>
        <w:rPr>
          <w:rStyle w:val="FootnoteReference"/>
        </w:rPr>
        <w:footnoteReference w:id="2"/>
      </w:r>
      <w:r w:rsidR="009C51E6">
        <w:t xml:space="preserve"> </w:t>
      </w:r>
    </w:p>
    <w:p w14:paraId="49A949B6" w14:textId="2CB31807" w:rsidR="00772B4E" w:rsidRDefault="005116F4" w:rsidP="008709E3">
      <w:pPr>
        <w:spacing w:line="360" w:lineRule="auto"/>
      </w:pPr>
      <w:r>
        <w:lastRenderedPageBreak/>
        <w:tab/>
      </w:r>
      <w:r w:rsidR="004E2360">
        <w:t xml:space="preserve">Under the Employment Agreement, </w:t>
      </w:r>
      <w:r w:rsidR="00014151">
        <w:t xml:space="preserve">Owen </w:t>
      </w:r>
      <w:r w:rsidR="004E0CF0">
        <w:t>was hire</w:t>
      </w:r>
      <w:r w:rsidR="009F3630">
        <w:t>d</w:t>
      </w:r>
      <w:r w:rsidR="004E0CF0">
        <w:t xml:space="preserve"> to serve </w:t>
      </w:r>
      <w:r w:rsidR="00141E9B">
        <w:t xml:space="preserve">a five-year term </w:t>
      </w:r>
      <w:r w:rsidR="004E0CF0">
        <w:t xml:space="preserve">as </w:t>
      </w:r>
      <w:r w:rsidR="004E2360">
        <w:t>Blue Mountain’s</w:t>
      </w:r>
      <w:r w:rsidR="00014151">
        <w:t xml:space="preserve"> </w:t>
      </w:r>
      <w:r w:rsidR="001C4F6F">
        <w:t>c</w:t>
      </w:r>
      <w:r w:rsidR="00014151">
        <w:t xml:space="preserve">hief </w:t>
      </w:r>
      <w:r w:rsidR="001C4F6F">
        <w:t>e</w:t>
      </w:r>
      <w:r w:rsidR="00014151">
        <w:t xml:space="preserve">xecutive </w:t>
      </w:r>
      <w:r w:rsidR="001C4F6F">
        <w:t>o</w:t>
      </w:r>
      <w:r w:rsidR="00014151">
        <w:t>fficer</w:t>
      </w:r>
      <w:r>
        <w:t xml:space="preserve">.  </w:t>
      </w:r>
      <w:r w:rsidR="004E4EFA">
        <w:t>Th</w:t>
      </w:r>
      <w:r w:rsidR="009821BB">
        <w:t>e</w:t>
      </w:r>
      <w:r w:rsidR="004E4EFA">
        <w:t xml:space="preserve"> </w:t>
      </w:r>
      <w:r w:rsidR="00756ED4">
        <w:t>agreement</w:t>
      </w:r>
      <w:r w:rsidR="004E4EFA">
        <w:t xml:space="preserve"> included </w:t>
      </w:r>
      <w:r w:rsidR="003A27ED">
        <w:t xml:space="preserve">restrictive </w:t>
      </w:r>
      <w:r w:rsidR="00A50A32">
        <w:t>covenant</w:t>
      </w:r>
      <w:r w:rsidR="00635359">
        <w:t>s</w:t>
      </w:r>
      <w:r w:rsidR="00A50A32">
        <w:t xml:space="preserve"> providing</w:t>
      </w:r>
      <w:r w:rsidR="009603A9">
        <w:t xml:space="preserve"> </w:t>
      </w:r>
      <w:r w:rsidR="00A50A32">
        <w:t>that</w:t>
      </w:r>
      <w:r w:rsidR="00C73A5D">
        <w:t xml:space="preserve"> </w:t>
      </w:r>
      <w:r w:rsidR="0072182A">
        <w:t>during his employment</w:t>
      </w:r>
      <w:r w:rsidR="00610B0D">
        <w:t>,</w:t>
      </w:r>
      <w:r w:rsidR="0072182A">
        <w:t xml:space="preserve"> and for a period of three years following the date of his termination</w:t>
      </w:r>
      <w:r w:rsidR="00610B0D">
        <w:t>,</w:t>
      </w:r>
      <w:r w:rsidR="0072182A">
        <w:t xml:space="preserve"> </w:t>
      </w:r>
      <w:r w:rsidR="006134F1">
        <w:t>Owen would not “solicit for himself or any entity the business of a customer of any of the Blue Mountain Entities</w:t>
      </w:r>
      <w:r w:rsidR="00A45B59">
        <w:t>,</w:t>
      </w:r>
      <w:r w:rsidR="006134F1">
        <w:t>”</w:t>
      </w:r>
      <w:r w:rsidR="009603A9">
        <w:t xml:space="preserve"> and </w:t>
      </w:r>
      <w:r w:rsidR="007C268B">
        <w:t xml:space="preserve">would </w:t>
      </w:r>
      <w:r w:rsidR="007345CF">
        <w:t>not solicit the services</w:t>
      </w:r>
      <w:r w:rsidR="00F04A86">
        <w:t xml:space="preserve"> </w:t>
      </w:r>
      <w:r w:rsidR="00830688">
        <w:t xml:space="preserve">of </w:t>
      </w:r>
      <w:r w:rsidR="00F04A86">
        <w:t>any Blue Mountain employees</w:t>
      </w:r>
      <w:r w:rsidR="006134F1">
        <w:t>.</w:t>
      </w:r>
      <w:r w:rsidR="00FF42A1">
        <w:t xml:space="preserve">  </w:t>
      </w:r>
      <w:r w:rsidR="00F63467">
        <w:t xml:space="preserve">By </w:t>
      </w:r>
      <w:r w:rsidR="00997720">
        <w:t>these</w:t>
      </w:r>
      <w:r w:rsidR="00F63467">
        <w:t xml:space="preserve"> provision</w:t>
      </w:r>
      <w:r w:rsidR="00997720">
        <w:t>s</w:t>
      </w:r>
      <w:r w:rsidR="00F63467">
        <w:t xml:space="preserve">, Blue Mountain </w:t>
      </w:r>
      <w:r w:rsidR="00E2307E">
        <w:t xml:space="preserve">sought to protect </w:t>
      </w:r>
      <w:r w:rsidR="003611E7">
        <w:t xml:space="preserve">its </w:t>
      </w:r>
      <w:r w:rsidR="00E2307E">
        <w:t xml:space="preserve">goodwill </w:t>
      </w:r>
      <w:r w:rsidR="003611E7">
        <w:t xml:space="preserve">and reputation, as well as </w:t>
      </w:r>
      <w:r w:rsidR="005F07AB">
        <w:t xml:space="preserve">its </w:t>
      </w:r>
      <w:r w:rsidR="00E2307E">
        <w:t>relationships</w:t>
      </w:r>
      <w:r w:rsidR="0002058A">
        <w:t xml:space="preserve"> with existing customers. </w:t>
      </w:r>
      <w:r w:rsidR="00D26524">
        <w:t xml:space="preserve"> At the time, Blue Mountain’s customers included </w:t>
      </w:r>
      <w:r w:rsidR="00E93EC0">
        <w:t>D</w:t>
      </w:r>
      <w:r w:rsidR="002D7D82">
        <w:t>.</w:t>
      </w:r>
      <w:r w:rsidR="00E93EC0">
        <w:t>R</w:t>
      </w:r>
      <w:r w:rsidR="002D7D82">
        <w:t>.</w:t>
      </w:r>
      <w:r w:rsidR="00E93EC0">
        <w:t xml:space="preserve"> Horton, KB Homes, </w:t>
      </w:r>
      <w:r w:rsidR="005166A7">
        <w:t>Lennar</w:t>
      </w:r>
      <w:r w:rsidR="003F22C3">
        <w:t xml:space="preserve"> Corporation (Lennar)</w:t>
      </w:r>
      <w:r w:rsidR="005166A7">
        <w:t xml:space="preserve">, Pulte Homes, Shea Homes, and Toll Brothers. </w:t>
      </w:r>
    </w:p>
    <w:p w14:paraId="397C36EB" w14:textId="3B4796FD" w:rsidR="00823647" w:rsidRPr="00D55F1D" w:rsidRDefault="005116F4" w:rsidP="008709E3">
      <w:pPr>
        <w:spacing w:line="360" w:lineRule="auto"/>
        <w:rPr>
          <w:b/>
          <w:bCs/>
          <w:i/>
          <w:iCs/>
        </w:rPr>
      </w:pPr>
      <w:r>
        <w:rPr>
          <w:b/>
          <w:bCs/>
          <w:i/>
          <w:iCs/>
        </w:rPr>
        <w:tab/>
      </w:r>
      <w:r w:rsidRPr="00D55F1D">
        <w:rPr>
          <w:b/>
          <w:bCs/>
          <w:i/>
          <w:iCs/>
        </w:rPr>
        <w:t>ii.</w:t>
      </w:r>
      <w:r w:rsidRPr="00D55F1D">
        <w:rPr>
          <w:b/>
          <w:bCs/>
          <w:i/>
          <w:iCs/>
        </w:rPr>
        <w:tab/>
      </w:r>
      <w:r w:rsidR="00D55F1D" w:rsidRPr="00D55F1D">
        <w:rPr>
          <w:b/>
          <w:bCs/>
          <w:i/>
          <w:iCs/>
        </w:rPr>
        <w:t xml:space="preserve">Owen </w:t>
      </w:r>
      <w:r w:rsidR="00D55F1D">
        <w:rPr>
          <w:b/>
          <w:bCs/>
          <w:i/>
          <w:iCs/>
        </w:rPr>
        <w:t xml:space="preserve">Is </w:t>
      </w:r>
      <w:r w:rsidR="000C0EA2">
        <w:rPr>
          <w:b/>
          <w:bCs/>
          <w:i/>
          <w:iCs/>
        </w:rPr>
        <w:t xml:space="preserve">Terminated </w:t>
      </w:r>
      <w:r w:rsidR="00457EC6">
        <w:rPr>
          <w:b/>
          <w:bCs/>
          <w:i/>
          <w:iCs/>
        </w:rPr>
        <w:t>for Cause</w:t>
      </w:r>
      <w:r w:rsidR="000C0EA2">
        <w:rPr>
          <w:b/>
          <w:bCs/>
          <w:i/>
          <w:iCs/>
        </w:rPr>
        <w:t xml:space="preserve"> </w:t>
      </w:r>
      <w:r w:rsidR="00457EC6">
        <w:rPr>
          <w:b/>
          <w:bCs/>
          <w:i/>
          <w:iCs/>
        </w:rPr>
        <w:t>a</w:t>
      </w:r>
      <w:r w:rsidR="00D55F1D">
        <w:rPr>
          <w:b/>
          <w:bCs/>
          <w:i/>
          <w:iCs/>
        </w:rPr>
        <w:t xml:space="preserve">nd </w:t>
      </w:r>
      <w:r w:rsidR="00D55F1D" w:rsidRPr="00D55F1D">
        <w:rPr>
          <w:b/>
          <w:bCs/>
          <w:i/>
          <w:iCs/>
        </w:rPr>
        <w:t xml:space="preserve">Forms </w:t>
      </w:r>
      <w:r w:rsidR="00257A0F">
        <w:rPr>
          <w:b/>
          <w:bCs/>
          <w:i/>
          <w:iCs/>
        </w:rPr>
        <w:t>Silvermark</w:t>
      </w:r>
    </w:p>
    <w:p w14:paraId="37768E92" w14:textId="4A5671B3" w:rsidR="00175463" w:rsidRDefault="005116F4" w:rsidP="008709E3">
      <w:pPr>
        <w:spacing w:line="360" w:lineRule="auto"/>
      </w:pPr>
      <w:r>
        <w:tab/>
        <w:t xml:space="preserve">In </w:t>
      </w:r>
      <w:r w:rsidR="00157F27">
        <w:t>September 2015</w:t>
      </w:r>
      <w:r>
        <w:t xml:space="preserve">, </w:t>
      </w:r>
      <w:r w:rsidR="00613B6F">
        <w:t xml:space="preserve">Blue Mountain executives </w:t>
      </w:r>
      <w:r w:rsidR="00C4568D">
        <w:t>began</w:t>
      </w:r>
      <w:r w:rsidR="00057642">
        <w:t xml:space="preserve"> investigating</w:t>
      </w:r>
      <w:r w:rsidR="006F5680">
        <w:t xml:space="preserve"> </w:t>
      </w:r>
      <w:r w:rsidR="000C3030">
        <w:t>allegations</w:t>
      </w:r>
      <w:r w:rsidR="002900C7">
        <w:t xml:space="preserve"> of </w:t>
      </w:r>
      <w:r w:rsidR="0099777A">
        <w:t>misconduct against Owen</w:t>
      </w:r>
      <w:r w:rsidR="006F5680">
        <w:t>.</w:t>
      </w:r>
      <w:r w:rsidR="00057642">
        <w:t xml:space="preserve"> </w:t>
      </w:r>
      <w:r w:rsidR="00FD7BED">
        <w:t xml:space="preserve"> </w:t>
      </w:r>
      <w:r w:rsidR="00C91401">
        <w:t xml:space="preserve">On April 20, 2016, </w:t>
      </w:r>
      <w:r w:rsidR="004A6591">
        <w:t xml:space="preserve">Owen </w:t>
      </w:r>
      <w:r w:rsidR="00C91401">
        <w:t xml:space="preserve">was terminated for cause.  </w:t>
      </w:r>
      <w:r w:rsidR="004A6591">
        <w:t xml:space="preserve">That same day, </w:t>
      </w:r>
      <w:r w:rsidR="006F5680">
        <w:t>Acolyte</w:t>
      </w:r>
      <w:r w:rsidR="00C23B53">
        <w:t xml:space="preserve">, </w:t>
      </w:r>
      <w:r w:rsidR="00D02894">
        <w:t>Polymathic, and a third company</w:t>
      </w:r>
      <w:r w:rsidR="006F5680">
        <w:t xml:space="preserve"> filed suit against </w:t>
      </w:r>
      <w:r w:rsidR="00242801">
        <w:t xml:space="preserve">Owen </w:t>
      </w:r>
      <w:r w:rsidR="00BA2BAC">
        <w:t xml:space="preserve">alleging he had violated his fiduciary duties and engaged in </w:t>
      </w:r>
      <w:r w:rsidR="00A21D18">
        <w:t>self-dealing</w:t>
      </w:r>
      <w:r w:rsidR="00D02894">
        <w:t xml:space="preserve"> </w:t>
      </w:r>
      <w:r w:rsidR="009E6A01">
        <w:t>while serving as chief executive of Blue Mountain</w:t>
      </w:r>
      <w:r w:rsidR="00BA2BAC">
        <w:t xml:space="preserve">.  </w:t>
      </w:r>
      <w:r w:rsidR="00B5179D">
        <w:t xml:space="preserve">The litigation was resolved in a confidential settlement agreement </w:t>
      </w:r>
      <w:r w:rsidR="004B575E">
        <w:t>on</w:t>
      </w:r>
      <w:r w:rsidR="00BA2BAC">
        <w:t xml:space="preserve"> </w:t>
      </w:r>
      <w:r w:rsidR="00E5510C">
        <w:t xml:space="preserve">July </w:t>
      </w:r>
      <w:r w:rsidR="004B575E">
        <w:t xml:space="preserve">15, </w:t>
      </w:r>
      <w:r w:rsidR="00E5510C">
        <w:t>2016</w:t>
      </w:r>
      <w:r w:rsidR="000351A3">
        <w:t xml:space="preserve">.  </w:t>
      </w:r>
      <w:r w:rsidR="004F7BA3">
        <w:t>As part of</w:t>
      </w:r>
      <w:r w:rsidR="000351A3">
        <w:t xml:space="preserve"> the settlement agreement, Owen agreed </w:t>
      </w:r>
      <w:r w:rsidR="0064235F">
        <w:t>to sell his remaining interest in Blue Mountain to Polymathic</w:t>
      </w:r>
      <w:r w:rsidR="00A83661">
        <w:t xml:space="preserve">. </w:t>
      </w:r>
      <w:r w:rsidR="0064235F">
        <w:t xml:space="preserve"> </w:t>
      </w:r>
      <w:r w:rsidR="00574140">
        <w:t xml:space="preserve">The parties further agreed that neither Acolyte nor Polymathic </w:t>
      </w:r>
      <w:r w:rsidR="00587A1C">
        <w:t>would seek to enforce</w:t>
      </w:r>
      <w:r w:rsidR="00DB2ABA">
        <w:t xml:space="preserve"> the noncompetition provisions </w:t>
      </w:r>
      <w:r w:rsidR="007660C3">
        <w:t xml:space="preserve">of Owen’s Employment Agreement with Blue Mountain, </w:t>
      </w:r>
      <w:r w:rsidR="0075229E">
        <w:t>but that “</w:t>
      </w:r>
      <w:r w:rsidR="007C4B85">
        <w:t xml:space="preserve">[Acolyte] and [Polymathic] make no representations, warranties, or covenants regarding any other surviving provisions contained </w:t>
      </w:r>
      <w:r w:rsidR="004D5E81">
        <w:t xml:space="preserve">in the Employment Agreement, including the ‘Non-Solicitation’ and </w:t>
      </w:r>
      <w:r w:rsidR="00E63E28">
        <w:t>‘</w:t>
      </w:r>
      <w:r w:rsidR="00BE2726">
        <w:t xml:space="preserve">Covenant Against Disclosure’ provisions set forth in </w:t>
      </w:r>
      <w:r w:rsidR="00BE2726">
        <w:lastRenderedPageBreak/>
        <w:t xml:space="preserve">Sections 5(b) and 5(f) of the Employment Agreement, </w:t>
      </w:r>
      <w:r w:rsidR="00BE2726" w:rsidRPr="006D2B69">
        <w:rPr>
          <w:i/>
          <w:iCs/>
        </w:rPr>
        <w:t xml:space="preserve">each of which Owen acknowledges and agrees remains fully enforceable by </w:t>
      </w:r>
      <w:r w:rsidR="00364254" w:rsidRPr="00312455">
        <w:t>[</w:t>
      </w:r>
      <w:r w:rsidR="00364254" w:rsidRPr="006D2B69">
        <w:rPr>
          <w:i/>
          <w:iCs/>
        </w:rPr>
        <w:t>Blue Mountain</w:t>
      </w:r>
      <w:r w:rsidR="00364254">
        <w:t>].”  (</w:t>
      </w:r>
      <w:r w:rsidR="004D338E">
        <w:t xml:space="preserve">Italics </w:t>
      </w:r>
      <w:r w:rsidR="00364254">
        <w:t>added</w:t>
      </w:r>
      <w:r w:rsidR="004D338E">
        <w:t>.</w:t>
      </w:r>
      <w:r w:rsidR="00364254">
        <w:t>)</w:t>
      </w:r>
      <w:r>
        <w:rPr>
          <w:rStyle w:val="FootnoteReference"/>
        </w:rPr>
        <w:footnoteReference w:id="3"/>
      </w:r>
      <w:r w:rsidR="005534C8">
        <w:t xml:space="preserve"> </w:t>
      </w:r>
    </w:p>
    <w:p w14:paraId="3BC7CE01" w14:textId="518577CB" w:rsidR="00F237E9" w:rsidRDefault="005116F4" w:rsidP="008709E3">
      <w:pPr>
        <w:spacing w:line="360" w:lineRule="auto"/>
      </w:pPr>
      <w:r>
        <w:tab/>
      </w:r>
      <w:r w:rsidR="004F7215">
        <w:t>In</w:t>
      </w:r>
      <w:r w:rsidR="006B32D5">
        <w:t xml:space="preserve"> August 2016</w:t>
      </w:r>
      <w:r w:rsidR="00334E1E">
        <w:t>,</w:t>
      </w:r>
      <w:r w:rsidR="006B32D5">
        <w:t xml:space="preserve"> </w:t>
      </w:r>
      <w:r>
        <w:t>Owen formed a new company called Silvermark Construction Services, Inc</w:t>
      </w:r>
      <w:r w:rsidR="004D338E">
        <w:t>.</w:t>
      </w:r>
      <w:r w:rsidR="00C61712">
        <w:t xml:space="preserve"> (Silvermark)</w:t>
      </w:r>
      <w:r>
        <w:t xml:space="preserve">.  </w:t>
      </w:r>
      <w:r w:rsidR="004F7215">
        <w:t>In</w:t>
      </w:r>
      <w:r w:rsidR="00CC7DA6">
        <w:t xml:space="preserve"> </w:t>
      </w:r>
      <w:r w:rsidR="0070585B">
        <w:t>June 2017,</w:t>
      </w:r>
      <w:r w:rsidR="00CC7DA6">
        <w:t xml:space="preserve"> Owen sent </w:t>
      </w:r>
      <w:r w:rsidR="00331C6B">
        <w:t>a letter</w:t>
      </w:r>
      <w:r w:rsidR="00220428">
        <w:t xml:space="preserve"> by e-mail </w:t>
      </w:r>
      <w:r w:rsidR="00AB4E04">
        <w:t xml:space="preserve">to several </w:t>
      </w:r>
      <w:r w:rsidR="00325EAF">
        <w:t xml:space="preserve">representatives of </w:t>
      </w:r>
      <w:r w:rsidR="00AB4E04">
        <w:t>Blue Mountain</w:t>
      </w:r>
      <w:r w:rsidR="00325EAF">
        <w:t xml:space="preserve"> customers</w:t>
      </w:r>
      <w:r w:rsidR="00AB4E04">
        <w:t xml:space="preserve">, informing them that he had </w:t>
      </w:r>
      <w:r w:rsidR="00CE7D7D">
        <w:t xml:space="preserve">started </w:t>
      </w:r>
      <w:r w:rsidR="004438ED">
        <w:t>Silvermark</w:t>
      </w:r>
      <w:r w:rsidR="00CE7D7D">
        <w:t xml:space="preserve">.  The letter </w:t>
      </w:r>
      <w:r w:rsidR="00EC721E">
        <w:t>beg</w:t>
      </w:r>
      <w:r w:rsidR="00354509">
        <w:t>an</w:t>
      </w:r>
      <w:r w:rsidR="00742389">
        <w:t xml:space="preserve"> with the following salutation</w:t>
      </w:r>
      <w:r w:rsidR="00CE7D7D">
        <w:t xml:space="preserve">: </w:t>
      </w:r>
      <w:r w:rsidR="00A17F5F">
        <w:t xml:space="preserve"> </w:t>
      </w:r>
      <w:r w:rsidR="00EC721E">
        <w:t xml:space="preserve">“To my friends; </w:t>
      </w:r>
      <w:r w:rsidR="00EC721E" w:rsidRPr="006D2B69">
        <w:t>past and potential future clients</w:t>
      </w:r>
      <w:r w:rsidR="00EC721E">
        <w:t>; and the general public</w:t>
      </w:r>
      <w:r w:rsidR="00A17F5F">
        <w:t>.</w:t>
      </w:r>
      <w:r w:rsidR="00EC721E">
        <w:t xml:space="preserve">” </w:t>
      </w:r>
      <w:r w:rsidR="00CC3847">
        <w:t xml:space="preserve"> </w:t>
      </w:r>
      <w:r w:rsidR="00EF27BF">
        <w:t xml:space="preserve">The letter </w:t>
      </w:r>
      <w:r w:rsidR="000D05A7">
        <w:t>declared</w:t>
      </w:r>
      <w:r w:rsidR="00CD7733">
        <w:t xml:space="preserve"> that </w:t>
      </w:r>
      <w:r w:rsidR="00354509">
        <w:t xml:space="preserve">Owen </w:t>
      </w:r>
      <w:r w:rsidR="000378C1">
        <w:t xml:space="preserve">had recently sold all his interests in Blue Mountain, </w:t>
      </w:r>
      <w:r w:rsidR="0010717F">
        <w:t xml:space="preserve">and that </w:t>
      </w:r>
      <w:r w:rsidR="005733A4">
        <w:t>he had</w:t>
      </w:r>
      <w:r w:rsidR="00FF5930">
        <w:t xml:space="preserve"> “made the decision to </w:t>
      </w:r>
      <w:r w:rsidR="00FF5930" w:rsidRPr="005D0020">
        <w:t>launch a new enterprise</w:t>
      </w:r>
      <w:r w:rsidR="00FF5930" w:rsidRPr="005733A4">
        <w:rPr>
          <w:i/>
          <w:iCs/>
        </w:rPr>
        <w:t xml:space="preserve"> </w:t>
      </w:r>
      <w:r w:rsidR="00FF5930" w:rsidRPr="006D2B69">
        <w:t>with greater perspective, more resources and a much stronger team</w:t>
      </w:r>
      <w:r w:rsidR="00FF5930" w:rsidRPr="005733A4">
        <w:rPr>
          <w:i/>
          <w:iCs/>
        </w:rPr>
        <w:t>.</w:t>
      </w:r>
      <w:r w:rsidR="003F4CBC">
        <w:t xml:space="preserve">  </w:t>
      </w:r>
      <w:r w:rsidR="00E65BAD">
        <w:t>Conscious of the environment, evolving technology and the communities we work in, this new venture allows me to incorporate what I have l</w:t>
      </w:r>
      <w:r w:rsidR="00492669">
        <w:t>earned from where I have been, while considering where the market and our world is headed.</w:t>
      </w:r>
      <w:r w:rsidR="00FF5930">
        <w:t>”</w:t>
      </w:r>
      <w:r w:rsidR="005733A4">
        <w:t xml:space="preserve">  </w:t>
      </w:r>
      <w:r w:rsidR="00EB7FA7">
        <w:t xml:space="preserve">The </w:t>
      </w:r>
      <w:r w:rsidR="00F716BC">
        <w:t xml:space="preserve">letter </w:t>
      </w:r>
      <w:r w:rsidR="00EB7FA7">
        <w:t xml:space="preserve">introduced </w:t>
      </w:r>
      <w:r w:rsidR="001B2730">
        <w:t xml:space="preserve">by name </w:t>
      </w:r>
      <w:r w:rsidR="00956840">
        <w:t>two former Blue Mountain employees</w:t>
      </w:r>
      <w:r w:rsidR="00EB7FA7">
        <w:t xml:space="preserve"> </w:t>
      </w:r>
      <w:r w:rsidR="00721AD6">
        <w:t xml:space="preserve">who had joined </w:t>
      </w:r>
      <w:r w:rsidR="00EB7FA7">
        <w:t>Silvermark</w:t>
      </w:r>
      <w:r w:rsidR="001B2730">
        <w:t xml:space="preserve">, </w:t>
      </w:r>
      <w:r w:rsidR="003B09BB">
        <w:t>“who combined</w:t>
      </w:r>
      <w:r w:rsidR="00E63E28">
        <w:t>,</w:t>
      </w:r>
      <w:r w:rsidR="003B09BB">
        <w:t xml:space="preserve"> bring over 100 years of experience in the HVAC industry.”  </w:t>
      </w:r>
      <w:r w:rsidR="007F3E8E">
        <w:t xml:space="preserve">The letter concluded: </w:t>
      </w:r>
      <w:r w:rsidR="00A17F5F">
        <w:t xml:space="preserve"> </w:t>
      </w:r>
      <w:r w:rsidR="00EB7FA7">
        <w:t xml:space="preserve">“I thank everyone who supports us in this transition and look forward to the remarkable opportunities we have ahead with our new company, Silvermark Construction Services, Inc.” </w:t>
      </w:r>
    </w:p>
    <w:p w14:paraId="1DA99715" w14:textId="4E6752F7" w:rsidR="00CC7DA6" w:rsidRDefault="005116F4" w:rsidP="008709E3">
      <w:pPr>
        <w:spacing w:line="360" w:lineRule="auto"/>
      </w:pPr>
      <w:r>
        <w:tab/>
      </w:r>
      <w:r w:rsidR="00D56B56">
        <w:t xml:space="preserve">After receiving </w:t>
      </w:r>
      <w:r w:rsidR="009153B6">
        <w:t xml:space="preserve">the announcement, at least one of Blue Mountain’s customers </w:t>
      </w:r>
      <w:r w:rsidR="0085133E">
        <w:t xml:space="preserve">(Lennar) </w:t>
      </w:r>
      <w:r w:rsidR="009153B6">
        <w:t xml:space="preserve">invited Silvermark to bid on multiple HVAC construction projects.  </w:t>
      </w:r>
      <w:r w:rsidR="00427B59">
        <w:t xml:space="preserve">Silvermark </w:t>
      </w:r>
      <w:r w:rsidR="00334BDD">
        <w:t xml:space="preserve">also </w:t>
      </w:r>
      <w:r w:rsidR="00EF560D">
        <w:t xml:space="preserve">submitted bids to provide HVAC construction </w:t>
      </w:r>
      <w:r w:rsidR="00EF560D">
        <w:lastRenderedPageBreak/>
        <w:t xml:space="preserve">services to other </w:t>
      </w:r>
      <w:r w:rsidR="004E1CF9">
        <w:t>Blue Mountain</w:t>
      </w:r>
      <w:r w:rsidR="00EF560D">
        <w:t xml:space="preserve"> customers, including Pulte Homes</w:t>
      </w:r>
      <w:r w:rsidR="00C87699">
        <w:t>,</w:t>
      </w:r>
      <w:r w:rsidR="000F6D72">
        <w:t xml:space="preserve"> Shea Homes</w:t>
      </w:r>
      <w:r w:rsidR="00C87699">
        <w:t>, and Toll Brothers</w:t>
      </w:r>
      <w:r w:rsidR="00C02424">
        <w:t>.</w:t>
      </w:r>
      <w:r w:rsidR="00EF560D">
        <w:t xml:space="preserve"> </w:t>
      </w:r>
    </w:p>
    <w:p w14:paraId="0AB41D0A" w14:textId="41AA69DF" w:rsidR="00D37356" w:rsidRPr="00BA0C0E" w:rsidRDefault="005116F4" w:rsidP="008709E3">
      <w:pPr>
        <w:spacing w:line="360" w:lineRule="auto"/>
        <w:rPr>
          <w:b/>
          <w:bCs/>
        </w:rPr>
      </w:pPr>
      <w:r w:rsidRPr="00BA0C0E">
        <w:rPr>
          <w:b/>
          <w:bCs/>
        </w:rPr>
        <w:t>B.</w:t>
      </w:r>
      <w:r w:rsidRPr="00BA0C0E">
        <w:rPr>
          <w:b/>
          <w:bCs/>
        </w:rPr>
        <w:tab/>
      </w:r>
      <w:r w:rsidR="00186EC5">
        <w:rPr>
          <w:b/>
          <w:bCs/>
        </w:rPr>
        <w:t xml:space="preserve">Lawsuit Commences and Preliminary Injunction </w:t>
      </w:r>
      <w:r w:rsidR="005B2133">
        <w:rPr>
          <w:b/>
          <w:bCs/>
        </w:rPr>
        <w:t xml:space="preserve">Is </w:t>
      </w:r>
      <w:r w:rsidR="00186EC5">
        <w:rPr>
          <w:b/>
          <w:bCs/>
        </w:rPr>
        <w:t>Obtained</w:t>
      </w:r>
    </w:p>
    <w:p w14:paraId="28277CD8" w14:textId="50060029" w:rsidR="000F064D" w:rsidRDefault="005116F4" w:rsidP="008709E3">
      <w:pPr>
        <w:spacing w:line="360" w:lineRule="auto"/>
      </w:pPr>
      <w:r>
        <w:tab/>
      </w:r>
      <w:r w:rsidR="00895540">
        <w:t xml:space="preserve">On August 1, 2017, </w:t>
      </w:r>
      <w:r w:rsidR="00542CF0">
        <w:t>Blue Mountain</w:t>
      </w:r>
      <w:r w:rsidR="00895540">
        <w:t xml:space="preserve"> filed </w:t>
      </w:r>
      <w:r w:rsidR="009476F6">
        <w:t>suit</w:t>
      </w:r>
      <w:r w:rsidR="00895540">
        <w:t xml:space="preserve"> against Owen and Silvermark alleging causes of action for breach of contract, </w:t>
      </w:r>
      <w:r w:rsidR="00E00011">
        <w:t xml:space="preserve">inducing breach of contract, intentional interference with contractual relations, </w:t>
      </w:r>
      <w:r w:rsidR="004530F1">
        <w:t xml:space="preserve">and </w:t>
      </w:r>
      <w:r w:rsidR="00E00011">
        <w:t>intentional interference with prospective economic relations</w:t>
      </w:r>
      <w:r w:rsidR="004530F1">
        <w:t xml:space="preserve">.  The complaint included a </w:t>
      </w:r>
      <w:r w:rsidR="00AE37F2">
        <w:t>request</w:t>
      </w:r>
      <w:r w:rsidR="00F50CBC">
        <w:t xml:space="preserve"> for</w:t>
      </w:r>
      <w:r w:rsidR="00AE37F2">
        <w:t xml:space="preserve"> </w:t>
      </w:r>
      <w:r w:rsidR="00E00011">
        <w:t>prelim</w:t>
      </w:r>
      <w:r w:rsidR="00AE37F2">
        <w:t>i</w:t>
      </w:r>
      <w:r w:rsidR="00E00011">
        <w:t xml:space="preserve">nary and permanent injunctive relief. </w:t>
      </w:r>
    </w:p>
    <w:p w14:paraId="25F72DA1" w14:textId="7991EA03" w:rsidR="00056CE4" w:rsidRDefault="005116F4" w:rsidP="008709E3">
      <w:pPr>
        <w:spacing w:line="360" w:lineRule="auto"/>
      </w:pPr>
      <w:r>
        <w:tab/>
      </w:r>
      <w:r w:rsidR="004A1734">
        <w:t xml:space="preserve">The </w:t>
      </w:r>
      <w:r w:rsidR="00634558">
        <w:t>claim</w:t>
      </w:r>
      <w:r w:rsidR="004A1734">
        <w:t xml:space="preserve"> for breach of contract </w:t>
      </w:r>
      <w:r w:rsidR="00054192">
        <w:t>was</w:t>
      </w:r>
      <w:r w:rsidR="004A1734">
        <w:t xml:space="preserve"> brought against Owen only. </w:t>
      </w:r>
      <w:r w:rsidR="00054192">
        <w:t xml:space="preserve"> </w:t>
      </w:r>
      <w:r w:rsidR="00ED253C">
        <w:t xml:space="preserve">Blue Mountain alleged that Owen’s </w:t>
      </w:r>
      <w:r w:rsidR="00F50CBC">
        <w:t xml:space="preserve">Silvermark </w:t>
      </w:r>
      <w:r w:rsidR="00634558">
        <w:t xml:space="preserve">letter </w:t>
      </w:r>
      <w:r w:rsidR="00C66B52">
        <w:t xml:space="preserve">violated the </w:t>
      </w:r>
      <w:r w:rsidR="005A3020">
        <w:t xml:space="preserve">customer </w:t>
      </w:r>
      <w:r w:rsidR="00DC5EA2">
        <w:t>nonsolicitation</w:t>
      </w:r>
      <w:r w:rsidR="00C66B52">
        <w:t xml:space="preserve"> provision in the </w:t>
      </w:r>
      <w:r w:rsidR="00D2535F">
        <w:t>Employment</w:t>
      </w:r>
      <w:r w:rsidR="00C66B52">
        <w:t xml:space="preserve"> Agreement and </w:t>
      </w:r>
      <w:r w:rsidR="008E2349">
        <w:t xml:space="preserve">threatened </w:t>
      </w:r>
      <w:r w:rsidR="00C66B52">
        <w:t>Blue Mountain</w:t>
      </w:r>
      <w:r w:rsidR="008E2349">
        <w:t xml:space="preserve"> with </w:t>
      </w:r>
      <w:r w:rsidR="00E63E28">
        <w:t>“</w:t>
      </w:r>
      <w:r w:rsidR="008E2349">
        <w:t>immediate and irreparable harm in the form of lost business and goodwill.”</w:t>
      </w:r>
      <w:r w:rsidR="00F65E0B">
        <w:t xml:space="preserve">  </w:t>
      </w:r>
      <w:r w:rsidR="0089171A">
        <w:t xml:space="preserve">Blue Mountain also alleged </w:t>
      </w:r>
      <w:r w:rsidR="00D35EC5">
        <w:t xml:space="preserve">that </w:t>
      </w:r>
      <w:r w:rsidR="00A11DB9">
        <w:t xml:space="preserve">Owen </w:t>
      </w:r>
      <w:r w:rsidR="00FC315F">
        <w:t xml:space="preserve">had </w:t>
      </w:r>
      <w:r w:rsidR="00A11DB9">
        <w:t xml:space="preserve">breached </w:t>
      </w:r>
      <w:r w:rsidR="007345CF">
        <w:t xml:space="preserve">the </w:t>
      </w:r>
      <w:r w:rsidR="00A11DB9">
        <w:t xml:space="preserve">related </w:t>
      </w:r>
      <w:r w:rsidR="009D0E2F">
        <w:t>covenant</w:t>
      </w:r>
      <w:r w:rsidR="00A11DB9">
        <w:t xml:space="preserve"> that prohibited him from </w:t>
      </w:r>
      <w:r w:rsidR="000E2925">
        <w:t>soliciting</w:t>
      </w:r>
      <w:r w:rsidR="00626370">
        <w:t xml:space="preserve"> </w:t>
      </w:r>
      <w:r w:rsidR="00A11DB9">
        <w:t>employees</w:t>
      </w:r>
      <w:r w:rsidR="00D35EC5">
        <w:t xml:space="preserve"> </w:t>
      </w:r>
      <w:r w:rsidR="00463F1A">
        <w:t xml:space="preserve">of </w:t>
      </w:r>
      <w:r w:rsidR="00DD4156">
        <w:t xml:space="preserve">Blue Mountain </w:t>
      </w:r>
      <w:r w:rsidR="0072302B">
        <w:t>or its subsidiary entities</w:t>
      </w:r>
      <w:r w:rsidR="002B5829">
        <w:t>.</w:t>
      </w:r>
      <w:r w:rsidR="00A11DB9">
        <w:t xml:space="preserve"> </w:t>
      </w:r>
    </w:p>
    <w:p w14:paraId="37F05543" w14:textId="5A72FA19" w:rsidR="00551006" w:rsidRDefault="005116F4" w:rsidP="006D2B69">
      <w:pPr>
        <w:widowControl w:val="0"/>
        <w:spacing w:line="360" w:lineRule="auto"/>
      </w:pPr>
      <w:r>
        <w:tab/>
        <w:t xml:space="preserve">Blue Mountain </w:t>
      </w:r>
      <w:r w:rsidR="00C83C76">
        <w:t xml:space="preserve">moved for </w:t>
      </w:r>
      <w:r>
        <w:t>a preliminary injunction</w:t>
      </w:r>
      <w:r w:rsidR="00D6254A">
        <w:t xml:space="preserve"> the day after filing its complaint</w:t>
      </w:r>
      <w:r>
        <w:t xml:space="preserve">. </w:t>
      </w:r>
      <w:r w:rsidR="009C18C2">
        <w:t xml:space="preserve"> Blue Mountain acknowledged that </w:t>
      </w:r>
      <w:r w:rsidR="00257DDF">
        <w:t>section 16600</w:t>
      </w:r>
      <w:r w:rsidR="009C18C2">
        <w:t xml:space="preserve"> generally prohibits </w:t>
      </w:r>
      <w:r w:rsidR="007858D9">
        <w:t>agreements</w:t>
      </w:r>
      <w:r w:rsidR="000E156F">
        <w:t xml:space="preserve"> that restrain competition</w:t>
      </w:r>
      <w:r w:rsidR="00964238">
        <w:t xml:space="preserve">. </w:t>
      </w:r>
      <w:r w:rsidR="004E1CF9">
        <w:t xml:space="preserve"> </w:t>
      </w:r>
      <w:r w:rsidR="00247414">
        <w:t xml:space="preserve">It asserted however </w:t>
      </w:r>
      <w:r w:rsidR="00C170DB">
        <w:t xml:space="preserve">that </w:t>
      </w:r>
      <w:r w:rsidR="004E1CF9">
        <w:t xml:space="preserve">Owen’s conduct </w:t>
      </w:r>
      <w:r w:rsidR="00777695">
        <w:t xml:space="preserve">fell within the </w:t>
      </w:r>
      <w:r w:rsidR="009C18C2">
        <w:t xml:space="preserve">exception </w:t>
      </w:r>
      <w:r w:rsidR="00D748A2">
        <w:t xml:space="preserve">under section 16601 </w:t>
      </w:r>
      <w:r w:rsidR="00B3681E">
        <w:t xml:space="preserve">which </w:t>
      </w:r>
      <w:r w:rsidR="00CC21C0">
        <w:t xml:space="preserve">provides </w:t>
      </w:r>
      <w:r w:rsidR="009C18C2">
        <w:t xml:space="preserve">that </w:t>
      </w:r>
      <w:r w:rsidR="00CF7749">
        <w:t>the</w:t>
      </w:r>
      <w:r w:rsidR="009C18C2">
        <w:t xml:space="preserve"> acquirer of </w:t>
      </w:r>
      <w:r w:rsidR="00E16AB1">
        <w:t>“</w:t>
      </w:r>
      <w:r w:rsidR="00C6288A" w:rsidRPr="00C6288A">
        <w:t xml:space="preserve">all of </w:t>
      </w:r>
      <w:r w:rsidR="00E16AB1">
        <w:t>[a seller’s]</w:t>
      </w:r>
      <w:r w:rsidR="00C6288A" w:rsidRPr="00C6288A">
        <w:t xml:space="preserve"> ownership interest</w:t>
      </w:r>
      <w:r w:rsidR="00E16AB1">
        <w:t>”</w:t>
      </w:r>
      <w:r w:rsidR="00E50C64">
        <w:t xml:space="preserve"> </w:t>
      </w:r>
      <w:r w:rsidR="009B56F0">
        <w:t xml:space="preserve">may </w:t>
      </w:r>
      <w:r w:rsidR="00F662FC">
        <w:t>enforce</w:t>
      </w:r>
      <w:r w:rsidR="00042ED0">
        <w:t xml:space="preserve"> </w:t>
      </w:r>
      <w:r w:rsidR="009C18C2">
        <w:t>the seller</w:t>
      </w:r>
      <w:r w:rsidR="00042ED0">
        <w:t xml:space="preserve">’s </w:t>
      </w:r>
      <w:r w:rsidR="00010BDF">
        <w:t xml:space="preserve">contractual </w:t>
      </w:r>
      <w:r w:rsidR="00042ED0">
        <w:t>promise to refrain</w:t>
      </w:r>
      <w:r w:rsidR="009C18C2">
        <w:t xml:space="preserve"> from soliciting the sold business’s customers</w:t>
      </w:r>
      <w:r w:rsidR="009C5310">
        <w:t xml:space="preserve"> and employees</w:t>
      </w:r>
      <w:r w:rsidR="009C18C2">
        <w:t xml:space="preserve">.  (§ 16601; </w:t>
      </w:r>
      <w:r w:rsidR="009C18C2" w:rsidRPr="009C18C2">
        <w:rPr>
          <w:i/>
          <w:iCs/>
        </w:rPr>
        <w:t>Strategix, Ltd. v. Infocrossing West, Inc.</w:t>
      </w:r>
      <w:r w:rsidR="009C18C2">
        <w:t xml:space="preserve"> (2006) 142 Cal.App.4th 1068, </w:t>
      </w:r>
      <w:r w:rsidR="00FC4AB3">
        <w:t>1072</w:t>
      </w:r>
      <w:r w:rsidR="002B3B5C">
        <w:t>–</w:t>
      </w:r>
      <w:r w:rsidR="009C18C2">
        <w:t>1073 (</w:t>
      </w:r>
      <w:r w:rsidR="009C18C2" w:rsidRPr="009C18C2">
        <w:rPr>
          <w:i/>
          <w:iCs/>
        </w:rPr>
        <w:t>Strategix</w:t>
      </w:r>
      <w:r w:rsidR="009C18C2">
        <w:t xml:space="preserve">).) </w:t>
      </w:r>
    </w:p>
    <w:p w14:paraId="34C6FFCA" w14:textId="7BA655A8" w:rsidR="00EE4E1A" w:rsidRDefault="005116F4" w:rsidP="00EE4E1A">
      <w:pPr>
        <w:spacing w:line="360" w:lineRule="auto"/>
      </w:pPr>
      <w:r>
        <w:tab/>
        <w:t>In his opposition to the motion, Owen argued</w:t>
      </w:r>
      <w:r w:rsidR="00160D8F">
        <w:t xml:space="preserve"> </w:t>
      </w:r>
      <w:r>
        <w:t xml:space="preserve">that Blue Mountain could not </w:t>
      </w:r>
      <w:r w:rsidR="00E04451">
        <w:t>demonstrate</w:t>
      </w:r>
      <w:r>
        <w:t xml:space="preserve"> a likelihood of prevailing on the merits because the </w:t>
      </w:r>
      <w:r w:rsidR="0049603C">
        <w:t>nonsolicitation</w:t>
      </w:r>
      <w:r>
        <w:t xml:space="preserve"> covenants were unenforceable</w:t>
      </w:r>
      <w:r w:rsidR="00160D8F">
        <w:t xml:space="preserve">.  Owen explained </w:t>
      </w:r>
      <w:r w:rsidR="00B4238C">
        <w:t>that because</w:t>
      </w:r>
      <w:r>
        <w:t xml:space="preserve"> </w:t>
      </w:r>
      <w:r w:rsidR="00B4238C">
        <w:t xml:space="preserve">he </w:t>
      </w:r>
      <w:r>
        <w:t xml:space="preserve">had sold only 50 percent of his </w:t>
      </w:r>
      <w:r w:rsidR="00C84AD8">
        <w:t xml:space="preserve">ownership stake </w:t>
      </w:r>
      <w:r>
        <w:t>to Acolyte</w:t>
      </w:r>
      <w:r w:rsidR="00570B18">
        <w:t xml:space="preserve"> and had </w:t>
      </w:r>
      <w:r w:rsidR="00570B18">
        <w:lastRenderedPageBreak/>
        <w:t xml:space="preserve">retained the </w:t>
      </w:r>
      <w:r w:rsidR="00383812">
        <w:t>remaining</w:t>
      </w:r>
      <w:r w:rsidR="00570B18">
        <w:t xml:space="preserve"> 50 percent for himself, </w:t>
      </w:r>
      <w:r w:rsidR="00A75E3D">
        <w:t xml:space="preserve">section 16601 </w:t>
      </w:r>
      <w:r w:rsidR="00435A33">
        <w:t xml:space="preserve">was </w:t>
      </w:r>
      <w:r w:rsidR="005C64C2">
        <w:t>inapplicable</w:t>
      </w:r>
      <w:r>
        <w:t xml:space="preserve">.  He </w:t>
      </w:r>
      <w:r w:rsidR="0019608F">
        <w:t>added</w:t>
      </w:r>
      <w:r>
        <w:t xml:space="preserve"> that the </w:t>
      </w:r>
      <w:r w:rsidR="00DE659B">
        <w:t xml:space="preserve">partial </w:t>
      </w:r>
      <w:r>
        <w:t xml:space="preserve">sale </w:t>
      </w:r>
      <w:r w:rsidR="00DE659B">
        <w:t xml:space="preserve">of Blue Mountain </w:t>
      </w:r>
      <w:r w:rsidR="00637EEE">
        <w:t xml:space="preserve">to Acolyte </w:t>
      </w:r>
      <w:r>
        <w:t xml:space="preserve">did not include the transfer of goodwill. </w:t>
      </w:r>
    </w:p>
    <w:p w14:paraId="201642E4" w14:textId="5914336B" w:rsidR="00780613" w:rsidRDefault="005116F4" w:rsidP="008709E3">
      <w:pPr>
        <w:spacing w:line="360" w:lineRule="auto"/>
      </w:pPr>
      <w:r>
        <w:tab/>
        <w:t>In October 201</w:t>
      </w:r>
      <w:r w:rsidR="00883346">
        <w:t>7</w:t>
      </w:r>
      <w:r>
        <w:t xml:space="preserve">, Blue Mountain </w:t>
      </w:r>
      <w:r w:rsidR="00035C15">
        <w:t xml:space="preserve">moved </w:t>
      </w:r>
      <w:r>
        <w:t xml:space="preserve">ex parte for a temporary restraining order </w:t>
      </w:r>
      <w:r w:rsidR="001137B9">
        <w:t xml:space="preserve">(TRO) </w:t>
      </w:r>
      <w:r>
        <w:t>seeking</w:t>
      </w:r>
      <w:r w:rsidR="002D4F00">
        <w:t xml:space="preserve"> </w:t>
      </w:r>
      <w:r>
        <w:t xml:space="preserve">to </w:t>
      </w:r>
      <w:r w:rsidR="007E7EB8">
        <w:t>enjoin Owen</w:t>
      </w:r>
      <w:r w:rsidR="00EC755A">
        <w:t xml:space="preserve"> </w:t>
      </w:r>
      <w:r w:rsidR="008C4422">
        <w:t>“</w:t>
      </w:r>
      <w:r w:rsidR="007E7EB8">
        <w:t xml:space="preserve">from continuing to breach his contract through his improper solicitations” </w:t>
      </w:r>
      <w:r w:rsidR="00AF6F4E">
        <w:t>and “from soliciting and retaining the services of former Blue Mountain employees.”</w:t>
      </w:r>
      <w:r>
        <w:rPr>
          <w:rStyle w:val="FootnoteReference"/>
        </w:rPr>
        <w:footnoteReference w:id="4"/>
      </w:r>
      <w:r w:rsidR="00AF6F4E">
        <w:t xml:space="preserve"> </w:t>
      </w:r>
      <w:r w:rsidR="00AA22AF">
        <w:t xml:space="preserve"> </w:t>
      </w:r>
      <w:r w:rsidR="009A4C5E">
        <w:t xml:space="preserve">Blue Mountain reported </w:t>
      </w:r>
      <w:r w:rsidR="00E553BC">
        <w:t xml:space="preserve">that </w:t>
      </w:r>
      <w:r w:rsidR="009A4C5E">
        <w:t xml:space="preserve">it had </w:t>
      </w:r>
      <w:r w:rsidR="00A26833">
        <w:t xml:space="preserve">recently </w:t>
      </w:r>
      <w:r w:rsidR="000C7A9B">
        <w:t xml:space="preserve">deposed </w:t>
      </w:r>
      <w:r w:rsidR="00995B10">
        <w:t xml:space="preserve">Tim </w:t>
      </w:r>
      <w:r w:rsidR="009A4C5E">
        <w:t>Frank</w:t>
      </w:r>
      <w:r w:rsidR="00807006">
        <w:t xml:space="preserve">, </w:t>
      </w:r>
      <w:r w:rsidR="00995B10">
        <w:t xml:space="preserve">one of </w:t>
      </w:r>
      <w:r w:rsidR="00F926CE">
        <w:t>the</w:t>
      </w:r>
      <w:r w:rsidR="00807006">
        <w:t xml:space="preserve"> </w:t>
      </w:r>
      <w:r w:rsidR="00995B10">
        <w:t xml:space="preserve">former </w:t>
      </w:r>
      <w:r w:rsidR="00807006">
        <w:t>Blue Mountain employee</w:t>
      </w:r>
      <w:r w:rsidR="00995B10">
        <w:t>s hired by Silvermark</w:t>
      </w:r>
      <w:r w:rsidR="00012B9E">
        <w:t>.</w:t>
      </w:r>
      <w:r w:rsidR="00807006">
        <w:t xml:space="preserve">  </w:t>
      </w:r>
      <w:r w:rsidR="00476C1A">
        <w:t xml:space="preserve">During </w:t>
      </w:r>
      <w:r w:rsidR="00995B10">
        <w:t>Frank’s d</w:t>
      </w:r>
      <w:r w:rsidR="00476C1A">
        <w:t xml:space="preserve">eposition, Blue Mountain </w:t>
      </w:r>
      <w:r w:rsidR="009A4C5E">
        <w:t xml:space="preserve">learned that </w:t>
      </w:r>
      <w:r w:rsidR="008163EC">
        <w:t>Frank</w:t>
      </w:r>
      <w:r w:rsidR="009A4C5E">
        <w:t xml:space="preserve"> and Owen had </w:t>
      </w:r>
      <w:r w:rsidR="00D83823">
        <w:t xml:space="preserve">discussed </w:t>
      </w:r>
      <w:r w:rsidR="00231AF0">
        <w:t>forming a company to compete directly with Blue Mountain’s HVAC business</w:t>
      </w:r>
      <w:r w:rsidR="009A4C5E">
        <w:t xml:space="preserve"> </w:t>
      </w:r>
      <w:r w:rsidR="004416A8">
        <w:t>while</w:t>
      </w:r>
      <w:r w:rsidR="009A4C5E">
        <w:t xml:space="preserve"> Frank was still </w:t>
      </w:r>
      <w:r w:rsidR="00BF6FCE">
        <w:t>working for</w:t>
      </w:r>
      <w:r w:rsidR="009A4C5E">
        <w:t xml:space="preserve"> Blue Mountain</w:t>
      </w:r>
      <w:r w:rsidR="00476C1A">
        <w:t xml:space="preserve">.  </w:t>
      </w:r>
      <w:r w:rsidR="005D56F1">
        <w:t xml:space="preserve">He and </w:t>
      </w:r>
      <w:r w:rsidR="00571A3B">
        <w:t xml:space="preserve">Owen </w:t>
      </w:r>
      <w:r w:rsidR="00CF6BA6">
        <w:t>had also</w:t>
      </w:r>
      <w:r w:rsidR="00C20569">
        <w:t xml:space="preserve"> </w:t>
      </w:r>
      <w:r w:rsidR="00936939">
        <w:t>draft</w:t>
      </w:r>
      <w:r w:rsidR="0050075A">
        <w:t>ed a</w:t>
      </w:r>
      <w:r w:rsidR="00936939">
        <w:t xml:space="preserve"> </w:t>
      </w:r>
      <w:r w:rsidR="00571A3B">
        <w:t xml:space="preserve">business plan </w:t>
      </w:r>
      <w:r w:rsidR="00EB0991">
        <w:t>projecting</w:t>
      </w:r>
      <w:r w:rsidR="00571A3B">
        <w:t xml:space="preserve"> r</w:t>
      </w:r>
      <w:r w:rsidR="002665D5">
        <w:t xml:space="preserve">evenue </w:t>
      </w:r>
      <w:r w:rsidR="00626C66">
        <w:t>that would</w:t>
      </w:r>
      <w:r w:rsidR="002665D5">
        <w:t xml:space="preserve"> come from projects </w:t>
      </w:r>
      <w:r w:rsidR="00CF6BA6">
        <w:t xml:space="preserve">already </w:t>
      </w:r>
      <w:r w:rsidR="00D56715">
        <w:t xml:space="preserve">in </w:t>
      </w:r>
      <w:r w:rsidR="00A4661D">
        <w:t>Blue Mountain’s</w:t>
      </w:r>
      <w:r w:rsidR="009D7659">
        <w:t xml:space="preserve"> project</w:t>
      </w:r>
      <w:r w:rsidR="00A4661D">
        <w:t xml:space="preserve"> </w:t>
      </w:r>
      <w:r w:rsidR="00D56715">
        <w:t>pipeline</w:t>
      </w:r>
      <w:r w:rsidR="001713CE">
        <w:t xml:space="preserve">. </w:t>
      </w:r>
      <w:r w:rsidR="004F336B">
        <w:t xml:space="preserve"> </w:t>
      </w:r>
      <w:r w:rsidR="008D527D">
        <w:t xml:space="preserve">In addition, </w:t>
      </w:r>
      <w:r w:rsidR="00C9456D">
        <w:t xml:space="preserve">Frank </w:t>
      </w:r>
      <w:r w:rsidR="008D527D">
        <w:t xml:space="preserve">had accessed </w:t>
      </w:r>
      <w:r w:rsidR="00C9456D">
        <w:t>more than 300 files during his last two weeks of employment</w:t>
      </w:r>
      <w:r w:rsidR="00C9456D" w:rsidRPr="0083711F">
        <w:t xml:space="preserve"> </w:t>
      </w:r>
      <w:r w:rsidR="00C9456D">
        <w:t xml:space="preserve">with Blue Mountain.  </w:t>
      </w:r>
      <w:r w:rsidR="001A3B9B">
        <w:t xml:space="preserve">Blue Mountain </w:t>
      </w:r>
      <w:r w:rsidR="004552B8">
        <w:t xml:space="preserve">asserted </w:t>
      </w:r>
      <w:r w:rsidR="001360B2">
        <w:t xml:space="preserve">that Frank </w:t>
      </w:r>
      <w:r w:rsidR="00C9456D">
        <w:t xml:space="preserve">had no business purpose in accessing many of these files. </w:t>
      </w:r>
    </w:p>
    <w:p w14:paraId="4615E879" w14:textId="7AA079E9" w:rsidR="00313E50" w:rsidRDefault="005116F4" w:rsidP="008709E3">
      <w:pPr>
        <w:spacing w:line="360" w:lineRule="auto"/>
      </w:pPr>
      <w:r>
        <w:tab/>
      </w:r>
      <w:r w:rsidR="003F1935">
        <w:t>T</w:t>
      </w:r>
      <w:r w:rsidR="004C6865">
        <w:t xml:space="preserve">he trial </w:t>
      </w:r>
      <w:r w:rsidR="002A5972">
        <w:t xml:space="preserve">court </w:t>
      </w:r>
      <w:r w:rsidR="00792A70">
        <w:t>entered</w:t>
      </w:r>
      <w:r w:rsidR="004C6865">
        <w:t xml:space="preserve"> a </w:t>
      </w:r>
      <w:r w:rsidR="0083545C">
        <w:t>TRO</w:t>
      </w:r>
      <w:r w:rsidR="00792A70">
        <w:t xml:space="preserve"> in favor of Blue Mountain</w:t>
      </w:r>
      <w:r w:rsidR="004C6865">
        <w:t xml:space="preserve">. </w:t>
      </w:r>
      <w:r w:rsidR="008C0835">
        <w:t xml:space="preserve"> </w:t>
      </w:r>
      <w:r w:rsidR="001360B2">
        <w:t>T</w:t>
      </w:r>
      <w:r w:rsidR="00792A70">
        <w:t>he</w:t>
      </w:r>
      <w:r w:rsidR="000E663B">
        <w:t xml:space="preserve"> order prohibited Owen from</w:t>
      </w:r>
      <w:r w:rsidR="008C0835">
        <w:t xml:space="preserve"> </w:t>
      </w:r>
      <w:r w:rsidR="000E663B">
        <w:t xml:space="preserve">soliciting </w:t>
      </w:r>
      <w:r w:rsidR="00627AF2">
        <w:t>a list of</w:t>
      </w:r>
      <w:r w:rsidR="000E663B">
        <w:t xml:space="preserve"> </w:t>
      </w:r>
      <w:r w:rsidR="000D0BA1">
        <w:t xml:space="preserve">Blue Mountain </w:t>
      </w:r>
      <w:r w:rsidR="000E663B">
        <w:t xml:space="preserve">customers.  Included among </w:t>
      </w:r>
      <w:r w:rsidR="00CB273B">
        <w:t>these</w:t>
      </w:r>
      <w:r w:rsidR="000E663B">
        <w:t xml:space="preserve"> customers were D.R. Horton, KB </w:t>
      </w:r>
      <w:r w:rsidR="00DB5E1C">
        <w:t>H</w:t>
      </w:r>
      <w:r w:rsidR="000E663B">
        <w:t xml:space="preserve">omes, Lennar, Meritage Homes, Pulte Homes, Shea Homes, Toll Brothers, and William Lyon Homes. </w:t>
      </w:r>
      <w:r w:rsidR="007C44C7">
        <w:t xml:space="preserve"> </w:t>
      </w:r>
      <w:r w:rsidR="003B7BED">
        <w:t xml:space="preserve">The order was to remain </w:t>
      </w:r>
      <w:r w:rsidR="00314B72">
        <w:t xml:space="preserve">in effect </w:t>
      </w:r>
      <w:r w:rsidR="003B7BED">
        <w:t xml:space="preserve">until the conclusion of the hearing on Blue Mountain’s pending motion for a preliminary injunction. </w:t>
      </w:r>
    </w:p>
    <w:p w14:paraId="76ACB808" w14:textId="7513EE44" w:rsidR="00EA1459" w:rsidRDefault="005116F4" w:rsidP="008709E3">
      <w:pPr>
        <w:spacing w:line="360" w:lineRule="auto"/>
      </w:pPr>
      <w:r>
        <w:lastRenderedPageBreak/>
        <w:tab/>
        <w:t xml:space="preserve">On November 29, 2017, </w:t>
      </w:r>
      <w:r w:rsidR="00181744">
        <w:t>following</w:t>
      </w:r>
      <w:r w:rsidR="00C810D6">
        <w:t xml:space="preserve"> a </w:t>
      </w:r>
      <w:r w:rsidR="00F17C16">
        <w:t xml:space="preserve">contested </w:t>
      </w:r>
      <w:r w:rsidR="00C810D6">
        <w:t xml:space="preserve">hearing, </w:t>
      </w:r>
      <w:r>
        <w:t xml:space="preserve">the trial court </w:t>
      </w:r>
      <w:r w:rsidR="001F64CD">
        <w:t>entered a preliminary injunction</w:t>
      </w:r>
      <w:r>
        <w:t xml:space="preserve"> </w:t>
      </w:r>
      <w:r w:rsidR="001425CF">
        <w:t xml:space="preserve">in favor of </w:t>
      </w:r>
      <w:r>
        <w:t xml:space="preserve">Blue Mountain.  </w:t>
      </w:r>
      <w:r w:rsidR="004426F2">
        <w:t>T</w:t>
      </w:r>
      <w:r w:rsidR="005B6046">
        <w:t xml:space="preserve">he court </w:t>
      </w:r>
      <w:r w:rsidR="004426F2">
        <w:t xml:space="preserve">determined </w:t>
      </w:r>
      <w:r w:rsidR="005B6046">
        <w:t xml:space="preserve">that </w:t>
      </w:r>
      <w:r w:rsidR="006A0EE2">
        <w:t xml:space="preserve">the </w:t>
      </w:r>
      <w:r w:rsidR="002C02E0">
        <w:t>Employment Agreement</w:t>
      </w:r>
      <w:r w:rsidR="00385CBC">
        <w:t>’</w:t>
      </w:r>
      <w:r w:rsidR="002C02E0">
        <w:t xml:space="preserve">s </w:t>
      </w:r>
      <w:r w:rsidR="002E33A2">
        <w:t>nonsolicitation</w:t>
      </w:r>
      <w:r w:rsidR="006A0EE2">
        <w:t xml:space="preserve"> covenant</w:t>
      </w:r>
      <w:r w:rsidR="0044410C">
        <w:t>s</w:t>
      </w:r>
      <w:r w:rsidR="006A0EE2">
        <w:t xml:space="preserve"> </w:t>
      </w:r>
      <w:r w:rsidR="00923C34">
        <w:t xml:space="preserve">fell within </w:t>
      </w:r>
      <w:r w:rsidR="00D67C85">
        <w:t xml:space="preserve">the statutory exception </w:t>
      </w:r>
      <w:r w:rsidR="00923C34">
        <w:t xml:space="preserve">to the </w:t>
      </w:r>
      <w:r w:rsidR="005000E6">
        <w:t xml:space="preserve">general </w:t>
      </w:r>
      <w:r w:rsidR="00923C34">
        <w:t xml:space="preserve">rule voiding </w:t>
      </w:r>
      <w:r w:rsidR="003749C0">
        <w:t xml:space="preserve">noncompetition </w:t>
      </w:r>
      <w:r w:rsidR="00F12688">
        <w:t>agreements</w:t>
      </w:r>
      <w:r w:rsidR="00F621CD">
        <w:t xml:space="preserve"> because Owen had </w:t>
      </w:r>
      <w:r w:rsidR="005401D3">
        <w:t xml:space="preserve">disposed of </w:t>
      </w:r>
      <w:r w:rsidR="00084ED7">
        <w:t>the entirety</w:t>
      </w:r>
      <w:r w:rsidR="005401D3">
        <w:t xml:space="preserve"> of his business interests</w:t>
      </w:r>
      <w:r w:rsidR="001A1E60">
        <w:t xml:space="preserve"> </w:t>
      </w:r>
      <w:r w:rsidR="009B507E">
        <w:t xml:space="preserve">when he conveyed those </w:t>
      </w:r>
      <w:r w:rsidR="003749C0">
        <w:t>interests</w:t>
      </w:r>
      <w:r w:rsidR="009B507E">
        <w:t xml:space="preserve"> to</w:t>
      </w:r>
      <w:r w:rsidR="00EB624D">
        <w:t xml:space="preserve"> Blue Mountain in April 2011</w:t>
      </w:r>
      <w:r w:rsidR="00113A24">
        <w:t xml:space="preserve">. </w:t>
      </w:r>
      <w:r w:rsidR="00327125">
        <w:t xml:space="preserve"> The court </w:t>
      </w:r>
      <w:r w:rsidR="00AC2FF2">
        <w:t>explained</w:t>
      </w:r>
      <w:r w:rsidR="00327125">
        <w:t xml:space="preserve">: </w:t>
      </w:r>
      <w:r w:rsidR="008D2256">
        <w:t xml:space="preserve"> </w:t>
      </w:r>
      <w:r w:rsidR="00327125">
        <w:t xml:space="preserve">“The evidence shows that through a series of inter-related contractual agreements executed within days of each other, Defendant Owen </w:t>
      </w:r>
      <w:r w:rsidR="00C4568D">
        <w:t>consummated</w:t>
      </w:r>
      <w:r w:rsidR="00327125">
        <w:t xml:space="preserve"> a business deal in which he created a separate legal entity, Plaintiff Blue Mountain Enterprises, LLC </w:t>
      </w:r>
      <w:r w:rsidR="008D2256">
        <w:t>. . . </w:t>
      </w:r>
      <w:r w:rsidR="002328FB">
        <w:t xml:space="preserve">, to which he conveyed 100% of his personal interest in specific construction and real estate related businesses </w:t>
      </w:r>
      <w:r w:rsidR="008D2256">
        <w:t>. . . </w:t>
      </w:r>
      <w:r w:rsidR="00172190">
        <w:t>.”</w:t>
      </w:r>
      <w:r w:rsidR="002328FB">
        <w:t xml:space="preserve"> </w:t>
      </w:r>
      <w:r w:rsidR="003E7C5E">
        <w:t xml:space="preserve"> </w:t>
      </w:r>
      <w:r w:rsidR="00D21153">
        <w:t xml:space="preserve">Citing </w:t>
      </w:r>
      <w:r w:rsidR="00807B3E">
        <w:t xml:space="preserve">the </w:t>
      </w:r>
      <w:r w:rsidR="00E12EF4">
        <w:t xml:space="preserve">parties’ other </w:t>
      </w:r>
      <w:r w:rsidR="00023A4E">
        <w:t xml:space="preserve">related </w:t>
      </w:r>
      <w:r w:rsidR="00E12EF4">
        <w:t>agreements</w:t>
      </w:r>
      <w:r w:rsidR="00301448">
        <w:t xml:space="preserve">, </w:t>
      </w:r>
      <w:r w:rsidR="00D21153">
        <w:t xml:space="preserve">the court </w:t>
      </w:r>
      <w:r w:rsidR="002E15A2">
        <w:t>opined</w:t>
      </w:r>
      <w:r w:rsidR="00DB0823">
        <w:t xml:space="preserve"> that</w:t>
      </w:r>
      <w:r w:rsidR="00301448">
        <w:t xml:space="preserve"> </w:t>
      </w:r>
      <w:r w:rsidR="00464C9F">
        <w:t xml:space="preserve">the </w:t>
      </w:r>
      <w:r w:rsidR="008A1FC4">
        <w:t xml:space="preserve">various </w:t>
      </w:r>
      <w:r w:rsidR="00301448">
        <w:t xml:space="preserve">contracts </w:t>
      </w:r>
      <w:r w:rsidR="008A1FC4">
        <w:t>“</w:t>
      </w:r>
      <w:r w:rsidR="00301448">
        <w:t xml:space="preserve">were negotiated in consideration of one another as part of a global business deal between Defendant Owen and third-party Alcolyte, an affiliate of Meyer Corporation.” </w:t>
      </w:r>
    </w:p>
    <w:p w14:paraId="11537F0C" w14:textId="0E19FAB8" w:rsidR="00093B0E" w:rsidRDefault="005116F4" w:rsidP="008709E3">
      <w:pPr>
        <w:spacing w:line="360" w:lineRule="auto"/>
      </w:pPr>
      <w:r>
        <w:tab/>
        <w:t xml:space="preserve">The trial court </w:t>
      </w:r>
      <w:r w:rsidR="00DA10D8">
        <w:t xml:space="preserve">also </w:t>
      </w:r>
      <w:r w:rsidR="00460353">
        <w:t>observed</w:t>
      </w:r>
      <w:r>
        <w:t xml:space="preserve"> that Owen’s </w:t>
      </w:r>
      <w:r w:rsidR="00C94248">
        <w:t>argu</w:t>
      </w:r>
      <w:r w:rsidR="00D010BF">
        <w:t>me</w:t>
      </w:r>
      <w:r w:rsidR="00C94248">
        <w:t>nt</w:t>
      </w:r>
      <w:r w:rsidR="00CE3074">
        <w:t xml:space="preserve"> “ignore</w:t>
      </w:r>
      <w:r w:rsidR="001E1BAE">
        <w:t>[d]</w:t>
      </w:r>
      <w:r w:rsidR="00CE3074">
        <w:t xml:space="preserve"> several factors</w:t>
      </w:r>
      <w:r w:rsidR="007F6DA3">
        <w:t>,</w:t>
      </w:r>
      <w:r w:rsidR="00CE3074">
        <w:t xml:space="preserve">” </w:t>
      </w:r>
      <w:r w:rsidR="007F6DA3">
        <w:t xml:space="preserve">including that </w:t>
      </w:r>
      <w:r w:rsidR="00D76FFC">
        <w:t xml:space="preserve">Blue Mountain </w:t>
      </w:r>
      <w:r w:rsidR="005B023F">
        <w:t xml:space="preserve">had </w:t>
      </w:r>
      <w:r w:rsidR="00D76FFC">
        <w:t xml:space="preserve">a separate legal existence </w:t>
      </w:r>
      <w:r w:rsidR="005216CA">
        <w:t xml:space="preserve">apart </w:t>
      </w:r>
      <w:r w:rsidR="00D76FFC">
        <w:t xml:space="preserve">from Owen.  </w:t>
      </w:r>
      <w:r w:rsidR="009445C1">
        <w:t>The court noted that a</w:t>
      </w:r>
      <w:r w:rsidR="00AF1997">
        <w:t>t</w:t>
      </w:r>
      <w:r w:rsidR="00FE54C5">
        <w:t xml:space="preserve"> the time </w:t>
      </w:r>
      <w:r w:rsidR="00D675D4">
        <w:t>Blue Mountain sold</w:t>
      </w:r>
      <w:r w:rsidR="00460535">
        <w:t xml:space="preserve"> 50 percent </w:t>
      </w:r>
      <w:r w:rsidR="00311F33">
        <w:t xml:space="preserve">of its </w:t>
      </w:r>
      <w:r w:rsidR="00460535">
        <w:t>interest to Alcolyte, it was Blue Mountain, not Owen, that owned the entities</w:t>
      </w:r>
      <w:r w:rsidR="000370E0">
        <w:t xml:space="preserve"> formerly belong</w:t>
      </w:r>
      <w:r w:rsidR="00613D46">
        <w:t>ing</w:t>
      </w:r>
      <w:r w:rsidR="000370E0">
        <w:t xml:space="preserve"> to Owen</w:t>
      </w:r>
      <w:r w:rsidR="00460535">
        <w:t>.</w:t>
      </w:r>
      <w:r w:rsidR="00D76FFC">
        <w:t xml:space="preserve">  </w:t>
      </w:r>
      <w:r w:rsidR="0004419D">
        <w:t>The court also found that while none of the contracts expressly reference the sale of goodwill,</w:t>
      </w:r>
      <w:r w:rsidR="00B90448">
        <w:t xml:space="preserve"> the transfer of </w:t>
      </w:r>
      <w:r w:rsidR="009E473E">
        <w:t xml:space="preserve">goodwill could </w:t>
      </w:r>
      <w:r w:rsidR="004E28A4">
        <w:t xml:space="preserve">reasonably </w:t>
      </w:r>
      <w:r w:rsidR="009E473E">
        <w:t xml:space="preserve">be inferred.  </w:t>
      </w:r>
      <w:r w:rsidR="00013E59">
        <w:t>The order enjoined</w:t>
      </w:r>
      <w:r w:rsidR="00BF3697">
        <w:t xml:space="preserve"> </w:t>
      </w:r>
      <w:r w:rsidR="009556DA">
        <w:t xml:space="preserve">Owen from </w:t>
      </w:r>
      <w:r w:rsidR="00C2546C">
        <w:t>soliciting or engaging in business with Blue Mountain customers</w:t>
      </w:r>
      <w:r w:rsidR="009F1D71">
        <w:t>,</w:t>
      </w:r>
      <w:r w:rsidR="00FD0BEE">
        <w:t xml:space="preserve"> </w:t>
      </w:r>
      <w:r w:rsidR="009F1D71">
        <w:t xml:space="preserve">from </w:t>
      </w:r>
      <w:r w:rsidR="00FD0BEE">
        <w:t xml:space="preserve">attempting to interfere in </w:t>
      </w:r>
      <w:r w:rsidR="003772D8">
        <w:t xml:space="preserve">Blue Mountain’s </w:t>
      </w:r>
      <w:r w:rsidR="00FD0BEE">
        <w:t xml:space="preserve">relationships with </w:t>
      </w:r>
      <w:r w:rsidR="00B96FD4">
        <w:t>its</w:t>
      </w:r>
      <w:r w:rsidR="00EC1B30">
        <w:t xml:space="preserve"> </w:t>
      </w:r>
      <w:r w:rsidR="00FD0BEE">
        <w:t>customers</w:t>
      </w:r>
      <w:r w:rsidR="009F1D71">
        <w:t>,</w:t>
      </w:r>
      <w:r w:rsidR="00FD0BEE">
        <w:t xml:space="preserve"> </w:t>
      </w:r>
      <w:r w:rsidR="009F1D71">
        <w:t>and from</w:t>
      </w:r>
      <w:r w:rsidR="00FD0BEE">
        <w:t xml:space="preserve"> </w:t>
      </w:r>
      <w:r w:rsidR="00EC1B30">
        <w:t>soliciting</w:t>
      </w:r>
      <w:r w:rsidR="00FD0BEE">
        <w:t xml:space="preserve"> Blue Mountain employees</w:t>
      </w:r>
      <w:r w:rsidR="008A18A0">
        <w:t xml:space="preserve">. </w:t>
      </w:r>
    </w:p>
    <w:p w14:paraId="36517384" w14:textId="3DA8F029" w:rsidR="00AE6632" w:rsidRDefault="005116F4" w:rsidP="008709E3">
      <w:pPr>
        <w:spacing w:line="360" w:lineRule="auto"/>
      </w:pPr>
      <w:r>
        <w:tab/>
        <w:t xml:space="preserve">On January 18, 2018, the trial court </w:t>
      </w:r>
      <w:r w:rsidR="00FF398B">
        <w:t>entered</w:t>
      </w:r>
      <w:r>
        <w:t xml:space="preserve"> an amended </w:t>
      </w:r>
      <w:r w:rsidR="009B0215">
        <w:t xml:space="preserve">order granting the </w:t>
      </w:r>
      <w:r>
        <w:t xml:space="preserve">preliminary injunction. </w:t>
      </w:r>
      <w:r w:rsidR="0052456D">
        <w:t xml:space="preserve"> </w:t>
      </w:r>
      <w:r w:rsidR="000D06D4">
        <w:t xml:space="preserve">Owen had filed a motion for </w:t>
      </w:r>
      <w:r w:rsidR="000D06D4">
        <w:lastRenderedPageBreak/>
        <w:t xml:space="preserve">reconsideration </w:t>
      </w:r>
      <w:r w:rsidR="00B33E8B">
        <w:t xml:space="preserve">based on </w:t>
      </w:r>
      <w:r w:rsidR="00BA4907">
        <w:t xml:space="preserve">the parties’ </w:t>
      </w:r>
      <w:r w:rsidR="00B33E8B">
        <w:t xml:space="preserve">confidential </w:t>
      </w:r>
      <w:r w:rsidR="009D4571">
        <w:t xml:space="preserve">July 2016 </w:t>
      </w:r>
      <w:r w:rsidR="00BA4907">
        <w:t>settlement agreement</w:t>
      </w:r>
      <w:r w:rsidR="000D06D4">
        <w:t xml:space="preserve">, </w:t>
      </w:r>
      <w:r w:rsidR="00B93E9C">
        <w:t xml:space="preserve">which he </w:t>
      </w:r>
      <w:r w:rsidR="00730CD6">
        <w:t xml:space="preserve">now </w:t>
      </w:r>
      <w:r w:rsidR="00B93E9C">
        <w:t>lodged with the court under seal</w:t>
      </w:r>
      <w:r w:rsidR="00BA4907">
        <w:t xml:space="preserve">. </w:t>
      </w:r>
      <w:r w:rsidR="00843A28">
        <w:t xml:space="preserve"> </w:t>
      </w:r>
      <w:r w:rsidR="00E87ED1">
        <w:t>The amended order</w:t>
      </w:r>
      <w:r w:rsidR="00D7298C">
        <w:t xml:space="preserve"> </w:t>
      </w:r>
      <w:r w:rsidR="00310470">
        <w:t xml:space="preserve">clarified that </w:t>
      </w:r>
      <w:r w:rsidR="004B5675">
        <w:t xml:space="preserve">the </w:t>
      </w:r>
      <w:r w:rsidR="002F7773">
        <w:t xml:space="preserve">customer solicitation </w:t>
      </w:r>
      <w:r w:rsidR="004B5675">
        <w:t>restraint</w:t>
      </w:r>
      <w:r w:rsidR="00310470">
        <w:t xml:space="preserve"> appli</w:t>
      </w:r>
      <w:r w:rsidR="00BD2C7A">
        <w:t xml:space="preserve">ed only to companies that </w:t>
      </w:r>
      <w:r w:rsidR="00296759">
        <w:t>had been</w:t>
      </w:r>
      <w:r w:rsidR="00310470">
        <w:t xml:space="preserve"> Blue Mountain customers</w:t>
      </w:r>
      <w:r w:rsidR="00BD2C7A">
        <w:t xml:space="preserve"> </w:t>
      </w:r>
      <w:r w:rsidR="0055430D">
        <w:t>as of</w:t>
      </w:r>
      <w:r w:rsidR="00BD2C7A">
        <w:t xml:space="preserve"> April 2011. </w:t>
      </w:r>
    </w:p>
    <w:p w14:paraId="41C71517" w14:textId="137787E0" w:rsidR="00DA4188" w:rsidRDefault="005116F4" w:rsidP="00F51702">
      <w:pPr>
        <w:spacing w:line="360" w:lineRule="auto"/>
      </w:pPr>
      <w:r>
        <w:tab/>
      </w:r>
      <w:r w:rsidR="003A1211">
        <w:t xml:space="preserve">On </w:t>
      </w:r>
      <w:r w:rsidR="00FA26DB">
        <w:t>June 4, 2018</w:t>
      </w:r>
      <w:r w:rsidR="003A1211">
        <w:t xml:space="preserve">, </w:t>
      </w:r>
      <w:r w:rsidR="003A0847">
        <w:t xml:space="preserve">Blue Mountain filed a first amended complaint </w:t>
      </w:r>
      <w:r w:rsidR="00376EB5">
        <w:t xml:space="preserve">(FAC) </w:t>
      </w:r>
      <w:r w:rsidR="00F9712D">
        <w:t>adding</w:t>
      </w:r>
      <w:r w:rsidR="00500C92">
        <w:t xml:space="preserve"> new causes of action for misappropriation of trade secrets and unfair competition</w:t>
      </w:r>
      <w:r w:rsidR="003A0847">
        <w:t xml:space="preserve">. </w:t>
      </w:r>
    </w:p>
    <w:p w14:paraId="452ADCDA" w14:textId="2CC7AC55" w:rsidR="001451F7" w:rsidRPr="00F40B06" w:rsidRDefault="005116F4" w:rsidP="008709E3">
      <w:pPr>
        <w:spacing w:line="360" w:lineRule="auto"/>
        <w:rPr>
          <w:b/>
          <w:bCs/>
        </w:rPr>
      </w:pPr>
      <w:r w:rsidRPr="00F40B06">
        <w:rPr>
          <w:b/>
          <w:bCs/>
        </w:rPr>
        <w:t>C.</w:t>
      </w:r>
      <w:r w:rsidRPr="00F40B06">
        <w:rPr>
          <w:b/>
          <w:bCs/>
        </w:rPr>
        <w:tab/>
      </w:r>
      <w:r w:rsidR="003E151C">
        <w:rPr>
          <w:b/>
          <w:bCs/>
        </w:rPr>
        <w:t xml:space="preserve">Blue Mountain </w:t>
      </w:r>
      <w:r w:rsidR="00D35659">
        <w:rPr>
          <w:b/>
          <w:bCs/>
        </w:rPr>
        <w:t>Obtains</w:t>
      </w:r>
      <w:r w:rsidR="003E151C">
        <w:rPr>
          <w:b/>
          <w:bCs/>
        </w:rPr>
        <w:t xml:space="preserve"> </w:t>
      </w:r>
      <w:r w:rsidRPr="00F40B06">
        <w:rPr>
          <w:b/>
          <w:bCs/>
        </w:rPr>
        <w:t>Summary Adjudication</w:t>
      </w:r>
    </w:p>
    <w:p w14:paraId="724FA517" w14:textId="1A2532F2" w:rsidR="001451F7" w:rsidRDefault="005116F4" w:rsidP="008709E3">
      <w:pPr>
        <w:spacing w:line="360" w:lineRule="auto"/>
      </w:pPr>
      <w:r>
        <w:tab/>
      </w:r>
      <w:r w:rsidR="005313D0">
        <w:t>In</w:t>
      </w:r>
      <w:r>
        <w:t xml:space="preserve"> </w:t>
      </w:r>
      <w:r w:rsidR="00CE49AA">
        <w:t>September 2018</w:t>
      </w:r>
      <w:r>
        <w:t xml:space="preserve">, Blue Mountain </w:t>
      </w:r>
      <w:r w:rsidR="004F0C06">
        <w:t xml:space="preserve">moved for </w:t>
      </w:r>
      <w:r w:rsidR="00571A07">
        <w:t>summary adjudication</w:t>
      </w:r>
      <w:r w:rsidR="00FA1715">
        <w:t xml:space="preserve"> </w:t>
      </w:r>
      <w:r w:rsidR="00FE2383">
        <w:t>of</w:t>
      </w:r>
      <w:r w:rsidR="00FA1715">
        <w:t xml:space="preserve"> </w:t>
      </w:r>
      <w:r w:rsidR="009919FA">
        <w:t xml:space="preserve">its </w:t>
      </w:r>
      <w:r w:rsidR="00FA1715">
        <w:t>first cause of action</w:t>
      </w:r>
      <w:r w:rsidR="001449E6">
        <w:t xml:space="preserve"> for breach of contract</w:t>
      </w:r>
      <w:r w:rsidR="00311F33">
        <w:t xml:space="preserve"> based on Owen’s </w:t>
      </w:r>
      <w:r w:rsidR="007004FF">
        <w:t xml:space="preserve">violation of the customer </w:t>
      </w:r>
      <w:r w:rsidR="009919FA">
        <w:t>non</w:t>
      </w:r>
      <w:r w:rsidR="007004FF">
        <w:t xml:space="preserve">solicitation </w:t>
      </w:r>
      <w:r w:rsidR="00EA3A6E">
        <w:t>covenant</w:t>
      </w:r>
      <w:r w:rsidR="00571A07">
        <w:t xml:space="preserve">. </w:t>
      </w:r>
      <w:r w:rsidR="00E71135">
        <w:t xml:space="preserve"> (C</w:t>
      </w:r>
      <w:r w:rsidR="00F61340">
        <w:t xml:space="preserve">ode </w:t>
      </w:r>
      <w:r w:rsidR="00E71135">
        <w:t>C</w:t>
      </w:r>
      <w:r w:rsidR="00F61340">
        <w:t xml:space="preserve">iv. </w:t>
      </w:r>
      <w:r w:rsidR="00E71135">
        <w:t>P</w:t>
      </w:r>
      <w:r w:rsidR="00F61340">
        <w:t>roc.,</w:t>
      </w:r>
      <w:r w:rsidR="00E71135">
        <w:t xml:space="preserve"> </w:t>
      </w:r>
      <w:r w:rsidR="00F61340">
        <w:t>§</w:t>
      </w:r>
      <w:r w:rsidR="00E71135">
        <w:t xml:space="preserve"> 437c, subd. (f)(1).)</w:t>
      </w:r>
      <w:r w:rsidR="00FA1715">
        <w:t xml:space="preserve"> </w:t>
      </w:r>
      <w:r w:rsidR="00571A07">
        <w:t xml:space="preserve"> </w:t>
      </w:r>
      <w:r w:rsidR="007860DE">
        <w:t xml:space="preserve">Blue Mountain also </w:t>
      </w:r>
      <w:r w:rsidR="00272913">
        <w:t>sought</w:t>
      </w:r>
      <w:r w:rsidR="007860DE">
        <w:t xml:space="preserve"> a final injunction </w:t>
      </w:r>
      <w:r w:rsidR="001449E6">
        <w:t>covering the</w:t>
      </w:r>
      <w:r w:rsidR="007860DE">
        <w:t xml:space="preserve"> duration of the </w:t>
      </w:r>
      <w:r w:rsidR="00A25D08">
        <w:t>Employment Agreement’s</w:t>
      </w:r>
      <w:r w:rsidR="007860DE">
        <w:t xml:space="preserve"> </w:t>
      </w:r>
      <w:r w:rsidR="007004FF">
        <w:t>three-year post-</w:t>
      </w:r>
      <w:r w:rsidR="000172BE">
        <w:t>employment</w:t>
      </w:r>
      <w:r w:rsidR="007004FF">
        <w:t xml:space="preserve"> </w:t>
      </w:r>
      <w:r w:rsidR="007860DE">
        <w:t>nonsolicitation period</w:t>
      </w:r>
      <w:r w:rsidR="00EA3A6E">
        <w:t xml:space="preserve">, ending on </w:t>
      </w:r>
      <w:r w:rsidR="004C10D0">
        <w:t>April 20, 2019</w:t>
      </w:r>
      <w:r w:rsidR="007860DE">
        <w:t xml:space="preserve">. </w:t>
      </w:r>
    </w:p>
    <w:p w14:paraId="0E5C1977" w14:textId="0E526E93" w:rsidR="00834182" w:rsidRDefault="005116F4" w:rsidP="00FA5DFC">
      <w:pPr>
        <w:spacing w:line="360" w:lineRule="auto"/>
      </w:pPr>
      <w:r>
        <w:tab/>
      </w:r>
      <w:r w:rsidR="00F47154">
        <w:t xml:space="preserve">In his opposition, </w:t>
      </w:r>
      <w:r w:rsidR="00A25D08">
        <w:t>Owen</w:t>
      </w:r>
      <w:r w:rsidR="0018462D">
        <w:t xml:space="preserve"> </w:t>
      </w:r>
      <w:r w:rsidR="008B0CD5">
        <w:t>asserted</w:t>
      </w:r>
      <w:r w:rsidR="0018462D">
        <w:t xml:space="preserve"> that </w:t>
      </w:r>
      <w:r w:rsidR="005528C1">
        <w:t xml:space="preserve">the motion was procedurally improper because it asked </w:t>
      </w:r>
      <w:r w:rsidR="0018462D">
        <w:t xml:space="preserve">the court to adjudicate a discrete legal issue </w:t>
      </w:r>
      <w:r w:rsidR="00620B6B">
        <w:t xml:space="preserve">rather than </w:t>
      </w:r>
      <w:r w:rsidR="00147B1E">
        <w:t xml:space="preserve">to resolve </w:t>
      </w:r>
      <w:r w:rsidR="0056174D">
        <w:t xml:space="preserve">the breach of contract </w:t>
      </w:r>
      <w:r w:rsidR="0018462D">
        <w:t xml:space="preserve">cause of action. </w:t>
      </w:r>
      <w:r w:rsidR="005D689C">
        <w:t xml:space="preserve"> </w:t>
      </w:r>
      <w:r w:rsidR="001819A2">
        <w:t xml:space="preserve">He argued that a ruling on the breach of the customer nonsolicitation term would not completely adjudicate the cause of action because the FAC also alleged that </w:t>
      </w:r>
      <w:r w:rsidR="001975B9">
        <w:t xml:space="preserve">he </w:t>
      </w:r>
      <w:r w:rsidR="001819A2">
        <w:t>had breached the contract by soliciting Blue Mountain employees</w:t>
      </w:r>
      <w:r w:rsidR="00C74C68">
        <w:t xml:space="preserve">, </w:t>
      </w:r>
      <w:r w:rsidR="00540F36">
        <w:t xml:space="preserve">and Blue Mountain’s motion did not seek to resolve this </w:t>
      </w:r>
      <w:r w:rsidR="00AB715D">
        <w:t>issue</w:t>
      </w:r>
      <w:r w:rsidR="00540F36">
        <w:t xml:space="preserve">. </w:t>
      </w:r>
      <w:r w:rsidR="00A426C1">
        <w:t xml:space="preserve">  </w:t>
      </w:r>
      <w:r w:rsidR="006810BE">
        <w:t xml:space="preserve">Owen </w:t>
      </w:r>
      <w:r w:rsidR="001819A2">
        <w:t xml:space="preserve">also </w:t>
      </w:r>
      <w:r w:rsidR="006810BE">
        <w:t xml:space="preserve">argued </w:t>
      </w:r>
      <w:r w:rsidR="001819A2">
        <w:t>that whether the Silvermark announcement constituted a solicitation or was merely an advertisement</w:t>
      </w:r>
      <w:r w:rsidR="00682149">
        <w:t xml:space="preserve"> was not susceptible to resolution as a matter of law</w:t>
      </w:r>
      <w:r w:rsidR="001819A2">
        <w:t xml:space="preserve">. </w:t>
      </w:r>
      <w:r w:rsidR="00A426C1">
        <w:rPr>
          <w:color w:val="FF0000"/>
        </w:rPr>
        <w:t xml:space="preserve"> </w:t>
      </w:r>
    </w:p>
    <w:p w14:paraId="2C9364BB" w14:textId="07513A2E" w:rsidR="005B050C" w:rsidRDefault="005116F4" w:rsidP="00FA5DFC">
      <w:pPr>
        <w:spacing w:line="360" w:lineRule="auto"/>
      </w:pPr>
      <w:r>
        <w:tab/>
        <w:t xml:space="preserve">Owen </w:t>
      </w:r>
      <w:r w:rsidR="00574EED">
        <w:t>repeated his contention</w:t>
      </w:r>
      <w:r w:rsidR="00FE463F">
        <w:t xml:space="preserve"> </w:t>
      </w:r>
      <w:r w:rsidR="00B664BB">
        <w:t xml:space="preserve">that </w:t>
      </w:r>
      <w:r w:rsidR="00E25B0C">
        <w:t xml:space="preserve">the nonsolicitation provision </w:t>
      </w:r>
      <w:r w:rsidR="006716CF">
        <w:t xml:space="preserve">did not satisfy the section 16601 exception </w:t>
      </w:r>
      <w:r w:rsidR="00C37BD4">
        <w:t>because he never</w:t>
      </w:r>
      <w:r w:rsidR="00582D54">
        <w:t xml:space="preserve"> sold</w:t>
      </w:r>
      <w:r w:rsidR="00156512">
        <w:t xml:space="preserve"> all of his business interests</w:t>
      </w:r>
      <w:r w:rsidR="001E50A9">
        <w:t xml:space="preserve">, </w:t>
      </w:r>
      <w:r w:rsidR="00D54CD9">
        <w:t xml:space="preserve">asserting </w:t>
      </w:r>
      <w:r w:rsidR="00554362">
        <w:t xml:space="preserve">he </w:t>
      </w:r>
      <w:r w:rsidR="003B473A">
        <w:t xml:space="preserve">had </w:t>
      </w:r>
      <w:r w:rsidR="00554362">
        <w:t>created the</w:t>
      </w:r>
      <w:r w:rsidR="00D5017C">
        <w:t xml:space="preserve"> </w:t>
      </w:r>
      <w:r w:rsidR="00C37BD4">
        <w:t xml:space="preserve">Blue Mountain </w:t>
      </w:r>
      <w:r w:rsidR="00D5017C">
        <w:t xml:space="preserve">limited liability </w:t>
      </w:r>
      <w:r w:rsidR="00FE6B95">
        <w:t xml:space="preserve">company </w:t>
      </w:r>
      <w:r w:rsidR="00704983">
        <w:t xml:space="preserve">merely </w:t>
      </w:r>
      <w:r w:rsidR="00103C82">
        <w:t>to</w:t>
      </w:r>
      <w:r w:rsidR="00D5017C">
        <w:t xml:space="preserve"> </w:t>
      </w:r>
      <w:r w:rsidR="008734E7">
        <w:t xml:space="preserve">consolidate his </w:t>
      </w:r>
      <w:r w:rsidR="00944B4E">
        <w:t>businesses</w:t>
      </w:r>
      <w:r w:rsidR="008734E7">
        <w:t xml:space="preserve"> </w:t>
      </w:r>
      <w:r w:rsidR="001E50A9">
        <w:t xml:space="preserve">for personal estate and tax </w:t>
      </w:r>
      <w:r w:rsidR="001E50A9">
        <w:lastRenderedPageBreak/>
        <w:t>planning purposes</w:t>
      </w:r>
      <w:r w:rsidR="00295958">
        <w:t xml:space="preserve">. </w:t>
      </w:r>
      <w:r w:rsidR="001E50A9">
        <w:t xml:space="preserve"> </w:t>
      </w:r>
      <w:r w:rsidR="008A5D0B">
        <w:t xml:space="preserve">He </w:t>
      </w:r>
      <w:r w:rsidR="00ED3E07">
        <w:t xml:space="preserve">emphasized </w:t>
      </w:r>
      <w:r w:rsidR="008A5D0B">
        <w:t xml:space="preserve">that </w:t>
      </w:r>
      <w:r w:rsidR="00B51E1E">
        <w:t>the</w:t>
      </w:r>
      <w:r w:rsidR="00F64BD6">
        <w:t xml:space="preserve"> Contribution Agreement </w:t>
      </w:r>
      <w:r w:rsidR="00124BF3">
        <w:t xml:space="preserve">did not </w:t>
      </w:r>
      <w:r w:rsidR="00E736B2">
        <w:t>cross-reference</w:t>
      </w:r>
      <w:r w:rsidR="00124BF3">
        <w:t xml:space="preserve"> the Employment Agreement, nor did it obligate him to sell any portion of “his new 100% ownership in [</w:t>
      </w:r>
      <w:r w:rsidR="00DA0B52">
        <w:t xml:space="preserve">the </w:t>
      </w:r>
      <w:r w:rsidR="00124BF3">
        <w:t>Blue Mountain</w:t>
      </w:r>
      <w:r w:rsidR="00DA0B52">
        <w:t xml:space="preserve"> LLC</w:t>
      </w:r>
      <w:r w:rsidR="0071146C">
        <w:t>].”</w:t>
      </w:r>
      <w:r w:rsidR="00DD0A81">
        <w:t xml:space="preserve"> </w:t>
      </w:r>
      <w:r w:rsidR="001719BC">
        <w:t xml:space="preserve"> He </w:t>
      </w:r>
      <w:r w:rsidR="00ED3E07">
        <w:t>further</w:t>
      </w:r>
      <w:r w:rsidR="001719BC">
        <w:t xml:space="preserve"> </w:t>
      </w:r>
      <w:r w:rsidR="00430B72">
        <w:t>maintained</w:t>
      </w:r>
      <w:r w:rsidR="001719BC">
        <w:t xml:space="preserve"> that even if the restriction</w:t>
      </w:r>
      <w:r w:rsidR="00ED3E07">
        <w:t>s</w:t>
      </w:r>
      <w:r w:rsidR="001719BC">
        <w:t xml:space="preserve"> </w:t>
      </w:r>
      <w:r w:rsidR="00ED3E07">
        <w:t>were</w:t>
      </w:r>
      <w:r w:rsidR="001719BC">
        <w:t xml:space="preserve"> lawful, triable issues of fact remained as to liability, causation, and damages. </w:t>
      </w:r>
    </w:p>
    <w:p w14:paraId="2EA782D2" w14:textId="509737D3" w:rsidR="006B723C" w:rsidRDefault="005116F4" w:rsidP="008709E3">
      <w:pPr>
        <w:spacing w:line="360" w:lineRule="auto"/>
      </w:pPr>
      <w:r>
        <w:tab/>
      </w:r>
      <w:r w:rsidR="00CD3FB0">
        <w:t xml:space="preserve"> </w:t>
      </w:r>
      <w:r>
        <w:t xml:space="preserve">At </w:t>
      </w:r>
      <w:r w:rsidR="00C638D5">
        <w:t>the</w:t>
      </w:r>
      <w:r>
        <w:t xml:space="preserve"> hearing</w:t>
      </w:r>
      <w:r w:rsidR="00E828D9">
        <w:t xml:space="preserve"> on the motion for summary adjudication</w:t>
      </w:r>
      <w:r>
        <w:t xml:space="preserve">, Blue Mountain </w:t>
      </w:r>
      <w:r w:rsidR="00C30797">
        <w:t xml:space="preserve">indicated that it </w:t>
      </w:r>
      <w:r w:rsidR="001651D2">
        <w:t>was waiving</w:t>
      </w:r>
      <w:r w:rsidR="00E828D9">
        <w:t xml:space="preserve"> any claim for damages</w:t>
      </w:r>
      <w:r w:rsidR="00F133FC">
        <w:t xml:space="preserve"> </w:t>
      </w:r>
      <w:r w:rsidR="00A059E7">
        <w:t xml:space="preserve">for breach of contract </w:t>
      </w:r>
      <w:r w:rsidR="00AF1B0E">
        <w:t xml:space="preserve">and would </w:t>
      </w:r>
      <w:r w:rsidR="00F133FC">
        <w:t>seek injunctive relief only</w:t>
      </w:r>
      <w:r w:rsidR="00E828D9">
        <w:t xml:space="preserve">. </w:t>
      </w:r>
      <w:r w:rsidR="00FA3C81">
        <w:t xml:space="preserve"> The trial court </w:t>
      </w:r>
      <w:r w:rsidR="006D4C02">
        <w:t>ordered</w:t>
      </w:r>
      <w:r w:rsidR="00FA3C81">
        <w:t xml:space="preserve"> </w:t>
      </w:r>
      <w:r w:rsidR="00F039F9">
        <w:t>the parties to submit addition</w:t>
      </w:r>
      <w:r w:rsidR="00352BC2">
        <w:t>a</w:t>
      </w:r>
      <w:r w:rsidR="00F039F9">
        <w:t xml:space="preserve">l </w:t>
      </w:r>
      <w:r w:rsidR="00FA3C81">
        <w:t>briefing</w:t>
      </w:r>
      <w:r w:rsidR="00352BC2">
        <w:t xml:space="preserve"> </w:t>
      </w:r>
      <w:r w:rsidR="00FD06A8">
        <w:t>as to</w:t>
      </w:r>
      <w:r w:rsidR="00352BC2">
        <w:t xml:space="preserve"> whether summary adjudication was appropriate in light of </w:t>
      </w:r>
      <w:r w:rsidR="009F0326">
        <w:t>Blue Mountain’s</w:t>
      </w:r>
      <w:r w:rsidR="00AF1B0E">
        <w:t xml:space="preserve"> </w:t>
      </w:r>
      <w:r w:rsidR="00352BC2">
        <w:t>election</w:t>
      </w:r>
      <w:r w:rsidR="00014BFF">
        <w:t xml:space="preserve"> of equitable relief</w:t>
      </w:r>
      <w:r w:rsidR="00FA3C81">
        <w:t xml:space="preserve">. </w:t>
      </w:r>
    </w:p>
    <w:p w14:paraId="2113BFDA" w14:textId="2C560AFB" w:rsidR="00A1030A" w:rsidRPr="00A1030A" w:rsidRDefault="005116F4" w:rsidP="001D6D6E">
      <w:pPr>
        <w:spacing w:line="360" w:lineRule="auto"/>
      </w:pPr>
      <w:r>
        <w:tab/>
      </w:r>
      <w:r w:rsidR="00AB46EB">
        <w:t>On Feb</w:t>
      </w:r>
      <w:r w:rsidR="00541729">
        <w:t>ru</w:t>
      </w:r>
      <w:r w:rsidR="00AB46EB">
        <w:t xml:space="preserve">ary 19, 2019, the trial court </w:t>
      </w:r>
      <w:r w:rsidR="00A45F8F">
        <w:t>entered</w:t>
      </w:r>
      <w:r w:rsidR="00AB46EB">
        <w:t xml:space="preserve"> its order </w:t>
      </w:r>
      <w:r w:rsidR="00D6733D">
        <w:t xml:space="preserve">granting Blue Mountain’s motion for summary adjudication.  </w:t>
      </w:r>
      <w:r w:rsidR="001D6D6E">
        <w:t>The court’s detailed order concluded</w:t>
      </w:r>
      <w:r w:rsidR="00BD42E8">
        <w:t xml:space="preserve"> that Owen’s </w:t>
      </w:r>
      <w:r w:rsidR="001D6D6E">
        <w:t>letter</w:t>
      </w:r>
      <w:r w:rsidR="00C53EDD">
        <w:t xml:space="preserve"> </w:t>
      </w:r>
      <w:r w:rsidR="001D6D6E">
        <w:t xml:space="preserve">constituted a solicitation as a matter of law. </w:t>
      </w:r>
      <w:r w:rsidR="00E50B11">
        <w:t xml:space="preserve"> </w:t>
      </w:r>
      <w:r w:rsidR="00BD42E8">
        <w:t>“</w:t>
      </w:r>
      <w:r w:rsidR="001D6D6E">
        <w:t>There is no dispute</w:t>
      </w:r>
      <w:r w:rsidR="00C53EDD">
        <w:t xml:space="preserve"> </w:t>
      </w:r>
      <w:r w:rsidR="001D6D6E">
        <w:t>the letter was sent prior to the expiration of the covenant not to</w:t>
      </w:r>
      <w:r w:rsidR="00C53EDD">
        <w:t xml:space="preserve"> </w:t>
      </w:r>
      <w:r w:rsidR="001D6D6E">
        <w:t xml:space="preserve">solicit </w:t>
      </w:r>
      <w:r w:rsidR="00E50B11">
        <w:t>[Blue Mountain]</w:t>
      </w:r>
      <w:r w:rsidR="001D6D6E">
        <w:t xml:space="preserve"> customers. </w:t>
      </w:r>
      <w:r w:rsidR="00E50B11">
        <w:t xml:space="preserve"> </w:t>
      </w:r>
      <w:r w:rsidR="001D6D6E">
        <w:t xml:space="preserve">[Citation.] </w:t>
      </w:r>
      <w:r w:rsidR="00E50B11">
        <w:t xml:space="preserve"> </w:t>
      </w:r>
      <w:r w:rsidR="001D6D6E">
        <w:t>As such, Owen breached his</w:t>
      </w:r>
      <w:r w:rsidR="00C53EDD">
        <w:t xml:space="preserve"> </w:t>
      </w:r>
      <w:r w:rsidR="001D6D6E">
        <w:t xml:space="preserve">contract. </w:t>
      </w:r>
      <w:r w:rsidR="009110FB">
        <w:t xml:space="preserve"> </w:t>
      </w:r>
      <w:r w:rsidR="001D6D6E">
        <w:t xml:space="preserve">With respect to </w:t>
      </w:r>
      <w:r w:rsidR="00B468A6">
        <w:t>[Owen’s]</w:t>
      </w:r>
      <w:r w:rsidR="001D6D6E">
        <w:t xml:space="preserve"> claim that the covenant not</w:t>
      </w:r>
      <w:r w:rsidR="00C53EDD">
        <w:t xml:space="preserve"> </w:t>
      </w:r>
      <w:r w:rsidR="001D6D6E">
        <w:t>to solicit is void, the court incorporates by reference its legal</w:t>
      </w:r>
      <w:r w:rsidR="00C53EDD">
        <w:t xml:space="preserve"> </w:t>
      </w:r>
      <w:r w:rsidR="001D6D6E">
        <w:t xml:space="preserve">analysis in response to </w:t>
      </w:r>
      <w:r w:rsidR="00B468A6">
        <w:t>[Owen’s]</w:t>
      </w:r>
      <w:r w:rsidR="001D6D6E">
        <w:t xml:space="preserve"> first motion for summary</w:t>
      </w:r>
      <w:r w:rsidR="00C53EDD">
        <w:t xml:space="preserve"> </w:t>
      </w:r>
      <w:r w:rsidR="001D6D6E">
        <w:t xml:space="preserve">judgment </w:t>
      </w:r>
      <w:r w:rsidR="00915479">
        <w:t>(</w:t>
      </w:r>
      <w:r w:rsidR="00CA6D27">
        <w:t xml:space="preserve">See Order Denying Defendants’ and Cross-complainants’ Motion </w:t>
      </w:r>
      <w:r w:rsidR="00163E20">
        <w:t>(</w:t>
      </w:r>
      <w:r w:rsidR="00915479">
        <w:t>11/7/18)</w:t>
      </w:r>
      <w:r w:rsidR="00163E20">
        <w:t>)</w:t>
      </w:r>
      <w:r w:rsidR="00915479">
        <w:t xml:space="preserve"> </w:t>
      </w:r>
      <w:r w:rsidR="001D6D6E">
        <w:t>and second motion for summary</w:t>
      </w:r>
      <w:r w:rsidR="00C53EDD">
        <w:t xml:space="preserve"> </w:t>
      </w:r>
      <w:r w:rsidR="001D6D6E">
        <w:t xml:space="preserve">judgment, </w:t>
      </w:r>
      <w:r w:rsidR="001D6D6E" w:rsidRPr="00E63E28">
        <w:rPr>
          <w:i/>
          <w:iCs/>
        </w:rPr>
        <w:t>infra</w:t>
      </w:r>
      <w:r w:rsidR="001D6D6E">
        <w:t>.</w:t>
      </w:r>
      <w:r w:rsidR="003D300C">
        <w:t>”</w:t>
      </w:r>
      <w:r w:rsidR="001D6D6E">
        <w:t xml:space="preserve"> </w:t>
      </w:r>
      <w:r w:rsidR="00DF22E9">
        <w:t xml:space="preserve"> </w:t>
      </w:r>
      <w:r w:rsidR="001D6D6E">
        <w:t xml:space="preserve">The court </w:t>
      </w:r>
      <w:r w:rsidR="008E1330">
        <w:t>declared</w:t>
      </w:r>
      <w:r w:rsidR="00202706">
        <w:t xml:space="preserve"> Blue Mountain </w:t>
      </w:r>
      <w:r w:rsidR="00C31C53">
        <w:t>to be</w:t>
      </w:r>
      <w:r w:rsidR="00202706">
        <w:t xml:space="preserve"> “</w:t>
      </w:r>
      <w:r w:rsidR="001D6D6E">
        <w:t>the prevailing party on this cause of action</w:t>
      </w:r>
      <w:r w:rsidR="008E1330">
        <w:t xml:space="preserve">” </w:t>
      </w:r>
      <w:r w:rsidR="005D1682">
        <w:t xml:space="preserve">as </w:t>
      </w:r>
      <w:r w:rsidR="008E1330">
        <w:t>it had “a</w:t>
      </w:r>
      <w:r w:rsidR="001D6D6E">
        <w:t>ppropriately sought and was awarded injunctive relief.”</w:t>
      </w:r>
      <w:r>
        <w:rPr>
          <w:rStyle w:val="FootnoteReference"/>
        </w:rPr>
        <w:footnoteReference w:id="5"/>
      </w:r>
      <w:r w:rsidR="001D6D6E">
        <w:t xml:space="preserve"> </w:t>
      </w:r>
    </w:p>
    <w:p w14:paraId="2ABD265A" w14:textId="00475C50" w:rsidR="004813DF" w:rsidRDefault="005116F4" w:rsidP="001D6D6E">
      <w:pPr>
        <w:spacing w:line="360" w:lineRule="auto"/>
      </w:pPr>
      <w:r>
        <w:tab/>
      </w:r>
      <w:r w:rsidR="00E15720">
        <w:t>On</w:t>
      </w:r>
      <w:r w:rsidR="00B758CD">
        <w:t xml:space="preserve"> April 9, 2019</w:t>
      </w:r>
      <w:r w:rsidR="00E15720">
        <w:t xml:space="preserve">, judgment was entered </w:t>
      </w:r>
      <w:r w:rsidR="00264FD4">
        <w:t xml:space="preserve">in favor of Blue Mountain as to the breach of contract action.  The court </w:t>
      </w:r>
      <w:r w:rsidR="008638E5">
        <w:t>convert</w:t>
      </w:r>
      <w:r w:rsidR="00855C45">
        <w:t>ed</w:t>
      </w:r>
      <w:r w:rsidR="008638E5">
        <w:t xml:space="preserve"> </w:t>
      </w:r>
      <w:r w:rsidR="00264FD4">
        <w:t xml:space="preserve">the January 18, 2018 </w:t>
      </w:r>
      <w:r w:rsidR="00264FD4">
        <w:lastRenderedPageBreak/>
        <w:t>amended preliminary injunction into a permanent injunction</w:t>
      </w:r>
      <w:r w:rsidR="001A5E92">
        <w:t xml:space="preserve"> </w:t>
      </w:r>
      <w:r w:rsidR="001F0509">
        <w:t>which expired</w:t>
      </w:r>
      <w:r w:rsidR="00D93F86">
        <w:t xml:space="preserve"> </w:t>
      </w:r>
      <w:r w:rsidR="00264FD4">
        <w:t>11 days later</w:t>
      </w:r>
      <w:r w:rsidR="00EB2F1B">
        <w:t>—</w:t>
      </w:r>
      <w:r w:rsidR="00D93F86">
        <w:t>on April 20, 2019</w:t>
      </w:r>
      <w:r w:rsidR="00EB2F1B">
        <w:t>—</w:t>
      </w:r>
      <w:r w:rsidR="00E46A6A">
        <w:t>the three</w:t>
      </w:r>
      <w:r w:rsidR="004F342C">
        <w:t>-</w:t>
      </w:r>
      <w:r w:rsidR="00E46A6A">
        <w:t>year anniversary of Owen’s termination</w:t>
      </w:r>
      <w:r w:rsidR="00EB2F1B">
        <w:t xml:space="preserve"> for cause</w:t>
      </w:r>
      <w:r w:rsidR="00D93F86">
        <w:t>.</w:t>
      </w:r>
      <w:r w:rsidR="00E14D78">
        <w:t xml:space="preserve">  The court reserved jurisdiction over attorney fees and costs.</w:t>
      </w:r>
      <w:r w:rsidR="00D93F86">
        <w:t xml:space="preserve"> </w:t>
      </w:r>
      <w:r w:rsidR="0029393C">
        <w:t xml:space="preserve"> </w:t>
      </w:r>
      <w:r w:rsidR="00613687">
        <w:t xml:space="preserve">Blue Mountain </w:t>
      </w:r>
      <w:r w:rsidR="000548FA">
        <w:t xml:space="preserve">dismissed the FAC’s remaining causes of action.  </w:t>
      </w:r>
      <w:r w:rsidR="00B758CD">
        <w:t>Owen filed a timely notice of appeal</w:t>
      </w:r>
      <w:r w:rsidR="0047542F">
        <w:t xml:space="preserve"> from the judgment</w:t>
      </w:r>
      <w:r w:rsidR="00B758CD">
        <w:t xml:space="preserve">. </w:t>
      </w:r>
    </w:p>
    <w:p w14:paraId="5BB29CBF" w14:textId="7176B928" w:rsidR="00D86774" w:rsidRPr="00D86774" w:rsidRDefault="005116F4" w:rsidP="001D6D6E">
      <w:pPr>
        <w:spacing w:line="360" w:lineRule="auto"/>
        <w:rPr>
          <w:b/>
          <w:bCs/>
        </w:rPr>
      </w:pPr>
      <w:r w:rsidRPr="00D86774">
        <w:rPr>
          <w:b/>
          <w:bCs/>
        </w:rPr>
        <w:t>D.</w:t>
      </w:r>
      <w:r w:rsidRPr="00D86774">
        <w:rPr>
          <w:b/>
          <w:bCs/>
        </w:rPr>
        <w:tab/>
        <w:t>Attorney Fees</w:t>
      </w:r>
    </w:p>
    <w:p w14:paraId="72AA36F4" w14:textId="16BE3DA4" w:rsidR="00D86774" w:rsidRDefault="005116F4" w:rsidP="001D6D6E">
      <w:pPr>
        <w:spacing w:line="360" w:lineRule="auto"/>
      </w:pPr>
      <w:r>
        <w:tab/>
      </w:r>
      <w:r w:rsidR="00735D9A">
        <w:t xml:space="preserve">Both </w:t>
      </w:r>
      <w:r w:rsidR="00E53A43">
        <w:t xml:space="preserve">Blue Mountain and Owen moved for contractual attorney fees. </w:t>
      </w:r>
      <w:r w:rsidR="00087019">
        <w:t xml:space="preserve"> The motions were accompanied by thousands of pages of supporting </w:t>
      </w:r>
      <w:r w:rsidR="0096333D">
        <w:t>evidence</w:t>
      </w:r>
      <w:r w:rsidR="00151DD5">
        <w:t xml:space="preserve"> and included requests for sanctions</w:t>
      </w:r>
      <w:r w:rsidR="00E94F2B">
        <w:t xml:space="preserve">. </w:t>
      </w:r>
    </w:p>
    <w:p w14:paraId="779E4D09" w14:textId="25EE72E8" w:rsidR="0001028E" w:rsidRDefault="005116F4" w:rsidP="00A604D8">
      <w:pPr>
        <w:spacing w:line="360" w:lineRule="auto"/>
      </w:pPr>
      <w:r>
        <w:tab/>
        <w:t xml:space="preserve">On </w:t>
      </w:r>
      <w:r w:rsidR="00CF0B14">
        <w:t>October 11, 2019</w:t>
      </w:r>
      <w:r>
        <w:t xml:space="preserve">, the trial court </w:t>
      </w:r>
      <w:r w:rsidR="00A85B33">
        <w:t>found</w:t>
      </w:r>
      <w:r w:rsidR="00891085">
        <w:t xml:space="preserve"> </w:t>
      </w:r>
      <w:r>
        <w:t xml:space="preserve">Blue Mountain </w:t>
      </w:r>
      <w:r w:rsidR="00891085">
        <w:t>to be</w:t>
      </w:r>
      <w:r>
        <w:t xml:space="preserve"> the prevailing party under the Employment Agreement </w:t>
      </w:r>
      <w:r w:rsidR="002F34E1">
        <w:t xml:space="preserve">and </w:t>
      </w:r>
      <w:r>
        <w:t>Civil Code section</w:t>
      </w:r>
      <w:r w:rsidR="00AA4EC8">
        <w:t> </w:t>
      </w:r>
      <w:r>
        <w:t xml:space="preserve">1717.  </w:t>
      </w:r>
      <w:r w:rsidR="007B66FB">
        <w:t>The court stated:</w:t>
      </w:r>
      <w:r w:rsidR="00AA4EC8">
        <w:t xml:space="preserve"> </w:t>
      </w:r>
      <w:r w:rsidR="007B66FB">
        <w:t xml:space="preserve"> “After comparing the success and failure of the litigation objectives for the parties, [Blue Mountain] </w:t>
      </w:r>
      <w:r w:rsidR="00F9120A">
        <w:t>is the prevailing party in its case in chief on the contract as it is the party who obtained ‘greater relief in the action on the contract.’</w:t>
      </w:r>
      <w:r w:rsidR="00AA4EC8">
        <w:t> </w:t>
      </w:r>
      <w:r w:rsidR="00F9120A">
        <w:t xml:space="preserve">” </w:t>
      </w:r>
      <w:r w:rsidR="0074402B">
        <w:t xml:space="preserve"> </w:t>
      </w:r>
      <w:r>
        <w:t>The court awarded Blue Mountain $59</w:t>
      </w:r>
      <w:r w:rsidR="00152BEF">
        <w:t>6,114 in fees and $84,125 in costs and/or expenses</w:t>
      </w:r>
      <w:r w:rsidR="00B73CB8">
        <w:t xml:space="preserve"> based on the attorney fee provision in the Employment Contract</w:t>
      </w:r>
      <w:r w:rsidR="00152BEF">
        <w:t xml:space="preserve">.  The court denied Owen’s </w:t>
      </w:r>
      <w:r w:rsidR="008E0738">
        <w:t>requests</w:t>
      </w:r>
      <w:r w:rsidR="00152BEF">
        <w:t xml:space="preserve"> for fees and costs.</w:t>
      </w:r>
      <w:r>
        <w:rPr>
          <w:rStyle w:val="FootnoteReference"/>
        </w:rPr>
        <w:footnoteReference w:id="6"/>
      </w:r>
      <w:r w:rsidR="00152BEF">
        <w:t xml:space="preserve"> </w:t>
      </w:r>
    </w:p>
    <w:p w14:paraId="76BBD0F6" w14:textId="513E6F7E" w:rsidR="001805DB" w:rsidRPr="00CA02B0" w:rsidRDefault="005116F4" w:rsidP="00CA02B0">
      <w:pPr>
        <w:spacing w:line="360" w:lineRule="auto"/>
        <w:jc w:val="center"/>
        <w:rPr>
          <w:b/>
          <w:bCs/>
        </w:rPr>
      </w:pPr>
      <w:r w:rsidRPr="0001028E">
        <w:rPr>
          <w:b/>
          <w:bCs/>
        </w:rPr>
        <w:t>II.  DISCUSSION</w:t>
      </w:r>
      <w:r w:rsidR="00FE0140">
        <w:t xml:space="preserve"> </w:t>
      </w:r>
    </w:p>
    <w:p w14:paraId="7572A143" w14:textId="16B23B11" w:rsidR="00B757D9" w:rsidRDefault="005116F4" w:rsidP="008709E3">
      <w:pPr>
        <w:spacing w:line="360" w:lineRule="auto"/>
        <w:rPr>
          <w:b/>
          <w:bCs/>
        </w:rPr>
      </w:pPr>
      <w:r w:rsidRPr="00DF166E">
        <w:rPr>
          <w:b/>
          <w:bCs/>
        </w:rPr>
        <w:t>A.</w:t>
      </w:r>
      <w:r w:rsidRPr="00DF166E">
        <w:rPr>
          <w:b/>
          <w:bCs/>
        </w:rPr>
        <w:tab/>
        <w:t>Summary Adjudication</w:t>
      </w:r>
      <w:r w:rsidR="00667089">
        <w:rPr>
          <w:b/>
          <w:bCs/>
        </w:rPr>
        <w:t xml:space="preserve"> </w:t>
      </w:r>
    </w:p>
    <w:p w14:paraId="20EFCD1C" w14:textId="0DFD4978" w:rsidR="005F5EC5" w:rsidRDefault="005116F4" w:rsidP="005F5EC5">
      <w:pPr>
        <w:spacing w:line="360" w:lineRule="auto"/>
      </w:pPr>
      <w:r>
        <w:tab/>
      </w:r>
      <w:r w:rsidR="00AD68EE">
        <w:t>“</w:t>
      </w:r>
      <w:r w:rsidR="00AA4EC8">
        <w:t> </w:t>
      </w:r>
      <w:r w:rsidR="00AD68EE">
        <w:t>‘</w:t>
      </w:r>
      <w:r>
        <w:t xml:space="preserve">Summary adjudication motions are </w:t>
      </w:r>
      <w:r w:rsidR="00AD68EE">
        <w:t>“</w:t>
      </w:r>
      <w:r>
        <w:t>procedurally identical</w:t>
      </w:r>
      <w:r w:rsidR="00AD68EE">
        <w:t>”</w:t>
      </w:r>
      <w:r>
        <w:t xml:space="preserve"> to summary judgment motions.  [Citation.]  A summary judgment motion </w:t>
      </w:r>
      <w:r w:rsidR="00AD68EE">
        <w:t>“</w:t>
      </w:r>
      <w:r>
        <w:t>shall be granted if all the papers submitted show that there is no triable issue as to any material fact and that the moving party is entitled to a judgment as a matter of law.</w:t>
      </w:r>
      <w:r w:rsidR="00AD68EE">
        <w:t>”</w:t>
      </w:r>
      <w:r>
        <w:t xml:space="preserve">  [Citation.]  To be entitled to judgment as a matter of law, the moving party must show by admissible evidence that the </w:t>
      </w:r>
      <w:r w:rsidR="00AD68EE">
        <w:t>“</w:t>
      </w:r>
      <w:r>
        <w:t xml:space="preserve">action has no merit </w:t>
      </w:r>
      <w:r>
        <w:lastRenderedPageBreak/>
        <w:t>or that there is no defense</w:t>
      </w:r>
      <w:r w:rsidR="00C6674F">
        <w:t>”</w:t>
      </w:r>
      <w:r>
        <w:t xml:space="preserve"> thereto.  [Citation.] </w:t>
      </w:r>
      <w:r w:rsidR="00AA4EC8">
        <w:t xml:space="preserve">. . . </w:t>
      </w:r>
      <w:r>
        <w:t>Material facts are those that relate to the issues in the case as framed by the pleadings.  [Citation.]  There is a genuine issue of material fact if, and only if, the evidence would allow a reasonable trier of fact to find the underlying fact in favor of the party opposing the motion in accordance with the applicable standard of proof.</w:t>
      </w:r>
      <w:r w:rsidR="00C6674F">
        <w:t>’</w:t>
      </w:r>
      <w:r w:rsidR="00AA4EC8">
        <w:t> </w:t>
      </w:r>
      <w:r w:rsidR="00C6674F">
        <w:t>”</w:t>
      </w:r>
      <w:r>
        <w:t xml:space="preserve">  (</w:t>
      </w:r>
      <w:r w:rsidRPr="00C6674F">
        <w:rPr>
          <w:i/>
          <w:iCs/>
        </w:rPr>
        <w:t>Duffey v. Tender Heart Home Care Agency, LLC</w:t>
      </w:r>
      <w:r>
        <w:t xml:space="preserve"> (2019) 31 Cal.App.5th 232, 240</w:t>
      </w:r>
      <w:r w:rsidR="005308DC">
        <w:t>–</w:t>
      </w:r>
      <w:r>
        <w:t>241</w:t>
      </w:r>
      <w:r w:rsidR="00780EF1">
        <w:t xml:space="preserve"> </w:t>
      </w:r>
      <w:r>
        <w:t>(</w:t>
      </w:r>
      <w:r w:rsidRPr="00C6674F">
        <w:rPr>
          <w:i/>
          <w:iCs/>
        </w:rPr>
        <w:t>Duffey</w:t>
      </w:r>
      <w:r>
        <w:t>).)</w:t>
      </w:r>
    </w:p>
    <w:p w14:paraId="6690895D" w14:textId="1B4B0A64" w:rsidR="00DF166E" w:rsidRDefault="005116F4" w:rsidP="005F5EC5">
      <w:pPr>
        <w:spacing w:line="360" w:lineRule="auto"/>
      </w:pPr>
      <w:r>
        <w:tab/>
      </w:r>
      <w:r w:rsidR="00E7052E">
        <w:t>“ ‘</w:t>
      </w:r>
      <w:r w:rsidR="005F5EC5">
        <w:t>The trial court</w:t>
      </w:r>
      <w:r w:rsidR="00E7052E">
        <w:t>’</w:t>
      </w:r>
      <w:r w:rsidR="005F5EC5">
        <w:t>s ruling on a motion for summary adjudication, like that on a motion for summary judgment, is subject to this court</w:t>
      </w:r>
      <w:r w:rsidR="003168FC">
        <w:t>’</w:t>
      </w:r>
      <w:r w:rsidR="005F5EC5">
        <w:t>s independent review.</w:t>
      </w:r>
      <w:r w:rsidR="003168FC">
        <w:t>’</w:t>
      </w:r>
      <w:r w:rsidR="005F5EC5">
        <w:t xml:space="preserve"> </w:t>
      </w:r>
      <w:r>
        <w:t xml:space="preserve"> </w:t>
      </w:r>
      <w:r w:rsidR="005F5EC5">
        <w:t xml:space="preserve">[Citation.] </w:t>
      </w:r>
      <w:r>
        <w:t xml:space="preserve"> </w:t>
      </w:r>
      <w:r w:rsidR="003168FC">
        <w:t>‘</w:t>
      </w:r>
      <w:r w:rsidR="005F5EC5">
        <w:t>In performing our review, we view the evidence in a light favorable to the losing party .</w:t>
      </w:r>
      <w:r w:rsidR="005308DC">
        <w:t> </w:t>
      </w:r>
      <w:r w:rsidR="005F5EC5">
        <w:t>.</w:t>
      </w:r>
      <w:r w:rsidR="005308DC">
        <w:t> </w:t>
      </w:r>
      <w:r w:rsidR="005F5EC5">
        <w:t>.</w:t>
      </w:r>
      <w:r w:rsidR="005308DC">
        <w:t> </w:t>
      </w:r>
      <w:r w:rsidR="005F5EC5">
        <w:t>, liberally construing [his] evidentiary submission while strictly scrutinizing the moving party</w:t>
      </w:r>
      <w:r w:rsidR="00A654BF">
        <w:t>’</w:t>
      </w:r>
      <w:r w:rsidR="005F5EC5">
        <w:t>s own showing and resolving any evidentiary doubts or ambiguities in the losing party</w:t>
      </w:r>
      <w:r w:rsidR="00A654BF">
        <w:t>’</w:t>
      </w:r>
      <w:r w:rsidR="005F5EC5">
        <w:t>s favor.</w:t>
      </w:r>
      <w:r w:rsidR="00A654BF">
        <w:t>’ ”</w:t>
      </w:r>
      <w:r w:rsidR="00E7052E">
        <w:t xml:space="preserve"> </w:t>
      </w:r>
      <w:r w:rsidR="00A654BF">
        <w:t xml:space="preserve"> </w:t>
      </w:r>
      <w:r w:rsidR="005F5EC5">
        <w:t>(</w:t>
      </w:r>
      <w:r w:rsidR="005F5EC5" w:rsidRPr="00A654BF">
        <w:rPr>
          <w:i/>
          <w:iCs/>
        </w:rPr>
        <w:t>Duffey</w:t>
      </w:r>
      <w:r w:rsidR="005F5EC5" w:rsidRPr="00312455">
        <w:t>,</w:t>
      </w:r>
      <w:r w:rsidR="005F5EC5" w:rsidRPr="00A654BF">
        <w:rPr>
          <w:i/>
          <w:iCs/>
        </w:rPr>
        <w:t xml:space="preserve"> supra</w:t>
      </w:r>
      <w:r w:rsidR="005F5EC5" w:rsidRPr="00312455">
        <w:t>,</w:t>
      </w:r>
      <w:r w:rsidR="005F5EC5">
        <w:t xml:space="preserve"> 31 Cal.App.5th at p. 241.) </w:t>
      </w:r>
      <w:r>
        <w:t xml:space="preserve"> </w:t>
      </w:r>
      <w:r w:rsidR="005F5EC5">
        <w:t xml:space="preserve">The court does not weigh evidence, but instead considers whether the evidence creates a triable issue of fact. </w:t>
      </w:r>
      <w:r>
        <w:t xml:space="preserve"> </w:t>
      </w:r>
      <w:r w:rsidR="005F5EC5">
        <w:t>(</w:t>
      </w:r>
      <w:r w:rsidR="005F5EC5" w:rsidRPr="00E7052E">
        <w:rPr>
          <w:i/>
          <w:iCs/>
        </w:rPr>
        <w:t>Andrews v. Foster Wheeler LLC</w:t>
      </w:r>
      <w:r w:rsidR="005F5EC5">
        <w:t xml:space="preserve"> (2006) 138</w:t>
      </w:r>
      <w:r w:rsidR="005308DC">
        <w:t> </w:t>
      </w:r>
      <w:r w:rsidR="005F5EC5">
        <w:t>Cal.App.4th 96, 113.)</w:t>
      </w:r>
    </w:p>
    <w:p w14:paraId="5471EB82" w14:textId="59D1C565" w:rsidR="00410CA9" w:rsidRPr="005B2C3D" w:rsidRDefault="005116F4" w:rsidP="006D2B69">
      <w:pPr>
        <w:spacing w:after="160" w:line="240" w:lineRule="auto"/>
        <w:rPr>
          <w:b/>
          <w:bCs/>
          <w:i/>
          <w:iCs/>
        </w:rPr>
      </w:pPr>
      <w:r>
        <w:rPr>
          <w:b/>
          <w:bCs/>
        </w:rPr>
        <w:tab/>
      </w:r>
      <w:r w:rsidRPr="005B2C3D">
        <w:rPr>
          <w:b/>
          <w:bCs/>
          <w:i/>
          <w:iCs/>
        </w:rPr>
        <w:t>i.</w:t>
      </w:r>
      <w:r w:rsidRPr="005B2C3D">
        <w:rPr>
          <w:b/>
          <w:bCs/>
          <w:i/>
          <w:iCs/>
        </w:rPr>
        <w:tab/>
      </w:r>
      <w:r w:rsidR="00383A60">
        <w:rPr>
          <w:b/>
          <w:bCs/>
          <w:i/>
          <w:iCs/>
        </w:rPr>
        <w:t xml:space="preserve">Breach of Contract </w:t>
      </w:r>
      <w:r w:rsidR="00AA3ED0">
        <w:rPr>
          <w:b/>
          <w:bCs/>
          <w:i/>
          <w:iCs/>
        </w:rPr>
        <w:t xml:space="preserve">Claim </w:t>
      </w:r>
      <w:r w:rsidR="005308DC">
        <w:rPr>
          <w:b/>
          <w:bCs/>
          <w:i/>
          <w:iCs/>
        </w:rPr>
        <w:t xml:space="preserve">Was </w:t>
      </w:r>
      <w:r w:rsidR="00383A60">
        <w:rPr>
          <w:b/>
          <w:bCs/>
          <w:i/>
          <w:iCs/>
        </w:rPr>
        <w:t xml:space="preserve">Appropriately Resolved </w:t>
      </w:r>
      <w:r w:rsidR="00AA3ED0">
        <w:rPr>
          <w:b/>
          <w:bCs/>
          <w:i/>
          <w:iCs/>
        </w:rPr>
        <w:tab/>
      </w:r>
      <w:r w:rsidR="00AA3ED0">
        <w:rPr>
          <w:b/>
          <w:bCs/>
          <w:i/>
          <w:iCs/>
        </w:rPr>
        <w:tab/>
      </w:r>
      <w:r w:rsidR="00AA3ED0">
        <w:rPr>
          <w:b/>
          <w:bCs/>
          <w:i/>
          <w:iCs/>
        </w:rPr>
        <w:tab/>
      </w:r>
      <w:r w:rsidR="00CD0404">
        <w:rPr>
          <w:b/>
          <w:bCs/>
          <w:i/>
          <w:iCs/>
        </w:rPr>
        <w:t>b</w:t>
      </w:r>
      <w:r w:rsidR="00383A60">
        <w:rPr>
          <w:b/>
          <w:bCs/>
          <w:i/>
          <w:iCs/>
        </w:rPr>
        <w:t>y Summary Adjudication</w:t>
      </w:r>
    </w:p>
    <w:p w14:paraId="2FEB9278" w14:textId="7D5B76BF" w:rsidR="00B636E9" w:rsidRDefault="005116F4" w:rsidP="005F5EC5">
      <w:pPr>
        <w:spacing w:line="360" w:lineRule="auto"/>
      </w:pPr>
      <w:r>
        <w:tab/>
        <w:t>Owen</w:t>
      </w:r>
      <w:r w:rsidRPr="009255DC">
        <w:t xml:space="preserve"> </w:t>
      </w:r>
      <w:r w:rsidR="00383A60">
        <w:t xml:space="preserve">first </w:t>
      </w:r>
      <w:r w:rsidRPr="009255DC">
        <w:t xml:space="preserve">contends that </w:t>
      </w:r>
      <w:r>
        <w:t>Blue Mountain</w:t>
      </w:r>
      <w:r w:rsidRPr="009255DC">
        <w:t xml:space="preserve"> was not entitled to summary adjudication of </w:t>
      </w:r>
      <w:r w:rsidR="00C31817">
        <w:t>its</w:t>
      </w:r>
      <w:r w:rsidRPr="009255DC">
        <w:t xml:space="preserve"> </w:t>
      </w:r>
      <w:r w:rsidR="00C31817">
        <w:t>claim for</w:t>
      </w:r>
      <w:r w:rsidRPr="009255DC">
        <w:t xml:space="preserve"> </w:t>
      </w:r>
      <w:r>
        <w:t>breach of contract</w:t>
      </w:r>
      <w:r w:rsidRPr="009255DC">
        <w:t xml:space="preserve"> </w:t>
      </w:r>
      <w:r w:rsidR="00E2029C">
        <w:t>because</w:t>
      </w:r>
      <w:r w:rsidR="00813124">
        <w:t xml:space="preserve"> </w:t>
      </w:r>
      <w:r w:rsidR="00B30B0D">
        <w:t xml:space="preserve">its </w:t>
      </w:r>
      <w:r w:rsidR="00295F7F">
        <w:t>motion</w:t>
      </w:r>
      <w:r w:rsidR="00813124">
        <w:t xml:space="preserve"> </w:t>
      </w:r>
      <w:r w:rsidR="00E2029C">
        <w:t xml:space="preserve">did not </w:t>
      </w:r>
      <w:r w:rsidR="00DE1107">
        <w:t xml:space="preserve">fully </w:t>
      </w:r>
      <w:r w:rsidR="00DD0A60">
        <w:t xml:space="preserve">resolve </w:t>
      </w:r>
      <w:r w:rsidR="00DE1107">
        <w:t>the</w:t>
      </w:r>
      <w:r w:rsidR="00E2029C">
        <w:t xml:space="preserve"> </w:t>
      </w:r>
      <w:r w:rsidR="00C31817">
        <w:t>cause of action</w:t>
      </w:r>
      <w:r w:rsidR="00DD0A60">
        <w:t xml:space="preserve">.  </w:t>
      </w:r>
      <w:r w:rsidR="00AF44D8">
        <w:t>Owen observes that Blue Mountain’s claim was predicated on both the</w:t>
      </w:r>
      <w:r w:rsidR="00E2029C">
        <w:t xml:space="preserve"> alleged breach of the customer </w:t>
      </w:r>
      <w:r w:rsidR="004446C5">
        <w:t>non</w:t>
      </w:r>
      <w:r w:rsidR="00E2029C">
        <w:t>solicitation covenant</w:t>
      </w:r>
      <w:r w:rsidR="00E2029C" w:rsidRPr="009255DC">
        <w:t xml:space="preserve"> </w:t>
      </w:r>
      <w:r w:rsidR="00AF44D8">
        <w:t xml:space="preserve">as well as </w:t>
      </w:r>
      <w:r w:rsidR="006D3A7D">
        <w:t xml:space="preserve">breach of </w:t>
      </w:r>
      <w:r w:rsidR="00E2029C">
        <w:t xml:space="preserve">the covenant </w:t>
      </w:r>
      <w:r w:rsidR="006467B7">
        <w:t xml:space="preserve">against solicitation of </w:t>
      </w:r>
      <w:r w:rsidR="00E2029C">
        <w:t>Blue Mountain employees</w:t>
      </w:r>
      <w:r w:rsidR="004313D6">
        <w:t xml:space="preserve">. </w:t>
      </w:r>
      <w:r w:rsidR="00CF2B1D" w:rsidRPr="009255DC">
        <w:t xml:space="preserve"> </w:t>
      </w:r>
      <w:r>
        <w:t>Owen</w:t>
      </w:r>
      <w:r w:rsidRPr="009255DC">
        <w:t xml:space="preserve"> relies on Code of Civil Procedure section 437c, subdivision (f)(1), which provides that a summary adjudication motion may be granted </w:t>
      </w:r>
      <w:r>
        <w:t>“</w:t>
      </w:r>
      <w:r w:rsidRPr="009255DC">
        <w:t xml:space="preserve">only if it </w:t>
      </w:r>
      <w:r w:rsidRPr="00CF2B1D">
        <w:rPr>
          <w:i/>
          <w:iCs/>
        </w:rPr>
        <w:t>completely disposes of a cause of action,</w:t>
      </w:r>
      <w:r w:rsidRPr="009255DC">
        <w:t xml:space="preserve"> an affirmative defense, a claim for damages, or an issue of duty</w:t>
      </w:r>
      <w:r w:rsidR="00CF2B1D">
        <w:t>.</w:t>
      </w:r>
      <w:r>
        <w:t>”</w:t>
      </w:r>
      <w:r w:rsidR="00CF2B1D">
        <w:t xml:space="preserve">  (Italics added.)</w:t>
      </w:r>
    </w:p>
    <w:p w14:paraId="259F1739" w14:textId="5FB65BAE" w:rsidR="009255DC" w:rsidRDefault="005116F4" w:rsidP="005F5EC5">
      <w:pPr>
        <w:spacing w:line="360" w:lineRule="auto"/>
      </w:pPr>
      <w:r>
        <w:lastRenderedPageBreak/>
        <w:tab/>
      </w:r>
      <w:r w:rsidR="009E0EAC">
        <w:t>A</w:t>
      </w:r>
      <w:r w:rsidRPr="009255DC">
        <w:t xml:space="preserve"> recognized exception to the statutory language above </w:t>
      </w:r>
      <w:r w:rsidR="00014FF9">
        <w:t>holds</w:t>
      </w:r>
      <w:r w:rsidRPr="009255DC">
        <w:t xml:space="preserve"> that where two or more separate and distinct wrongful acts are combined in the same cause of action in a complaint, a </w:t>
      </w:r>
      <w:r w:rsidR="00233E70">
        <w:t>party</w:t>
      </w:r>
      <w:r w:rsidRPr="009255DC">
        <w:t xml:space="preserve"> may present a summary adjudication motion that </w:t>
      </w:r>
      <w:r w:rsidR="00233E70">
        <w:t xml:space="preserve">pertains to </w:t>
      </w:r>
      <w:r w:rsidRPr="009255DC">
        <w:t xml:space="preserve">some, but not all, of the separate and distinct wrongful acts. </w:t>
      </w:r>
      <w:r w:rsidR="00E94C44">
        <w:t xml:space="preserve"> </w:t>
      </w:r>
      <w:r w:rsidRPr="009255DC">
        <w:t>(</w:t>
      </w:r>
      <w:r w:rsidRPr="00B722E5">
        <w:rPr>
          <w:i/>
          <w:iCs/>
        </w:rPr>
        <w:t>Lilienthal &amp; Fowler v. Superior Court</w:t>
      </w:r>
      <w:r w:rsidRPr="009255DC">
        <w:t xml:space="preserve"> (1993) 12</w:t>
      </w:r>
      <w:r w:rsidR="001E7BB7">
        <w:t> </w:t>
      </w:r>
      <w:r w:rsidRPr="009255DC">
        <w:t>Cal.App.4th 1848, 1854</w:t>
      </w:r>
      <w:r w:rsidR="001E7BB7">
        <w:t>–</w:t>
      </w:r>
      <w:r w:rsidRPr="009255DC">
        <w:t>1855 (</w:t>
      </w:r>
      <w:r w:rsidRPr="001D6365">
        <w:rPr>
          <w:i/>
          <w:iCs/>
        </w:rPr>
        <w:t>Lilienthal</w:t>
      </w:r>
      <w:r w:rsidRPr="009255DC">
        <w:t xml:space="preserve">).) </w:t>
      </w:r>
      <w:r w:rsidR="001D6365">
        <w:t xml:space="preserve"> </w:t>
      </w:r>
      <w:r w:rsidR="00460DF3">
        <w:t>That</w:t>
      </w:r>
      <w:r w:rsidR="00460DF3" w:rsidRPr="009255DC">
        <w:t xml:space="preserve"> </w:t>
      </w:r>
      <w:r w:rsidRPr="009255DC">
        <w:t xml:space="preserve">is because each separate and distinct wrongful act is an invasion of a separate and distinct primary right, and each violation of a primary right is a separate and distinct </w:t>
      </w:r>
      <w:r w:rsidR="00B722E5">
        <w:t>“</w:t>
      </w:r>
      <w:r w:rsidRPr="009255DC">
        <w:t>cause of action</w:t>
      </w:r>
      <w:r w:rsidR="00B722E5">
        <w:t>”</w:t>
      </w:r>
      <w:r w:rsidRPr="009255DC">
        <w:t xml:space="preserve"> — regardless </w:t>
      </w:r>
      <w:r w:rsidR="00E84DE6">
        <w:t>of</w:t>
      </w:r>
      <w:r w:rsidR="00BC243E">
        <w:t xml:space="preserve"> </w:t>
      </w:r>
      <w:r w:rsidRPr="009255DC">
        <w:t xml:space="preserve">how the claim is presented in the complaint. </w:t>
      </w:r>
      <w:r w:rsidR="001D6365">
        <w:t xml:space="preserve"> </w:t>
      </w:r>
      <w:r w:rsidRPr="009255DC">
        <w:t>(</w:t>
      </w:r>
      <w:r w:rsidRPr="001D6365">
        <w:rPr>
          <w:i/>
          <w:iCs/>
        </w:rPr>
        <w:t>Id.</w:t>
      </w:r>
      <w:r w:rsidRPr="009255DC">
        <w:t xml:space="preserve"> at p.</w:t>
      </w:r>
      <w:r w:rsidR="001E7BB7">
        <w:t> </w:t>
      </w:r>
      <w:r w:rsidRPr="009255DC">
        <w:t>1853.)</w:t>
      </w:r>
      <w:r w:rsidR="001D6365">
        <w:t xml:space="preserve"> </w:t>
      </w:r>
      <w:r w:rsidRPr="009255DC">
        <w:t xml:space="preserve"> Thus, to the extent </w:t>
      </w:r>
      <w:r w:rsidR="001D6365">
        <w:t>the</w:t>
      </w:r>
      <w:r w:rsidRPr="009255DC">
        <w:t xml:space="preserve"> </w:t>
      </w:r>
      <w:r w:rsidR="00B201C8">
        <w:t xml:space="preserve">FAC’s </w:t>
      </w:r>
      <w:r w:rsidR="001D6365">
        <w:t xml:space="preserve">first </w:t>
      </w:r>
      <w:r w:rsidRPr="009255DC">
        <w:t>cause of action allege</w:t>
      </w:r>
      <w:r w:rsidR="00DC5EE6">
        <w:t>d</w:t>
      </w:r>
      <w:r w:rsidRPr="009255DC">
        <w:t xml:space="preserve"> separate and distinct </w:t>
      </w:r>
      <w:r w:rsidR="001D6365">
        <w:t xml:space="preserve">contractual </w:t>
      </w:r>
      <w:r w:rsidRPr="009255DC">
        <w:t xml:space="preserve">violations, </w:t>
      </w:r>
      <w:r w:rsidR="001D6365">
        <w:t>Blue M</w:t>
      </w:r>
      <w:r w:rsidR="00B722E5">
        <w:t>o</w:t>
      </w:r>
      <w:r w:rsidR="001D6365">
        <w:t>untain</w:t>
      </w:r>
      <w:r w:rsidRPr="009255DC">
        <w:t xml:space="preserve"> </w:t>
      </w:r>
      <w:r w:rsidR="00DC5EE6">
        <w:t>was</w:t>
      </w:r>
      <w:r w:rsidRPr="009255DC">
        <w:t xml:space="preserve"> entitled to present a motion for summary adjudication as to </w:t>
      </w:r>
      <w:r w:rsidR="003F422C">
        <w:t>any</w:t>
      </w:r>
      <w:r w:rsidRPr="009255DC">
        <w:t xml:space="preserve"> alleged violation. </w:t>
      </w:r>
      <w:r w:rsidR="001E7BB7">
        <w:t xml:space="preserve"> </w:t>
      </w:r>
      <w:r w:rsidRPr="009255DC">
        <w:t>(</w:t>
      </w:r>
      <w:r w:rsidR="001E7BB7">
        <w:rPr>
          <w:i/>
          <w:iCs/>
        </w:rPr>
        <w:t>Id.</w:t>
      </w:r>
      <w:r w:rsidRPr="009255DC">
        <w:t xml:space="preserve"> at pp. 1854</w:t>
      </w:r>
      <w:r w:rsidR="001E7BB7">
        <w:t>–</w:t>
      </w:r>
      <w:r w:rsidRPr="009255DC">
        <w:t>1855.)</w:t>
      </w:r>
      <w:r w:rsidR="001D6365">
        <w:t xml:space="preserve"> </w:t>
      </w:r>
    </w:p>
    <w:p w14:paraId="01899984" w14:textId="172DB35C" w:rsidR="00433B87" w:rsidRDefault="005116F4" w:rsidP="00DB07D3">
      <w:pPr>
        <w:spacing w:line="360" w:lineRule="auto"/>
      </w:pPr>
      <w:r>
        <w:tab/>
      </w:r>
      <w:r w:rsidR="002F5A6D">
        <w:t xml:space="preserve">We have no difficulty concluding that </w:t>
      </w:r>
      <w:r w:rsidR="009A6E82">
        <w:t xml:space="preserve">Blue Mountain’s customer solicitation </w:t>
      </w:r>
      <w:r w:rsidR="00AE5BD5">
        <w:t xml:space="preserve">claim </w:t>
      </w:r>
      <w:r w:rsidR="009A6E82">
        <w:t xml:space="preserve">and employee solicitation </w:t>
      </w:r>
      <w:r w:rsidR="009A6E82" w:rsidRPr="009A6E82">
        <w:t xml:space="preserve">claim involve two different primary rights: </w:t>
      </w:r>
      <w:r w:rsidR="00CC662A">
        <w:t xml:space="preserve"> </w:t>
      </w:r>
      <w:r w:rsidR="005D68C0">
        <w:t>Blue Mountain</w:t>
      </w:r>
      <w:r w:rsidR="009D4501">
        <w:t>’s right</w:t>
      </w:r>
      <w:r w:rsidR="005D68C0">
        <w:t xml:space="preserve"> </w:t>
      </w:r>
      <w:r w:rsidR="009A6E82" w:rsidRPr="009A6E82">
        <w:t xml:space="preserve">to </w:t>
      </w:r>
      <w:r w:rsidR="00726D30">
        <w:t xml:space="preserve">enjoy </w:t>
      </w:r>
      <w:r w:rsidR="004D1DA9">
        <w:t xml:space="preserve">and preserve </w:t>
      </w:r>
      <w:r w:rsidR="005D68C0">
        <w:t xml:space="preserve">the </w:t>
      </w:r>
      <w:r w:rsidR="009D46E2">
        <w:t xml:space="preserve">customer </w:t>
      </w:r>
      <w:r w:rsidR="00BF4578">
        <w:t>goodwill it had acquired from Owen</w:t>
      </w:r>
      <w:r w:rsidR="00B60233">
        <w:t xml:space="preserve">, </w:t>
      </w:r>
      <w:r w:rsidR="009A6E82" w:rsidRPr="009A6E82">
        <w:t xml:space="preserve">and </w:t>
      </w:r>
      <w:r w:rsidR="00045418">
        <w:t>its</w:t>
      </w:r>
      <w:r w:rsidR="00045418" w:rsidRPr="009A6E82">
        <w:t xml:space="preserve"> </w:t>
      </w:r>
      <w:r w:rsidR="009A6E82" w:rsidRPr="009A6E82">
        <w:t xml:space="preserve">right to </w:t>
      </w:r>
      <w:r w:rsidR="00F077C3">
        <w:t>be free from interference</w:t>
      </w:r>
      <w:r w:rsidR="00FE1046">
        <w:t xml:space="preserve"> with</w:t>
      </w:r>
      <w:r w:rsidR="00F077C3">
        <w:t xml:space="preserve"> </w:t>
      </w:r>
      <w:r w:rsidR="00E729C5">
        <w:t>its employment relationships</w:t>
      </w:r>
      <w:r w:rsidR="009A6E82" w:rsidRPr="009A6E82">
        <w:t xml:space="preserve">. </w:t>
      </w:r>
      <w:r w:rsidR="00A23BC5">
        <w:t xml:space="preserve"> </w:t>
      </w:r>
      <w:r w:rsidR="009A6E82" w:rsidRPr="009A6E82">
        <w:t>Both primary rights are</w:t>
      </w:r>
      <w:r w:rsidR="00E729C5">
        <w:t xml:space="preserve"> </w:t>
      </w:r>
      <w:r w:rsidR="009A6E82" w:rsidRPr="009A6E82">
        <w:t>contractual</w:t>
      </w:r>
      <w:r w:rsidR="008D0A6B">
        <w:t xml:space="preserve"> and were conferred by two different provisions in the Employee Agreement</w:t>
      </w:r>
      <w:r w:rsidR="009A6E82" w:rsidRPr="009A6E82">
        <w:t xml:space="preserve">. </w:t>
      </w:r>
      <w:r w:rsidR="002B7D55">
        <w:t xml:space="preserve"> </w:t>
      </w:r>
      <w:r w:rsidR="00A76861">
        <w:t>The</w:t>
      </w:r>
      <w:r w:rsidR="009A6E82" w:rsidRPr="009A6E82">
        <w:t xml:space="preserve"> </w:t>
      </w:r>
      <w:r w:rsidR="005C0658">
        <w:t xml:space="preserve">solicitation of </w:t>
      </w:r>
      <w:r w:rsidR="00280422">
        <w:t xml:space="preserve">Blue Mountain’s </w:t>
      </w:r>
      <w:r w:rsidR="005C0658">
        <w:t>customers</w:t>
      </w:r>
      <w:r w:rsidR="009A6E82" w:rsidRPr="009A6E82">
        <w:t xml:space="preserve"> thus invaded a different right and constituted a </w:t>
      </w:r>
      <w:r w:rsidR="00A76861">
        <w:t>“</w:t>
      </w:r>
      <w:r w:rsidR="009A6E82" w:rsidRPr="009A6E82">
        <w:t>separate and distinct</w:t>
      </w:r>
      <w:r w:rsidR="00E63E28">
        <w:t>”</w:t>
      </w:r>
      <w:r w:rsidR="009A6E82" w:rsidRPr="009A6E82">
        <w:t xml:space="preserve"> wrongful act </w:t>
      </w:r>
      <w:r w:rsidR="0038570B">
        <w:t>from</w:t>
      </w:r>
      <w:r w:rsidR="0038570B" w:rsidRPr="009A6E82">
        <w:t xml:space="preserve"> </w:t>
      </w:r>
      <w:r w:rsidR="00280422">
        <w:t xml:space="preserve">the solicitation of </w:t>
      </w:r>
      <w:r w:rsidR="00496753">
        <w:t>Blue Mountain</w:t>
      </w:r>
      <w:r w:rsidR="0078722D">
        <w:t>’s</w:t>
      </w:r>
      <w:r w:rsidR="00496753">
        <w:t xml:space="preserve"> employees</w:t>
      </w:r>
      <w:r w:rsidR="009A6E82" w:rsidRPr="009A6E82">
        <w:t xml:space="preserve">. </w:t>
      </w:r>
      <w:r w:rsidR="00A76861">
        <w:t xml:space="preserve"> </w:t>
      </w:r>
      <w:r w:rsidR="009A6E82" w:rsidRPr="009A6E82">
        <w:t>(</w:t>
      </w:r>
      <w:r w:rsidR="009A6E82" w:rsidRPr="00A76861">
        <w:rPr>
          <w:i/>
          <w:iCs/>
        </w:rPr>
        <w:t>Lilienthal</w:t>
      </w:r>
      <w:r w:rsidR="009A6E82" w:rsidRPr="00312455">
        <w:t>,</w:t>
      </w:r>
      <w:r w:rsidR="009A6E82" w:rsidRPr="00A76861">
        <w:rPr>
          <w:i/>
          <w:iCs/>
        </w:rPr>
        <w:t xml:space="preserve"> supra</w:t>
      </w:r>
      <w:r w:rsidR="009A6E82" w:rsidRPr="00312455">
        <w:t>,</w:t>
      </w:r>
      <w:r w:rsidR="009A6E82" w:rsidRPr="009A6E82">
        <w:t xml:space="preserve"> 12</w:t>
      </w:r>
      <w:r w:rsidR="00CC662A">
        <w:t> </w:t>
      </w:r>
      <w:r w:rsidR="009A6E82" w:rsidRPr="009A6E82">
        <w:t>Cal.App.4th at pp. 1854</w:t>
      </w:r>
      <w:r w:rsidR="00CC662A">
        <w:t>–</w:t>
      </w:r>
      <w:r w:rsidR="009A6E82" w:rsidRPr="009A6E82">
        <w:t xml:space="preserve">1855.) </w:t>
      </w:r>
      <w:r w:rsidR="00496753">
        <w:t xml:space="preserve"> </w:t>
      </w:r>
      <w:r w:rsidR="00FE3A98">
        <w:t xml:space="preserve">Though </w:t>
      </w:r>
      <w:r w:rsidR="00D44D61">
        <w:t>the breaches</w:t>
      </w:r>
      <w:r w:rsidR="00FE3A98">
        <w:t xml:space="preserve"> were pleaded together in </w:t>
      </w:r>
      <w:r w:rsidR="00DB07D3">
        <w:t xml:space="preserve">a single </w:t>
      </w:r>
      <w:r w:rsidR="00FE3A98">
        <w:t xml:space="preserve">cause of action, </w:t>
      </w:r>
      <w:r w:rsidR="00D44D61">
        <w:t>they</w:t>
      </w:r>
      <w:r w:rsidR="00FE3A98">
        <w:t xml:space="preserve"> involve </w:t>
      </w:r>
      <w:r w:rsidR="001D48E5">
        <w:t xml:space="preserve">allegations of </w:t>
      </w:r>
      <w:r w:rsidR="00FE3A98">
        <w:t>separate and distinct wrongful acts and damages.  Conseque</w:t>
      </w:r>
      <w:r w:rsidR="00E10534">
        <w:t>n</w:t>
      </w:r>
      <w:r w:rsidR="00FE3A98">
        <w:t>tly, the tri</w:t>
      </w:r>
      <w:r w:rsidR="00847D7B">
        <w:t>al</w:t>
      </w:r>
      <w:r w:rsidR="00FE3A98">
        <w:t xml:space="preserve"> court </w:t>
      </w:r>
      <w:r w:rsidR="00797281">
        <w:t xml:space="preserve">did not abuse its discretion </w:t>
      </w:r>
      <w:r w:rsidR="00C41754">
        <w:t xml:space="preserve">in addressing the discrete </w:t>
      </w:r>
      <w:r w:rsidR="00DB07D3">
        <w:t xml:space="preserve">customer </w:t>
      </w:r>
      <w:r w:rsidR="000D77CB">
        <w:t>solicitation claim</w:t>
      </w:r>
      <w:r w:rsidR="00C41754">
        <w:t xml:space="preserve"> by way of summary adjudication</w:t>
      </w:r>
      <w:r w:rsidR="000D77CB">
        <w:t>.</w:t>
      </w:r>
      <w:r w:rsidR="00B74BA5">
        <w:t xml:space="preserve">  </w:t>
      </w:r>
    </w:p>
    <w:p w14:paraId="6D17FC7A" w14:textId="34415D14" w:rsidR="00410CA9" w:rsidRPr="00162DF8" w:rsidRDefault="005116F4" w:rsidP="003B649B">
      <w:pPr>
        <w:keepNext/>
        <w:keepLines/>
        <w:spacing w:line="360" w:lineRule="auto"/>
        <w:rPr>
          <w:b/>
          <w:bCs/>
          <w:i/>
          <w:iCs/>
        </w:rPr>
      </w:pPr>
      <w:r>
        <w:rPr>
          <w:b/>
          <w:bCs/>
        </w:rPr>
        <w:lastRenderedPageBreak/>
        <w:tab/>
      </w:r>
      <w:r w:rsidRPr="00162DF8">
        <w:rPr>
          <w:b/>
          <w:bCs/>
          <w:i/>
          <w:iCs/>
        </w:rPr>
        <w:t>ii.</w:t>
      </w:r>
      <w:r w:rsidRPr="00162DF8">
        <w:rPr>
          <w:b/>
          <w:bCs/>
          <w:i/>
          <w:iCs/>
        </w:rPr>
        <w:tab/>
        <w:t xml:space="preserve">Nonsolicitation </w:t>
      </w:r>
      <w:r w:rsidR="00667A58">
        <w:rPr>
          <w:b/>
          <w:bCs/>
          <w:i/>
          <w:iCs/>
        </w:rPr>
        <w:t>Covenant</w:t>
      </w:r>
      <w:r w:rsidRPr="00162DF8">
        <w:rPr>
          <w:b/>
          <w:bCs/>
          <w:i/>
          <w:iCs/>
        </w:rPr>
        <w:t xml:space="preserve"> Is Enforceable</w:t>
      </w:r>
    </w:p>
    <w:p w14:paraId="589E9448" w14:textId="16BAB988" w:rsidR="008475EE" w:rsidRDefault="005116F4" w:rsidP="003B649B">
      <w:pPr>
        <w:keepNext/>
        <w:keepLines/>
        <w:spacing w:line="360" w:lineRule="auto"/>
      </w:pPr>
      <w:r>
        <w:tab/>
      </w:r>
      <w:r w:rsidR="004907AC" w:rsidRPr="004907AC">
        <w:t>In California</w:t>
      </w:r>
      <w:r w:rsidR="004907AC">
        <w:t>,</w:t>
      </w:r>
      <w:r w:rsidR="004907AC" w:rsidRPr="004907AC">
        <w:t xml:space="preserve"> </w:t>
      </w:r>
      <w:r w:rsidR="00DA200F">
        <w:t xml:space="preserve">contractual provisions that prevent a person </w:t>
      </w:r>
      <w:r w:rsidR="00EC65F4">
        <w:t xml:space="preserve">from engaging </w:t>
      </w:r>
      <w:r w:rsidR="004907AC" w:rsidRPr="004907AC">
        <w:t xml:space="preserve">in a profession, trade or business </w:t>
      </w:r>
      <w:r w:rsidR="00EC65F4">
        <w:t>are generally</w:t>
      </w:r>
      <w:r w:rsidR="004907AC" w:rsidRPr="004907AC">
        <w:t xml:space="preserve"> void. </w:t>
      </w:r>
      <w:r w:rsidR="008A07E8">
        <w:t xml:space="preserve"> </w:t>
      </w:r>
      <w:r w:rsidR="004907AC" w:rsidRPr="004907AC">
        <w:t>(</w:t>
      </w:r>
      <w:r w:rsidR="001A16AB">
        <w:t>§</w:t>
      </w:r>
      <w:r w:rsidR="004907AC" w:rsidRPr="004907AC">
        <w:t xml:space="preserve"> 16600.)</w:t>
      </w:r>
      <w:r w:rsidR="00EC65F4">
        <w:t xml:space="preserve">  </w:t>
      </w:r>
      <w:r w:rsidR="00486498">
        <w:t>As the Supreme Court</w:t>
      </w:r>
      <w:r w:rsidR="00F935BD">
        <w:t xml:space="preserve"> has noted</w:t>
      </w:r>
      <w:r w:rsidR="00486498">
        <w:t xml:space="preserve">, </w:t>
      </w:r>
      <w:r w:rsidR="00F935BD">
        <w:t>“</w:t>
      </w:r>
      <w:r w:rsidR="00486498">
        <w:t>section 16600 evinces a settled legislative policy in favor of open competition and employee mobility.</w:t>
      </w:r>
      <w:r w:rsidR="00F935BD">
        <w:t xml:space="preserve">” </w:t>
      </w:r>
      <w:r w:rsidR="00486498">
        <w:t xml:space="preserve"> </w:t>
      </w:r>
      <w:r w:rsidR="00F935BD">
        <w:t>(</w:t>
      </w:r>
      <w:r w:rsidR="00486498" w:rsidRPr="00F935BD">
        <w:rPr>
          <w:i/>
          <w:iCs/>
        </w:rPr>
        <w:t>Edwards v. Arthur Andersen LLP</w:t>
      </w:r>
      <w:r w:rsidR="00F935BD">
        <w:t xml:space="preserve"> (2008)</w:t>
      </w:r>
      <w:r w:rsidR="00486498">
        <w:t xml:space="preserve"> 44 Cal.4th 937, 946.</w:t>
      </w:r>
      <w:r w:rsidR="00F935BD">
        <w:t>)</w:t>
      </w:r>
      <w:r w:rsidR="00740DBC">
        <w:t xml:space="preserve">  </w:t>
      </w:r>
      <w:r w:rsidR="000F6078">
        <w:t xml:space="preserve">Blue Mountain </w:t>
      </w:r>
      <w:r w:rsidR="00486498">
        <w:t>invoke</w:t>
      </w:r>
      <w:r>
        <w:t>s</w:t>
      </w:r>
      <w:r w:rsidR="00486498">
        <w:t xml:space="preserve"> </w:t>
      </w:r>
      <w:r w:rsidR="00F54C69">
        <w:t>a statutory</w:t>
      </w:r>
      <w:r w:rsidR="00C762C7">
        <w:t xml:space="preserve"> </w:t>
      </w:r>
      <w:r w:rsidR="00486498">
        <w:t xml:space="preserve">exception </w:t>
      </w:r>
      <w:r w:rsidR="000C3F03">
        <w:t xml:space="preserve">to </w:t>
      </w:r>
      <w:r w:rsidR="00F54C69">
        <w:t xml:space="preserve">this general prohibition </w:t>
      </w:r>
      <w:r w:rsidR="000C3F03">
        <w:t xml:space="preserve">that is </w:t>
      </w:r>
      <w:r w:rsidR="00486498">
        <w:t xml:space="preserve">found in </w:t>
      </w:r>
      <w:r w:rsidR="000F6078">
        <w:t>section</w:t>
      </w:r>
      <w:r w:rsidR="00486498">
        <w:t xml:space="preserve"> 16601</w:t>
      </w:r>
      <w:r w:rsidR="00DF066A">
        <w:t>,</w:t>
      </w:r>
      <w:r w:rsidR="003947A4">
        <w:t xml:space="preserve"> which </w:t>
      </w:r>
      <w:r w:rsidR="00486498">
        <w:t>states:</w:t>
      </w:r>
      <w:r w:rsidR="000F6078">
        <w:t xml:space="preserve">  “</w:t>
      </w:r>
      <w:r w:rsidR="00486498">
        <w:t xml:space="preserve">Any person who sells the goodwill of a business, </w:t>
      </w:r>
      <w:r w:rsidR="00486498" w:rsidRPr="00997566">
        <w:rPr>
          <w:i/>
          <w:iCs/>
        </w:rPr>
        <w:t xml:space="preserve">or any owner of a business entity selling </w:t>
      </w:r>
      <w:r w:rsidR="00486498" w:rsidRPr="000C3F03">
        <w:rPr>
          <w:i/>
          <w:iCs/>
        </w:rPr>
        <w:t>or otherwise disposing of all of his or her ownership interest in the business entity</w:t>
      </w:r>
      <w:r w:rsidR="00486498">
        <w:t xml:space="preserve"> .</w:t>
      </w:r>
      <w:r w:rsidR="008A07E8">
        <w:t> </w:t>
      </w:r>
      <w:r w:rsidR="00486498">
        <w:t>.</w:t>
      </w:r>
      <w:r w:rsidR="008A07E8">
        <w:t> </w:t>
      </w:r>
      <w:r w:rsidR="00486498">
        <w:t>. may agree with the buyer to refrain from carrying on a similar business within a specified geographic area in which the business so sold, or that of the business entity, division, or subsidiary has been carried on, so long as the buyer .</w:t>
      </w:r>
      <w:r w:rsidR="008A07E8">
        <w:t> </w:t>
      </w:r>
      <w:r w:rsidR="00486498">
        <w:t>.</w:t>
      </w:r>
      <w:r w:rsidR="008A07E8">
        <w:t> </w:t>
      </w:r>
      <w:r w:rsidR="00486498">
        <w:t>. carries on a like business therein.</w:t>
      </w:r>
      <w:r w:rsidR="000F6078">
        <w:t xml:space="preserve">” </w:t>
      </w:r>
      <w:r w:rsidR="00486498">
        <w:t xml:space="preserve"> </w:t>
      </w:r>
      <w:r w:rsidR="004D1579">
        <w:t xml:space="preserve">(Italics added.)  </w:t>
      </w:r>
    </w:p>
    <w:p w14:paraId="66A199B3" w14:textId="3061EDAB" w:rsidR="005F2BA6" w:rsidRDefault="005116F4" w:rsidP="005F2BA6">
      <w:pPr>
        <w:spacing w:line="360" w:lineRule="auto"/>
      </w:pPr>
      <w:r>
        <w:tab/>
      </w:r>
      <w:r w:rsidR="00F437C4">
        <w:t>“</w:t>
      </w:r>
      <w:r w:rsidR="00F437C4" w:rsidRPr="00F437C4">
        <w:t xml:space="preserve">Section 16601’s exception serves an important commercial purpose by protecting the value of the business acquired by the buyer. </w:t>
      </w:r>
      <w:r w:rsidR="00F437C4">
        <w:t>‘</w:t>
      </w:r>
      <w:r w:rsidR="00F437C4" w:rsidRPr="00F437C4">
        <w:t>In the case of the sale of the goodwill of a business it is ‘unfair’ for the seller to engage in competition which diminishes the value of the asset he sold.</w:t>
      </w:r>
      <w:r w:rsidR="00884420">
        <w:t>’</w:t>
      </w:r>
      <w:r w:rsidR="00F437C4" w:rsidRPr="00F437C4">
        <w:t xml:space="preserve"> </w:t>
      </w:r>
      <w:r w:rsidR="00884420">
        <w:t xml:space="preserve"> </w:t>
      </w:r>
      <w:r w:rsidR="002107D6">
        <w:t xml:space="preserve">[Citation.]  </w:t>
      </w:r>
      <w:r w:rsidR="00F437C4" w:rsidRPr="00F437C4">
        <w:t xml:space="preserve">Thus, </w:t>
      </w:r>
      <w:r w:rsidR="002107D6">
        <w:t>‘</w:t>
      </w:r>
      <w:r w:rsidR="00F437C4" w:rsidRPr="00F437C4">
        <w:t xml:space="preserve">[t]he thrust of </w:t>
      </w:r>
      <w:r w:rsidR="008A07E8">
        <w:t>. . .</w:t>
      </w:r>
      <w:r w:rsidR="00F437C4" w:rsidRPr="00F437C4">
        <w:t xml:space="preserve"> section 16601 is to permit the purchaser of a business to protect himself or itself against competition from the seller which competition would have the effect of reducing the value of the property right that was acquired.</w:t>
      </w:r>
      <w:r w:rsidR="002107D6">
        <w:t>’</w:t>
      </w:r>
      <w:r w:rsidR="00F437C4" w:rsidRPr="00F437C4">
        <w:t xml:space="preserve">  </w:t>
      </w:r>
      <w:r w:rsidR="002107D6">
        <w:t xml:space="preserve">[Citation.] </w:t>
      </w:r>
      <w:r w:rsidR="008A07E8">
        <w:t xml:space="preserve"> </w:t>
      </w:r>
      <w:r w:rsidR="002107D6">
        <w:t>‘</w:t>
      </w:r>
      <w:r w:rsidR="00F437C4" w:rsidRPr="00F437C4">
        <w:t>One of the primary goals of section 16601 is to protect the buyer’s interest in preserving the goodwill of the acquired corporation.</w:t>
      </w:r>
      <w:r w:rsidR="002107D6">
        <w:t>’</w:t>
      </w:r>
      <w:r w:rsidR="008A07E8">
        <w:t> </w:t>
      </w:r>
      <w:r w:rsidR="00F437C4" w:rsidRPr="00F437C4">
        <w:t xml:space="preserve">” </w:t>
      </w:r>
      <w:r w:rsidR="008A07E8">
        <w:t xml:space="preserve"> </w:t>
      </w:r>
      <w:r w:rsidR="009B11E0">
        <w:t>(</w:t>
      </w:r>
      <w:r w:rsidR="009B11E0" w:rsidRPr="00C736C2">
        <w:rPr>
          <w:i/>
          <w:iCs/>
        </w:rPr>
        <w:t>Strategix</w:t>
      </w:r>
      <w:r w:rsidR="009B11E0" w:rsidRPr="00312455">
        <w:t xml:space="preserve">, </w:t>
      </w:r>
      <w:r w:rsidR="009B11E0" w:rsidRPr="00C736C2">
        <w:rPr>
          <w:i/>
          <w:iCs/>
        </w:rPr>
        <w:t>supra</w:t>
      </w:r>
      <w:r w:rsidR="009B11E0" w:rsidRPr="00312455">
        <w:rPr>
          <w:i/>
          <w:iCs/>
        </w:rPr>
        <w:t xml:space="preserve">, </w:t>
      </w:r>
      <w:r w:rsidR="009B11E0">
        <w:t>142 Cal.App.4th 1068, 1072–1073.)</w:t>
      </w:r>
      <w:r w:rsidR="009B11E0" w:rsidRPr="005F2BA6">
        <w:t xml:space="preserve"> </w:t>
      </w:r>
      <w:r w:rsidR="00DB6EA8">
        <w:t xml:space="preserve"> T</w:t>
      </w:r>
      <w:r w:rsidRPr="00CA7319">
        <w:t xml:space="preserve">he exception is limited: </w:t>
      </w:r>
      <w:r w:rsidR="008A07E8">
        <w:t xml:space="preserve"> </w:t>
      </w:r>
      <w:r w:rsidRPr="00CA7319">
        <w:t>“[I]n order to uphold a covenant not to compete pursuant to section 16601, the contract for sale of the corporate shares may not circumvent California</w:t>
      </w:r>
      <w:r w:rsidR="00302812">
        <w:t>’</w:t>
      </w:r>
      <w:r w:rsidRPr="00CA7319">
        <w:t xml:space="preserve">s deeply rooted public policy favoring open </w:t>
      </w:r>
      <w:r w:rsidRPr="00CA7319">
        <w:lastRenderedPageBreak/>
        <w:t>competition.</w:t>
      </w:r>
      <w:r w:rsidR="00302812">
        <w:t xml:space="preserve"> </w:t>
      </w:r>
      <w:r w:rsidRPr="00CA7319">
        <w:t xml:space="preserve"> The transaction must clearly establish that it falls within this limited exception.”</w:t>
      </w:r>
      <w:r w:rsidR="00302812">
        <w:t xml:space="preserve"> </w:t>
      </w:r>
      <w:r w:rsidRPr="00CA7319">
        <w:t xml:space="preserve"> (</w:t>
      </w:r>
      <w:r w:rsidRPr="008E0738">
        <w:rPr>
          <w:i/>
          <w:iCs/>
        </w:rPr>
        <w:t>Hill Medical Corp. v. Wycoff</w:t>
      </w:r>
      <w:r w:rsidRPr="00CA7319">
        <w:t xml:space="preserve"> (2001) 86 Cal.App.4th 895, 903.)</w:t>
      </w:r>
    </w:p>
    <w:p w14:paraId="00B23013" w14:textId="4E87FE47" w:rsidR="00260127" w:rsidRDefault="005116F4" w:rsidP="00486498">
      <w:pPr>
        <w:spacing w:line="360" w:lineRule="auto"/>
      </w:pPr>
      <w:r>
        <w:tab/>
      </w:r>
      <w:r w:rsidR="0019374F">
        <w:t xml:space="preserve"> </w:t>
      </w:r>
      <w:r w:rsidR="00104C0D">
        <w:t>Owen renews the argument</w:t>
      </w:r>
      <w:r w:rsidR="009E6331">
        <w:t>s</w:t>
      </w:r>
      <w:r w:rsidR="00104C0D">
        <w:t xml:space="preserve"> he made in the trial court </w:t>
      </w:r>
      <w:r w:rsidR="0053528B">
        <w:t xml:space="preserve">below </w:t>
      </w:r>
      <w:r w:rsidR="00104C0D">
        <w:t xml:space="preserve">that the customer nonsolicitation covenant is unenforceable because </w:t>
      </w:r>
      <w:r w:rsidR="009E5CD1">
        <w:t xml:space="preserve">he did not sell all or substantially all of his ownership interests </w:t>
      </w:r>
      <w:r w:rsidR="00DC34CE">
        <w:t xml:space="preserve">when </w:t>
      </w:r>
      <w:r w:rsidR="009E5CD1">
        <w:t xml:space="preserve">the </w:t>
      </w:r>
      <w:r w:rsidR="00DC34CE">
        <w:t xml:space="preserve">Blue Mountain </w:t>
      </w:r>
      <w:r w:rsidR="009E5CD1">
        <w:t>joint venture</w:t>
      </w:r>
      <w:r w:rsidR="00DC34CE">
        <w:t xml:space="preserve"> was created</w:t>
      </w:r>
      <w:r w:rsidR="009E5CD1">
        <w:t xml:space="preserve">, but instead sold only 50 percent of those interests to Acolyte under the Membership Interest Purchase Agreement.  </w:t>
      </w:r>
      <w:r w:rsidR="00AF7586">
        <w:t xml:space="preserve">He </w:t>
      </w:r>
      <w:r w:rsidR="001035E3">
        <w:t xml:space="preserve">suggests </w:t>
      </w:r>
      <w:r w:rsidR="00A87D16">
        <w:t xml:space="preserve">that </w:t>
      </w:r>
      <w:r w:rsidR="001035E3">
        <w:t xml:space="preserve">the </w:t>
      </w:r>
      <w:r w:rsidR="00A87D16">
        <w:t xml:space="preserve">initial </w:t>
      </w:r>
      <w:r w:rsidR="000F4401">
        <w:t xml:space="preserve">transfer of his ownership interests to Blue Mountain </w:t>
      </w:r>
      <w:r w:rsidR="001035E3">
        <w:t xml:space="preserve">was disconnected from, and unrelated to, the joint venture, </w:t>
      </w:r>
      <w:r w:rsidR="008813C5">
        <w:t>emphasiz</w:t>
      </w:r>
      <w:r w:rsidR="001035E3">
        <w:t>ing</w:t>
      </w:r>
      <w:r w:rsidR="00891114">
        <w:t xml:space="preserve"> that it was only after </w:t>
      </w:r>
      <w:r w:rsidR="00B72F61">
        <w:t xml:space="preserve">the </w:t>
      </w:r>
      <w:r w:rsidR="00B6509B">
        <w:t xml:space="preserve">transfer </w:t>
      </w:r>
      <w:r w:rsidR="00891114">
        <w:t>was completed that he</w:t>
      </w:r>
      <w:r w:rsidR="00F37DE6">
        <w:t xml:space="preserve">, as </w:t>
      </w:r>
      <w:r w:rsidR="00B6509B">
        <w:t>the new company’s</w:t>
      </w:r>
      <w:r w:rsidR="00F37DE6">
        <w:t xml:space="preserve"> sole shareholder,</w:t>
      </w:r>
      <w:r w:rsidR="00891114">
        <w:t xml:space="preserve"> sold a 50 percent </w:t>
      </w:r>
      <w:r w:rsidR="00F37DE6">
        <w:t xml:space="preserve">membership </w:t>
      </w:r>
      <w:r w:rsidR="00891114">
        <w:t xml:space="preserve">interest to Acolyte. </w:t>
      </w:r>
      <w:r w:rsidR="000D7647">
        <w:t xml:space="preserve"> </w:t>
      </w:r>
      <w:r w:rsidR="00D977A6">
        <w:t>In his view, he</w:t>
      </w:r>
      <w:r w:rsidR="00394A4D">
        <w:t xml:space="preserve"> merely</w:t>
      </w:r>
      <w:r w:rsidR="00D977A6">
        <w:t xml:space="preserve"> “consolidated all of his businesses into one LLC through a Contribution Agreement</w:t>
      </w:r>
      <w:r w:rsidR="00E63E28">
        <w:t>”</w:t>
      </w:r>
      <w:r w:rsidR="00D977A6">
        <w:t xml:space="preserve"> giving him ownership of all the company’s membership interests and “did not sell or dispose of any of his business or membership interest</w:t>
      </w:r>
      <w:r w:rsidR="00E63E28">
        <w:t>s</w:t>
      </w:r>
      <w:r w:rsidR="00D977A6">
        <w:t xml:space="preserve"> to any of the Meyer entities.” </w:t>
      </w:r>
    </w:p>
    <w:p w14:paraId="6E9E7D40" w14:textId="5946EC84" w:rsidR="00791F90" w:rsidRDefault="005116F4" w:rsidP="0025237B">
      <w:pPr>
        <w:spacing w:line="360" w:lineRule="auto"/>
      </w:pPr>
      <w:r>
        <w:tab/>
      </w:r>
      <w:r w:rsidR="00E97AD1">
        <w:t xml:space="preserve">Owen’s arguments are contradicted by his own sworn statements and </w:t>
      </w:r>
      <w:r w:rsidR="00981DF0">
        <w:t xml:space="preserve">other </w:t>
      </w:r>
      <w:r w:rsidR="00BF6E6F">
        <w:t xml:space="preserve">undisputed </w:t>
      </w:r>
      <w:r w:rsidR="00981DF0">
        <w:t xml:space="preserve">evidence in the record.  </w:t>
      </w:r>
      <w:r w:rsidR="001A1277">
        <w:t xml:space="preserve">Section 1.2 of the Contribution Agreement provides: </w:t>
      </w:r>
      <w:r w:rsidR="007F400B">
        <w:t xml:space="preserve"> </w:t>
      </w:r>
      <w:r w:rsidR="001A1277">
        <w:t xml:space="preserve">“The Contributor [Owen] has agreed to assign, transfer, convey and contribute </w:t>
      </w:r>
      <w:r w:rsidR="001A1277" w:rsidRPr="00457BB0">
        <w:rPr>
          <w:i/>
          <w:iCs/>
        </w:rPr>
        <w:t>all of the interests</w:t>
      </w:r>
      <w:r w:rsidR="001A1277">
        <w:t xml:space="preserve"> </w:t>
      </w:r>
      <w:r w:rsidR="007F400B">
        <w:t>. . .</w:t>
      </w:r>
      <w:r w:rsidR="001A1277">
        <w:t xml:space="preserve"> </w:t>
      </w:r>
      <w:r w:rsidR="001A1277" w:rsidRPr="00B7229A">
        <w:rPr>
          <w:i/>
          <w:iCs/>
        </w:rPr>
        <w:t xml:space="preserve">in the BM Entities to the Company </w:t>
      </w:r>
      <w:r w:rsidR="001A1277" w:rsidRPr="00312455">
        <w:t>[</w:t>
      </w:r>
      <w:r w:rsidR="001A1277" w:rsidRPr="00B7229A">
        <w:rPr>
          <w:i/>
          <w:iCs/>
        </w:rPr>
        <w:t>Blue Mountain</w:t>
      </w:r>
      <w:r w:rsidR="001A1277" w:rsidRPr="00312455">
        <w:t>]</w:t>
      </w:r>
      <w:r w:rsidR="001A1277">
        <w:t xml:space="preserve"> and, in exchange, the Company will issue one-hundred percent (100%) of the membership interest in the Company to the Contributor.”</w:t>
      </w:r>
      <w:r w:rsidR="00166764">
        <w:t xml:space="preserve">  (Italics added.)</w:t>
      </w:r>
      <w:r w:rsidR="001A1277">
        <w:t xml:space="preserve">  The “BM Entities” </w:t>
      </w:r>
      <w:r w:rsidR="00805C60">
        <w:t xml:space="preserve">consisted of </w:t>
      </w:r>
      <w:r w:rsidR="001A1277">
        <w:t xml:space="preserve">Owen’s </w:t>
      </w:r>
      <w:r w:rsidR="006E258E">
        <w:t xml:space="preserve">full </w:t>
      </w:r>
      <w:r w:rsidR="001A1277">
        <w:t xml:space="preserve">ownership interests in his </w:t>
      </w:r>
      <w:r w:rsidR="00276DA0">
        <w:t xml:space="preserve">various </w:t>
      </w:r>
      <w:r w:rsidR="001A1277">
        <w:t xml:space="preserve">companies. </w:t>
      </w:r>
      <w:r w:rsidR="00DD4528">
        <w:t xml:space="preserve"> </w:t>
      </w:r>
      <w:r w:rsidR="00CF474B">
        <w:t xml:space="preserve">The </w:t>
      </w:r>
      <w:r w:rsidR="00623BE5">
        <w:t xml:space="preserve">Employment Agreement </w:t>
      </w:r>
      <w:r w:rsidR="00EC1A55">
        <w:t xml:space="preserve">similarly </w:t>
      </w:r>
      <w:r w:rsidR="00623BE5">
        <w:t xml:space="preserve">states that </w:t>
      </w:r>
      <w:r w:rsidR="00EC1A55">
        <w:t>“</w:t>
      </w:r>
      <w:r w:rsidR="00B55E4E">
        <w:t>p</w:t>
      </w:r>
      <w:r w:rsidR="00EC1A55">
        <w:t>ursuant to the [</w:t>
      </w:r>
      <w:r w:rsidR="00F24C8B">
        <w:t>Membership Interest] Purchase Agreement, the Executive [defined as Owen]</w:t>
      </w:r>
      <w:r w:rsidR="001D4B92">
        <w:t xml:space="preserve"> has formed the Company [Blue Mountain], </w:t>
      </w:r>
      <w:r w:rsidR="001D4B92">
        <w:rPr>
          <w:i/>
          <w:iCs/>
        </w:rPr>
        <w:t xml:space="preserve">has agreed to contribute </w:t>
      </w:r>
      <w:r w:rsidR="00CC2A48">
        <w:rPr>
          <w:i/>
          <w:iCs/>
        </w:rPr>
        <w:t xml:space="preserve">to the Company all of the Executive’s </w:t>
      </w:r>
      <w:r w:rsidR="00CC2A48">
        <w:rPr>
          <w:i/>
          <w:iCs/>
        </w:rPr>
        <w:lastRenderedPageBreak/>
        <w:t xml:space="preserve">ownership interests in the Blue Mountain Entities, </w:t>
      </w:r>
      <w:r w:rsidR="00CC2A48">
        <w:t>and has agreed to sell or cause the Company to issue a total of 50% of the membership interests in the Company to Acolyte</w:t>
      </w:r>
      <w:r w:rsidR="00350166">
        <w:t xml:space="preserve">.” </w:t>
      </w:r>
      <w:r w:rsidR="001F597E">
        <w:t xml:space="preserve"> </w:t>
      </w:r>
      <w:r w:rsidR="000C1531">
        <w:t>(</w:t>
      </w:r>
      <w:r w:rsidR="001F597E">
        <w:t xml:space="preserve">Italics </w:t>
      </w:r>
      <w:r w:rsidR="000C1531">
        <w:t>added</w:t>
      </w:r>
      <w:r w:rsidR="001F597E">
        <w:t>.</w:t>
      </w:r>
      <w:r w:rsidR="000C1531">
        <w:t>)</w:t>
      </w:r>
      <w:r w:rsidR="00350166">
        <w:t xml:space="preserve"> </w:t>
      </w:r>
    </w:p>
    <w:p w14:paraId="63A1553E" w14:textId="69B7A922" w:rsidR="00276DA0" w:rsidRPr="00261711" w:rsidRDefault="005116F4" w:rsidP="0025237B">
      <w:pPr>
        <w:spacing w:line="360" w:lineRule="auto"/>
      </w:pPr>
      <w:r>
        <w:tab/>
      </w:r>
      <w:r w:rsidR="00FA61B9">
        <w:t xml:space="preserve">In Owen’s sworn declaration in opposition to Blue Mountain’s motion for a preliminary injunction, </w:t>
      </w:r>
      <w:r w:rsidR="008C16FF">
        <w:t xml:space="preserve">Owen acknowledged that he had negotiated a “joint venture with the Meyer </w:t>
      </w:r>
      <w:r w:rsidR="009965DA">
        <w:t>Corporation</w:t>
      </w:r>
      <w:r w:rsidR="008C16FF">
        <w:t xml:space="preserve">” </w:t>
      </w:r>
      <w:r w:rsidR="00726407">
        <w:t xml:space="preserve">and that the Contribution Agreement was the first step </w:t>
      </w:r>
      <w:r w:rsidR="008B3083">
        <w:t xml:space="preserve">in the achievement of that joint venture. </w:t>
      </w:r>
      <w:r w:rsidR="009C3CEA">
        <w:t xml:space="preserve"> Owen declared: </w:t>
      </w:r>
      <w:r w:rsidR="00584150">
        <w:t xml:space="preserve"> </w:t>
      </w:r>
      <w:r w:rsidR="009C3CEA">
        <w:t>“Over the course of several months, we negotiated four contracts, all of which were prepared by Plaintiff Blue Mountain Enterprises, LLC</w:t>
      </w:r>
      <w:r w:rsidR="007C77B8">
        <w:t xml:space="preserve">’s </w:t>
      </w:r>
      <w:r w:rsidR="00584150">
        <w:t>. . .</w:t>
      </w:r>
      <w:r w:rsidR="00B54474">
        <w:t xml:space="preserve"> parent company’s counsel.  </w:t>
      </w:r>
      <w:r w:rsidR="00B54474">
        <w:rPr>
          <w:b/>
          <w:bCs/>
          <w:u w:val="single"/>
        </w:rPr>
        <w:t>First,</w:t>
      </w:r>
      <w:r w:rsidR="00B54474">
        <w:t xml:space="preserve"> under the Contribution Agreement, I moved </w:t>
      </w:r>
      <w:r w:rsidR="000B1775">
        <w:t>my</w:t>
      </w:r>
      <w:r w:rsidR="00B54474">
        <w:t xml:space="preserve"> ownership of the </w:t>
      </w:r>
      <w:r w:rsidR="00AC7784">
        <w:t>[</w:t>
      </w:r>
      <w:r w:rsidR="00424029">
        <w:t>Blue Mountain Entities</w:t>
      </w:r>
      <w:r w:rsidR="00AC7784">
        <w:t>]</w:t>
      </w:r>
      <w:r w:rsidR="00424029">
        <w:t xml:space="preserve"> into an LLC known as </w:t>
      </w:r>
      <w:r w:rsidR="007543EC">
        <w:t>[</w:t>
      </w:r>
      <w:r w:rsidR="00424029">
        <w:t>Blue Mountain</w:t>
      </w:r>
      <w:r w:rsidR="007543EC">
        <w:t>]</w:t>
      </w:r>
      <w:r w:rsidR="00424029">
        <w:t>.</w:t>
      </w:r>
      <w:r w:rsidR="007543EC">
        <w:t xml:space="preserve"> </w:t>
      </w:r>
      <w:r w:rsidR="00584150">
        <w:t xml:space="preserve"> </w:t>
      </w:r>
      <w:r w:rsidR="007543EC">
        <w:t xml:space="preserve">[Blue Mountain] </w:t>
      </w:r>
      <w:r w:rsidR="0022021E">
        <w:t xml:space="preserve">did not exist prior to the transaction.” </w:t>
      </w:r>
      <w:r w:rsidR="00424029">
        <w:t xml:space="preserve"> </w:t>
      </w:r>
      <w:r w:rsidR="00765F6C">
        <w:t xml:space="preserve">Owen </w:t>
      </w:r>
      <w:r w:rsidR="00241FF9">
        <w:t>then</w:t>
      </w:r>
      <w:r w:rsidR="00765F6C">
        <w:t xml:space="preserve"> detailed the other three contracts that together constituted the joint venture. </w:t>
      </w:r>
      <w:r w:rsidR="00BC594E">
        <w:t xml:space="preserve"> As the trial court aptly </w:t>
      </w:r>
      <w:r w:rsidR="00233AD7">
        <w:t xml:space="preserve">recognized: </w:t>
      </w:r>
      <w:r w:rsidR="00553CBE">
        <w:t xml:space="preserve"> </w:t>
      </w:r>
      <w:r w:rsidR="00233AD7">
        <w:t>“</w:t>
      </w:r>
      <w:r w:rsidR="00937B19">
        <w:t>The evidence is clear that four contracts were drafted and contemporaneously executed</w:t>
      </w:r>
      <w:r w:rsidR="008E337D">
        <w:t xml:space="preserve"> in contemplation of a global business deal.  Owen previously acknowledged this and cannot in good faith create a controverted fact by submitting a declaration that conflicts with his prior declaration as well as the contracts in evidence.”</w:t>
      </w:r>
      <w:r>
        <w:rPr>
          <w:rStyle w:val="FootnoteReference"/>
        </w:rPr>
        <w:footnoteReference w:id="7"/>
      </w:r>
      <w:r w:rsidR="008E337D">
        <w:t xml:space="preserve"> </w:t>
      </w:r>
    </w:p>
    <w:p w14:paraId="7FCF1926" w14:textId="2277B50C" w:rsidR="00177973" w:rsidRDefault="005116F4" w:rsidP="0025237B">
      <w:pPr>
        <w:spacing w:line="360" w:lineRule="auto"/>
      </w:pPr>
      <w:r>
        <w:tab/>
      </w:r>
      <w:r w:rsidR="005924C9">
        <w:t xml:space="preserve">Owen’s invocation of the subsequent sale of </w:t>
      </w:r>
      <w:r w:rsidR="00291148">
        <w:t xml:space="preserve">a </w:t>
      </w:r>
      <w:r w:rsidR="00553CBE">
        <w:t xml:space="preserve">50 </w:t>
      </w:r>
      <w:r w:rsidR="00291148">
        <w:t xml:space="preserve">percent ownership interest in Blue Mountain </w:t>
      </w:r>
      <w:r w:rsidR="005924C9">
        <w:t xml:space="preserve">to Acolyte misses the point.  </w:t>
      </w:r>
      <w:r w:rsidR="004C0C0B" w:rsidRPr="000F1A0A">
        <w:t>The question here is whether</w:t>
      </w:r>
      <w:r w:rsidR="004C0C0B">
        <w:t>, as a matter of law,</w:t>
      </w:r>
      <w:r w:rsidR="004C0C0B" w:rsidRPr="000F1A0A">
        <w:t xml:space="preserve"> </w:t>
      </w:r>
      <w:r w:rsidR="004C0C0B">
        <w:t>Owen</w:t>
      </w:r>
      <w:r w:rsidR="004C0C0B" w:rsidRPr="000F1A0A">
        <w:t xml:space="preserve"> </w:t>
      </w:r>
      <w:r w:rsidR="004C0C0B">
        <w:t>“</w:t>
      </w:r>
      <w:r w:rsidR="004C0C0B" w:rsidRPr="000F1A0A">
        <w:t>sold</w:t>
      </w:r>
      <w:r w:rsidR="004C0C0B">
        <w:t>”</w:t>
      </w:r>
      <w:r w:rsidR="004C0C0B" w:rsidRPr="000F1A0A">
        <w:t xml:space="preserve"> or </w:t>
      </w:r>
      <w:r w:rsidR="004C0C0B">
        <w:t>“</w:t>
      </w:r>
      <w:r w:rsidR="004C0C0B" w:rsidRPr="000F1A0A">
        <w:t>otherwise disposed</w:t>
      </w:r>
      <w:r w:rsidR="004C0C0B">
        <w:t xml:space="preserve"> of”</w:t>
      </w:r>
      <w:r w:rsidR="004C0C0B" w:rsidRPr="000F1A0A">
        <w:t xml:space="preserve"> </w:t>
      </w:r>
      <w:r w:rsidR="004C0C0B">
        <w:t xml:space="preserve">all of </w:t>
      </w:r>
      <w:r w:rsidR="004C0C0B" w:rsidRPr="000F1A0A">
        <w:t xml:space="preserve">his </w:t>
      </w:r>
      <w:r w:rsidR="004C0C0B">
        <w:t>businesses</w:t>
      </w:r>
      <w:r w:rsidR="004C0C0B" w:rsidRPr="000F1A0A">
        <w:t xml:space="preserve"> </w:t>
      </w:r>
      <w:r w:rsidR="004C0C0B">
        <w:t xml:space="preserve">interests </w:t>
      </w:r>
      <w:r w:rsidR="004C0C0B" w:rsidRPr="000F1A0A">
        <w:t>when</w:t>
      </w:r>
      <w:r w:rsidR="004C0C0B">
        <w:t xml:space="preserve">, pursuant to the Contribution Agreement, he </w:t>
      </w:r>
      <w:r w:rsidR="004C0C0B">
        <w:lastRenderedPageBreak/>
        <w:t xml:space="preserve">conveyed all of his ownership </w:t>
      </w:r>
      <w:r w:rsidR="00AD031E">
        <w:t>stake</w:t>
      </w:r>
      <w:r w:rsidR="004C0C0B">
        <w:t xml:space="preserve"> in his various companies to Blue Mountain. </w:t>
      </w:r>
      <w:r w:rsidR="00994D91">
        <w:t xml:space="preserve"> </w:t>
      </w:r>
      <w:r w:rsidR="00A4555E">
        <w:t xml:space="preserve">While Owen initially retained ownership of all of Blue Mountain’s membership shares (for four days), he did so by conveying his personal ownership </w:t>
      </w:r>
      <w:r w:rsidR="0060115F">
        <w:t>in</w:t>
      </w:r>
      <w:r w:rsidR="00A4555E">
        <w:t xml:space="preserve"> all of the Blue Mountain Entities to Blue Mountain LLC, a separate and distinct legal entity.  </w:t>
      </w:r>
      <w:r w:rsidR="0060115F">
        <w:t xml:space="preserve">(See </w:t>
      </w:r>
      <w:r w:rsidR="0060115F" w:rsidRPr="005E07F7">
        <w:rPr>
          <w:i/>
          <w:iCs/>
        </w:rPr>
        <w:t xml:space="preserve">Curci Investments, LLC v. Baldwin </w:t>
      </w:r>
      <w:r w:rsidR="0060115F">
        <w:t>(2017) 14 Cal.App.5th 214, 220 [“Ordinarily a corporation is considered a separate legal entity, distinct from its stockholders, officers and directors, with separate and distinct liabilities and obligations.  [Citation.]  The same is true of a limited liability company (LLC) and its members and managers.”</w:t>
      </w:r>
      <w:r w:rsidR="0019004D">
        <w:t xml:space="preserve">].)  </w:t>
      </w:r>
      <w:r w:rsidR="00A4555E">
        <w:t xml:space="preserve">Contrary to Owen’s contentions on appeal, he received valuable consideration </w:t>
      </w:r>
      <w:r w:rsidR="0002259F">
        <w:t xml:space="preserve">in return for his contribution by receiving </w:t>
      </w:r>
      <w:r w:rsidR="00A4555E">
        <w:t xml:space="preserve">a 100 percent membership interest in the new company.  (See </w:t>
      </w:r>
      <w:r w:rsidR="00A4555E" w:rsidRPr="006D4C02">
        <w:rPr>
          <w:i/>
          <w:iCs/>
        </w:rPr>
        <w:t>Hilb, Rogal &amp; Hamilton Ins. Servs. v. Robb</w:t>
      </w:r>
      <w:r w:rsidR="00A4555E">
        <w:t xml:space="preserve"> (1995) 33</w:t>
      </w:r>
      <w:r w:rsidR="00E65088">
        <w:t> </w:t>
      </w:r>
      <w:r w:rsidR="00A4555E">
        <w:t>Cal.App.4th 1812, 1824 (</w:t>
      </w:r>
      <w:r w:rsidR="00A4555E" w:rsidRPr="005F2BA6">
        <w:rPr>
          <w:i/>
          <w:iCs/>
        </w:rPr>
        <w:t>Hilb</w:t>
      </w:r>
      <w:r w:rsidR="00A4555E">
        <w:t xml:space="preserve">) </w:t>
      </w:r>
      <w:r w:rsidR="00BC3F48">
        <w:t>[</w:t>
      </w:r>
      <w:r w:rsidR="00A4555E">
        <w:t>discussed below</w:t>
      </w:r>
      <w:r w:rsidR="00BC3F48">
        <w:t>]</w:t>
      </w:r>
      <w:r w:rsidR="00A4555E">
        <w:t>.</w:t>
      </w:r>
      <w:r w:rsidR="00E65088">
        <w:t>)</w:t>
      </w:r>
      <w:r w:rsidR="00A4555E">
        <w:t xml:space="preserve">  Owen unquestionably “sold” or “otherwise disposed of” his entire ownership stake in the Blue Mountain Entities when he conveyed that interest to Blue Mountain</w:t>
      </w:r>
      <w:r w:rsidR="00A22121">
        <w:t xml:space="preserve"> under the Contribution Agreement</w:t>
      </w:r>
      <w:r w:rsidR="00A4555E">
        <w:t>.  (</w:t>
      </w:r>
      <w:r w:rsidR="00A4555E">
        <w:rPr>
          <w:i/>
          <w:iCs/>
        </w:rPr>
        <w:t>Ibid.</w:t>
      </w:r>
      <w:r w:rsidR="00A4555E">
        <w:t>)</w:t>
      </w:r>
    </w:p>
    <w:p w14:paraId="62F85F56" w14:textId="55321AAE" w:rsidR="009720B4" w:rsidRDefault="005116F4" w:rsidP="0025237B">
      <w:pPr>
        <w:spacing w:line="360" w:lineRule="auto"/>
      </w:pPr>
      <w:r>
        <w:tab/>
      </w:r>
      <w:r w:rsidR="00DD5382">
        <w:t>Owen seeks to avoid this result</w:t>
      </w:r>
      <w:r>
        <w:t xml:space="preserve"> by </w:t>
      </w:r>
      <w:r w:rsidR="00DD5382">
        <w:t xml:space="preserve">asserting that Acolyte is “the party through which Blue Mountain sought to enforce the allegedly anticompetitive covenant.”  Not so.  The plaintiff in this case is Blue Mountain, the </w:t>
      </w:r>
      <w:r w:rsidR="00C75795">
        <w:t xml:space="preserve">sole </w:t>
      </w:r>
      <w:r w:rsidR="00DD5382">
        <w:t>entity that acquired all of Owen’s business interests under the Contribution Agreement and assumed contractual obligations with Owen under the Employment Agreement at issue in this appeal.</w:t>
      </w:r>
      <w:r w:rsidR="00197F83">
        <w:t xml:space="preserve">  </w:t>
      </w:r>
    </w:p>
    <w:p w14:paraId="75842AD7" w14:textId="5D2E69BD" w:rsidR="00F14F86" w:rsidRDefault="005116F4" w:rsidP="00DC55B9">
      <w:pPr>
        <w:spacing w:line="360" w:lineRule="auto"/>
      </w:pPr>
      <w:r>
        <w:tab/>
      </w:r>
      <w:r w:rsidR="00741963">
        <w:t xml:space="preserve">Owen also </w:t>
      </w:r>
      <w:r w:rsidR="0021649A">
        <w:t>challenges</w:t>
      </w:r>
      <w:r w:rsidR="00DC55B9">
        <w:t xml:space="preserve"> </w:t>
      </w:r>
      <w:r w:rsidR="00160328">
        <w:t xml:space="preserve">whether </w:t>
      </w:r>
      <w:r w:rsidR="00DC55B9">
        <w:t xml:space="preserve">Blue Mountain can enforce </w:t>
      </w:r>
      <w:r w:rsidR="00616201">
        <w:t xml:space="preserve">a </w:t>
      </w:r>
      <w:r w:rsidR="00BC6915">
        <w:t>nonsolicitation covenant</w:t>
      </w:r>
      <w:r w:rsidR="00616201">
        <w:t xml:space="preserve"> </w:t>
      </w:r>
      <w:r w:rsidR="0021649A">
        <w:t xml:space="preserve">that is </w:t>
      </w:r>
      <w:r w:rsidR="00616201">
        <w:t>contained in the Employment Agreement</w:t>
      </w:r>
      <w:r>
        <w:t xml:space="preserve"> rather than the </w:t>
      </w:r>
      <w:r w:rsidR="00616201">
        <w:t xml:space="preserve">Contribution Agreement.  </w:t>
      </w:r>
      <w:r w:rsidR="007559A7">
        <w:t>As discussed</w:t>
      </w:r>
      <w:r w:rsidR="00CA6A5D">
        <w:t xml:space="preserve"> above</w:t>
      </w:r>
      <w:r w:rsidR="007559A7">
        <w:t xml:space="preserve">, </w:t>
      </w:r>
      <w:r w:rsidR="00CF347B">
        <w:t>the Contribution Agreement was part of a global joint venture comprised of four interrelated contracts</w:t>
      </w:r>
      <w:r w:rsidR="009031A9">
        <w:t xml:space="preserve"> that must be read together.  </w:t>
      </w:r>
      <w:r w:rsidR="00FF5296">
        <w:t xml:space="preserve">Blue Mountain’s ability to </w:t>
      </w:r>
      <w:r w:rsidR="00FF5296">
        <w:lastRenderedPageBreak/>
        <w:t xml:space="preserve">enforce the nonsolicitation </w:t>
      </w:r>
      <w:r w:rsidR="00003F03">
        <w:t>covenant</w:t>
      </w:r>
      <w:r w:rsidR="00FF5296">
        <w:t xml:space="preserve"> is not </w:t>
      </w:r>
      <w:r>
        <w:t xml:space="preserve">undone </w:t>
      </w:r>
      <w:r w:rsidR="00561EAE">
        <w:t xml:space="preserve">by the fact that this provision is found in </w:t>
      </w:r>
      <w:r>
        <w:t xml:space="preserve">one contract </w:t>
      </w:r>
      <w:r w:rsidR="008114B7">
        <w:t xml:space="preserve">in </w:t>
      </w:r>
      <w:r w:rsidR="00C32F8A">
        <w:t>a multi-contrac</w:t>
      </w:r>
      <w:r w:rsidR="00FE6E60">
        <w:t xml:space="preserve">t </w:t>
      </w:r>
      <w:r w:rsidR="00003F03">
        <w:t xml:space="preserve">joint </w:t>
      </w:r>
      <w:r w:rsidR="00FE6E60">
        <w:t>venture</w:t>
      </w:r>
      <w:r w:rsidR="008114B7">
        <w:t xml:space="preserve"> rather than another.  </w:t>
      </w:r>
    </w:p>
    <w:p w14:paraId="6E823032" w14:textId="51BACE6B" w:rsidR="00E24D1D" w:rsidRDefault="005116F4" w:rsidP="00D33B29">
      <w:pPr>
        <w:spacing w:line="360" w:lineRule="auto"/>
      </w:pPr>
      <w:r>
        <w:tab/>
      </w:r>
      <w:r w:rsidR="00A941DB" w:rsidRPr="006D4C02">
        <w:rPr>
          <w:i/>
          <w:iCs/>
        </w:rPr>
        <w:t>Hilb</w:t>
      </w:r>
      <w:r w:rsidR="00A941DB" w:rsidRPr="00312455">
        <w:t>,</w:t>
      </w:r>
      <w:r w:rsidR="00A941DB" w:rsidRPr="006D4C02">
        <w:rPr>
          <w:i/>
          <w:iCs/>
        </w:rPr>
        <w:t xml:space="preserve"> </w:t>
      </w:r>
      <w:r w:rsidR="00561EAE" w:rsidRPr="006D2B69">
        <w:rPr>
          <w:i/>
          <w:iCs/>
        </w:rPr>
        <w:t>supra</w:t>
      </w:r>
      <w:r w:rsidR="00561EAE" w:rsidRPr="00312455">
        <w:rPr>
          <w:i/>
          <w:iCs/>
        </w:rPr>
        <w:t xml:space="preserve">, </w:t>
      </w:r>
      <w:r w:rsidR="00A941DB">
        <w:t xml:space="preserve">33 Cal.App.4th 1812, </w:t>
      </w:r>
      <w:r>
        <w:t xml:space="preserve">is instructive.  </w:t>
      </w:r>
      <w:r w:rsidR="00FD250F">
        <w:t xml:space="preserve">In </w:t>
      </w:r>
      <w:r w:rsidR="00FD250F" w:rsidRPr="00D92109">
        <w:rPr>
          <w:i/>
          <w:iCs/>
        </w:rPr>
        <w:t>Hilb</w:t>
      </w:r>
      <w:r w:rsidR="00FD250F" w:rsidRPr="00312455">
        <w:t>,</w:t>
      </w:r>
      <w:r w:rsidR="00FD250F" w:rsidRPr="00D92109">
        <w:rPr>
          <w:i/>
          <w:iCs/>
        </w:rPr>
        <w:t xml:space="preserve"> </w:t>
      </w:r>
      <w:r w:rsidR="00356974">
        <w:t xml:space="preserve">the plaintiff </w:t>
      </w:r>
      <w:r w:rsidR="00FD250F">
        <w:t xml:space="preserve">acquired an insurance brokerage firm </w:t>
      </w:r>
      <w:r w:rsidR="002B005F">
        <w:t xml:space="preserve">that was </w:t>
      </w:r>
      <w:r w:rsidR="00FD250F">
        <w:t xml:space="preserve">co-owned by </w:t>
      </w:r>
      <w:r w:rsidR="00356974">
        <w:t>the defendant</w:t>
      </w:r>
      <w:r w:rsidR="00FD250F">
        <w:t xml:space="preserve">. </w:t>
      </w:r>
      <w:r w:rsidR="00E95C65">
        <w:t xml:space="preserve"> </w:t>
      </w:r>
      <w:r w:rsidR="00FD250F">
        <w:t xml:space="preserve">As part of the acquisition, </w:t>
      </w:r>
      <w:r w:rsidR="00356974">
        <w:t>the parties</w:t>
      </w:r>
      <w:r w:rsidR="00FD250F">
        <w:t xml:space="preserve"> executed a merger agreement</w:t>
      </w:r>
      <w:r w:rsidR="00250275">
        <w:t>.</w:t>
      </w:r>
      <w:r w:rsidR="00FD250F">
        <w:t xml:space="preserve"> </w:t>
      </w:r>
      <w:r w:rsidR="00250275">
        <w:t xml:space="preserve"> T</w:t>
      </w:r>
      <w:r w:rsidR="00FD250F">
        <w:t xml:space="preserve">he merger agreement did not contain a covenant not to compete but required </w:t>
      </w:r>
      <w:r w:rsidR="00250275">
        <w:t>the defendant</w:t>
      </w:r>
      <w:r w:rsidR="00FD250F">
        <w:t xml:space="preserve"> to sign a separate employment contract. </w:t>
      </w:r>
      <w:r w:rsidR="00E95C65">
        <w:t xml:space="preserve"> </w:t>
      </w:r>
      <w:r w:rsidR="00FD250F">
        <w:t>(</w:t>
      </w:r>
      <w:r w:rsidR="00FD250F" w:rsidRPr="00250275">
        <w:rPr>
          <w:i/>
          <w:iCs/>
        </w:rPr>
        <w:t>Id.</w:t>
      </w:r>
      <w:r w:rsidR="00FD250F">
        <w:t xml:space="preserve"> at p. 1817.)</w:t>
      </w:r>
      <w:r w:rsidR="00E95C65">
        <w:t xml:space="preserve"> </w:t>
      </w:r>
      <w:r w:rsidR="00FD250F">
        <w:t xml:space="preserve"> The employment contract contained a </w:t>
      </w:r>
      <w:r w:rsidR="00BE5401">
        <w:t>noncompetition covenant</w:t>
      </w:r>
      <w:r w:rsidR="00FD250F">
        <w:t xml:space="preserve"> that extended for three years </w:t>
      </w:r>
      <w:r w:rsidR="00D102E1">
        <w:t>following the</w:t>
      </w:r>
      <w:r w:rsidR="00FD250F">
        <w:t xml:space="preserve"> termination of </w:t>
      </w:r>
      <w:r w:rsidR="00D92109">
        <w:t>the defendant’s</w:t>
      </w:r>
      <w:r w:rsidR="00FD250F">
        <w:t xml:space="preserve"> employment</w:t>
      </w:r>
      <w:r w:rsidR="001846D7">
        <w:t xml:space="preserve"> </w:t>
      </w:r>
      <w:r w:rsidR="009574A4">
        <w:t>with</w:t>
      </w:r>
      <w:r w:rsidR="001846D7">
        <w:t xml:space="preserve"> the new company</w:t>
      </w:r>
      <w:r w:rsidR="00D92109">
        <w:t xml:space="preserve">.  </w:t>
      </w:r>
      <w:r w:rsidR="00106449">
        <w:t xml:space="preserve">The defendant received </w:t>
      </w:r>
      <w:r w:rsidR="0034272B">
        <w:t xml:space="preserve">shares of the new </w:t>
      </w:r>
      <w:r w:rsidR="004B6F19">
        <w:t>company</w:t>
      </w:r>
      <w:r w:rsidR="0034272B">
        <w:t xml:space="preserve"> </w:t>
      </w:r>
      <w:r w:rsidR="004B6F19">
        <w:t xml:space="preserve">worth $245,000 </w:t>
      </w:r>
      <w:r w:rsidR="0034272B">
        <w:t xml:space="preserve">in </w:t>
      </w:r>
      <w:r w:rsidR="006D5F23">
        <w:t>exchange</w:t>
      </w:r>
      <w:r w:rsidR="0034272B">
        <w:t xml:space="preserve"> for transferring his </w:t>
      </w:r>
      <w:r w:rsidR="004B6F19">
        <w:t>shares</w:t>
      </w:r>
      <w:r w:rsidR="003522D8">
        <w:t xml:space="preserve"> in the sold company</w:t>
      </w:r>
      <w:r w:rsidR="006C3164">
        <w:t xml:space="preserve">.  He was also </w:t>
      </w:r>
      <w:r w:rsidR="00061754">
        <w:t>paid $52,500 in</w:t>
      </w:r>
      <w:r w:rsidR="00872E55">
        <w:t xml:space="preserve"> consideration for </w:t>
      </w:r>
      <w:r w:rsidR="00D3087F">
        <w:t xml:space="preserve">the covenant not to compete. </w:t>
      </w:r>
      <w:r w:rsidR="00FD250F">
        <w:t xml:space="preserve"> (</w:t>
      </w:r>
      <w:r w:rsidR="00FD250F" w:rsidRPr="00875B06">
        <w:rPr>
          <w:i/>
          <w:iCs/>
        </w:rPr>
        <w:t>Id.</w:t>
      </w:r>
      <w:r w:rsidR="00FD250F">
        <w:t xml:space="preserve"> at pp. 1817–1818.) </w:t>
      </w:r>
      <w:r w:rsidR="00E95C65">
        <w:t xml:space="preserve"> </w:t>
      </w:r>
      <w:r w:rsidR="00875B06">
        <w:t xml:space="preserve">After the defendant </w:t>
      </w:r>
      <w:r w:rsidR="00FD250F">
        <w:t>quit his job to work for a competitor</w:t>
      </w:r>
      <w:r w:rsidR="00875B06">
        <w:t>,</w:t>
      </w:r>
      <w:r w:rsidR="00FD250F">
        <w:t xml:space="preserve"> </w:t>
      </w:r>
      <w:r w:rsidR="00875B06">
        <w:t>the plaintiff sued</w:t>
      </w:r>
      <w:r w:rsidR="00FD250F">
        <w:t xml:space="preserve"> for misappropriation of trade secrets and breach of the employment contract</w:t>
      </w:r>
      <w:r w:rsidR="00875B06">
        <w:t>’</w:t>
      </w:r>
      <w:r w:rsidR="00FD250F">
        <w:t xml:space="preserve">s covenant not to compete. </w:t>
      </w:r>
      <w:r w:rsidR="00E95C65">
        <w:t xml:space="preserve"> </w:t>
      </w:r>
      <w:r w:rsidR="00FD250F">
        <w:t>(</w:t>
      </w:r>
      <w:r w:rsidR="00FD250F" w:rsidRPr="00875B06">
        <w:rPr>
          <w:i/>
          <w:iCs/>
        </w:rPr>
        <w:t>Id</w:t>
      </w:r>
      <w:r w:rsidR="00FD250F">
        <w:t>.</w:t>
      </w:r>
      <w:r w:rsidR="00E63E28">
        <w:t xml:space="preserve"> at p. 1818.</w:t>
      </w:r>
      <w:r w:rsidR="00FD250F">
        <w:t xml:space="preserve">) </w:t>
      </w:r>
      <w:r w:rsidR="00E95C65">
        <w:t xml:space="preserve"> </w:t>
      </w:r>
    </w:p>
    <w:p w14:paraId="3059DDE8" w14:textId="65695B6F" w:rsidR="00EF5F0B" w:rsidRDefault="005116F4" w:rsidP="00ED77EB">
      <w:pPr>
        <w:spacing w:line="360" w:lineRule="auto"/>
      </w:pPr>
      <w:r>
        <w:tab/>
      </w:r>
      <w:r w:rsidR="006655A2">
        <w:t xml:space="preserve">The appellate court upheld </w:t>
      </w:r>
      <w:r w:rsidR="00D33B29">
        <w:t>the trial court’s denial of a motion for a preliminary in</w:t>
      </w:r>
      <w:r w:rsidR="00400EC1">
        <w:t>junction</w:t>
      </w:r>
      <w:r w:rsidR="00424F78">
        <w:t>, finding</w:t>
      </w:r>
      <w:r w:rsidR="002E5F44">
        <w:t xml:space="preserve"> that the </w:t>
      </w:r>
      <w:r w:rsidR="00A97C8C">
        <w:t xml:space="preserve">harm to the defendant </w:t>
      </w:r>
      <w:r w:rsidR="00D709ED">
        <w:t xml:space="preserve">in enforcing the noncompetition covenant </w:t>
      </w:r>
      <w:r w:rsidR="00A97C8C">
        <w:t>tipped decidedly in favor of not issuing an injunction</w:t>
      </w:r>
      <w:r w:rsidR="00432E9C">
        <w:t xml:space="preserve">. </w:t>
      </w:r>
      <w:r w:rsidR="001F272D">
        <w:t xml:space="preserve"> (</w:t>
      </w:r>
      <w:r w:rsidR="001F272D" w:rsidRPr="006D4C02">
        <w:rPr>
          <w:i/>
          <w:iCs/>
        </w:rPr>
        <w:t xml:space="preserve">Hilb, </w:t>
      </w:r>
      <w:r w:rsidR="001F272D" w:rsidRPr="00971612">
        <w:rPr>
          <w:i/>
          <w:iCs/>
        </w:rPr>
        <w:t>supra</w:t>
      </w:r>
      <w:r w:rsidR="001F272D">
        <w:t xml:space="preserve">, 33 Cal.App.4th at p. </w:t>
      </w:r>
      <w:r w:rsidR="002A26C6">
        <w:t xml:space="preserve">1822.)  </w:t>
      </w:r>
      <w:r w:rsidR="00A15F8C">
        <w:t>T</w:t>
      </w:r>
      <w:r w:rsidR="00400EC1">
        <w:t xml:space="preserve">he </w:t>
      </w:r>
      <w:r w:rsidRPr="00E24D1D">
        <w:rPr>
          <w:i/>
          <w:iCs/>
        </w:rPr>
        <w:t>Hilb</w:t>
      </w:r>
      <w:r w:rsidR="00400EC1">
        <w:t xml:space="preserve"> court </w:t>
      </w:r>
      <w:r w:rsidR="00A15F8C">
        <w:t xml:space="preserve">then </w:t>
      </w:r>
      <w:r w:rsidR="00E13AEC">
        <w:t xml:space="preserve">elected to </w:t>
      </w:r>
      <w:r w:rsidR="00FD250F">
        <w:t>address certain legal issues to “clarify or narrow the issues for the trial court in any future proceedings.”</w:t>
      </w:r>
      <w:r>
        <w:t xml:space="preserve"> </w:t>
      </w:r>
      <w:r w:rsidR="00FD250F">
        <w:t xml:space="preserve"> (</w:t>
      </w:r>
      <w:r w:rsidRPr="003F3072">
        <w:rPr>
          <w:i/>
          <w:iCs/>
        </w:rPr>
        <w:t>Id.</w:t>
      </w:r>
      <w:r>
        <w:t xml:space="preserve"> </w:t>
      </w:r>
      <w:r w:rsidR="00FD250F">
        <w:t>at p. 1823.)</w:t>
      </w:r>
      <w:r>
        <w:t xml:space="preserve"> </w:t>
      </w:r>
      <w:r w:rsidR="00FD250F">
        <w:t xml:space="preserve"> </w:t>
      </w:r>
      <w:r w:rsidR="00402540">
        <w:t>The appellate court concluded that the defendant</w:t>
      </w:r>
      <w:r w:rsidR="00FF1C41">
        <w:t xml:space="preserve"> </w:t>
      </w:r>
      <w:r w:rsidR="00642ED1">
        <w:t xml:space="preserve">had </w:t>
      </w:r>
      <w:r w:rsidR="00FF1C41" w:rsidRPr="00FF1C41">
        <w:t xml:space="preserve">“sold” or “otherwise disposed of” his shares in the </w:t>
      </w:r>
      <w:r w:rsidR="006B4824">
        <w:t xml:space="preserve">insurance brokerage firm that was merged into the new firm.  </w:t>
      </w:r>
      <w:r w:rsidR="00121D18">
        <w:t xml:space="preserve">By exchanging </w:t>
      </w:r>
      <w:r w:rsidR="005335FD">
        <w:t xml:space="preserve">his shares </w:t>
      </w:r>
      <w:r w:rsidR="00FF0BFE">
        <w:t xml:space="preserve">in the sold company for shares in the new company, the defendant had received valuable consideration </w:t>
      </w:r>
      <w:r w:rsidR="00EB4BAB">
        <w:t xml:space="preserve">and had disposed of his entire ownership stake in the sold business.  </w:t>
      </w:r>
      <w:r w:rsidR="009E2177">
        <w:t>(</w:t>
      </w:r>
      <w:r w:rsidR="009E2177">
        <w:rPr>
          <w:i/>
          <w:iCs/>
        </w:rPr>
        <w:t>Id.</w:t>
      </w:r>
      <w:r w:rsidR="009E2177">
        <w:t xml:space="preserve"> at p</w:t>
      </w:r>
      <w:r w:rsidR="00386018">
        <w:t>p. 1824</w:t>
      </w:r>
      <w:r w:rsidR="00EC550D">
        <w:t>–</w:t>
      </w:r>
      <w:r w:rsidR="00386018">
        <w:t xml:space="preserve">1825.)  </w:t>
      </w:r>
    </w:p>
    <w:p w14:paraId="2528DF52" w14:textId="700DDC46" w:rsidR="00E6348D" w:rsidRDefault="005116F4" w:rsidP="00ED77EB">
      <w:pPr>
        <w:spacing w:line="360" w:lineRule="auto"/>
      </w:pPr>
      <w:r>
        <w:lastRenderedPageBreak/>
        <w:tab/>
        <w:t xml:space="preserve">The </w:t>
      </w:r>
      <w:r>
        <w:rPr>
          <w:i/>
          <w:iCs/>
        </w:rPr>
        <w:t xml:space="preserve">Hilb </w:t>
      </w:r>
      <w:r>
        <w:t xml:space="preserve">court further concluded that </w:t>
      </w:r>
      <w:r w:rsidR="00FD250F">
        <w:t xml:space="preserve">placement of the covenant not to compete in the employment contract, rather than </w:t>
      </w:r>
      <w:r w:rsidR="008324A0">
        <w:t xml:space="preserve">in </w:t>
      </w:r>
      <w:r w:rsidR="00FD250F">
        <w:t>the merger agreement, did not affect the covenant</w:t>
      </w:r>
      <w:r w:rsidR="002307DA">
        <w:t>’</w:t>
      </w:r>
      <w:r w:rsidR="00FD250F">
        <w:t>s enforceability under section 16601</w:t>
      </w:r>
      <w:r w:rsidR="002307DA">
        <w:t>:</w:t>
      </w:r>
      <w:r w:rsidR="00EC550D">
        <w:t xml:space="preserve"> </w:t>
      </w:r>
      <w:r w:rsidR="002307DA">
        <w:t xml:space="preserve"> “</w:t>
      </w:r>
      <w:r w:rsidR="00FD250F">
        <w:t xml:space="preserve">As permitted by </w:t>
      </w:r>
      <w:r w:rsidR="002307DA">
        <w:t>[</w:t>
      </w:r>
      <w:r w:rsidR="00FD250F">
        <w:t>section 16601</w:t>
      </w:r>
      <w:r w:rsidR="002307DA">
        <w:t>]</w:t>
      </w:r>
      <w:r w:rsidR="00FD250F">
        <w:t xml:space="preserve">, </w:t>
      </w:r>
      <w:r w:rsidR="002307DA">
        <w:t>[the defendant]</w:t>
      </w:r>
      <w:r w:rsidR="00FD250F">
        <w:t xml:space="preserve"> agreed that after the merger, he would refrain from carrying on a business similar to the </w:t>
      </w:r>
      <w:r w:rsidR="00D76FA7">
        <w:t>[plaintiff</w:t>
      </w:r>
      <w:r w:rsidR="00115EA6">
        <w:t>’s business]</w:t>
      </w:r>
      <w:r w:rsidR="00FD250F">
        <w:t xml:space="preserve">. </w:t>
      </w:r>
      <w:r w:rsidR="00D76FA7">
        <w:t xml:space="preserve"> </w:t>
      </w:r>
      <w:r w:rsidR="00FD250F">
        <w:t xml:space="preserve">The validity of that covenant is not affected by its location in the employment contract rather than the merger agreement. </w:t>
      </w:r>
      <w:r w:rsidR="00115EA6">
        <w:t xml:space="preserve"> </w:t>
      </w:r>
      <w:r w:rsidR="00FD250F">
        <w:t xml:space="preserve">Nothing in section 16601 requires that the covenant be contained in a particular type of document. </w:t>
      </w:r>
      <w:r w:rsidR="00115EA6">
        <w:t xml:space="preserve"> </w:t>
      </w:r>
      <w:r w:rsidR="00FD250F">
        <w:t>The purpose of the statute is served as long as the covenant is executed in connection with the sale or disposition of all of the shareholder</w:t>
      </w:r>
      <w:r w:rsidR="00E84B68">
        <w:t>’</w:t>
      </w:r>
      <w:r w:rsidR="00FD250F">
        <w:t>s stock in the acquired corporation.</w:t>
      </w:r>
      <w:r w:rsidR="002A1244">
        <w:t>”  (</w:t>
      </w:r>
      <w:r w:rsidR="00EC550D">
        <w:rPr>
          <w:i/>
          <w:iCs/>
        </w:rPr>
        <w:t>Hilb</w:t>
      </w:r>
      <w:r w:rsidR="00EC550D">
        <w:t xml:space="preserve">, </w:t>
      </w:r>
      <w:r w:rsidR="00EC550D">
        <w:rPr>
          <w:i/>
          <w:iCs/>
        </w:rPr>
        <w:t>supra</w:t>
      </w:r>
      <w:r w:rsidR="00EC550D">
        <w:t>, 33 Cal.App.4th</w:t>
      </w:r>
      <w:r w:rsidR="008B4F8B">
        <w:t xml:space="preserve"> at pp. 1825</w:t>
      </w:r>
      <w:r w:rsidR="00EC550D">
        <w:t>–</w:t>
      </w:r>
      <w:r w:rsidR="008B4F8B">
        <w:t>1826</w:t>
      </w:r>
      <w:r w:rsidR="002A1244">
        <w:t xml:space="preserve">; see also </w:t>
      </w:r>
      <w:r w:rsidR="00FD250F" w:rsidRPr="00242208">
        <w:rPr>
          <w:i/>
          <w:iCs/>
        </w:rPr>
        <w:t>Vacco Industries, Inc. v. Van Den Berg</w:t>
      </w:r>
      <w:r w:rsidR="00FD250F" w:rsidRPr="00242208">
        <w:t xml:space="preserve"> (1992) 5 Cal.App.4th 34, 42–43</w:t>
      </w:r>
      <w:r w:rsidR="00ED77EB">
        <w:t>,</w:t>
      </w:r>
      <w:r w:rsidR="00242208">
        <w:t xml:space="preserve"> 48</w:t>
      </w:r>
      <w:r w:rsidR="00E63E28">
        <w:t>;</w:t>
      </w:r>
      <w:r w:rsidR="00ED77EB">
        <w:t xml:space="preserve"> </w:t>
      </w:r>
      <w:r w:rsidR="00FD250F" w:rsidRPr="00B82A32">
        <w:rPr>
          <w:i/>
          <w:iCs/>
        </w:rPr>
        <w:t>Alliant Ins. Services, Inc. v. Gaddy</w:t>
      </w:r>
      <w:r w:rsidR="00FD250F">
        <w:t xml:space="preserve"> (2008) 159 </w:t>
      </w:r>
      <w:bookmarkStart w:id="0" w:name="_Hlk81474785"/>
      <w:r w:rsidR="00FD250F">
        <w:t xml:space="preserve">Cal.App.4th </w:t>
      </w:r>
      <w:bookmarkEnd w:id="0"/>
      <w:r w:rsidR="00FD250F">
        <w:t>1292, 1294</w:t>
      </w:r>
      <w:r w:rsidR="00952EB3">
        <w:t>;</w:t>
      </w:r>
      <w:r w:rsidR="004F5743">
        <w:t xml:space="preserve"> </w:t>
      </w:r>
      <w:r w:rsidR="00EC3876" w:rsidRPr="00567503">
        <w:rPr>
          <w:i/>
          <w:iCs/>
        </w:rPr>
        <w:t>Fillpoint v. Mass</w:t>
      </w:r>
      <w:r w:rsidR="00567503">
        <w:rPr>
          <w:i/>
          <w:iCs/>
        </w:rPr>
        <w:t xml:space="preserve"> </w:t>
      </w:r>
      <w:r w:rsidR="00567503">
        <w:t>(</w:t>
      </w:r>
      <w:r w:rsidR="00CD47EE">
        <w:t>2012</w:t>
      </w:r>
      <w:r w:rsidR="00567503">
        <w:t xml:space="preserve">) </w:t>
      </w:r>
      <w:r w:rsidR="00E86B73">
        <w:t xml:space="preserve">208 Cal.App.4th 1170, </w:t>
      </w:r>
      <w:r w:rsidR="00E1670B">
        <w:t>117</w:t>
      </w:r>
      <w:r w:rsidR="00567503">
        <w:t>8</w:t>
      </w:r>
      <w:r w:rsidR="00B63037">
        <w:t>–</w:t>
      </w:r>
      <w:r w:rsidR="00E1670B">
        <w:t>11</w:t>
      </w:r>
      <w:r w:rsidR="00567503">
        <w:t>81</w:t>
      </w:r>
      <w:r w:rsidR="00893CE0">
        <w:t>.)</w:t>
      </w:r>
    </w:p>
    <w:p w14:paraId="4789619F" w14:textId="0B22FF68" w:rsidR="00EB757E" w:rsidRDefault="005116F4" w:rsidP="008135F4">
      <w:pPr>
        <w:spacing w:line="360" w:lineRule="auto"/>
      </w:pPr>
      <w:r>
        <w:tab/>
      </w:r>
      <w:r w:rsidR="00AA10D5">
        <w:t>Here, t</w:t>
      </w:r>
      <w:r w:rsidR="00893CE0">
        <w:t>he trial court correctly found</w:t>
      </w:r>
      <w:r w:rsidR="00375FF1">
        <w:t xml:space="preserve"> that section 16601 applies as a matter of law because Owen “</w:t>
      </w:r>
      <w:r w:rsidR="00375FF1" w:rsidRPr="00643B1B">
        <w:t>dispos</w:t>
      </w:r>
      <w:r w:rsidR="00375FF1">
        <w:t>[ed]</w:t>
      </w:r>
      <w:r w:rsidR="00375FF1" w:rsidRPr="00643B1B">
        <w:t xml:space="preserve"> of all of his </w:t>
      </w:r>
      <w:r w:rsidR="00B63037">
        <w:t>. . .</w:t>
      </w:r>
      <w:r w:rsidR="00375FF1" w:rsidRPr="00643B1B">
        <w:t xml:space="preserve"> ownership interest</w:t>
      </w:r>
      <w:r w:rsidR="00375FF1">
        <w:t xml:space="preserve">” under the Contribution Agreement while </w:t>
      </w:r>
      <w:r w:rsidR="008C58E5">
        <w:t xml:space="preserve">concurrently agreeing under </w:t>
      </w:r>
      <w:r w:rsidR="00375FF1">
        <w:t xml:space="preserve">the Employment Agreement to “refrain from carrying on a similar business within a specified geographic area in which the business so sold.”  (§ 16601.)  </w:t>
      </w:r>
      <w:r w:rsidR="000D508D">
        <w:t>While</w:t>
      </w:r>
      <w:r w:rsidR="001B766A">
        <w:t xml:space="preserve"> </w:t>
      </w:r>
      <w:r w:rsidR="000D508D">
        <w:t xml:space="preserve">the </w:t>
      </w:r>
      <w:r w:rsidR="00F61EAC">
        <w:t xml:space="preserve">Contribution Agreement and the </w:t>
      </w:r>
      <w:r w:rsidR="00B76B24">
        <w:t>Employment</w:t>
      </w:r>
      <w:r w:rsidR="00F61EAC">
        <w:t xml:space="preserve"> Agreement</w:t>
      </w:r>
      <w:r w:rsidR="000D508D">
        <w:t xml:space="preserve"> do not cross-reference each other, it is undisputed that both </w:t>
      </w:r>
      <w:r w:rsidR="002E2F22">
        <w:t>contract</w:t>
      </w:r>
      <w:r w:rsidR="000D508D">
        <w:t>s,</w:t>
      </w:r>
      <w:r w:rsidR="00BB504A">
        <w:t xml:space="preserve"> along with </w:t>
      </w:r>
      <w:r w:rsidR="000E2FC4">
        <w:t>other contracts the parties executed in April 2011,</w:t>
      </w:r>
      <w:r w:rsidR="00255F83">
        <w:t xml:space="preserve"> </w:t>
      </w:r>
      <w:r w:rsidR="00BB504A">
        <w:t xml:space="preserve">were </w:t>
      </w:r>
      <w:r w:rsidR="008246F6">
        <w:t xml:space="preserve">drafted </w:t>
      </w:r>
      <w:r w:rsidR="00BB504A">
        <w:t xml:space="preserve">to </w:t>
      </w:r>
      <w:r>
        <w:t xml:space="preserve">accomplish </w:t>
      </w:r>
    </w:p>
    <w:p w14:paraId="3F62731F" w14:textId="558769E8" w:rsidR="005817C7" w:rsidRDefault="005116F4" w:rsidP="008135F4">
      <w:pPr>
        <w:spacing w:line="360" w:lineRule="auto"/>
      </w:pPr>
      <w:r>
        <w:t>the Blue Mountain</w:t>
      </w:r>
      <w:r w:rsidR="002B6F10">
        <w:t xml:space="preserve"> joint business venture.  </w:t>
      </w:r>
      <w:r w:rsidR="00415411">
        <w:t>As the trial court noted</w:t>
      </w:r>
      <w:r w:rsidR="009011FA">
        <w:t xml:space="preserve"> below</w:t>
      </w:r>
      <w:r w:rsidR="00415411">
        <w:t xml:space="preserve">, </w:t>
      </w:r>
      <w:r w:rsidR="00E03DB0" w:rsidRPr="00681AE9">
        <w:t>“</w:t>
      </w:r>
      <w:r w:rsidR="00847C59">
        <w:t>[</w:t>
      </w:r>
      <w:r w:rsidR="004D1C7F">
        <w:t xml:space="preserve">r]ules of contract interpretation require that when several contracts relating to the same matters are made between the same parties and as parts of substantially one transaction, the contracts are </w:t>
      </w:r>
      <w:r w:rsidR="005406BA">
        <w:t xml:space="preserve">to be construed together.  </w:t>
      </w:r>
      <w:r w:rsidR="00E03DB0" w:rsidRPr="00681AE9">
        <w:t>(Civ. Code, § 1642</w:t>
      </w:r>
      <w:r w:rsidR="00E03DB0">
        <w:t>.</w:t>
      </w:r>
      <w:r w:rsidR="00E03DB0" w:rsidRPr="00681AE9">
        <w:t>)</w:t>
      </w:r>
      <w:r w:rsidR="005406BA">
        <w:t>”</w:t>
      </w:r>
      <w:r w:rsidR="00415411">
        <w:t xml:space="preserve"> </w:t>
      </w:r>
    </w:p>
    <w:p w14:paraId="7FCB8987" w14:textId="53CBB04E" w:rsidR="00151138" w:rsidRDefault="005116F4" w:rsidP="008135F4">
      <w:pPr>
        <w:spacing w:line="360" w:lineRule="auto"/>
      </w:pPr>
      <w:r>
        <w:lastRenderedPageBreak/>
        <w:tab/>
      </w:r>
      <w:r w:rsidR="00271339">
        <w:t xml:space="preserve">In sum, </w:t>
      </w:r>
      <w:r w:rsidR="00C21362">
        <w:t xml:space="preserve">Blue Mountain </w:t>
      </w:r>
      <w:r w:rsidR="000A2473">
        <w:t xml:space="preserve">has </w:t>
      </w:r>
      <w:r w:rsidR="00C21362">
        <w:t>established that no material dispute existed as to the enforceability of the contractual provision prohibiting Owen from soliciting</w:t>
      </w:r>
      <w:r w:rsidR="00A23BB6">
        <w:t xml:space="preserve"> </w:t>
      </w:r>
      <w:r w:rsidR="00C21362">
        <w:t>Blue Mountain</w:t>
      </w:r>
      <w:r>
        <w:t>’s</w:t>
      </w:r>
      <w:r w:rsidR="00C21362">
        <w:t xml:space="preserve"> </w:t>
      </w:r>
      <w:r w:rsidR="00A23BB6">
        <w:t xml:space="preserve">customers. </w:t>
      </w:r>
    </w:p>
    <w:p w14:paraId="5BDF93FA" w14:textId="7A8379E2" w:rsidR="00AE0B40" w:rsidRPr="00AE0B40" w:rsidRDefault="005116F4" w:rsidP="00486498">
      <w:pPr>
        <w:spacing w:line="360" w:lineRule="auto"/>
        <w:rPr>
          <w:b/>
          <w:bCs/>
          <w:i/>
          <w:iCs/>
        </w:rPr>
      </w:pPr>
      <w:r>
        <w:rPr>
          <w:b/>
          <w:bCs/>
          <w:i/>
          <w:iCs/>
        </w:rPr>
        <w:tab/>
      </w:r>
      <w:r w:rsidRPr="00AE0B40">
        <w:rPr>
          <w:b/>
          <w:bCs/>
          <w:i/>
          <w:iCs/>
        </w:rPr>
        <w:t>i</w:t>
      </w:r>
      <w:r w:rsidR="00667089">
        <w:rPr>
          <w:b/>
          <w:bCs/>
          <w:i/>
          <w:iCs/>
        </w:rPr>
        <w:t>ii</w:t>
      </w:r>
      <w:r w:rsidRPr="00AE0B40">
        <w:rPr>
          <w:b/>
          <w:bCs/>
          <w:i/>
          <w:iCs/>
        </w:rPr>
        <w:t>.</w:t>
      </w:r>
      <w:r w:rsidRPr="00AE0B40">
        <w:rPr>
          <w:b/>
          <w:bCs/>
          <w:i/>
          <w:iCs/>
        </w:rPr>
        <w:tab/>
        <w:t xml:space="preserve">Announcement </w:t>
      </w:r>
      <w:r w:rsidR="00FF2DE2">
        <w:rPr>
          <w:b/>
          <w:bCs/>
          <w:i/>
          <w:iCs/>
        </w:rPr>
        <w:t xml:space="preserve">of Silvermark </w:t>
      </w:r>
      <w:r w:rsidRPr="00AE0B40">
        <w:rPr>
          <w:b/>
          <w:bCs/>
          <w:i/>
          <w:iCs/>
        </w:rPr>
        <w:t xml:space="preserve">Was </w:t>
      </w:r>
      <w:r w:rsidR="00006D9C">
        <w:rPr>
          <w:b/>
          <w:bCs/>
          <w:i/>
          <w:iCs/>
        </w:rPr>
        <w:t>a</w:t>
      </w:r>
      <w:r w:rsidR="00006D9C" w:rsidRPr="00AE0B40">
        <w:rPr>
          <w:b/>
          <w:bCs/>
          <w:i/>
          <w:iCs/>
        </w:rPr>
        <w:t xml:space="preserve"> </w:t>
      </w:r>
      <w:r w:rsidRPr="00AE0B40">
        <w:rPr>
          <w:b/>
          <w:bCs/>
          <w:i/>
          <w:iCs/>
        </w:rPr>
        <w:t>Solicitation</w:t>
      </w:r>
    </w:p>
    <w:p w14:paraId="273878F6" w14:textId="284C4808" w:rsidR="00D56893" w:rsidRDefault="005116F4" w:rsidP="00D56893">
      <w:pPr>
        <w:spacing w:line="360" w:lineRule="auto"/>
      </w:pPr>
      <w:r>
        <w:tab/>
      </w:r>
      <w:r w:rsidR="00EA4E08">
        <w:t xml:space="preserve">Owen </w:t>
      </w:r>
      <w:r w:rsidR="00DB763E">
        <w:t xml:space="preserve">next </w:t>
      </w:r>
      <w:r>
        <w:t xml:space="preserve">asserts that the trial court erred in holding as a matter of law that the </w:t>
      </w:r>
      <w:r w:rsidR="00EA4E08">
        <w:t xml:space="preserve">Silvermark </w:t>
      </w:r>
      <w:r w:rsidR="00DB44B0">
        <w:t>letter</w:t>
      </w:r>
      <w:r>
        <w:t xml:space="preserve"> he sent to </w:t>
      </w:r>
      <w:r w:rsidR="00EA4E08">
        <w:t>Blue Mountain’s customers</w:t>
      </w:r>
      <w:r>
        <w:t xml:space="preserve"> constituted a “solicitation</w:t>
      </w:r>
      <w:r w:rsidR="00EA4E08">
        <w:t>,</w:t>
      </w:r>
      <w:r>
        <w:t xml:space="preserve">” </w:t>
      </w:r>
      <w:r w:rsidR="00EA4E08">
        <w:t xml:space="preserve">contending that </w:t>
      </w:r>
      <w:r w:rsidR="000201CD">
        <w:t>a fact</w:t>
      </w:r>
      <w:r w:rsidR="00006D9C">
        <w:t xml:space="preserve"> </w:t>
      </w:r>
      <w:r w:rsidR="000201CD">
        <w:t>finder could</w:t>
      </w:r>
      <w:r w:rsidR="00B556E0">
        <w:t xml:space="preserve"> conclude that the letter</w:t>
      </w:r>
      <w:r w:rsidR="00EA4E08">
        <w:t xml:space="preserve"> was </w:t>
      </w:r>
      <w:r w:rsidR="00AB508C">
        <w:t xml:space="preserve">merely </w:t>
      </w:r>
      <w:r>
        <w:t xml:space="preserve">a nonactionable advertisement. </w:t>
      </w:r>
      <w:r w:rsidR="00482E11">
        <w:t xml:space="preserve"> We disagree.</w:t>
      </w:r>
    </w:p>
    <w:p w14:paraId="2EB6E244" w14:textId="24715961" w:rsidR="007E7922" w:rsidRDefault="005116F4" w:rsidP="00D56893">
      <w:pPr>
        <w:spacing w:line="360" w:lineRule="auto"/>
      </w:pPr>
      <w:r>
        <w:tab/>
        <w:t xml:space="preserve">The trial court </w:t>
      </w:r>
      <w:r w:rsidR="00A85060">
        <w:t xml:space="preserve">found the letter was </w:t>
      </w:r>
      <w:r w:rsidR="00482E11">
        <w:t xml:space="preserve">clearly </w:t>
      </w:r>
      <w:r w:rsidR="00A85060">
        <w:t xml:space="preserve">a </w:t>
      </w:r>
      <w:r w:rsidR="00B76B24">
        <w:t>solicitation</w:t>
      </w:r>
      <w:r w:rsidR="00A85060">
        <w:t xml:space="preserve">: </w:t>
      </w:r>
      <w:r w:rsidR="008B4DA3">
        <w:t xml:space="preserve"> </w:t>
      </w:r>
      <w:r w:rsidR="00A85060">
        <w:t>“</w:t>
      </w:r>
      <w:r w:rsidR="001E3074">
        <w:t>In this case, it is undisputed that the letter emailed by [Owen</w:t>
      </w:r>
      <w:r w:rsidR="00DB44B0">
        <w:t>]</w:t>
      </w:r>
      <w:r w:rsidR="001E3074">
        <w:t xml:space="preserve"> was not sent to the public at large, but targeted to business members of the building trade who purchase HVAC systems </w:t>
      </w:r>
      <w:r w:rsidR="00B76B24">
        <w:t>which</w:t>
      </w:r>
      <w:r w:rsidR="001E3074">
        <w:t xml:space="preserve"> included Legacy Customers of [Blue Mountain].  Further, the evidence shows the </w:t>
      </w:r>
      <w:r w:rsidR="00B76B24">
        <w:t>emails</w:t>
      </w:r>
      <w:r w:rsidR="001E3074">
        <w:t xml:space="preserve"> were not sent generically </w:t>
      </w:r>
      <w:r w:rsidR="00F9687B">
        <w:t xml:space="preserve">to the businesses, but were emailed to multiple individuals within each business.  </w:t>
      </w:r>
      <w:r w:rsidR="00F9687B" w:rsidRPr="00312BD0">
        <w:rPr>
          <w:i/>
          <w:iCs/>
        </w:rPr>
        <w:t>This individualized and targeted contact is not consistent with an advertisement or promotional activity directed to the public at large</w:t>
      </w:r>
      <w:r w:rsidR="00F9687B">
        <w:t xml:space="preserve">.”  </w:t>
      </w:r>
      <w:r w:rsidR="00312BD0">
        <w:t xml:space="preserve">(Italics added.)  </w:t>
      </w:r>
      <w:r w:rsidR="00CB7282">
        <w:t xml:space="preserve">The court concluded the letter constituted a solicitation as a matter of law because it “does more than simply announce a new affiliation; it ‘petitions, importunes and </w:t>
      </w:r>
      <w:r w:rsidR="00B76B24">
        <w:t>entreats</w:t>
      </w:r>
      <w:r w:rsidR="00CB7282">
        <w:t>’ to targeted individual employees of past customers, including Legacy Customers, to leave [Blue Mountain] for better opportunities at Silvermark</w:t>
      </w:r>
      <w:r w:rsidR="001044BA">
        <w:t>.</w:t>
      </w:r>
      <w:r w:rsidR="00CB7282">
        <w:t xml:space="preserve">” </w:t>
      </w:r>
    </w:p>
    <w:p w14:paraId="1C0BCBD8" w14:textId="7512F227" w:rsidR="00DB3E64" w:rsidRDefault="005116F4" w:rsidP="003677A8">
      <w:pPr>
        <w:spacing w:line="360" w:lineRule="auto"/>
      </w:pPr>
      <w:r>
        <w:tab/>
      </w:r>
      <w:r w:rsidR="007D46F6">
        <w:t xml:space="preserve">While there are no cases directly addressing </w:t>
      </w:r>
      <w:r w:rsidR="00A54529">
        <w:t>the meaning of “solicit”</w:t>
      </w:r>
      <w:r w:rsidR="004400DD">
        <w:t xml:space="preserve"> </w:t>
      </w:r>
      <w:r w:rsidR="00BC467F">
        <w:t>or “advertisement” in the context of section 16601,</w:t>
      </w:r>
      <w:r w:rsidR="00A54529">
        <w:t xml:space="preserve"> </w:t>
      </w:r>
      <w:r w:rsidR="00275BAE">
        <w:t>“</w:t>
      </w:r>
      <w:r w:rsidR="00BC467F">
        <w:t>[a]</w:t>
      </w:r>
      <w:r w:rsidR="00275BAE">
        <w:t>t common law, the boundary separating fair and unfair competition in the context of a protected customer list has been drawn at the distinction between an announcement and a solicitation.”  (</w:t>
      </w:r>
      <w:r w:rsidR="00275BAE" w:rsidRPr="00910F94">
        <w:rPr>
          <w:i/>
          <w:iCs/>
        </w:rPr>
        <w:t>American Credit Indemnity Co. v. Sacks</w:t>
      </w:r>
      <w:r w:rsidR="00275BAE">
        <w:t xml:space="preserve"> (1989) 213</w:t>
      </w:r>
      <w:r w:rsidR="008B4DA3">
        <w:t> </w:t>
      </w:r>
      <w:r w:rsidR="00275BAE">
        <w:t>Cal.App.3d 622, 634</w:t>
      </w:r>
      <w:r w:rsidR="00910F94">
        <w:t xml:space="preserve"> (</w:t>
      </w:r>
      <w:r w:rsidR="00910F94" w:rsidRPr="00910F94">
        <w:rPr>
          <w:i/>
          <w:iCs/>
        </w:rPr>
        <w:t>Sacks</w:t>
      </w:r>
      <w:r w:rsidR="00910F94">
        <w:t>)</w:t>
      </w:r>
      <w:r w:rsidR="00275BAE">
        <w:t>.)</w:t>
      </w:r>
      <w:r w:rsidR="003F6D29">
        <w:t xml:space="preserve">  </w:t>
      </w:r>
    </w:p>
    <w:p w14:paraId="08A7BC29" w14:textId="7D342A92" w:rsidR="003677A8" w:rsidRDefault="005116F4" w:rsidP="003677A8">
      <w:pPr>
        <w:spacing w:line="360" w:lineRule="auto"/>
      </w:pPr>
      <w:r>
        <w:lastRenderedPageBreak/>
        <w:tab/>
      </w:r>
      <w:r w:rsidR="004439AB">
        <w:t>In</w:t>
      </w:r>
      <w:r w:rsidR="00910F94">
        <w:t xml:space="preserve"> </w:t>
      </w:r>
      <w:r w:rsidR="00910F94" w:rsidRPr="003F5CC8">
        <w:rPr>
          <w:i/>
          <w:iCs/>
        </w:rPr>
        <w:t xml:space="preserve">Aetna </w:t>
      </w:r>
      <w:r w:rsidR="00046468">
        <w:rPr>
          <w:i/>
          <w:iCs/>
        </w:rPr>
        <w:t xml:space="preserve">Building </w:t>
      </w:r>
      <w:r w:rsidR="00910F94" w:rsidRPr="003F5CC8">
        <w:rPr>
          <w:i/>
          <w:iCs/>
        </w:rPr>
        <w:t>Maintenance Co. v. West</w:t>
      </w:r>
      <w:r w:rsidR="00910F94">
        <w:t xml:space="preserve"> (</w:t>
      </w:r>
      <w:r w:rsidR="008071E2">
        <w:t>1952</w:t>
      </w:r>
      <w:r w:rsidR="00910F94">
        <w:t xml:space="preserve">) 39 Cal.2d </w:t>
      </w:r>
      <w:r w:rsidR="008071E2">
        <w:t>198</w:t>
      </w:r>
      <w:r w:rsidR="00910F94">
        <w:t xml:space="preserve"> (</w:t>
      </w:r>
      <w:r w:rsidR="00910F94" w:rsidRPr="009A61A6">
        <w:rPr>
          <w:i/>
          <w:iCs/>
        </w:rPr>
        <w:t>Aetna</w:t>
      </w:r>
      <w:r w:rsidR="00910F94">
        <w:t>)</w:t>
      </w:r>
      <w:r w:rsidR="00C64341">
        <w:t>,</w:t>
      </w:r>
      <w:r w:rsidR="00910F94">
        <w:t xml:space="preserve"> </w:t>
      </w:r>
      <w:r w:rsidR="00C64341">
        <w:t>the</w:t>
      </w:r>
      <w:r>
        <w:t xml:space="preserve"> Supreme Court </w:t>
      </w:r>
      <w:r w:rsidR="00C64341">
        <w:t xml:space="preserve">addressed </w:t>
      </w:r>
      <w:r>
        <w:t xml:space="preserve">this </w:t>
      </w:r>
      <w:r w:rsidR="008D395A">
        <w:t>distinction:</w:t>
      </w:r>
      <w:r w:rsidR="002D7695">
        <w:t xml:space="preserve"> </w:t>
      </w:r>
      <w:r w:rsidR="002604DA">
        <w:t xml:space="preserve"> “</w:t>
      </w:r>
      <w:r w:rsidR="002D7695">
        <w:t> </w:t>
      </w:r>
      <w:r w:rsidR="002604DA">
        <w:t>‘</w:t>
      </w:r>
      <w:r w:rsidR="008D395A">
        <w:t>S</w:t>
      </w:r>
      <w:r>
        <w:t>olicit</w:t>
      </w:r>
      <w:r w:rsidR="002604DA">
        <w:t>’</w:t>
      </w:r>
      <w:r>
        <w:t xml:space="preserve"> is defined as: </w:t>
      </w:r>
      <w:r w:rsidR="002D7695">
        <w:t xml:space="preserve"> </w:t>
      </w:r>
      <w:r w:rsidR="00303CB0">
        <w:t>‘</w:t>
      </w:r>
      <w:r>
        <w:t>To ask for with earnestness, to make petition to,</w:t>
      </w:r>
      <w:r w:rsidR="005411F1">
        <w:t xml:space="preserve"> </w:t>
      </w:r>
      <w:r>
        <w:t>to endeavor to obtain, to awake or excite to action, to appeal to, or to invite.</w:t>
      </w:r>
      <w:r w:rsidR="00303CB0">
        <w:t>’</w:t>
      </w:r>
      <w:r>
        <w:t xml:space="preserve"> </w:t>
      </w:r>
      <w:r w:rsidR="005411F1">
        <w:t xml:space="preserve"> </w:t>
      </w:r>
      <w:r>
        <w:t xml:space="preserve">[Citation.] </w:t>
      </w:r>
      <w:r w:rsidR="005411F1">
        <w:t xml:space="preserve"> </w:t>
      </w:r>
      <w:r w:rsidR="00303CB0">
        <w:t>‘</w:t>
      </w:r>
      <w:r>
        <w:t>It implies personal petition and importunity addressed to a particular individual to do some particular thing, .</w:t>
      </w:r>
      <w:r w:rsidR="002D7695">
        <w:t> </w:t>
      </w:r>
      <w:r>
        <w:t>.</w:t>
      </w:r>
      <w:r w:rsidR="002D7695">
        <w:t> </w:t>
      </w:r>
      <w:r>
        <w:t>.</w:t>
      </w:r>
      <w:r w:rsidR="00303CB0">
        <w:t>’</w:t>
      </w:r>
      <w:r w:rsidR="005411F1">
        <w:t xml:space="preserve"> </w:t>
      </w:r>
      <w:r>
        <w:t xml:space="preserve"> [Citation.]</w:t>
      </w:r>
      <w:r w:rsidR="005411F1">
        <w:t xml:space="preserve"> </w:t>
      </w:r>
      <w:r>
        <w:t xml:space="preserve"> It means: </w:t>
      </w:r>
      <w:r w:rsidR="002D7695">
        <w:t xml:space="preserve"> </w:t>
      </w:r>
      <w:r w:rsidR="00303CB0">
        <w:t>‘</w:t>
      </w:r>
      <w:r>
        <w:t>To appeal to (for something); to apply to for obtaining something; to ask earnestly; to ask for the purpose of receiving; to endeavor to obtain by asking or pleading; to entreat, implore or importune; to make petition to; to plead for; to try to obtain.</w:t>
      </w:r>
      <w:r w:rsidR="004037B8">
        <w:t>’</w:t>
      </w:r>
      <w:r w:rsidR="000E0B29">
        <w:t> </w:t>
      </w:r>
      <w:r w:rsidR="004037B8">
        <w:t>”</w:t>
      </w:r>
      <w:r w:rsidR="000E0B29">
        <w:t xml:space="preserve">  (</w:t>
      </w:r>
      <w:r w:rsidR="000E0B29">
        <w:rPr>
          <w:i/>
          <w:iCs/>
        </w:rPr>
        <w:t>Id.</w:t>
      </w:r>
      <w:r w:rsidR="000E0B29">
        <w:t xml:space="preserve"> at pp. 203–204.)</w:t>
      </w:r>
      <w:r w:rsidR="00FC4FAF">
        <w:t xml:space="preserve">  </w:t>
      </w:r>
      <w:r w:rsidR="000D57E3">
        <w:t xml:space="preserve">In contrast, </w:t>
      </w:r>
      <w:r w:rsidR="00962546">
        <w:t xml:space="preserve">the </w:t>
      </w:r>
      <w:r w:rsidR="00962546" w:rsidRPr="004037B8">
        <w:rPr>
          <w:i/>
          <w:iCs/>
        </w:rPr>
        <w:t xml:space="preserve">Aetna </w:t>
      </w:r>
      <w:r w:rsidR="00962546">
        <w:t xml:space="preserve">court found that </w:t>
      </w:r>
      <w:r w:rsidR="000D57E3">
        <w:t>“</w:t>
      </w:r>
      <w:r>
        <w:t>[m]erely informing customers of one</w:t>
      </w:r>
      <w:r w:rsidR="004037B8">
        <w:t>’</w:t>
      </w:r>
      <w:r>
        <w:t xml:space="preserve">s former employer of a change of employment, without more, is not solicitation. </w:t>
      </w:r>
      <w:r w:rsidR="005411F1">
        <w:t xml:space="preserve"> </w:t>
      </w:r>
      <w:r>
        <w:t xml:space="preserve">Neither does the willingness to discuss business upon invitation of another party constitute solicitation on the part of the invitee. </w:t>
      </w:r>
      <w:r w:rsidR="005411F1">
        <w:t xml:space="preserve"> </w:t>
      </w:r>
      <w:r>
        <w:t>Equity will not enjoin a former employee from receiving business from the customers of his former employer, even though the circumstances be such that he should be prohibited from soliciting such business.</w:t>
      </w:r>
      <w:r w:rsidR="000E0B29">
        <w:t> </w:t>
      </w:r>
      <w:r w:rsidR="004037B8">
        <w:t>”</w:t>
      </w:r>
      <w:r>
        <w:t xml:space="preserve"> </w:t>
      </w:r>
      <w:r w:rsidR="005411F1">
        <w:t xml:space="preserve"> </w:t>
      </w:r>
      <w:r>
        <w:t>(</w:t>
      </w:r>
      <w:r w:rsidR="000E0B29">
        <w:rPr>
          <w:i/>
          <w:iCs/>
        </w:rPr>
        <w:t>Id.</w:t>
      </w:r>
      <w:r>
        <w:t xml:space="preserve"> at p. 204.)</w:t>
      </w:r>
      <w:r w:rsidR="00474D9D">
        <w:t xml:space="preserve">  </w:t>
      </w:r>
    </w:p>
    <w:p w14:paraId="2788B018" w14:textId="2EEABC51" w:rsidR="00B41C8E" w:rsidRDefault="005116F4" w:rsidP="004719A6">
      <w:pPr>
        <w:spacing w:line="360" w:lineRule="auto"/>
      </w:pPr>
      <w:r>
        <w:tab/>
        <w:t xml:space="preserve">In </w:t>
      </w:r>
      <w:r w:rsidRPr="0085451D">
        <w:rPr>
          <w:i/>
          <w:iCs/>
        </w:rPr>
        <w:t xml:space="preserve">Sacks, </w:t>
      </w:r>
      <w:r>
        <w:t xml:space="preserve">an </w:t>
      </w:r>
      <w:r w:rsidR="00B969B9">
        <w:t>accounts</w:t>
      </w:r>
      <w:r>
        <w:t xml:space="preserve"> receivable insurer </w:t>
      </w:r>
      <w:r w:rsidR="000F7628">
        <w:t xml:space="preserve">(ACI) </w:t>
      </w:r>
      <w:r>
        <w:t xml:space="preserve">sought a preliminary injunction against a former employee who had started her own business using </w:t>
      </w:r>
      <w:r w:rsidR="00883497">
        <w:t>the insurer’s</w:t>
      </w:r>
      <w:r>
        <w:t xml:space="preserve"> customer list.  </w:t>
      </w:r>
      <w:r w:rsidR="00E94E07">
        <w:t>(</w:t>
      </w:r>
      <w:r w:rsidR="00DE0711" w:rsidRPr="00DE0711">
        <w:rPr>
          <w:i/>
          <w:iCs/>
        </w:rPr>
        <w:t>Sacks</w:t>
      </w:r>
      <w:r w:rsidR="00DE0711">
        <w:t xml:space="preserve">, </w:t>
      </w:r>
      <w:r w:rsidR="00DE0711" w:rsidRPr="00DE0711">
        <w:rPr>
          <w:i/>
          <w:iCs/>
        </w:rPr>
        <w:t>supra</w:t>
      </w:r>
      <w:r w:rsidR="00DE0711">
        <w:t xml:space="preserve">, </w:t>
      </w:r>
      <w:r w:rsidR="00C219A9" w:rsidRPr="00DE0711">
        <w:t>213</w:t>
      </w:r>
      <w:r w:rsidR="00C219A9">
        <w:t xml:space="preserve"> Cal.App.3d</w:t>
      </w:r>
      <w:r w:rsidR="00EE6188">
        <w:t xml:space="preserve"> at p. 626.)  </w:t>
      </w:r>
      <w:r>
        <w:t xml:space="preserve">When she resigned, she sent a letter </w:t>
      </w:r>
      <w:r w:rsidR="00DA55F3">
        <w:t xml:space="preserve">to those customers </w:t>
      </w:r>
      <w:r w:rsidR="00C219A9">
        <w:t>stating</w:t>
      </w:r>
      <w:r w:rsidR="00EE6188">
        <w:t xml:space="preserve">: </w:t>
      </w:r>
      <w:r w:rsidR="002655F4">
        <w:t xml:space="preserve"> </w:t>
      </w:r>
      <w:r w:rsidR="00EE6188">
        <w:t>“</w:t>
      </w:r>
      <w:r w:rsidR="00FF3C21">
        <w:t> ‘</w:t>
      </w:r>
      <w:r w:rsidR="004F23B9" w:rsidRPr="004F23B9">
        <w:t>After almost fifteen years as both an agent and policyholder, I have left [ACI] and am very pleased to announce the formation of an independent insurance agency. [</w:t>
      </w:r>
      <w:r w:rsidR="00FF3C21">
        <w:t>¶</w:t>
      </w:r>
      <w:r w:rsidR="004F23B9" w:rsidRPr="004F23B9">
        <w:t>]</w:t>
      </w:r>
      <w:r w:rsidR="002649DB">
        <w:t xml:space="preserve"> </w:t>
      </w:r>
      <w:r w:rsidR="004F23B9" w:rsidRPr="004F23B9">
        <w:t>I shall continue to specialize in Credit Insurance but will now primarily be representing Fidelity and Deposit Company of Maryland [F&amp;D], who [</w:t>
      </w:r>
      <w:r w:rsidR="004F23B9" w:rsidRPr="00312455">
        <w:rPr>
          <w:i/>
          <w:iCs/>
        </w:rPr>
        <w:t>sic</w:t>
      </w:r>
      <w:r w:rsidR="004F23B9" w:rsidRPr="004F23B9">
        <w:t xml:space="preserve">] is offering companies a very interesting alternative to the types of policies being written by both [ACI] and Continental. </w:t>
      </w:r>
      <w:r w:rsidR="002649DB">
        <w:t xml:space="preserve"> </w:t>
      </w:r>
      <w:r w:rsidR="004F23B9" w:rsidRPr="004F23B9">
        <w:t xml:space="preserve">If you would like to </w:t>
      </w:r>
      <w:r w:rsidR="004F23B9" w:rsidRPr="004F23B9">
        <w:lastRenderedPageBreak/>
        <w:t>learn more about the [F&amp;D] policy, I will be happy to discuss it in detail with you when you are ready to review your ongoing credit insurance needs at renewal time.</w:t>
      </w:r>
      <w:r w:rsidR="002649DB">
        <w:t xml:space="preserve"> </w:t>
      </w:r>
      <w:r w:rsidR="004F23B9" w:rsidRPr="004F23B9">
        <w:t>[</w:t>
      </w:r>
      <w:r w:rsidR="00FF3C21">
        <w:t>¶</w:t>
      </w:r>
      <w:r w:rsidR="004F23B9" w:rsidRPr="004F23B9">
        <w:t xml:space="preserve">] In the meantime, ACI will assign a new agent to your policy. </w:t>
      </w:r>
      <w:r w:rsidR="002649DB">
        <w:t xml:space="preserve"> </w:t>
      </w:r>
      <w:r w:rsidR="004F23B9" w:rsidRPr="004F23B9">
        <w:t>If I can be of assistance to you during the transition period or answer any questions for you at any time, please do not hesitate to call me. [</w:t>
      </w:r>
      <w:r w:rsidR="00FF3C21">
        <w:t>¶</w:t>
      </w:r>
      <w:r w:rsidR="004F23B9" w:rsidRPr="004F23B9">
        <w:t>] I have really enjoyed our past association and hope we don</w:t>
      </w:r>
      <w:r w:rsidR="001A2763">
        <w:t>’</w:t>
      </w:r>
      <w:r w:rsidR="004F23B9" w:rsidRPr="004F23B9">
        <w:t>t lose touch!</w:t>
      </w:r>
      <w:r w:rsidR="00252304">
        <w:t>’ </w:t>
      </w:r>
      <w:r w:rsidR="002D7EB0">
        <w:t>”</w:t>
      </w:r>
      <w:r w:rsidR="00EA3A6C">
        <w:t xml:space="preserve"> </w:t>
      </w:r>
      <w:r w:rsidR="002649DB">
        <w:t xml:space="preserve"> (</w:t>
      </w:r>
      <w:r w:rsidR="002649DB" w:rsidRPr="002D7EB0">
        <w:rPr>
          <w:i/>
          <w:iCs/>
        </w:rPr>
        <w:t>Ibid</w:t>
      </w:r>
      <w:r w:rsidR="002649DB">
        <w:t xml:space="preserve">.)  </w:t>
      </w:r>
    </w:p>
    <w:p w14:paraId="1AB6C162" w14:textId="57C97A6B" w:rsidR="00E04644" w:rsidRDefault="005116F4" w:rsidP="004719A6">
      <w:pPr>
        <w:spacing w:line="360" w:lineRule="auto"/>
      </w:pPr>
      <w:r>
        <w:tab/>
      </w:r>
      <w:r w:rsidR="0059018A">
        <w:t xml:space="preserve">The appellate court concluded that the letter </w:t>
      </w:r>
      <w:r w:rsidR="00A814D8">
        <w:t xml:space="preserve">went beyond an announcement and amounted to a </w:t>
      </w:r>
      <w:r w:rsidR="0059018A">
        <w:t>solicitation</w:t>
      </w:r>
      <w:r w:rsidR="004719A6">
        <w:t xml:space="preserve">: </w:t>
      </w:r>
      <w:r w:rsidR="00252304">
        <w:t xml:space="preserve"> </w:t>
      </w:r>
      <w:r w:rsidR="004719A6">
        <w:t>“Although the letter begins as an announcement of her departure from ACI and affiliation with F&amp;D, it soon assumes a different tone.  Sacks informs ACI</w:t>
      </w:r>
      <w:r w:rsidR="00C2301D">
        <w:t>’</w:t>
      </w:r>
      <w:r w:rsidR="004719A6">
        <w:t>s customers of the interesting competitive alternative F&amp;D offers as compared to ACI</w:t>
      </w:r>
      <w:r w:rsidR="00C2301D">
        <w:t>’</w:t>
      </w:r>
      <w:r w:rsidR="004719A6">
        <w:t>s policies.  She invites their inquiry about the F&amp;D policy and indicates she would be happy to discuss it in detail when they are ready to renew.  She personally petitions, importunes and entreats ACI</w:t>
      </w:r>
      <w:r w:rsidR="00C2301D">
        <w:t>’</w:t>
      </w:r>
      <w:r w:rsidR="004719A6">
        <w:t xml:space="preserve">s customers to call her at any time for information about the better policies F&amp;D can provide and for assistance during the agent transition period. </w:t>
      </w:r>
      <w:r w:rsidR="00C50E1D">
        <w:t>[</w:t>
      </w:r>
      <w:r w:rsidR="00716068">
        <w:t>¶</w:t>
      </w:r>
      <w:r w:rsidR="00C50E1D">
        <w:t xml:space="preserve">] </w:t>
      </w:r>
      <w:r w:rsidR="004719A6">
        <w:t xml:space="preserve">Phrased in the terms used in the </w:t>
      </w:r>
      <w:r w:rsidR="004719A6" w:rsidRPr="00C50E1D">
        <w:rPr>
          <w:i/>
          <w:iCs/>
        </w:rPr>
        <w:t>Aetna</w:t>
      </w:r>
      <w:r w:rsidR="004719A6">
        <w:t xml:space="preserve"> definition, Sacks is endeavoring to obtain their business. </w:t>
      </w:r>
      <w:r w:rsidR="00C50E1D">
        <w:t xml:space="preserve"> </w:t>
      </w:r>
      <w:r w:rsidR="004719A6">
        <w:t>Sacks, in a word, solicited.  Therefore, as a matter of law, Sacks</w:t>
      </w:r>
      <w:r w:rsidR="00C50E1D">
        <w:t>’</w:t>
      </w:r>
      <w:r w:rsidR="004719A6">
        <w:t xml:space="preserve">s letter </w:t>
      </w:r>
      <w:r w:rsidR="00716068">
        <w:t>. . .</w:t>
      </w:r>
      <w:r w:rsidR="004719A6">
        <w:t xml:space="preserve"> constituted a solicitation.</w:t>
      </w:r>
      <w:r w:rsidR="00372AB9">
        <w:t>”</w:t>
      </w:r>
      <w:r w:rsidR="0059018A">
        <w:t xml:space="preserve">  </w:t>
      </w:r>
      <w:r w:rsidR="00A814D8">
        <w:t>(</w:t>
      </w:r>
      <w:r w:rsidR="00372388">
        <w:rPr>
          <w:i/>
          <w:iCs/>
        </w:rPr>
        <w:t>Sacks</w:t>
      </w:r>
      <w:r w:rsidR="00372388">
        <w:t xml:space="preserve">, </w:t>
      </w:r>
      <w:r w:rsidR="00372388">
        <w:rPr>
          <w:i/>
          <w:iCs/>
        </w:rPr>
        <w:t>supra</w:t>
      </w:r>
      <w:r w:rsidR="00372388">
        <w:t>, 213 Cal.App.3d</w:t>
      </w:r>
      <w:r w:rsidR="00A814D8">
        <w:t xml:space="preserve"> at </w:t>
      </w:r>
      <w:r w:rsidR="00372388">
        <w:t>p</w:t>
      </w:r>
      <w:r w:rsidR="00A814D8">
        <w:t xml:space="preserve">p. </w:t>
      </w:r>
      <w:r w:rsidR="005F4027">
        <w:t>636</w:t>
      </w:r>
      <w:r w:rsidR="00372388">
        <w:t>–</w:t>
      </w:r>
      <w:r w:rsidR="005F4027">
        <w:t xml:space="preserve">637.)  </w:t>
      </w:r>
    </w:p>
    <w:p w14:paraId="36FAC66E" w14:textId="0E37323D" w:rsidR="0085451D" w:rsidRDefault="005116F4" w:rsidP="003677A8">
      <w:pPr>
        <w:spacing w:line="360" w:lineRule="auto"/>
      </w:pPr>
      <w:r>
        <w:tab/>
      </w:r>
      <w:r w:rsidR="00962546">
        <w:t xml:space="preserve">Owen’s </w:t>
      </w:r>
      <w:r w:rsidR="00B41C8E">
        <w:t xml:space="preserve">Silvermark </w:t>
      </w:r>
      <w:r w:rsidR="00962546">
        <w:t xml:space="preserve">letter </w:t>
      </w:r>
      <w:r w:rsidR="0082105E">
        <w:t xml:space="preserve">closely </w:t>
      </w:r>
      <w:r w:rsidR="00B41C8E">
        <w:t>resembles</w:t>
      </w:r>
      <w:r w:rsidR="001E72EB">
        <w:t xml:space="preserve"> the letter at issue in </w:t>
      </w:r>
      <w:r w:rsidR="001E72EB" w:rsidRPr="001E72EB">
        <w:rPr>
          <w:i/>
          <w:iCs/>
        </w:rPr>
        <w:t>Sacks.</w:t>
      </w:r>
      <w:r w:rsidR="001E72EB">
        <w:t xml:space="preserve">  The letter </w:t>
      </w:r>
      <w:r w:rsidR="00962546">
        <w:t>wa</w:t>
      </w:r>
      <w:r w:rsidR="00C015F7">
        <w:t>s specifically addressed to his “past and potential future clients.</w:t>
      </w:r>
      <w:r w:rsidR="00E859FE">
        <w:t>”</w:t>
      </w:r>
      <w:r w:rsidR="00C015F7">
        <w:t xml:space="preserve">  He </w:t>
      </w:r>
      <w:r w:rsidR="00B41C8E">
        <w:t xml:space="preserve">boasted </w:t>
      </w:r>
      <w:r w:rsidR="00C015F7">
        <w:t xml:space="preserve">that his new venture, Silvermark, was </w:t>
      </w:r>
      <w:r w:rsidR="00844DC1">
        <w:t>a superior alternative to</w:t>
      </w:r>
      <w:r w:rsidR="00C015F7">
        <w:t xml:space="preserve"> Blue Mountain, having “greater perspective, more resources and a much stronger team</w:t>
      </w:r>
      <w:r w:rsidR="00B3461E">
        <w:t>,</w:t>
      </w:r>
      <w:r w:rsidR="00C015F7">
        <w:t>” including two former Blue Mountain employees</w:t>
      </w:r>
      <w:r w:rsidR="0010270F">
        <w:t xml:space="preserve"> “who </w:t>
      </w:r>
      <w:r w:rsidR="00A91187">
        <w:t>combined bring over 100 years of experience in the HVAC industry</w:t>
      </w:r>
      <w:r w:rsidR="00C015F7">
        <w:t>.</w:t>
      </w:r>
      <w:r w:rsidR="00A91187">
        <w:t>”</w:t>
      </w:r>
      <w:r w:rsidR="00C015F7">
        <w:t xml:space="preserve"> </w:t>
      </w:r>
      <w:r w:rsidR="007E0E10">
        <w:t xml:space="preserve"> </w:t>
      </w:r>
      <w:r w:rsidR="00EF58E5">
        <w:t xml:space="preserve">The letter </w:t>
      </w:r>
      <w:r w:rsidR="00DD525A">
        <w:t>was a direct appeal</w:t>
      </w:r>
      <w:r w:rsidR="00EF58E5">
        <w:t xml:space="preserve"> for</w:t>
      </w:r>
      <w:r w:rsidR="00DD525A">
        <w:t xml:space="preserve"> future work and was sent </w:t>
      </w:r>
      <w:r w:rsidR="00143A15">
        <w:t xml:space="preserve">directly </w:t>
      </w:r>
      <w:r w:rsidR="00DD525A">
        <w:t xml:space="preserve">to </w:t>
      </w:r>
      <w:r w:rsidR="00143A15">
        <w:t xml:space="preserve">select </w:t>
      </w:r>
      <w:r w:rsidR="00EF58E5">
        <w:lastRenderedPageBreak/>
        <w:t>representative</w:t>
      </w:r>
      <w:r w:rsidR="00143A15">
        <w:t>s of</w:t>
      </w:r>
      <w:r w:rsidR="00EF58E5">
        <w:t xml:space="preserve"> </w:t>
      </w:r>
      <w:r w:rsidR="00143A15">
        <w:t>Blue Mountain</w:t>
      </w:r>
      <w:r w:rsidR="00DE5C94">
        <w:t>’s corporate</w:t>
      </w:r>
      <w:r w:rsidR="00143A15">
        <w:t xml:space="preserve"> customers</w:t>
      </w:r>
      <w:r w:rsidR="00DD525A">
        <w:t>.</w:t>
      </w:r>
      <w:r w:rsidR="00765753">
        <w:t xml:space="preserve">  Thus, the letter constituted a solicitation</w:t>
      </w:r>
      <w:r w:rsidR="005B7370">
        <w:t xml:space="preserve"> as a matter of law</w:t>
      </w:r>
      <w:r w:rsidR="00765753">
        <w:t xml:space="preserve">. </w:t>
      </w:r>
    </w:p>
    <w:p w14:paraId="71EE9CC3" w14:textId="7321F7CC" w:rsidR="00800745" w:rsidRDefault="005116F4" w:rsidP="0057711B">
      <w:pPr>
        <w:spacing w:line="360" w:lineRule="auto"/>
      </w:pPr>
      <w:r>
        <w:tab/>
      </w:r>
      <w:r w:rsidR="00765753">
        <w:t xml:space="preserve">The </w:t>
      </w:r>
      <w:r w:rsidR="00EF2319">
        <w:t xml:space="preserve">Silvermark </w:t>
      </w:r>
      <w:r w:rsidR="00765753">
        <w:t xml:space="preserve">letter </w:t>
      </w:r>
      <w:r w:rsidR="00306D00">
        <w:t xml:space="preserve">does not resemble </w:t>
      </w:r>
      <w:r w:rsidR="00165152">
        <w:t>transmittals that courts have found to be nonactionable</w:t>
      </w:r>
      <w:r w:rsidR="001C4AF5">
        <w:t xml:space="preserve">.  </w:t>
      </w:r>
      <w:r w:rsidR="001F4C69">
        <w:t xml:space="preserve">For example, in </w:t>
      </w:r>
      <w:r w:rsidRPr="0057711B">
        <w:rPr>
          <w:i/>
          <w:iCs/>
        </w:rPr>
        <w:t>Moss, Adams</w:t>
      </w:r>
      <w:r w:rsidR="001F4C69">
        <w:rPr>
          <w:i/>
          <w:iCs/>
        </w:rPr>
        <w:t xml:space="preserve"> &amp; Co. v. Shilling</w:t>
      </w:r>
      <w:r w:rsidR="00165152">
        <w:rPr>
          <w:i/>
          <w:iCs/>
        </w:rPr>
        <w:t xml:space="preserve"> </w:t>
      </w:r>
      <w:r w:rsidR="001F4C69">
        <w:t>(</w:t>
      </w:r>
      <w:r w:rsidR="00AB37CC">
        <w:t xml:space="preserve">1986) 179 Cal.App.3d 124, </w:t>
      </w:r>
      <w:r>
        <w:t xml:space="preserve">departing employees of an accounting firm announced the formation of a new accounting </w:t>
      </w:r>
      <w:r w:rsidR="002C4914">
        <w:t>business</w:t>
      </w:r>
      <w:r>
        <w:t xml:space="preserve"> to clients the employees had serviced on behalf of the</w:t>
      </w:r>
      <w:r w:rsidR="0039051E">
        <w:t>ir former</w:t>
      </w:r>
      <w:r>
        <w:t xml:space="preserve"> firm. </w:t>
      </w:r>
      <w:r w:rsidR="001F4C69">
        <w:t xml:space="preserve"> </w:t>
      </w:r>
      <w:r w:rsidR="005E674E">
        <w:t>The announcement merely stated:</w:t>
      </w:r>
      <w:r w:rsidR="009204DF">
        <w:t xml:space="preserve"> </w:t>
      </w:r>
      <w:r w:rsidR="005E674E">
        <w:t xml:space="preserve"> “</w:t>
      </w:r>
      <w:r w:rsidR="009204DF">
        <w:t> </w:t>
      </w:r>
      <w:r w:rsidR="005E674E">
        <w:t>‘John D. Shilling and Cynthia L. Kenyon, formerly with Moss Adams, are pleased to announce the formation of a new partnership: Shilling, Kenyon &amp; Co.[,] Certified Public Accountants[,] Lloyds Bank Building[,] One Almaden Blvd., Suite 1110[,] San Jose, CA 95113[,] (408) 295-3822.</w:t>
      </w:r>
      <w:r w:rsidR="00BF37A4">
        <w:t>’</w:t>
      </w:r>
      <w:r w:rsidR="006F30F0">
        <w:t> </w:t>
      </w:r>
      <w:r w:rsidR="00BF37A4">
        <w:t xml:space="preserve">” </w:t>
      </w:r>
      <w:r w:rsidR="005E674E">
        <w:t xml:space="preserve"> (</w:t>
      </w:r>
      <w:r w:rsidR="00BF37A4" w:rsidRPr="00BF37A4">
        <w:rPr>
          <w:i/>
          <w:iCs/>
        </w:rPr>
        <w:t>Id.</w:t>
      </w:r>
      <w:r w:rsidR="005E674E">
        <w:t xml:space="preserve"> at p.</w:t>
      </w:r>
      <w:r w:rsidR="006F30F0">
        <w:t> </w:t>
      </w:r>
      <w:r w:rsidR="005E674E">
        <w:t>127.)</w:t>
      </w:r>
      <w:r w:rsidR="00BF37A4">
        <w:t xml:space="preserve">  </w:t>
      </w:r>
      <w:r>
        <w:t xml:space="preserve">The </w:t>
      </w:r>
      <w:r w:rsidR="0068383A">
        <w:t xml:space="preserve">appellate </w:t>
      </w:r>
      <w:r>
        <w:t xml:space="preserve">court </w:t>
      </w:r>
      <w:r w:rsidR="0068383A">
        <w:t xml:space="preserve">affirmed </w:t>
      </w:r>
      <w:r>
        <w:t xml:space="preserve">summary </w:t>
      </w:r>
      <w:r w:rsidR="00B74412">
        <w:t xml:space="preserve">adjudication </w:t>
      </w:r>
      <w:r>
        <w:t xml:space="preserve">in favor of the employees based upon the </w:t>
      </w:r>
      <w:r w:rsidRPr="001C4AF5">
        <w:rPr>
          <w:i/>
          <w:iCs/>
        </w:rPr>
        <w:t>Aetna</w:t>
      </w:r>
      <w:r>
        <w:t xml:space="preserve"> rule that </w:t>
      </w:r>
      <w:r w:rsidR="003660A0">
        <w:t>“</w:t>
      </w:r>
      <w:r w:rsidR="00EA57AA">
        <w:t> </w:t>
      </w:r>
      <w:r w:rsidR="003660A0">
        <w:t>‘</w:t>
      </w:r>
      <w:r>
        <w:t>[m]erely informing customers of one</w:t>
      </w:r>
      <w:r w:rsidR="003660A0">
        <w:t>’</w:t>
      </w:r>
      <w:r>
        <w:t>s former employer of a change of employment, without more, is not solicitation.</w:t>
      </w:r>
      <w:r w:rsidR="003660A0">
        <w:t>’</w:t>
      </w:r>
      <w:r w:rsidR="00EA57AA">
        <w:t> </w:t>
      </w:r>
      <w:r w:rsidR="003660A0">
        <w:t xml:space="preserve">” </w:t>
      </w:r>
      <w:r>
        <w:t xml:space="preserve"> (</w:t>
      </w:r>
      <w:r w:rsidR="00EA57AA">
        <w:rPr>
          <w:i/>
          <w:iCs/>
        </w:rPr>
        <w:t>I</w:t>
      </w:r>
      <w:r w:rsidR="006F30F0">
        <w:rPr>
          <w:i/>
          <w:iCs/>
        </w:rPr>
        <w:t>bid</w:t>
      </w:r>
      <w:r>
        <w:t>.)</w:t>
      </w:r>
      <w:r w:rsidR="00F44929">
        <w:t xml:space="preserve"> </w:t>
      </w:r>
    </w:p>
    <w:p w14:paraId="78ED63E3" w14:textId="7FECFF99" w:rsidR="00FF1FCE" w:rsidRDefault="005116F4" w:rsidP="00D56893">
      <w:pPr>
        <w:spacing w:line="360" w:lineRule="auto"/>
      </w:pPr>
      <w:r>
        <w:tab/>
      </w:r>
      <w:r w:rsidR="004542EC" w:rsidRPr="004542EC">
        <w:t xml:space="preserve">As is plain from the contents of the letter, the Silvermark letter went well beyond this type of an announcement by actively encouraging Blue Mountain customers to leave Blue Mountain and do business with Silvermark.  The facts concerning this claim are not in dispute, and Owen does not describe what further factual development would be required to resolve this question.  Accordingly, the trial court correctly found that the Silvermark letter constituted a solicitation as a matter of law. </w:t>
      </w:r>
    </w:p>
    <w:p w14:paraId="08148394" w14:textId="6B676728" w:rsidR="00DD7B3C" w:rsidRPr="006C77D9" w:rsidRDefault="005116F4" w:rsidP="00D56893">
      <w:pPr>
        <w:spacing w:line="360" w:lineRule="auto"/>
        <w:rPr>
          <w:b/>
          <w:bCs/>
          <w:i/>
          <w:iCs/>
        </w:rPr>
      </w:pPr>
      <w:r w:rsidRPr="004542EC">
        <w:t xml:space="preserve"> </w:t>
      </w:r>
      <w:r w:rsidR="006C77D9">
        <w:rPr>
          <w:b/>
          <w:bCs/>
          <w:i/>
          <w:iCs/>
        </w:rPr>
        <w:tab/>
      </w:r>
      <w:r w:rsidR="00667089">
        <w:rPr>
          <w:b/>
          <w:bCs/>
          <w:i/>
          <w:iCs/>
        </w:rPr>
        <w:t>i</w:t>
      </w:r>
      <w:r w:rsidRPr="006C77D9">
        <w:rPr>
          <w:b/>
          <w:bCs/>
          <w:i/>
          <w:iCs/>
        </w:rPr>
        <w:t>v.</w:t>
      </w:r>
      <w:r w:rsidRPr="006C77D9">
        <w:rPr>
          <w:b/>
          <w:bCs/>
          <w:i/>
          <w:iCs/>
        </w:rPr>
        <w:tab/>
        <w:t xml:space="preserve">Owen’s Affirmative Defenses </w:t>
      </w:r>
      <w:r w:rsidR="00720975">
        <w:rPr>
          <w:b/>
          <w:bCs/>
          <w:i/>
          <w:iCs/>
        </w:rPr>
        <w:t xml:space="preserve">Are </w:t>
      </w:r>
      <w:r w:rsidR="0028002D">
        <w:rPr>
          <w:b/>
          <w:bCs/>
          <w:i/>
          <w:iCs/>
        </w:rPr>
        <w:t>Forfeited</w:t>
      </w:r>
    </w:p>
    <w:p w14:paraId="7AC21A7D" w14:textId="583D7039" w:rsidR="00DD7B3C" w:rsidRDefault="005116F4" w:rsidP="00D56893">
      <w:pPr>
        <w:spacing w:line="360" w:lineRule="auto"/>
      </w:pPr>
      <w:r>
        <w:tab/>
      </w:r>
      <w:r w:rsidR="006C77D9">
        <w:t xml:space="preserve">Owen argues that Blue Mountain failed to overcome his affirmative defenses </w:t>
      </w:r>
      <w:r w:rsidR="00B83AD6">
        <w:t xml:space="preserve">relating to </w:t>
      </w:r>
      <w:r w:rsidR="00EA4E08">
        <w:t>c</w:t>
      </w:r>
      <w:r w:rsidR="006C77D9">
        <w:t xml:space="preserve">ompetitive </w:t>
      </w:r>
      <w:r w:rsidR="00EA4E08">
        <w:t>privilege</w:t>
      </w:r>
      <w:r w:rsidR="006C77D9">
        <w:t xml:space="preserve">, </w:t>
      </w:r>
      <w:r w:rsidR="00B83AD6">
        <w:t>trade secrets</w:t>
      </w:r>
      <w:r w:rsidR="006C77D9">
        <w:t xml:space="preserve">, and waiver.  </w:t>
      </w:r>
      <w:r w:rsidR="00B7620D">
        <w:t xml:space="preserve">Specifically, </w:t>
      </w:r>
      <w:r w:rsidR="009A1147">
        <w:t>h</w:t>
      </w:r>
      <w:r w:rsidR="00601E9D">
        <w:t xml:space="preserve">e asserts that </w:t>
      </w:r>
      <w:r w:rsidR="00702667">
        <w:t xml:space="preserve">the parties’ 2016 settlement agreement released him from all past acts and obligations as an owner, </w:t>
      </w:r>
      <w:r w:rsidR="003861F8">
        <w:t>giving</w:t>
      </w:r>
      <w:r w:rsidR="00D53283">
        <w:t xml:space="preserve"> Blue Mountain the </w:t>
      </w:r>
      <w:r w:rsidR="00D53283">
        <w:lastRenderedPageBreak/>
        <w:t>authority to pursue him as a former employee</w:t>
      </w:r>
      <w:r w:rsidR="003861F8">
        <w:t xml:space="preserve"> only</w:t>
      </w:r>
      <w:r w:rsidR="00D53283">
        <w:t xml:space="preserve">. </w:t>
      </w:r>
      <w:r w:rsidR="003861F8">
        <w:t xml:space="preserve"> </w:t>
      </w:r>
      <w:r w:rsidR="00FA09AD">
        <w:t xml:space="preserve">Because nonsolicitation terms are void as a matter of law </w:t>
      </w:r>
      <w:r w:rsidR="00F46020">
        <w:t xml:space="preserve">between an employer and an employee unless necessary to protect trade secrets, </w:t>
      </w:r>
      <w:r w:rsidR="00FB13F3">
        <w:t xml:space="preserve">and because the identities of the builders who received the Silvermark letter are widely </w:t>
      </w:r>
      <w:r w:rsidR="00EA3565">
        <w:t>available</w:t>
      </w:r>
      <w:r w:rsidR="00FB13F3">
        <w:t>, he claims Blue Mountain cannot assert their identi</w:t>
      </w:r>
      <w:r w:rsidR="0028002D">
        <w:t>ti</w:t>
      </w:r>
      <w:r w:rsidR="00FB13F3">
        <w:t>es are a trade secret</w:t>
      </w:r>
      <w:r w:rsidR="00CE6A6F">
        <w:t xml:space="preserve"> and therefore the non</w:t>
      </w:r>
      <w:r w:rsidR="0028002D">
        <w:t>s</w:t>
      </w:r>
      <w:r w:rsidR="00CE6A6F">
        <w:t xml:space="preserve">olicitation term </w:t>
      </w:r>
      <w:r w:rsidR="00A341F7">
        <w:t xml:space="preserve">necessarily </w:t>
      </w:r>
      <w:r w:rsidR="00CE6A6F">
        <w:t>violated section 16600.</w:t>
      </w:r>
      <w:r w:rsidR="00D323DA">
        <w:t xml:space="preserve"> </w:t>
      </w:r>
    </w:p>
    <w:p w14:paraId="7B5FC2B1" w14:textId="79812710" w:rsidR="002D7569" w:rsidRDefault="005116F4" w:rsidP="005F5EC5">
      <w:pPr>
        <w:spacing w:line="360" w:lineRule="auto"/>
      </w:pPr>
      <w:r>
        <w:tab/>
      </w:r>
      <w:r w:rsidR="00110D75">
        <w:t xml:space="preserve">Owen’s arguments are unconvincing for several reasons. </w:t>
      </w:r>
      <w:r w:rsidR="003B68B2">
        <w:t>I</w:t>
      </w:r>
      <w:r w:rsidR="00B84E5D">
        <w:t xml:space="preserve">t appears </w:t>
      </w:r>
      <w:r w:rsidR="003B68B2">
        <w:t xml:space="preserve">that </w:t>
      </w:r>
      <w:r w:rsidR="00B84E5D">
        <w:t xml:space="preserve">Blue Mountain was not a party to the </w:t>
      </w:r>
      <w:r w:rsidR="00D323DA">
        <w:t>2016 s</w:t>
      </w:r>
      <w:r w:rsidR="00B84E5D">
        <w:t>ettlement agreement</w:t>
      </w:r>
      <w:r w:rsidR="006142AD">
        <w:t xml:space="preserve"> and therefore would not be bound by its terms</w:t>
      </w:r>
      <w:r w:rsidR="00B84E5D">
        <w:t xml:space="preserve">. </w:t>
      </w:r>
      <w:r w:rsidR="00A76560">
        <w:t xml:space="preserve"> </w:t>
      </w:r>
      <w:r w:rsidR="003B68B2" w:rsidRPr="00A76560">
        <w:t xml:space="preserve">(See </w:t>
      </w:r>
      <w:r w:rsidR="00AD3ABE">
        <w:rPr>
          <w:i/>
          <w:iCs/>
        </w:rPr>
        <w:t xml:space="preserve">ante, </w:t>
      </w:r>
      <w:r w:rsidR="00614263" w:rsidRPr="00312455">
        <w:t>pp.</w:t>
      </w:r>
      <w:r w:rsidR="00614263" w:rsidRPr="00A76560">
        <w:rPr>
          <w:i/>
          <w:iCs/>
        </w:rPr>
        <w:t xml:space="preserve"> </w:t>
      </w:r>
      <w:r w:rsidR="00AD3ABE">
        <w:t>4–5</w:t>
      </w:r>
      <w:r w:rsidR="002E6DB0" w:rsidRPr="00A76560">
        <w:t xml:space="preserve"> &amp; </w:t>
      </w:r>
      <w:r w:rsidR="003B68B2" w:rsidRPr="00A76560">
        <w:t>fn.</w:t>
      </w:r>
      <w:r w:rsidR="002E6DB0" w:rsidRPr="00A76560">
        <w:t xml:space="preserve"> </w:t>
      </w:r>
      <w:r w:rsidR="00AD3ABE">
        <w:t>3</w:t>
      </w:r>
      <w:r w:rsidR="00B42DD9" w:rsidRPr="00A76560">
        <w:t>.</w:t>
      </w:r>
      <w:r w:rsidR="002E6DB0" w:rsidRPr="00A76560">
        <w:t>)</w:t>
      </w:r>
      <w:r w:rsidR="003B68B2">
        <w:t xml:space="preserve"> </w:t>
      </w:r>
      <w:r w:rsidR="00B42DD9">
        <w:t xml:space="preserve"> More to the point, because Owen </w:t>
      </w:r>
      <w:r w:rsidR="00147116">
        <w:t>provide</w:t>
      </w:r>
      <w:r w:rsidR="00AF1EFC">
        <w:t>s only</w:t>
      </w:r>
      <w:r w:rsidR="00147116">
        <w:t xml:space="preserve"> a substantially redacted copy of the confidential settlement</w:t>
      </w:r>
      <w:r w:rsidR="00475797">
        <w:t xml:space="preserve"> </w:t>
      </w:r>
      <w:r w:rsidR="00EC05F4">
        <w:t xml:space="preserve">agreement </w:t>
      </w:r>
      <w:r w:rsidR="00475797">
        <w:t>in the record</w:t>
      </w:r>
      <w:r w:rsidR="00EC05F4">
        <w:t xml:space="preserve"> on appeal</w:t>
      </w:r>
      <w:r w:rsidR="00475797">
        <w:t xml:space="preserve">, with only </w:t>
      </w:r>
      <w:r w:rsidR="00530322">
        <w:t>certain</w:t>
      </w:r>
      <w:r w:rsidR="00475797">
        <w:t xml:space="preserve"> provisions made visible, we are unable to evaluate </w:t>
      </w:r>
      <w:r w:rsidR="00F57FD3">
        <w:t>what claims were released</w:t>
      </w:r>
      <w:r w:rsidR="00AF1EFC">
        <w:t xml:space="preserve"> under the agreement.  </w:t>
      </w:r>
      <w:r w:rsidR="00610CCE">
        <w:t>Under</w:t>
      </w:r>
      <w:r w:rsidR="00B71757">
        <w:t xml:space="preserve"> fundamental</w:t>
      </w:r>
      <w:r w:rsidR="00866E53">
        <w:t xml:space="preserve"> </w:t>
      </w:r>
      <w:r w:rsidR="00B71757">
        <w:t>principle</w:t>
      </w:r>
      <w:r w:rsidR="00610CCE">
        <w:t>s</w:t>
      </w:r>
      <w:r w:rsidR="00B71757">
        <w:t xml:space="preserve"> of appellate review</w:t>
      </w:r>
      <w:r w:rsidR="00610CCE">
        <w:t xml:space="preserve">, </w:t>
      </w:r>
      <w:r w:rsidR="00F37124">
        <w:t>a trial court’s judgment is presumed to be correct</w:t>
      </w:r>
      <w:r w:rsidR="00B52751">
        <w:t xml:space="preserve"> and</w:t>
      </w:r>
      <w:r w:rsidR="00F37124">
        <w:t xml:space="preserve"> </w:t>
      </w:r>
      <w:r w:rsidR="00866E53">
        <w:t>the appellant “</w:t>
      </w:r>
      <w:r w:rsidR="00866E53" w:rsidRPr="00173DDD">
        <w:t xml:space="preserve">has the burden of providing an adequate record. </w:t>
      </w:r>
      <w:r w:rsidR="00866E53">
        <w:t xml:space="preserve"> </w:t>
      </w:r>
      <w:r w:rsidR="00866E53" w:rsidRPr="00173DDD">
        <w:t xml:space="preserve">[Citation.] </w:t>
      </w:r>
      <w:r w:rsidR="00866E53">
        <w:t xml:space="preserve"> </w:t>
      </w:r>
      <w:r w:rsidR="00866E53" w:rsidRPr="00173DDD">
        <w:t>Failure to provide an adequate record on an issue requires that the issue be resolved against [the appellant].</w:t>
      </w:r>
      <w:r w:rsidR="00013661">
        <w:t>”</w:t>
      </w:r>
      <w:r w:rsidR="00866E53" w:rsidRPr="00173DDD">
        <w:t xml:space="preserve"> </w:t>
      </w:r>
      <w:r w:rsidR="00866E53">
        <w:t xml:space="preserve"> </w:t>
      </w:r>
      <w:r w:rsidR="00866E53" w:rsidRPr="00173DDD">
        <w:t>(</w:t>
      </w:r>
      <w:r w:rsidR="00866E53" w:rsidRPr="00621A43">
        <w:rPr>
          <w:i/>
          <w:iCs/>
        </w:rPr>
        <w:t xml:space="preserve">Hernandez v. California Hospital Medical Center </w:t>
      </w:r>
      <w:r w:rsidR="00866E53" w:rsidRPr="00173DDD">
        <w:t>(2000) 78</w:t>
      </w:r>
      <w:r w:rsidR="00A13767">
        <w:t> </w:t>
      </w:r>
      <w:r w:rsidR="00866E53" w:rsidRPr="00173DDD">
        <w:t>Cal.App.4th 498, 502.)</w:t>
      </w:r>
      <w:r w:rsidR="00866E53">
        <w:t xml:space="preserve">  </w:t>
      </w:r>
      <w:r w:rsidR="008C2DC4">
        <w:t xml:space="preserve">As noted above, the most we can glean from the </w:t>
      </w:r>
      <w:r w:rsidR="00893F17">
        <w:t xml:space="preserve">appellate </w:t>
      </w:r>
      <w:r w:rsidR="008C2DC4">
        <w:t xml:space="preserve">record is that </w:t>
      </w:r>
      <w:r w:rsidR="00FE29A9">
        <w:t xml:space="preserve">Owen acknowledged under the settlement agreement that Blue Mountain </w:t>
      </w:r>
      <w:r w:rsidR="000C5686" w:rsidRPr="004001CD">
        <w:rPr>
          <w:i/>
          <w:iCs/>
        </w:rPr>
        <w:t>retains</w:t>
      </w:r>
      <w:r w:rsidR="000C5686">
        <w:t xml:space="preserve"> the right to enforce </w:t>
      </w:r>
      <w:r w:rsidR="00B070D9">
        <w:t xml:space="preserve">the </w:t>
      </w:r>
      <w:r w:rsidR="008D38E7">
        <w:t>n</w:t>
      </w:r>
      <w:r w:rsidR="00B070D9">
        <w:t>on</w:t>
      </w:r>
      <w:r w:rsidR="008D38E7">
        <w:t>s</w:t>
      </w:r>
      <w:r w:rsidR="00B070D9">
        <w:t xml:space="preserve">olicitation </w:t>
      </w:r>
      <w:r w:rsidR="00294C74">
        <w:t>covenants</w:t>
      </w:r>
      <w:r w:rsidR="00B070D9">
        <w:t xml:space="preserve"> </w:t>
      </w:r>
      <w:r w:rsidR="000C5686">
        <w:t>of the Employment Agreement</w:t>
      </w:r>
      <w:r w:rsidR="00294C74">
        <w:t xml:space="preserve"> against him</w:t>
      </w:r>
      <w:r w:rsidR="000C5686">
        <w:t xml:space="preserve">. </w:t>
      </w:r>
      <w:r w:rsidR="00A12BCA">
        <w:t xml:space="preserve"> </w:t>
      </w:r>
      <w:r w:rsidR="00341AF7">
        <w:t>If a separate provision of the settlement agreement suggests otherwise,</w:t>
      </w:r>
      <w:r w:rsidR="00A5523B">
        <w:t xml:space="preserve"> it was incumbent on Owen to provide a more complete copy of that agreement</w:t>
      </w:r>
      <w:r w:rsidR="00D23B3E">
        <w:t xml:space="preserve"> in support of his claims</w:t>
      </w:r>
      <w:r w:rsidR="00A5523B">
        <w:t xml:space="preserve">.  </w:t>
      </w:r>
      <w:r w:rsidR="00013661">
        <w:t xml:space="preserve">We conclude the argument has been </w:t>
      </w:r>
      <w:r w:rsidR="0028002D">
        <w:t>forfeited</w:t>
      </w:r>
      <w:r w:rsidR="00013661">
        <w:t xml:space="preserve">. </w:t>
      </w:r>
    </w:p>
    <w:p w14:paraId="0559DB88" w14:textId="7C3332C4" w:rsidR="00DF166E" w:rsidRDefault="005116F4" w:rsidP="008709E3">
      <w:pPr>
        <w:spacing w:line="360" w:lineRule="auto"/>
        <w:rPr>
          <w:b/>
          <w:bCs/>
        </w:rPr>
      </w:pPr>
      <w:r w:rsidRPr="00DF166E">
        <w:rPr>
          <w:b/>
          <w:bCs/>
        </w:rPr>
        <w:t xml:space="preserve">B.  </w:t>
      </w:r>
      <w:r w:rsidRPr="00DF166E">
        <w:rPr>
          <w:b/>
          <w:bCs/>
        </w:rPr>
        <w:tab/>
        <w:t>Attorney Fees</w:t>
      </w:r>
    </w:p>
    <w:p w14:paraId="2CB8E91A" w14:textId="78E60178" w:rsidR="00B12975" w:rsidRDefault="005116F4" w:rsidP="008709E3">
      <w:pPr>
        <w:spacing w:line="360" w:lineRule="auto"/>
      </w:pPr>
      <w:r>
        <w:tab/>
      </w:r>
      <w:r w:rsidR="0047286A">
        <w:t xml:space="preserve">In the second consolidated appeal, </w:t>
      </w:r>
      <w:r>
        <w:t xml:space="preserve">Owen contends that the trial court erred in </w:t>
      </w:r>
      <w:r w:rsidR="00F449D1">
        <w:t>determining</w:t>
      </w:r>
      <w:r>
        <w:t xml:space="preserve"> Blue Mountain to be the prevailing party</w:t>
      </w:r>
      <w:r w:rsidR="0091322F">
        <w:t xml:space="preserve"> and awarding </w:t>
      </w:r>
      <w:r w:rsidR="0091322F">
        <w:lastRenderedPageBreak/>
        <w:t>attorney fees</w:t>
      </w:r>
      <w:r>
        <w:t xml:space="preserve">.  He also asserts that </w:t>
      </w:r>
      <w:r w:rsidR="00F449D1">
        <w:t xml:space="preserve">even if the determination was correct, the amount of fees awarded is excessive.  </w:t>
      </w:r>
      <w:r w:rsidR="001B3A00">
        <w:t>We disagree.</w:t>
      </w:r>
    </w:p>
    <w:p w14:paraId="627E5D35" w14:textId="6DA19AA2" w:rsidR="00323B00" w:rsidRPr="007C1B33" w:rsidRDefault="005116F4" w:rsidP="00323B00">
      <w:pPr>
        <w:spacing w:line="360" w:lineRule="auto"/>
        <w:rPr>
          <w:b/>
          <w:bCs/>
          <w:i/>
          <w:iCs/>
        </w:rPr>
      </w:pPr>
      <w:r>
        <w:tab/>
      </w:r>
      <w:r w:rsidRPr="007C1B33">
        <w:rPr>
          <w:b/>
          <w:bCs/>
          <w:i/>
          <w:iCs/>
        </w:rPr>
        <w:t>i.</w:t>
      </w:r>
      <w:r w:rsidRPr="007C1B33">
        <w:rPr>
          <w:b/>
          <w:bCs/>
          <w:i/>
          <w:iCs/>
        </w:rPr>
        <w:tab/>
      </w:r>
      <w:r w:rsidR="007C1B33" w:rsidRPr="007C1B33">
        <w:rPr>
          <w:b/>
          <w:bCs/>
          <w:i/>
          <w:iCs/>
        </w:rPr>
        <w:t>Applicable Legal Principles</w:t>
      </w:r>
    </w:p>
    <w:p w14:paraId="64A6A7D6" w14:textId="43BF38AD" w:rsidR="00484C56" w:rsidRDefault="005116F4" w:rsidP="00484C56">
      <w:pPr>
        <w:spacing w:line="360" w:lineRule="auto"/>
      </w:pPr>
      <w:r>
        <w:tab/>
        <w:t>In an action on a contract, Civil Code section 1717 permits an award of reasonable attorney fees to the prevailing party where the contract specifically provides for them.</w:t>
      </w:r>
      <w:r w:rsidR="00A12BCA">
        <w:t xml:space="preserve"> </w:t>
      </w:r>
      <w:r>
        <w:t xml:space="preserve"> Civil Code section 1717 defines </w:t>
      </w:r>
      <w:r w:rsidR="00A373D6">
        <w:t>“</w:t>
      </w:r>
      <w:r>
        <w:t>prevailing party</w:t>
      </w:r>
      <w:r w:rsidR="00A373D6">
        <w:t>”</w:t>
      </w:r>
      <w:r>
        <w:t xml:space="preserve"> as </w:t>
      </w:r>
      <w:r w:rsidR="00A373D6">
        <w:t>“</w:t>
      </w:r>
      <w:r>
        <w:t>the party who recovered the greater relief in the action on the contract.</w:t>
      </w:r>
      <w:r w:rsidR="00A373D6">
        <w:t>”</w:t>
      </w:r>
      <w:r>
        <w:t xml:space="preserve"> </w:t>
      </w:r>
      <w:r w:rsidR="006D101B">
        <w:t xml:space="preserve"> </w:t>
      </w:r>
      <w:r>
        <w:t>(Civ. Code, § 1717, subd. (b)(1).)</w:t>
      </w:r>
      <w:r w:rsidR="007C5D71" w:rsidRPr="007C5D71">
        <w:t xml:space="preserve"> </w:t>
      </w:r>
      <w:r w:rsidR="007C5D71">
        <w:t xml:space="preserve"> </w:t>
      </w:r>
      <w:r w:rsidR="00C615DD">
        <w:t>Here, t</w:t>
      </w:r>
      <w:r w:rsidR="007C5D71">
        <w:t xml:space="preserve">he relevant attorney fee provision is found in the parties’ Employment Agreement and provides: </w:t>
      </w:r>
      <w:r w:rsidR="00A12BCA">
        <w:t xml:space="preserve"> </w:t>
      </w:r>
      <w:r w:rsidR="007C5D71">
        <w:t xml:space="preserve">“If an action at law or in equity is necessary to enforce or interpret the terms of this Agreement, the losing party will be responsible to the prevailing party for all reasonable attorneys’ fees, costs and expenses incurred by the prevailing party.” </w:t>
      </w:r>
    </w:p>
    <w:p w14:paraId="52ADB36F" w14:textId="13898F63" w:rsidR="00484C56" w:rsidRDefault="005116F4" w:rsidP="00484C56">
      <w:pPr>
        <w:spacing w:line="360" w:lineRule="auto"/>
      </w:pPr>
      <w:r>
        <w:tab/>
      </w:r>
      <w:r w:rsidR="00A373D6">
        <w:t>“</w:t>
      </w:r>
      <w:r>
        <w:t>When a party obtains a simple, unqualified victory by completely prevailing on or defeating all contract claims in the action and the contract contains a provision for attorney fees, [Civil Code] section 1717 entitles the successful party to recover reasonable attorney fees incurred in prosecution or defense of those claims</w:t>
      </w:r>
      <w:r w:rsidR="00A373D6">
        <w:t>”</w:t>
      </w:r>
      <w:r>
        <w:t xml:space="preserve"> as a matter of right. </w:t>
      </w:r>
      <w:r w:rsidR="00A373D6">
        <w:t xml:space="preserve"> </w:t>
      </w:r>
      <w:r>
        <w:t>(</w:t>
      </w:r>
      <w:r w:rsidRPr="00A373D6">
        <w:rPr>
          <w:i/>
          <w:iCs/>
        </w:rPr>
        <w:t>Scott Co. v. Blount, Inc.</w:t>
      </w:r>
      <w:r>
        <w:t xml:space="preserve"> (1999) 20 Cal.4th 1103, 1109.) </w:t>
      </w:r>
      <w:r w:rsidR="00A373D6">
        <w:t xml:space="preserve"> </w:t>
      </w:r>
      <w:r>
        <w:t xml:space="preserve">But </w:t>
      </w:r>
      <w:r w:rsidR="00A373D6">
        <w:t>“</w:t>
      </w:r>
      <w:r>
        <w:t>if neither party achieves a complete victory on all the contract claims, it is within the discretion of the trial court to determine which party prevailed on the contract or whether, on balance, neither party prevailed sufficiently to justify an award of attorney fees.</w:t>
      </w:r>
      <w:r w:rsidR="00A373D6">
        <w:t>”</w:t>
      </w:r>
      <w:r w:rsidR="00822D07">
        <w:t xml:space="preserve"> </w:t>
      </w:r>
      <w:r>
        <w:t xml:space="preserve"> (</w:t>
      </w:r>
      <w:r w:rsidRPr="00822D07">
        <w:rPr>
          <w:i/>
          <w:iCs/>
        </w:rPr>
        <w:t>Ibid.</w:t>
      </w:r>
      <w:r>
        <w:t>; Civ. Code, § 1717, subd. (b)(1).)</w:t>
      </w:r>
    </w:p>
    <w:p w14:paraId="5C280169" w14:textId="02641D6E" w:rsidR="00484C56" w:rsidRDefault="005116F4" w:rsidP="00484C56">
      <w:pPr>
        <w:spacing w:line="360" w:lineRule="auto"/>
      </w:pPr>
      <w:r>
        <w:tab/>
      </w:r>
      <w:r w:rsidR="00822D07">
        <w:t>“</w:t>
      </w:r>
      <w:r>
        <w:t xml:space="preserve">[I]n deciding whether there is a </w:t>
      </w:r>
      <w:r w:rsidR="009200AF">
        <w:t>‘</w:t>
      </w:r>
      <w:r>
        <w:t>party prevailing on the contract,</w:t>
      </w:r>
      <w:r w:rsidR="009200AF">
        <w:t>’</w:t>
      </w:r>
      <w:r>
        <w:t xml:space="preserve"> the trial court is to compare the relief awarded on the contract claim or claims with the parties</w:t>
      </w:r>
      <w:r w:rsidR="009200AF">
        <w:t>’</w:t>
      </w:r>
      <w:r>
        <w:t xml:space="preserve"> demands on those same claims and their litigation objectives as disclosed by the pleadings, trial briefs, opening statements, and similar </w:t>
      </w:r>
      <w:r>
        <w:lastRenderedPageBreak/>
        <w:t>sources.</w:t>
      </w:r>
      <w:r w:rsidR="009200AF">
        <w:t xml:space="preserve"> </w:t>
      </w:r>
      <w:r>
        <w:t xml:space="preserve"> The prevailing party determination is to be made only upon final resolution of the contract claims and only by </w:t>
      </w:r>
      <w:r w:rsidR="009200AF">
        <w:t>‘</w:t>
      </w:r>
      <w:r>
        <w:t>a comparison of the extent to which each party ha[s] succeeded and failed to succeed in its contentions.</w:t>
      </w:r>
      <w:r w:rsidR="009200AF">
        <w:t>’</w:t>
      </w:r>
      <w:r w:rsidR="0071640A">
        <w:t> </w:t>
      </w:r>
      <w:r w:rsidR="009200AF">
        <w:t xml:space="preserve">”  </w:t>
      </w:r>
      <w:r>
        <w:t>(</w:t>
      </w:r>
      <w:r w:rsidRPr="009200AF">
        <w:rPr>
          <w:i/>
          <w:iCs/>
        </w:rPr>
        <w:t>Hsu v. Abbara</w:t>
      </w:r>
      <w:r>
        <w:t xml:space="preserve"> (1995) 9 Cal.4th 863, 876.) </w:t>
      </w:r>
      <w:r w:rsidR="009200AF">
        <w:t xml:space="preserve"> “</w:t>
      </w:r>
      <w:r w:rsidRPr="00510B7D">
        <w:rPr>
          <w:i/>
          <w:iCs/>
        </w:rPr>
        <w:t>[I]n determining litigation success</w:t>
      </w:r>
      <w:r>
        <w:t xml:space="preserve">, courts should respect substance rather than form, and to this extent should be guided by </w:t>
      </w:r>
      <w:r w:rsidR="009200AF">
        <w:t>‘</w:t>
      </w:r>
      <w:r>
        <w:t>equitable considerations.</w:t>
      </w:r>
      <w:r w:rsidR="009200AF">
        <w:t>’</w:t>
      </w:r>
      <w:r w:rsidR="006C0517">
        <w:t> </w:t>
      </w:r>
      <w:r w:rsidR="009200AF">
        <w:t>”</w:t>
      </w:r>
      <w:r>
        <w:t xml:space="preserve"> </w:t>
      </w:r>
      <w:r w:rsidR="009200AF">
        <w:t xml:space="preserve"> </w:t>
      </w:r>
      <w:r>
        <w:t>(</w:t>
      </w:r>
      <w:r w:rsidRPr="009200AF">
        <w:rPr>
          <w:i/>
          <w:iCs/>
        </w:rPr>
        <w:t>Id</w:t>
      </w:r>
      <w:r>
        <w:t xml:space="preserve">. at p. 877.) </w:t>
      </w:r>
      <w:r w:rsidR="004D1CB0">
        <w:t xml:space="preserve"> </w:t>
      </w:r>
      <w:r>
        <w:t xml:space="preserve">That a party recovered </w:t>
      </w:r>
      <w:r w:rsidR="004D1CB0">
        <w:t>“</w:t>
      </w:r>
      <w:r>
        <w:t>less than the amount he prayed for does not make his adversary the prevailing party within the meaning of Civil Code section 1717.</w:t>
      </w:r>
      <w:r w:rsidR="004D1CB0">
        <w:t xml:space="preserve">” </w:t>
      </w:r>
      <w:r>
        <w:t xml:space="preserve"> (</w:t>
      </w:r>
      <w:r w:rsidRPr="004D1CB0">
        <w:rPr>
          <w:i/>
          <w:iCs/>
        </w:rPr>
        <w:t>Buck v. Barb</w:t>
      </w:r>
      <w:r>
        <w:t xml:space="preserve"> (1983) 147 Cal.App.3d 920, 926.) </w:t>
      </w:r>
      <w:r w:rsidR="004D1CB0">
        <w:t xml:space="preserve"> “</w:t>
      </w:r>
      <w:r>
        <w:t>A trial court has wide discretion in determining which party is the prevailing party under [Civil Code] section</w:t>
      </w:r>
      <w:r w:rsidR="006C0517">
        <w:t> </w:t>
      </w:r>
      <w:r>
        <w:t>1717, and we will not disturb the trial court</w:t>
      </w:r>
      <w:r w:rsidR="004D1CB0">
        <w:t>’</w:t>
      </w:r>
      <w:r>
        <w:t xml:space="preserve">s determination absent </w:t>
      </w:r>
      <w:r w:rsidR="004D1CB0">
        <w:t>‘</w:t>
      </w:r>
      <w:r>
        <w:t>a manifest abuse of discretion, a prejudicial error of law, or necessary findings not supported by substantial evidence.</w:t>
      </w:r>
      <w:r w:rsidR="004D1CB0">
        <w:t>’</w:t>
      </w:r>
      <w:r w:rsidR="006C0517">
        <w:t> </w:t>
      </w:r>
      <w:r w:rsidR="004D1CB0">
        <w:t xml:space="preserve">” </w:t>
      </w:r>
      <w:r>
        <w:t xml:space="preserve"> (</w:t>
      </w:r>
      <w:r w:rsidRPr="004D1CB0">
        <w:rPr>
          <w:i/>
          <w:iCs/>
        </w:rPr>
        <w:t>Silver Creek, LLC v. BlackRock Realty Advisors, Inc.</w:t>
      </w:r>
      <w:r>
        <w:t xml:space="preserve"> (2009) 173 Cal.App.4th 1533, 1539.)</w:t>
      </w:r>
    </w:p>
    <w:p w14:paraId="74818CE3" w14:textId="3122731F" w:rsidR="007C1B33" w:rsidRPr="007C1B33" w:rsidRDefault="005116F4" w:rsidP="00484C56">
      <w:pPr>
        <w:spacing w:line="360" w:lineRule="auto"/>
        <w:rPr>
          <w:b/>
          <w:bCs/>
          <w:i/>
          <w:iCs/>
        </w:rPr>
      </w:pPr>
      <w:r>
        <w:tab/>
      </w:r>
      <w:r w:rsidRPr="007C1B33">
        <w:rPr>
          <w:b/>
          <w:bCs/>
          <w:i/>
          <w:iCs/>
        </w:rPr>
        <w:t>ii.</w:t>
      </w:r>
      <w:r w:rsidRPr="007C1B33">
        <w:rPr>
          <w:b/>
          <w:bCs/>
          <w:i/>
          <w:iCs/>
        </w:rPr>
        <w:tab/>
        <w:t>Application</w:t>
      </w:r>
    </w:p>
    <w:p w14:paraId="51D358AC" w14:textId="6D5714C7" w:rsidR="00E04C8C" w:rsidRDefault="005116F4" w:rsidP="00E04C8C">
      <w:pPr>
        <w:spacing w:line="360" w:lineRule="auto"/>
      </w:pPr>
      <w:r>
        <w:tab/>
        <w:t xml:space="preserve">Owen </w:t>
      </w:r>
      <w:r w:rsidR="006331FC">
        <w:t xml:space="preserve">challenges </w:t>
      </w:r>
      <w:r>
        <w:t>Blue Mountain</w:t>
      </w:r>
      <w:r w:rsidR="006331FC">
        <w:t>’s</w:t>
      </w:r>
      <w:r w:rsidR="00D647E4">
        <w:t xml:space="preserve"> status as the prevailing party, noting that it</w:t>
      </w:r>
      <w:r>
        <w:t xml:space="preserve"> </w:t>
      </w:r>
      <w:r w:rsidR="007A21B2">
        <w:t>pursued many c</w:t>
      </w:r>
      <w:r w:rsidR="00E37EBC">
        <w:t>au</w:t>
      </w:r>
      <w:r w:rsidR="007A21B2">
        <w:t xml:space="preserve">ses of action </w:t>
      </w:r>
      <w:r w:rsidR="00331D16">
        <w:t xml:space="preserve">before focusing </w:t>
      </w:r>
      <w:r w:rsidR="00BA3FFD">
        <w:t>exclusively</w:t>
      </w:r>
      <w:r w:rsidR="00930017">
        <w:t xml:space="preserve"> </w:t>
      </w:r>
      <w:r w:rsidR="00331D16">
        <w:t>on</w:t>
      </w:r>
      <w:r w:rsidR="007A21B2">
        <w:t xml:space="preserve"> the breach of contract claim</w:t>
      </w:r>
      <w:r w:rsidR="00E37EBC">
        <w:t>,</w:t>
      </w:r>
      <w:r w:rsidR="007A21B2">
        <w:t xml:space="preserve"> and waited until the last minute to narrow its </w:t>
      </w:r>
      <w:r w:rsidR="00E37EBC">
        <w:t xml:space="preserve">contract </w:t>
      </w:r>
      <w:r w:rsidR="007A21B2">
        <w:t xml:space="preserve">claims to a breach of </w:t>
      </w:r>
      <w:r w:rsidR="00C639B7">
        <w:t xml:space="preserve">the </w:t>
      </w:r>
      <w:r w:rsidR="005A49AE">
        <w:t>customer nonsolicitation provision</w:t>
      </w:r>
      <w:r w:rsidR="00A323A2">
        <w:t xml:space="preserve">.  He asserts that “[h]ad Blue Mountain abandoned its damages and invoked Owen’s contractual provision from the </w:t>
      </w:r>
      <w:r w:rsidR="005C3191">
        <w:t xml:space="preserve">outset, it would have incurred no fees beyond the amended preliminary injunction.” </w:t>
      </w:r>
      <w:r w:rsidR="00F32228">
        <w:t xml:space="preserve"> </w:t>
      </w:r>
      <w:r>
        <w:t xml:space="preserve">Owen also notes that Blue Mountain abandoned </w:t>
      </w:r>
      <w:r w:rsidR="003A2D27">
        <w:t xml:space="preserve">its </w:t>
      </w:r>
      <w:r w:rsidR="005203D7">
        <w:t>claims for</w:t>
      </w:r>
      <w:r>
        <w:t xml:space="preserve"> alleged breaches of contract relating to </w:t>
      </w:r>
      <w:r w:rsidR="00B95B21">
        <w:t xml:space="preserve">its </w:t>
      </w:r>
      <w:r>
        <w:t>employee solicitation</w:t>
      </w:r>
      <w:r w:rsidR="00B95B21">
        <w:t xml:space="preserve"> claim</w:t>
      </w:r>
      <w:r w:rsidR="00BA3C57">
        <w:t xml:space="preserve">, </w:t>
      </w:r>
      <w:r>
        <w:t>assert</w:t>
      </w:r>
      <w:r w:rsidR="00BA3C57">
        <w:t>ing that</w:t>
      </w:r>
      <w:r>
        <w:t xml:space="preserve"> “[s]uch a meager ‘victory’ cannot form the basis for an award of nearly $600,000 in attorney fees. </w:t>
      </w:r>
    </w:p>
    <w:p w14:paraId="60228C70" w14:textId="00CA2427" w:rsidR="005F0F1A" w:rsidRDefault="005116F4" w:rsidP="005F0F1A">
      <w:pPr>
        <w:spacing w:line="360" w:lineRule="auto"/>
      </w:pPr>
      <w:r>
        <w:tab/>
        <w:t>The trial court was well</w:t>
      </w:r>
      <w:r w:rsidR="006C0517">
        <w:t xml:space="preserve"> </w:t>
      </w:r>
      <w:r>
        <w:t xml:space="preserve">aware of </w:t>
      </w:r>
      <w:r w:rsidR="005023CA">
        <w:t xml:space="preserve">the extent to which Blue Mountain succeeded in this litigation.  </w:t>
      </w:r>
      <w:r>
        <w:t xml:space="preserve">In finding Blue Mountain to be the prevailing </w:t>
      </w:r>
      <w:r>
        <w:lastRenderedPageBreak/>
        <w:t xml:space="preserve">party under Civil Code section 1717, the trial court noted that Blue Mountain secured a </w:t>
      </w:r>
      <w:r w:rsidR="005F244D">
        <w:t>temporary restraining order</w:t>
      </w:r>
      <w:r>
        <w:t xml:space="preserve">, </w:t>
      </w:r>
      <w:r w:rsidR="003A2D27">
        <w:t xml:space="preserve">a </w:t>
      </w:r>
      <w:r>
        <w:t xml:space="preserve">preliminary injunction, and a permanent injunction against Owen </w:t>
      </w:r>
      <w:r w:rsidR="00177044">
        <w:t>based on</w:t>
      </w:r>
      <w:r>
        <w:t xml:space="preserve"> the breach of the customer nonsolicitation covenant.  The court </w:t>
      </w:r>
      <w:r w:rsidR="008E59A9">
        <w:t xml:space="preserve">also </w:t>
      </w:r>
      <w:r>
        <w:t>acknowledged that Blue Mountain’s other contractual claim</w:t>
      </w:r>
      <w:r w:rsidR="00A75EDC">
        <w:t>s</w:t>
      </w:r>
      <w:r>
        <w:t xml:space="preserve"> were not adjudicated and </w:t>
      </w:r>
      <w:r w:rsidR="00A75EDC">
        <w:t xml:space="preserve">that </w:t>
      </w:r>
      <w:r>
        <w:t xml:space="preserve">Blue Mountain had waived recovery of monetary damages.  Additionally, </w:t>
      </w:r>
      <w:r w:rsidR="00A75EDC">
        <w:t>the court note</w:t>
      </w:r>
      <w:r w:rsidR="003F78E8">
        <w:t>d</w:t>
      </w:r>
      <w:r w:rsidR="00A75EDC">
        <w:t xml:space="preserve"> that </w:t>
      </w:r>
      <w:r>
        <w:t xml:space="preserve">the causes of action for misappropriation of trade secrets </w:t>
      </w:r>
      <w:r w:rsidR="0046065A">
        <w:t>an</w:t>
      </w:r>
      <w:r w:rsidR="006A640A">
        <w:t>d unfair competition were</w:t>
      </w:r>
      <w:r>
        <w:t xml:space="preserve"> </w:t>
      </w:r>
      <w:r w:rsidR="007833A3">
        <w:t>dismissed</w:t>
      </w:r>
      <w:r>
        <w:t xml:space="preserve"> following summary judgment</w:t>
      </w:r>
      <w:r w:rsidR="00373924">
        <w:t>,</w:t>
      </w:r>
      <w:r>
        <w:t xml:space="preserve"> and </w:t>
      </w:r>
      <w:r w:rsidR="003F78E8">
        <w:t xml:space="preserve">that </w:t>
      </w:r>
      <w:r>
        <w:t xml:space="preserve">Blue Mountain </w:t>
      </w:r>
      <w:r w:rsidR="009E50F3">
        <w:t xml:space="preserve">had thereafter </w:t>
      </w:r>
      <w:r>
        <w:t xml:space="preserve">voluntarily dismissed its remaining claims. </w:t>
      </w:r>
    </w:p>
    <w:p w14:paraId="205DED3A" w14:textId="16AB300D" w:rsidR="00922F53" w:rsidRDefault="005116F4" w:rsidP="00876ED6">
      <w:pPr>
        <w:spacing w:line="360" w:lineRule="auto"/>
      </w:pPr>
      <w:r>
        <w:tab/>
      </w:r>
      <w:r w:rsidR="0002164F">
        <w:t xml:space="preserve"> </w:t>
      </w:r>
      <w:r w:rsidR="00BA3C57">
        <w:t xml:space="preserve">While </w:t>
      </w:r>
      <w:r w:rsidR="00433E89">
        <w:t xml:space="preserve">we agree with Owen that </w:t>
      </w:r>
      <w:r w:rsidR="00BA3C57">
        <w:t xml:space="preserve">Blue Mountain did not achieve all of its </w:t>
      </w:r>
      <w:r w:rsidR="004378CB">
        <w:t xml:space="preserve">litigation </w:t>
      </w:r>
      <w:r w:rsidR="00E65795">
        <w:t>goals</w:t>
      </w:r>
      <w:r w:rsidR="00BA3C57">
        <w:t xml:space="preserve">, </w:t>
      </w:r>
      <w:r w:rsidR="00E762C3">
        <w:t xml:space="preserve">the trial court carefully considered </w:t>
      </w:r>
      <w:r w:rsidR="00E65795">
        <w:t xml:space="preserve">this </w:t>
      </w:r>
      <w:r w:rsidR="009E50F3">
        <w:t>factor</w:t>
      </w:r>
      <w:r w:rsidR="00E762C3">
        <w:t xml:space="preserve">, </w:t>
      </w:r>
      <w:r w:rsidR="000248BC">
        <w:t xml:space="preserve">and it </w:t>
      </w:r>
      <w:r w:rsidR="00471333">
        <w:t>disallow</w:t>
      </w:r>
      <w:r w:rsidR="000248BC">
        <w:t>ed</w:t>
      </w:r>
      <w:r w:rsidR="00471333">
        <w:t xml:space="preserve"> a significant amount</w:t>
      </w:r>
      <w:r w:rsidR="00EB2786">
        <w:t xml:space="preserve"> </w:t>
      </w:r>
      <w:r w:rsidR="002837E7">
        <w:t xml:space="preserve">of </w:t>
      </w:r>
      <w:r w:rsidR="00EB2786">
        <w:t xml:space="preserve">attorney fees incurred by Blue Mountain </w:t>
      </w:r>
      <w:r w:rsidR="00395C9B">
        <w:t>where</w:t>
      </w:r>
      <w:r w:rsidR="004A79B6">
        <w:t xml:space="preserve"> </w:t>
      </w:r>
      <w:r w:rsidR="00957608">
        <w:t>its</w:t>
      </w:r>
      <w:r w:rsidR="004A79B6">
        <w:t xml:space="preserve"> </w:t>
      </w:r>
      <w:r w:rsidR="007F510D">
        <w:t xml:space="preserve">law firm’s </w:t>
      </w:r>
      <w:r w:rsidR="004A79B6">
        <w:t xml:space="preserve">activities did not meaningfully advance </w:t>
      </w:r>
      <w:r w:rsidR="005B6D34">
        <w:t>the</w:t>
      </w:r>
      <w:r w:rsidR="004A79B6">
        <w:t xml:space="preserve"> objective</w:t>
      </w:r>
      <w:r w:rsidR="00925172">
        <w:t xml:space="preserve"> </w:t>
      </w:r>
      <w:r w:rsidR="005B6D34">
        <w:t>of enforcing</w:t>
      </w:r>
      <w:r w:rsidR="00925172">
        <w:t xml:space="preserve"> the nonsolicitation covenant</w:t>
      </w:r>
      <w:r w:rsidR="00EB2786">
        <w:t xml:space="preserve">. </w:t>
      </w:r>
      <w:r w:rsidR="00731F02">
        <w:t xml:space="preserve"> These </w:t>
      </w:r>
      <w:r w:rsidR="00395C9B">
        <w:t xml:space="preserve">disallowed fees </w:t>
      </w:r>
      <w:r w:rsidR="00731F02">
        <w:t>activities included filing an amended co</w:t>
      </w:r>
      <w:r w:rsidR="00CD001F">
        <w:t>m</w:t>
      </w:r>
      <w:r w:rsidR="00731F02">
        <w:t xml:space="preserve">plaint to allege </w:t>
      </w:r>
      <w:r w:rsidR="005B6D34">
        <w:t xml:space="preserve">claims for </w:t>
      </w:r>
      <w:r w:rsidR="00731F02">
        <w:t xml:space="preserve">misappropriation and unfair business </w:t>
      </w:r>
      <w:r w:rsidR="005B6D34">
        <w:t xml:space="preserve">practices </w:t>
      </w:r>
      <w:r w:rsidR="00D955AD">
        <w:t xml:space="preserve">and conducting </w:t>
      </w:r>
      <w:r w:rsidR="00CD001F">
        <w:t>discovery</w:t>
      </w:r>
      <w:r w:rsidR="00D955AD">
        <w:t xml:space="preserve"> on these claims, as well as</w:t>
      </w:r>
      <w:r w:rsidR="00CD001F">
        <w:t xml:space="preserve"> </w:t>
      </w:r>
      <w:r w:rsidR="00ED0B97">
        <w:t xml:space="preserve">unsuccessfully </w:t>
      </w:r>
      <w:r w:rsidR="00856B43">
        <w:t xml:space="preserve">opposing several motions filed by Owen and Silvermark. </w:t>
      </w:r>
    </w:p>
    <w:p w14:paraId="50439CEF" w14:textId="408F59CA" w:rsidR="003529CF" w:rsidRDefault="005116F4" w:rsidP="003529CF">
      <w:pPr>
        <w:spacing w:line="360" w:lineRule="auto"/>
      </w:pPr>
      <w:r>
        <w:tab/>
      </w:r>
      <w:r w:rsidR="00075725">
        <w:t>It is true that t</w:t>
      </w:r>
      <w:r>
        <w:t xml:space="preserve">he trial court </w:t>
      </w:r>
      <w:r w:rsidR="00075725">
        <w:t>found</w:t>
      </w:r>
      <w:r>
        <w:t xml:space="preserve"> that Blue Mountain’s contract claim “was essentially resolved following the preliminary injunction issued November 29, 2017.”  Importantly, however, the court observed that Blue Mountain was thereafter forced “to defend numerous and repetitive challenges </w:t>
      </w:r>
      <w:r w:rsidR="006C0517">
        <w:t xml:space="preserve">. . . </w:t>
      </w:r>
      <w:r>
        <w:t>to the preliminary injunction,” including responding to Owen’s and Silvermark’s demurrers, ex parte application</w:t>
      </w:r>
      <w:r w:rsidR="006C4DD0">
        <w:t>s</w:t>
      </w:r>
      <w:r>
        <w:t xml:space="preserve"> for a TRO, a motion to modify the undertaking, a motion for trial preference, and a motion to dissolve the preliminary injunction.  </w:t>
      </w:r>
      <w:r w:rsidR="006D6453">
        <w:t xml:space="preserve">The trial court carefully considered the procedural record and voluminous contentions by the parties, and determined </w:t>
      </w:r>
      <w:r w:rsidR="006D6453">
        <w:lastRenderedPageBreak/>
        <w:t>that Blue Mountain was the prevailing party on its breach of contract cause of action.  We find no abuse of discretion in the court’s determination.</w:t>
      </w:r>
    </w:p>
    <w:p w14:paraId="2153D45E" w14:textId="20C68FFF" w:rsidR="00ED0B97" w:rsidRPr="00ED0B97" w:rsidRDefault="005116F4" w:rsidP="00876ED6">
      <w:pPr>
        <w:spacing w:line="360" w:lineRule="auto"/>
        <w:rPr>
          <w:b/>
          <w:bCs/>
          <w:i/>
          <w:iCs/>
        </w:rPr>
      </w:pPr>
      <w:r>
        <w:tab/>
      </w:r>
      <w:r w:rsidRPr="00ED0B97">
        <w:rPr>
          <w:b/>
          <w:bCs/>
          <w:i/>
          <w:iCs/>
        </w:rPr>
        <w:t>iii.</w:t>
      </w:r>
      <w:r w:rsidRPr="00ED0B97">
        <w:rPr>
          <w:b/>
          <w:bCs/>
          <w:i/>
          <w:iCs/>
        </w:rPr>
        <w:tab/>
        <w:t xml:space="preserve">The Award </w:t>
      </w:r>
      <w:r w:rsidR="00804D78">
        <w:rPr>
          <w:b/>
          <w:bCs/>
          <w:i/>
          <w:iCs/>
        </w:rPr>
        <w:t>I</w:t>
      </w:r>
      <w:r w:rsidR="00804D78" w:rsidRPr="00ED0B97">
        <w:rPr>
          <w:b/>
          <w:bCs/>
          <w:i/>
          <w:iCs/>
        </w:rPr>
        <w:t xml:space="preserve">s </w:t>
      </w:r>
      <w:r w:rsidRPr="00ED0B97">
        <w:rPr>
          <w:b/>
          <w:bCs/>
          <w:i/>
          <w:iCs/>
        </w:rPr>
        <w:t>Not Excessive</w:t>
      </w:r>
    </w:p>
    <w:p w14:paraId="0D7987E8" w14:textId="315B914F" w:rsidR="0011396E" w:rsidRDefault="005116F4" w:rsidP="00C846D6">
      <w:pPr>
        <w:spacing w:line="360" w:lineRule="auto"/>
      </w:pPr>
      <w:r>
        <w:tab/>
      </w:r>
      <w:r w:rsidRPr="0011396E">
        <w:t xml:space="preserve">“The amount of an attorney fee to be awarded is a matter within the sound discretion of the trial court. </w:t>
      </w:r>
      <w:r>
        <w:t xml:space="preserve"> </w:t>
      </w:r>
      <w:r w:rsidRPr="0011396E">
        <w:t>[Citation.]</w:t>
      </w:r>
      <w:r>
        <w:t xml:space="preserve"> </w:t>
      </w:r>
      <w:r w:rsidRPr="0011396E">
        <w:t xml:space="preserve"> The trial court is the best judge of the value of professional services rendered in its court, and while its judgment is subject to our review, we will not disturb that determination unless we are convinced that it is clearly wrong. </w:t>
      </w:r>
      <w:r>
        <w:t xml:space="preserve"> </w:t>
      </w:r>
      <w:r w:rsidRPr="0011396E">
        <w:t>[Citations.]</w:t>
      </w:r>
      <w:r>
        <w:t xml:space="preserve"> </w:t>
      </w:r>
      <w:r w:rsidRPr="0011396E">
        <w:t xml:space="preserve"> The only proper basis of reversal of the amount of an attorney fees award is if the amount awarded is so large or small that it shocks the conscience and suggests that passion and prejudice influenced the determination.”</w:t>
      </w:r>
      <w:r>
        <w:t xml:space="preserve"> </w:t>
      </w:r>
      <w:r w:rsidRPr="0011396E">
        <w:t xml:space="preserve"> (</w:t>
      </w:r>
      <w:r w:rsidRPr="00954A05">
        <w:rPr>
          <w:i/>
          <w:iCs/>
        </w:rPr>
        <w:t>Akins v. Enterprise Rent-A-Car Co.</w:t>
      </w:r>
      <w:r w:rsidRPr="0011396E">
        <w:t xml:space="preserve"> (2000) 79</w:t>
      </w:r>
      <w:r w:rsidR="00804D78">
        <w:t> </w:t>
      </w:r>
      <w:r w:rsidRPr="0011396E">
        <w:t>Cal.App.4th 1127, 1134.)</w:t>
      </w:r>
      <w:r w:rsidR="003F274A">
        <w:tab/>
      </w:r>
    </w:p>
    <w:p w14:paraId="6BF0E29A" w14:textId="3FA83EB7" w:rsidR="00BC3E95" w:rsidRDefault="005116F4" w:rsidP="00C846D6">
      <w:pPr>
        <w:spacing w:line="360" w:lineRule="auto"/>
      </w:pPr>
      <w:r>
        <w:tab/>
      </w:r>
      <w:r w:rsidR="00AF706F">
        <w:t xml:space="preserve">Without providing any citation to the record, Owen </w:t>
      </w:r>
      <w:r w:rsidR="00954A05">
        <w:t>contends t</w:t>
      </w:r>
      <w:r w:rsidR="00AF706F">
        <w:t xml:space="preserve">hat Blue Mountain’s fees and costs should not have exceeded $205,557 and $4,495.70 respectively.  </w:t>
      </w:r>
      <w:r w:rsidR="008E0725">
        <w:t xml:space="preserve">It is unclear </w:t>
      </w:r>
      <w:r>
        <w:t>how</w:t>
      </w:r>
      <w:r w:rsidR="008E0725">
        <w:t xml:space="preserve"> </w:t>
      </w:r>
      <w:r w:rsidR="00605A9A">
        <w:t xml:space="preserve">Owen derived these </w:t>
      </w:r>
      <w:r>
        <w:t>figures</w:t>
      </w:r>
      <w:r w:rsidR="00873C3E">
        <w:t>,</w:t>
      </w:r>
      <w:r w:rsidR="00605A9A">
        <w:t xml:space="preserve"> and </w:t>
      </w:r>
      <w:r>
        <w:t>“[</w:t>
      </w:r>
      <w:r w:rsidR="00873C3E">
        <w:t>i</w:t>
      </w:r>
      <w:r>
        <w:t>]</w:t>
      </w:r>
      <w:r w:rsidRPr="00BC3E95">
        <w:t>t is not the function of this court to comb the record looking for the evidence or absence of evidence to support [a party</w:t>
      </w:r>
      <w:r w:rsidR="00873C3E">
        <w:t>’</w:t>
      </w:r>
      <w:r w:rsidRPr="00BC3E95">
        <w:t>s] argument.”</w:t>
      </w:r>
      <w:r w:rsidR="001D5A4B">
        <w:t xml:space="preserve"> </w:t>
      </w:r>
      <w:r w:rsidRPr="00BC3E95">
        <w:t xml:space="preserve"> (</w:t>
      </w:r>
      <w:r w:rsidRPr="0051321F">
        <w:rPr>
          <w:i/>
          <w:iCs/>
        </w:rPr>
        <w:t>People ex rel. Reisig v. Acuna</w:t>
      </w:r>
      <w:r w:rsidRPr="00BC3E95">
        <w:t xml:space="preserve"> (2010) 182 Cal.App.4th 866, 879</w:t>
      </w:r>
      <w:r w:rsidR="00873C3E">
        <w:t xml:space="preserve">.)  </w:t>
      </w:r>
      <w:r w:rsidR="0051321F">
        <w:t>The contention is forfeited.</w:t>
      </w:r>
    </w:p>
    <w:p w14:paraId="0E3B4AC4" w14:textId="4C17CB05" w:rsidR="001071E3" w:rsidRDefault="005116F4" w:rsidP="00C846D6">
      <w:pPr>
        <w:spacing w:line="360" w:lineRule="auto"/>
      </w:pPr>
      <w:r>
        <w:tab/>
      </w:r>
      <w:r w:rsidR="00605A9A">
        <w:t>O</w:t>
      </w:r>
      <w:r w:rsidR="003B7E8A">
        <w:t>wen</w:t>
      </w:r>
      <w:r w:rsidR="00EB69D4">
        <w:t xml:space="preserve"> </w:t>
      </w:r>
      <w:r w:rsidR="00831E1B">
        <w:t xml:space="preserve">also </w:t>
      </w:r>
      <w:r w:rsidR="00EB69D4">
        <w:t xml:space="preserve">asserts that Blue Mountain failed to </w:t>
      </w:r>
      <w:r w:rsidR="00A856FA">
        <w:t xml:space="preserve">properly </w:t>
      </w:r>
      <w:r w:rsidR="00EB69D4">
        <w:t xml:space="preserve">comply with the trial court’s </w:t>
      </w:r>
      <w:r w:rsidR="00E95551">
        <w:t>directives to apportion its fees and costs</w:t>
      </w:r>
      <w:r w:rsidR="000C7C5B">
        <w:t>.  Yet he does not cite to any cases or stat</w:t>
      </w:r>
      <w:r w:rsidR="00055C5C">
        <w:t>ut</w:t>
      </w:r>
      <w:r w:rsidR="000C7C5B">
        <w:t xml:space="preserve">es </w:t>
      </w:r>
      <w:r w:rsidR="0076097C">
        <w:t>that would authori</w:t>
      </w:r>
      <w:r w:rsidR="00AF7E78">
        <w:t>z</w:t>
      </w:r>
      <w:r w:rsidR="0076097C">
        <w:t>e this court to overturn the attorney fee award on that basis.</w:t>
      </w:r>
      <w:r w:rsidR="00831E1B" w:rsidRPr="00831E1B">
        <w:t xml:space="preserve"> </w:t>
      </w:r>
      <w:r w:rsidR="00831E1B">
        <w:t xml:space="preserve"> Blue Mountain </w:t>
      </w:r>
      <w:r w:rsidR="004238D0">
        <w:t xml:space="preserve">sought </w:t>
      </w:r>
      <w:r w:rsidR="003B0CA8">
        <w:t>approximately</w:t>
      </w:r>
      <w:r w:rsidR="004238D0">
        <w:t xml:space="preserve"> $2.5 million </w:t>
      </w:r>
      <w:r w:rsidR="00415407">
        <w:t>in attorney fees</w:t>
      </w:r>
      <w:r w:rsidR="00296C97">
        <w:t xml:space="preserve"> through judgment</w:t>
      </w:r>
      <w:r w:rsidR="00133C62">
        <w:t xml:space="preserve"> </w:t>
      </w:r>
      <w:r w:rsidR="00831E1B">
        <w:t>yet the court awarded</w:t>
      </w:r>
      <w:r w:rsidR="009748AB">
        <w:t xml:space="preserve"> only</w:t>
      </w:r>
      <w:r w:rsidR="00831E1B">
        <w:t xml:space="preserve"> </w:t>
      </w:r>
      <w:r w:rsidR="004435E6">
        <w:t>$</w:t>
      </w:r>
      <w:r w:rsidR="009748AB">
        <w:t>523,874</w:t>
      </w:r>
      <w:r w:rsidR="00F946B5">
        <w:t>,</w:t>
      </w:r>
      <w:r w:rsidR="00AF7E78">
        <w:t xml:space="preserve"> reducing recoverable hour</w:t>
      </w:r>
      <w:r w:rsidR="00133C62">
        <w:t>s</w:t>
      </w:r>
      <w:r w:rsidR="00AF7E78">
        <w:t xml:space="preserve"> and lowering </w:t>
      </w:r>
      <w:r w:rsidR="00831E1B">
        <w:t xml:space="preserve">counsel’s rates </w:t>
      </w:r>
      <w:r w:rsidR="00AF7E78">
        <w:t>to conform to the</w:t>
      </w:r>
      <w:r w:rsidR="00831E1B">
        <w:t xml:space="preserve"> rates local to Solano County. </w:t>
      </w:r>
      <w:r w:rsidR="00A5208B">
        <w:t xml:space="preserve"> </w:t>
      </w:r>
      <w:r w:rsidR="00690CDD">
        <w:t xml:space="preserve">The court added </w:t>
      </w:r>
      <w:r w:rsidR="002406E0">
        <w:t xml:space="preserve">$72,240 for fees incurred postjudgment. </w:t>
      </w:r>
    </w:p>
    <w:p w14:paraId="54743B7A" w14:textId="395968C6" w:rsidR="004C2C5F" w:rsidRDefault="005116F4" w:rsidP="00C846D6">
      <w:pPr>
        <w:spacing w:line="360" w:lineRule="auto"/>
      </w:pPr>
      <w:r>
        <w:lastRenderedPageBreak/>
        <w:tab/>
      </w:r>
      <w:r w:rsidR="00927E16">
        <w:t>The record reflects that the trial court</w:t>
      </w:r>
      <w:r w:rsidR="0084658F">
        <w:t xml:space="preserve"> </w:t>
      </w:r>
      <w:r w:rsidR="00DA205B">
        <w:t>was diligent in arriving at its attorney fee determination.</w:t>
      </w:r>
      <w:r w:rsidR="00EA4669">
        <w:t xml:space="preserve"> </w:t>
      </w:r>
      <w:r w:rsidR="0084658F">
        <w:t xml:space="preserve"> </w:t>
      </w:r>
      <w:r w:rsidR="004646AB">
        <w:t xml:space="preserve">The </w:t>
      </w:r>
      <w:r w:rsidR="00D04A43">
        <w:t xml:space="preserve">trial court </w:t>
      </w:r>
      <w:r w:rsidR="00A856FA">
        <w:t>judge</w:t>
      </w:r>
      <w:r w:rsidR="004646AB">
        <w:t xml:space="preserve"> noted at the hearing on attorney fees that </w:t>
      </w:r>
      <w:r w:rsidR="00754A35">
        <w:t xml:space="preserve">the parties </w:t>
      </w:r>
      <w:r w:rsidR="004646AB">
        <w:t xml:space="preserve">had filed </w:t>
      </w:r>
      <w:r w:rsidR="00374781">
        <w:t>cross-motions for fees along with a</w:t>
      </w:r>
      <w:r w:rsidR="004646AB">
        <w:t xml:space="preserve"> deluge of supporting paper</w:t>
      </w:r>
      <w:r w:rsidR="00374781">
        <w:t xml:space="preserve">s, commenting on the “sheer Herculean effort to slog through all of these motions, all of the </w:t>
      </w:r>
      <w:r w:rsidR="00B969B9">
        <w:t>compendiums</w:t>
      </w:r>
      <w:r w:rsidR="00374781">
        <w:t>, all of the evidence.</w:t>
      </w:r>
      <w:r w:rsidR="00A35019">
        <w:t>”</w:t>
      </w:r>
      <w:r w:rsidR="00374781">
        <w:t xml:space="preserve"> </w:t>
      </w:r>
      <w:r w:rsidR="003C5C19">
        <w:t xml:space="preserve"> </w:t>
      </w:r>
      <w:r w:rsidR="001763B3">
        <w:t>The judge noted that she had “reviewed each and every single billing entr</w:t>
      </w:r>
      <w:r w:rsidR="000F44E8">
        <w:t xml:space="preserve">y </w:t>
      </w:r>
      <w:r w:rsidR="00A35019">
        <w:t>. . .</w:t>
      </w:r>
      <w:r w:rsidR="000F44E8">
        <w:t xml:space="preserve"> [and] analyzed whether it was an appropriate award based on what I could tell from the contents of the entry.</w:t>
      </w:r>
      <w:r w:rsidR="00A35019">
        <w:t>”</w:t>
      </w:r>
      <w:r w:rsidR="000F44E8">
        <w:t xml:space="preserve">  </w:t>
      </w:r>
      <w:r w:rsidR="007F4266">
        <w:t xml:space="preserve">While Blue Mountain </w:t>
      </w:r>
      <w:r w:rsidR="008241EB">
        <w:t xml:space="preserve">maintains that the award should have been higher, </w:t>
      </w:r>
      <w:r w:rsidR="00D13A34">
        <w:t>it does not challenge the ruling on appeal</w:t>
      </w:r>
      <w:r w:rsidR="008023C3">
        <w:t xml:space="preserve">.  The </w:t>
      </w:r>
      <w:r w:rsidR="008241EB">
        <w:t xml:space="preserve">judge was within her discretion to reduce fees for what she deemed to be unnecessary or unrelated work and to also use rates local to Solano County for Blue Mountain’s counsel.  </w:t>
      </w:r>
      <w:r w:rsidR="005610C7" w:rsidRPr="005610C7">
        <w:t>We have no basis on which to conclude that the court</w:t>
      </w:r>
      <w:r w:rsidR="005610C7">
        <w:t>’</w:t>
      </w:r>
      <w:r w:rsidR="005610C7" w:rsidRPr="005610C7">
        <w:t xml:space="preserve">s attorney fee award was “clearly wrong” or that the court otherwise abused its discretion in determining the </w:t>
      </w:r>
      <w:r w:rsidR="0034180C">
        <w:t xml:space="preserve">amount of the </w:t>
      </w:r>
      <w:r w:rsidR="005610C7" w:rsidRPr="005610C7">
        <w:t>attorney fee award.</w:t>
      </w:r>
    </w:p>
    <w:p w14:paraId="55160E73" w14:textId="3046EAE6" w:rsidR="00B757D9" w:rsidRDefault="005116F4" w:rsidP="00312455">
      <w:pPr>
        <w:keepNext/>
        <w:spacing w:line="360" w:lineRule="auto"/>
        <w:jc w:val="center"/>
        <w:rPr>
          <w:b/>
          <w:bCs/>
        </w:rPr>
      </w:pPr>
      <w:r w:rsidRPr="0001028E">
        <w:rPr>
          <w:b/>
          <w:bCs/>
        </w:rPr>
        <w:t>III.  DISPOSITION</w:t>
      </w:r>
    </w:p>
    <w:p w14:paraId="50B9A351" w14:textId="01A61123" w:rsidR="0001028E" w:rsidRDefault="005116F4" w:rsidP="008709E3">
      <w:pPr>
        <w:spacing w:line="360" w:lineRule="auto"/>
      </w:pPr>
      <w:r>
        <w:rPr>
          <w:b/>
          <w:bCs/>
        </w:rPr>
        <w:tab/>
      </w:r>
      <w:r w:rsidRPr="00C846D6">
        <w:t xml:space="preserve">The judgment and the order awarding Blue Mountain its attorney fees are affirmed. </w:t>
      </w:r>
    </w:p>
    <w:p w14:paraId="5AEC191F" w14:textId="2E8C96F3" w:rsidR="006E37DE" w:rsidRDefault="005116F4">
      <w:pPr>
        <w:tabs>
          <w:tab w:val="clear" w:pos="720"/>
        </w:tabs>
        <w:spacing w:line="360" w:lineRule="auto"/>
      </w:pPr>
      <w:r>
        <w:br w:type="page"/>
      </w:r>
    </w:p>
    <w:p w14:paraId="6287C1AA" w14:textId="0D1D8B5A" w:rsidR="006E37DE" w:rsidRDefault="006E37DE" w:rsidP="006E37DE">
      <w:pPr>
        <w:spacing w:line="240" w:lineRule="auto"/>
      </w:pPr>
    </w:p>
    <w:p w14:paraId="4177A116" w14:textId="2B3ECEFA" w:rsidR="006E37DE" w:rsidRDefault="005116F4" w:rsidP="006E37DE">
      <w:pPr>
        <w:spacing w:line="240" w:lineRule="auto"/>
      </w:pPr>
      <w:r>
        <w:tab/>
      </w:r>
      <w:r>
        <w:tab/>
      </w:r>
      <w:r>
        <w:tab/>
      </w:r>
      <w:r>
        <w:tab/>
      </w:r>
      <w:r>
        <w:tab/>
      </w:r>
      <w:r>
        <w:tab/>
      </w:r>
      <w:r>
        <w:tab/>
        <w:t>_________________________</w:t>
      </w:r>
    </w:p>
    <w:p w14:paraId="23972157" w14:textId="2A52E24A" w:rsidR="006E37DE" w:rsidRDefault="005116F4" w:rsidP="006E37DE">
      <w:pPr>
        <w:spacing w:line="240" w:lineRule="auto"/>
      </w:pPr>
      <w:r>
        <w:tab/>
      </w:r>
      <w:r>
        <w:tab/>
      </w:r>
      <w:r>
        <w:tab/>
      </w:r>
      <w:r>
        <w:tab/>
      </w:r>
      <w:r>
        <w:tab/>
      </w:r>
      <w:r>
        <w:tab/>
      </w:r>
      <w:r>
        <w:tab/>
        <w:t>Sanchez, J.</w:t>
      </w:r>
    </w:p>
    <w:p w14:paraId="48C000D5" w14:textId="08ECBDF4" w:rsidR="006E37DE" w:rsidRDefault="006E37DE" w:rsidP="006E37DE">
      <w:pPr>
        <w:spacing w:line="240" w:lineRule="auto"/>
      </w:pPr>
    </w:p>
    <w:p w14:paraId="7D3FF38F" w14:textId="196F9E73" w:rsidR="006E37DE" w:rsidRDefault="006E37DE" w:rsidP="006E37DE">
      <w:pPr>
        <w:spacing w:line="240" w:lineRule="auto"/>
      </w:pPr>
    </w:p>
    <w:p w14:paraId="6A1E7206" w14:textId="56B44FEC" w:rsidR="006E37DE" w:rsidRDefault="005116F4" w:rsidP="006E37DE">
      <w:pPr>
        <w:spacing w:line="240" w:lineRule="auto"/>
      </w:pPr>
      <w:r>
        <w:t>WE CONCUR:</w:t>
      </w:r>
    </w:p>
    <w:p w14:paraId="5E6AFBBB" w14:textId="49481D75" w:rsidR="006E37DE" w:rsidRDefault="006E37DE" w:rsidP="006E37DE">
      <w:pPr>
        <w:spacing w:line="240" w:lineRule="auto"/>
      </w:pPr>
    </w:p>
    <w:p w14:paraId="6E9EFA40" w14:textId="63F366E7" w:rsidR="006E37DE" w:rsidRDefault="006E37DE" w:rsidP="006E37DE">
      <w:pPr>
        <w:spacing w:line="240" w:lineRule="auto"/>
      </w:pPr>
    </w:p>
    <w:p w14:paraId="0BBF9D4A" w14:textId="4D10ADDD" w:rsidR="006E37DE" w:rsidRDefault="005116F4" w:rsidP="006E37DE">
      <w:pPr>
        <w:spacing w:line="240" w:lineRule="auto"/>
      </w:pPr>
      <w:r>
        <w:t>_________________________</w:t>
      </w:r>
    </w:p>
    <w:p w14:paraId="13EAC810" w14:textId="6F271E2C" w:rsidR="006E37DE" w:rsidRDefault="005116F4" w:rsidP="006E37DE">
      <w:pPr>
        <w:spacing w:line="240" w:lineRule="auto"/>
      </w:pPr>
      <w:r>
        <w:t xml:space="preserve">Humes, P. J. </w:t>
      </w:r>
    </w:p>
    <w:p w14:paraId="4ABD701A" w14:textId="6082617F" w:rsidR="006E37DE" w:rsidRDefault="006E37DE" w:rsidP="006E37DE">
      <w:pPr>
        <w:spacing w:line="240" w:lineRule="auto"/>
      </w:pPr>
    </w:p>
    <w:p w14:paraId="04E32CFE" w14:textId="1A41B650" w:rsidR="006E37DE" w:rsidRDefault="006E37DE" w:rsidP="006E37DE">
      <w:pPr>
        <w:spacing w:line="240" w:lineRule="auto"/>
      </w:pPr>
    </w:p>
    <w:p w14:paraId="65FBCAB7" w14:textId="22F480CE" w:rsidR="006E37DE" w:rsidRDefault="005116F4" w:rsidP="006E37DE">
      <w:pPr>
        <w:spacing w:line="240" w:lineRule="auto"/>
      </w:pPr>
      <w:r>
        <w:t>_________________________</w:t>
      </w:r>
    </w:p>
    <w:p w14:paraId="18FE19F5" w14:textId="573541A6" w:rsidR="006E37DE" w:rsidRDefault="005116F4" w:rsidP="006E37DE">
      <w:pPr>
        <w:spacing w:line="240" w:lineRule="auto"/>
      </w:pPr>
      <w:r>
        <w:t>Banke, J.</w:t>
      </w:r>
    </w:p>
    <w:p w14:paraId="3124519A" w14:textId="595B41AF" w:rsidR="006E37DE" w:rsidRDefault="006E37DE" w:rsidP="006E37DE">
      <w:pPr>
        <w:spacing w:line="240" w:lineRule="auto"/>
      </w:pPr>
    </w:p>
    <w:p w14:paraId="1CF3AE05" w14:textId="4B67A851" w:rsidR="006E37DE" w:rsidRDefault="006E37DE" w:rsidP="006E37DE">
      <w:pPr>
        <w:spacing w:line="240" w:lineRule="auto"/>
      </w:pPr>
    </w:p>
    <w:p w14:paraId="62B11599" w14:textId="3E96772F" w:rsidR="006E37DE" w:rsidRDefault="006E37DE" w:rsidP="006E37DE">
      <w:pPr>
        <w:spacing w:line="240" w:lineRule="auto"/>
      </w:pPr>
    </w:p>
    <w:p w14:paraId="2D670F6E" w14:textId="65C7C221" w:rsidR="006E37DE" w:rsidRDefault="006E37DE" w:rsidP="006E37DE">
      <w:pPr>
        <w:spacing w:line="240" w:lineRule="auto"/>
      </w:pPr>
    </w:p>
    <w:p w14:paraId="3B6F5DA8" w14:textId="3A68BE90" w:rsidR="006E37DE" w:rsidRDefault="006E37DE" w:rsidP="006E37DE">
      <w:pPr>
        <w:spacing w:line="240" w:lineRule="auto"/>
      </w:pPr>
    </w:p>
    <w:p w14:paraId="5F636D8E" w14:textId="046ED939" w:rsidR="006E37DE" w:rsidRDefault="006E37DE" w:rsidP="006E37DE">
      <w:pPr>
        <w:spacing w:line="240" w:lineRule="auto"/>
      </w:pPr>
    </w:p>
    <w:p w14:paraId="2B90241E" w14:textId="53C66684" w:rsidR="006E37DE" w:rsidRDefault="006E37DE" w:rsidP="006E37DE">
      <w:pPr>
        <w:spacing w:line="240" w:lineRule="auto"/>
      </w:pPr>
    </w:p>
    <w:p w14:paraId="7D57CB10" w14:textId="2C162158" w:rsidR="006E37DE" w:rsidRDefault="006E37DE" w:rsidP="006E37DE">
      <w:pPr>
        <w:spacing w:line="240" w:lineRule="auto"/>
      </w:pPr>
    </w:p>
    <w:p w14:paraId="680A029C" w14:textId="63130C1D" w:rsidR="006E37DE" w:rsidRDefault="006E37DE" w:rsidP="006E37DE">
      <w:pPr>
        <w:spacing w:line="240" w:lineRule="auto"/>
      </w:pPr>
    </w:p>
    <w:p w14:paraId="6CC48E86" w14:textId="4B9C8A4A" w:rsidR="006E37DE" w:rsidRDefault="006E37DE" w:rsidP="006E37DE">
      <w:pPr>
        <w:spacing w:line="240" w:lineRule="auto"/>
      </w:pPr>
    </w:p>
    <w:p w14:paraId="4F720A08" w14:textId="64F7A3E1" w:rsidR="006E37DE" w:rsidRDefault="006E37DE" w:rsidP="006E37DE">
      <w:pPr>
        <w:spacing w:line="240" w:lineRule="auto"/>
      </w:pPr>
    </w:p>
    <w:p w14:paraId="0B56D9D0" w14:textId="1DEEC9B2" w:rsidR="006E37DE" w:rsidRDefault="006E37DE" w:rsidP="006E37DE">
      <w:pPr>
        <w:spacing w:line="240" w:lineRule="auto"/>
      </w:pPr>
    </w:p>
    <w:p w14:paraId="6CBC6FED" w14:textId="141ED521" w:rsidR="006E37DE" w:rsidRDefault="006E37DE" w:rsidP="006E37DE">
      <w:pPr>
        <w:spacing w:line="240" w:lineRule="auto"/>
      </w:pPr>
    </w:p>
    <w:p w14:paraId="7DE31A8B" w14:textId="0C7E323F" w:rsidR="006E37DE" w:rsidRDefault="006E37DE" w:rsidP="006E37DE">
      <w:pPr>
        <w:spacing w:line="240" w:lineRule="auto"/>
      </w:pPr>
    </w:p>
    <w:p w14:paraId="605A5627" w14:textId="04A80A03" w:rsidR="006E37DE" w:rsidRDefault="006E37DE" w:rsidP="006E37DE">
      <w:pPr>
        <w:spacing w:line="240" w:lineRule="auto"/>
      </w:pPr>
    </w:p>
    <w:p w14:paraId="3D94C186" w14:textId="0ED10082" w:rsidR="006E37DE" w:rsidRDefault="006E37DE" w:rsidP="006E37DE">
      <w:pPr>
        <w:spacing w:line="240" w:lineRule="auto"/>
      </w:pPr>
    </w:p>
    <w:p w14:paraId="030D3201" w14:textId="2C43FB60" w:rsidR="006E37DE" w:rsidRDefault="006E37DE" w:rsidP="006E37DE">
      <w:pPr>
        <w:spacing w:line="240" w:lineRule="auto"/>
      </w:pPr>
    </w:p>
    <w:p w14:paraId="51FB0BC6" w14:textId="77777777" w:rsidR="009759A5" w:rsidRDefault="005116F4" w:rsidP="006E37DE">
      <w:pPr>
        <w:spacing w:line="240" w:lineRule="auto"/>
        <w:sectPr w:rsidR="009759A5" w:rsidSect="008709E3">
          <w:footerReference w:type="even" r:id="rId8"/>
          <w:footerReference w:type="default" r:id="rId9"/>
          <w:pgSz w:w="12240" w:h="15840"/>
          <w:pgMar w:top="1440" w:right="1440" w:bottom="1440" w:left="1440" w:header="720" w:footer="720" w:gutter="0"/>
          <w:cols w:space="720"/>
          <w:docGrid w:linePitch="360"/>
        </w:sectPr>
      </w:pPr>
      <w:r>
        <w:t>A157054, A158783</w:t>
      </w:r>
    </w:p>
    <w:p w14:paraId="20909E37" w14:textId="77777777" w:rsidR="009759A5" w:rsidRPr="00D13DF9" w:rsidRDefault="009759A5" w:rsidP="009759A5">
      <w:pPr>
        <w:spacing w:line="240" w:lineRule="auto"/>
        <w:rPr>
          <w:sz w:val="20"/>
        </w:rPr>
      </w:pPr>
      <w:r w:rsidRPr="00D13DF9">
        <w:rPr>
          <w:sz w:val="20"/>
        </w:rPr>
        <w:lastRenderedPageBreak/>
        <w:t>Filed 1/28/22</w:t>
      </w:r>
    </w:p>
    <w:p w14:paraId="671269D0" w14:textId="77777777" w:rsidR="009759A5" w:rsidRPr="00197E79" w:rsidRDefault="009759A5" w:rsidP="009759A5">
      <w:pPr>
        <w:spacing w:line="240" w:lineRule="auto"/>
        <w:jc w:val="center"/>
        <w:rPr>
          <w:b/>
        </w:rPr>
      </w:pPr>
      <w:r w:rsidRPr="00197E79">
        <w:rPr>
          <w:b/>
        </w:rPr>
        <w:t>CERTIFIED FOR PUBLICATION</w:t>
      </w:r>
    </w:p>
    <w:p w14:paraId="4872357E" w14:textId="77777777" w:rsidR="009759A5" w:rsidRPr="00197E79" w:rsidRDefault="009759A5" w:rsidP="009759A5">
      <w:pPr>
        <w:spacing w:line="240" w:lineRule="auto"/>
        <w:jc w:val="center"/>
      </w:pPr>
    </w:p>
    <w:p w14:paraId="607AEFF3" w14:textId="77777777" w:rsidR="009759A5" w:rsidRPr="00197E79" w:rsidRDefault="009759A5" w:rsidP="009759A5">
      <w:pPr>
        <w:spacing w:line="240" w:lineRule="auto"/>
        <w:jc w:val="center"/>
      </w:pPr>
      <w:r w:rsidRPr="00197E79">
        <w:t>IN THE COURT OF APPEAL OF THE STATE OF CALIFORNIA</w:t>
      </w:r>
    </w:p>
    <w:p w14:paraId="67541A90" w14:textId="77777777" w:rsidR="009759A5" w:rsidRPr="00197E79" w:rsidRDefault="009759A5" w:rsidP="009759A5">
      <w:pPr>
        <w:spacing w:line="240" w:lineRule="auto"/>
        <w:jc w:val="center"/>
      </w:pPr>
    </w:p>
    <w:p w14:paraId="208BE5A0" w14:textId="77777777" w:rsidR="009759A5" w:rsidRPr="00197E79" w:rsidRDefault="009759A5" w:rsidP="009759A5">
      <w:pPr>
        <w:spacing w:line="240" w:lineRule="auto"/>
        <w:jc w:val="center"/>
      </w:pPr>
      <w:r w:rsidRPr="00197E79">
        <w:t>FIRST APPELLATE DISTRICT</w:t>
      </w:r>
    </w:p>
    <w:p w14:paraId="31F4E066" w14:textId="77777777" w:rsidR="009759A5" w:rsidRPr="00197E79" w:rsidRDefault="009759A5" w:rsidP="009759A5">
      <w:pPr>
        <w:spacing w:line="240" w:lineRule="auto"/>
        <w:jc w:val="center"/>
      </w:pPr>
    </w:p>
    <w:p w14:paraId="1A518884" w14:textId="77777777" w:rsidR="009759A5" w:rsidRPr="00197E79" w:rsidRDefault="009759A5" w:rsidP="009759A5">
      <w:pPr>
        <w:spacing w:line="240" w:lineRule="auto"/>
        <w:jc w:val="center"/>
      </w:pPr>
      <w:r w:rsidRPr="00197E79">
        <w:t>DIVISION ONE</w:t>
      </w:r>
    </w:p>
    <w:p w14:paraId="44EEF32A" w14:textId="77777777" w:rsidR="009759A5" w:rsidRPr="00197E79" w:rsidRDefault="009759A5" w:rsidP="009759A5">
      <w:pPr>
        <w:spacing w:line="240" w:lineRule="auto"/>
        <w:jc w:val="center"/>
      </w:pPr>
    </w:p>
    <w:p w14:paraId="1DF3697A" w14:textId="77777777" w:rsidR="009759A5" w:rsidRPr="00197E79" w:rsidRDefault="009759A5" w:rsidP="009759A5">
      <w:pPr>
        <w:spacing w:line="240" w:lineRule="auto"/>
        <w:jc w:val="center"/>
      </w:pPr>
    </w:p>
    <w:tbl>
      <w:tblPr>
        <w:tblW w:w="0" w:type="auto"/>
        <w:tblLayout w:type="fixed"/>
        <w:tblLook w:val="0000" w:firstRow="0" w:lastRow="0" w:firstColumn="0" w:lastColumn="0" w:noHBand="0" w:noVBand="0"/>
      </w:tblPr>
      <w:tblGrid>
        <w:gridCol w:w="4680"/>
        <w:gridCol w:w="4680"/>
      </w:tblGrid>
      <w:tr w:rsidR="009759A5" w:rsidRPr="00197E79" w14:paraId="3DF9BF9E" w14:textId="77777777" w:rsidTr="002A3368">
        <w:tc>
          <w:tcPr>
            <w:tcW w:w="4680" w:type="dxa"/>
            <w:tcBorders>
              <w:bottom w:val="single" w:sz="4" w:space="0" w:color="auto"/>
              <w:right w:val="single" w:sz="4" w:space="0" w:color="auto"/>
            </w:tcBorders>
            <w:shd w:val="clear" w:color="auto" w:fill="auto"/>
          </w:tcPr>
          <w:p w14:paraId="1E223148" w14:textId="77777777" w:rsidR="009759A5" w:rsidRPr="00197E79" w:rsidRDefault="009759A5" w:rsidP="002A3368">
            <w:pPr>
              <w:spacing w:before="120" w:after="120" w:line="240" w:lineRule="auto"/>
            </w:pPr>
            <w:r>
              <w:t>BLUE MOUNTAIN ENTERPRISES, LLC</w:t>
            </w:r>
            <w:r w:rsidRPr="00197E79">
              <w:t>,</w:t>
            </w:r>
          </w:p>
          <w:p w14:paraId="20C96755" w14:textId="77777777" w:rsidR="009759A5" w:rsidRPr="00197E79" w:rsidRDefault="009759A5" w:rsidP="002A3368">
            <w:pPr>
              <w:spacing w:after="120" w:line="240" w:lineRule="auto"/>
              <w:ind w:left="720"/>
            </w:pPr>
            <w:r w:rsidRPr="00197E79">
              <w:t xml:space="preserve">Plaintiff and </w:t>
            </w:r>
            <w:r>
              <w:t>Respondent</w:t>
            </w:r>
            <w:r w:rsidRPr="00197E79">
              <w:t>,</w:t>
            </w:r>
          </w:p>
          <w:p w14:paraId="698DE8FD" w14:textId="77777777" w:rsidR="009759A5" w:rsidRPr="00197E79" w:rsidRDefault="009759A5" w:rsidP="002A3368">
            <w:pPr>
              <w:spacing w:after="120" w:line="240" w:lineRule="auto"/>
            </w:pPr>
            <w:r w:rsidRPr="00197E79">
              <w:t>v.</w:t>
            </w:r>
          </w:p>
          <w:p w14:paraId="04302C32" w14:textId="77777777" w:rsidR="009759A5" w:rsidRPr="00197E79" w:rsidRDefault="009759A5" w:rsidP="002A3368">
            <w:pPr>
              <w:spacing w:after="120" w:line="240" w:lineRule="auto"/>
            </w:pPr>
            <w:r>
              <w:t>GREGORY S. OWEN et al.</w:t>
            </w:r>
            <w:r w:rsidRPr="00197E79">
              <w:t>,</w:t>
            </w:r>
          </w:p>
          <w:p w14:paraId="471C3E6C" w14:textId="77777777" w:rsidR="009759A5" w:rsidRPr="00197E79" w:rsidRDefault="009759A5" w:rsidP="002A3368">
            <w:pPr>
              <w:tabs>
                <w:tab w:val="clear" w:pos="720"/>
              </w:tabs>
              <w:spacing w:after="120" w:line="240" w:lineRule="auto"/>
              <w:ind w:left="720"/>
            </w:pPr>
            <w:r w:rsidRPr="00197E79">
              <w:t>Defendant</w:t>
            </w:r>
            <w:r>
              <w:t>s</w:t>
            </w:r>
            <w:r w:rsidRPr="00197E79">
              <w:t xml:space="preserve"> and</w:t>
            </w:r>
            <w:r>
              <w:t xml:space="preserve"> Appellants</w:t>
            </w:r>
            <w:r w:rsidRPr="00197E79">
              <w:t>.</w:t>
            </w:r>
          </w:p>
        </w:tc>
        <w:tc>
          <w:tcPr>
            <w:tcW w:w="4680" w:type="dxa"/>
            <w:tcBorders>
              <w:left w:val="single" w:sz="4" w:space="0" w:color="auto"/>
            </w:tcBorders>
            <w:shd w:val="clear" w:color="auto" w:fill="auto"/>
          </w:tcPr>
          <w:p w14:paraId="2193A148" w14:textId="77777777" w:rsidR="009759A5" w:rsidRPr="00197E79" w:rsidRDefault="009759A5" w:rsidP="002A3368">
            <w:pPr>
              <w:spacing w:line="240" w:lineRule="auto"/>
            </w:pPr>
            <w:r w:rsidRPr="00197E79">
              <w:t xml:space="preserve">     A1</w:t>
            </w:r>
            <w:r>
              <w:t>57054, A158783</w:t>
            </w:r>
          </w:p>
          <w:p w14:paraId="379F1E26" w14:textId="77777777" w:rsidR="009759A5" w:rsidRPr="00197E79" w:rsidRDefault="009759A5" w:rsidP="002A3368">
            <w:pPr>
              <w:spacing w:line="240" w:lineRule="auto"/>
            </w:pPr>
          </w:p>
          <w:p w14:paraId="6E546D38" w14:textId="77777777" w:rsidR="009759A5" w:rsidRPr="00197E79" w:rsidRDefault="009759A5" w:rsidP="002A3368">
            <w:pPr>
              <w:spacing w:line="240" w:lineRule="auto"/>
            </w:pPr>
            <w:r w:rsidRPr="00197E79">
              <w:t xml:space="preserve">      (S</w:t>
            </w:r>
            <w:r>
              <w:t>olan</w:t>
            </w:r>
            <w:r w:rsidRPr="00197E79">
              <w:t xml:space="preserve">o County </w:t>
            </w:r>
          </w:p>
          <w:p w14:paraId="37EF003F" w14:textId="77777777" w:rsidR="009759A5" w:rsidRPr="00197E79" w:rsidRDefault="009759A5" w:rsidP="002A3368">
            <w:pPr>
              <w:spacing w:line="240" w:lineRule="auto"/>
            </w:pPr>
            <w:r w:rsidRPr="00197E79">
              <w:t xml:space="preserve">      Super Ct. No. </w:t>
            </w:r>
            <w:r>
              <w:t>FCS049313</w:t>
            </w:r>
            <w:r w:rsidRPr="00197E79">
              <w:t>)</w:t>
            </w:r>
          </w:p>
          <w:p w14:paraId="66E930F3" w14:textId="77777777" w:rsidR="009759A5" w:rsidRPr="00197E79" w:rsidRDefault="009759A5" w:rsidP="002A3368">
            <w:pPr>
              <w:spacing w:line="240" w:lineRule="auto"/>
            </w:pPr>
          </w:p>
          <w:p w14:paraId="1B07BFBC" w14:textId="77777777" w:rsidR="009759A5" w:rsidRPr="00197E79" w:rsidRDefault="009759A5" w:rsidP="002A3368">
            <w:pPr>
              <w:spacing w:line="240" w:lineRule="auto"/>
              <w:ind w:left="342" w:hanging="342"/>
            </w:pPr>
            <w:r w:rsidRPr="00197E79">
              <w:tab/>
              <w:t xml:space="preserve">ORDER CERTIFYING OPINION FOR PUBLICATION </w:t>
            </w:r>
          </w:p>
          <w:p w14:paraId="13534087" w14:textId="77777777" w:rsidR="009759A5" w:rsidRPr="00197E79" w:rsidRDefault="009759A5" w:rsidP="002A3368">
            <w:pPr>
              <w:spacing w:line="240" w:lineRule="auto"/>
            </w:pPr>
          </w:p>
          <w:p w14:paraId="7BDF3B7A" w14:textId="77777777" w:rsidR="009759A5" w:rsidRPr="00197E79" w:rsidRDefault="009759A5" w:rsidP="002A3368">
            <w:pPr>
              <w:tabs>
                <w:tab w:val="clear" w:pos="720"/>
                <w:tab w:val="left" w:pos="434"/>
              </w:tabs>
              <w:spacing w:line="240" w:lineRule="auto"/>
            </w:pPr>
            <w:r w:rsidRPr="00197E79">
              <w:tab/>
              <w:t>[NO CHANGE IN JUDGMENT]</w:t>
            </w:r>
          </w:p>
        </w:tc>
      </w:tr>
    </w:tbl>
    <w:p w14:paraId="3138D376" w14:textId="77777777" w:rsidR="009759A5" w:rsidRPr="00197E79" w:rsidRDefault="009759A5" w:rsidP="009759A5">
      <w:pPr>
        <w:spacing w:line="360" w:lineRule="auto"/>
      </w:pPr>
    </w:p>
    <w:p w14:paraId="6C151F25" w14:textId="77777777" w:rsidR="009759A5" w:rsidRPr="00197E79" w:rsidRDefault="009759A5" w:rsidP="009759A5">
      <w:pPr>
        <w:spacing w:line="360" w:lineRule="auto"/>
      </w:pPr>
      <w:r w:rsidRPr="00197E79">
        <w:t>THE COURT:</w:t>
      </w:r>
    </w:p>
    <w:p w14:paraId="0158C103" w14:textId="77777777" w:rsidR="009759A5" w:rsidRPr="00197E79" w:rsidRDefault="009759A5" w:rsidP="009759A5">
      <w:pPr>
        <w:spacing w:line="360" w:lineRule="auto"/>
      </w:pPr>
      <w:r w:rsidRPr="00197E79">
        <w:tab/>
        <w:t xml:space="preserve">The opinion in the above-entitled matter filed on </w:t>
      </w:r>
      <w:r>
        <w:t>January 10, 2022</w:t>
      </w:r>
      <w:r w:rsidRPr="00197E79">
        <w:t xml:space="preserve">, was not certified for publication in the Official Reports.  After the court’s review of a request under California Rules of Court, rule 8.1120, and good cause established under rule 8.1105, it is hereby ordered that the opinion should be published in the Official Reports. </w:t>
      </w:r>
    </w:p>
    <w:p w14:paraId="44F1393A" w14:textId="77777777" w:rsidR="009759A5" w:rsidRPr="00197E79" w:rsidRDefault="009759A5" w:rsidP="009759A5">
      <w:pPr>
        <w:spacing w:line="360" w:lineRule="auto"/>
      </w:pPr>
      <w:r w:rsidRPr="00197E79">
        <w:tab/>
        <w:t>There is no change in the judgment.</w:t>
      </w:r>
    </w:p>
    <w:p w14:paraId="752D3531" w14:textId="77777777" w:rsidR="009759A5" w:rsidRPr="00197E79" w:rsidRDefault="009759A5" w:rsidP="009759A5">
      <w:pPr>
        <w:spacing w:line="360" w:lineRule="auto"/>
      </w:pPr>
      <w:r w:rsidRPr="00197E79">
        <w:t>Dated:</w:t>
      </w:r>
    </w:p>
    <w:p w14:paraId="625E9D46" w14:textId="77777777" w:rsidR="009759A5" w:rsidRPr="00197E79" w:rsidRDefault="009759A5" w:rsidP="009759A5">
      <w:pPr>
        <w:spacing w:line="360" w:lineRule="auto"/>
      </w:pPr>
    </w:p>
    <w:p w14:paraId="62C465A9" w14:textId="77777777" w:rsidR="009759A5" w:rsidRPr="00197E79" w:rsidRDefault="009759A5" w:rsidP="009759A5">
      <w:pPr>
        <w:spacing w:line="240" w:lineRule="auto"/>
      </w:pPr>
      <w:r w:rsidRPr="00197E79">
        <w:tab/>
      </w:r>
      <w:r w:rsidRPr="00197E79">
        <w:tab/>
      </w:r>
      <w:r w:rsidRPr="00197E79">
        <w:tab/>
      </w:r>
      <w:r w:rsidRPr="00197E79">
        <w:tab/>
      </w:r>
      <w:r w:rsidRPr="00197E79">
        <w:tab/>
      </w:r>
      <w:r w:rsidRPr="00197E79">
        <w:tab/>
      </w:r>
      <w:r w:rsidRPr="00197E79">
        <w:tab/>
        <w:t>___________________________</w:t>
      </w:r>
    </w:p>
    <w:p w14:paraId="237CFF6E" w14:textId="77777777" w:rsidR="009759A5" w:rsidRPr="000A632F" w:rsidRDefault="009759A5" w:rsidP="009759A5">
      <w:pPr>
        <w:spacing w:line="240" w:lineRule="auto"/>
        <w:rPr>
          <w:smallCaps/>
        </w:rPr>
      </w:pPr>
      <w:r w:rsidRPr="00197E79">
        <w:tab/>
      </w:r>
      <w:r w:rsidRPr="00197E79">
        <w:tab/>
      </w:r>
      <w:r w:rsidRPr="00197E79">
        <w:tab/>
      </w:r>
      <w:r w:rsidRPr="00197E79">
        <w:tab/>
      </w:r>
      <w:r w:rsidRPr="00197E79">
        <w:tab/>
      </w:r>
      <w:r w:rsidRPr="00197E79">
        <w:tab/>
      </w:r>
      <w:r w:rsidRPr="00197E79">
        <w:tab/>
      </w:r>
      <w:r>
        <w:rPr>
          <w:smallCaps/>
        </w:rPr>
        <w:t>Humes,</w:t>
      </w:r>
      <w:r w:rsidRPr="000A632F">
        <w:rPr>
          <w:smallCaps/>
        </w:rPr>
        <w:t xml:space="preserve"> P.J.</w:t>
      </w:r>
    </w:p>
    <w:p w14:paraId="0D5FDC2E" w14:textId="77777777" w:rsidR="009759A5" w:rsidRPr="00197E79" w:rsidRDefault="009759A5" w:rsidP="009759A5">
      <w:pPr>
        <w:tabs>
          <w:tab w:val="clear" w:pos="720"/>
        </w:tabs>
        <w:spacing w:after="160" w:line="259" w:lineRule="auto"/>
      </w:pPr>
      <w:r w:rsidRPr="00197E79">
        <w:br w:type="page"/>
      </w:r>
    </w:p>
    <w:p w14:paraId="318E938C" w14:textId="77777777" w:rsidR="009759A5" w:rsidRPr="00197E79" w:rsidRDefault="009759A5" w:rsidP="009759A5">
      <w:pPr>
        <w:spacing w:line="240" w:lineRule="auto"/>
      </w:pPr>
      <w:r w:rsidRPr="00197E79">
        <w:lastRenderedPageBreak/>
        <w:t>Trial Court:</w:t>
      </w:r>
      <w:r w:rsidRPr="00197E79">
        <w:tab/>
      </w:r>
      <w:r w:rsidRPr="00197E79">
        <w:tab/>
        <w:t>S</w:t>
      </w:r>
      <w:r>
        <w:t>olan</w:t>
      </w:r>
      <w:r w:rsidRPr="00197E79">
        <w:t>o County Superior Court</w:t>
      </w:r>
    </w:p>
    <w:p w14:paraId="45BF3C99" w14:textId="77777777" w:rsidR="009759A5" w:rsidRPr="00197E79" w:rsidRDefault="009759A5" w:rsidP="009759A5">
      <w:pPr>
        <w:spacing w:line="240" w:lineRule="auto"/>
      </w:pPr>
    </w:p>
    <w:p w14:paraId="54849225" w14:textId="77777777" w:rsidR="009759A5" w:rsidRPr="00197E79" w:rsidRDefault="009759A5" w:rsidP="009759A5">
      <w:pPr>
        <w:spacing w:line="240" w:lineRule="auto"/>
      </w:pPr>
      <w:r w:rsidRPr="00197E79">
        <w:t>Trial Judge:</w:t>
      </w:r>
      <w:r w:rsidRPr="00197E79">
        <w:tab/>
        <w:t xml:space="preserve">Hon. </w:t>
      </w:r>
      <w:r>
        <w:t>Wendy Getty</w:t>
      </w:r>
    </w:p>
    <w:p w14:paraId="7CE78A1A" w14:textId="77777777" w:rsidR="009759A5" w:rsidRPr="00197E79" w:rsidRDefault="009759A5" w:rsidP="009759A5">
      <w:pPr>
        <w:spacing w:line="240" w:lineRule="auto"/>
      </w:pPr>
    </w:p>
    <w:p w14:paraId="59AA0087" w14:textId="77777777" w:rsidR="009759A5" w:rsidRPr="00197E79" w:rsidRDefault="009759A5" w:rsidP="009759A5">
      <w:pPr>
        <w:spacing w:line="240" w:lineRule="auto"/>
      </w:pPr>
      <w:r w:rsidRPr="00197E79">
        <w:t xml:space="preserve">Counsel:  </w:t>
      </w:r>
    </w:p>
    <w:p w14:paraId="69E32943" w14:textId="77777777" w:rsidR="009759A5" w:rsidRPr="00197E79" w:rsidRDefault="009759A5" w:rsidP="009759A5">
      <w:pPr>
        <w:spacing w:line="240" w:lineRule="auto"/>
      </w:pPr>
    </w:p>
    <w:p w14:paraId="4AB2D099" w14:textId="77777777" w:rsidR="009759A5" w:rsidRPr="00197E79" w:rsidRDefault="009759A5" w:rsidP="009759A5">
      <w:pPr>
        <w:spacing w:line="240" w:lineRule="auto"/>
      </w:pPr>
      <w:r>
        <w:t xml:space="preserve">Buchalter, Robert M. Dato and Dylan Wiseman </w:t>
      </w:r>
      <w:r w:rsidRPr="00197E79">
        <w:t>for Plaintiff</w:t>
      </w:r>
      <w:r>
        <w:t>s</w:t>
      </w:r>
      <w:r w:rsidRPr="00197E79">
        <w:t xml:space="preserve"> and Appellants.</w:t>
      </w:r>
    </w:p>
    <w:p w14:paraId="48F94E94" w14:textId="77777777" w:rsidR="009759A5" w:rsidRPr="00197E79" w:rsidRDefault="009759A5" w:rsidP="009759A5">
      <w:pPr>
        <w:spacing w:line="240" w:lineRule="auto"/>
      </w:pPr>
    </w:p>
    <w:p w14:paraId="1F486B2B" w14:textId="77777777" w:rsidR="009759A5" w:rsidRPr="00197E79" w:rsidRDefault="009759A5" w:rsidP="009759A5">
      <w:pPr>
        <w:spacing w:line="240" w:lineRule="auto"/>
      </w:pPr>
      <w:r>
        <w:t>Akerman, Joshua R. Mandell and Haley C. Greenberg for Defendant and Respondent Yoram Tamir.</w:t>
      </w:r>
    </w:p>
    <w:p w14:paraId="38441D93" w14:textId="77777777" w:rsidR="009759A5" w:rsidRPr="00197E79" w:rsidRDefault="009759A5" w:rsidP="009759A5">
      <w:pPr>
        <w:spacing w:line="240" w:lineRule="auto"/>
      </w:pPr>
      <w:r w:rsidRPr="00197E79">
        <w:t xml:space="preserve"> </w:t>
      </w:r>
    </w:p>
    <w:p w14:paraId="282F58C9" w14:textId="77777777" w:rsidR="009759A5" w:rsidRDefault="009759A5" w:rsidP="009759A5">
      <w:pPr>
        <w:spacing w:line="240" w:lineRule="auto"/>
      </w:pPr>
    </w:p>
    <w:p w14:paraId="3B6DDC54" w14:textId="77777777" w:rsidR="009759A5" w:rsidRPr="00197E79" w:rsidRDefault="009759A5" w:rsidP="009759A5">
      <w:pPr>
        <w:spacing w:line="240" w:lineRule="auto"/>
      </w:pPr>
    </w:p>
    <w:p w14:paraId="00AA5D08" w14:textId="77777777" w:rsidR="009759A5" w:rsidRPr="00197E79" w:rsidRDefault="009759A5" w:rsidP="009759A5">
      <w:pPr>
        <w:spacing w:line="240" w:lineRule="auto"/>
      </w:pPr>
    </w:p>
    <w:p w14:paraId="470F4F65" w14:textId="4F3C28EE" w:rsidR="006E37DE" w:rsidRPr="00083CA2" w:rsidRDefault="006E37DE" w:rsidP="006E37DE">
      <w:pPr>
        <w:spacing w:line="240" w:lineRule="auto"/>
      </w:pPr>
    </w:p>
    <w:sectPr w:rsidR="006E37DE" w:rsidRPr="00083CA2" w:rsidSect="00E3374C">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9993" w14:textId="77777777" w:rsidR="00874712" w:rsidRDefault="005116F4">
      <w:pPr>
        <w:spacing w:line="240" w:lineRule="auto"/>
      </w:pPr>
      <w:r>
        <w:separator/>
      </w:r>
    </w:p>
  </w:endnote>
  <w:endnote w:type="continuationSeparator" w:id="0">
    <w:p w14:paraId="76335316" w14:textId="77777777" w:rsidR="00874712" w:rsidRDefault="00511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1B07" w14:textId="77777777" w:rsidR="008709E3" w:rsidRDefault="005116F4" w:rsidP="008709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A5A07A" w14:textId="77777777" w:rsidR="008709E3" w:rsidRDefault="00870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C7E3" w14:textId="15957BE4" w:rsidR="008709E3" w:rsidRDefault="005116F4" w:rsidP="008709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342995" w14:textId="77777777" w:rsidR="008709E3" w:rsidRDefault="00870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BF92" w14:textId="77777777" w:rsidR="00AB6264" w:rsidRDefault="00D67921" w:rsidP="00B442F1">
    <w:pPr>
      <w:pStyle w:val="Footer"/>
      <w:framePr w:wrap="around" w:vAnchor="text" w:hAnchor="margin" w:xAlign="center" w:y="1"/>
      <w:rPr>
        <w:rStyle w:val="PageNumber"/>
      </w:rPr>
    </w:pPr>
  </w:p>
  <w:p w14:paraId="3124F857" w14:textId="77777777" w:rsidR="00AB6264" w:rsidRDefault="00D67921" w:rsidP="00B442F1">
    <w:pPr>
      <w:pStyle w:val="Footer"/>
      <w:framePr w:wrap="around" w:vAnchor="text" w:hAnchor="margin" w:xAlign="center" w:y="1"/>
      <w:rPr>
        <w:rStyle w:val="PageNumber"/>
      </w:rPr>
    </w:pPr>
  </w:p>
  <w:p w14:paraId="7257FEB3" w14:textId="77777777" w:rsidR="00AB6264" w:rsidRDefault="00D679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805350"/>
      <w:docPartObj>
        <w:docPartGallery w:val="Page Numbers (Bottom of Page)"/>
        <w:docPartUnique/>
      </w:docPartObj>
    </w:sdtPr>
    <w:sdtEndPr>
      <w:rPr>
        <w:noProof/>
      </w:rPr>
    </w:sdtEndPr>
    <w:sdtContent>
      <w:p w14:paraId="229121AA" w14:textId="77777777" w:rsidR="00AB6264" w:rsidRDefault="00D67921">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4C54595" w14:textId="77777777" w:rsidR="00AB6264" w:rsidRPr="008A7AA0" w:rsidRDefault="00D67921" w:rsidP="008A7A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FC13" w14:textId="77777777" w:rsidR="00AB6264" w:rsidRPr="00E3374C" w:rsidRDefault="00D67921">
    <w:pPr>
      <w:pStyle w:val="Footer"/>
      <w:jc w:val="center"/>
    </w:pPr>
  </w:p>
  <w:p w14:paraId="3A4848C8" w14:textId="77777777" w:rsidR="00AB6264" w:rsidRPr="00E3374C" w:rsidRDefault="00D67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23C9" w14:textId="77777777" w:rsidR="0024377B" w:rsidRDefault="005116F4" w:rsidP="008709E3">
      <w:pPr>
        <w:spacing w:line="240" w:lineRule="auto"/>
      </w:pPr>
      <w:r>
        <w:separator/>
      </w:r>
    </w:p>
  </w:footnote>
  <w:footnote w:type="continuationSeparator" w:id="0">
    <w:p w14:paraId="5BFBB8C9" w14:textId="77777777" w:rsidR="0024377B" w:rsidRDefault="005116F4" w:rsidP="008709E3">
      <w:pPr>
        <w:spacing w:line="240" w:lineRule="auto"/>
      </w:pPr>
      <w:r>
        <w:continuationSeparator/>
      </w:r>
    </w:p>
  </w:footnote>
  <w:footnote w:id="1">
    <w:p w14:paraId="5C56BDBE" w14:textId="77777777" w:rsidR="00FE1B10" w:rsidRDefault="005116F4" w:rsidP="00FE1B10">
      <w:pPr>
        <w:pStyle w:val="FootnoteText"/>
        <w:spacing w:after="120"/>
        <w:ind w:firstLine="720"/>
      </w:pPr>
      <w:r>
        <w:rPr>
          <w:rStyle w:val="FootnoteReference"/>
        </w:rPr>
        <w:footnoteRef/>
      </w:r>
      <w:r>
        <w:t xml:space="preserve"> All undesignated statutory references are to the Business and Professions Code.</w:t>
      </w:r>
    </w:p>
  </w:footnote>
  <w:footnote w:id="2">
    <w:p w14:paraId="0646AD09" w14:textId="5DC0FE1C" w:rsidR="001D3185" w:rsidRDefault="005116F4" w:rsidP="001D3185">
      <w:pPr>
        <w:pStyle w:val="FootnoteText"/>
        <w:ind w:firstLine="720"/>
      </w:pPr>
      <w:r>
        <w:rPr>
          <w:rStyle w:val="FootnoteReference"/>
        </w:rPr>
        <w:footnoteRef/>
      </w:r>
      <w:r>
        <w:t xml:space="preserve"> The parties also entered into a “Master Services Agreement” that included Polymathic Properties, Inc. (Polymathic).  Acolyte formed Polymathic to fund Blue Mountain with $48 million through a combination of equity and debt.  </w:t>
      </w:r>
    </w:p>
  </w:footnote>
  <w:footnote w:id="3">
    <w:p w14:paraId="7B1EF275" w14:textId="48FCD0D0" w:rsidR="008A6D4F" w:rsidRDefault="005116F4" w:rsidP="008A6D4F">
      <w:pPr>
        <w:pStyle w:val="FootnoteText"/>
        <w:ind w:firstLine="720"/>
      </w:pPr>
      <w:r>
        <w:rPr>
          <w:rStyle w:val="FootnoteReference"/>
        </w:rPr>
        <w:footnoteRef/>
      </w:r>
      <w:r>
        <w:t xml:space="preserve"> </w:t>
      </w:r>
      <w:r w:rsidR="00191998">
        <w:t xml:space="preserve">The record on appeal contains </w:t>
      </w:r>
      <w:r w:rsidR="006D002F">
        <w:t xml:space="preserve">a substantially redacted copy of the confidential settlement agreement, in which only the recitals, </w:t>
      </w:r>
      <w:r w:rsidR="00560982">
        <w:t>a</w:t>
      </w:r>
      <w:r w:rsidR="00270A44">
        <w:t xml:space="preserve"> confidentiality </w:t>
      </w:r>
      <w:r w:rsidR="00BE526B">
        <w:t>clause</w:t>
      </w:r>
      <w:r w:rsidR="00270A44">
        <w:t xml:space="preserve">, </w:t>
      </w:r>
      <w:r w:rsidR="00657A1E">
        <w:t xml:space="preserve">and </w:t>
      </w:r>
      <w:r w:rsidR="0016301A">
        <w:t xml:space="preserve">the </w:t>
      </w:r>
      <w:r w:rsidR="00BE526B">
        <w:t xml:space="preserve">paragraph </w:t>
      </w:r>
      <w:r w:rsidR="00F11219">
        <w:t>describing</w:t>
      </w:r>
      <w:r w:rsidR="00BE526B">
        <w:t xml:space="preserve"> </w:t>
      </w:r>
      <w:r w:rsidR="00657A1E">
        <w:t xml:space="preserve">the </w:t>
      </w:r>
      <w:r w:rsidR="00377FC2">
        <w:t xml:space="preserve">continuing </w:t>
      </w:r>
      <w:r w:rsidR="00F637F3">
        <w:t>enforceability</w:t>
      </w:r>
      <w:r w:rsidR="00377FC2">
        <w:t xml:space="preserve"> of the nonsolicitation provision are</w:t>
      </w:r>
      <w:r w:rsidR="00BE526B">
        <w:t xml:space="preserve"> </w:t>
      </w:r>
      <w:r w:rsidR="00F11219">
        <w:t xml:space="preserve">made </w:t>
      </w:r>
      <w:r w:rsidR="00BE526B">
        <w:t xml:space="preserve">visible. </w:t>
      </w:r>
    </w:p>
  </w:footnote>
  <w:footnote w:id="4">
    <w:p w14:paraId="48C16DF7" w14:textId="70970483" w:rsidR="00DD36AC" w:rsidRDefault="005116F4" w:rsidP="00DD36AC">
      <w:pPr>
        <w:pStyle w:val="FootnoteText"/>
        <w:ind w:firstLine="720"/>
      </w:pPr>
      <w:r>
        <w:rPr>
          <w:rStyle w:val="FootnoteReference"/>
        </w:rPr>
        <w:footnoteRef/>
      </w:r>
      <w:r>
        <w:t xml:space="preserve"> That same month</w:t>
      </w:r>
      <w:r w:rsidRPr="005F1E6F">
        <w:t xml:space="preserve">, Owen filed a cross-complaint for declaratory judgment under </w:t>
      </w:r>
      <w:r>
        <w:t xml:space="preserve">Code of Civil Procedure </w:t>
      </w:r>
      <w:r w:rsidRPr="005F1E6F">
        <w:t xml:space="preserve">section 1060.  </w:t>
      </w:r>
      <w:r>
        <w:t xml:space="preserve">Owen </w:t>
      </w:r>
      <w:r w:rsidRPr="005F1E6F">
        <w:t xml:space="preserve">sought a declaration that the noncompetition provisions in the employment agreement were void under section 16600.  </w:t>
      </w:r>
      <w:r>
        <w:t>He dismissed t</w:t>
      </w:r>
      <w:r w:rsidRPr="005F1E6F">
        <w:t xml:space="preserve">he cross-complaint with prejudice </w:t>
      </w:r>
      <w:r>
        <w:t>in</w:t>
      </w:r>
      <w:r w:rsidRPr="005F1E6F">
        <w:t xml:space="preserve"> March 2019. </w:t>
      </w:r>
    </w:p>
  </w:footnote>
  <w:footnote w:id="5">
    <w:p w14:paraId="75FBDFC3" w14:textId="0C10A39D" w:rsidR="00B10FBC" w:rsidRDefault="005116F4" w:rsidP="00B10FBC">
      <w:pPr>
        <w:pStyle w:val="FootnoteText"/>
        <w:ind w:firstLine="720"/>
      </w:pPr>
      <w:r>
        <w:rPr>
          <w:rStyle w:val="FootnoteReference"/>
        </w:rPr>
        <w:footnoteRef/>
      </w:r>
      <w:r>
        <w:t xml:space="preserve"> </w:t>
      </w:r>
      <w:r w:rsidRPr="00B10FBC">
        <w:t xml:space="preserve">The </w:t>
      </w:r>
      <w:r w:rsidR="00880354">
        <w:t>trial court</w:t>
      </w:r>
      <w:r w:rsidRPr="00B10FBC">
        <w:t xml:space="preserve"> </w:t>
      </w:r>
      <w:r w:rsidR="00632734">
        <w:t xml:space="preserve">also </w:t>
      </w:r>
      <w:r w:rsidR="007D55BA">
        <w:t>summarily adjudicated</w:t>
      </w:r>
      <w:r w:rsidR="00632734">
        <w:t xml:space="preserve"> Blue Mountain’s cause of action for misappropriation of trade secrets in Owen’s favor.  </w:t>
      </w:r>
    </w:p>
    <w:p w14:paraId="62FBF7BF" w14:textId="77777777" w:rsidR="00E15720" w:rsidRDefault="00E15720" w:rsidP="00B10FBC">
      <w:pPr>
        <w:pStyle w:val="FootnoteText"/>
        <w:ind w:firstLine="720"/>
      </w:pPr>
    </w:p>
  </w:footnote>
  <w:footnote w:id="6">
    <w:p w14:paraId="69A1745F" w14:textId="6F434277" w:rsidR="003A5BA6" w:rsidRDefault="005116F4" w:rsidP="00E15720">
      <w:pPr>
        <w:pStyle w:val="FootnoteText"/>
        <w:ind w:firstLine="720"/>
      </w:pPr>
      <w:r>
        <w:rPr>
          <w:rStyle w:val="FootnoteReference"/>
        </w:rPr>
        <w:footnoteRef/>
      </w:r>
      <w:r>
        <w:t xml:space="preserve"> Owen does not appeal th</w:t>
      </w:r>
      <w:r w:rsidR="00FE4BCE">
        <w:t>e</w:t>
      </w:r>
      <w:r>
        <w:t xml:space="preserve"> denial of fees and costs.</w:t>
      </w:r>
    </w:p>
  </w:footnote>
  <w:footnote w:id="7">
    <w:p w14:paraId="6315968D" w14:textId="2EF81FC0" w:rsidR="004F5054" w:rsidRDefault="005116F4" w:rsidP="00312455">
      <w:pPr>
        <w:pStyle w:val="FootnoteText"/>
        <w:ind w:firstLine="720"/>
      </w:pPr>
      <w:r>
        <w:rPr>
          <w:rStyle w:val="FootnoteReference"/>
        </w:rPr>
        <w:footnoteRef/>
      </w:r>
      <w:r>
        <w:t xml:space="preserve"> </w:t>
      </w:r>
      <w:r w:rsidR="00331494">
        <w:t xml:space="preserve">Owen’s counsel </w:t>
      </w:r>
      <w:r w:rsidR="00671C78">
        <w:t xml:space="preserve">who represented him in the joint venture agreements </w:t>
      </w:r>
      <w:r w:rsidR="00EB62CD">
        <w:t xml:space="preserve">also testified </w:t>
      </w:r>
      <w:r w:rsidR="000659BD">
        <w:t>at</w:t>
      </w:r>
      <w:r w:rsidR="00EB62CD">
        <w:t xml:space="preserve"> a deposition that the Contribution Agreement was “part and parcel of the entire transaction</w:t>
      </w:r>
      <w:r w:rsidR="008C1E6E">
        <w:t>.</w:t>
      </w:r>
      <w:r w:rsidR="00EB62CD">
        <w:t>”</w:t>
      </w:r>
      <w:r w:rsidR="008C1E6E">
        <w:t xml:space="preserve">  </w:t>
      </w:r>
      <w:r w:rsidR="00624AA8">
        <w:t>H</w:t>
      </w:r>
      <w:r w:rsidR="0045201F">
        <w:t xml:space="preserve">is counsel acknowledged </w:t>
      </w:r>
      <w:r w:rsidR="000A4302">
        <w:t xml:space="preserve">that </w:t>
      </w:r>
      <w:r w:rsidR="00887A99">
        <w:t>the Contribution Agreement had to</w:t>
      </w:r>
      <w:r w:rsidR="00853B9B">
        <w:t xml:space="preserve"> </w:t>
      </w:r>
      <w:r w:rsidR="000659BD">
        <w:t>precede</w:t>
      </w:r>
      <w:r w:rsidR="00853B9B">
        <w:t xml:space="preserve"> the sale of a 50 percent ownership </w:t>
      </w:r>
      <w:r w:rsidR="000A4302">
        <w:t>interest</w:t>
      </w:r>
      <w:r w:rsidR="00853B9B">
        <w:t xml:space="preserve"> in Blue Mountain to Acolyte.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F35A9"/>
    <w:multiLevelType w:val="hybridMultilevel"/>
    <w:tmpl w:val="13E81DD8"/>
    <w:lvl w:ilvl="0" w:tplc="8F9A7722">
      <w:start w:val="1"/>
      <w:numFmt w:val="lowerRoman"/>
      <w:lvlText w:val="%1."/>
      <w:lvlJc w:val="left"/>
      <w:pPr>
        <w:ind w:left="1440" w:hanging="720"/>
      </w:pPr>
      <w:rPr>
        <w:rFonts w:hint="default"/>
      </w:rPr>
    </w:lvl>
    <w:lvl w:ilvl="1" w:tplc="EE4C8814" w:tentative="1">
      <w:start w:val="1"/>
      <w:numFmt w:val="lowerLetter"/>
      <w:lvlText w:val="%2."/>
      <w:lvlJc w:val="left"/>
      <w:pPr>
        <w:ind w:left="1800" w:hanging="360"/>
      </w:pPr>
    </w:lvl>
    <w:lvl w:ilvl="2" w:tplc="076E6896" w:tentative="1">
      <w:start w:val="1"/>
      <w:numFmt w:val="lowerRoman"/>
      <w:lvlText w:val="%3."/>
      <w:lvlJc w:val="right"/>
      <w:pPr>
        <w:ind w:left="2520" w:hanging="180"/>
      </w:pPr>
    </w:lvl>
    <w:lvl w:ilvl="3" w:tplc="B3C2CD28" w:tentative="1">
      <w:start w:val="1"/>
      <w:numFmt w:val="decimal"/>
      <w:lvlText w:val="%4."/>
      <w:lvlJc w:val="left"/>
      <w:pPr>
        <w:ind w:left="3240" w:hanging="360"/>
      </w:pPr>
    </w:lvl>
    <w:lvl w:ilvl="4" w:tplc="ECF28F60" w:tentative="1">
      <w:start w:val="1"/>
      <w:numFmt w:val="lowerLetter"/>
      <w:lvlText w:val="%5."/>
      <w:lvlJc w:val="left"/>
      <w:pPr>
        <w:ind w:left="3960" w:hanging="360"/>
      </w:pPr>
    </w:lvl>
    <w:lvl w:ilvl="5" w:tplc="CFFCA186" w:tentative="1">
      <w:start w:val="1"/>
      <w:numFmt w:val="lowerRoman"/>
      <w:lvlText w:val="%6."/>
      <w:lvlJc w:val="right"/>
      <w:pPr>
        <w:ind w:left="4680" w:hanging="180"/>
      </w:pPr>
    </w:lvl>
    <w:lvl w:ilvl="6" w:tplc="FD0C6A02" w:tentative="1">
      <w:start w:val="1"/>
      <w:numFmt w:val="decimal"/>
      <w:lvlText w:val="%7."/>
      <w:lvlJc w:val="left"/>
      <w:pPr>
        <w:ind w:left="5400" w:hanging="360"/>
      </w:pPr>
    </w:lvl>
    <w:lvl w:ilvl="7" w:tplc="5F5A7194" w:tentative="1">
      <w:start w:val="1"/>
      <w:numFmt w:val="lowerLetter"/>
      <w:lvlText w:val="%8."/>
      <w:lvlJc w:val="left"/>
      <w:pPr>
        <w:ind w:left="6120" w:hanging="360"/>
      </w:pPr>
    </w:lvl>
    <w:lvl w:ilvl="8" w:tplc="C9E01302"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E3"/>
    <w:rsid w:val="00002B75"/>
    <w:rsid w:val="0000307C"/>
    <w:rsid w:val="00003F03"/>
    <w:rsid w:val="00005B7B"/>
    <w:rsid w:val="00005F94"/>
    <w:rsid w:val="0000678B"/>
    <w:rsid w:val="000069F6"/>
    <w:rsid w:val="00006D9C"/>
    <w:rsid w:val="0000795D"/>
    <w:rsid w:val="0001028E"/>
    <w:rsid w:val="00010BDF"/>
    <w:rsid w:val="00010BF3"/>
    <w:rsid w:val="00011F35"/>
    <w:rsid w:val="00012B9E"/>
    <w:rsid w:val="00012BEC"/>
    <w:rsid w:val="00013661"/>
    <w:rsid w:val="00013E1F"/>
    <w:rsid w:val="00013E59"/>
    <w:rsid w:val="00014151"/>
    <w:rsid w:val="00014BFF"/>
    <w:rsid w:val="00014FF9"/>
    <w:rsid w:val="00017137"/>
    <w:rsid w:val="000172BE"/>
    <w:rsid w:val="000201CD"/>
    <w:rsid w:val="0002058A"/>
    <w:rsid w:val="0002164F"/>
    <w:rsid w:val="00021714"/>
    <w:rsid w:val="00021845"/>
    <w:rsid w:val="0002259F"/>
    <w:rsid w:val="00023A4E"/>
    <w:rsid w:val="000248BC"/>
    <w:rsid w:val="00024F70"/>
    <w:rsid w:val="00026B37"/>
    <w:rsid w:val="000270DC"/>
    <w:rsid w:val="000279C1"/>
    <w:rsid w:val="0003156B"/>
    <w:rsid w:val="00031A9F"/>
    <w:rsid w:val="00033354"/>
    <w:rsid w:val="0003373B"/>
    <w:rsid w:val="00034624"/>
    <w:rsid w:val="0003501F"/>
    <w:rsid w:val="000351A3"/>
    <w:rsid w:val="00035C15"/>
    <w:rsid w:val="0003603E"/>
    <w:rsid w:val="000370E0"/>
    <w:rsid w:val="000378C1"/>
    <w:rsid w:val="000401CB"/>
    <w:rsid w:val="00040781"/>
    <w:rsid w:val="00040ABB"/>
    <w:rsid w:val="000414F7"/>
    <w:rsid w:val="00041709"/>
    <w:rsid w:val="000423C6"/>
    <w:rsid w:val="00042C66"/>
    <w:rsid w:val="00042ED0"/>
    <w:rsid w:val="00043056"/>
    <w:rsid w:val="00043EF3"/>
    <w:rsid w:val="0004419D"/>
    <w:rsid w:val="00044AEA"/>
    <w:rsid w:val="00045418"/>
    <w:rsid w:val="00045907"/>
    <w:rsid w:val="00045C53"/>
    <w:rsid w:val="00046468"/>
    <w:rsid w:val="00047B4A"/>
    <w:rsid w:val="0005051E"/>
    <w:rsid w:val="00051031"/>
    <w:rsid w:val="00051624"/>
    <w:rsid w:val="0005178E"/>
    <w:rsid w:val="0005290D"/>
    <w:rsid w:val="00053438"/>
    <w:rsid w:val="00054192"/>
    <w:rsid w:val="000548FA"/>
    <w:rsid w:val="00055C5C"/>
    <w:rsid w:val="00055F8E"/>
    <w:rsid w:val="00056621"/>
    <w:rsid w:val="000569F7"/>
    <w:rsid w:val="00056CE4"/>
    <w:rsid w:val="00056FD9"/>
    <w:rsid w:val="00057100"/>
    <w:rsid w:val="00057642"/>
    <w:rsid w:val="00057691"/>
    <w:rsid w:val="00060232"/>
    <w:rsid w:val="00060A27"/>
    <w:rsid w:val="00061754"/>
    <w:rsid w:val="00063F72"/>
    <w:rsid w:val="000659BD"/>
    <w:rsid w:val="00066136"/>
    <w:rsid w:val="00067321"/>
    <w:rsid w:val="00070CB7"/>
    <w:rsid w:val="000713E8"/>
    <w:rsid w:val="0007168E"/>
    <w:rsid w:val="00071E0A"/>
    <w:rsid w:val="000740CE"/>
    <w:rsid w:val="00075725"/>
    <w:rsid w:val="00075B65"/>
    <w:rsid w:val="000768EF"/>
    <w:rsid w:val="00080193"/>
    <w:rsid w:val="000808C1"/>
    <w:rsid w:val="000821CE"/>
    <w:rsid w:val="00083010"/>
    <w:rsid w:val="00083CA2"/>
    <w:rsid w:val="000844C1"/>
    <w:rsid w:val="00084ED7"/>
    <w:rsid w:val="00085924"/>
    <w:rsid w:val="00086DD0"/>
    <w:rsid w:val="00087019"/>
    <w:rsid w:val="000906BA"/>
    <w:rsid w:val="00093037"/>
    <w:rsid w:val="00093B0E"/>
    <w:rsid w:val="000959DA"/>
    <w:rsid w:val="0009610C"/>
    <w:rsid w:val="00096383"/>
    <w:rsid w:val="00096FAC"/>
    <w:rsid w:val="00097427"/>
    <w:rsid w:val="000A0ADC"/>
    <w:rsid w:val="000A17F6"/>
    <w:rsid w:val="000A19DE"/>
    <w:rsid w:val="000A2204"/>
    <w:rsid w:val="000A2473"/>
    <w:rsid w:val="000A3391"/>
    <w:rsid w:val="000A4302"/>
    <w:rsid w:val="000A65D4"/>
    <w:rsid w:val="000A66A2"/>
    <w:rsid w:val="000B0A4F"/>
    <w:rsid w:val="000B1446"/>
    <w:rsid w:val="000B1775"/>
    <w:rsid w:val="000B17BE"/>
    <w:rsid w:val="000B3611"/>
    <w:rsid w:val="000B45B3"/>
    <w:rsid w:val="000B4B16"/>
    <w:rsid w:val="000B6448"/>
    <w:rsid w:val="000B6C21"/>
    <w:rsid w:val="000B748E"/>
    <w:rsid w:val="000B796D"/>
    <w:rsid w:val="000C0EA2"/>
    <w:rsid w:val="000C1531"/>
    <w:rsid w:val="000C2392"/>
    <w:rsid w:val="000C28CF"/>
    <w:rsid w:val="000C3030"/>
    <w:rsid w:val="000C339B"/>
    <w:rsid w:val="000C3F03"/>
    <w:rsid w:val="000C5450"/>
    <w:rsid w:val="000C5686"/>
    <w:rsid w:val="000C6A62"/>
    <w:rsid w:val="000C7A9B"/>
    <w:rsid w:val="000C7C5B"/>
    <w:rsid w:val="000D0461"/>
    <w:rsid w:val="000D05A7"/>
    <w:rsid w:val="000D06D4"/>
    <w:rsid w:val="000D0BA1"/>
    <w:rsid w:val="000D0EDB"/>
    <w:rsid w:val="000D11E2"/>
    <w:rsid w:val="000D1A7D"/>
    <w:rsid w:val="000D242D"/>
    <w:rsid w:val="000D2592"/>
    <w:rsid w:val="000D2D0D"/>
    <w:rsid w:val="000D3823"/>
    <w:rsid w:val="000D4EB5"/>
    <w:rsid w:val="000D508D"/>
    <w:rsid w:val="000D57E3"/>
    <w:rsid w:val="000D67D8"/>
    <w:rsid w:val="000D7647"/>
    <w:rsid w:val="000D77CB"/>
    <w:rsid w:val="000D7A84"/>
    <w:rsid w:val="000E07D1"/>
    <w:rsid w:val="000E0B29"/>
    <w:rsid w:val="000E0B65"/>
    <w:rsid w:val="000E156F"/>
    <w:rsid w:val="000E18AA"/>
    <w:rsid w:val="000E2348"/>
    <w:rsid w:val="000E2925"/>
    <w:rsid w:val="000E2FC4"/>
    <w:rsid w:val="000E31B8"/>
    <w:rsid w:val="000E3365"/>
    <w:rsid w:val="000E3B59"/>
    <w:rsid w:val="000E42CA"/>
    <w:rsid w:val="000E45DF"/>
    <w:rsid w:val="000E5641"/>
    <w:rsid w:val="000E663B"/>
    <w:rsid w:val="000E73F7"/>
    <w:rsid w:val="000E75F1"/>
    <w:rsid w:val="000F064D"/>
    <w:rsid w:val="000F0A54"/>
    <w:rsid w:val="000F183E"/>
    <w:rsid w:val="000F1845"/>
    <w:rsid w:val="000F1A0A"/>
    <w:rsid w:val="000F2A25"/>
    <w:rsid w:val="000F302A"/>
    <w:rsid w:val="000F4401"/>
    <w:rsid w:val="000F44E8"/>
    <w:rsid w:val="000F4D38"/>
    <w:rsid w:val="000F6078"/>
    <w:rsid w:val="000F6D72"/>
    <w:rsid w:val="000F7628"/>
    <w:rsid w:val="000F769E"/>
    <w:rsid w:val="00100690"/>
    <w:rsid w:val="00100F74"/>
    <w:rsid w:val="00100FAA"/>
    <w:rsid w:val="00101FA9"/>
    <w:rsid w:val="00101FD2"/>
    <w:rsid w:val="0010270F"/>
    <w:rsid w:val="00102C4F"/>
    <w:rsid w:val="001035E3"/>
    <w:rsid w:val="00103C82"/>
    <w:rsid w:val="001044BA"/>
    <w:rsid w:val="00104C0D"/>
    <w:rsid w:val="00105D30"/>
    <w:rsid w:val="00106449"/>
    <w:rsid w:val="00106D79"/>
    <w:rsid w:val="0010717F"/>
    <w:rsid w:val="001071E3"/>
    <w:rsid w:val="00107215"/>
    <w:rsid w:val="00107557"/>
    <w:rsid w:val="00107DEB"/>
    <w:rsid w:val="001106C4"/>
    <w:rsid w:val="00110D75"/>
    <w:rsid w:val="001115A4"/>
    <w:rsid w:val="00111B8D"/>
    <w:rsid w:val="00111C01"/>
    <w:rsid w:val="001128D5"/>
    <w:rsid w:val="001137B9"/>
    <w:rsid w:val="001137FC"/>
    <w:rsid w:val="0011396E"/>
    <w:rsid w:val="00113A24"/>
    <w:rsid w:val="001147AB"/>
    <w:rsid w:val="00115EA6"/>
    <w:rsid w:val="00116B01"/>
    <w:rsid w:val="0011777C"/>
    <w:rsid w:val="0012019F"/>
    <w:rsid w:val="00120216"/>
    <w:rsid w:val="00120802"/>
    <w:rsid w:val="00121D18"/>
    <w:rsid w:val="00121F44"/>
    <w:rsid w:val="00122C47"/>
    <w:rsid w:val="00123928"/>
    <w:rsid w:val="00124BF3"/>
    <w:rsid w:val="00124D06"/>
    <w:rsid w:val="0012502F"/>
    <w:rsid w:val="001257DC"/>
    <w:rsid w:val="001308BF"/>
    <w:rsid w:val="00131CDF"/>
    <w:rsid w:val="00132B6C"/>
    <w:rsid w:val="00133086"/>
    <w:rsid w:val="00133C62"/>
    <w:rsid w:val="00134704"/>
    <w:rsid w:val="0013472D"/>
    <w:rsid w:val="00134A85"/>
    <w:rsid w:val="00134C08"/>
    <w:rsid w:val="0013522A"/>
    <w:rsid w:val="0013605E"/>
    <w:rsid w:val="001360B2"/>
    <w:rsid w:val="00136B52"/>
    <w:rsid w:val="00136F74"/>
    <w:rsid w:val="00141192"/>
    <w:rsid w:val="001413E0"/>
    <w:rsid w:val="0014183C"/>
    <w:rsid w:val="00141E9B"/>
    <w:rsid w:val="001425CF"/>
    <w:rsid w:val="00142991"/>
    <w:rsid w:val="00143A15"/>
    <w:rsid w:val="00143A64"/>
    <w:rsid w:val="001449E6"/>
    <w:rsid w:val="001451F7"/>
    <w:rsid w:val="001459EE"/>
    <w:rsid w:val="00147116"/>
    <w:rsid w:val="00147849"/>
    <w:rsid w:val="00147B1E"/>
    <w:rsid w:val="00151138"/>
    <w:rsid w:val="00151A48"/>
    <w:rsid w:val="00151DD5"/>
    <w:rsid w:val="00151DE4"/>
    <w:rsid w:val="00151F2F"/>
    <w:rsid w:val="00152BEF"/>
    <w:rsid w:val="00153C11"/>
    <w:rsid w:val="0015618C"/>
    <w:rsid w:val="00156512"/>
    <w:rsid w:val="00157BBD"/>
    <w:rsid w:val="00157F27"/>
    <w:rsid w:val="00160328"/>
    <w:rsid w:val="00160D8F"/>
    <w:rsid w:val="00161C2F"/>
    <w:rsid w:val="00162AE6"/>
    <w:rsid w:val="00162DF8"/>
    <w:rsid w:val="0016301A"/>
    <w:rsid w:val="0016323A"/>
    <w:rsid w:val="00163E20"/>
    <w:rsid w:val="001646B2"/>
    <w:rsid w:val="00165152"/>
    <w:rsid w:val="001651D2"/>
    <w:rsid w:val="00165E8F"/>
    <w:rsid w:val="00166764"/>
    <w:rsid w:val="0016746B"/>
    <w:rsid w:val="00167C50"/>
    <w:rsid w:val="001713CE"/>
    <w:rsid w:val="0017172D"/>
    <w:rsid w:val="001719BC"/>
    <w:rsid w:val="00172190"/>
    <w:rsid w:val="00172429"/>
    <w:rsid w:val="00173099"/>
    <w:rsid w:val="00173B50"/>
    <w:rsid w:val="00173DDD"/>
    <w:rsid w:val="0017525F"/>
    <w:rsid w:val="00175463"/>
    <w:rsid w:val="001760C3"/>
    <w:rsid w:val="001763B3"/>
    <w:rsid w:val="00176CE4"/>
    <w:rsid w:val="00177044"/>
    <w:rsid w:val="00177973"/>
    <w:rsid w:val="001805DB"/>
    <w:rsid w:val="00181744"/>
    <w:rsid w:val="001819A2"/>
    <w:rsid w:val="00181C18"/>
    <w:rsid w:val="0018462D"/>
    <w:rsid w:val="001846D7"/>
    <w:rsid w:val="00184709"/>
    <w:rsid w:val="001847C5"/>
    <w:rsid w:val="00186EC5"/>
    <w:rsid w:val="001872E2"/>
    <w:rsid w:val="00187AD3"/>
    <w:rsid w:val="0019004D"/>
    <w:rsid w:val="00191998"/>
    <w:rsid w:val="00192F0E"/>
    <w:rsid w:val="0019374F"/>
    <w:rsid w:val="00194113"/>
    <w:rsid w:val="001946E6"/>
    <w:rsid w:val="00194E4F"/>
    <w:rsid w:val="001953CC"/>
    <w:rsid w:val="001954BA"/>
    <w:rsid w:val="00195723"/>
    <w:rsid w:val="00195CCB"/>
    <w:rsid w:val="0019608F"/>
    <w:rsid w:val="0019623B"/>
    <w:rsid w:val="001967F0"/>
    <w:rsid w:val="001975B9"/>
    <w:rsid w:val="001978B7"/>
    <w:rsid w:val="00197D79"/>
    <w:rsid w:val="00197F83"/>
    <w:rsid w:val="001A0E6D"/>
    <w:rsid w:val="001A1262"/>
    <w:rsid w:val="001A1277"/>
    <w:rsid w:val="001A16AB"/>
    <w:rsid w:val="001A1E60"/>
    <w:rsid w:val="001A2163"/>
    <w:rsid w:val="001A253E"/>
    <w:rsid w:val="001A2763"/>
    <w:rsid w:val="001A3B9B"/>
    <w:rsid w:val="001A3BD9"/>
    <w:rsid w:val="001A4985"/>
    <w:rsid w:val="001A57CC"/>
    <w:rsid w:val="001A5E92"/>
    <w:rsid w:val="001A6C9A"/>
    <w:rsid w:val="001B0844"/>
    <w:rsid w:val="001B1D59"/>
    <w:rsid w:val="001B2730"/>
    <w:rsid w:val="001B3A00"/>
    <w:rsid w:val="001B3A19"/>
    <w:rsid w:val="001B3C56"/>
    <w:rsid w:val="001B3F64"/>
    <w:rsid w:val="001B404C"/>
    <w:rsid w:val="001B5199"/>
    <w:rsid w:val="001B5270"/>
    <w:rsid w:val="001B5F6B"/>
    <w:rsid w:val="001B6FA4"/>
    <w:rsid w:val="001B73FB"/>
    <w:rsid w:val="001B766A"/>
    <w:rsid w:val="001C026A"/>
    <w:rsid w:val="001C250A"/>
    <w:rsid w:val="001C25A8"/>
    <w:rsid w:val="001C2AE4"/>
    <w:rsid w:val="001C3508"/>
    <w:rsid w:val="001C3DD4"/>
    <w:rsid w:val="001C4AF5"/>
    <w:rsid w:val="001C4CA0"/>
    <w:rsid w:val="001C4F6F"/>
    <w:rsid w:val="001C5C02"/>
    <w:rsid w:val="001C63F2"/>
    <w:rsid w:val="001C67FC"/>
    <w:rsid w:val="001C74A1"/>
    <w:rsid w:val="001D014E"/>
    <w:rsid w:val="001D0A6E"/>
    <w:rsid w:val="001D14B5"/>
    <w:rsid w:val="001D1896"/>
    <w:rsid w:val="001D2512"/>
    <w:rsid w:val="001D255D"/>
    <w:rsid w:val="001D3185"/>
    <w:rsid w:val="001D3266"/>
    <w:rsid w:val="001D3942"/>
    <w:rsid w:val="001D3BA5"/>
    <w:rsid w:val="001D48E5"/>
    <w:rsid w:val="001D4B92"/>
    <w:rsid w:val="001D4D01"/>
    <w:rsid w:val="001D5A4B"/>
    <w:rsid w:val="001D6365"/>
    <w:rsid w:val="001D6D6E"/>
    <w:rsid w:val="001E1BAE"/>
    <w:rsid w:val="001E2ABC"/>
    <w:rsid w:val="001E3074"/>
    <w:rsid w:val="001E50A9"/>
    <w:rsid w:val="001E5B18"/>
    <w:rsid w:val="001E72EB"/>
    <w:rsid w:val="001E7BB7"/>
    <w:rsid w:val="001F0509"/>
    <w:rsid w:val="001F090B"/>
    <w:rsid w:val="001F1B09"/>
    <w:rsid w:val="001F1CA1"/>
    <w:rsid w:val="001F272D"/>
    <w:rsid w:val="001F3836"/>
    <w:rsid w:val="001F4025"/>
    <w:rsid w:val="001F4C69"/>
    <w:rsid w:val="001F50D9"/>
    <w:rsid w:val="001F5467"/>
    <w:rsid w:val="001F597E"/>
    <w:rsid w:val="001F5D1B"/>
    <w:rsid w:val="001F61BA"/>
    <w:rsid w:val="001F64CD"/>
    <w:rsid w:val="001F6AEC"/>
    <w:rsid w:val="001F6FFB"/>
    <w:rsid w:val="001F7654"/>
    <w:rsid w:val="00201198"/>
    <w:rsid w:val="0020212C"/>
    <w:rsid w:val="00202706"/>
    <w:rsid w:val="00204FF7"/>
    <w:rsid w:val="0020506A"/>
    <w:rsid w:val="00205702"/>
    <w:rsid w:val="00205FF5"/>
    <w:rsid w:val="00206A18"/>
    <w:rsid w:val="002107D6"/>
    <w:rsid w:val="00213D4A"/>
    <w:rsid w:val="00215262"/>
    <w:rsid w:val="0021548F"/>
    <w:rsid w:val="002161C0"/>
    <w:rsid w:val="0021649A"/>
    <w:rsid w:val="00216CBD"/>
    <w:rsid w:val="00217365"/>
    <w:rsid w:val="00217D6D"/>
    <w:rsid w:val="0022021E"/>
    <w:rsid w:val="00220428"/>
    <w:rsid w:val="00223595"/>
    <w:rsid w:val="0022455B"/>
    <w:rsid w:val="00224799"/>
    <w:rsid w:val="00224C07"/>
    <w:rsid w:val="00225E18"/>
    <w:rsid w:val="00225F27"/>
    <w:rsid w:val="002273C8"/>
    <w:rsid w:val="002307DA"/>
    <w:rsid w:val="002315AC"/>
    <w:rsid w:val="002316AF"/>
    <w:rsid w:val="00231AF0"/>
    <w:rsid w:val="002328FB"/>
    <w:rsid w:val="00233A8B"/>
    <w:rsid w:val="00233AD7"/>
    <w:rsid w:val="00233E70"/>
    <w:rsid w:val="00234008"/>
    <w:rsid w:val="002341FC"/>
    <w:rsid w:val="00234896"/>
    <w:rsid w:val="002406E0"/>
    <w:rsid w:val="00241183"/>
    <w:rsid w:val="00241D17"/>
    <w:rsid w:val="00241FF9"/>
    <w:rsid w:val="00242208"/>
    <w:rsid w:val="00242801"/>
    <w:rsid w:val="0024377B"/>
    <w:rsid w:val="00245AA4"/>
    <w:rsid w:val="002465F3"/>
    <w:rsid w:val="00247414"/>
    <w:rsid w:val="00250275"/>
    <w:rsid w:val="00250331"/>
    <w:rsid w:val="00252027"/>
    <w:rsid w:val="00252304"/>
    <w:rsid w:val="0025237B"/>
    <w:rsid w:val="00254D2F"/>
    <w:rsid w:val="00254E2A"/>
    <w:rsid w:val="00255F83"/>
    <w:rsid w:val="00257314"/>
    <w:rsid w:val="002577D0"/>
    <w:rsid w:val="00257A0F"/>
    <w:rsid w:val="00257DDF"/>
    <w:rsid w:val="00260127"/>
    <w:rsid w:val="002604DA"/>
    <w:rsid w:val="00261711"/>
    <w:rsid w:val="00261AB1"/>
    <w:rsid w:val="002622A2"/>
    <w:rsid w:val="00262760"/>
    <w:rsid w:val="00262DCC"/>
    <w:rsid w:val="0026345B"/>
    <w:rsid w:val="002649DB"/>
    <w:rsid w:val="00264FD4"/>
    <w:rsid w:val="002655F4"/>
    <w:rsid w:val="002665D5"/>
    <w:rsid w:val="002669AE"/>
    <w:rsid w:val="00266CE6"/>
    <w:rsid w:val="00267C89"/>
    <w:rsid w:val="00270A44"/>
    <w:rsid w:val="00270C20"/>
    <w:rsid w:val="00271339"/>
    <w:rsid w:val="002717E8"/>
    <w:rsid w:val="00271F95"/>
    <w:rsid w:val="00272913"/>
    <w:rsid w:val="00273EBF"/>
    <w:rsid w:val="00275519"/>
    <w:rsid w:val="00275BAE"/>
    <w:rsid w:val="00276DA0"/>
    <w:rsid w:val="0027761A"/>
    <w:rsid w:val="0028002D"/>
    <w:rsid w:val="00280422"/>
    <w:rsid w:val="002807CB"/>
    <w:rsid w:val="002817EC"/>
    <w:rsid w:val="00281EE8"/>
    <w:rsid w:val="002836B5"/>
    <w:rsid w:val="002837E7"/>
    <w:rsid w:val="002841BE"/>
    <w:rsid w:val="002878B2"/>
    <w:rsid w:val="002900C7"/>
    <w:rsid w:val="00290A91"/>
    <w:rsid w:val="00291148"/>
    <w:rsid w:val="00291690"/>
    <w:rsid w:val="002929C0"/>
    <w:rsid w:val="002931AD"/>
    <w:rsid w:val="00293515"/>
    <w:rsid w:val="0029393C"/>
    <w:rsid w:val="00293A04"/>
    <w:rsid w:val="00294C74"/>
    <w:rsid w:val="00294FA4"/>
    <w:rsid w:val="00295958"/>
    <w:rsid w:val="00295F7F"/>
    <w:rsid w:val="00296759"/>
    <w:rsid w:val="00296C97"/>
    <w:rsid w:val="00296E9B"/>
    <w:rsid w:val="00297578"/>
    <w:rsid w:val="002A1244"/>
    <w:rsid w:val="002A26C6"/>
    <w:rsid w:val="002A43C1"/>
    <w:rsid w:val="002A5972"/>
    <w:rsid w:val="002A5CD8"/>
    <w:rsid w:val="002A5E53"/>
    <w:rsid w:val="002A6477"/>
    <w:rsid w:val="002B005F"/>
    <w:rsid w:val="002B00DA"/>
    <w:rsid w:val="002B043A"/>
    <w:rsid w:val="002B0A55"/>
    <w:rsid w:val="002B1A64"/>
    <w:rsid w:val="002B258C"/>
    <w:rsid w:val="002B3B5C"/>
    <w:rsid w:val="002B3D7C"/>
    <w:rsid w:val="002B45C4"/>
    <w:rsid w:val="002B5829"/>
    <w:rsid w:val="002B6EE6"/>
    <w:rsid w:val="002B6F10"/>
    <w:rsid w:val="002B7969"/>
    <w:rsid w:val="002B7D55"/>
    <w:rsid w:val="002C02E0"/>
    <w:rsid w:val="002C07D8"/>
    <w:rsid w:val="002C1033"/>
    <w:rsid w:val="002C1899"/>
    <w:rsid w:val="002C1ED5"/>
    <w:rsid w:val="002C21B2"/>
    <w:rsid w:val="002C4525"/>
    <w:rsid w:val="002C4914"/>
    <w:rsid w:val="002C5F82"/>
    <w:rsid w:val="002C706B"/>
    <w:rsid w:val="002C731F"/>
    <w:rsid w:val="002C7CED"/>
    <w:rsid w:val="002D1C44"/>
    <w:rsid w:val="002D3505"/>
    <w:rsid w:val="002D44A6"/>
    <w:rsid w:val="002D4F00"/>
    <w:rsid w:val="002D5DA5"/>
    <w:rsid w:val="002D689E"/>
    <w:rsid w:val="002D7569"/>
    <w:rsid w:val="002D7695"/>
    <w:rsid w:val="002D7D82"/>
    <w:rsid w:val="002D7EB0"/>
    <w:rsid w:val="002D7FDC"/>
    <w:rsid w:val="002E15A2"/>
    <w:rsid w:val="002E2F22"/>
    <w:rsid w:val="002E33A2"/>
    <w:rsid w:val="002E3DF7"/>
    <w:rsid w:val="002E50AD"/>
    <w:rsid w:val="002E52F8"/>
    <w:rsid w:val="002E59F7"/>
    <w:rsid w:val="002E5B6F"/>
    <w:rsid w:val="002E5F44"/>
    <w:rsid w:val="002E67B7"/>
    <w:rsid w:val="002E6DB0"/>
    <w:rsid w:val="002E757E"/>
    <w:rsid w:val="002F22F6"/>
    <w:rsid w:val="002F2627"/>
    <w:rsid w:val="002F34E1"/>
    <w:rsid w:val="002F350B"/>
    <w:rsid w:val="002F5A6D"/>
    <w:rsid w:val="002F7773"/>
    <w:rsid w:val="00301448"/>
    <w:rsid w:val="0030157E"/>
    <w:rsid w:val="00301AE5"/>
    <w:rsid w:val="003026E0"/>
    <w:rsid w:val="00302812"/>
    <w:rsid w:val="00303CB0"/>
    <w:rsid w:val="00304298"/>
    <w:rsid w:val="00304BDE"/>
    <w:rsid w:val="00306152"/>
    <w:rsid w:val="00306D00"/>
    <w:rsid w:val="003102C2"/>
    <w:rsid w:val="00310470"/>
    <w:rsid w:val="003108C7"/>
    <w:rsid w:val="00310C25"/>
    <w:rsid w:val="00311025"/>
    <w:rsid w:val="003117EE"/>
    <w:rsid w:val="00311F33"/>
    <w:rsid w:val="00312455"/>
    <w:rsid w:val="00312BD0"/>
    <w:rsid w:val="00312DAF"/>
    <w:rsid w:val="00313E50"/>
    <w:rsid w:val="00314B72"/>
    <w:rsid w:val="00315D5A"/>
    <w:rsid w:val="00315DE5"/>
    <w:rsid w:val="003168FC"/>
    <w:rsid w:val="003174DE"/>
    <w:rsid w:val="00320457"/>
    <w:rsid w:val="003217C8"/>
    <w:rsid w:val="00322509"/>
    <w:rsid w:val="0032328C"/>
    <w:rsid w:val="0032352F"/>
    <w:rsid w:val="00323B00"/>
    <w:rsid w:val="00323E19"/>
    <w:rsid w:val="00324D61"/>
    <w:rsid w:val="00325EAF"/>
    <w:rsid w:val="00327125"/>
    <w:rsid w:val="003272E9"/>
    <w:rsid w:val="00330B36"/>
    <w:rsid w:val="003310DD"/>
    <w:rsid w:val="00331494"/>
    <w:rsid w:val="00331C6B"/>
    <w:rsid w:val="00331D16"/>
    <w:rsid w:val="00331F9D"/>
    <w:rsid w:val="003328F1"/>
    <w:rsid w:val="003338C3"/>
    <w:rsid w:val="00333AC2"/>
    <w:rsid w:val="00334BDD"/>
    <w:rsid w:val="00334E1E"/>
    <w:rsid w:val="00337536"/>
    <w:rsid w:val="00337832"/>
    <w:rsid w:val="003404C6"/>
    <w:rsid w:val="003409BA"/>
    <w:rsid w:val="0034180C"/>
    <w:rsid w:val="00341AF7"/>
    <w:rsid w:val="0034272B"/>
    <w:rsid w:val="00343425"/>
    <w:rsid w:val="00343A92"/>
    <w:rsid w:val="003446C8"/>
    <w:rsid w:val="00344704"/>
    <w:rsid w:val="0034544F"/>
    <w:rsid w:val="003459D6"/>
    <w:rsid w:val="00345F15"/>
    <w:rsid w:val="00346676"/>
    <w:rsid w:val="00347AA9"/>
    <w:rsid w:val="00350166"/>
    <w:rsid w:val="00350645"/>
    <w:rsid w:val="00350ADC"/>
    <w:rsid w:val="003519E6"/>
    <w:rsid w:val="00352011"/>
    <w:rsid w:val="003522D8"/>
    <w:rsid w:val="00352998"/>
    <w:rsid w:val="003529CF"/>
    <w:rsid w:val="00352BC2"/>
    <w:rsid w:val="00353053"/>
    <w:rsid w:val="0035315A"/>
    <w:rsid w:val="00353FD1"/>
    <w:rsid w:val="003540D9"/>
    <w:rsid w:val="00354509"/>
    <w:rsid w:val="00354726"/>
    <w:rsid w:val="00355DD5"/>
    <w:rsid w:val="00355EE3"/>
    <w:rsid w:val="003566FB"/>
    <w:rsid w:val="00356974"/>
    <w:rsid w:val="00356AFD"/>
    <w:rsid w:val="00356D13"/>
    <w:rsid w:val="00356DC3"/>
    <w:rsid w:val="00357995"/>
    <w:rsid w:val="003601D2"/>
    <w:rsid w:val="003611E7"/>
    <w:rsid w:val="00361561"/>
    <w:rsid w:val="00363B8B"/>
    <w:rsid w:val="00364254"/>
    <w:rsid w:val="003660A0"/>
    <w:rsid w:val="003677A8"/>
    <w:rsid w:val="003678AA"/>
    <w:rsid w:val="00370297"/>
    <w:rsid w:val="00370686"/>
    <w:rsid w:val="00371834"/>
    <w:rsid w:val="00372388"/>
    <w:rsid w:val="00372AB9"/>
    <w:rsid w:val="00373924"/>
    <w:rsid w:val="003742FF"/>
    <w:rsid w:val="00374736"/>
    <w:rsid w:val="00374781"/>
    <w:rsid w:val="003749C0"/>
    <w:rsid w:val="00374A83"/>
    <w:rsid w:val="00375FF1"/>
    <w:rsid w:val="003769F4"/>
    <w:rsid w:val="00376EB5"/>
    <w:rsid w:val="003772D8"/>
    <w:rsid w:val="00377FC2"/>
    <w:rsid w:val="003825A9"/>
    <w:rsid w:val="003834BA"/>
    <w:rsid w:val="00383812"/>
    <w:rsid w:val="00383A60"/>
    <w:rsid w:val="00383C5C"/>
    <w:rsid w:val="00384951"/>
    <w:rsid w:val="003849D1"/>
    <w:rsid w:val="00384FA2"/>
    <w:rsid w:val="00384FC4"/>
    <w:rsid w:val="00385195"/>
    <w:rsid w:val="0038570B"/>
    <w:rsid w:val="00385BAB"/>
    <w:rsid w:val="00385CBC"/>
    <w:rsid w:val="00386018"/>
    <w:rsid w:val="003861F8"/>
    <w:rsid w:val="00387D9C"/>
    <w:rsid w:val="0039051E"/>
    <w:rsid w:val="00390F8B"/>
    <w:rsid w:val="00393943"/>
    <w:rsid w:val="00393C84"/>
    <w:rsid w:val="00393CB8"/>
    <w:rsid w:val="00394191"/>
    <w:rsid w:val="003947A4"/>
    <w:rsid w:val="00394A4D"/>
    <w:rsid w:val="00394C58"/>
    <w:rsid w:val="00395C9B"/>
    <w:rsid w:val="00396A93"/>
    <w:rsid w:val="00396AD5"/>
    <w:rsid w:val="003A0847"/>
    <w:rsid w:val="003A1211"/>
    <w:rsid w:val="003A1947"/>
    <w:rsid w:val="003A1ED0"/>
    <w:rsid w:val="003A22EE"/>
    <w:rsid w:val="003A2359"/>
    <w:rsid w:val="003A27ED"/>
    <w:rsid w:val="003A2D27"/>
    <w:rsid w:val="003A5BA6"/>
    <w:rsid w:val="003A6E82"/>
    <w:rsid w:val="003A7057"/>
    <w:rsid w:val="003B000B"/>
    <w:rsid w:val="003B01F9"/>
    <w:rsid w:val="003B09BB"/>
    <w:rsid w:val="003B0CA8"/>
    <w:rsid w:val="003B1D70"/>
    <w:rsid w:val="003B21D1"/>
    <w:rsid w:val="003B2CC9"/>
    <w:rsid w:val="003B2F06"/>
    <w:rsid w:val="003B42BA"/>
    <w:rsid w:val="003B473A"/>
    <w:rsid w:val="003B60D1"/>
    <w:rsid w:val="003B649B"/>
    <w:rsid w:val="003B68B2"/>
    <w:rsid w:val="003B6C50"/>
    <w:rsid w:val="003B7BED"/>
    <w:rsid w:val="003B7D2D"/>
    <w:rsid w:val="003B7DFB"/>
    <w:rsid w:val="003B7E8A"/>
    <w:rsid w:val="003B7F5D"/>
    <w:rsid w:val="003C072F"/>
    <w:rsid w:val="003C1C54"/>
    <w:rsid w:val="003C27CA"/>
    <w:rsid w:val="003C29D7"/>
    <w:rsid w:val="003C357D"/>
    <w:rsid w:val="003C499E"/>
    <w:rsid w:val="003C5072"/>
    <w:rsid w:val="003C5C19"/>
    <w:rsid w:val="003C5F6D"/>
    <w:rsid w:val="003C6709"/>
    <w:rsid w:val="003C7A03"/>
    <w:rsid w:val="003D18E0"/>
    <w:rsid w:val="003D300C"/>
    <w:rsid w:val="003D3869"/>
    <w:rsid w:val="003D468D"/>
    <w:rsid w:val="003E11B9"/>
    <w:rsid w:val="003E14B6"/>
    <w:rsid w:val="003E151C"/>
    <w:rsid w:val="003E1DA2"/>
    <w:rsid w:val="003E23C3"/>
    <w:rsid w:val="003E2FE8"/>
    <w:rsid w:val="003E6347"/>
    <w:rsid w:val="003E72B8"/>
    <w:rsid w:val="003E7C5E"/>
    <w:rsid w:val="003F0AC1"/>
    <w:rsid w:val="003F0C9D"/>
    <w:rsid w:val="003F175B"/>
    <w:rsid w:val="003F1847"/>
    <w:rsid w:val="003F1935"/>
    <w:rsid w:val="003F22C3"/>
    <w:rsid w:val="003F274A"/>
    <w:rsid w:val="003F3072"/>
    <w:rsid w:val="003F422C"/>
    <w:rsid w:val="003F4463"/>
    <w:rsid w:val="003F4CBC"/>
    <w:rsid w:val="003F552E"/>
    <w:rsid w:val="003F5BBE"/>
    <w:rsid w:val="003F5CC8"/>
    <w:rsid w:val="003F6D29"/>
    <w:rsid w:val="003F7737"/>
    <w:rsid w:val="003F7790"/>
    <w:rsid w:val="003F78E8"/>
    <w:rsid w:val="004001CD"/>
    <w:rsid w:val="00400EC1"/>
    <w:rsid w:val="00402186"/>
    <w:rsid w:val="00402360"/>
    <w:rsid w:val="00402540"/>
    <w:rsid w:val="00402AA1"/>
    <w:rsid w:val="00403165"/>
    <w:rsid w:val="004037B8"/>
    <w:rsid w:val="00405F19"/>
    <w:rsid w:val="00406162"/>
    <w:rsid w:val="00406AE6"/>
    <w:rsid w:val="00410CA9"/>
    <w:rsid w:val="004127E5"/>
    <w:rsid w:val="00415407"/>
    <w:rsid w:val="00415411"/>
    <w:rsid w:val="0041571E"/>
    <w:rsid w:val="00415DAA"/>
    <w:rsid w:val="0042001E"/>
    <w:rsid w:val="004227CE"/>
    <w:rsid w:val="00422C28"/>
    <w:rsid w:val="00422CE7"/>
    <w:rsid w:val="004238D0"/>
    <w:rsid w:val="00424029"/>
    <w:rsid w:val="00424F78"/>
    <w:rsid w:val="00426272"/>
    <w:rsid w:val="004264C8"/>
    <w:rsid w:val="00426CAA"/>
    <w:rsid w:val="00426ED0"/>
    <w:rsid w:val="00426FBE"/>
    <w:rsid w:val="00427B59"/>
    <w:rsid w:val="00430B72"/>
    <w:rsid w:val="004313D6"/>
    <w:rsid w:val="00431416"/>
    <w:rsid w:val="00431E2D"/>
    <w:rsid w:val="0043261A"/>
    <w:rsid w:val="00432E9C"/>
    <w:rsid w:val="00433B87"/>
    <w:rsid w:val="00433E89"/>
    <w:rsid w:val="00435A33"/>
    <w:rsid w:val="00437000"/>
    <w:rsid w:val="004378CB"/>
    <w:rsid w:val="004400DD"/>
    <w:rsid w:val="004416A8"/>
    <w:rsid w:val="00441F51"/>
    <w:rsid w:val="004426F2"/>
    <w:rsid w:val="004435E6"/>
    <w:rsid w:val="00443789"/>
    <w:rsid w:val="004438ED"/>
    <w:rsid w:val="004439AB"/>
    <w:rsid w:val="00443F72"/>
    <w:rsid w:val="0044410C"/>
    <w:rsid w:val="004446C5"/>
    <w:rsid w:val="004458C5"/>
    <w:rsid w:val="00446718"/>
    <w:rsid w:val="0045201F"/>
    <w:rsid w:val="00452714"/>
    <w:rsid w:val="004530F1"/>
    <w:rsid w:val="00453F24"/>
    <w:rsid w:val="004542EC"/>
    <w:rsid w:val="00455186"/>
    <w:rsid w:val="004552B8"/>
    <w:rsid w:val="00456202"/>
    <w:rsid w:val="00457BB0"/>
    <w:rsid w:val="00457EC6"/>
    <w:rsid w:val="00460353"/>
    <w:rsid w:val="00460535"/>
    <w:rsid w:val="0046065A"/>
    <w:rsid w:val="00460D12"/>
    <w:rsid w:val="00460DF3"/>
    <w:rsid w:val="00461357"/>
    <w:rsid w:val="004632C1"/>
    <w:rsid w:val="00463F1A"/>
    <w:rsid w:val="00464309"/>
    <w:rsid w:val="004646AB"/>
    <w:rsid w:val="00464C9F"/>
    <w:rsid w:val="00465570"/>
    <w:rsid w:val="004660F7"/>
    <w:rsid w:val="0046651C"/>
    <w:rsid w:val="00467252"/>
    <w:rsid w:val="00470756"/>
    <w:rsid w:val="00470AD6"/>
    <w:rsid w:val="00471333"/>
    <w:rsid w:val="00471775"/>
    <w:rsid w:val="004719A6"/>
    <w:rsid w:val="0047286A"/>
    <w:rsid w:val="00473431"/>
    <w:rsid w:val="00474D9D"/>
    <w:rsid w:val="00474F0E"/>
    <w:rsid w:val="00474F61"/>
    <w:rsid w:val="0047542F"/>
    <w:rsid w:val="00475797"/>
    <w:rsid w:val="00476815"/>
    <w:rsid w:val="00476C1A"/>
    <w:rsid w:val="00476E50"/>
    <w:rsid w:val="00476EDB"/>
    <w:rsid w:val="004770D9"/>
    <w:rsid w:val="00480244"/>
    <w:rsid w:val="004813DF"/>
    <w:rsid w:val="004821E4"/>
    <w:rsid w:val="00482B8C"/>
    <w:rsid w:val="00482E11"/>
    <w:rsid w:val="0048483B"/>
    <w:rsid w:val="00484C56"/>
    <w:rsid w:val="004860C7"/>
    <w:rsid w:val="00486389"/>
    <w:rsid w:val="00486498"/>
    <w:rsid w:val="00486FE8"/>
    <w:rsid w:val="00487823"/>
    <w:rsid w:val="004907AC"/>
    <w:rsid w:val="00490E72"/>
    <w:rsid w:val="00492669"/>
    <w:rsid w:val="00494829"/>
    <w:rsid w:val="0049493A"/>
    <w:rsid w:val="00495DA7"/>
    <w:rsid w:val="0049603C"/>
    <w:rsid w:val="00496432"/>
    <w:rsid w:val="00496753"/>
    <w:rsid w:val="004973C2"/>
    <w:rsid w:val="0049756A"/>
    <w:rsid w:val="004A1021"/>
    <w:rsid w:val="004A1734"/>
    <w:rsid w:val="004A2116"/>
    <w:rsid w:val="004A41C0"/>
    <w:rsid w:val="004A4391"/>
    <w:rsid w:val="004A463B"/>
    <w:rsid w:val="004A583D"/>
    <w:rsid w:val="004A6591"/>
    <w:rsid w:val="004A6E89"/>
    <w:rsid w:val="004A6F77"/>
    <w:rsid w:val="004A79B6"/>
    <w:rsid w:val="004B3462"/>
    <w:rsid w:val="004B363F"/>
    <w:rsid w:val="004B387D"/>
    <w:rsid w:val="004B3B37"/>
    <w:rsid w:val="004B40CE"/>
    <w:rsid w:val="004B480B"/>
    <w:rsid w:val="004B48BA"/>
    <w:rsid w:val="004B4FAB"/>
    <w:rsid w:val="004B5675"/>
    <w:rsid w:val="004B575E"/>
    <w:rsid w:val="004B6F19"/>
    <w:rsid w:val="004C0661"/>
    <w:rsid w:val="004C0C0B"/>
    <w:rsid w:val="004C0DD8"/>
    <w:rsid w:val="004C10D0"/>
    <w:rsid w:val="004C17C2"/>
    <w:rsid w:val="004C1AD7"/>
    <w:rsid w:val="004C20D5"/>
    <w:rsid w:val="004C291E"/>
    <w:rsid w:val="004C2C5F"/>
    <w:rsid w:val="004C6865"/>
    <w:rsid w:val="004C6A94"/>
    <w:rsid w:val="004C767D"/>
    <w:rsid w:val="004C7C9B"/>
    <w:rsid w:val="004D1579"/>
    <w:rsid w:val="004D1C7F"/>
    <w:rsid w:val="004D1CB0"/>
    <w:rsid w:val="004D1DA9"/>
    <w:rsid w:val="004D338E"/>
    <w:rsid w:val="004D5E81"/>
    <w:rsid w:val="004D7485"/>
    <w:rsid w:val="004E0CF0"/>
    <w:rsid w:val="004E1CF9"/>
    <w:rsid w:val="004E2360"/>
    <w:rsid w:val="004E28A4"/>
    <w:rsid w:val="004E3530"/>
    <w:rsid w:val="004E391D"/>
    <w:rsid w:val="004E4998"/>
    <w:rsid w:val="004E4EFA"/>
    <w:rsid w:val="004E5618"/>
    <w:rsid w:val="004E6395"/>
    <w:rsid w:val="004E75C3"/>
    <w:rsid w:val="004E7688"/>
    <w:rsid w:val="004E7E73"/>
    <w:rsid w:val="004F0C06"/>
    <w:rsid w:val="004F14AF"/>
    <w:rsid w:val="004F19CE"/>
    <w:rsid w:val="004F23B9"/>
    <w:rsid w:val="004F336B"/>
    <w:rsid w:val="004F342C"/>
    <w:rsid w:val="004F3763"/>
    <w:rsid w:val="004F4031"/>
    <w:rsid w:val="004F46C9"/>
    <w:rsid w:val="004F4BEB"/>
    <w:rsid w:val="004F4ED9"/>
    <w:rsid w:val="004F4F68"/>
    <w:rsid w:val="004F5054"/>
    <w:rsid w:val="004F5743"/>
    <w:rsid w:val="004F7215"/>
    <w:rsid w:val="004F7BA3"/>
    <w:rsid w:val="005000E6"/>
    <w:rsid w:val="0050075A"/>
    <w:rsid w:val="00500C92"/>
    <w:rsid w:val="005023CA"/>
    <w:rsid w:val="0050443E"/>
    <w:rsid w:val="00504A52"/>
    <w:rsid w:val="00505179"/>
    <w:rsid w:val="00505CDA"/>
    <w:rsid w:val="00507212"/>
    <w:rsid w:val="0050751C"/>
    <w:rsid w:val="00507C26"/>
    <w:rsid w:val="0051021F"/>
    <w:rsid w:val="00510B7D"/>
    <w:rsid w:val="00510F64"/>
    <w:rsid w:val="005110CA"/>
    <w:rsid w:val="005116F4"/>
    <w:rsid w:val="005129B4"/>
    <w:rsid w:val="0051321F"/>
    <w:rsid w:val="00514E3A"/>
    <w:rsid w:val="00515591"/>
    <w:rsid w:val="00516597"/>
    <w:rsid w:val="005166A7"/>
    <w:rsid w:val="00520146"/>
    <w:rsid w:val="005203D7"/>
    <w:rsid w:val="00520E46"/>
    <w:rsid w:val="00521228"/>
    <w:rsid w:val="005216CA"/>
    <w:rsid w:val="005220A9"/>
    <w:rsid w:val="00522FBD"/>
    <w:rsid w:val="00523635"/>
    <w:rsid w:val="00524052"/>
    <w:rsid w:val="00524351"/>
    <w:rsid w:val="0052456D"/>
    <w:rsid w:val="00524BE6"/>
    <w:rsid w:val="00524FDE"/>
    <w:rsid w:val="00526448"/>
    <w:rsid w:val="00530322"/>
    <w:rsid w:val="005308DC"/>
    <w:rsid w:val="005313D0"/>
    <w:rsid w:val="005335FD"/>
    <w:rsid w:val="0053383E"/>
    <w:rsid w:val="00533C4E"/>
    <w:rsid w:val="0053528B"/>
    <w:rsid w:val="00535702"/>
    <w:rsid w:val="00536C11"/>
    <w:rsid w:val="005375E6"/>
    <w:rsid w:val="005401D3"/>
    <w:rsid w:val="005406BA"/>
    <w:rsid w:val="00540F36"/>
    <w:rsid w:val="00541001"/>
    <w:rsid w:val="0054118B"/>
    <w:rsid w:val="005411F1"/>
    <w:rsid w:val="0054160E"/>
    <w:rsid w:val="00541619"/>
    <w:rsid w:val="00541729"/>
    <w:rsid w:val="005419C1"/>
    <w:rsid w:val="00542CF0"/>
    <w:rsid w:val="00543AA8"/>
    <w:rsid w:val="0054423D"/>
    <w:rsid w:val="005454F5"/>
    <w:rsid w:val="0054699A"/>
    <w:rsid w:val="005476EE"/>
    <w:rsid w:val="00547E47"/>
    <w:rsid w:val="00551006"/>
    <w:rsid w:val="005528C1"/>
    <w:rsid w:val="005528FB"/>
    <w:rsid w:val="00552EE0"/>
    <w:rsid w:val="005534C8"/>
    <w:rsid w:val="00553CBE"/>
    <w:rsid w:val="0055430D"/>
    <w:rsid w:val="00554362"/>
    <w:rsid w:val="00554F07"/>
    <w:rsid w:val="005607DC"/>
    <w:rsid w:val="00560982"/>
    <w:rsid w:val="005610C7"/>
    <w:rsid w:val="0056174D"/>
    <w:rsid w:val="00561A0D"/>
    <w:rsid w:val="00561BDB"/>
    <w:rsid w:val="00561EAE"/>
    <w:rsid w:val="00563AC5"/>
    <w:rsid w:val="00563CB0"/>
    <w:rsid w:val="00564537"/>
    <w:rsid w:val="00567503"/>
    <w:rsid w:val="005700A0"/>
    <w:rsid w:val="005704D1"/>
    <w:rsid w:val="00570B18"/>
    <w:rsid w:val="00571A07"/>
    <w:rsid w:val="00571A3B"/>
    <w:rsid w:val="005720C9"/>
    <w:rsid w:val="0057242C"/>
    <w:rsid w:val="00572539"/>
    <w:rsid w:val="005730E5"/>
    <w:rsid w:val="005732C6"/>
    <w:rsid w:val="005733A4"/>
    <w:rsid w:val="00573EA9"/>
    <w:rsid w:val="00574140"/>
    <w:rsid w:val="00574EED"/>
    <w:rsid w:val="00576FA5"/>
    <w:rsid w:val="0057711B"/>
    <w:rsid w:val="00581563"/>
    <w:rsid w:val="005817C7"/>
    <w:rsid w:val="00582D54"/>
    <w:rsid w:val="00584150"/>
    <w:rsid w:val="005867F4"/>
    <w:rsid w:val="00586D74"/>
    <w:rsid w:val="0058707B"/>
    <w:rsid w:val="00587A1C"/>
    <w:rsid w:val="00587BA2"/>
    <w:rsid w:val="00587DB3"/>
    <w:rsid w:val="0059018A"/>
    <w:rsid w:val="0059157E"/>
    <w:rsid w:val="00591F1B"/>
    <w:rsid w:val="005924C9"/>
    <w:rsid w:val="00594445"/>
    <w:rsid w:val="00595776"/>
    <w:rsid w:val="005971BD"/>
    <w:rsid w:val="005A0974"/>
    <w:rsid w:val="005A3020"/>
    <w:rsid w:val="005A3EC9"/>
    <w:rsid w:val="005A469B"/>
    <w:rsid w:val="005A49AE"/>
    <w:rsid w:val="005A54D0"/>
    <w:rsid w:val="005A5895"/>
    <w:rsid w:val="005A5FC3"/>
    <w:rsid w:val="005A6AB6"/>
    <w:rsid w:val="005B023F"/>
    <w:rsid w:val="005B050C"/>
    <w:rsid w:val="005B1561"/>
    <w:rsid w:val="005B1D23"/>
    <w:rsid w:val="005B2133"/>
    <w:rsid w:val="005B2C3D"/>
    <w:rsid w:val="005B417B"/>
    <w:rsid w:val="005B4A5F"/>
    <w:rsid w:val="005B6046"/>
    <w:rsid w:val="005B6CD8"/>
    <w:rsid w:val="005B6D34"/>
    <w:rsid w:val="005B7370"/>
    <w:rsid w:val="005C0658"/>
    <w:rsid w:val="005C3191"/>
    <w:rsid w:val="005C34A3"/>
    <w:rsid w:val="005C3620"/>
    <w:rsid w:val="005C46CF"/>
    <w:rsid w:val="005C53F1"/>
    <w:rsid w:val="005C64C2"/>
    <w:rsid w:val="005D0020"/>
    <w:rsid w:val="005D1682"/>
    <w:rsid w:val="005D1CB8"/>
    <w:rsid w:val="005D30B6"/>
    <w:rsid w:val="005D36AC"/>
    <w:rsid w:val="005D3BC4"/>
    <w:rsid w:val="005D511D"/>
    <w:rsid w:val="005D53DD"/>
    <w:rsid w:val="005D56F1"/>
    <w:rsid w:val="005D689C"/>
    <w:rsid w:val="005D68C0"/>
    <w:rsid w:val="005D713D"/>
    <w:rsid w:val="005D7D62"/>
    <w:rsid w:val="005E07F7"/>
    <w:rsid w:val="005E1A49"/>
    <w:rsid w:val="005E1F63"/>
    <w:rsid w:val="005E52E3"/>
    <w:rsid w:val="005E5984"/>
    <w:rsid w:val="005E64C5"/>
    <w:rsid w:val="005E674E"/>
    <w:rsid w:val="005F03BD"/>
    <w:rsid w:val="005F07AB"/>
    <w:rsid w:val="005F0F1A"/>
    <w:rsid w:val="005F1E6F"/>
    <w:rsid w:val="005F244D"/>
    <w:rsid w:val="005F2835"/>
    <w:rsid w:val="005F2BA6"/>
    <w:rsid w:val="005F2EAE"/>
    <w:rsid w:val="005F4027"/>
    <w:rsid w:val="005F5C78"/>
    <w:rsid w:val="005F5EC5"/>
    <w:rsid w:val="005F690E"/>
    <w:rsid w:val="00600ADC"/>
    <w:rsid w:val="0060115F"/>
    <w:rsid w:val="00601588"/>
    <w:rsid w:val="006015DD"/>
    <w:rsid w:val="00601E9D"/>
    <w:rsid w:val="00601F84"/>
    <w:rsid w:val="00602193"/>
    <w:rsid w:val="006024F6"/>
    <w:rsid w:val="006035A7"/>
    <w:rsid w:val="00604103"/>
    <w:rsid w:val="00604641"/>
    <w:rsid w:val="006051A1"/>
    <w:rsid w:val="006053D2"/>
    <w:rsid w:val="00605A9A"/>
    <w:rsid w:val="00606257"/>
    <w:rsid w:val="0060643A"/>
    <w:rsid w:val="00610201"/>
    <w:rsid w:val="00610B0D"/>
    <w:rsid w:val="00610CCE"/>
    <w:rsid w:val="0061196C"/>
    <w:rsid w:val="00611A5D"/>
    <w:rsid w:val="006134F1"/>
    <w:rsid w:val="00613687"/>
    <w:rsid w:val="00613B6F"/>
    <w:rsid w:val="00613BEE"/>
    <w:rsid w:val="00613D46"/>
    <w:rsid w:val="00614263"/>
    <w:rsid w:val="006142AD"/>
    <w:rsid w:val="006146F3"/>
    <w:rsid w:val="00614BA8"/>
    <w:rsid w:val="006153C9"/>
    <w:rsid w:val="0061564C"/>
    <w:rsid w:val="00616022"/>
    <w:rsid w:val="00616201"/>
    <w:rsid w:val="006173F1"/>
    <w:rsid w:val="0061791A"/>
    <w:rsid w:val="00620B6B"/>
    <w:rsid w:val="00620B7B"/>
    <w:rsid w:val="00620EAD"/>
    <w:rsid w:val="00621061"/>
    <w:rsid w:val="00621477"/>
    <w:rsid w:val="00621A43"/>
    <w:rsid w:val="006222C0"/>
    <w:rsid w:val="006239FC"/>
    <w:rsid w:val="00623BE5"/>
    <w:rsid w:val="00623C6C"/>
    <w:rsid w:val="00623E02"/>
    <w:rsid w:val="00624AA8"/>
    <w:rsid w:val="00625BF0"/>
    <w:rsid w:val="00626370"/>
    <w:rsid w:val="00626C66"/>
    <w:rsid w:val="006276B7"/>
    <w:rsid w:val="00627AF2"/>
    <w:rsid w:val="0063130B"/>
    <w:rsid w:val="00632734"/>
    <w:rsid w:val="006331FC"/>
    <w:rsid w:val="00634558"/>
    <w:rsid w:val="00635359"/>
    <w:rsid w:val="0063549B"/>
    <w:rsid w:val="00637070"/>
    <w:rsid w:val="00637EEE"/>
    <w:rsid w:val="00640F7C"/>
    <w:rsid w:val="006414CA"/>
    <w:rsid w:val="0064235F"/>
    <w:rsid w:val="006423AD"/>
    <w:rsid w:val="00642ED1"/>
    <w:rsid w:val="00643094"/>
    <w:rsid w:val="00643B1B"/>
    <w:rsid w:val="00644466"/>
    <w:rsid w:val="006447B7"/>
    <w:rsid w:val="006467B7"/>
    <w:rsid w:val="006504F7"/>
    <w:rsid w:val="00650F95"/>
    <w:rsid w:val="006520D8"/>
    <w:rsid w:val="006522E3"/>
    <w:rsid w:val="00654784"/>
    <w:rsid w:val="006553CA"/>
    <w:rsid w:val="00656157"/>
    <w:rsid w:val="00657A1E"/>
    <w:rsid w:val="00660326"/>
    <w:rsid w:val="00660AAC"/>
    <w:rsid w:val="00660C24"/>
    <w:rsid w:val="00663282"/>
    <w:rsid w:val="006655A2"/>
    <w:rsid w:val="00665AD0"/>
    <w:rsid w:val="00666C9B"/>
    <w:rsid w:val="00666DC7"/>
    <w:rsid w:val="0066707C"/>
    <w:rsid w:val="00667089"/>
    <w:rsid w:val="00667A58"/>
    <w:rsid w:val="006707E0"/>
    <w:rsid w:val="00671056"/>
    <w:rsid w:val="006716CF"/>
    <w:rsid w:val="00671C78"/>
    <w:rsid w:val="00672325"/>
    <w:rsid w:val="006733B5"/>
    <w:rsid w:val="0067352F"/>
    <w:rsid w:val="00673C3A"/>
    <w:rsid w:val="00673D4B"/>
    <w:rsid w:val="00675679"/>
    <w:rsid w:val="006770D8"/>
    <w:rsid w:val="006802BD"/>
    <w:rsid w:val="006803C7"/>
    <w:rsid w:val="00680C29"/>
    <w:rsid w:val="00680E52"/>
    <w:rsid w:val="006810BE"/>
    <w:rsid w:val="00681AE9"/>
    <w:rsid w:val="00682149"/>
    <w:rsid w:val="006831AA"/>
    <w:rsid w:val="0068383A"/>
    <w:rsid w:val="00685360"/>
    <w:rsid w:val="00686D93"/>
    <w:rsid w:val="00690B55"/>
    <w:rsid w:val="00690CDD"/>
    <w:rsid w:val="006912D3"/>
    <w:rsid w:val="00691327"/>
    <w:rsid w:val="006915F7"/>
    <w:rsid w:val="0069673D"/>
    <w:rsid w:val="00697216"/>
    <w:rsid w:val="0069741A"/>
    <w:rsid w:val="00697AF0"/>
    <w:rsid w:val="006A0EE2"/>
    <w:rsid w:val="006A1179"/>
    <w:rsid w:val="006A1851"/>
    <w:rsid w:val="006A300B"/>
    <w:rsid w:val="006A3641"/>
    <w:rsid w:val="006A4D41"/>
    <w:rsid w:val="006A640A"/>
    <w:rsid w:val="006A6A0E"/>
    <w:rsid w:val="006A6D5E"/>
    <w:rsid w:val="006A726B"/>
    <w:rsid w:val="006A74A6"/>
    <w:rsid w:val="006A76EF"/>
    <w:rsid w:val="006B0363"/>
    <w:rsid w:val="006B10A8"/>
    <w:rsid w:val="006B2DC9"/>
    <w:rsid w:val="006B32D5"/>
    <w:rsid w:val="006B40D0"/>
    <w:rsid w:val="006B469E"/>
    <w:rsid w:val="006B4824"/>
    <w:rsid w:val="006B4C60"/>
    <w:rsid w:val="006B4CEF"/>
    <w:rsid w:val="006B6EFB"/>
    <w:rsid w:val="006B723C"/>
    <w:rsid w:val="006B7A4D"/>
    <w:rsid w:val="006B7EB9"/>
    <w:rsid w:val="006C016F"/>
    <w:rsid w:val="006C0426"/>
    <w:rsid w:val="006C0517"/>
    <w:rsid w:val="006C1055"/>
    <w:rsid w:val="006C19A1"/>
    <w:rsid w:val="006C1F63"/>
    <w:rsid w:val="006C2D21"/>
    <w:rsid w:val="006C3164"/>
    <w:rsid w:val="006C42B2"/>
    <w:rsid w:val="006C4DD0"/>
    <w:rsid w:val="006C52FA"/>
    <w:rsid w:val="006C77D9"/>
    <w:rsid w:val="006C7B6B"/>
    <w:rsid w:val="006D002F"/>
    <w:rsid w:val="006D101B"/>
    <w:rsid w:val="006D2B69"/>
    <w:rsid w:val="006D35FC"/>
    <w:rsid w:val="006D3A7D"/>
    <w:rsid w:val="006D3EF9"/>
    <w:rsid w:val="006D3FCE"/>
    <w:rsid w:val="006D4C02"/>
    <w:rsid w:val="006D5296"/>
    <w:rsid w:val="006D5E7A"/>
    <w:rsid w:val="006D5F23"/>
    <w:rsid w:val="006D6453"/>
    <w:rsid w:val="006D6757"/>
    <w:rsid w:val="006D73D0"/>
    <w:rsid w:val="006E2216"/>
    <w:rsid w:val="006E258E"/>
    <w:rsid w:val="006E27E9"/>
    <w:rsid w:val="006E2C36"/>
    <w:rsid w:val="006E2EF1"/>
    <w:rsid w:val="006E37DE"/>
    <w:rsid w:val="006E5931"/>
    <w:rsid w:val="006E6D42"/>
    <w:rsid w:val="006F13F7"/>
    <w:rsid w:val="006F189F"/>
    <w:rsid w:val="006F1944"/>
    <w:rsid w:val="006F19FB"/>
    <w:rsid w:val="006F1C31"/>
    <w:rsid w:val="006F30F0"/>
    <w:rsid w:val="006F4B03"/>
    <w:rsid w:val="006F4F44"/>
    <w:rsid w:val="006F5680"/>
    <w:rsid w:val="006F5790"/>
    <w:rsid w:val="006F57BA"/>
    <w:rsid w:val="006F6316"/>
    <w:rsid w:val="006F7246"/>
    <w:rsid w:val="007004FF"/>
    <w:rsid w:val="00702644"/>
    <w:rsid w:val="00702667"/>
    <w:rsid w:val="00702ADE"/>
    <w:rsid w:val="00704861"/>
    <w:rsid w:val="00704983"/>
    <w:rsid w:val="00704DE3"/>
    <w:rsid w:val="0070585B"/>
    <w:rsid w:val="00705969"/>
    <w:rsid w:val="00705D80"/>
    <w:rsid w:val="0070627E"/>
    <w:rsid w:val="00707A0D"/>
    <w:rsid w:val="0071024C"/>
    <w:rsid w:val="0071146C"/>
    <w:rsid w:val="00712388"/>
    <w:rsid w:val="00712BE4"/>
    <w:rsid w:val="00713409"/>
    <w:rsid w:val="00713D61"/>
    <w:rsid w:val="00716068"/>
    <w:rsid w:val="0071636B"/>
    <w:rsid w:val="0071640A"/>
    <w:rsid w:val="0072053A"/>
    <w:rsid w:val="00720975"/>
    <w:rsid w:val="0072182A"/>
    <w:rsid w:val="00721AD6"/>
    <w:rsid w:val="00722B39"/>
    <w:rsid w:val="0072302B"/>
    <w:rsid w:val="00723A58"/>
    <w:rsid w:val="00723BF9"/>
    <w:rsid w:val="007248F9"/>
    <w:rsid w:val="00724964"/>
    <w:rsid w:val="00726407"/>
    <w:rsid w:val="00726C33"/>
    <w:rsid w:val="00726D30"/>
    <w:rsid w:val="00726D97"/>
    <w:rsid w:val="007272BA"/>
    <w:rsid w:val="00727535"/>
    <w:rsid w:val="0072753B"/>
    <w:rsid w:val="00727A49"/>
    <w:rsid w:val="00730795"/>
    <w:rsid w:val="00730CD6"/>
    <w:rsid w:val="00731B7A"/>
    <w:rsid w:val="00731F02"/>
    <w:rsid w:val="007343A4"/>
    <w:rsid w:val="007345CF"/>
    <w:rsid w:val="00734AE6"/>
    <w:rsid w:val="00734CB6"/>
    <w:rsid w:val="00735D9A"/>
    <w:rsid w:val="00737090"/>
    <w:rsid w:val="00740DBC"/>
    <w:rsid w:val="00741963"/>
    <w:rsid w:val="00742389"/>
    <w:rsid w:val="00743850"/>
    <w:rsid w:val="007439DA"/>
    <w:rsid w:val="0074402B"/>
    <w:rsid w:val="00745BB9"/>
    <w:rsid w:val="0074634A"/>
    <w:rsid w:val="007463AB"/>
    <w:rsid w:val="00746779"/>
    <w:rsid w:val="00747C0E"/>
    <w:rsid w:val="00747D63"/>
    <w:rsid w:val="00750028"/>
    <w:rsid w:val="0075095A"/>
    <w:rsid w:val="0075229E"/>
    <w:rsid w:val="00752EB6"/>
    <w:rsid w:val="00752F8A"/>
    <w:rsid w:val="007533E6"/>
    <w:rsid w:val="007543EC"/>
    <w:rsid w:val="00754459"/>
    <w:rsid w:val="00754A35"/>
    <w:rsid w:val="00754F0C"/>
    <w:rsid w:val="007559A7"/>
    <w:rsid w:val="00755FA8"/>
    <w:rsid w:val="00756ED4"/>
    <w:rsid w:val="007578C7"/>
    <w:rsid w:val="00757CB8"/>
    <w:rsid w:val="0076097C"/>
    <w:rsid w:val="00760E71"/>
    <w:rsid w:val="00760EBD"/>
    <w:rsid w:val="00761844"/>
    <w:rsid w:val="00762A1B"/>
    <w:rsid w:val="0076308A"/>
    <w:rsid w:val="00763A9C"/>
    <w:rsid w:val="00763E18"/>
    <w:rsid w:val="0076421C"/>
    <w:rsid w:val="007648B9"/>
    <w:rsid w:val="007650AA"/>
    <w:rsid w:val="00765753"/>
    <w:rsid w:val="00765F6C"/>
    <w:rsid w:val="007660C3"/>
    <w:rsid w:val="00766C22"/>
    <w:rsid w:val="0077059B"/>
    <w:rsid w:val="007712DB"/>
    <w:rsid w:val="0077249B"/>
    <w:rsid w:val="007728B5"/>
    <w:rsid w:val="00772B4E"/>
    <w:rsid w:val="0077370B"/>
    <w:rsid w:val="00775D10"/>
    <w:rsid w:val="0077631D"/>
    <w:rsid w:val="00777695"/>
    <w:rsid w:val="0077795A"/>
    <w:rsid w:val="00777B41"/>
    <w:rsid w:val="00780613"/>
    <w:rsid w:val="00780EF1"/>
    <w:rsid w:val="007833A3"/>
    <w:rsid w:val="007858D9"/>
    <w:rsid w:val="007860DE"/>
    <w:rsid w:val="0078722D"/>
    <w:rsid w:val="00787938"/>
    <w:rsid w:val="00790908"/>
    <w:rsid w:val="0079098E"/>
    <w:rsid w:val="00791F90"/>
    <w:rsid w:val="00792A70"/>
    <w:rsid w:val="00792C08"/>
    <w:rsid w:val="0079442B"/>
    <w:rsid w:val="00794C43"/>
    <w:rsid w:val="007962A5"/>
    <w:rsid w:val="00797281"/>
    <w:rsid w:val="007977C8"/>
    <w:rsid w:val="007A0C48"/>
    <w:rsid w:val="007A19AE"/>
    <w:rsid w:val="007A21B2"/>
    <w:rsid w:val="007A22CC"/>
    <w:rsid w:val="007A2F30"/>
    <w:rsid w:val="007A3A71"/>
    <w:rsid w:val="007A3B3B"/>
    <w:rsid w:val="007A4434"/>
    <w:rsid w:val="007A4593"/>
    <w:rsid w:val="007A56DA"/>
    <w:rsid w:val="007A612D"/>
    <w:rsid w:val="007A786D"/>
    <w:rsid w:val="007B03DB"/>
    <w:rsid w:val="007B0FB7"/>
    <w:rsid w:val="007B15A5"/>
    <w:rsid w:val="007B1991"/>
    <w:rsid w:val="007B1BC8"/>
    <w:rsid w:val="007B3946"/>
    <w:rsid w:val="007B6636"/>
    <w:rsid w:val="007B66FB"/>
    <w:rsid w:val="007B78FB"/>
    <w:rsid w:val="007B79DB"/>
    <w:rsid w:val="007C13AB"/>
    <w:rsid w:val="007C1A70"/>
    <w:rsid w:val="007C1B33"/>
    <w:rsid w:val="007C268B"/>
    <w:rsid w:val="007C2F97"/>
    <w:rsid w:val="007C44C7"/>
    <w:rsid w:val="007C4B85"/>
    <w:rsid w:val="007C4B89"/>
    <w:rsid w:val="007C52D2"/>
    <w:rsid w:val="007C52D4"/>
    <w:rsid w:val="007C5D71"/>
    <w:rsid w:val="007C7253"/>
    <w:rsid w:val="007C77B8"/>
    <w:rsid w:val="007C7A6E"/>
    <w:rsid w:val="007C7D30"/>
    <w:rsid w:val="007D2954"/>
    <w:rsid w:val="007D2CFC"/>
    <w:rsid w:val="007D32A9"/>
    <w:rsid w:val="007D46F6"/>
    <w:rsid w:val="007D55BA"/>
    <w:rsid w:val="007D7AB3"/>
    <w:rsid w:val="007E0E10"/>
    <w:rsid w:val="007E1C09"/>
    <w:rsid w:val="007E1FF5"/>
    <w:rsid w:val="007E3817"/>
    <w:rsid w:val="007E4408"/>
    <w:rsid w:val="007E7922"/>
    <w:rsid w:val="007E7BC5"/>
    <w:rsid w:val="007E7EB8"/>
    <w:rsid w:val="007F2473"/>
    <w:rsid w:val="007F3844"/>
    <w:rsid w:val="007F3E8E"/>
    <w:rsid w:val="007F400B"/>
    <w:rsid w:val="007F4266"/>
    <w:rsid w:val="007F49B3"/>
    <w:rsid w:val="007F510D"/>
    <w:rsid w:val="007F6DA3"/>
    <w:rsid w:val="007F71E4"/>
    <w:rsid w:val="00800745"/>
    <w:rsid w:val="00802366"/>
    <w:rsid w:val="008023C3"/>
    <w:rsid w:val="008024FF"/>
    <w:rsid w:val="0080300A"/>
    <w:rsid w:val="00803B00"/>
    <w:rsid w:val="00804D78"/>
    <w:rsid w:val="00804FCF"/>
    <w:rsid w:val="00805C60"/>
    <w:rsid w:val="00807006"/>
    <w:rsid w:val="008071E2"/>
    <w:rsid w:val="00807B3E"/>
    <w:rsid w:val="0081097C"/>
    <w:rsid w:val="0081101C"/>
    <w:rsid w:val="008114B7"/>
    <w:rsid w:val="00811583"/>
    <w:rsid w:val="00811696"/>
    <w:rsid w:val="008116FF"/>
    <w:rsid w:val="008122CD"/>
    <w:rsid w:val="00812853"/>
    <w:rsid w:val="00813124"/>
    <w:rsid w:val="008135F4"/>
    <w:rsid w:val="0081515B"/>
    <w:rsid w:val="008163EC"/>
    <w:rsid w:val="00817E13"/>
    <w:rsid w:val="00820B59"/>
    <w:rsid w:val="0082105E"/>
    <w:rsid w:val="00821351"/>
    <w:rsid w:val="00822D07"/>
    <w:rsid w:val="00823647"/>
    <w:rsid w:val="008241EB"/>
    <w:rsid w:val="008246F6"/>
    <w:rsid w:val="0082652F"/>
    <w:rsid w:val="00826904"/>
    <w:rsid w:val="00826DCD"/>
    <w:rsid w:val="00826E44"/>
    <w:rsid w:val="008277A9"/>
    <w:rsid w:val="00830688"/>
    <w:rsid w:val="008309C6"/>
    <w:rsid w:val="00831E1B"/>
    <w:rsid w:val="00831F85"/>
    <w:rsid w:val="008324A0"/>
    <w:rsid w:val="00833FB6"/>
    <w:rsid w:val="0083403B"/>
    <w:rsid w:val="00834182"/>
    <w:rsid w:val="0083545C"/>
    <w:rsid w:val="00837005"/>
    <w:rsid w:val="0083711F"/>
    <w:rsid w:val="00837479"/>
    <w:rsid w:val="00842C78"/>
    <w:rsid w:val="008430D0"/>
    <w:rsid w:val="00843A28"/>
    <w:rsid w:val="00844DC1"/>
    <w:rsid w:val="00845113"/>
    <w:rsid w:val="0084658F"/>
    <w:rsid w:val="00846BDB"/>
    <w:rsid w:val="00846FD1"/>
    <w:rsid w:val="00847372"/>
    <w:rsid w:val="008473C4"/>
    <w:rsid w:val="008475EE"/>
    <w:rsid w:val="008478A6"/>
    <w:rsid w:val="00847A30"/>
    <w:rsid w:val="00847C59"/>
    <w:rsid w:val="00847D7B"/>
    <w:rsid w:val="00850106"/>
    <w:rsid w:val="00850C91"/>
    <w:rsid w:val="0085131D"/>
    <w:rsid w:val="0085133E"/>
    <w:rsid w:val="00851F95"/>
    <w:rsid w:val="00853479"/>
    <w:rsid w:val="00853B9B"/>
    <w:rsid w:val="00854326"/>
    <w:rsid w:val="0085451D"/>
    <w:rsid w:val="00854A98"/>
    <w:rsid w:val="0085557E"/>
    <w:rsid w:val="0085583C"/>
    <w:rsid w:val="00855C45"/>
    <w:rsid w:val="00855F05"/>
    <w:rsid w:val="00856B43"/>
    <w:rsid w:val="00857C26"/>
    <w:rsid w:val="00860988"/>
    <w:rsid w:val="008636E2"/>
    <w:rsid w:val="008638E5"/>
    <w:rsid w:val="00863B69"/>
    <w:rsid w:val="00864826"/>
    <w:rsid w:val="00864B2E"/>
    <w:rsid w:val="008653C9"/>
    <w:rsid w:val="00866370"/>
    <w:rsid w:val="00866E53"/>
    <w:rsid w:val="00867493"/>
    <w:rsid w:val="008676B7"/>
    <w:rsid w:val="00867736"/>
    <w:rsid w:val="008709E3"/>
    <w:rsid w:val="00870F6F"/>
    <w:rsid w:val="00872E55"/>
    <w:rsid w:val="008734E7"/>
    <w:rsid w:val="008735F7"/>
    <w:rsid w:val="0087380A"/>
    <w:rsid w:val="00873C3E"/>
    <w:rsid w:val="00874548"/>
    <w:rsid w:val="00874712"/>
    <w:rsid w:val="00874FB7"/>
    <w:rsid w:val="00875567"/>
    <w:rsid w:val="00875B06"/>
    <w:rsid w:val="00876ED6"/>
    <w:rsid w:val="00880354"/>
    <w:rsid w:val="00880E61"/>
    <w:rsid w:val="008813C5"/>
    <w:rsid w:val="0088234C"/>
    <w:rsid w:val="00882AF7"/>
    <w:rsid w:val="008830CB"/>
    <w:rsid w:val="00883346"/>
    <w:rsid w:val="0088343C"/>
    <w:rsid w:val="00883497"/>
    <w:rsid w:val="008834B0"/>
    <w:rsid w:val="0088357A"/>
    <w:rsid w:val="00883C84"/>
    <w:rsid w:val="00883FC5"/>
    <w:rsid w:val="00884420"/>
    <w:rsid w:val="00884A20"/>
    <w:rsid w:val="00884CE4"/>
    <w:rsid w:val="00887A99"/>
    <w:rsid w:val="00890117"/>
    <w:rsid w:val="00891085"/>
    <w:rsid w:val="00891114"/>
    <w:rsid w:val="008912D5"/>
    <w:rsid w:val="0089171A"/>
    <w:rsid w:val="00893279"/>
    <w:rsid w:val="00893CE0"/>
    <w:rsid w:val="00893F17"/>
    <w:rsid w:val="00895540"/>
    <w:rsid w:val="00896A3F"/>
    <w:rsid w:val="008972EA"/>
    <w:rsid w:val="00897D68"/>
    <w:rsid w:val="00897E9E"/>
    <w:rsid w:val="008A0178"/>
    <w:rsid w:val="008A07E8"/>
    <w:rsid w:val="008A18A0"/>
    <w:rsid w:val="008A1FC4"/>
    <w:rsid w:val="008A2111"/>
    <w:rsid w:val="008A2BF1"/>
    <w:rsid w:val="008A338F"/>
    <w:rsid w:val="008A3802"/>
    <w:rsid w:val="008A391D"/>
    <w:rsid w:val="008A3A22"/>
    <w:rsid w:val="008A5D0B"/>
    <w:rsid w:val="008A6046"/>
    <w:rsid w:val="008A61D1"/>
    <w:rsid w:val="008A654B"/>
    <w:rsid w:val="008A6C97"/>
    <w:rsid w:val="008A6D4F"/>
    <w:rsid w:val="008B0CD5"/>
    <w:rsid w:val="008B1849"/>
    <w:rsid w:val="008B1BEE"/>
    <w:rsid w:val="008B3083"/>
    <w:rsid w:val="008B466D"/>
    <w:rsid w:val="008B4992"/>
    <w:rsid w:val="008B4DA3"/>
    <w:rsid w:val="008B4F8B"/>
    <w:rsid w:val="008B52E9"/>
    <w:rsid w:val="008B60AA"/>
    <w:rsid w:val="008B61CB"/>
    <w:rsid w:val="008C0835"/>
    <w:rsid w:val="008C085C"/>
    <w:rsid w:val="008C0D8D"/>
    <w:rsid w:val="008C16FF"/>
    <w:rsid w:val="008C1D1E"/>
    <w:rsid w:val="008C1E6E"/>
    <w:rsid w:val="008C2892"/>
    <w:rsid w:val="008C2DC4"/>
    <w:rsid w:val="008C397F"/>
    <w:rsid w:val="008C4422"/>
    <w:rsid w:val="008C52C1"/>
    <w:rsid w:val="008C58E5"/>
    <w:rsid w:val="008C628B"/>
    <w:rsid w:val="008C69C3"/>
    <w:rsid w:val="008C734B"/>
    <w:rsid w:val="008D0A6B"/>
    <w:rsid w:val="008D2256"/>
    <w:rsid w:val="008D254D"/>
    <w:rsid w:val="008D38E7"/>
    <w:rsid w:val="008D395A"/>
    <w:rsid w:val="008D527D"/>
    <w:rsid w:val="008D59FB"/>
    <w:rsid w:val="008D5D27"/>
    <w:rsid w:val="008D5F35"/>
    <w:rsid w:val="008D7906"/>
    <w:rsid w:val="008E0196"/>
    <w:rsid w:val="008E0725"/>
    <w:rsid w:val="008E0738"/>
    <w:rsid w:val="008E0D0F"/>
    <w:rsid w:val="008E1330"/>
    <w:rsid w:val="008E13D0"/>
    <w:rsid w:val="008E2349"/>
    <w:rsid w:val="008E25A1"/>
    <w:rsid w:val="008E337D"/>
    <w:rsid w:val="008E3CE5"/>
    <w:rsid w:val="008E481C"/>
    <w:rsid w:val="008E5199"/>
    <w:rsid w:val="008E59A9"/>
    <w:rsid w:val="008E7272"/>
    <w:rsid w:val="008F06D5"/>
    <w:rsid w:val="008F5BD3"/>
    <w:rsid w:val="008F7A37"/>
    <w:rsid w:val="008F7D06"/>
    <w:rsid w:val="009008B2"/>
    <w:rsid w:val="009011FA"/>
    <w:rsid w:val="00902993"/>
    <w:rsid w:val="00903164"/>
    <w:rsid w:val="009031A9"/>
    <w:rsid w:val="00903D85"/>
    <w:rsid w:val="00906084"/>
    <w:rsid w:val="00907206"/>
    <w:rsid w:val="00907261"/>
    <w:rsid w:val="009076E5"/>
    <w:rsid w:val="00907BA1"/>
    <w:rsid w:val="00910F94"/>
    <w:rsid w:val="009110FB"/>
    <w:rsid w:val="0091223D"/>
    <w:rsid w:val="0091322F"/>
    <w:rsid w:val="009153B6"/>
    <w:rsid w:val="00915479"/>
    <w:rsid w:val="009158C2"/>
    <w:rsid w:val="00915953"/>
    <w:rsid w:val="00916372"/>
    <w:rsid w:val="009200AF"/>
    <w:rsid w:val="009204DF"/>
    <w:rsid w:val="00921E18"/>
    <w:rsid w:val="0092227F"/>
    <w:rsid w:val="00922F53"/>
    <w:rsid w:val="00923822"/>
    <w:rsid w:val="00923C34"/>
    <w:rsid w:val="00924684"/>
    <w:rsid w:val="00925172"/>
    <w:rsid w:val="009253DC"/>
    <w:rsid w:val="009255DC"/>
    <w:rsid w:val="0092577C"/>
    <w:rsid w:val="00926025"/>
    <w:rsid w:val="00926BB1"/>
    <w:rsid w:val="00927E16"/>
    <w:rsid w:val="00930017"/>
    <w:rsid w:val="0093185E"/>
    <w:rsid w:val="0093271C"/>
    <w:rsid w:val="009330D2"/>
    <w:rsid w:val="00933162"/>
    <w:rsid w:val="00933B03"/>
    <w:rsid w:val="00934A3F"/>
    <w:rsid w:val="009353F5"/>
    <w:rsid w:val="00935522"/>
    <w:rsid w:val="00936939"/>
    <w:rsid w:val="00936ED5"/>
    <w:rsid w:val="00937B19"/>
    <w:rsid w:val="00940C26"/>
    <w:rsid w:val="0094240A"/>
    <w:rsid w:val="009445C1"/>
    <w:rsid w:val="009445D7"/>
    <w:rsid w:val="009448AE"/>
    <w:rsid w:val="00944B4E"/>
    <w:rsid w:val="00945C19"/>
    <w:rsid w:val="00945E5C"/>
    <w:rsid w:val="00945FB5"/>
    <w:rsid w:val="009476F6"/>
    <w:rsid w:val="00952485"/>
    <w:rsid w:val="00952EB3"/>
    <w:rsid w:val="00953418"/>
    <w:rsid w:val="00953525"/>
    <w:rsid w:val="00953922"/>
    <w:rsid w:val="00954A05"/>
    <w:rsid w:val="009556DA"/>
    <w:rsid w:val="00955B9B"/>
    <w:rsid w:val="00956840"/>
    <w:rsid w:val="009574A4"/>
    <w:rsid w:val="00957608"/>
    <w:rsid w:val="009603A9"/>
    <w:rsid w:val="00960575"/>
    <w:rsid w:val="00961699"/>
    <w:rsid w:val="00962546"/>
    <w:rsid w:val="0096333D"/>
    <w:rsid w:val="00964238"/>
    <w:rsid w:val="00964D5D"/>
    <w:rsid w:val="0096630C"/>
    <w:rsid w:val="00967202"/>
    <w:rsid w:val="00971612"/>
    <w:rsid w:val="009720B4"/>
    <w:rsid w:val="00972276"/>
    <w:rsid w:val="00972493"/>
    <w:rsid w:val="00972667"/>
    <w:rsid w:val="00972C6F"/>
    <w:rsid w:val="00973B2C"/>
    <w:rsid w:val="009748AB"/>
    <w:rsid w:val="009759A5"/>
    <w:rsid w:val="00975A51"/>
    <w:rsid w:val="009760A9"/>
    <w:rsid w:val="009778B1"/>
    <w:rsid w:val="00981100"/>
    <w:rsid w:val="00981DF0"/>
    <w:rsid w:val="009821BB"/>
    <w:rsid w:val="00983982"/>
    <w:rsid w:val="009848DD"/>
    <w:rsid w:val="00984D0D"/>
    <w:rsid w:val="0098590A"/>
    <w:rsid w:val="009919FA"/>
    <w:rsid w:val="00991EF4"/>
    <w:rsid w:val="009936FB"/>
    <w:rsid w:val="00994D91"/>
    <w:rsid w:val="00994F69"/>
    <w:rsid w:val="00995B10"/>
    <w:rsid w:val="00996173"/>
    <w:rsid w:val="009962EF"/>
    <w:rsid w:val="009965DA"/>
    <w:rsid w:val="00997566"/>
    <w:rsid w:val="0099757F"/>
    <w:rsid w:val="00997720"/>
    <w:rsid w:val="0099777A"/>
    <w:rsid w:val="009A000F"/>
    <w:rsid w:val="009A0806"/>
    <w:rsid w:val="009A0A6E"/>
    <w:rsid w:val="009A1147"/>
    <w:rsid w:val="009A11C1"/>
    <w:rsid w:val="009A1209"/>
    <w:rsid w:val="009A120D"/>
    <w:rsid w:val="009A182C"/>
    <w:rsid w:val="009A18EC"/>
    <w:rsid w:val="009A2460"/>
    <w:rsid w:val="009A273B"/>
    <w:rsid w:val="009A4C5E"/>
    <w:rsid w:val="009A5559"/>
    <w:rsid w:val="009A5D3D"/>
    <w:rsid w:val="009A5E80"/>
    <w:rsid w:val="009A61A6"/>
    <w:rsid w:val="009A6E82"/>
    <w:rsid w:val="009A7783"/>
    <w:rsid w:val="009B0215"/>
    <w:rsid w:val="009B11E0"/>
    <w:rsid w:val="009B39FB"/>
    <w:rsid w:val="009B48DA"/>
    <w:rsid w:val="009B4BF3"/>
    <w:rsid w:val="009B4ECA"/>
    <w:rsid w:val="009B507E"/>
    <w:rsid w:val="009B56F0"/>
    <w:rsid w:val="009B6703"/>
    <w:rsid w:val="009C0736"/>
    <w:rsid w:val="009C07F4"/>
    <w:rsid w:val="009C0899"/>
    <w:rsid w:val="009C0B46"/>
    <w:rsid w:val="009C18C2"/>
    <w:rsid w:val="009C2BF7"/>
    <w:rsid w:val="009C2C5F"/>
    <w:rsid w:val="009C3CEA"/>
    <w:rsid w:val="009C408A"/>
    <w:rsid w:val="009C4533"/>
    <w:rsid w:val="009C4FBF"/>
    <w:rsid w:val="009C51E6"/>
    <w:rsid w:val="009C5310"/>
    <w:rsid w:val="009C5424"/>
    <w:rsid w:val="009C7045"/>
    <w:rsid w:val="009C7420"/>
    <w:rsid w:val="009D092A"/>
    <w:rsid w:val="009D0E2F"/>
    <w:rsid w:val="009D10F9"/>
    <w:rsid w:val="009D1D60"/>
    <w:rsid w:val="009D21E6"/>
    <w:rsid w:val="009D4403"/>
    <w:rsid w:val="009D4501"/>
    <w:rsid w:val="009D4571"/>
    <w:rsid w:val="009D46E2"/>
    <w:rsid w:val="009D54A0"/>
    <w:rsid w:val="009D5E50"/>
    <w:rsid w:val="009D7659"/>
    <w:rsid w:val="009E0EAC"/>
    <w:rsid w:val="009E2177"/>
    <w:rsid w:val="009E3CC0"/>
    <w:rsid w:val="009E3EC3"/>
    <w:rsid w:val="009E44ED"/>
    <w:rsid w:val="009E473E"/>
    <w:rsid w:val="009E50F3"/>
    <w:rsid w:val="009E5CD1"/>
    <w:rsid w:val="009E5EC6"/>
    <w:rsid w:val="009E6331"/>
    <w:rsid w:val="009E662C"/>
    <w:rsid w:val="009E6A01"/>
    <w:rsid w:val="009E73DF"/>
    <w:rsid w:val="009F0326"/>
    <w:rsid w:val="009F0AF8"/>
    <w:rsid w:val="009F1D71"/>
    <w:rsid w:val="009F1EEE"/>
    <w:rsid w:val="009F3630"/>
    <w:rsid w:val="009F3DBD"/>
    <w:rsid w:val="009F7906"/>
    <w:rsid w:val="00A00005"/>
    <w:rsid w:val="00A01CD3"/>
    <w:rsid w:val="00A02242"/>
    <w:rsid w:val="00A026C8"/>
    <w:rsid w:val="00A02E3E"/>
    <w:rsid w:val="00A03B22"/>
    <w:rsid w:val="00A0483B"/>
    <w:rsid w:val="00A059E7"/>
    <w:rsid w:val="00A0614C"/>
    <w:rsid w:val="00A061E9"/>
    <w:rsid w:val="00A0695D"/>
    <w:rsid w:val="00A06E6F"/>
    <w:rsid w:val="00A07706"/>
    <w:rsid w:val="00A1030A"/>
    <w:rsid w:val="00A1060C"/>
    <w:rsid w:val="00A107A6"/>
    <w:rsid w:val="00A11231"/>
    <w:rsid w:val="00A11DB9"/>
    <w:rsid w:val="00A12BCA"/>
    <w:rsid w:val="00A13412"/>
    <w:rsid w:val="00A13767"/>
    <w:rsid w:val="00A14908"/>
    <w:rsid w:val="00A14F2E"/>
    <w:rsid w:val="00A15F8C"/>
    <w:rsid w:val="00A1611F"/>
    <w:rsid w:val="00A16206"/>
    <w:rsid w:val="00A16D65"/>
    <w:rsid w:val="00A17655"/>
    <w:rsid w:val="00A17F5F"/>
    <w:rsid w:val="00A21782"/>
    <w:rsid w:val="00A21A89"/>
    <w:rsid w:val="00A21D18"/>
    <w:rsid w:val="00A22121"/>
    <w:rsid w:val="00A22F60"/>
    <w:rsid w:val="00A23BB6"/>
    <w:rsid w:val="00A23BC5"/>
    <w:rsid w:val="00A24F9B"/>
    <w:rsid w:val="00A255D6"/>
    <w:rsid w:val="00A25D08"/>
    <w:rsid w:val="00A26833"/>
    <w:rsid w:val="00A26CD1"/>
    <w:rsid w:val="00A27A10"/>
    <w:rsid w:val="00A27D30"/>
    <w:rsid w:val="00A30D14"/>
    <w:rsid w:val="00A31215"/>
    <w:rsid w:val="00A31754"/>
    <w:rsid w:val="00A318C9"/>
    <w:rsid w:val="00A31933"/>
    <w:rsid w:val="00A320AE"/>
    <w:rsid w:val="00A323A2"/>
    <w:rsid w:val="00A3254D"/>
    <w:rsid w:val="00A32A3A"/>
    <w:rsid w:val="00A336EB"/>
    <w:rsid w:val="00A3378A"/>
    <w:rsid w:val="00A33956"/>
    <w:rsid w:val="00A341F7"/>
    <w:rsid w:val="00A35019"/>
    <w:rsid w:val="00A3676C"/>
    <w:rsid w:val="00A36896"/>
    <w:rsid w:val="00A373D6"/>
    <w:rsid w:val="00A40A36"/>
    <w:rsid w:val="00A4197D"/>
    <w:rsid w:val="00A426C1"/>
    <w:rsid w:val="00A44088"/>
    <w:rsid w:val="00A4432A"/>
    <w:rsid w:val="00A44DAA"/>
    <w:rsid w:val="00A4541D"/>
    <w:rsid w:val="00A4555E"/>
    <w:rsid w:val="00A45B59"/>
    <w:rsid w:val="00A45C65"/>
    <w:rsid w:val="00A45F8F"/>
    <w:rsid w:val="00A463B7"/>
    <w:rsid w:val="00A4661D"/>
    <w:rsid w:val="00A46A25"/>
    <w:rsid w:val="00A471C3"/>
    <w:rsid w:val="00A47810"/>
    <w:rsid w:val="00A47F7F"/>
    <w:rsid w:val="00A507AA"/>
    <w:rsid w:val="00A50A32"/>
    <w:rsid w:val="00A50F74"/>
    <w:rsid w:val="00A52081"/>
    <w:rsid w:val="00A5208B"/>
    <w:rsid w:val="00A53F32"/>
    <w:rsid w:val="00A54529"/>
    <w:rsid w:val="00A5523B"/>
    <w:rsid w:val="00A604D8"/>
    <w:rsid w:val="00A6154D"/>
    <w:rsid w:val="00A616CE"/>
    <w:rsid w:val="00A629AB"/>
    <w:rsid w:val="00A645E7"/>
    <w:rsid w:val="00A654BF"/>
    <w:rsid w:val="00A65D1E"/>
    <w:rsid w:val="00A67BA2"/>
    <w:rsid w:val="00A70EC9"/>
    <w:rsid w:val="00A70F99"/>
    <w:rsid w:val="00A7160D"/>
    <w:rsid w:val="00A72193"/>
    <w:rsid w:val="00A73481"/>
    <w:rsid w:val="00A7368F"/>
    <w:rsid w:val="00A73DE5"/>
    <w:rsid w:val="00A74E46"/>
    <w:rsid w:val="00A75E3D"/>
    <w:rsid w:val="00A75EDC"/>
    <w:rsid w:val="00A75F87"/>
    <w:rsid w:val="00A76560"/>
    <w:rsid w:val="00A76861"/>
    <w:rsid w:val="00A77029"/>
    <w:rsid w:val="00A80620"/>
    <w:rsid w:val="00A814D8"/>
    <w:rsid w:val="00A81A72"/>
    <w:rsid w:val="00A82573"/>
    <w:rsid w:val="00A82E9D"/>
    <w:rsid w:val="00A82EBB"/>
    <w:rsid w:val="00A834DA"/>
    <w:rsid w:val="00A83661"/>
    <w:rsid w:val="00A83D9C"/>
    <w:rsid w:val="00A85060"/>
    <w:rsid w:val="00A856FA"/>
    <w:rsid w:val="00A85B33"/>
    <w:rsid w:val="00A85B92"/>
    <w:rsid w:val="00A878E0"/>
    <w:rsid w:val="00A87D16"/>
    <w:rsid w:val="00A907F4"/>
    <w:rsid w:val="00A91187"/>
    <w:rsid w:val="00A91A16"/>
    <w:rsid w:val="00A9400E"/>
    <w:rsid w:val="00A94159"/>
    <w:rsid w:val="00A941DB"/>
    <w:rsid w:val="00A94B3B"/>
    <w:rsid w:val="00A94D89"/>
    <w:rsid w:val="00A951CA"/>
    <w:rsid w:val="00A95605"/>
    <w:rsid w:val="00A95C04"/>
    <w:rsid w:val="00A95E98"/>
    <w:rsid w:val="00A972F5"/>
    <w:rsid w:val="00A97C8C"/>
    <w:rsid w:val="00A97D83"/>
    <w:rsid w:val="00AA00B1"/>
    <w:rsid w:val="00AA10D5"/>
    <w:rsid w:val="00AA22AF"/>
    <w:rsid w:val="00AA3ED0"/>
    <w:rsid w:val="00AA4EC8"/>
    <w:rsid w:val="00AA5E5B"/>
    <w:rsid w:val="00AB035C"/>
    <w:rsid w:val="00AB0A6A"/>
    <w:rsid w:val="00AB328A"/>
    <w:rsid w:val="00AB37CC"/>
    <w:rsid w:val="00AB3A12"/>
    <w:rsid w:val="00AB4673"/>
    <w:rsid w:val="00AB46EB"/>
    <w:rsid w:val="00AB47FA"/>
    <w:rsid w:val="00AB4CF8"/>
    <w:rsid w:val="00AB4E04"/>
    <w:rsid w:val="00AB508C"/>
    <w:rsid w:val="00AB60D7"/>
    <w:rsid w:val="00AB6AFC"/>
    <w:rsid w:val="00AB6F0F"/>
    <w:rsid w:val="00AB715D"/>
    <w:rsid w:val="00AC0861"/>
    <w:rsid w:val="00AC2338"/>
    <w:rsid w:val="00AC2537"/>
    <w:rsid w:val="00AC2FF2"/>
    <w:rsid w:val="00AC5194"/>
    <w:rsid w:val="00AC5546"/>
    <w:rsid w:val="00AC5D27"/>
    <w:rsid w:val="00AC687D"/>
    <w:rsid w:val="00AC6F70"/>
    <w:rsid w:val="00AC7784"/>
    <w:rsid w:val="00AD031E"/>
    <w:rsid w:val="00AD0FB4"/>
    <w:rsid w:val="00AD2024"/>
    <w:rsid w:val="00AD38D8"/>
    <w:rsid w:val="00AD3ABE"/>
    <w:rsid w:val="00AD4376"/>
    <w:rsid w:val="00AD46A2"/>
    <w:rsid w:val="00AD5515"/>
    <w:rsid w:val="00AD670A"/>
    <w:rsid w:val="00AD68EE"/>
    <w:rsid w:val="00AE0B40"/>
    <w:rsid w:val="00AE2EDB"/>
    <w:rsid w:val="00AE3797"/>
    <w:rsid w:val="00AE37F2"/>
    <w:rsid w:val="00AE3B89"/>
    <w:rsid w:val="00AE53E2"/>
    <w:rsid w:val="00AE5BD5"/>
    <w:rsid w:val="00AE5FAC"/>
    <w:rsid w:val="00AE6632"/>
    <w:rsid w:val="00AF1997"/>
    <w:rsid w:val="00AF1B0E"/>
    <w:rsid w:val="00AF1B68"/>
    <w:rsid w:val="00AF1E2A"/>
    <w:rsid w:val="00AF1EFC"/>
    <w:rsid w:val="00AF3C62"/>
    <w:rsid w:val="00AF3CC4"/>
    <w:rsid w:val="00AF44D8"/>
    <w:rsid w:val="00AF5398"/>
    <w:rsid w:val="00AF645E"/>
    <w:rsid w:val="00AF6D49"/>
    <w:rsid w:val="00AF6F4E"/>
    <w:rsid w:val="00AF706F"/>
    <w:rsid w:val="00AF7586"/>
    <w:rsid w:val="00AF7E78"/>
    <w:rsid w:val="00B01142"/>
    <w:rsid w:val="00B03EE3"/>
    <w:rsid w:val="00B03F71"/>
    <w:rsid w:val="00B03F82"/>
    <w:rsid w:val="00B053F9"/>
    <w:rsid w:val="00B068C0"/>
    <w:rsid w:val="00B070D9"/>
    <w:rsid w:val="00B1039A"/>
    <w:rsid w:val="00B10C41"/>
    <w:rsid w:val="00B10FBC"/>
    <w:rsid w:val="00B123F5"/>
    <w:rsid w:val="00B12975"/>
    <w:rsid w:val="00B14112"/>
    <w:rsid w:val="00B1457A"/>
    <w:rsid w:val="00B14B98"/>
    <w:rsid w:val="00B158A5"/>
    <w:rsid w:val="00B16AF0"/>
    <w:rsid w:val="00B175E8"/>
    <w:rsid w:val="00B17E1D"/>
    <w:rsid w:val="00B201C8"/>
    <w:rsid w:val="00B20D4D"/>
    <w:rsid w:val="00B25DE9"/>
    <w:rsid w:val="00B26976"/>
    <w:rsid w:val="00B26C83"/>
    <w:rsid w:val="00B26EE1"/>
    <w:rsid w:val="00B26FAC"/>
    <w:rsid w:val="00B30B0D"/>
    <w:rsid w:val="00B32B9D"/>
    <w:rsid w:val="00B335FD"/>
    <w:rsid w:val="00B33703"/>
    <w:rsid w:val="00B33E8B"/>
    <w:rsid w:val="00B3461E"/>
    <w:rsid w:val="00B3477B"/>
    <w:rsid w:val="00B3681E"/>
    <w:rsid w:val="00B3762D"/>
    <w:rsid w:val="00B378A3"/>
    <w:rsid w:val="00B40069"/>
    <w:rsid w:val="00B4013B"/>
    <w:rsid w:val="00B40659"/>
    <w:rsid w:val="00B41C8E"/>
    <w:rsid w:val="00B41CD6"/>
    <w:rsid w:val="00B4238C"/>
    <w:rsid w:val="00B426A5"/>
    <w:rsid w:val="00B42DD9"/>
    <w:rsid w:val="00B43E01"/>
    <w:rsid w:val="00B44362"/>
    <w:rsid w:val="00B44C0D"/>
    <w:rsid w:val="00B44DFC"/>
    <w:rsid w:val="00B45249"/>
    <w:rsid w:val="00B45796"/>
    <w:rsid w:val="00B460F7"/>
    <w:rsid w:val="00B468A6"/>
    <w:rsid w:val="00B47D49"/>
    <w:rsid w:val="00B5179D"/>
    <w:rsid w:val="00B51E1E"/>
    <w:rsid w:val="00B52751"/>
    <w:rsid w:val="00B5294A"/>
    <w:rsid w:val="00B54436"/>
    <w:rsid w:val="00B54474"/>
    <w:rsid w:val="00B556E0"/>
    <w:rsid w:val="00B55E4E"/>
    <w:rsid w:val="00B565A0"/>
    <w:rsid w:val="00B60233"/>
    <w:rsid w:val="00B60D7B"/>
    <w:rsid w:val="00B6302A"/>
    <w:rsid w:val="00B63037"/>
    <w:rsid w:val="00B63534"/>
    <w:rsid w:val="00B636E9"/>
    <w:rsid w:val="00B639AF"/>
    <w:rsid w:val="00B63EB9"/>
    <w:rsid w:val="00B65068"/>
    <w:rsid w:val="00B6509B"/>
    <w:rsid w:val="00B6626C"/>
    <w:rsid w:val="00B664BB"/>
    <w:rsid w:val="00B67D61"/>
    <w:rsid w:val="00B70F9A"/>
    <w:rsid w:val="00B71480"/>
    <w:rsid w:val="00B71757"/>
    <w:rsid w:val="00B719F3"/>
    <w:rsid w:val="00B71FC6"/>
    <w:rsid w:val="00B72199"/>
    <w:rsid w:val="00B7229A"/>
    <w:rsid w:val="00B722E5"/>
    <w:rsid w:val="00B72F61"/>
    <w:rsid w:val="00B73CB8"/>
    <w:rsid w:val="00B74124"/>
    <w:rsid w:val="00B74412"/>
    <w:rsid w:val="00B74529"/>
    <w:rsid w:val="00B74BA5"/>
    <w:rsid w:val="00B75581"/>
    <w:rsid w:val="00B757D9"/>
    <w:rsid w:val="00B758CD"/>
    <w:rsid w:val="00B7620D"/>
    <w:rsid w:val="00B765BB"/>
    <w:rsid w:val="00B765EB"/>
    <w:rsid w:val="00B76B24"/>
    <w:rsid w:val="00B81C8A"/>
    <w:rsid w:val="00B82A32"/>
    <w:rsid w:val="00B82AB2"/>
    <w:rsid w:val="00B83AD6"/>
    <w:rsid w:val="00B84E5D"/>
    <w:rsid w:val="00B85003"/>
    <w:rsid w:val="00B87B1B"/>
    <w:rsid w:val="00B90448"/>
    <w:rsid w:val="00B907D7"/>
    <w:rsid w:val="00B916AF"/>
    <w:rsid w:val="00B923E2"/>
    <w:rsid w:val="00B93E9C"/>
    <w:rsid w:val="00B95B21"/>
    <w:rsid w:val="00B96154"/>
    <w:rsid w:val="00B969B9"/>
    <w:rsid w:val="00B96F2E"/>
    <w:rsid w:val="00B96FD4"/>
    <w:rsid w:val="00BA0400"/>
    <w:rsid w:val="00BA0723"/>
    <w:rsid w:val="00BA0AF1"/>
    <w:rsid w:val="00BA0C0E"/>
    <w:rsid w:val="00BA2BAC"/>
    <w:rsid w:val="00BA3C57"/>
    <w:rsid w:val="00BA3FFD"/>
    <w:rsid w:val="00BA4907"/>
    <w:rsid w:val="00BA778A"/>
    <w:rsid w:val="00BB0065"/>
    <w:rsid w:val="00BB13A4"/>
    <w:rsid w:val="00BB21F8"/>
    <w:rsid w:val="00BB31A5"/>
    <w:rsid w:val="00BB3671"/>
    <w:rsid w:val="00BB495B"/>
    <w:rsid w:val="00BB504A"/>
    <w:rsid w:val="00BC030A"/>
    <w:rsid w:val="00BC034D"/>
    <w:rsid w:val="00BC0F86"/>
    <w:rsid w:val="00BC1CA9"/>
    <w:rsid w:val="00BC243E"/>
    <w:rsid w:val="00BC3E95"/>
    <w:rsid w:val="00BC3F48"/>
    <w:rsid w:val="00BC4171"/>
    <w:rsid w:val="00BC467F"/>
    <w:rsid w:val="00BC4A09"/>
    <w:rsid w:val="00BC58F3"/>
    <w:rsid w:val="00BC594E"/>
    <w:rsid w:val="00BC5A3C"/>
    <w:rsid w:val="00BC683A"/>
    <w:rsid w:val="00BC6915"/>
    <w:rsid w:val="00BC782C"/>
    <w:rsid w:val="00BC789C"/>
    <w:rsid w:val="00BD0D99"/>
    <w:rsid w:val="00BD0E65"/>
    <w:rsid w:val="00BD2C7A"/>
    <w:rsid w:val="00BD34B7"/>
    <w:rsid w:val="00BD41C0"/>
    <w:rsid w:val="00BD42E8"/>
    <w:rsid w:val="00BD4BA7"/>
    <w:rsid w:val="00BD67C1"/>
    <w:rsid w:val="00BD712B"/>
    <w:rsid w:val="00BD752F"/>
    <w:rsid w:val="00BD79EE"/>
    <w:rsid w:val="00BE13B0"/>
    <w:rsid w:val="00BE1560"/>
    <w:rsid w:val="00BE1A9A"/>
    <w:rsid w:val="00BE22AD"/>
    <w:rsid w:val="00BE2726"/>
    <w:rsid w:val="00BE3369"/>
    <w:rsid w:val="00BE3CF3"/>
    <w:rsid w:val="00BE526B"/>
    <w:rsid w:val="00BE5401"/>
    <w:rsid w:val="00BE5F1E"/>
    <w:rsid w:val="00BE5F4A"/>
    <w:rsid w:val="00BE622E"/>
    <w:rsid w:val="00BE7047"/>
    <w:rsid w:val="00BE75D6"/>
    <w:rsid w:val="00BF013E"/>
    <w:rsid w:val="00BF24EF"/>
    <w:rsid w:val="00BF3697"/>
    <w:rsid w:val="00BF37A4"/>
    <w:rsid w:val="00BF4578"/>
    <w:rsid w:val="00BF6E6F"/>
    <w:rsid w:val="00BF6FCE"/>
    <w:rsid w:val="00C015F7"/>
    <w:rsid w:val="00C01C4F"/>
    <w:rsid w:val="00C01FFE"/>
    <w:rsid w:val="00C02424"/>
    <w:rsid w:val="00C0511E"/>
    <w:rsid w:val="00C05979"/>
    <w:rsid w:val="00C05E81"/>
    <w:rsid w:val="00C0667C"/>
    <w:rsid w:val="00C0699E"/>
    <w:rsid w:val="00C06DF1"/>
    <w:rsid w:val="00C07098"/>
    <w:rsid w:val="00C12366"/>
    <w:rsid w:val="00C12C16"/>
    <w:rsid w:val="00C130C7"/>
    <w:rsid w:val="00C13FBF"/>
    <w:rsid w:val="00C14753"/>
    <w:rsid w:val="00C14798"/>
    <w:rsid w:val="00C158F9"/>
    <w:rsid w:val="00C15BEC"/>
    <w:rsid w:val="00C170DB"/>
    <w:rsid w:val="00C20569"/>
    <w:rsid w:val="00C20FBB"/>
    <w:rsid w:val="00C21362"/>
    <w:rsid w:val="00C219A9"/>
    <w:rsid w:val="00C222E9"/>
    <w:rsid w:val="00C2301D"/>
    <w:rsid w:val="00C23B53"/>
    <w:rsid w:val="00C23C68"/>
    <w:rsid w:val="00C24216"/>
    <w:rsid w:val="00C2498C"/>
    <w:rsid w:val="00C24A8D"/>
    <w:rsid w:val="00C2546C"/>
    <w:rsid w:val="00C277D7"/>
    <w:rsid w:val="00C30797"/>
    <w:rsid w:val="00C31817"/>
    <w:rsid w:val="00C31C53"/>
    <w:rsid w:val="00C3277F"/>
    <w:rsid w:val="00C32F8A"/>
    <w:rsid w:val="00C331B7"/>
    <w:rsid w:val="00C34086"/>
    <w:rsid w:val="00C346CB"/>
    <w:rsid w:val="00C34BED"/>
    <w:rsid w:val="00C34E1B"/>
    <w:rsid w:val="00C35C11"/>
    <w:rsid w:val="00C360D2"/>
    <w:rsid w:val="00C36AFD"/>
    <w:rsid w:val="00C372BB"/>
    <w:rsid w:val="00C37BD4"/>
    <w:rsid w:val="00C40A9E"/>
    <w:rsid w:val="00C40F5B"/>
    <w:rsid w:val="00C40FE9"/>
    <w:rsid w:val="00C41754"/>
    <w:rsid w:val="00C41CDB"/>
    <w:rsid w:val="00C41CE5"/>
    <w:rsid w:val="00C41F3A"/>
    <w:rsid w:val="00C421E7"/>
    <w:rsid w:val="00C4396C"/>
    <w:rsid w:val="00C44730"/>
    <w:rsid w:val="00C4568D"/>
    <w:rsid w:val="00C46D52"/>
    <w:rsid w:val="00C5086D"/>
    <w:rsid w:val="00C50986"/>
    <w:rsid w:val="00C50E1D"/>
    <w:rsid w:val="00C52208"/>
    <w:rsid w:val="00C528D8"/>
    <w:rsid w:val="00C533A5"/>
    <w:rsid w:val="00C53D62"/>
    <w:rsid w:val="00C53EDD"/>
    <w:rsid w:val="00C53EE5"/>
    <w:rsid w:val="00C5491D"/>
    <w:rsid w:val="00C5639C"/>
    <w:rsid w:val="00C569E1"/>
    <w:rsid w:val="00C56AD2"/>
    <w:rsid w:val="00C60A5A"/>
    <w:rsid w:val="00C615DD"/>
    <w:rsid w:val="00C61712"/>
    <w:rsid w:val="00C61904"/>
    <w:rsid w:val="00C6288A"/>
    <w:rsid w:val="00C62AE5"/>
    <w:rsid w:val="00C6336B"/>
    <w:rsid w:val="00C638D5"/>
    <w:rsid w:val="00C639B7"/>
    <w:rsid w:val="00C64341"/>
    <w:rsid w:val="00C6674F"/>
    <w:rsid w:val="00C66B52"/>
    <w:rsid w:val="00C67870"/>
    <w:rsid w:val="00C67CC0"/>
    <w:rsid w:val="00C70E9B"/>
    <w:rsid w:val="00C71209"/>
    <w:rsid w:val="00C7133B"/>
    <w:rsid w:val="00C71F13"/>
    <w:rsid w:val="00C72DA9"/>
    <w:rsid w:val="00C736C2"/>
    <w:rsid w:val="00C73A5D"/>
    <w:rsid w:val="00C74C68"/>
    <w:rsid w:val="00C75795"/>
    <w:rsid w:val="00C762C7"/>
    <w:rsid w:val="00C80170"/>
    <w:rsid w:val="00C80833"/>
    <w:rsid w:val="00C809C0"/>
    <w:rsid w:val="00C80A6F"/>
    <w:rsid w:val="00C810D6"/>
    <w:rsid w:val="00C81C05"/>
    <w:rsid w:val="00C82D7B"/>
    <w:rsid w:val="00C83C76"/>
    <w:rsid w:val="00C846D6"/>
    <w:rsid w:val="00C84AD8"/>
    <w:rsid w:val="00C84CC1"/>
    <w:rsid w:val="00C8627A"/>
    <w:rsid w:val="00C86AF8"/>
    <w:rsid w:val="00C87699"/>
    <w:rsid w:val="00C87D37"/>
    <w:rsid w:val="00C87DD9"/>
    <w:rsid w:val="00C906D4"/>
    <w:rsid w:val="00C91401"/>
    <w:rsid w:val="00C91759"/>
    <w:rsid w:val="00C91CEA"/>
    <w:rsid w:val="00C93D1A"/>
    <w:rsid w:val="00C94248"/>
    <w:rsid w:val="00C9454A"/>
    <w:rsid w:val="00C9456D"/>
    <w:rsid w:val="00C95177"/>
    <w:rsid w:val="00C95392"/>
    <w:rsid w:val="00C957C3"/>
    <w:rsid w:val="00C96002"/>
    <w:rsid w:val="00C972A1"/>
    <w:rsid w:val="00C97C8F"/>
    <w:rsid w:val="00CA02B0"/>
    <w:rsid w:val="00CA2230"/>
    <w:rsid w:val="00CA2D55"/>
    <w:rsid w:val="00CA3261"/>
    <w:rsid w:val="00CA3533"/>
    <w:rsid w:val="00CA4CBC"/>
    <w:rsid w:val="00CA670D"/>
    <w:rsid w:val="00CA6A5D"/>
    <w:rsid w:val="00CA6D27"/>
    <w:rsid w:val="00CA7319"/>
    <w:rsid w:val="00CA7578"/>
    <w:rsid w:val="00CB0BA8"/>
    <w:rsid w:val="00CB273B"/>
    <w:rsid w:val="00CB2A24"/>
    <w:rsid w:val="00CB510B"/>
    <w:rsid w:val="00CB63B3"/>
    <w:rsid w:val="00CB6FC5"/>
    <w:rsid w:val="00CB7282"/>
    <w:rsid w:val="00CB7CBF"/>
    <w:rsid w:val="00CC0AB7"/>
    <w:rsid w:val="00CC152D"/>
    <w:rsid w:val="00CC1B30"/>
    <w:rsid w:val="00CC21C0"/>
    <w:rsid w:val="00CC2A48"/>
    <w:rsid w:val="00CC2E1B"/>
    <w:rsid w:val="00CC345B"/>
    <w:rsid w:val="00CC3847"/>
    <w:rsid w:val="00CC4B5B"/>
    <w:rsid w:val="00CC5F56"/>
    <w:rsid w:val="00CC662A"/>
    <w:rsid w:val="00CC6B00"/>
    <w:rsid w:val="00CC6DC9"/>
    <w:rsid w:val="00CC6F58"/>
    <w:rsid w:val="00CC73C5"/>
    <w:rsid w:val="00CC7DA6"/>
    <w:rsid w:val="00CD001F"/>
    <w:rsid w:val="00CD0404"/>
    <w:rsid w:val="00CD0E8C"/>
    <w:rsid w:val="00CD1465"/>
    <w:rsid w:val="00CD1485"/>
    <w:rsid w:val="00CD1AFA"/>
    <w:rsid w:val="00CD3FB0"/>
    <w:rsid w:val="00CD47EE"/>
    <w:rsid w:val="00CD5EA8"/>
    <w:rsid w:val="00CD622B"/>
    <w:rsid w:val="00CD71A5"/>
    <w:rsid w:val="00CD7733"/>
    <w:rsid w:val="00CE2A37"/>
    <w:rsid w:val="00CE3074"/>
    <w:rsid w:val="00CE49AA"/>
    <w:rsid w:val="00CE56D4"/>
    <w:rsid w:val="00CE597C"/>
    <w:rsid w:val="00CE66D2"/>
    <w:rsid w:val="00CE6A6F"/>
    <w:rsid w:val="00CE7101"/>
    <w:rsid w:val="00CE7803"/>
    <w:rsid w:val="00CE7A65"/>
    <w:rsid w:val="00CE7D7D"/>
    <w:rsid w:val="00CF0B14"/>
    <w:rsid w:val="00CF16E1"/>
    <w:rsid w:val="00CF1DDE"/>
    <w:rsid w:val="00CF2B1D"/>
    <w:rsid w:val="00CF3158"/>
    <w:rsid w:val="00CF347B"/>
    <w:rsid w:val="00CF4044"/>
    <w:rsid w:val="00CF474B"/>
    <w:rsid w:val="00CF60C6"/>
    <w:rsid w:val="00CF6BA6"/>
    <w:rsid w:val="00CF76D6"/>
    <w:rsid w:val="00CF7749"/>
    <w:rsid w:val="00CF7C0A"/>
    <w:rsid w:val="00D010BF"/>
    <w:rsid w:val="00D0110F"/>
    <w:rsid w:val="00D01BCF"/>
    <w:rsid w:val="00D01DFA"/>
    <w:rsid w:val="00D01E15"/>
    <w:rsid w:val="00D02894"/>
    <w:rsid w:val="00D02E38"/>
    <w:rsid w:val="00D02F47"/>
    <w:rsid w:val="00D0385B"/>
    <w:rsid w:val="00D04A43"/>
    <w:rsid w:val="00D066A7"/>
    <w:rsid w:val="00D06B9F"/>
    <w:rsid w:val="00D070D2"/>
    <w:rsid w:val="00D10185"/>
    <w:rsid w:val="00D102E1"/>
    <w:rsid w:val="00D10A39"/>
    <w:rsid w:val="00D1227F"/>
    <w:rsid w:val="00D12323"/>
    <w:rsid w:val="00D12499"/>
    <w:rsid w:val="00D12D2E"/>
    <w:rsid w:val="00D1381F"/>
    <w:rsid w:val="00D13A34"/>
    <w:rsid w:val="00D14090"/>
    <w:rsid w:val="00D15009"/>
    <w:rsid w:val="00D159D0"/>
    <w:rsid w:val="00D21134"/>
    <w:rsid w:val="00D21153"/>
    <w:rsid w:val="00D2260E"/>
    <w:rsid w:val="00D229DE"/>
    <w:rsid w:val="00D23247"/>
    <w:rsid w:val="00D23B3E"/>
    <w:rsid w:val="00D24063"/>
    <w:rsid w:val="00D24893"/>
    <w:rsid w:val="00D2535F"/>
    <w:rsid w:val="00D26524"/>
    <w:rsid w:val="00D301DD"/>
    <w:rsid w:val="00D3087F"/>
    <w:rsid w:val="00D30EDD"/>
    <w:rsid w:val="00D323DA"/>
    <w:rsid w:val="00D33032"/>
    <w:rsid w:val="00D33B29"/>
    <w:rsid w:val="00D3512D"/>
    <w:rsid w:val="00D352CF"/>
    <w:rsid w:val="00D35659"/>
    <w:rsid w:val="00D35EC5"/>
    <w:rsid w:val="00D365A9"/>
    <w:rsid w:val="00D37356"/>
    <w:rsid w:val="00D402B9"/>
    <w:rsid w:val="00D40FB6"/>
    <w:rsid w:val="00D41FFD"/>
    <w:rsid w:val="00D425BD"/>
    <w:rsid w:val="00D42FAD"/>
    <w:rsid w:val="00D44D61"/>
    <w:rsid w:val="00D45684"/>
    <w:rsid w:val="00D45B4A"/>
    <w:rsid w:val="00D46E13"/>
    <w:rsid w:val="00D5017C"/>
    <w:rsid w:val="00D51B9E"/>
    <w:rsid w:val="00D52B99"/>
    <w:rsid w:val="00D5314D"/>
    <w:rsid w:val="00D53283"/>
    <w:rsid w:val="00D53E0E"/>
    <w:rsid w:val="00D54CD9"/>
    <w:rsid w:val="00D55090"/>
    <w:rsid w:val="00D55F1D"/>
    <w:rsid w:val="00D56715"/>
    <w:rsid w:val="00D56893"/>
    <w:rsid w:val="00D56B56"/>
    <w:rsid w:val="00D56D53"/>
    <w:rsid w:val="00D57BED"/>
    <w:rsid w:val="00D57BEE"/>
    <w:rsid w:val="00D6254A"/>
    <w:rsid w:val="00D63277"/>
    <w:rsid w:val="00D64140"/>
    <w:rsid w:val="00D647E4"/>
    <w:rsid w:val="00D6606A"/>
    <w:rsid w:val="00D66363"/>
    <w:rsid w:val="00D6733D"/>
    <w:rsid w:val="00D675D4"/>
    <w:rsid w:val="00D67B44"/>
    <w:rsid w:val="00D67C85"/>
    <w:rsid w:val="00D701AB"/>
    <w:rsid w:val="00D709ED"/>
    <w:rsid w:val="00D721E4"/>
    <w:rsid w:val="00D72613"/>
    <w:rsid w:val="00D7298C"/>
    <w:rsid w:val="00D72CAD"/>
    <w:rsid w:val="00D73049"/>
    <w:rsid w:val="00D732B1"/>
    <w:rsid w:val="00D73877"/>
    <w:rsid w:val="00D739A4"/>
    <w:rsid w:val="00D74015"/>
    <w:rsid w:val="00D748A2"/>
    <w:rsid w:val="00D75B8B"/>
    <w:rsid w:val="00D76FA7"/>
    <w:rsid w:val="00D76FFC"/>
    <w:rsid w:val="00D7703B"/>
    <w:rsid w:val="00D77ABA"/>
    <w:rsid w:val="00D803CA"/>
    <w:rsid w:val="00D8066F"/>
    <w:rsid w:val="00D814FE"/>
    <w:rsid w:val="00D83823"/>
    <w:rsid w:val="00D842F3"/>
    <w:rsid w:val="00D85D12"/>
    <w:rsid w:val="00D86774"/>
    <w:rsid w:val="00D86C5D"/>
    <w:rsid w:val="00D914D3"/>
    <w:rsid w:val="00D9184D"/>
    <w:rsid w:val="00D92109"/>
    <w:rsid w:val="00D93AFD"/>
    <w:rsid w:val="00D93F86"/>
    <w:rsid w:val="00D952B5"/>
    <w:rsid w:val="00D955AD"/>
    <w:rsid w:val="00D963E6"/>
    <w:rsid w:val="00D96FF4"/>
    <w:rsid w:val="00D975A1"/>
    <w:rsid w:val="00D977A6"/>
    <w:rsid w:val="00D977EC"/>
    <w:rsid w:val="00DA08EC"/>
    <w:rsid w:val="00DA0A9E"/>
    <w:rsid w:val="00DA0B52"/>
    <w:rsid w:val="00DA10D8"/>
    <w:rsid w:val="00DA1F2A"/>
    <w:rsid w:val="00DA200F"/>
    <w:rsid w:val="00DA205B"/>
    <w:rsid w:val="00DA24B9"/>
    <w:rsid w:val="00DA30C5"/>
    <w:rsid w:val="00DA40A3"/>
    <w:rsid w:val="00DA4188"/>
    <w:rsid w:val="00DA4D43"/>
    <w:rsid w:val="00DA55F3"/>
    <w:rsid w:val="00DA58DE"/>
    <w:rsid w:val="00DA60F5"/>
    <w:rsid w:val="00DA6DD7"/>
    <w:rsid w:val="00DA7C0B"/>
    <w:rsid w:val="00DB07D3"/>
    <w:rsid w:val="00DB0823"/>
    <w:rsid w:val="00DB1618"/>
    <w:rsid w:val="00DB2ABA"/>
    <w:rsid w:val="00DB2AEB"/>
    <w:rsid w:val="00DB3E64"/>
    <w:rsid w:val="00DB4105"/>
    <w:rsid w:val="00DB44B0"/>
    <w:rsid w:val="00DB5E1C"/>
    <w:rsid w:val="00DB6EA8"/>
    <w:rsid w:val="00DB763E"/>
    <w:rsid w:val="00DC0A26"/>
    <w:rsid w:val="00DC0B70"/>
    <w:rsid w:val="00DC134D"/>
    <w:rsid w:val="00DC2281"/>
    <w:rsid w:val="00DC2620"/>
    <w:rsid w:val="00DC28CD"/>
    <w:rsid w:val="00DC34CE"/>
    <w:rsid w:val="00DC4B37"/>
    <w:rsid w:val="00DC4C35"/>
    <w:rsid w:val="00DC52CA"/>
    <w:rsid w:val="00DC55B9"/>
    <w:rsid w:val="00DC5EA2"/>
    <w:rsid w:val="00DC5EE6"/>
    <w:rsid w:val="00DD0A60"/>
    <w:rsid w:val="00DD0A81"/>
    <w:rsid w:val="00DD0B5A"/>
    <w:rsid w:val="00DD0FD1"/>
    <w:rsid w:val="00DD1669"/>
    <w:rsid w:val="00DD2827"/>
    <w:rsid w:val="00DD36AC"/>
    <w:rsid w:val="00DD4156"/>
    <w:rsid w:val="00DD4528"/>
    <w:rsid w:val="00DD525A"/>
    <w:rsid w:val="00DD5382"/>
    <w:rsid w:val="00DD673D"/>
    <w:rsid w:val="00DD6B63"/>
    <w:rsid w:val="00DD6B8A"/>
    <w:rsid w:val="00DD7B3C"/>
    <w:rsid w:val="00DE047C"/>
    <w:rsid w:val="00DE0711"/>
    <w:rsid w:val="00DE1107"/>
    <w:rsid w:val="00DE1376"/>
    <w:rsid w:val="00DE2ABD"/>
    <w:rsid w:val="00DE482C"/>
    <w:rsid w:val="00DE5C94"/>
    <w:rsid w:val="00DE5EF3"/>
    <w:rsid w:val="00DE659B"/>
    <w:rsid w:val="00DE71F4"/>
    <w:rsid w:val="00DE7D55"/>
    <w:rsid w:val="00DF066A"/>
    <w:rsid w:val="00DF166E"/>
    <w:rsid w:val="00DF22E9"/>
    <w:rsid w:val="00DF33C3"/>
    <w:rsid w:val="00DF3D2D"/>
    <w:rsid w:val="00DF51E2"/>
    <w:rsid w:val="00DF77AD"/>
    <w:rsid w:val="00DF7C9A"/>
    <w:rsid w:val="00E00011"/>
    <w:rsid w:val="00E002B7"/>
    <w:rsid w:val="00E01D05"/>
    <w:rsid w:val="00E02698"/>
    <w:rsid w:val="00E029C5"/>
    <w:rsid w:val="00E0337C"/>
    <w:rsid w:val="00E03DB0"/>
    <w:rsid w:val="00E04451"/>
    <w:rsid w:val="00E04644"/>
    <w:rsid w:val="00E04C8C"/>
    <w:rsid w:val="00E052AD"/>
    <w:rsid w:val="00E0561E"/>
    <w:rsid w:val="00E05C64"/>
    <w:rsid w:val="00E10534"/>
    <w:rsid w:val="00E11B10"/>
    <w:rsid w:val="00E12EF4"/>
    <w:rsid w:val="00E12F73"/>
    <w:rsid w:val="00E136E5"/>
    <w:rsid w:val="00E13AD9"/>
    <w:rsid w:val="00E13AEC"/>
    <w:rsid w:val="00E14D78"/>
    <w:rsid w:val="00E15720"/>
    <w:rsid w:val="00E1670B"/>
    <w:rsid w:val="00E167B0"/>
    <w:rsid w:val="00E16948"/>
    <w:rsid w:val="00E16AB1"/>
    <w:rsid w:val="00E2029C"/>
    <w:rsid w:val="00E20C24"/>
    <w:rsid w:val="00E21FA4"/>
    <w:rsid w:val="00E2307E"/>
    <w:rsid w:val="00E2340A"/>
    <w:rsid w:val="00E24D1D"/>
    <w:rsid w:val="00E25426"/>
    <w:rsid w:val="00E25539"/>
    <w:rsid w:val="00E25B0C"/>
    <w:rsid w:val="00E265BD"/>
    <w:rsid w:val="00E277C1"/>
    <w:rsid w:val="00E278E1"/>
    <w:rsid w:val="00E31308"/>
    <w:rsid w:val="00E31504"/>
    <w:rsid w:val="00E33A17"/>
    <w:rsid w:val="00E34141"/>
    <w:rsid w:val="00E350A7"/>
    <w:rsid w:val="00E35539"/>
    <w:rsid w:val="00E36377"/>
    <w:rsid w:val="00E37316"/>
    <w:rsid w:val="00E37778"/>
    <w:rsid w:val="00E37EBC"/>
    <w:rsid w:val="00E44775"/>
    <w:rsid w:val="00E44C73"/>
    <w:rsid w:val="00E45216"/>
    <w:rsid w:val="00E46198"/>
    <w:rsid w:val="00E46738"/>
    <w:rsid w:val="00E46A6A"/>
    <w:rsid w:val="00E47847"/>
    <w:rsid w:val="00E4792F"/>
    <w:rsid w:val="00E50B11"/>
    <w:rsid w:val="00E50C64"/>
    <w:rsid w:val="00E51918"/>
    <w:rsid w:val="00E53A43"/>
    <w:rsid w:val="00E54364"/>
    <w:rsid w:val="00E54B96"/>
    <w:rsid w:val="00E5510C"/>
    <w:rsid w:val="00E553BC"/>
    <w:rsid w:val="00E5629C"/>
    <w:rsid w:val="00E566A3"/>
    <w:rsid w:val="00E57B2B"/>
    <w:rsid w:val="00E601C6"/>
    <w:rsid w:val="00E6348D"/>
    <w:rsid w:val="00E63E28"/>
    <w:rsid w:val="00E65088"/>
    <w:rsid w:val="00E65795"/>
    <w:rsid w:val="00E65BAD"/>
    <w:rsid w:val="00E67E79"/>
    <w:rsid w:val="00E7052E"/>
    <w:rsid w:val="00E70AD6"/>
    <w:rsid w:val="00E71135"/>
    <w:rsid w:val="00E721CA"/>
    <w:rsid w:val="00E72220"/>
    <w:rsid w:val="00E72701"/>
    <w:rsid w:val="00E729C5"/>
    <w:rsid w:val="00E72C97"/>
    <w:rsid w:val="00E72DF4"/>
    <w:rsid w:val="00E72F43"/>
    <w:rsid w:val="00E734BB"/>
    <w:rsid w:val="00E736B2"/>
    <w:rsid w:val="00E73AEA"/>
    <w:rsid w:val="00E758B1"/>
    <w:rsid w:val="00E759E1"/>
    <w:rsid w:val="00E75BE3"/>
    <w:rsid w:val="00E762C3"/>
    <w:rsid w:val="00E77A83"/>
    <w:rsid w:val="00E8039E"/>
    <w:rsid w:val="00E813B6"/>
    <w:rsid w:val="00E81BC2"/>
    <w:rsid w:val="00E81BF7"/>
    <w:rsid w:val="00E828D9"/>
    <w:rsid w:val="00E83FB1"/>
    <w:rsid w:val="00E84B68"/>
    <w:rsid w:val="00E84DE6"/>
    <w:rsid w:val="00E859FE"/>
    <w:rsid w:val="00E8631D"/>
    <w:rsid w:val="00E86479"/>
    <w:rsid w:val="00E86B73"/>
    <w:rsid w:val="00E87ED1"/>
    <w:rsid w:val="00E90B31"/>
    <w:rsid w:val="00E90ED3"/>
    <w:rsid w:val="00E91736"/>
    <w:rsid w:val="00E92B41"/>
    <w:rsid w:val="00E93D34"/>
    <w:rsid w:val="00E93EC0"/>
    <w:rsid w:val="00E9452A"/>
    <w:rsid w:val="00E94C44"/>
    <w:rsid w:val="00E94E07"/>
    <w:rsid w:val="00E94F2B"/>
    <w:rsid w:val="00E95551"/>
    <w:rsid w:val="00E9599F"/>
    <w:rsid w:val="00E95C65"/>
    <w:rsid w:val="00E970E8"/>
    <w:rsid w:val="00E97AD1"/>
    <w:rsid w:val="00E97B6F"/>
    <w:rsid w:val="00E97C9C"/>
    <w:rsid w:val="00EA08F1"/>
    <w:rsid w:val="00EA1135"/>
    <w:rsid w:val="00EA1459"/>
    <w:rsid w:val="00EA1524"/>
    <w:rsid w:val="00EA3565"/>
    <w:rsid w:val="00EA3A6C"/>
    <w:rsid w:val="00EA3A6E"/>
    <w:rsid w:val="00EA4669"/>
    <w:rsid w:val="00EA4B07"/>
    <w:rsid w:val="00EA4E08"/>
    <w:rsid w:val="00EA5652"/>
    <w:rsid w:val="00EA57AA"/>
    <w:rsid w:val="00EA5847"/>
    <w:rsid w:val="00EA6FF8"/>
    <w:rsid w:val="00EA72AE"/>
    <w:rsid w:val="00EB0991"/>
    <w:rsid w:val="00EB2786"/>
    <w:rsid w:val="00EB2928"/>
    <w:rsid w:val="00EB2F1B"/>
    <w:rsid w:val="00EB314C"/>
    <w:rsid w:val="00EB4BAB"/>
    <w:rsid w:val="00EB4EAF"/>
    <w:rsid w:val="00EB511E"/>
    <w:rsid w:val="00EB624D"/>
    <w:rsid w:val="00EB62CD"/>
    <w:rsid w:val="00EB6679"/>
    <w:rsid w:val="00EB69D4"/>
    <w:rsid w:val="00EB6F60"/>
    <w:rsid w:val="00EB757E"/>
    <w:rsid w:val="00EB7FA7"/>
    <w:rsid w:val="00EB7FC5"/>
    <w:rsid w:val="00EC05F4"/>
    <w:rsid w:val="00EC14EF"/>
    <w:rsid w:val="00EC1A55"/>
    <w:rsid w:val="00EC1B30"/>
    <w:rsid w:val="00EC26E5"/>
    <w:rsid w:val="00EC3876"/>
    <w:rsid w:val="00EC3AC0"/>
    <w:rsid w:val="00EC3C90"/>
    <w:rsid w:val="00EC550D"/>
    <w:rsid w:val="00EC5824"/>
    <w:rsid w:val="00EC5AB8"/>
    <w:rsid w:val="00EC5B1B"/>
    <w:rsid w:val="00EC6275"/>
    <w:rsid w:val="00EC65F4"/>
    <w:rsid w:val="00EC6BC9"/>
    <w:rsid w:val="00EC6DCA"/>
    <w:rsid w:val="00EC721E"/>
    <w:rsid w:val="00EC755A"/>
    <w:rsid w:val="00ED0141"/>
    <w:rsid w:val="00ED0600"/>
    <w:rsid w:val="00ED0B97"/>
    <w:rsid w:val="00ED16A7"/>
    <w:rsid w:val="00ED2396"/>
    <w:rsid w:val="00ED253C"/>
    <w:rsid w:val="00ED39DB"/>
    <w:rsid w:val="00ED3A79"/>
    <w:rsid w:val="00ED3E07"/>
    <w:rsid w:val="00ED4B08"/>
    <w:rsid w:val="00ED4E33"/>
    <w:rsid w:val="00ED61F2"/>
    <w:rsid w:val="00ED756A"/>
    <w:rsid w:val="00ED77EB"/>
    <w:rsid w:val="00ED7DD4"/>
    <w:rsid w:val="00EE0090"/>
    <w:rsid w:val="00EE1297"/>
    <w:rsid w:val="00EE1755"/>
    <w:rsid w:val="00EE3001"/>
    <w:rsid w:val="00EE34A1"/>
    <w:rsid w:val="00EE3BCB"/>
    <w:rsid w:val="00EE4E1A"/>
    <w:rsid w:val="00EE6188"/>
    <w:rsid w:val="00EE6319"/>
    <w:rsid w:val="00EF0DCF"/>
    <w:rsid w:val="00EF0EB6"/>
    <w:rsid w:val="00EF1010"/>
    <w:rsid w:val="00EF2319"/>
    <w:rsid w:val="00EF27BF"/>
    <w:rsid w:val="00EF4AAB"/>
    <w:rsid w:val="00EF560D"/>
    <w:rsid w:val="00EF58E5"/>
    <w:rsid w:val="00EF5941"/>
    <w:rsid w:val="00EF5F0B"/>
    <w:rsid w:val="00EF640A"/>
    <w:rsid w:val="00EF7159"/>
    <w:rsid w:val="00EF766D"/>
    <w:rsid w:val="00F01A48"/>
    <w:rsid w:val="00F030D8"/>
    <w:rsid w:val="00F039F9"/>
    <w:rsid w:val="00F043F2"/>
    <w:rsid w:val="00F04A86"/>
    <w:rsid w:val="00F04F75"/>
    <w:rsid w:val="00F0601E"/>
    <w:rsid w:val="00F064CE"/>
    <w:rsid w:val="00F077C3"/>
    <w:rsid w:val="00F10ED7"/>
    <w:rsid w:val="00F1115C"/>
    <w:rsid w:val="00F11219"/>
    <w:rsid w:val="00F114EF"/>
    <w:rsid w:val="00F12688"/>
    <w:rsid w:val="00F1311E"/>
    <w:rsid w:val="00F133FC"/>
    <w:rsid w:val="00F13B32"/>
    <w:rsid w:val="00F149C3"/>
    <w:rsid w:val="00F14F86"/>
    <w:rsid w:val="00F151D2"/>
    <w:rsid w:val="00F17225"/>
    <w:rsid w:val="00F17C16"/>
    <w:rsid w:val="00F17C33"/>
    <w:rsid w:val="00F21737"/>
    <w:rsid w:val="00F21B76"/>
    <w:rsid w:val="00F21F44"/>
    <w:rsid w:val="00F227BB"/>
    <w:rsid w:val="00F237E9"/>
    <w:rsid w:val="00F24C8B"/>
    <w:rsid w:val="00F24F4C"/>
    <w:rsid w:val="00F26448"/>
    <w:rsid w:val="00F27991"/>
    <w:rsid w:val="00F3053B"/>
    <w:rsid w:val="00F32228"/>
    <w:rsid w:val="00F32411"/>
    <w:rsid w:val="00F32558"/>
    <w:rsid w:val="00F33516"/>
    <w:rsid w:val="00F37124"/>
    <w:rsid w:val="00F37DE6"/>
    <w:rsid w:val="00F40B06"/>
    <w:rsid w:val="00F40FEA"/>
    <w:rsid w:val="00F4156F"/>
    <w:rsid w:val="00F42B62"/>
    <w:rsid w:val="00F4339F"/>
    <w:rsid w:val="00F437C4"/>
    <w:rsid w:val="00F44211"/>
    <w:rsid w:val="00F4457F"/>
    <w:rsid w:val="00F44929"/>
    <w:rsid w:val="00F449D1"/>
    <w:rsid w:val="00F44C7E"/>
    <w:rsid w:val="00F45A1F"/>
    <w:rsid w:val="00F45D1E"/>
    <w:rsid w:val="00F46020"/>
    <w:rsid w:val="00F47154"/>
    <w:rsid w:val="00F4783B"/>
    <w:rsid w:val="00F50524"/>
    <w:rsid w:val="00F5064E"/>
    <w:rsid w:val="00F507EF"/>
    <w:rsid w:val="00F50CBC"/>
    <w:rsid w:val="00F51239"/>
    <w:rsid w:val="00F51702"/>
    <w:rsid w:val="00F53508"/>
    <w:rsid w:val="00F549A1"/>
    <w:rsid w:val="00F54C69"/>
    <w:rsid w:val="00F54CCA"/>
    <w:rsid w:val="00F553E2"/>
    <w:rsid w:val="00F55A8E"/>
    <w:rsid w:val="00F562D7"/>
    <w:rsid w:val="00F57FD3"/>
    <w:rsid w:val="00F61340"/>
    <w:rsid w:val="00F61AD4"/>
    <w:rsid w:val="00F61EAC"/>
    <w:rsid w:val="00F621CD"/>
    <w:rsid w:val="00F62243"/>
    <w:rsid w:val="00F63467"/>
    <w:rsid w:val="00F637F3"/>
    <w:rsid w:val="00F63CB6"/>
    <w:rsid w:val="00F64455"/>
    <w:rsid w:val="00F64BD6"/>
    <w:rsid w:val="00F65476"/>
    <w:rsid w:val="00F656D5"/>
    <w:rsid w:val="00F65E0B"/>
    <w:rsid w:val="00F660A3"/>
    <w:rsid w:val="00F662FC"/>
    <w:rsid w:val="00F66416"/>
    <w:rsid w:val="00F66D5D"/>
    <w:rsid w:val="00F66F3D"/>
    <w:rsid w:val="00F716BC"/>
    <w:rsid w:val="00F71C06"/>
    <w:rsid w:val="00F71D0E"/>
    <w:rsid w:val="00F72449"/>
    <w:rsid w:val="00F77ECD"/>
    <w:rsid w:val="00F807B0"/>
    <w:rsid w:val="00F808DA"/>
    <w:rsid w:val="00F81E8D"/>
    <w:rsid w:val="00F821CD"/>
    <w:rsid w:val="00F82621"/>
    <w:rsid w:val="00F83A83"/>
    <w:rsid w:val="00F85CD9"/>
    <w:rsid w:val="00F85E54"/>
    <w:rsid w:val="00F90A75"/>
    <w:rsid w:val="00F90C49"/>
    <w:rsid w:val="00F90D34"/>
    <w:rsid w:val="00F9120A"/>
    <w:rsid w:val="00F91291"/>
    <w:rsid w:val="00F91B4C"/>
    <w:rsid w:val="00F926CE"/>
    <w:rsid w:val="00F92E3A"/>
    <w:rsid w:val="00F93441"/>
    <w:rsid w:val="00F935BD"/>
    <w:rsid w:val="00F946B5"/>
    <w:rsid w:val="00F96757"/>
    <w:rsid w:val="00F9687B"/>
    <w:rsid w:val="00F96974"/>
    <w:rsid w:val="00F9712D"/>
    <w:rsid w:val="00F9778C"/>
    <w:rsid w:val="00FA0638"/>
    <w:rsid w:val="00FA09AD"/>
    <w:rsid w:val="00FA0BFB"/>
    <w:rsid w:val="00FA0F4A"/>
    <w:rsid w:val="00FA15DB"/>
    <w:rsid w:val="00FA1715"/>
    <w:rsid w:val="00FA26DB"/>
    <w:rsid w:val="00FA3C81"/>
    <w:rsid w:val="00FA4655"/>
    <w:rsid w:val="00FA5339"/>
    <w:rsid w:val="00FA5DFC"/>
    <w:rsid w:val="00FA61B9"/>
    <w:rsid w:val="00FA7354"/>
    <w:rsid w:val="00FA7B12"/>
    <w:rsid w:val="00FB13F3"/>
    <w:rsid w:val="00FB228F"/>
    <w:rsid w:val="00FB380A"/>
    <w:rsid w:val="00FB3F04"/>
    <w:rsid w:val="00FB4748"/>
    <w:rsid w:val="00FB5FD3"/>
    <w:rsid w:val="00FB6DEF"/>
    <w:rsid w:val="00FB7924"/>
    <w:rsid w:val="00FC1120"/>
    <w:rsid w:val="00FC1236"/>
    <w:rsid w:val="00FC315F"/>
    <w:rsid w:val="00FC33C7"/>
    <w:rsid w:val="00FC3C0E"/>
    <w:rsid w:val="00FC4AB3"/>
    <w:rsid w:val="00FC4DF6"/>
    <w:rsid w:val="00FC4FAF"/>
    <w:rsid w:val="00FC6449"/>
    <w:rsid w:val="00FC69C2"/>
    <w:rsid w:val="00FD06A8"/>
    <w:rsid w:val="00FD0BEE"/>
    <w:rsid w:val="00FD0D4C"/>
    <w:rsid w:val="00FD1199"/>
    <w:rsid w:val="00FD1836"/>
    <w:rsid w:val="00FD250F"/>
    <w:rsid w:val="00FD2A14"/>
    <w:rsid w:val="00FD6751"/>
    <w:rsid w:val="00FD6C3B"/>
    <w:rsid w:val="00FD7BED"/>
    <w:rsid w:val="00FE0140"/>
    <w:rsid w:val="00FE0C3A"/>
    <w:rsid w:val="00FE0D08"/>
    <w:rsid w:val="00FE1046"/>
    <w:rsid w:val="00FE1B10"/>
    <w:rsid w:val="00FE1C59"/>
    <w:rsid w:val="00FE1E28"/>
    <w:rsid w:val="00FE2206"/>
    <w:rsid w:val="00FE2383"/>
    <w:rsid w:val="00FE29A9"/>
    <w:rsid w:val="00FE3A98"/>
    <w:rsid w:val="00FE463F"/>
    <w:rsid w:val="00FE4BCE"/>
    <w:rsid w:val="00FE54C5"/>
    <w:rsid w:val="00FE6087"/>
    <w:rsid w:val="00FE62C5"/>
    <w:rsid w:val="00FE6B95"/>
    <w:rsid w:val="00FE6E60"/>
    <w:rsid w:val="00FE7832"/>
    <w:rsid w:val="00FE7F1F"/>
    <w:rsid w:val="00FF006F"/>
    <w:rsid w:val="00FF0133"/>
    <w:rsid w:val="00FF0782"/>
    <w:rsid w:val="00FF0BFE"/>
    <w:rsid w:val="00FF1C41"/>
    <w:rsid w:val="00FF1FCE"/>
    <w:rsid w:val="00FF2829"/>
    <w:rsid w:val="00FF2DE2"/>
    <w:rsid w:val="00FF398B"/>
    <w:rsid w:val="00FF3A9C"/>
    <w:rsid w:val="00FF3C21"/>
    <w:rsid w:val="00FF3F95"/>
    <w:rsid w:val="00FF42A1"/>
    <w:rsid w:val="00FF5296"/>
    <w:rsid w:val="00FF5879"/>
    <w:rsid w:val="00FF5930"/>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5B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E3"/>
    <w:pPr>
      <w:tabs>
        <w:tab w:val="center" w:pos="4680"/>
        <w:tab w:val="right" w:pos="9360"/>
      </w:tabs>
      <w:spacing w:line="240" w:lineRule="auto"/>
    </w:pPr>
  </w:style>
  <w:style w:type="character" w:customStyle="1" w:styleId="HeaderChar">
    <w:name w:val="Header Char"/>
    <w:basedOn w:val="DefaultParagraphFont"/>
    <w:link w:val="Header"/>
    <w:uiPriority w:val="99"/>
    <w:rsid w:val="008709E3"/>
  </w:style>
  <w:style w:type="paragraph" w:styleId="Footer">
    <w:name w:val="footer"/>
    <w:basedOn w:val="Normal"/>
    <w:link w:val="FooterChar"/>
    <w:uiPriority w:val="99"/>
    <w:unhideWhenUsed/>
    <w:rsid w:val="008709E3"/>
    <w:pPr>
      <w:tabs>
        <w:tab w:val="center" w:pos="4680"/>
        <w:tab w:val="right" w:pos="9360"/>
      </w:tabs>
      <w:spacing w:line="240" w:lineRule="auto"/>
    </w:pPr>
  </w:style>
  <w:style w:type="character" w:customStyle="1" w:styleId="FooterChar">
    <w:name w:val="Footer Char"/>
    <w:basedOn w:val="DefaultParagraphFont"/>
    <w:link w:val="Footer"/>
    <w:uiPriority w:val="99"/>
    <w:rsid w:val="008709E3"/>
  </w:style>
  <w:style w:type="character" w:styleId="PageNumber">
    <w:name w:val="page number"/>
    <w:basedOn w:val="DefaultParagraphFont"/>
    <w:uiPriority w:val="99"/>
    <w:semiHidden/>
    <w:unhideWhenUsed/>
    <w:rsid w:val="008709E3"/>
  </w:style>
  <w:style w:type="paragraph" w:styleId="FootnoteText">
    <w:name w:val="footnote text"/>
    <w:link w:val="FootnoteTextChar"/>
    <w:uiPriority w:val="99"/>
    <w:unhideWhenUsed/>
    <w:rsid w:val="008709E3"/>
    <w:pPr>
      <w:spacing w:line="240" w:lineRule="auto"/>
    </w:pPr>
    <w:rPr>
      <w:szCs w:val="20"/>
    </w:rPr>
  </w:style>
  <w:style w:type="character" w:customStyle="1" w:styleId="FootnoteTextChar">
    <w:name w:val="Footnote Text Char"/>
    <w:basedOn w:val="DefaultParagraphFont"/>
    <w:link w:val="FootnoteText"/>
    <w:uiPriority w:val="99"/>
    <w:rsid w:val="008709E3"/>
    <w:rPr>
      <w:szCs w:val="20"/>
    </w:rPr>
  </w:style>
  <w:style w:type="paragraph" w:styleId="ListParagraph">
    <w:name w:val="List Paragraph"/>
    <w:basedOn w:val="Normal"/>
    <w:uiPriority w:val="34"/>
    <w:qFormat/>
    <w:rsid w:val="00B757D9"/>
    <w:pPr>
      <w:ind w:left="720"/>
      <w:contextualSpacing/>
    </w:pPr>
  </w:style>
  <w:style w:type="character" w:styleId="FootnoteReference">
    <w:name w:val="footnote reference"/>
    <w:basedOn w:val="DefaultParagraphFont"/>
    <w:uiPriority w:val="99"/>
    <w:semiHidden/>
    <w:unhideWhenUsed/>
    <w:rsid w:val="00A32A3A"/>
    <w:rPr>
      <w:vertAlign w:val="superscript"/>
    </w:rPr>
  </w:style>
  <w:style w:type="character" w:styleId="CommentReference">
    <w:name w:val="annotation reference"/>
    <w:basedOn w:val="DefaultParagraphFont"/>
    <w:uiPriority w:val="99"/>
    <w:semiHidden/>
    <w:unhideWhenUsed/>
    <w:rsid w:val="00C3277F"/>
    <w:rPr>
      <w:sz w:val="16"/>
      <w:szCs w:val="16"/>
    </w:rPr>
  </w:style>
  <w:style w:type="paragraph" w:styleId="CommentText">
    <w:name w:val="annotation text"/>
    <w:basedOn w:val="Normal"/>
    <w:link w:val="CommentTextChar"/>
    <w:uiPriority w:val="99"/>
    <w:semiHidden/>
    <w:unhideWhenUsed/>
    <w:rsid w:val="00C3277F"/>
    <w:pPr>
      <w:spacing w:line="240" w:lineRule="auto"/>
    </w:pPr>
    <w:rPr>
      <w:sz w:val="20"/>
      <w:szCs w:val="20"/>
    </w:rPr>
  </w:style>
  <w:style w:type="character" w:customStyle="1" w:styleId="CommentTextChar">
    <w:name w:val="Comment Text Char"/>
    <w:basedOn w:val="DefaultParagraphFont"/>
    <w:link w:val="CommentText"/>
    <w:uiPriority w:val="99"/>
    <w:semiHidden/>
    <w:rsid w:val="00C3277F"/>
    <w:rPr>
      <w:sz w:val="20"/>
      <w:szCs w:val="20"/>
    </w:rPr>
  </w:style>
  <w:style w:type="paragraph" w:styleId="CommentSubject">
    <w:name w:val="annotation subject"/>
    <w:basedOn w:val="CommentText"/>
    <w:next w:val="CommentText"/>
    <w:link w:val="CommentSubjectChar"/>
    <w:uiPriority w:val="99"/>
    <w:semiHidden/>
    <w:unhideWhenUsed/>
    <w:rsid w:val="00C3277F"/>
    <w:rPr>
      <w:b/>
      <w:bCs/>
    </w:rPr>
  </w:style>
  <w:style w:type="character" w:customStyle="1" w:styleId="CommentSubjectChar">
    <w:name w:val="Comment Subject Char"/>
    <w:basedOn w:val="CommentTextChar"/>
    <w:link w:val="CommentSubject"/>
    <w:uiPriority w:val="99"/>
    <w:semiHidden/>
    <w:rsid w:val="00C32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25ADC-EBB5-4D0F-98EC-FAAD6BBC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8253</Words>
  <Characters>44564</Characters>
  <Application>Microsoft Office Word</Application>
  <DocSecurity>0</DocSecurity>
  <Lines>847</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2022-01-28T23:36:00Z</dcterms:created>
  <dcterms:modified xsi:type="dcterms:W3CDTF">2022-01-28T23:36:00Z</dcterms:modified>
  <cp:category/>
</cp:coreProperties>
</file>