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DED56" w14:textId="20D99C76" w:rsidR="00180F7D" w:rsidRDefault="00180F7D" w:rsidP="00180F7D">
      <w:pPr>
        <w:spacing w:line="240" w:lineRule="auto"/>
        <w:rPr>
          <w:sz w:val="20"/>
        </w:rPr>
      </w:pPr>
      <w:r>
        <w:rPr>
          <w:sz w:val="20"/>
        </w:rPr>
        <w:t xml:space="preserve">Filed </w:t>
      </w:r>
      <w:r w:rsidR="00A03B27">
        <w:rPr>
          <w:sz w:val="20"/>
        </w:rPr>
        <w:t>6/10/21</w:t>
      </w:r>
    </w:p>
    <w:p w14:paraId="12926120" w14:textId="77777777" w:rsidR="00180F7D" w:rsidRDefault="00180F7D" w:rsidP="00180F7D">
      <w:pPr>
        <w:spacing w:line="240" w:lineRule="auto"/>
        <w:jc w:val="center"/>
        <w:rPr>
          <w:b/>
        </w:rPr>
      </w:pPr>
      <w:r>
        <w:rPr>
          <w:b/>
        </w:rPr>
        <w:t>CERTIFIED FOR PUBLICATION</w:t>
      </w:r>
    </w:p>
    <w:p w14:paraId="0F411E14" w14:textId="77777777" w:rsidR="00180F7D" w:rsidRDefault="00180F7D" w:rsidP="00180F7D">
      <w:pPr>
        <w:spacing w:line="240" w:lineRule="auto"/>
        <w:jc w:val="center"/>
      </w:pPr>
    </w:p>
    <w:p w14:paraId="56AF1198" w14:textId="14A4BF07" w:rsidR="0018406A" w:rsidRDefault="00C3208A" w:rsidP="00180F7D">
      <w:pPr>
        <w:spacing w:line="240" w:lineRule="auto"/>
        <w:jc w:val="center"/>
      </w:pPr>
      <w:r>
        <w:t>IN THE COURT OF APPEAL OF THE STATE OF CALIFORNIA</w:t>
      </w:r>
    </w:p>
    <w:p w14:paraId="590165D5" w14:textId="25AC79BE" w:rsidR="00C3208A" w:rsidRDefault="00C3208A" w:rsidP="00C3208A">
      <w:pPr>
        <w:spacing w:line="240" w:lineRule="auto"/>
        <w:jc w:val="center"/>
      </w:pPr>
    </w:p>
    <w:p w14:paraId="64C72DEF" w14:textId="7A120438" w:rsidR="00C3208A" w:rsidRDefault="00C3208A" w:rsidP="00C3208A">
      <w:pPr>
        <w:spacing w:line="240" w:lineRule="auto"/>
        <w:jc w:val="center"/>
      </w:pPr>
      <w:r>
        <w:t>FIRST APPELLATE DISTRICT</w:t>
      </w:r>
    </w:p>
    <w:p w14:paraId="2038E4C3" w14:textId="41ACCF9A" w:rsidR="00C3208A" w:rsidRDefault="00C3208A" w:rsidP="00C3208A">
      <w:pPr>
        <w:spacing w:line="240" w:lineRule="auto"/>
        <w:jc w:val="center"/>
      </w:pPr>
    </w:p>
    <w:p w14:paraId="1DA51AB8" w14:textId="045F2E8D" w:rsidR="00C3208A" w:rsidRDefault="00C3208A" w:rsidP="00C3208A">
      <w:pPr>
        <w:spacing w:line="240" w:lineRule="auto"/>
        <w:jc w:val="center"/>
      </w:pPr>
      <w:r>
        <w:t>DIVISION TWO</w:t>
      </w:r>
    </w:p>
    <w:p w14:paraId="5289871A" w14:textId="0110CCE9" w:rsidR="00C3208A" w:rsidRDefault="00C3208A" w:rsidP="00C3208A">
      <w:pPr>
        <w:spacing w:line="240" w:lineRule="auto"/>
        <w:jc w:val="center"/>
      </w:pPr>
    </w:p>
    <w:p w14:paraId="7C91BFA9" w14:textId="7E72BF5C" w:rsidR="00C3208A" w:rsidRDefault="00C3208A" w:rsidP="00C3208A">
      <w:pPr>
        <w:spacing w:line="240" w:lineRule="auto"/>
        <w:jc w:val="center"/>
      </w:pPr>
    </w:p>
    <w:tbl>
      <w:tblPr>
        <w:tblW w:w="0" w:type="auto"/>
        <w:tblLayout w:type="fixed"/>
        <w:tblLook w:val="0000" w:firstRow="0" w:lastRow="0" w:firstColumn="0" w:lastColumn="0" w:noHBand="0" w:noVBand="0"/>
      </w:tblPr>
      <w:tblGrid>
        <w:gridCol w:w="4680"/>
        <w:gridCol w:w="4230"/>
      </w:tblGrid>
      <w:tr w:rsidR="00C3208A" w14:paraId="5783F62A" w14:textId="77777777" w:rsidTr="00755672">
        <w:tc>
          <w:tcPr>
            <w:tcW w:w="4680" w:type="dxa"/>
            <w:tcBorders>
              <w:bottom w:val="single" w:sz="4" w:space="0" w:color="auto"/>
              <w:right w:val="single" w:sz="4" w:space="0" w:color="auto"/>
            </w:tcBorders>
            <w:shd w:val="clear" w:color="auto" w:fill="auto"/>
          </w:tcPr>
          <w:p w14:paraId="4532DA71" w14:textId="77777777" w:rsidR="00C3208A" w:rsidRDefault="00C3208A" w:rsidP="00C3208A">
            <w:pPr>
              <w:spacing w:after="120" w:line="240" w:lineRule="auto"/>
            </w:pPr>
            <w:r>
              <w:t>THE PEOPLE,</w:t>
            </w:r>
          </w:p>
          <w:p w14:paraId="74FE6BDB" w14:textId="77777777" w:rsidR="00C3208A" w:rsidRDefault="00C3208A" w:rsidP="00C3208A">
            <w:pPr>
              <w:spacing w:after="120" w:line="240" w:lineRule="auto"/>
            </w:pPr>
            <w:r>
              <w:tab/>
              <w:t>Plaintiff and Respondent,</w:t>
            </w:r>
          </w:p>
          <w:p w14:paraId="045AB583" w14:textId="77777777" w:rsidR="00C3208A" w:rsidRDefault="00C3208A" w:rsidP="00C3208A">
            <w:pPr>
              <w:spacing w:after="120" w:line="240" w:lineRule="auto"/>
            </w:pPr>
            <w:r>
              <w:t>v.</w:t>
            </w:r>
          </w:p>
          <w:p w14:paraId="40887431" w14:textId="77777777" w:rsidR="00C3208A" w:rsidRDefault="00C3208A" w:rsidP="00C3208A">
            <w:pPr>
              <w:spacing w:after="120" w:line="240" w:lineRule="auto"/>
            </w:pPr>
            <w:r>
              <w:t>BANKERS INSURANCE CO.,</w:t>
            </w:r>
          </w:p>
          <w:p w14:paraId="6CC407E5" w14:textId="4DDE5B42" w:rsidR="00C3208A" w:rsidRDefault="00C3208A" w:rsidP="00C3208A">
            <w:pPr>
              <w:spacing w:after="120" w:line="240" w:lineRule="auto"/>
            </w:pPr>
            <w:r>
              <w:tab/>
              <w:t>Defendant and Appellant.</w:t>
            </w:r>
          </w:p>
        </w:tc>
        <w:tc>
          <w:tcPr>
            <w:tcW w:w="4230" w:type="dxa"/>
            <w:tcBorders>
              <w:left w:val="single" w:sz="4" w:space="0" w:color="auto"/>
            </w:tcBorders>
            <w:shd w:val="clear" w:color="auto" w:fill="auto"/>
          </w:tcPr>
          <w:p w14:paraId="069CE471" w14:textId="77777777" w:rsidR="00C3208A" w:rsidRDefault="00C3208A" w:rsidP="00C3208A">
            <w:pPr>
              <w:spacing w:line="240" w:lineRule="auto"/>
            </w:pPr>
          </w:p>
          <w:p w14:paraId="7EEC4E42" w14:textId="77777777" w:rsidR="00C3208A" w:rsidRDefault="00C3208A" w:rsidP="00C3208A">
            <w:pPr>
              <w:spacing w:line="240" w:lineRule="auto"/>
            </w:pPr>
          </w:p>
          <w:p w14:paraId="6D3558F6" w14:textId="2BEEC711" w:rsidR="00C3208A" w:rsidRDefault="00C3208A" w:rsidP="00C3208A">
            <w:pPr>
              <w:spacing w:line="240" w:lineRule="auto"/>
            </w:pPr>
            <w:r>
              <w:t xml:space="preserve">    A157633</w:t>
            </w:r>
          </w:p>
          <w:p w14:paraId="2844BDB0" w14:textId="77777777" w:rsidR="00C3208A" w:rsidRDefault="00C3208A" w:rsidP="00C3208A">
            <w:pPr>
              <w:spacing w:line="240" w:lineRule="auto"/>
            </w:pPr>
          </w:p>
          <w:p w14:paraId="462E259E" w14:textId="18043FAC" w:rsidR="00C3208A" w:rsidRDefault="00C3208A" w:rsidP="00C3208A">
            <w:pPr>
              <w:spacing w:line="240" w:lineRule="auto"/>
            </w:pPr>
            <w:r>
              <w:t xml:space="preserve">    (San Mateo County</w:t>
            </w:r>
          </w:p>
          <w:p w14:paraId="6ABDF5BA" w14:textId="7BEEF7A6" w:rsidR="00C3208A" w:rsidRDefault="00C3208A" w:rsidP="00C3208A">
            <w:pPr>
              <w:spacing w:line="240" w:lineRule="auto"/>
            </w:pPr>
            <w:r>
              <w:t xml:space="preserve">    Super. Ct. No. </w:t>
            </w:r>
            <w:r w:rsidR="00473DDD">
              <w:t>18NF009324-A</w:t>
            </w:r>
            <w:r>
              <w:t>)</w:t>
            </w:r>
          </w:p>
          <w:p w14:paraId="376FCFCE" w14:textId="2883FE42" w:rsidR="00C3208A" w:rsidRDefault="00C3208A" w:rsidP="00C3208A">
            <w:pPr>
              <w:spacing w:line="240" w:lineRule="auto"/>
            </w:pPr>
          </w:p>
        </w:tc>
      </w:tr>
    </w:tbl>
    <w:p w14:paraId="132439AA" w14:textId="77777777" w:rsidR="00C3208A" w:rsidRDefault="00C3208A" w:rsidP="00C3208A">
      <w:pPr>
        <w:spacing w:line="240" w:lineRule="auto"/>
      </w:pPr>
    </w:p>
    <w:p w14:paraId="28D20D65" w14:textId="2609D66D" w:rsidR="008E67D4" w:rsidRDefault="00BC68D5">
      <w:r>
        <w:tab/>
      </w:r>
      <w:r w:rsidR="00E85B1D">
        <w:t>Bankers Insurance Company (</w:t>
      </w:r>
      <w:r w:rsidR="000F50E9">
        <w:t xml:space="preserve">the Surety) appeals from </w:t>
      </w:r>
      <w:r w:rsidR="00176E6C">
        <w:t>trial court</w:t>
      </w:r>
      <w:r w:rsidR="009066D1">
        <w:t xml:space="preserve"> order</w:t>
      </w:r>
      <w:r w:rsidR="00176E6C">
        <w:t>s</w:t>
      </w:r>
      <w:r w:rsidR="009066D1">
        <w:t xml:space="preserve"> denying its motion to vacate forfeiture </w:t>
      </w:r>
      <w:r w:rsidR="00176E6C">
        <w:t xml:space="preserve">and exonerate bail and denying its subsequent motion to toll time.  </w:t>
      </w:r>
      <w:r w:rsidR="00984C88">
        <w:t xml:space="preserve">Because the trial court </w:t>
      </w:r>
      <w:r w:rsidR="0072322B">
        <w:t xml:space="preserve">failed to </w:t>
      </w:r>
      <w:r w:rsidR="00911900">
        <w:t xml:space="preserve">timely </w:t>
      </w:r>
      <w:r w:rsidR="0072322B">
        <w:t xml:space="preserve">enter summary judgment </w:t>
      </w:r>
      <w:r w:rsidR="0091434A">
        <w:t xml:space="preserve">and </w:t>
      </w:r>
      <w:r w:rsidR="00984C88">
        <w:t>no</w:t>
      </w:r>
      <w:r w:rsidR="006B6BC0">
        <w:t>w</w:t>
      </w:r>
      <w:r w:rsidR="00984C88">
        <w:t xml:space="preserve"> </w:t>
      </w:r>
      <w:r w:rsidR="006B6BC0">
        <w:t>lacks</w:t>
      </w:r>
      <w:r w:rsidR="00984C88">
        <w:t xml:space="preserve"> jurisdiction to enforce the </w:t>
      </w:r>
      <w:r w:rsidR="00F33C1C">
        <w:t xml:space="preserve">forfeiture </w:t>
      </w:r>
      <w:r w:rsidR="0091434A">
        <w:t>under Penal Code section 1306, subdivision (c)</w:t>
      </w:r>
      <w:r w:rsidR="00271211">
        <w:t>,</w:t>
      </w:r>
      <w:r w:rsidR="00CD3E60">
        <w:t xml:space="preserve"> </w:t>
      </w:r>
      <w:r w:rsidR="006B6BC0">
        <w:t>in any event,</w:t>
      </w:r>
      <w:r w:rsidR="00271211">
        <w:t xml:space="preserve"> </w:t>
      </w:r>
      <w:r w:rsidR="00984C88">
        <w:t>we will not reach the merits</w:t>
      </w:r>
      <w:r w:rsidR="006B6BC0">
        <w:t>.</w:t>
      </w:r>
      <w:r w:rsidR="004B125D">
        <w:t xml:space="preserve"> </w:t>
      </w:r>
      <w:r w:rsidR="006B6BC0">
        <w:t xml:space="preserve"> I</w:t>
      </w:r>
      <w:r w:rsidR="00984C88">
        <w:t>nstead</w:t>
      </w:r>
      <w:r w:rsidR="007D1B8A">
        <w:t>, we</w:t>
      </w:r>
      <w:r w:rsidR="00984C88">
        <w:t xml:space="preserve"> </w:t>
      </w:r>
      <w:r w:rsidR="00984C88" w:rsidRPr="00F33C1C">
        <w:t>will</w:t>
      </w:r>
      <w:r w:rsidR="00D0326F" w:rsidRPr="00EA33C0">
        <w:t xml:space="preserve"> direct the trial court to enter an order exonerating the bond</w:t>
      </w:r>
      <w:r w:rsidR="00D0326F" w:rsidRPr="00F33C1C">
        <w:t>.</w:t>
      </w:r>
      <w:r w:rsidR="00DB2A2B" w:rsidRPr="001C6C68">
        <w:t xml:space="preserve">  </w:t>
      </w:r>
    </w:p>
    <w:p w14:paraId="43C8F363" w14:textId="02BEE7A5" w:rsidR="00DB2A2B" w:rsidRPr="0031247A" w:rsidRDefault="0031247A" w:rsidP="00503F08">
      <w:pPr>
        <w:keepNext/>
        <w:jc w:val="center"/>
        <w:rPr>
          <w:b/>
          <w:bCs/>
        </w:rPr>
      </w:pPr>
      <w:r w:rsidRPr="0031247A">
        <w:rPr>
          <w:b/>
          <w:bCs/>
        </w:rPr>
        <w:t>FACTUAL AND PROCEDURAL BACKGROUND</w:t>
      </w:r>
    </w:p>
    <w:p w14:paraId="077A5D18" w14:textId="53BA99C3" w:rsidR="00000D0B" w:rsidRPr="00B52E40" w:rsidRDefault="00B534B2" w:rsidP="00B534B2">
      <w:r w:rsidRPr="00B52E40">
        <w:tab/>
        <w:t xml:space="preserve">On August 9, 2018, </w:t>
      </w:r>
      <w:r w:rsidR="00651E32" w:rsidRPr="00B52E40">
        <w:t>the Surety,</w:t>
      </w:r>
      <w:r w:rsidRPr="00B52E40">
        <w:t xml:space="preserve"> through its </w:t>
      </w:r>
      <w:r w:rsidR="002150E1" w:rsidRPr="00B52E40">
        <w:t xml:space="preserve">bail </w:t>
      </w:r>
      <w:r w:rsidRPr="00B52E40">
        <w:t xml:space="preserve">agent Bail Hotline Bail Bonds, posted </w:t>
      </w:r>
      <w:r w:rsidR="00C90FE2" w:rsidRPr="00B52E40">
        <w:t xml:space="preserve">a </w:t>
      </w:r>
      <w:r w:rsidR="00000D0B" w:rsidRPr="00B52E40">
        <w:t xml:space="preserve">bond </w:t>
      </w:r>
      <w:r w:rsidR="00C90FE2" w:rsidRPr="00B52E40">
        <w:t xml:space="preserve">of </w:t>
      </w:r>
      <w:r w:rsidR="00DF4814" w:rsidRPr="00B52E40">
        <w:t xml:space="preserve">$100,000 </w:t>
      </w:r>
      <w:r w:rsidR="00000D0B" w:rsidRPr="00B52E40">
        <w:t>for the release of Jammie Lee</w:t>
      </w:r>
      <w:r w:rsidR="00D95528" w:rsidRPr="00B52E40">
        <w:t xml:space="preserve"> </w:t>
      </w:r>
      <w:r w:rsidR="002E2026">
        <w:t>(</w:t>
      </w:r>
      <w:r w:rsidR="00250530">
        <w:t xml:space="preserve">Lee or </w:t>
      </w:r>
      <w:r w:rsidR="002E2026">
        <w:t xml:space="preserve">defendant) </w:t>
      </w:r>
      <w:r w:rsidR="00D95528" w:rsidRPr="00B52E40">
        <w:t xml:space="preserve">from </w:t>
      </w:r>
      <w:r w:rsidR="003470A4">
        <w:t xml:space="preserve">the </w:t>
      </w:r>
      <w:r w:rsidR="000730BD">
        <w:t>San Mateo County Jail</w:t>
      </w:r>
      <w:r w:rsidR="00D95528" w:rsidRPr="00B52E40">
        <w:t xml:space="preserve">.  </w:t>
      </w:r>
    </w:p>
    <w:p w14:paraId="1061EA79" w14:textId="147C5ACC" w:rsidR="00FA0E3E" w:rsidRPr="00B52E40" w:rsidRDefault="00285E84" w:rsidP="00B534B2">
      <w:r w:rsidRPr="00B52E40">
        <w:tab/>
        <w:t>On Sep</w:t>
      </w:r>
      <w:r w:rsidR="00B534B2" w:rsidRPr="00B52E40">
        <w:t xml:space="preserve">tember 13, 2018, </w:t>
      </w:r>
      <w:r w:rsidR="00250530">
        <w:t>Lee</w:t>
      </w:r>
      <w:r w:rsidR="00C04801" w:rsidRPr="00B52E40">
        <w:t xml:space="preserve"> </w:t>
      </w:r>
      <w:r w:rsidR="00441D59" w:rsidRPr="00B52E40">
        <w:t xml:space="preserve">failed to appear </w:t>
      </w:r>
      <w:r w:rsidR="000E7C01">
        <w:t>at</w:t>
      </w:r>
      <w:r w:rsidR="00DE0A2A" w:rsidRPr="00B52E40">
        <w:t xml:space="preserve"> a scheduled preliminary hearing</w:t>
      </w:r>
      <w:r w:rsidR="0001149B" w:rsidRPr="00B52E40">
        <w:t>.</w:t>
      </w:r>
      <w:r w:rsidR="00DE0A2A" w:rsidRPr="00B52E40">
        <w:t xml:space="preserve">  </w:t>
      </w:r>
      <w:r w:rsidR="00031F02" w:rsidRPr="00B52E40">
        <w:t>The court issued a benc</w:t>
      </w:r>
      <w:r w:rsidR="00B3304D" w:rsidRPr="00B52E40">
        <w:t xml:space="preserve">h warrant for </w:t>
      </w:r>
      <w:r w:rsidR="00250530">
        <w:t>Lee</w:t>
      </w:r>
      <w:r w:rsidR="00B3304D" w:rsidRPr="00B52E40">
        <w:t xml:space="preserve"> and ordered the bail forfeited.  </w:t>
      </w:r>
    </w:p>
    <w:p w14:paraId="4C8F9CD2" w14:textId="2CA63122" w:rsidR="00992EB2" w:rsidRDefault="00FA0E3E" w:rsidP="00B534B2">
      <w:r w:rsidRPr="00B52E40">
        <w:lastRenderedPageBreak/>
        <w:tab/>
        <w:t xml:space="preserve">On September 21, </w:t>
      </w:r>
      <w:r w:rsidR="002568D1" w:rsidRPr="00B52E40">
        <w:t xml:space="preserve">2018, </w:t>
      </w:r>
      <w:r w:rsidRPr="00B52E40">
        <w:t>the cler</w:t>
      </w:r>
      <w:r w:rsidR="00336D6B" w:rsidRPr="00B52E40">
        <w:t xml:space="preserve">k of the court mailed </w:t>
      </w:r>
      <w:r w:rsidR="002150E1" w:rsidRPr="00B52E40">
        <w:t xml:space="preserve">a “Notice of Order Forfeiting Bail” to the Surety.  </w:t>
      </w:r>
      <w:r w:rsidR="002154BE" w:rsidRPr="00B52E40">
        <w:t xml:space="preserve">The </w:t>
      </w:r>
      <w:r w:rsidR="00135ACA" w:rsidRPr="00B52E40">
        <w:t xml:space="preserve">notice </w:t>
      </w:r>
      <w:r w:rsidR="00BF4A6C" w:rsidRPr="00B52E40">
        <w:t>provided, “You may seek relief from this f</w:t>
      </w:r>
      <w:r w:rsidR="003074B6" w:rsidRPr="00B52E40">
        <w:t>orfeiture in accordance with California Penal Code sections 130</w:t>
      </w:r>
      <w:r w:rsidR="00501472">
        <w:t>5</w:t>
      </w:r>
      <w:r w:rsidR="003074B6" w:rsidRPr="00B52E40">
        <w:t xml:space="preserve"> through 1306.  You have 180 days from the date of this notice to seek such relief, plus 5 more days if this notice was mailed to you.”  </w:t>
      </w:r>
    </w:p>
    <w:p w14:paraId="582229EE" w14:textId="1E10F429" w:rsidR="000F4F7F" w:rsidRPr="000F4F7F" w:rsidRDefault="000F4F7F" w:rsidP="00503F08">
      <w:pPr>
        <w:keepNext/>
        <w:rPr>
          <w:i/>
          <w:iCs/>
        </w:rPr>
      </w:pPr>
      <w:r w:rsidRPr="000F4F7F">
        <w:rPr>
          <w:i/>
          <w:iCs/>
        </w:rPr>
        <w:t>Motion to Vacate Forfeiture and Exonerate Bail</w:t>
      </w:r>
    </w:p>
    <w:p w14:paraId="20B2EFB5" w14:textId="6F5FF3E0" w:rsidR="006827F5" w:rsidRDefault="000F2D10" w:rsidP="006827F5">
      <w:r>
        <w:tab/>
        <w:t xml:space="preserve">On March 25, </w:t>
      </w:r>
      <w:r w:rsidR="009101E5">
        <w:t xml:space="preserve">2019, the Surety </w:t>
      </w:r>
      <w:r w:rsidR="007661E0">
        <w:t xml:space="preserve">filed a </w:t>
      </w:r>
      <w:r w:rsidR="004211DD">
        <w:t>m</w:t>
      </w:r>
      <w:r w:rsidR="007661E0">
        <w:t xml:space="preserve">otion </w:t>
      </w:r>
      <w:r w:rsidR="00D052B9">
        <w:t xml:space="preserve">to </w:t>
      </w:r>
      <w:r w:rsidR="004211DD">
        <w:t>v</w:t>
      </w:r>
      <w:r w:rsidR="00D052B9">
        <w:t xml:space="preserve">acate </w:t>
      </w:r>
      <w:r w:rsidR="008E30F6">
        <w:t xml:space="preserve">the </w:t>
      </w:r>
      <w:r w:rsidR="004211DD">
        <w:t>f</w:t>
      </w:r>
      <w:r w:rsidR="00D052B9">
        <w:t xml:space="preserve">orfeiture and </w:t>
      </w:r>
      <w:r w:rsidR="004211DD">
        <w:t>e</w:t>
      </w:r>
      <w:r w:rsidR="00D052B9">
        <w:t xml:space="preserve">xonerate </w:t>
      </w:r>
      <w:r w:rsidR="008E30F6">
        <w:t xml:space="preserve">the </w:t>
      </w:r>
      <w:r w:rsidR="004211DD">
        <w:t>b</w:t>
      </w:r>
      <w:r w:rsidR="00D052B9">
        <w:t>ail</w:t>
      </w:r>
      <w:r w:rsidR="003D4392">
        <w:t xml:space="preserve">.  </w:t>
      </w:r>
      <w:r w:rsidR="00B81232">
        <w:t xml:space="preserve">Supporting </w:t>
      </w:r>
      <w:r w:rsidR="00296A1D">
        <w:t>exhibits</w:t>
      </w:r>
      <w:r w:rsidR="00841529">
        <w:t xml:space="preserve"> </w:t>
      </w:r>
      <w:r w:rsidR="00B73778">
        <w:t>indicated</w:t>
      </w:r>
      <w:r w:rsidR="00E35586">
        <w:t xml:space="preserve"> </w:t>
      </w:r>
      <w:r w:rsidR="00AE7DB5">
        <w:t xml:space="preserve">that </w:t>
      </w:r>
      <w:r w:rsidR="008F0854">
        <w:t>Lee</w:t>
      </w:r>
      <w:r w:rsidR="00E35586">
        <w:t xml:space="preserve"> was currently in custody in the Alameda County Jail</w:t>
      </w:r>
      <w:r w:rsidR="00026C2F">
        <w:t xml:space="preserve"> </w:t>
      </w:r>
      <w:r w:rsidR="00AE7DB5">
        <w:t>on federal charge</w:t>
      </w:r>
      <w:r w:rsidR="002609FD">
        <w:t>s</w:t>
      </w:r>
      <w:r w:rsidR="00AE7DB5">
        <w:t xml:space="preserve"> </w:t>
      </w:r>
      <w:r w:rsidR="00026C2F">
        <w:t xml:space="preserve">and </w:t>
      </w:r>
      <w:r w:rsidR="00AE7DB5">
        <w:t xml:space="preserve">that </w:t>
      </w:r>
      <w:r w:rsidR="00026C2F">
        <w:t xml:space="preserve">the San Mateo County District Attorney’s Office had been notified of </w:t>
      </w:r>
      <w:r w:rsidR="002E2026">
        <w:t xml:space="preserve">defendant’s </w:t>
      </w:r>
      <w:r w:rsidR="00F02D87">
        <w:t>detention in federal custody</w:t>
      </w:r>
      <w:r w:rsidR="00E35586">
        <w:t xml:space="preserve">.  </w:t>
      </w:r>
      <w:r w:rsidR="006827F5">
        <w:t>In a supporting declaration, Roman Clark, a fugitive recovery agent, stated</w:t>
      </w:r>
      <w:r w:rsidR="007C1836">
        <w:t>, first,</w:t>
      </w:r>
      <w:r w:rsidR="006827F5">
        <w:t xml:space="preserve"> </w:t>
      </w:r>
      <w:r w:rsidR="0098114D">
        <w:t xml:space="preserve">that Alameda County </w:t>
      </w:r>
      <w:r w:rsidR="00470F04">
        <w:t>was informed of Lee’s San Mateo County warrant</w:t>
      </w:r>
      <w:r w:rsidR="007468CE">
        <w:t>,</w:t>
      </w:r>
      <w:r w:rsidR="00470F04">
        <w:t xml:space="preserve"> but </w:t>
      </w:r>
      <w:r w:rsidR="00706257">
        <w:t xml:space="preserve">a </w:t>
      </w:r>
      <w:r w:rsidR="007C1836">
        <w:t xml:space="preserve">jail employee </w:t>
      </w:r>
      <w:r w:rsidR="00770073">
        <w:t xml:space="preserve">would not sign a </w:t>
      </w:r>
      <w:r w:rsidR="006E0272">
        <w:t>form accepting or declining surrender</w:t>
      </w:r>
      <w:r w:rsidR="00770073">
        <w:t xml:space="preserve"> and</w:t>
      </w:r>
      <w:r w:rsidR="007C1836">
        <w:t>, s</w:t>
      </w:r>
      <w:r w:rsidR="007C41D8">
        <w:t>econd,</w:t>
      </w:r>
      <w:r w:rsidR="00770073">
        <w:t xml:space="preserve"> that </w:t>
      </w:r>
      <w:r w:rsidR="007C41D8">
        <w:t>a</w:t>
      </w:r>
      <w:r w:rsidR="001A0687">
        <w:t xml:space="preserve"> law enforcement employee in San Mateo County </w:t>
      </w:r>
      <w:r w:rsidR="003B798B">
        <w:t>reported she was unable to place a hold on Lee.</w:t>
      </w:r>
      <w:r w:rsidR="003B798B">
        <w:rPr>
          <w:rStyle w:val="FootnoteReference"/>
        </w:rPr>
        <w:footnoteReference w:id="1"/>
      </w:r>
      <w:r w:rsidR="003B798B">
        <w:t xml:space="preserve">  </w:t>
      </w:r>
    </w:p>
    <w:p w14:paraId="3834E3C9" w14:textId="371550A2" w:rsidR="005D04EE" w:rsidRDefault="005D04EE">
      <w:r>
        <w:lastRenderedPageBreak/>
        <w:tab/>
        <w:t xml:space="preserve">The Surety </w:t>
      </w:r>
      <w:r w:rsidR="00640D49">
        <w:t>advanced</w:t>
      </w:r>
      <w:r>
        <w:t xml:space="preserve"> three argument</w:t>
      </w:r>
      <w:r w:rsidR="00F61258">
        <w:t xml:space="preserve">s </w:t>
      </w:r>
      <w:r w:rsidR="00ED2CC6">
        <w:t>in support of</w:t>
      </w:r>
      <w:r w:rsidR="00F61258">
        <w:t xml:space="preserve"> its motion</w:t>
      </w:r>
      <w:r w:rsidR="003855B8">
        <w:t>: (1)</w:t>
      </w:r>
      <w:r w:rsidR="003470A4">
        <w:t> </w:t>
      </w:r>
      <w:r w:rsidR="00926804">
        <w:t xml:space="preserve">the court was required to </w:t>
      </w:r>
      <w:r w:rsidR="00FB4CCB">
        <w:t xml:space="preserve">vacate </w:t>
      </w:r>
      <w:r w:rsidR="008E30F6">
        <w:t xml:space="preserve">the </w:t>
      </w:r>
      <w:r w:rsidR="00FB4CCB">
        <w:t xml:space="preserve">forfeiture and </w:t>
      </w:r>
      <w:r w:rsidR="00926804">
        <w:t xml:space="preserve">exonerate </w:t>
      </w:r>
      <w:r w:rsidR="008E30F6">
        <w:t xml:space="preserve">the </w:t>
      </w:r>
      <w:r w:rsidR="00926804">
        <w:t xml:space="preserve">bail </w:t>
      </w:r>
      <w:r w:rsidR="00FB4CCB">
        <w:t xml:space="preserve">under </w:t>
      </w:r>
      <w:r w:rsidR="001C7A9B">
        <w:t>Penal Code section 1305, subdivision (c)(3) (§ 1305(c)(3))</w:t>
      </w:r>
      <w:r w:rsidR="001C7A9B">
        <w:rPr>
          <w:rStyle w:val="FootnoteReference"/>
        </w:rPr>
        <w:footnoteReference w:id="2"/>
      </w:r>
      <w:r w:rsidR="001C7A9B">
        <w:t xml:space="preserve"> </w:t>
      </w:r>
      <w:r w:rsidR="00FB4CCB">
        <w:t xml:space="preserve">because </w:t>
      </w:r>
      <w:r w:rsidR="00AF42C5">
        <w:t xml:space="preserve">defendant </w:t>
      </w:r>
      <w:r w:rsidR="00EE7D1E">
        <w:t>had been</w:t>
      </w:r>
      <w:r w:rsidR="00AF42C5">
        <w:t xml:space="preserve"> surrendered by the bail agent to local law enforcement agencies</w:t>
      </w:r>
      <w:r w:rsidR="007813DC">
        <w:t>; (2)</w:t>
      </w:r>
      <w:r w:rsidR="003470A4">
        <w:t> </w:t>
      </w:r>
      <w:r w:rsidR="007813DC">
        <w:t>if the district</w:t>
      </w:r>
      <w:r w:rsidR="00640D49">
        <w:t xml:space="preserve"> </w:t>
      </w:r>
      <w:r w:rsidR="00097184">
        <w:t>attorney</w:t>
      </w:r>
      <w:r w:rsidR="007A7F5D">
        <w:t xml:space="preserve"> were to choose</w:t>
      </w:r>
      <w:r w:rsidR="00697D9D">
        <w:t xml:space="preserve"> not to extradite defendant, exoneration of bail </w:t>
      </w:r>
      <w:r w:rsidR="00D4200A">
        <w:t>was required under section 1305, subdivision</w:t>
      </w:r>
      <w:r w:rsidR="00CD3E60">
        <w:t xml:space="preserve"> </w:t>
      </w:r>
      <w:r w:rsidR="00D4200A">
        <w:t>(f)</w:t>
      </w:r>
      <w:r w:rsidR="00D0326F">
        <w:t xml:space="preserve"> </w:t>
      </w:r>
      <w:r w:rsidR="00D4200A">
        <w:t>(§ 1305(f))</w:t>
      </w:r>
      <w:r w:rsidR="00103BAB">
        <w:t>; and (3)</w:t>
      </w:r>
      <w:r w:rsidR="003470A4">
        <w:t> </w:t>
      </w:r>
      <w:r w:rsidR="00FE43B7">
        <w:t xml:space="preserve">if the district </w:t>
      </w:r>
      <w:r w:rsidR="00C80783">
        <w:t xml:space="preserve">attorney </w:t>
      </w:r>
      <w:r w:rsidR="007A7F5D">
        <w:t>were to place a hold</w:t>
      </w:r>
      <w:r w:rsidR="00F917D7">
        <w:t xml:space="preserve"> on defendant, the court should exonerate bail under section </w:t>
      </w:r>
      <w:r w:rsidR="00B44CB9">
        <w:t>1305, subdivision</w:t>
      </w:r>
      <w:r w:rsidR="00025B12">
        <w:t>s</w:t>
      </w:r>
      <w:r w:rsidR="00B44CB9">
        <w:t xml:space="preserve"> (i) and</w:t>
      </w:r>
      <w:r w:rsidR="00025B12">
        <w:t xml:space="preserve"> (c)(3).  </w:t>
      </w:r>
    </w:p>
    <w:p w14:paraId="0D262A53" w14:textId="5832A105" w:rsidR="004366BD" w:rsidRDefault="004366BD">
      <w:r>
        <w:tab/>
        <w:t>In support of its first argume</w:t>
      </w:r>
      <w:r w:rsidR="0027338D">
        <w:t xml:space="preserve">nt, the Surety </w:t>
      </w:r>
      <w:r w:rsidR="00BF05FB">
        <w:t>relied on the principle</w:t>
      </w:r>
      <w:r w:rsidR="00A13E77">
        <w:t xml:space="preserve"> “</w:t>
      </w:r>
      <w:r w:rsidR="0053002E">
        <w:t>where the government interferes with</w:t>
      </w:r>
      <w:r w:rsidR="0074136A">
        <w:t xml:space="preserve"> the</w:t>
      </w:r>
      <w:r w:rsidR="0053002E">
        <w:t xml:space="preserve"> performance of the bail contra</w:t>
      </w:r>
      <w:r w:rsidR="0074136A">
        <w:t>c</w:t>
      </w:r>
      <w:r w:rsidR="0053002E">
        <w:t xml:space="preserve">t or makes performance impossible the bond is exonerated.”  </w:t>
      </w:r>
      <w:r w:rsidR="00456B5F">
        <w:t xml:space="preserve">It argued Clark diligently </w:t>
      </w:r>
      <w:r w:rsidR="0079519D">
        <w:t>tried to have defendant surrendered on the warrant</w:t>
      </w:r>
      <w:r w:rsidR="005A73A9">
        <w:t xml:space="preserve">, but </w:t>
      </w:r>
      <w:r w:rsidR="004B5E03">
        <w:t>“D</w:t>
      </w:r>
      <w:r w:rsidR="005A73A9">
        <w:t xml:space="preserve">espite proper surrender documentation given </w:t>
      </w:r>
      <w:r w:rsidR="00BC720A">
        <w:t xml:space="preserve">by the bail agent </w:t>
      </w:r>
      <w:r w:rsidR="005A73A9">
        <w:t xml:space="preserve">to the jailer on January 4, 2019, </w:t>
      </w:r>
      <w:r w:rsidR="00BC720A">
        <w:t xml:space="preserve">. . . </w:t>
      </w:r>
      <w:r w:rsidR="004B5E03">
        <w:t>the Alameda County Sheriff’s Department refused to accept the s</w:t>
      </w:r>
      <w:r w:rsidR="00BC720A">
        <w:t xml:space="preserve">urrender of the defendant on the out of county warrant.” </w:t>
      </w:r>
      <w:r w:rsidR="005E6859">
        <w:t xml:space="preserve"> </w:t>
      </w:r>
    </w:p>
    <w:p w14:paraId="76604222" w14:textId="3A40FB15" w:rsidR="00F5171B" w:rsidRDefault="00C3139D">
      <w:r>
        <w:tab/>
      </w:r>
      <w:r w:rsidR="00DB1A71">
        <w:t>As alternative relief, t</w:t>
      </w:r>
      <w:r>
        <w:t xml:space="preserve">he Surety </w:t>
      </w:r>
      <w:r w:rsidR="003845C8">
        <w:t>requested</w:t>
      </w:r>
      <w:r>
        <w:t xml:space="preserve"> tolling</w:t>
      </w:r>
      <w:r w:rsidR="00FD1A2E">
        <w:t xml:space="preserve"> </w:t>
      </w:r>
      <w:r w:rsidR="00FB4205">
        <w:t>urging</w:t>
      </w:r>
      <w:r w:rsidR="00D401A1">
        <w:t xml:space="preserve">, </w:t>
      </w:r>
      <w:r w:rsidR="004D6674">
        <w:t>“</w:t>
      </w:r>
      <w:r w:rsidR="0067683B">
        <w:t>At the very least the bondsman is entitled to a tolling of ti</w:t>
      </w:r>
      <w:r w:rsidR="00D401A1">
        <w:t>m</w:t>
      </w:r>
      <w:r w:rsidR="0067683B">
        <w:t>e pursuant to Penal Code § 1305(e) while the defendant is disabled fr</w:t>
      </w:r>
      <w:r w:rsidR="00EA52EC">
        <w:t>o</w:t>
      </w:r>
      <w:r w:rsidR="0067683B">
        <w:t>m appearing in court because of his incarceration in Federal Custody at the Alameda County Jail.”</w:t>
      </w:r>
      <w:r w:rsidR="008C5E7E">
        <w:rPr>
          <w:rStyle w:val="FootnoteReference"/>
        </w:rPr>
        <w:footnoteReference w:id="3"/>
      </w:r>
      <w:r w:rsidR="005B4088">
        <w:t xml:space="preserve"> </w:t>
      </w:r>
      <w:r w:rsidR="00EA52EC">
        <w:t xml:space="preserve"> </w:t>
      </w:r>
      <w:r w:rsidR="006A6AD0">
        <w:t xml:space="preserve">The </w:t>
      </w:r>
      <w:r w:rsidR="006A6AD0">
        <w:lastRenderedPageBreak/>
        <w:t xml:space="preserve">motion concluded, </w:t>
      </w:r>
      <w:r w:rsidR="00D85F86">
        <w:t xml:space="preserve">“Wherefore, it is respectfully requested that the court vacate the </w:t>
      </w:r>
      <w:r w:rsidR="00565405">
        <w:t xml:space="preserve">forfeiture and exonerate bail or in the alternative toll time.” </w:t>
      </w:r>
    </w:p>
    <w:p w14:paraId="4F8D77D0" w14:textId="17AB3337" w:rsidR="0018047E" w:rsidRDefault="00396DB0">
      <w:r>
        <w:tab/>
      </w:r>
      <w:r w:rsidR="00027C00">
        <w:t>In opposition, t</w:t>
      </w:r>
      <w:r w:rsidR="0036647B">
        <w:t>he People</w:t>
      </w:r>
      <w:r w:rsidR="00372F9B">
        <w:t xml:space="preserve"> </w:t>
      </w:r>
      <w:r w:rsidR="00677285">
        <w:t>argu</w:t>
      </w:r>
      <w:r w:rsidR="00027C00">
        <w:t>ed</w:t>
      </w:r>
      <w:r w:rsidR="00677285">
        <w:t xml:space="preserve"> the Surety had not offered competent evidence that the person located in </w:t>
      </w:r>
      <w:r w:rsidR="003470A4">
        <w:t xml:space="preserve">the </w:t>
      </w:r>
      <w:r w:rsidR="00677285">
        <w:t>Alameda County Jail was</w:t>
      </w:r>
      <w:r w:rsidR="00A71C5E">
        <w:t xml:space="preserve">, in fact, </w:t>
      </w:r>
      <w:r w:rsidR="00ED0407">
        <w:t>Lee</w:t>
      </w:r>
      <w:r w:rsidR="001F4D37">
        <w:t>,</w:t>
      </w:r>
      <w:r w:rsidR="00A57916">
        <w:rPr>
          <w:rStyle w:val="FootnoteReference"/>
        </w:rPr>
        <w:footnoteReference w:id="4"/>
      </w:r>
      <w:r w:rsidR="001F4D37">
        <w:t xml:space="preserve"> and, in</w:t>
      </w:r>
      <w:r w:rsidR="003C16E1">
        <w:t xml:space="preserve"> any event,</w:t>
      </w:r>
      <w:r w:rsidR="00756899">
        <w:t xml:space="preserve"> the</w:t>
      </w:r>
      <w:r w:rsidR="00F8507B">
        <w:t>re was no</w:t>
      </w:r>
      <w:r w:rsidR="00A036E2">
        <w:t xml:space="preserve"> “surrender</w:t>
      </w:r>
      <w:r w:rsidR="00F970A8">
        <w:t>”</w:t>
      </w:r>
      <w:r w:rsidR="00A036E2">
        <w:t xml:space="preserve"> to custody </w:t>
      </w:r>
      <w:r w:rsidR="003C16E1">
        <w:t>given that</w:t>
      </w:r>
      <w:r w:rsidR="00895DFF">
        <w:t xml:space="preserve"> the Surety</w:t>
      </w:r>
      <w:r w:rsidR="00756899">
        <w:t xml:space="preserve"> n</w:t>
      </w:r>
      <w:r w:rsidR="00B47374">
        <w:t>ever</w:t>
      </w:r>
      <w:r w:rsidR="00756899">
        <w:t xml:space="preserve"> </w:t>
      </w:r>
      <w:r w:rsidR="00B47374">
        <w:t xml:space="preserve">arrested defendant and </w:t>
      </w:r>
      <w:r w:rsidR="00B814DE">
        <w:t xml:space="preserve">never delivered defendant to the court or </w:t>
      </w:r>
      <w:r w:rsidR="003C16E1">
        <w:t xml:space="preserve">to </w:t>
      </w:r>
      <w:r w:rsidR="00B814DE">
        <w:t>law enforc</w:t>
      </w:r>
      <w:r w:rsidR="00895DFF">
        <w:t>e</w:t>
      </w:r>
      <w:r w:rsidR="00B814DE">
        <w:t>ment</w:t>
      </w:r>
      <w:r w:rsidR="00FE1C1F">
        <w:t>.</w:t>
      </w:r>
      <w:r w:rsidR="00A71C5E">
        <w:t xml:space="preserve">  </w:t>
      </w:r>
      <w:r w:rsidR="002E514F">
        <w:t xml:space="preserve">The People </w:t>
      </w:r>
      <w:r w:rsidR="00014C4C">
        <w:t xml:space="preserve">further </w:t>
      </w:r>
      <w:r w:rsidR="00A8383F">
        <w:t xml:space="preserve">claimed the Surety failed to demonstrate that </w:t>
      </w:r>
      <w:r w:rsidR="008C0640">
        <w:t xml:space="preserve">surrender of defendant “was made impossible” </w:t>
      </w:r>
      <w:r w:rsidR="00F8507B">
        <w:t>and</w:t>
      </w:r>
      <w:r w:rsidR="00491A13">
        <w:t xml:space="preserve"> asserted section 1305(f) did not apply because the San Mateo District Attorney </w:t>
      </w:r>
      <w:r w:rsidR="005034E1">
        <w:t xml:space="preserve">was </w:t>
      </w:r>
      <w:r w:rsidR="009F3846">
        <w:t>elect</w:t>
      </w:r>
      <w:r w:rsidR="005034E1">
        <w:t>ing</w:t>
      </w:r>
      <w:r w:rsidR="009F3846">
        <w:t xml:space="preserve"> to seek extradition of defendant.</w:t>
      </w:r>
      <w:r w:rsidR="007C0714">
        <w:rPr>
          <w:rStyle w:val="FootnoteReference"/>
        </w:rPr>
        <w:footnoteReference w:id="5"/>
      </w:r>
      <w:r w:rsidR="009F3846">
        <w:t xml:space="preserve">  </w:t>
      </w:r>
    </w:p>
    <w:p w14:paraId="1E3174E9" w14:textId="4559F6A4" w:rsidR="00397ECE" w:rsidRDefault="00D35021">
      <w:r>
        <w:tab/>
      </w:r>
      <w:r w:rsidR="00EC6F5B">
        <w:t>A hearing on the motion was held o</w:t>
      </w:r>
      <w:r>
        <w:t>n April 15, 2019</w:t>
      </w:r>
      <w:r w:rsidR="00B614F3">
        <w:t xml:space="preserve">.  </w:t>
      </w:r>
      <w:r w:rsidR="00734AF7">
        <w:t>The trial court indicated it would deny the motion</w:t>
      </w:r>
      <w:r w:rsidR="00327A34">
        <w:t xml:space="preserve"> because </w:t>
      </w:r>
      <w:r w:rsidR="003467AF">
        <w:t>section 1305(f) did not apply (</w:t>
      </w:r>
      <w:r w:rsidR="00E5117D">
        <w:t>since</w:t>
      </w:r>
      <w:r w:rsidR="003467AF">
        <w:t xml:space="preserve"> the District Attorney </w:t>
      </w:r>
      <w:r w:rsidR="0070550D">
        <w:t>was</w:t>
      </w:r>
      <w:r w:rsidR="003467AF">
        <w:t xml:space="preserve"> elect</w:t>
      </w:r>
      <w:r w:rsidR="0070550D">
        <w:t>ing</w:t>
      </w:r>
      <w:r w:rsidR="003467AF">
        <w:t xml:space="preserve"> to extradite Lee) and </w:t>
      </w:r>
      <w:r w:rsidR="00E037F0">
        <w:t xml:space="preserve">because </w:t>
      </w:r>
      <w:r w:rsidR="003467AF">
        <w:t xml:space="preserve">the alternative </w:t>
      </w:r>
      <w:r w:rsidR="00E037F0">
        <w:t xml:space="preserve">request for tolling was not properly referenced in the notice of motion.  </w:t>
      </w:r>
      <w:r w:rsidR="0039793A">
        <w:t>The court did not mention the Surety’s</w:t>
      </w:r>
      <w:r w:rsidR="00840F0B">
        <w:t xml:space="preserve"> </w:t>
      </w:r>
      <w:r w:rsidR="00580C92">
        <w:t>primary argument</w:t>
      </w:r>
      <w:r w:rsidR="0039793A">
        <w:t xml:space="preserve"> that it </w:t>
      </w:r>
      <w:r w:rsidR="0039793A">
        <w:lastRenderedPageBreak/>
        <w:t>was entitled to exoneration of the bond because the defendant was surrendered to custody</w:t>
      </w:r>
      <w:r w:rsidR="0070550D">
        <w:t>.</w:t>
      </w:r>
      <w:r w:rsidR="003B1A90">
        <w:rPr>
          <w:rStyle w:val="FootnoteReference"/>
        </w:rPr>
        <w:footnoteReference w:id="6"/>
      </w:r>
      <w:r w:rsidR="0070550D">
        <w:t xml:space="preserve">  </w:t>
      </w:r>
    </w:p>
    <w:p w14:paraId="1ACD3CC7" w14:textId="5C414A2E" w:rsidR="00A94335" w:rsidRDefault="00A94335">
      <w:r>
        <w:tab/>
        <w:t>The Surety</w:t>
      </w:r>
      <w:r w:rsidR="001D0201">
        <w:t xml:space="preserve">’s </w:t>
      </w:r>
      <w:r w:rsidR="001D0201" w:rsidRPr="00EE0EC5">
        <w:t>attorney</w:t>
      </w:r>
      <w:r w:rsidRPr="00EE0EC5">
        <w:t xml:space="preserve"> </w:t>
      </w:r>
      <w:r w:rsidR="00E636A7">
        <w:t>then</w:t>
      </w:r>
      <w:r w:rsidR="005A6E74" w:rsidRPr="00EE0EC5">
        <w:t xml:space="preserve"> </w:t>
      </w:r>
      <w:r w:rsidR="00277C84" w:rsidRPr="00EE0EC5">
        <w:t>argued</w:t>
      </w:r>
      <w:r w:rsidR="006355E4" w:rsidRPr="00EE0EC5">
        <w:t xml:space="preserve"> its request for tolling</w:t>
      </w:r>
      <w:r w:rsidR="007B3819">
        <w:t xml:space="preserve"> </w:t>
      </w:r>
      <w:r w:rsidR="006355E4" w:rsidRPr="00EE0EC5">
        <w:t>was properly before the court</w:t>
      </w:r>
      <w:r w:rsidR="006355E4">
        <w:t xml:space="preserve"> under “the Lexington decision</w:t>
      </w:r>
      <w:r w:rsidR="00872BD5">
        <w:t>.</w:t>
      </w:r>
      <w:r w:rsidR="006355E4">
        <w:t>”</w:t>
      </w:r>
      <w:r w:rsidR="002E6938">
        <w:rPr>
          <w:rStyle w:val="FootnoteReference"/>
        </w:rPr>
        <w:footnoteReference w:id="7"/>
      </w:r>
      <w:r w:rsidR="00BE7F64">
        <w:t xml:space="preserve">  </w:t>
      </w:r>
      <w:r w:rsidR="00B04A74">
        <w:t xml:space="preserve">The </w:t>
      </w:r>
      <w:r w:rsidR="007E3E0E">
        <w:t>court denied the motion</w:t>
      </w:r>
      <w:r w:rsidR="00D932CF">
        <w:t xml:space="preserve"> </w:t>
      </w:r>
      <w:r w:rsidR="00506A8C">
        <w:t>“without prejudice”</w:t>
      </w:r>
      <w:r w:rsidR="004F2124">
        <w:t xml:space="preserve"> and indicated the </w:t>
      </w:r>
      <w:r w:rsidR="00945F06">
        <w:t xml:space="preserve">Surety </w:t>
      </w:r>
      <w:r w:rsidR="00712D11">
        <w:t>c</w:t>
      </w:r>
      <w:r w:rsidR="00945F06">
        <w:t xml:space="preserve">ould “resubmit it correctly.”  </w:t>
      </w:r>
      <w:r w:rsidR="009B4809">
        <w:t xml:space="preserve">The Surety’s attorney asked for a continuance rather than denial </w:t>
      </w:r>
      <w:r w:rsidR="009B4809">
        <w:lastRenderedPageBreak/>
        <w:t>without prejudice</w:t>
      </w:r>
      <w:r w:rsidR="00E81CF3">
        <w:t>, explaining the</w:t>
      </w:r>
      <w:r w:rsidR="00C815B9">
        <w:t xml:space="preserve">re was “not specific case law” authorizing </w:t>
      </w:r>
      <w:r w:rsidR="003E3C24">
        <w:t>motions after 180 days but a continuance would allow</w:t>
      </w:r>
      <w:r w:rsidR="00B61BE0">
        <w:t xml:space="preserve"> “an additional notice of motion</w:t>
      </w:r>
      <w:r w:rsidR="007D0E02">
        <w:t>.</w:t>
      </w:r>
      <w:r w:rsidR="00B61BE0">
        <w:t>”</w:t>
      </w:r>
      <w:r w:rsidR="009B4809">
        <w:t xml:space="preserve">  </w:t>
      </w:r>
      <w:r w:rsidR="007D0E02">
        <w:t>The court denied the continuance request</w:t>
      </w:r>
      <w:r w:rsidR="004F662F">
        <w:t xml:space="preserve"> without </w:t>
      </w:r>
      <w:r w:rsidR="00285434">
        <w:t>explanation</w:t>
      </w:r>
      <w:r w:rsidR="007D0E02">
        <w:t xml:space="preserve">.  </w:t>
      </w:r>
    </w:p>
    <w:p w14:paraId="73133B5B" w14:textId="42A913AD" w:rsidR="006E713C" w:rsidRPr="00F552E2" w:rsidRDefault="006E713C" w:rsidP="00503F08">
      <w:pPr>
        <w:keepNext/>
        <w:rPr>
          <w:i/>
          <w:iCs/>
        </w:rPr>
      </w:pPr>
      <w:r w:rsidRPr="00F552E2">
        <w:rPr>
          <w:i/>
          <w:iCs/>
        </w:rPr>
        <w:t xml:space="preserve">Motion </w:t>
      </w:r>
      <w:r w:rsidR="00F552E2" w:rsidRPr="00F552E2">
        <w:rPr>
          <w:i/>
          <w:iCs/>
        </w:rPr>
        <w:t>to Toll</w:t>
      </w:r>
    </w:p>
    <w:p w14:paraId="5F5D707E" w14:textId="729CF106" w:rsidR="0004684D" w:rsidRDefault="00F552E2">
      <w:r>
        <w:tab/>
        <w:t xml:space="preserve">On April 19, 2019, the Surety filed a motion </w:t>
      </w:r>
      <w:r w:rsidR="005F09A1">
        <w:t xml:space="preserve">requesting tolling under section 1305(e). </w:t>
      </w:r>
      <w:r w:rsidR="00854E32">
        <w:t xml:space="preserve"> </w:t>
      </w:r>
      <w:r w:rsidR="00054BB8">
        <w:t>The People opposed</w:t>
      </w:r>
      <w:r w:rsidR="00E636A7">
        <w:t>,</w:t>
      </w:r>
      <w:r w:rsidR="00054BB8">
        <w:t xml:space="preserve"> arguing the </w:t>
      </w:r>
      <w:r w:rsidR="00D60BEA">
        <w:t>motion was untimely because it was filed after the 180</w:t>
      </w:r>
      <w:r w:rsidR="00786CA3">
        <w:t>–</w:t>
      </w:r>
      <w:r w:rsidR="00D60BEA">
        <w:t xml:space="preserve">day period following the </w:t>
      </w:r>
      <w:r w:rsidR="00D865A0">
        <w:t xml:space="preserve">notice to the Surety of forfeiture by the clerk of the court.  </w:t>
      </w:r>
      <w:r w:rsidR="00B228E4">
        <w:t xml:space="preserve">The court denied the motion.  </w:t>
      </w:r>
    </w:p>
    <w:p w14:paraId="3B989154" w14:textId="393306E0" w:rsidR="003967CF" w:rsidRPr="00503F08" w:rsidRDefault="00503F08" w:rsidP="00503F08">
      <w:pPr>
        <w:keepNext/>
        <w:jc w:val="center"/>
        <w:rPr>
          <w:b/>
          <w:bCs/>
        </w:rPr>
      </w:pPr>
      <w:r w:rsidRPr="00503F08">
        <w:rPr>
          <w:b/>
          <w:bCs/>
        </w:rPr>
        <w:t>DISCUSSION</w:t>
      </w:r>
    </w:p>
    <w:p w14:paraId="55374D0A" w14:textId="4574A5C6" w:rsidR="00972398" w:rsidRDefault="00F3434D" w:rsidP="00346FD2">
      <w:r>
        <w:tab/>
      </w:r>
      <w:r w:rsidR="00585B03">
        <w:t>While the</w:t>
      </w:r>
      <w:r>
        <w:t xml:space="preserve"> Surety</w:t>
      </w:r>
      <w:r w:rsidR="00354A1C">
        <w:t xml:space="preserve"> </w:t>
      </w:r>
      <w:r w:rsidR="00330A88">
        <w:t xml:space="preserve">does </w:t>
      </w:r>
      <w:r w:rsidR="00BF0E56">
        <w:t xml:space="preserve">argue it </w:t>
      </w:r>
      <w:r w:rsidR="008B640F">
        <w:t>was en</w:t>
      </w:r>
      <w:r w:rsidR="000D65D4">
        <w:t xml:space="preserve">titled to </w:t>
      </w:r>
      <w:r w:rsidR="00BB39B8">
        <w:t xml:space="preserve">exoneration or tolling at the time the trial </w:t>
      </w:r>
      <w:r w:rsidR="003C33B1">
        <w:t>court denied it</w:t>
      </w:r>
      <w:r w:rsidR="001D7D86">
        <w:t>s motion</w:t>
      </w:r>
      <w:r w:rsidR="00162B23">
        <w:t xml:space="preserve"> to vacate forfeiture and exonerate bond</w:t>
      </w:r>
      <w:r w:rsidR="00330A88">
        <w:t>, it</w:t>
      </w:r>
      <w:r w:rsidR="008B4026">
        <w:t xml:space="preserve">s </w:t>
      </w:r>
      <w:r w:rsidR="00A5647B">
        <w:t>primary</w:t>
      </w:r>
      <w:r w:rsidR="008B4026">
        <w:t xml:space="preserve"> contention</w:t>
      </w:r>
      <w:r w:rsidR="00330A88">
        <w:t xml:space="preserve"> on appeal</w:t>
      </w:r>
      <w:r w:rsidR="00E8491E">
        <w:t xml:space="preserve"> </w:t>
      </w:r>
      <w:r w:rsidR="008B4026">
        <w:t>is that</w:t>
      </w:r>
      <w:r w:rsidR="00451741">
        <w:t xml:space="preserve"> it is</w:t>
      </w:r>
      <w:r w:rsidR="009C79C1">
        <w:t xml:space="preserve"> </w:t>
      </w:r>
      <w:r w:rsidR="00451741">
        <w:t>entitled to appellate relief because</w:t>
      </w:r>
      <w:r w:rsidR="008B4026">
        <w:t xml:space="preserve"> </w:t>
      </w:r>
      <w:r w:rsidR="00670F2C">
        <w:t xml:space="preserve">the trial court has </w:t>
      </w:r>
      <w:r w:rsidR="002A3133">
        <w:t xml:space="preserve">now </w:t>
      </w:r>
      <w:r w:rsidR="00670F2C">
        <w:t xml:space="preserve">lost jurisdiction to enforce the </w:t>
      </w:r>
      <w:r w:rsidR="002A3133">
        <w:t>forfeiture</w:t>
      </w:r>
      <w:r w:rsidR="00330A88">
        <w:t xml:space="preserve">.  </w:t>
      </w:r>
      <w:r w:rsidR="00CA4C2D">
        <w:t xml:space="preserve">The Surety </w:t>
      </w:r>
      <w:r w:rsidR="00901D74">
        <w:t xml:space="preserve">asserts </w:t>
      </w:r>
      <w:r w:rsidR="00CA4C2D">
        <w:t xml:space="preserve">that, </w:t>
      </w:r>
      <w:r w:rsidR="00CA4C2D" w:rsidRPr="002A3133">
        <w:t>after</w:t>
      </w:r>
      <w:r w:rsidR="00CA4C2D">
        <w:t xml:space="preserve"> </w:t>
      </w:r>
      <w:r w:rsidR="002E05A1">
        <w:t>the deni</w:t>
      </w:r>
      <w:r w:rsidR="002909EF">
        <w:t>al</w:t>
      </w:r>
      <w:r w:rsidR="002E05A1">
        <w:t xml:space="preserve"> </w:t>
      </w:r>
      <w:r w:rsidR="002909EF">
        <w:t xml:space="preserve">of </w:t>
      </w:r>
      <w:r w:rsidR="00460F67">
        <w:t>its</w:t>
      </w:r>
      <w:r w:rsidR="002E05A1">
        <w:t xml:space="preserve"> motion</w:t>
      </w:r>
      <w:r w:rsidR="006C41E4">
        <w:t>,</w:t>
      </w:r>
      <w:r w:rsidR="00D704AD">
        <w:t xml:space="preserve"> </w:t>
      </w:r>
      <w:r w:rsidR="003C1D42">
        <w:t xml:space="preserve">the trial court failed to enter </w:t>
      </w:r>
      <w:r w:rsidR="00D704AD">
        <w:t xml:space="preserve">summary judgment </w:t>
      </w:r>
      <w:r w:rsidR="00670F2C">
        <w:t xml:space="preserve">against the Surety </w:t>
      </w:r>
      <w:r w:rsidR="006C41E4">
        <w:t xml:space="preserve">within the </w:t>
      </w:r>
      <w:r w:rsidR="00CF604C">
        <w:t>statutory period for doing so</w:t>
      </w:r>
      <w:r w:rsidR="00A17201">
        <w:t xml:space="preserve"> </w:t>
      </w:r>
      <w:r w:rsidR="00115C85">
        <w:t>and</w:t>
      </w:r>
      <w:r w:rsidR="002432EB">
        <w:t xml:space="preserve"> therefore, pursuant to</w:t>
      </w:r>
      <w:r w:rsidR="00972398">
        <w:t xml:space="preserve"> section 1306, subdivision (c) (§ 1306(c)), </w:t>
      </w:r>
      <w:r w:rsidR="00115C85">
        <w:t>“</w:t>
      </w:r>
      <w:r w:rsidR="004F3413">
        <w:t>the bail is exonerated</w:t>
      </w:r>
      <w:r w:rsidR="00972398">
        <w:t>.</w:t>
      </w:r>
      <w:r w:rsidR="004F3413">
        <w:t>”</w:t>
      </w:r>
      <w:r w:rsidR="00972398">
        <w:t xml:space="preserve"> </w:t>
      </w:r>
    </w:p>
    <w:p w14:paraId="50EEAC5B" w14:textId="4741C834" w:rsidR="00B12C3F" w:rsidRDefault="009413A3" w:rsidP="00CF604C">
      <w:r>
        <w:tab/>
      </w:r>
      <w:r w:rsidR="00FA23D8">
        <w:t xml:space="preserve">Before we </w:t>
      </w:r>
      <w:r w:rsidR="00972398">
        <w:t xml:space="preserve">can </w:t>
      </w:r>
      <w:r w:rsidR="0086110E">
        <w:t>address</w:t>
      </w:r>
      <w:r w:rsidR="00FA23D8">
        <w:t xml:space="preserve"> this contention, we </w:t>
      </w:r>
      <w:r w:rsidR="0086110E">
        <w:t xml:space="preserve">must decide whether </w:t>
      </w:r>
      <w:r w:rsidR="00941632">
        <w:t>we should consider</w:t>
      </w:r>
      <w:r w:rsidR="00FA5A75">
        <w:t xml:space="preserve"> </w:t>
      </w:r>
      <w:r w:rsidR="00AE09E4">
        <w:t>a fact</w:t>
      </w:r>
      <w:r w:rsidR="0057592A">
        <w:t xml:space="preserve"> </w:t>
      </w:r>
      <w:r w:rsidR="002A4563">
        <w:t xml:space="preserve">that </w:t>
      </w:r>
      <w:r w:rsidR="00B533D8">
        <w:t>did not exist when the court made its ruling.</w:t>
      </w:r>
      <w:r w:rsidR="00972398">
        <w:t xml:space="preserve">  </w:t>
      </w:r>
    </w:p>
    <w:p w14:paraId="532165B9" w14:textId="592F76C1" w:rsidR="00104818" w:rsidRPr="00EE0EC5" w:rsidRDefault="00B12C3F" w:rsidP="00C205D5">
      <w:r>
        <w:tab/>
      </w:r>
      <w:r w:rsidR="007704E0" w:rsidRPr="00631A96">
        <w:t xml:space="preserve">“It is an elementary rule of appellate procedure that, </w:t>
      </w:r>
      <w:r w:rsidR="007704E0" w:rsidRPr="00B533D8">
        <w:t xml:space="preserve">when reviewing the correctness of a </w:t>
      </w:r>
      <w:r w:rsidR="007704E0" w:rsidRPr="00EE0EC5">
        <w:t>trial court</w:t>
      </w:r>
      <w:r w:rsidR="00C205D5" w:rsidRPr="00EE0EC5">
        <w:t>’</w:t>
      </w:r>
      <w:r w:rsidR="007704E0" w:rsidRPr="00EE0EC5">
        <w:t>s judgment</w:t>
      </w:r>
      <w:r w:rsidR="00640462">
        <w:t xml:space="preserve"> [or appealable order]</w:t>
      </w:r>
      <w:r w:rsidR="007704E0" w:rsidRPr="00EE0EC5">
        <w:t xml:space="preserve">, an appellate court will consider only matters which were part of the record at the time the judgment </w:t>
      </w:r>
      <w:r w:rsidR="00640462">
        <w:t xml:space="preserve">[or order] </w:t>
      </w:r>
      <w:r w:rsidR="007704E0" w:rsidRPr="00EE0EC5">
        <w:t>was entered.</w:t>
      </w:r>
      <w:r w:rsidR="00640462">
        <w:t xml:space="preserve"> </w:t>
      </w:r>
      <w:r w:rsidR="007704E0" w:rsidRPr="00EE0EC5">
        <w:t xml:space="preserve"> [Citation.]  This rule preserves an orderly system of appellate procedure by preventing litigants from circumventing the normal sequence of litigation.</w:t>
      </w:r>
      <w:r w:rsidR="00825578" w:rsidRPr="00EE0EC5">
        <w:t>”  (</w:t>
      </w:r>
      <w:r w:rsidR="00825578" w:rsidRPr="00EE0EC5">
        <w:rPr>
          <w:i/>
          <w:iCs/>
        </w:rPr>
        <w:t>Reserve Insurance Co. v. Pisciotta</w:t>
      </w:r>
      <w:r w:rsidR="00825578" w:rsidRPr="00EE0EC5">
        <w:t xml:space="preserve"> (1982) 30 Cal.3d 800, 813 (</w:t>
      </w:r>
      <w:r w:rsidR="00751FB2" w:rsidRPr="00EE0EC5">
        <w:rPr>
          <w:i/>
          <w:iCs/>
        </w:rPr>
        <w:t>Reserve</w:t>
      </w:r>
      <w:r w:rsidR="009B4B7D" w:rsidRPr="00EE0EC5">
        <w:rPr>
          <w:i/>
          <w:iCs/>
        </w:rPr>
        <w:t xml:space="preserve"> Insurance</w:t>
      </w:r>
      <w:r w:rsidR="00751FB2" w:rsidRPr="00EE0EC5">
        <w:t>)</w:t>
      </w:r>
      <w:r w:rsidR="00825578" w:rsidRPr="00EE0EC5">
        <w:t>.)</w:t>
      </w:r>
      <w:r w:rsidRPr="00EE0EC5">
        <w:t xml:space="preserve">  </w:t>
      </w:r>
    </w:p>
    <w:p w14:paraId="3142D409" w14:textId="4919F650" w:rsidR="00C205D5" w:rsidRDefault="00104818" w:rsidP="00C205D5">
      <w:r w:rsidRPr="00EE0EC5">
        <w:lastRenderedPageBreak/>
        <w:tab/>
        <w:t>O</w:t>
      </w:r>
      <w:r w:rsidR="00C205D5" w:rsidRPr="00EE0EC5">
        <w:t>ur Supreme Court has recognized</w:t>
      </w:r>
      <w:r w:rsidRPr="00EE0EC5">
        <w:t>, however, that</w:t>
      </w:r>
      <w:r w:rsidR="00806DC9" w:rsidRPr="00EE0EC5">
        <w:t xml:space="preserve"> this rule</w:t>
      </w:r>
      <w:r w:rsidR="00023A15" w:rsidRPr="00EE0EC5">
        <w:t xml:space="preserve"> “</w:t>
      </w:r>
      <w:r w:rsidR="007704E0" w:rsidRPr="00EE0EC5">
        <w:t>is somewhat flexible</w:t>
      </w:r>
      <w:r w:rsidR="00023A15" w:rsidRPr="00EE0EC5">
        <w:t>.”  (</w:t>
      </w:r>
      <w:r w:rsidR="00023A15" w:rsidRPr="00EE0EC5">
        <w:rPr>
          <w:i/>
          <w:iCs/>
        </w:rPr>
        <w:t>Reserve Insurance</w:t>
      </w:r>
      <w:r w:rsidR="00023A15" w:rsidRPr="00EE0EC5">
        <w:t xml:space="preserve">, </w:t>
      </w:r>
      <w:r w:rsidR="00023A15" w:rsidRPr="00EE0EC5">
        <w:rPr>
          <w:i/>
        </w:rPr>
        <w:t>supra</w:t>
      </w:r>
      <w:r w:rsidR="00023A15" w:rsidRPr="00EE0EC5">
        <w:t xml:space="preserve">, </w:t>
      </w:r>
      <w:r w:rsidR="00B47B73" w:rsidRPr="00EE0EC5">
        <w:t xml:space="preserve">30 Cal.3d at </w:t>
      </w:r>
      <w:r w:rsidR="00CD3E60">
        <w:t xml:space="preserve">p. </w:t>
      </w:r>
      <w:r w:rsidR="00B47B73" w:rsidRPr="00EE0EC5">
        <w:t>813.)  For example, “</w:t>
      </w:r>
      <w:r w:rsidR="007704E0" w:rsidRPr="00EE0EC5">
        <w:t>courts have not hesitated</w:t>
      </w:r>
      <w:r w:rsidR="007704E0" w:rsidRPr="00631A96">
        <w:t xml:space="preserve"> to consider postjudgment events when legislative changes have occurred subsequent to a judgment [citations] or when subsequent events have caused issues to become moot [citation].</w:t>
      </w:r>
      <w:r w:rsidR="00B47B73">
        <w:t>”  (</w:t>
      </w:r>
      <w:r w:rsidR="00B47B73" w:rsidRPr="00B47B73">
        <w:rPr>
          <w:i/>
          <w:iCs/>
        </w:rPr>
        <w:t>Ibid</w:t>
      </w:r>
      <w:r w:rsidR="00B47B73">
        <w:t xml:space="preserve">.)  </w:t>
      </w:r>
      <w:r w:rsidR="00D34549">
        <w:t xml:space="preserve">In </w:t>
      </w:r>
      <w:r w:rsidR="00D34549" w:rsidRPr="00372C26">
        <w:rPr>
          <w:i/>
          <w:iCs/>
        </w:rPr>
        <w:t>Reserve</w:t>
      </w:r>
      <w:r w:rsidR="00FC67B6" w:rsidRPr="00372C26">
        <w:rPr>
          <w:i/>
          <w:iCs/>
        </w:rPr>
        <w:t xml:space="preserve"> Insurance</w:t>
      </w:r>
      <w:r w:rsidR="00FC67B6">
        <w:t xml:space="preserve">, our high court </w:t>
      </w:r>
      <w:r w:rsidR="00AF520F">
        <w:t xml:space="preserve">deemed it appropriate to consider the fact </w:t>
      </w:r>
      <w:r w:rsidR="00A23C87">
        <w:t xml:space="preserve">that </w:t>
      </w:r>
      <w:r w:rsidR="00AF520F">
        <w:t>a</w:t>
      </w:r>
      <w:r w:rsidR="00114C0B">
        <w:t xml:space="preserve"> </w:t>
      </w:r>
      <w:r w:rsidR="0000467C">
        <w:t>plaintiff insurance company</w:t>
      </w:r>
      <w:r w:rsidR="00A23C87">
        <w:t xml:space="preserve"> became insolvent </w:t>
      </w:r>
      <w:r w:rsidR="00AF520F">
        <w:t>post</w:t>
      </w:r>
      <w:r w:rsidR="0045672B">
        <w:t xml:space="preserve">judgment in </w:t>
      </w:r>
      <w:r w:rsidR="00A23C87">
        <w:t>resolving</w:t>
      </w:r>
      <w:r w:rsidR="0045672B">
        <w:t xml:space="preserve"> </w:t>
      </w:r>
      <w:r w:rsidR="005E52B7">
        <w:t>an</w:t>
      </w:r>
      <w:r w:rsidR="0045672B">
        <w:t xml:space="preserve"> appeal </w:t>
      </w:r>
      <w:r w:rsidR="005F3066">
        <w:t xml:space="preserve">in a </w:t>
      </w:r>
      <w:r w:rsidR="00372C26">
        <w:t>declaratory judgment action</w:t>
      </w:r>
      <w:r w:rsidR="00114C0B">
        <w:t xml:space="preserve"> regarding </w:t>
      </w:r>
      <w:r w:rsidR="00DF6519">
        <w:t>insurance coverage</w:t>
      </w:r>
      <w:r w:rsidR="005F3066">
        <w:t>.</w:t>
      </w:r>
      <w:r w:rsidR="00372C26">
        <w:t xml:space="preserve"> </w:t>
      </w:r>
      <w:r w:rsidR="002B46BB">
        <w:t xml:space="preserve"> (</w:t>
      </w:r>
      <w:r w:rsidR="002909EF">
        <w:rPr>
          <w:i/>
          <w:iCs/>
        </w:rPr>
        <w:t>Id</w:t>
      </w:r>
      <w:r w:rsidR="002909EF">
        <w:t>. a</w:t>
      </w:r>
      <w:r w:rsidR="002B46BB">
        <w:t xml:space="preserve">t pp. </w:t>
      </w:r>
      <w:r w:rsidR="00C3477E">
        <w:t>805</w:t>
      </w:r>
      <w:r w:rsidR="003D6F2D">
        <w:t>–</w:t>
      </w:r>
      <w:r w:rsidR="00CD3E60">
        <w:t>8</w:t>
      </w:r>
      <w:r w:rsidR="00C3477E">
        <w:t xml:space="preserve">06, </w:t>
      </w:r>
      <w:r w:rsidR="002B46BB">
        <w:t xml:space="preserve">813.)  </w:t>
      </w:r>
      <w:r w:rsidR="00C3477E">
        <w:t>The court reasoned, “</w:t>
      </w:r>
      <w:r w:rsidR="007704E0" w:rsidRPr="00631A96">
        <w:t xml:space="preserve">because the fact </w:t>
      </w:r>
      <w:r w:rsidR="00C3477E">
        <w:t xml:space="preserve">[of insolvency] </w:t>
      </w:r>
      <w:r w:rsidR="007704E0" w:rsidRPr="00631A96">
        <w:t>is not in dispute, we do not usurp the fact-finding function of the trial court.  A prompt determination by us avoids the necessity for repetitive litigation of issues that have been fully briefed.</w:t>
      </w:r>
      <w:r w:rsidR="00C3477E">
        <w:t xml:space="preserve"> </w:t>
      </w:r>
      <w:r w:rsidR="007704E0" w:rsidRPr="00631A96">
        <w:t xml:space="preserve"> Furthermore, the court records regarding </w:t>
      </w:r>
      <w:r w:rsidR="002321CC">
        <w:t>[the insurance company]</w:t>
      </w:r>
      <w:r w:rsidR="00C3477E">
        <w:t>’</w:t>
      </w:r>
      <w:r w:rsidR="007704E0" w:rsidRPr="00631A96">
        <w:t>s insolvency would properly be the subject of judicial notice.</w:t>
      </w:r>
      <w:r w:rsidR="002321CC">
        <w:t>”  (</w:t>
      </w:r>
      <w:r w:rsidR="002321CC" w:rsidRPr="002321CC">
        <w:rPr>
          <w:i/>
          <w:iCs/>
        </w:rPr>
        <w:t>Id</w:t>
      </w:r>
      <w:r w:rsidR="002321CC">
        <w:t xml:space="preserve">. at p. 813.)  </w:t>
      </w:r>
    </w:p>
    <w:p w14:paraId="48ACD09F" w14:textId="09D77974" w:rsidR="007704E0" w:rsidRPr="00EE0EC5" w:rsidRDefault="00E73228" w:rsidP="00346FD2">
      <w:r>
        <w:tab/>
        <w:t>We believe t</w:t>
      </w:r>
      <w:r w:rsidR="00B061E3">
        <w:t>h</w:t>
      </w:r>
      <w:r>
        <w:t>is</w:t>
      </w:r>
      <w:r w:rsidR="00EA057C">
        <w:t xml:space="preserve"> appeal </w:t>
      </w:r>
      <w:r w:rsidR="005E758C">
        <w:t>presents</w:t>
      </w:r>
      <w:r w:rsidR="0050626A">
        <w:t xml:space="preserve"> that</w:t>
      </w:r>
      <w:r w:rsidR="00EA057C">
        <w:t xml:space="preserve"> </w:t>
      </w:r>
      <w:r w:rsidR="00A66DC0">
        <w:t xml:space="preserve">rare case where it is appropriate for us to </w:t>
      </w:r>
      <w:r w:rsidR="00A66DC0" w:rsidRPr="00EE0EC5">
        <w:t xml:space="preserve">consider </w:t>
      </w:r>
      <w:r w:rsidR="005C65C4" w:rsidRPr="00EE0EC5">
        <w:t>events</w:t>
      </w:r>
      <w:r w:rsidR="006E62C1">
        <w:t xml:space="preserve"> that occurred after</w:t>
      </w:r>
      <w:r w:rsidR="00DA2478">
        <w:t xml:space="preserve"> entry of the appealed order</w:t>
      </w:r>
      <w:r w:rsidR="00A31A69" w:rsidRPr="00EE0EC5">
        <w:t xml:space="preserve">.  </w:t>
      </w:r>
      <w:r w:rsidR="005E758C" w:rsidRPr="00EE0EC5">
        <w:t xml:space="preserve">It is </w:t>
      </w:r>
      <w:r w:rsidR="00E636A7">
        <w:t>un</w:t>
      </w:r>
      <w:r w:rsidR="005E758C" w:rsidRPr="00EE0EC5">
        <w:t>disputed t</w:t>
      </w:r>
      <w:r w:rsidR="00A31A69" w:rsidRPr="00EE0EC5">
        <w:t>hat no summary judgment has been entered i</w:t>
      </w:r>
      <w:r w:rsidR="005E758C" w:rsidRPr="00EE0EC5">
        <w:t>n this case</w:t>
      </w:r>
      <w:r w:rsidR="009D16E1">
        <w:t>.  A</w:t>
      </w:r>
      <w:r w:rsidR="00CA24AD" w:rsidRPr="00EE0EC5">
        <w:t xml:space="preserve"> prompt determination that the bond has been exonerated avoids repetitive litigation</w:t>
      </w:r>
      <w:r w:rsidR="009D16E1">
        <w:t>.</w:t>
      </w:r>
      <w:r w:rsidR="008018AE" w:rsidRPr="00EE0EC5">
        <w:t xml:space="preserve"> </w:t>
      </w:r>
      <w:r w:rsidR="0090174C">
        <w:t xml:space="preserve"> </w:t>
      </w:r>
      <w:r w:rsidR="009D16E1">
        <w:t>An</w:t>
      </w:r>
      <w:r w:rsidR="008018AE" w:rsidRPr="00EE0EC5">
        <w:t>d the court record showing the absence of a summary judgment would properly be the subject of judicial notice</w:t>
      </w:r>
      <w:r w:rsidR="008E27DD" w:rsidRPr="00EE0EC5">
        <w:t xml:space="preserve"> (Evid. Code, § </w:t>
      </w:r>
      <w:r w:rsidR="00EE4246" w:rsidRPr="00EE0EC5">
        <w:t>452, subd. (d))</w:t>
      </w:r>
      <w:r w:rsidR="00CA24AD" w:rsidRPr="00EE0EC5">
        <w:t xml:space="preserve">.  </w:t>
      </w:r>
      <w:r w:rsidR="0050626A" w:rsidRPr="00EE0EC5">
        <w:t xml:space="preserve">Accordingly, we </w:t>
      </w:r>
      <w:r w:rsidR="00EE4246" w:rsidRPr="00EE0EC5">
        <w:t xml:space="preserve">will </w:t>
      </w:r>
      <w:r w:rsidR="00770470">
        <w:t xml:space="preserve">consider </w:t>
      </w:r>
      <w:r w:rsidR="00303CFA">
        <w:t>th</w:t>
      </w:r>
      <w:r w:rsidR="00912580">
        <w:t xml:space="preserve">e </w:t>
      </w:r>
      <w:r w:rsidR="005A74DD">
        <w:t xml:space="preserve">new </w:t>
      </w:r>
      <w:r w:rsidR="00912580">
        <w:t xml:space="preserve">fact that the trial court </w:t>
      </w:r>
      <w:r w:rsidR="005A74DD">
        <w:t xml:space="preserve">has </w:t>
      </w:r>
      <w:r w:rsidR="00912580">
        <w:t>failed to enter summary judgment</w:t>
      </w:r>
      <w:r w:rsidR="00D45FDD">
        <w:t xml:space="preserve"> </w:t>
      </w:r>
      <w:r w:rsidR="005A74DD">
        <w:t xml:space="preserve">as of </w:t>
      </w:r>
      <w:r w:rsidR="00747295">
        <w:t>September 21, 2020</w:t>
      </w:r>
      <w:r w:rsidR="0050626A" w:rsidRPr="00EE0EC5">
        <w:t xml:space="preserve">.  </w:t>
      </w:r>
    </w:p>
    <w:p w14:paraId="0B5B49FE" w14:textId="2A5B1DCD" w:rsidR="00F41FE8" w:rsidRDefault="000D48AF" w:rsidP="000D48AF">
      <w:r w:rsidRPr="00EE0EC5">
        <w:tab/>
        <w:t xml:space="preserve">“When a person for whom a bail bond has been posted fails without sufficient excuse to appear as required, the trial court must declare a forfeiture of the bond. </w:t>
      </w:r>
      <w:r w:rsidR="00CD3E60">
        <w:t xml:space="preserve"> </w:t>
      </w:r>
      <w:r w:rsidRPr="00EE0EC5">
        <w:t>(§</w:t>
      </w:r>
      <w:r w:rsidR="00CD3E60">
        <w:t> </w:t>
      </w:r>
      <w:r w:rsidRPr="00EE0EC5">
        <w:t>1305, subd. (a).)</w:t>
      </w:r>
      <w:r w:rsidR="00F41FE8" w:rsidRPr="00EE0EC5">
        <w:t xml:space="preserve">”  </w:t>
      </w:r>
      <w:r w:rsidR="006C2ED9" w:rsidRPr="00EE0EC5">
        <w:t>(</w:t>
      </w:r>
      <w:r w:rsidRPr="00EE0EC5">
        <w:rPr>
          <w:i/>
          <w:iCs/>
        </w:rPr>
        <w:t>People v. American Contractors Indemnity Co</w:t>
      </w:r>
      <w:r w:rsidRPr="00EE0EC5">
        <w:t>. (2004) 33 Cal.4th 653, 658</w:t>
      </w:r>
      <w:r w:rsidR="00335645" w:rsidRPr="00EE0EC5">
        <w:t xml:space="preserve"> (</w:t>
      </w:r>
      <w:r w:rsidR="00335645" w:rsidRPr="00EE0EC5">
        <w:rPr>
          <w:i/>
          <w:iCs/>
        </w:rPr>
        <w:t>American Contractors</w:t>
      </w:r>
      <w:r w:rsidR="00335645" w:rsidRPr="00EE0EC5">
        <w:t>).</w:t>
      </w:r>
      <w:r w:rsidR="006C2ED9" w:rsidRPr="00EE0EC5">
        <w:t xml:space="preserve">) </w:t>
      </w:r>
      <w:r w:rsidR="00F41FE8" w:rsidRPr="00EE0EC5">
        <w:t xml:space="preserve"> </w:t>
      </w:r>
      <w:r w:rsidR="00C33ECC" w:rsidRPr="00EE0EC5">
        <w:t>Here, defendant</w:t>
      </w:r>
      <w:r w:rsidR="00C33ECC">
        <w:t xml:space="preserve"> failed to appear</w:t>
      </w:r>
      <w:r w:rsidR="00A726F7">
        <w:t xml:space="preserve"> on September 13, 2018</w:t>
      </w:r>
      <w:r w:rsidR="00141553">
        <w:t>, and t</w:t>
      </w:r>
      <w:r w:rsidR="00B97175">
        <w:t xml:space="preserve">he </w:t>
      </w:r>
      <w:r w:rsidR="00A726F7">
        <w:t xml:space="preserve">clerk mailed a </w:t>
      </w:r>
      <w:r w:rsidR="00A726F7">
        <w:lastRenderedPageBreak/>
        <w:t>notice of forfeiture</w:t>
      </w:r>
      <w:r w:rsidR="00B97175">
        <w:t xml:space="preserve"> on September 21</w:t>
      </w:r>
      <w:r w:rsidR="00C358B1">
        <w:t>, 2018, starting the 185</w:t>
      </w:r>
      <w:r w:rsidR="00786CA3">
        <w:t>–</w:t>
      </w:r>
      <w:r w:rsidR="00EA3315">
        <w:t xml:space="preserve">day </w:t>
      </w:r>
      <w:r w:rsidR="00C358B1">
        <w:t>appearance period</w:t>
      </w:r>
      <w:r w:rsidR="00B97175">
        <w:t xml:space="preserve">.  </w:t>
      </w:r>
      <w:r w:rsidR="00F41FE8">
        <w:t>(</w:t>
      </w:r>
      <w:r w:rsidR="005655DF">
        <w:t xml:space="preserve">See </w:t>
      </w:r>
      <w:r w:rsidR="00EA3315" w:rsidRPr="00EA3315">
        <w:rPr>
          <w:i/>
          <w:iCs/>
        </w:rPr>
        <w:t>ibid</w:t>
      </w:r>
      <w:r w:rsidR="00EA3315">
        <w:t>.</w:t>
      </w:r>
      <w:r w:rsidR="009060D1">
        <w:t>; § </w:t>
      </w:r>
      <w:r w:rsidR="005317C4">
        <w:t>1305, subd. (b)(1).</w:t>
      </w:r>
      <w:r w:rsidR="00EA3315">
        <w:t>)</w:t>
      </w:r>
      <w:r w:rsidR="00605571">
        <w:rPr>
          <w:rStyle w:val="FootnoteReference"/>
        </w:rPr>
        <w:footnoteReference w:id="8"/>
      </w:r>
      <w:r w:rsidR="00EA3315">
        <w:t xml:space="preserve">  </w:t>
      </w:r>
    </w:p>
    <w:p w14:paraId="4922EB74" w14:textId="4F1BC70B" w:rsidR="00B30CA3" w:rsidRDefault="00A711DC" w:rsidP="00B30CA3">
      <w:r>
        <w:tab/>
      </w:r>
      <w:r w:rsidR="00B93141">
        <w:t>A</w:t>
      </w:r>
      <w:r w:rsidR="00F13D6D">
        <w:t xml:space="preserve">fter the </w:t>
      </w:r>
      <w:r w:rsidR="00D51182">
        <w:t>appearance period “</w:t>
      </w:r>
      <w:r w:rsidR="00B30CA3">
        <w:t>has elapsed without the forfeiture having been set aside, the court which has declared the forfeiture shall enter a summary judgment against each bondsman named in the bond in the amount for which the bondsman is bound.</w:t>
      </w:r>
      <w:r w:rsidR="004001B2">
        <w:t xml:space="preserve">”  </w:t>
      </w:r>
      <w:r w:rsidR="00900AF4">
        <w:t>(§ 1306, subd. (</w:t>
      </w:r>
      <w:r w:rsidR="00A55CA5">
        <w:t>a</w:t>
      </w:r>
      <w:r w:rsidR="007468CE">
        <w:t>)</w:t>
      </w:r>
      <w:r w:rsidR="00A55CA5">
        <w:t xml:space="preserve">.)  </w:t>
      </w:r>
    </w:p>
    <w:p w14:paraId="3DE4922E" w14:textId="756458DA" w:rsidR="00A24109" w:rsidRDefault="00F6569E" w:rsidP="00A24109">
      <w:r>
        <w:tab/>
      </w:r>
      <w:r w:rsidR="00DF345F">
        <w:t>But t</w:t>
      </w:r>
      <w:r w:rsidR="004B0124">
        <w:t xml:space="preserve">he trial court’s authority to enter summary judgment is time limited.  </w:t>
      </w:r>
      <w:r w:rsidR="00C46B9B">
        <w:t>S</w:t>
      </w:r>
      <w:r>
        <w:t>ection 1306(c),</w:t>
      </w:r>
      <w:r w:rsidR="00624F7A">
        <w:t xml:space="preserve"> </w:t>
      </w:r>
      <w:r>
        <w:t>provides, “</w:t>
      </w:r>
      <w:r w:rsidR="00E15FF3">
        <w:t xml:space="preserve">If, because of the failure of any court to promptly perform the duties enjoined upon it pursuant to this section, summary judgment is not entered within 90 days after the date upon which it may first be entered, </w:t>
      </w:r>
      <w:r w:rsidR="00E15FF3" w:rsidRPr="00845951">
        <w:rPr>
          <w:i/>
          <w:iCs/>
        </w:rPr>
        <w:t>the right to do so expires and the bail is exonerated</w:t>
      </w:r>
      <w:r w:rsidR="00E15FF3">
        <w:t>.</w:t>
      </w:r>
      <w:r w:rsidR="0009024F">
        <w:t>”</w:t>
      </w:r>
      <w:r w:rsidR="003C6BEA">
        <w:t xml:space="preserve">  </w:t>
      </w:r>
      <w:r w:rsidR="00845951">
        <w:t xml:space="preserve">(Italics added.)  </w:t>
      </w:r>
      <w:r w:rsidR="004600D6">
        <w:t xml:space="preserve">This time limit is jurisdictional.  (See </w:t>
      </w:r>
      <w:r w:rsidR="004600D6" w:rsidRPr="004600D6">
        <w:rPr>
          <w:i/>
          <w:iCs/>
        </w:rPr>
        <w:t>American Contractors</w:t>
      </w:r>
      <w:r w:rsidR="004600D6">
        <w:t xml:space="preserve">, </w:t>
      </w:r>
      <w:r w:rsidR="004600D6">
        <w:rPr>
          <w:i/>
        </w:rPr>
        <w:t>supra</w:t>
      </w:r>
      <w:r w:rsidR="004600D6" w:rsidRPr="00210332">
        <w:t xml:space="preserve">, </w:t>
      </w:r>
      <w:r w:rsidR="004600D6">
        <w:t xml:space="preserve">33 Cal.4th </w:t>
      </w:r>
      <w:r w:rsidR="0032337E">
        <w:t>at p.</w:t>
      </w:r>
      <w:r w:rsidR="004600D6">
        <w:t xml:space="preserve"> 663 [</w:t>
      </w:r>
      <w:r w:rsidR="006F4AE4">
        <w:t>“</w:t>
      </w:r>
      <w:r w:rsidR="0032337E">
        <w:t> </w:t>
      </w:r>
      <w:r w:rsidR="006F4AE4">
        <w:t>‘</w:t>
      </w:r>
      <w:r w:rsidR="00E04162">
        <w:t xml:space="preserve">Under the Penal Code, </w:t>
      </w:r>
      <w:r w:rsidR="00E04162" w:rsidRPr="004600D6">
        <w:rPr>
          <w:i/>
          <w:iCs/>
        </w:rPr>
        <w:t>a court has jurisdiction</w:t>
      </w:r>
      <w:r w:rsidR="00E04162">
        <w:t xml:space="preserve"> over a bail bond from the point that it is issued </w:t>
      </w:r>
      <w:r w:rsidR="00E04162" w:rsidRPr="004600D6">
        <w:rPr>
          <w:i/>
          <w:iCs/>
        </w:rPr>
        <w:t>until</w:t>
      </w:r>
      <w:r w:rsidR="00E04162">
        <w:t xml:space="preserve"> the point it is either satisfied, exonerated, or </w:t>
      </w:r>
      <w:r w:rsidR="00E04162" w:rsidRPr="004600D6">
        <w:rPr>
          <w:i/>
          <w:iCs/>
        </w:rPr>
        <w:t>time expires to enter summary judgment</w:t>
      </w:r>
      <w:r w:rsidR="00E04162">
        <w:t xml:space="preserve"> after forfeiture</w:t>
      </w:r>
      <w:r w:rsidR="006F4AE4">
        <w:t>’</w:t>
      </w:r>
      <w:r w:rsidR="0032337E">
        <w:t> </w:t>
      </w:r>
      <w:r w:rsidR="00E04162">
        <w:t>”</w:t>
      </w:r>
      <w:r w:rsidR="00F50090">
        <w:t xml:space="preserve"> (italics added)</w:t>
      </w:r>
      <w:r w:rsidR="004600D6">
        <w:t>]</w:t>
      </w:r>
      <w:r w:rsidR="00A24109">
        <w:t xml:space="preserve">; </w:t>
      </w:r>
      <w:r w:rsidR="00A24109" w:rsidRPr="00A24109">
        <w:rPr>
          <w:i/>
          <w:iCs/>
        </w:rPr>
        <w:t>People v. Surety Ins. Co</w:t>
      </w:r>
      <w:r w:rsidR="00A24109">
        <w:t>. (1973) 30 Cal.App.3d 75, 79–80 [</w:t>
      </w:r>
      <w:r w:rsidR="00ED6AE0">
        <w:t>“</w:t>
      </w:r>
      <w:r w:rsidR="00A24109">
        <w:t>There can be no doubt the Legislature intended to impose a 90</w:t>
      </w:r>
      <w:r w:rsidR="00A6579B">
        <w:t>–</w:t>
      </w:r>
      <w:r w:rsidR="00A24109">
        <w:t xml:space="preserve">day time limit in which to enter summary judgments on defaulted bail which is </w:t>
      </w:r>
      <w:r w:rsidR="00A24109">
        <w:lastRenderedPageBreak/>
        <w:t>jurisdictional, for the statute uses the words: ‘</w:t>
      </w:r>
      <w:r w:rsidR="0032337E">
        <w:t>[or]</w:t>
      </w:r>
      <w:r w:rsidR="00A24109">
        <w:t>the right to do so expires and the bail is exonerated’</w:t>
      </w:r>
      <w:r w:rsidR="0032337E">
        <w:t> </w:t>
      </w:r>
      <w:r w:rsidR="00ED6AE0">
        <w:t>”].</w:t>
      </w:r>
      <w:r w:rsidR="0032337E">
        <w:t>)</w:t>
      </w:r>
      <w:r w:rsidR="00ED6AE0">
        <w:t xml:space="preserve">  </w:t>
      </w:r>
    </w:p>
    <w:p w14:paraId="1DAC4304" w14:textId="3118D48D" w:rsidR="00F73C66" w:rsidRPr="00EE0EC5" w:rsidRDefault="004B0124" w:rsidP="00730679">
      <w:r>
        <w:tab/>
      </w:r>
      <w:r w:rsidR="00924B7E">
        <w:t xml:space="preserve">Generally, </w:t>
      </w:r>
      <w:r w:rsidR="00216421">
        <w:t>the 90</w:t>
      </w:r>
      <w:r w:rsidR="00786CA3">
        <w:t>–</w:t>
      </w:r>
      <w:r w:rsidR="00216421">
        <w:t xml:space="preserve">day period during which the trial court </w:t>
      </w:r>
      <w:r w:rsidR="002B3E64">
        <w:t>has authority to</w:t>
      </w:r>
      <w:r w:rsidR="00216421">
        <w:t xml:space="preserve"> enter summ</w:t>
      </w:r>
      <w:r w:rsidR="00B921EE">
        <w:t>ary judgment begins after the 185</w:t>
      </w:r>
      <w:r w:rsidR="00786CA3">
        <w:t>–</w:t>
      </w:r>
      <w:r w:rsidR="00B921EE">
        <w:t xml:space="preserve">day appearance period.  </w:t>
      </w:r>
      <w:r w:rsidR="001F2003" w:rsidRPr="00EE0EC5">
        <w:t xml:space="preserve">However, </w:t>
      </w:r>
      <w:r w:rsidR="00730679" w:rsidRPr="00EE0EC5">
        <w:t>“</w:t>
      </w:r>
      <w:r w:rsidR="00BE5562" w:rsidRPr="00EE0EC5">
        <w:t>i</w:t>
      </w:r>
      <w:r w:rsidR="00AA57A4" w:rsidRPr="00EE0EC5">
        <w:t xml:space="preserve">n cases where a motion to vacate forfeiture is timely filed prior to the expiration of the </w:t>
      </w:r>
      <w:r w:rsidR="0060745E" w:rsidRPr="00EE0EC5">
        <w:t>[appearance]</w:t>
      </w:r>
      <w:r w:rsidR="00AA57A4" w:rsidRPr="00EE0EC5">
        <w:t xml:space="preserve"> period, but not decided until after that period, the 90–day period to enter summary judgment begins to run when the motion is denied.</w:t>
      </w:r>
      <w:r w:rsidR="00786CA3" w:rsidRPr="00EE0EC5">
        <w:t xml:space="preserve">”  </w:t>
      </w:r>
      <w:r w:rsidR="00BE5562" w:rsidRPr="00EE0EC5">
        <w:t>(</w:t>
      </w:r>
      <w:r w:rsidR="00BE5562" w:rsidRPr="00EE0EC5">
        <w:rPr>
          <w:i/>
          <w:iCs/>
        </w:rPr>
        <w:t>People v. Granite State Insurance Co</w:t>
      </w:r>
      <w:r w:rsidR="00BE5562" w:rsidRPr="00EE0EC5">
        <w:t>. (2003) 114 Cal.App.4th 758, 767</w:t>
      </w:r>
      <w:r w:rsidR="00E80817" w:rsidRPr="00EE0EC5">
        <w:t xml:space="preserve"> (</w:t>
      </w:r>
      <w:r w:rsidR="00E80817" w:rsidRPr="00EE0EC5">
        <w:rPr>
          <w:i/>
          <w:iCs/>
        </w:rPr>
        <w:t>Granite State</w:t>
      </w:r>
      <w:r w:rsidR="00E80817" w:rsidRPr="00EE0EC5">
        <w:t>)</w:t>
      </w:r>
      <w:r w:rsidR="004B1DBB" w:rsidRPr="00EE0EC5">
        <w:t xml:space="preserve">.) </w:t>
      </w:r>
    </w:p>
    <w:p w14:paraId="1887CFB4" w14:textId="25B19324" w:rsidR="00002489" w:rsidRDefault="00F50090" w:rsidP="00CA2BA8">
      <w:r w:rsidRPr="00EE0EC5">
        <w:tab/>
      </w:r>
      <w:r w:rsidR="00BA465F" w:rsidRPr="00EE0EC5">
        <w:t xml:space="preserve">In this case, </w:t>
      </w:r>
      <w:r w:rsidR="000D3986" w:rsidRPr="00EE0EC5">
        <w:t xml:space="preserve">the Surety filed a timely </w:t>
      </w:r>
      <w:r w:rsidR="00B57153" w:rsidRPr="00EE0EC5">
        <w:t xml:space="preserve">motion to vacate forfeiture and exonerate bond on </w:t>
      </w:r>
      <w:r w:rsidR="00DB3ED7" w:rsidRPr="00EE0EC5">
        <w:t xml:space="preserve">the 185th day of the appearance period, March 25, 2019.  </w:t>
      </w:r>
      <w:r w:rsidR="003974C6" w:rsidRPr="00EE0EC5">
        <w:t>Therefore, u</w:t>
      </w:r>
      <w:r w:rsidR="00E80817" w:rsidRPr="00EE0EC5">
        <w:t xml:space="preserve">nder </w:t>
      </w:r>
      <w:r w:rsidR="00E80817" w:rsidRPr="00EE0EC5">
        <w:rPr>
          <w:i/>
          <w:iCs/>
        </w:rPr>
        <w:t>Granite State</w:t>
      </w:r>
      <w:r w:rsidR="00E80817" w:rsidRPr="00EE0EC5">
        <w:t xml:space="preserve">, the </w:t>
      </w:r>
      <w:r w:rsidR="000E3803" w:rsidRPr="00EE0EC5">
        <w:t>trial court’s 90–day period to enter summary judgment</w:t>
      </w:r>
      <w:r w:rsidR="00857C0A" w:rsidRPr="00EE0EC5">
        <w:t xml:space="preserve"> </w:t>
      </w:r>
      <w:r w:rsidR="000E3803" w:rsidRPr="00EE0EC5">
        <w:t xml:space="preserve">began </w:t>
      </w:r>
      <w:r w:rsidRPr="00EE0EC5">
        <w:t>after</w:t>
      </w:r>
      <w:r w:rsidR="003E7C0B" w:rsidRPr="00EE0EC5">
        <w:t xml:space="preserve"> </w:t>
      </w:r>
      <w:r w:rsidRPr="00EE0EC5">
        <w:t>the court</w:t>
      </w:r>
      <w:r w:rsidR="002F433B" w:rsidRPr="00EE0EC5">
        <w:t xml:space="preserve"> denied the</w:t>
      </w:r>
      <w:r w:rsidR="00857C0A" w:rsidRPr="00EE0EC5">
        <w:t xml:space="preserve"> Surety’s</w:t>
      </w:r>
      <w:r w:rsidR="002F433B" w:rsidRPr="00EE0EC5">
        <w:t xml:space="preserve"> </w:t>
      </w:r>
      <w:r w:rsidR="003E7C0B" w:rsidRPr="00EE0EC5">
        <w:t xml:space="preserve">motion on April 15, 2019.  </w:t>
      </w:r>
      <w:r w:rsidR="00CB5C52" w:rsidRPr="00EE0EC5">
        <w:t xml:space="preserve">That </w:t>
      </w:r>
      <w:r w:rsidR="0015193F" w:rsidRPr="00EE0EC5">
        <w:t>period expired July 15, 2019.</w:t>
      </w:r>
      <w:r w:rsidR="009028DB" w:rsidRPr="00EE0EC5">
        <w:rPr>
          <w:rStyle w:val="FootnoteReference"/>
        </w:rPr>
        <w:footnoteReference w:id="9"/>
      </w:r>
      <w:r w:rsidR="0015193F" w:rsidRPr="00EE0EC5">
        <w:t xml:space="preserve">  </w:t>
      </w:r>
      <w:r w:rsidR="006C4474" w:rsidRPr="00EE0EC5">
        <w:t xml:space="preserve">Since it is not disputed that summary judgment was not entered </w:t>
      </w:r>
      <w:r w:rsidR="00F0689A">
        <w:t>by July 15, 2019</w:t>
      </w:r>
      <w:r w:rsidR="009D39E9" w:rsidRPr="00EE0EC5">
        <w:t xml:space="preserve">, </w:t>
      </w:r>
      <w:r w:rsidR="002877EA" w:rsidRPr="00EE0EC5">
        <w:t xml:space="preserve">the trial court’s </w:t>
      </w:r>
      <w:r w:rsidR="009D39E9" w:rsidRPr="00EE0EC5">
        <w:t>“</w:t>
      </w:r>
      <w:r w:rsidR="006C4474" w:rsidRPr="00EE0EC5">
        <w:t xml:space="preserve">right to </w:t>
      </w:r>
      <w:r w:rsidR="002877EA" w:rsidRPr="00EE0EC5">
        <w:t>[enter summary judgment]</w:t>
      </w:r>
      <w:r w:rsidR="006C4474" w:rsidRPr="00EE0EC5">
        <w:t xml:space="preserve"> expire</w:t>
      </w:r>
      <w:r w:rsidR="002877EA" w:rsidRPr="00EE0EC5">
        <w:t>[d]</w:t>
      </w:r>
      <w:r w:rsidR="006C4474" w:rsidRPr="00EE0EC5">
        <w:t xml:space="preserve"> and </w:t>
      </w:r>
      <w:r w:rsidR="006C4474" w:rsidRPr="00FB092C">
        <w:rPr>
          <w:i/>
          <w:iCs/>
        </w:rPr>
        <w:t>the bail is exonerated</w:t>
      </w:r>
      <w:r w:rsidR="006C4474" w:rsidRPr="00EE0EC5">
        <w:t xml:space="preserve">.”  </w:t>
      </w:r>
      <w:r w:rsidR="002877EA" w:rsidRPr="00EE0EC5">
        <w:t>(</w:t>
      </w:r>
      <w:r w:rsidR="00483D59" w:rsidRPr="00EE0EC5">
        <w:t>§ 1306(c)</w:t>
      </w:r>
      <w:r w:rsidR="00495835">
        <w:t>, italics added</w:t>
      </w:r>
      <w:r w:rsidR="00E561D7" w:rsidRPr="00EE0EC5">
        <w:t xml:space="preserve">; see </w:t>
      </w:r>
      <w:r w:rsidR="00CA2BA8" w:rsidRPr="00EE0EC5">
        <w:rPr>
          <w:i/>
          <w:iCs/>
        </w:rPr>
        <w:t>American</w:t>
      </w:r>
      <w:r w:rsidR="00CA2BA8" w:rsidRPr="00E561D7">
        <w:rPr>
          <w:i/>
          <w:iCs/>
        </w:rPr>
        <w:t xml:space="preserve"> Contractors</w:t>
      </w:r>
      <w:r w:rsidR="00E561D7">
        <w:t xml:space="preserve">, </w:t>
      </w:r>
      <w:r w:rsidR="00E561D7">
        <w:rPr>
          <w:i/>
        </w:rPr>
        <w:t>supra</w:t>
      </w:r>
      <w:r w:rsidR="00E561D7" w:rsidRPr="00210332">
        <w:t xml:space="preserve">, </w:t>
      </w:r>
      <w:r w:rsidR="00CA2BA8">
        <w:t xml:space="preserve">33 Cal.4th </w:t>
      </w:r>
      <w:r w:rsidR="00E561D7">
        <w:t>at p.</w:t>
      </w:r>
      <w:r w:rsidR="00CA2BA8">
        <w:t xml:space="preserve"> 658 [</w:t>
      </w:r>
      <w:r w:rsidR="00E561D7">
        <w:t>“</w:t>
      </w:r>
      <w:r w:rsidR="00CA2BA8">
        <w:t>If summary judgment is not entered within the statutory 90–day period, the bond is exonerated</w:t>
      </w:r>
      <w:r w:rsidR="00E561D7">
        <w:t xml:space="preserve">”].)  </w:t>
      </w:r>
    </w:p>
    <w:p w14:paraId="33E007DC" w14:textId="39837446" w:rsidR="003F349D" w:rsidRDefault="00002489" w:rsidP="00CA2BA8">
      <w:r>
        <w:lastRenderedPageBreak/>
        <w:tab/>
      </w:r>
      <w:r w:rsidR="008D0EFD">
        <w:t>Under these circumstances,</w:t>
      </w:r>
      <w:r w:rsidR="00836234">
        <w:t xml:space="preserve"> </w:t>
      </w:r>
      <w:r w:rsidR="00BC4644">
        <w:t>the</w:t>
      </w:r>
      <w:r w:rsidR="00AD21CD">
        <w:t xml:space="preserve">re is no purpose in our </w:t>
      </w:r>
      <w:r w:rsidR="00671907">
        <w:t xml:space="preserve">determining whether the trial court erred in denying </w:t>
      </w:r>
      <w:r w:rsidR="004A4C54">
        <w:t xml:space="preserve">either </w:t>
      </w:r>
      <w:r w:rsidR="00671907">
        <w:t>the</w:t>
      </w:r>
      <w:r w:rsidR="004A4C54">
        <w:t xml:space="preserve"> Surety’s</w:t>
      </w:r>
      <w:r w:rsidR="00671907">
        <w:t xml:space="preserve"> motion to vacate forfeiture and exonerate</w:t>
      </w:r>
      <w:r w:rsidR="004A4C54">
        <w:t xml:space="preserve"> bond or its subsequent motion to toll</w:t>
      </w:r>
      <w:r w:rsidR="00662814">
        <w:t xml:space="preserve"> because, i</w:t>
      </w:r>
      <w:r w:rsidR="004A4C54">
        <w:t xml:space="preserve">n any event, the </w:t>
      </w:r>
      <w:r w:rsidR="00BC4644">
        <w:t xml:space="preserve">People cannot </w:t>
      </w:r>
      <w:r w:rsidR="00A84102">
        <w:t xml:space="preserve">enforce </w:t>
      </w:r>
      <w:r w:rsidR="00BA286B">
        <w:t xml:space="preserve">the forfeiture of </w:t>
      </w:r>
      <w:r w:rsidR="001915FE">
        <w:t>the bond</w:t>
      </w:r>
      <w:r w:rsidR="004A4C54">
        <w:t>.</w:t>
      </w:r>
      <w:r w:rsidR="00836234">
        <w:t xml:space="preserve"> </w:t>
      </w:r>
      <w:r w:rsidR="00662814">
        <w:t xml:space="preserve"> </w:t>
      </w:r>
      <w:r w:rsidR="006156E5">
        <w:t xml:space="preserve">The appeal of the trial court’s rulings has been, in effect, mooted </w:t>
      </w:r>
      <w:r w:rsidR="00E445E9">
        <w:t xml:space="preserve">by subsequent events.  </w:t>
      </w:r>
    </w:p>
    <w:p w14:paraId="2BECC015" w14:textId="59B2F500" w:rsidR="00D11740" w:rsidRDefault="003F349D" w:rsidP="00CA2BA8">
      <w:r>
        <w:tab/>
      </w:r>
      <w:r w:rsidR="00CC36C7">
        <w:t>T</w:t>
      </w:r>
      <w:r w:rsidR="008D0EFD">
        <w:t xml:space="preserve">he </w:t>
      </w:r>
      <w:r w:rsidR="00D227A5">
        <w:t xml:space="preserve">People offered no </w:t>
      </w:r>
      <w:r w:rsidR="00D02998">
        <w:t>argument</w:t>
      </w:r>
      <w:r w:rsidR="00630F91">
        <w:t xml:space="preserve"> for avoiding the </w:t>
      </w:r>
      <w:r w:rsidR="00E275C5">
        <w:t xml:space="preserve">result that the bond has been </w:t>
      </w:r>
      <w:r w:rsidR="00630F91">
        <w:t>exonerat</w:t>
      </w:r>
      <w:r w:rsidR="00E275C5">
        <w:t>ed by operation of law</w:t>
      </w:r>
      <w:r w:rsidR="006E568C">
        <w:t xml:space="preserve"> under section 1306(c).</w:t>
      </w:r>
      <w:r w:rsidR="0066616D">
        <w:t xml:space="preserve">  </w:t>
      </w:r>
      <w:r w:rsidR="000914D4">
        <w:t>At</w:t>
      </w:r>
      <w:r w:rsidR="00663FB5">
        <w:t xml:space="preserve"> oral argument, county counsel stated he had no evidence that the period for entering summary judgment had not expired</w:t>
      </w:r>
      <w:r w:rsidR="00F14384">
        <w:t>,</w:t>
      </w:r>
      <w:r w:rsidR="00663FB5">
        <w:t xml:space="preserve"> and </w:t>
      </w:r>
      <w:r w:rsidR="00F14384">
        <w:t xml:space="preserve">he </w:t>
      </w:r>
      <w:r w:rsidR="00663FB5">
        <w:t xml:space="preserve">suggested that if the Surety </w:t>
      </w:r>
      <w:r w:rsidR="00941884">
        <w:t xml:space="preserve">were to </w:t>
      </w:r>
      <w:r w:rsidR="00663FB5">
        <w:t>file a motion to exonerate the bond under section 1306(c) in the trial court, the People would likely file a non-opposition.  T</w:t>
      </w:r>
      <w:r w:rsidR="001A0E84">
        <w:t>hus, t</w:t>
      </w:r>
      <w:r w:rsidR="00663FB5">
        <w:t xml:space="preserve">here is no dispute about either the absence of summary judgment in this case or the legal consequence of that absence. </w:t>
      </w:r>
      <w:r w:rsidR="00114E18">
        <w:t xml:space="preserve"> </w:t>
      </w:r>
      <w:r w:rsidR="00E17B0F">
        <w:t xml:space="preserve">In concluding </w:t>
      </w:r>
      <w:r w:rsidR="00701CA8">
        <w:t xml:space="preserve">the bond is exonerated, </w:t>
      </w:r>
      <w:r w:rsidR="0049301B">
        <w:t xml:space="preserve">“we do not </w:t>
      </w:r>
      <w:r w:rsidR="0049301B" w:rsidRPr="00631A96">
        <w:t>usurp the fact-finding function of the trial court</w:t>
      </w:r>
      <w:r w:rsidR="0049301B">
        <w:t>” because</w:t>
      </w:r>
      <w:r w:rsidR="00312A35">
        <w:t xml:space="preserve"> the facts are un</w:t>
      </w:r>
      <w:r w:rsidR="0049301B">
        <w:t>disputed.</w:t>
      </w:r>
      <w:r w:rsidR="00701CA8">
        <w:t xml:space="preserve"> </w:t>
      </w:r>
      <w:r w:rsidR="0049301B">
        <w:t xml:space="preserve"> </w:t>
      </w:r>
      <w:r w:rsidR="006F73F6" w:rsidRPr="00EE0EC5">
        <w:t>(</w:t>
      </w:r>
      <w:r w:rsidR="006F73F6" w:rsidRPr="00EE0EC5">
        <w:rPr>
          <w:i/>
          <w:iCs/>
        </w:rPr>
        <w:t>Reserve Insurance</w:t>
      </w:r>
      <w:r w:rsidR="006F73F6" w:rsidRPr="00EE0EC5">
        <w:t xml:space="preserve">, </w:t>
      </w:r>
      <w:r w:rsidR="006F73F6" w:rsidRPr="00EE0EC5">
        <w:rPr>
          <w:i/>
        </w:rPr>
        <w:t>supra</w:t>
      </w:r>
      <w:r w:rsidR="006F73F6" w:rsidRPr="00EE0EC5">
        <w:t xml:space="preserve">, 30 Cal.3d at </w:t>
      </w:r>
      <w:r w:rsidR="0032337E">
        <w:t xml:space="preserve">p. </w:t>
      </w:r>
      <w:r w:rsidR="006F73F6" w:rsidRPr="00EE0EC5">
        <w:t xml:space="preserve">813.) </w:t>
      </w:r>
    </w:p>
    <w:p w14:paraId="2ACD433F" w14:textId="77AFD5C6" w:rsidR="00CA2BA8" w:rsidRDefault="00D11740" w:rsidP="00CA2BA8">
      <w:r>
        <w:tab/>
      </w:r>
      <w:r w:rsidR="00A83138">
        <w:t xml:space="preserve">We reiterate the </w:t>
      </w:r>
      <w:r w:rsidR="003748D0">
        <w:t>general</w:t>
      </w:r>
      <w:r w:rsidR="005E3439">
        <w:t xml:space="preserve"> </w:t>
      </w:r>
      <w:r w:rsidR="00A83138">
        <w:t>“</w:t>
      </w:r>
      <w:r w:rsidR="00A83138" w:rsidRPr="00631A96">
        <w:t xml:space="preserve">rule of appellate procedure </w:t>
      </w:r>
      <w:r w:rsidR="005E3439">
        <w:t xml:space="preserve">[is] </w:t>
      </w:r>
      <w:r w:rsidR="00A83138" w:rsidRPr="00631A96">
        <w:t xml:space="preserve">that, </w:t>
      </w:r>
      <w:r w:rsidR="00A83138" w:rsidRPr="00B533D8">
        <w:t xml:space="preserve">when reviewing the correctness of a </w:t>
      </w:r>
      <w:r w:rsidR="00A83138" w:rsidRPr="00EE0EC5">
        <w:t xml:space="preserve">trial court’s </w:t>
      </w:r>
      <w:r w:rsidR="00A47818">
        <w:t>[order]</w:t>
      </w:r>
      <w:r w:rsidR="00A83138" w:rsidRPr="00EE0EC5">
        <w:t xml:space="preserve">, an appellate court will consider only matters which were part of the record at the time the </w:t>
      </w:r>
      <w:r w:rsidR="00A47818">
        <w:t>[order]</w:t>
      </w:r>
      <w:r w:rsidR="0032337E">
        <w:t xml:space="preserve"> was entered</w:t>
      </w:r>
      <w:r w:rsidR="00A83138" w:rsidRPr="00EE0EC5">
        <w:t>.</w:t>
      </w:r>
      <w:r w:rsidR="00C07C91">
        <w:t xml:space="preserve">” </w:t>
      </w:r>
      <w:r w:rsidR="00A83138" w:rsidRPr="00EE0EC5">
        <w:t xml:space="preserve"> </w:t>
      </w:r>
      <w:r w:rsidR="00C07C91" w:rsidRPr="00EE0EC5">
        <w:t>(</w:t>
      </w:r>
      <w:r w:rsidR="00C07C91" w:rsidRPr="00EE0EC5">
        <w:rPr>
          <w:i/>
          <w:iCs/>
        </w:rPr>
        <w:t>Reserve Insurance</w:t>
      </w:r>
      <w:r w:rsidR="00C07C91" w:rsidRPr="00EE0EC5">
        <w:t xml:space="preserve">, </w:t>
      </w:r>
      <w:r w:rsidR="00C07C91" w:rsidRPr="00EE0EC5">
        <w:rPr>
          <w:i/>
        </w:rPr>
        <w:t>supra</w:t>
      </w:r>
      <w:r w:rsidR="00C07C91" w:rsidRPr="00EE0EC5">
        <w:t xml:space="preserve">, 30 Cal.3d at </w:t>
      </w:r>
      <w:r w:rsidR="0032337E">
        <w:t xml:space="preserve">at p. </w:t>
      </w:r>
      <w:r w:rsidR="00C07C91" w:rsidRPr="00EE0EC5">
        <w:t xml:space="preserve">813.)  </w:t>
      </w:r>
      <w:r w:rsidR="00F94D55">
        <w:t>T</w:t>
      </w:r>
      <w:r w:rsidR="007F2605">
        <w:t>his rule</w:t>
      </w:r>
      <w:r w:rsidR="00FE6464">
        <w:t xml:space="preserve"> </w:t>
      </w:r>
      <w:r w:rsidR="00663FB5">
        <w:t>“</w:t>
      </w:r>
      <w:r w:rsidR="00663FB5" w:rsidRPr="00EE0EC5">
        <w:t>preserve</w:t>
      </w:r>
      <w:r w:rsidR="007F2605">
        <w:t>s</w:t>
      </w:r>
      <w:r w:rsidR="00663FB5" w:rsidRPr="00EE0EC5">
        <w:t xml:space="preserve"> an orderly system of appellate procedure </w:t>
      </w:r>
      <w:r w:rsidR="00FE6464">
        <w:t>[and]</w:t>
      </w:r>
      <w:r w:rsidR="00663FB5" w:rsidRPr="00EE0EC5">
        <w:t xml:space="preserve"> prevent</w:t>
      </w:r>
      <w:r w:rsidR="00FE6464">
        <w:t>[</w:t>
      </w:r>
      <w:r w:rsidR="007F2605">
        <w:t>s</w:t>
      </w:r>
      <w:r w:rsidR="00FE6464">
        <w:t>]</w:t>
      </w:r>
      <w:r w:rsidR="00663FB5" w:rsidRPr="00EE0EC5">
        <w:t xml:space="preserve"> litigants from circumventing the normal sequence of litigation</w:t>
      </w:r>
      <w:r w:rsidR="007D704D">
        <w:t>.</w:t>
      </w:r>
      <w:r w:rsidR="00663FB5" w:rsidRPr="00EE0EC5">
        <w:t>”</w:t>
      </w:r>
      <w:r w:rsidR="008B5ABA">
        <w:t xml:space="preserve">  </w:t>
      </w:r>
      <w:r w:rsidR="003A331B">
        <w:t>(</w:t>
      </w:r>
      <w:r w:rsidR="007A4AD5" w:rsidRPr="00EB65DA">
        <w:rPr>
          <w:i/>
          <w:iCs/>
        </w:rPr>
        <w:t>Ibid</w:t>
      </w:r>
      <w:r w:rsidR="007A4AD5">
        <w:t xml:space="preserve">.) </w:t>
      </w:r>
      <w:r w:rsidR="003748D0">
        <w:t xml:space="preserve"> </w:t>
      </w:r>
      <w:r w:rsidR="00D61F51">
        <w:t>But</w:t>
      </w:r>
      <w:r w:rsidR="002420C5">
        <w:t xml:space="preserve"> </w:t>
      </w:r>
      <w:r w:rsidR="0019440E">
        <w:t>in this unusual case</w:t>
      </w:r>
      <w:r w:rsidR="004812CE">
        <w:t>, i</w:t>
      </w:r>
      <w:r w:rsidR="006E568C">
        <w:t>n the interests of judicial efficiency, w</w:t>
      </w:r>
      <w:r w:rsidR="00836234">
        <w:t xml:space="preserve">e will direct the trial court to </w:t>
      </w:r>
      <w:r w:rsidR="00A84700">
        <w:t xml:space="preserve">enter an order exonerating the bond.  </w:t>
      </w:r>
    </w:p>
    <w:p w14:paraId="75CBB196" w14:textId="62F3A1C6" w:rsidR="00247437" w:rsidRPr="00A84700" w:rsidRDefault="00A84700" w:rsidP="00EB65DA">
      <w:pPr>
        <w:keepNext/>
        <w:jc w:val="center"/>
        <w:rPr>
          <w:b/>
          <w:bCs/>
        </w:rPr>
      </w:pPr>
      <w:r w:rsidRPr="00A84700">
        <w:rPr>
          <w:b/>
          <w:bCs/>
        </w:rPr>
        <w:t>DISPOSITION</w:t>
      </w:r>
    </w:p>
    <w:p w14:paraId="2268BC4F" w14:textId="2FCE3E26" w:rsidR="00247437" w:rsidRDefault="00BE0AAA" w:rsidP="00247437">
      <w:r>
        <w:tab/>
      </w:r>
      <w:r w:rsidR="00247437">
        <w:t xml:space="preserve">The </w:t>
      </w:r>
      <w:r w:rsidR="00F15041">
        <w:t>trial</w:t>
      </w:r>
      <w:r w:rsidR="00247437">
        <w:t xml:space="preserve"> court is directed to enter an order exonerating the bond.</w:t>
      </w:r>
      <w:r w:rsidR="00F15041">
        <w:t xml:space="preserve">  </w:t>
      </w:r>
    </w:p>
    <w:p w14:paraId="642C8D5D" w14:textId="416DE51B" w:rsidR="005E6859" w:rsidRDefault="005E6859">
      <w:pPr>
        <w:tabs>
          <w:tab w:val="clear" w:pos="720"/>
        </w:tabs>
        <w:spacing w:line="360" w:lineRule="auto"/>
      </w:pPr>
      <w:r>
        <w:br w:type="page"/>
      </w:r>
    </w:p>
    <w:p w14:paraId="2FFB0A10" w14:textId="4CBDC5B4" w:rsidR="00EA057C" w:rsidRDefault="00EA057C" w:rsidP="00FD189A">
      <w:pPr>
        <w:spacing w:line="360" w:lineRule="auto"/>
      </w:pPr>
    </w:p>
    <w:p w14:paraId="27566595" w14:textId="3883BAC7" w:rsidR="005E6859" w:rsidRDefault="005E6859" w:rsidP="00FD189A">
      <w:pPr>
        <w:spacing w:line="360" w:lineRule="auto"/>
      </w:pPr>
    </w:p>
    <w:p w14:paraId="30A1403B" w14:textId="3529EC67" w:rsidR="005E6859" w:rsidRDefault="005E6859" w:rsidP="00FD189A">
      <w:pPr>
        <w:spacing w:line="360" w:lineRule="auto"/>
      </w:pPr>
    </w:p>
    <w:p w14:paraId="245F0482" w14:textId="6C3CC7F0" w:rsidR="005E6859" w:rsidRDefault="005E6859" w:rsidP="00FD189A">
      <w:pPr>
        <w:spacing w:line="360" w:lineRule="auto"/>
      </w:pPr>
    </w:p>
    <w:p w14:paraId="72CF44C9" w14:textId="148EC3F0" w:rsidR="005E6859" w:rsidRDefault="005E6859" w:rsidP="00FD189A">
      <w:pPr>
        <w:spacing w:line="360" w:lineRule="auto"/>
      </w:pPr>
    </w:p>
    <w:p w14:paraId="43FF9DD6" w14:textId="4056F7CE" w:rsidR="005E6859" w:rsidRDefault="005E6859" w:rsidP="005E6859">
      <w:pPr>
        <w:spacing w:line="240" w:lineRule="auto"/>
      </w:pPr>
    </w:p>
    <w:p w14:paraId="636D643D" w14:textId="2794E33B" w:rsidR="005E6859" w:rsidRDefault="005E6859" w:rsidP="005E6859">
      <w:pPr>
        <w:spacing w:line="240" w:lineRule="auto"/>
      </w:pPr>
      <w:r>
        <w:tab/>
      </w:r>
      <w:r>
        <w:tab/>
      </w:r>
      <w:r>
        <w:tab/>
      </w:r>
      <w:r>
        <w:tab/>
      </w:r>
      <w:r>
        <w:tab/>
      </w:r>
      <w:r>
        <w:tab/>
      </w:r>
      <w:r>
        <w:tab/>
        <w:t>_________________________</w:t>
      </w:r>
    </w:p>
    <w:p w14:paraId="15DE1C49" w14:textId="7420BECE" w:rsidR="005E6859" w:rsidRDefault="005E6859" w:rsidP="005E6859">
      <w:pPr>
        <w:spacing w:line="240" w:lineRule="auto"/>
      </w:pPr>
      <w:r>
        <w:tab/>
      </w:r>
      <w:r>
        <w:tab/>
      </w:r>
      <w:r>
        <w:tab/>
      </w:r>
      <w:r>
        <w:tab/>
      </w:r>
      <w:r>
        <w:tab/>
      </w:r>
      <w:r>
        <w:tab/>
      </w:r>
      <w:r>
        <w:tab/>
        <w:t>Miller, J.</w:t>
      </w:r>
    </w:p>
    <w:p w14:paraId="2744EBC9" w14:textId="1A1636BE" w:rsidR="005E6859" w:rsidRDefault="005E6859" w:rsidP="005E6859">
      <w:pPr>
        <w:spacing w:line="240" w:lineRule="auto"/>
      </w:pPr>
    </w:p>
    <w:p w14:paraId="613EDDC1" w14:textId="43CE20EF" w:rsidR="005E6859" w:rsidRDefault="005E6859" w:rsidP="005E6859">
      <w:pPr>
        <w:spacing w:line="240" w:lineRule="auto"/>
      </w:pPr>
    </w:p>
    <w:p w14:paraId="55D25946" w14:textId="7F895707" w:rsidR="005E6859" w:rsidRDefault="005E6859" w:rsidP="005E6859">
      <w:pPr>
        <w:spacing w:line="240" w:lineRule="auto"/>
      </w:pPr>
      <w:r>
        <w:t>WE CONCUR:</w:t>
      </w:r>
    </w:p>
    <w:p w14:paraId="52DC9876" w14:textId="73D1CD71" w:rsidR="005E6859" w:rsidRDefault="005E6859" w:rsidP="005E6859">
      <w:pPr>
        <w:spacing w:line="240" w:lineRule="auto"/>
      </w:pPr>
    </w:p>
    <w:p w14:paraId="52C35B71" w14:textId="2B97CD67" w:rsidR="005E6859" w:rsidRDefault="005E6859" w:rsidP="005E6859">
      <w:pPr>
        <w:spacing w:line="240" w:lineRule="auto"/>
      </w:pPr>
    </w:p>
    <w:p w14:paraId="79AFA99A" w14:textId="23FEB6BE" w:rsidR="005E6859" w:rsidRDefault="005E6859" w:rsidP="005E6859">
      <w:pPr>
        <w:spacing w:line="240" w:lineRule="auto"/>
      </w:pPr>
      <w:r>
        <w:t>_________________________</w:t>
      </w:r>
    </w:p>
    <w:p w14:paraId="7DB5640C" w14:textId="04D4EBEC" w:rsidR="005E6859" w:rsidRDefault="005E6859" w:rsidP="005E6859">
      <w:pPr>
        <w:spacing w:line="240" w:lineRule="auto"/>
      </w:pPr>
      <w:r>
        <w:t>Richman, Acting P.J.</w:t>
      </w:r>
    </w:p>
    <w:p w14:paraId="776B5CCD" w14:textId="6CD41AC8" w:rsidR="005E6859" w:rsidRDefault="005E6859" w:rsidP="005E6859">
      <w:pPr>
        <w:spacing w:line="240" w:lineRule="auto"/>
      </w:pPr>
    </w:p>
    <w:p w14:paraId="201463AB" w14:textId="49405815" w:rsidR="005E6859" w:rsidRDefault="005E6859" w:rsidP="005E6859">
      <w:pPr>
        <w:spacing w:line="240" w:lineRule="auto"/>
      </w:pPr>
    </w:p>
    <w:p w14:paraId="448009FA" w14:textId="78799D15" w:rsidR="005E6859" w:rsidRDefault="005E6859" w:rsidP="005E6859">
      <w:pPr>
        <w:spacing w:line="240" w:lineRule="auto"/>
      </w:pPr>
      <w:r>
        <w:t>_________________________</w:t>
      </w:r>
    </w:p>
    <w:p w14:paraId="6C8C3306" w14:textId="47801459" w:rsidR="005E6859" w:rsidRDefault="005E6859" w:rsidP="005E6859">
      <w:pPr>
        <w:spacing w:line="240" w:lineRule="auto"/>
      </w:pPr>
      <w:r>
        <w:t>Stewart, J.</w:t>
      </w:r>
    </w:p>
    <w:p w14:paraId="17998688" w14:textId="77CACDF8" w:rsidR="005E6859" w:rsidRDefault="005E6859" w:rsidP="005E6859">
      <w:pPr>
        <w:spacing w:line="240" w:lineRule="auto"/>
      </w:pPr>
    </w:p>
    <w:p w14:paraId="3A4C96A2" w14:textId="273BA24A" w:rsidR="005E6859" w:rsidRDefault="005E6859" w:rsidP="005E6859">
      <w:pPr>
        <w:spacing w:line="240" w:lineRule="auto"/>
      </w:pPr>
    </w:p>
    <w:p w14:paraId="35CDB7C4" w14:textId="300FAD9A" w:rsidR="005E6859" w:rsidRDefault="005E6859" w:rsidP="005E6859">
      <w:pPr>
        <w:spacing w:line="240" w:lineRule="auto"/>
      </w:pPr>
    </w:p>
    <w:p w14:paraId="6483A6CA" w14:textId="29A275EA" w:rsidR="005E6859" w:rsidRDefault="005E6859" w:rsidP="005E6859">
      <w:pPr>
        <w:spacing w:line="240" w:lineRule="auto"/>
      </w:pPr>
    </w:p>
    <w:p w14:paraId="58926660" w14:textId="036E5EF3" w:rsidR="005E6859" w:rsidRDefault="005E6859" w:rsidP="005E6859">
      <w:pPr>
        <w:spacing w:line="240" w:lineRule="auto"/>
      </w:pPr>
    </w:p>
    <w:p w14:paraId="3C3D3D3C" w14:textId="1463000A" w:rsidR="005E6859" w:rsidRDefault="005E6859" w:rsidP="005E6859">
      <w:pPr>
        <w:spacing w:line="240" w:lineRule="auto"/>
      </w:pPr>
    </w:p>
    <w:p w14:paraId="35053FEC" w14:textId="257214BB" w:rsidR="005E6859" w:rsidRDefault="005E6859" w:rsidP="005E6859">
      <w:pPr>
        <w:spacing w:line="240" w:lineRule="auto"/>
      </w:pPr>
    </w:p>
    <w:p w14:paraId="2492152A" w14:textId="1342ADD3" w:rsidR="005E6859" w:rsidRDefault="005E6859" w:rsidP="005E6859">
      <w:pPr>
        <w:spacing w:line="240" w:lineRule="auto"/>
      </w:pPr>
    </w:p>
    <w:p w14:paraId="001328A9" w14:textId="7A0B86ED" w:rsidR="005E6859" w:rsidRDefault="005E6859" w:rsidP="005E6859">
      <w:pPr>
        <w:spacing w:line="240" w:lineRule="auto"/>
      </w:pPr>
    </w:p>
    <w:p w14:paraId="27442065" w14:textId="7B9B9256" w:rsidR="005E6859" w:rsidRDefault="005E6859" w:rsidP="005E6859">
      <w:pPr>
        <w:spacing w:line="240" w:lineRule="auto"/>
      </w:pPr>
    </w:p>
    <w:p w14:paraId="1A49F0AB" w14:textId="21A29AAD" w:rsidR="005E6859" w:rsidRDefault="005E6859" w:rsidP="005E6859">
      <w:pPr>
        <w:spacing w:line="240" w:lineRule="auto"/>
      </w:pPr>
    </w:p>
    <w:p w14:paraId="7614AE6B" w14:textId="12743B55" w:rsidR="005E6859" w:rsidRDefault="005E6859" w:rsidP="005E6859">
      <w:pPr>
        <w:spacing w:line="240" w:lineRule="auto"/>
      </w:pPr>
    </w:p>
    <w:p w14:paraId="1014D41E" w14:textId="155265BF" w:rsidR="005E6859" w:rsidRDefault="005E6859" w:rsidP="005E6859">
      <w:pPr>
        <w:spacing w:line="240" w:lineRule="auto"/>
        <w:rPr>
          <w:i/>
          <w:iCs/>
        </w:rPr>
      </w:pPr>
      <w:r>
        <w:t xml:space="preserve">A157633, </w:t>
      </w:r>
      <w:r w:rsidRPr="005E6859">
        <w:rPr>
          <w:i/>
          <w:iCs/>
        </w:rPr>
        <w:t>People v. Bankers Ins. Co.</w:t>
      </w:r>
    </w:p>
    <w:p w14:paraId="151601C4" w14:textId="77777777" w:rsidR="005E6859" w:rsidRDefault="005E6859">
      <w:pPr>
        <w:tabs>
          <w:tab w:val="clear" w:pos="720"/>
        </w:tabs>
        <w:spacing w:line="360" w:lineRule="auto"/>
        <w:rPr>
          <w:i/>
          <w:iCs/>
        </w:rPr>
      </w:pPr>
      <w:r>
        <w:rPr>
          <w:i/>
          <w:iCs/>
        </w:rPr>
        <w:br w:type="page"/>
      </w:r>
    </w:p>
    <w:p w14:paraId="09A18AB1" w14:textId="084E8A95" w:rsidR="005E6859" w:rsidRDefault="005E6859" w:rsidP="005E6859">
      <w:pPr>
        <w:spacing w:line="240" w:lineRule="auto"/>
      </w:pPr>
    </w:p>
    <w:p w14:paraId="48272974" w14:textId="216E313E" w:rsidR="005E6859" w:rsidRDefault="005E6859" w:rsidP="005E6859">
      <w:pPr>
        <w:spacing w:line="240" w:lineRule="auto"/>
      </w:pPr>
    </w:p>
    <w:p w14:paraId="1B63D2CB" w14:textId="5F9A8338" w:rsidR="005E6859" w:rsidRDefault="005E6859" w:rsidP="005E6859">
      <w:pPr>
        <w:spacing w:line="240" w:lineRule="auto"/>
      </w:pPr>
    </w:p>
    <w:p w14:paraId="45A8F481" w14:textId="7DB8C7AF" w:rsidR="005E6859" w:rsidRDefault="005E6859" w:rsidP="005E6859">
      <w:pPr>
        <w:spacing w:line="240" w:lineRule="auto"/>
      </w:pPr>
    </w:p>
    <w:p w14:paraId="34D18813" w14:textId="655E1259" w:rsidR="005E6859" w:rsidRDefault="005E6859" w:rsidP="005E6859">
      <w:pPr>
        <w:spacing w:line="240" w:lineRule="auto"/>
      </w:pPr>
    </w:p>
    <w:p w14:paraId="79A3DAAC" w14:textId="77777777" w:rsidR="005E6859" w:rsidRDefault="005E6859" w:rsidP="005E6859">
      <w:pPr>
        <w:spacing w:line="240" w:lineRule="auto"/>
      </w:pPr>
    </w:p>
    <w:p w14:paraId="1E0900A2" w14:textId="0B8E313A" w:rsidR="005E6859" w:rsidRDefault="005E6859" w:rsidP="005E6859">
      <w:pPr>
        <w:spacing w:line="240" w:lineRule="auto"/>
      </w:pPr>
      <w:r>
        <w:t>Court:  San Mateo County Superior Court</w:t>
      </w:r>
    </w:p>
    <w:p w14:paraId="5A69FBF9" w14:textId="77777777" w:rsidR="005E6859" w:rsidRDefault="005E6859" w:rsidP="005E6859">
      <w:pPr>
        <w:spacing w:line="240" w:lineRule="auto"/>
      </w:pPr>
    </w:p>
    <w:p w14:paraId="2EF47758" w14:textId="5B69345C" w:rsidR="005E6859" w:rsidRDefault="005E6859" w:rsidP="005E6859">
      <w:pPr>
        <w:spacing w:line="240" w:lineRule="auto"/>
      </w:pPr>
      <w:r>
        <w:t>Trial Judge:  Hon. Amarra A. Lee</w:t>
      </w:r>
    </w:p>
    <w:p w14:paraId="7393366B" w14:textId="77777777" w:rsidR="005E6859" w:rsidRDefault="005E6859" w:rsidP="005E6859">
      <w:pPr>
        <w:spacing w:line="240" w:lineRule="auto"/>
      </w:pPr>
    </w:p>
    <w:p w14:paraId="719BA3B3" w14:textId="1EC5BC7E" w:rsidR="005E6859" w:rsidRDefault="00FE2916" w:rsidP="005E6859">
      <w:pPr>
        <w:spacing w:line="240" w:lineRule="auto"/>
      </w:pPr>
      <w:r>
        <w:t xml:space="preserve">Law Office of John Rorabaugh, </w:t>
      </w:r>
      <w:r w:rsidR="005E6859">
        <w:t>John Mark Rorabaugh, Crystal L. Rorabaugh, for Defendant and Appellant</w:t>
      </w:r>
    </w:p>
    <w:p w14:paraId="7AE3FB8A" w14:textId="77777777" w:rsidR="005E6859" w:rsidRDefault="005E6859" w:rsidP="005E6859">
      <w:pPr>
        <w:spacing w:line="240" w:lineRule="auto"/>
      </w:pPr>
    </w:p>
    <w:p w14:paraId="1735E488" w14:textId="49B3D138" w:rsidR="005E6859" w:rsidRDefault="00FE2916" w:rsidP="005E6859">
      <w:pPr>
        <w:spacing w:line="240" w:lineRule="auto"/>
      </w:pPr>
      <w:r>
        <w:t>John C. Beiers, County Counsel, Joseph F. Charles, Deputy County Counsel</w:t>
      </w:r>
      <w:r w:rsidR="005E6859">
        <w:t>, for Plaintiff and Respondent</w:t>
      </w:r>
    </w:p>
    <w:p w14:paraId="098CF194" w14:textId="77777777" w:rsidR="005E6859" w:rsidRDefault="005E6859" w:rsidP="005E6859"/>
    <w:p w14:paraId="7F1C68C5" w14:textId="77777777" w:rsidR="005E6859" w:rsidRDefault="005E6859" w:rsidP="005E6859"/>
    <w:p w14:paraId="7FEC3BA2" w14:textId="77777777" w:rsidR="005E6859" w:rsidRDefault="005E6859" w:rsidP="005E6859"/>
    <w:p w14:paraId="24B8AF9D" w14:textId="77777777" w:rsidR="005E6859" w:rsidRDefault="005E6859" w:rsidP="005E6859"/>
    <w:p w14:paraId="5C35D3F4" w14:textId="77777777" w:rsidR="005E6859" w:rsidRDefault="005E6859" w:rsidP="005E6859"/>
    <w:p w14:paraId="18112124" w14:textId="77777777" w:rsidR="005E6859" w:rsidRDefault="005E6859" w:rsidP="005E6859"/>
    <w:p w14:paraId="64313253" w14:textId="77777777" w:rsidR="005E6859" w:rsidRDefault="005E6859" w:rsidP="005E6859"/>
    <w:p w14:paraId="4E648899" w14:textId="77777777" w:rsidR="005E6859" w:rsidRDefault="005E6859" w:rsidP="005E6859"/>
    <w:p w14:paraId="01D92563" w14:textId="77777777" w:rsidR="005E6859" w:rsidRDefault="005E6859" w:rsidP="005E6859"/>
    <w:p w14:paraId="027BE53D" w14:textId="77777777" w:rsidR="005E6859" w:rsidRDefault="005E6859" w:rsidP="005E6859"/>
    <w:p w14:paraId="66161752" w14:textId="77777777" w:rsidR="005E6859" w:rsidRDefault="005E6859" w:rsidP="005E6859"/>
    <w:p w14:paraId="7889A489" w14:textId="77777777" w:rsidR="005E6859" w:rsidRDefault="005E6859" w:rsidP="005E6859"/>
    <w:p w14:paraId="537A08B7" w14:textId="77777777" w:rsidR="005E6859" w:rsidRDefault="005E6859" w:rsidP="005E6859"/>
    <w:p w14:paraId="0BAD3285" w14:textId="1F79A4B0" w:rsidR="005E6859" w:rsidRDefault="00FE2916" w:rsidP="005E6859">
      <w:r>
        <w:t>A157633</w:t>
      </w:r>
      <w:r w:rsidR="005E6859">
        <w:t xml:space="preserve">, </w:t>
      </w:r>
      <w:r w:rsidR="005E6859">
        <w:rPr>
          <w:i/>
        </w:rPr>
        <w:t xml:space="preserve">People v. </w:t>
      </w:r>
      <w:r>
        <w:rPr>
          <w:i/>
        </w:rPr>
        <w:t>Bankers Ins. Co.</w:t>
      </w:r>
    </w:p>
    <w:p w14:paraId="0E77CA39" w14:textId="77777777" w:rsidR="005E6859" w:rsidRPr="00884B77" w:rsidRDefault="005E6859" w:rsidP="005E6859">
      <w:pPr>
        <w:spacing w:line="240" w:lineRule="auto"/>
      </w:pPr>
    </w:p>
    <w:p w14:paraId="64F2CB2E" w14:textId="77777777" w:rsidR="005E6859" w:rsidRDefault="005E6859" w:rsidP="005E6859">
      <w:pPr>
        <w:spacing w:line="240" w:lineRule="auto"/>
      </w:pPr>
    </w:p>
    <w:sectPr w:rsidR="005E6859" w:rsidSect="00473DD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3CE0" w14:textId="77777777" w:rsidR="00412918" w:rsidRDefault="00412918" w:rsidP="00C3208A">
      <w:pPr>
        <w:spacing w:line="240" w:lineRule="auto"/>
      </w:pPr>
      <w:r>
        <w:separator/>
      </w:r>
    </w:p>
  </w:endnote>
  <w:endnote w:type="continuationSeparator" w:id="0">
    <w:p w14:paraId="731D3A6E" w14:textId="77777777" w:rsidR="00412918" w:rsidRDefault="00412918" w:rsidP="00C32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ECE7" w14:textId="77777777" w:rsidR="00C3208A" w:rsidRDefault="00C3208A" w:rsidP="00AE2D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3C84366" w14:textId="77777777" w:rsidR="00C3208A" w:rsidRDefault="00C3208A" w:rsidP="00AE2D0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E38D920" w14:textId="77777777" w:rsidR="00C3208A" w:rsidRDefault="00C32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6298" w14:textId="7F40AEAD" w:rsidR="00C3208A" w:rsidRDefault="00C3208A" w:rsidP="00C3208A">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8AEFAF8" w14:textId="77777777" w:rsidR="00C3208A" w:rsidRDefault="00C32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D576E" w14:textId="77777777" w:rsidR="00412918" w:rsidRDefault="00412918" w:rsidP="00C3208A">
      <w:pPr>
        <w:spacing w:line="240" w:lineRule="auto"/>
      </w:pPr>
      <w:r>
        <w:separator/>
      </w:r>
    </w:p>
  </w:footnote>
  <w:footnote w:type="continuationSeparator" w:id="0">
    <w:p w14:paraId="135076C9" w14:textId="77777777" w:rsidR="00412918" w:rsidRDefault="00412918" w:rsidP="00C3208A">
      <w:pPr>
        <w:spacing w:line="240" w:lineRule="auto"/>
      </w:pPr>
      <w:r>
        <w:continuationSeparator/>
      </w:r>
    </w:p>
  </w:footnote>
  <w:footnote w:id="1">
    <w:p w14:paraId="16CADACB" w14:textId="62F12559" w:rsidR="003B798B" w:rsidRDefault="003B798B" w:rsidP="005E6859">
      <w:pPr>
        <w:pStyle w:val="FootnoteText"/>
        <w:spacing w:after="160"/>
        <w:ind w:firstLine="720"/>
      </w:pPr>
      <w:r>
        <w:rPr>
          <w:rStyle w:val="FootnoteReference"/>
        </w:rPr>
        <w:footnoteRef/>
      </w:r>
      <w:r>
        <w:t xml:space="preserve"> Clark declared he located defendant in custody at the Alameda County Jail on January 3, 2019.  Clark went to the jail and spoke with Technician H</w:t>
      </w:r>
      <w:r w:rsidR="00D0326F">
        <w:t>u</w:t>
      </w:r>
      <w:r>
        <w:t>ll on January 4.  He gave Hull an “Affidavit of Surrender” and “Receipt Accepting or Declining the Surrender” for defendant.  (</w:t>
      </w:r>
      <w:r w:rsidR="00D0326F">
        <w:t>T</w:t>
      </w:r>
      <w:r>
        <w:t>he “Receipt Accepting/Declining Surrender of Defendant by Bondsman” that Clark provided Hull identified Lee by date of birth and listed the San Mateo County criminal case number, the bond number, and the warrant number.</w:t>
      </w:r>
      <w:r w:rsidR="005E6859">
        <w:t>)</w:t>
      </w:r>
      <w:r>
        <w:t xml:space="preserve">  Hull said he would not be able to place a hold on defendant and told Clark to follow up the next day.  The next day, Clark called the Alameda County Jail and spoke with Deputy Sullivan, who told him they would not be able to place a hold on defendant since there was a U.S. Marshall hold in the system.  On January 7, 2019, Clark called the Colma police and spoke with Dispatcher Thelma, who agreed to try to place a hold </w:t>
      </w:r>
      <w:r w:rsidR="00D0326F">
        <w:t>on</w:t>
      </w:r>
      <w:r>
        <w:t xml:space="preserve"> defendant.  He called Thelma one week later.  According to Clark, “Thelma stated</w:t>
      </w:r>
      <w:r w:rsidR="00CD3E60">
        <w:t>,</w:t>
      </w:r>
      <w:r>
        <w:t xml:space="preserve"> that due to the reasons she can not disclose she was unable to place a hold on our defendant.”  </w:t>
      </w:r>
    </w:p>
  </w:footnote>
  <w:footnote w:id="2">
    <w:p w14:paraId="65BB21B3" w14:textId="3D4D77F5" w:rsidR="001C7A9B" w:rsidRDefault="001C7A9B" w:rsidP="005E6859">
      <w:pPr>
        <w:pStyle w:val="FootnoteText"/>
        <w:spacing w:after="160"/>
        <w:ind w:firstLine="720"/>
      </w:pPr>
      <w:r>
        <w:rPr>
          <w:rStyle w:val="FootnoteReference"/>
        </w:rPr>
        <w:footnoteRef/>
      </w:r>
      <w:r>
        <w:t xml:space="preserve"> </w:t>
      </w:r>
      <w:r w:rsidR="005E309E">
        <w:t>Section 1305(c)(3)) provides, “If, outside the county where the case is located, the defendant is surrendered to custody by the bail or is arrested in the underlying case within the 180</w:t>
      </w:r>
      <w:r w:rsidR="0026449C">
        <w:t>–</w:t>
      </w:r>
      <w:r w:rsidR="005E309E">
        <w:t xml:space="preserve">day period, the court shall vacate the forfeiture and exonerate the bail.”  </w:t>
      </w:r>
      <w:r>
        <w:t xml:space="preserve">Further undesignated statutory references are to the Penal Code. </w:t>
      </w:r>
    </w:p>
  </w:footnote>
  <w:footnote w:id="3">
    <w:p w14:paraId="43D042BF" w14:textId="09DD8618" w:rsidR="008C5E7E" w:rsidRDefault="008C5E7E" w:rsidP="005E6859">
      <w:pPr>
        <w:pStyle w:val="FootnoteText"/>
        <w:spacing w:after="160"/>
        <w:ind w:firstLine="720"/>
      </w:pPr>
      <w:r>
        <w:rPr>
          <w:rStyle w:val="FootnoteReference"/>
        </w:rPr>
        <w:footnoteRef/>
      </w:r>
      <w:r>
        <w:t xml:space="preserve"> Section 1305, subdivision (e)</w:t>
      </w:r>
      <w:r w:rsidR="00CD3E60">
        <w:t xml:space="preserve"> </w:t>
      </w:r>
      <w:r>
        <w:t>(§ 1305(e)) provides that the court “shall order the tolling of the 180</w:t>
      </w:r>
      <w:r w:rsidR="0026449C">
        <w:t>–</w:t>
      </w:r>
      <w:r>
        <w:t>day period” where the “defendant is temporarily disabled by reason of illness, insanity, or detention by military or civil authorities,” “[b]ased upon the temporary disability, the defendant is unable to appear in court during the remainder of the 180</w:t>
      </w:r>
      <w:r w:rsidR="0026449C">
        <w:t>–</w:t>
      </w:r>
      <w:r>
        <w:t xml:space="preserve">day period, and “[t]he absence of the defendant is without the connivance of the bail.”  </w:t>
      </w:r>
    </w:p>
  </w:footnote>
  <w:footnote w:id="4">
    <w:p w14:paraId="653DAA20" w14:textId="2757D190" w:rsidR="00A57916" w:rsidRDefault="00A57916" w:rsidP="005E6859">
      <w:pPr>
        <w:pStyle w:val="FootnoteText"/>
        <w:spacing w:after="160"/>
        <w:ind w:firstLine="720"/>
      </w:pPr>
      <w:r>
        <w:rPr>
          <w:rStyle w:val="FootnoteReference"/>
        </w:rPr>
        <w:footnoteRef/>
      </w:r>
      <w:r>
        <w:t xml:space="preserve"> </w:t>
      </w:r>
      <w:r w:rsidR="00F319FB">
        <w:t xml:space="preserve">One of the exhibits to the Surety’s motion appeared to be a printout </w:t>
      </w:r>
      <w:r w:rsidR="00F948DD">
        <w:t>dated January 14, 2019</w:t>
      </w:r>
      <w:r w:rsidR="001639C8">
        <w:t>,</w:t>
      </w:r>
      <w:r w:rsidR="00F948DD">
        <w:t xml:space="preserve"> </w:t>
      </w:r>
      <w:r w:rsidR="00BA6A17">
        <w:t xml:space="preserve">of an Alameda County inmate locator </w:t>
      </w:r>
      <w:r w:rsidR="00B65838">
        <w:t xml:space="preserve">website, which indicated that a </w:t>
      </w:r>
      <w:r w:rsidR="00081863">
        <w:t>“</w:t>
      </w:r>
      <w:r w:rsidR="00B65838">
        <w:t>Jamie Lee</w:t>
      </w:r>
      <w:r w:rsidR="00081863">
        <w:t>”</w:t>
      </w:r>
      <w:r w:rsidR="00B65838">
        <w:t xml:space="preserve"> w</w:t>
      </w:r>
      <w:r w:rsidR="00B966C4">
        <w:t xml:space="preserve">ith the same date of birth as defendant </w:t>
      </w:r>
      <w:r w:rsidR="00F948DD">
        <w:t>had been arrested in November 2018 and was in custody</w:t>
      </w:r>
      <w:r w:rsidR="00D0326F">
        <w:t xml:space="preserve"> in</w:t>
      </w:r>
      <w:r w:rsidR="00E636A7">
        <w:t xml:space="preserve"> the</w:t>
      </w:r>
      <w:r w:rsidR="00D0326F">
        <w:t xml:space="preserve"> Alameda County</w:t>
      </w:r>
      <w:r w:rsidR="00E636A7">
        <w:t xml:space="preserve"> Jail</w:t>
      </w:r>
      <w:r w:rsidR="00D0326F">
        <w:t xml:space="preserve"> </w:t>
      </w:r>
      <w:r w:rsidR="003149B3">
        <w:t>for federal criminal charges</w:t>
      </w:r>
      <w:r w:rsidR="00F948DD">
        <w:t>.</w:t>
      </w:r>
      <w:r w:rsidR="00B65838">
        <w:t xml:space="preserve"> </w:t>
      </w:r>
      <w:r w:rsidR="00F948DD">
        <w:t xml:space="preserve"> </w:t>
      </w:r>
    </w:p>
  </w:footnote>
  <w:footnote w:id="5">
    <w:p w14:paraId="0412E1DF" w14:textId="2DA38A34" w:rsidR="007C0714" w:rsidRDefault="007C0714" w:rsidP="005E6859">
      <w:pPr>
        <w:pStyle w:val="FootnoteText"/>
        <w:spacing w:after="160"/>
        <w:ind w:firstLine="720"/>
      </w:pPr>
      <w:r>
        <w:rPr>
          <w:rStyle w:val="FootnoteReference"/>
        </w:rPr>
        <w:footnoteRef/>
      </w:r>
      <w:r>
        <w:t xml:space="preserve"> In a supporting declaration, </w:t>
      </w:r>
      <w:r w:rsidR="00CD3E60">
        <w:t>C</w:t>
      </w:r>
      <w:r>
        <w:t xml:space="preserve">hief </w:t>
      </w:r>
      <w:r w:rsidR="00CD3E60">
        <w:t>D</w:t>
      </w:r>
      <w:r>
        <w:t xml:space="preserve">eputy </w:t>
      </w:r>
      <w:r w:rsidR="00CD3E60">
        <w:t>D</w:t>
      </w:r>
      <w:r>
        <w:t xml:space="preserve">istrict </w:t>
      </w:r>
      <w:r w:rsidR="00CD3E60">
        <w:t>A</w:t>
      </w:r>
      <w:r>
        <w:t xml:space="preserve">ttorney Albert Serrato stated it was the understanding of the District Attorney’s Office that defendant was currently detained in federal custody in the Alameda County Jail, and the office had elected to extradite defendant to San Mateo County.  </w:t>
      </w:r>
    </w:p>
  </w:footnote>
  <w:footnote w:id="6">
    <w:p w14:paraId="50201912" w14:textId="48F49AB5" w:rsidR="003B1A90" w:rsidRDefault="003B1A90" w:rsidP="005E6859">
      <w:pPr>
        <w:pStyle w:val="FootnoteText"/>
        <w:spacing w:after="160"/>
        <w:ind w:firstLine="720"/>
      </w:pPr>
      <w:r>
        <w:rPr>
          <w:rStyle w:val="FootnoteReference"/>
        </w:rPr>
        <w:footnoteRef/>
      </w:r>
      <w:r>
        <w:t xml:space="preserve"> </w:t>
      </w:r>
      <w:r w:rsidR="00233C5C">
        <w:t>The</w:t>
      </w:r>
      <w:r w:rsidR="006350F0">
        <w:t xml:space="preserve"> trial court’s reasons for denying the Surety’s motion are</w:t>
      </w:r>
      <w:r w:rsidR="00257E9F">
        <w:t xml:space="preserve"> gleaned</w:t>
      </w:r>
      <w:r w:rsidR="00626A05">
        <w:t xml:space="preserve"> from its </w:t>
      </w:r>
      <w:r w:rsidR="00851D71">
        <w:t>discuss</w:t>
      </w:r>
      <w:r w:rsidR="00626A05">
        <w:t>ion</w:t>
      </w:r>
      <w:r w:rsidR="00851D71">
        <w:t xml:space="preserve"> </w:t>
      </w:r>
      <w:r w:rsidR="009E42F9">
        <w:t>on the record</w:t>
      </w:r>
      <w:r w:rsidR="00851D71">
        <w:t xml:space="preserve"> </w:t>
      </w:r>
      <w:r w:rsidR="009E42F9">
        <w:t xml:space="preserve">in </w:t>
      </w:r>
      <w:r w:rsidR="000D7A05" w:rsidRPr="008E167E">
        <w:rPr>
          <w:i/>
          <w:iCs/>
        </w:rPr>
        <w:t>People v. Calderon</w:t>
      </w:r>
      <w:r w:rsidR="000D7A05">
        <w:t xml:space="preserve">, San Mateo County </w:t>
      </w:r>
      <w:r w:rsidR="00CD3E60">
        <w:t xml:space="preserve">Superior Court </w:t>
      </w:r>
      <w:r w:rsidR="000D7A05">
        <w:t>Case No. 18NF0064</w:t>
      </w:r>
      <w:r w:rsidR="009E42F9">
        <w:t xml:space="preserve">80A, </w:t>
      </w:r>
      <w:r w:rsidR="00DB1E57">
        <w:t xml:space="preserve">a case in which the Surety </w:t>
      </w:r>
      <w:r w:rsidR="0011444B">
        <w:t xml:space="preserve">sought </w:t>
      </w:r>
      <w:r w:rsidR="001064F4">
        <w:t xml:space="preserve">to vacate </w:t>
      </w:r>
      <w:r w:rsidR="00257E9F">
        <w:t xml:space="preserve">forfeiture </w:t>
      </w:r>
      <w:r w:rsidR="001064F4">
        <w:t>raising</w:t>
      </w:r>
      <w:r w:rsidR="005A68FE">
        <w:t xml:space="preserve"> the same legal and procedural issues on </w:t>
      </w:r>
      <w:r w:rsidR="00257E9F">
        <w:t>strikingly simila</w:t>
      </w:r>
      <w:r w:rsidR="005A68FE">
        <w:t>r facts—a defendant found in custody in Alameda County on federal charges where the jailer would not sign the bail agent’s proffered affidavit and receipt regarding the defendant’s San Mateo County warrant.</w:t>
      </w:r>
      <w:r w:rsidR="00F60004">
        <w:t xml:space="preserve">  </w:t>
      </w:r>
      <w:r w:rsidR="00233C5C">
        <w:t>(</w:t>
      </w:r>
      <w:r w:rsidR="00BC23B0">
        <w:t xml:space="preserve">The forfeiture order in </w:t>
      </w:r>
      <w:r w:rsidR="00BC23B0" w:rsidRPr="00BC23B0">
        <w:rPr>
          <w:i/>
          <w:iCs/>
        </w:rPr>
        <w:t>Calderon</w:t>
      </w:r>
      <w:r w:rsidR="00BC23B0">
        <w:rPr>
          <w:i/>
          <w:iCs/>
        </w:rPr>
        <w:t xml:space="preserve"> </w:t>
      </w:r>
      <w:r w:rsidR="00BC23B0">
        <w:t>is now on appeal;</w:t>
      </w:r>
      <w:r w:rsidR="00BC23B0">
        <w:rPr>
          <w:i/>
          <w:iCs/>
        </w:rPr>
        <w:t xml:space="preserve"> </w:t>
      </w:r>
      <w:r w:rsidR="00BC23B0">
        <w:t>s</w:t>
      </w:r>
      <w:r w:rsidR="00233C5C" w:rsidRPr="00BC23B0">
        <w:t>ee</w:t>
      </w:r>
      <w:r w:rsidR="00233C5C">
        <w:t xml:space="preserve"> </w:t>
      </w:r>
      <w:r w:rsidR="00233C5C" w:rsidRPr="00A302EF">
        <w:rPr>
          <w:i/>
          <w:iCs/>
        </w:rPr>
        <w:t>People v. Bankers Insurance Co.</w:t>
      </w:r>
      <w:r w:rsidR="00233C5C">
        <w:t xml:space="preserve"> (A157635, app. pending).)</w:t>
      </w:r>
      <w:r w:rsidR="00233C5C" w:rsidRPr="0073685F">
        <w:t xml:space="preserve"> </w:t>
      </w:r>
      <w:r w:rsidR="00233C5C">
        <w:t xml:space="preserve"> </w:t>
      </w:r>
      <w:r w:rsidR="00D22909">
        <w:t xml:space="preserve">The </w:t>
      </w:r>
      <w:r w:rsidR="00BC23B0">
        <w:t xml:space="preserve">Surety’s </w:t>
      </w:r>
      <w:r w:rsidR="00264BC2">
        <w:t>motion</w:t>
      </w:r>
      <w:r w:rsidR="00BC23B0">
        <w:t xml:space="preserve">s in </w:t>
      </w:r>
      <w:r w:rsidR="00BC23B0" w:rsidRPr="00BC23B0">
        <w:rPr>
          <w:i/>
          <w:iCs/>
        </w:rPr>
        <w:t>Calderon</w:t>
      </w:r>
      <w:r w:rsidR="00BC23B0">
        <w:t xml:space="preserve"> and in this appeal</w:t>
      </w:r>
      <w:r w:rsidR="00264BC2">
        <w:t xml:space="preserve"> were heard on the same day</w:t>
      </w:r>
      <w:r w:rsidR="007C7F11">
        <w:t xml:space="preserve">.  The trial court first heard argument on the Surety’s motion in </w:t>
      </w:r>
      <w:r w:rsidR="007C7F11" w:rsidRPr="007C7F11">
        <w:rPr>
          <w:i/>
          <w:iCs/>
        </w:rPr>
        <w:t>Calderon</w:t>
      </w:r>
      <w:r w:rsidR="007C7F11">
        <w:t xml:space="preserve">, denying the motion.  The parties immediately segued to argument on the motion currently on appeal, and the court denied the motion on “the same basis” as in </w:t>
      </w:r>
      <w:r w:rsidR="007C7F11" w:rsidRPr="007C7F11">
        <w:rPr>
          <w:i/>
          <w:iCs/>
        </w:rPr>
        <w:t>Calderon</w:t>
      </w:r>
      <w:r w:rsidR="007C7F11">
        <w:t>.</w:t>
      </w:r>
      <w:r w:rsidR="00EC0887">
        <w:t xml:space="preserve">  </w:t>
      </w:r>
      <w:r>
        <w:t xml:space="preserve">We have granted the </w:t>
      </w:r>
      <w:r w:rsidR="00626A05">
        <w:t xml:space="preserve">Surety’s </w:t>
      </w:r>
      <w:r>
        <w:t xml:space="preserve">unopposed motion to augment the record on this appeal with the </w:t>
      </w:r>
      <w:r w:rsidRPr="00C80A16">
        <w:rPr>
          <w:i/>
          <w:iCs/>
        </w:rPr>
        <w:t>Calderon</w:t>
      </w:r>
      <w:r>
        <w:t xml:space="preserve"> </w:t>
      </w:r>
      <w:r w:rsidR="00840F0B">
        <w:t xml:space="preserve">motion hearing </w:t>
      </w:r>
      <w:r>
        <w:t xml:space="preserve">transcript. </w:t>
      </w:r>
      <w:r w:rsidR="007B47AE">
        <w:t xml:space="preserve"> </w:t>
      </w:r>
    </w:p>
  </w:footnote>
  <w:footnote w:id="7">
    <w:p w14:paraId="44ACC668" w14:textId="5C23717D" w:rsidR="00CE622E" w:rsidRDefault="002E6938" w:rsidP="005E6859">
      <w:pPr>
        <w:pStyle w:val="FootnoteText"/>
        <w:spacing w:after="160"/>
        <w:ind w:firstLine="720"/>
      </w:pPr>
      <w:r>
        <w:rPr>
          <w:rStyle w:val="FootnoteReference"/>
        </w:rPr>
        <w:footnoteRef/>
      </w:r>
      <w:r>
        <w:t xml:space="preserve"> </w:t>
      </w:r>
      <w:r w:rsidR="00CE622E">
        <w:t xml:space="preserve">In </w:t>
      </w:r>
      <w:r w:rsidR="00CE622E" w:rsidRPr="00134D9F">
        <w:rPr>
          <w:i/>
          <w:iCs/>
        </w:rPr>
        <w:t>People v. Lexington National Ins. Corp</w:t>
      </w:r>
      <w:r w:rsidR="00CE622E">
        <w:t xml:space="preserve">. (2010) 181 Cal.App.4th 1485, </w:t>
      </w:r>
      <w:r w:rsidR="0029444B">
        <w:t xml:space="preserve">the </w:t>
      </w:r>
      <w:r w:rsidR="00FA0BFB">
        <w:t xml:space="preserve">surety Lexington moved to </w:t>
      </w:r>
      <w:r w:rsidR="00950A87">
        <w:t xml:space="preserve">vacate forfeiture and </w:t>
      </w:r>
      <w:r w:rsidR="00FA0BFB">
        <w:t>exonerate</w:t>
      </w:r>
      <w:r w:rsidR="00950A87">
        <w:t xml:space="preserve"> </w:t>
      </w:r>
      <w:r w:rsidR="004140B8">
        <w:t xml:space="preserve">its </w:t>
      </w:r>
      <w:r w:rsidR="00950A87">
        <w:t>bond under section 1305</w:t>
      </w:r>
      <w:r w:rsidR="00CD3E60">
        <w:t xml:space="preserve">, subdivision </w:t>
      </w:r>
      <w:r w:rsidR="00950A87">
        <w:t>(c)</w:t>
      </w:r>
      <w:r w:rsidR="002674D2">
        <w:t xml:space="preserve"> where the defendant was </w:t>
      </w:r>
      <w:r w:rsidR="004140B8">
        <w:t xml:space="preserve">known to be </w:t>
      </w:r>
      <w:r w:rsidR="002674D2">
        <w:t>in custody out of state</w:t>
      </w:r>
      <w:r w:rsidR="00950A87">
        <w:t xml:space="preserve">.  </w:t>
      </w:r>
      <w:r w:rsidR="007D2772">
        <w:t xml:space="preserve">At the hearing on the motion, </w:t>
      </w:r>
      <w:r w:rsidR="00DD2C26">
        <w:t xml:space="preserve">after the trial court indicated the motion would be denied, </w:t>
      </w:r>
      <w:r w:rsidR="007D2772">
        <w:t xml:space="preserve">counsel for Lexington </w:t>
      </w:r>
      <w:r w:rsidR="00DD2C26">
        <w:t>asked for t</w:t>
      </w:r>
      <w:r w:rsidR="00992064">
        <w:t>olling</w:t>
      </w:r>
      <w:r w:rsidR="00645F7D">
        <w:t>;</w:t>
      </w:r>
      <w:r w:rsidR="002674D2">
        <w:t xml:space="preserve"> </w:t>
      </w:r>
      <w:r w:rsidR="00396670">
        <w:t xml:space="preserve">the </w:t>
      </w:r>
      <w:r w:rsidR="002674D2">
        <w:t xml:space="preserve">court denied the request on the ground </w:t>
      </w:r>
      <w:r w:rsidR="001046F9">
        <w:t xml:space="preserve">tolling </w:t>
      </w:r>
      <w:r w:rsidR="00D531C6">
        <w:t xml:space="preserve">had not been </w:t>
      </w:r>
      <w:r w:rsidR="001046F9">
        <w:t>properly requested by noticed motion.  (</w:t>
      </w:r>
      <w:r w:rsidR="001046F9" w:rsidRPr="00E738A1">
        <w:rPr>
          <w:i/>
          <w:iCs/>
        </w:rPr>
        <w:t>Id</w:t>
      </w:r>
      <w:r w:rsidR="001046F9">
        <w:t xml:space="preserve">. at pp. 1488-1489.)  </w:t>
      </w:r>
      <w:r w:rsidR="009A380F">
        <w:t>The appellate court</w:t>
      </w:r>
      <w:r w:rsidR="0098382F">
        <w:t xml:space="preserve">, however, concluded the </w:t>
      </w:r>
      <w:r w:rsidR="00E842C1">
        <w:t xml:space="preserve">trial court </w:t>
      </w:r>
      <w:r w:rsidR="00CC2C23">
        <w:t>should have granted Lexington relief, either exoneration or tolling</w:t>
      </w:r>
      <w:r w:rsidR="00FE7570">
        <w:t xml:space="preserve">.  </w:t>
      </w:r>
      <w:r w:rsidR="00CC2C23">
        <w:t>(</w:t>
      </w:r>
      <w:r w:rsidR="00CC2C23" w:rsidRPr="0011745F">
        <w:rPr>
          <w:i/>
          <w:iCs/>
        </w:rPr>
        <w:t>Id</w:t>
      </w:r>
      <w:r w:rsidR="00CC2C23">
        <w:t xml:space="preserve">. at p. 1492.)  </w:t>
      </w:r>
      <w:r w:rsidR="00645F7D">
        <w:t>T</w:t>
      </w:r>
      <w:r w:rsidR="00760BF5">
        <w:t xml:space="preserve">he court rejected </w:t>
      </w:r>
      <w:r w:rsidR="000876F9">
        <w:t>the argument that Lexingto</w:t>
      </w:r>
      <w:r w:rsidR="001B2A81">
        <w:t xml:space="preserve">n’s tolling request was untimely and not properly noticed.  </w:t>
      </w:r>
      <w:r w:rsidR="00C3355B">
        <w:t>“</w:t>
      </w:r>
      <w:r w:rsidR="00485D3E">
        <w:t xml:space="preserve">The </w:t>
      </w:r>
      <w:r w:rsidR="00C3355B">
        <w:t xml:space="preserve">[trial] </w:t>
      </w:r>
      <w:r w:rsidR="00485D3E">
        <w:t>court</w:t>
      </w:r>
      <w:r w:rsidR="00C3355B">
        <w:t>’</w:t>
      </w:r>
      <w:r w:rsidR="00485D3E">
        <w:t>s denial of exoneration implicitly indicated it was not satisfied the disability was permanent.  Thus, the disability was necessarily temporary, and the court was compelled by the statutory scheme to consider and grant a tolling based on the temporary nature of the disability.</w:t>
      </w:r>
      <w:r w:rsidR="00D44A9E">
        <w:t>”  (</w:t>
      </w:r>
      <w:r w:rsidR="00D44A9E" w:rsidRPr="00095B5D">
        <w:rPr>
          <w:i/>
          <w:iCs/>
        </w:rPr>
        <w:t>Id</w:t>
      </w:r>
      <w:r w:rsidR="00D44A9E">
        <w:t xml:space="preserve">. at p. 1493.) </w:t>
      </w:r>
    </w:p>
  </w:footnote>
  <w:footnote w:id="8">
    <w:p w14:paraId="370D4FD5" w14:textId="3ECA1498" w:rsidR="00605571" w:rsidRDefault="00605571" w:rsidP="005E6859">
      <w:pPr>
        <w:pStyle w:val="FootnoteText"/>
        <w:spacing w:after="160"/>
        <w:ind w:firstLine="720"/>
      </w:pPr>
      <w:r>
        <w:rPr>
          <w:rStyle w:val="FootnoteReference"/>
        </w:rPr>
        <w:footnoteRef/>
      </w:r>
      <w:r>
        <w:t xml:space="preserve"> During th</w:t>
      </w:r>
      <w:r w:rsidR="00EC340F">
        <w:t>e appearance period</w:t>
      </w:r>
      <w:r>
        <w:t xml:space="preserve">, </w:t>
      </w:r>
      <w:r w:rsidR="00EC340F">
        <w:t>a</w:t>
      </w:r>
      <w:r>
        <w:t xml:space="preserve"> surety </w:t>
      </w:r>
      <w:r w:rsidR="00EC340F">
        <w:t>may</w:t>
      </w:r>
      <w:r>
        <w:t xml:space="preserve"> move to </w:t>
      </w:r>
      <w:r w:rsidR="0029504E" w:rsidRPr="00984C88">
        <w:t>vacate</w:t>
      </w:r>
      <w:r w:rsidR="009D16E1" w:rsidRPr="008D6B3D">
        <w:t xml:space="preserve"> the order of</w:t>
      </w:r>
      <w:r w:rsidRPr="00984C88">
        <w:t xml:space="preserve"> forfeiture </w:t>
      </w:r>
      <w:r w:rsidR="009D16E1" w:rsidRPr="008D6B3D">
        <w:t>and</w:t>
      </w:r>
      <w:r w:rsidR="0029504E" w:rsidRPr="00984C88">
        <w:t xml:space="preserve"> exonerate</w:t>
      </w:r>
      <w:r w:rsidR="009D16E1" w:rsidRPr="008D6B3D">
        <w:t xml:space="preserve"> the</w:t>
      </w:r>
      <w:r w:rsidR="0029504E" w:rsidRPr="00984C88">
        <w:t xml:space="preserve"> </w:t>
      </w:r>
      <w:r w:rsidRPr="00984C88">
        <w:t>bond</w:t>
      </w:r>
      <w:r>
        <w:t xml:space="preserve"> </w:t>
      </w:r>
      <w:r w:rsidR="00032239">
        <w:t xml:space="preserve">based on </w:t>
      </w:r>
      <w:r w:rsidR="00F45440">
        <w:t>the defendant’s</w:t>
      </w:r>
      <w:r>
        <w:t xml:space="preserve"> appearance in court </w:t>
      </w:r>
      <w:r w:rsidR="00173787">
        <w:t>(</w:t>
      </w:r>
      <w:r>
        <w:t>§</w:t>
      </w:r>
      <w:r w:rsidR="0032337E">
        <w:t> </w:t>
      </w:r>
      <w:r>
        <w:t>1305, subd. (c)(1))</w:t>
      </w:r>
      <w:r w:rsidR="00F45440">
        <w:t xml:space="preserve">, </w:t>
      </w:r>
      <w:r w:rsidR="005D4B0B">
        <w:t xml:space="preserve">the </w:t>
      </w:r>
      <w:r w:rsidR="00CB5779">
        <w:t xml:space="preserve">defendant’s surrender </w:t>
      </w:r>
      <w:r w:rsidR="005D4B0B">
        <w:t xml:space="preserve">to custody </w:t>
      </w:r>
      <w:r w:rsidR="001520F3">
        <w:t xml:space="preserve">by the bail </w:t>
      </w:r>
      <w:r w:rsidR="00CB5779">
        <w:t xml:space="preserve">or arrest in </w:t>
      </w:r>
      <w:r w:rsidR="001520F3">
        <w:t>the underlying case within the county where the case is located (</w:t>
      </w:r>
      <w:r w:rsidR="005D4B0B" w:rsidRPr="005D4B0B">
        <w:rPr>
          <w:i/>
          <w:iCs/>
        </w:rPr>
        <w:t>id</w:t>
      </w:r>
      <w:r w:rsidR="005D4B0B">
        <w:t>., subd. (c)(2), or the defendant’s surrender to custody by the bail or arrest in the underlying case outside the county where the case is located (</w:t>
      </w:r>
      <w:r w:rsidR="002819D5" w:rsidRPr="00032239">
        <w:rPr>
          <w:i/>
          <w:iCs/>
        </w:rPr>
        <w:t>id</w:t>
      </w:r>
      <w:r w:rsidR="002819D5">
        <w:t xml:space="preserve">., subd. (c)(3)) (the basis </w:t>
      </w:r>
      <w:r w:rsidR="00032239">
        <w:t>for</w:t>
      </w:r>
      <w:r w:rsidR="002819D5">
        <w:t xml:space="preserve"> the Surety’s motion in the present case).  </w:t>
      </w:r>
      <w:r w:rsidR="00051174">
        <w:t>And, as we have seen</w:t>
      </w:r>
      <w:r w:rsidR="00B50718">
        <w:t xml:space="preserve"> (</w:t>
      </w:r>
      <w:r w:rsidR="0032337E">
        <w:t>fn.</w:t>
      </w:r>
      <w:r w:rsidR="003079A1">
        <w:t xml:space="preserve"> 3, </w:t>
      </w:r>
      <w:r w:rsidR="003079A1" w:rsidRPr="003079A1">
        <w:rPr>
          <w:i/>
          <w:iCs/>
        </w:rPr>
        <w:t>ante</w:t>
      </w:r>
      <w:r w:rsidR="003079A1">
        <w:t>)</w:t>
      </w:r>
      <w:r w:rsidR="00051174">
        <w:t xml:space="preserve">, the trial court </w:t>
      </w:r>
      <w:r w:rsidR="003E2FDD">
        <w:t>is required t</w:t>
      </w:r>
      <w:r>
        <w:t xml:space="preserve">o toll the appearance period </w:t>
      </w:r>
      <w:r w:rsidR="00D9730E">
        <w:t xml:space="preserve">during </w:t>
      </w:r>
      <w:r w:rsidR="000D756D">
        <w:t xml:space="preserve">periods </w:t>
      </w:r>
      <w:r w:rsidR="003A7C2D">
        <w:t xml:space="preserve">when </w:t>
      </w:r>
      <w:r w:rsidR="000D756D">
        <w:t xml:space="preserve">the defendant’s </w:t>
      </w:r>
      <w:r w:rsidR="00D9730E">
        <w:t>temporary disability</w:t>
      </w:r>
      <w:r w:rsidR="003A7C2D">
        <w:t xml:space="preserve"> prevents appearance</w:t>
      </w:r>
      <w:r w:rsidR="00D9730E">
        <w:t>.  (</w:t>
      </w:r>
      <w:r w:rsidR="007E4D4E">
        <w:t xml:space="preserve">§ 1305(e).)   </w:t>
      </w:r>
    </w:p>
  </w:footnote>
  <w:footnote w:id="9">
    <w:p w14:paraId="6E54C702" w14:textId="5AB625F0" w:rsidR="009028DB" w:rsidRDefault="009028DB" w:rsidP="005E6859">
      <w:pPr>
        <w:pStyle w:val="FootnoteText"/>
        <w:spacing w:after="160"/>
        <w:ind w:firstLine="720"/>
      </w:pPr>
      <w:r>
        <w:rPr>
          <w:rStyle w:val="FootnoteReference"/>
        </w:rPr>
        <w:footnoteRef/>
      </w:r>
      <w:r>
        <w:t xml:space="preserve"> </w:t>
      </w:r>
      <w:r w:rsidR="00C9210F">
        <w:t xml:space="preserve">This appeal </w:t>
      </w:r>
      <w:r w:rsidR="007B7943">
        <w:t xml:space="preserve">by the Surety </w:t>
      </w:r>
      <w:r w:rsidR="00E2223E">
        <w:t>did not divest the trial court of jurisdiction to enter summary judgment</w:t>
      </w:r>
      <w:r>
        <w:t>.</w:t>
      </w:r>
      <w:r w:rsidR="007B7943">
        <w:t xml:space="preserve"> </w:t>
      </w:r>
      <w:r>
        <w:t xml:space="preserve"> (</w:t>
      </w:r>
      <w:r w:rsidR="007B7943">
        <w:t xml:space="preserve">See </w:t>
      </w:r>
      <w:r w:rsidRPr="007B7943">
        <w:rPr>
          <w:i/>
          <w:iCs/>
        </w:rPr>
        <w:t>People v. Indiana Lumbermens Mut</w:t>
      </w:r>
      <w:r w:rsidR="0032337E">
        <w:rPr>
          <w:i/>
          <w:iCs/>
        </w:rPr>
        <w:t>ual</w:t>
      </w:r>
      <w:r w:rsidRPr="007B7943">
        <w:rPr>
          <w:i/>
          <w:iCs/>
        </w:rPr>
        <w:t xml:space="preserve"> Ins. Co</w:t>
      </w:r>
      <w:r>
        <w:t>. (2014) 226 Cal.App.4th 1</w:t>
      </w:r>
      <w:r w:rsidR="007B7943">
        <w:t xml:space="preserve">, </w:t>
      </w:r>
      <w:r w:rsidR="00123487">
        <w:t>6</w:t>
      </w:r>
      <w:r w:rsidR="00192AA4">
        <w:t>–</w:t>
      </w:r>
      <w:r w:rsidR="00337BE7">
        <w:t>10</w:t>
      </w:r>
      <w:r w:rsidR="00123487">
        <w:t xml:space="preserve"> </w:t>
      </w:r>
      <w:r w:rsidR="00814921">
        <w:t xml:space="preserve">[holding the trial court retained jurisdiction to enter summary judgment on a forfeited bond during the pendency of </w:t>
      </w:r>
      <w:r w:rsidR="00FC6F2A">
        <w:t>a surety’s</w:t>
      </w:r>
      <w:r w:rsidR="00FF02F7">
        <w:t xml:space="preserve"> appeal from an order denying </w:t>
      </w:r>
      <w:r w:rsidR="00FC6F2A">
        <w:t>its motion to vacate]</w:t>
      </w:r>
      <w:r w:rsidR="00A9762B">
        <w:t>,</w:t>
      </w:r>
      <w:r>
        <w:t xml:space="preserve"> </w:t>
      </w:r>
      <w:r w:rsidR="00482AD6">
        <w:t xml:space="preserve">disapproved of </w:t>
      </w:r>
      <w:r w:rsidR="00A9762B">
        <w:t xml:space="preserve">on another point </w:t>
      </w:r>
      <w:r w:rsidR="00482AD6">
        <w:t xml:space="preserve">by </w:t>
      </w:r>
      <w:r w:rsidR="00482AD6" w:rsidRPr="00A9762B">
        <w:rPr>
          <w:i/>
          <w:iCs/>
        </w:rPr>
        <w:t>K.J. v. Los Angeles Unified School Dist. (</w:t>
      </w:r>
      <w:r w:rsidR="00482AD6">
        <w:t>2020) 8 Cal.5th 875</w:t>
      </w:r>
      <w:r w:rsidR="00E52F5A">
        <w:t>, 888</w:t>
      </w:r>
      <w:r w:rsidR="0032337E">
        <w:t>,</w:t>
      </w:r>
      <w:r w:rsidR="00E52F5A">
        <w:t xml:space="preserve"> fn. 6.)</w:t>
      </w:r>
      <w:r w:rsidR="00F97C70">
        <w:t xml:space="preserve">  </w:t>
      </w:r>
      <w:r w:rsidR="00D91529">
        <w:t xml:space="preserve">Thus, </w:t>
      </w:r>
      <w:r w:rsidR="00281126">
        <w:t xml:space="preserve">this appeal does not </w:t>
      </w:r>
      <w:r w:rsidR="00E57D3C">
        <w:t xml:space="preserve">toll </w:t>
      </w:r>
      <w:r w:rsidR="00D91529">
        <w:t xml:space="preserve">the </w:t>
      </w:r>
      <w:r w:rsidR="005C72BD">
        <w:t>90–day period to enter summary judgment</w:t>
      </w:r>
      <w:r w:rsidR="00E57D3C">
        <w:t>.</w:t>
      </w:r>
      <w:r w:rsidR="005C72BD">
        <w:t xml:space="preserve"> </w:t>
      </w:r>
      <w:r w:rsidR="00E57D3C">
        <w:t xml:space="preserve"> (</w:t>
      </w:r>
      <w:r w:rsidR="0004087C" w:rsidRPr="00057BEC">
        <w:rPr>
          <w:i/>
          <w:iCs/>
        </w:rPr>
        <w:t>County of Sacramento v. Insurance Co. of the West</w:t>
      </w:r>
      <w:r w:rsidR="0004087C">
        <w:t xml:space="preserve"> (1983) 139 Cal.App.3d 561, 563</w:t>
      </w:r>
      <w:r w:rsidR="00E57D3C">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drawingGridHorizontalSpacing w:val="13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C9A"/>
    <w:rsid w:val="00000D0B"/>
    <w:rsid w:val="00002489"/>
    <w:rsid w:val="0000467C"/>
    <w:rsid w:val="00006B54"/>
    <w:rsid w:val="00010D76"/>
    <w:rsid w:val="0001149B"/>
    <w:rsid w:val="00014C4C"/>
    <w:rsid w:val="00016A3E"/>
    <w:rsid w:val="00016B51"/>
    <w:rsid w:val="000207DE"/>
    <w:rsid w:val="00023A15"/>
    <w:rsid w:val="00025B12"/>
    <w:rsid w:val="00026C2F"/>
    <w:rsid w:val="00027C00"/>
    <w:rsid w:val="00031F02"/>
    <w:rsid w:val="00032239"/>
    <w:rsid w:val="00035754"/>
    <w:rsid w:val="0004087C"/>
    <w:rsid w:val="000445BF"/>
    <w:rsid w:val="0004544D"/>
    <w:rsid w:val="0004684D"/>
    <w:rsid w:val="000476D4"/>
    <w:rsid w:val="000501BC"/>
    <w:rsid w:val="00051174"/>
    <w:rsid w:val="00054BB8"/>
    <w:rsid w:val="00057BEC"/>
    <w:rsid w:val="00066078"/>
    <w:rsid w:val="00070309"/>
    <w:rsid w:val="0007107B"/>
    <w:rsid w:val="000730BD"/>
    <w:rsid w:val="00077335"/>
    <w:rsid w:val="00077A81"/>
    <w:rsid w:val="000801FA"/>
    <w:rsid w:val="00081863"/>
    <w:rsid w:val="00082E7C"/>
    <w:rsid w:val="000876F9"/>
    <w:rsid w:val="0009024F"/>
    <w:rsid w:val="000914D4"/>
    <w:rsid w:val="0009472D"/>
    <w:rsid w:val="00094BFF"/>
    <w:rsid w:val="00095B5D"/>
    <w:rsid w:val="00095F43"/>
    <w:rsid w:val="00097184"/>
    <w:rsid w:val="000A1C73"/>
    <w:rsid w:val="000A2869"/>
    <w:rsid w:val="000A5052"/>
    <w:rsid w:val="000A551D"/>
    <w:rsid w:val="000A5D58"/>
    <w:rsid w:val="000A60C8"/>
    <w:rsid w:val="000A7A0C"/>
    <w:rsid w:val="000B6E38"/>
    <w:rsid w:val="000C292C"/>
    <w:rsid w:val="000C4BBB"/>
    <w:rsid w:val="000C5B97"/>
    <w:rsid w:val="000C7C85"/>
    <w:rsid w:val="000D109B"/>
    <w:rsid w:val="000D277C"/>
    <w:rsid w:val="000D3986"/>
    <w:rsid w:val="000D48AF"/>
    <w:rsid w:val="000D65C1"/>
    <w:rsid w:val="000D65D4"/>
    <w:rsid w:val="000D756D"/>
    <w:rsid w:val="000D7A05"/>
    <w:rsid w:val="000E12C7"/>
    <w:rsid w:val="000E2676"/>
    <w:rsid w:val="000E3803"/>
    <w:rsid w:val="000E3E4F"/>
    <w:rsid w:val="000E4690"/>
    <w:rsid w:val="000E7C01"/>
    <w:rsid w:val="000F2D10"/>
    <w:rsid w:val="000F4F7F"/>
    <w:rsid w:val="000F50E9"/>
    <w:rsid w:val="00103504"/>
    <w:rsid w:val="00103BAB"/>
    <w:rsid w:val="001046F9"/>
    <w:rsid w:val="00104818"/>
    <w:rsid w:val="001064F4"/>
    <w:rsid w:val="00111E29"/>
    <w:rsid w:val="00114364"/>
    <w:rsid w:val="0011444B"/>
    <w:rsid w:val="0011469F"/>
    <w:rsid w:val="00114C0B"/>
    <w:rsid w:val="00114E18"/>
    <w:rsid w:val="00115C85"/>
    <w:rsid w:val="001168C6"/>
    <w:rsid w:val="00116DE2"/>
    <w:rsid w:val="0011745F"/>
    <w:rsid w:val="00120D96"/>
    <w:rsid w:val="00120DF0"/>
    <w:rsid w:val="001228DF"/>
    <w:rsid w:val="00123487"/>
    <w:rsid w:val="00127F9F"/>
    <w:rsid w:val="00131CA7"/>
    <w:rsid w:val="0013396A"/>
    <w:rsid w:val="00134D9F"/>
    <w:rsid w:val="00135ACA"/>
    <w:rsid w:val="00137972"/>
    <w:rsid w:val="00141553"/>
    <w:rsid w:val="00141CB4"/>
    <w:rsid w:val="001432E7"/>
    <w:rsid w:val="00144E5D"/>
    <w:rsid w:val="001471B9"/>
    <w:rsid w:val="00150143"/>
    <w:rsid w:val="00150D95"/>
    <w:rsid w:val="0015189C"/>
    <w:rsid w:val="0015193F"/>
    <w:rsid w:val="001520F3"/>
    <w:rsid w:val="0015361A"/>
    <w:rsid w:val="00155482"/>
    <w:rsid w:val="00155FF6"/>
    <w:rsid w:val="00160DEF"/>
    <w:rsid w:val="00162B23"/>
    <w:rsid w:val="001639C8"/>
    <w:rsid w:val="00167913"/>
    <w:rsid w:val="00170BC7"/>
    <w:rsid w:val="00173787"/>
    <w:rsid w:val="00174430"/>
    <w:rsid w:val="00175DE0"/>
    <w:rsid w:val="00176E6C"/>
    <w:rsid w:val="0018047E"/>
    <w:rsid w:val="00180F7D"/>
    <w:rsid w:val="0018406A"/>
    <w:rsid w:val="0018734B"/>
    <w:rsid w:val="00187D10"/>
    <w:rsid w:val="001915FE"/>
    <w:rsid w:val="00191E29"/>
    <w:rsid w:val="00192AA4"/>
    <w:rsid w:val="00193C98"/>
    <w:rsid w:val="001942B3"/>
    <w:rsid w:val="0019440E"/>
    <w:rsid w:val="0019522C"/>
    <w:rsid w:val="001959F8"/>
    <w:rsid w:val="001A0687"/>
    <w:rsid w:val="001A0E84"/>
    <w:rsid w:val="001A1729"/>
    <w:rsid w:val="001A582F"/>
    <w:rsid w:val="001B22F8"/>
    <w:rsid w:val="001B2A81"/>
    <w:rsid w:val="001C13C5"/>
    <w:rsid w:val="001C1D62"/>
    <w:rsid w:val="001C4601"/>
    <w:rsid w:val="001C6C68"/>
    <w:rsid w:val="001C7A9B"/>
    <w:rsid w:val="001D0201"/>
    <w:rsid w:val="001D1698"/>
    <w:rsid w:val="001D6AE4"/>
    <w:rsid w:val="001D7545"/>
    <w:rsid w:val="001D7D86"/>
    <w:rsid w:val="001E249C"/>
    <w:rsid w:val="001E30AA"/>
    <w:rsid w:val="001F2003"/>
    <w:rsid w:val="001F4D37"/>
    <w:rsid w:val="002025EA"/>
    <w:rsid w:val="00203EF3"/>
    <w:rsid w:val="00210985"/>
    <w:rsid w:val="002127DB"/>
    <w:rsid w:val="0021299B"/>
    <w:rsid w:val="002150E1"/>
    <w:rsid w:val="002154BE"/>
    <w:rsid w:val="002156D4"/>
    <w:rsid w:val="00216421"/>
    <w:rsid w:val="002201E2"/>
    <w:rsid w:val="00221AE6"/>
    <w:rsid w:val="00222AF6"/>
    <w:rsid w:val="00226624"/>
    <w:rsid w:val="002310F8"/>
    <w:rsid w:val="002321CC"/>
    <w:rsid w:val="00233C5C"/>
    <w:rsid w:val="00234469"/>
    <w:rsid w:val="002420C5"/>
    <w:rsid w:val="002432EB"/>
    <w:rsid w:val="00247437"/>
    <w:rsid w:val="00250530"/>
    <w:rsid w:val="002568D1"/>
    <w:rsid w:val="00257429"/>
    <w:rsid w:val="00257E9F"/>
    <w:rsid w:val="002609FD"/>
    <w:rsid w:val="00261C93"/>
    <w:rsid w:val="00262026"/>
    <w:rsid w:val="0026449C"/>
    <w:rsid w:val="0026477A"/>
    <w:rsid w:val="00264BC2"/>
    <w:rsid w:val="00265C96"/>
    <w:rsid w:val="00267387"/>
    <w:rsid w:val="002674D2"/>
    <w:rsid w:val="00267937"/>
    <w:rsid w:val="00271211"/>
    <w:rsid w:val="00271C7C"/>
    <w:rsid w:val="0027217D"/>
    <w:rsid w:val="0027338D"/>
    <w:rsid w:val="00277904"/>
    <w:rsid w:val="00277C84"/>
    <w:rsid w:val="00280D68"/>
    <w:rsid w:val="00281126"/>
    <w:rsid w:val="00281822"/>
    <w:rsid w:val="002819D5"/>
    <w:rsid w:val="0028285F"/>
    <w:rsid w:val="00285434"/>
    <w:rsid w:val="00285E84"/>
    <w:rsid w:val="002877EA"/>
    <w:rsid w:val="002909EF"/>
    <w:rsid w:val="00290DC0"/>
    <w:rsid w:val="0029444B"/>
    <w:rsid w:val="002944E9"/>
    <w:rsid w:val="0029504E"/>
    <w:rsid w:val="0029534C"/>
    <w:rsid w:val="00296911"/>
    <w:rsid w:val="00296A1D"/>
    <w:rsid w:val="002A2131"/>
    <w:rsid w:val="002A3133"/>
    <w:rsid w:val="002A4563"/>
    <w:rsid w:val="002B3E64"/>
    <w:rsid w:val="002B46BB"/>
    <w:rsid w:val="002C2459"/>
    <w:rsid w:val="002C3025"/>
    <w:rsid w:val="002C3268"/>
    <w:rsid w:val="002C639D"/>
    <w:rsid w:val="002D6427"/>
    <w:rsid w:val="002E05A1"/>
    <w:rsid w:val="002E2026"/>
    <w:rsid w:val="002E514F"/>
    <w:rsid w:val="002E6938"/>
    <w:rsid w:val="002F1CA3"/>
    <w:rsid w:val="002F25F7"/>
    <w:rsid w:val="002F4297"/>
    <w:rsid w:val="002F433B"/>
    <w:rsid w:val="003023AE"/>
    <w:rsid w:val="00302A22"/>
    <w:rsid w:val="00303CFA"/>
    <w:rsid w:val="003060E6"/>
    <w:rsid w:val="003074B6"/>
    <w:rsid w:val="003079A1"/>
    <w:rsid w:val="00310528"/>
    <w:rsid w:val="00310FF6"/>
    <w:rsid w:val="0031132E"/>
    <w:rsid w:val="0031247A"/>
    <w:rsid w:val="00312A35"/>
    <w:rsid w:val="003149B3"/>
    <w:rsid w:val="00316DAD"/>
    <w:rsid w:val="003177E0"/>
    <w:rsid w:val="0032337E"/>
    <w:rsid w:val="00327A34"/>
    <w:rsid w:val="00330A88"/>
    <w:rsid w:val="003322B6"/>
    <w:rsid w:val="00335645"/>
    <w:rsid w:val="00336D6B"/>
    <w:rsid w:val="00337BE7"/>
    <w:rsid w:val="00341DDD"/>
    <w:rsid w:val="00341FF0"/>
    <w:rsid w:val="00344C61"/>
    <w:rsid w:val="003467AF"/>
    <w:rsid w:val="00346FD2"/>
    <w:rsid w:val="003470A4"/>
    <w:rsid w:val="00347B0B"/>
    <w:rsid w:val="00347C44"/>
    <w:rsid w:val="00351D47"/>
    <w:rsid w:val="00353C4E"/>
    <w:rsid w:val="00354A1C"/>
    <w:rsid w:val="00354A1F"/>
    <w:rsid w:val="00356FC6"/>
    <w:rsid w:val="0036112C"/>
    <w:rsid w:val="00365FB3"/>
    <w:rsid w:val="0036647B"/>
    <w:rsid w:val="003724CB"/>
    <w:rsid w:val="00372C26"/>
    <w:rsid w:val="00372F9B"/>
    <w:rsid w:val="00373E30"/>
    <w:rsid w:val="003748D0"/>
    <w:rsid w:val="003803D0"/>
    <w:rsid w:val="00381CC4"/>
    <w:rsid w:val="003845C8"/>
    <w:rsid w:val="003851D7"/>
    <w:rsid w:val="003855B8"/>
    <w:rsid w:val="00392A0F"/>
    <w:rsid w:val="00395594"/>
    <w:rsid w:val="00396670"/>
    <w:rsid w:val="003967CF"/>
    <w:rsid w:val="00396DB0"/>
    <w:rsid w:val="003974C6"/>
    <w:rsid w:val="0039786F"/>
    <w:rsid w:val="0039793A"/>
    <w:rsid w:val="00397ECE"/>
    <w:rsid w:val="003A26E7"/>
    <w:rsid w:val="003A331B"/>
    <w:rsid w:val="003A5096"/>
    <w:rsid w:val="003A73DC"/>
    <w:rsid w:val="003A7C2D"/>
    <w:rsid w:val="003B1A90"/>
    <w:rsid w:val="003B1FC0"/>
    <w:rsid w:val="003B3949"/>
    <w:rsid w:val="003B60BD"/>
    <w:rsid w:val="003B798B"/>
    <w:rsid w:val="003C16E1"/>
    <w:rsid w:val="003C1D42"/>
    <w:rsid w:val="003C278D"/>
    <w:rsid w:val="003C33B1"/>
    <w:rsid w:val="003C6BEA"/>
    <w:rsid w:val="003D207E"/>
    <w:rsid w:val="003D3690"/>
    <w:rsid w:val="003D38C8"/>
    <w:rsid w:val="003D4392"/>
    <w:rsid w:val="003D6F2D"/>
    <w:rsid w:val="003D73B2"/>
    <w:rsid w:val="003D7E15"/>
    <w:rsid w:val="003E2FDD"/>
    <w:rsid w:val="003E3C24"/>
    <w:rsid w:val="003E7C0B"/>
    <w:rsid w:val="003F1341"/>
    <w:rsid w:val="003F349D"/>
    <w:rsid w:val="003F6E14"/>
    <w:rsid w:val="004001B2"/>
    <w:rsid w:val="004023E5"/>
    <w:rsid w:val="0040404A"/>
    <w:rsid w:val="00407D24"/>
    <w:rsid w:val="00412918"/>
    <w:rsid w:val="004140B8"/>
    <w:rsid w:val="004155FD"/>
    <w:rsid w:val="004211DD"/>
    <w:rsid w:val="0042276C"/>
    <w:rsid w:val="00431D6B"/>
    <w:rsid w:val="004322C1"/>
    <w:rsid w:val="00432B57"/>
    <w:rsid w:val="00434A62"/>
    <w:rsid w:val="004366BD"/>
    <w:rsid w:val="00441D59"/>
    <w:rsid w:val="00445E4E"/>
    <w:rsid w:val="00446A28"/>
    <w:rsid w:val="00446DCB"/>
    <w:rsid w:val="0044708A"/>
    <w:rsid w:val="0044787C"/>
    <w:rsid w:val="00450E9A"/>
    <w:rsid w:val="00451741"/>
    <w:rsid w:val="00455352"/>
    <w:rsid w:val="0045672B"/>
    <w:rsid w:val="00456B5F"/>
    <w:rsid w:val="004600D6"/>
    <w:rsid w:val="004606E1"/>
    <w:rsid w:val="00460E32"/>
    <w:rsid w:val="00460F67"/>
    <w:rsid w:val="004639BD"/>
    <w:rsid w:val="00463A28"/>
    <w:rsid w:val="00466280"/>
    <w:rsid w:val="0046669A"/>
    <w:rsid w:val="004700C1"/>
    <w:rsid w:val="00470CD7"/>
    <w:rsid w:val="00470F04"/>
    <w:rsid w:val="004718FA"/>
    <w:rsid w:val="00473DDD"/>
    <w:rsid w:val="00473DF7"/>
    <w:rsid w:val="004812CE"/>
    <w:rsid w:val="004814A9"/>
    <w:rsid w:val="00481530"/>
    <w:rsid w:val="00482AD6"/>
    <w:rsid w:val="00483D59"/>
    <w:rsid w:val="00485D3E"/>
    <w:rsid w:val="00486E22"/>
    <w:rsid w:val="004876A3"/>
    <w:rsid w:val="00490C92"/>
    <w:rsid w:val="00491A13"/>
    <w:rsid w:val="0049301B"/>
    <w:rsid w:val="00495835"/>
    <w:rsid w:val="004A072B"/>
    <w:rsid w:val="004A0DFB"/>
    <w:rsid w:val="004A4139"/>
    <w:rsid w:val="004A4C54"/>
    <w:rsid w:val="004A7DF2"/>
    <w:rsid w:val="004B0124"/>
    <w:rsid w:val="004B0773"/>
    <w:rsid w:val="004B125D"/>
    <w:rsid w:val="004B1DBB"/>
    <w:rsid w:val="004B35B3"/>
    <w:rsid w:val="004B5E03"/>
    <w:rsid w:val="004B689A"/>
    <w:rsid w:val="004B79F9"/>
    <w:rsid w:val="004C0FCD"/>
    <w:rsid w:val="004C272E"/>
    <w:rsid w:val="004C5557"/>
    <w:rsid w:val="004C6BC7"/>
    <w:rsid w:val="004D02D9"/>
    <w:rsid w:val="004D5D76"/>
    <w:rsid w:val="004D6674"/>
    <w:rsid w:val="004E049C"/>
    <w:rsid w:val="004E07CF"/>
    <w:rsid w:val="004E205F"/>
    <w:rsid w:val="004E4067"/>
    <w:rsid w:val="004F2124"/>
    <w:rsid w:val="004F3413"/>
    <w:rsid w:val="004F662F"/>
    <w:rsid w:val="00501472"/>
    <w:rsid w:val="0050198C"/>
    <w:rsid w:val="005034E1"/>
    <w:rsid w:val="00503F08"/>
    <w:rsid w:val="0050443E"/>
    <w:rsid w:val="00504F61"/>
    <w:rsid w:val="0050626A"/>
    <w:rsid w:val="00506A8C"/>
    <w:rsid w:val="00510127"/>
    <w:rsid w:val="005105F5"/>
    <w:rsid w:val="0051375D"/>
    <w:rsid w:val="00522971"/>
    <w:rsid w:val="00523905"/>
    <w:rsid w:val="0052617F"/>
    <w:rsid w:val="00526D47"/>
    <w:rsid w:val="00527590"/>
    <w:rsid w:val="00527C31"/>
    <w:rsid w:val="00527CC4"/>
    <w:rsid w:val="0053002E"/>
    <w:rsid w:val="005317C4"/>
    <w:rsid w:val="00534AE9"/>
    <w:rsid w:val="00535D99"/>
    <w:rsid w:val="00536833"/>
    <w:rsid w:val="0054335A"/>
    <w:rsid w:val="00551035"/>
    <w:rsid w:val="0055282A"/>
    <w:rsid w:val="00554D0F"/>
    <w:rsid w:val="00556FD7"/>
    <w:rsid w:val="005620A5"/>
    <w:rsid w:val="0056278F"/>
    <w:rsid w:val="005638F6"/>
    <w:rsid w:val="00565405"/>
    <w:rsid w:val="005655DF"/>
    <w:rsid w:val="00567007"/>
    <w:rsid w:val="00572B35"/>
    <w:rsid w:val="0057551C"/>
    <w:rsid w:val="0057592A"/>
    <w:rsid w:val="0058067D"/>
    <w:rsid w:val="00580C92"/>
    <w:rsid w:val="00580E00"/>
    <w:rsid w:val="00585278"/>
    <w:rsid w:val="00585B03"/>
    <w:rsid w:val="005872D8"/>
    <w:rsid w:val="005A2FB0"/>
    <w:rsid w:val="005A68FE"/>
    <w:rsid w:val="005A6E74"/>
    <w:rsid w:val="005A73A9"/>
    <w:rsid w:val="005A74DD"/>
    <w:rsid w:val="005B4088"/>
    <w:rsid w:val="005B62A6"/>
    <w:rsid w:val="005C338E"/>
    <w:rsid w:val="005C3AEE"/>
    <w:rsid w:val="005C65C4"/>
    <w:rsid w:val="005C72BD"/>
    <w:rsid w:val="005D04EE"/>
    <w:rsid w:val="005D1217"/>
    <w:rsid w:val="005D15D2"/>
    <w:rsid w:val="005D4B0B"/>
    <w:rsid w:val="005D55A8"/>
    <w:rsid w:val="005D739A"/>
    <w:rsid w:val="005E0702"/>
    <w:rsid w:val="005E2A0A"/>
    <w:rsid w:val="005E309E"/>
    <w:rsid w:val="005E3439"/>
    <w:rsid w:val="005E3B88"/>
    <w:rsid w:val="005E52B7"/>
    <w:rsid w:val="005E6859"/>
    <w:rsid w:val="005E758C"/>
    <w:rsid w:val="005E7B76"/>
    <w:rsid w:val="005F09A1"/>
    <w:rsid w:val="005F0D09"/>
    <w:rsid w:val="005F0DE6"/>
    <w:rsid w:val="005F3066"/>
    <w:rsid w:val="005F3078"/>
    <w:rsid w:val="005F65E4"/>
    <w:rsid w:val="005F6C6E"/>
    <w:rsid w:val="0060105D"/>
    <w:rsid w:val="00605571"/>
    <w:rsid w:val="00606A8C"/>
    <w:rsid w:val="0060745E"/>
    <w:rsid w:val="006156E5"/>
    <w:rsid w:val="006209BC"/>
    <w:rsid w:val="0062297D"/>
    <w:rsid w:val="00624D4D"/>
    <w:rsid w:val="00624F7A"/>
    <w:rsid w:val="006252A7"/>
    <w:rsid w:val="006261EB"/>
    <w:rsid w:val="00626A05"/>
    <w:rsid w:val="00630F91"/>
    <w:rsid w:val="00631A96"/>
    <w:rsid w:val="00633B51"/>
    <w:rsid w:val="00634D26"/>
    <w:rsid w:val="006350F0"/>
    <w:rsid w:val="006355E4"/>
    <w:rsid w:val="00636A9A"/>
    <w:rsid w:val="00637C09"/>
    <w:rsid w:val="00640462"/>
    <w:rsid w:val="0064091D"/>
    <w:rsid w:val="00640D49"/>
    <w:rsid w:val="0064158D"/>
    <w:rsid w:val="006452FF"/>
    <w:rsid w:val="00645F7D"/>
    <w:rsid w:val="006471B4"/>
    <w:rsid w:val="00651E32"/>
    <w:rsid w:val="00651E35"/>
    <w:rsid w:val="0065264B"/>
    <w:rsid w:val="0065356C"/>
    <w:rsid w:val="0065580C"/>
    <w:rsid w:val="00656B61"/>
    <w:rsid w:val="00661E7E"/>
    <w:rsid w:val="00662814"/>
    <w:rsid w:val="00663FB5"/>
    <w:rsid w:val="00665325"/>
    <w:rsid w:val="0066591D"/>
    <w:rsid w:val="0066616D"/>
    <w:rsid w:val="00670F2C"/>
    <w:rsid w:val="00671907"/>
    <w:rsid w:val="00674AC3"/>
    <w:rsid w:val="0067683B"/>
    <w:rsid w:val="00677285"/>
    <w:rsid w:val="006815A1"/>
    <w:rsid w:val="006827F5"/>
    <w:rsid w:val="006831BF"/>
    <w:rsid w:val="006907E2"/>
    <w:rsid w:val="00696FEB"/>
    <w:rsid w:val="00697D9D"/>
    <w:rsid w:val="006A3F69"/>
    <w:rsid w:val="006A6AD0"/>
    <w:rsid w:val="006B6BC0"/>
    <w:rsid w:val="006B7B78"/>
    <w:rsid w:val="006C2ED9"/>
    <w:rsid w:val="006C41E4"/>
    <w:rsid w:val="006C4474"/>
    <w:rsid w:val="006C7B6C"/>
    <w:rsid w:val="006D0E2C"/>
    <w:rsid w:val="006D2E08"/>
    <w:rsid w:val="006D65D9"/>
    <w:rsid w:val="006E0272"/>
    <w:rsid w:val="006E0B67"/>
    <w:rsid w:val="006E175F"/>
    <w:rsid w:val="006E47F4"/>
    <w:rsid w:val="006E568C"/>
    <w:rsid w:val="006E62C1"/>
    <w:rsid w:val="006E713C"/>
    <w:rsid w:val="006F1E14"/>
    <w:rsid w:val="006F45C6"/>
    <w:rsid w:val="006F4AE4"/>
    <w:rsid w:val="006F637A"/>
    <w:rsid w:val="006F6A31"/>
    <w:rsid w:val="006F6DAC"/>
    <w:rsid w:val="006F73F6"/>
    <w:rsid w:val="00701CA8"/>
    <w:rsid w:val="00702535"/>
    <w:rsid w:val="00702617"/>
    <w:rsid w:val="0070550D"/>
    <w:rsid w:val="00706257"/>
    <w:rsid w:val="00710AFA"/>
    <w:rsid w:val="0071267A"/>
    <w:rsid w:val="00712D11"/>
    <w:rsid w:val="0071523B"/>
    <w:rsid w:val="0071711E"/>
    <w:rsid w:val="00717A02"/>
    <w:rsid w:val="0072322B"/>
    <w:rsid w:val="00723E74"/>
    <w:rsid w:val="00724655"/>
    <w:rsid w:val="00726CCB"/>
    <w:rsid w:val="00726D8E"/>
    <w:rsid w:val="00730679"/>
    <w:rsid w:val="0073331D"/>
    <w:rsid w:val="00734121"/>
    <w:rsid w:val="007345FC"/>
    <w:rsid w:val="00734AF7"/>
    <w:rsid w:val="0073685F"/>
    <w:rsid w:val="0073701F"/>
    <w:rsid w:val="00737DEE"/>
    <w:rsid w:val="0074136A"/>
    <w:rsid w:val="007468CE"/>
    <w:rsid w:val="00747295"/>
    <w:rsid w:val="007514BB"/>
    <w:rsid w:val="00751FB2"/>
    <w:rsid w:val="0075531F"/>
    <w:rsid w:val="00755672"/>
    <w:rsid w:val="00756899"/>
    <w:rsid w:val="00760BF5"/>
    <w:rsid w:val="007633A3"/>
    <w:rsid w:val="007652D0"/>
    <w:rsid w:val="007661E0"/>
    <w:rsid w:val="00766DE1"/>
    <w:rsid w:val="00767DF9"/>
    <w:rsid w:val="00770073"/>
    <w:rsid w:val="00770470"/>
    <w:rsid w:val="007704E0"/>
    <w:rsid w:val="00772B84"/>
    <w:rsid w:val="00772F22"/>
    <w:rsid w:val="007813DC"/>
    <w:rsid w:val="007816A0"/>
    <w:rsid w:val="00786CA3"/>
    <w:rsid w:val="00795018"/>
    <w:rsid w:val="0079519D"/>
    <w:rsid w:val="00795FD2"/>
    <w:rsid w:val="007A3DF6"/>
    <w:rsid w:val="007A4AD5"/>
    <w:rsid w:val="007A6031"/>
    <w:rsid w:val="007A7F5D"/>
    <w:rsid w:val="007B1D66"/>
    <w:rsid w:val="007B3819"/>
    <w:rsid w:val="007B47AE"/>
    <w:rsid w:val="007B51FA"/>
    <w:rsid w:val="007B7943"/>
    <w:rsid w:val="007C0714"/>
    <w:rsid w:val="007C1836"/>
    <w:rsid w:val="007C3B06"/>
    <w:rsid w:val="007C41D8"/>
    <w:rsid w:val="007C6352"/>
    <w:rsid w:val="007C7F11"/>
    <w:rsid w:val="007D0E02"/>
    <w:rsid w:val="007D1B8A"/>
    <w:rsid w:val="007D2772"/>
    <w:rsid w:val="007D28BE"/>
    <w:rsid w:val="007D4993"/>
    <w:rsid w:val="007D4BF1"/>
    <w:rsid w:val="007D704D"/>
    <w:rsid w:val="007D7827"/>
    <w:rsid w:val="007E1686"/>
    <w:rsid w:val="007E29CF"/>
    <w:rsid w:val="007E3295"/>
    <w:rsid w:val="007E3E0E"/>
    <w:rsid w:val="007E4D4E"/>
    <w:rsid w:val="007F2605"/>
    <w:rsid w:val="0080075F"/>
    <w:rsid w:val="008018AE"/>
    <w:rsid w:val="00801FCE"/>
    <w:rsid w:val="00803F0A"/>
    <w:rsid w:val="00806DC9"/>
    <w:rsid w:val="00812393"/>
    <w:rsid w:val="00814921"/>
    <w:rsid w:val="00824DFE"/>
    <w:rsid w:val="00825578"/>
    <w:rsid w:val="00830204"/>
    <w:rsid w:val="00833764"/>
    <w:rsid w:val="00833F2A"/>
    <w:rsid w:val="0083488A"/>
    <w:rsid w:val="00835436"/>
    <w:rsid w:val="00836234"/>
    <w:rsid w:val="00837A36"/>
    <w:rsid w:val="00840F0B"/>
    <w:rsid w:val="00841529"/>
    <w:rsid w:val="008421AD"/>
    <w:rsid w:val="008427E7"/>
    <w:rsid w:val="00843E88"/>
    <w:rsid w:val="00845951"/>
    <w:rsid w:val="00846B81"/>
    <w:rsid w:val="00851D71"/>
    <w:rsid w:val="00854D1B"/>
    <w:rsid w:val="00854E32"/>
    <w:rsid w:val="008555FC"/>
    <w:rsid w:val="00856941"/>
    <w:rsid w:val="00857C0A"/>
    <w:rsid w:val="0086110E"/>
    <w:rsid w:val="00864437"/>
    <w:rsid w:val="00864C2C"/>
    <w:rsid w:val="00865CC2"/>
    <w:rsid w:val="0087095A"/>
    <w:rsid w:val="00872A13"/>
    <w:rsid w:val="00872BD5"/>
    <w:rsid w:val="008820B9"/>
    <w:rsid w:val="0088292B"/>
    <w:rsid w:val="00887441"/>
    <w:rsid w:val="00895534"/>
    <w:rsid w:val="0089562B"/>
    <w:rsid w:val="00895DFF"/>
    <w:rsid w:val="008A2911"/>
    <w:rsid w:val="008B2359"/>
    <w:rsid w:val="008B34AA"/>
    <w:rsid w:val="008B3859"/>
    <w:rsid w:val="008B4026"/>
    <w:rsid w:val="008B5ABA"/>
    <w:rsid w:val="008B640F"/>
    <w:rsid w:val="008B7542"/>
    <w:rsid w:val="008B7ACE"/>
    <w:rsid w:val="008C0640"/>
    <w:rsid w:val="008C1877"/>
    <w:rsid w:val="008C5E7E"/>
    <w:rsid w:val="008C62EB"/>
    <w:rsid w:val="008C69C3"/>
    <w:rsid w:val="008D0EFD"/>
    <w:rsid w:val="008D15BB"/>
    <w:rsid w:val="008D6B3D"/>
    <w:rsid w:val="008E167E"/>
    <w:rsid w:val="008E1CE8"/>
    <w:rsid w:val="008E27DD"/>
    <w:rsid w:val="008E30F6"/>
    <w:rsid w:val="008E3635"/>
    <w:rsid w:val="008E37AE"/>
    <w:rsid w:val="008E59B2"/>
    <w:rsid w:val="008E67D4"/>
    <w:rsid w:val="008E70E9"/>
    <w:rsid w:val="008F0854"/>
    <w:rsid w:val="008F19C7"/>
    <w:rsid w:val="008F3BF0"/>
    <w:rsid w:val="008F3FEE"/>
    <w:rsid w:val="008F68CD"/>
    <w:rsid w:val="00900AF4"/>
    <w:rsid w:val="0090174C"/>
    <w:rsid w:val="00901D74"/>
    <w:rsid w:val="009028DB"/>
    <w:rsid w:val="009060D1"/>
    <w:rsid w:val="009066D1"/>
    <w:rsid w:val="00907E7B"/>
    <w:rsid w:val="009101E5"/>
    <w:rsid w:val="00911900"/>
    <w:rsid w:val="0091226F"/>
    <w:rsid w:val="00912580"/>
    <w:rsid w:val="0091434A"/>
    <w:rsid w:val="00921AF5"/>
    <w:rsid w:val="00924B7E"/>
    <w:rsid w:val="0092679B"/>
    <w:rsid w:val="00926804"/>
    <w:rsid w:val="00931A99"/>
    <w:rsid w:val="00932B95"/>
    <w:rsid w:val="009413A3"/>
    <w:rsid w:val="00941632"/>
    <w:rsid w:val="00941884"/>
    <w:rsid w:val="00945F06"/>
    <w:rsid w:val="00950A87"/>
    <w:rsid w:val="00952DD3"/>
    <w:rsid w:val="00953B54"/>
    <w:rsid w:val="00953C60"/>
    <w:rsid w:val="00954388"/>
    <w:rsid w:val="00967DBF"/>
    <w:rsid w:val="00972398"/>
    <w:rsid w:val="00976BDB"/>
    <w:rsid w:val="0098114D"/>
    <w:rsid w:val="0098382F"/>
    <w:rsid w:val="00984C88"/>
    <w:rsid w:val="00992064"/>
    <w:rsid w:val="00992EB2"/>
    <w:rsid w:val="009A380F"/>
    <w:rsid w:val="009A621A"/>
    <w:rsid w:val="009A77B6"/>
    <w:rsid w:val="009B4181"/>
    <w:rsid w:val="009B4809"/>
    <w:rsid w:val="009B4B7D"/>
    <w:rsid w:val="009B52A7"/>
    <w:rsid w:val="009B6881"/>
    <w:rsid w:val="009C0499"/>
    <w:rsid w:val="009C0C3C"/>
    <w:rsid w:val="009C2C77"/>
    <w:rsid w:val="009C2DA8"/>
    <w:rsid w:val="009C5F60"/>
    <w:rsid w:val="009C79C1"/>
    <w:rsid w:val="009D16E1"/>
    <w:rsid w:val="009D39E9"/>
    <w:rsid w:val="009D6606"/>
    <w:rsid w:val="009D7138"/>
    <w:rsid w:val="009E0BFB"/>
    <w:rsid w:val="009E2E82"/>
    <w:rsid w:val="009E3C1F"/>
    <w:rsid w:val="009E42F9"/>
    <w:rsid w:val="009F0C85"/>
    <w:rsid w:val="009F3846"/>
    <w:rsid w:val="00A02CDD"/>
    <w:rsid w:val="00A036E2"/>
    <w:rsid w:val="00A03B27"/>
    <w:rsid w:val="00A13E77"/>
    <w:rsid w:val="00A15B6F"/>
    <w:rsid w:val="00A17201"/>
    <w:rsid w:val="00A21B56"/>
    <w:rsid w:val="00A23C87"/>
    <w:rsid w:val="00A24109"/>
    <w:rsid w:val="00A302EF"/>
    <w:rsid w:val="00A30640"/>
    <w:rsid w:val="00A31A69"/>
    <w:rsid w:val="00A34344"/>
    <w:rsid w:val="00A36C63"/>
    <w:rsid w:val="00A37C9A"/>
    <w:rsid w:val="00A4015A"/>
    <w:rsid w:val="00A41464"/>
    <w:rsid w:val="00A4391F"/>
    <w:rsid w:val="00A45B22"/>
    <w:rsid w:val="00A45F81"/>
    <w:rsid w:val="00A47818"/>
    <w:rsid w:val="00A50F34"/>
    <w:rsid w:val="00A51AED"/>
    <w:rsid w:val="00A55BCC"/>
    <w:rsid w:val="00A55CA5"/>
    <w:rsid w:val="00A5647B"/>
    <w:rsid w:val="00A57916"/>
    <w:rsid w:val="00A60126"/>
    <w:rsid w:val="00A62769"/>
    <w:rsid w:val="00A63278"/>
    <w:rsid w:val="00A6579B"/>
    <w:rsid w:val="00A6693F"/>
    <w:rsid w:val="00A66DC0"/>
    <w:rsid w:val="00A711DC"/>
    <w:rsid w:val="00A71C5E"/>
    <w:rsid w:val="00A726F7"/>
    <w:rsid w:val="00A7491A"/>
    <w:rsid w:val="00A816DD"/>
    <w:rsid w:val="00A82A01"/>
    <w:rsid w:val="00A83138"/>
    <w:rsid w:val="00A8383F"/>
    <w:rsid w:val="00A84102"/>
    <w:rsid w:val="00A845B0"/>
    <w:rsid w:val="00A84700"/>
    <w:rsid w:val="00A85942"/>
    <w:rsid w:val="00A867D3"/>
    <w:rsid w:val="00A9141E"/>
    <w:rsid w:val="00A92E91"/>
    <w:rsid w:val="00A94335"/>
    <w:rsid w:val="00A96583"/>
    <w:rsid w:val="00A973F5"/>
    <w:rsid w:val="00A9762B"/>
    <w:rsid w:val="00AA42CB"/>
    <w:rsid w:val="00AA4A54"/>
    <w:rsid w:val="00AA57A4"/>
    <w:rsid w:val="00AA5F22"/>
    <w:rsid w:val="00AB157B"/>
    <w:rsid w:val="00AB318A"/>
    <w:rsid w:val="00AC3332"/>
    <w:rsid w:val="00AC378A"/>
    <w:rsid w:val="00AC63B1"/>
    <w:rsid w:val="00AC7C89"/>
    <w:rsid w:val="00AC7EF5"/>
    <w:rsid w:val="00AD21CD"/>
    <w:rsid w:val="00AD2AB7"/>
    <w:rsid w:val="00AD7196"/>
    <w:rsid w:val="00AE09E4"/>
    <w:rsid w:val="00AE2E31"/>
    <w:rsid w:val="00AE5C11"/>
    <w:rsid w:val="00AE7DB5"/>
    <w:rsid w:val="00AF42C5"/>
    <w:rsid w:val="00AF47B7"/>
    <w:rsid w:val="00AF520F"/>
    <w:rsid w:val="00AF6893"/>
    <w:rsid w:val="00B00B82"/>
    <w:rsid w:val="00B04A74"/>
    <w:rsid w:val="00B061E3"/>
    <w:rsid w:val="00B06EE9"/>
    <w:rsid w:val="00B11DAD"/>
    <w:rsid w:val="00B12C3F"/>
    <w:rsid w:val="00B1760B"/>
    <w:rsid w:val="00B2117A"/>
    <w:rsid w:val="00B21251"/>
    <w:rsid w:val="00B228E4"/>
    <w:rsid w:val="00B26601"/>
    <w:rsid w:val="00B272F8"/>
    <w:rsid w:val="00B30CA3"/>
    <w:rsid w:val="00B3163E"/>
    <w:rsid w:val="00B3304D"/>
    <w:rsid w:val="00B34B9D"/>
    <w:rsid w:val="00B44CB9"/>
    <w:rsid w:val="00B47374"/>
    <w:rsid w:val="00B47B73"/>
    <w:rsid w:val="00B50718"/>
    <w:rsid w:val="00B51453"/>
    <w:rsid w:val="00B52E40"/>
    <w:rsid w:val="00B533D8"/>
    <w:rsid w:val="00B534B2"/>
    <w:rsid w:val="00B53919"/>
    <w:rsid w:val="00B544C9"/>
    <w:rsid w:val="00B561AA"/>
    <w:rsid w:val="00B57153"/>
    <w:rsid w:val="00B614F3"/>
    <w:rsid w:val="00B61BE0"/>
    <w:rsid w:val="00B65838"/>
    <w:rsid w:val="00B73778"/>
    <w:rsid w:val="00B775F5"/>
    <w:rsid w:val="00B81232"/>
    <w:rsid w:val="00B814DE"/>
    <w:rsid w:val="00B84C66"/>
    <w:rsid w:val="00B869B9"/>
    <w:rsid w:val="00B90E00"/>
    <w:rsid w:val="00B921EE"/>
    <w:rsid w:val="00B92CC5"/>
    <w:rsid w:val="00B93141"/>
    <w:rsid w:val="00B93BEC"/>
    <w:rsid w:val="00B966C4"/>
    <w:rsid w:val="00B97175"/>
    <w:rsid w:val="00BA05E0"/>
    <w:rsid w:val="00BA138E"/>
    <w:rsid w:val="00BA171F"/>
    <w:rsid w:val="00BA286B"/>
    <w:rsid w:val="00BA465F"/>
    <w:rsid w:val="00BA6A17"/>
    <w:rsid w:val="00BA6BF8"/>
    <w:rsid w:val="00BB39B8"/>
    <w:rsid w:val="00BB4D77"/>
    <w:rsid w:val="00BC23B0"/>
    <w:rsid w:val="00BC4644"/>
    <w:rsid w:val="00BC4C3C"/>
    <w:rsid w:val="00BC5157"/>
    <w:rsid w:val="00BC68D5"/>
    <w:rsid w:val="00BC720A"/>
    <w:rsid w:val="00BD07F2"/>
    <w:rsid w:val="00BD1D6D"/>
    <w:rsid w:val="00BD2EFC"/>
    <w:rsid w:val="00BE0AAA"/>
    <w:rsid w:val="00BE2548"/>
    <w:rsid w:val="00BE5562"/>
    <w:rsid w:val="00BE7F64"/>
    <w:rsid w:val="00BF05FB"/>
    <w:rsid w:val="00BF0E56"/>
    <w:rsid w:val="00BF43C7"/>
    <w:rsid w:val="00BF4A6C"/>
    <w:rsid w:val="00BF73DA"/>
    <w:rsid w:val="00C0050B"/>
    <w:rsid w:val="00C0277A"/>
    <w:rsid w:val="00C04801"/>
    <w:rsid w:val="00C04FDC"/>
    <w:rsid w:val="00C05AAD"/>
    <w:rsid w:val="00C07204"/>
    <w:rsid w:val="00C07C91"/>
    <w:rsid w:val="00C10A0D"/>
    <w:rsid w:val="00C1222B"/>
    <w:rsid w:val="00C12F6D"/>
    <w:rsid w:val="00C134F8"/>
    <w:rsid w:val="00C15C75"/>
    <w:rsid w:val="00C164BE"/>
    <w:rsid w:val="00C205D5"/>
    <w:rsid w:val="00C2253A"/>
    <w:rsid w:val="00C27BCD"/>
    <w:rsid w:val="00C27CF3"/>
    <w:rsid w:val="00C3139D"/>
    <w:rsid w:val="00C31BFE"/>
    <w:rsid w:val="00C3208A"/>
    <w:rsid w:val="00C32481"/>
    <w:rsid w:val="00C3264C"/>
    <w:rsid w:val="00C3355B"/>
    <w:rsid w:val="00C33876"/>
    <w:rsid w:val="00C33ECC"/>
    <w:rsid w:val="00C3477E"/>
    <w:rsid w:val="00C358B1"/>
    <w:rsid w:val="00C36467"/>
    <w:rsid w:val="00C366D8"/>
    <w:rsid w:val="00C42641"/>
    <w:rsid w:val="00C43463"/>
    <w:rsid w:val="00C436A2"/>
    <w:rsid w:val="00C45B96"/>
    <w:rsid w:val="00C463C5"/>
    <w:rsid w:val="00C46B9B"/>
    <w:rsid w:val="00C502A6"/>
    <w:rsid w:val="00C5160A"/>
    <w:rsid w:val="00C5173C"/>
    <w:rsid w:val="00C53505"/>
    <w:rsid w:val="00C54E5C"/>
    <w:rsid w:val="00C64E62"/>
    <w:rsid w:val="00C64FF0"/>
    <w:rsid w:val="00C66B0E"/>
    <w:rsid w:val="00C72893"/>
    <w:rsid w:val="00C765D5"/>
    <w:rsid w:val="00C77965"/>
    <w:rsid w:val="00C80783"/>
    <w:rsid w:val="00C80A16"/>
    <w:rsid w:val="00C815B9"/>
    <w:rsid w:val="00C90FE2"/>
    <w:rsid w:val="00C919A7"/>
    <w:rsid w:val="00C91FE4"/>
    <w:rsid w:val="00C9210F"/>
    <w:rsid w:val="00C92932"/>
    <w:rsid w:val="00C95C6E"/>
    <w:rsid w:val="00CA1D74"/>
    <w:rsid w:val="00CA24AD"/>
    <w:rsid w:val="00CA2BA8"/>
    <w:rsid w:val="00CA4C2D"/>
    <w:rsid w:val="00CB0308"/>
    <w:rsid w:val="00CB5779"/>
    <w:rsid w:val="00CB5C52"/>
    <w:rsid w:val="00CC2C23"/>
    <w:rsid w:val="00CC36C7"/>
    <w:rsid w:val="00CC402A"/>
    <w:rsid w:val="00CD3461"/>
    <w:rsid w:val="00CD3E60"/>
    <w:rsid w:val="00CD628D"/>
    <w:rsid w:val="00CD6F44"/>
    <w:rsid w:val="00CE622E"/>
    <w:rsid w:val="00CE7A68"/>
    <w:rsid w:val="00CF604C"/>
    <w:rsid w:val="00CF6E39"/>
    <w:rsid w:val="00D01AAA"/>
    <w:rsid w:val="00D02998"/>
    <w:rsid w:val="00D0326F"/>
    <w:rsid w:val="00D04144"/>
    <w:rsid w:val="00D052B9"/>
    <w:rsid w:val="00D11740"/>
    <w:rsid w:val="00D1580C"/>
    <w:rsid w:val="00D16659"/>
    <w:rsid w:val="00D17086"/>
    <w:rsid w:val="00D17442"/>
    <w:rsid w:val="00D227A5"/>
    <w:rsid w:val="00D22909"/>
    <w:rsid w:val="00D230A3"/>
    <w:rsid w:val="00D27253"/>
    <w:rsid w:val="00D27E7B"/>
    <w:rsid w:val="00D30622"/>
    <w:rsid w:val="00D310DB"/>
    <w:rsid w:val="00D31849"/>
    <w:rsid w:val="00D34549"/>
    <w:rsid w:val="00D34AF0"/>
    <w:rsid w:val="00D35021"/>
    <w:rsid w:val="00D350B7"/>
    <w:rsid w:val="00D401A1"/>
    <w:rsid w:val="00D41315"/>
    <w:rsid w:val="00D4200A"/>
    <w:rsid w:val="00D44A9E"/>
    <w:rsid w:val="00D4564F"/>
    <w:rsid w:val="00D45FDD"/>
    <w:rsid w:val="00D51182"/>
    <w:rsid w:val="00D531C6"/>
    <w:rsid w:val="00D5570D"/>
    <w:rsid w:val="00D557BA"/>
    <w:rsid w:val="00D60BEA"/>
    <w:rsid w:val="00D60E81"/>
    <w:rsid w:val="00D613DB"/>
    <w:rsid w:val="00D61F51"/>
    <w:rsid w:val="00D704AD"/>
    <w:rsid w:val="00D71670"/>
    <w:rsid w:val="00D730DF"/>
    <w:rsid w:val="00D7618B"/>
    <w:rsid w:val="00D77980"/>
    <w:rsid w:val="00D8092F"/>
    <w:rsid w:val="00D80C13"/>
    <w:rsid w:val="00D83AA5"/>
    <w:rsid w:val="00D85F86"/>
    <w:rsid w:val="00D865A0"/>
    <w:rsid w:val="00D911A0"/>
    <w:rsid w:val="00D91529"/>
    <w:rsid w:val="00D92281"/>
    <w:rsid w:val="00D932CF"/>
    <w:rsid w:val="00D95528"/>
    <w:rsid w:val="00D9730E"/>
    <w:rsid w:val="00DA06FE"/>
    <w:rsid w:val="00DA0A77"/>
    <w:rsid w:val="00DA2325"/>
    <w:rsid w:val="00DA2478"/>
    <w:rsid w:val="00DA3063"/>
    <w:rsid w:val="00DA741D"/>
    <w:rsid w:val="00DB1A71"/>
    <w:rsid w:val="00DB1E57"/>
    <w:rsid w:val="00DB285B"/>
    <w:rsid w:val="00DB2A2B"/>
    <w:rsid w:val="00DB3603"/>
    <w:rsid w:val="00DB3ED7"/>
    <w:rsid w:val="00DC140D"/>
    <w:rsid w:val="00DD2C26"/>
    <w:rsid w:val="00DD5B47"/>
    <w:rsid w:val="00DD7DA0"/>
    <w:rsid w:val="00DE0A2A"/>
    <w:rsid w:val="00DE12EE"/>
    <w:rsid w:val="00DE58C1"/>
    <w:rsid w:val="00DE7847"/>
    <w:rsid w:val="00DF0222"/>
    <w:rsid w:val="00DF2AF1"/>
    <w:rsid w:val="00DF345F"/>
    <w:rsid w:val="00DF4814"/>
    <w:rsid w:val="00DF4DDC"/>
    <w:rsid w:val="00DF6519"/>
    <w:rsid w:val="00E00848"/>
    <w:rsid w:val="00E02039"/>
    <w:rsid w:val="00E037F0"/>
    <w:rsid w:val="00E03C18"/>
    <w:rsid w:val="00E04162"/>
    <w:rsid w:val="00E15FF3"/>
    <w:rsid w:val="00E17275"/>
    <w:rsid w:val="00E17B0F"/>
    <w:rsid w:val="00E20E8B"/>
    <w:rsid w:val="00E21E51"/>
    <w:rsid w:val="00E2223E"/>
    <w:rsid w:val="00E23548"/>
    <w:rsid w:val="00E2495C"/>
    <w:rsid w:val="00E254CE"/>
    <w:rsid w:val="00E255A7"/>
    <w:rsid w:val="00E275C5"/>
    <w:rsid w:val="00E30E37"/>
    <w:rsid w:val="00E31618"/>
    <w:rsid w:val="00E332B2"/>
    <w:rsid w:val="00E338F8"/>
    <w:rsid w:val="00E35586"/>
    <w:rsid w:val="00E42FF1"/>
    <w:rsid w:val="00E445E9"/>
    <w:rsid w:val="00E44816"/>
    <w:rsid w:val="00E45C5A"/>
    <w:rsid w:val="00E50F47"/>
    <w:rsid w:val="00E5117D"/>
    <w:rsid w:val="00E51AB9"/>
    <w:rsid w:val="00E52559"/>
    <w:rsid w:val="00E52F5A"/>
    <w:rsid w:val="00E561D7"/>
    <w:rsid w:val="00E57D3C"/>
    <w:rsid w:val="00E60B4B"/>
    <w:rsid w:val="00E636A7"/>
    <w:rsid w:val="00E7188C"/>
    <w:rsid w:val="00E73228"/>
    <w:rsid w:val="00E738A1"/>
    <w:rsid w:val="00E75658"/>
    <w:rsid w:val="00E80817"/>
    <w:rsid w:val="00E81CF3"/>
    <w:rsid w:val="00E842C1"/>
    <w:rsid w:val="00E8491E"/>
    <w:rsid w:val="00E85B1D"/>
    <w:rsid w:val="00E91561"/>
    <w:rsid w:val="00E94CF9"/>
    <w:rsid w:val="00E97303"/>
    <w:rsid w:val="00E97A81"/>
    <w:rsid w:val="00EA057C"/>
    <w:rsid w:val="00EA2C67"/>
    <w:rsid w:val="00EA3315"/>
    <w:rsid w:val="00EA33C0"/>
    <w:rsid w:val="00EA52EC"/>
    <w:rsid w:val="00EA7EE7"/>
    <w:rsid w:val="00EB2BD0"/>
    <w:rsid w:val="00EB3C76"/>
    <w:rsid w:val="00EB65DA"/>
    <w:rsid w:val="00EC0887"/>
    <w:rsid w:val="00EC32D5"/>
    <w:rsid w:val="00EC340F"/>
    <w:rsid w:val="00EC5AB1"/>
    <w:rsid w:val="00EC6F5B"/>
    <w:rsid w:val="00ED0407"/>
    <w:rsid w:val="00ED1D61"/>
    <w:rsid w:val="00ED231F"/>
    <w:rsid w:val="00ED2791"/>
    <w:rsid w:val="00ED2CC6"/>
    <w:rsid w:val="00ED6AE0"/>
    <w:rsid w:val="00EE0EC5"/>
    <w:rsid w:val="00EE41E4"/>
    <w:rsid w:val="00EE4246"/>
    <w:rsid w:val="00EE473B"/>
    <w:rsid w:val="00EE4850"/>
    <w:rsid w:val="00EE7D1E"/>
    <w:rsid w:val="00EF0A9D"/>
    <w:rsid w:val="00EF2132"/>
    <w:rsid w:val="00EF4A5C"/>
    <w:rsid w:val="00F02D87"/>
    <w:rsid w:val="00F04514"/>
    <w:rsid w:val="00F047C6"/>
    <w:rsid w:val="00F0689A"/>
    <w:rsid w:val="00F111C0"/>
    <w:rsid w:val="00F11F2F"/>
    <w:rsid w:val="00F13D6D"/>
    <w:rsid w:val="00F14384"/>
    <w:rsid w:val="00F14774"/>
    <w:rsid w:val="00F15041"/>
    <w:rsid w:val="00F21138"/>
    <w:rsid w:val="00F22F84"/>
    <w:rsid w:val="00F2340C"/>
    <w:rsid w:val="00F23733"/>
    <w:rsid w:val="00F241FE"/>
    <w:rsid w:val="00F24278"/>
    <w:rsid w:val="00F319FB"/>
    <w:rsid w:val="00F33C1C"/>
    <w:rsid w:val="00F3434D"/>
    <w:rsid w:val="00F41D4D"/>
    <w:rsid w:val="00F41FE8"/>
    <w:rsid w:val="00F42126"/>
    <w:rsid w:val="00F43779"/>
    <w:rsid w:val="00F4456E"/>
    <w:rsid w:val="00F45440"/>
    <w:rsid w:val="00F46853"/>
    <w:rsid w:val="00F50090"/>
    <w:rsid w:val="00F5171B"/>
    <w:rsid w:val="00F539E5"/>
    <w:rsid w:val="00F551F2"/>
    <w:rsid w:val="00F552E2"/>
    <w:rsid w:val="00F57B3E"/>
    <w:rsid w:val="00F60004"/>
    <w:rsid w:val="00F61258"/>
    <w:rsid w:val="00F6569E"/>
    <w:rsid w:val="00F66911"/>
    <w:rsid w:val="00F7344F"/>
    <w:rsid w:val="00F73C66"/>
    <w:rsid w:val="00F8507B"/>
    <w:rsid w:val="00F859F2"/>
    <w:rsid w:val="00F917D7"/>
    <w:rsid w:val="00F948DD"/>
    <w:rsid w:val="00F94D55"/>
    <w:rsid w:val="00F970A8"/>
    <w:rsid w:val="00F973DA"/>
    <w:rsid w:val="00F97C70"/>
    <w:rsid w:val="00F97FCC"/>
    <w:rsid w:val="00FA0BFB"/>
    <w:rsid w:val="00FA0E3E"/>
    <w:rsid w:val="00FA23D8"/>
    <w:rsid w:val="00FA5553"/>
    <w:rsid w:val="00FA5A75"/>
    <w:rsid w:val="00FA749B"/>
    <w:rsid w:val="00FA7E29"/>
    <w:rsid w:val="00FB092C"/>
    <w:rsid w:val="00FB2A12"/>
    <w:rsid w:val="00FB4205"/>
    <w:rsid w:val="00FB4CCB"/>
    <w:rsid w:val="00FB68B7"/>
    <w:rsid w:val="00FC17D4"/>
    <w:rsid w:val="00FC67B6"/>
    <w:rsid w:val="00FC6F2A"/>
    <w:rsid w:val="00FD189A"/>
    <w:rsid w:val="00FD1A2E"/>
    <w:rsid w:val="00FD2F7D"/>
    <w:rsid w:val="00FE0B52"/>
    <w:rsid w:val="00FE1C1F"/>
    <w:rsid w:val="00FE2343"/>
    <w:rsid w:val="00FE276B"/>
    <w:rsid w:val="00FE2916"/>
    <w:rsid w:val="00FE3CD2"/>
    <w:rsid w:val="00FE43B7"/>
    <w:rsid w:val="00FE5808"/>
    <w:rsid w:val="00FE6464"/>
    <w:rsid w:val="00FE718F"/>
    <w:rsid w:val="00FE7491"/>
    <w:rsid w:val="00FE7570"/>
    <w:rsid w:val="00FF02F7"/>
    <w:rsid w:val="00FF08BA"/>
    <w:rsid w:val="00FF1D6E"/>
    <w:rsid w:val="00FF3AB5"/>
    <w:rsid w:val="00FF3BAC"/>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F750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08A"/>
    <w:pPr>
      <w:tabs>
        <w:tab w:val="center" w:pos="4680"/>
        <w:tab w:val="right" w:pos="9360"/>
      </w:tabs>
      <w:spacing w:line="240" w:lineRule="auto"/>
    </w:pPr>
  </w:style>
  <w:style w:type="character" w:customStyle="1" w:styleId="HeaderChar">
    <w:name w:val="Header Char"/>
    <w:basedOn w:val="DefaultParagraphFont"/>
    <w:link w:val="Header"/>
    <w:uiPriority w:val="99"/>
    <w:rsid w:val="00C3208A"/>
  </w:style>
  <w:style w:type="paragraph" w:styleId="Footer">
    <w:name w:val="footer"/>
    <w:basedOn w:val="Normal"/>
    <w:link w:val="FooterChar"/>
    <w:uiPriority w:val="99"/>
    <w:unhideWhenUsed/>
    <w:rsid w:val="00C3208A"/>
    <w:pPr>
      <w:tabs>
        <w:tab w:val="center" w:pos="4680"/>
        <w:tab w:val="right" w:pos="9360"/>
      </w:tabs>
      <w:spacing w:line="240" w:lineRule="auto"/>
    </w:pPr>
  </w:style>
  <w:style w:type="character" w:customStyle="1" w:styleId="FooterChar">
    <w:name w:val="Footer Char"/>
    <w:basedOn w:val="DefaultParagraphFont"/>
    <w:link w:val="Footer"/>
    <w:uiPriority w:val="99"/>
    <w:rsid w:val="00C3208A"/>
  </w:style>
  <w:style w:type="character" w:styleId="PageNumber">
    <w:name w:val="page number"/>
    <w:basedOn w:val="DefaultParagraphFont"/>
    <w:uiPriority w:val="99"/>
    <w:semiHidden/>
    <w:unhideWhenUsed/>
    <w:rsid w:val="00C3208A"/>
  </w:style>
  <w:style w:type="paragraph" w:styleId="FootnoteText">
    <w:name w:val="footnote text"/>
    <w:link w:val="FootnoteTextChar"/>
    <w:uiPriority w:val="99"/>
    <w:unhideWhenUsed/>
    <w:rsid w:val="00C3208A"/>
    <w:pPr>
      <w:spacing w:line="240" w:lineRule="auto"/>
    </w:pPr>
    <w:rPr>
      <w:szCs w:val="20"/>
    </w:rPr>
  </w:style>
  <w:style w:type="character" w:customStyle="1" w:styleId="FootnoteTextChar">
    <w:name w:val="Footnote Text Char"/>
    <w:basedOn w:val="DefaultParagraphFont"/>
    <w:link w:val="FootnoteText"/>
    <w:uiPriority w:val="99"/>
    <w:rsid w:val="00C3208A"/>
    <w:rPr>
      <w:szCs w:val="20"/>
    </w:rPr>
  </w:style>
  <w:style w:type="character" w:styleId="FootnoteReference">
    <w:name w:val="footnote reference"/>
    <w:basedOn w:val="DefaultParagraphFont"/>
    <w:uiPriority w:val="99"/>
    <w:semiHidden/>
    <w:unhideWhenUsed/>
    <w:rsid w:val="00373E30"/>
    <w:rPr>
      <w:vertAlign w:val="superscript"/>
    </w:rPr>
  </w:style>
  <w:style w:type="paragraph" w:styleId="BalloonText">
    <w:name w:val="Balloon Text"/>
    <w:basedOn w:val="Normal"/>
    <w:link w:val="BalloonTextChar"/>
    <w:uiPriority w:val="99"/>
    <w:semiHidden/>
    <w:unhideWhenUsed/>
    <w:rsid w:val="00B737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778"/>
    <w:rPr>
      <w:rFonts w:ascii="Segoe UI" w:hAnsi="Segoe UI" w:cs="Segoe UI"/>
      <w:sz w:val="18"/>
      <w:szCs w:val="18"/>
    </w:rPr>
  </w:style>
  <w:style w:type="character" w:styleId="CommentReference">
    <w:name w:val="annotation reference"/>
    <w:basedOn w:val="DefaultParagraphFont"/>
    <w:uiPriority w:val="99"/>
    <w:semiHidden/>
    <w:unhideWhenUsed/>
    <w:rsid w:val="00E636A7"/>
    <w:rPr>
      <w:sz w:val="16"/>
      <w:szCs w:val="16"/>
    </w:rPr>
  </w:style>
  <w:style w:type="paragraph" w:styleId="CommentText">
    <w:name w:val="annotation text"/>
    <w:basedOn w:val="Normal"/>
    <w:link w:val="CommentTextChar"/>
    <w:uiPriority w:val="99"/>
    <w:semiHidden/>
    <w:unhideWhenUsed/>
    <w:rsid w:val="00E636A7"/>
    <w:pPr>
      <w:spacing w:line="240" w:lineRule="auto"/>
    </w:pPr>
    <w:rPr>
      <w:sz w:val="20"/>
      <w:szCs w:val="20"/>
    </w:rPr>
  </w:style>
  <w:style w:type="character" w:customStyle="1" w:styleId="CommentTextChar">
    <w:name w:val="Comment Text Char"/>
    <w:basedOn w:val="DefaultParagraphFont"/>
    <w:link w:val="CommentText"/>
    <w:uiPriority w:val="99"/>
    <w:semiHidden/>
    <w:rsid w:val="00E636A7"/>
    <w:rPr>
      <w:sz w:val="20"/>
      <w:szCs w:val="20"/>
    </w:rPr>
  </w:style>
  <w:style w:type="paragraph" w:styleId="CommentSubject">
    <w:name w:val="annotation subject"/>
    <w:basedOn w:val="CommentText"/>
    <w:next w:val="CommentText"/>
    <w:link w:val="CommentSubjectChar"/>
    <w:uiPriority w:val="99"/>
    <w:semiHidden/>
    <w:unhideWhenUsed/>
    <w:rsid w:val="00E636A7"/>
    <w:rPr>
      <w:b/>
      <w:bCs/>
    </w:rPr>
  </w:style>
  <w:style w:type="character" w:customStyle="1" w:styleId="CommentSubjectChar">
    <w:name w:val="Comment Subject Char"/>
    <w:basedOn w:val="CommentTextChar"/>
    <w:link w:val="CommentSubject"/>
    <w:uiPriority w:val="99"/>
    <w:semiHidden/>
    <w:rsid w:val="00E636A7"/>
    <w:rPr>
      <w:b/>
      <w:bCs/>
      <w:sz w:val="20"/>
      <w:szCs w:val="20"/>
    </w:rPr>
  </w:style>
  <w:style w:type="paragraph" w:styleId="Revision">
    <w:name w:val="Revision"/>
    <w:hidden/>
    <w:uiPriority w:val="99"/>
    <w:semiHidden/>
    <w:rsid w:val="008E167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8400">
      <w:bodyDiv w:val="1"/>
      <w:marLeft w:val="0"/>
      <w:marRight w:val="0"/>
      <w:marTop w:val="0"/>
      <w:marBottom w:val="0"/>
      <w:divBdr>
        <w:top w:val="none" w:sz="0" w:space="0" w:color="auto"/>
        <w:left w:val="none" w:sz="0" w:space="0" w:color="auto"/>
        <w:bottom w:val="none" w:sz="0" w:space="0" w:color="auto"/>
        <w:right w:val="none" w:sz="0" w:space="0" w:color="auto"/>
      </w:divBdr>
      <w:divsChild>
        <w:div w:id="1287151956">
          <w:marLeft w:val="0"/>
          <w:marRight w:val="0"/>
          <w:marTop w:val="0"/>
          <w:marBottom w:val="0"/>
          <w:divBdr>
            <w:top w:val="none" w:sz="0" w:space="0" w:color="auto"/>
            <w:left w:val="none" w:sz="0" w:space="0" w:color="auto"/>
            <w:bottom w:val="none" w:sz="0" w:space="0" w:color="auto"/>
            <w:right w:val="none" w:sz="0" w:space="0" w:color="auto"/>
          </w:divBdr>
          <w:divsChild>
            <w:div w:id="1576208563">
              <w:marLeft w:val="0"/>
              <w:marRight w:val="0"/>
              <w:marTop w:val="0"/>
              <w:marBottom w:val="0"/>
              <w:divBdr>
                <w:top w:val="none" w:sz="0" w:space="0" w:color="auto"/>
                <w:left w:val="none" w:sz="0" w:space="0" w:color="auto"/>
                <w:bottom w:val="none" w:sz="0" w:space="0" w:color="auto"/>
                <w:right w:val="none" w:sz="0" w:space="0" w:color="auto"/>
              </w:divBdr>
            </w:div>
          </w:divsChild>
        </w:div>
        <w:div w:id="400257485">
          <w:marLeft w:val="0"/>
          <w:marRight w:val="0"/>
          <w:marTop w:val="0"/>
          <w:marBottom w:val="0"/>
          <w:divBdr>
            <w:top w:val="none" w:sz="0" w:space="0" w:color="auto"/>
            <w:left w:val="none" w:sz="0" w:space="0" w:color="auto"/>
            <w:bottom w:val="none" w:sz="0" w:space="0" w:color="auto"/>
            <w:right w:val="none" w:sz="0" w:space="0" w:color="auto"/>
          </w:divBdr>
          <w:divsChild>
            <w:div w:id="2043706931">
              <w:marLeft w:val="0"/>
              <w:marRight w:val="0"/>
              <w:marTop w:val="0"/>
              <w:marBottom w:val="0"/>
              <w:divBdr>
                <w:top w:val="none" w:sz="0" w:space="0" w:color="auto"/>
                <w:left w:val="none" w:sz="0" w:space="0" w:color="auto"/>
                <w:bottom w:val="none" w:sz="0" w:space="0" w:color="auto"/>
                <w:right w:val="none" w:sz="0" w:space="0" w:color="auto"/>
              </w:divBdr>
            </w:div>
          </w:divsChild>
        </w:div>
        <w:div w:id="1897621821">
          <w:marLeft w:val="0"/>
          <w:marRight w:val="0"/>
          <w:marTop w:val="0"/>
          <w:marBottom w:val="0"/>
          <w:divBdr>
            <w:top w:val="none" w:sz="0" w:space="0" w:color="auto"/>
            <w:left w:val="none" w:sz="0" w:space="0" w:color="auto"/>
            <w:bottom w:val="none" w:sz="0" w:space="0" w:color="auto"/>
            <w:right w:val="none" w:sz="0" w:space="0" w:color="auto"/>
          </w:divBdr>
          <w:divsChild>
            <w:div w:id="1801342841">
              <w:marLeft w:val="0"/>
              <w:marRight w:val="0"/>
              <w:marTop w:val="0"/>
              <w:marBottom w:val="0"/>
              <w:divBdr>
                <w:top w:val="none" w:sz="0" w:space="0" w:color="auto"/>
                <w:left w:val="none" w:sz="0" w:space="0" w:color="auto"/>
                <w:bottom w:val="none" w:sz="0" w:space="0" w:color="auto"/>
                <w:right w:val="none" w:sz="0" w:space="0" w:color="auto"/>
              </w:divBdr>
            </w:div>
          </w:divsChild>
        </w:div>
        <w:div w:id="1814174655">
          <w:marLeft w:val="0"/>
          <w:marRight w:val="0"/>
          <w:marTop w:val="0"/>
          <w:marBottom w:val="0"/>
          <w:divBdr>
            <w:top w:val="none" w:sz="0" w:space="0" w:color="auto"/>
            <w:left w:val="none" w:sz="0" w:space="0" w:color="auto"/>
            <w:bottom w:val="none" w:sz="0" w:space="0" w:color="auto"/>
            <w:right w:val="none" w:sz="0" w:space="0" w:color="auto"/>
          </w:divBdr>
        </w:div>
      </w:divsChild>
    </w:div>
    <w:div w:id="46808770">
      <w:bodyDiv w:val="1"/>
      <w:marLeft w:val="0"/>
      <w:marRight w:val="0"/>
      <w:marTop w:val="0"/>
      <w:marBottom w:val="0"/>
      <w:divBdr>
        <w:top w:val="none" w:sz="0" w:space="0" w:color="auto"/>
        <w:left w:val="none" w:sz="0" w:space="0" w:color="auto"/>
        <w:bottom w:val="none" w:sz="0" w:space="0" w:color="auto"/>
        <w:right w:val="none" w:sz="0" w:space="0" w:color="auto"/>
      </w:divBdr>
      <w:divsChild>
        <w:div w:id="1527720719">
          <w:marLeft w:val="0"/>
          <w:marRight w:val="0"/>
          <w:marTop w:val="0"/>
          <w:marBottom w:val="0"/>
          <w:divBdr>
            <w:top w:val="none" w:sz="0" w:space="0" w:color="auto"/>
            <w:left w:val="none" w:sz="0" w:space="0" w:color="auto"/>
            <w:bottom w:val="none" w:sz="0" w:space="0" w:color="auto"/>
            <w:right w:val="none" w:sz="0" w:space="0" w:color="auto"/>
          </w:divBdr>
          <w:divsChild>
            <w:div w:id="823666142">
              <w:marLeft w:val="0"/>
              <w:marRight w:val="0"/>
              <w:marTop w:val="0"/>
              <w:marBottom w:val="0"/>
              <w:divBdr>
                <w:top w:val="none" w:sz="0" w:space="0" w:color="auto"/>
                <w:left w:val="none" w:sz="0" w:space="0" w:color="auto"/>
                <w:bottom w:val="none" w:sz="0" w:space="0" w:color="auto"/>
                <w:right w:val="none" w:sz="0" w:space="0" w:color="auto"/>
              </w:divBdr>
              <w:divsChild>
                <w:div w:id="10951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9194">
          <w:marLeft w:val="0"/>
          <w:marRight w:val="0"/>
          <w:marTop w:val="0"/>
          <w:marBottom w:val="0"/>
          <w:divBdr>
            <w:top w:val="none" w:sz="0" w:space="0" w:color="auto"/>
            <w:left w:val="none" w:sz="0" w:space="0" w:color="auto"/>
            <w:bottom w:val="none" w:sz="0" w:space="0" w:color="auto"/>
            <w:right w:val="none" w:sz="0" w:space="0" w:color="auto"/>
          </w:divBdr>
          <w:divsChild>
            <w:div w:id="1924952353">
              <w:marLeft w:val="0"/>
              <w:marRight w:val="0"/>
              <w:marTop w:val="0"/>
              <w:marBottom w:val="0"/>
              <w:divBdr>
                <w:top w:val="none" w:sz="0" w:space="0" w:color="auto"/>
                <w:left w:val="none" w:sz="0" w:space="0" w:color="auto"/>
                <w:bottom w:val="none" w:sz="0" w:space="0" w:color="auto"/>
                <w:right w:val="none" w:sz="0" w:space="0" w:color="auto"/>
              </w:divBdr>
            </w:div>
          </w:divsChild>
        </w:div>
        <w:div w:id="422068949">
          <w:marLeft w:val="0"/>
          <w:marRight w:val="0"/>
          <w:marTop w:val="0"/>
          <w:marBottom w:val="0"/>
          <w:divBdr>
            <w:top w:val="none" w:sz="0" w:space="0" w:color="auto"/>
            <w:left w:val="none" w:sz="0" w:space="0" w:color="auto"/>
            <w:bottom w:val="none" w:sz="0" w:space="0" w:color="auto"/>
            <w:right w:val="none" w:sz="0" w:space="0" w:color="auto"/>
          </w:divBdr>
        </w:div>
      </w:divsChild>
    </w:div>
    <w:div w:id="145051532">
      <w:bodyDiv w:val="1"/>
      <w:marLeft w:val="0"/>
      <w:marRight w:val="0"/>
      <w:marTop w:val="0"/>
      <w:marBottom w:val="0"/>
      <w:divBdr>
        <w:top w:val="none" w:sz="0" w:space="0" w:color="auto"/>
        <w:left w:val="none" w:sz="0" w:space="0" w:color="auto"/>
        <w:bottom w:val="none" w:sz="0" w:space="0" w:color="auto"/>
        <w:right w:val="none" w:sz="0" w:space="0" w:color="auto"/>
      </w:divBdr>
      <w:divsChild>
        <w:div w:id="989140809">
          <w:marLeft w:val="0"/>
          <w:marRight w:val="0"/>
          <w:marTop w:val="0"/>
          <w:marBottom w:val="0"/>
          <w:divBdr>
            <w:top w:val="none" w:sz="0" w:space="0" w:color="auto"/>
            <w:left w:val="none" w:sz="0" w:space="0" w:color="auto"/>
            <w:bottom w:val="none" w:sz="0" w:space="0" w:color="auto"/>
            <w:right w:val="none" w:sz="0" w:space="0" w:color="auto"/>
          </w:divBdr>
          <w:divsChild>
            <w:div w:id="1370883541">
              <w:marLeft w:val="0"/>
              <w:marRight w:val="0"/>
              <w:marTop w:val="0"/>
              <w:marBottom w:val="0"/>
              <w:divBdr>
                <w:top w:val="none" w:sz="0" w:space="0" w:color="auto"/>
                <w:left w:val="none" w:sz="0" w:space="0" w:color="auto"/>
                <w:bottom w:val="none" w:sz="0" w:space="0" w:color="auto"/>
                <w:right w:val="none" w:sz="0" w:space="0" w:color="auto"/>
              </w:divBdr>
              <w:divsChild>
                <w:div w:id="6166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3617">
          <w:marLeft w:val="0"/>
          <w:marRight w:val="0"/>
          <w:marTop w:val="0"/>
          <w:marBottom w:val="0"/>
          <w:divBdr>
            <w:top w:val="none" w:sz="0" w:space="0" w:color="auto"/>
            <w:left w:val="none" w:sz="0" w:space="0" w:color="auto"/>
            <w:bottom w:val="none" w:sz="0" w:space="0" w:color="auto"/>
            <w:right w:val="none" w:sz="0" w:space="0" w:color="auto"/>
          </w:divBdr>
          <w:divsChild>
            <w:div w:id="1777291384">
              <w:marLeft w:val="0"/>
              <w:marRight w:val="0"/>
              <w:marTop w:val="0"/>
              <w:marBottom w:val="0"/>
              <w:divBdr>
                <w:top w:val="none" w:sz="0" w:space="0" w:color="auto"/>
                <w:left w:val="none" w:sz="0" w:space="0" w:color="auto"/>
                <w:bottom w:val="none" w:sz="0" w:space="0" w:color="auto"/>
                <w:right w:val="none" w:sz="0" w:space="0" w:color="auto"/>
              </w:divBdr>
            </w:div>
            <w:div w:id="1042821981">
              <w:marLeft w:val="0"/>
              <w:marRight w:val="0"/>
              <w:marTop w:val="0"/>
              <w:marBottom w:val="0"/>
              <w:divBdr>
                <w:top w:val="none" w:sz="0" w:space="0" w:color="auto"/>
                <w:left w:val="none" w:sz="0" w:space="0" w:color="auto"/>
                <w:bottom w:val="none" w:sz="0" w:space="0" w:color="auto"/>
                <w:right w:val="none" w:sz="0" w:space="0" w:color="auto"/>
              </w:divBdr>
              <w:divsChild>
                <w:div w:id="91844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6067">
          <w:marLeft w:val="0"/>
          <w:marRight w:val="0"/>
          <w:marTop w:val="0"/>
          <w:marBottom w:val="0"/>
          <w:divBdr>
            <w:top w:val="none" w:sz="0" w:space="0" w:color="auto"/>
            <w:left w:val="none" w:sz="0" w:space="0" w:color="auto"/>
            <w:bottom w:val="none" w:sz="0" w:space="0" w:color="auto"/>
            <w:right w:val="none" w:sz="0" w:space="0" w:color="auto"/>
          </w:divBdr>
        </w:div>
      </w:divsChild>
    </w:div>
    <w:div w:id="252015777">
      <w:bodyDiv w:val="1"/>
      <w:marLeft w:val="0"/>
      <w:marRight w:val="0"/>
      <w:marTop w:val="0"/>
      <w:marBottom w:val="0"/>
      <w:divBdr>
        <w:top w:val="none" w:sz="0" w:space="0" w:color="auto"/>
        <w:left w:val="none" w:sz="0" w:space="0" w:color="auto"/>
        <w:bottom w:val="none" w:sz="0" w:space="0" w:color="auto"/>
        <w:right w:val="none" w:sz="0" w:space="0" w:color="auto"/>
      </w:divBdr>
      <w:divsChild>
        <w:div w:id="535973040">
          <w:marLeft w:val="0"/>
          <w:marRight w:val="0"/>
          <w:marTop w:val="0"/>
          <w:marBottom w:val="0"/>
          <w:divBdr>
            <w:top w:val="none" w:sz="0" w:space="0" w:color="auto"/>
            <w:left w:val="none" w:sz="0" w:space="0" w:color="auto"/>
            <w:bottom w:val="none" w:sz="0" w:space="0" w:color="auto"/>
            <w:right w:val="none" w:sz="0" w:space="0" w:color="auto"/>
          </w:divBdr>
        </w:div>
      </w:divsChild>
    </w:div>
    <w:div w:id="279381272">
      <w:bodyDiv w:val="1"/>
      <w:marLeft w:val="0"/>
      <w:marRight w:val="0"/>
      <w:marTop w:val="0"/>
      <w:marBottom w:val="0"/>
      <w:divBdr>
        <w:top w:val="none" w:sz="0" w:space="0" w:color="auto"/>
        <w:left w:val="none" w:sz="0" w:space="0" w:color="auto"/>
        <w:bottom w:val="none" w:sz="0" w:space="0" w:color="auto"/>
        <w:right w:val="none" w:sz="0" w:space="0" w:color="auto"/>
      </w:divBdr>
      <w:divsChild>
        <w:div w:id="1894539668">
          <w:marLeft w:val="0"/>
          <w:marRight w:val="0"/>
          <w:marTop w:val="0"/>
          <w:marBottom w:val="0"/>
          <w:divBdr>
            <w:top w:val="none" w:sz="0" w:space="0" w:color="auto"/>
            <w:left w:val="none" w:sz="0" w:space="0" w:color="auto"/>
            <w:bottom w:val="none" w:sz="0" w:space="0" w:color="auto"/>
            <w:right w:val="none" w:sz="0" w:space="0" w:color="auto"/>
          </w:divBdr>
        </w:div>
      </w:divsChild>
    </w:div>
    <w:div w:id="402068881">
      <w:bodyDiv w:val="1"/>
      <w:marLeft w:val="0"/>
      <w:marRight w:val="0"/>
      <w:marTop w:val="0"/>
      <w:marBottom w:val="0"/>
      <w:divBdr>
        <w:top w:val="none" w:sz="0" w:space="0" w:color="auto"/>
        <w:left w:val="none" w:sz="0" w:space="0" w:color="auto"/>
        <w:bottom w:val="none" w:sz="0" w:space="0" w:color="auto"/>
        <w:right w:val="none" w:sz="0" w:space="0" w:color="auto"/>
      </w:divBdr>
      <w:divsChild>
        <w:div w:id="1713573319">
          <w:marLeft w:val="0"/>
          <w:marRight w:val="0"/>
          <w:marTop w:val="0"/>
          <w:marBottom w:val="0"/>
          <w:divBdr>
            <w:top w:val="none" w:sz="0" w:space="0" w:color="auto"/>
            <w:left w:val="none" w:sz="0" w:space="0" w:color="auto"/>
            <w:bottom w:val="none" w:sz="0" w:space="0" w:color="auto"/>
            <w:right w:val="none" w:sz="0" w:space="0" w:color="auto"/>
          </w:divBdr>
        </w:div>
      </w:divsChild>
    </w:div>
    <w:div w:id="485829161">
      <w:bodyDiv w:val="1"/>
      <w:marLeft w:val="0"/>
      <w:marRight w:val="0"/>
      <w:marTop w:val="0"/>
      <w:marBottom w:val="0"/>
      <w:divBdr>
        <w:top w:val="none" w:sz="0" w:space="0" w:color="auto"/>
        <w:left w:val="none" w:sz="0" w:space="0" w:color="auto"/>
        <w:bottom w:val="none" w:sz="0" w:space="0" w:color="auto"/>
        <w:right w:val="none" w:sz="0" w:space="0" w:color="auto"/>
      </w:divBdr>
      <w:divsChild>
        <w:div w:id="1826319058">
          <w:marLeft w:val="0"/>
          <w:marRight w:val="0"/>
          <w:marTop w:val="0"/>
          <w:marBottom w:val="0"/>
          <w:divBdr>
            <w:top w:val="none" w:sz="0" w:space="0" w:color="auto"/>
            <w:left w:val="none" w:sz="0" w:space="0" w:color="auto"/>
            <w:bottom w:val="none" w:sz="0" w:space="0" w:color="auto"/>
            <w:right w:val="none" w:sz="0" w:space="0" w:color="auto"/>
          </w:divBdr>
        </w:div>
      </w:divsChild>
    </w:div>
    <w:div w:id="591158755">
      <w:bodyDiv w:val="1"/>
      <w:marLeft w:val="0"/>
      <w:marRight w:val="0"/>
      <w:marTop w:val="0"/>
      <w:marBottom w:val="0"/>
      <w:divBdr>
        <w:top w:val="none" w:sz="0" w:space="0" w:color="auto"/>
        <w:left w:val="none" w:sz="0" w:space="0" w:color="auto"/>
        <w:bottom w:val="none" w:sz="0" w:space="0" w:color="auto"/>
        <w:right w:val="none" w:sz="0" w:space="0" w:color="auto"/>
      </w:divBdr>
      <w:divsChild>
        <w:div w:id="2034961913">
          <w:marLeft w:val="0"/>
          <w:marRight w:val="0"/>
          <w:marTop w:val="0"/>
          <w:marBottom w:val="0"/>
          <w:divBdr>
            <w:top w:val="none" w:sz="0" w:space="0" w:color="auto"/>
            <w:left w:val="none" w:sz="0" w:space="0" w:color="auto"/>
            <w:bottom w:val="none" w:sz="0" w:space="0" w:color="auto"/>
            <w:right w:val="none" w:sz="0" w:space="0" w:color="auto"/>
          </w:divBdr>
        </w:div>
      </w:divsChild>
    </w:div>
    <w:div w:id="682510042">
      <w:bodyDiv w:val="1"/>
      <w:marLeft w:val="0"/>
      <w:marRight w:val="0"/>
      <w:marTop w:val="0"/>
      <w:marBottom w:val="0"/>
      <w:divBdr>
        <w:top w:val="none" w:sz="0" w:space="0" w:color="auto"/>
        <w:left w:val="none" w:sz="0" w:space="0" w:color="auto"/>
        <w:bottom w:val="none" w:sz="0" w:space="0" w:color="auto"/>
        <w:right w:val="none" w:sz="0" w:space="0" w:color="auto"/>
      </w:divBdr>
      <w:divsChild>
        <w:div w:id="372118257">
          <w:marLeft w:val="0"/>
          <w:marRight w:val="0"/>
          <w:marTop w:val="0"/>
          <w:marBottom w:val="0"/>
          <w:divBdr>
            <w:top w:val="none" w:sz="0" w:space="0" w:color="auto"/>
            <w:left w:val="none" w:sz="0" w:space="0" w:color="auto"/>
            <w:bottom w:val="none" w:sz="0" w:space="0" w:color="auto"/>
            <w:right w:val="none" w:sz="0" w:space="0" w:color="auto"/>
          </w:divBdr>
        </w:div>
      </w:divsChild>
    </w:div>
    <w:div w:id="695011108">
      <w:bodyDiv w:val="1"/>
      <w:marLeft w:val="0"/>
      <w:marRight w:val="0"/>
      <w:marTop w:val="0"/>
      <w:marBottom w:val="0"/>
      <w:divBdr>
        <w:top w:val="none" w:sz="0" w:space="0" w:color="auto"/>
        <w:left w:val="none" w:sz="0" w:space="0" w:color="auto"/>
        <w:bottom w:val="none" w:sz="0" w:space="0" w:color="auto"/>
        <w:right w:val="none" w:sz="0" w:space="0" w:color="auto"/>
      </w:divBdr>
      <w:divsChild>
        <w:div w:id="1728913661">
          <w:marLeft w:val="0"/>
          <w:marRight w:val="0"/>
          <w:marTop w:val="0"/>
          <w:marBottom w:val="0"/>
          <w:divBdr>
            <w:top w:val="none" w:sz="0" w:space="0" w:color="auto"/>
            <w:left w:val="none" w:sz="0" w:space="0" w:color="auto"/>
            <w:bottom w:val="none" w:sz="0" w:space="0" w:color="auto"/>
            <w:right w:val="none" w:sz="0" w:space="0" w:color="auto"/>
          </w:divBdr>
        </w:div>
      </w:divsChild>
    </w:div>
    <w:div w:id="723137802">
      <w:bodyDiv w:val="1"/>
      <w:marLeft w:val="0"/>
      <w:marRight w:val="0"/>
      <w:marTop w:val="0"/>
      <w:marBottom w:val="0"/>
      <w:divBdr>
        <w:top w:val="none" w:sz="0" w:space="0" w:color="auto"/>
        <w:left w:val="none" w:sz="0" w:space="0" w:color="auto"/>
        <w:bottom w:val="none" w:sz="0" w:space="0" w:color="auto"/>
        <w:right w:val="none" w:sz="0" w:space="0" w:color="auto"/>
      </w:divBdr>
      <w:divsChild>
        <w:div w:id="702053199">
          <w:marLeft w:val="0"/>
          <w:marRight w:val="0"/>
          <w:marTop w:val="0"/>
          <w:marBottom w:val="0"/>
          <w:divBdr>
            <w:top w:val="none" w:sz="0" w:space="0" w:color="auto"/>
            <w:left w:val="none" w:sz="0" w:space="0" w:color="auto"/>
            <w:bottom w:val="none" w:sz="0" w:space="0" w:color="auto"/>
            <w:right w:val="none" w:sz="0" w:space="0" w:color="auto"/>
          </w:divBdr>
        </w:div>
      </w:divsChild>
    </w:div>
    <w:div w:id="759715628">
      <w:bodyDiv w:val="1"/>
      <w:marLeft w:val="0"/>
      <w:marRight w:val="0"/>
      <w:marTop w:val="0"/>
      <w:marBottom w:val="0"/>
      <w:divBdr>
        <w:top w:val="none" w:sz="0" w:space="0" w:color="auto"/>
        <w:left w:val="none" w:sz="0" w:space="0" w:color="auto"/>
        <w:bottom w:val="none" w:sz="0" w:space="0" w:color="auto"/>
        <w:right w:val="none" w:sz="0" w:space="0" w:color="auto"/>
      </w:divBdr>
      <w:divsChild>
        <w:div w:id="456679833">
          <w:marLeft w:val="0"/>
          <w:marRight w:val="0"/>
          <w:marTop w:val="0"/>
          <w:marBottom w:val="0"/>
          <w:divBdr>
            <w:top w:val="none" w:sz="0" w:space="0" w:color="auto"/>
            <w:left w:val="none" w:sz="0" w:space="0" w:color="auto"/>
            <w:bottom w:val="none" w:sz="0" w:space="0" w:color="auto"/>
            <w:right w:val="none" w:sz="0" w:space="0" w:color="auto"/>
          </w:divBdr>
          <w:divsChild>
            <w:div w:id="1853689427">
              <w:marLeft w:val="0"/>
              <w:marRight w:val="0"/>
              <w:marTop w:val="0"/>
              <w:marBottom w:val="0"/>
              <w:divBdr>
                <w:top w:val="none" w:sz="0" w:space="0" w:color="auto"/>
                <w:left w:val="none" w:sz="0" w:space="0" w:color="auto"/>
                <w:bottom w:val="none" w:sz="0" w:space="0" w:color="auto"/>
                <w:right w:val="none" w:sz="0" w:space="0" w:color="auto"/>
              </w:divBdr>
              <w:divsChild>
                <w:div w:id="20424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8992">
          <w:marLeft w:val="0"/>
          <w:marRight w:val="0"/>
          <w:marTop w:val="0"/>
          <w:marBottom w:val="0"/>
          <w:divBdr>
            <w:top w:val="none" w:sz="0" w:space="0" w:color="auto"/>
            <w:left w:val="none" w:sz="0" w:space="0" w:color="auto"/>
            <w:bottom w:val="none" w:sz="0" w:space="0" w:color="auto"/>
            <w:right w:val="none" w:sz="0" w:space="0" w:color="auto"/>
          </w:divBdr>
          <w:divsChild>
            <w:div w:id="2103378501">
              <w:marLeft w:val="0"/>
              <w:marRight w:val="0"/>
              <w:marTop w:val="0"/>
              <w:marBottom w:val="0"/>
              <w:divBdr>
                <w:top w:val="none" w:sz="0" w:space="0" w:color="auto"/>
                <w:left w:val="none" w:sz="0" w:space="0" w:color="auto"/>
                <w:bottom w:val="none" w:sz="0" w:space="0" w:color="auto"/>
                <w:right w:val="none" w:sz="0" w:space="0" w:color="auto"/>
              </w:divBdr>
              <w:divsChild>
                <w:div w:id="14730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5348">
          <w:marLeft w:val="0"/>
          <w:marRight w:val="0"/>
          <w:marTop w:val="0"/>
          <w:marBottom w:val="0"/>
          <w:divBdr>
            <w:top w:val="none" w:sz="0" w:space="0" w:color="auto"/>
            <w:left w:val="none" w:sz="0" w:space="0" w:color="auto"/>
            <w:bottom w:val="none" w:sz="0" w:space="0" w:color="auto"/>
            <w:right w:val="none" w:sz="0" w:space="0" w:color="auto"/>
          </w:divBdr>
          <w:divsChild>
            <w:div w:id="1718162225">
              <w:marLeft w:val="0"/>
              <w:marRight w:val="0"/>
              <w:marTop w:val="0"/>
              <w:marBottom w:val="0"/>
              <w:divBdr>
                <w:top w:val="none" w:sz="0" w:space="0" w:color="auto"/>
                <w:left w:val="none" w:sz="0" w:space="0" w:color="auto"/>
                <w:bottom w:val="none" w:sz="0" w:space="0" w:color="auto"/>
                <w:right w:val="none" w:sz="0" w:space="0" w:color="auto"/>
              </w:divBdr>
              <w:divsChild>
                <w:div w:id="6830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1782">
          <w:marLeft w:val="0"/>
          <w:marRight w:val="0"/>
          <w:marTop w:val="0"/>
          <w:marBottom w:val="0"/>
          <w:divBdr>
            <w:top w:val="none" w:sz="0" w:space="0" w:color="auto"/>
            <w:left w:val="none" w:sz="0" w:space="0" w:color="auto"/>
            <w:bottom w:val="none" w:sz="0" w:space="0" w:color="auto"/>
            <w:right w:val="none" w:sz="0" w:space="0" w:color="auto"/>
          </w:divBdr>
        </w:div>
      </w:divsChild>
    </w:div>
    <w:div w:id="765885053">
      <w:bodyDiv w:val="1"/>
      <w:marLeft w:val="0"/>
      <w:marRight w:val="0"/>
      <w:marTop w:val="0"/>
      <w:marBottom w:val="0"/>
      <w:divBdr>
        <w:top w:val="none" w:sz="0" w:space="0" w:color="auto"/>
        <w:left w:val="none" w:sz="0" w:space="0" w:color="auto"/>
        <w:bottom w:val="none" w:sz="0" w:space="0" w:color="auto"/>
        <w:right w:val="none" w:sz="0" w:space="0" w:color="auto"/>
      </w:divBdr>
      <w:divsChild>
        <w:div w:id="1777208352">
          <w:marLeft w:val="0"/>
          <w:marRight w:val="0"/>
          <w:marTop w:val="0"/>
          <w:marBottom w:val="0"/>
          <w:divBdr>
            <w:top w:val="none" w:sz="0" w:space="0" w:color="auto"/>
            <w:left w:val="none" w:sz="0" w:space="0" w:color="auto"/>
            <w:bottom w:val="none" w:sz="0" w:space="0" w:color="auto"/>
            <w:right w:val="none" w:sz="0" w:space="0" w:color="auto"/>
          </w:divBdr>
        </w:div>
      </w:divsChild>
    </w:div>
    <w:div w:id="766313925">
      <w:bodyDiv w:val="1"/>
      <w:marLeft w:val="0"/>
      <w:marRight w:val="0"/>
      <w:marTop w:val="0"/>
      <w:marBottom w:val="0"/>
      <w:divBdr>
        <w:top w:val="none" w:sz="0" w:space="0" w:color="auto"/>
        <w:left w:val="none" w:sz="0" w:space="0" w:color="auto"/>
        <w:bottom w:val="none" w:sz="0" w:space="0" w:color="auto"/>
        <w:right w:val="none" w:sz="0" w:space="0" w:color="auto"/>
      </w:divBdr>
      <w:divsChild>
        <w:div w:id="1468090659">
          <w:marLeft w:val="0"/>
          <w:marRight w:val="0"/>
          <w:marTop w:val="0"/>
          <w:marBottom w:val="0"/>
          <w:divBdr>
            <w:top w:val="none" w:sz="0" w:space="0" w:color="auto"/>
            <w:left w:val="none" w:sz="0" w:space="0" w:color="auto"/>
            <w:bottom w:val="none" w:sz="0" w:space="0" w:color="auto"/>
            <w:right w:val="none" w:sz="0" w:space="0" w:color="auto"/>
          </w:divBdr>
          <w:divsChild>
            <w:div w:id="558394424">
              <w:marLeft w:val="0"/>
              <w:marRight w:val="0"/>
              <w:marTop w:val="0"/>
              <w:marBottom w:val="0"/>
              <w:divBdr>
                <w:top w:val="none" w:sz="0" w:space="0" w:color="auto"/>
                <w:left w:val="none" w:sz="0" w:space="0" w:color="auto"/>
                <w:bottom w:val="none" w:sz="0" w:space="0" w:color="auto"/>
                <w:right w:val="none" w:sz="0" w:space="0" w:color="auto"/>
              </w:divBdr>
            </w:div>
          </w:divsChild>
        </w:div>
        <w:div w:id="1573734961">
          <w:marLeft w:val="0"/>
          <w:marRight w:val="0"/>
          <w:marTop w:val="0"/>
          <w:marBottom w:val="0"/>
          <w:divBdr>
            <w:top w:val="none" w:sz="0" w:space="0" w:color="auto"/>
            <w:left w:val="none" w:sz="0" w:space="0" w:color="auto"/>
            <w:bottom w:val="none" w:sz="0" w:space="0" w:color="auto"/>
            <w:right w:val="none" w:sz="0" w:space="0" w:color="auto"/>
          </w:divBdr>
          <w:divsChild>
            <w:div w:id="1703555325">
              <w:marLeft w:val="0"/>
              <w:marRight w:val="0"/>
              <w:marTop w:val="0"/>
              <w:marBottom w:val="0"/>
              <w:divBdr>
                <w:top w:val="none" w:sz="0" w:space="0" w:color="auto"/>
                <w:left w:val="none" w:sz="0" w:space="0" w:color="auto"/>
                <w:bottom w:val="none" w:sz="0" w:space="0" w:color="auto"/>
                <w:right w:val="none" w:sz="0" w:space="0" w:color="auto"/>
              </w:divBdr>
            </w:div>
          </w:divsChild>
        </w:div>
        <w:div w:id="1333069385">
          <w:marLeft w:val="0"/>
          <w:marRight w:val="0"/>
          <w:marTop w:val="0"/>
          <w:marBottom w:val="0"/>
          <w:divBdr>
            <w:top w:val="none" w:sz="0" w:space="0" w:color="auto"/>
            <w:left w:val="none" w:sz="0" w:space="0" w:color="auto"/>
            <w:bottom w:val="none" w:sz="0" w:space="0" w:color="auto"/>
            <w:right w:val="none" w:sz="0" w:space="0" w:color="auto"/>
          </w:divBdr>
        </w:div>
      </w:divsChild>
    </w:div>
    <w:div w:id="796025589">
      <w:bodyDiv w:val="1"/>
      <w:marLeft w:val="0"/>
      <w:marRight w:val="0"/>
      <w:marTop w:val="0"/>
      <w:marBottom w:val="0"/>
      <w:divBdr>
        <w:top w:val="none" w:sz="0" w:space="0" w:color="auto"/>
        <w:left w:val="none" w:sz="0" w:space="0" w:color="auto"/>
        <w:bottom w:val="none" w:sz="0" w:space="0" w:color="auto"/>
        <w:right w:val="none" w:sz="0" w:space="0" w:color="auto"/>
      </w:divBdr>
      <w:divsChild>
        <w:div w:id="1020618247">
          <w:marLeft w:val="0"/>
          <w:marRight w:val="0"/>
          <w:marTop w:val="0"/>
          <w:marBottom w:val="0"/>
          <w:divBdr>
            <w:top w:val="none" w:sz="0" w:space="0" w:color="auto"/>
            <w:left w:val="none" w:sz="0" w:space="0" w:color="auto"/>
            <w:bottom w:val="none" w:sz="0" w:space="0" w:color="auto"/>
            <w:right w:val="none" w:sz="0" w:space="0" w:color="auto"/>
          </w:divBdr>
        </w:div>
      </w:divsChild>
    </w:div>
    <w:div w:id="853033339">
      <w:bodyDiv w:val="1"/>
      <w:marLeft w:val="0"/>
      <w:marRight w:val="0"/>
      <w:marTop w:val="0"/>
      <w:marBottom w:val="0"/>
      <w:divBdr>
        <w:top w:val="none" w:sz="0" w:space="0" w:color="auto"/>
        <w:left w:val="none" w:sz="0" w:space="0" w:color="auto"/>
        <w:bottom w:val="none" w:sz="0" w:space="0" w:color="auto"/>
        <w:right w:val="none" w:sz="0" w:space="0" w:color="auto"/>
      </w:divBdr>
      <w:divsChild>
        <w:div w:id="803933833">
          <w:marLeft w:val="0"/>
          <w:marRight w:val="0"/>
          <w:marTop w:val="0"/>
          <w:marBottom w:val="0"/>
          <w:divBdr>
            <w:top w:val="none" w:sz="0" w:space="0" w:color="auto"/>
            <w:left w:val="none" w:sz="0" w:space="0" w:color="auto"/>
            <w:bottom w:val="none" w:sz="0" w:space="0" w:color="auto"/>
            <w:right w:val="none" w:sz="0" w:space="0" w:color="auto"/>
          </w:divBdr>
        </w:div>
      </w:divsChild>
    </w:div>
    <w:div w:id="874467183">
      <w:bodyDiv w:val="1"/>
      <w:marLeft w:val="0"/>
      <w:marRight w:val="0"/>
      <w:marTop w:val="0"/>
      <w:marBottom w:val="0"/>
      <w:divBdr>
        <w:top w:val="none" w:sz="0" w:space="0" w:color="auto"/>
        <w:left w:val="none" w:sz="0" w:space="0" w:color="auto"/>
        <w:bottom w:val="none" w:sz="0" w:space="0" w:color="auto"/>
        <w:right w:val="none" w:sz="0" w:space="0" w:color="auto"/>
      </w:divBdr>
      <w:divsChild>
        <w:div w:id="1224214223">
          <w:marLeft w:val="0"/>
          <w:marRight w:val="0"/>
          <w:marTop w:val="0"/>
          <w:marBottom w:val="0"/>
          <w:divBdr>
            <w:top w:val="none" w:sz="0" w:space="0" w:color="auto"/>
            <w:left w:val="none" w:sz="0" w:space="0" w:color="auto"/>
            <w:bottom w:val="none" w:sz="0" w:space="0" w:color="auto"/>
            <w:right w:val="none" w:sz="0" w:space="0" w:color="auto"/>
          </w:divBdr>
        </w:div>
      </w:divsChild>
    </w:div>
    <w:div w:id="936719755">
      <w:bodyDiv w:val="1"/>
      <w:marLeft w:val="0"/>
      <w:marRight w:val="0"/>
      <w:marTop w:val="0"/>
      <w:marBottom w:val="0"/>
      <w:divBdr>
        <w:top w:val="none" w:sz="0" w:space="0" w:color="auto"/>
        <w:left w:val="none" w:sz="0" w:space="0" w:color="auto"/>
        <w:bottom w:val="none" w:sz="0" w:space="0" w:color="auto"/>
        <w:right w:val="none" w:sz="0" w:space="0" w:color="auto"/>
      </w:divBdr>
      <w:divsChild>
        <w:div w:id="1579948045">
          <w:marLeft w:val="0"/>
          <w:marRight w:val="0"/>
          <w:marTop w:val="0"/>
          <w:marBottom w:val="0"/>
          <w:divBdr>
            <w:top w:val="none" w:sz="0" w:space="0" w:color="auto"/>
            <w:left w:val="none" w:sz="0" w:space="0" w:color="auto"/>
            <w:bottom w:val="none" w:sz="0" w:space="0" w:color="auto"/>
            <w:right w:val="none" w:sz="0" w:space="0" w:color="auto"/>
          </w:divBdr>
        </w:div>
      </w:divsChild>
    </w:div>
    <w:div w:id="944506473">
      <w:bodyDiv w:val="1"/>
      <w:marLeft w:val="0"/>
      <w:marRight w:val="0"/>
      <w:marTop w:val="0"/>
      <w:marBottom w:val="0"/>
      <w:divBdr>
        <w:top w:val="none" w:sz="0" w:space="0" w:color="auto"/>
        <w:left w:val="none" w:sz="0" w:space="0" w:color="auto"/>
        <w:bottom w:val="none" w:sz="0" w:space="0" w:color="auto"/>
        <w:right w:val="none" w:sz="0" w:space="0" w:color="auto"/>
      </w:divBdr>
      <w:divsChild>
        <w:div w:id="2022657203">
          <w:marLeft w:val="0"/>
          <w:marRight w:val="0"/>
          <w:marTop w:val="0"/>
          <w:marBottom w:val="0"/>
          <w:divBdr>
            <w:top w:val="none" w:sz="0" w:space="0" w:color="auto"/>
            <w:left w:val="none" w:sz="0" w:space="0" w:color="auto"/>
            <w:bottom w:val="none" w:sz="0" w:space="0" w:color="auto"/>
            <w:right w:val="none" w:sz="0" w:space="0" w:color="auto"/>
          </w:divBdr>
          <w:divsChild>
            <w:div w:id="634526445">
              <w:marLeft w:val="0"/>
              <w:marRight w:val="0"/>
              <w:marTop w:val="0"/>
              <w:marBottom w:val="0"/>
              <w:divBdr>
                <w:top w:val="none" w:sz="0" w:space="0" w:color="auto"/>
                <w:left w:val="none" w:sz="0" w:space="0" w:color="auto"/>
                <w:bottom w:val="none" w:sz="0" w:space="0" w:color="auto"/>
                <w:right w:val="none" w:sz="0" w:space="0" w:color="auto"/>
              </w:divBdr>
            </w:div>
          </w:divsChild>
        </w:div>
        <w:div w:id="2013415205">
          <w:marLeft w:val="0"/>
          <w:marRight w:val="0"/>
          <w:marTop w:val="0"/>
          <w:marBottom w:val="0"/>
          <w:divBdr>
            <w:top w:val="none" w:sz="0" w:space="0" w:color="auto"/>
            <w:left w:val="none" w:sz="0" w:space="0" w:color="auto"/>
            <w:bottom w:val="none" w:sz="0" w:space="0" w:color="auto"/>
            <w:right w:val="none" w:sz="0" w:space="0" w:color="auto"/>
          </w:divBdr>
          <w:divsChild>
            <w:div w:id="193081514">
              <w:marLeft w:val="0"/>
              <w:marRight w:val="0"/>
              <w:marTop w:val="0"/>
              <w:marBottom w:val="0"/>
              <w:divBdr>
                <w:top w:val="none" w:sz="0" w:space="0" w:color="auto"/>
                <w:left w:val="none" w:sz="0" w:space="0" w:color="auto"/>
                <w:bottom w:val="none" w:sz="0" w:space="0" w:color="auto"/>
                <w:right w:val="none" w:sz="0" w:space="0" w:color="auto"/>
              </w:divBdr>
            </w:div>
          </w:divsChild>
        </w:div>
        <w:div w:id="2057584539">
          <w:marLeft w:val="0"/>
          <w:marRight w:val="0"/>
          <w:marTop w:val="0"/>
          <w:marBottom w:val="0"/>
          <w:divBdr>
            <w:top w:val="none" w:sz="0" w:space="0" w:color="auto"/>
            <w:left w:val="none" w:sz="0" w:space="0" w:color="auto"/>
            <w:bottom w:val="none" w:sz="0" w:space="0" w:color="auto"/>
            <w:right w:val="none" w:sz="0" w:space="0" w:color="auto"/>
          </w:divBdr>
        </w:div>
      </w:divsChild>
    </w:div>
    <w:div w:id="1053189973">
      <w:bodyDiv w:val="1"/>
      <w:marLeft w:val="0"/>
      <w:marRight w:val="0"/>
      <w:marTop w:val="0"/>
      <w:marBottom w:val="0"/>
      <w:divBdr>
        <w:top w:val="none" w:sz="0" w:space="0" w:color="auto"/>
        <w:left w:val="none" w:sz="0" w:space="0" w:color="auto"/>
        <w:bottom w:val="none" w:sz="0" w:space="0" w:color="auto"/>
        <w:right w:val="none" w:sz="0" w:space="0" w:color="auto"/>
      </w:divBdr>
      <w:divsChild>
        <w:div w:id="1307661316">
          <w:marLeft w:val="0"/>
          <w:marRight w:val="0"/>
          <w:marTop w:val="0"/>
          <w:marBottom w:val="0"/>
          <w:divBdr>
            <w:top w:val="none" w:sz="0" w:space="0" w:color="auto"/>
            <w:left w:val="none" w:sz="0" w:space="0" w:color="auto"/>
            <w:bottom w:val="none" w:sz="0" w:space="0" w:color="auto"/>
            <w:right w:val="none" w:sz="0" w:space="0" w:color="auto"/>
          </w:divBdr>
        </w:div>
      </w:divsChild>
    </w:div>
    <w:div w:id="1108083075">
      <w:bodyDiv w:val="1"/>
      <w:marLeft w:val="0"/>
      <w:marRight w:val="0"/>
      <w:marTop w:val="0"/>
      <w:marBottom w:val="0"/>
      <w:divBdr>
        <w:top w:val="none" w:sz="0" w:space="0" w:color="auto"/>
        <w:left w:val="none" w:sz="0" w:space="0" w:color="auto"/>
        <w:bottom w:val="none" w:sz="0" w:space="0" w:color="auto"/>
        <w:right w:val="none" w:sz="0" w:space="0" w:color="auto"/>
      </w:divBdr>
      <w:divsChild>
        <w:div w:id="361128048">
          <w:marLeft w:val="0"/>
          <w:marRight w:val="0"/>
          <w:marTop w:val="0"/>
          <w:marBottom w:val="0"/>
          <w:divBdr>
            <w:top w:val="none" w:sz="0" w:space="0" w:color="auto"/>
            <w:left w:val="none" w:sz="0" w:space="0" w:color="auto"/>
            <w:bottom w:val="none" w:sz="0" w:space="0" w:color="auto"/>
            <w:right w:val="none" w:sz="0" w:space="0" w:color="auto"/>
          </w:divBdr>
        </w:div>
      </w:divsChild>
    </w:div>
    <w:div w:id="1163399750">
      <w:bodyDiv w:val="1"/>
      <w:marLeft w:val="0"/>
      <w:marRight w:val="0"/>
      <w:marTop w:val="0"/>
      <w:marBottom w:val="0"/>
      <w:divBdr>
        <w:top w:val="none" w:sz="0" w:space="0" w:color="auto"/>
        <w:left w:val="none" w:sz="0" w:space="0" w:color="auto"/>
        <w:bottom w:val="none" w:sz="0" w:space="0" w:color="auto"/>
        <w:right w:val="none" w:sz="0" w:space="0" w:color="auto"/>
      </w:divBdr>
      <w:divsChild>
        <w:div w:id="1970361068">
          <w:marLeft w:val="0"/>
          <w:marRight w:val="0"/>
          <w:marTop w:val="0"/>
          <w:marBottom w:val="0"/>
          <w:divBdr>
            <w:top w:val="none" w:sz="0" w:space="0" w:color="auto"/>
            <w:left w:val="none" w:sz="0" w:space="0" w:color="auto"/>
            <w:bottom w:val="none" w:sz="0" w:space="0" w:color="auto"/>
            <w:right w:val="none" w:sz="0" w:space="0" w:color="auto"/>
          </w:divBdr>
        </w:div>
        <w:div w:id="625551416">
          <w:marLeft w:val="0"/>
          <w:marRight w:val="0"/>
          <w:marTop w:val="0"/>
          <w:marBottom w:val="0"/>
          <w:divBdr>
            <w:top w:val="none" w:sz="0" w:space="0" w:color="auto"/>
            <w:left w:val="none" w:sz="0" w:space="0" w:color="auto"/>
            <w:bottom w:val="none" w:sz="0" w:space="0" w:color="auto"/>
            <w:right w:val="none" w:sz="0" w:space="0" w:color="auto"/>
          </w:divBdr>
          <w:divsChild>
            <w:div w:id="1186096920">
              <w:marLeft w:val="0"/>
              <w:marRight w:val="0"/>
              <w:marTop w:val="0"/>
              <w:marBottom w:val="0"/>
              <w:divBdr>
                <w:top w:val="none" w:sz="0" w:space="0" w:color="auto"/>
                <w:left w:val="none" w:sz="0" w:space="0" w:color="auto"/>
                <w:bottom w:val="none" w:sz="0" w:space="0" w:color="auto"/>
                <w:right w:val="none" w:sz="0" w:space="0" w:color="auto"/>
              </w:divBdr>
            </w:div>
          </w:divsChild>
        </w:div>
        <w:div w:id="84765468">
          <w:marLeft w:val="0"/>
          <w:marRight w:val="0"/>
          <w:marTop w:val="0"/>
          <w:marBottom w:val="0"/>
          <w:divBdr>
            <w:top w:val="none" w:sz="0" w:space="0" w:color="auto"/>
            <w:left w:val="none" w:sz="0" w:space="0" w:color="auto"/>
            <w:bottom w:val="none" w:sz="0" w:space="0" w:color="auto"/>
            <w:right w:val="none" w:sz="0" w:space="0" w:color="auto"/>
          </w:divBdr>
        </w:div>
      </w:divsChild>
    </w:div>
    <w:div w:id="1208295711">
      <w:bodyDiv w:val="1"/>
      <w:marLeft w:val="0"/>
      <w:marRight w:val="0"/>
      <w:marTop w:val="0"/>
      <w:marBottom w:val="0"/>
      <w:divBdr>
        <w:top w:val="none" w:sz="0" w:space="0" w:color="auto"/>
        <w:left w:val="none" w:sz="0" w:space="0" w:color="auto"/>
        <w:bottom w:val="none" w:sz="0" w:space="0" w:color="auto"/>
        <w:right w:val="none" w:sz="0" w:space="0" w:color="auto"/>
      </w:divBdr>
      <w:divsChild>
        <w:div w:id="2123064619">
          <w:marLeft w:val="0"/>
          <w:marRight w:val="0"/>
          <w:marTop w:val="0"/>
          <w:marBottom w:val="0"/>
          <w:divBdr>
            <w:top w:val="none" w:sz="0" w:space="0" w:color="auto"/>
            <w:left w:val="none" w:sz="0" w:space="0" w:color="auto"/>
            <w:bottom w:val="none" w:sz="0" w:space="0" w:color="auto"/>
            <w:right w:val="none" w:sz="0" w:space="0" w:color="auto"/>
          </w:divBdr>
        </w:div>
      </w:divsChild>
    </w:div>
    <w:div w:id="1236205708">
      <w:bodyDiv w:val="1"/>
      <w:marLeft w:val="0"/>
      <w:marRight w:val="0"/>
      <w:marTop w:val="0"/>
      <w:marBottom w:val="0"/>
      <w:divBdr>
        <w:top w:val="none" w:sz="0" w:space="0" w:color="auto"/>
        <w:left w:val="none" w:sz="0" w:space="0" w:color="auto"/>
        <w:bottom w:val="none" w:sz="0" w:space="0" w:color="auto"/>
        <w:right w:val="none" w:sz="0" w:space="0" w:color="auto"/>
      </w:divBdr>
      <w:divsChild>
        <w:div w:id="1802649733">
          <w:marLeft w:val="0"/>
          <w:marRight w:val="0"/>
          <w:marTop w:val="0"/>
          <w:marBottom w:val="0"/>
          <w:divBdr>
            <w:top w:val="none" w:sz="0" w:space="0" w:color="auto"/>
            <w:left w:val="none" w:sz="0" w:space="0" w:color="auto"/>
            <w:bottom w:val="none" w:sz="0" w:space="0" w:color="auto"/>
            <w:right w:val="none" w:sz="0" w:space="0" w:color="auto"/>
          </w:divBdr>
        </w:div>
      </w:divsChild>
    </w:div>
    <w:div w:id="1307126734">
      <w:bodyDiv w:val="1"/>
      <w:marLeft w:val="0"/>
      <w:marRight w:val="0"/>
      <w:marTop w:val="0"/>
      <w:marBottom w:val="0"/>
      <w:divBdr>
        <w:top w:val="none" w:sz="0" w:space="0" w:color="auto"/>
        <w:left w:val="none" w:sz="0" w:space="0" w:color="auto"/>
        <w:bottom w:val="none" w:sz="0" w:space="0" w:color="auto"/>
        <w:right w:val="none" w:sz="0" w:space="0" w:color="auto"/>
      </w:divBdr>
      <w:divsChild>
        <w:div w:id="1352687361">
          <w:marLeft w:val="0"/>
          <w:marRight w:val="0"/>
          <w:marTop w:val="0"/>
          <w:marBottom w:val="0"/>
          <w:divBdr>
            <w:top w:val="none" w:sz="0" w:space="0" w:color="auto"/>
            <w:left w:val="none" w:sz="0" w:space="0" w:color="auto"/>
            <w:bottom w:val="none" w:sz="0" w:space="0" w:color="auto"/>
            <w:right w:val="none" w:sz="0" w:space="0" w:color="auto"/>
          </w:divBdr>
        </w:div>
      </w:divsChild>
    </w:div>
    <w:div w:id="1396129502">
      <w:bodyDiv w:val="1"/>
      <w:marLeft w:val="0"/>
      <w:marRight w:val="0"/>
      <w:marTop w:val="0"/>
      <w:marBottom w:val="0"/>
      <w:divBdr>
        <w:top w:val="none" w:sz="0" w:space="0" w:color="auto"/>
        <w:left w:val="none" w:sz="0" w:space="0" w:color="auto"/>
        <w:bottom w:val="none" w:sz="0" w:space="0" w:color="auto"/>
        <w:right w:val="none" w:sz="0" w:space="0" w:color="auto"/>
      </w:divBdr>
      <w:divsChild>
        <w:div w:id="1649094811">
          <w:marLeft w:val="0"/>
          <w:marRight w:val="0"/>
          <w:marTop w:val="0"/>
          <w:marBottom w:val="0"/>
          <w:divBdr>
            <w:top w:val="none" w:sz="0" w:space="0" w:color="auto"/>
            <w:left w:val="none" w:sz="0" w:space="0" w:color="auto"/>
            <w:bottom w:val="none" w:sz="0" w:space="0" w:color="auto"/>
            <w:right w:val="none" w:sz="0" w:space="0" w:color="auto"/>
          </w:divBdr>
        </w:div>
      </w:divsChild>
    </w:div>
    <w:div w:id="1417632355">
      <w:bodyDiv w:val="1"/>
      <w:marLeft w:val="0"/>
      <w:marRight w:val="0"/>
      <w:marTop w:val="0"/>
      <w:marBottom w:val="0"/>
      <w:divBdr>
        <w:top w:val="none" w:sz="0" w:space="0" w:color="auto"/>
        <w:left w:val="none" w:sz="0" w:space="0" w:color="auto"/>
        <w:bottom w:val="none" w:sz="0" w:space="0" w:color="auto"/>
        <w:right w:val="none" w:sz="0" w:space="0" w:color="auto"/>
      </w:divBdr>
      <w:divsChild>
        <w:div w:id="294408894">
          <w:marLeft w:val="0"/>
          <w:marRight w:val="0"/>
          <w:marTop w:val="0"/>
          <w:marBottom w:val="0"/>
          <w:divBdr>
            <w:top w:val="none" w:sz="0" w:space="0" w:color="auto"/>
            <w:left w:val="none" w:sz="0" w:space="0" w:color="auto"/>
            <w:bottom w:val="none" w:sz="0" w:space="0" w:color="auto"/>
            <w:right w:val="none" w:sz="0" w:space="0" w:color="auto"/>
          </w:divBdr>
        </w:div>
      </w:divsChild>
    </w:div>
    <w:div w:id="1469278982">
      <w:bodyDiv w:val="1"/>
      <w:marLeft w:val="0"/>
      <w:marRight w:val="0"/>
      <w:marTop w:val="0"/>
      <w:marBottom w:val="0"/>
      <w:divBdr>
        <w:top w:val="none" w:sz="0" w:space="0" w:color="auto"/>
        <w:left w:val="none" w:sz="0" w:space="0" w:color="auto"/>
        <w:bottom w:val="none" w:sz="0" w:space="0" w:color="auto"/>
        <w:right w:val="none" w:sz="0" w:space="0" w:color="auto"/>
      </w:divBdr>
      <w:divsChild>
        <w:div w:id="531768551">
          <w:marLeft w:val="0"/>
          <w:marRight w:val="0"/>
          <w:marTop w:val="0"/>
          <w:marBottom w:val="0"/>
          <w:divBdr>
            <w:top w:val="none" w:sz="0" w:space="0" w:color="auto"/>
            <w:left w:val="none" w:sz="0" w:space="0" w:color="auto"/>
            <w:bottom w:val="none" w:sz="0" w:space="0" w:color="auto"/>
            <w:right w:val="none" w:sz="0" w:space="0" w:color="auto"/>
          </w:divBdr>
        </w:div>
      </w:divsChild>
    </w:div>
    <w:div w:id="1493571289">
      <w:bodyDiv w:val="1"/>
      <w:marLeft w:val="0"/>
      <w:marRight w:val="0"/>
      <w:marTop w:val="0"/>
      <w:marBottom w:val="0"/>
      <w:divBdr>
        <w:top w:val="none" w:sz="0" w:space="0" w:color="auto"/>
        <w:left w:val="none" w:sz="0" w:space="0" w:color="auto"/>
        <w:bottom w:val="none" w:sz="0" w:space="0" w:color="auto"/>
        <w:right w:val="none" w:sz="0" w:space="0" w:color="auto"/>
      </w:divBdr>
      <w:divsChild>
        <w:div w:id="318967494">
          <w:marLeft w:val="0"/>
          <w:marRight w:val="0"/>
          <w:marTop w:val="0"/>
          <w:marBottom w:val="0"/>
          <w:divBdr>
            <w:top w:val="none" w:sz="0" w:space="0" w:color="auto"/>
            <w:left w:val="none" w:sz="0" w:space="0" w:color="auto"/>
            <w:bottom w:val="none" w:sz="0" w:space="0" w:color="auto"/>
            <w:right w:val="none" w:sz="0" w:space="0" w:color="auto"/>
          </w:divBdr>
        </w:div>
      </w:divsChild>
    </w:div>
    <w:div w:id="1522353253">
      <w:bodyDiv w:val="1"/>
      <w:marLeft w:val="0"/>
      <w:marRight w:val="0"/>
      <w:marTop w:val="0"/>
      <w:marBottom w:val="0"/>
      <w:divBdr>
        <w:top w:val="none" w:sz="0" w:space="0" w:color="auto"/>
        <w:left w:val="none" w:sz="0" w:space="0" w:color="auto"/>
        <w:bottom w:val="none" w:sz="0" w:space="0" w:color="auto"/>
        <w:right w:val="none" w:sz="0" w:space="0" w:color="auto"/>
      </w:divBdr>
      <w:divsChild>
        <w:div w:id="1825779267">
          <w:marLeft w:val="0"/>
          <w:marRight w:val="0"/>
          <w:marTop w:val="0"/>
          <w:marBottom w:val="0"/>
          <w:divBdr>
            <w:top w:val="none" w:sz="0" w:space="0" w:color="auto"/>
            <w:left w:val="none" w:sz="0" w:space="0" w:color="auto"/>
            <w:bottom w:val="none" w:sz="0" w:space="0" w:color="auto"/>
            <w:right w:val="none" w:sz="0" w:space="0" w:color="auto"/>
          </w:divBdr>
        </w:div>
      </w:divsChild>
    </w:div>
    <w:div w:id="1530869847">
      <w:bodyDiv w:val="1"/>
      <w:marLeft w:val="0"/>
      <w:marRight w:val="0"/>
      <w:marTop w:val="0"/>
      <w:marBottom w:val="0"/>
      <w:divBdr>
        <w:top w:val="none" w:sz="0" w:space="0" w:color="auto"/>
        <w:left w:val="none" w:sz="0" w:space="0" w:color="auto"/>
        <w:bottom w:val="none" w:sz="0" w:space="0" w:color="auto"/>
        <w:right w:val="none" w:sz="0" w:space="0" w:color="auto"/>
      </w:divBdr>
      <w:divsChild>
        <w:div w:id="1418942683">
          <w:marLeft w:val="0"/>
          <w:marRight w:val="0"/>
          <w:marTop w:val="0"/>
          <w:marBottom w:val="0"/>
          <w:divBdr>
            <w:top w:val="none" w:sz="0" w:space="0" w:color="auto"/>
            <w:left w:val="none" w:sz="0" w:space="0" w:color="auto"/>
            <w:bottom w:val="none" w:sz="0" w:space="0" w:color="auto"/>
            <w:right w:val="none" w:sz="0" w:space="0" w:color="auto"/>
          </w:divBdr>
        </w:div>
      </w:divsChild>
    </w:div>
    <w:div w:id="1546019037">
      <w:bodyDiv w:val="1"/>
      <w:marLeft w:val="0"/>
      <w:marRight w:val="0"/>
      <w:marTop w:val="0"/>
      <w:marBottom w:val="0"/>
      <w:divBdr>
        <w:top w:val="none" w:sz="0" w:space="0" w:color="auto"/>
        <w:left w:val="none" w:sz="0" w:space="0" w:color="auto"/>
        <w:bottom w:val="none" w:sz="0" w:space="0" w:color="auto"/>
        <w:right w:val="none" w:sz="0" w:space="0" w:color="auto"/>
      </w:divBdr>
      <w:divsChild>
        <w:div w:id="391655540">
          <w:marLeft w:val="0"/>
          <w:marRight w:val="0"/>
          <w:marTop w:val="0"/>
          <w:marBottom w:val="0"/>
          <w:divBdr>
            <w:top w:val="none" w:sz="0" w:space="0" w:color="auto"/>
            <w:left w:val="none" w:sz="0" w:space="0" w:color="auto"/>
            <w:bottom w:val="none" w:sz="0" w:space="0" w:color="auto"/>
            <w:right w:val="none" w:sz="0" w:space="0" w:color="auto"/>
          </w:divBdr>
          <w:divsChild>
            <w:div w:id="105541450">
              <w:marLeft w:val="0"/>
              <w:marRight w:val="0"/>
              <w:marTop w:val="0"/>
              <w:marBottom w:val="0"/>
              <w:divBdr>
                <w:top w:val="none" w:sz="0" w:space="0" w:color="auto"/>
                <w:left w:val="none" w:sz="0" w:space="0" w:color="auto"/>
                <w:bottom w:val="none" w:sz="0" w:space="0" w:color="auto"/>
                <w:right w:val="none" w:sz="0" w:space="0" w:color="auto"/>
              </w:divBdr>
            </w:div>
          </w:divsChild>
        </w:div>
        <w:div w:id="2127847668">
          <w:marLeft w:val="0"/>
          <w:marRight w:val="0"/>
          <w:marTop w:val="0"/>
          <w:marBottom w:val="0"/>
          <w:divBdr>
            <w:top w:val="none" w:sz="0" w:space="0" w:color="auto"/>
            <w:left w:val="none" w:sz="0" w:space="0" w:color="auto"/>
            <w:bottom w:val="none" w:sz="0" w:space="0" w:color="auto"/>
            <w:right w:val="none" w:sz="0" w:space="0" w:color="auto"/>
          </w:divBdr>
          <w:divsChild>
            <w:div w:id="1849755028">
              <w:marLeft w:val="0"/>
              <w:marRight w:val="0"/>
              <w:marTop w:val="0"/>
              <w:marBottom w:val="0"/>
              <w:divBdr>
                <w:top w:val="none" w:sz="0" w:space="0" w:color="auto"/>
                <w:left w:val="none" w:sz="0" w:space="0" w:color="auto"/>
                <w:bottom w:val="none" w:sz="0" w:space="0" w:color="auto"/>
                <w:right w:val="none" w:sz="0" w:space="0" w:color="auto"/>
              </w:divBdr>
            </w:div>
          </w:divsChild>
        </w:div>
        <w:div w:id="270211523">
          <w:marLeft w:val="0"/>
          <w:marRight w:val="0"/>
          <w:marTop w:val="0"/>
          <w:marBottom w:val="0"/>
          <w:divBdr>
            <w:top w:val="none" w:sz="0" w:space="0" w:color="auto"/>
            <w:left w:val="none" w:sz="0" w:space="0" w:color="auto"/>
            <w:bottom w:val="none" w:sz="0" w:space="0" w:color="auto"/>
            <w:right w:val="none" w:sz="0" w:space="0" w:color="auto"/>
          </w:divBdr>
        </w:div>
      </w:divsChild>
    </w:div>
    <w:div w:id="1718312945">
      <w:bodyDiv w:val="1"/>
      <w:marLeft w:val="0"/>
      <w:marRight w:val="0"/>
      <w:marTop w:val="0"/>
      <w:marBottom w:val="0"/>
      <w:divBdr>
        <w:top w:val="none" w:sz="0" w:space="0" w:color="auto"/>
        <w:left w:val="none" w:sz="0" w:space="0" w:color="auto"/>
        <w:bottom w:val="none" w:sz="0" w:space="0" w:color="auto"/>
        <w:right w:val="none" w:sz="0" w:space="0" w:color="auto"/>
      </w:divBdr>
      <w:divsChild>
        <w:div w:id="739523684">
          <w:marLeft w:val="0"/>
          <w:marRight w:val="0"/>
          <w:marTop w:val="0"/>
          <w:marBottom w:val="0"/>
          <w:divBdr>
            <w:top w:val="none" w:sz="0" w:space="0" w:color="auto"/>
            <w:left w:val="none" w:sz="0" w:space="0" w:color="auto"/>
            <w:bottom w:val="none" w:sz="0" w:space="0" w:color="auto"/>
            <w:right w:val="none" w:sz="0" w:space="0" w:color="auto"/>
          </w:divBdr>
        </w:div>
      </w:divsChild>
    </w:div>
    <w:div w:id="1736120424">
      <w:bodyDiv w:val="1"/>
      <w:marLeft w:val="0"/>
      <w:marRight w:val="0"/>
      <w:marTop w:val="0"/>
      <w:marBottom w:val="0"/>
      <w:divBdr>
        <w:top w:val="none" w:sz="0" w:space="0" w:color="auto"/>
        <w:left w:val="none" w:sz="0" w:space="0" w:color="auto"/>
        <w:bottom w:val="none" w:sz="0" w:space="0" w:color="auto"/>
        <w:right w:val="none" w:sz="0" w:space="0" w:color="auto"/>
      </w:divBdr>
      <w:divsChild>
        <w:div w:id="2049796953">
          <w:marLeft w:val="0"/>
          <w:marRight w:val="0"/>
          <w:marTop w:val="0"/>
          <w:marBottom w:val="0"/>
          <w:divBdr>
            <w:top w:val="none" w:sz="0" w:space="0" w:color="auto"/>
            <w:left w:val="none" w:sz="0" w:space="0" w:color="auto"/>
            <w:bottom w:val="none" w:sz="0" w:space="0" w:color="auto"/>
            <w:right w:val="none" w:sz="0" w:space="0" w:color="auto"/>
          </w:divBdr>
        </w:div>
      </w:divsChild>
    </w:div>
    <w:div w:id="1806461427">
      <w:bodyDiv w:val="1"/>
      <w:marLeft w:val="0"/>
      <w:marRight w:val="0"/>
      <w:marTop w:val="0"/>
      <w:marBottom w:val="0"/>
      <w:divBdr>
        <w:top w:val="none" w:sz="0" w:space="0" w:color="auto"/>
        <w:left w:val="none" w:sz="0" w:space="0" w:color="auto"/>
        <w:bottom w:val="none" w:sz="0" w:space="0" w:color="auto"/>
        <w:right w:val="none" w:sz="0" w:space="0" w:color="auto"/>
      </w:divBdr>
      <w:divsChild>
        <w:div w:id="713965697">
          <w:marLeft w:val="0"/>
          <w:marRight w:val="0"/>
          <w:marTop w:val="0"/>
          <w:marBottom w:val="0"/>
          <w:divBdr>
            <w:top w:val="none" w:sz="0" w:space="0" w:color="auto"/>
            <w:left w:val="none" w:sz="0" w:space="0" w:color="auto"/>
            <w:bottom w:val="none" w:sz="0" w:space="0" w:color="auto"/>
            <w:right w:val="none" w:sz="0" w:space="0" w:color="auto"/>
          </w:divBdr>
          <w:divsChild>
            <w:div w:id="762458737">
              <w:marLeft w:val="0"/>
              <w:marRight w:val="0"/>
              <w:marTop w:val="0"/>
              <w:marBottom w:val="0"/>
              <w:divBdr>
                <w:top w:val="none" w:sz="0" w:space="0" w:color="auto"/>
                <w:left w:val="none" w:sz="0" w:space="0" w:color="auto"/>
                <w:bottom w:val="none" w:sz="0" w:space="0" w:color="auto"/>
                <w:right w:val="none" w:sz="0" w:space="0" w:color="auto"/>
              </w:divBdr>
            </w:div>
          </w:divsChild>
        </w:div>
        <w:div w:id="1406995748">
          <w:marLeft w:val="0"/>
          <w:marRight w:val="0"/>
          <w:marTop w:val="0"/>
          <w:marBottom w:val="0"/>
          <w:divBdr>
            <w:top w:val="none" w:sz="0" w:space="0" w:color="auto"/>
            <w:left w:val="none" w:sz="0" w:space="0" w:color="auto"/>
            <w:bottom w:val="none" w:sz="0" w:space="0" w:color="auto"/>
            <w:right w:val="none" w:sz="0" w:space="0" w:color="auto"/>
          </w:divBdr>
          <w:divsChild>
            <w:div w:id="927157442">
              <w:marLeft w:val="0"/>
              <w:marRight w:val="0"/>
              <w:marTop w:val="0"/>
              <w:marBottom w:val="0"/>
              <w:divBdr>
                <w:top w:val="none" w:sz="0" w:space="0" w:color="auto"/>
                <w:left w:val="none" w:sz="0" w:space="0" w:color="auto"/>
                <w:bottom w:val="none" w:sz="0" w:space="0" w:color="auto"/>
                <w:right w:val="none" w:sz="0" w:space="0" w:color="auto"/>
              </w:divBdr>
            </w:div>
          </w:divsChild>
        </w:div>
        <w:div w:id="2049721686">
          <w:marLeft w:val="0"/>
          <w:marRight w:val="0"/>
          <w:marTop w:val="0"/>
          <w:marBottom w:val="0"/>
          <w:divBdr>
            <w:top w:val="none" w:sz="0" w:space="0" w:color="auto"/>
            <w:left w:val="none" w:sz="0" w:space="0" w:color="auto"/>
            <w:bottom w:val="none" w:sz="0" w:space="0" w:color="auto"/>
            <w:right w:val="none" w:sz="0" w:space="0" w:color="auto"/>
          </w:divBdr>
          <w:divsChild>
            <w:div w:id="709690204">
              <w:marLeft w:val="0"/>
              <w:marRight w:val="0"/>
              <w:marTop w:val="0"/>
              <w:marBottom w:val="0"/>
              <w:divBdr>
                <w:top w:val="none" w:sz="0" w:space="0" w:color="auto"/>
                <w:left w:val="none" w:sz="0" w:space="0" w:color="auto"/>
                <w:bottom w:val="none" w:sz="0" w:space="0" w:color="auto"/>
                <w:right w:val="none" w:sz="0" w:space="0" w:color="auto"/>
              </w:divBdr>
            </w:div>
          </w:divsChild>
        </w:div>
        <w:div w:id="241372557">
          <w:marLeft w:val="0"/>
          <w:marRight w:val="0"/>
          <w:marTop w:val="0"/>
          <w:marBottom w:val="0"/>
          <w:divBdr>
            <w:top w:val="none" w:sz="0" w:space="0" w:color="auto"/>
            <w:left w:val="none" w:sz="0" w:space="0" w:color="auto"/>
            <w:bottom w:val="none" w:sz="0" w:space="0" w:color="auto"/>
            <w:right w:val="none" w:sz="0" w:space="0" w:color="auto"/>
          </w:divBdr>
        </w:div>
      </w:divsChild>
    </w:div>
    <w:div w:id="1823158306">
      <w:bodyDiv w:val="1"/>
      <w:marLeft w:val="0"/>
      <w:marRight w:val="0"/>
      <w:marTop w:val="0"/>
      <w:marBottom w:val="0"/>
      <w:divBdr>
        <w:top w:val="none" w:sz="0" w:space="0" w:color="auto"/>
        <w:left w:val="none" w:sz="0" w:space="0" w:color="auto"/>
        <w:bottom w:val="none" w:sz="0" w:space="0" w:color="auto"/>
        <w:right w:val="none" w:sz="0" w:space="0" w:color="auto"/>
      </w:divBdr>
      <w:divsChild>
        <w:div w:id="464664954">
          <w:marLeft w:val="0"/>
          <w:marRight w:val="0"/>
          <w:marTop w:val="0"/>
          <w:marBottom w:val="0"/>
          <w:divBdr>
            <w:top w:val="none" w:sz="0" w:space="0" w:color="auto"/>
            <w:left w:val="none" w:sz="0" w:space="0" w:color="auto"/>
            <w:bottom w:val="none" w:sz="0" w:space="0" w:color="auto"/>
            <w:right w:val="none" w:sz="0" w:space="0" w:color="auto"/>
          </w:divBdr>
          <w:divsChild>
            <w:div w:id="1918635730">
              <w:marLeft w:val="0"/>
              <w:marRight w:val="0"/>
              <w:marTop w:val="0"/>
              <w:marBottom w:val="0"/>
              <w:divBdr>
                <w:top w:val="none" w:sz="0" w:space="0" w:color="auto"/>
                <w:left w:val="none" w:sz="0" w:space="0" w:color="auto"/>
                <w:bottom w:val="none" w:sz="0" w:space="0" w:color="auto"/>
                <w:right w:val="none" w:sz="0" w:space="0" w:color="auto"/>
              </w:divBdr>
              <w:divsChild>
                <w:div w:id="5298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46408">
          <w:marLeft w:val="0"/>
          <w:marRight w:val="0"/>
          <w:marTop w:val="0"/>
          <w:marBottom w:val="0"/>
          <w:divBdr>
            <w:top w:val="none" w:sz="0" w:space="0" w:color="auto"/>
            <w:left w:val="none" w:sz="0" w:space="0" w:color="auto"/>
            <w:bottom w:val="none" w:sz="0" w:space="0" w:color="auto"/>
            <w:right w:val="none" w:sz="0" w:space="0" w:color="auto"/>
          </w:divBdr>
          <w:divsChild>
            <w:div w:id="55318457">
              <w:marLeft w:val="0"/>
              <w:marRight w:val="0"/>
              <w:marTop w:val="0"/>
              <w:marBottom w:val="0"/>
              <w:divBdr>
                <w:top w:val="none" w:sz="0" w:space="0" w:color="auto"/>
                <w:left w:val="none" w:sz="0" w:space="0" w:color="auto"/>
                <w:bottom w:val="none" w:sz="0" w:space="0" w:color="auto"/>
                <w:right w:val="none" w:sz="0" w:space="0" w:color="auto"/>
              </w:divBdr>
            </w:div>
            <w:div w:id="1558470352">
              <w:marLeft w:val="0"/>
              <w:marRight w:val="0"/>
              <w:marTop w:val="0"/>
              <w:marBottom w:val="0"/>
              <w:divBdr>
                <w:top w:val="none" w:sz="0" w:space="0" w:color="auto"/>
                <w:left w:val="none" w:sz="0" w:space="0" w:color="auto"/>
                <w:bottom w:val="none" w:sz="0" w:space="0" w:color="auto"/>
                <w:right w:val="none" w:sz="0" w:space="0" w:color="auto"/>
              </w:divBdr>
              <w:divsChild>
                <w:div w:id="4805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2861">
          <w:marLeft w:val="0"/>
          <w:marRight w:val="0"/>
          <w:marTop w:val="0"/>
          <w:marBottom w:val="0"/>
          <w:divBdr>
            <w:top w:val="none" w:sz="0" w:space="0" w:color="auto"/>
            <w:left w:val="none" w:sz="0" w:space="0" w:color="auto"/>
            <w:bottom w:val="none" w:sz="0" w:space="0" w:color="auto"/>
            <w:right w:val="none" w:sz="0" w:space="0" w:color="auto"/>
          </w:divBdr>
        </w:div>
      </w:divsChild>
    </w:div>
    <w:div w:id="1861166075">
      <w:bodyDiv w:val="1"/>
      <w:marLeft w:val="0"/>
      <w:marRight w:val="0"/>
      <w:marTop w:val="0"/>
      <w:marBottom w:val="0"/>
      <w:divBdr>
        <w:top w:val="none" w:sz="0" w:space="0" w:color="auto"/>
        <w:left w:val="none" w:sz="0" w:space="0" w:color="auto"/>
        <w:bottom w:val="none" w:sz="0" w:space="0" w:color="auto"/>
        <w:right w:val="none" w:sz="0" w:space="0" w:color="auto"/>
      </w:divBdr>
      <w:divsChild>
        <w:div w:id="58333879">
          <w:marLeft w:val="0"/>
          <w:marRight w:val="0"/>
          <w:marTop w:val="0"/>
          <w:marBottom w:val="0"/>
          <w:divBdr>
            <w:top w:val="none" w:sz="0" w:space="0" w:color="auto"/>
            <w:left w:val="none" w:sz="0" w:space="0" w:color="auto"/>
            <w:bottom w:val="none" w:sz="0" w:space="0" w:color="auto"/>
            <w:right w:val="none" w:sz="0" w:space="0" w:color="auto"/>
          </w:divBdr>
        </w:div>
      </w:divsChild>
    </w:div>
    <w:div w:id="1862738120">
      <w:bodyDiv w:val="1"/>
      <w:marLeft w:val="0"/>
      <w:marRight w:val="0"/>
      <w:marTop w:val="0"/>
      <w:marBottom w:val="0"/>
      <w:divBdr>
        <w:top w:val="none" w:sz="0" w:space="0" w:color="auto"/>
        <w:left w:val="none" w:sz="0" w:space="0" w:color="auto"/>
        <w:bottom w:val="none" w:sz="0" w:space="0" w:color="auto"/>
        <w:right w:val="none" w:sz="0" w:space="0" w:color="auto"/>
      </w:divBdr>
      <w:divsChild>
        <w:div w:id="1138957660">
          <w:marLeft w:val="0"/>
          <w:marRight w:val="0"/>
          <w:marTop w:val="0"/>
          <w:marBottom w:val="0"/>
          <w:divBdr>
            <w:top w:val="none" w:sz="0" w:space="0" w:color="auto"/>
            <w:left w:val="none" w:sz="0" w:space="0" w:color="auto"/>
            <w:bottom w:val="none" w:sz="0" w:space="0" w:color="auto"/>
            <w:right w:val="none" w:sz="0" w:space="0" w:color="auto"/>
          </w:divBdr>
        </w:div>
      </w:divsChild>
    </w:div>
    <w:div w:id="1872692320">
      <w:bodyDiv w:val="1"/>
      <w:marLeft w:val="0"/>
      <w:marRight w:val="0"/>
      <w:marTop w:val="0"/>
      <w:marBottom w:val="0"/>
      <w:divBdr>
        <w:top w:val="none" w:sz="0" w:space="0" w:color="auto"/>
        <w:left w:val="none" w:sz="0" w:space="0" w:color="auto"/>
        <w:bottom w:val="none" w:sz="0" w:space="0" w:color="auto"/>
        <w:right w:val="none" w:sz="0" w:space="0" w:color="auto"/>
      </w:divBdr>
      <w:divsChild>
        <w:div w:id="844594748">
          <w:marLeft w:val="0"/>
          <w:marRight w:val="0"/>
          <w:marTop w:val="0"/>
          <w:marBottom w:val="0"/>
          <w:divBdr>
            <w:top w:val="none" w:sz="0" w:space="0" w:color="auto"/>
            <w:left w:val="none" w:sz="0" w:space="0" w:color="auto"/>
            <w:bottom w:val="none" w:sz="0" w:space="0" w:color="auto"/>
            <w:right w:val="none" w:sz="0" w:space="0" w:color="auto"/>
          </w:divBdr>
        </w:div>
      </w:divsChild>
    </w:div>
    <w:div w:id="1883974230">
      <w:bodyDiv w:val="1"/>
      <w:marLeft w:val="0"/>
      <w:marRight w:val="0"/>
      <w:marTop w:val="0"/>
      <w:marBottom w:val="0"/>
      <w:divBdr>
        <w:top w:val="none" w:sz="0" w:space="0" w:color="auto"/>
        <w:left w:val="none" w:sz="0" w:space="0" w:color="auto"/>
        <w:bottom w:val="none" w:sz="0" w:space="0" w:color="auto"/>
        <w:right w:val="none" w:sz="0" w:space="0" w:color="auto"/>
      </w:divBdr>
      <w:divsChild>
        <w:div w:id="2019307364">
          <w:marLeft w:val="0"/>
          <w:marRight w:val="0"/>
          <w:marTop w:val="0"/>
          <w:marBottom w:val="0"/>
          <w:divBdr>
            <w:top w:val="none" w:sz="0" w:space="0" w:color="auto"/>
            <w:left w:val="none" w:sz="0" w:space="0" w:color="auto"/>
            <w:bottom w:val="none" w:sz="0" w:space="0" w:color="auto"/>
            <w:right w:val="none" w:sz="0" w:space="0" w:color="auto"/>
          </w:divBdr>
        </w:div>
        <w:div w:id="195821681">
          <w:marLeft w:val="0"/>
          <w:marRight w:val="0"/>
          <w:marTop w:val="0"/>
          <w:marBottom w:val="0"/>
          <w:divBdr>
            <w:top w:val="none" w:sz="0" w:space="0" w:color="auto"/>
            <w:left w:val="none" w:sz="0" w:space="0" w:color="auto"/>
            <w:bottom w:val="none" w:sz="0" w:space="0" w:color="auto"/>
            <w:right w:val="none" w:sz="0" w:space="0" w:color="auto"/>
          </w:divBdr>
          <w:divsChild>
            <w:div w:id="389808705">
              <w:marLeft w:val="0"/>
              <w:marRight w:val="0"/>
              <w:marTop w:val="0"/>
              <w:marBottom w:val="0"/>
              <w:divBdr>
                <w:top w:val="none" w:sz="0" w:space="0" w:color="auto"/>
                <w:left w:val="none" w:sz="0" w:space="0" w:color="auto"/>
                <w:bottom w:val="none" w:sz="0" w:space="0" w:color="auto"/>
                <w:right w:val="none" w:sz="0" w:space="0" w:color="auto"/>
              </w:divBdr>
            </w:div>
          </w:divsChild>
        </w:div>
        <w:div w:id="1807891707">
          <w:marLeft w:val="0"/>
          <w:marRight w:val="0"/>
          <w:marTop w:val="0"/>
          <w:marBottom w:val="0"/>
          <w:divBdr>
            <w:top w:val="none" w:sz="0" w:space="0" w:color="auto"/>
            <w:left w:val="none" w:sz="0" w:space="0" w:color="auto"/>
            <w:bottom w:val="none" w:sz="0" w:space="0" w:color="auto"/>
            <w:right w:val="none" w:sz="0" w:space="0" w:color="auto"/>
          </w:divBdr>
        </w:div>
      </w:divsChild>
    </w:div>
    <w:div w:id="1986154341">
      <w:bodyDiv w:val="1"/>
      <w:marLeft w:val="0"/>
      <w:marRight w:val="0"/>
      <w:marTop w:val="0"/>
      <w:marBottom w:val="0"/>
      <w:divBdr>
        <w:top w:val="none" w:sz="0" w:space="0" w:color="auto"/>
        <w:left w:val="none" w:sz="0" w:space="0" w:color="auto"/>
        <w:bottom w:val="none" w:sz="0" w:space="0" w:color="auto"/>
        <w:right w:val="none" w:sz="0" w:space="0" w:color="auto"/>
      </w:divBdr>
      <w:divsChild>
        <w:div w:id="1192572147">
          <w:marLeft w:val="0"/>
          <w:marRight w:val="0"/>
          <w:marTop w:val="0"/>
          <w:marBottom w:val="0"/>
          <w:divBdr>
            <w:top w:val="none" w:sz="0" w:space="0" w:color="auto"/>
            <w:left w:val="none" w:sz="0" w:space="0" w:color="auto"/>
            <w:bottom w:val="none" w:sz="0" w:space="0" w:color="auto"/>
            <w:right w:val="none" w:sz="0" w:space="0" w:color="auto"/>
          </w:divBdr>
        </w:div>
      </w:divsChild>
    </w:div>
    <w:div w:id="2026707606">
      <w:bodyDiv w:val="1"/>
      <w:marLeft w:val="0"/>
      <w:marRight w:val="0"/>
      <w:marTop w:val="0"/>
      <w:marBottom w:val="0"/>
      <w:divBdr>
        <w:top w:val="none" w:sz="0" w:space="0" w:color="auto"/>
        <w:left w:val="none" w:sz="0" w:space="0" w:color="auto"/>
        <w:bottom w:val="none" w:sz="0" w:space="0" w:color="auto"/>
        <w:right w:val="none" w:sz="0" w:space="0" w:color="auto"/>
      </w:divBdr>
      <w:divsChild>
        <w:div w:id="30347875">
          <w:marLeft w:val="0"/>
          <w:marRight w:val="0"/>
          <w:marTop w:val="0"/>
          <w:marBottom w:val="0"/>
          <w:divBdr>
            <w:top w:val="none" w:sz="0" w:space="0" w:color="auto"/>
            <w:left w:val="none" w:sz="0" w:space="0" w:color="auto"/>
            <w:bottom w:val="none" w:sz="0" w:space="0" w:color="auto"/>
            <w:right w:val="none" w:sz="0" w:space="0" w:color="auto"/>
          </w:divBdr>
        </w:div>
      </w:divsChild>
    </w:div>
    <w:div w:id="2085372137">
      <w:bodyDiv w:val="1"/>
      <w:marLeft w:val="0"/>
      <w:marRight w:val="0"/>
      <w:marTop w:val="0"/>
      <w:marBottom w:val="0"/>
      <w:divBdr>
        <w:top w:val="none" w:sz="0" w:space="0" w:color="auto"/>
        <w:left w:val="none" w:sz="0" w:space="0" w:color="auto"/>
        <w:bottom w:val="none" w:sz="0" w:space="0" w:color="auto"/>
        <w:right w:val="none" w:sz="0" w:space="0" w:color="auto"/>
      </w:divBdr>
      <w:divsChild>
        <w:div w:id="154062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E9916-C9D3-4D4E-B7C2-13358AB0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2196</Words>
  <Characters>11390</Characters>
  <Application>Microsoft Office Word</Application>
  <DocSecurity>0</DocSecurity>
  <Lines>272</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2021-06-10T17:48:00Z</dcterms:created>
  <dcterms:modified xsi:type="dcterms:W3CDTF">2021-06-10T17:48:00Z</dcterms:modified>
  <cp:category/>
</cp:coreProperties>
</file>