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A17B" w14:textId="1AE621C3" w:rsidR="00032942" w:rsidRDefault="00032942" w:rsidP="00032942">
      <w:pPr>
        <w:spacing w:line="240" w:lineRule="auto"/>
        <w:rPr>
          <w:sz w:val="20"/>
        </w:rPr>
      </w:pPr>
      <w:bookmarkStart w:id="0" w:name="_GoBack"/>
      <w:bookmarkEnd w:id="0"/>
      <w:r>
        <w:rPr>
          <w:sz w:val="20"/>
        </w:rPr>
        <w:t xml:space="preserve">Filed </w:t>
      </w:r>
      <w:r w:rsidR="0034638C">
        <w:rPr>
          <w:sz w:val="20"/>
        </w:rPr>
        <w:t>5/1/20</w:t>
      </w:r>
    </w:p>
    <w:p w14:paraId="27F9F19C" w14:textId="77777777" w:rsidR="00032942" w:rsidRDefault="00032942" w:rsidP="00032942">
      <w:pPr>
        <w:spacing w:line="240" w:lineRule="auto"/>
        <w:jc w:val="center"/>
        <w:rPr>
          <w:b/>
        </w:rPr>
      </w:pPr>
      <w:r>
        <w:rPr>
          <w:b/>
        </w:rPr>
        <w:t>CERTIFIED FOR PUBLICATION</w:t>
      </w:r>
    </w:p>
    <w:p w14:paraId="10E88013" w14:textId="77777777" w:rsidR="00032942" w:rsidRDefault="00032942" w:rsidP="00032942">
      <w:pPr>
        <w:spacing w:line="240" w:lineRule="auto"/>
        <w:jc w:val="center"/>
      </w:pPr>
    </w:p>
    <w:p w14:paraId="2E6CB43E" w14:textId="3AB6C676" w:rsidR="00A44E1B" w:rsidRPr="00763262" w:rsidRDefault="00A44E1B" w:rsidP="00032942">
      <w:pPr>
        <w:spacing w:line="240" w:lineRule="auto"/>
        <w:jc w:val="center"/>
      </w:pPr>
      <w:r w:rsidRPr="00763262">
        <w:t>IN THE COURT OF APPEAL OF THE STATE OF CALIFORNIA</w:t>
      </w:r>
    </w:p>
    <w:p w14:paraId="1B4B89B7" w14:textId="77777777" w:rsidR="00A44E1B" w:rsidRPr="00763262" w:rsidRDefault="00A44E1B" w:rsidP="00A44E1B">
      <w:pPr>
        <w:spacing w:line="240" w:lineRule="auto"/>
        <w:jc w:val="center"/>
      </w:pPr>
    </w:p>
    <w:p w14:paraId="3BEEE721" w14:textId="77777777" w:rsidR="00A44E1B" w:rsidRPr="00763262" w:rsidRDefault="00A44E1B" w:rsidP="00A44E1B">
      <w:pPr>
        <w:spacing w:line="240" w:lineRule="auto"/>
        <w:jc w:val="center"/>
      </w:pPr>
      <w:r w:rsidRPr="00763262">
        <w:t>FIRST APPELLATE DISTRICT</w:t>
      </w:r>
    </w:p>
    <w:p w14:paraId="5725B8ED" w14:textId="77777777" w:rsidR="00A44E1B" w:rsidRPr="00763262" w:rsidRDefault="00A44E1B" w:rsidP="00A44E1B">
      <w:pPr>
        <w:spacing w:line="240" w:lineRule="auto"/>
        <w:jc w:val="center"/>
      </w:pPr>
    </w:p>
    <w:p w14:paraId="5D343111" w14:textId="77777777" w:rsidR="00A44E1B" w:rsidRPr="00763262" w:rsidRDefault="00A44E1B" w:rsidP="00A44E1B">
      <w:pPr>
        <w:spacing w:line="240" w:lineRule="auto"/>
        <w:jc w:val="center"/>
      </w:pPr>
      <w:r w:rsidRPr="00763262">
        <w:t>DIVISION THREE</w:t>
      </w:r>
    </w:p>
    <w:p w14:paraId="364B3244" w14:textId="77777777" w:rsidR="00A44E1B" w:rsidRPr="00763262" w:rsidRDefault="00A44E1B" w:rsidP="00A44E1B">
      <w:pPr>
        <w:spacing w:line="240" w:lineRule="auto"/>
        <w:jc w:val="center"/>
      </w:pPr>
    </w:p>
    <w:p w14:paraId="7DD4336A" w14:textId="77777777" w:rsidR="00A44E1B" w:rsidRPr="00763262" w:rsidRDefault="00A44E1B" w:rsidP="00A44E1B">
      <w:pPr>
        <w:spacing w:line="240" w:lineRule="auto"/>
        <w:jc w:val="center"/>
      </w:pPr>
    </w:p>
    <w:tbl>
      <w:tblPr>
        <w:tblW w:w="0" w:type="auto"/>
        <w:tblLayout w:type="fixed"/>
        <w:tblLook w:val="0000" w:firstRow="0" w:lastRow="0" w:firstColumn="0" w:lastColumn="0" w:noHBand="0" w:noVBand="0"/>
      </w:tblPr>
      <w:tblGrid>
        <w:gridCol w:w="3960"/>
        <w:gridCol w:w="5508"/>
      </w:tblGrid>
      <w:tr w:rsidR="00A44E1B" w:rsidRPr="00763262" w14:paraId="07460478" w14:textId="77777777">
        <w:tc>
          <w:tcPr>
            <w:tcW w:w="3960" w:type="dxa"/>
            <w:tcBorders>
              <w:bottom w:val="single" w:sz="4" w:space="0" w:color="auto"/>
              <w:right w:val="single" w:sz="4" w:space="0" w:color="auto"/>
            </w:tcBorders>
            <w:shd w:val="clear" w:color="auto" w:fill="auto"/>
          </w:tcPr>
          <w:p w14:paraId="50C56C1B" w14:textId="77777777" w:rsidR="00A44E1B" w:rsidRPr="00763262" w:rsidRDefault="00583795" w:rsidP="00A44E1B">
            <w:pPr>
              <w:spacing w:after="120" w:line="240" w:lineRule="auto"/>
            </w:pPr>
            <w:r w:rsidRPr="00763262">
              <w:t>THE PEOPLE</w:t>
            </w:r>
            <w:r w:rsidR="00A44E1B" w:rsidRPr="00763262">
              <w:t>,</w:t>
            </w:r>
          </w:p>
          <w:p w14:paraId="40D138BA" w14:textId="77777777" w:rsidR="00A44E1B" w:rsidRPr="00763262" w:rsidRDefault="00A44E1B" w:rsidP="003F1E34">
            <w:pPr>
              <w:spacing w:line="240" w:lineRule="auto"/>
            </w:pPr>
            <w:r w:rsidRPr="00763262">
              <w:tab/>
              <w:t>Plaintiff and</w:t>
            </w:r>
          </w:p>
          <w:p w14:paraId="357A0725" w14:textId="77777777" w:rsidR="00A44E1B" w:rsidRPr="00763262" w:rsidRDefault="00A44E1B" w:rsidP="003F1E34">
            <w:pPr>
              <w:spacing w:line="240" w:lineRule="auto"/>
            </w:pPr>
            <w:r w:rsidRPr="00763262">
              <w:t xml:space="preserve"> </w:t>
            </w:r>
            <w:r w:rsidR="00583795" w:rsidRPr="00763262">
              <w:t xml:space="preserve">         Respondent</w:t>
            </w:r>
            <w:r w:rsidRPr="00763262">
              <w:t>,</w:t>
            </w:r>
          </w:p>
          <w:p w14:paraId="2570EC89" w14:textId="77777777" w:rsidR="00A44E1B" w:rsidRPr="00763262" w:rsidRDefault="00A44E1B" w:rsidP="00A44E1B">
            <w:pPr>
              <w:spacing w:after="120" w:line="240" w:lineRule="auto"/>
            </w:pPr>
            <w:r w:rsidRPr="00763262">
              <w:t>v.</w:t>
            </w:r>
          </w:p>
          <w:p w14:paraId="782F124B" w14:textId="77777777" w:rsidR="00A44E1B" w:rsidRPr="00763262" w:rsidRDefault="00583795" w:rsidP="00A44E1B">
            <w:pPr>
              <w:spacing w:after="120" w:line="240" w:lineRule="auto"/>
            </w:pPr>
            <w:r w:rsidRPr="00763262">
              <w:t>WALTER LAFONZE EDWARDS</w:t>
            </w:r>
            <w:r w:rsidR="00A44E1B" w:rsidRPr="00763262">
              <w:t>,</w:t>
            </w:r>
          </w:p>
          <w:p w14:paraId="40DDAEDF" w14:textId="77777777" w:rsidR="00A44E1B" w:rsidRPr="00763262" w:rsidRDefault="00A44E1B" w:rsidP="003F1E34">
            <w:pPr>
              <w:spacing w:line="240" w:lineRule="auto"/>
            </w:pPr>
            <w:r w:rsidRPr="00763262">
              <w:tab/>
              <w:t xml:space="preserve">Defendant and </w:t>
            </w:r>
          </w:p>
          <w:p w14:paraId="138A82F2" w14:textId="77777777" w:rsidR="00A44E1B" w:rsidRPr="00763262" w:rsidRDefault="00A44E1B" w:rsidP="003F1E34">
            <w:pPr>
              <w:spacing w:line="240" w:lineRule="auto"/>
            </w:pPr>
            <w:r w:rsidRPr="00763262">
              <w:t xml:space="preserve"> </w:t>
            </w:r>
            <w:r w:rsidR="00583795" w:rsidRPr="00763262">
              <w:t xml:space="preserve">         Appellant</w:t>
            </w:r>
            <w:r w:rsidRPr="00763262">
              <w:t>.</w:t>
            </w:r>
          </w:p>
          <w:p w14:paraId="43CE40E6" w14:textId="77777777" w:rsidR="003F1E34" w:rsidRPr="00763262" w:rsidRDefault="003F1E34" w:rsidP="003F1E34">
            <w:pPr>
              <w:spacing w:line="240" w:lineRule="auto"/>
            </w:pPr>
          </w:p>
        </w:tc>
        <w:tc>
          <w:tcPr>
            <w:tcW w:w="5508" w:type="dxa"/>
            <w:tcBorders>
              <w:left w:val="single" w:sz="4" w:space="0" w:color="auto"/>
            </w:tcBorders>
            <w:shd w:val="clear" w:color="auto" w:fill="auto"/>
          </w:tcPr>
          <w:p w14:paraId="5A9CA03A" w14:textId="77777777" w:rsidR="00A44E1B" w:rsidRPr="00763262" w:rsidRDefault="00A44E1B" w:rsidP="00A44E1B">
            <w:pPr>
              <w:spacing w:line="240" w:lineRule="auto"/>
            </w:pPr>
          </w:p>
          <w:p w14:paraId="45BBC7C2" w14:textId="77777777" w:rsidR="00A44E1B" w:rsidRPr="00763262" w:rsidRDefault="00A44E1B" w:rsidP="00A44E1B">
            <w:pPr>
              <w:spacing w:line="240" w:lineRule="auto"/>
            </w:pPr>
          </w:p>
          <w:p w14:paraId="4FEB2C86" w14:textId="77777777" w:rsidR="00A44E1B" w:rsidRPr="00763262" w:rsidRDefault="00A44E1B" w:rsidP="00A44E1B">
            <w:pPr>
              <w:spacing w:line="240" w:lineRule="auto"/>
            </w:pPr>
            <w:r w:rsidRPr="00763262">
              <w:t xml:space="preserve">      A15</w:t>
            </w:r>
            <w:r w:rsidR="00583795" w:rsidRPr="00763262">
              <w:t>8055</w:t>
            </w:r>
          </w:p>
          <w:p w14:paraId="0C1802B9" w14:textId="77777777" w:rsidR="00A44E1B" w:rsidRPr="00763262" w:rsidRDefault="00A44E1B" w:rsidP="00A44E1B">
            <w:pPr>
              <w:spacing w:line="240" w:lineRule="auto"/>
            </w:pPr>
          </w:p>
          <w:p w14:paraId="102D3838" w14:textId="77777777" w:rsidR="00161BA0" w:rsidRDefault="00A44E1B" w:rsidP="00583795">
            <w:pPr>
              <w:spacing w:line="240" w:lineRule="auto"/>
            </w:pPr>
            <w:r w:rsidRPr="00763262">
              <w:t xml:space="preserve">      (</w:t>
            </w:r>
            <w:r w:rsidR="00583795" w:rsidRPr="00763262">
              <w:t>A</w:t>
            </w:r>
            <w:r w:rsidR="00161BA0">
              <w:t xml:space="preserve">lameda County </w:t>
            </w:r>
          </w:p>
          <w:p w14:paraId="31D27AFC" w14:textId="77777777" w:rsidR="00A44E1B" w:rsidRPr="00763262" w:rsidRDefault="00161BA0" w:rsidP="00583795">
            <w:pPr>
              <w:spacing w:line="240" w:lineRule="auto"/>
            </w:pPr>
            <w:r>
              <w:t xml:space="preserve">      Sup. Ct. No. </w:t>
            </w:r>
            <w:r w:rsidR="009B0236">
              <w:t>164975</w:t>
            </w:r>
            <w:r w:rsidR="00A44E1B" w:rsidRPr="00763262">
              <w:t>)</w:t>
            </w:r>
          </w:p>
          <w:p w14:paraId="72C4E9B0" w14:textId="77777777" w:rsidR="00A44E1B" w:rsidRPr="00763262" w:rsidRDefault="00A44E1B" w:rsidP="00A44E1B">
            <w:pPr>
              <w:spacing w:line="240" w:lineRule="auto"/>
            </w:pPr>
          </w:p>
        </w:tc>
      </w:tr>
    </w:tbl>
    <w:p w14:paraId="24262911" w14:textId="77777777" w:rsidR="00763262" w:rsidRPr="00763262" w:rsidRDefault="00763262" w:rsidP="0095275E">
      <w:pPr>
        <w:pStyle w:val="paragraphscxw44199090bcx2"/>
        <w:spacing w:before="2" w:after="2"/>
        <w:ind w:firstLine="480"/>
        <w:textAlignment w:val="baseline"/>
        <w:rPr>
          <w:rFonts w:ascii="Century Schoolbook" w:hAnsi="Century Schoolbook"/>
          <w:sz w:val="26"/>
          <w:szCs w:val="22"/>
        </w:rPr>
      </w:pPr>
    </w:p>
    <w:p w14:paraId="670230DD" w14:textId="2E0233FD" w:rsidR="00C52BAA" w:rsidRDefault="00763262" w:rsidP="00763262">
      <w:pPr>
        <w:pStyle w:val="paragraphscxw44199090bcx2"/>
        <w:spacing w:before="2" w:after="2" w:line="360" w:lineRule="auto"/>
        <w:contextualSpacing/>
        <w:textAlignment w:val="baseline"/>
        <w:rPr>
          <w:rStyle w:val="normaltextrunscxw44199090bcx2"/>
          <w:rFonts w:ascii="Century Schoolbook" w:hAnsi="Century Schoolbook" w:cs="Times New Roman"/>
          <w:sz w:val="26"/>
          <w:szCs w:val="26"/>
        </w:rPr>
      </w:pPr>
      <w:r w:rsidRPr="009D6731">
        <w:rPr>
          <w:rStyle w:val="normaltextrunscxw44199090bcx2"/>
          <w:rFonts w:ascii="Century Schoolbook" w:hAnsi="Century Schoolbook" w:cs="Times New Roman"/>
          <w:sz w:val="26"/>
          <w:szCs w:val="26"/>
        </w:rPr>
        <w:tab/>
      </w:r>
      <w:r w:rsidR="0095275E" w:rsidRPr="009D6731">
        <w:rPr>
          <w:rStyle w:val="normaltextrunscxw44199090bcx2"/>
          <w:rFonts w:ascii="Century Schoolbook" w:hAnsi="Century Schoolbook" w:cs="Times New Roman"/>
          <w:sz w:val="26"/>
          <w:szCs w:val="26"/>
        </w:rPr>
        <w:t xml:space="preserve">Defendant and appellant Walter </w:t>
      </w:r>
      <w:proofErr w:type="spellStart"/>
      <w:r w:rsidR="0095275E" w:rsidRPr="009D6731">
        <w:rPr>
          <w:rStyle w:val="spellingerrorscxw44199090bcx2"/>
          <w:rFonts w:ascii="Century Schoolbook" w:hAnsi="Century Schoolbook" w:cs="Times New Roman"/>
          <w:sz w:val="26"/>
          <w:szCs w:val="26"/>
        </w:rPr>
        <w:t>Lafonze</w:t>
      </w:r>
      <w:proofErr w:type="spellEnd"/>
      <w:r w:rsidR="0095275E" w:rsidRPr="009D6731">
        <w:rPr>
          <w:rStyle w:val="normaltextrunscxw44199090bcx2"/>
          <w:rFonts w:ascii="Century Schoolbook" w:hAnsi="Century Schoolbook" w:cs="Times New Roman"/>
          <w:sz w:val="26"/>
          <w:szCs w:val="26"/>
        </w:rPr>
        <w:t xml:space="preserve"> Edwards </w:t>
      </w:r>
      <w:r w:rsidR="00F01BAD">
        <w:rPr>
          <w:rStyle w:val="normaltextrunscxw44199090bcx2"/>
          <w:rFonts w:ascii="Century Schoolbook" w:hAnsi="Century Schoolbook" w:cs="Times New Roman"/>
          <w:sz w:val="26"/>
          <w:szCs w:val="26"/>
        </w:rPr>
        <w:t xml:space="preserve">(Edwards) </w:t>
      </w:r>
      <w:r w:rsidR="007A71EB" w:rsidRPr="009D6731">
        <w:rPr>
          <w:rStyle w:val="normaltextrunscxw44199090bcx2"/>
          <w:rFonts w:ascii="Century Schoolbook" w:hAnsi="Century Schoolbook" w:cs="Times New Roman"/>
          <w:sz w:val="26"/>
          <w:szCs w:val="26"/>
        </w:rPr>
        <w:t xml:space="preserve">appeals the denial of his </w:t>
      </w:r>
      <w:r w:rsidR="0041727F" w:rsidRPr="009D6731">
        <w:rPr>
          <w:rStyle w:val="normaltextrunscxw44199090bcx2"/>
          <w:rFonts w:ascii="Century Schoolbook" w:hAnsi="Century Schoolbook" w:cs="Times New Roman"/>
          <w:sz w:val="26"/>
          <w:szCs w:val="26"/>
        </w:rPr>
        <w:t xml:space="preserve">petition for resentencing </w:t>
      </w:r>
      <w:r w:rsidR="0095275E" w:rsidRPr="009D6731">
        <w:rPr>
          <w:rStyle w:val="normaltextrunscxw44199090bcx2"/>
          <w:rFonts w:ascii="Century Schoolbook" w:hAnsi="Century Schoolbook" w:cs="Times New Roman"/>
          <w:sz w:val="26"/>
          <w:szCs w:val="26"/>
        </w:rPr>
        <w:t>under Penal Code section 1170.95,</w:t>
      </w:r>
      <w:r w:rsidR="0095275E" w:rsidRPr="009D6731">
        <w:rPr>
          <w:rStyle w:val="FootnoteReference"/>
          <w:rFonts w:ascii="Century Schoolbook" w:hAnsi="Century Schoolbook"/>
          <w:bCs/>
          <w:sz w:val="26"/>
        </w:rPr>
        <w:footnoteReference w:id="2"/>
      </w:r>
      <w:r w:rsidR="0095275E" w:rsidRPr="009D6731">
        <w:rPr>
          <w:rStyle w:val="normaltextrunscxw44199090bcx2"/>
          <w:rFonts w:ascii="Century Schoolbook" w:hAnsi="Century Schoolbook" w:cs="Times New Roman"/>
          <w:sz w:val="26"/>
          <w:szCs w:val="26"/>
        </w:rPr>
        <w:t xml:space="preserve"> enacted as part of Senate Bill No. 1437 (Stats. 2018, </w:t>
      </w:r>
      <w:proofErr w:type="spellStart"/>
      <w:r w:rsidR="0095275E" w:rsidRPr="009D6731">
        <w:rPr>
          <w:rStyle w:val="spellingerrorscxw44199090bcx2"/>
          <w:rFonts w:ascii="Century Schoolbook" w:hAnsi="Century Schoolbook" w:cs="Times New Roman"/>
          <w:sz w:val="26"/>
          <w:szCs w:val="26"/>
        </w:rPr>
        <w:t>ch.</w:t>
      </w:r>
      <w:proofErr w:type="spellEnd"/>
      <w:r w:rsidR="0095275E" w:rsidRPr="009D6731">
        <w:rPr>
          <w:rStyle w:val="normaltextrunscxw44199090bcx2"/>
          <w:rFonts w:ascii="Century Schoolbook" w:hAnsi="Century Schoolbook" w:cs="Times New Roman"/>
          <w:sz w:val="26"/>
          <w:szCs w:val="26"/>
        </w:rPr>
        <w:t xml:space="preserve"> 1015). </w:t>
      </w:r>
      <w:r w:rsidR="00C52BAA">
        <w:rPr>
          <w:rStyle w:val="normaltextrunscxw44199090bcx2"/>
          <w:rFonts w:ascii="Century Schoolbook" w:hAnsi="Century Schoolbook" w:cs="Times New Roman"/>
          <w:sz w:val="26"/>
          <w:szCs w:val="26"/>
        </w:rPr>
        <w:t xml:space="preserve"> </w:t>
      </w:r>
      <w:r w:rsidR="0095275E" w:rsidRPr="009D6731">
        <w:rPr>
          <w:rStyle w:val="normaltextrunscxw44199090bcx2"/>
          <w:rFonts w:ascii="Century Schoolbook" w:hAnsi="Century Schoolbook" w:cs="Times New Roman"/>
          <w:sz w:val="26"/>
          <w:szCs w:val="26"/>
        </w:rPr>
        <w:t xml:space="preserve">The </w:t>
      </w:r>
      <w:r w:rsidR="00BB276E" w:rsidRPr="009D6731">
        <w:rPr>
          <w:rStyle w:val="normaltextrunscxw44199090bcx2"/>
          <w:rFonts w:ascii="Century Schoolbook" w:hAnsi="Century Schoolbook" w:cs="Times New Roman"/>
          <w:sz w:val="26"/>
          <w:szCs w:val="26"/>
        </w:rPr>
        <w:t>superior</w:t>
      </w:r>
      <w:r w:rsidR="0095275E" w:rsidRPr="009D6731">
        <w:rPr>
          <w:rStyle w:val="normaltextrunscxw44199090bcx2"/>
          <w:rFonts w:ascii="Century Schoolbook" w:hAnsi="Century Schoolbook" w:cs="Times New Roman"/>
          <w:sz w:val="26"/>
          <w:szCs w:val="26"/>
        </w:rPr>
        <w:t xml:space="preserve"> court denied the petition</w:t>
      </w:r>
      <w:r w:rsidR="0041727F" w:rsidRPr="009D6731">
        <w:rPr>
          <w:rStyle w:val="normaltextrunscxw44199090bcx2"/>
          <w:rFonts w:ascii="Century Schoolbook" w:hAnsi="Century Schoolbook" w:cs="Times New Roman"/>
          <w:sz w:val="26"/>
          <w:szCs w:val="26"/>
        </w:rPr>
        <w:t xml:space="preserve"> on the basis </w:t>
      </w:r>
      <w:r w:rsidR="0095275E" w:rsidRPr="009D6731">
        <w:rPr>
          <w:rStyle w:val="normaltextrunscxw44199090bcx2"/>
          <w:rFonts w:ascii="Century Schoolbook" w:hAnsi="Century Schoolbook" w:cs="Times New Roman"/>
          <w:sz w:val="26"/>
          <w:szCs w:val="26"/>
        </w:rPr>
        <w:t>that section 1170.95 was not a</w:t>
      </w:r>
      <w:r w:rsidR="00C26702">
        <w:rPr>
          <w:rStyle w:val="normaltextrunscxw44199090bcx2"/>
          <w:rFonts w:ascii="Century Schoolbook" w:hAnsi="Century Schoolbook" w:cs="Times New Roman"/>
          <w:sz w:val="26"/>
          <w:szCs w:val="26"/>
        </w:rPr>
        <w:t>vailable to Edwards because he “</w:t>
      </w:r>
      <w:r w:rsidR="0095275E" w:rsidRPr="009D6731">
        <w:rPr>
          <w:rStyle w:val="normaltextrunscxw44199090bcx2"/>
          <w:rFonts w:ascii="Century Schoolbook" w:hAnsi="Century Schoolbook" w:cs="Times New Roman"/>
          <w:sz w:val="26"/>
          <w:szCs w:val="26"/>
        </w:rPr>
        <w:t>was not convicted of murder under a felony</w:t>
      </w:r>
      <w:r w:rsidR="009B0236">
        <w:rPr>
          <w:rStyle w:val="normaltextrunscxw44199090bcx2"/>
          <w:rFonts w:ascii="Century Schoolbook" w:hAnsi="Century Schoolbook" w:cs="Times New Roman"/>
          <w:sz w:val="26"/>
          <w:szCs w:val="26"/>
        </w:rPr>
        <w:t>[]</w:t>
      </w:r>
      <w:r w:rsidR="0095275E" w:rsidRPr="009D6731">
        <w:rPr>
          <w:rStyle w:val="normaltextrunscxw44199090bcx2"/>
          <w:rFonts w:ascii="Century Schoolbook" w:hAnsi="Century Schoolbook" w:cs="Times New Roman"/>
          <w:sz w:val="26"/>
          <w:szCs w:val="26"/>
        </w:rPr>
        <w:t>murder or natural and probable conseq</w:t>
      </w:r>
      <w:r w:rsidR="00C12218">
        <w:rPr>
          <w:rStyle w:val="normaltextrunscxw44199090bcx2"/>
          <w:rFonts w:ascii="Century Schoolbook" w:hAnsi="Century Schoolbook" w:cs="Times New Roman"/>
          <w:sz w:val="26"/>
          <w:szCs w:val="26"/>
        </w:rPr>
        <w:t>uences aider and abettor theory.”</w:t>
      </w:r>
    </w:p>
    <w:p w14:paraId="5A197742" w14:textId="77777777" w:rsidR="006B2BCB" w:rsidRDefault="00763262" w:rsidP="00763262">
      <w:pPr>
        <w:pStyle w:val="paragraphscxw44199090bcx2"/>
        <w:spacing w:before="2" w:after="2" w:line="360" w:lineRule="auto"/>
        <w:contextualSpacing/>
        <w:textAlignment w:val="baseline"/>
        <w:rPr>
          <w:rStyle w:val="normaltextrunscxw44199090bcx2"/>
        </w:rPr>
      </w:pPr>
      <w:r w:rsidRPr="009D6731">
        <w:rPr>
          <w:rStyle w:val="normaltextrunscxw44199090bcx2"/>
          <w:rFonts w:ascii="Century Schoolbook" w:hAnsi="Century Schoolbook" w:cs="Times New Roman"/>
          <w:sz w:val="26"/>
          <w:szCs w:val="26"/>
        </w:rPr>
        <w:tab/>
      </w:r>
      <w:r w:rsidR="0095275E" w:rsidRPr="009D6731">
        <w:rPr>
          <w:rStyle w:val="normaltextrunscxw44199090bcx2"/>
          <w:rFonts w:ascii="Century Schoolbook" w:hAnsi="Century Schoolbook" w:cs="Times New Roman"/>
          <w:sz w:val="26"/>
          <w:szCs w:val="26"/>
        </w:rPr>
        <w:t>On appeal</w:t>
      </w:r>
      <w:r w:rsidR="0041727F" w:rsidRPr="009D6731">
        <w:rPr>
          <w:rStyle w:val="normaltextrunscxw44199090bcx2"/>
          <w:rFonts w:ascii="Century Schoolbook" w:hAnsi="Century Schoolbook" w:cs="Times New Roman"/>
          <w:sz w:val="26"/>
          <w:szCs w:val="26"/>
        </w:rPr>
        <w:t>,</w:t>
      </w:r>
      <w:r w:rsidR="0095275E" w:rsidRPr="009D6731">
        <w:rPr>
          <w:rStyle w:val="normaltextrunscxw44199090bcx2"/>
          <w:rFonts w:ascii="Century Schoolbook" w:hAnsi="Century Schoolbook" w:cs="Times New Roman"/>
          <w:sz w:val="26"/>
          <w:szCs w:val="26"/>
        </w:rPr>
        <w:t xml:space="preserve"> Edwards does not challenge the </w:t>
      </w:r>
      <w:r w:rsidR="00BB276E" w:rsidRPr="009D6731">
        <w:rPr>
          <w:rStyle w:val="normaltextrunscxw44199090bcx2"/>
          <w:rFonts w:ascii="Century Schoolbook" w:hAnsi="Century Schoolbook" w:cs="Times New Roman"/>
          <w:sz w:val="26"/>
          <w:szCs w:val="26"/>
        </w:rPr>
        <w:t>superior</w:t>
      </w:r>
      <w:r w:rsidR="0095275E" w:rsidRPr="009D6731">
        <w:rPr>
          <w:rStyle w:val="normaltextrunscxw44199090bcx2"/>
          <w:rFonts w:ascii="Century Schoolbook" w:hAnsi="Century Schoolbook" w:cs="Times New Roman"/>
          <w:sz w:val="26"/>
          <w:szCs w:val="26"/>
        </w:rPr>
        <w:t xml:space="preserve"> court’s conclusion that his murder conviction was not based on a theory of felony murder or the natural and probable consequences doctrine aider and abettor theory.  </w:t>
      </w:r>
      <w:r w:rsidR="00FE2EF4">
        <w:rPr>
          <w:rStyle w:val="normaltextrunscxw44199090bcx2"/>
          <w:rFonts w:ascii="Century Schoolbook" w:hAnsi="Century Schoolbook" w:cs="Times New Roman"/>
          <w:sz w:val="26"/>
          <w:szCs w:val="26"/>
        </w:rPr>
        <w:t>Rather, his appeal is a challenge to</w:t>
      </w:r>
      <w:r w:rsidR="0095275E" w:rsidRPr="009D6731">
        <w:rPr>
          <w:rStyle w:val="normaltextrunscxw44199090bcx2"/>
          <w:rFonts w:ascii="Century Schoolbook" w:hAnsi="Century Schoolbook" w:cs="Times New Roman"/>
          <w:sz w:val="26"/>
          <w:szCs w:val="26"/>
        </w:rPr>
        <w:t xml:space="preserve"> the procedure by which the superior </w:t>
      </w:r>
      <w:r w:rsidR="00C12218">
        <w:rPr>
          <w:rStyle w:val="normaltextrunscxw44199090bcx2"/>
          <w:rFonts w:ascii="Century Schoolbook" w:hAnsi="Century Schoolbook" w:cs="Times New Roman"/>
          <w:sz w:val="26"/>
          <w:szCs w:val="26"/>
        </w:rPr>
        <w:t xml:space="preserve">court reviewed and </w:t>
      </w:r>
      <w:r w:rsidR="0095275E" w:rsidRPr="009D6731">
        <w:rPr>
          <w:rStyle w:val="normaltextrunscxw44199090bcx2"/>
          <w:rFonts w:ascii="Century Schoolbook" w:hAnsi="Century Schoolbook" w:cs="Times New Roman"/>
          <w:sz w:val="26"/>
          <w:szCs w:val="26"/>
        </w:rPr>
        <w:t>resolved his petition</w:t>
      </w:r>
      <w:r w:rsidR="00BB276E" w:rsidRPr="009D6731">
        <w:rPr>
          <w:rStyle w:val="normaltextrunscxw44199090bcx2"/>
          <w:rFonts w:ascii="Century Schoolbook" w:hAnsi="Century Schoolbook" w:cs="Times New Roman"/>
          <w:sz w:val="26"/>
          <w:szCs w:val="26"/>
        </w:rPr>
        <w:t xml:space="preserve">. </w:t>
      </w:r>
      <w:r w:rsidR="00FE2EF4">
        <w:rPr>
          <w:rStyle w:val="normaltextrunscxw44199090bcx2"/>
          <w:rFonts w:ascii="Century Schoolbook" w:hAnsi="Century Schoolbook" w:cs="Times New Roman"/>
          <w:sz w:val="26"/>
          <w:szCs w:val="26"/>
        </w:rPr>
        <w:t xml:space="preserve"> </w:t>
      </w:r>
      <w:r w:rsidR="00FE1411">
        <w:rPr>
          <w:rStyle w:val="normaltextrunscxw44199090bcx2"/>
          <w:rFonts w:ascii="Century Schoolbook" w:hAnsi="Century Schoolbook" w:cs="Times New Roman"/>
          <w:sz w:val="26"/>
          <w:szCs w:val="26"/>
        </w:rPr>
        <w:t>W</w:t>
      </w:r>
      <w:r w:rsidR="00BB276E" w:rsidRPr="009D6731">
        <w:rPr>
          <w:rStyle w:val="normaltextrunscxw44199090bcx2"/>
          <w:rFonts w:ascii="Century Schoolbook" w:hAnsi="Century Schoolbook" w:cs="Times New Roman"/>
          <w:sz w:val="26"/>
          <w:szCs w:val="26"/>
        </w:rPr>
        <w:t>e affirm.  </w:t>
      </w:r>
    </w:p>
    <w:p w14:paraId="1E010B2D" w14:textId="77777777" w:rsidR="0095275E" w:rsidRPr="009D6731" w:rsidRDefault="009D6731" w:rsidP="00534840">
      <w:pPr>
        <w:tabs>
          <w:tab w:val="clear" w:pos="720"/>
        </w:tabs>
        <w:spacing w:beforeLines="1" w:before="2" w:afterLines="1" w:after="2" w:line="360" w:lineRule="auto"/>
        <w:contextualSpacing/>
        <w:jc w:val="center"/>
        <w:textAlignment w:val="baseline"/>
        <w:rPr>
          <w:rFonts w:cs="Times New Roman"/>
          <w:szCs w:val="20"/>
        </w:rPr>
      </w:pPr>
      <w:r w:rsidRPr="009D6731">
        <w:rPr>
          <w:b/>
        </w:rPr>
        <w:lastRenderedPageBreak/>
        <w:t>F</w:t>
      </w:r>
      <w:r w:rsidRPr="009D6731">
        <w:rPr>
          <w:b/>
          <w:szCs w:val="18"/>
        </w:rPr>
        <w:t xml:space="preserve">ACTUAL AND </w:t>
      </w:r>
      <w:r w:rsidRPr="009D6731">
        <w:rPr>
          <w:b/>
        </w:rPr>
        <w:t>P</w:t>
      </w:r>
      <w:r w:rsidRPr="009D6731">
        <w:rPr>
          <w:b/>
          <w:szCs w:val="18"/>
        </w:rPr>
        <w:t xml:space="preserve">ROCEDURAL </w:t>
      </w:r>
      <w:r w:rsidRPr="009D6731">
        <w:rPr>
          <w:b/>
        </w:rPr>
        <w:t>B</w:t>
      </w:r>
      <w:r w:rsidRPr="009D6731">
        <w:rPr>
          <w:b/>
          <w:szCs w:val="18"/>
        </w:rPr>
        <w:t>ACKGROUND</w:t>
      </w:r>
      <w:r w:rsidR="0095275E" w:rsidRPr="009D6731">
        <w:rPr>
          <w:rStyle w:val="FootnoteReference"/>
          <w:bCs/>
        </w:rPr>
        <w:footnoteReference w:id="3"/>
      </w:r>
    </w:p>
    <w:p w14:paraId="29167BEA" w14:textId="77777777" w:rsidR="0041727F" w:rsidRPr="009D6731" w:rsidRDefault="00763262" w:rsidP="005702C0">
      <w:pPr>
        <w:tabs>
          <w:tab w:val="clear" w:pos="720"/>
        </w:tabs>
        <w:spacing w:beforeLines="1" w:before="2" w:afterLines="1" w:after="2" w:line="360" w:lineRule="auto"/>
        <w:contextualSpacing/>
        <w:textAlignment w:val="baseline"/>
        <w:rPr>
          <w:rFonts w:cs="Times New Roman"/>
        </w:rPr>
      </w:pPr>
      <w:r w:rsidRPr="009D6731">
        <w:rPr>
          <w:rFonts w:cs="Times New Roman"/>
        </w:rPr>
        <w:tab/>
      </w:r>
      <w:r w:rsidR="0041727F" w:rsidRPr="009D6731">
        <w:rPr>
          <w:rFonts w:cs="Times New Roman"/>
        </w:rPr>
        <w:t>In 2006,</w:t>
      </w:r>
      <w:r w:rsidR="0095275E" w:rsidRPr="009D6731">
        <w:rPr>
          <w:rFonts w:cs="Times New Roman"/>
        </w:rPr>
        <w:t xml:space="preserve"> Edwards fired </w:t>
      </w:r>
      <w:r w:rsidR="0041727F" w:rsidRPr="009D6731">
        <w:rPr>
          <w:rFonts w:cs="Times New Roman"/>
        </w:rPr>
        <w:t xml:space="preserve">an assault weapon </w:t>
      </w:r>
      <w:r w:rsidR="0095275E" w:rsidRPr="009D6731">
        <w:rPr>
          <w:rFonts w:cs="Times New Roman"/>
        </w:rPr>
        <w:t>into an apartment, killing</w:t>
      </w:r>
      <w:r w:rsidR="009B0236">
        <w:rPr>
          <w:rFonts w:cs="Times New Roman"/>
        </w:rPr>
        <w:t xml:space="preserve"> the victim.</w:t>
      </w:r>
      <w:r w:rsidR="0095275E" w:rsidRPr="009D6731">
        <w:rPr>
          <w:rFonts w:cs="Times New Roman"/>
        </w:rPr>
        <w:t xml:space="preserve"> </w:t>
      </w:r>
      <w:r w:rsidR="00C52BAA">
        <w:rPr>
          <w:rFonts w:cs="Times New Roman"/>
        </w:rPr>
        <w:t xml:space="preserve"> </w:t>
      </w:r>
      <w:r w:rsidR="0041727F" w:rsidRPr="009D6731">
        <w:rPr>
          <w:rFonts w:cs="Times New Roman"/>
        </w:rPr>
        <w:t>Based on this incident, t</w:t>
      </w:r>
      <w:r w:rsidR="0095275E" w:rsidRPr="009D6731">
        <w:rPr>
          <w:rFonts w:cs="Times New Roman"/>
        </w:rPr>
        <w:t>he People filed an in</w:t>
      </w:r>
      <w:r w:rsidR="00422961">
        <w:rPr>
          <w:rFonts w:cs="Times New Roman"/>
        </w:rPr>
        <w:t xml:space="preserve">formation charging Edwards with </w:t>
      </w:r>
      <w:r w:rsidR="002F4560" w:rsidRPr="009D6731">
        <w:rPr>
          <w:rFonts w:cs="Times New Roman"/>
        </w:rPr>
        <w:t>murder </w:t>
      </w:r>
      <w:r w:rsidR="0095275E" w:rsidRPr="009D6731">
        <w:rPr>
          <w:rFonts w:cs="Times New Roman"/>
        </w:rPr>
        <w:t>(§</w:t>
      </w:r>
      <w:r w:rsidR="0041727F" w:rsidRPr="009D6731">
        <w:rPr>
          <w:rFonts w:cs="Monaco"/>
        </w:rPr>
        <w:t xml:space="preserve"> </w:t>
      </w:r>
      <w:r w:rsidR="00FE2EF4">
        <w:rPr>
          <w:rFonts w:cs="Times New Roman"/>
        </w:rPr>
        <w:t xml:space="preserve">187; </w:t>
      </w:r>
      <w:r w:rsidR="0095275E" w:rsidRPr="009D6731">
        <w:rPr>
          <w:rFonts w:cs="Times New Roman"/>
        </w:rPr>
        <w:t>count</w:t>
      </w:r>
      <w:r w:rsidR="0041727F" w:rsidRPr="009D6731">
        <w:rPr>
          <w:rFonts w:cs="Times New Roman"/>
        </w:rPr>
        <w:t xml:space="preserve"> one</w:t>
      </w:r>
      <w:r w:rsidR="0095275E" w:rsidRPr="009D6731">
        <w:rPr>
          <w:rFonts w:cs="Times New Roman"/>
        </w:rPr>
        <w:t>) and shooting into an inhabited dwelling (§</w:t>
      </w:r>
      <w:r w:rsidRPr="009D6731">
        <w:rPr>
          <w:rFonts w:cs="Monaco"/>
        </w:rPr>
        <w:t xml:space="preserve"> </w:t>
      </w:r>
      <w:r w:rsidR="0095275E" w:rsidRPr="009D6731">
        <w:rPr>
          <w:rFonts w:cs="Times New Roman"/>
        </w:rPr>
        <w:t>2</w:t>
      </w:r>
      <w:r w:rsidR="00FE2EF4">
        <w:rPr>
          <w:rFonts w:cs="Times New Roman"/>
        </w:rPr>
        <w:t xml:space="preserve">46; </w:t>
      </w:r>
      <w:r w:rsidR="0095275E" w:rsidRPr="009D6731">
        <w:rPr>
          <w:rFonts w:cs="Times New Roman"/>
        </w:rPr>
        <w:t>count</w:t>
      </w:r>
      <w:r w:rsidR="0041727F" w:rsidRPr="009D6731">
        <w:rPr>
          <w:rFonts w:cs="Times New Roman"/>
        </w:rPr>
        <w:t xml:space="preserve"> two</w:t>
      </w:r>
      <w:r w:rsidR="0095275E" w:rsidRPr="009D6731">
        <w:rPr>
          <w:rFonts w:cs="Times New Roman"/>
        </w:rPr>
        <w:t xml:space="preserve">), together with related enhancements for personally and intentionally discharging a firearm and causing great bodily injury and death, personally and intentionally discharging a firearm, personally using a firearm, personally inflicting great bodily injury, </w:t>
      </w:r>
      <w:r w:rsidR="0041727F" w:rsidRPr="009D6731">
        <w:rPr>
          <w:rFonts w:cs="Times New Roman"/>
        </w:rPr>
        <w:t xml:space="preserve">and </w:t>
      </w:r>
      <w:r w:rsidR="0095275E" w:rsidRPr="009D6731">
        <w:rPr>
          <w:rFonts w:cs="Times New Roman"/>
        </w:rPr>
        <w:t>sustaining a prior prison term (§§</w:t>
      </w:r>
      <w:r w:rsidRPr="009D6731">
        <w:rPr>
          <w:rFonts w:cs="Monaco"/>
        </w:rPr>
        <w:t xml:space="preserve"> </w:t>
      </w:r>
      <w:r w:rsidR="00FE2EF4">
        <w:rPr>
          <w:rFonts w:cs="Times New Roman"/>
        </w:rPr>
        <w:t xml:space="preserve">667.5, </w:t>
      </w:r>
      <w:proofErr w:type="spellStart"/>
      <w:r w:rsidR="00FE2EF4">
        <w:rPr>
          <w:rFonts w:cs="Times New Roman"/>
        </w:rPr>
        <w:t>subd</w:t>
      </w:r>
      <w:proofErr w:type="spellEnd"/>
      <w:r w:rsidR="0095275E" w:rsidRPr="009D6731">
        <w:rPr>
          <w:rFonts w:cs="Times New Roman"/>
        </w:rPr>
        <w:t>. (b), 12022.53, 12022.7)</w:t>
      </w:r>
      <w:r w:rsidR="00C26702">
        <w:rPr>
          <w:rFonts w:cs="Times New Roman"/>
        </w:rPr>
        <w:t xml:space="preserve">.  The information also </w:t>
      </w:r>
      <w:r w:rsidR="00FE2EF4">
        <w:rPr>
          <w:rFonts w:cs="Times New Roman"/>
        </w:rPr>
        <w:t>charged Edwards with</w:t>
      </w:r>
      <w:r w:rsidR="00C26702">
        <w:rPr>
          <w:rFonts w:cs="Times New Roman"/>
        </w:rPr>
        <w:t xml:space="preserve"> </w:t>
      </w:r>
      <w:r w:rsidR="0095275E" w:rsidRPr="009D6731">
        <w:rPr>
          <w:rFonts w:cs="Times New Roman"/>
        </w:rPr>
        <w:t>possession of a firearm as a felon (§</w:t>
      </w:r>
      <w:r w:rsidRPr="009D6731">
        <w:rPr>
          <w:rFonts w:cs="Monaco"/>
        </w:rPr>
        <w:t xml:space="preserve"> </w:t>
      </w:r>
      <w:r w:rsidR="00FE2EF4">
        <w:rPr>
          <w:rFonts w:cs="Times New Roman"/>
        </w:rPr>
        <w:t xml:space="preserve">12021; </w:t>
      </w:r>
      <w:r w:rsidR="0041727F" w:rsidRPr="009D6731">
        <w:rPr>
          <w:rFonts w:cs="Times New Roman"/>
        </w:rPr>
        <w:t>count three</w:t>
      </w:r>
      <w:r w:rsidR="0095275E" w:rsidRPr="009D6731">
        <w:rPr>
          <w:rFonts w:cs="Times New Roman"/>
        </w:rPr>
        <w:t>).</w:t>
      </w:r>
    </w:p>
    <w:p w14:paraId="5E9C8D2F" w14:textId="105882A8" w:rsidR="00F44B7D" w:rsidRPr="009D6731" w:rsidRDefault="00F44B7D" w:rsidP="00534840">
      <w:pPr>
        <w:tabs>
          <w:tab w:val="clear" w:pos="720"/>
        </w:tabs>
        <w:spacing w:beforeLines="1" w:before="2" w:afterLines="1" w:after="2" w:line="360" w:lineRule="auto"/>
        <w:contextualSpacing/>
        <w:textAlignment w:val="baseline"/>
        <w:rPr>
          <w:rFonts w:cs="Times New Roman"/>
          <w:szCs w:val="20"/>
        </w:rPr>
      </w:pPr>
      <w:r w:rsidRPr="009D6731">
        <w:rPr>
          <w:rFonts w:cs="Times New Roman"/>
        </w:rPr>
        <w:tab/>
        <w:t>Edwards pled guilty to</w:t>
      </w:r>
      <w:r w:rsidR="00B60600">
        <w:rPr>
          <w:rFonts w:cs="Times New Roman"/>
        </w:rPr>
        <w:t xml:space="preserve"> possession of a firearm</w:t>
      </w:r>
      <w:r w:rsidRPr="009D6731">
        <w:rPr>
          <w:rFonts w:cs="Times New Roman"/>
        </w:rPr>
        <w:t xml:space="preserve"> </w:t>
      </w:r>
      <w:r w:rsidR="00FE2EF4">
        <w:rPr>
          <w:rFonts w:cs="Times New Roman"/>
        </w:rPr>
        <w:t xml:space="preserve">as a felon </w:t>
      </w:r>
      <w:r w:rsidRPr="009D6731">
        <w:rPr>
          <w:rFonts w:cs="Times New Roman"/>
        </w:rPr>
        <w:t>(count three).</w:t>
      </w:r>
      <w:r w:rsidR="00225258">
        <w:rPr>
          <w:rFonts w:cs="Times New Roman"/>
        </w:rPr>
        <w:t xml:space="preserve">  </w:t>
      </w:r>
      <w:r w:rsidRPr="009D6731">
        <w:rPr>
          <w:rFonts w:cs="Times New Roman"/>
        </w:rPr>
        <w:t>Subsequently, in 2011, a jury convicted Edwards of second-d</w:t>
      </w:r>
      <w:r w:rsidR="00FE2EF4">
        <w:rPr>
          <w:rFonts w:cs="Times New Roman"/>
        </w:rPr>
        <w:t xml:space="preserve">egree murder (count one) and </w:t>
      </w:r>
      <w:r w:rsidRPr="009D6731">
        <w:rPr>
          <w:rFonts w:cs="Times New Roman"/>
        </w:rPr>
        <w:t xml:space="preserve">shooting into an inhabited dwelling (count two), and found true the related enhancements. </w:t>
      </w:r>
      <w:r w:rsidR="00C52BAA">
        <w:rPr>
          <w:rFonts w:cs="Times New Roman"/>
        </w:rPr>
        <w:t xml:space="preserve"> </w:t>
      </w:r>
      <w:r w:rsidRPr="009D6731">
        <w:rPr>
          <w:rFonts w:cs="Times New Roman"/>
        </w:rPr>
        <w:t xml:space="preserve">Edwards was sentenced to an aggregate term of 49 years and eight months to life in state prison, using the prior prison term to enhance the sentence by one year for both convictions of murder and shooting into an inhabited dwelling. </w:t>
      </w:r>
      <w:r w:rsidR="00C52BAA">
        <w:rPr>
          <w:rFonts w:cs="Times New Roman"/>
        </w:rPr>
        <w:t xml:space="preserve"> </w:t>
      </w:r>
      <w:r w:rsidRPr="009D6731">
        <w:rPr>
          <w:rFonts w:cs="Times New Roman"/>
        </w:rPr>
        <w:t>In the prior appeal, we affirmed the convictions but modified the sentence to strike the one-year enhancement related to count two.</w:t>
      </w:r>
    </w:p>
    <w:p w14:paraId="36E1215C" w14:textId="0C62D50F" w:rsidR="00C26702" w:rsidRDefault="00F44B7D" w:rsidP="00534840">
      <w:pPr>
        <w:tabs>
          <w:tab w:val="clear" w:pos="720"/>
        </w:tabs>
        <w:spacing w:beforeLines="1" w:before="2" w:afterLines="1" w:after="2" w:line="360" w:lineRule="auto"/>
        <w:contextualSpacing/>
        <w:textAlignment w:val="baseline"/>
        <w:rPr>
          <w:rFonts w:cs="Times New Roman"/>
        </w:rPr>
      </w:pPr>
      <w:r w:rsidRPr="009D6731">
        <w:rPr>
          <w:rFonts w:cs="Times New Roman"/>
        </w:rPr>
        <w:lastRenderedPageBreak/>
        <w:tab/>
        <w:t>In June 2019, following the enactment of Senate Bill No. 1437, Edwards filed a section 1170.95 resentencing petition, using “a downloadable form petit</w:t>
      </w:r>
      <w:r>
        <w:rPr>
          <w:rFonts w:cs="Times New Roman"/>
        </w:rPr>
        <w:t xml:space="preserve">ion/declaration prepared by Re: </w:t>
      </w:r>
      <w:r w:rsidRPr="009D6731">
        <w:rPr>
          <w:rFonts w:cs="Times New Roman"/>
        </w:rPr>
        <w:t>Store Justice: a cosponsor of the legislation (see Sen. Com. On Public Safety, Rep. On Sen. Bill No. 1437 (2017-2018) Reg. Sess.) Apr. 24, 2018, p. 1).”  (</w:t>
      </w:r>
      <w:r w:rsidR="00B60600">
        <w:rPr>
          <w:rFonts w:cs="Times New Roman"/>
          <w:i/>
          <w:iCs/>
        </w:rPr>
        <w:t xml:space="preserve">People v. </w:t>
      </w:r>
      <w:r w:rsidRPr="5FE14EC9">
        <w:rPr>
          <w:rFonts w:cs="Times New Roman"/>
          <w:i/>
          <w:iCs/>
        </w:rPr>
        <w:t xml:space="preserve">Verdugo </w:t>
      </w:r>
      <w:r w:rsidRPr="5FE14EC9">
        <w:rPr>
          <w:rFonts w:cs="Times New Roman"/>
        </w:rPr>
        <w:t>(2020)</w:t>
      </w:r>
      <w:r w:rsidRPr="5FE14EC9">
        <w:rPr>
          <w:rFonts w:cs="Times New Roman"/>
          <w:i/>
          <w:iCs/>
        </w:rPr>
        <w:t xml:space="preserve"> </w:t>
      </w:r>
      <w:r w:rsidRPr="009D6731">
        <w:rPr>
          <w:rFonts w:cs="Times New Roman"/>
        </w:rPr>
        <w:t>44 Cal.App.5th 320, 324, review granted Mar. 18, 2020, S260493 (</w:t>
      </w:r>
      <w:r w:rsidRPr="5FE14EC9">
        <w:rPr>
          <w:rFonts w:cs="Times New Roman"/>
          <w:i/>
          <w:iCs/>
        </w:rPr>
        <w:t>Verdugo</w:t>
      </w:r>
      <w:r w:rsidR="00C26702">
        <w:rPr>
          <w:rFonts w:cs="Times New Roman"/>
        </w:rPr>
        <w:t>)</w:t>
      </w:r>
      <w:r w:rsidRPr="009D6731">
        <w:rPr>
          <w:rFonts w:cs="Times New Roman"/>
        </w:rPr>
        <w:t xml:space="preserve">.) </w:t>
      </w:r>
      <w:r w:rsidR="00C26702">
        <w:rPr>
          <w:rFonts w:cs="Times New Roman"/>
        </w:rPr>
        <w:t xml:space="preserve"> </w:t>
      </w:r>
      <w:r w:rsidRPr="009D6731">
        <w:rPr>
          <w:rFonts w:cs="Times New Roman"/>
        </w:rPr>
        <w:t xml:space="preserve">The substantive portion of the </w:t>
      </w:r>
      <w:r>
        <w:rPr>
          <w:rFonts w:cs="Times New Roman"/>
        </w:rPr>
        <w:t xml:space="preserve">form </w:t>
      </w:r>
      <w:r w:rsidRPr="009D6731">
        <w:rPr>
          <w:rFonts w:cs="Times New Roman"/>
        </w:rPr>
        <w:t>petition consists of a declaration with boxes to be checked against averments essentially tracking the statutory language as to the prerequisites for filing a petition and demonstrating a prima facie showing that the petitioner falls with the provisions of section 1170.95 and is eligible for relief.</w:t>
      </w:r>
      <w:r w:rsidRPr="009D6731">
        <w:rPr>
          <w:rFonts w:cs="Times New Roman"/>
        </w:rPr>
        <w:tab/>
      </w:r>
    </w:p>
    <w:p w14:paraId="75C9A5BA" w14:textId="77777777" w:rsidR="00F44B7D" w:rsidRPr="009D6731" w:rsidRDefault="00C26702" w:rsidP="00534840">
      <w:pPr>
        <w:tabs>
          <w:tab w:val="clear" w:pos="720"/>
        </w:tabs>
        <w:spacing w:beforeLines="1" w:before="2" w:afterLines="1" w:after="2" w:line="360" w:lineRule="auto"/>
        <w:contextualSpacing/>
        <w:textAlignment w:val="baseline"/>
        <w:rPr>
          <w:rFonts w:cs="Times New Roman"/>
        </w:rPr>
      </w:pPr>
      <w:r>
        <w:rPr>
          <w:rFonts w:cs="Times New Roman"/>
        </w:rPr>
        <w:tab/>
      </w:r>
      <w:r w:rsidR="00F44B7D" w:rsidRPr="009D6731">
        <w:rPr>
          <w:rFonts w:cs="Times New Roman"/>
        </w:rPr>
        <w:t xml:space="preserve">Edwards checked </w:t>
      </w:r>
      <w:r w:rsidR="00F44B7D">
        <w:rPr>
          <w:rFonts w:cs="Times New Roman"/>
        </w:rPr>
        <w:t xml:space="preserve">the following </w:t>
      </w:r>
      <w:r w:rsidR="00F44B7D" w:rsidRPr="009D6731">
        <w:rPr>
          <w:rFonts w:cs="Times New Roman"/>
        </w:rPr>
        <w:t xml:space="preserve">boxes on the </w:t>
      </w:r>
      <w:r w:rsidR="00F44B7D">
        <w:rPr>
          <w:rFonts w:cs="Times New Roman"/>
        </w:rPr>
        <w:t xml:space="preserve">form </w:t>
      </w:r>
      <w:r w:rsidR="00F44B7D" w:rsidRPr="009D6731">
        <w:rPr>
          <w:rFonts w:cs="Times New Roman"/>
        </w:rPr>
        <w:t>petition: (1) “A complaint, information, or indictment was filed against me that allowed the prosecution to proceed under a theory of felony murder or murder under the natural and probable consequences doctrine”; (2) “At trial, I was convicted of 1st or 2nd degree murder pursuant to the felony murder rule or the natural and probable consequences doctrine,” as well as, “I was convicted of 2nd degree murder under the natural and probable consequences doctrine or under the 2nd degree felony murder doctrine</w:t>
      </w:r>
      <w:r w:rsidR="009B0236">
        <w:rPr>
          <w:rFonts w:cs="Times New Roman"/>
        </w:rPr>
        <w:t>”</w:t>
      </w:r>
      <w:r w:rsidR="00F44B7D" w:rsidRPr="009D6731">
        <w:rPr>
          <w:rFonts w:cs="Times New Roman"/>
        </w:rPr>
        <w:t>; and (3) “I could not</w:t>
      </w:r>
      <w:r w:rsidR="009B0236">
        <w:rPr>
          <w:rFonts w:cs="Times New Roman"/>
        </w:rPr>
        <w:t xml:space="preserve"> now</w:t>
      </w:r>
      <w:r w:rsidR="00F44B7D" w:rsidRPr="009D6731">
        <w:rPr>
          <w:rFonts w:cs="Times New Roman"/>
        </w:rPr>
        <w:t xml:space="preserve"> be convicted of 1st and 2nd degree murder because of changes made to Penal Code §§ 188 and 189, effective January 1,</w:t>
      </w:r>
      <w:r w:rsidR="009B0236">
        <w:rPr>
          <w:rFonts w:cs="Times New Roman"/>
        </w:rPr>
        <w:t xml:space="preserve"> </w:t>
      </w:r>
      <w:r w:rsidR="00F44B7D" w:rsidRPr="009D6731">
        <w:rPr>
          <w:rFonts w:cs="Times New Roman"/>
        </w:rPr>
        <w:t>2019,” as well as, “I could not now be convicted of murder because of changes made in Penal Code §</w:t>
      </w:r>
      <w:r w:rsidR="00F44B7D" w:rsidRPr="009D6731">
        <w:rPr>
          <w:rFonts w:hAnsi="Monaco" w:cs="Monaco"/>
        </w:rPr>
        <w:t> </w:t>
      </w:r>
      <w:r w:rsidR="00F44B7D" w:rsidRPr="009D6731">
        <w:rPr>
          <w:rFonts w:cs="Times New Roman"/>
        </w:rPr>
        <w:t xml:space="preserve">188, effective January 1, 2019.” </w:t>
      </w:r>
      <w:r w:rsidR="00C52BAA">
        <w:rPr>
          <w:rFonts w:cs="Times New Roman"/>
        </w:rPr>
        <w:t xml:space="preserve"> </w:t>
      </w:r>
      <w:r w:rsidR="00F44B7D" w:rsidRPr="009D6731">
        <w:rPr>
          <w:rFonts w:cs="Times New Roman"/>
        </w:rPr>
        <w:t xml:space="preserve">Edwards also requested the court to appoint him counsel “during this re-sentencing process.” </w:t>
      </w:r>
    </w:p>
    <w:p w14:paraId="53E7D292" w14:textId="77777777" w:rsidR="00F44B7D" w:rsidRPr="009D6731" w:rsidRDefault="00F44B7D" w:rsidP="00534840">
      <w:pPr>
        <w:tabs>
          <w:tab w:val="clear" w:pos="720"/>
        </w:tabs>
        <w:spacing w:beforeLines="1" w:before="2" w:afterLines="1" w:after="2" w:line="360" w:lineRule="auto"/>
        <w:contextualSpacing/>
        <w:textAlignment w:val="baseline"/>
        <w:rPr>
          <w:rFonts w:cs="Times New Roman"/>
          <w:szCs w:val="20"/>
        </w:rPr>
      </w:pPr>
      <w:r w:rsidRPr="009D6731">
        <w:rPr>
          <w:rFonts w:cs="Times New Roman"/>
        </w:rPr>
        <w:tab/>
        <w:t xml:space="preserve">Edwards </w:t>
      </w:r>
      <w:r w:rsidR="00FE2EF4">
        <w:rPr>
          <w:rFonts w:cs="Times New Roman"/>
        </w:rPr>
        <w:t xml:space="preserve">also </w:t>
      </w:r>
      <w:r w:rsidRPr="009D6731">
        <w:rPr>
          <w:rFonts w:cs="Times New Roman"/>
        </w:rPr>
        <w:t xml:space="preserve">submitted </w:t>
      </w:r>
      <w:r>
        <w:rPr>
          <w:rFonts w:cs="Times New Roman"/>
        </w:rPr>
        <w:t>the following</w:t>
      </w:r>
      <w:r w:rsidRPr="009D6731">
        <w:rPr>
          <w:rFonts w:cs="Times New Roman"/>
        </w:rPr>
        <w:t xml:space="preserve"> </w:t>
      </w:r>
      <w:r w:rsidR="00FE2EF4">
        <w:rPr>
          <w:rFonts w:cs="Times New Roman"/>
        </w:rPr>
        <w:t>in support of his petition</w:t>
      </w:r>
      <w:r w:rsidRPr="009D6731">
        <w:rPr>
          <w:rFonts w:cs="Times New Roman"/>
        </w:rPr>
        <w:t xml:space="preserve">: (1) the </w:t>
      </w:r>
      <w:r>
        <w:rPr>
          <w:rFonts w:cs="Times New Roman"/>
        </w:rPr>
        <w:t xml:space="preserve">jury </w:t>
      </w:r>
      <w:r w:rsidRPr="009D6731">
        <w:rPr>
          <w:rFonts w:cs="Times New Roman"/>
        </w:rPr>
        <w:t xml:space="preserve">instruction </w:t>
      </w:r>
      <w:r>
        <w:rPr>
          <w:rFonts w:cs="Times New Roman"/>
        </w:rPr>
        <w:t>regarding the</w:t>
      </w:r>
      <w:r w:rsidRPr="009D6731">
        <w:rPr>
          <w:rFonts w:cs="Times New Roman"/>
        </w:rPr>
        <w:t xml:space="preserve"> </w:t>
      </w:r>
      <w:r w:rsidR="00FE2EF4">
        <w:rPr>
          <w:rFonts w:cs="Times New Roman"/>
        </w:rPr>
        <w:t>murder charge</w:t>
      </w:r>
      <w:r w:rsidRPr="009D6731">
        <w:rPr>
          <w:rFonts w:cs="Times New Roman"/>
        </w:rPr>
        <w:t xml:space="preserve"> in count one (instructing that murder required an act causing the death of a person with either express or </w:t>
      </w:r>
      <w:r w:rsidRPr="009D6731">
        <w:rPr>
          <w:rFonts w:cs="Times New Roman"/>
        </w:rPr>
        <w:lastRenderedPageBreak/>
        <w:t>implied malice, the latter theory requiring “an act,</w:t>
      </w:r>
      <w:r w:rsidR="009B0236">
        <w:rPr>
          <w:rFonts w:cs="Times New Roman"/>
        </w:rPr>
        <w:t>”</w:t>
      </w:r>
      <w:r w:rsidRPr="009D6731">
        <w:rPr>
          <w:rFonts w:cs="Times New Roman"/>
        </w:rPr>
        <w:t xml:space="preserve"> </w:t>
      </w:r>
      <w:r w:rsidR="009B0236">
        <w:rPr>
          <w:rFonts w:cs="Times New Roman"/>
        </w:rPr>
        <w:t>“[</w:t>
      </w:r>
      <w:r w:rsidRPr="009D6731">
        <w:rPr>
          <w:rFonts w:cs="Times New Roman"/>
        </w:rPr>
        <w:t>t</w:t>
      </w:r>
      <w:r w:rsidR="009B0236">
        <w:rPr>
          <w:rFonts w:cs="Times New Roman"/>
        </w:rPr>
        <w:t>]</w:t>
      </w:r>
      <w:r w:rsidRPr="009D6731">
        <w:rPr>
          <w:rFonts w:cs="Times New Roman"/>
        </w:rPr>
        <w:t>he natural and probable consequences of the act were dangerous to human life,</w:t>
      </w:r>
      <w:r w:rsidR="009B0236">
        <w:rPr>
          <w:rFonts w:cs="Times New Roman"/>
        </w:rPr>
        <w:t>”</w:t>
      </w:r>
      <w:r w:rsidRPr="009D6731">
        <w:rPr>
          <w:rFonts w:cs="Times New Roman"/>
        </w:rPr>
        <w:t xml:space="preserve"> </w:t>
      </w:r>
      <w:r w:rsidR="009B0236">
        <w:rPr>
          <w:rFonts w:cs="Times New Roman"/>
        </w:rPr>
        <w:t>“[</w:t>
      </w:r>
      <w:r w:rsidRPr="009D6731">
        <w:rPr>
          <w:rFonts w:cs="Times New Roman"/>
        </w:rPr>
        <w:t>a</w:t>
      </w:r>
      <w:r w:rsidR="009B0236">
        <w:rPr>
          <w:rFonts w:cs="Times New Roman"/>
        </w:rPr>
        <w:t>]</w:t>
      </w:r>
      <w:r w:rsidRPr="009D6731">
        <w:rPr>
          <w:rFonts w:cs="Times New Roman"/>
        </w:rPr>
        <w:t>t the time he acted he knew his act was dangerous to human life,</w:t>
      </w:r>
      <w:r w:rsidR="009B0236">
        <w:rPr>
          <w:rFonts w:cs="Times New Roman"/>
        </w:rPr>
        <w:t>”</w:t>
      </w:r>
      <w:r w:rsidRPr="009D6731">
        <w:rPr>
          <w:rFonts w:cs="Times New Roman"/>
        </w:rPr>
        <w:t xml:space="preserve"> and he </w:t>
      </w:r>
      <w:r w:rsidR="009B0236">
        <w:rPr>
          <w:rFonts w:cs="Times New Roman"/>
        </w:rPr>
        <w:t>“</w:t>
      </w:r>
      <w:r w:rsidRPr="009D6731">
        <w:rPr>
          <w:rFonts w:cs="Times New Roman"/>
        </w:rPr>
        <w:t xml:space="preserve">deliberately acted with conscious disregard for human life”); and (2) </w:t>
      </w:r>
      <w:r>
        <w:rPr>
          <w:rFonts w:cs="Times New Roman"/>
        </w:rPr>
        <w:t>a portion of the</w:t>
      </w:r>
      <w:r w:rsidRPr="009D6731">
        <w:rPr>
          <w:rFonts w:cs="Times New Roman"/>
        </w:rPr>
        <w:t xml:space="preserve"> reporter’s transcript of the prosecutor’s closing remarks in which he argued, in pertinent part, that Edwards acted with “both express malice, specific intent to kill, as well as implied malice,” which latter theory was described as “an intentional act, the natural consequences of which are dangerous to human life, and at the time that the individual acted, they knew of the danger, and they deliberate</w:t>
      </w:r>
      <w:r w:rsidR="009B0236">
        <w:rPr>
          <w:rFonts w:cs="Times New Roman"/>
        </w:rPr>
        <w:t>ly</w:t>
      </w:r>
      <w:r w:rsidRPr="009D6731">
        <w:rPr>
          <w:rFonts w:cs="Times New Roman"/>
        </w:rPr>
        <w:t xml:space="preserve"> acted with conscious disregard.”</w:t>
      </w:r>
    </w:p>
    <w:p w14:paraId="7F860A92" w14:textId="77777777" w:rsidR="00F44B7D" w:rsidRPr="009D6731" w:rsidRDefault="00F44B7D" w:rsidP="00534840">
      <w:pPr>
        <w:tabs>
          <w:tab w:val="clear" w:pos="720"/>
        </w:tabs>
        <w:spacing w:beforeLines="1" w:before="2" w:afterLines="1" w:after="2" w:line="360" w:lineRule="auto"/>
        <w:contextualSpacing/>
        <w:textAlignment w:val="baseline"/>
        <w:rPr>
          <w:rFonts w:cs="Times New Roman"/>
          <w:szCs w:val="20"/>
        </w:rPr>
      </w:pPr>
      <w:r w:rsidRPr="009D6731">
        <w:rPr>
          <w:rFonts w:cs="Times New Roman"/>
        </w:rPr>
        <w:tab/>
        <w:t>On June 14, 2019, the petition appeared on the superior court’s calendar.</w:t>
      </w:r>
      <w:r w:rsidRPr="009D6731">
        <w:rPr>
          <w:rStyle w:val="FootnoteReference"/>
          <w:bCs/>
        </w:rPr>
        <w:t xml:space="preserve"> </w:t>
      </w:r>
      <w:r w:rsidR="00C52BAA">
        <w:rPr>
          <w:rStyle w:val="FootnoteReference"/>
          <w:bCs/>
        </w:rPr>
        <w:t xml:space="preserve"> </w:t>
      </w:r>
      <w:r w:rsidRPr="009D6731">
        <w:rPr>
          <w:rFonts w:cs="Times New Roman"/>
        </w:rPr>
        <w:t xml:space="preserve">The clerk’s minute order indicates Edwards was not present, and no counsel appeared for either Edwards or the People. </w:t>
      </w:r>
      <w:r w:rsidR="00C52BAA">
        <w:rPr>
          <w:rFonts w:cs="Times New Roman"/>
        </w:rPr>
        <w:t xml:space="preserve"> </w:t>
      </w:r>
      <w:r w:rsidRPr="009D6731">
        <w:rPr>
          <w:rFonts w:cs="Times New Roman"/>
        </w:rPr>
        <w:t xml:space="preserve">The court, “having reviewed the petition,” ordered: “The </w:t>
      </w:r>
      <w:r w:rsidR="009B0236">
        <w:rPr>
          <w:rFonts w:cs="Times New Roman"/>
        </w:rPr>
        <w:t>Petition</w:t>
      </w:r>
      <w:r w:rsidRPr="009D6731">
        <w:rPr>
          <w:rFonts w:cs="Times New Roman"/>
        </w:rPr>
        <w:t xml:space="preserve"> is </w:t>
      </w:r>
      <w:r w:rsidR="009B0236">
        <w:rPr>
          <w:rFonts w:cs="Times New Roman"/>
        </w:rPr>
        <w:t>DENIED</w:t>
      </w:r>
      <w:r w:rsidRPr="009D6731">
        <w:rPr>
          <w:rFonts w:cs="Times New Roman"/>
        </w:rPr>
        <w:t xml:space="preserve">.” </w:t>
      </w:r>
      <w:r w:rsidR="00C52BAA">
        <w:rPr>
          <w:rFonts w:cs="Times New Roman"/>
        </w:rPr>
        <w:t xml:space="preserve"> </w:t>
      </w:r>
      <w:r w:rsidRPr="009D6731">
        <w:rPr>
          <w:rFonts w:cs="Times New Roman"/>
        </w:rPr>
        <w:t>By its ruling, the court effectively denied Edwards’s request for appointment of counsel</w:t>
      </w:r>
      <w:r w:rsidR="00C52BAA">
        <w:rPr>
          <w:rFonts w:cs="Times New Roman"/>
        </w:rPr>
        <w:t>.</w:t>
      </w:r>
    </w:p>
    <w:p w14:paraId="54507395" w14:textId="77777777" w:rsidR="00C52BAA" w:rsidRDefault="00F44B7D" w:rsidP="00534840">
      <w:pPr>
        <w:tabs>
          <w:tab w:val="clear" w:pos="720"/>
        </w:tabs>
        <w:spacing w:beforeLines="1" w:before="2" w:afterLines="1" w:after="2" w:line="360" w:lineRule="auto"/>
        <w:contextualSpacing/>
        <w:textAlignment w:val="baseline"/>
        <w:rPr>
          <w:rFonts w:cs="Times New Roman"/>
        </w:rPr>
      </w:pPr>
      <w:r w:rsidRPr="009D6731">
        <w:rPr>
          <w:rFonts w:cs="Times New Roman"/>
        </w:rPr>
        <w:tab/>
        <w:t xml:space="preserve">On June 24, 2019, the superior court filed a 10-page order explaining the petition had been denied because Edward failed to make a prima facie showing that he fell within the provisions of section 1170.95 since Edwards was not convicted of second degree felony murder or murder under the natural and probable consequences theory applied to aiders and abettors; this finding </w:t>
      </w:r>
      <w:r>
        <w:rPr>
          <w:rFonts w:cs="Times New Roman"/>
        </w:rPr>
        <w:t>was</w:t>
      </w:r>
      <w:r w:rsidRPr="009D6731">
        <w:rPr>
          <w:rFonts w:cs="Times New Roman"/>
        </w:rPr>
        <w:t xml:space="preserve"> based on a review of the jury instructions that revealed “an absence of any instructions regarding felony-murder or aider and abettor natural and probable consequences theories of murder.”  </w:t>
      </w:r>
      <w:r>
        <w:rPr>
          <w:rFonts w:cs="Times New Roman"/>
        </w:rPr>
        <w:t xml:space="preserve">The court further determined </w:t>
      </w:r>
      <w:r w:rsidRPr="009D6731">
        <w:rPr>
          <w:rFonts w:cs="Times New Roman"/>
        </w:rPr>
        <w:t xml:space="preserve">Edwards would not be entitled to relief under the statute because he had been convicted on a valid theory of murder </w:t>
      </w:r>
      <w:r w:rsidRPr="00583916">
        <w:rPr>
          <w:rFonts w:cs="Times New Roman"/>
        </w:rPr>
        <w:t xml:space="preserve">that survived the changes in sections 188 and 189, effective January 1, 2019.  Based on a review of the record of conviction and our prior opinion in the direct appeal in </w:t>
      </w:r>
      <w:r w:rsidRPr="00583916">
        <w:rPr>
          <w:rFonts w:cs="Times New Roman"/>
          <w:i/>
          <w:iCs/>
        </w:rPr>
        <w:t>People v. Edwards</w:t>
      </w:r>
      <w:r w:rsidRPr="00583916">
        <w:rPr>
          <w:rFonts w:cs="Times New Roman"/>
        </w:rPr>
        <w:t xml:space="preserve">, </w:t>
      </w:r>
      <w:r w:rsidRPr="00583916">
        <w:rPr>
          <w:rFonts w:cs="Times New Roman"/>
          <w:i/>
          <w:iCs/>
        </w:rPr>
        <w:t>supra</w:t>
      </w:r>
      <w:r w:rsidR="002E475B" w:rsidRPr="00583916">
        <w:rPr>
          <w:rFonts w:cs="Times New Roman"/>
        </w:rPr>
        <w:t xml:space="preserve">, A132814, </w:t>
      </w:r>
      <w:r w:rsidRPr="00583916">
        <w:rPr>
          <w:rFonts w:cs="Times New Roman"/>
        </w:rPr>
        <w:t>the court found the conviction for second-deg</w:t>
      </w:r>
      <w:r w:rsidR="00FF7BD1" w:rsidRPr="00583916">
        <w:rPr>
          <w:rFonts w:cs="Times New Roman"/>
        </w:rPr>
        <w:t>ree murder was based on Edwards being the killer and a finding of implied malice liability, not solely Edwards’s participation in the crime.</w:t>
      </w:r>
      <w:r w:rsidRPr="5FE14EC9">
        <w:rPr>
          <w:rStyle w:val="FootnoteReference"/>
        </w:rPr>
        <w:footnoteReference w:id="4"/>
      </w:r>
      <w:r w:rsidRPr="009D6731">
        <w:rPr>
          <w:rFonts w:cs="Times New Roman"/>
        </w:rPr>
        <w:tab/>
      </w:r>
    </w:p>
    <w:p w14:paraId="2D6EEE60" w14:textId="77777777" w:rsidR="00F44B7D" w:rsidRPr="009D6731" w:rsidRDefault="00F44B7D" w:rsidP="00C52BAA">
      <w:pPr>
        <w:tabs>
          <w:tab w:val="clear" w:pos="720"/>
        </w:tabs>
        <w:spacing w:beforeLines="1" w:before="2" w:afterLines="1" w:after="2" w:line="360" w:lineRule="auto"/>
        <w:ind w:firstLine="720"/>
        <w:contextualSpacing/>
        <w:textAlignment w:val="baseline"/>
        <w:rPr>
          <w:rFonts w:cs="Times New Roman"/>
        </w:rPr>
      </w:pPr>
      <w:r w:rsidRPr="009D6731">
        <w:rPr>
          <w:rFonts w:cs="Times New Roman"/>
        </w:rPr>
        <w:t>Edwards filed a timely notice of appeal from the June 24, 2019 order.</w:t>
      </w:r>
    </w:p>
    <w:p w14:paraId="13BBAB26" w14:textId="77777777" w:rsidR="0095275E" w:rsidRPr="00F44B7D" w:rsidRDefault="009D6731" w:rsidP="00534840">
      <w:pPr>
        <w:tabs>
          <w:tab w:val="clear" w:pos="720"/>
        </w:tabs>
        <w:spacing w:beforeLines="1" w:before="2" w:afterLines="1" w:after="2" w:line="360" w:lineRule="auto"/>
        <w:contextualSpacing/>
        <w:jc w:val="center"/>
        <w:textAlignment w:val="baseline"/>
        <w:rPr>
          <w:rFonts w:cs="Times New Roman"/>
          <w:b/>
          <w:szCs w:val="20"/>
        </w:rPr>
      </w:pPr>
      <w:r w:rsidRPr="00F44B7D">
        <w:rPr>
          <w:b/>
        </w:rPr>
        <w:t>D</w:t>
      </w:r>
      <w:r w:rsidRPr="00F44B7D">
        <w:rPr>
          <w:b/>
          <w:szCs w:val="18"/>
        </w:rPr>
        <w:t>ISCUSSION</w:t>
      </w:r>
      <w:r w:rsidR="0095275E" w:rsidRPr="00F44B7D">
        <w:rPr>
          <w:rFonts w:cs="Times New Roman"/>
          <w:b/>
        </w:rPr>
        <w:t> </w:t>
      </w:r>
    </w:p>
    <w:p w14:paraId="21A19537" w14:textId="77777777" w:rsidR="0095275E" w:rsidRPr="009D6731" w:rsidRDefault="0095275E" w:rsidP="00534840">
      <w:pPr>
        <w:tabs>
          <w:tab w:val="clear" w:pos="720"/>
        </w:tabs>
        <w:spacing w:beforeLines="1" w:before="2" w:afterLines="1" w:after="2" w:line="360" w:lineRule="auto"/>
        <w:contextualSpacing/>
        <w:textAlignment w:val="baseline"/>
        <w:rPr>
          <w:rFonts w:cs="Times New Roman"/>
          <w:szCs w:val="20"/>
        </w:rPr>
      </w:pPr>
      <w:r w:rsidRPr="009D6731">
        <w:rPr>
          <w:rFonts w:cs="Times New Roman"/>
          <w:b/>
          <w:bCs/>
        </w:rPr>
        <w:t>I.</w:t>
      </w:r>
      <w:r w:rsidRPr="009D6731">
        <w:rPr>
          <w:rFonts w:cs="Times New Roman"/>
        </w:rPr>
        <w:t xml:space="preserve"> </w:t>
      </w:r>
      <w:r w:rsidR="009D6731">
        <w:rPr>
          <w:rFonts w:cs="Times New Roman"/>
        </w:rPr>
        <w:tab/>
      </w:r>
      <w:r w:rsidR="009D6731">
        <w:rPr>
          <w:rFonts w:cs="Times New Roman"/>
          <w:b/>
        </w:rPr>
        <w:t>Applicable Law</w:t>
      </w:r>
    </w:p>
    <w:p w14:paraId="4EE6329A" w14:textId="77777777" w:rsidR="0095275E" w:rsidRPr="009D6731" w:rsidRDefault="00763262" w:rsidP="00534840">
      <w:pPr>
        <w:tabs>
          <w:tab w:val="clear" w:pos="720"/>
        </w:tabs>
        <w:spacing w:beforeLines="1" w:before="2" w:afterLines="1" w:after="2" w:line="360" w:lineRule="auto"/>
        <w:contextualSpacing/>
        <w:textAlignment w:val="baseline"/>
        <w:rPr>
          <w:rFonts w:cs="Times New Roman"/>
          <w:szCs w:val="20"/>
        </w:rPr>
      </w:pPr>
      <w:r w:rsidRPr="009D6731">
        <w:rPr>
          <w:rFonts w:cs="Times New Roman"/>
        </w:rPr>
        <w:tab/>
      </w:r>
      <w:r w:rsidR="0095275E" w:rsidRPr="009D6731">
        <w:rPr>
          <w:rFonts w:cs="Times New Roman"/>
        </w:rPr>
        <w:t xml:space="preserve">Senate Bill No. 1437, effective January 1, 2019, amended </w:t>
      </w:r>
      <w:r w:rsidR="0076041E">
        <w:rPr>
          <w:rFonts w:cs="Times New Roman"/>
        </w:rPr>
        <w:t>“</w:t>
      </w:r>
      <w:r w:rsidR="0095275E" w:rsidRPr="009D6731">
        <w:rPr>
          <w:rFonts w:cs="Times New Roman"/>
        </w:rPr>
        <w:t xml:space="preserve">sections 188 and 189, significantly modifying the law relating to accomplice liability for murder.  In its uncodified findings and declarations the Legislature stated, ‘It is necessary to amend 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w:t>
      </w:r>
      <w:r w:rsidR="0076041E">
        <w:rPr>
          <w:rFonts w:cs="Times New Roman"/>
        </w:rPr>
        <w:t>to</w:t>
      </w:r>
      <w:r w:rsidR="0095275E" w:rsidRPr="009D6731">
        <w:rPr>
          <w:rFonts w:cs="Times New Roman"/>
        </w:rPr>
        <w:t xml:space="preserve"> human life.’  [Citation.]” (</w:t>
      </w:r>
      <w:r w:rsidR="0095275E" w:rsidRPr="009D6731">
        <w:rPr>
          <w:rFonts w:cs="Times New Roman"/>
          <w:i/>
          <w:iCs/>
        </w:rPr>
        <w:t>Verdugo</w:t>
      </w:r>
      <w:r w:rsidR="0095275E" w:rsidRPr="009D6731">
        <w:rPr>
          <w:rFonts w:cs="Times New Roman"/>
        </w:rPr>
        <w:t xml:space="preserve">, </w:t>
      </w:r>
      <w:r w:rsidR="0095275E" w:rsidRPr="009D6731">
        <w:rPr>
          <w:rFonts w:cs="Times New Roman"/>
          <w:i/>
          <w:iCs/>
        </w:rPr>
        <w:t>supra</w:t>
      </w:r>
      <w:r w:rsidR="0095275E" w:rsidRPr="009D6731">
        <w:rPr>
          <w:rFonts w:cs="Times New Roman"/>
        </w:rPr>
        <w:t>,</w:t>
      </w:r>
      <w:r w:rsidR="00C71E9C" w:rsidRPr="009D6731">
        <w:rPr>
          <w:rFonts w:cs="Times New Roman"/>
        </w:rPr>
        <w:t xml:space="preserve"> 44 Cal.App.5th at pp. 325-326.)</w:t>
      </w:r>
      <w:r w:rsidR="0095275E" w:rsidRPr="009D6731">
        <w:rPr>
          <w:rFonts w:cs="Times New Roman"/>
        </w:rPr>
        <w:t>  </w:t>
      </w:r>
    </w:p>
    <w:p w14:paraId="70300CB1" w14:textId="77777777" w:rsidR="0095275E" w:rsidRPr="009D6731" w:rsidRDefault="00763262" w:rsidP="00534840">
      <w:pPr>
        <w:tabs>
          <w:tab w:val="clear" w:pos="720"/>
        </w:tabs>
        <w:spacing w:beforeLines="1" w:before="2" w:afterLines="1" w:after="2" w:line="360" w:lineRule="auto"/>
        <w:contextualSpacing/>
        <w:textAlignment w:val="baseline"/>
        <w:rPr>
          <w:rFonts w:cs="Times New Roman"/>
          <w:szCs w:val="20"/>
        </w:rPr>
      </w:pPr>
      <w:r w:rsidRPr="009D6731">
        <w:rPr>
          <w:rFonts w:cs="Times New Roman"/>
        </w:rPr>
        <w:tab/>
      </w:r>
      <w:r w:rsidR="0095275E" w:rsidRPr="009D6731">
        <w:rPr>
          <w:rFonts w:cs="Times New Roman"/>
        </w:rPr>
        <w:t>Senate Bill No. “1437 also added section 1170.95 to the Penal Code, which permits an individual convicted of felony murder or murder under a natural and probable consequences theory to petition the sentencing court to vacate the conviction and to be resentenced on any remaining counts if he or she could not have been convicted of first or second degree murder because of [Senate Bill No.] 1437’s changes to sections 188 and 189.” (</w:t>
      </w:r>
      <w:r w:rsidR="0095275E" w:rsidRPr="009D6731">
        <w:rPr>
          <w:rFonts w:cs="Times New Roman"/>
          <w:i/>
          <w:iCs/>
        </w:rPr>
        <w:t>Verdugo</w:t>
      </w:r>
      <w:r w:rsidR="0095275E" w:rsidRPr="009D6731">
        <w:rPr>
          <w:rFonts w:cs="Times New Roman"/>
        </w:rPr>
        <w:t xml:space="preserve">, </w:t>
      </w:r>
      <w:r w:rsidR="0095275E" w:rsidRPr="009D6731">
        <w:rPr>
          <w:rFonts w:cs="Times New Roman"/>
          <w:i/>
          <w:iCs/>
        </w:rPr>
        <w:t>supra</w:t>
      </w:r>
      <w:r w:rsidR="0095275E" w:rsidRPr="009D6731">
        <w:rPr>
          <w:rFonts w:cs="Times New Roman"/>
        </w:rPr>
        <w:t>, 44 Cal.App.5th at p. 326.)   </w:t>
      </w:r>
    </w:p>
    <w:p w14:paraId="7E63DED4" w14:textId="77777777" w:rsidR="0095275E" w:rsidRPr="009D6731" w:rsidRDefault="00763262" w:rsidP="00534840">
      <w:pPr>
        <w:tabs>
          <w:tab w:val="clear" w:pos="720"/>
        </w:tabs>
        <w:spacing w:beforeLines="1" w:before="2" w:afterLines="1" w:after="2" w:line="360" w:lineRule="auto"/>
        <w:contextualSpacing/>
        <w:textAlignment w:val="baseline"/>
        <w:rPr>
          <w:rFonts w:cs="Times New Roman"/>
          <w:szCs w:val="20"/>
        </w:rPr>
      </w:pPr>
      <w:r w:rsidRPr="009D6731">
        <w:rPr>
          <w:rFonts w:cs="Times New Roman"/>
        </w:rPr>
        <w:tab/>
      </w:r>
      <w:r w:rsidR="0095275E" w:rsidRPr="009D6731">
        <w:rPr>
          <w:rFonts w:cs="Times New Roman"/>
        </w:rPr>
        <w:t>Section 1170.95, subdivision (a) provides that the petition must contain the following information: (1) a complaint, information, or indictment was filed against the petitioner that allowed the prosecuti</w:t>
      </w:r>
      <w:r w:rsidRPr="009D6731">
        <w:rPr>
          <w:rFonts w:cs="Times New Roman"/>
        </w:rPr>
        <w:t>on to proceed under a theory of</w:t>
      </w:r>
      <w:r w:rsidR="0095275E" w:rsidRPr="009D6731">
        <w:rPr>
          <w:rFonts w:cs="Times New Roman"/>
        </w:rPr>
        <w:t xml:space="preserve"> felony murder or murder under the natural and probable consequences doctrine, (2) the petitioner was convicted of first or second degree murder following a trial</w:t>
      </w:r>
      <w:r w:rsidR="0076041E">
        <w:rPr>
          <w:rFonts w:cs="Times New Roman"/>
        </w:rPr>
        <w:t>,</w:t>
      </w:r>
      <w:r w:rsidR="0095275E" w:rsidRPr="009D6731">
        <w:rPr>
          <w:rFonts w:cs="Times New Roman"/>
        </w:rPr>
        <w:t xml:space="preserve"> and (3) the petitioner could not be convicted of first or second degree murder because of changes in sections 188 and 189 made effective January 1, 2019.  (</w:t>
      </w:r>
      <w:r w:rsidR="0095275E" w:rsidRPr="009D6731">
        <w:rPr>
          <w:rFonts w:cs="Times New Roman"/>
          <w:i/>
          <w:iCs/>
        </w:rPr>
        <w:t xml:space="preserve">Id., </w:t>
      </w:r>
      <w:proofErr w:type="spellStart"/>
      <w:r w:rsidR="0095275E" w:rsidRPr="009D6731">
        <w:rPr>
          <w:rFonts w:cs="Times New Roman"/>
        </w:rPr>
        <w:t>subd</w:t>
      </w:r>
      <w:proofErr w:type="spellEnd"/>
      <w:r w:rsidR="0095275E" w:rsidRPr="009D6731">
        <w:rPr>
          <w:rFonts w:cs="Times New Roman"/>
        </w:rPr>
        <w:t xml:space="preserve">. (a)(1), (2), (3).) </w:t>
      </w:r>
      <w:r w:rsidR="00491DC1" w:rsidRPr="009D6731">
        <w:rPr>
          <w:rFonts w:cs="Times New Roman"/>
        </w:rPr>
        <w:t xml:space="preserve"> </w:t>
      </w:r>
      <w:r w:rsidR="0095275E" w:rsidRPr="009D6731">
        <w:rPr>
          <w:rFonts w:cs="Times New Roman"/>
        </w:rPr>
        <w:t>The petition must also include, in pertinent part, a declaration stating the petitioner “is eligible for relief under this section” based on all the requirements in subdivision (a) of section 1170.95, and whether the petitioner requests the appointment of counsel.  (</w:t>
      </w:r>
      <w:r w:rsidR="0095275E" w:rsidRPr="009D6731">
        <w:rPr>
          <w:rFonts w:cs="Times New Roman"/>
          <w:i/>
          <w:iCs/>
        </w:rPr>
        <w:t>Id</w:t>
      </w:r>
      <w:r w:rsidR="0095275E" w:rsidRPr="009D6731">
        <w:rPr>
          <w:rFonts w:cs="Times New Roman"/>
        </w:rPr>
        <w:t xml:space="preserve">., </w:t>
      </w:r>
      <w:proofErr w:type="spellStart"/>
      <w:r w:rsidR="0095275E" w:rsidRPr="009D6731">
        <w:rPr>
          <w:rFonts w:cs="Times New Roman"/>
        </w:rPr>
        <w:t>subd</w:t>
      </w:r>
      <w:proofErr w:type="spellEnd"/>
      <w:r w:rsidR="0095275E" w:rsidRPr="009D6731">
        <w:rPr>
          <w:rFonts w:cs="Times New Roman"/>
        </w:rPr>
        <w:t>. (b)(1)(A) &amp; (C).)  If any of the required information is missing and cannot be readily ascertained by the court, “the court may deny the petition without prejudice to the filing of another petition and advise the petitioner that the matter cannot be considered without the missing information.”  (§</w:t>
      </w:r>
      <w:r w:rsidR="0095275E" w:rsidRPr="009D6731">
        <w:rPr>
          <w:rFonts w:hAnsi="Monaco" w:cs="Monaco"/>
        </w:rPr>
        <w:t> </w:t>
      </w:r>
      <w:r w:rsidR="0095275E" w:rsidRPr="009D6731">
        <w:rPr>
          <w:rFonts w:cs="Times New Roman"/>
        </w:rPr>
        <w:t xml:space="preserve">1170.95, </w:t>
      </w:r>
      <w:proofErr w:type="spellStart"/>
      <w:r w:rsidR="0095275E" w:rsidRPr="009D6731">
        <w:rPr>
          <w:rFonts w:cs="Times New Roman"/>
        </w:rPr>
        <w:t>subd</w:t>
      </w:r>
      <w:proofErr w:type="spellEnd"/>
      <w:r w:rsidR="0095275E" w:rsidRPr="009D6731">
        <w:rPr>
          <w:rFonts w:cs="Times New Roman"/>
        </w:rPr>
        <w:t>. (b)(2).)  </w:t>
      </w:r>
    </w:p>
    <w:p w14:paraId="58686705" w14:textId="77777777" w:rsidR="00CD018E" w:rsidRPr="00CD018E" w:rsidRDefault="00763262" w:rsidP="00534840">
      <w:pPr>
        <w:tabs>
          <w:tab w:val="clear" w:pos="720"/>
        </w:tabs>
        <w:spacing w:beforeLines="1" w:before="2" w:afterLines="1" w:after="2" w:line="360" w:lineRule="auto"/>
        <w:contextualSpacing/>
        <w:textAlignment w:val="baseline"/>
        <w:rPr>
          <w:rFonts w:cs="Times New Roman"/>
        </w:rPr>
      </w:pPr>
      <w:r w:rsidRPr="009D6731">
        <w:rPr>
          <w:rFonts w:cs="Times New Roman"/>
        </w:rPr>
        <w:tab/>
      </w:r>
      <w:r w:rsidR="0095275E" w:rsidRPr="009D6731">
        <w:rPr>
          <w:rFonts w:cs="Times New Roman"/>
        </w:rPr>
        <w:t>Section 1170.95, subdivision (c) provides the process by which the court is to decide the petition:  “The court shall review the petition and determine if the petitioner has made a prima facie showing that the petitioner falls within the provisions of this section.  If the petitioner has requested counsel, the court shall appoint counsel to represent the petitioner.  The prosecutor shall file and serve a response within 60 days of service of the petition and the petitioner may file and serve a reply within 30 days after the prosecutor</w:t>
      </w:r>
      <w:r w:rsidR="009B0236">
        <w:rPr>
          <w:rFonts w:cs="Times New Roman"/>
        </w:rPr>
        <w:t>[</w:t>
      </w:r>
      <w:r w:rsidR="0095275E" w:rsidRPr="009D6731">
        <w:rPr>
          <w:rFonts w:cs="Times New Roman"/>
        </w:rPr>
        <w:t>’s</w:t>
      </w:r>
      <w:r w:rsidR="009B0236">
        <w:rPr>
          <w:rFonts w:cs="Times New Roman"/>
        </w:rPr>
        <w:t>]</w:t>
      </w:r>
      <w:r w:rsidR="0095275E" w:rsidRPr="009D6731">
        <w:rPr>
          <w:rFonts w:cs="Times New Roman"/>
        </w:rPr>
        <w:t xml:space="preserve"> response is served. </w:t>
      </w:r>
      <w:r w:rsidR="00332BC1">
        <w:rPr>
          <w:rFonts w:cs="Times New Roman"/>
        </w:rPr>
        <w:t xml:space="preserve"> </w:t>
      </w:r>
      <w:r w:rsidR="0095275E" w:rsidRPr="009D6731">
        <w:rPr>
          <w:rFonts w:cs="Times New Roman"/>
        </w:rPr>
        <w:t xml:space="preserve">These deadlines shall be extended for good cause. </w:t>
      </w:r>
      <w:r w:rsidR="00332BC1">
        <w:rPr>
          <w:rFonts w:cs="Times New Roman"/>
        </w:rPr>
        <w:t xml:space="preserve"> </w:t>
      </w:r>
      <w:r w:rsidR="0095275E" w:rsidRPr="009D6731">
        <w:rPr>
          <w:rFonts w:cs="Times New Roman"/>
        </w:rPr>
        <w:t>If the petitioner makes a prima facie showing that he or she is entitled to relief, the court shall issue an order to show cause.” </w:t>
      </w:r>
      <w:r w:rsidR="00CD018E">
        <w:rPr>
          <w:rFonts w:cs="Times New Roman"/>
        </w:rPr>
        <w:t xml:space="preserve"> Therefore, no order to show cause is issued and no hearing</w:t>
      </w:r>
      <w:r w:rsidR="0076041E">
        <w:rPr>
          <w:rFonts w:cs="Times New Roman"/>
        </w:rPr>
        <w:t xml:space="preserve"> is held</w:t>
      </w:r>
      <w:r w:rsidR="00CD018E">
        <w:rPr>
          <w:rFonts w:cs="Times New Roman"/>
        </w:rPr>
        <w:t xml:space="preserve"> </w:t>
      </w:r>
      <w:r w:rsidR="00CD018E" w:rsidRPr="00CD018E">
        <w:rPr>
          <w:rFonts w:cs="Times New Roman"/>
        </w:rPr>
        <w:t>(§</w:t>
      </w:r>
      <w:r w:rsidR="00CD018E" w:rsidRPr="00CD018E">
        <w:rPr>
          <w:rFonts w:cs="Monaco"/>
        </w:rPr>
        <w:t xml:space="preserve"> </w:t>
      </w:r>
      <w:r w:rsidR="00CD018E">
        <w:rPr>
          <w:rFonts w:cs="Times New Roman"/>
        </w:rPr>
        <w:t xml:space="preserve">1170.95, </w:t>
      </w:r>
      <w:proofErr w:type="spellStart"/>
      <w:r w:rsidR="00CD018E">
        <w:rPr>
          <w:rFonts w:cs="Times New Roman"/>
        </w:rPr>
        <w:t>subd</w:t>
      </w:r>
      <w:proofErr w:type="spellEnd"/>
      <w:r w:rsidR="00CD018E">
        <w:rPr>
          <w:rFonts w:cs="Times New Roman"/>
        </w:rPr>
        <w:t>. (d)(1)</w:t>
      </w:r>
      <w:r w:rsidR="00CD018E" w:rsidRPr="00CD018E">
        <w:rPr>
          <w:rFonts w:cs="Times New Roman"/>
        </w:rPr>
        <w:t>)</w:t>
      </w:r>
      <w:r w:rsidR="00941E1F">
        <w:rPr>
          <w:rFonts w:cs="Times New Roman"/>
        </w:rPr>
        <w:t xml:space="preserve"> </w:t>
      </w:r>
      <w:r w:rsidR="00CD018E">
        <w:rPr>
          <w:rFonts w:cs="Times New Roman"/>
        </w:rPr>
        <w:t xml:space="preserve">unless the court </w:t>
      </w:r>
      <w:r w:rsidR="00941E1F">
        <w:rPr>
          <w:rFonts w:cs="Times New Roman"/>
        </w:rPr>
        <w:t xml:space="preserve">first </w:t>
      </w:r>
      <w:r w:rsidR="00CD018E">
        <w:rPr>
          <w:rFonts w:cs="Times New Roman"/>
        </w:rPr>
        <w:t>determines a prima facie showing of entitlement to relief.</w:t>
      </w:r>
    </w:p>
    <w:p w14:paraId="38451C55" w14:textId="77777777" w:rsidR="009D6731" w:rsidRDefault="0095275E" w:rsidP="00534840">
      <w:pPr>
        <w:tabs>
          <w:tab w:val="clear" w:pos="720"/>
        </w:tabs>
        <w:spacing w:beforeLines="1" w:before="2" w:afterLines="1" w:after="2" w:line="240" w:lineRule="auto"/>
        <w:ind w:left="720" w:hanging="720"/>
        <w:contextualSpacing/>
        <w:textAlignment w:val="baseline"/>
        <w:rPr>
          <w:rFonts w:cs="Times New Roman"/>
          <w:b/>
          <w:bCs/>
        </w:rPr>
      </w:pPr>
      <w:r w:rsidRPr="009D6731">
        <w:rPr>
          <w:rFonts w:cs="Times New Roman"/>
          <w:b/>
          <w:bCs/>
        </w:rPr>
        <w:t xml:space="preserve">II. </w:t>
      </w:r>
      <w:r w:rsidR="009D6731">
        <w:rPr>
          <w:rFonts w:cs="Times New Roman"/>
          <w:b/>
          <w:bCs/>
        </w:rPr>
        <w:tab/>
        <w:t>The Superior Court Correctly Determined Edwards Does Not Fall Within the Provisions of Section 1170.95 as a Matter of Law</w:t>
      </w:r>
    </w:p>
    <w:p w14:paraId="4E5CC9D6" w14:textId="77777777" w:rsidR="0095275E" w:rsidRPr="009D6731" w:rsidRDefault="0095275E" w:rsidP="00534840">
      <w:pPr>
        <w:tabs>
          <w:tab w:val="clear" w:pos="720"/>
        </w:tabs>
        <w:spacing w:beforeLines="1" w:before="2" w:afterLines="1" w:after="2" w:line="240" w:lineRule="auto"/>
        <w:ind w:left="720" w:hanging="720"/>
        <w:contextualSpacing/>
        <w:textAlignment w:val="baseline"/>
        <w:rPr>
          <w:rFonts w:cs="Times New Roman"/>
          <w:szCs w:val="20"/>
        </w:rPr>
      </w:pPr>
    </w:p>
    <w:p w14:paraId="58B7F23A" w14:textId="77777777" w:rsidR="00F44B7D" w:rsidRPr="009D6731" w:rsidRDefault="00F44B7D" w:rsidP="00534840">
      <w:pPr>
        <w:tabs>
          <w:tab w:val="clear" w:pos="720"/>
        </w:tabs>
        <w:spacing w:beforeLines="1" w:before="2" w:afterLines="1" w:after="2" w:line="360" w:lineRule="auto"/>
        <w:contextualSpacing/>
        <w:textAlignment w:val="baseline"/>
        <w:rPr>
          <w:rFonts w:cs="Times New Roman"/>
          <w:szCs w:val="20"/>
        </w:rPr>
      </w:pPr>
      <w:r w:rsidRPr="009D6731">
        <w:rPr>
          <w:rFonts w:cs="Times New Roman"/>
        </w:rPr>
        <w:tab/>
        <w:t>Edwards argues the superior court erred in its summary denial because his petition pleaded facts that, if true, demonstrated prima facie that he was eligible to file a petition for relief under section 1170.95</w:t>
      </w:r>
      <w:r>
        <w:rPr>
          <w:rFonts w:cs="Times New Roman"/>
        </w:rPr>
        <w:t xml:space="preserve">.  Edwards further argues that the superior court was </w:t>
      </w:r>
      <w:r w:rsidR="00771EE6">
        <w:rPr>
          <w:rFonts w:cs="Times New Roman"/>
        </w:rPr>
        <w:t>limited to reviewing the facts pled in</w:t>
      </w:r>
      <w:r>
        <w:rPr>
          <w:rFonts w:cs="Times New Roman"/>
        </w:rPr>
        <w:t xml:space="preserve"> the petition for relief and </w:t>
      </w:r>
      <w:r w:rsidRPr="009D6731">
        <w:rPr>
          <w:rFonts w:cs="Times New Roman"/>
        </w:rPr>
        <w:t xml:space="preserve">could not rely on the record of conviction in determining whether he made the prima facie showing. </w:t>
      </w:r>
      <w:r w:rsidR="00C52BAA">
        <w:rPr>
          <w:rFonts w:cs="Times New Roman"/>
        </w:rPr>
        <w:t xml:space="preserve"> </w:t>
      </w:r>
      <w:r w:rsidRPr="009D6731">
        <w:rPr>
          <w:rFonts w:cs="Times New Roman"/>
        </w:rPr>
        <w:t xml:space="preserve">We disagree, and </w:t>
      </w:r>
      <w:r>
        <w:rPr>
          <w:rFonts w:cs="Times New Roman"/>
        </w:rPr>
        <w:t>find</w:t>
      </w:r>
      <w:r w:rsidRPr="009D6731">
        <w:rPr>
          <w:rFonts w:cs="Times New Roman"/>
        </w:rPr>
        <w:t xml:space="preserve"> the superior court did not err in considering the record of conviction. </w:t>
      </w:r>
    </w:p>
    <w:p w14:paraId="23D492F5" w14:textId="77777777" w:rsidR="009C070C" w:rsidRDefault="00F44B7D" w:rsidP="00534840">
      <w:pPr>
        <w:tabs>
          <w:tab w:val="clear" w:pos="720"/>
        </w:tabs>
        <w:spacing w:beforeLines="1" w:before="2" w:afterLines="1" w:after="2" w:line="360" w:lineRule="auto"/>
        <w:contextualSpacing/>
        <w:textAlignment w:val="baseline"/>
        <w:rPr>
          <w:rFonts w:cs="Times New Roman"/>
        </w:rPr>
      </w:pPr>
      <w:r w:rsidRPr="009D6731">
        <w:rPr>
          <w:rFonts w:cs="Times New Roman"/>
        </w:rPr>
        <w:tab/>
        <w:t>Section 1170.95, “which authorizes the court both to dismiss the petition if it lacks any required information and to determine if there is a prima facie showing the petitioner falls within the provisions of the statute before ordering briefing, indicates the Legislature’s intent that the superior court perform a substantive gatekeeping function, screening out clearly ineligible petitioners before devoting additional resources to the resentencing process.  [Citations.]”  (</w:t>
      </w:r>
      <w:r w:rsidRPr="009D6731">
        <w:rPr>
          <w:rFonts w:cs="Times New Roman"/>
          <w:i/>
          <w:iCs/>
        </w:rPr>
        <w:t>Verdugo</w:t>
      </w:r>
      <w:r w:rsidRPr="009D6731">
        <w:rPr>
          <w:rFonts w:cs="Times New Roman"/>
        </w:rPr>
        <w:t xml:space="preserve">, </w:t>
      </w:r>
      <w:r w:rsidRPr="009D6731">
        <w:rPr>
          <w:rFonts w:cs="Times New Roman"/>
          <w:i/>
          <w:iCs/>
        </w:rPr>
        <w:t>supra</w:t>
      </w:r>
      <w:r w:rsidRPr="009D6731">
        <w:rPr>
          <w:rFonts w:cs="Times New Roman"/>
        </w:rPr>
        <w:t xml:space="preserve">, 44 Cal.App.5th at p. 331.) </w:t>
      </w:r>
      <w:r w:rsidR="009C070C">
        <w:rPr>
          <w:rFonts w:cs="Times New Roman"/>
        </w:rPr>
        <w:t xml:space="preserve"> </w:t>
      </w:r>
      <w:r w:rsidRPr="009D6731">
        <w:rPr>
          <w:rFonts w:cs="Times New Roman"/>
        </w:rPr>
        <w:t>To that end, “the relevant statutory language, viewed in context, makes plain the Legislature’s intent to permit the [superior] court . . . to examine readily available portions of the record of conviction to determine whether a prima facie showing has been made that the petitioner falls within the provisions of section 1170.95 . . . .”  (</w:t>
      </w:r>
      <w:r w:rsidRPr="009D6731">
        <w:rPr>
          <w:rFonts w:cs="Times New Roman"/>
          <w:i/>
          <w:iCs/>
        </w:rPr>
        <w:t>Verdugo</w:t>
      </w:r>
      <w:r w:rsidRPr="009D6731">
        <w:rPr>
          <w:rFonts w:cs="Times New Roman"/>
        </w:rPr>
        <w:t xml:space="preserve">, </w:t>
      </w:r>
      <w:r w:rsidRPr="009D6731">
        <w:rPr>
          <w:rFonts w:cs="Times New Roman"/>
          <w:i/>
          <w:iCs/>
        </w:rPr>
        <w:t>supra</w:t>
      </w:r>
      <w:r w:rsidRPr="009D6731">
        <w:rPr>
          <w:rFonts w:cs="Times New Roman"/>
        </w:rPr>
        <w:t xml:space="preserve">, at p. 323.)  </w:t>
      </w:r>
    </w:p>
    <w:p w14:paraId="2D168C75" w14:textId="77777777" w:rsidR="00F44B7D" w:rsidRPr="009D6731" w:rsidRDefault="009C070C" w:rsidP="00534840">
      <w:pPr>
        <w:tabs>
          <w:tab w:val="clear" w:pos="720"/>
        </w:tabs>
        <w:spacing w:beforeLines="1" w:before="2" w:afterLines="1" w:after="2" w:line="360" w:lineRule="auto"/>
        <w:contextualSpacing/>
        <w:textAlignment w:val="baseline"/>
        <w:rPr>
          <w:rFonts w:cs="Times New Roman"/>
          <w:szCs w:val="20"/>
        </w:rPr>
      </w:pPr>
      <w:r>
        <w:rPr>
          <w:rFonts w:cs="Times New Roman"/>
        </w:rPr>
        <w:tab/>
      </w:r>
      <w:r w:rsidR="00F44B7D" w:rsidRPr="009D6731">
        <w:rPr>
          <w:rFonts w:cs="Times New Roman"/>
        </w:rPr>
        <w:t>“In particular, because a petitioner is not eligible for relief under section 1170.95 unless he or she was convicted of first or second degree murder based on a charging document that permitted the prosecution to proceed under a theory of felony murder or murder under the natural and probable consequences doctrine (§</w:t>
      </w:r>
      <w:r w:rsidR="00F44B7D" w:rsidRPr="009D6731">
        <w:rPr>
          <w:rFonts w:hAnsi="Monaco" w:cs="Monaco"/>
        </w:rPr>
        <w:t> </w:t>
      </w:r>
      <w:r w:rsidR="00F44B7D" w:rsidRPr="009D6731">
        <w:rPr>
          <w:rFonts w:cs="Times New Roman"/>
        </w:rPr>
        <w:t xml:space="preserve">1170.95, </w:t>
      </w:r>
      <w:proofErr w:type="spellStart"/>
      <w:r w:rsidR="00F44B7D" w:rsidRPr="009D6731">
        <w:rPr>
          <w:rFonts w:cs="Times New Roman"/>
        </w:rPr>
        <w:t>subd</w:t>
      </w:r>
      <w:proofErr w:type="spellEnd"/>
      <w:r w:rsidR="00F44B7D" w:rsidRPr="009D6731">
        <w:rPr>
          <w:rFonts w:cs="Times New Roman"/>
        </w:rPr>
        <w:t>. (a)(1), (2)), the court must at least examine the complaint, information or indictment filed against the petitioner; the verdict form or factual basis documentation for a negotiated plea; and the abstract of judgment.  Based on a threshold review of these documents, the court can dismiss any petition filed by an individual who was not actually convicted of first or second degree murder. . . .” (</w:t>
      </w:r>
      <w:r w:rsidR="00F44B7D" w:rsidRPr="009D6731">
        <w:rPr>
          <w:rFonts w:cs="Times New Roman"/>
          <w:i/>
          <w:iCs/>
        </w:rPr>
        <w:t>Verdugo</w:t>
      </w:r>
      <w:r w:rsidR="00F44B7D" w:rsidRPr="009D6731">
        <w:rPr>
          <w:rFonts w:cs="Times New Roman"/>
        </w:rPr>
        <w:t xml:space="preserve">, </w:t>
      </w:r>
      <w:r w:rsidR="00F44B7D" w:rsidRPr="009D6731">
        <w:rPr>
          <w:rFonts w:cs="Times New Roman"/>
          <w:i/>
          <w:iCs/>
        </w:rPr>
        <w:t>supra</w:t>
      </w:r>
      <w:r w:rsidR="00F44B7D" w:rsidRPr="009D6731">
        <w:rPr>
          <w:rFonts w:cs="Times New Roman"/>
        </w:rPr>
        <w:t>, 44 Cal.App.5th at pp. 329-330.) </w:t>
      </w:r>
    </w:p>
    <w:p w14:paraId="55173AF8" w14:textId="77777777" w:rsidR="00F44B7D" w:rsidRPr="009D6731" w:rsidRDefault="00F44B7D" w:rsidP="00534840">
      <w:pPr>
        <w:tabs>
          <w:tab w:val="clear" w:pos="720"/>
        </w:tabs>
        <w:spacing w:beforeLines="1" w:before="2" w:afterLines="1" w:after="2" w:line="360" w:lineRule="auto"/>
        <w:contextualSpacing/>
        <w:textAlignment w:val="baseline"/>
        <w:rPr>
          <w:rFonts w:cs="Times New Roman"/>
        </w:rPr>
      </w:pPr>
      <w:r w:rsidRPr="009D6731">
        <w:rPr>
          <w:rFonts w:cs="Times New Roman"/>
        </w:rPr>
        <w:tab/>
        <w:t>Additionally, “[a]</w:t>
      </w:r>
      <w:proofErr w:type="spellStart"/>
      <w:r w:rsidRPr="009D6731">
        <w:rPr>
          <w:rFonts w:cs="Times New Roman"/>
        </w:rPr>
        <w:t>llowing</w:t>
      </w:r>
      <w:proofErr w:type="spellEnd"/>
      <w:r w:rsidRPr="009D6731">
        <w:rPr>
          <w:rFonts w:cs="Times New Roman"/>
        </w:rPr>
        <w:t xml:space="preserve"> the [superior] court to consider its file and the record of conviction is . . . sound policy. . . . ‘It would be a gross misuse of judicial resources to require the issuance of an order to show</w:t>
      </w:r>
      <w:r w:rsidR="009B0236">
        <w:rPr>
          <w:rFonts w:cs="Times New Roman"/>
        </w:rPr>
        <w:t xml:space="preserve"> cause</w:t>
      </w:r>
      <w:r w:rsidRPr="009D6731">
        <w:rPr>
          <w:rFonts w:cs="Times New Roman"/>
        </w:rPr>
        <w:t xml:space="preserve"> or even appointment of counsel based solely on the allegations of a petition, which frequently are erroneous, when even a cursory review of the court file would show as a matter of law that the petitioner is not eligible for relief.  For example, if the petition contains sufficient summary allegations that would entitle the petitioner to relief, but a review of the court file shows the petitioner was convicted of murder without instruction or argument based on the felony murder rule or [the natural and probable consequences doctrine], .</w:t>
      </w:r>
      <w:r w:rsidR="009B0236">
        <w:rPr>
          <w:rFonts w:cs="Times New Roman"/>
        </w:rPr>
        <w:t> </w:t>
      </w:r>
      <w:r w:rsidRPr="009D6731">
        <w:rPr>
          <w:rFonts w:cs="Times New Roman"/>
        </w:rPr>
        <w:t>. . it would be entirely appropriate to summarily deny the petition based on petitioner’s failure to establish even a prima facie basis of eligibility for resentencing.’ ” (</w:t>
      </w:r>
      <w:r w:rsidRPr="5FE14EC9">
        <w:rPr>
          <w:rFonts w:cs="Times New Roman"/>
          <w:i/>
          <w:iCs/>
        </w:rPr>
        <w:t xml:space="preserve">People v. Lewis </w:t>
      </w:r>
      <w:r w:rsidRPr="009D6731">
        <w:rPr>
          <w:rFonts w:cs="Times New Roman"/>
        </w:rPr>
        <w:t>(2020) 43 Cal.App.5th 1128,</w:t>
      </w:r>
      <w:r w:rsidR="009B0236">
        <w:rPr>
          <w:rFonts w:cs="Times New Roman"/>
        </w:rPr>
        <w:t xml:space="preserve"> </w:t>
      </w:r>
      <w:r w:rsidRPr="009D6731">
        <w:rPr>
          <w:rFonts w:cs="Times New Roman"/>
        </w:rPr>
        <w:t>1138 (</w:t>
      </w:r>
      <w:r w:rsidRPr="5FE14EC9">
        <w:rPr>
          <w:rFonts w:cs="Times New Roman"/>
          <w:i/>
          <w:iCs/>
        </w:rPr>
        <w:t>Lewis</w:t>
      </w:r>
      <w:r w:rsidRPr="5FE14EC9">
        <w:rPr>
          <w:rFonts w:cs="Times New Roman"/>
        </w:rPr>
        <w:t>),</w:t>
      </w:r>
      <w:r w:rsidRPr="009D6731">
        <w:rPr>
          <w:rFonts w:cs="Times New Roman"/>
        </w:rPr>
        <w:t xml:space="preserve"> review granted Mar. 18, 2020, S260598, quoting </w:t>
      </w:r>
      <w:proofErr w:type="spellStart"/>
      <w:r w:rsidRPr="009D6731">
        <w:rPr>
          <w:rFonts w:cs="Times New Roman"/>
        </w:rPr>
        <w:t>Couzens</w:t>
      </w:r>
      <w:proofErr w:type="spellEnd"/>
      <w:r w:rsidRPr="009D6731">
        <w:rPr>
          <w:rFonts w:cs="Times New Roman"/>
        </w:rPr>
        <w:t>, Bigelow, Prickett, Sentencing California Crimes (October 2019 update), Ch. 23 Miscellaneous Sentencing Issues  §</w:t>
      </w:r>
      <w:r w:rsidRPr="009D6731">
        <w:rPr>
          <w:rFonts w:hAnsi="Monaco" w:cs="Monaco"/>
        </w:rPr>
        <w:t> </w:t>
      </w:r>
      <w:r w:rsidRPr="009D6731">
        <w:rPr>
          <w:rFonts w:cs="Times New Roman"/>
        </w:rPr>
        <w:t>23.51 Accomplice Liability – Petition for Resentencing  (§</w:t>
      </w:r>
      <w:r w:rsidRPr="009D6731">
        <w:rPr>
          <w:rFonts w:hAnsi="Monaco" w:cs="Monaco"/>
        </w:rPr>
        <w:t> </w:t>
      </w:r>
      <w:r w:rsidRPr="009D6731">
        <w:rPr>
          <w:rFonts w:cs="Times New Roman"/>
        </w:rPr>
        <w:t>1170.95) §</w:t>
      </w:r>
      <w:r w:rsidRPr="009D6731">
        <w:rPr>
          <w:rFonts w:hAnsi="Monaco" w:cs="Monaco"/>
        </w:rPr>
        <w:t> </w:t>
      </w:r>
      <w:r w:rsidRPr="009D6731">
        <w:rPr>
          <w:rFonts w:cs="Times New Roman"/>
        </w:rPr>
        <w:t>23:51(H)(1), pp.</w:t>
      </w:r>
      <w:r w:rsidR="009B0236">
        <w:rPr>
          <w:rFonts w:cs="Times New Roman"/>
        </w:rPr>
        <w:t xml:space="preserve"> </w:t>
      </w:r>
      <w:r w:rsidRPr="009D6731">
        <w:rPr>
          <w:rFonts w:cs="Times New Roman"/>
        </w:rPr>
        <w:t>23-150 to 23-151.)   </w:t>
      </w:r>
    </w:p>
    <w:p w14:paraId="773E2D75" w14:textId="7D25A738" w:rsidR="00F44B7D" w:rsidRPr="009D6731" w:rsidRDefault="00F44B7D" w:rsidP="00534840">
      <w:pPr>
        <w:tabs>
          <w:tab w:val="clear" w:pos="720"/>
        </w:tabs>
        <w:spacing w:beforeLines="1" w:before="2" w:afterLines="1" w:after="2" w:line="360" w:lineRule="auto"/>
        <w:contextualSpacing/>
        <w:textAlignment w:val="baseline"/>
        <w:rPr>
          <w:rFonts w:cs="Times New Roman"/>
        </w:rPr>
      </w:pPr>
      <w:r w:rsidRPr="009D6731">
        <w:rPr>
          <w:rFonts w:cs="Times New Roman"/>
        </w:rPr>
        <w:tab/>
      </w:r>
      <w:r w:rsidRPr="00672D28">
        <w:rPr>
          <w:rFonts w:cs="Times New Roman"/>
        </w:rPr>
        <w:t>Here, we are faced with a form</w:t>
      </w:r>
      <w:r w:rsidR="009D771A" w:rsidRPr="00672D28">
        <w:rPr>
          <w:rFonts w:cs="Times New Roman"/>
        </w:rPr>
        <w:t>, check the box</w:t>
      </w:r>
      <w:r w:rsidRPr="00672D28">
        <w:rPr>
          <w:rFonts w:cs="Times New Roman"/>
        </w:rPr>
        <w:t xml:space="preserve"> </w:t>
      </w:r>
      <w:r w:rsidR="009D771A" w:rsidRPr="00672D28">
        <w:rPr>
          <w:rFonts w:cs="Times New Roman"/>
        </w:rPr>
        <w:t xml:space="preserve">section 1170.95 </w:t>
      </w:r>
      <w:r w:rsidRPr="00672D28">
        <w:rPr>
          <w:rFonts w:cs="Times New Roman"/>
        </w:rPr>
        <w:t>petition tracking the statutory language with attachments of portions of the record of conviction that do not support the petition.</w:t>
      </w:r>
      <w:r w:rsidRPr="009D6731">
        <w:rPr>
          <w:rFonts w:cs="Times New Roman"/>
        </w:rPr>
        <w:t xml:space="preserve"> While the attached jury instruction on murder and the prosecutor’s closing remarks include the phrase “natural and probable consequences,” that language does not demonstrate Edwards was charged and convicted of second degree felony murder or murder under the natural and probable consequences doctrine within the meaning of section 1170.95, which latter doctrine refers to the earlier  “ ‘established rule’ of American jurisprudence,” directed at accomplice liability (</w:t>
      </w:r>
      <w:r w:rsidRPr="5FE14EC9">
        <w:rPr>
          <w:rFonts w:cs="Times New Roman"/>
          <w:i/>
          <w:iCs/>
        </w:rPr>
        <w:t>People v. Prettyman</w:t>
      </w:r>
      <w:r w:rsidRPr="009D6731">
        <w:rPr>
          <w:rFonts w:cs="Times New Roman"/>
        </w:rPr>
        <w:t xml:space="preserve"> (1996) 14 Cal.4th 248, 260)</w:t>
      </w:r>
      <w:r w:rsidR="00B60600">
        <w:rPr>
          <w:rFonts w:cs="Times New Roman"/>
        </w:rPr>
        <w:t>.</w:t>
      </w:r>
      <w:r w:rsidRPr="009D6731">
        <w:rPr>
          <w:rFonts w:cs="Times New Roman"/>
        </w:rPr>
        <w:t xml:space="preserve">  In any event, as the superior court here found, a review of the readily available record of conviction (charging information and jury instructions) shows Edwards </w:t>
      </w:r>
      <w:r w:rsidRPr="5FE14EC9">
        <w:rPr>
          <w:rFonts w:cs="Times New Roman"/>
          <w:i/>
          <w:iCs/>
        </w:rPr>
        <w:t>could not</w:t>
      </w:r>
      <w:r w:rsidRPr="009D6731">
        <w:rPr>
          <w:rFonts w:cs="Times New Roman"/>
        </w:rPr>
        <w:t xml:space="preserve"> meet the statutory prerequisites for even filing a section 1170.95</w:t>
      </w:r>
      <w:r w:rsidR="00EC6870">
        <w:rPr>
          <w:rFonts w:cs="Times New Roman"/>
        </w:rPr>
        <w:t xml:space="preserve"> petition</w:t>
      </w:r>
      <w:r w:rsidRPr="009D6731">
        <w:rPr>
          <w:rFonts w:cs="Times New Roman"/>
        </w:rPr>
        <w:t xml:space="preserve"> because he was not charged or convicted of second degree felony murder or murder under the natural or probable consequences doctrine directed at accomplice liability. </w:t>
      </w:r>
      <w:r w:rsidR="00225258">
        <w:rPr>
          <w:rFonts w:cs="Times New Roman"/>
        </w:rPr>
        <w:t xml:space="preserve"> </w:t>
      </w:r>
      <w:r w:rsidRPr="009D6731">
        <w:rPr>
          <w:rFonts w:cs="Times New Roman"/>
        </w:rPr>
        <w:t>Accordingly, the superior court’s summary denial was appropriate on this ground alone.     </w:t>
      </w:r>
    </w:p>
    <w:p w14:paraId="2762DAE4" w14:textId="77777777" w:rsidR="00F44B7D" w:rsidRDefault="00F44B7D" w:rsidP="00534840">
      <w:pPr>
        <w:spacing w:beforeLines="1" w:before="2" w:afterLines="1" w:after="2" w:line="360" w:lineRule="auto"/>
        <w:ind w:firstLine="720"/>
        <w:rPr>
          <w:rFonts w:cs="Times New Roman"/>
        </w:rPr>
      </w:pPr>
      <w:r w:rsidRPr="5FE14EC9">
        <w:rPr>
          <w:rFonts w:cs="Times New Roman"/>
        </w:rPr>
        <w:t>In light of our determination, we do not need to reach the superior court’s additional finding that Edwards, as the actual killer, was convicted under a valid theory of murder that survived the changes in section</w:t>
      </w:r>
      <w:r w:rsidR="008827F1">
        <w:rPr>
          <w:rFonts w:cs="Times New Roman"/>
        </w:rPr>
        <w:t>s 188</w:t>
      </w:r>
      <w:r w:rsidRPr="5FE14EC9">
        <w:rPr>
          <w:rFonts w:cs="Times New Roman"/>
        </w:rPr>
        <w:t xml:space="preserve"> and 189.  </w:t>
      </w:r>
      <w:r w:rsidR="008827F1">
        <w:rPr>
          <w:rFonts w:cs="Times New Roman"/>
        </w:rPr>
        <w:t xml:space="preserve">However, we note that the superior court’s finding was well supported </w:t>
      </w:r>
      <w:r w:rsidRPr="5FE14EC9">
        <w:rPr>
          <w:rFonts w:cs="Times New Roman"/>
        </w:rPr>
        <w:t>for the reasons stated by the superior court</w:t>
      </w:r>
      <w:r w:rsidR="008827F1">
        <w:rPr>
          <w:rFonts w:cs="Times New Roman"/>
        </w:rPr>
        <w:t xml:space="preserve">, namely </w:t>
      </w:r>
      <w:r w:rsidR="008827F1" w:rsidRPr="009D6731">
        <w:rPr>
          <w:rFonts w:cs="Times New Roman"/>
        </w:rPr>
        <w:t>the record of conviction and our prior opinion in the direct appeal</w:t>
      </w:r>
      <w:r w:rsidRPr="5FE14EC9">
        <w:rPr>
          <w:rFonts w:cs="Times New Roman"/>
        </w:rPr>
        <w:t xml:space="preserve">.  (See </w:t>
      </w:r>
      <w:r w:rsidRPr="5FE14EC9">
        <w:rPr>
          <w:rFonts w:cs="Times New Roman"/>
          <w:i/>
          <w:iCs/>
        </w:rPr>
        <w:t>Verdugo</w:t>
      </w:r>
      <w:r w:rsidRPr="5FE14EC9">
        <w:rPr>
          <w:rFonts w:cs="Times New Roman"/>
        </w:rPr>
        <w:t xml:space="preserve">, </w:t>
      </w:r>
      <w:r w:rsidRPr="5FE14EC9">
        <w:rPr>
          <w:rFonts w:cs="Times New Roman"/>
          <w:i/>
          <w:iCs/>
        </w:rPr>
        <w:t>supra</w:t>
      </w:r>
      <w:r w:rsidRPr="5FE14EC9">
        <w:rPr>
          <w:rFonts w:cs="Times New Roman"/>
        </w:rPr>
        <w:t xml:space="preserve">, 44 Cal.App.5th at p. 333 [superior court properly relied on Court of Appeals’ opinion in direct appeal of petitioner’s conviction, in determining whether he made a prima facie showing of eligibility for relief under section 1170.95 or whether he was ineligible for relief as a matter of law]; </w:t>
      </w:r>
      <w:r w:rsidRPr="5FE14EC9">
        <w:rPr>
          <w:rFonts w:cs="Times New Roman"/>
          <w:i/>
          <w:iCs/>
        </w:rPr>
        <w:t xml:space="preserve">People v. Cornelius </w:t>
      </w:r>
      <w:r w:rsidRPr="5FE14EC9">
        <w:rPr>
          <w:rFonts w:cs="Times New Roman"/>
        </w:rPr>
        <w:t>(2020) 44 Cal.App.5th 54, 58 (</w:t>
      </w:r>
      <w:r w:rsidRPr="5FE14EC9">
        <w:rPr>
          <w:rFonts w:cs="Times New Roman"/>
          <w:i/>
          <w:iCs/>
        </w:rPr>
        <w:t>Cornelius</w:t>
      </w:r>
      <w:r w:rsidRPr="5FE14EC9">
        <w:rPr>
          <w:rFonts w:cs="Times New Roman"/>
        </w:rPr>
        <w:t xml:space="preserve">), review granted, Mar. 18, 2020, </w:t>
      </w:r>
      <w:r w:rsidR="00672D28">
        <w:rPr>
          <w:rFonts w:cs="Times New Roman"/>
        </w:rPr>
        <w:t>S260410</w:t>
      </w:r>
      <w:r w:rsidRPr="5FE14EC9">
        <w:rPr>
          <w:rFonts w:cs="Times New Roman"/>
        </w:rPr>
        <w:t xml:space="preserve"> [same]; </w:t>
      </w:r>
      <w:r w:rsidRPr="5FE14EC9">
        <w:rPr>
          <w:rFonts w:cs="Times New Roman"/>
          <w:i/>
          <w:iCs/>
        </w:rPr>
        <w:t>Lewis</w:t>
      </w:r>
      <w:r w:rsidRPr="5FE14EC9">
        <w:rPr>
          <w:rFonts w:cs="Times New Roman"/>
        </w:rPr>
        <w:t xml:space="preserve">, </w:t>
      </w:r>
      <w:r w:rsidRPr="5FE14EC9">
        <w:rPr>
          <w:rFonts w:cs="Times New Roman"/>
          <w:i/>
          <w:iCs/>
        </w:rPr>
        <w:t>supra</w:t>
      </w:r>
      <w:r w:rsidRPr="5FE14EC9">
        <w:rPr>
          <w:rFonts w:cs="Times New Roman"/>
        </w:rPr>
        <w:t>, 43 Cal.App</w:t>
      </w:r>
      <w:r w:rsidR="008827F1">
        <w:rPr>
          <w:rFonts w:cs="Times New Roman"/>
        </w:rPr>
        <w:t xml:space="preserve">.5th at pp. 1137-1138 [same].) </w:t>
      </w:r>
    </w:p>
    <w:p w14:paraId="16741A32" w14:textId="52062AAE" w:rsidR="00F44B7D" w:rsidRPr="009D6731" w:rsidRDefault="00F44B7D" w:rsidP="00534840">
      <w:pPr>
        <w:tabs>
          <w:tab w:val="clear" w:pos="720"/>
        </w:tabs>
        <w:spacing w:beforeLines="1" w:before="2" w:afterLines="1" w:after="2" w:line="360" w:lineRule="auto"/>
        <w:contextualSpacing/>
        <w:textAlignment w:val="baseline"/>
        <w:rPr>
          <w:rFonts w:cs="Times New Roman"/>
        </w:rPr>
      </w:pPr>
      <w:r w:rsidRPr="009D6731">
        <w:rPr>
          <w:rFonts w:cs="Times New Roman"/>
        </w:rPr>
        <w:tab/>
        <w:t>Edwards additionally argues summary denial was improper because the superior court rendered its decision without appointing him counsel, without giving the People an opportunity to file a response, without allowing him an opportunity to file a reply, and without holding a hearing.</w:t>
      </w:r>
      <w:r w:rsidR="008827F1" w:rsidRPr="009D6731">
        <w:rPr>
          <w:rStyle w:val="FootnoteReference"/>
          <w:bCs/>
        </w:rPr>
        <w:footnoteReference w:id="5"/>
      </w:r>
      <w:r w:rsidRPr="009D6731">
        <w:rPr>
          <w:rFonts w:cs="Times New Roman"/>
        </w:rPr>
        <w:t xml:space="preserve"> </w:t>
      </w:r>
      <w:r w:rsidR="00C52BAA">
        <w:rPr>
          <w:rFonts w:cs="Times New Roman"/>
        </w:rPr>
        <w:t xml:space="preserve"> </w:t>
      </w:r>
      <w:r w:rsidR="008827F1">
        <w:rPr>
          <w:rFonts w:cs="Times New Roman"/>
        </w:rPr>
        <w:t xml:space="preserve">We need not address these contentions because, since </w:t>
      </w:r>
      <w:r>
        <w:rPr>
          <w:rFonts w:cs="Times New Roman"/>
        </w:rPr>
        <w:t>Edwards</w:t>
      </w:r>
      <w:r w:rsidRPr="009D6731">
        <w:rPr>
          <w:rFonts w:cs="Times New Roman"/>
        </w:rPr>
        <w:t xml:space="preserve"> does not fall within th</w:t>
      </w:r>
      <w:r w:rsidR="008827F1">
        <w:rPr>
          <w:rFonts w:cs="Times New Roman"/>
        </w:rPr>
        <w:t>e provisions of section 1170.95</w:t>
      </w:r>
      <w:r w:rsidRPr="009D6731">
        <w:rPr>
          <w:rFonts w:cs="Times New Roman"/>
        </w:rPr>
        <w:t xml:space="preserve"> as a matter of law, any of the purported errors were harmless under any standard of review</w:t>
      </w:r>
      <w:r w:rsidR="00B60600">
        <w:rPr>
          <w:rFonts w:cs="Times New Roman"/>
        </w:rPr>
        <w:t xml:space="preserve"> </w:t>
      </w:r>
      <w:r w:rsidRPr="009D6731">
        <w:rPr>
          <w:rFonts w:cs="Times New Roman"/>
        </w:rPr>
        <w:t>(</w:t>
      </w:r>
      <w:r w:rsidRPr="009D6731">
        <w:rPr>
          <w:rFonts w:cs="Times New Roman"/>
          <w:i/>
          <w:iCs/>
        </w:rPr>
        <w:t>Chapman v. California</w:t>
      </w:r>
      <w:r w:rsidRPr="009D6731">
        <w:rPr>
          <w:rFonts w:cs="Times New Roman"/>
        </w:rPr>
        <w:t xml:space="preserve"> (1967) 386 U.S. 18, 24 [constitutional error]; </w:t>
      </w:r>
      <w:r w:rsidRPr="009D6731">
        <w:rPr>
          <w:rFonts w:cs="Times New Roman"/>
          <w:i/>
          <w:iCs/>
        </w:rPr>
        <w:t>People v. Watson</w:t>
      </w:r>
      <w:r w:rsidRPr="009D6731">
        <w:rPr>
          <w:rFonts w:cs="Times New Roman"/>
        </w:rPr>
        <w:t xml:space="preserve"> (1956) 46 Cal.2d 81</w:t>
      </w:r>
      <w:r>
        <w:rPr>
          <w:rFonts w:cs="Times New Roman"/>
        </w:rPr>
        <w:t xml:space="preserve">8, 836 [state law error]) and </w:t>
      </w:r>
      <w:r w:rsidRPr="009D6731">
        <w:rPr>
          <w:rFonts w:cs="Times New Roman"/>
        </w:rPr>
        <w:t>remand would be an idle act (</w:t>
      </w:r>
      <w:r w:rsidR="009B0236">
        <w:rPr>
          <w:rFonts w:cs="Times New Roman"/>
        </w:rPr>
        <w:t xml:space="preserve">Civil </w:t>
      </w:r>
      <w:r w:rsidRPr="009D6731">
        <w:rPr>
          <w:rFonts w:cs="Times New Roman"/>
        </w:rPr>
        <w:t>Code §</w:t>
      </w:r>
      <w:r w:rsidRPr="009D6731">
        <w:rPr>
          <w:rFonts w:hAnsi="Monaco" w:cs="Monaco"/>
        </w:rPr>
        <w:t> </w:t>
      </w:r>
      <w:r w:rsidRPr="009D6731">
        <w:rPr>
          <w:rFonts w:cs="Times New Roman"/>
        </w:rPr>
        <w:t>3532 [the law does not require idle acts]).     </w:t>
      </w:r>
    </w:p>
    <w:p w14:paraId="7F1DC0EF" w14:textId="77777777" w:rsidR="0095275E" w:rsidRPr="009D6731" w:rsidRDefault="00F44B7D" w:rsidP="00534840">
      <w:pPr>
        <w:tabs>
          <w:tab w:val="clear" w:pos="720"/>
        </w:tabs>
        <w:spacing w:beforeLines="1" w:before="2" w:afterLines="1" w:after="2" w:line="360" w:lineRule="auto"/>
        <w:contextualSpacing/>
        <w:textAlignment w:val="baseline"/>
        <w:rPr>
          <w:rFonts w:cs="Times New Roman"/>
          <w:szCs w:val="20"/>
        </w:rPr>
      </w:pPr>
      <w:r w:rsidRPr="009D6731">
        <w:rPr>
          <w:rFonts w:cs="Times New Roman"/>
        </w:rPr>
        <w:tab/>
        <w:t>For all the reasons stated above, we affirm the June 24, 2019 order denying the petition for resentencing. </w:t>
      </w:r>
      <w:r w:rsidR="0095275E" w:rsidRPr="009D6731">
        <w:rPr>
          <w:rFonts w:cs="Times New Roman"/>
        </w:rPr>
        <w:t> </w:t>
      </w:r>
    </w:p>
    <w:p w14:paraId="337F89AF" w14:textId="77777777" w:rsidR="0095275E" w:rsidRPr="00F44B7D" w:rsidRDefault="009D6731" w:rsidP="00534840">
      <w:pPr>
        <w:tabs>
          <w:tab w:val="clear" w:pos="720"/>
        </w:tabs>
        <w:spacing w:beforeLines="1" w:before="2" w:afterLines="1" w:after="2" w:line="360" w:lineRule="auto"/>
        <w:contextualSpacing/>
        <w:jc w:val="center"/>
        <w:textAlignment w:val="baseline"/>
        <w:rPr>
          <w:rFonts w:cs="Times New Roman"/>
          <w:b/>
          <w:szCs w:val="20"/>
        </w:rPr>
      </w:pPr>
      <w:r w:rsidRPr="00F44B7D">
        <w:rPr>
          <w:b/>
        </w:rPr>
        <w:t>D</w:t>
      </w:r>
      <w:r w:rsidRPr="00F44B7D">
        <w:rPr>
          <w:b/>
          <w:szCs w:val="18"/>
        </w:rPr>
        <w:t>ISPOSITION</w:t>
      </w:r>
      <w:r w:rsidR="0095275E" w:rsidRPr="00F44B7D">
        <w:rPr>
          <w:rFonts w:cs="Times New Roman"/>
          <w:b/>
        </w:rPr>
        <w:t> </w:t>
      </w:r>
    </w:p>
    <w:p w14:paraId="3ED1D7F7" w14:textId="77777777" w:rsidR="0095275E" w:rsidRPr="009D6731" w:rsidRDefault="00D10D0E" w:rsidP="00534840">
      <w:pPr>
        <w:tabs>
          <w:tab w:val="clear" w:pos="720"/>
        </w:tabs>
        <w:spacing w:beforeLines="1" w:before="2" w:afterLines="1" w:after="2" w:line="360" w:lineRule="auto"/>
        <w:contextualSpacing/>
        <w:textAlignment w:val="baseline"/>
        <w:rPr>
          <w:rFonts w:cs="Times New Roman"/>
          <w:szCs w:val="20"/>
        </w:rPr>
      </w:pPr>
      <w:r w:rsidRPr="009D6731">
        <w:rPr>
          <w:rFonts w:cs="Times New Roman"/>
        </w:rPr>
        <w:tab/>
      </w:r>
      <w:r w:rsidR="0095275E" w:rsidRPr="009D6731">
        <w:rPr>
          <w:rFonts w:cs="Times New Roman"/>
        </w:rPr>
        <w:t>The June 24, 2019 order denying the petition for resentencing is affirmed.</w:t>
      </w:r>
    </w:p>
    <w:p w14:paraId="1356ECF5" w14:textId="77777777" w:rsidR="00CB063C" w:rsidRPr="00763262" w:rsidRDefault="00CB063C" w:rsidP="00534840">
      <w:pPr>
        <w:tabs>
          <w:tab w:val="clear" w:pos="720"/>
        </w:tabs>
        <w:spacing w:beforeLines="1" w:before="2" w:afterLines="1" w:after="2" w:line="240" w:lineRule="auto"/>
        <w:ind w:firstLine="480"/>
        <w:textAlignment w:val="baseline"/>
        <w:rPr>
          <w:rFonts w:cs="Times New Roman"/>
          <w:szCs w:val="20"/>
        </w:rPr>
      </w:pPr>
    </w:p>
    <w:p w14:paraId="08CD3EC3" w14:textId="77777777" w:rsidR="00D24D26" w:rsidRPr="00763262" w:rsidRDefault="00D24D26" w:rsidP="00803991">
      <w:pPr>
        <w:spacing w:before="1" w:after="1" w:line="240" w:lineRule="auto"/>
        <w:rPr>
          <w:szCs w:val="26"/>
        </w:rPr>
      </w:pPr>
    </w:p>
    <w:p w14:paraId="44ED6474" w14:textId="77777777" w:rsidR="00D24D26" w:rsidRPr="00763262" w:rsidRDefault="00D24D26">
      <w:pPr>
        <w:tabs>
          <w:tab w:val="clear" w:pos="720"/>
        </w:tabs>
        <w:spacing w:line="240" w:lineRule="auto"/>
        <w:ind w:left="720"/>
        <w:rPr>
          <w:szCs w:val="26"/>
        </w:rPr>
      </w:pPr>
      <w:r w:rsidRPr="00763262">
        <w:rPr>
          <w:szCs w:val="26"/>
        </w:rPr>
        <w:br w:type="page"/>
      </w:r>
    </w:p>
    <w:p w14:paraId="62339705" w14:textId="77777777" w:rsidR="00A44E1B" w:rsidRPr="00763262" w:rsidRDefault="00A44E1B" w:rsidP="00803991">
      <w:pPr>
        <w:spacing w:before="1" w:after="1" w:line="240" w:lineRule="auto"/>
        <w:rPr>
          <w:szCs w:val="26"/>
        </w:rPr>
      </w:pPr>
    </w:p>
    <w:p w14:paraId="703595B2" w14:textId="77777777" w:rsidR="00803991" w:rsidRPr="00763262" w:rsidRDefault="00803991" w:rsidP="00803991">
      <w:pPr>
        <w:spacing w:before="1" w:after="1" w:line="240" w:lineRule="auto"/>
        <w:rPr>
          <w:szCs w:val="26"/>
        </w:rPr>
      </w:pPr>
      <w:r w:rsidRPr="00763262">
        <w:rPr>
          <w:szCs w:val="26"/>
        </w:rPr>
        <w:tab/>
      </w:r>
      <w:r w:rsidRPr="00763262">
        <w:rPr>
          <w:szCs w:val="26"/>
        </w:rPr>
        <w:tab/>
      </w:r>
      <w:r w:rsidRPr="00763262">
        <w:rPr>
          <w:szCs w:val="26"/>
        </w:rPr>
        <w:tab/>
      </w:r>
      <w:r w:rsidRPr="00763262">
        <w:rPr>
          <w:szCs w:val="26"/>
        </w:rPr>
        <w:tab/>
      </w:r>
      <w:r w:rsidRPr="00763262">
        <w:rPr>
          <w:szCs w:val="26"/>
        </w:rPr>
        <w:tab/>
      </w:r>
      <w:r w:rsidRPr="00763262">
        <w:rPr>
          <w:szCs w:val="26"/>
        </w:rPr>
        <w:tab/>
      </w:r>
      <w:r w:rsidRPr="00763262">
        <w:rPr>
          <w:szCs w:val="26"/>
        </w:rPr>
        <w:tab/>
        <w:t>_________________________</w:t>
      </w:r>
    </w:p>
    <w:p w14:paraId="52BCC9AB" w14:textId="77777777" w:rsidR="00803991" w:rsidRPr="00763262" w:rsidRDefault="00803991" w:rsidP="00803991">
      <w:pPr>
        <w:spacing w:before="1" w:after="1" w:line="240" w:lineRule="auto"/>
        <w:rPr>
          <w:szCs w:val="26"/>
        </w:rPr>
      </w:pPr>
      <w:r w:rsidRPr="00763262">
        <w:rPr>
          <w:szCs w:val="26"/>
        </w:rPr>
        <w:tab/>
      </w:r>
      <w:r w:rsidRPr="00763262">
        <w:rPr>
          <w:szCs w:val="26"/>
        </w:rPr>
        <w:tab/>
      </w:r>
      <w:r w:rsidRPr="00763262">
        <w:rPr>
          <w:szCs w:val="26"/>
        </w:rPr>
        <w:tab/>
      </w:r>
      <w:r w:rsidRPr="00763262">
        <w:rPr>
          <w:szCs w:val="26"/>
        </w:rPr>
        <w:tab/>
      </w:r>
      <w:r w:rsidRPr="00763262">
        <w:rPr>
          <w:szCs w:val="26"/>
        </w:rPr>
        <w:tab/>
      </w:r>
      <w:r w:rsidRPr="00763262">
        <w:rPr>
          <w:szCs w:val="26"/>
        </w:rPr>
        <w:tab/>
      </w:r>
      <w:r w:rsidRPr="00763262">
        <w:rPr>
          <w:szCs w:val="26"/>
        </w:rPr>
        <w:tab/>
        <w:t>Petrou, J.</w:t>
      </w:r>
    </w:p>
    <w:p w14:paraId="2F9196A4" w14:textId="77777777" w:rsidR="00803991" w:rsidRPr="00763262" w:rsidRDefault="00803991" w:rsidP="00803991">
      <w:pPr>
        <w:spacing w:before="1" w:after="1" w:line="240" w:lineRule="auto"/>
        <w:rPr>
          <w:szCs w:val="26"/>
        </w:rPr>
      </w:pPr>
    </w:p>
    <w:p w14:paraId="7F4CCC2B" w14:textId="77777777" w:rsidR="00803991" w:rsidRPr="00763262" w:rsidRDefault="00803991" w:rsidP="00803991">
      <w:pPr>
        <w:spacing w:before="1" w:after="1" w:line="240" w:lineRule="auto"/>
        <w:rPr>
          <w:szCs w:val="26"/>
        </w:rPr>
      </w:pPr>
    </w:p>
    <w:p w14:paraId="40418F79" w14:textId="77777777" w:rsidR="00803991" w:rsidRPr="00763262" w:rsidRDefault="00803991" w:rsidP="00803991">
      <w:pPr>
        <w:spacing w:before="1" w:after="1" w:line="240" w:lineRule="auto"/>
        <w:rPr>
          <w:szCs w:val="26"/>
        </w:rPr>
      </w:pPr>
      <w:r w:rsidRPr="00763262">
        <w:rPr>
          <w:szCs w:val="26"/>
        </w:rPr>
        <w:t>WE CONCUR:</w:t>
      </w:r>
    </w:p>
    <w:p w14:paraId="2E29E68E" w14:textId="77777777" w:rsidR="00803991" w:rsidRPr="00763262" w:rsidRDefault="00803991" w:rsidP="00803991">
      <w:pPr>
        <w:spacing w:before="1" w:after="1" w:line="240" w:lineRule="auto"/>
        <w:rPr>
          <w:szCs w:val="26"/>
        </w:rPr>
      </w:pPr>
    </w:p>
    <w:p w14:paraId="187EA803" w14:textId="77777777" w:rsidR="00803991" w:rsidRPr="00763262" w:rsidRDefault="00803991" w:rsidP="00803991">
      <w:pPr>
        <w:spacing w:before="1" w:after="1" w:line="240" w:lineRule="auto"/>
        <w:rPr>
          <w:szCs w:val="26"/>
        </w:rPr>
      </w:pPr>
    </w:p>
    <w:p w14:paraId="4E002712" w14:textId="77777777" w:rsidR="00803991" w:rsidRPr="00763262" w:rsidRDefault="00803991" w:rsidP="00803991">
      <w:pPr>
        <w:spacing w:before="1" w:after="1" w:line="240" w:lineRule="auto"/>
        <w:rPr>
          <w:szCs w:val="26"/>
        </w:rPr>
      </w:pPr>
      <w:r w:rsidRPr="00763262">
        <w:rPr>
          <w:szCs w:val="26"/>
        </w:rPr>
        <w:t>_________________________</w:t>
      </w:r>
    </w:p>
    <w:p w14:paraId="76E7CF47" w14:textId="77777777" w:rsidR="00803991" w:rsidRPr="00763262" w:rsidRDefault="0095275E" w:rsidP="00803991">
      <w:pPr>
        <w:spacing w:before="1" w:after="1" w:line="240" w:lineRule="auto"/>
        <w:rPr>
          <w:szCs w:val="26"/>
        </w:rPr>
      </w:pPr>
      <w:r w:rsidRPr="00763262">
        <w:rPr>
          <w:szCs w:val="26"/>
        </w:rPr>
        <w:t>Siggins</w:t>
      </w:r>
      <w:r w:rsidR="00803991" w:rsidRPr="00763262">
        <w:rPr>
          <w:szCs w:val="26"/>
        </w:rPr>
        <w:t>, P.J.</w:t>
      </w:r>
    </w:p>
    <w:p w14:paraId="3607CCA8" w14:textId="77777777" w:rsidR="00803991" w:rsidRPr="00763262" w:rsidRDefault="00803991" w:rsidP="00803991">
      <w:pPr>
        <w:spacing w:before="1" w:after="1" w:line="240" w:lineRule="auto"/>
        <w:rPr>
          <w:szCs w:val="26"/>
        </w:rPr>
      </w:pPr>
    </w:p>
    <w:p w14:paraId="6443183B" w14:textId="77777777" w:rsidR="00803991" w:rsidRPr="00763262" w:rsidRDefault="00803991" w:rsidP="00803991">
      <w:pPr>
        <w:spacing w:before="1" w:after="1" w:line="240" w:lineRule="auto"/>
        <w:rPr>
          <w:szCs w:val="26"/>
        </w:rPr>
      </w:pPr>
    </w:p>
    <w:p w14:paraId="7D05690B" w14:textId="77777777" w:rsidR="00803991" w:rsidRPr="00763262" w:rsidRDefault="00803991" w:rsidP="00803991">
      <w:pPr>
        <w:spacing w:before="1" w:after="1" w:line="240" w:lineRule="auto"/>
        <w:rPr>
          <w:szCs w:val="26"/>
        </w:rPr>
      </w:pPr>
      <w:r w:rsidRPr="00763262">
        <w:rPr>
          <w:szCs w:val="26"/>
        </w:rPr>
        <w:t>_________________________</w:t>
      </w:r>
    </w:p>
    <w:p w14:paraId="539BD47D" w14:textId="77777777" w:rsidR="00803991" w:rsidRPr="00763262" w:rsidRDefault="0095275E" w:rsidP="00803991">
      <w:pPr>
        <w:spacing w:before="1" w:after="1" w:line="240" w:lineRule="auto"/>
        <w:rPr>
          <w:szCs w:val="26"/>
        </w:rPr>
      </w:pPr>
      <w:r w:rsidRPr="00763262">
        <w:rPr>
          <w:szCs w:val="26"/>
        </w:rPr>
        <w:t>Fujisaki</w:t>
      </w:r>
      <w:r w:rsidR="00803991" w:rsidRPr="00763262">
        <w:rPr>
          <w:szCs w:val="26"/>
        </w:rPr>
        <w:t>, J.</w:t>
      </w:r>
    </w:p>
    <w:p w14:paraId="1C33A53D" w14:textId="77777777" w:rsidR="00803991" w:rsidRPr="00763262" w:rsidRDefault="00803991" w:rsidP="00803991">
      <w:pPr>
        <w:spacing w:before="1" w:after="1" w:line="240" w:lineRule="auto"/>
        <w:rPr>
          <w:szCs w:val="26"/>
        </w:rPr>
      </w:pPr>
    </w:p>
    <w:p w14:paraId="0456E93C" w14:textId="77777777" w:rsidR="00803991" w:rsidRPr="00763262" w:rsidRDefault="00803991" w:rsidP="00803991">
      <w:pPr>
        <w:spacing w:before="1" w:after="1" w:line="240" w:lineRule="auto"/>
        <w:rPr>
          <w:szCs w:val="26"/>
        </w:rPr>
      </w:pPr>
    </w:p>
    <w:p w14:paraId="153E4EA2" w14:textId="77777777" w:rsidR="00803991" w:rsidRPr="00763262" w:rsidRDefault="00803991" w:rsidP="00803991">
      <w:pPr>
        <w:spacing w:before="1" w:after="1" w:line="240" w:lineRule="auto"/>
        <w:rPr>
          <w:szCs w:val="26"/>
        </w:rPr>
      </w:pPr>
    </w:p>
    <w:p w14:paraId="125B5A4C" w14:textId="77777777" w:rsidR="00803991" w:rsidRPr="00763262" w:rsidRDefault="00803991" w:rsidP="00803991">
      <w:pPr>
        <w:spacing w:before="1" w:after="1" w:line="240" w:lineRule="auto"/>
        <w:rPr>
          <w:szCs w:val="26"/>
        </w:rPr>
      </w:pPr>
    </w:p>
    <w:p w14:paraId="55A3C6FC" w14:textId="77777777" w:rsidR="00803991" w:rsidRPr="00763262" w:rsidRDefault="00803991" w:rsidP="00803991">
      <w:pPr>
        <w:spacing w:before="1" w:after="1" w:line="240" w:lineRule="auto"/>
        <w:rPr>
          <w:szCs w:val="26"/>
        </w:rPr>
      </w:pPr>
    </w:p>
    <w:p w14:paraId="0715A64A" w14:textId="77777777" w:rsidR="00803991" w:rsidRPr="00763262" w:rsidRDefault="00803991" w:rsidP="00803991">
      <w:pPr>
        <w:spacing w:before="1" w:after="1" w:line="240" w:lineRule="auto"/>
        <w:rPr>
          <w:szCs w:val="26"/>
        </w:rPr>
      </w:pPr>
    </w:p>
    <w:p w14:paraId="64991835" w14:textId="77777777" w:rsidR="00803991" w:rsidRPr="00763262" w:rsidRDefault="00803991" w:rsidP="00803991">
      <w:pPr>
        <w:spacing w:before="1" w:after="1" w:line="240" w:lineRule="auto"/>
        <w:rPr>
          <w:szCs w:val="26"/>
        </w:rPr>
      </w:pPr>
    </w:p>
    <w:p w14:paraId="6042935A" w14:textId="77777777" w:rsidR="00803991" w:rsidRPr="00763262" w:rsidRDefault="00803991" w:rsidP="00803991">
      <w:pPr>
        <w:spacing w:before="1" w:after="1" w:line="240" w:lineRule="auto"/>
        <w:rPr>
          <w:szCs w:val="26"/>
        </w:rPr>
      </w:pPr>
    </w:p>
    <w:p w14:paraId="751BC553" w14:textId="77777777" w:rsidR="00803991" w:rsidRPr="00763262" w:rsidRDefault="00803991" w:rsidP="00803991">
      <w:pPr>
        <w:spacing w:before="1" w:after="1" w:line="240" w:lineRule="auto"/>
        <w:rPr>
          <w:szCs w:val="26"/>
        </w:rPr>
      </w:pPr>
    </w:p>
    <w:p w14:paraId="456DF4FE" w14:textId="77777777" w:rsidR="00803991" w:rsidRPr="00763262" w:rsidRDefault="00803991" w:rsidP="00803991">
      <w:pPr>
        <w:spacing w:before="1" w:after="1" w:line="240" w:lineRule="auto"/>
        <w:rPr>
          <w:szCs w:val="26"/>
        </w:rPr>
      </w:pPr>
    </w:p>
    <w:p w14:paraId="265C8739" w14:textId="77777777" w:rsidR="00803991" w:rsidRPr="00763262" w:rsidRDefault="00803991" w:rsidP="00803991">
      <w:pPr>
        <w:spacing w:before="1" w:after="1" w:line="240" w:lineRule="auto"/>
        <w:rPr>
          <w:szCs w:val="26"/>
        </w:rPr>
      </w:pPr>
    </w:p>
    <w:p w14:paraId="46BC4C1B" w14:textId="77777777" w:rsidR="00803991" w:rsidRPr="00763262" w:rsidRDefault="00803991" w:rsidP="00803991">
      <w:pPr>
        <w:spacing w:before="1" w:after="1" w:line="240" w:lineRule="auto"/>
        <w:rPr>
          <w:szCs w:val="26"/>
        </w:rPr>
      </w:pPr>
    </w:p>
    <w:p w14:paraId="40C07CB4" w14:textId="77777777" w:rsidR="00803991" w:rsidRPr="00763262" w:rsidRDefault="00803991" w:rsidP="00803991">
      <w:pPr>
        <w:spacing w:before="1" w:after="1" w:line="240" w:lineRule="auto"/>
        <w:rPr>
          <w:szCs w:val="26"/>
        </w:rPr>
      </w:pPr>
    </w:p>
    <w:p w14:paraId="337CD783" w14:textId="77777777" w:rsidR="00803991" w:rsidRPr="00763262" w:rsidRDefault="00803991" w:rsidP="00803991">
      <w:pPr>
        <w:spacing w:before="1" w:after="1" w:line="240" w:lineRule="auto"/>
        <w:rPr>
          <w:szCs w:val="26"/>
        </w:rPr>
      </w:pPr>
    </w:p>
    <w:p w14:paraId="5764996D" w14:textId="77777777" w:rsidR="00803991" w:rsidRPr="00763262" w:rsidRDefault="00803991" w:rsidP="00803991">
      <w:pPr>
        <w:spacing w:before="1" w:after="1" w:line="240" w:lineRule="auto"/>
        <w:rPr>
          <w:szCs w:val="26"/>
        </w:rPr>
      </w:pPr>
    </w:p>
    <w:p w14:paraId="495EC676" w14:textId="77777777" w:rsidR="00803991" w:rsidRPr="00763262" w:rsidRDefault="00803991" w:rsidP="00803991">
      <w:pPr>
        <w:spacing w:before="1" w:after="1" w:line="240" w:lineRule="auto"/>
        <w:rPr>
          <w:szCs w:val="26"/>
        </w:rPr>
      </w:pPr>
    </w:p>
    <w:p w14:paraId="53F06ADE" w14:textId="77777777" w:rsidR="00803991" w:rsidRPr="00763262" w:rsidRDefault="00803991" w:rsidP="00803991">
      <w:pPr>
        <w:spacing w:before="1" w:after="1" w:line="240" w:lineRule="auto"/>
        <w:rPr>
          <w:szCs w:val="26"/>
        </w:rPr>
      </w:pPr>
    </w:p>
    <w:p w14:paraId="4940A3DC" w14:textId="77777777" w:rsidR="00803991" w:rsidRPr="00763262" w:rsidRDefault="00803991" w:rsidP="00803991">
      <w:pPr>
        <w:spacing w:before="1" w:after="1" w:line="240" w:lineRule="auto"/>
        <w:rPr>
          <w:szCs w:val="26"/>
        </w:rPr>
      </w:pPr>
    </w:p>
    <w:p w14:paraId="4FDB0743" w14:textId="77777777" w:rsidR="00803991" w:rsidRPr="00763262" w:rsidRDefault="00803991" w:rsidP="00803991">
      <w:pPr>
        <w:spacing w:before="1" w:after="1" w:line="240" w:lineRule="auto"/>
        <w:rPr>
          <w:szCs w:val="26"/>
        </w:rPr>
      </w:pPr>
    </w:p>
    <w:p w14:paraId="20B2751A" w14:textId="77777777" w:rsidR="00803991" w:rsidRPr="00763262" w:rsidRDefault="00803991" w:rsidP="00803991">
      <w:pPr>
        <w:spacing w:before="1" w:after="1" w:line="240" w:lineRule="auto"/>
        <w:rPr>
          <w:szCs w:val="26"/>
        </w:rPr>
      </w:pPr>
    </w:p>
    <w:p w14:paraId="79431F2A" w14:textId="77777777" w:rsidR="00803991" w:rsidRPr="00763262" w:rsidRDefault="00803991" w:rsidP="00803991">
      <w:pPr>
        <w:spacing w:before="1" w:after="1" w:line="240" w:lineRule="auto"/>
        <w:rPr>
          <w:szCs w:val="26"/>
        </w:rPr>
      </w:pPr>
    </w:p>
    <w:p w14:paraId="1F0F7B5B" w14:textId="77777777" w:rsidR="00803991" w:rsidRPr="00763262" w:rsidRDefault="00803991" w:rsidP="00803991">
      <w:pPr>
        <w:spacing w:before="1" w:after="1" w:line="240" w:lineRule="auto"/>
        <w:rPr>
          <w:szCs w:val="26"/>
        </w:rPr>
      </w:pPr>
    </w:p>
    <w:p w14:paraId="2FFC1785" w14:textId="77777777" w:rsidR="00803991" w:rsidRPr="00763262" w:rsidRDefault="00803991" w:rsidP="00803991">
      <w:pPr>
        <w:spacing w:before="1" w:after="1" w:line="240" w:lineRule="auto"/>
        <w:rPr>
          <w:szCs w:val="26"/>
        </w:rPr>
      </w:pPr>
    </w:p>
    <w:p w14:paraId="751F0B66" w14:textId="77777777" w:rsidR="00803991" w:rsidRPr="00763262" w:rsidRDefault="00803991" w:rsidP="00803991">
      <w:pPr>
        <w:spacing w:before="1" w:after="1" w:line="240" w:lineRule="auto"/>
        <w:rPr>
          <w:szCs w:val="26"/>
        </w:rPr>
      </w:pPr>
    </w:p>
    <w:p w14:paraId="43055033" w14:textId="77777777" w:rsidR="00803991" w:rsidRPr="00763262" w:rsidRDefault="00803991" w:rsidP="00803991">
      <w:pPr>
        <w:spacing w:before="1" w:after="1" w:line="240" w:lineRule="auto"/>
        <w:rPr>
          <w:szCs w:val="26"/>
        </w:rPr>
      </w:pPr>
    </w:p>
    <w:p w14:paraId="3DE29004" w14:textId="77777777" w:rsidR="00803991" w:rsidRPr="00763262" w:rsidRDefault="00803991" w:rsidP="00803991">
      <w:pPr>
        <w:spacing w:before="1" w:after="1" w:line="240" w:lineRule="auto"/>
        <w:rPr>
          <w:szCs w:val="26"/>
        </w:rPr>
      </w:pPr>
    </w:p>
    <w:p w14:paraId="37BBBAFA" w14:textId="519A8A02" w:rsidR="0034638C" w:rsidRDefault="0095275E" w:rsidP="00803991">
      <w:pPr>
        <w:spacing w:before="1" w:after="1" w:line="240" w:lineRule="auto"/>
        <w:rPr>
          <w:i/>
          <w:iCs/>
          <w:szCs w:val="26"/>
        </w:rPr>
      </w:pPr>
      <w:r w:rsidRPr="00763262">
        <w:rPr>
          <w:i/>
          <w:iCs/>
          <w:szCs w:val="26"/>
        </w:rPr>
        <w:t>A158055</w:t>
      </w:r>
      <w:r w:rsidR="00100614">
        <w:rPr>
          <w:i/>
          <w:iCs/>
          <w:szCs w:val="26"/>
        </w:rPr>
        <w:t>/</w:t>
      </w:r>
      <w:r w:rsidRPr="00763262">
        <w:rPr>
          <w:i/>
          <w:iCs/>
          <w:szCs w:val="26"/>
        </w:rPr>
        <w:t>People v. Edwards</w:t>
      </w:r>
      <w:r w:rsidR="0034638C">
        <w:rPr>
          <w:i/>
          <w:iCs/>
          <w:szCs w:val="26"/>
        </w:rPr>
        <w:t xml:space="preserve"> </w:t>
      </w:r>
    </w:p>
    <w:p w14:paraId="74EAD7B2" w14:textId="2F5AFD77" w:rsidR="0034638C" w:rsidRPr="0034638C" w:rsidRDefault="0034638C" w:rsidP="0034638C">
      <w:pPr>
        <w:tabs>
          <w:tab w:val="clear" w:pos="720"/>
          <w:tab w:val="left" w:pos="1440"/>
        </w:tabs>
        <w:spacing w:line="360" w:lineRule="auto"/>
        <w:rPr>
          <w:rFonts w:eastAsia="Calibri" w:cs="Times New Roman"/>
          <w:szCs w:val="26"/>
        </w:rPr>
      </w:pPr>
      <w:r>
        <w:rPr>
          <w:i/>
          <w:iCs/>
          <w:szCs w:val="26"/>
        </w:rPr>
        <w:br w:type="page"/>
      </w:r>
      <w:r w:rsidRPr="0034638C">
        <w:rPr>
          <w:rFonts w:eastAsia="Calibri" w:cs="Times New Roman"/>
          <w:szCs w:val="26"/>
        </w:rPr>
        <w:t>Trial Court:</w:t>
      </w:r>
      <w:r w:rsidRPr="0034638C">
        <w:rPr>
          <w:rFonts w:eastAsia="Calibri" w:cs="Times New Roman"/>
          <w:szCs w:val="26"/>
        </w:rPr>
        <w:tab/>
      </w:r>
      <w:r>
        <w:rPr>
          <w:rFonts w:eastAsia="Calibri" w:cs="Times New Roman"/>
          <w:szCs w:val="26"/>
        </w:rPr>
        <w:tab/>
      </w:r>
      <w:r w:rsidRPr="0034638C">
        <w:rPr>
          <w:rFonts w:eastAsia="Calibri" w:cs="Times New Roman"/>
          <w:szCs w:val="26"/>
        </w:rPr>
        <w:t>Alameda County Superior Court</w:t>
      </w:r>
    </w:p>
    <w:p w14:paraId="7061C398" w14:textId="77777777" w:rsidR="0034638C" w:rsidRPr="0034638C" w:rsidRDefault="0034638C" w:rsidP="0034638C">
      <w:pPr>
        <w:tabs>
          <w:tab w:val="clear" w:pos="720"/>
          <w:tab w:val="left" w:pos="1440"/>
        </w:tabs>
        <w:spacing w:line="360" w:lineRule="auto"/>
        <w:rPr>
          <w:rFonts w:eastAsia="Calibri" w:cs="Times New Roman"/>
          <w:szCs w:val="26"/>
        </w:rPr>
      </w:pPr>
      <w:r w:rsidRPr="0034638C">
        <w:rPr>
          <w:rFonts w:eastAsia="Calibri" w:cs="Times New Roman"/>
          <w:szCs w:val="26"/>
        </w:rPr>
        <w:t>Trial Judge:</w:t>
      </w:r>
      <w:r w:rsidRPr="0034638C">
        <w:rPr>
          <w:rFonts w:eastAsia="Calibri" w:cs="Times New Roman"/>
          <w:szCs w:val="26"/>
        </w:rPr>
        <w:tab/>
        <w:t>Hon. Morris Jacobson</w:t>
      </w:r>
    </w:p>
    <w:p w14:paraId="719988D7" w14:textId="0CB240D8" w:rsidR="0034638C" w:rsidRPr="0034638C" w:rsidRDefault="0034638C" w:rsidP="0034638C">
      <w:pPr>
        <w:spacing w:line="360" w:lineRule="auto"/>
        <w:ind w:left="1440" w:hanging="1440"/>
        <w:rPr>
          <w:rFonts w:eastAsia="Calibri" w:cs="Times New Roman"/>
          <w:szCs w:val="26"/>
        </w:rPr>
      </w:pPr>
      <w:r w:rsidRPr="0034638C">
        <w:rPr>
          <w:rFonts w:eastAsia="Calibri" w:cs="Times New Roman"/>
          <w:szCs w:val="26"/>
        </w:rPr>
        <w:t>Counsel:</w:t>
      </w:r>
      <w:r w:rsidRPr="0034638C">
        <w:rPr>
          <w:rFonts w:eastAsia="Calibri" w:cs="Times New Roman"/>
          <w:szCs w:val="26"/>
        </w:rPr>
        <w:tab/>
      </w:r>
      <w:r>
        <w:rPr>
          <w:rFonts w:eastAsia="Calibri" w:cs="Times New Roman"/>
          <w:szCs w:val="26"/>
        </w:rPr>
        <w:tab/>
      </w:r>
      <w:r w:rsidRPr="0034638C">
        <w:rPr>
          <w:rFonts w:eastAsia="Calibri" w:cs="Times New Roman"/>
          <w:szCs w:val="26"/>
        </w:rPr>
        <w:t xml:space="preserve">Office of Attorney General, Xavier Becerra, Attorney General, Lance E. Winters, Chief Assistant Attorney General, Jeffrey M. Laurence, Senior Assistant Attorney General, Donna M. Provenzano, Supervising Deputy Attorney General, Amit </w:t>
      </w:r>
      <w:proofErr w:type="spellStart"/>
      <w:r w:rsidRPr="0034638C">
        <w:rPr>
          <w:rFonts w:eastAsia="Calibri" w:cs="Times New Roman"/>
          <w:szCs w:val="26"/>
        </w:rPr>
        <w:t>Kurlekar</w:t>
      </w:r>
      <w:proofErr w:type="spellEnd"/>
      <w:r w:rsidRPr="0034638C">
        <w:rPr>
          <w:rFonts w:eastAsia="Calibri" w:cs="Times New Roman"/>
          <w:szCs w:val="26"/>
        </w:rPr>
        <w:t xml:space="preserve">, Deputy Attorney General, for Plaintiff and </w:t>
      </w:r>
      <w:r w:rsidR="003127A5">
        <w:rPr>
          <w:rFonts w:eastAsia="Calibri" w:cs="Times New Roman"/>
          <w:szCs w:val="26"/>
        </w:rPr>
        <w:t>Respondent</w:t>
      </w:r>
      <w:r w:rsidRPr="0034638C">
        <w:rPr>
          <w:rFonts w:eastAsia="Calibri" w:cs="Times New Roman"/>
          <w:szCs w:val="26"/>
        </w:rPr>
        <w:t>.</w:t>
      </w:r>
    </w:p>
    <w:p w14:paraId="2A238C3B" w14:textId="77777777" w:rsidR="0034638C" w:rsidRPr="0034638C" w:rsidRDefault="0034638C" w:rsidP="0034638C">
      <w:pPr>
        <w:tabs>
          <w:tab w:val="clear" w:pos="720"/>
          <w:tab w:val="left" w:pos="1440"/>
        </w:tabs>
        <w:spacing w:line="360" w:lineRule="auto"/>
        <w:rPr>
          <w:rFonts w:eastAsia="Calibri" w:cs="Times New Roman"/>
          <w:szCs w:val="26"/>
        </w:rPr>
      </w:pPr>
    </w:p>
    <w:p w14:paraId="30C76B1B" w14:textId="07720F3C" w:rsidR="0034638C" w:rsidRPr="0034638C" w:rsidRDefault="0034638C" w:rsidP="0034638C">
      <w:pPr>
        <w:tabs>
          <w:tab w:val="clear" w:pos="720"/>
          <w:tab w:val="left" w:pos="1440"/>
        </w:tabs>
        <w:spacing w:line="360" w:lineRule="auto"/>
        <w:ind w:left="1440"/>
        <w:rPr>
          <w:rFonts w:eastAsia="Calibri" w:cs="Times New Roman"/>
          <w:szCs w:val="26"/>
        </w:rPr>
      </w:pPr>
      <w:r w:rsidRPr="0034638C">
        <w:rPr>
          <w:rFonts w:eastAsia="Calibri" w:cs="Times New Roman"/>
          <w:szCs w:val="26"/>
        </w:rPr>
        <w:tab/>
        <w:t>First District Appella</w:t>
      </w:r>
      <w:r w:rsidR="002A2DFF">
        <w:rPr>
          <w:rFonts w:eastAsia="Calibri" w:cs="Times New Roman"/>
          <w:szCs w:val="26"/>
        </w:rPr>
        <w:t>te</w:t>
      </w:r>
      <w:r w:rsidRPr="0034638C">
        <w:rPr>
          <w:rFonts w:eastAsia="Calibri" w:cs="Times New Roman"/>
          <w:szCs w:val="26"/>
        </w:rPr>
        <w:t xml:space="preserve"> Project, Waldemar D. </w:t>
      </w:r>
      <w:proofErr w:type="spellStart"/>
      <w:r w:rsidRPr="0034638C">
        <w:rPr>
          <w:rFonts w:eastAsia="Calibri" w:cs="Times New Roman"/>
          <w:szCs w:val="26"/>
        </w:rPr>
        <w:t>Halka</w:t>
      </w:r>
      <w:proofErr w:type="spellEnd"/>
      <w:r w:rsidRPr="0034638C">
        <w:rPr>
          <w:rFonts w:eastAsia="Calibri" w:cs="Times New Roman"/>
          <w:szCs w:val="26"/>
        </w:rPr>
        <w:t>, for Defendant and Appellant.</w:t>
      </w:r>
    </w:p>
    <w:p w14:paraId="732AF233" w14:textId="04BF9D97" w:rsidR="00803991" w:rsidRPr="00763262" w:rsidRDefault="00803991" w:rsidP="0034638C">
      <w:pPr>
        <w:tabs>
          <w:tab w:val="clear" w:pos="720"/>
        </w:tabs>
        <w:spacing w:line="240" w:lineRule="auto"/>
        <w:ind w:left="720"/>
        <w:rPr>
          <w:i/>
          <w:iCs/>
          <w:szCs w:val="26"/>
        </w:rPr>
      </w:pPr>
    </w:p>
    <w:sectPr w:rsidR="00803991" w:rsidRPr="00763262" w:rsidSect="00ED53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636E" w14:textId="77777777" w:rsidR="009F27B5" w:rsidRDefault="009F27B5" w:rsidP="00A44E1B">
      <w:pPr>
        <w:spacing w:line="240" w:lineRule="auto"/>
      </w:pPr>
      <w:r>
        <w:separator/>
      </w:r>
    </w:p>
  </w:endnote>
  <w:endnote w:type="continuationSeparator" w:id="0">
    <w:p w14:paraId="777E6ABA" w14:textId="77777777" w:rsidR="009F27B5" w:rsidRDefault="009F27B5" w:rsidP="00A44E1B">
      <w:pPr>
        <w:spacing w:line="240" w:lineRule="auto"/>
      </w:pPr>
      <w:r>
        <w:continuationSeparator/>
      </w:r>
    </w:p>
  </w:endnote>
  <w:endnote w:type="continuationNotice" w:id="1">
    <w:p w14:paraId="45396AEB" w14:textId="77777777" w:rsidR="009F27B5" w:rsidRDefault="009F27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8F86" w14:textId="77777777" w:rsidR="006B2BCB" w:rsidRDefault="00534840" w:rsidP="00B23A89">
    <w:pPr>
      <w:pStyle w:val="Footer"/>
      <w:framePr w:wrap="around" w:vAnchor="text" w:hAnchor="margin" w:xAlign="center" w:y="1"/>
      <w:rPr>
        <w:rStyle w:val="PageNumber"/>
      </w:rPr>
    </w:pPr>
    <w:r>
      <w:rPr>
        <w:rStyle w:val="PageNumber"/>
      </w:rPr>
      <w:fldChar w:fldCharType="begin"/>
    </w:r>
    <w:r w:rsidR="006B2BCB">
      <w:rPr>
        <w:rStyle w:val="PageNumber"/>
      </w:rPr>
      <w:instrText xml:space="preserve"> PAGE </w:instrText>
    </w:r>
    <w:r>
      <w:rPr>
        <w:rStyle w:val="PageNumber"/>
      </w:rPr>
      <w:fldChar w:fldCharType="end"/>
    </w:r>
  </w:p>
  <w:p w14:paraId="054AFDEC" w14:textId="77777777" w:rsidR="006B2BCB" w:rsidRDefault="00534840" w:rsidP="00B23A89">
    <w:pPr>
      <w:pStyle w:val="Footer"/>
      <w:framePr w:wrap="around" w:vAnchor="text" w:hAnchor="margin" w:xAlign="center" w:y="1"/>
      <w:rPr>
        <w:rStyle w:val="PageNumber"/>
      </w:rPr>
    </w:pPr>
    <w:r>
      <w:rPr>
        <w:rStyle w:val="PageNumber"/>
      </w:rPr>
      <w:fldChar w:fldCharType="begin"/>
    </w:r>
    <w:r w:rsidR="006B2BCB">
      <w:rPr>
        <w:rStyle w:val="PageNumber"/>
      </w:rPr>
      <w:instrText xml:space="preserve"> PAGE </w:instrText>
    </w:r>
    <w:r>
      <w:rPr>
        <w:rStyle w:val="PageNumber"/>
      </w:rPr>
      <w:fldChar w:fldCharType="end"/>
    </w:r>
  </w:p>
  <w:p w14:paraId="28FBEBFA" w14:textId="77777777" w:rsidR="006B2BCB" w:rsidRDefault="006B2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480B" w14:textId="77777777" w:rsidR="006B2BCB" w:rsidRDefault="00534840" w:rsidP="00A44E1B">
    <w:pPr>
      <w:pStyle w:val="Footer"/>
      <w:framePr w:wrap="around" w:vAnchor="text" w:hAnchor="margin" w:xAlign="center" w:y="1"/>
      <w:rPr>
        <w:rStyle w:val="PageNumber"/>
      </w:rPr>
    </w:pPr>
    <w:r>
      <w:rPr>
        <w:rStyle w:val="PageNumber"/>
      </w:rPr>
      <w:fldChar w:fldCharType="begin"/>
    </w:r>
    <w:r w:rsidR="006B2BCB">
      <w:rPr>
        <w:rStyle w:val="PageNumber"/>
      </w:rPr>
      <w:instrText xml:space="preserve"> PAGE </w:instrText>
    </w:r>
    <w:r>
      <w:rPr>
        <w:rStyle w:val="PageNumber"/>
      </w:rPr>
      <w:fldChar w:fldCharType="separate"/>
    </w:r>
    <w:r w:rsidR="008827F1">
      <w:rPr>
        <w:rStyle w:val="PageNumber"/>
        <w:noProof/>
      </w:rPr>
      <w:t>12</w:t>
    </w:r>
    <w:r>
      <w:rPr>
        <w:rStyle w:val="PageNumber"/>
      </w:rPr>
      <w:fldChar w:fldCharType="end"/>
    </w:r>
  </w:p>
  <w:p w14:paraId="4E71C821" w14:textId="77777777" w:rsidR="006B2BCB" w:rsidRDefault="006B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F41D" w14:textId="77777777" w:rsidR="009F27B5" w:rsidRDefault="009F27B5" w:rsidP="00A44E1B">
      <w:pPr>
        <w:spacing w:line="240" w:lineRule="auto"/>
      </w:pPr>
      <w:r>
        <w:separator/>
      </w:r>
    </w:p>
  </w:footnote>
  <w:footnote w:type="continuationSeparator" w:id="0">
    <w:p w14:paraId="5BD86054" w14:textId="77777777" w:rsidR="009F27B5" w:rsidRDefault="009F27B5" w:rsidP="00A44E1B">
      <w:pPr>
        <w:spacing w:line="240" w:lineRule="auto"/>
      </w:pPr>
      <w:r>
        <w:continuationSeparator/>
      </w:r>
    </w:p>
  </w:footnote>
  <w:footnote w:type="continuationNotice" w:id="1">
    <w:p w14:paraId="35D29AB3" w14:textId="77777777" w:rsidR="009F27B5" w:rsidRDefault="009F27B5">
      <w:pPr>
        <w:spacing w:line="240" w:lineRule="auto"/>
      </w:pPr>
    </w:p>
  </w:footnote>
  <w:footnote w:id="2">
    <w:p w14:paraId="3800D446" w14:textId="77777777" w:rsidR="006B2BCB" w:rsidRDefault="006B2BCB" w:rsidP="0095275E">
      <w:pPr>
        <w:pStyle w:val="FootnoteText"/>
        <w:ind w:left="0"/>
      </w:pPr>
      <w:r>
        <w:rPr>
          <w:rStyle w:val="FootnoteReference"/>
        </w:rPr>
        <w:footnoteRef/>
      </w:r>
      <w:r>
        <w:t xml:space="preserve"> </w:t>
      </w:r>
      <w:r>
        <w:tab/>
        <w:t xml:space="preserve">All further unspecified statutory references are to the </w:t>
      </w:r>
      <w:r>
        <w:rPr>
          <w:rFonts w:cs="Times New Roman"/>
        </w:rPr>
        <w:t>Penal Code.</w:t>
      </w:r>
    </w:p>
  </w:footnote>
  <w:footnote w:id="3">
    <w:p w14:paraId="12DC57E6" w14:textId="77777777" w:rsidR="006B2BCB" w:rsidRDefault="006B2BCB" w:rsidP="0095275E">
      <w:pPr>
        <w:pStyle w:val="paragraphscxw181912993bcx2"/>
        <w:spacing w:before="2" w:after="2"/>
        <w:textAlignment w:val="baseline"/>
        <w:rPr>
          <w:rFonts w:cs="Times New Roman"/>
        </w:rPr>
      </w:pPr>
      <w:r w:rsidRPr="0095275E">
        <w:rPr>
          <w:rStyle w:val="FootnoteReference"/>
          <w:rFonts w:ascii="Century Schoolbook" w:hAnsi="Century Schoolbook"/>
          <w:sz w:val="26"/>
        </w:rPr>
        <w:footnoteRef/>
      </w:r>
      <w:r w:rsidRPr="0095275E">
        <w:rPr>
          <w:rFonts w:ascii="Century Schoolbook" w:hAnsi="Century Schoolbook"/>
          <w:sz w:val="26"/>
        </w:rPr>
        <w:t xml:space="preserve"> </w:t>
      </w:r>
      <w:r w:rsidRPr="0095275E">
        <w:rPr>
          <w:rFonts w:ascii="Century Schoolbook" w:hAnsi="Century Schoolbook"/>
          <w:sz w:val="26"/>
        </w:rPr>
        <w:tab/>
      </w:r>
      <w:r>
        <w:rPr>
          <w:rStyle w:val="normaltextrunscxw181912993bcx2"/>
          <w:rFonts w:ascii="Century Schoolbook" w:hAnsi="Century Schoolbook" w:cs="Times New Roman"/>
          <w:sz w:val="26"/>
          <w:szCs w:val="26"/>
        </w:rPr>
        <w:t>The record on appeal consists of a clerk’s transcript including the documents relating to the section 1170.95 petition and</w:t>
      </w:r>
      <w:r w:rsidR="00CB366C">
        <w:rPr>
          <w:rStyle w:val="normaltextrunscxw181912993bcx2"/>
          <w:rFonts w:ascii="Century Schoolbook" w:hAnsi="Century Schoolbook" w:cs="Times New Roman"/>
          <w:sz w:val="26"/>
          <w:szCs w:val="26"/>
        </w:rPr>
        <w:t xml:space="preserve"> a</w:t>
      </w:r>
      <w:r>
        <w:rPr>
          <w:rStyle w:val="normaltextrunscxw181912993bcx2"/>
          <w:rFonts w:ascii="Century Schoolbook" w:hAnsi="Century Schoolbook" w:cs="Times New Roman"/>
          <w:sz w:val="26"/>
          <w:szCs w:val="26"/>
        </w:rPr>
        <w:t xml:space="preserve"> supplemental clerk’s transcript containing the documents relating to the record of conviction (including the charging information and jury instructions). </w:t>
      </w:r>
      <w:r w:rsidR="00C52BAA">
        <w:rPr>
          <w:rStyle w:val="normaltextrunscxw181912993bcx2"/>
          <w:rFonts w:ascii="Century Schoolbook" w:hAnsi="Century Schoolbook" w:cs="Times New Roman"/>
          <w:sz w:val="26"/>
          <w:szCs w:val="26"/>
        </w:rPr>
        <w:t xml:space="preserve"> </w:t>
      </w:r>
      <w:r>
        <w:rPr>
          <w:rStyle w:val="normaltextrunscxw181912993bcx2"/>
          <w:rFonts w:ascii="Century Schoolbook" w:hAnsi="Century Schoolbook" w:cs="Times New Roman"/>
          <w:sz w:val="26"/>
          <w:szCs w:val="26"/>
        </w:rPr>
        <w:t>By order filed October 31, 2019, we granted Edwards’s request to take judicial notice of our prior opinion in his direct appeal from the judgment of conviction (</w:t>
      </w:r>
      <w:r>
        <w:rPr>
          <w:rStyle w:val="normaltextrunscxw181912993bcx2"/>
          <w:rFonts w:ascii="Century Schoolbook" w:hAnsi="Century Schoolbook" w:cs="Times New Roman"/>
          <w:i/>
          <w:iCs/>
          <w:sz w:val="26"/>
          <w:szCs w:val="26"/>
        </w:rPr>
        <w:t xml:space="preserve">People v. Edwards </w:t>
      </w:r>
      <w:r>
        <w:rPr>
          <w:rStyle w:val="normaltextrunscxw181912993bcx2"/>
          <w:rFonts w:ascii="Century Schoolbook" w:hAnsi="Century Schoolbook" w:cs="Times New Roman"/>
          <w:sz w:val="26"/>
          <w:szCs w:val="26"/>
        </w:rPr>
        <w:t>(April 30, 2013, A132814 [</w:t>
      </w:r>
      <w:proofErr w:type="spellStart"/>
      <w:r>
        <w:rPr>
          <w:rStyle w:val="spellingerrorscxw181912993bcx2"/>
          <w:rFonts w:ascii="Century Schoolbook" w:hAnsi="Century Schoolbook" w:cs="Times New Roman"/>
          <w:sz w:val="26"/>
          <w:szCs w:val="26"/>
        </w:rPr>
        <w:t>nonpub</w:t>
      </w:r>
      <w:proofErr w:type="spellEnd"/>
      <w:r>
        <w:rPr>
          <w:rStyle w:val="spellingerrorscxw181912993bcx2"/>
          <w:rFonts w:ascii="Century Schoolbook" w:hAnsi="Century Schoolbook" w:cs="Times New Roman"/>
          <w:sz w:val="26"/>
          <w:szCs w:val="26"/>
        </w:rPr>
        <w:t xml:space="preserve">. </w:t>
      </w:r>
      <w:proofErr w:type="spellStart"/>
      <w:r>
        <w:rPr>
          <w:rStyle w:val="spellingerrorscxw181912993bcx2"/>
          <w:rFonts w:ascii="Century Schoolbook" w:hAnsi="Century Schoolbook" w:cs="Times New Roman"/>
          <w:sz w:val="26"/>
          <w:szCs w:val="26"/>
        </w:rPr>
        <w:t>opn</w:t>
      </w:r>
      <w:proofErr w:type="spellEnd"/>
      <w:r>
        <w:rPr>
          <w:rStyle w:val="normaltextrunscxw181912993bcx2"/>
          <w:rFonts w:ascii="Century Schoolbook" w:hAnsi="Century Schoolbook" w:cs="Times New Roman"/>
          <w:sz w:val="26"/>
          <w:szCs w:val="26"/>
        </w:rPr>
        <w:t xml:space="preserve">.]). </w:t>
      </w:r>
    </w:p>
    <w:p w14:paraId="2A24DD8F" w14:textId="77777777" w:rsidR="006B2BCB" w:rsidRDefault="006B2BCB" w:rsidP="0095275E">
      <w:pPr>
        <w:pStyle w:val="FootnoteText"/>
        <w:ind w:left="0"/>
      </w:pPr>
    </w:p>
  </w:footnote>
  <w:footnote w:id="4">
    <w:p w14:paraId="635489F8" w14:textId="77777777" w:rsidR="00F44B7D" w:rsidRDefault="00F44B7D" w:rsidP="00F44B7D">
      <w:pPr>
        <w:pStyle w:val="paragraphscxw174366780bcx2"/>
        <w:spacing w:before="2" w:after="2"/>
        <w:textAlignment w:val="baseline"/>
        <w:rPr>
          <w:rFonts w:cs="Times New Roman"/>
        </w:rPr>
      </w:pPr>
      <w:r w:rsidRPr="00763262">
        <w:rPr>
          <w:rStyle w:val="FootnoteReference"/>
          <w:rFonts w:ascii="Century Schoolbook" w:hAnsi="Century Schoolbook"/>
          <w:sz w:val="26"/>
        </w:rPr>
        <w:footnoteRef/>
      </w:r>
      <w:r w:rsidRPr="00763262">
        <w:rPr>
          <w:rFonts w:ascii="Century Schoolbook" w:hAnsi="Century Schoolbook"/>
          <w:sz w:val="26"/>
        </w:rPr>
        <w:t xml:space="preserve"> </w:t>
      </w:r>
      <w:r w:rsidRPr="00763262">
        <w:rPr>
          <w:rFonts w:ascii="Century Schoolbook" w:hAnsi="Century Schoolbook"/>
          <w:sz w:val="26"/>
        </w:rPr>
        <w:tab/>
      </w:r>
      <w:r>
        <w:rPr>
          <w:rStyle w:val="normaltextrunscxw174366780bcx2"/>
          <w:rFonts w:ascii="Century Schoolbook" w:hAnsi="Century Schoolbook" w:cs="Times New Roman"/>
          <w:sz w:val="26"/>
          <w:szCs w:val="26"/>
        </w:rPr>
        <w:t>Prior to the enactment of Senate Bill No. 1437, section 188, subdivision (a) provided: “For purposes of Section 187, malice may be expressed or implied.  [</w:t>
      </w:r>
      <w:r>
        <w:rPr>
          <w:rStyle w:val="normaltextrunscxw174366780bcx2"/>
          <w:rFonts w:ascii="Century Schoolbook" w:hAnsi="Century Schoolbook" w:cs="Times New Roman"/>
          <w:color w:val="201F1E"/>
          <w:sz w:val="26"/>
          <w:szCs w:val="26"/>
        </w:rPr>
        <w:t>¶]</w:t>
      </w:r>
      <w:r>
        <w:rPr>
          <w:rStyle w:val="normaltextrunscxw174366780bcx2"/>
          <w:rFonts w:ascii="Century Schoolbook" w:hAnsi="Century Schoolbook" w:cs="Times New Roman"/>
          <w:sz w:val="26"/>
          <w:szCs w:val="26"/>
        </w:rPr>
        <w:t>(1) Malice is express when there is manifested a deliberate intention to unlawfully take away the life of a fellow creature. [</w:t>
      </w:r>
      <w:r>
        <w:rPr>
          <w:rStyle w:val="normaltextrunscxw174366780bcx2"/>
          <w:rFonts w:ascii="Century Schoolbook" w:hAnsi="Century Schoolbook" w:cs="Times New Roman"/>
          <w:color w:val="201F1E"/>
          <w:sz w:val="26"/>
          <w:szCs w:val="26"/>
        </w:rPr>
        <w:t>¶]</w:t>
      </w:r>
      <w:r>
        <w:rPr>
          <w:rStyle w:val="normaltextrunscxw174366780bcx2"/>
          <w:rFonts w:ascii="Century Schoolbook" w:hAnsi="Century Schoolbook" w:cs="Times New Roman"/>
          <w:sz w:val="26"/>
          <w:szCs w:val="26"/>
        </w:rPr>
        <w:t xml:space="preserve"> (2) Malice is implied when no considerable provocation appears, or when the circumstances attending the killing show an abandoned and malignant heart.” Section 188, subdivision (a), now provides, in pertinent part: “Except as stated in subdivision (e) of Section 189, </w:t>
      </w:r>
      <w:proofErr w:type="gramStart"/>
      <w:r>
        <w:rPr>
          <w:rStyle w:val="normaltextrunscxw174366780bcx2"/>
          <w:rFonts w:ascii="Century Schoolbook" w:hAnsi="Century Schoolbook" w:cs="Times New Roman"/>
          <w:sz w:val="26"/>
          <w:szCs w:val="26"/>
        </w:rPr>
        <w:t>in order to</w:t>
      </w:r>
      <w:proofErr w:type="gramEnd"/>
      <w:r>
        <w:rPr>
          <w:rStyle w:val="normaltextrunscxw174366780bcx2"/>
          <w:rFonts w:ascii="Century Schoolbook" w:hAnsi="Century Schoolbook" w:cs="Times New Roman"/>
          <w:sz w:val="26"/>
          <w:szCs w:val="26"/>
        </w:rPr>
        <w:t xml:space="preserve"> be convicted of murder, a principal in a crime shall act with malice aforethought.  Malice shall not be imputed to a person based solely on his or her participation in a crime.”  Section 189, subdivision (e), now provides with regard to a participant in the commission or attempted commission of a felony listed in Section 189, subdivision (a), in which death occurs (crimes that provide the basis for a charge of first degree felony murder), the participant is liable for murder “only if one of the following is prove</w:t>
      </w:r>
      <w:r w:rsidR="009B0236">
        <w:rPr>
          <w:rStyle w:val="normaltextrunscxw174366780bcx2"/>
          <w:rFonts w:ascii="Century Schoolbook" w:hAnsi="Century Schoolbook" w:cs="Times New Roman"/>
          <w:sz w:val="26"/>
          <w:szCs w:val="26"/>
        </w:rPr>
        <w:t>n</w:t>
      </w:r>
      <w:r>
        <w:rPr>
          <w:rStyle w:val="normaltextrunscxw174366780bcx2"/>
          <w:rFonts w:ascii="Century Schoolbook" w:hAnsi="Century Schoolbook" w:cs="Times New Roman"/>
          <w:sz w:val="26"/>
          <w:szCs w:val="26"/>
        </w:rPr>
        <w:t>: [</w:t>
      </w:r>
      <w:r>
        <w:rPr>
          <w:rStyle w:val="normaltextrunscxw174366780bcx2"/>
          <w:rFonts w:ascii="Century Schoolbook" w:hAnsi="Century Schoolbook" w:cs="Times New Roman"/>
          <w:color w:val="201F1E"/>
          <w:sz w:val="26"/>
          <w:szCs w:val="26"/>
        </w:rPr>
        <w:t>¶]</w:t>
      </w:r>
      <w:r>
        <w:rPr>
          <w:rStyle w:val="normaltextrunscxw174366780bcx2"/>
          <w:rFonts w:ascii="Century Schoolbook" w:hAnsi="Century Schoolbook" w:cs="Times New Roman"/>
          <w:sz w:val="26"/>
          <w:szCs w:val="26"/>
        </w:rPr>
        <w:t>(1) The person was the actual killer. [</w:t>
      </w:r>
      <w:r>
        <w:rPr>
          <w:rStyle w:val="normaltextrunscxw174366780bcx2"/>
          <w:rFonts w:ascii="Century Schoolbook" w:hAnsi="Century Schoolbook" w:cs="Times New Roman"/>
          <w:color w:val="201F1E"/>
          <w:sz w:val="26"/>
          <w:szCs w:val="26"/>
        </w:rPr>
        <w:t>¶]</w:t>
      </w:r>
      <w:r>
        <w:rPr>
          <w:rStyle w:val="normaltextrunscxw174366780bcx2"/>
          <w:rFonts w:ascii="Century Schoolbook" w:hAnsi="Century Schoolbook" w:cs="Times New Roman"/>
          <w:sz w:val="26"/>
          <w:szCs w:val="26"/>
        </w:rPr>
        <w:t xml:space="preserve"> (2) The person was not the actual killer, but, with the intent to kill, aided, abetted, counseled, commanded, induced, solicited, requested, or assisted the actual killer in the commission of the murder in the first degree. [</w:t>
      </w:r>
      <w:r>
        <w:rPr>
          <w:rStyle w:val="normaltextrunscxw174366780bcx2"/>
          <w:rFonts w:ascii="Century Schoolbook" w:hAnsi="Century Schoolbook" w:cs="Times New Roman"/>
          <w:color w:val="201F1E"/>
          <w:sz w:val="26"/>
          <w:szCs w:val="26"/>
        </w:rPr>
        <w:t>¶]</w:t>
      </w:r>
      <w:r>
        <w:rPr>
          <w:rStyle w:val="normaltextrunscxw174366780bcx2"/>
          <w:rFonts w:ascii="Century Schoolbook" w:hAnsi="Century Schoolbook" w:cs="Times New Roman"/>
          <w:sz w:val="26"/>
          <w:szCs w:val="26"/>
        </w:rPr>
        <w:t xml:space="preserve"> (3) The person was a major participant in the underlying felony and acted with reckless indifference to human life . . . .”</w:t>
      </w:r>
      <w:r>
        <w:rPr>
          <w:rStyle w:val="eopscxw174366780bcx2"/>
          <w:rFonts w:ascii="Century Schoolbook" w:hAnsi="Century Schoolbook" w:cs="Times New Roman"/>
          <w:sz w:val="26"/>
          <w:szCs w:val="26"/>
        </w:rPr>
        <w:t> </w:t>
      </w:r>
    </w:p>
    <w:p w14:paraId="3D3DD2D3" w14:textId="77777777" w:rsidR="00F44B7D" w:rsidRDefault="00F44B7D" w:rsidP="00F44B7D">
      <w:pPr>
        <w:pStyle w:val="FootnoteText"/>
        <w:ind w:left="0"/>
      </w:pPr>
    </w:p>
  </w:footnote>
  <w:footnote w:id="5">
    <w:p w14:paraId="07CDB96E" w14:textId="77777777" w:rsidR="00672D28" w:rsidRPr="00672D28" w:rsidRDefault="008827F1" w:rsidP="00672D28">
      <w:pPr>
        <w:tabs>
          <w:tab w:val="clear" w:pos="720"/>
        </w:tabs>
        <w:spacing w:beforeLines="1" w:before="2" w:afterLines="1" w:after="2" w:line="240" w:lineRule="auto"/>
        <w:contextualSpacing/>
        <w:textAlignment w:val="baseline"/>
        <w:rPr>
          <w:rFonts w:cs="Times New Roman"/>
        </w:rPr>
      </w:pPr>
      <w:r>
        <w:rPr>
          <w:rStyle w:val="FootnoteReference"/>
        </w:rPr>
        <w:footnoteRef/>
      </w:r>
      <w:r>
        <w:t xml:space="preserve"> </w:t>
      </w:r>
      <w:r>
        <w:tab/>
      </w:r>
      <w:r w:rsidRPr="009D6731">
        <w:rPr>
          <w:rFonts w:cs="Times New Roman"/>
        </w:rPr>
        <w:t>We recognize that some of these issues will be addressed in cases pending for review in our Supreme Court. (</w:t>
      </w:r>
      <w:r w:rsidRPr="5FE14EC9">
        <w:rPr>
          <w:rFonts w:cs="Times New Roman"/>
          <w:i/>
          <w:iCs/>
        </w:rPr>
        <w:t>Lewis,</w:t>
      </w:r>
      <w:r w:rsidRPr="009D6731">
        <w:rPr>
          <w:rFonts w:cs="Times New Roman"/>
        </w:rPr>
        <w:t xml:space="preserve"> </w:t>
      </w:r>
      <w:r w:rsidRPr="5FE14EC9">
        <w:rPr>
          <w:rFonts w:cs="Times New Roman"/>
          <w:i/>
          <w:iCs/>
        </w:rPr>
        <w:t>supra</w:t>
      </w:r>
      <w:r w:rsidRPr="009D6731">
        <w:rPr>
          <w:rFonts w:cs="Times New Roman"/>
        </w:rPr>
        <w:t>, 43 Cal.App.5th 1128, review granted Mar. 18, 2020, S260598 [lead case]</w:t>
      </w:r>
      <w:r w:rsidR="00672D28">
        <w:rPr>
          <w:rFonts w:cs="Times New Roman"/>
        </w:rPr>
        <w:t xml:space="preserve"> </w:t>
      </w:r>
      <w:r w:rsidR="00672D28" w:rsidRPr="00672D28">
        <w:rPr>
          <w:rFonts w:cs="Times New Roman"/>
        </w:rPr>
        <w:t>[review limited to the following issues: (1) whether superior court may use record of conviction to determine prima facie showing required under section 1170.95 and (2) when does the right to appointed counsel arise under subdivision</w:t>
      </w:r>
    </w:p>
    <w:p w14:paraId="7A4F5D17" w14:textId="77777777" w:rsidR="008827F1" w:rsidRPr="009D6731" w:rsidRDefault="00672D28" w:rsidP="00672D28">
      <w:pPr>
        <w:tabs>
          <w:tab w:val="clear" w:pos="720"/>
        </w:tabs>
        <w:spacing w:beforeLines="1" w:before="2" w:afterLines="1" w:after="2" w:line="240" w:lineRule="auto"/>
        <w:contextualSpacing/>
        <w:textAlignment w:val="baseline"/>
        <w:rPr>
          <w:rFonts w:cs="Times New Roman"/>
        </w:rPr>
      </w:pPr>
      <w:r>
        <w:rPr>
          <w:rFonts w:cs="Times New Roman"/>
        </w:rPr>
        <w:t>(</w:t>
      </w:r>
      <w:r w:rsidRPr="00672D28">
        <w:rPr>
          <w:rFonts w:cs="Times New Roman"/>
        </w:rPr>
        <w:t>c) of section 1170.95]</w:t>
      </w:r>
      <w:r w:rsidR="008827F1" w:rsidRPr="009D6731">
        <w:rPr>
          <w:rFonts w:cs="Times New Roman"/>
        </w:rPr>
        <w:t xml:space="preserve">; </w:t>
      </w:r>
      <w:r w:rsidR="008827F1" w:rsidRPr="5FE14EC9">
        <w:rPr>
          <w:rFonts w:cs="Times New Roman"/>
          <w:i/>
          <w:iCs/>
        </w:rPr>
        <w:t xml:space="preserve">Cornelius, supra, </w:t>
      </w:r>
      <w:r w:rsidR="008827F1" w:rsidRPr="009D6731">
        <w:rPr>
          <w:rFonts w:cs="Times New Roman"/>
        </w:rPr>
        <w:t>44 Cal.App.5th 54, review granted Mar. 18, 2020, S26</w:t>
      </w:r>
      <w:r w:rsidR="009B0236">
        <w:rPr>
          <w:rFonts w:cs="Times New Roman"/>
        </w:rPr>
        <w:t>0410</w:t>
      </w:r>
      <w:r w:rsidR="008827F1" w:rsidRPr="009D6731">
        <w:rPr>
          <w:rFonts w:cs="Times New Roman"/>
        </w:rPr>
        <w:t xml:space="preserve"> [holding for lead case]; </w:t>
      </w:r>
      <w:r w:rsidR="008827F1" w:rsidRPr="5FE14EC9">
        <w:rPr>
          <w:rFonts w:cs="Times New Roman"/>
          <w:i/>
          <w:iCs/>
        </w:rPr>
        <w:t>Verdugo</w:t>
      </w:r>
      <w:r w:rsidR="008827F1" w:rsidRPr="009D6731">
        <w:rPr>
          <w:rFonts w:cs="Times New Roman"/>
        </w:rPr>
        <w:t xml:space="preserve">, </w:t>
      </w:r>
      <w:r w:rsidR="008827F1" w:rsidRPr="5FE14EC9">
        <w:rPr>
          <w:rFonts w:cs="Times New Roman"/>
          <w:i/>
          <w:iCs/>
        </w:rPr>
        <w:t>supra</w:t>
      </w:r>
      <w:r w:rsidR="008827F1" w:rsidRPr="009D6731">
        <w:rPr>
          <w:rFonts w:cs="Times New Roman"/>
        </w:rPr>
        <w:t>, 44 Cal.App.5th 320, review granted Mar. 18, 2020, S260493 [holding for lead case].)</w:t>
      </w:r>
    </w:p>
    <w:p w14:paraId="51B33B08" w14:textId="77777777" w:rsidR="008827F1" w:rsidRDefault="008827F1" w:rsidP="008827F1">
      <w:pPr>
        <w:pStyle w:val="FootnoteText"/>
        <w:ind w:left="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CB"/>
    <w:rsid w:val="0000551C"/>
    <w:rsid w:val="00006A29"/>
    <w:rsid w:val="00006CC0"/>
    <w:rsid w:val="00006EC9"/>
    <w:rsid w:val="00007C17"/>
    <w:rsid w:val="00011943"/>
    <w:rsid w:val="0001426F"/>
    <w:rsid w:val="0001737E"/>
    <w:rsid w:val="0002037E"/>
    <w:rsid w:val="00021B83"/>
    <w:rsid w:val="00027F0B"/>
    <w:rsid w:val="00032942"/>
    <w:rsid w:val="00033EFD"/>
    <w:rsid w:val="00036B30"/>
    <w:rsid w:val="00037577"/>
    <w:rsid w:val="00037A26"/>
    <w:rsid w:val="00042288"/>
    <w:rsid w:val="00044485"/>
    <w:rsid w:val="00045CFE"/>
    <w:rsid w:val="0005178C"/>
    <w:rsid w:val="00052F3B"/>
    <w:rsid w:val="00054AF9"/>
    <w:rsid w:val="00064B74"/>
    <w:rsid w:val="00066D72"/>
    <w:rsid w:val="00067AB3"/>
    <w:rsid w:val="0007055B"/>
    <w:rsid w:val="0007060B"/>
    <w:rsid w:val="00073B7D"/>
    <w:rsid w:val="00084439"/>
    <w:rsid w:val="00086CF1"/>
    <w:rsid w:val="00091404"/>
    <w:rsid w:val="00094CB1"/>
    <w:rsid w:val="00094E66"/>
    <w:rsid w:val="00097AD0"/>
    <w:rsid w:val="00097D7A"/>
    <w:rsid w:val="000A4099"/>
    <w:rsid w:val="000B3919"/>
    <w:rsid w:val="000C0A70"/>
    <w:rsid w:val="000C0E91"/>
    <w:rsid w:val="000C1E74"/>
    <w:rsid w:val="000C26E0"/>
    <w:rsid w:val="000D7A30"/>
    <w:rsid w:val="000E0A1D"/>
    <w:rsid w:val="000E5870"/>
    <w:rsid w:val="000E65ED"/>
    <w:rsid w:val="000E7296"/>
    <w:rsid w:val="000E7B08"/>
    <w:rsid w:val="00100614"/>
    <w:rsid w:val="00104B8F"/>
    <w:rsid w:val="00105262"/>
    <w:rsid w:val="00111098"/>
    <w:rsid w:val="001236BC"/>
    <w:rsid w:val="001256A4"/>
    <w:rsid w:val="00125E25"/>
    <w:rsid w:val="001302CA"/>
    <w:rsid w:val="0014015B"/>
    <w:rsid w:val="00154C4B"/>
    <w:rsid w:val="00155B0F"/>
    <w:rsid w:val="0016144D"/>
    <w:rsid w:val="00161BA0"/>
    <w:rsid w:val="001677D4"/>
    <w:rsid w:val="0017024A"/>
    <w:rsid w:val="00181C05"/>
    <w:rsid w:val="00183ABB"/>
    <w:rsid w:val="00184574"/>
    <w:rsid w:val="00184FAB"/>
    <w:rsid w:val="00192957"/>
    <w:rsid w:val="00196DE5"/>
    <w:rsid w:val="001A4FB8"/>
    <w:rsid w:val="001A6F08"/>
    <w:rsid w:val="001B1679"/>
    <w:rsid w:val="001B6C66"/>
    <w:rsid w:val="001C1881"/>
    <w:rsid w:val="001D1544"/>
    <w:rsid w:val="001D2415"/>
    <w:rsid w:val="001D537A"/>
    <w:rsid w:val="001D66CA"/>
    <w:rsid w:val="001D6F43"/>
    <w:rsid w:val="001E04E1"/>
    <w:rsid w:val="001E0B33"/>
    <w:rsid w:val="001E3B3F"/>
    <w:rsid w:val="001E56C6"/>
    <w:rsid w:val="001E752A"/>
    <w:rsid w:val="001F0155"/>
    <w:rsid w:val="001F2E77"/>
    <w:rsid w:val="001F6CCB"/>
    <w:rsid w:val="00200EB7"/>
    <w:rsid w:val="00202944"/>
    <w:rsid w:val="00212AC4"/>
    <w:rsid w:val="00214C56"/>
    <w:rsid w:val="00215935"/>
    <w:rsid w:val="002175D3"/>
    <w:rsid w:val="002222A9"/>
    <w:rsid w:val="00222542"/>
    <w:rsid w:val="00223674"/>
    <w:rsid w:val="002244F3"/>
    <w:rsid w:val="00225258"/>
    <w:rsid w:val="00236B12"/>
    <w:rsid w:val="00237940"/>
    <w:rsid w:val="00240035"/>
    <w:rsid w:val="00245B78"/>
    <w:rsid w:val="0024787A"/>
    <w:rsid w:val="002518F5"/>
    <w:rsid w:val="002541C4"/>
    <w:rsid w:val="00256348"/>
    <w:rsid w:val="0026327E"/>
    <w:rsid w:val="0026583A"/>
    <w:rsid w:val="002663A2"/>
    <w:rsid w:val="00267011"/>
    <w:rsid w:val="002711F6"/>
    <w:rsid w:val="00271902"/>
    <w:rsid w:val="00276983"/>
    <w:rsid w:val="002858E0"/>
    <w:rsid w:val="002A2DFF"/>
    <w:rsid w:val="002A3730"/>
    <w:rsid w:val="002A3E66"/>
    <w:rsid w:val="002A5EDA"/>
    <w:rsid w:val="002B54EE"/>
    <w:rsid w:val="002C0F09"/>
    <w:rsid w:val="002D35C3"/>
    <w:rsid w:val="002D36F3"/>
    <w:rsid w:val="002D61AD"/>
    <w:rsid w:val="002E475B"/>
    <w:rsid w:val="002E600F"/>
    <w:rsid w:val="002F1B4B"/>
    <w:rsid w:val="002F381B"/>
    <w:rsid w:val="002F4560"/>
    <w:rsid w:val="002F59DA"/>
    <w:rsid w:val="002F7036"/>
    <w:rsid w:val="003018CD"/>
    <w:rsid w:val="00306598"/>
    <w:rsid w:val="00307F14"/>
    <w:rsid w:val="003127A5"/>
    <w:rsid w:val="00315984"/>
    <w:rsid w:val="00322A31"/>
    <w:rsid w:val="00322E9B"/>
    <w:rsid w:val="00323155"/>
    <w:rsid w:val="0032343D"/>
    <w:rsid w:val="00323FE9"/>
    <w:rsid w:val="003241CC"/>
    <w:rsid w:val="0032575E"/>
    <w:rsid w:val="00332A81"/>
    <w:rsid w:val="00332BC1"/>
    <w:rsid w:val="00335323"/>
    <w:rsid w:val="00337906"/>
    <w:rsid w:val="00341810"/>
    <w:rsid w:val="00342BD0"/>
    <w:rsid w:val="0034638C"/>
    <w:rsid w:val="00347113"/>
    <w:rsid w:val="00352B1F"/>
    <w:rsid w:val="0035749C"/>
    <w:rsid w:val="00357F99"/>
    <w:rsid w:val="00370266"/>
    <w:rsid w:val="003716F4"/>
    <w:rsid w:val="00372385"/>
    <w:rsid w:val="00372FA7"/>
    <w:rsid w:val="00374BFB"/>
    <w:rsid w:val="00377AD7"/>
    <w:rsid w:val="00386302"/>
    <w:rsid w:val="00386A43"/>
    <w:rsid w:val="00392C01"/>
    <w:rsid w:val="00394566"/>
    <w:rsid w:val="00395167"/>
    <w:rsid w:val="00396FD2"/>
    <w:rsid w:val="003A0BF8"/>
    <w:rsid w:val="003A0FB3"/>
    <w:rsid w:val="003A36D5"/>
    <w:rsid w:val="003A5F39"/>
    <w:rsid w:val="003A7232"/>
    <w:rsid w:val="003B1589"/>
    <w:rsid w:val="003B40EA"/>
    <w:rsid w:val="003B5512"/>
    <w:rsid w:val="003B7F2C"/>
    <w:rsid w:val="003C3E80"/>
    <w:rsid w:val="003C5F3E"/>
    <w:rsid w:val="003C5F64"/>
    <w:rsid w:val="003D65E3"/>
    <w:rsid w:val="003D7A3A"/>
    <w:rsid w:val="003D7D15"/>
    <w:rsid w:val="003E5532"/>
    <w:rsid w:val="003E6537"/>
    <w:rsid w:val="003F1E34"/>
    <w:rsid w:val="004029A0"/>
    <w:rsid w:val="00412E99"/>
    <w:rsid w:val="00414B57"/>
    <w:rsid w:val="004154BA"/>
    <w:rsid w:val="0041631B"/>
    <w:rsid w:val="00416F10"/>
    <w:rsid w:val="0041727F"/>
    <w:rsid w:val="00420DE5"/>
    <w:rsid w:val="004224C2"/>
    <w:rsid w:val="00422961"/>
    <w:rsid w:val="00430E52"/>
    <w:rsid w:val="00433649"/>
    <w:rsid w:val="00434A65"/>
    <w:rsid w:val="0043504B"/>
    <w:rsid w:val="0045200E"/>
    <w:rsid w:val="0045772C"/>
    <w:rsid w:val="00462E38"/>
    <w:rsid w:val="004660C4"/>
    <w:rsid w:val="00470442"/>
    <w:rsid w:val="0047190F"/>
    <w:rsid w:val="00491DC1"/>
    <w:rsid w:val="00496DD7"/>
    <w:rsid w:val="004A4D33"/>
    <w:rsid w:val="004A58D4"/>
    <w:rsid w:val="004A5FEF"/>
    <w:rsid w:val="004A6EA5"/>
    <w:rsid w:val="004B6411"/>
    <w:rsid w:val="004D3837"/>
    <w:rsid w:val="004D4E67"/>
    <w:rsid w:val="004D7BDA"/>
    <w:rsid w:val="004D7D1A"/>
    <w:rsid w:val="004D7E23"/>
    <w:rsid w:val="004E1A09"/>
    <w:rsid w:val="004E6B0B"/>
    <w:rsid w:val="004E6E1B"/>
    <w:rsid w:val="004F1E9D"/>
    <w:rsid w:val="004F22A2"/>
    <w:rsid w:val="004F6A5F"/>
    <w:rsid w:val="00504151"/>
    <w:rsid w:val="005128DA"/>
    <w:rsid w:val="005161A3"/>
    <w:rsid w:val="00523D6D"/>
    <w:rsid w:val="00525BCF"/>
    <w:rsid w:val="00525BF2"/>
    <w:rsid w:val="00527718"/>
    <w:rsid w:val="005331BB"/>
    <w:rsid w:val="00534840"/>
    <w:rsid w:val="00536EC8"/>
    <w:rsid w:val="005374A9"/>
    <w:rsid w:val="00542818"/>
    <w:rsid w:val="0054405E"/>
    <w:rsid w:val="00546A24"/>
    <w:rsid w:val="00546EF8"/>
    <w:rsid w:val="0054795A"/>
    <w:rsid w:val="00547F3F"/>
    <w:rsid w:val="00555BFE"/>
    <w:rsid w:val="00560276"/>
    <w:rsid w:val="00560E2E"/>
    <w:rsid w:val="00561468"/>
    <w:rsid w:val="00564A5D"/>
    <w:rsid w:val="00565178"/>
    <w:rsid w:val="005702C0"/>
    <w:rsid w:val="0057135D"/>
    <w:rsid w:val="00571F46"/>
    <w:rsid w:val="00572C8C"/>
    <w:rsid w:val="00583795"/>
    <w:rsid w:val="00583916"/>
    <w:rsid w:val="00592EAF"/>
    <w:rsid w:val="00596BDE"/>
    <w:rsid w:val="005A676D"/>
    <w:rsid w:val="005A6C92"/>
    <w:rsid w:val="005B59BE"/>
    <w:rsid w:val="005C0527"/>
    <w:rsid w:val="005C1F4B"/>
    <w:rsid w:val="005C44B2"/>
    <w:rsid w:val="005D4406"/>
    <w:rsid w:val="005D59F2"/>
    <w:rsid w:val="005D67BA"/>
    <w:rsid w:val="005D6B60"/>
    <w:rsid w:val="005E10AF"/>
    <w:rsid w:val="005E46F1"/>
    <w:rsid w:val="005F17D4"/>
    <w:rsid w:val="005F2112"/>
    <w:rsid w:val="005F2A9F"/>
    <w:rsid w:val="0060029A"/>
    <w:rsid w:val="006029F6"/>
    <w:rsid w:val="00603074"/>
    <w:rsid w:val="00606655"/>
    <w:rsid w:val="006116D5"/>
    <w:rsid w:val="00611763"/>
    <w:rsid w:val="00613207"/>
    <w:rsid w:val="00630B14"/>
    <w:rsid w:val="00631E88"/>
    <w:rsid w:val="00633116"/>
    <w:rsid w:val="006404CC"/>
    <w:rsid w:val="006427CA"/>
    <w:rsid w:val="0064550A"/>
    <w:rsid w:val="00652ABB"/>
    <w:rsid w:val="00653F2F"/>
    <w:rsid w:val="006541B3"/>
    <w:rsid w:val="00657459"/>
    <w:rsid w:val="006631FF"/>
    <w:rsid w:val="00667822"/>
    <w:rsid w:val="00670C0E"/>
    <w:rsid w:val="00672D28"/>
    <w:rsid w:val="00677884"/>
    <w:rsid w:val="0068060E"/>
    <w:rsid w:val="00682171"/>
    <w:rsid w:val="006835AC"/>
    <w:rsid w:val="006853CB"/>
    <w:rsid w:val="0068596B"/>
    <w:rsid w:val="00685D38"/>
    <w:rsid w:val="00685F1F"/>
    <w:rsid w:val="00690DB9"/>
    <w:rsid w:val="0069213B"/>
    <w:rsid w:val="00696552"/>
    <w:rsid w:val="006A0058"/>
    <w:rsid w:val="006A09AF"/>
    <w:rsid w:val="006A26E9"/>
    <w:rsid w:val="006A5D0E"/>
    <w:rsid w:val="006B03F1"/>
    <w:rsid w:val="006B20AE"/>
    <w:rsid w:val="006B2BCB"/>
    <w:rsid w:val="006B2E40"/>
    <w:rsid w:val="006C4A65"/>
    <w:rsid w:val="006C5E7D"/>
    <w:rsid w:val="006D3AEE"/>
    <w:rsid w:val="006D5B54"/>
    <w:rsid w:val="006D7A23"/>
    <w:rsid w:val="006E29D2"/>
    <w:rsid w:val="006F0312"/>
    <w:rsid w:val="006F19FF"/>
    <w:rsid w:val="006F2819"/>
    <w:rsid w:val="006F6B43"/>
    <w:rsid w:val="006F7415"/>
    <w:rsid w:val="007006C3"/>
    <w:rsid w:val="00701B6E"/>
    <w:rsid w:val="00707246"/>
    <w:rsid w:val="0071765B"/>
    <w:rsid w:val="00731EBD"/>
    <w:rsid w:val="00735217"/>
    <w:rsid w:val="00742FD7"/>
    <w:rsid w:val="00743CF8"/>
    <w:rsid w:val="007474AB"/>
    <w:rsid w:val="00752009"/>
    <w:rsid w:val="00752F01"/>
    <w:rsid w:val="00757D5F"/>
    <w:rsid w:val="0076041E"/>
    <w:rsid w:val="007623FB"/>
    <w:rsid w:val="00763262"/>
    <w:rsid w:val="00770700"/>
    <w:rsid w:val="00770762"/>
    <w:rsid w:val="00771EE6"/>
    <w:rsid w:val="00787428"/>
    <w:rsid w:val="00790DC3"/>
    <w:rsid w:val="007918DC"/>
    <w:rsid w:val="00797A6C"/>
    <w:rsid w:val="00797ADF"/>
    <w:rsid w:val="007A0170"/>
    <w:rsid w:val="007A38EC"/>
    <w:rsid w:val="007A46B7"/>
    <w:rsid w:val="007A71EB"/>
    <w:rsid w:val="007A7A13"/>
    <w:rsid w:val="007B16BF"/>
    <w:rsid w:val="007C37DE"/>
    <w:rsid w:val="007C480A"/>
    <w:rsid w:val="007C50F3"/>
    <w:rsid w:val="007C6ACA"/>
    <w:rsid w:val="007D3EEB"/>
    <w:rsid w:val="007D5D94"/>
    <w:rsid w:val="007D7765"/>
    <w:rsid w:val="007E1EF9"/>
    <w:rsid w:val="00803991"/>
    <w:rsid w:val="0081076A"/>
    <w:rsid w:val="008124CE"/>
    <w:rsid w:val="00812E1F"/>
    <w:rsid w:val="00821A23"/>
    <w:rsid w:val="00825EAC"/>
    <w:rsid w:val="00825FBC"/>
    <w:rsid w:val="00826C97"/>
    <w:rsid w:val="008371EA"/>
    <w:rsid w:val="00842F38"/>
    <w:rsid w:val="008524F3"/>
    <w:rsid w:val="00855AF6"/>
    <w:rsid w:val="00863827"/>
    <w:rsid w:val="0086668C"/>
    <w:rsid w:val="00871D82"/>
    <w:rsid w:val="00872846"/>
    <w:rsid w:val="00873293"/>
    <w:rsid w:val="00875D4E"/>
    <w:rsid w:val="008827F1"/>
    <w:rsid w:val="00890316"/>
    <w:rsid w:val="00891607"/>
    <w:rsid w:val="00894952"/>
    <w:rsid w:val="0089682B"/>
    <w:rsid w:val="008A09AA"/>
    <w:rsid w:val="008A3BF7"/>
    <w:rsid w:val="008A4CAF"/>
    <w:rsid w:val="008B5B5D"/>
    <w:rsid w:val="008C14E7"/>
    <w:rsid w:val="008C249D"/>
    <w:rsid w:val="008C4EDF"/>
    <w:rsid w:val="008C73A3"/>
    <w:rsid w:val="008D315A"/>
    <w:rsid w:val="008D3C00"/>
    <w:rsid w:val="008D59BF"/>
    <w:rsid w:val="008D7A82"/>
    <w:rsid w:val="008E100C"/>
    <w:rsid w:val="008E26F5"/>
    <w:rsid w:val="008E6974"/>
    <w:rsid w:val="008E709B"/>
    <w:rsid w:val="00913EBF"/>
    <w:rsid w:val="00915DB1"/>
    <w:rsid w:val="0091607C"/>
    <w:rsid w:val="00940D17"/>
    <w:rsid w:val="00941E1F"/>
    <w:rsid w:val="0094469D"/>
    <w:rsid w:val="0094773A"/>
    <w:rsid w:val="00947CAA"/>
    <w:rsid w:val="0095275E"/>
    <w:rsid w:val="00952A76"/>
    <w:rsid w:val="009652B0"/>
    <w:rsid w:val="009679DF"/>
    <w:rsid w:val="0097264B"/>
    <w:rsid w:val="009758EE"/>
    <w:rsid w:val="0097623C"/>
    <w:rsid w:val="00980309"/>
    <w:rsid w:val="009867C2"/>
    <w:rsid w:val="009869C8"/>
    <w:rsid w:val="00986C30"/>
    <w:rsid w:val="00990A42"/>
    <w:rsid w:val="00995E83"/>
    <w:rsid w:val="009B0236"/>
    <w:rsid w:val="009B09E0"/>
    <w:rsid w:val="009B1001"/>
    <w:rsid w:val="009B1831"/>
    <w:rsid w:val="009B3F70"/>
    <w:rsid w:val="009C070C"/>
    <w:rsid w:val="009C1B27"/>
    <w:rsid w:val="009C7428"/>
    <w:rsid w:val="009D0379"/>
    <w:rsid w:val="009D0FD8"/>
    <w:rsid w:val="009D354C"/>
    <w:rsid w:val="009D3FAB"/>
    <w:rsid w:val="009D405E"/>
    <w:rsid w:val="009D5447"/>
    <w:rsid w:val="009D54B7"/>
    <w:rsid w:val="009D6731"/>
    <w:rsid w:val="009D76A8"/>
    <w:rsid w:val="009D771A"/>
    <w:rsid w:val="009F1147"/>
    <w:rsid w:val="009F27B5"/>
    <w:rsid w:val="009F5770"/>
    <w:rsid w:val="009F6294"/>
    <w:rsid w:val="009F6EAC"/>
    <w:rsid w:val="009F7FB8"/>
    <w:rsid w:val="00A005CC"/>
    <w:rsid w:val="00A01FE5"/>
    <w:rsid w:val="00A11B6C"/>
    <w:rsid w:val="00A123DD"/>
    <w:rsid w:val="00A1658B"/>
    <w:rsid w:val="00A214B2"/>
    <w:rsid w:val="00A2270F"/>
    <w:rsid w:val="00A24839"/>
    <w:rsid w:val="00A24ED6"/>
    <w:rsid w:val="00A3442D"/>
    <w:rsid w:val="00A37CE7"/>
    <w:rsid w:val="00A428E6"/>
    <w:rsid w:val="00A43C77"/>
    <w:rsid w:val="00A44E1B"/>
    <w:rsid w:val="00A51BDE"/>
    <w:rsid w:val="00A54D43"/>
    <w:rsid w:val="00A700E8"/>
    <w:rsid w:val="00A7777C"/>
    <w:rsid w:val="00A876BC"/>
    <w:rsid w:val="00AA1901"/>
    <w:rsid w:val="00AB6548"/>
    <w:rsid w:val="00AC070A"/>
    <w:rsid w:val="00AC29D9"/>
    <w:rsid w:val="00AC7A4F"/>
    <w:rsid w:val="00AD1112"/>
    <w:rsid w:val="00AD1E47"/>
    <w:rsid w:val="00AD651C"/>
    <w:rsid w:val="00AE5A74"/>
    <w:rsid w:val="00AE6D4A"/>
    <w:rsid w:val="00AE723A"/>
    <w:rsid w:val="00AE7B03"/>
    <w:rsid w:val="00AF247B"/>
    <w:rsid w:val="00AF296A"/>
    <w:rsid w:val="00AF330D"/>
    <w:rsid w:val="00AF4686"/>
    <w:rsid w:val="00AF7E6C"/>
    <w:rsid w:val="00B03B1C"/>
    <w:rsid w:val="00B04C2A"/>
    <w:rsid w:val="00B1397A"/>
    <w:rsid w:val="00B158B8"/>
    <w:rsid w:val="00B171C2"/>
    <w:rsid w:val="00B23A89"/>
    <w:rsid w:val="00B26650"/>
    <w:rsid w:val="00B31649"/>
    <w:rsid w:val="00B3295F"/>
    <w:rsid w:val="00B412D7"/>
    <w:rsid w:val="00B523CE"/>
    <w:rsid w:val="00B60082"/>
    <w:rsid w:val="00B60600"/>
    <w:rsid w:val="00B61655"/>
    <w:rsid w:val="00B641BD"/>
    <w:rsid w:val="00B64C53"/>
    <w:rsid w:val="00B73CF6"/>
    <w:rsid w:val="00B76957"/>
    <w:rsid w:val="00B76D5B"/>
    <w:rsid w:val="00B77D3F"/>
    <w:rsid w:val="00B85DE1"/>
    <w:rsid w:val="00B87260"/>
    <w:rsid w:val="00B877B9"/>
    <w:rsid w:val="00B9698C"/>
    <w:rsid w:val="00BA3A75"/>
    <w:rsid w:val="00BA4EEF"/>
    <w:rsid w:val="00BA78B4"/>
    <w:rsid w:val="00BB2283"/>
    <w:rsid w:val="00BB24A4"/>
    <w:rsid w:val="00BB276E"/>
    <w:rsid w:val="00BB3276"/>
    <w:rsid w:val="00BB3AB4"/>
    <w:rsid w:val="00BB665E"/>
    <w:rsid w:val="00BB67E0"/>
    <w:rsid w:val="00BC3BF0"/>
    <w:rsid w:val="00BC53B4"/>
    <w:rsid w:val="00BC7EE8"/>
    <w:rsid w:val="00BD0AC8"/>
    <w:rsid w:val="00BD2028"/>
    <w:rsid w:val="00BD559A"/>
    <w:rsid w:val="00BD705E"/>
    <w:rsid w:val="00BE38EE"/>
    <w:rsid w:val="00BE6A76"/>
    <w:rsid w:val="00BE74E2"/>
    <w:rsid w:val="00BF5291"/>
    <w:rsid w:val="00BF6E2C"/>
    <w:rsid w:val="00BF7F3F"/>
    <w:rsid w:val="00C03386"/>
    <w:rsid w:val="00C075FE"/>
    <w:rsid w:val="00C077E0"/>
    <w:rsid w:val="00C12218"/>
    <w:rsid w:val="00C12C6F"/>
    <w:rsid w:val="00C1354A"/>
    <w:rsid w:val="00C13D5E"/>
    <w:rsid w:val="00C14441"/>
    <w:rsid w:val="00C15D47"/>
    <w:rsid w:val="00C26702"/>
    <w:rsid w:val="00C30581"/>
    <w:rsid w:val="00C35C3D"/>
    <w:rsid w:val="00C409B7"/>
    <w:rsid w:val="00C514B8"/>
    <w:rsid w:val="00C52BAA"/>
    <w:rsid w:val="00C56521"/>
    <w:rsid w:val="00C60D36"/>
    <w:rsid w:val="00C6183E"/>
    <w:rsid w:val="00C7079B"/>
    <w:rsid w:val="00C71E9C"/>
    <w:rsid w:val="00C82D73"/>
    <w:rsid w:val="00C85293"/>
    <w:rsid w:val="00C862D0"/>
    <w:rsid w:val="00C86937"/>
    <w:rsid w:val="00C90809"/>
    <w:rsid w:val="00C938B4"/>
    <w:rsid w:val="00C97ED6"/>
    <w:rsid w:val="00CA13E8"/>
    <w:rsid w:val="00CA3157"/>
    <w:rsid w:val="00CA52B4"/>
    <w:rsid w:val="00CA53C9"/>
    <w:rsid w:val="00CA70AE"/>
    <w:rsid w:val="00CB063C"/>
    <w:rsid w:val="00CB366C"/>
    <w:rsid w:val="00CC0B39"/>
    <w:rsid w:val="00CD018E"/>
    <w:rsid w:val="00CD4395"/>
    <w:rsid w:val="00CF1D22"/>
    <w:rsid w:val="00CF6582"/>
    <w:rsid w:val="00D011AF"/>
    <w:rsid w:val="00D06658"/>
    <w:rsid w:val="00D10D0E"/>
    <w:rsid w:val="00D11883"/>
    <w:rsid w:val="00D14D31"/>
    <w:rsid w:val="00D15B26"/>
    <w:rsid w:val="00D17347"/>
    <w:rsid w:val="00D24D26"/>
    <w:rsid w:val="00D25DB2"/>
    <w:rsid w:val="00D26103"/>
    <w:rsid w:val="00D26546"/>
    <w:rsid w:val="00D26AF7"/>
    <w:rsid w:val="00D310B2"/>
    <w:rsid w:val="00D35F1B"/>
    <w:rsid w:val="00D36A82"/>
    <w:rsid w:val="00D372B5"/>
    <w:rsid w:val="00D41B86"/>
    <w:rsid w:val="00D433E3"/>
    <w:rsid w:val="00D443D9"/>
    <w:rsid w:val="00D54646"/>
    <w:rsid w:val="00D65117"/>
    <w:rsid w:val="00D71203"/>
    <w:rsid w:val="00D73D39"/>
    <w:rsid w:val="00D84302"/>
    <w:rsid w:val="00D8561B"/>
    <w:rsid w:val="00D85872"/>
    <w:rsid w:val="00D876E0"/>
    <w:rsid w:val="00D92481"/>
    <w:rsid w:val="00D96095"/>
    <w:rsid w:val="00D97EA0"/>
    <w:rsid w:val="00DA3A6A"/>
    <w:rsid w:val="00DA536E"/>
    <w:rsid w:val="00DB12CE"/>
    <w:rsid w:val="00DB2346"/>
    <w:rsid w:val="00DB3AFA"/>
    <w:rsid w:val="00DB5045"/>
    <w:rsid w:val="00DB6216"/>
    <w:rsid w:val="00DB6E24"/>
    <w:rsid w:val="00DB7B98"/>
    <w:rsid w:val="00DC5EAC"/>
    <w:rsid w:val="00DD1F39"/>
    <w:rsid w:val="00DD5B0C"/>
    <w:rsid w:val="00DD7593"/>
    <w:rsid w:val="00DD7B49"/>
    <w:rsid w:val="00DF2BD3"/>
    <w:rsid w:val="00DF3331"/>
    <w:rsid w:val="00E17A57"/>
    <w:rsid w:val="00E2369D"/>
    <w:rsid w:val="00E23E08"/>
    <w:rsid w:val="00E30705"/>
    <w:rsid w:val="00E477D2"/>
    <w:rsid w:val="00E52B98"/>
    <w:rsid w:val="00E6069C"/>
    <w:rsid w:val="00E611FE"/>
    <w:rsid w:val="00E6330F"/>
    <w:rsid w:val="00E6508D"/>
    <w:rsid w:val="00E66BA3"/>
    <w:rsid w:val="00E7219C"/>
    <w:rsid w:val="00E74A3A"/>
    <w:rsid w:val="00E80A47"/>
    <w:rsid w:val="00E82910"/>
    <w:rsid w:val="00E865FD"/>
    <w:rsid w:val="00E86E19"/>
    <w:rsid w:val="00E90347"/>
    <w:rsid w:val="00EA2260"/>
    <w:rsid w:val="00EA2BAD"/>
    <w:rsid w:val="00EA5805"/>
    <w:rsid w:val="00EB0306"/>
    <w:rsid w:val="00EC070B"/>
    <w:rsid w:val="00EC3D82"/>
    <w:rsid w:val="00EC3E50"/>
    <w:rsid w:val="00EC4C65"/>
    <w:rsid w:val="00EC6870"/>
    <w:rsid w:val="00EC79A1"/>
    <w:rsid w:val="00EC7E66"/>
    <w:rsid w:val="00ED0274"/>
    <w:rsid w:val="00ED0CAA"/>
    <w:rsid w:val="00ED25E7"/>
    <w:rsid w:val="00ED2F3D"/>
    <w:rsid w:val="00ED35C6"/>
    <w:rsid w:val="00ED53AD"/>
    <w:rsid w:val="00ED623F"/>
    <w:rsid w:val="00EE5CC1"/>
    <w:rsid w:val="00EF0E88"/>
    <w:rsid w:val="00F01BAD"/>
    <w:rsid w:val="00F025BD"/>
    <w:rsid w:val="00F03EF8"/>
    <w:rsid w:val="00F20C4F"/>
    <w:rsid w:val="00F44B7D"/>
    <w:rsid w:val="00F47BA1"/>
    <w:rsid w:val="00F47C09"/>
    <w:rsid w:val="00F53CCB"/>
    <w:rsid w:val="00F54483"/>
    <w:rsid w:val="00F602EC"/>
    <w:rsid w:val="00F612FF"/>
    <w:rsid w:val="00F666AA"/>
    <w:rsid w:val="00F7372C"/>
    <w:rsid w:val="00F81AEC"/>
    <w:rsid w:val="00F82DB6"/>
    <w:rsid w:val="00F901EF"/>
    <w:rsid w:val="00F925FF"/>
    <w:rsid w:val="00F961F4"/>
    <w:rsid w:val="00FA6C1D"/>
    <w:rsid w:val="00FB1736"/>
    <w:rsid w:val="00FC76CC"/>
    <w:rsid w:val="00FC7A20"/>
    <w:rsid w:val="00FD66A1"/>
    <w:rsid w:val="00FD6F87"/>
    <w:rsid w:val="00FE05ED"/>
    <w:rsid w:val="00FE1411"/>
    <w:rsid w:val="00FE15C7"/>
    <w:rsid w:val="00FE2EF4"/>
    <w:rsid w:val="00FF169F"/>
    <w:rsid w:val="00FF1CD2"/>
    <w:rsid w:val="00FF3406"/>
    <w:rsid w:val="00FF34EF"/>
    <w:rsid w:val="00FF6163"/>
    <w:rsid w:val="00FF6B67"/>
    <w:rsid w:val="00FF7604"/>
    <w:rsid w:val="00FF7BD1"/>
    <w:rsid w:val="3884FF6A"/>
    <w:rsid w:val="3F9CDB3C"/>
    <w:rsid w:val="47D204FB"/>
    <w:rsid w:val="73472076"/>
    <w:rsid w:val="7FACA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7E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60B"/>
    <w:pPr>
      <w:tabs>
        <w:tab w:val="left" w:pos="720"/>
      </w:tabs>
      <w:spacing w:line="480" w:lineRule="atLeast"/>
      <w:ind w:left="0"/>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CF8"/>
    <w:rPr>
      <w:color w:val="0563C1" w:themeColor="hyperlink"/>
      <w:u w:val="single"/>
    </w:rPr>
  </w:style>
  <w:style w:type="character" w:customStyle="1" w:styleId="UnresolvedMention1">
    <w:name w:val="Unresolved Mention1"/>
    <w:basedOn w:val="DefaultParagraphFont"/>
    <w:uiPriority w:val="99"/>
    <w:semiHidden/>
    <w:unhideWhenUsed/>
    <w:rsid w:val="00743CF8"/>
    <w:rPr>
      <w:color w:val="605E5C"/>
      <w:shd w:val="clear" w:color="auto" w:fill="E1DFDD"/>
    </w:rPr>
  </w:style>
  <w:style w:type="paragraph" w:styleId="Header">
    <w:name w:val="header"/>
    <w:basedOn w:val="Normal"/>
    <w:link w:val="HeaderChar"/>
    <w:uiPriority w:val="99"/>
    <w:unhideWhenUsed/>
    <w:rsid w:val="00A44E1B"/>
    <w:pPr>
      <w:tabs>
        <w:tab w:val="center" w:pos="4680"/>
        <w:tab w:val="right" w:pos="9360"/>
      </w:tabs>
    </w:pPr>
  </w:style>
  <w:style w:type="character" w:customStyle="1" w:styleId="HeaderChar">
    <w:name w:val="Header Char"/>
    <w:basedOn w:val="DefaultParagraphFont"/>
    <w:link w:val="Header"/>
    <w:uiPriority w:val="99"/>
    <w:rsid w:val="00A44E1B"/>
  </w:style>
  <w:style w:type="paragraph" w:styleId="Footer">
    <w:name w:val="footer"/>
    <w:basedOn w:val="Normal"/>
    <w:link w:val="FooterChar"/>
    <w:uiPriority w:val="99"/>
    <w:unhideWhenUsed/>
    <w:rsid w:val="00A44E1B"/>
    <w:pPr>
      <w:tabs>
        <w:tab w:val="center" w:pos="4680"/>
        <w:tab w:val="right" w:pos="9360"/>
      </w:tabs>
    </w:pPr>
  </w:style>
  <w:style w:type="character" w:customStyle="1" w:styleId="FooterChar">
    <w:name w:val="Footer Char"/>
    <w:basedOn w:val="DefaultParagraphFont"/>
    <w:link w:val="Footer"/>
    <w:uiPriority w:val="99"/>
    <w:rsid w:val="00A44E1B"/>
  </w:style>
  <w:style w:type="character" w:styleId="PageNumber">
    <w:name w:val="page number"/>
    <w:basedOn w:val="DefaultParagraphFont"/>
    <w:uiPriority w:val="99"/>
    <w:semiHidden/>
    <w:unhideWhenUsed/>
    <w:rsid w:val="00A44E1B"/>
  </w:style>
  <w:style w:type="paragraph" w:styleId="FootnoteText">
    <w:name w:val="footnote text"/>
    <w:link w:val="FootnoteTextChar"/>
    <w:uiPriority w:val="99"/>
    <w:unhideWhenUsed/>
    <w:rsid w:val="00A44E1B"/>
    <w:rPr>
      <w:rFonts w:ascii="Century Schoolbook" w:hAnsi="Century Schoolbook"/>
      <w:sz w:val="26"/>
      <w:szCs w:val="20"/>
    </w:rPr>
  </w:style>
  <w:style w:type="character" w:customStyle="1" w:styleId="FootnoteTextChar">
    <w:name w:val="Footnote Text Char"/>
    <w:basedOn w:val="DefaultParagraphFont"/>
    <w:link w:val="FootnoteText"/>
    <w:uiPriority w:val="99"/>
    <w:rsid w:val="00A44E1B"/>
    <w:rPr>
      <w:rFonts w:ascii="Century Schoolbook" w:hAnsi="Century Schoolbook"/>
      <w:sz w:val="26"/>
      <w:szCs w:val="20"/>
    </w:rPr>
  </w:style>
  <w:style w:type="character" w:styleId="FootnoteReference">
    <w:name w:val="footnote reference"/>
    <w:basedOn w:val="DefaultParagraphFont"/>
    <w:uiPriority w:val="99"/>
    <w:semiHidden/>
    <w:unhideWhenUsed/>
    <w:rsid w:val="00394566"/>
    <w:rPr>
      <w:vertAlign w:val="superscript"/>
    </w:rPr>
  </w:style>
  <w:style w:type="paragraph" w:styleId="NormalWeb">
    <w:name w:val="Normal (Web)"/>
    <w:basedOn w:val="Normal"/>
    <w:uiPriority w:val="99"/>
    <w:semiHidden/>
    <w:unhideWhenUsed/>
    <w:rsid w:val="00392C0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38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EE"/>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0082"/>
    <w:pPr>
      <w:ind w:left="720"/>
      <w:contextualSpacing/>
    </w:pPr>
  </w:style>
  <w:style w:type="paragraph" w:customStyle="1" w:styleId="paragraphscxw209292288bcx2">
    <w:name w:val="paragraph scxw209292288 bcx2"/>
    <w:basedOn w:val="Normal"/>
    <w:rsid w:val="00094E66"/>
    <w:pPr>
      <w:tabs>
        <w:tab w:val="clear" w:pos="720"/>
      </w:tabs>
      <w:spacing w:beforeLines="1" w:afterLines="1" w:line="240" w:lineRule="auto"/>
    </w:pPr>
    <w:rPr>
      <w:rFonts w:ascii="Times" w:hAnsi="Times"/>
      <w:sz w:val="20"/>
      <w:szCs w:val="20"/>
    </w:rPr>
  </w:style>
  <w:style w:type="character" w:customStyle="1" w:styleId="superscriptscxw209292288bcx2">
    <w:name w:val="superscript scxw209292288 bcx2"/>
    <w:basedOn w:val="DefaultParagraphFont"/>
    <w:rsid w:val="00094E66"/>
  </w:style>
  <w:style w:type="character" w:customStyle="1" w:styleId="normaltextrunscxw209292288bcx2">
    <w:name w:val="normaltextrun scxw209292288 bcx2"/>
    <w:basedOn w:val="DefaultParagraphFont"/>
    <w:rsid w:val="00094E66"/>
  </w:style>
  <w:style w:type="character" w:customStyle="1" w:styleId="eopscxw209292288bcx2">
    <w:name w:val="eop scxw209292288 bcx2"/>
    <w:basedOn w:val="DefaultParagraphFont"/>
    <w:rsid w:val="00094E66"/>
  </w:style>
  <w:style w:type="paragraph" w:customStyle="1" w:styleId="paragraphscxw199105987bcx2">
    <w:name w:val="paragraph scxw199105987 bcx2"/>
    <w:basedOn w:val="Normal"/>
    <w:rsid w:val="003B1589"/>
    <w:pPr>
      <w:tabs>
        <w:tab w:val="clear" w:pos="720"/>
      </w:tabs>
      <w:spacing w:beforeLines="1" w:afterLines="1" w:line="240" w:lineRule="auto"/>
    </w:pPr>
    <w:rPr>
      <w:rFonts w:ascii="Times" w:hAnsi="Times"/>
      <w:sz w:val="20"/>
      <w:szCs w:val="20"/>
    </w:rPr>
  </w:style>
  <w:style w:type="character" w:customStyle="1" w:styleId="normaltextrunscxw199105987bcx2">
    <w:name w:val="normaltextrun scxw199105987 bcx2"/>
    <w:basedOn w:val="DefaultParagraphFont"/>
    <w:rsid w:val="003B1589"/>
  </w:style>
  <w:style w:type="character" w:customStyle="1" w:styleId="eopscxw199105987bcx2">
    <w:name w:val="eop scxw199105987 bcx2"/>
    <w:basedOn w:val="DefaultParagraphFont"/>
    <w:rsid w:val="003B1589"/>
  </w:style>
  <w:style w:type="paragraph" w:customStyle="1" w:styleId="paragraphbcx2scxw45942767">
    <w:name w:val="paragraph  bcx2 scxw45942767"/>
    <w:basedOn w:val="Normal"/>
    <w:rsid w:val="00CB063C"/>
    <w:pPr>
      <w:tabs>
        <w:tab w:val="clear" w:pos="720"/>
      </w:tabs>
      <w:spacing w:beforeLines="1" w:afterLines="1" w:line="240" w:lineRule="auto"/>
    </w:pPr>
    <w:rPr>
      <w:rFonts w:ascii="Times" w:hAnsi="Times"/>
      <w:sz w:val="20"/>
      <w:szCs w:val="20"/>
    </w:rPr>
  </w:style>
  <w:style w:type="paragraph" w:customStyle="1" w:styleId="paragraphscxw227045015bcx2">
    <w:name w:val="paragraph scxw227045015 bcx2"/>
    <w:basedOn w:val="Normal"/>
    <w:rsid w:val="000C26E0"/>
    <w:pPr>
      <w:tabs>
        <w:tab w:val="clear" w:pos="720"/>
      </w:tabs>
      <w:spacing w:beforeLines="1" w:afterLines="1" w:line="240" w:lineRule="auto"/>
    </w:pPr>
    <w:rPr>
      <w:rFonts w:ascii="Times" w:hAnsi="Times"/>
      <w:sz w:val="20"/>
      <w:szCs w:val="20"/>
    </w:rPr>
  </w:style>
  <w:style w:type="character" w:customStyle="1" w:styleId="normaltextrunscxw227045015bcx2">
    <w:name w:val="normaltextrun scxw227045015 bcx2"/>
    <w:basedOn w:val="DefaultParagraphFont"/>
    <w:rsid w:val="000C26E0"/>
  </w:style>
  <w:style w:type="character" w:customStyle="1" w:styleId="spellingerrorscxw227045015bcx2">
    <w:name w:val="spellingerror scxw227045015 bcx2"/>
    <w:basedOn w:val="DefaultParagraphFont"/>
    <w:rsid w:val="000C26E0"/>
  </w:style>
  <w:style w:type="character" w:customStyle="1" w:styleId="superscriptscxw227045015bcx2">
    <w:name w:val="superscript scxw227045015 bcx2"/>
    <w:basedOn w:val="DefaultParagraphFont"/>
    <w:rsid w:val="000C26E0"/>
  </w:style>
  <w:style w:type="character" w:customStyle="1" w:styleId="eopscxw227045015bcx2">
    <w:name w:val="eop scxw227045015 bcx2"/>
    <w:basedOn w:val="DefaultParagraphFont"/>
    <w:rsid w:val="000C26E0"/>
  </w:style>
  <w:style w:type="character" w:customStyle="1" w:styleId="normaltextrun">
    <w:name w:val="normaltextrun"/>
    <w:basedOn w:val="DefaultParagraphFont"/>
    <w:rsid w:val="0002037E"/>
  </w:style>
  <w:style w:type="character" w:customStyle="1" w:styleId="st">
    <w:name w:val="st"/>
    <w:basedOn w:val="DefaultParagraphFont"/>
    <w:rsid w:val="004D7D1A"/>
  </w:style>
  <w:style w:type="character" w:styleId="Emphasis">
    <w:name w:val="Emphasis"/>
    <w:basedOn w:val="DefaultParagraphFont"/>
    <w:uiPriority w:val="20"/>
    <w:rsid w:val="004D7D1A"/>
    <w:rPr>
      <w:i/>
    </w:rPr>
  </w:style>
  <w:style w:type="paragraph" w:customStyle="1" w:styleId="paragraphscxw44199090bcx2">
    <w:name w:val="paragraph scxw44199090 bcx2"/>
    <w:basedOn w:val="Normal"/>
    <w:rsid w:val="0095275E"/>
    <w:pPr>
      <w:tabs>
        <w:tab w:val="clear" w:pos="720"/>
      </w:tabs>
      <w:spacing w:beforeLines="1" w:afterLines="1" w:line="240" w:lineRule="auto"/>
    </w:pPr>
    <w:rPr>
      <w:rFonts w:ascii="Times" w:hAnsi="Times"/>
      <w:sz w:val="20"/>
      <w:szCs w:val="20"/>
    </w:rPr>
  </w:style>
  <w:style w:type="character" w:customStyle="1" w:styleId="normaltextrunscxw44199090bcx2">
    <w:name w:val="normaltextrun scxw44199090 bcx2"/>
    <w:basedOn w:val="DefaultParagraphFont"/>
    <w:rsid w:val="0095275E"/>
  </w:style>
  <w:style w:type="character" w:customStyle="1" w:styleId="spellingerrorscxw44199090bcx2">
    <w:name w:val="spellingerror scxw44199090 bcx2"/>
    <w:basedOn w:val="DefaultParagraphFont"/>
    <w:rsid w:val="0095275E"/>
  </w:style>
  <w:style w:type="character" w:customStyle="1" w:styleId="superscriptscxw44199090bcx2">
    <w:name w:val="superscript scxw44199090 bcx2"/>
    <w:basedOn w:val="DefaultParagraphFont"/>
    <w:rsid w:val="0095275E"/>
  </w:style>
  <w:style w:type="character" w:customStyle="1" w:styleId="eopscxw44199090bcx2">
    <w:name w:val="eop scxw44199090 bcx2"/>
    <w:basedOn w:val="DefaultParagraphFont"/>
    <w:rsid w:val="0095275E"/>
  </w:style>
  <w:style w:type="paragraph" w:customStyle="1" w:styleId="paragraphscxw181912993bcx2">
    <w:name w:val="paragraph scxw181912993 bcx2"/>
    <w:basedOn w:val="Normal"/>
    <w:rsid w:val="0095275E"/>
    <w:pPr>
      <w:tabs>
        <w:tab w:val="clear" w:pos="720"/>
      </w:tabs>
      <w:spacing w:beforeLines="1" w:afterLines="1" w:line="240" w:lineRule="auto"/>
    </w:pPr>
    <w:rPr>
      <w:rFonts w:ascii="Times" w:hAnsi="Times"/>
      <w:sz w:val="20"/>
      <w:szCs w:val="20"/>
    </w:rPr>
  </w:style>
  <w:style w:type="character" w:customStyle="1" w:styleId="superscriptscxw181912993bcx2">
    <w:name w:val="superscript scxw181912993 bcx2"/>
    <w:basedOn w:val="DefaultParagraphFont"/>
    <w:rsid w:val="0095275E"/>
  </w:style>
  <w:style w:type="character" w:customStyle="1" w:styleId="normaltextrunscxw181912993bcx2">
    <w:name w:val="normaltextrun scxw181912993 bcx2"/>
    <w:basedOn w:val="DefaultParagraphFont"/>
    <w:rsid w:val="0095275E"/>
  </w:style>
  <w:style w:type="character" w:customStyle="1" w:styleId="spellingerrorscxw181912993bcx2">
    <w:name w:val="spellingerror scxw181912993 bcx2"/>
    <w:basedOn w:val="DefaultParagraphFont"/>
    <w:rsid w:val="0095275E"/>
  </w:style>
  <w:style w:type="character" w:customStyle="1" w:styleId="eopscxw181912993bcx2">
    <w:name w:val="eop scxw181912993 bcx2"/>
    <w:basedOn w:val="DefaultParagraphFont"/>
    <w:rsid w:val="0095275E"/>
  </w:style>
  <w:style w:type="paragraph" w:customStyle="1" w:styleId="paragraphscxw174366780bcx2">
    <w:name w:val="paragraph scxw174366780 bcx2"/>
    <w:basedOn w:val="Normal"/>
    <w:rsid w:val="0095275E"/>
    <w:pPr>
      <w:tabs>
        <w:tab w:val="clear" w:pos="720"/>
      </w:tabs>
      <w:spacing w:beforeLines="1" w:afterLines="1" w:line="240" w:lineRule="auto"/>
    </w:pPr>
    <w:rPr>
      <w:rFonts w:ascii="Times" w:hAnsi="Times"/>
      <w:sz w:val="20"/>
      <w:szCs w:val="20"/>
    </w:rPr>
  </w:style>
  <w:style w:type="character" w:customStyle="1" w:styleId="superscriptscxw174366780bcx2">
    <w:name w:val="superscript scxw174366780 bcx2"/>
    <w:basedOn w:val="DefaultParagraphFont"/>
    <w:rsid w:val="0095275E"/>
  </w:style>
  <w:style w:type="character" w:customStyle="1" w:styleId="normaltextrunscxw174366780bcx2">
    <w:name w:val="normaltextrun scxw174366780 bcx2"/>
    <w:basedOn w:val="DefaultParagraphFont"/>
    <w:rsid w:val="0095275E"/>
  </w:style>
  <w:style w:type="character" w:customStyle="1" w:styleId="eopscxw174366780bcx2">
    <w:name w:val="eop scxw174366780 bcx2"/>
    <w:basedOn w:val="DefaultParagraphFont"/>
    <w:rsid w:val="0095275E"/>
  </w:style>
  <w:style w:type="paragraph" w:customStyle="1" w:styleId="paragraphscxw119104033bcx2">
    <w:name w:val="paragraph scxw119104033 bcx2"/>
    <w:basedOn w:val="Normal"/>
    <w:rsid w:val="00D10D0E"/>
    <w:pPr>
      <w:tabs>
        <w:tab w:val="clear" w:pos="720"/>
      </w:tabs>
      <w:spacing w:beforeLines="1" w:afterLines="1" w:line="240" w:lineRule="auto"/>
    </w:pPr>
    <w:rPr>
      <w:rFonts w:ascii="Times" w:hAnsi="Times"/>
      <w:sz w:val="20"/>
      <w:szCs w:val="20"/>
    </w:rPr>
  </w:style>
  <w:style w:type="character" w:customStyle="1" w:styleId="normaltextrunscxw119104033bcx2">
    <w:name w:val="normaltextrun scxw119104033 bcx2"/>
    <w:basedOn w:val="DefaultParagraphFont"/>
    <w:rsid w:val="00D10D0E"/>
  </w:style>
  <w:style w:type="character" w:customStyle="1" w:styleId="spellingerrorscxw119104033bcx2">
    <w:name w:val="spellingerror scxw119104033 bcx2"/>
    <w:basedOn w:val="DefaultParagraphFont"/>
    <w:rsid w:val="00D10D0E"/>
  </w:style>
  <w:style w:type="character" w:customStyle="1" w:styleId="eopscxw119104033bcx2">
    <w:name w:val="eop scxw119104033 bcx2"/>
    <w:basedOn w:val="DefaultParagraphFont"/>
    <w:rsid w:val="00D10D0E"/>
  </w:style>
  <w:style w:type="character" w:styleId="FollowedHyperlink">
    <w:name w:val="FollowedHyperlink"/>
    <w:basedOn w:val="DefaultParagraphFont"/>
    <w:uiPriority w:val="99"/>
    <w:semiHidden/>
    <w:unhideWhenUsed/>
    <w:rsid w:val="00CD01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445">
      <w:bodyDiv w:val="1"/>
      <w:marLeft w:val="0"/>
      <w:marRight w:val="0"/>
      <w:marTop w:val="0"/>
      <w:marBottom w:val="0"/>
      <w:divBdr>
        <w:top w:val="none" w:sz="0" w:space="0" w:color="auto"/>
        <w:left w:val="none" w:sz="0" w:space="0" w:color="auto"/>
        <w:bottom w:val="none" w:sz="0" w:space="0" w:color="auto"/>
        <w:right w:val="none" w:sz="0" w:space="0" w:color="auto"/>
      </w:divBdr>
    </w:div>
    <w:div w:id="99835614">
      <w:bodyDiv w:val="1"/>
      <w:marLeft w:val="0"/>
      <w:marRight w:val="0"/>
      <w:marTop w:val="0"/>
      <w:marBottom w:val="0"/>
      <w:divBdr>
        <w:top w:val="none" w:sz="0" w:space="0" w:color="auto"/>
        <w:left w:val="none" w:sz="0" w:space="0" w:color="auto"/>
        <w:bottom w:val="none" w:sz="0" w:space="0" w:color="auto"/>
        <w:right w:val="none" w:sz="0" w:space="0" w:color="auto"/>
      </w:divBdr>
      <w:divsChild>
        <w:div w:id="769930608">
          <w:marLeft w:val="0"/>
          <w:marRight w:val="0"/>
          <w:marTop w:val="0"/>
          <w:marBottom w:val="0"/>
          <w:divBdr>
            <w:top w:val="none" w:sz="0" w:space="0" w:color="auto"/>
            <w:left w:val="none" w:sz="0" w:space="0" w:color="auto"/>
            <w:bottom w:val="none" w:sz="0" w:space="0" w:color="auto"/>
            <w:right w:val="none" w:sz="0" w:space="0" w:color="auto"/>
          </w:divBdr>
          <w:divsChild>
            <w:div w:id="1486510631">
              <w:marLeft w:val="0"/>
              <w:marRight w:val="0"/>
              <w:marTop w:val="0"/>
              <w:marBottom w:val="0"/>
              <w:divBdr>
                <w:top w:val="none" w:sz="0" w:space="0" w:color="auto"/>
                <w:left w:val="none" w:sz="0" w:space="0" w:color="auto"/>
                <w:bottom w:val="none" w:sz="0" w:space="0" w:color="auto"/>
                <w:right w:val="none" w:sz="0" w:space="0" w:color="auto"/>
              </w:divBdr>
            </w:div>
          </w:divsChild>
        </w:div>
        <w:div w:id="217664599">
          <w:marLeft w:val="0"/>
          <w:marRight w:val="0"/>
          <w:marTop w:val="0"/>
          <w:marBottom w:val="0"/>
          <w:divBdr>
            <w:top w:val="none" w:sz="0" w:space="0" w:color="auto"/>
            <w:left w:val="none" w:sz="0" w:space="0" w:color="auto"/>
            <w:bottom w:val="none" w:sz="0" w:space="0" w:color="auto"/>
            <w:right w:val="none" w:sz="0" w:space="0" w:color="auto"/>
          </w:divBdr>
          <w:divsChild>
            <w:div w:id="303197652">
              <w:marLeft w:val="0"/>
              <w:marRight w:val="0"/>
              <w:marTop w:val="0"/>
              <w:marBottom w:val="0"/>
              <w:divBdr>
                <w:top w:val="none" w:sz="0" w:space="0" w:color="auto"/>
                <w:left w:val="none" w:sz="0" w:space="0" w:color="auto"/>
                <w:bottom w:val="none" w:sz="0" w:space="0" w:color="auto"/>
                <w:right w:val="none" w:sz="0" w:space="0" w:color="auto"/>
              </w:divBdr>
            </w:div>
          </w:divsChild>
        </w:div>
        <w:div w:id="1835339320">
          <w:marLeft w:val="0"/>
          <w:marRight w:val="0"/>
          <w:marTop w:val="0"/>
          <w:marBottom w:val="0"/>
          <w:divBdr>
            <w:top w:val="none" w:sz="0" w:space="0" w:color="auto"/>
            <w:left w:val="none" w:sz="0" w:space="0" w:color="auto"/>
            <w:bottom w:val="none" w:sz="0" w:space="0" w:color="auto"/>
            <w:right w:val="none" w:sz="0" w:space="0" w:color="auto"/>
          </w:divBdr>
          <w:divsChild>
            <w:div w:id="9875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744">
      <w:bodyDiv w:val="1"/>
      <w:marLeft w:val="0"/>
      <w:marRight w:val="0"/>
      <w:marTop w:val="0"/>
      <w:marBottom w:val="0"/>
      <w:divBdr>
        <w:top w:val="none" w:sz="0" w:space="0" w:color="auto"/>
        <w:left w:val="none" w:sz="0" w:space="0" w:color="auto"/>
        <w:bottom w:val="none" w:sz="0" w:space="0" w:color="auto"/>
        <w:right w:val="none" w:sz="0" w:space="0" w:color="auto"/>
      </w:divBdr>
    </w:div>
    <w:div w:id="159784144">
      <w:bodyDiv w:val="1"/>
      <w:marLeft w:val="0"/>
      <w:marRight w:val="0"/>
      <w:marTop w:val="0"/>
      <w:marBottom w:val="0"/>
      <w:divBdr>
        <w:top w:val="none" w:sz="0" w:space="0" w:color="auto"/>
        <w:left w:val="none" w:sz="0" w:space="0" w:color="auto"/>
        <w:bottom w:val="none" w:sz="0" w:space="0" w:color="auto"/>
        <w:right w:val="none" w:sz="0" w:space="0" w:color="auto"/>
      </w:divBdr>
      <w:divsChild>
        <w:div w:id="2077850346">
          <w:marLeft w:val="0"/>
          <w:marRight w:val="0"/>
          <w:marTop w:val="0"/>
          <w:marBottom w:val="0"/>
          <w:divBdr>
            <w:top w:val="none" w:sz="0" w:space="0" w:color="auto"/>
            <w:left w:val="none" w:sz="0" w:space="0" w:color="auto"/>
            <w:bottom w:val="none" w:sz="0" w:space="0" w:color="auto"/>
            <w:right w:val="none" w:sz="0" w:space="0" w:color="auto"/>
          </w:divBdr>
          <w:divsChild>
            <w:div w:id="13306020">
              <w:marLeft w:val="0"/>
              <w:marRight w:val="0"/>
              <w:marTop w:val="0"/>
              <w:marBottom w:val="0"/>
              <w:divBdr>
                <w:top w:val="none" w:sz="0" w:space="0" w:color="auto"/>
                <w:left w:val="none" w:sz="0" w:space="0" w:color="auto"/>
                <w:bottom w:val="none" w:sz="0" w:space="0" w:color="auto"/>
                <w:right w:val="none" w:sz="0" w:space="0" w:color="auto"/>
              </w:divBdr>
            </w:div>
          </w:divsChild>
        </w:div>
        <w:div w:id="176193416">
          <w:marLeft w:val="0"/>
          <w:marRight w:val="0"/>
          <w:marTop w:val="0"/>
          <w:marBottom w:val="0"/>
          <w:divBdr>
            <w:top w:val="none" w:sz="0" w:space="0" w:color="auto"/>
            <w:left w:val="none" w:sz="0" w:space="0" w:color="auto"/>
            <w:bottom w:val="none" w:sz="0" w:space="0" w:color="auto"/>
            <w:right w:val="none" w:sz="0" w:space="0" w:color="auto"/>
          </w:divBdr>
          <w:divsChild>
            <w:div w:id="434372968">
              <w:marLeft w:val="0"/>
              <w:marRight w:val="0"/>
              <w:marTop w:val="0"/>
              <w:marBottom w:val="0"/>
              <w:divBdr>
                <w:top w:val="none" w:sz="0" w:space="0" w:color="auto"/>
                <w:left w:val="none" w:sz="0" w:space="0" w:color="auto"/>
                <w:bottom w:val="none" w:sz="0" w:space="0" w:color="auto"/>
                <w:right w:val="none" w:sz="0" w:space="0" w:color="auto"/>
              </w:divBdr>
            </w:div>
          </w:divsChild>
        </w:div>
        <w:div w:id="1679698090">
          <w:marLeft w:val="0"/>
          <w:marRight w:val="0"/>
          <w:marTop w:val="0"/>
          <w:marBottom w:val="0"/>
          <w:divBdr>
            <w:top w:val="none" w:sz="0" w:space="0" w:color="auto"/>
            <w:left w:val="none" w:sz="0" w:space="0" w:color="auto"/>
            <w:bottom w:val="none" w:sz="0" w:space="0" w:color="auto"/>
            <w:right w:val="none" w:sz="0" w:space="0" w:color="auto"/>
          </w:divBdr>
          <w:divsChild>
            <w:div w:id="10830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0039">
      <w:bodyDiv w:val="1"/>
      <w:marLeft w:val="0"/>
      <w:marRight w:val="0"/>
      <w:marTop w:val="0"/>
      <w:marBottom w:val="0"/>
      <w:divBdr>
        <w:top w:val="none" w:sz="0" w:space="0" w:color="auto"/>
        <w:left w:val="none" w:sz="0" w:space="0" w:color="auto"/>
        <w:bottom w:val="none" w:sz="0" w:space="0" w:color="auto"/>
        <w:right w:val="none" w:sz="0" w:space="0" w:color="auto"/>
      </w:divBdr>
    </w:div>
    <w:div w:id="322896277">
      <w:bodyDiv w:val="1"/>
      <w:marLeft w:val="0"/>
      <w:marRight w:val="0"/>
      <w:marTop w:val="0"/>
      <w:marBottom w:val="0"/>
      <w:divBdr>
        <w:top w:val="none" w:sz="0" w:space="0" w:color="auto"/>
        <w:left w:val="none" w:sz="0" w:space="0" w:color="auto"/>
        <w:bottom w:val="none" w:sz="0" w:space="0" w:color="auto"/>
        <w:right w:val="none" w:sz="0" w:space="0" w:color="auto"/>
      </w:divBdr>
    </w:div>
    <w:div w:id="357395922">
      <w:bodyDiv w:val="1"/>
      <w:marLeft w:val="0"/>
      <w:marRight w:val="0"/>
      <w:marTop w:val="0"/>
      <w:marBottom w:val="0"/>
      <w:divBdr>
        <w:top w:val="none" w:sz="0" w:space="0" w:color="auto"/>
        <w:left w:val="none" w:sz="0" w:space="0" w:color="auto"/>
        <w:bottom w:val="none" w:sz="0" w:space="0" w:color="auto"/>
        <w:right w:val="none" w:sz="0" w:space="0" w:color="auto"/>
      </w:divBdr>
    </w:div>
    <w:div w:id="701243781">
      <w:bodyDiv w:val="1"/>
      <w:marLeft w:val="0"/>
      <w:marRight w:val="0"/>
      <w:marTop w:val="0"/>
      <w:marBottom w:val="0"/>
      <w:divBdr>
        <w:top w:val="none" w:sz="0" w:space="0" w:color="auto"/>
        <w:left w:val="none" w:sz="0" w:space="0" w:color="auto"/>
        <w:bottom w:val="none" w:sz="0" w:space="0" w:color="auto"/>
        <w:right w:val="none" w:sz="0" w:space="0" w:color="auto"/>
      </w:divBdr>
      <w:divsChild>
        <w:div w:id="391388020">
          <w:marLeft w:val="0"/>
          <w:marRight w:val="0"/>
          <w:marTop w:val="0"/>
          <w:marBottom w:val="0"/>
          <w:divBdr>
            <w:top w:val="none" w:sz="0" w:space="0" w:color="auto"/>
            <w:left w:val="none" w:sz="0" w:space="0" w:color="auto"/>
            <w:bottom w:val="none" w:sz="0" w:space="0" w:color="auto"/>
            <w:right w:val="none" w:sz="0" w:space="0" w:color="auto"/>
          </w:divBdr>
        </w:div>
        <w:div w:id="1160267965">
          <w:marLeft w:val="0"/>
          <w:marRight w:val="0"/>
          <w:marTop w:val="0"/>
          <w:marBottom w:val="0"/>
          <w:divBdr>
            <w:top w:val="none" w:sz="0" w:space="0" w:color="auto"/>
            <w:left w:val="none" w:sz="0" w:space="0" w:color="auto"/>
            <w:bottom w:val="none" w:sz="0" w:space="0" w:color="auto"/>
            <w:right w:val="none" w:sz="0" w:space="0" w:color="auto"/>
          </w:divBdr>
        </w:div>
      </w:divsChild>
    </w:div>
    <w:div w:id="735787664">
      <w:bodyDiv w:val="1"/>
      <w:marLeft w:val="0"/>
      <w:marRight w:val="0"/>
      <w:marTop w:val="0"/>
      <w:marBottom w:val="0"/>
      <w:divBdr>
        <w:top w:val="none" w:sz="0" w:space="0" w:color="auto"/>
        <w:left w:val="none" w:sz="0" w:space="0" w:color="auto"/>
        <w:bottom w:val="none" w:sz="0" w:space="0" w:color="auto"/>
        <w:right w:val="none" w:sz="0" w:space="0" w:color="auto"/>
      </w:divBdr>
    </w:div>
    <w:div w:id="813835449">
      <w:bodyDiv w:val="1"/>
      <w:marLeft w:val="0"/>
      <w:marRight w:val="0"/>
      <w:marTop w:val="0"/>
      <w:marBottom w:val="0"/>
      <w:divBdr>
        <w:top w:val="none" w:sz="0" w:space="0" w:color="auto"/>
        <w:left w:val="none" w:sz="0" w:space="0" w:color="auto"/>
        <w:bottom w:val="none" w:sz="0" w:space="0" w:color="auto"/>
        <w:right w:val="none" w:sz="0" w:space="0" w:color="auto"/>
      </w:divBdr>
      <w:divsChild>
        <w:div w:id="1307052961">
          <w:marLeft w:val="0"/>
          <w:marRight w:val="0"/>
          <w:marTop w:val="0"/>
          <w:marBottom w:val="0"/>
          <w:divBdr>
            <w:top w:val="none" w:sz="0" w:space="0" w:color="auto"/>
            <w:left w:val="none" w:sz="0" w:space="0" w:color="auto"/>
            <w:bottom w:val="none" w:sz="0" w:space="0" w:color="auto"/>
            <w:right w:val="none" w:sz="0" w:space="0" w:color="auto"/>
          </w:divBdr>
        </w:div>
      </w:divsChild>
    </w:div>
    <w:div w:id="932543839">
      <w:bodyDiv w:val="1"/>
      <w:marLeft w:val="0"/>
      <w:marRight w:val="0"/>
      <w:marTop w:val="0"/>
      <w:marBottom w:val="0"/>
      <w:divBdr>
        <w:top w:val="none" w:sz="0" w:space="0" w:color="auto"/>
        <w:left w:val="none" w:sz="0" w:space="0" w:color="auto"/>
        <w:bottom w:val="none" w:sz="0" w:space="0" w:color="auto"/>
        <w:right w:val="none" w:sz="0" w:space="0" w:color="auto"/>
      </w:divBdr>
      <w:divsChild>
        <w:div w:id="791825533">
          <w:marLeft w:val="0"/>
          <w:marRight w:val="0"/>
          <w:marTop w:val="0"/>
          <w:marBottom w:val="0"/>
          <w:divBdr>
            <w:top w:val="none" w:sz="0" w:space="0" w:color="auto"/>
            <w:left w:val="none" w:sz="0" w:space="0" w:color="auto"/>
            <w:bottom w:val="none" w:sz="0" w:space="0" w:color="auto"/>
            <w:right w:val="none" w:sz="0" w:space="0" w:color="auto"/>
          </w:divBdr>
        </w:div>
        <w:div w:id="2004165920">
          <w:marLeft w:val="0"/>
          <w:marRight w:val="0"/>
          <w:marTop w:val="0"/>
          <w:marBottom w:val="0"/>
          <w:divBdr>
            <w:top w:val="none" w:sz="0" w:space="0" w:color="auto"/>
            <w:left w:val="none" w:sz="0" w:space="0" w:color="auto"/>
            <w:bottom w:val="none" w:sz="0" w:space="0" w:color="auto"/>
            <w:right w:val="none" w:sz="0" w:space="0" w:color="auto"/>
          </w:divBdr>
        </w:div>
        <w:div w:id="1239168466">
          <w:marLeft w:val="0"/>
          <w:marRight w:val="0"/>
          <w:marTop w:val="0"/>
          <w:marBottom w:val="0"/>
          <w:divBdr>
            <w:top w:val="none" w:sz="0" w:space="0" w:color="auto"/>
            <w:left w:val="none" w:sz="0" w:space="0" w:color="auto"/>
            <w:bottom w:val="none" w:sz="0" w:space="0" w:color="auto"/>
            <w:right w:val="none" w:sz="0" w:space="0" w:color="auto"/>
          </w:divBdr>
        </w:div>
        <w:div w:id="1167478692">
          <w:marLeft w:val="0"/>
          <w:marRight w:val="0"/>
          <w:marTop w:val="0"/>
          <w:marBottom w:val="0"/>
          <w:divBdr>
            <w:top w:val="none" w:sz="0" w:space="0" w:color="auto"/>
            <w:left w:val="none" w:sz="0" w:space="0" w:color="auto"/>
            <w:bottom w:val="none" w:sz="0" w:space="0" w:color="auto"/>
            <w:right w:val="none" w:sz="0" w:space="0" w:color="auto"/>
          </w:divBdr>
        </w:div>
        <w:div w:id="1701081961">
          <w:marLeft w:val="0"/>
          <w:marRight w:val="0"/>
          <w:marTop w:val="0"/>
          <w:marBottom w:val="0"/>
          <w:divBdr>
            <w:top w:val="none" w:sz="0" w:space="0" w:color="auto"/>
            <w:left w:val="none" w:sz="0" w:space="0" w:color="auto"/>
            <w:bottom w:val="none" w:sz="0" w:space="0" w:color="auto"/>
            <w:right w:val="none" w:sz="0" w:space="0" w:color="auto"/>
          </w:divBdr>
        </w:div>
        <w:div w:id="856233868">
          <w:marLeft w:val="0"/>
          <w:marRight w:val="0"/>
          <w:marTop w:val="0"/>
          <w:marBottom w:val="0"/>
          <w:divBdr>
            <w:top w:val="none" w:sz="0" w:space="0" w:color="auto"/>
            <w:left w:val="none" w:sz="0" w:space="0" w:color="auto"/>
            <w:bottom w:val="none" w:sz="0" w:space="0" w:color="auto"/>
            <w:right w:val="none" w:sz="0" w:space="0" w:color="auto"/>
          </w:divBdr>
        </w:div>
        <w:div w:id="1835216788">
          <w:marLeft w:val="0"/>
          <w:marRight w:val="0"/>
          <w:marTop w:val="0"/>
          <w:marBottom w:val="0"/>
          <w:divBdr>
            <w:top w:val="none" w:sz="0" w:space="0" w:color="auto"/>
            <w:left w:val="none" w:sz="0" w:space="0" w:color="auto"/>
            <w:bottom w:val="none" w:sz="0" w:space="0" w:color="auto"/>
            <w:right w:val="none" w:sz="0" w:space="0" w:color="auto"/>
          </w:divBdr>
        </w:div>
        <w:div w:id="1312367662">
          <w:marLeft w:val="0"/>
          <w:marRight w:val="0"/>
          <w:marTop w:val="0"/>
          <w:marBottom w:val="0"/>
          <w:divBdr>
            <w:top w:val="none" w:sz="0" w:space="0" w:color="auto"/>
            <w:left w:val="none" w:sz="0" w:space="0" w:color="auto"/>
            <w:bottom w:val="none" w:sz="0" w:space="0" w:color="auto"/>
            <w:right w:val="none" w:sz="0" w:space="0" w:color="auto"/>
          </w:divBdr>
        </w:div>
        <w:div w:id="175774388">
          <w:marLeft w:val="0"/>
          <w:marRight w:val="0"/>
          <w:marTop w:val="0"/>
          <w:marBottom w:val="0"/>
          <w:divBdr>
            <w:top w:val="none" w:sz="0" w:space="0" w:color="auto"/>
            <w:left w:val="none" w:sz="0" w:space="0" w:color="auto"/>
            <w:bottom w:val="none" w:sz="0" w:space="0" w:color="auto"/>
            <w:right w:val="none" w:sz="0" w:space="0" w:color="auto"/>
          </w:divBdr>
        </w:div>
        <w:div w:id="1994215925">
          <w:marLeft w:val="0"/>
          <w:marRight w:val="0"/>
          <w:marTop w:val="0"/>
          <w:marBottom w:val="0"/>
          <w:divBdr>
            <w:top w:val="none" w:sz="0" w:space="0" w:color="auto"/>
            <w:left w:val="none" w:sz="0" w:space="0" w:color="auto"/>
            <w:bottom w:val="none" w:sz="0" w:space="0" w:color="auto"/>
            <w:right w:val="none" w:sz="0" w:space="0" w:color="auto"/>
          </w:divBdr>
        </w:div>
        <w:div w:id="1215385845">
          <w:marLeft w:val="0"/>
          <w:marRight w:val="0"/>
          <w:marTop w:val="0"/>
          <w:marBottom w:val="0"/>
          <w:divBdr>
            <w:top w:val="none" w:sz="0" w:space="0" w:color="auto"/>
            <w:left w:val="none" w:sz="0" w:space="0" w:color="auto"/>
            <w:bottom w:val="none" w:sz="0" w:space="0" w:color="auto"/>
            <w:right w:val="none" w:sz="0" w:space="0" w:color="auto"/>
          </w:divBdr>
        </w:div>
        <w:div w:id="1746679040">
          <w:marLeft w:val="0"/>
          <w:marRight w:val="0"/>
          <w:marTop w:val="0"/>
          <w:marBottom w:val="0"/>
          <w:divBdr>
            <w:top w:val="none" w:sz="0" w:space="0" w:color="auto"/>
            <w:left w:val="none" w:sz="0" w:space="0" w:color="auto"/>
            <w:bottom w:val="none" w:sz="0" w:space="0" w:color="auto"/>
            <w:right w:val="none" w:sz="0" w:space="0" w:color="auto"/>
          </w:divBdr>
        </w:div>
        <w:div w:id="1634675516">
          <w:marLeft w:val="0"/>
          <w:marRight w:val="0"/>
          <w:marTop w:val="0"/>
          <w:marBottom w:val="0"/>
          <w:divBdr>
            <w:top w:val="none" w:sz="0" w:space="0" w:color="auto"/>
            <w:left w:val="none" w:sz="0" w:space="0" w:color="auto"/>
            <w:bottom w:val="none" w:sz="0" w:space="0" w:color="auto"/>
            <w:right w:val="none" w:sz="0" w:space="0" w:color="auto"/>
          </w:divBdr>
        </w:div>
      </w:divsChild>
    </w:div>
    <w:div w:id="956181969">
      <w:bodyDiv w:val="1"/>
      <w:marLeft w:val="0"/>
      <w:marRight w:val="0"/>
      <w:marTop w:val="0"/>
      <w:marBottom w:val="0"/>
      <w:divBdr>
        <w:top w:val="none" w:sz="0" w:space="0" w:color="auto"/>
        <w:left w:val="none" w:sz="0" w:space="0" w:color="auto"/>
        <w:bottom w:val="none" w:sz="0" w:space="0" w:color="auto"/>
        <w:right w:val="none" w:sz="0" w:space="0" w:color="auto"/>
      </w:divBdr>
      <w:divsChild>
        <w:div w:id="1962372404">
          <w:marLeft w:val="0"/>
          <w:marRight w:val="0"/>
          <w:marTop w:val="0"/>
          <w:marBottom w:val="0"/>
          <w:divBdr>
            <w:top w:val="none" w:sz="0" w:space="0" w:color="auto"/>
            <w:left w:val="none" w:sz="0" w:space="0" w:color="auto"/>
            <w:bottom w:val="none" w:sz="0" w:space="0" w:color="auto"/>
            <w:right w:val="none" w:sz="0" w:space="0" w:color="auto"/>
          </w:divBdr>
        </w:div>
        <w:div w:id="58793797">
          <w:marLeft w:val="0"/>
          <w:marRight w:val="0"/>
          <w:marTop w:val="0"/>
          <w:marBottom w:val="0"/>
          <w:divBdr>
            <w:top w:val="none" w:sz="0" w:space="0" w:color="auto"/>
            <w:left w:val="none" w:sz="0" w:space="0" w:color="auto"/>
            <w:bottom w:val="none" w:sz="0" w:space="0" w:color="auto"/>
            <w:right w:val="none" w:sz="0" w:space="0" w:color="auto"/>
          </w:divBdr>
          <w:divsChild>
            <w:div w:id="5069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0361">
      <w:bodyDiv w:val="1"/>
      <w:marLeft w:val="0"/>
      <w:marRight w:val="0"/>
      <w:marTop w:val="0"/>
      <w:marBottom w:val="0"/>
      <w:divBdr>
        <w:top w:val="none" w:sz="0" w:space="0" w:color="auto"/>
        <w:left w:val="none" w:sz="0" w:space="0" w:color="auto"/>
        <w:bottom w:val="none" w:sz="0" w:space="0" w:color="auto"/>
        <w:right w:val="none" w:sz="0" w:space="0" w:color="auto"/>
      </w:divBdr>
    </w:div>
    <w:div w:id="1039819947">
      <w:bodyDiv w:val="1"/>
      <w:marLeft w:val="0"/>
      <w:marRight w:val="0"/>
      <w:marTop w:val="0"/>
      <w:marBottom w:val="0"/>
      <w:divBdr>
        <w:top w:val="none" w:sz="0" w:space="0" w:color="auto"/>
        <w:left w:val="none" w:sz="0" w:space="0" w:color="auto"/>
        <w:bottom w:val="none" w:sz="0" w:space="0" w:color="auto"/>
        <w:right w:val="none" w:sz="0" w:space="0" w:color="auto"/>
      </w:divBdr>
      <w:divsChild>
        <w:div w:id="1166552661">
          <w:marLeft w:val="0"/>
          <w:marRight w:val="0"/>
          <w:marTop w:val="0"/>
          <w:marBottom w:val="0"/>
          <w:divBdr>
            <w:top w:val="none" w:sz="0" w:space="0" w:color="auto"/>
            <w:left w:val="none" w:sz="0" w:space="0" w:color="auto"/>
            <w:bottom w:val="none" w:sz="0" w:space="0" w:color="auto"/>
            <w:right w:val="none" w:sz="0" w:space="0" w:color="auto"/>
          </w:divBdr>
          <w:divsChild>
            <w:div w:id="1596934392">
              <w:marLeft w:val="0"/>
              <w:marRight w:val="0"/>
              <w:marTop w:val="0"/>
              <w:marBottom w:val="0"/>
              <w:divBdr>
                <w:top w:val="none" w:sz="0" w:space="0" w:color="auto"/>
                <w:left w:val="none" w:sz="0" w:space="0" w:color="auto"/>
                <w:bottom w:val="none" w:sz="0" w:space="0" w:color="auto"/>
                <w:right w:val="none" w:sz="0" w:space="0" w:color="auto"/>
              </w:divBdr>
              <w:divsChild>
                <w:div w:id="995763065">
                  <w:marLeft w:val="0"/>
                  <w:marRight w:val="0"/>
                  <w:marTop w:val="0"/>
                  <w:marBottom w:val="0"/>
                  <w:divBdr>
                    <w:top w:val="none" w:sz="0" w:space="0" w:color="auto"/>
                    <w:left w:val="none" w:sz="0" w:space="0" w:color="auto"/>
                    <w:bottom w:val="none" w:sz="0" w:space="0" w:color="auto"/>
                    <w:right w:val="none" w:sz="0" w:space="0" w:color="auto"/>
                  </w:divBdr>
                </w:div>
              </w:divsChild>
            </w:div>
            <w:div w:id="2041665644">
              <w:marLeft w:val="0"/>
              <w:marRight w:val="0"/>
              <w:marTop w:val="0"/>
              <w:marBottom w:val="0"/>
              <w:divBdr>
                <w:top w:val="none" w:sz="0" w:space="0" w:color="auto"/>
                <w:left w:val="none" w:sz="0" w:space="0" w:color="auto"/>
                <w:bottom w:val="none" w:sz="0" w:space="0" w:color="auto"/>
                <w:right w:val="none" w:sz="0" w:space="0" w:color="auto"/>
              </w:divBdr>
              <w:divsChild>
                <w:div w:id="20474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7101">
          <w:marLeft w:val="0"/>
          <w:marRight w:val="0"/>
          <w:marTop w:val="0"/>
          <w:marBottom w:val="0"/>
          <w:divBdr>
            <w:top w:val="none" w:sz="0" w:space="0" w:color="auto"/>
            <w:left w:val="none" w:sz="0" w:space="0" w:color="auto"/>
            <w:bottom w:val="none" w:sz="0" w:space="0" w:color="auto"/>
            <w:right w:val="none" w:sz="0" w:space="0" w:color="auto"/>
          </w:divBdr>
          <w:divsChild>
            <w:div w:id="1253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7782">
      <w:bodyDiv w:val="1"/>
      <w:marLeft w:val="0"/>
      <w:marRight w:val="0"/>
      <w:marTop w:val="0"/>
      <w:marBottom w:val="0"/>
      <w:divBdr>
        <w:top w:val="none" w:sz="0" w:space="0" w:color="auto"/>
        <w:left w:val="none" w:sz="0" w:space="0" w:color="auto"/>
        <w:bottom w:val="none" w:sz="0" w:space="0" w:color="auto"/>
        <w:right w:val="none" w:sz="0" w:space="0" w:color="auto"/>
      </w:divBdr>
      <w:divsChild>
        <w:div w:id="815797538">
          <w:marLeft w:val="0"/>
          <w:marRight w:val="0"/>
          <w:marTop w:val="0"/>
          <w:marBottom w:val="0"/>
          <w:divBdr>
            <w:top w:val="none" w:sz="0" w:space="0" w:color="auto"/>
            <w:left w:val="none" w:sz="0" w:space="0" w:color="auto"/>
            <w:bottom w:val="none" w:sz="0" w:space="0" w:color="auto"/>
            <w:right w:val="none" w:sz="0" w:space="0" w:color="auto"/>
          </w:divBdr>
        </w:div>
        <w:div w:id="973364703">
          <w:marLeft w:val="0"/>
          <w:marRight w:val="0"/>
          <w:marTop w:val="0"/>
          <w:marBottom w:val="0"/>
          <w:divBdr>
            <w:top w:val="none" w:sz="0" w:space="0" w:color="auto"/>
            <w:left w:val="none" w:sz="0" w:space="0" w:color="auto"/>
            <w:bottom w:val="none" w:sz="0" w:space="0" w:color="auto"/>
            <w:right w:val="none" w:sz="0" w:space="0" w:color="auto"/>
          </w:divBdr>
        </w:div>
      </w:divsChild>
    </w:div>
    <w:div w:id="1279794513">
      <w:bodyDiv w:val="1"/>
      <w:marLeft w:val="0"/>
      <w:marRight w:val="0"/>
      <w:marTop w:val="0"/>
      <w:marBottom w:val="0"/>
      <w:divBdr>
        <w:top w:val="none" w:sz="0" w:space="0" w:color="auto"/>
        <w:left w:val="none" w:sz="0" w:space="0" w:color="auto"/>
        <w:bottom w:val="none" w:sz="0" w:space="0" w:color="auto"/>
        <w:right w:val="none" w:sz="0" w:space="0" w:color="auto"/>
      </w:divBdr>
      <w:divsChild>
        <w:div w:id="201796630">
          <w:marLeft w:val="0"/>
          <w:marRight w:val="0"/>
          <w:marTop w:val="0"/>
          <w:marBottom w:val="0"/>
          <w:divBdr>
            <w:top w:val="none" w:sz="0" w:space="0" w:color="auto"/>
            <w:left w:val="none" w:sz="0" w:space="0" w:color="auto"/>
            <w:bottom w:val="none" w:sz="0" w:space="0" w:color="auto"/>
            <w:right w:val="none" w:sz="0" w:space="0" w:color="auto"/>
          </w:divBdr>
        </w:div>
        <w:div w:id="1433935912">
          <w:marLeft w:val="0"/>
          <w:marRight w:val="0"/>
          <w:marTop w:val="0"/>
          <w:marBottom w:val="0"/>
          <w:divBdr>
            <w:top w:val="none" w:sz="0" w:space="0" w:color="auto"/>
            <w:left w:val="none" w:sz="0" w:space="0" w:color="auto"/>
            <w:bottom w:val="none" w:sz="0" w:space="0" w:color="auto"/>
            <w:right w:val="none" w:sz="0" w:space="0" w:color="auto"/>
          </w:divBdr>
        </w:div>
        <w:div w:id="804470436">
          <w:marLeft w:val="0"/>
          <w:marRight w:val="0"/>
          <w:marTop w:val="0"/>
          <w:marBottom w:val="0"/>
          <w:divBdr>
            <w:top w:val="none" w:sz="0" w:space="0" w:color="auto"/>
            <w:left w:val="none" w:sz="0" w:space="0" w:color="auto"/>
            <w:bottom w:val="none" w:sz="0" w:space="0" w:color="auto"/>
            <w:right w:val="none" w:sz="0" w:space="0" w:color="auto"/>
          </w:divBdr>
        </w:div>
        <w:div w:id="927079884">
          <w:marLeft w:val="0"/>
          <w:marRight w:val="0"/>
          <w:marTop w:val="0"/>
          <w:marBottom w:val="0"/>
          <w:divBdr>
            <w:top w:val="none" w:sz="0" w:space="0" w:color="auto"/>
            <w:left w:val="none" w:sz="0" w:space="0" w:color="auto"/>
            <w:bottom w:val="none" w:sz="0" w:space="0" w:color="auto"/>
            <w:right w:val="none" w:sz="0" w:space="0" w:color="auto"/>
          </w:divBdr>
        </w:div>
        <w:div w:id="930285112">
          <w:marLeft w:val="0"/>
          <w:marRight w:val="0"/>
          <w:marTop w:val="0"/>
          <w:marBottom w:val="0"/>
          <w:divBdr>
            <w:top w:val="none" w:sz="0" w:space="0" w:color="auto"/>
            <w:left w:val="none" w:sz="0" w:space="0" w:color="auto"/>
            <w:bottom w:val="none" w:sz="0" w:space="0" w:color="auto"/>
            <w:right w:val="none" w:sz="0" w:space="0" w:color="auto"/>
          </w:divBdr>
        </w:div>
        <w:div w:id="151724254">
          <w:marLeft w:val="0"/>
          <w:marRight w:val="0"/>
          <w:marTop w:val="0"/>
          <w:marBottom w:val="0"/>
          <w:divBdr>
            <w:top w:val="none" w:sz="0" w:space="0" w:color="auto"/>
            <w:left w:val="none" w:sz="0" w:space="0" w:color="auto"/>
            <w:bottom w:val="none" w:sz="0" w:space="0" w:color="auto"/>
            <w:right w:val="none" w:sz="0" w:space="0" w:color="auto"/>
          </w:divBdr>
        </w:div>
        <w:div w:id="1913008142">
          <w:marLeft w:val="0"/>
          <w:marRight w:val="0"/>
          <w:marTop w:val="0"/>
          <w:marBottom w:val="0"/>
          <w:divBdr>
            <w:top w:val="none" w:sz="0" w:space="0" w:color="auto"/>
            <w:left w:val="none" w:sz="0" w:space="0" w:color="auto"/>
            <w:bottom w:val="none" w:sz="0" w:space="0" w:color="auto"/>
            <w:right w:val="none" w:sz="0" w:space="0" w:color="auto"/>
          </w:divBdr>
        </w:div>
        <w:div w:id="671226631">
          <w:marLeft w:val="0"/>
          <w:marRight w:val="0"/>
          <w:marTop w:val="0"/>
          <w:marBottom w:val="0"/>
          <w:divBdr>
            <w:top w:val="none" w:sz="0" w:space="0" w:color="auto"/>
            <w:left w:val="none" w:sz="0" w:space="0" w:color="auto"/>
            <w:bottom w:val="none" w:sz="0" w:space="0" w:color="auto"/>
            <w:right w:val="none" w:sz="0" w:space="0" w:color="auto"/>
          </w:divBdr>
        </w:div>
        <w:div w:id="1800219487">
          <w:marLeft w:val="0"/>
          <w:marRight w:val="0"/>
          <w:marTop w:val="0"/>
          <w:marBottom w:val="0"/>
          <w:divBdr>
            <w:top w:val="none" w:sz="0" w:space="0" w:color="auto"/>
            <w:left w:val="none" w:sz="0" w:space="0" w:color="auto"/>
            <w:bottom w:val="none" w:sz="0" w:space="0" w:color="auto"/>
            <w:right w:val="none" w:sz="0" w:space="0" w:color="auto"/>
          </w:divBdr>
        </w:div>
        <w:div w:id="1953708399">
          <w:marLeft w:val="0"/>
          <w:marRight w:val="0"/>
          <w:marTop w:val="0"/>
          <w:marBottom w:val="0"/>
          <w:divBdr>
            <w:top w:val="none" w:sz="0" w:space="0" w:color="auto"/>
            <w:left w:val="none" w:sz="0" w:space="0" w:color="auto"/>
            <w:bottom w:val="none" w:sz="0" w:space="0" w:color="auto"/>
            <w:right w:val="none" w:sz="0" w:space="0" w:color="auto"/>
          </w:divBdr>
        </w:div>
        <w:div w:id="1635483438">
          <w:marLeft w:val="0"/>
          <w:marRight w:val="0"/>
          <w:marTop w:val="0"/>
          <w:marBottom w:val="0"/>
          <w:divBdr>
            <w:top w:val="none" w:sz="0" w:space="0" w:color="auto"/>
            <w:left w:val="none" w:sz="0" w:space="0" w:color="auto"/>
            <w:bottom w:val="none" w:sz="0" w:space="0" w:color="auto"/>
            <w:right w:val="none" w:sz="0" w:space="0" w:color="auto"/>
          </w:divBdr>
        </w:div>
        <w:div w:id="906887580">
          <w:marLeft w:val="0"/>
          <w:marRight w:val="0"/>
          <w:marTop w:val="0"/>
          <w:marBottom w:val="0"/>
          <w:divBdr>
            <w:top w:val="none" w:sz="0" w:space="0" w:color="auto"/>
            <w:left w:val="none" w:sz="0" w:space="0" w:color="auto"/>
            <w:bottom w:val="none" w:sz="0" w:space="0" w:color="auto"/>
            <w:right w:val="none" w:sz="0" w:space="0" w:color="auto"/>
          </w:divBdr>
        </w:div>
        <w:div w:id="868417902">
          <w:marLeft w:val="0"/>
          <w:marRight w:val="0"/>
          <w:marTop w:val="0"/>
          <w:marBottom w:val="0"/>
          <w:divBdr>
            <w:top w:val="none" w:sz="0" w:space="0" w:color="auto"/>
            <w:left w:val="none" w:sz="0" w:space="0" w:color="auto"/>
            <w:bottom w:val="none" w:sz="0" w:space="0" w:color="auto"/>
            <w:right w:val="none" w:sz="0" w:space="0" w:color="auto"/>
          </w:divBdr>
        </w:div>
        <w:div w:id="1702854644">
          <w:marLeft w:val="0"/>
          <w:marRight w:val="0"/>
          <w:marTop w:val="0"/>
          <w:marBottom w:val="0"/>
          <w:divBdr>
            <w:top w:val="none" w:sz="0" w:space="0" w:color="auto"/>
            <w:left w:val="none" w:sz="0" w:space="0" w:color="auto"/>
            <w:bottom w:val="none" w:sz="0" w:space="0" w:color="auto"/>
            <w:right w:val="none" w:sz="0" w:space="0" w:color="auto"/>
          </w:divBdr>
        </w:div>
        <w:div w:id="1886407029">
          <w:marLeft w:val="0"/>
          <w:marRight w:val="0"/>
          <w:marTop w:val="0"/>
          <w:marBottom w:val="0"/>
          <w:divBdr>
            <w:top w:val="none" w:sz="0" w:space="0" w:color="auto"/>
            <w:left w:val="none" w:sz="0" w:space="0" w:color="auto"/>
            <w:bottom w:val="none" w:sz="0" w:space="0" w:color="auto"/>
            <w:right w:val="none" w:sz="0" w:space="0" w:color="auto"/>
          </w:divBdr>
        </w:div>
        <w:div w:id="888105349">
          <w:marLeft w:val="0"/>
          <w:marRight w:val="0"/>
          <w:marTop w:val="0"/>
          <w:marBottom w:val="0"/>
          <w:divBdr>
            <w:top w:val="none" w:sz="0" w:space="0" w:color="auto"/>
            <w:left w:val="none" w:sz="0" w:space="0" w:color="auto"/>
            <w:bottom w:val="none" w:sz="0" w:space="0" w:color="auto"/>
            <w:right w:val="none" w:sz="0" w:space="0" w:color="auto"/>
          </w:divBdr>
        </w:div>
      </w:divsChild>
    </w:div>
    <w:div w:id="1381242456">
      <w:bodyDiv w:val="1"/>
      <w:marLeft w:val="0"/>
      <w:marRight w:val="0"/>
      <w:marTop w:val="0"/>
      <w:marBottom w:val="0"/>
      <w:divBdr>
        <w:top w:val="none" w:sz="0" w:space="0" w:color="auto"/>
        <w:left w:val="none" w:sz="0" w:space="0" w:color="auto"/>
        <w:bottom w:val="none" w:sz="0" w:space="0" w:color="auto"/>
        <w:right w:val="none" w:sz="0" w:space="0" w:color="auto"/>
      </w:divBdr>
      <w:divsChild>
        <w:div w:id="330838028">
          <w:marLeft w:val="0"/>
          <w:marRight w:val="0"/>
          <w:marTop w:val="0"/>
          <w:marBottom w:val="0"/>
          <w:divBdr>
            <w:top w:val="none" w:sz="0" w:space="0" w:color="auto"/>
            <w:left w:val="none" w:sz="0" w:space="0" w:color="auto"/>
            <w:bottom w:val="none" w:sz="0" w:space="0" w:color="auto"/>
            <w:right w:val="none" w:sz="0" w:space="0" w:color="auto"/>
          </w:divBdr>
        </w:div>
      </w:divsChild>
    </w:div>
    <w:div w:id="1605311046">
      <w:bodyDiv w:val="1"/>
      <w:marLeft w:val="0"/>
      <w:marRight w:val="0"/>
      <w:marTop w:val="0"/>
      <w:marBottom w:val="0"/>
      <w:divBdr>
        <w:top w:val="none" w:sz="0" w:space="0" w:color="auto"/>
        <w:left w:val="none" w:sz="0" w:space="0" w:color="auto"/>
        <w:bottom w:val="none" w:sz="0" w:space="0" w:color="auto"/>
        <w:right w:val="none" w:sz="0" w:space="0" w:color="auto"/>
      </w:divBdr>
      <w:divsChild>
        <w:div w:id="61293260">
          <w:marLeft w:val="0"/>
          <w:marRight w:val="0"/>
          <w:marTop w:val="0"/>
          <w:marBottom w:val="0"/>
          <w:divBdr>
            <w:top w:val="none" w:sz="0" w:space="0" w:color="auto"/>
            <w:left w:val="none" w:sz="0" w:space="0" w:color="auto"/>
            <w:bottom w:val="none" w:sz="0" w:space="0" w:color="auto"/>
            <w:right w:val="none" w:sz="0" w:space="0" w:color="auto"/>
          </w:divBdr>
          <w:divsChild>
            <w:div w:id="1819879580">
              <w:marLeft w:val="0"/>
              <w:marRight w:val="0"/>
              <w:marTop w:val="0"/>
              <w:marBottom w:val="0"/>
              <w:divBdr>
                <w:top w:val="none" w:sz="0" w:space="0" w:color="auto"/>
                <w:left w:val="none" w:sz="0" w:space="0" w:color="auto"/>
                <w:bottom w:val="none" w:sz="0" w:space="0" w:color="auto"/>
                <w:right w:val="none" w:sz="0" w:space="0" w:color="auto"/>
              </w:divBdr>
            </w:div>
          </w:divsChild>
        </w:div>
        <w:div w:id="1967657561">
          <w:marLeft w:val="0"/>
          <w:marRight w:val="0"/>
          <w:marTop w:val="0"/>
          <w:marBottom w:val="0"/>
          <w:divBdr>
            <w:top w:val="none" w:sz="0" w:space="0" w:color="auto"/>
            <w:left w:val="none" w:sz="0" w:space="0" w:color="auto"/>
            <w:bottom w:val="none" w:sz="0" w:space="0" w:color="auto"/>
            <w:right w:val="none" w:sz="0" w:space="0" w:color="auto"/>
          </w:divBdr>
          <w:divsChild>
            <w:div w:id="4815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3812">
      <w:bodyDiv w:val="1"/>
      <w:marLeft w:val="0"/>
      <w:marRight w:val="0"/>
      <w:marTop w:val="0"/>
      <w:marBottom w:val="0"/>
      <w:divBdr>
        <w:top w:val="none" w:sz="0" w:space="0" w:color="auto"/>
        <w:left w:val="none" w:sz="0" w:space="0" w:color="auto"/>
        <w:bottom w:val="none" w:sz="0" w:space="0" w:color="auto"/>
        <w:right w:val="none" w:sz="0" w:space="0" w:color="auto"/>
      </w:divBdr>
    </w:div>
    <w:div w:id="1760833412">
      <w:bodyDiv w:val="1"/>
      <w:marLeft w:val="0"/>
      <w:marRight w:val="0"/>
      <w:marTop w:val="0"/>
      <w:marBottom w:val="0"/>
      <w:divBdr>
        <w:top w:val="none" w:sz="0" w:space="0" w:color="auto"/>
        <w:left w:val="none" w:sz="0" w:space="0" w:color="auto"/>
        <w:bottom w:val="none" w:sz="0" w:space="0" w:color="auto"/>
        <w:right w:val="none" w:sz="0" w:space="0" w:color="auto"/>
      </w:divBdr>
      <w:divsChild>
        <w:div w:id="1763715894">
          <w:marLeft w:val="0"/>
          <w:marRight w:val="0"/>
          <w:marTop w:val="0"/>
          <w:marBottom w:val="0"/>
          <w:divBdr>
            <w:top w:val="none" w:sz="0" w:space="0" w:color="auto"/>
            <w:left w:val="none" w:sz="0" w:space="0" w:color="auto"/>
            <w:bottom w:val="none" w:sz="0" w:space="0" w:color="auto"/>
            <w:right w:val="none" w:sz="0" w:space="0" w:color="auto"/>
          </w:divBdr>
          <w:divsChild>
            <w:div w:id="107749197">
              <w:marLeft w:val="0"/>
              <w:marRight w:val="0"/>
              <w:marTop w:val="0"/>
              <w:marBottom w:val="0"/>
              <w:divBdr>
                <w:top w:val="none" w:sz="0" w:space="0" w:color="auto"/>
                <w:left w:val="none" w:sz="0" w:space="0" w:color="auto"/>
                <w:bottom w:val="none" w:sz="0" w:space="0" w:color="auto"/>
                <w:right w:val="none" w:sz="0" w:space="0" w:color="auto"/>
              </w:divBdr>
              <w:divsChild>
                <w:div w:id="5140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2817">
      <w:bodyDiv w:val="1"/>
      <w:marLeft w:val="0"/>
      <w:marRight w:val="0"/>
      <w:marTop w:val="0"/>
      <w:marBottom w:val="0"/>
      <w:divBdr>
        <w:top w:val="none" w:sz="0" w:space="0" w:color="auto"/>
        <w:left w:val="none" w:sz="0" w:space="0" w:color="auto"/>
        <w:bottom w:val="none" w:sz="0" w:space="0" w:color="auto"/>
        <w:right w:val="none" w:sz="0" w:space="0" w:color="auto"/>
      </w:divBdr>
      <w:divsChild>
        <w:div w:id="1824856665">
          <w:marLeft w:val="0"/>
          <w:marRight w:val="0"/>
          <w:marTop w:val="0"/>
          <w:marBottom w:val="0"/>
          <w:divBdr>
            <w:top w:val="none" w:sz="0" w:space="0" w:color="auto"/>
            <w:left w:val="none" w:sz="0" w:space="0" w:color="auto"/>
            <w:bottom w:val="none" w:sz="0" w:space="0" w:color="auto"/>
            <w:right w:val="none" w:sz="0" w:space="0" w:color="auto"/>
          </w:divBdr>
        </w:div>
      </w:divsChild>
    </w:div>
    <w:div w:id="1773043711">
      <w:bodyDiv w:val="1"/>
      <w:marLeft w:val="0"/>
      <w:marRight w:val="0"/>
      <w:marTop w:val="0"/>
      <w:marBottom w:val="0"/>
      <w:divBdr>
        <w:top w:val="none" w:sz="0" w:space="0" w:color="auto"/>
        <w:left w:val="none" w:sz="0" w:space="0" w:color="auto"/>
        <w:bottom w:val="none" w:sz="0" w:space="0" w:color="auto"/>
        <w:right w:val="none" w:sz="0" w:space="0" w:color="auto"/>
      </w:divBdr>
      <w:divsChild>
        <w:div w:id="1017778180">
          <w:marLeft w:val="0"/>
          <w:marRight w:val="0"/>
          <w:marTop w:val="0"/>
          <w:marBottom w:val="0"/>
          <w:divBdr>
            <w:top w:val="none" w:sz="0" w:space="0" w:color="auto"/>
            <w:left w:val="none" w:sz="0" w:space="0" w:color="auto"/>
            <w:bottom w:val="none" w:sz="0" w:space="0" w:color="auto"/>
            <w:right w:val="none" w:sz="0" w:space="0" w:color="auto"/>
          </w:divBdr>
        </w:div>
      </w:divsChild>
    </w:div>
    <w:div w:id="1820921863">
      <w:bodyDiv w:val="1"/>
      <w:marLeft w:val="0"/>
      <w:marRight w:val="0"/>
      <w:marTop w:val="0"/>
      <w:marBottom w:val="0"/>
      <w:divBdr>
        <w:top w:val="none" w:sz="0" w:space="0" w:color="auto"/>
        <w:left w:val="none" w:sz="0" w:space="0" w:color="auto"/>
        <w:bottom w:val="none" w:sz="0" w:space="0" w:color="auto"/>
        <w:right w:val="none" w:sz="0" w:space="0" w:color="auto"/>
      </w:divBdr>
      <w:divsChild>
        <w:div w:id="1939633570">
          <w:marLeft w:val="0"/>
          <w:marRight w:val="0"/>
          <w:marTop w:val="0"/>
          <w:marBottom w:val="0"/>
          <w:divBdr>
            <w:top w:val="none" w:sz="0" w:space="0" w:color="auto"/>
            <w:left w:val="none" w:sz="0" w:space="0" w:color="auto"/>
            <w:bottom w:val="none" w:sz="0" w:space="0" w:color="auto"/>
            <w:right w:val="none" w:sz="0" w:space="0" w:color="auto"/>
          </w:divBdr>
        </w:div>
      </w:divsChild>
    </w:div>
    <w:div w:id="1870335761">
      <w:bodyDiv w:val="1"/>
      <w:marLeft w:val="0"/>
      <w:marRight w:val="0"/>
      <w:marTop w:val="0"/>
      <w:marBottom w:val="0"/>
      <w:divBdr>
        <w:top w:val="none" w:sz="0" w:space="0" w:color="auto"/>
        <w:left w:val="none" w:sz="0" w:space="0" w:color="auto"/>
        <w:bottom w:val="none" w:sz="0" w:space="0" w:color="auto"/>
        <w:right w:val="none" w:sz="0" w:space="0" w:color="auto"/>
      </w:divBdr>
      <w:divsChild>
        <w:div w:id="56327206">
          <w:marLeft w:val="0"/>
          <w:marRight w:val="0"/>
          <w:marTop w:val="0"/>
          <w:marBottom w:val="0"/>
          <w:divBdr>
            <w:top w:val="none" w:sz="0" w:space="0" w:color="auto"/>
            <w:left w:val="none" w:sz="0" w:space="0" w:color="auto"/>
            <w:bottom w:val="none" w:sz="0" w:space="0" w:color="auto"/>
            <w:right w:val="none" w:sz="0" w:space="0" w:color="auto"/>
          </w:divBdr>
          <w:divsChild>
            <w:div w:id="243879254">
              <w:marLeft w:val="0"/>
              <w:marRight w:val="0"/>
              <w:marTop w:val="0"/>
              <w:marBottom w:val="0"/>
              <w:divBdr>
                <w:top w:val="none" w:sz="0" w:space="0" w:color="auto"/>
                <w:left w:val="none" w:sz="0" w:space="0" w:color="auto"/>
                <w:bottom w:val="none" w:sz="0" w:space="0" w:color="auto"/>
                <w:right w:val="none" w:sz="0" w:space="0" w:color="auto"/>
              </w:divBdr>
            </w:div>
          </w:divsChild>
        </w:div>
        <w:div w:id="2134596113">
          <w:marLeft w:val="0"/>
          <w:marRight w:val="0"/>
          <w:marTop w:val="0"/>
          <w:marBottom w:val="0"/>
          <w:divBdr>
            <w:top w:val="none" w:sz="0" w:space="0" w:color="auto"/>
            <w:left w:val="none" w:sz="0" w:space="0" w:color="auto"/>
            <w:bottom w:val="none" w:sz="0" w:space="0" w:color="auto"/>
            <w:right w:val="none" w:sz="0" w:space="0" w:color="auto"/>
          </w:divBdr>
          <w:divsChild>
            <w:div w:id="14796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573">
      <w:bodyDiv w:val="1"/>
      <w:marLeft w:val="0"/>
      <w:marRight w:val="0"/>
      <w:marTop w:val="0"/>
      <w:marBottom w:val="0"/>
      <w:divBdr>
        <w:top w:val="none" w:sz="0" w:space="0" w:color="auto"/>
        <w:left w:val="none" w:sz="0" w:space="0" w:color="auto"/>
        <w:bottom w:val="none" w:sz="0" w:space="0" w:color="auto"/>
        <w:right w:val="none" w:sz="0" w:space="0" w:color="auto"/>
      </w:divBdr>
      <w:divsChild>
        <w:div w:id="383455209">
          <w:marLeft w:val="0"/>
          <w:marRight w:val="0"/>
          <w:marTop w:val="0"/>
          <w:marBottom w:val="0"/>
          <w:divBdr>
            <w:top w:val="none" w:sz="0" w:space="0" w:color="auto"/>
            <w:left w:val="none" w:sz="0" w:space="0" w:color="auto"/>
            <w:bottom w:val="none" w:sz="0" w:space="0" w:color="auto"/>
            <w:right w:val="none" w:sz="0" w:space="0" w:color="auto"/>
          </w:divBdr>
          <w:divsChild>
            <w:div w:id="1010451715">
              <w:marLeft w:val="0"/>
              <w:marRight w:val="0"/>
              <w:marTop w:val="0"/>
              <w:marBottom w:val="0"/>
              <w:divBdr>
                <w:top w:val="none" w:sz="0" w:space="0" w:color="auto"/>
                <w:left w:val="none" w:sz="0" w:space="0" w:color="auto"/>
                <w:bottom w:val="none" w:sz="0" w:space="0" w:color="auto"/>
                <w:right w:val="none" w:sz="0" w:space="0" w:color="auto"/>
              </w:divBdr>
            </w:div>
          </w:divsChild>
        </w:div>
        <w:div w:id="564418582">
          <w:marLeft w:val="0"/>
          <w:marRight w:val="0"/>
          <w:marTop w:val="0"/>
          <w:marBottom w:val="0"/>
          <w:divBdr>
            <w:top w:val="none" w:sz="0" w:space="0" w:color="auto"/>
            <w:left w:val="none" w:sz="0" w:space="0" w:color="auto"/>
            <w:bottom w:val="none" w:sz="0" w:space="0" w:color="auto"/>
            <w:right w:val="none" w:sz="0" w:space="0" w:color="auto"/>
          </w:divBdr>
          <w:divsChild>
            <w:div w:id="2038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3079">
      <w:bodyDiv w:val="1"/>
      <w:marLeft w:val="0"/>
      <w:marRight w:val="0"/>
      <w:marTop w:val="0"/>
      <w:marBottom w:val="0"/>
      <w:divBdr>
        <w:top w:val="none" w:sz="0" w:space="0" w:color="auto"/>
        <w:left w:val="none" w:sz="0" w:space="0" w:color="auto"/>
        <w:bottom w:val="none" w:sz="0" w:space="0" w:color="auto"/>
        <w:right w:val="none" w:sz="0" w:space="0" w:color="auto"/>
      </w:divBdr>
      <w:divsChild>
        <w:div w:id="582490697">
          <w:marLeft w:val="0"/>
          <w:marRight w:val="0"/>
          <w:marTop w:val="0"/>
          <w:marBottom w:val="0"/>
          <w:divBdr>
            <w:top w:val="none" w:sz="0" w:space="0" w:color="auto"/>
            <w:left w:val="none" w:sz="0" w:space="0" w:color="auto"/>
            <w:bottom w:val="none" w:sz="0" w:space="0" w:color="auto"/>
            <w:right w:val="none" w:sz="0" w:space="0" w:color="auto"/>
          </w:divBdr>
          <w:divsChild>
            <w:div w:id="160968551">
              <w:marLeft w:val="0"/>
              <w:marRight w:val="0"/>
              <w:marTop w:val="0"/>
              <w:marBottom w:val="0"/>
              <w:divBdr>
                <w:top w:val="none" w:sz="0" w:space="0" w:color="auto"/>
                <w:left w:val="none" w:sz="0" w:space="0" w:color="auto"/>
                <w:bottom w:val="none" w:sz="0" w:space="0" w:color="auto"/>
                <w:right w:val="none" w:sz="0" w:space="0" w:color="auto"/>
              </w:divBdr>
            </w:div>
          </w:divsChild>
        </w:div>
        <w:div w:id="1640112015">
          <w:marLeft w:val="0"/>
          <w:marRight w:val="0"/>
          <w:marTop w:val="0"/>
          <w:marBottom w:val="0"/>
          <w:divBdr>
            <w:top w:val="none" w:sz="0" w:space="0" w:color="auto"/>
            <w:left w:val="none" w:sz="0" w:space="0" w:color="auto"/>
            <w:bottom w:val="none" w:sz="0" w:space="0" w:color="auto"/>
            <w:right w:val="none" w:sz="0" w:space="0" w:color="auto"/>
          </w:divBdr>
          <w:divsChild>
            <w:div w:id="1976522003">
              <w:marLeft w:val="0"/>
              <w:marRight w:val="0"/>
              <w:marTop w:val="0"/>
              <w:marBottom w:val="0"/>
              <w:divBdr>
                <w:top w:val="none" w:sz="0" w:space="0" w:color="auto"/>
                <w:left w:val="none" w:sz="0" w:space="0" w:color="auto"/>
                <w:bottom w:val="none" w:sz="0" w:space="0" w:color="auto"/>
                <w:right w:val="none" w:sz="0" w:space="0" w:color="auto"/>
              </w:divBdr>
            </w:div>
          </w:divsChild>
        </w:div>
        <w:div w:id="1922374913">
          <w:marLeft w:val="0"/>
          <w:marRight w:val="0"/>
          <w:marTop w:val="0"/>
          <w:marBottom w:val="0"/>
          <w:divBdr>
            <w:top w:val="none" w:sz="0" w:space="0" w:color="auto"/>
            <w:left w:val="none" w:sz="0" w:space="0" w:color="auto"/>
            <w:bottom w:val="none" w:sz="0" w:space="0" w:color="auto"/>
            <w:right w:val="none" w:sz="0" w:space="0" w:color="auto"/>
          </w:divBdr>
          <w:divsChild>
            <w:div w:id="898132235">
              <w:marLeft w:val="0"/>
              <w:marRight w:val="0"/>
              <w:marTop w:val="0"/>
              <w:marBottom w:val="0"/>
              <w:divBdr>
                <w:top w:val="none" w:sz="0" w:space="0" w:color="auto"/>
                <w:left w:val="none" w:sz="0" w:space="0" w:color="auto"/>
                <w:bottom w:val="none" w:sz="0" w:space="0" w:color="auto"/>
                <w:right w:val="none" w:sz="0" w:space="0" w:color="auto"/>
              </w:divBdr>
            </w:div>
          </w:divsChild>
        </w:div>
        <w:div w:id="735472276">
          <w:marLeft w:val="0"/>
          <w:marRight w:val="0"/>
          <w:marTop w:val="0"/>
          <w:marBottom w:val="0"/>
          <w:divBdr>
            <w:top w:val="none" w:sz="0" w:space="0" w:color="auto"/>
            <w:left w:val="none" w:sz="0" w:space="0" w:color="auto"/>
            <w:bottom w:val="none" w:sz="0" w:space="0" w:color="auto"/>
            <w:right w:val="none" w:sz="0" w:space="0" w:color="auto"/>
          </w:divBdr>
          <w:divsChild>
            <w:div w:id="825315285">
              <w:marLeft w:val="0"/>
              <w:marRight w:val="0"/>
              <w:marTop w:val="0"/>
              <w:marBottom w:val="0"/>
              <w:divBdr>
                <w:top w:val="none" w:sz="0" w:space="0" w:color="auto"/>
                <w:left w:val="none" w:sz="0" w:space="0" w:color="auto"/>
                <w:bottom w:val="none" w:sz="0" w:space="0" w:color="auto"/>
                <w:right w:val="none" w:sz="0" w:space="0" w:color="auto"/>
              </w:divBdr>
            </w:div>
          </w:divsChild>
        </w:div>
        <w:div w:id="1475944850">
          <w:marLeft w:val="0"/>
          <w:marRight w:val="0"/>
          <w:marTop w:val="0"/>
          <w:marBottom w:val="0"/>
          <w:divBdr>
            <w:top w:val="none" w:sz="0" w:space="0" w:color="auto"/>
            <w:left w:val="none" w:sz="0" w:space="0" w:color="auto"/>
            <w:bottom w:val="none" w:sz="0" w:space="0" w:color="auto"/>
            <w:right w:val="none" w:sz="0" w:space="0" w:color="auto"/>
          </w:divBdr>
          <w:divsChild>
            <w:div w:id="15392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8500">
      <w:bodyDiv w:val="1"/>
      <w:marLeft w:val="0"/>
      <w:marRight w:val="0"/>
      <w:marTop w:val="0"/>
      <w:marBottom w:val="0"/>
      <w:divBdr>
        <w:top w:val="none" w:sz="0" w:space="0" w:color="auto"/>
        <w:left w:val="none" w:sz="0" w:space="0" w:color="auto"/>
        <w:bottom w:val="none" w:sz="0" w:space="0" w:color="auto"/>
        <w:right w:val="none" w:sz="0" w:space="0" w:color="auto"/>
      </w:divBdr>
      <w:divsChild>
        <w:div w:id="378672415">
          <w:marLeft w:val="0"/>
          <w:marRight w:val="0"/>
          <w:marTop w:val="0"/>
          <w:marBottom w:val="0"/>
          <w:divBdr>
            <w:top w:val="none" w:sz="0" w:space="0" w:color="auto"/>
            <w:left w:val="none" w:sz="0" w:space="0" w:color="auto"/>
            <w:bottom w:val="none" w:sz="0" w:space="0" w:color="auto"/>
            <w:right w:val="none" w:sz="0" w:space="0" w:color="auto"/>
          </w:divBdr>
        </w:div>
        <w:div w:id="1626740328">
          <w:marLeft w:val="0"/>
          <w:marRight w:val="0"/>
          <w:marTop w:val="0"/>
          <w:marBottom w:val="0"/>
          <w:divBdr>
            <w:top w:val="none" w:sz="0" w:space="0" w:color="auto"/>
            <w:left w:val="none" w:sz="0" w:space="0" w:color="auto"/>
            <w:bottom w:val="none" w:sz="0" w:space="0" w:color="auto"/>
            <w:right w:val="none" w:sz="0" w:space="0" w:color="auto"/>
          </w:divBdr>
        </w:div>
        <w:div w:id="890924307">
          <w:marLeft w:val="0"/>
          <w:marRight w:val="0"/>
          <w:marTop w:val="0"/>
          <w:marBottom w:val="0"/>
          <w:divBdr>
            <w:top w:val="none" w:sz="0" w:space="0" w:color="auto"/>
            <w:left w:val="none" w:sz="0" w:space="0" w:color="auto"/>
            <w:bottom w:val="none" w:sz="0" w:space="0" w:color="auto"/>
            <w:right w:val="none" w:sz="0" w:space="0" w:color="auto"/>
          </w:divBdr>
        </w:div>
        <w:div w:id="332994832">
          <w:marLeft w:val="0"/>
          <w:marRight w:val="0"/>
          <w:marTop w:val="0"/>
          <w:marBottom w:val="0"/>
          <w:divBdr>
            <w:top w:val="none" w:sz="0" w:space="0" w:color="auto"/>
            <w:left w:val="none" w:sz="0" w:space="0" w:color="auto"/>
            <w:bottom w:val="none" w:sz="0" w:space="0" w:color="auto"/>
            <w:right w:val="none" w:sz="0" w:space="0" w:color="auto"/>
          </w:divBdr>
        </w:div>
        <w:div w:id="311107364">
          <w:marLeft w:val="0"/>
          <w:marRight w:val="0"/>
          <w:marTop w:val="0"/>
          <w:marBottom w:val="0"/>
          <w:divBdr>
            <w:top w:val="none" w:sz="0" w:space="0" w:color="auto"/>
            <w:left w:val="none" w:sz="0" w:space="0" w:color="auto"/>
            <w:bottom w:val="none" w:sz="0" w:space="0" w:color="auto"/>
            <w:right w:val="none" w:sz="0" w:space="0" w:color="auto"/>
          </w:divBdr>
        </w:div>
        <w:div w:id="896165108">
          <w:marLeft w:val="0"/>
          <w:marRight w:val="0"/>
          <w:marTop w:val="0"/>
          <w:marBottom w:val="0"/>
          <w:divBdr>
            <w:top w:val="none" w:sz="0" w:space="0" w:color="auto"/>
            <w:left w:val="none" w:sz="0" w:space="0" w:color="auto"/>
            <w:bottom w:val="none" w:sz="0" w:space="0" w:color="auto"/>
            <w:right w:val="none" w:sz="0" w:space="0" w:color="auto"/>
          </w:divBdr>
        </w:div>
        <w:div w:id="142821241">
          <w:marLeft w:val="0"/>
          <w:marRight w:val="0"/>
          <w:marTop w:val="0"/>
          <w:marBottom w:val="0"/>
          <w:divBdr>
            <w:top w:val="none" w:sz="0" w:space="0" w:color="auto"/>
            <w:left w:val="none" w:sz="0" w:space="0" w:color="auto"/>
            <w:bottom w:val="none" w:sz="0" w:space="0" w:color="auto"/>
            <w:right w:val="none" w:sz="0" w:space="0" w:color="auto"/>
          </w:divBdr>
        </w:div>
        <w:div w:id="52851323">
          <w:marLeft w:val="0"/>
          <w:marRight w:val="0"/>
          <w:marTop w:val="0"/>
          <w:marBottom w:val="0"/>
          <w:divBdr>
            <w:top w:val="none" w:sz="0" w:space="0" w:color="auto"/>
            <w:left w:val="none" w:sz="0" w:space="0" w:color="auto"/>
            <w:bottom w:val="none" w:sz="0" w:space="0" w:color="auto"/>
            <w:right w:val="none" w:sz="0" w:space="0" w:color="auto"/>
          </w:divBdr>
        </w:div>
        <w:div w:id="1921062158">
          <w:marLeft w:val="0"/>
          <w:marRight w:val="0"/>
          <w:marTop w:val="0"/>
          <w:marBottom w:val="0"/>
          <w:divBdr>
            <w:top w:val="none" w:sz="0" w:space="0" w:color="auto"/>
            <w:left w:val="none" w:sz="0" w:space="0" w:color="auto"/>
            <w:bottom w:val="none" w:sz="0" w:space="0" w:color="auto"/>
            <w:right w:val="none" w:sz="0" w:space="0" w:color="auto"/>
          </w:divBdr>
        </w:div>
        <w:div w:id="1013730359">
          <w:marLeft w:val="0"/>
          <w:marRight w:val="0"/>
          <w:marTop w:val="0"/>
          <w:marBottom w:val="0"/>
          <w:divBdr>
            <w:top w:val="none" w:sz="0" w:space="0" w:color="auto"/>
            <w:left w:val="none" w:sz="0" w:space="0" w:color="auto"/>
            <w:bottom w:val="none" w:sz="0" w:space="0" w:color="auto"/>
            <w:right w:val="none" w:sz="0" w:space="0" w:color="auto"/>
          </w:divBdr>
        </w:div>
        <w:div w:id="14770363">
          <w:marLeft w:val="0"/>
          <w:marRight w:val="0"/>
          <w:marTop w:val="0"/>
          <w:marBottom w:val="0"/>
          <w:divBdr>
            <w:top w:val="none" w:sz="0" w:space="0" w:color="auto"/>
            <w:left w:val="none" w:sz="0" w:space="0" w:color="auto"/>
            <w:bottom w:val="none" w:sz="0" w:space="0" w:color="auto"/>
            <w:right w:val="none" w:sz="0" w:space="0" w:color="auto"/>
          </w:divBdr>
        </w:div>
        <w:div w:id="365180694">
          <w:marLeft w:val="0"/>
          <w:marRight w:val="0"/>
          <w:marTop w:val="0"/>
          <w:marBottom w:val="0"/>
          <w:divBdr>
            <w:top w:val="none" w:sz="0" w:space="0" w:color="auto"/>
            <w:left w:val="none" w:sz="0" w:space="0" w:color="auto"/>
            <w:bottom w:val="none" w:sz="0" w:space="0" w:color="auto"/>
            <w:right w:val="none" w:sz="0" w:space="0" w:color="auto"/>
          </w:divBdr>
        </w:div>
        <w:div w:id="1876767650">
          <w:marLeft w:val="0"/>
          <w:marRight w:val="0"/>
          <w:marTop w:val="0"/>
          <w:marBottom w:val="0"/>
          <w:divBdr>
            <w:top w:val="none" w:sz="0" w:space="0" w:color="auto"/>
            <w:left w:val="none" w:sz="0" w:space="0" w:color="auto"/>
            <w:bottom w:val="none" w:sz="0" w:space="0" w:color="auto"/>
            <w:right w:val="none" w:sz="0" w:space="0" w:color="auto"/>
          </w:divBdr>
        </w:div>
        <w:div w:id="1533688540">
          <w:marLeft w:val="0"/>
          <w:marRight w:val="0"/>
          <w:marTop w:val="0"/>
          <w:marBottom w:val="0"/>
          <w:divBdr>
            <w:top w:val="none" w:sz="0" w:space="0" w:color="auto"/>
            <w:left w:val="none" w:sz="0" w:space="0" w:color="auto"/>
            <w:bottom w:val="none" w:sz="0" w:space="0" w:color="auto"/>
            <w:right w:val="none" w:sz="0" w:space="0" w:color="auto"/>
          </w:divBdr>
        </w:div>
        <w:div w:id="872234842">
          <w:marLeft w:val="0"/>
          <w:marRight w:val="0"/>
          <w:marTop w:val="0"/>
          <w:marBottom w:val="0"/>
          <w:divBdr>
            <w:top w:val="none" w:sz="0" w:space="0" w:color="auto"/>
            <w:left w:val="none" w:sz="0" w:space="0" w:color="auto"/>
            <w:bottom w:val="none" w:sz="0" w:space="0" w:color="auto"/>
            <w:right w:val="none" w:sz="0" w:space="0" w:color="auto"/>
          </w:divBdr>
        </w:div>
        <w:div w:id="120879585">
          <w:marLeft w:val="0"/>
          <w:marRight w:val="0"/>
          <w:marTop w:val="0"/>
          <w:marBottom w:val="0"/>
          <w:divBdr>
            <w:top w:val="none" w:sz="0" w:space="0" w:color="auto"/>
            <w:left w:val="none" w:sz="0" w:space="0" w:color="auto"/>
            <w:bottom w:val="none" w:sz="0" w:space="0" w:color="auto"/>
            <w:right w:val="none" w:sz="0" w:space="0" w:color="auto"/>
          </w:divBdr>
        </w:div>
        <w:div w:id="1533684323">
          <w:marLeft w:val="0"/>
          <w:marRight w:val="0"/>
          <w:marTop w:val="0"/>
          <w:marBottom w:val="0"/>
          <w:divBdr>
            <w:top w:val="none" w:sz="0" w:space="0" w:color="auto"/>
            <w:left w:val="none" w:sz="0" w:space="0" w:color="auto"/>
            <w:bottom w:val="none" w:sz="0" w:space="0" w:color="auto"/>
            <w:right w:val="none" w:sz="0" w:space="0" w:color="auto"/>
          </w:divBdr>
        </w:div>
        <w:div w:id="933585260">
          <w:marLeft w:val="0"/>
          <w:marRight w:val="0"/>
          <w:marTop w:val="0"/>
          <w:marBottom w:val="0"/>
          <w:divBdr>
            <w:top w:val="none" w:sz="0" w:space="0" w:color="auto"/>
            <w:left w:val="none" w:sz="0" w:space="0" w:color="auto"/>
            <w:bottom w:val="none" w:sz="0" w:space="0" w:color="auto"/>
            <w:right w:val="none" w:sz="0" w:space="0" w:color="auto"/>
          </w:divBdr>
        </w:div>
        <w:div w:id="57367880">
          <w:marLeft w:val="0"/>
          <w:marRight w:val="0"/>
          <w:marTop w:val="0"/>
          <w:marBottom w:val="0"/>
          <w:divBdr>
            <w:top w:val="none" w:sz="0" w:space="0" w:color="auto"/>
            <w:left w:val="none" w:sz="0" w:space="0" w:color="auto"/>
            <w:bottom w:val="none" w:sz="0" w:space="0" w:color="auto"/>
            <w:right w:val="none" w:sz="0" w:space="0" w:color="auto"/>
          </w:divBdr>
        </w:div>
        <w:div w:id="728460903">
          <w:marLeft w:val="0"/>
          <w:marRight w:val="0"/>
          <w:marTop w:val="0"/>
          <w:marBottom w:val="0"/>
          <w:divBdr>
            <w:top w:val="none" w:sz="0" w:space="0" w:color="auto"/>
            <w:left w:val="none" w:sz="0" w:space="0" w:color="auto"/>
            <w:bottom w:val="none" w:sz="0" w:space="0" w:color="auto"/>
            <w:right w:val="none" w:sz="0" w:space="0" w:color="auto"/>
          </w:divBdr>
        </w:div>
        <w:div w:id="2085955294">
          <w:marLeft w:val="0"/>
          <w:marRight w:val="0"/>
          <w:marTop w:val="0"/>
          <w:marBottom w:val="0"/>
          <w:divBdr>
            <w:top w:val="none" w:sz="0" w:space="0" w:color="auto"/>
            <w:left w:val="none" w:sz="0" w:space="0" w:color="auto"/>
            <w:bottom w:val="none" w:sz="0" w:space="0" w:color="auto"/>
            <w:right w:val="none" w:sz="0" w:space="0" w:color="auto"/>
          </w:divBdr>
        </w:div>
        <w:div w:id="802626142">
          <w:marLeft w:val="0"/>
          <w:marRight w:val="0"/>
          <w:marTop w:val="0"/>
          <w:marBottom w:val="0"/>
          <w:divBdr>
            <w:top w:val="none" w:sz="0" w:space="0" w:color="auto"/>
            <w:left w:val="none" w:sz="0" w:space="0" w:color="auto"/>
            <w:bottom w:val="none" w:sz="0" w:space="0" w:color="auto"/>
            <w:right w:val="none" w:sz="0" w:space="0" w:color="auto"/>
          </w:divBdr>
        </w:div>
        <w:div w:id="216283249">
          <w:marLeft w:val="0"/>
          <w:marRight w:val="0"/>
          <w:marTop w:val="0"/>
          <w:marBottom w:val="0"/>
          <w:divBdr>
            <w:top w:val="none" w:sz="0" w:space="0" w:color="auto"/>
            <w:left w:val="none" w:sz="0" w:space="0" w:color="auto"/>
            <w:bottom w:val="none" w:sz="0" w:space="0" w:color="auto"/>
            <w:right w:val="none" w:sz="0" w:space="0" w:color="auto"/>
          </w:divBdr>
        </w:div>
        <w:div w:id="1328560291">
          <w:marLeft w:val="0"/>
          <w:marRight w:val="0"/>
          <w:marTop w:val="0"/>
          <w:marBottom w:val="0"/>
          <w:divBdr>
            <w:top w:val="none" w:sz="0" w:space="0" w:color="auto"/>
            <w:left w:val="none" w:sz="0" w:space="0" w:color="auto"/>
            <w:bottom w:val="none" w:sz="0" w:space="0" w:color="auto"/>
            <w:right w:val="none" w:sz="0" w:space="0" w:color="auto"/>
          </w:divBdr>
        </w:div>
        <w:div w:id="1493444191">
          <w:marLeft w:val="0"/>
          <w:marRight w:val="0"/>
          <w:marTop w:val="0"/>
          <w:marBottom w:val="0"/>
          <w:divBdr>
            <w:top w:val="none" w:sz="0" w:space="0" w:color="auto"/>
            <w:left w:val="none" w:sz="0" w:space="0" w:color="auto"/>
            <w:bottom w:val="none" w:sz="0" w:space="0" w:color="auto"/>
            <w:right w:val="none" w:sz="0" w:space="0" w:color="auto"/>
          </w:divBdr>
        </w:div>
        <w:div w:id="637564663">
          <w:marLeft w:val="0"/>
          <w:marRight w:val="0"/>
          <w:marTop w:val="0"/>
          <w:marBottom w:val="0"/>
          <w:divBdr>
            <w:top w:val="none" w:sz="0" w:space="0" w:color="auto"/>
            <w:left w:val="none" w:sz="0" w:space="0" w:color="auto"/>
            <w:bottom w:val="none" w:sz="0" w:space="0" w:color="auto"/>
            <w:right w:val="none" w:sz="0" w:space="0" w:color="auto"/>
          </w:divBdr>
        </w:div>
        <w:div w:id="380599281">
          <w:marLeft w:val="0"/>
          <w:marRight w:val="0"/>
          <w:marTop w:val="0"/>
          <w:marBottom w:val="0"/>
          <w:divBdr>
            <w:top w:val="none" w:sz="0" w:space="0" w:color="auto"/>
            <w:left w:val="none" w:sz="0" w:space="0" w:color="auto"/>
            <w:bottom w:val="none" w:sz="0" w:space="0" w:color="auto"/>
            <w:right w:val="none" w:sz="0" w:space="0" w:color="auto"/>
          </w:divBdr>
        </w:div>
        <w:div w:id="2014408685">
          <w:marLeft w:val="0"/>
          <w:marRight w:val="0"/>
          <w:marTop w:val="0"/>
          <w:marBottom w:val="0"/>
          <w:divBdr>
            <w:top w:val="none" w:sz="0" w:space="0" w:color="auto"/>
            <w:left w:val="none" w:sz="0" w:space="0" w:color="auto"/>
            <w:bottom w:val="none" w:sz="0" w:space="0" w:color="auto"/>
            <w:right w:val="none" w:sz="0" w:space="0" w:color="auto"/>
          </w:divBdr>
        </w:div>
        <w:div w:id="2060856911">
          <w:marLeft w:val="0"/>
          <w:marRight w:val="0"/>
          <w:marTop w:val="0"/>
          <w:marBottom w:val="0"/>
          <w:divBdr>
            <w:top w:val="none" w:sz="0" w:space="0" w:color="auto"/>
            <w:left w:val="none" w:sz="0" w:space="0" w:color="auto"/>
            <w:bottom w:val="none" w:sz="0" w:space="0" w:color="auto"/>
            <w:right w:val="none" w:sz="0" w:space="0" w:color="auto"/>
          </w:divBdr>
        </w:div>
        <w:div w:id="256180290">
          <w:marLeft w:val="0"/>
          <w:marRight w:val="0"/>
          <w:marTop w:val="0"/>
          <w:marBottom w:val="0"/>
          <w:divBdr>
            <w:top w:val="none" w:sz="0" w:space="0" w:color="auto"/>
            <w:left w:val="none" w:sz="0" w:space="0" w:color="auto"/>
            <w:bottom w:val="none" w:sz="0" w:space="0" w:color="auto"/>
            <w:right w:val="none" w:sz="0" w:space="0" w:color="auto"/>
          </w:divBdr>
        </w:div>
        <w:div w:id="1940941208">
          <w:marLeft w:val="0"/>
          <w:marRight w:val="0"/>
          <w:marTop w:val="0"/>
          <w:marBottom w:val="0"/>
          <w:divBdr>
            <w:top w:val="none" w:sz="0" w:space="0" w:color="auto"/>
            <w:left w:val="none" w:sz="0" w:space="0" w:color="auto"/>
            <w:bottom w:val="none" w:sz="0" w:space="0" w:color="auto"/>
            <w:right w:val="none" w:sz="0" w:space="0" w:color="auto"/>
          </w:divBdr>
        </w:div>
        <w:div w:id="537278172">
          <w:marLeft w:val="0"/>
          <w:marRight w:val="0"/>
          <w:marTop w:val="0"/>
          <w:marBottom w:val="0"/>
          <w:divBdr>
            <w:top w:val="none" w:sz="0" w:space="0" w:color="auto"/>
            <w:left w:val="none" w:sz="0" w:space="0" w:color="auto"/>
            <w:bottom w:val="none" w:sz="0" w:space="0" w:color="auto"/>
            <w:right w:val="none" w:sz="0" w:space="0" w:color="auto"/>
          </w:divBdr>
        </w:div>
        <w:div w:id="826432242">
          <w:marLeft w:val="0"/>
          <w:marRight w:val="0"/>
          <w:marTop w:val="0"/>
          <w:marBottom w:val="0"/>
          <w:divBdr>
            <w:top w:val="none" w:sz="0" w:space="0" w:color="auto"/>
            <w:left w:val="none" w:sz="0" w:space="0" w:color="auto"/>
            <w:bottom w:val="none" w:sz="0" w:space="0" w:color="auto"/>
            <w:right w:val="none" w:sz="0" w:space="0" w:color="auto"/>
          </w:divBdr>
        </w:div>
        <w:div w:id="731200705">
          <w:marLeft w:val="0"/>
          <w:marRight w:val="0"/>
          <w:marTop w:val="0"/>
          <w:marBottom w:val="0"/>
          <w:divBdr>
            <w:top w:val="none" w:sz="0" w:space="0" w:color="auto"/>
            <w:left w:val="none" w:sz="0" w:space="0" w:color="auto"/>
            <w:bottom w:val="none" w:sz="0" w:space="0" w:color="auto"/>
            <w:right w:val="none" w:sz="0" w:space="0" w:color="auto"/>
          </w:divBdr>
        </w:div>
        <w:div w:id="145012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7E8F-88A7-4BC0-A2DE-95524D5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2576</Words>
  <Characters>14684</Characters>
  <Application>Microsoft Office Word</Application>
  <DocSecurity>0</DocSecurity>
  <Lines>122</Lines>
  <Paragraphs>34</Paragraphs>
  <ScaleCrop>false</ScaleCrop>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2020-05-01T21:31:00Z</dcterms:created>
  <dcterms:modified xsi:type="dcterms:W3CDTF">2020-05-01T21:31:00Z</dcterms:modified>
</cp:coreProperties>
</file>