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7CE12" w14:textId="3A4EEBF4" w:rsidR="00E248C1" w:rsidRDefault="00E248C1" w:rsidP="00E248C1">
      <w:pPr>
        <w:spacing w:line="240" w:lineRule="auto"/>
        <w:rPr>
          <w:sz w:val="20"/>
        </w:rPr>
      </w:pPr>
      <w:r>
        <w:rPr>
          <w:sz w:val="20"/>
        </w:rPr>
        <w:t>Filed 10/</w:t>
      </w:r>
      <w:r w:rsidR="00DC3F46">
        <w:rPr>
          <w:sz w:val="20"/>
        </w:rPr>
        <w:t>31</w:t>
      </w:r>
      <w:r>
        <w:rPr>
          <w:sz w:val="20"/>
        </w:rPr>
        <w:t>/22</w:t>
      </w:r>
    </w:p>
    <w:p w14:paraId="17694203" w14:textId="77777777" w:rsidR="00E248C1" w:rsidRDefault="00E248C1" w:rsidP="00E248C1">
      <w:pPr>
        <w:spacing w:line="240" w:lineRule="auto"/>
        <w:jc w:val="center"/>
        <w:rPr>
          <w:b/>
        </w:rPr>
      </w:pPr>
      <w:r>
        <w:rPr>
          <w:b/>
        </w:rPr>
        <w:t>CERTIFIED FOR PUBLICATION</w:t>
      </w:r>
    </w:p>
    <w:p w14:paraId="3C162CC8" w14:textId="77777777" w:rsidR="00E248C1" w:rsidRDefault="00E248C1" w:rsidP="00E248C1">
      <w:pPr>
        <w:spacing w:line="240" w:lineRule="auto"/>
        <w:jc w:val="right"/>
      </w:pPr>
    </w:p>
    <w:p w14:paraId="2ABEA86C" w14:textId="3195C3A7" w:rsidR="00E910FB" w:rsidRDefault="00E910FB" w:rsidP="00E910FB">
      <w:pPr>
        <w:spacing w:line="240" w:lineRule="auto"/>
        <w:jc w:val="center"/>
      </w:pPr>
      <w:r>
        <w:t>IN THE COURT OF APPEAL OF THE STATE OF CALIFORNIA</w:t>
      </w:r>
    </w:p>
    <w:p w14:paraId="6F501079" w14:textId="77777777" w:rsidR="00E910FB" w:rsidRDefault="00E910FB" w:rsidP="00E910FB">
      <w:pPr>
        <w:spacing w:line="240" w:lineRule="auto"/>
        <w:jc w:val="center"/>
      </w:pPr>
    </w:p>
    <w:p w14:paraId="6D94D89B" w14:textId="77777777" w:rsidR="00E910FB" w:rsidRDefault="00E910FB" w:rsidP="00E910FB">
      <w:pPr>
        <w:spacing w:line="240" w:lineRule="auto"/>
        <w:jc w:val="center"/>
      </w:pPr>
      <w:r>
        <w:t>FIRST APPELLATE DISTRICT</w:t>
      </w:r>
    </w:p>
    <w:p w14:paraId="0246ACD2" w14:textId="77777777" w:rsidR="00E910FB" w:rsidRDefault="00E910FB" w:rsidP="00E910FB">
      <w:pPr>
        <w:spacing w:line="240" w:lineRule="auto"/>
        <w:jc w:val="center"/>
      </w:pPr>
    </w:p>
    <w:p w14:paraId="6C60A72A" w14:textId="77777777" w:rsidR="00E910FB" w:rsidRDefault="00E910FB" w:rsidP="00E910FB">
      <w:pPr>
        <w:spacing w:line="240" w:lineRule="auto"/>
        <w:jc w:val="center"/>
      </w:pPr>
      <w:r>
        <w:t>DIVISION TWO</w:t>
      </w:r>
    </w:p>
    <w:p w14:paraId="52F9DCE9" w14:textId="77777777" w:rsidR="00E910FB" w:rsidRDefault="00E910FB" w:rsidP="00E910FB">
      <w:pPr>
        <w:spacing w:line="240" w:lineRule="auto"/>
        <w:jc w:val="center"/>
      </w:pPr>
    </w:p>
    <w:p w14:paraId="569CC1B7" w14:textId="77777777" w:rsidR="00E910FB" w:rsidRDefault="00E910FB" w:rsidP="00E910FB">
      <w:pPr>
        <w:spacing w:line="240" w:lineRule="auto"/>
        <w:jc w:val="center"/>
      </w:pPr>
    </w:p>
    <w:tbl>
      <w:tblPr>
        <w:tblW w:w="0" w:type="auto"/>
        <w:tblLayout w:type="fixed"/>
        <w:tblLook w:val="0000" w:firstRow="0" w:lastRow="0" w:firstColumn="0" w:lastColumn="0" w:noHBand="0" w:noVBand="0"/>
      </w:tblPr>
      <w:tblGrid>
        <w:gridCol w:w="4680"/>
        <w:gridCol w:w="4680"/>
      </w:tblGrid>
      <w:tr w:rsidR="00E910FB" w14:paraId="0EF3D0F0" w14:textId="77777777" w:rsidTr="002911C4">
        <w:tc>
          <w:tcPr>
            <w:tcW w:w="4680" w:type="dxa"/>
            <w:tcBorders>
              <w:bottom w:val="single" w:sz="4" w:space="0" w:color="auto"/>
              <w:right w:val="single" w:sz="4" w:space="0" w:color="auto"/>
            </w:tcBorders>
            <w:shd w:val="clear" w:color="auto" w:fill="auto"/>
          </w:tcPr>
          <w:p w14:paraId="56C078F9" w14:textId="320A367A" w:rsidR="00E910FB" w:rsidRDefault="00E910FB" w:rsidP="002911C4">
            <w:pPr>
              <w:spacing w:after="120" w:line="240" w:lineRule="auto"/>
            </w:pPr>
            <w:r>
              <w:t>BRITANI DAVIS,</w:t>
            </w:r>
          </w:p>
          <w:p w14:paraId="30EDCD16" w14:textId="77777777" w:rsidR="00E910FB" w:rsidRDefault="00E910FB" w:rsidP="002911C4">
            <w:pPr>
              <w:spacing w:after="120" w:line="240" w:lineRule="auto"/>
            </w:pPr>
            <w:r>
              <w:tab/>
              <w:t>Plaintiff and Respondent,</w:t>
            </w:r>
          </w:p>
          <w:p w14:paraId="2DE19CA9" w14:textId="77777777" w:rsidR="00E910FB" w:rsidRDefault="00E910FB" w:rsidP="002911C4">
            <w:pPr>
              <w:spacing w:after="120" w:line="240" w:lineRule="auto"/>
            </w:pPr>
            <w:r>
              <w:t>v.</w:t>
            </w:r>
          </w:p>
          <w:p w14:paraId="4343C6CD" w14:textId="77777777" w:rsidR="00E910FB" w:rsidRDefault="00E910FB" w:rsidP="002911C4">
            <w:pPr>
              <w:spacing w:after="120" w:line="240" w:lineRule="auto"/>
            </w:pPr>
            <w:r>
              <w:t>SHIEKH SHOES, LLC,</w:t>
            </w:r>
          </w:p>
          <w:p w14:paraId="1A2E8449" w14:textId="77777777" w:rsidR="00E910FB" w:rsidRDefault="00E910FB" w:rsidP="002911C4">
            <w:pPr>
              <w:spacing w:after="120" w:line="240" w:lineRule="auto"/>
            </w:pPr>
            <w:r>
              <w:tab/>
              <w:t>Defendant and Appellant.</w:t>
            </w:r>
          </w:p>
        </w:tc>
        <w:tc>
          <w:tcPr>
            <w:tcW w:w="4680" w:type="dxa"/>
            <w:tcBorders>
              <w:left w:val="single" w:sz="4" w:space="0" w:color="auto"/>
            </w:tcBorders>
            <w:shd w:val="clear" w:color="auto" w:fill="auto"/>
          </w:tcPr>
          <w:p w14:paraId="0595A7E2" w14:textId="77777777" w:rsidR="00E910FB" w:rsidRDefault="00E910FB" w:rsidP="002911C4">
            <w:pPr>
              <w:spacing w:line="240" w:lineRule="auto"/>
            </w:pPr>
          </w:p>
          <w:p w14:paraId="595647E4" w14:textId="77777777" w:rsidR="00E910FB" w:rsidRDefault="00E910FB" w:rsidP="002911C4">
            <w:pPr>
              <w:spacing w:line="240" w:lineRule="auto"/>
            </w:pPr>
          </w:p>
          <w:p w14:paraId="5E10D7E8" w14:textId="77777777" w:rsidR="00E910FB" w:rsidRDefault="00E910FB" w:rsidP="002911C4">
            <w:pPr>
              <w:spacing w:line="240" w:lineRule="auto"/>
            </w:pPr>
            <w:r>
              <w:t xml:space="preserve">      A161961</w:t>
            </w:r>
          </w:p>
          <w:p w14:paraId="4737D691" w14:textId="77777777" w:rsidR="00E910FB" w:rsidRDefault="00E910FB" w:rsidP="002911C4">
            <w:pPr>
              <w:spacing w:line="240" w:lineRule="auto"/>
            </w:pPr>
          </w:p>
          <w:p w14:paraId="442F591C" w14:textId="77777777" w:rsidR="00E910FB" w:rsidRDefault="00E910FB" w:rsidP="002911C4">
            <w:pPr>
              <w:spacing w:line="240" w:lineRule="auto"/>
            </w:pPr>
            <w:r>
              <w:t xml:space="preserve">      (San Francisco County</w:t>
            </w:r>
          </w:p>
          <w:p w14:paraId="677A583E" w14:textId="77777777" w:rsidR="00E910FB" w:rsidRDefault="00E910FB" w:rsidP="002911C4">
            <w:pPr>
              <w:spacing w:line="240" w:lineRule="auto"/>
            </w:pPr>
            <w:r>
              <w:t xml:space="preserve">      Super. Ct. No. CGC-19-574762)</w:t>
            </w:r>
          </w:p>
          <w:p w14:paraId="78988A05" w14:textId="5E706811" w:rsidR="00E910FB" w:rsidRDefault="00E910FB" w:rsidP="002911C4">
            <w:pPr>
              <w:spacing w:line="240" w:lineRule="auto"/>
              <w:ind w:firstLine="1239"/>
            </w:pPr>
          </w:p>
        </w:tc>
      </w:tr>
    </w:tbl>
    <w:p w14:paraId="3AA3490D" w14:textId="77777777" w:rsidR="00E910FB" w:rsidRDefault="00E910FB" w:rsidP="00E910FB">
      <w:pPr>
        <w:contextualSpacing/>
      </w:pPr>
    </w:p>
    <w:p w14:paraId="2536449A" w14:textId="74969854" w:rsidR="00E910FB" w:rsidRDefault="00E910FB" w:rsidP="00B16635">
      <w:pPr>
        <w:widowControl w:val="0"/>
        <w:contextualSpacing/>
      </w:pPr>
      <w:r>
        <w:tab/>
      </w:r>
      <w:r w:rsidR="001F31A3">
        <w:t>Nineteen</w:t>
      </w:r>
      <w:r w:rsidR="003C585A">
        <w:t xml:space="preserve"> months after plaintiff Britani Davis filed suit against her former employer</w:t>
      </w:r>
      <w:r w:rsidR="00B22C72">
        <w:t xml:space="preserve"> </w:t>
      </w:r>
      <w:r w:rsidR="00E362D1">
        <w:t>Shiekh Shoes, LLC (Shi</w:t>
      </w:r>
      <w:r w:rsidR="008934BC">
        <w:t>e</w:t>
      </w:r>
      <w:r w:rsidR="00E362D1">
        <w:t>kh)</w:t>
      </w:r>
      <w:r w:rsidR="00B22C72">
        <w:t>, Shiekh</w:t>
      </w:r>
      <w:r w:rsidR="003C585A">
        <w:t xml:space="preserve"> moved to compel </w:t>
      </w:r>
      <w:r w:rsidR="00F154BD">
        <w:t>arbitration of Davis’s claims</w:t>
      </w:r>
      <w:r w:rsidR="006E242E">
        <w:t xml:space="preserve">. </w:t>
      </w:r>
      <w:r w:rsidR="00E362D1">
        <w:t xml:space="preserve"> </w:t>
      </w:r>
      <w:r w:rsidR="00B025D1">
        <w:t xml:space="preserve">The trial court denied the motion, finding </w:t>
      </w:r>
      <w:r w:rsidR="004B20A9">
        <w:t xml:space="preserve">Shiekh waived its right to </w:t>
      </w:r>
      <w:r w:rsidR="00C12D61">
        <w:t>invoke</w:t>
      </w:r>
      <w:r w:rsidR="00CC07BE">
        <w:t xml:space="preserve"> a</w:t>
      </w:r>
      <w:r w:rsidR="00502FCF">
        <w:t>rbitration</w:t>
      </w:r>
      <w:r w:rsidR="00C03F66">
        <w:t xml:space="preserve"> </w:t>
      </w:r>
      <w:r w:rsidR="00502FCF">
        <w:t>by</w:t>
      </w:r>
      <w:r w:rsidR="00581597">
        <w:t xml:space="preserve"> </w:t>
      </w:r>
      <w:r w:rsidR="00502FCF">
        <w:t xml:space="preserve">unreasonably delaying its arbitration demand and </w:t>
      </w:r>
      <w:r w:rsidR="00581597">
        <w:t>acting</w:t>
      </w:r>
      <w:r w:rsidR="00E648CE">
        <w:t xml:space="preserve"> i</w:t>
      </w:r>
      <w:r w:rsidR="00502FCF">
        <w:t xml:space="preserve">nconsistently </w:t>
      </w:r>
      <w:r w:rsidR="00A225FF">
        <w:t xml:space="preserve">with </w:t>
      </w:r>
      <w:r w:rsidR="00232B1A">
        <w:t>an</w:t>
      </w:r>
      <w:r w:rsidR="007F41F7">
        <w:t xml:space="preserve"> intent to</w:t>
      </w:r>
      <w:r w:rsidR="00A225FF">
        <w:t xml:space="preserve"> arbitrate. </w:t>
      </w:r>
      <w:r w:rsidR="00AF1582">
        <w:t xml:space="preserve"> </w:t>
      </w:r>
      <w:r w:rsidR="00C52827">
        <w:t xml:space="preserve">We </w:t>
      </w:r>
      <w:r w:rsidR="001035E1" w:rsidRPr="001035E1">
        <w:t>affirm</w:t>
      </w:r>
      <w:r w:rsidR="001035E1">
        <w:t xml:space="preserve">. </w:t>
      </w:r>
      <w:r w:rsidR="008F0C75">
        <w:t xml:space="preserve"> </w:t>
      </w:r>
      <w:r w:rsidR="00FF2AC8">
        <w:t xml:space="preserve"> </w:t>
      </w:r>
      <w:r w:rsidR="001035E1">
        <w:t xml:space="preserve"> </w:t>
      </w:r>
    </w:p>
    <w:p w14:paraId="2DF2895C" w14:textId="77777777" w:rsidR="00E910FB" w:rsidRDefault="00E910FB" w:rsidP="00B16635">
      <w:pPr>
        <w:pStyle w:val="Heading1"/>
        <w:keepNext w:val="0"/>
        <w:widowControl w:val="0"/>
      </w:pPr>
      <w:r>
        <w:t>BACKGROUND</w:t>
      </w:r>
    </w:p>
    <w:p w14:paraId="4C8C57DA" w14:textId="5E5B8F8A" w:rsidR="00E910FB" w:rsidRDefault="00E910FB" w:rsidP="00B16635">
      <w:pPr>
        <w:widowControl w:val="0"/>
        <w:contextualSpacing/>
      </w:pPr>
      <w:r>
        <w:tab/>
        <w:t xml:space="preserve">In August 2018, Shiekh hired Davis as a sales associate.  </w:t>
      </w:r>
      <w:r w:rsidR="00BB623D">
        <w:t xml:space="preserve">As part of her “new hire” paperwork, </w:t>
      </w:r>
      <w:r w:rsidR="00272EAE">
        <w:t>Davis</w:t>
      </w:r>
      <w:r>
        <w:t xml:space="preserve"> and Shiekh signed an agreement “to resolve any and all disputes or claims each may have against the other which relate in any manner whatsoever as to Employee’s employment . . . by binding arbitration” and to “waive their right to commence, be a party to, or class member of, any court action.”  </w:t>
      </w:r>
    </w:p>
    <w:p w14:paraId="3F132056" w14:textId="0E136805" w:rsidR="00E910FB" w:rsidRDefault="00E910FB" w:rsidP="00B16635">
      <w:pPr>
        <w:widowControl w:val="0"/>
        <w:ind w:firstLine="720"/>
        <w:contextualSpacing/>
      </w:pPr>
      <w:r>
        <w:t>Davis’s employment at Shiekh would prove to be short</w:t>
      </w:r>
      <w:r w:rsidR="005F70D9">
        <w:t xml:space="preserve">, </w:t>
      </w:r>
      <w:r w:rsidR="00980372">
        <w:t xml:space="preserve">however, </w:t>
      </w:r>
      <w:r>
        <w:t xml:space="preserve">as she resigned from the position a mere three months </w:t>
      </w:r>
      <w:r w:rsidR="004E7E7E">
        <w:t xml:space="preserve">after </w:t>
      </w:r>
      <w:r w:rsidR="0040405D">
        <w:t>being hired</w:t>
      </w:r>
      <w:r>
        <w:t xml:space="preserve">.  </w:t>
      </w:r>
      <w:r w:rsidRPr="008E20F6">
        <w:t xml:space="preserve">According </w:t>
      </w:r>
      <w:r w:rsidRPr="008E20F6">
        <w:lastRenderedPageBreak/>
        <w:t xml:space="preserve">to Davis, she was subjected to ongoing, sexually </w:t>
      </w:r>
      <w:r w:rsidR="00D17EC9" w:rsidRPr="008E20F6">
        <w:t>explicit,</w:t>
      </w:r>
      <w:r w:rsidRPr="008E20F6">
        <w:t xml:space="preserve"> </w:t>
      </w:r>
      <w:r w:rsidR="009B320A">
        <w:t xml:space="preserve">and demeaning </w:t>
      </w:r>
      <w:r w:rsidRPr="008E20F6">
        <w:t xml:space="preserve">comments, unwanted touching, and indecent exposure from her co-worker, Danilo Ensuncho, as well as other harassing conduct from </w:t>
      </w:r>
      <w:r w:rsidR="0040405D">
        <w:t xml:space="preserve">Shiekh </w:t>
      </w:r>
      <w:r w:rsidR="00D875BB">
        <w:t>customer</w:t>
      </w:r>
      <w:r w:rsidR="00300DE6">
        <w:t>s</w:t>
      </w:r>
      <w:r w:rsidRPr="008E20F6">
        <w:t xml:space="preserve">. </w:t>
      </w:r>
      <w:r>
        <w:t xml:space="preserve">  </w:t>
      </w:r>
    </w:p>
    <w:p w14:paraId="5BCC4A6C" w14:textId="65D0F6A5" w:rsidR="00E910FB" w:rsidRDefault="00E910FB" w:rsidP="00B16635">
      <w:pPr>
        <w:widowControl w:val="0"/>
        <w:contextualSpacing/>
      </w:pPr>
      <w:r>
        <w:tab/>
        <w:t xml:space="preserve">On March 25, 2019, Davis filed a complaint against Shiekh and Ensuncho. </w:t>
      </w:r>
      <w:r w:rsidR="002D5CDB">
        <w:t xml:space="preserve"> </w:t>
      </w:r>
      <w:r>
        <w:t xml:space="preserve">The first cause of action </w:t>
      </w:r>
      <w:r w:rsidR="00E33FC8">
        <w:t xml:space="preserve">asserted </w:t>
      </w:r>
      <w:r>
        <w:t xml:space="preserve">violations of the </w:t>
      </w:r>
      <w:r w:rsidR="00CE0419">
        <w:t xml:space="preserve">California </w:t>
      </w:r>
      <w:r>
        <w:t>Fair Employment and Housing Act</w:t>
      </w:r>
      <w:r w:rsidR="008A3A8E">
        <w:t xml:space="preserve"> (FEHA)</w:t>
      </w:r>
      <w:r w:rsidR="00E33FC8">
        <w:t xml:space="preserve"> </w:t>
      </w:r>
      <w:r w:rsidR="005A0258">
        <w:t xml:space="preserve">(Gov. Code, § 12900 et seq.) </w:t>
      </w:r>
      <w:r w:rsidR="00221DE9">
        <w:t>based on</w:t>
      </w:r>
      <w:r w:rsidR="000B7CB2">
        <w:t xml:space="preserve"> (1) </w:t>
      </w:r>
      <w:r w:rsidR="00CD0C4B">
        <w:t xml:space="preserve">sex </w:t>
      </w:r>
      <w:r>
        <w:t>discrimination</w:t>
      </w:r>
      <w:r w:rsidR="0045362E">
        <w:t>;</w:t>
      </w:r>
      <w:r>
        <w:t xml:space="preserve"> </w:t>
      </w:r>
      <w:r w:rsidR="00CB4370">
        <w:t xml:space="preserve">(2) </w:t>
      </w:r>
      <w:r>
        <w:t>sexual harassment</w:t>
      </w:r>
      <w:r w:rsidR="0045362E">
        <w:t>;</w:t>
      </w:r>
      <w:r>
        <w:t xml:space="preserve"> </w:t>
      </w:r>
      <w:r w:rsidR="00CB4370">
        <w:t xml:space="preserve">(3) </w:t>
      </w:r>
      <w:r>
        <w:t>retaliation</w:t>
      </w:r>
      <w:r w:rsidR="0045362E">
        <w:t>;</w:t>
      </w:r>
      <w:r>
        <w:t xml:space="preserve"> and </w:t>
      </w:r>
      <w:r w:rsidR="00CB4370">
        <w:t>(4)</w:t>
      </w:r>
      <w:r w:rsidR="00D672F7">
        <w:t> </w:t>
      </w:r>
      <w:r>
        <w:t xml:space="preserve">failure to take all reasonable steps necessary to prevent discrimination and harassment.  The </w:t>
      </w:r>
      <w:r w:rsidR="00F31FDF">
        <w:t>first FEHA violation</w:t>
      </w:r>
      <w:r>
        <w:t xml:space="preserve"> was alleged against </w:t>
      </w:r>
      <w:r w:rsidR="00F31FDF">
        <w:t xml:space="preserve">both </w:t>
      </w:r>
      <w:r>
        <w:t xml:space="preserve">Ensuncho and Shiekh, while the other </w:t>
      </w:r>
      <w:r w:rsidR="00F31FDF">
        <w:t xml:space="preserve">three </w:t>
      </w:r>
      <w:r>
        <w:t xml:space="preserve">FEHA violations were alleged </w:t>
      </w:r>
      <w:r w:rsidR="00F31FDF">
        <w:t xml:space="preserve">solely </w:t>
      </w:r>
      <w:r>
        <w:t xml:space="preserve">against Shiekh.  Davis also asserted three </w:t>
      </w:r>
      <w:r w:rsidR="00A66E04">
        <w:t>separate</w:t>
      </w:r>
      <w:r>
        <w:t xml:space="preserve"> causes of action against Shiekh</w:t>
      </w:r>
      <w:r w:rsidR="006C4E47">
        <w:t xml:space="preserve"> for</w:t>
      </w:r>
      <w:r w:rsidR="00F31FDF">
        <w:t xml:space="preserve"> </w:t>
      </w:r>
      <w:r>
        <w:t>negligent hiring, supervision, and retention</w:t>
      </w:r>
      <w:r w:rsidR="00F91F58">
        <w:t>;</w:t>
      </w:r>
      <w:r>
        <w:t xml:space="preserve"> wrongful constructive discharge in violation of public policy</w:t>
      </w:r>
      <w:r w:rsidR="00F91F58">
        <w:t>;</w:t>
      </w:r>
      <w:r>
        <w:t xml:space="preserve"> and intentional infliction of emotional distress. </w:t>
      </w:r>
      <w:r w:rsidR="000C20B5">
        <w:t xml:space="preserve"> </w:t>
      </w:r>
      <w:r>
        <w:t xml:space="preserve"> </w:t>
      </w:r>
    </w:p>
    <w:p w14:paraId="0B5708A4" w14:textId="6F91EA25" w:rsidR="00C25D82" w:rsidRDefault="00E910FB" w:rsidP="00B16635">
      <w:pPr>
        <w:widowControl w:val="0"/>
        <w:contextualSpacing/>
      </w:pPr>
      <w:r>
        <w:tab/>
        <w:t>On May 12,</w:t>
      </w:r>
      <w:r w:rsidR="002C520B">
        <w:t xml:space="preserve"> </w:t>
      </w:r>
      <w:r w:rsidR="00631743">
        <w:t xml:space="preserve">service of </w:t>
      </w:r>
      <w:r w:rsidR="00B27054">
        <w:t>summons</w:t>
      </w:r>
      <w:r w:rsidR="00631743">
        <w:t xml:space="preserve"> </w:t>
      </w:r>
      <w:r w:rsidR="00D14FCA">
        <w:t>was completed</w:t>
      </w:r>
      <w:r>
        <w:t>.</w:t>
      </w:r>
      <w:r w:rsidR="00040C34">
        <w:rPr>
          <w:rStyle w:val="FootnoteReference"/>
        </w:rPr>
        <w:footnoteReference w:id="1"/>
      </w:r>
      <w:r>
        <w:t xml:space="preserve">  </w:t>
      </w:r>
    </w:p>
    <w:p w14:paraId="47500081" w14:textId="4BD0706C" w:rsidR="00E910FB" w:rsidRDefault="003C195D" w:rsidP="00BB2B1B">
      <w:pPr>
        <w:widowControl w:val="0"/>
        <w:ind w:firstLine="720"/>
        <w:contextualSpacing/>
      </w:pPr>
      <w:r>
        <w:t>O</w:t>
      </w:r>
      <w:r w:rsidR="00E910FB">
        <w:t xml:space="preserve">n July 8, Shiekh, represented by counsel, answered Davis’s complaint, asserting the arbitration </w:t>
      </w:r>
      <w:r w:rsidR="007506A2">
        <w:t>agreement</w:t>
      </w:r>
      <w:r w:rsidR="00E910FB">
        <w:t xml:space="preserve"> </w:t>
      </w:r>
      <w:r w:rsidR="009B320A">
        <w:t xml:space="preserve">as an affirmative defense. </w:t>
      </w:r>
      <w:r w:rsidR="00280C51">
        <w:t xml:space="preserve"> </w:t>
      </w:r>
    </w:p>
    <w:p w14:paraId="63302496" w14:textId="22EC22A3" w:rsidR="00E910FB" w:rsidRDefault="00E910FB" w:rsidP="00B16635">
      <w:pPr>
        <w:widowControl w:val="0"/>
        <w:contextualSpacing/>
      </w:pPr>
      <w:r>
        <w:tab/>
        <w:t>On July 30</w:t>
      </w:r>
      <w:r w:rsidR="002C520B">
        <w:t xml:space="preserve">, </w:t>
      </w:r>
      <w:r>
        <w:t>Shiekh filed a case management statement, in which it requested a non-jury trial, estimated a trial between five to seven days, and noted that the case would be ready for trial “within 12 months of the date of the filing of the complaint.”  Shiekh also</w:t>
      </w:r>
      <w:r w:rsidR="00990465">
        <w:t xml:space="preserve"> </w:t>
      </w:r>
      <w:r>
        <w:t>anticipa</w:t>
      </w:r>
      <w:r w:rsidR="00EB39B7">
        <w:t>ted</w:t>
      </w:r>
      <w:r>
        <w:t xml:space="preserve"> </w:t>
      </w:r>
      <w:r w:rsidR="00F00868">
        <w:t xml:space="preserve">conducting </w:t>
      </w:r>
      <w:r>
        <w:t xml:space="preserve">written discovery, depositions, and expert discovery, and filing motions.  Additionally, Shiekh </w:t>
      </w:r>
      <w:r w:rsidR="00F00868">
        <w:t>noted</w:t>
      </w:r>
      <w:r>
        <w:t xml:space="preserve"> it</w:t>
      </w:r>
      <w:r w:rsidR="0067689B">
        <w:t xml:space="preserve">s willingness to </w:t>
      </w:r>
      <w:r>
        <w:t xml:space="preserve">participate in </w:t>
      </w:r>
      <w:r w:rsidR="0067689B">
        <w:t xml:space="preserve">a settlement conference, neutral evaluation, </w:t>
      </w:r>
      <w:r w:rsidR="0047371E">
        <w:t xml:space="preserve">or </w:t>
      </w:r>
      <w:r>
        <w:t xml:space="preserve">binding private arbitration.  </w:t>
      </w:r>
    </w:p>
    <w:p w14:paraId="48F87285" w14:textId="57F98BB3" w:rsidR="00E910FB" w:rsidRDefault="00E910FB" w:rsidP="00B16635">
      <w:pPr>
        <w:widowControl w:val="0"/>
        <w:contextualSpacing/>
      </w:pPr>
      <w:r>
        <w:tab/>
        <w:t>On August 14,</w:t>
      </w:r>
      <w:r w:rsidR="002C520B">
        <w:t xml:space="preserve"> </w:t>
      </w:r>
      <w:r>
        <w:t xml:space="preserve">the court scheduled a jury trial for July 20, 2020.  </w:t>
      </w:r>
    </w:p>
    <w:p w14:paraId="5083A1BE" w14:textId="4E750716" w:rsidR="00927B18" w:rsidRDefault="00E910FB" w:rsidP="00B16635">
      <w:pPr>
        <w:widowControl w:val="0"/>
        <w:contextualSpacing/>
      </w:pPr>
      <w:r>
        <w:lastRenderedPageBreak/>
        <w:tab/>
      </w:r>
      <w:r w:rsidR="006B11E1">
        <w:t>One month later</w:t>
      </w:r>
      <w:r w:rsidR="004A40A4">
        <w:t>,</w:t>
      </w:r>
      <w:r>
        <w:t xml:space="preserve"> Davis commenced discovery, serving Shiekh with deposition notices, two sets of form interrogatories, special interrogatories, a request for admissions, and a request for production of documents.  </w:t>
      </w:r>
      <w:r w:rsidR="00927B18">
        <w:t xml:space="preserve">Two months </w:t>
      </w:r>
      <w:r w:rsidR="00B05B21">
        <w:t>after that</w:t>
      </w:r>
      <w:r w:rsidR="00927B18">
        <w:t>,</w:t>
      </w:r>
      <w:r>
        <w:t xml:space="preserve"> Shiekh served verified responses to the discovery</w:t>
      </w:r>
      <w:r w:rsidR="00230D48">
        <w:t xml:space="preserve"> requests</w:t>
      </w:r>
      <w:r>
        <w:t xml:space="preserve">.  </w:t>
      </w:r>
      <w:r w:rsidRPr="00181D44">
        <w:t xml:space="preserve">Although Shiekh objected on a variety of grounds, it did not </w:t>
      </w:r>
      <w:r>
        <w:t xml:space="preserve">assert a right to arbitrate Davis’s claims.  </w:t>
      </w:r>
    </w:p>
    <w:p w14:paraId="7E4E44F5" w14:textId="0D67DAA2" w:rsidR="00E910FB" w:rsidRDefault="00E910FB" w:rsidP="00B16635">
      <w:pPr>
        <w:widowControl w:val="0"/>
        <w:ind w:firstLine="720"/>
        <w:contextualSpacing/>
      </w:pPr>
      <w:r>
        <w:t>In December, Davis and Shiekh engaged in meet-and-confer discussions regarding Shiekh’s discovery responses</w:t>
      </w:r>
      <w:r w:rsidR="00645452">
        <w:t xml:space="preserve">, </w:t>
      </w:r>
      <w:r w:rsidR="003831DC">
        <w:t>after which</w:t>
      </w:r>
      <w:r w:rsidR="00DE17C2">
        <w:t xml:space="preserve"> </w:t>
      </w:r>
      <w:r>
        <w:t>Shiekh</w:t>
      </w:r>
      <w:r w:rsidR="00645452">
        <w:t xml:space="preserve"> </w:t>
      </w:r>
      <w:r>
        <w:t>supplement</w:t>
      </w:r>
      <w:r w:rsidR="003831DC">
        <w:t>ed it</w:t>
      </w:r>
      <w:r w:rsidR="008855BD">
        <w:t>s</w:t>
      </w:r>
      <w:r w:rsidR="00645452">
        <w:t xml:space="preserve"> </w:t>
      </w:r>
      <w:r>
        <w:t>responses</w:t>
      </w:r>
      <w:r w:rsidR="00796A07">
        <w:t xml:space="preserve"> to Davis’s </w:t>
      </w:r>
      <w:r w:rsidR="003831DC">
        <w:t>special interrogatories, request for admissions, and request for production of documents</w:t>
      </w:r>
      <w:r>
        <w:t xml:space="preserve">. </w:t>
      </w:r>
      <w:r w:rsidR="00CC2693">
        <w:t xml:space="preserve"> </w:t>
      </w:r>
    </w:p>
    <w:p w14:paraId="1BB879BF" w14:textId="643B36AA" w:rsidR="00E910FB" w:rsidRDefault="00E910FB" w:rsidP="00B16635">
      <w:pPr>
        <w:widowControl w:val="0"/>
        <w:contextualSpacing/>
      </w:pPr>
      <w:r>
        <w:tab/>
        <w:t>On January 13, 202</w:t>
      </w:r>
      <w:r w:rsidR="006B11E1">
        <w:t>0</w:t>
      </w:r>
      <w:r>
        <w:t xml:space="preserve">, Shiekh filed a substitution of attorney, listing itself as its new attorney. </w:t>
      </w:r>
      <w:r w:rsidR="004876E6">
        <w:t xml:space="preserve"> </w:t>
      </w:r>
      <w:r w:rsidR="00D74D70">
        <w:t xml:space="preserve"> </w:t>
      </w:r>
    </w:p>
    <w:p w14:paraId="0F2348EA" w14:textId="6AAD6432" w:rsidR="00E910FB" w:rsidRDefault="00E910FB" w:rsidP="00B16635">
      <w:pPr>
        <w:widowControl w:val="0"/>
        <w:contextualSpacing/>
      </w:pPr>
      <w:r>
        <w:tab/>
      </w:r>
      <w:r w:rsidRPr="005963EE">
        <w:t xml:space="preserve">Meanwhile, Davis served written discovery on Ensuncho, </w:t>
      </w:r>
      <w:r w:rsidR="00EC3EA8">
        <w:t xml:space="preserve">who then moved for </w:t>
      </w:r>
      <w:r w:rsidRPr="005963EE">
        <w:t>a stay of the proceedings and discovery</w:t>
      </w:r>
      <w:r w:rsidR="0016217D">
        <w:t>,</w:t>
      </w:r>
      <w:r w:rsidR="00EC3EA8">
        <w:t xml:space="preserve"> claiming that </w:t>
      </w:r>
      <w:r w:rsidR="00A54F87">
        <w:t xml:space="preserve">any </w:t>
      </w:r>
      <w:r w:rsidR="00EE47BB">
        <w:t xml:space="preserve">forthcoming </w:t>
      </w:r>
      <w:r w:rsidR="002A4051">
        <w:t>discovery responses</w:t>
      </w:r>
      <w:r>
        <w:t xml:space="preserve"> </w:t>
      </w:r>
      <w:r w:rsidR="00436272">
        <w:t>concerning</w:t>
      </w:r>
      <w:r>
        <w:t xml:space="preserve"> Davis’s claims of sexual misconduct would </w:t>
      </w:r>
      <w:r w:rsidR="0016217D">
        <w:t>potentially expose</w:t>
      </w:r>
      <w:r>
        <w:t xml:space="preserve"> </w:t>
      </w:r>
      <w:r w:rsidR="000516F3">
        <w:t xml:space="preserve">him </w:t>
      </w:r>
      <w:r>
        <w:t xml:space="preserve">to criminal </w:t>
      </w:r>
      <w:r w:rsidR="0016217D">
        <w:t>liability</w:t>
      </w:r>
      <w:r>
        <w:t xml:space="preserve">. </w:t>
      </w:r>
      <w:r w:rsidRPr="005963EE">
        <w:t xml:space="preserve"> </w:t>
      </w:r>
      <w:r w:rsidR="008F27D0">
        <w:t xml:space="preserve">Based on this, </w:t>
      </w:r>
      <w:r w:rsidRPr="001277FD">
        <w:t xml:space="preserve">Ensuncho sought a stay until the </w:t>
      </w:r>
      <w:r w:rsidR="00393558">
        <w:t xml:space="preserve">expiration of the </w:t>
      </w:r>
      <w:r w:rsidRPr="001277FD">
        <w:t xml:space="preserve">statute of limitations for bringing criminal charges </w:t>
      </w:r>
      <w:r w:rsidR="002F1401">
        <w:t>against him</w:t>
      </w:r>
      <w:r w:rsidR="00393558">
        <w:t xml:space="preserve"> or</w:t>
      </w:r>
      <w:r w:rsidRPr="001277FD">
        <w:t>,</w:t>
      </w:r>
      <w:r w:rsidR="00393558">
        <w:t xml:space="preserve"> alternatively, </w:t>
      </w:r>
      <w:r w:rsidR="00393558" w:rsidRPr="001277FD">
        <w:t xml:space="preserve">until the resolution of </w:t>
      </w:r>
      <w:r w:rsidR="00393558">
        <w:t xml:space="preserve">the criminal </w:t>
      </w:r>
      <w:r w:rsidR="00393558" w:rsidRPr="001277FD">
        <w:t>proceeding</w:t>
      </w:r>
      <w:r w:rsidR="00393558">
        <w:t xml:space="preserve"> </w:t>
      </w:r>
      <w:r w:rsidRPr="001277FD">
        <w:t>i</w:t>
      </w:r>
      <w:r w:rsidR="00B05B21">
        <w:t>n the event</w:t>
      </w:r>
      <w:r w:rsidRPr="001277FD">
        <w:t xml:space="preserve"> such charges </w:t>
      </w:r>
      <w:r w:rsidR="00B05B21">
        <w:t xml:space="preserve">were </w:t>
      </w:r>
      <w:r w:rsidRPr="001277FD">
        <w:t>brought</w:t>
      </w:r>
      <w:r w:rsidR="00393558">
        <w:t>.</w:t>
      </w:r>
      <w:r w:rsidRPr="001277FD">
        <w:t xml:space="preserve"> </w:t>
      </w:r>
      <w:r>
        <w:t xml:space="preserve"> Shiekh did not join in the motion</w:t>
      </w:r>
      <w:r w:rsidR="002A4051">
        <w:t xml:space="preserve"> or otherwise file a response.</w:t>
      </w:r>
      <w:r>
        <w:t xml:space="preserve">  </w:t>
      </w:r>
      <w:r w:rsidRPr="005963EE">
        <w:t>Davis opposed the motion</w:t>
      </w:r>
      <w:r>
        <w:t xml:space="preserve">, which the court later denied.    </w:t>
      </w:r>
    </w:p>
    <w:p w14:paraId="57B0F925" w14:textId="5A7231C3" w:rsidR="00E910FB" w:rsidRDefault="00E910FB" w:rsidP="00B16635">
      <w:pPr>
        <w:widowControl w:val="0"/>
        <w:contextualSpacing/>
      </w:pPr>
      <w:r>
        <w:tab/>
        <w:t>On June 22</w:t>
      </w:r>
      <w:r w:rsidR="002C520B">
        <w:t xml:space="preserve">, </w:t>
      </w:r>
      <w:r>
        <w:t>Davi</w:t>
      </w:r>
      <w:r w:rsidR="00B93108">
        <w:t>s</w:t>
      </w:r>
      <w:r>
        <w:t xml:space="preserve"> applied </w:t>
      </w:r>
      <w:r w:rsidRPr="006C3840">
        <w:t>ex parte</w:t>
      </w:r>
      <w:r>
        <w:rPr>
          <w:i/>
          <w:iCs/>
        </w:rPr>
        <w:t xml:space="preserve"> </w:t>
      </w:r>
      <w:r>
        <w:t>for an order to show cause why Shiekh’s answer should not be stricken under Code of Civil Procedure sections 435 and 436</w:t>
      </w:r>
      <w:r w:rsidR="00B93108">
        <w:t xml:space="preserve">.  </w:t>
      </w:r>
      <w:r w:rsidR="00FC7919">
        <w:t xml:space="preserve">Under those provisions, Davis asserted, </w:t>
      </w:r>
      <w:r>
        <w:t>Shiekh</w:t>
      </w:r>
      <w:r w:rsidR="00FC7919">
        <w:t>,</w:t>
      </w:r>
      <w:r>
        <w:t xml:space="preserve"> </w:t>
      </w:r>
      <w:r w:rsidR="00FC7919">
        <w:t xml:space="preserve">a </w:t>
      </w:r>
      <w:r>
        <w:t xml:space="preserve">business entity, </w:t>
      </w:r>
      <w:r w:rsidR="00FC7919">
        <w:t>could not</w:t>
      </w:r>
      <w:r>
        <w:t xml:space="preserve"> represent itself in court in propria persona</w:t>
      </w:r>
      <w:r w:rsidR="00FC7919">
        <w:t>,</w:t>
      </w:r>
      <w:r>
        <w:t xml:space="preserve"> but must appear through legal counsel.  The court granted the application and set a hearing on the order to show cause.    </w:t>
      </w:r>
    </w:p>
    <w:p w14:paraId="3B52ECDD" w14:textId="1BF0655B" w:rsidR="00E910FB" w:rsidRPr="009900D6" w:rsidRDefault="00E910FB" w:rsidP="00B16635">
      <w:pPr>
        <w:widowControl w:val="0"/>
        <w:contextualSpacing/>
      </w:pPr>
      <w:r>
        <w:lastRenderedPageBreak/>
        <w:tab/>
      </w:r>
      <w:r w:rsidR="005A65B2">
        <w:t>O</w:t>
      </w:r>
      <w:r>
        <w:t>n June 23</w:t>
      </w:r>
      <w:r w:rsidR="002C520B">
        <w:t xml:space="preserve">, </w:t>
      </w:r>
      <w:r>
        <w:t>Davis filed an ex parte application to continue trial</w:t>
      </w:r>
      <w:r w:rsidR="0062134E">
        <w:t xml:space="preserve"> </w:t>
      </w:r>
      <w:r>
        <w:t xml:space="preserve">in light of Shiekh’s failure to obtain counsel.  The court denied the application </w:t>
      </w:r>
      <w:r w:rsidR="003B1BBE">
        <w:t>because there was no</w:t>
      </w:r>
      <w:r>
        <w:t xml:space="preserve"> stipulation</w:t>
      </w:r>
      <w:r w:rsidR="003B1BBE">
        <w:t xml:space="preserve"> among the parties</w:t>
      </w:r>
      <w:r>
        <w:t xml:space="preserve"> for a continuance.  </w:t>
      </w:r>
    </w:p>
    <w:p w14:paraId="779FD073" w14:textId="238A3024" w:rsidR="00B05B21" w:rsidRDefault="00E910FB" w:rsidP="00B16635">
      <w:pPr>
        <w:widowControl w:val="0"/>
        <w:contextualSpacing/>
      </w:pPr>
      <w:r>
        <w:tab/>
        <w:t xml:space="preserve">On </w:t>
      </w:r>
      <w:r w:rsidR="00830F7C">
        <w:t>Ju</w:t>
      </w:r>
      <w:r w:rsidR="00D236E7">
        <w:t>ne</w:t>
      </w:r>
      <w:r w:rsidR="00830F7C">
        <w:t xml:space="preserve"> </w:t>
      </w:r>
      <w:r w:rsidR="00D236E7">
        <w:t>30</w:t>
      </w:r>
      <w:r w:rsidR="002C520B">
        <w:t xml:space="preserve">, </w:t>
      </w:r>
      <w:r>
        <w:t xml:space="preserve">Davis </w:t>
      </w:r>
      <w:r w:rsidR="00B05B21">
        <w:t xml:space="preserve">again sought to continue the trial date, this time by way of noticed motion. </w:t>
      </w:r>
      <w:r>
        <w:t xml:space="preserve"> Shiekh filed no opposition.  The court granted the motion and continued the trial date to September 28, 2020.  </w:t>
      </w:r>
    </w:p>
    <w:p w14:paraId="7755ADC1" w14:textId="07658D5A" w:rsidR="00E910FB" w:rsidRDefault="00E910FB" w:rsidP="00B16635">
      <w:pPr>
        <w:widowControl w:val="0"/>
        <w:ind w:firstLine="720"/>
        <w:contextualSpacing/>
      </w:pPr>
      <w:r>
        <w:t xml:space="preserve">On July 14, </w:t>
      </w:r>
      <w:r w:rsidRPr="0023392A">
        <w:t xml:space="preserve">Davis filed a dismissal with prejudice as to Ensuncho. </w:t>
      </w:r>
      <w:r>
        <w:t xml:space="preserve"> </w:t>
      </w:r>
    </w:p>
    <w:p w14:paraId="2CF7AC4B" w14:textId="53EA135E" w:rsidR="00E910FB" w:rsidRDefault="00E910FB" w:rsidP="00B16635">
      <w:pPr>
        <w:widowControl w:val="0"/>
        <w:contextualSpacing/>
      </w:pPr>
      <w:r>
        <w:tab/>
        <w:t xml:space="preserve">On August 24, </w:t>
      </w:r>
      <w:r w:rsidR="00215288">
        <w:t xml:space="preserve">seven months after being unrepresented by counsel, </w:t>
      </w:r>
      <w:r>
        <w:t xml:space="preserve">Shiekh filed a substitution of attorney designating Marc Cohen as its new attorney.  </w:t>
      </w:r>
      <w:r w:rsidR="00BA1828">
        <w:t>The court then</w:t>
      </w:r>
      <w:r w:rsidR="00A979D5">
        <w:t xml:space="preserve"> </w:t>
      </w:r>
      <w:r w:rsidR="00BA1828">
        <w:t>vacated the</w:t>
      </w:r>
      <w:r w:rsidR="00A979D5">
        <w:t xml:space="preserve"> order to show cause on whether Shiekh’s answer should be stricken. </w:t>
      </w:r>
    </w:p>
    <w:p w14:paraId="3499715E" w14:textId="3EB8627A" w:rsidR="00E910FB" w:rsidRDefault="00E910FB" w:rsidP="00B16635">
      <w:pPr>
        <w:widowControl w:val="0"/>
        <w:contextualSpacing/>
      </w:pPr>
      <w:r>
        <w:tab/>
        <w:t>On September 8, Davis filed another ex parte application to continue the trial date to May 10, 2021, attaching Davis’s and Shiekh’s stipulation.  The stipulation stated “</w:t>
      </w:r>
      <w:r w:rsidR="003F1B71">
        <w:t>[Shiekh’s]</w:t>
      </w:r>
      <w:r>
        <w:t xml:space="preserve"> counsel requires additional time to complete necessary discovery and prepare for trial” and “the Parties have agreed to an extension of the trial date and related deadlines in order to complete discovery in this matter, as well as allow time to address and resolve any potential disputes.”  </w:t>
      </w:r>
      <w:r w:rsidR="00A27337">
        <w:t>T</w:t>
      </w:r>
      <w:r>
        <w:t xml:space="preserve">he court </w:t>
      </w:r>
      <w:r w:rsidR="00CD5993">
        <w:t xml:space="preserve">granted the application and </w:t>
      </w:r>
      <w:r>
        <w:t xml:space="preserve">continued the trial date to May 10, 2021.  </w:t>
      </w:r>
    </w:p>
    <w:p w14:paraId="7D9EFEDB" w14:textId="7153706F" w:rsidR="00E910FB" w:rsidRDefault="00E910FB" w:rsidP="00B16635">
      <w:pPr>
        <w:widowControl w:val="0"/>
        <w:contextualSpacing/>
      </w:pPr>
      <w:r>
        <w:tab/>
        <w:t>On October 5, 2020—about 1</w:t>
      </w:r>
      <w:r w:rsidR="008F4B6C">
        <w:t>7</w:t>
      </w:r>
      <w:r>
        <w:t xml:space="preserve"> months after </w:t>
      </w:r>
      <w:r w:rsidR="008F4B6C">
        <w:t>Shiekh was served with the complaint</w:t>
      </w:r>
      <w:r>
        <w:t xml:space="preserve"> and seven months before the </w:t>
      </w:r>
      <w:r w:rsidR="00850134">
        <w:t>new</w:t>
      </w:r>
      <w:r>
        <w:t xml:space="preserve"> trial date—Shiekh moved to compel arbitration and to stay the action pursuant to both the Federal Arbitration Act (FAA) (9 U.S.C. § 1 et seq.) and California Arbitration Act (CAA) (Code Civ. Proc., § 1280 et seq.)  Anticipating </w:t>
      </w:r>
      <w:r w:rsidR="00C17E16">
        <w:t xml:space="preserve">an argument from Davis that Shiekh had waived its right to </w:t>
      </w:r>
      <w:r w:rsidR="00F56589">
        <w:t xml:space="preserve">invoke </w:t>
      </w:r>
      <w:r w:rsidR="00C17E16">
        <w:t>arbitration</w:t>
      </w:r>
      <w:r>
        <w:t xml:space="preserve">, Shiekh </w:t>
      </w:r>
      <w:r w:rsidR="00C17E16">
        <w:t>asserted</w:t>
      </w:r>
      <w:r w:rsidR="00A94A5F">
        <w:t xml:space="preserve"> it</w:t>
      </w:r>
      <w:r w:rsidR="00C17E16">
        <w:t xml:space="preserve">s </w:t>
      </w:r>
      <w:r w:rsidR="00F56589">
        <w:t>participation</w:t>
      </w:r>
      <w:r w:rsidR="00C17E16">
        <w:t xml:space="preserve"> in the lawsuit </w:t>
      </w:r>
      <w:r w:rsidR="00F56589">
        <w:t xml:space="preserve">thus far </w:t>
      </w:r>
      <w:r w:rsidR="00C17E16">
        <w:t xml:space="preserve">was de minimis and therefore </w:t>
      </w:r>
      <w:r w:rsidR="00F56589">
        <w:t xml:space="preserve">it did not act </w:t>
      </w:r>
      <w:r w:rsidR="00C17E16">
        <w:t>inconsistent</w:t>
      </w:r>
      <w:r w:rsidR="00F56589">
        <w:t>ly</w:t>
      </w:r>
      <w:r w:rsidR="00C17E16">
        <w:t xml:space="preserve"> with an intent to arbitrate. </w:t>
      </w:r>
      <w:r>
        <w:t xml:space="preserve"> </w:t>
      </w:r>
      <w:r w:rsidR="00B54207">
        <w:t>Shiekh acknowledged it had</w:t>
      </w:r>
      <w:r w:rsidR="00C17E16">
        <w:t xml:space="preserve"> </w:t>
      </w:r>
      <w:r w:rsidR="00C17E16">
        <w:lastRenderedPageBreak/>
        <w:t>delay</w:t>
      </w:r>
      <w:r w:rsidR="00B54207">
        <w:t>ed</w:t>
      </w:r>
      <w:r w:rsidR="00C17E16">
        <w:t xml:space="preserve"> in </w:t>
      </w:r>
      <w:r w:rsidR="00B54207">
        <w:t>filing a motion</w:t>
      </w:r>
      <w:r w:rsidR="00C17E16">
        <w:t xml:space="preserve"> to compel arbitration, but argued the delay was excusable, citing its lack of counsel for several months, pandemic-related disruptions to the court, and “the fact that [Ensuncho] seemed to be the primary target of [the] complaint, until his dismissal from the action on July 14, 2020.”  </w:t>
      </w:r>
      <w:r>
        <w:t xml:space="preserve">Shiekh </w:t>
      </w:r>
      <w:r w:rsidR="00B54207">
        <w:t xml:space="preserve">further </w:t>
      </w:r>
      <w:r>
        <w:t xml:space="preserve">asserted </w:t>
      </w:r>
      <w:r w:rsidR="00B54207">
        <w:t xml:space="preserve">the absence of prejudice to </w:t>
      </w:r>
      <w:r>
        <w:t>Davis</w:t>
      </w:r>
      <w:r w:rsidR="00B54207">
        <w:t xml:space="preserve"> </w:t>
      </w:r>
      <w:r w:rsidR="00A13A98">
        <w:t>from its conduct in the litigation</w:t>
      </w:r>
      <w:r w:rsidR="00B54207">
        <w:t xml:space="preserve"> was a factor weighing against finding waiver</w:t>
      </w:r>
      <w:r>
        <w:t xml:space="preserve">.  </w:t>
      </w:r>
    </w:p>
    <w:p w14:paraId="57A42459" w14:textId="7FE1A52E" w:rsidR="00E910FB" w:rsidRDefault="00E910FB" w:rsidP="00B16635">
      <w:pPr>
        <w:widowControl w:val="0"/>
        <w:contextualSpacing/>
      </w:pPr>
      <w:r>
        <w:tab/>
        <w:t xml:space="preserve">Davis opposed the petition, </w:t>
      </w:r>
      <w:r w:rsidR="007D2142">
        <w:t>disputing</w:t>
      </w:r>
      <w:r>
        <w:t xml:space="preserve"> Shiekh</w:t>
      </w:r>
      <w:r w:rsidR="007D2142">
        <w:t>’s assertions it had not</w:t>
      </w:r>
      <w:r>
        <w:t xml:space="preserve"> waived its right to seek arbitration</w:t>
      </w:r>
      <w:r w:rsidR="007D2142">
        <w:t>.  Davis pointed to Shiekh’s</w:t>
      </w:r>
      <w:r>
        <w:t xml:space="preserve"> </w:t>
      </w:r>
      <w:r w:rsidR="00F56589">
        <w:t>approximately one-and-a-half-year</w:t>
      </w:r>
      <w:r>
        <w:t xml:space="preserve"> </w:t>
      </w:r>
      <w:r w:rsidR="007D2142">
        <w:t xml:space="preserve">delay before </w:t>
      </w:r>
      <w:r w:rsidR="00C2745D">
        <w:t>filing its motion</w:t>
      </w:r>
      <w:r w:rsidR="007D2142">
        <w:t xml:space="preserve"> and its active participation in the lawsuit</w:t>
      </w:r>
      <w:r w:rsidR="001C3CB0">
        <w:t xml:space="preserve"> as evidence </w:t>
      </w:r>
      <w:r w:rsidR="00E705C8">
        <w:t xml:space="preserve">supporting </w:t>
      </w:r>
      <w:r w:rsidR="001C3CB0">
        <w:t>waiver</w:t>
      </w:r>
      <w:r>
        <w:t xml:space="preserve">.  In reply, Shiekh reiterated its claim that it “did the bare minimum that was necessary to avoid having a default entered against it.”   </w:t>
      </w:r>
    </w:p>
    <w:p w14:paraId="4F134FDC" w14:textId="2C6706A3" w:rsidR="00E910FB" w:rsidRDefault="00E910FB" w:rsidP="00B16635">
      <w:pPr>
        <w:widowControl w:val="0"/>
        <w:contextualSpacing/>
      </w:pPr>
      <w:r>
        <w:tab/>
        <w:t xml:space="preserve">On November 13, the court </w:t>
      </w:r>
      <w:r w:rsidR="00FB6B96">
        <w:t>held</w:t>
      </w:r>
      <w:r>
        <w:t xml:space="preserve"> the hearing on the </w:t>
      </w:r>
      <w:r w:rsidR="00FB6B96">
        <w:t>motion</w:t>
      </w:r>
      <w:r w:rsidR="002E5204">
        <w:t xml:space="preserve">, beginning with this: </w:t>
      </w:r>
      <w:r>
        <w:t xml:space="preserve"> “[L]et me just say, to start, that this issue of waiver comes up at least once a month in this calendar.  And I gotta tell you, . . . [¶] . . . [¶]  I’ve never seen one that’s as long as seventeen months . . . .”  </w:t>
      </w:r>
      <w:r w:rsidR="00F55E7D">
        <w:t>Following th</w:t>
      </w:r>
      <w:r w:rsidR="00FB6B96">
        <w:t xml:space="preserve">e parties’ </w:t>
      </w:r>
      <w:r w:rsidR="00F55E7D">
        <w:t>argument</w:t>
      </w:r>
      <w:r w:rsidR="00F0611C">
        <w:t>s</w:t>
      </w:r>
      <w:r>
        <w:t xml:space="preserve">, the court, by written order, denied the motion.  </w:t>
      </w:r>
      <w:r w:rsidR="00F8476D">
        <w:t xml:space="preserve">The court </w:t>
      </w:r>
      <w:r>
        <w:t>highlight</w:t>
      </w:r>
      <w:r w:rsidR="00F8476D">
        <w:t xml:space="preserve">ed </w:t>
      </w:r>
      <w:r>
        <w:t xml:space="preserve">Shiekh’s delay in </w:t>
      </w:r>
      <w:r w:rsidR="00691CCB">
        <w:t>moving to compel</w:t>
      </w:r>
      <w:r>
        <w:t xml:space="preserve"> arbitration and </w:t>
      </w:r>
      <w:r w:rsidR="00F55E7D">
        <w:t xml:space="preserve">pre-trial activity </w:t>
      </w:r>
      <w:r>
        <w:t>in the lawsuit</w:t>
      </w:r>
      <w:r w:rsidR="00F8476D">
        <w:t xml:space="preserve"> before concluding</w:t>
      </w:r>
      <w:r w:rsidR="00F55E7D">
        <w:t xml:space="preserve"> </w:t>
      </w:r>
      <w:r>
        <w:t xml:space="preserve">that Shiekh “fails the waiver test California’s [S]upreme [C]ourt adopted in </w:t>
      </w:r>
      <w:r>
        <w:rPr>
          <w:i/>
          <w:iCs/>
        </w:rPr>
        <w:t xml:space="preserve">St. Agnes </w:t>
      </w:r>
      <w:r w:rsidR="00894C8F">
        <w:rPr>
          <w:i/>
          <w:iCs/>
        </w:rPr>
        <w:t xml:space="preserve">Medical </w:t>
      </w:r>
      <w:r>
        <w:rPr>
          <w:i/>
          <w:iCs/>
        </w:rPr>
        <w:t xml:space="preserve">Center v. PacifiCare of California </w:t>
      </w:r>
      <w:r>
        <w:t>(2003) 31 Cal.4th 1187, 1196:  defendant’s actions were ‘inconsistent with the right to arbitrate’</w:t>
      </w:r>
      <w:r w:rsidR="00894C8F">
        <w:t>;</w:t>
      </w:r>
      <w:r>
        <w:t xml:space="preserve"> defendant ‘delayed for a long period of time’</w:t>
      </w:r>
      <w:r w:rsidR="00894C8F">
        <w:t>;</w:t>
      </w:r>
      <w:r>
        <w:t xml:space="preserve"> litigation machinery has been substantially invoked’</w:t>
      </w:r>
      <w:r w:rsidR="00894C8F">
        <w:t>;</w:t>
      </w:r>
      <w:r>
        <w:t xml:space="preserve"> ‘judicial discovery procedures’ took place; and the delay ‘affected, misled, or prejudiced’ plaintiff.”  </w:t>
      </w:r>
    </w:p>
    <w:p w14:paraId="32EB897C" w14:textId="7FDADA05" w:rsidR="00E910FB" w:rsidRDefault="00E910FB" w:rsidP="00B16635">
      <w:pPr>
        <w:widowControl w:val="0"/>
        <w:contextualSpacing/>
      </w:pPr>
      <w:r>
        <w:tab/>
      </w:r>
      <w:r w:rsidR="00AE5726">
        <w:t>Shiekh</w:t>
      </w:r>
      <w:r>
        <w:t xml:space="preserve"> appeal</w:t>
      </w:r>
      <w:r w:rsidR="00AE5726">
        <w:t>ed</w:t>
      </w:r>
      <w:r>
        <w:t xml:space="preserve">. </w:t>
      </w:r>
      <w:r w:rsidR="00410988">
        <w:t xml:space="preserve"> </w:t>
      </w:r>
    </w:p>
    <w:p w14:paraId="2FB03A89" w14:textId="14BB227F" w:rsidR="00E910FB" w:rsidRDefault="00E910FB" w:rsidP="00B16635">
      <w:pPr>
        <w:widowControl w:val="0"/>
        <w:contextualSpacing/>
        <w:rPr>
          <w:b/>
          <w:bCs/>
        </w:rPr>
      </w:pPr>
      <w:r>
        <w:tab/>
        <w:t xml:space="preserve">After the parties completed briefing, the United States Supreme Court </w:t>
      </w:r>
      <w:r>
        <w:lastRenderedPageBreak/>
        <w:t xml:space="preserve">issued its decision in </w:t>
      </w:r>
      <w:r>
        <w:rPr>
          <w:i/>
          <w:iCs/>
        </w:rPr>
        <w:t xml:space="preserve">Morgan v. Sundance, Inc. </w:t>
      </w:r>
      <w:r>
        <w:t>(2022) 142 S.Ct. 1708 (</w:t>
      </w:r>
      <w:r>
        <w:rPr>
          <w:i/>
          <w:iCs/>
        </w:rPr>
        <w:t>Morgan</w:t>
      </w:r>
      <w:r>
        <w:t>)</w:t>
      </w:r>
      <w:r w:rsidR="00D92F1A">
        <w:t>,</w:t>
      </w:r>
      <w:r>
        <w:t xml:space="preserve"> holding that under the FAA, courts may not condition </w:t>
      </w:r>
      <w:r w:rsidR="009E3675">
        <w:t xml:space="preserve">a determination of </w:t>
      </w:r>
      <w:r>
        <w:t xml:space="preserve">waiver on prejudice.  In light of this, we </w:t>
      </w:r>
      <w:r w:rsidR="007E4401">
        <w:t xml:space="preserve">directed </w:t>
      </w:r>
      <w:r>
        <w:t xml:space="preserve">the parties to submit supplemental briefs on the applicability of the FAA and </w:t>
      </w:r>
      <w:r>
        <w:rPr>
          <w:i/>
          <w:iCs/>
        </w:rPr>
        <w:t>Morgan</w:t>
      </w:r>
      <w:r>
        <w:t>, if any, to the issues raised in the appeal.</w:t>
      </w:r>
      <w:r w:rsidR="009E44BB">
        <w:t xml:space="preserve"> </w:t>
      </w:r>
      <w:r w:rsidR="007E4401">
        <w:t xml:space="preserve"> </w:t>
      </w:r>
      <w:r w:rsidR="008603E0">
        <w:t xml:space="preserve">Both parties submitted briefs accordingly. </w:t>
      </w:r>
      <w:r w:rsidR="00A632CD">
        <w:t xml:space="preserve"> </w:t>
      </w:r>
    </w:p>
    <w:p w14:paraId="0014C62E" w14:textId="02FB0400" w:rsidR="00795767" w:rsidRPr="00F00ED7" w:rsidRDefault="00795767" w:rsidP="00B16635">
      <w:pPr>
        <w:pStyle w:val="Heading1"/>
        <w:keepNext w:val="0"/>
        <w:widowControl w:val="0"/>
      </w:pPr>
      <w:r w:rsidRPr="00795767">
        <w:t>DISCUSSION</w:t>
      </w:r>
      <w:r w:rsidR="00137BFF">
        <w:t xml:space="preserve"> </w:t>
      </w:r>
    </w:p>
    <w:p w14:paraId="60E6D5C1" w14:textId="77777777" w:rsidR="00A6577A" w:rsidRDefault="00A6577A" w:rsidP="00B16635">
      <w:pPr>
        <w:pStyle w:val="Heading2"/>
        <w:spacing w:after="0" w:line="360" w:lineRule="auto"/>
      </w:pPr>
      <w:r w:rsidRPr="0051663A">
        <w:t xml:space="preserve">Standard of Review </w:t>
      </w:r>
    </w:p>
    <w:p w14:paraId="12A33C63" w14:textId="78B716BB" w:rsidR="00A6577A" w:rsidRDefault="00A6577A" w:rsidP="00B16635">
      <w:pPr>
        <w:widowControl w:val="0"/>
        <w:ind w:firstLine="720"/>
        <w:contextualSpacing/>
      </w:pPr>
      <w:r>
        <w:t xml:space="preserve">We begin with a discussion of the applicable standard of review, a standard on which the parties disagree.  </w:t>
      </w:r>
      <w:r w:rsidRPr="00A6577A">
        <w:t xml:space="preserve">Shiekh seeks to </w:t>
      </w:r>
      <w:r w:rsidR="00F93CC9">
        <w:t xml:space="preserve">obtain </w:t>
      </w:r>
      <w:r w:rsidRPr="00A6577A">
        <w:t xml:space="preserve">de novo review </w:t>
      </w:r>
      <w:r>
        <w:t xml:space="preserve">of the order denying its </w:t>
      </w:r>
      <w:r w:rsidR="00E945D9">
        <w:t>motion</w:t>
      </w:r>
      <w:r w:rsidRPr="00A6577A">
        <w:t>, claiming the facts are not disputed</w:t>
      </w:r>
      <w:r>
        <w:t xml:space="preserve"> </w:t>
      </w:r>
      <w:r w:rsidR="001F6F3B">
        <w:t>and thus we are free to substitute our view for that of the trial court</w:t>
      </w:r>
      <w:r w:rsidRPr="00A6577A">
        <w:t>.  Davis</w:t>
      </w:r>
      <w:r>
        <w:t xml:space="preserve"> contends the facts</w:t>
      </w:r>
      <w:r w:rsidRPr="00A6577A">
        <w:t xml:space="preserve"> are disputed</w:t>
      </w:r>
      <w:r w:rsidR="001F6F3B">
        <w:t xml:space="preserve">, </w:t>
      </w:r>
      <w:r w:rsidRPr="00A6577A">
        <w:t>thereby requiring application of the substantial evidence standard</w:t>
      </w:r>
      <w:r w:rsidR="001F6F3B">
        <w:t xml:space="preserve"> of review</w:t>
      </w:r>
      <w:r w:rsidRPr="00A6577A">
        <w:t xml:space="preserve">.  </w:t>
      </w:r>
      <w:r w:rsidR="00DF05EF">
        <w:t xml:space="preserve">We agree with Davis.  </w:t>
      </w:r>
    </w:p>
    <w:p w14:paraId="1B504B54" w14:textId="143D19C7" w:rsidR="00A6577A" w:rsidRDefault="00065D50" w:rsidP="00B16635">
      <w:pPr>
        <w:widowControl w:val="0"/>
        <w:ind w:firstLine="720"/>
        <w:contextualSpacing/>
      </w:pPr>
      <w:r>
        <w:t xml:space="preserve">As set forth </w:t>
      </w:r>
      <w:r w:rsidR="00C36C57">
        <w:t xml:space="preserve">in </w:t>
      </w:r>
      <w:r w:rsidR="00974E9D">
        <w:rPr>
          <w:i/>
          <w:iCs/>
        </w:rPr>
        <w:t xml:space="preserve">St. Agnes </w:t>
      </w:r>
      <w:r w:rsidR="008B2FDA">
        <w:rPr>
          <w:i/>
          <w:iCs/>
        </w:rPr>
        <w:t>Me</w:t>
      </w:r>
      <w:r w:rsidR="00612530">
        <w:rPr>
          <w:i/>
          <w:iCs/>
        </w:rPr>
        <w:t xml:space="preserve">dical </w:t>
      </w:r>
      <w:r w:rsidR="00974E9D">
        <w:rPr>
          <w:i/>
          <w:iCs/>
        </w:rPr>
        <w:t xml:space="preserve">Center v. PacifiCare of California </w:t>
      </w:r>
      <w:r w:rsidR="00974E9D">
        <w:t>(2003) 31 Cal.4th 1187 (</w:t>
      </w:r>
      <w:r w:rsidR="00974E9D">
        <w:rPr>
          <w:i/>
          <w:iCs/>
        </w:rPr>
        <w:t>St. Agnes</w:t>
      </w:r>
      <w:r w:rsidR="00974E9D">
        <w:t>)</w:t>
      </w:r>
      <w:r w:rsidR="00C36C57">
        <w:t>,</w:t>
      </w:r>
      <w:r w:rsidR="00476709">
        <w:t xml:space="preserve"> </w:t>
      </w:r>
      <w:r w:rsidR="00A6577A" w:rsidRPr="00BC4559">
        <w:t>“</w:t>
      </w:r>
      <w:r w:rsidR="00A6577A">
        <w:t>G</w:t>
      </w:r>
      <w:r w:rsidR="00A6577A" w:rsidRPr="00BC4559">
        <w:t xml:space="preserve">enerally, the determination of waiver is a question of fact, and the trial court’s finding, if supported by sufficient evidence, is binding on the appellate court.  [Citations.]  ‘When, however, the facts are undisputed and only one inference may reasonably be drawn, the issue is one of law and the reviewing court is not bound by the trial court’s ruling.’ </w:t>
      </w:r>
      <w:r w:rsidR="00D25381">
        <w:t xml:space="preserve"> [Citation.]</w:t>
      </w:r>
      <w:r w:rsidR="00A6577A" w:rsidRPr="00BC4559">
        <w:t xml:space="preserve">” </w:t>
      </w:r>
      <w:r w:rsidR="00A6577A">
        <w:t xml:space="preserve"> (</w:t>
      </w:r>
      <w:r w:rsidR="004C6194">
        <w:rPr>
          <w:i/>
          <w:iCs/>
        </w:rPr>
        <w:t xml:space="preserve">Id. </w:t>
      </w:r>
      <w:r w:rsidR="004C6194">
        <w:t>at p. 1196</w:t>
      </w:r>
      <w:r w:rsidR="00D25381">
        <w:t xml:space="preserve">.)  </w:t>
      </w:r>
    </w:p>
    <w:p w14:paraId="58BFA507" w14:textId="419351F5" w:rsidR="00065D50" w:rsidRPr="00DC1CCE" w:rsidRDefault="00065D50" w:rsidP="00B16635">
      <w:pPr>
        <w:widowControl w:val="0"/>
        <w:ind w:firstLine="720"/>
        <w:contextualSpacing/>
      </w:pPr>
      <w:r>
        <w:t xml:space="preserve">Here, </w:t>
      </w:r>
      <w:r w:rsidR="00A16612">
        <w:t xml:space="preserve">the essential facts may not be in dispute, in the sense that no one doubts that party X did or did not do act Y on date Z.  Nevertheless, even if there is no difference in opinion on such events or non-occurrences, the inferences to be drawn from the essential facts are conflicting.  And where conflicting inferences may be drawn, the issue is reduced to whether the trial court’s finding of waiver is supported by substantial evidence.  </w:t>
      </w:r>
      <w:r w:rsidR="00A16612" w:rsidRPr="00E24D90">
        <w:t xml:space="preserve">(See </w:t>
      </w:r>
      <w:r w:rsidR="00A16612" w:rsidRPr="00261B13">
        <w:rPr>
          <w:i/>
          <w:iCs/>
        </w:rPr>
        <w:t xml:space="preserve">Davis v. </w:t>
      </w:r>
      <w:r w:rsidR="00A16612" w:rsidRPr="00261B13">
        <w:rPr>
          <w:i/>
          <w:iCs/>
        </w:rPr>
        <w:lastRenderedPageBreak/>
        <w:t>Continental Airlines, Inc.</w:t>
      </w:r>
      <w:r w:rsidR="00A16612" w:rsidRPr="00E24D90">
        <w:t xml:space="preserve"> (1997) 59 Cal.App.4th 205, 211; 9 Witkin, Cal. Proc. (</w:t>
      </w:r>
      <w:r w:rsidR="00A16612">
        <w:t>6th ed. 2022</w:t>
      </w:r>
      <w:r w:rsidR="00A16612" w:rsidRPr="00E24D90">
        <w:t xml:space="preserve">) Appeal, § </w:t>
      </w:r>
      <w:r w:rsidR="00A16612">
        <w:t>396</w:t>
      </w:r>
      <w:r w:rsidR="00A16612" w:rsidRPr="00E24D90">
        <w:t>.)</w:t>
      </w:r>
      <w:r w:rsidR="00A16612">
        <w:t xml:space="preserve">  </w:t>
      </w:r>
      <w:r w:rsidR="005F57A7">
        <w:t>In conducting that standard of review,</w:t>
      </w:r>
      <w:r w:rsidR="00A16612">
        <w:t xml:space="preserve"> </w:t>
      </w:r>
      <w:r w:rsidR="005F57A7">
        <w:t xml:space="preserve">“[w]e </w:t>
      </w:r>
      <w:proofErr w:type="gramStart"/>
      <w:r w:rsidR="005F57A7">
        <w:t>infer</w:t>
      </w:r>
      <w:proofErr w:type="gramEnd"/>
      <w:r w:rsidR="005F57A7">
        <w:t xml:space="preserve"> all necessary findings supported by substantial evidence [citations] and ‘construe any reasonable inference in the manner most favorable to the [ruling], resolving all ambiguities to support an affirmance’ [citation</w:t>
      </w:r>
      <w:r w:rsidR="00DC1CCE">
        <w:t>].”  (</w:t>
      </w:r>
      <w:r w:rsidR="00B45BCE" w:rsidRPr="00355752">
        <w:rPr>
          <w:i/>
          <w:iCs/>
        </w:rPr>
        <w:t>Lewis v. Fletcher Jones Motor Cars, Inc.</w:t>
      </w:r>
      <w:r w:rsidR="00B45BCE" w:rsidRPr="00355752">
        <w:t xml:space="preserve"> (2012) 205 Cal.App.4th 436, 443</w:t>
      </w:r>
      <w:r w:rsidR="00DC1CCE">
        <w:t xml:space="preserve">.)  </w:t>
      </w:r>
    </w:p>
    <w:p w14:paraId="5E276EC6" w14:textId="1F05EC14" w:rsidR="00F046E3" w:rsidRPr="00E73B56" w:rsidRDefault="00FD62FA" w:rsidP="00B16635">
      <w:pPr>
        <w:pStyle w:val="Heading2"/>
        <w:spacing w:after="0" w:line="360" w:lineRule="auto"/>
      </w:pPr>
      <w:r>
        <w:t>Applicability of the FAA</w:t>
      </w:r>
    </w:p>
    <w:p w14:paraId="44F1D909" w14:textId="22EFF1A1" w:rsidR="00953D99" w:rsidRDefault="00BC4559" w:rsidP="00B16635">
      <w:pPr>
        <w:widowControl w:val="0"/>
        <w:contextualSpacing/>
      </w:pPr>
      <w:r>
        <w:tab/>
      </w:r>
      <w:r w:rsidR="00FD62FA">
        <w:t xml:space="preserve">We next </w:t>
      </w:r>
      <w:r w:rsidR="00971CAA">
        <w:t xml:space="preserve">determine whether </w:t>
      </w:r>
      <w:r w:rsidR="00CC3477">
        <w:t>the FAA</w:t>
      </w:r>
      <w:r w:rsidR="003E26D7">
        <w:t xml:space="preserve"> or California law governs the inquiry into whether Shiekh has waived its right to arbitration</w:t>
      </w:r>
      <w:r w:rsidR="00953D99">
        <w:t xml:space="preserve">. </w:t>
      </w:r>
      <w:r w:rsidR="00FD62FA">
        <w:t xml:space="preserve"> </w:t>
      </w:r>
      <w:r w:rsidR="00CA1F7E">
        <w:t>The parties agree</w:t>
      </w:r>
      <w:r w:rsidR="00A4174B">
        <w:t>, as do we,</w:t>
      </w:r>
      <w:r w:rsidR="00554999">
        <w:t xml:space="preserve"> that </w:t>
      </w:r>
      <w:r w:rsidR="00A507CB">
        <w:t>the FAA</w:t>
      </w:r>
      <w:r w:rsidR="00554999">
        <w:t xml:space="preserve"> controls</w:t>
      </w:r>
      <w:r w:rsidR="00CA1F7E">
        <w:t xml:space="preserve">.  </w:t>
      </w:r>
    </w:p>
    <w:p w14:paraId="52870937" w14:textId="31A34C99" w:rsidR="00196DB5" w:rsidRDefault="00953D99" w:rsidP="00B16635">
      <w:pPr>
        <w:widowControl w:val="0"/>
        <w:contextualSpacing/>
      </w:pPr>
      <w:r>
        <w:tab/>
        <w:t>The FAA applies to contracts that involve interstate commerce</w:t>
      </w:r>
      <w:r w:rsidR="00B12AC7">
        <w:t xml:space="preserve"> (9</w:t>
      </w:r>
      <w:r w:rsidR="00612530">
        <w:t> </w:t>
      </w:r>
      <w:r w:rsidR="00B12AC7">
        <w:t>U.S.C. §§ 1, 2), b</w:t>
      </w:r>
      <w:r>
        <w:t>ut since arbitration is a matter of contract, the FAA also applies if it is so stated in the agreement.  (</w:t>
      </w:r>
      <w:r w:rsidR="000F2FC5">
        <w:t xml:space="preserve">See </w:t>
      </w:r>
      <w:r>
        <w:rPr>
          <w:i/>
          <w:iCs/>
        </w:rPr>
        <w:t xml:space="preserve">Victrola 89, LLC v. Jaman Properties 8 LLC </w:t>
      </w:r>
      <w:r>
        <w:t>(2020) 46 Cal.App.5th 337, 355</w:t>
      </w:r>
      <w:r w:rsidR="009E3675">
        <w:t xml:space="preserve"> </w:t>
      </w:r>
      <w:r w:rsidR="00BB6370">
        <w:t>[</w:t>
      </w:r>
      <w:r w:rsidR="009E3675">
        <w:t>“[T]he presence of interstate commerce is not the only manner under which the FAA may apply.</w:t>
      </w:r>
      <w:r w:rsidR="00DC3F46">
        <w:t> </w:t>
      </w:r>
      <w:r w:rsidR="009E3675">
        <w:t xml:space="preserve">. . </w:t>
      </w:r>
      <w:r w:rsidR="005C7D40">
        <w:t>.</w:t>
      </w:r>
      <w:r w:rsidR="009E3675">
        <w:t xml:space="preserve">  [T]he parties may also voluntarily elect to have the FAA gove</w:t>
      </w:r>
      <w:r w:rsidR="00D31C84">
        <w:t>rn enforcement of the Agreement</w:t>
      </w:r>
      <w:r w:rsidR="009E3675">
        <w:t>”]</w:t>
      </w:r>
      <w:r w:rsidR="00524BA0">
        <w:t>.</w:t>
      </w:r>
      <w:r>
        <w:t xml:space="preserve">)  Here, the parties’ arbitration agreement contains a choice-of-law </w:t>
      </w:r>
      <w:r w:rsidR="003E47D7">
        <w:t>provision</w:t>
      </w:r>
      <w:r>
        <w:t xml:space="preserve"> that states</w:t>
      </w:r>
      <w:r w:rsidR="0052210D">
        <w:t>,</w:t>
      </w:r>
      <w:r>
        <w:t xml:space="preserve"> “Company and Employee expressly agree that the Federal Arbitration Act governs the enforceability of any and all of the arbitration provisions of this Agreement . . . .”  </w:t>
      </w:r>
      <w:r w:rsidR="003C57D1">
        <w:t>The language of this</w:t>
      </w:r>
      <w:r w:rsidR="00595285">
        <w:t xml:space="preserve"> provision is unambiguous:  the parties specified that the FAA governs the </w:t>
      </w:r>
      <w:r w:rsidR="00AD0B72">
        <w:t xml:space="preserve">arbitration agreement. </w:t>
      </w:r>
      <w:r w:rsidR="00941C73">
        <w:t xml:space="preserve"> (</w:t>
      </w:r>
      <w:r w:rsidR="00FF1302">
        <w:t xml:space="preserve">Cf. </w:t>
      </w:r>
      <w:r w:rsidR="005C7D40" w:rsidRPr="005C7D40">
        <w:rPr>
          <w:i/>
          <w:iCs/>
        </w:rPr>
        <w:t>Victrola</w:t>
      </w:r>
      <w:r w:rsidR="00D75A70">
        <w:rPr>
          <w:i/>
          <w:iCs/>
        </w:rPr>
        <w:t xml:space="preserve"> 89, LLC v. Jaman Properties 8 LLC</w:t>
      </w:r>
      <w:r w:rsidR="005C7D40">
        <w:t xml:space="preserve">, </w:t>
      </w:r>
      <w:r w:rsidR="005C7D40" w:rsidRPr="005C7D40">
        <w:rPr>
          <w:i/>
          <w:iCs/>
        </w:rPr>
        <w:t>supra</w:t>
      </w:r>
      <w:r w:rsidR="005C7D40">
        <w:t>,</w:t>
      </w:r>
      <w:r w:rsidR="00D00640">
        <w:t xml:space="preserve"> at pp.</w:t>
      </w:r>
      <w:r w:rsidR="0052278A">
        <w:t> </w:t>
      </w:r>
      <w:r w:rsidR="00D00640">
        <w:t>343, 348 [</w:t>
      </w:r>
      <w:r w:rsidR="005417F2" w:rsidRPr="005417F2">
        <w:t>contracting parties’ explicit “reference to ‘enforcement’ under the FAA required the court to consider the [defendants’] motion to compel arbitration under the FAA</w:t>
      </w:r>
      <w:r w:rsidR="005417F2">
        <w:t xml:space="preserve">”].) </w:t>
      </w:r>
      <w:r w:rsidR="00EC0CAC">
        <w:t xml:space="preserve"> </w:t>
      </w:r>
    </w:p>
    <w:p w14:paraId="678583B5" w14:textId="101F6C5F" w:rsidR="00F046E3" w:rsidRDefault="00747C5A" w:rsidP="00B16635">
      <w:pPr>
        <w:widowControl w:val="0"/>
        <w:ind w:firstLine="720"/>
        <w:contextualSpacing/>
      </w:pPr>
      <w:r>
        <w:t>C</w:t>
      </w:r>
      <w:r w:rsidR="00AD0B72">
        <w:t>ourts have recognized that</w:t>
      </w:r>
      <w:r w:rsidR="003911A1">
        <w:t xml:space="preserve"> where</w:t>
      </w:r>
      <w:r w:rsidR="00AD0B72">
        <w:t xml:space="preserve"> the FAA applies, whether a party has waived a right to arbitrate is a matter of federal, not state</w:t>
      </w:r>
      <w:r>
        <w:t>,</w:t>
      </w:r>
      <w:r w:rsidR="00AD0B72">
        <w:t xml:space="preserve"> </w:t>
      </w:r>
      <w:r w:rsidR="00B76CEA">
        <w:t xml:space="preserve">law.  </w:t>
      </w:r>
      <w:r w:rsidR="00C85FCB">
        <w:lastRenderedPageBreak/>
        <w:t>(</w:t>
      </w:r>
      <w:r w:rsidR="00523251">
        <w:t>See</w:t>
      </w:r>
      <w:r w:rsidR="0052278A">
        <w:t> </w:t>
      </w:r>
      <w:r w:rsidR="00C85FCB">
        <w:rPr>
          <w:i/>
          <w:iCs/>
        </w:rPr>
        <w:t>Aviation Data, Inc. v. American Express Travel Related Services Co.</w:t>
      </w:r>
      <w:r w:rsidR="006A1F97">
        <w:rPr>
          <w:i/>
          <w:iCs/>
        </w:rPr>
        <w:t>,</w:t>
      </w:r>
      <w:r w:rsidR="00C85FCB">
        <w:rPr>
          <w:i/>
          <w:iCs/>
        </w:rPr>
        <w:t xml:space="preserve"> Inc.</w:t>
      </w:r>
      <w:r w:rsidR="00687900">
        <w:rPr>
          <w:iCs/>
        </w:rPr>
        <w:t xml:space="preserve"> (2007) </w:t>
      </w:r>
      <w:r w:rsidR="00C85FCB">
        <w:t xml:space="preserve">152 Cal.App.4th </w:t>
      </w:r>
      <w:r w:rsidR="00687900">
        <w:t>1522,</w:t>
      </w:r>
      <w:r w:rsidR="00C85FCB">
        <w:t xml:space="preserve"> 1535–1536</w:t>
      </w:r>
      <w:r w:rsidR="00E12F05">
        <w:t xml:space="preserve"> [</w:t>
      </w:r>
      <w:r w:rsidR="00E12F05" w:rsidRPr="00E12F05">
        <w:t>noting that “waiver of the right to compel arbitration is not viewed as a question of substantive contract law</w:t>
      </w:r>
      <w:r w:rsidR="00E12F05">
        <w:t>” and that “</w:t>
      </w:r>
      <w:r w:rsidR="00792DBA">
        <w:t xml:space="preserve"> ‘</w:t>
      </w:r>
      <w:r w:rsidR="00E12F05" w:rsidRPr="00E12F05">
        <w:t>it is federal law, not state, that governs the inquiry into whether a party has waived its right to arbitration</w:t>
      </w:r>
      <w:r w:rsidR="00792DBA">
        <w:t xml:space="preserve">’ </w:t>
      </w:r>
      <w:r w:rsidR="00E12F05" w:rsidRPr="00E12F05">
        <w:t>”</w:t>
      </w:r>
      <w:r w:rsidR="00E12F05">
        <w:t>],</w:t>
      </w:r>
      <w:r w:rsidR="005F4C33">
        <w:t xml:space="preserve"> citing </w:t>
      </w:r>
      <w:r w:rsidR="00DE7F01" w:rsidRPr="00DE7F01">
        <w:rPr>
          <w:i/>
        </w:rPr>
        <w:t xml:space="preserve">Sovak v. Chugai Pharmaceutical Co. </w:t>
      </w:r>
      <w:r w:rsidR="00DE7F01" w:rsidRPr="00DE7F01">
        <w:t>(9th Cir.</w:t>
      </w:r>
      <w:r w:rsidR="00470167">
        <w:t xml:space="preserve"> </w:t>
      </w:r>
      <w:r w:rsidR="00DE7F01" w:rsidRPr="00DE7F01">
        <w:t>2002) 280 F.3d 1266, 1270</w:t>
      </w:r>
      <w:r w:rsidR="00A23341">
        <w:t xml:space="preserve"> [</w:t>
      </w:r>
      <w:r w:rsidR="005D56EF">
        <w:t>citing</w:t>
      </w:r>
      <w:r w:rsidR="00DE7F01">
        <w:t xml:space="preserve"> </w:t>
      </w:r>
      <w:r w:rsidR="00DE7F01" w:rsidRPr="005D56EF">
        <w:rPr>
          <w:i/>
        </w:rPr>
        <w:t xml:space="preserve">Mastrobuono v. Shearson Lehman Hutton, Inc. </w:t>
      </w:r>
      <w:r w:rsidR="00DE7F01" w:rsidRPr="00DE7F01">
        <w:t>(1995) 514 U.S. 52, 60</w:t>
      </w:r>
      <w:r w:rsidR="00D17262">
        <w:t>]</w:t>
      </w:r>
      <w:r w:rsidR="00523251">
        <w:t>;</w:t>
      </w:r>
      <w:r w:rsidR="006A1F97">
        <w:t xml:space="preserve"> </w:t>
      </w:r>
      <w:r w:rsidR="005D56EF">
        <w:rPr>
          <w:i/>
        </w:rPr>
        <w:t>Danny’s Construction</w:t>
      </w:r>
      <w:r w:rsidR="005D56EF" w:rsidRPr="005D56EF">
        <w:rPr>
          <w:i/>
        </w:rPr>
        <w:t xml:space="preserve"> Co. v. Birdair, Inc.</w:t>
      </w:r>
      <w:r w:rsidR="005D56EF">
        <w:t xml:space="preserve"> (W.D.N.Y.</w:t>
      </w:r>
      <w:r w:rsidR="003F0E56">
        <w:t xml:space="preserve"> </w:t>
      </w:r>
      <w:r w:rsidR="005D56EF">
        <w:t>2000)</w:t>
      </w:r>
      <w:r w:rsidR="005D56EF" w:rsidRPr="005D56EF">
        <w:t xml:space="preserve"> 136 F.S</w:t>
      </w:r>
      <w:r w:rsidR="005D56EF">
        <w:t>upp.2d 134, 142</w:t>
      </w:r>
      <w:r w:rsidR="00077F4E">
        <w:t xml:space="preserve">; </w:t>
      </w:r>
      <w:r w:rsidR="006A1F97" w:rsidRPr="006A1F97">
        <w:rPr>
          <w:i/>
        </w:rPr>
        <w:t>Singer v.</w:t>
      </w:r>
      <w:r w:rsidR="006A1F97" w:rsidRPr="005D56EF">
        <w:rPr>
          <w:i/>
        </w:rPr>
        <w:t xml:space="preserve"> Jefferies &amp; Co</w:t>
      </w:r>
      <w:r w:rsidR="006A1F97">
        <w:t xml:space="preserve">. </w:t>
      </w:r>
      <w:r w:rsidR="006A1F97" w:rsidRPr="005D56EF">
        <w:t xml:space="preserve">(1991) </w:t>
      </w:r>
      <w:r w:rsidR="006A1F97">
        <w:t xml:space="preserve">78 N.Y.2d 76, 84.) </w:t>
      </w:r>
      <w:r w:rsidR="005D56EF">
        <w:t xml:space="preserve"> </w:t>
      </w:r>
      <w:r w:rsidR="001C3B0F">
        <w:t xml:space="preserve">Accordingly, </w:t>
      </w:r>
      <w:r w:rsidR="00DB17ED">
        <w:t xml:space="preserve">federal law </w:t>
      </w:r>
      <w:r w:rsidR="00D46A88">
        <w:t>supplies the law on</w:t>
      </w:r>
      <w:r w:rsidR="0048305C">
        <w:t xml:space="preserve"> </w:t>
      </w:r>
      <w:r w:rsidR="00724DCE">
        <w:t>waiver</w:t>
      </w:r>
      <w:r w:rsidR="00D84808">
        <w:t xml:space="preserve"> in this case</w:t>
      </w:r>
      <w:r w:rsidR="00D413FC">
        <w:t>.</w:t>
      </w:r>
      <w:r w:rsidR="00B965A9">
        <w:rPr>
          <w:rStyle w:val="FootnoteReference"/>
        </w:rPr>
        <w:footnoteReference w:id="2"/>
      </w:r>
      <w:r w:rsidR="00D413FC">
        <w:t xml:space="preserve">  </w:t>
      </w:r>
      <w:r w:rsidR="00922C01">
        <w:t xml:space="preserve"> </w:t>
      </w:r>
      <w:r w:rsidR="00B40182">
        <w:t xml:space="preserve"> </w:t>
      </w:r>
      <w:r w:rsidR="003911A1">
        <w:t xml:space="preserve"> </w:t>
      </w:r>
      <w:r w:rsidR="00922C01">
        <w:t xml:space="preserve"> </w:t>
      </w:r>
    </w:p>
    <w:p w14:paraId="148260FD" w14:textId="1A2A9CFA" w:rsidR="00FD62FA" w:rsidRDefault="00FD62FA" w:rsidP="00B16635">
      <w:pPr>
        <w:pStyle w:val="Heading2"/>
        <w:spacing w:after="0" w:line="360" w:lineRule="auto"/>
      </w:pPr>
      <w:r>
        <w:t xml:space="preserve">The Law on Waiver </w:t>
      </w:r>
    </w:p>
    <w:p w14:paraId="3D2D0989" w14:textId="2AFCD541" w:rsidR="005542AA" w:rsidRDefault="00472312" w:rsidP="00B16635">
      <w:pPr>
        <w:widowControl w:val="0"/>
        <w:contextualSpacing/>
      </w:pPr>
      <w:r>
        <w:tab/>
      </w:r>
      <w:r w:rsidR="005542AA">
        <w:t xml:space="preserve">Section 2 of the FAA provides that arbitration agreements </w:t>
      </w:r>
      <w:r w:rsidR="005542AA" w:rsidRPr="00A83610">
        <w:t xml:space="preserve">“shall be valid, irrevocable, and enforceable, save upon such grounds as exist at law or </w:t>
      </w:r>
      <w:r w:rsidR="00967BB5">
        <w:t>in</w:t>
      </w:r>
      <w:r w:rsidR="00511A11">
        <w:t xml:space="preserve"> </w:t>
      </w:r>
      <w:r w:rsidR="005542AA" w:rsidRPr="00A83610">
        <w:t>equity for the revocation of any contract.</w:t>
      </w:r>
      <w:r w:rsidR="008F18AA">
        <w:t xml:space="preserve"> . . .</w:t>
      </w:r>
      <w:r w:rsidR="005542AA" w:rsidRPr="00A83610">
        <w:t xml:space="preserve">” </w:t>
      </w:r>
      <w:r w:rsidR="005542AA">
        <w:t xml:space="preserve"> (</w:t>
      </w:r>
      <w:r w:rsidR="005542AA" w:rsidRPr="00A83610">
        <w:t>9 U.S.C. § 2</w:t>
      </w:r>
      <w:r w:rsidR="005542AA">
        <w:t>.)  However, like any contract right, the right to arbitrate may be waived—either expressly or by implication.  (</w:t>
      </w:r>
      <w:r w:rsidR="005542AA">
        <w:rPr>
          <w:i/>
          <w:iCs/>
        </w:rPr>
        <w:t xml:space="preserve">St. Mary’s Medical Center, Inc. v. Disco Aluminum Products Co. </w:t>
      </w:r>
      <w:r w:rsidR="005542AA">
        <w:t xml:space="preserve">(7th Cir. 1992) 969 F.2d 585, 587; </w:t>
      </w:r>
      <w:r w:rsidR="005542AA">
        <w:rPr>
          <w:i/>
          <w:iCs/>
        </w:rPr>
        <w:t xml:space="preserve">National Foundation for Cancer Research v. A.G. Edwards &amp; Sons, Inc. </w:t>
      </w:r>
      <w:r w:rsidR="005542AA">
        <w:t>(D.C. Cir. 1987) 821 F.2d 772, 774 (</w:t>
      </w:r>
      <w:r w:rsidR="005542AA" w:rsidRPr="00E904AF">
        <w:rPr>
          <w:i/>
          <w:iCs/>
        </w:rPr>
        <w:t>National Foundation</w:t>
      </w:r>
      <w:r w:rsidR="005542AA">
        <w:t xml:space="preserve">).) </w:t>
      </w:r>
      <w:r w:rsidR="008C35E0">
        <w:t xml:space="preserve"> </w:t>
      </w:r>
      <w:r w:rsidR="005542AA">
        <w:t xml:space="preserve"> </w:t>
      </w:r>
    </w:p>
    <w:p w14:paraId="70DD7F01" w14:textId="3F2BF4D5" w:rsidR="0075251E" w:rsidRDefault="005542AA" w:rsidP="00B16635">
      <w:pPr>
        <w:widowControl w:val="0"/>
        <w:contextualSpacing/>
      </w:pPr>
      <w:r>
        <w:tab/>
        <w:t>“</w:t>
      </w:r>
      <w:r w:rsidRPr="009E2920">
        <w:t xml:space="preserve">The Supreme Court has made clear that the </w:t>
      </w:r>
      <w:r>
        <w:t>‘</w:t>
      </w:r>
      <w:r w:rsidRPr="009E2920">
        <w:t>strong federal policy in favor of enforcing arbitration agreements</w:t>
      </w:r>
      <w:r>
        <w:t>’</w:t>
      </w:r>
      <w:r w:rsidRPr="009E2920">
        <w:t xml:space="preserve"> is based upon the enforcement of contract, rather than a preference for arbitration as an alternative dispute resolution mechanism.</w:t>
      </w:r>
      <w:r>
        <w:t xml:space="preserve"> </w:t>
      </w:r>
      <w:r w:rsidR="00DF7B34">
        <w:t xml:space="preserve"> </w:t>
      </w:r>
      <w:r>
        <w:t>[Citation.]</w:t>
      </w:r>
      <w:r w:rsidRPr="009E2920">
        <w:t xml:space="preserve"> </w:t>
      </w:r>
      <w:r>
        <w:t xml:space="preserve"> </w:t>
      </w:r>
      <w:r w:rsidRPr="009E2920">
        <w:t xml:space="preserve">Thus, the question of whether there has been waiver in the arbitration agreement context should be analyzed in much the same way as in any other contractual context. </w:t>
      </w:r>
      <w:r>
        <w:t xml:space="preserve"> </w:t>
      </w:r>
      <w:r w:rsidRPr="009E2920">
        <w:t xml:space="preserve">The essential question is </w:t>
      </w:r>
      <w:r w:rsidRPr="009E2920">
        <w:lastRenderedPageBreak/>
        <w:t xml:space="preserve">whether, under the totality of the circumstances, the defaulting party has acted inconsistently with the arbitration right. </w:t>
      </w:r>
      <w:r>
        <w:t xml:space="preserve"> [Citation.]</w:t>
      </w:r>
      <w:r w:rsidR="0017720E">
        <w:t xml:space="preserve">”  </w:t>
      </w:r>
      <w:r>
        <w:t>(</w:t>
      </w:r>
      <w:r>
        <w:rPr>
          <w:i/>
          <w:iCs/>
        </w:rPr>
        <w:t>National Foundation</w:t>
      </w:r>
      <w:r>
        <w:t xml:space="preserve">, </w:t>
      </w:r>
      <w:r>
        <w:rPr>
          <w:i/>
          <w:iCs/>
        </w:rPr>
        <w:t>supra</w:t>
      </w:r>
      <w:r>
        <w:t>, 821 F.2d at p. 774</w:t>
      </w:r>
      <w:r w:rsidR="000D4362">
        <w:t>.)</w:t>
      </w:r>
    </w:p>
    <w:p w14:paraId="6E156E00" w14:textId="7E9F3463" w:rsidR="007D562A" w:rsidRPr="00EE0690" w:rsidRDefault="00E616F5" w:rsidP="00B16635">
      <w:pPr>
        <w:widowControl w:val="0"/>
        <w:ind w:firstLine="720"/>
        <w:contextualSpacing/>
      </w:pPr>
      <w:r>
        <w:t>In deciding waiver in this case, t</w:t>
      </w:r>
      <w:r w:rsidR="007D562A">
        <w:t xml:space="preserve">he trial court </w:t>
      </w:r>
      <w:r>
        <w:t xml:space="preserve">applied </w:t>
      </w:r>
      <w:r w:rsidR="00E519D9">
        <w:t>the multi-factor</w:t>
      </w:r>
      <w:r w:rsidR="007D562A">
        <w:t xml:space="preserve"> </w:t>
      </w:r>
      <w:r>
        <w:t xml:space="preserve">test </w:t>
      </w:r>
      <w:r w:rsidR="00D76D99">
        <w:t>in</w:t>
      </w:r>
      <w:r w:rsidR="007D562A">
        <w:t xml:space="preserve"> </w:t>
      </w:r>
      <w:r w:rsidR="007D562A" w:rsidRPr="004F34BB">
        <w:rPr>
          <w:i/>
          <w:iCs/>
        </w:rPr>
        <w:t>St. Agnes</w:t>
      </w:r>
      <w:r w:rsidR="007D562A">
        <w:t xml:space="preserve">, which </w:t>
      </w:r>
      <w:r w:rsidR="00D76D99">
        <w:t xml:space="preserve">the California Supreme Court had </w:t>
      </w:r>
      <w:r w:rsidR="007D562A">
        <w:t>adopted</w:t>
      </w:r>
      <w:r w:rsidR="00D76D99">
        <w:t xml:space="preserve"> </w:t>
      </w:r>
      <w:r w:rsidR="00B55FCE">
        <w:t xml:space="preserve">from the Tenth Circuit </w:t>
      </w:r>
      <w:r w:rsidR="00C80602">
        <w:t xml:space="preserve">opinion </w:t>
      </w:r>
      <w:r w:rsidR="00B55FCE">
        <w:t xml:space="preserve">in </w:t>
      </w:r>
      <w:r w:rsidR="00D916C5" w:rsidRPr="00591F8E">
        <w:rPr>
          <w:i/>
          <w:iCs/>
        </w:rPr>
        <w:t>Peterson v. Shearson/American Exp</w:t>
      </w:r>
      <w:r w:rsidR="00BE10EA">
        <w:rPr>
          <w:i/>
          <w:iCs/>
        </w:rPr>
        <w:t>ress</w:t>
      </w:r>
      <w:r w:rsidR="00D916C5" w:rsidRPr="00591F8E">
        <w:rPr>
          <w:i/>
          <w:iCs/>
        </w:rPr>
        <w:t>, Inc.</w:t>
      </w:r>
      <w:r w:rsidR="00D916C5">
        <w:t xml:space="preserve"> (10</w:t>
      </w:r>
      <w:r w:rsidR="003D601F">
        <w:t>th </w:t>
      </w:r>
      <w:r w:rsidR="00D916C5">
        <w:t xml:space="preserve">Cir. 1988) </w:t>
      </w:r>
      <w:r w:rsidR="00D916C5" w:rsidRPr="003B7BBE">
        <w:t xml:space="preserve">849 F.2d </w:t>
      </w:r>
      <w:r w:rsidR="00D916C5">
        <w:t>464 (</w:t>
      </w:r>
      <w:r w:rsidR="00D916C5">
        <w:rPr>
          <w:i/>
          <w:iCs/>
        </w:rPr>
        <w:t>Peterson</w:t>
      </w:r>
      <w:r w:rsidR="00D916C5">
        <w:t>)</w:t>
      </w:r>
      <w:r w:rsidR="004C39EE">
        <w:t xml:space="preserve"> (</w:t>
      </w:r>
      <w:r w:rsidR="00CB4690">
        <w:t>usually</w:t>
      </w:r>
      <w:r w:rsidR="00350B55">
        <w:t xml:space="preserve"> </w:t>
      </w:r>
      <w:r w:rsidR="004E1F5E">
        <w:t>referred to</w:t>
      </w:r>
      <w:r w:rsidR="00CB4690">
        <w:t xml:space="preserve"> herein</w:t>
      </w:r>
      <w:r w:rsidR="004E1F5E">
        <w:t xml:space="preserve"> </w:t>
      </w:r>
      <w:r w:rsidR="00E850E3">
        <w:t>as</w:t>
      </w:r>
      <w:r w:rsidR="00E74834">
        <w:t xml:space="preserve"> the</w:t>
      </w:r>
      <w:r w:rsidR="004C39EE">
        <w:t xml:space="preserve"> </w:t>
      </w:r>
      <w:r w:rsidR="00A471EC">
        <w:t>“</w:t>
      </w:r>
      <w:r w:rsidR="00A471EC">
        <w:rPr>
          <w:i/>
          <w:iCs/>
        </w:rPr>
        <w:t xml:space="preserve">Peterson </w:t>
      </w:r>
      <w:r w:rsidR="00A471EC">
        <w:t>waiver test”</w:t>
      </w:r>
      <w:r w:rsidR="00FF1376">
        <w:t xml:space="preserve"> or </w:t>
      </w:r>
      <w:r w:rsidR="00506EEC">
        <w:t>“</w:t>
      </w:r>
      <w:r w:rsidR="00506EEC">
        <w:rPr>
          <w:i/>
          <w:iCs/>
        </w:rPr>
        <w:t>Peterson</w:t>
      </w:r>
      <w:r w:rsidR="00506EEC">
        <w:t xml:space="preserve"> factors”</w:t>
      </w:r>
      <w:r w:rsidR="00A471EC">
        <w:t>)</w:t>
      </w:r>
      <w:r w:rsidR="00D916C5">
        <w:t xml:space="preserve">.  </w:t>
      </w:r>
      <w:r w:rsidR="007D562A">
        <w:t>(</w:t>
      </w:r>
      <w:r w:rsidR="00965EA7">
        <w:rPr>
          <w:i/>
          <w:iCs/>
        </w:rPr>
        <w:t>St. Agnes</w:t>
      </w:r>
      <w:r w:rsidR="00965EA7">
        <w:t xml:space="preserve">, </w:t>
      </w:r>
      <w:r w:rsidR="00965EA7">
        <w:rPr>
          <w:i/>
          <w:iCs/>
        </w:rPr>
        <w:t>supra</w:t>
      </w:r>
      <w:r w:rsidR="00965EA7">
        <w:t xml:space="preserve">, </w:t>
      </w:r>
      <w:r w:rsidR="00965EA7" w:rsidRPr="00B55E25">
        <w:t>31</w:t>
      </w:r>
      <w:r w:rsidR="00965EA7" w:rsidRPr="000E4BAA">
        <w:t xml:space="preserve"> Cal.4th </w:t>
      </w:r>
      <w:r w:rsidR="007D562A">
        <w:t xml:space="preserve">at p. 1196, quoting </w:t>
      </w:r>
      <w:r w:rsidR="007D562A" w:rsidRPr="00591F8E">
        <w:rPr>
          <w:i/>
          <w:iCs/>
        </w:rPr>
        <w:t>Sobremonte v. Superior Court</w:t>
      </w:r>
      <w:r w:rsidR="007D562A">
        <w:t xml:space="preserve"> (1998) 61 Cal.App.4th 980, 992 [in turn quoting </w:t>
      </w:r>
      <w:r w:rsidR="007D562A" w:rsidRPr="00591F8E">
        <w:rPr>
          <w:i/>
          <w:iCs/>
        </w:rPr>
        <w:t>Peterson</w:t>
      </w:r>
      <w:r w:rsidR="007D562A">
        <w:t xml:space="preserve">].)  </w:t>
      </w:r>
      <w:r w:rsidR="000C6714">
        <w:t xml:space="preserve">Specifically, </w:t>
      </w:r>
      <w:r w:rsidR="000C6714">
        <w:rPr>
          <w:i/>
          <w:iCs/>
        </w:rPr>
        <w:t xml:space="preserve">Peterson </w:t>
      </w:r>
      <w:r w:rsidR="000C6714">
        <w:t>identified the following factors as relevant to assessing waiver claims</w:t>
      </w:r>
      <w:r w:rsidR="009F0C1F">
        <w:t xml:space="preserve">: </w:t>
      </w:r>
      <w:r w:rsidR="00114B1D">
        <w:t xml:space="preserve"> </w:t>
      </w:r>
      <w:r w:rsidR="007D562A">
        <w:t>“</w:t>
      </w:r>
      <w:r w:rsidR="007D562A" w:rsidRPr="00D615B9">
        <w:t>(1) whether the party</w:t>
      </w:r>
      <w:r w:rsidR="007D562A">
        <w:t>’</w:t>
      </w:r>
      <w:r w:rsidR="007D562A" w:rsidRPr="00D615B9">
        <w:t xml:space="preserve">s actions are inconsistent with the right to arbitrate; (2) whether </w:t>
      </w:r>
      <w:r w:rsidR="007D562A">
        <w:t>‘</w:t>
      </w:r>
      <w:r w:rsidR="007D562A" w:rsidRPr="00D615B9">
        <w:t>the litigation machinery has been substantially invoked</w:t>
      </w:r>
      <w:r w:rsidR="007D562A">
        <w:t>’</w:t>
      </w:r>
      <w:r w:rsidR="007D562A" w:rsidRPr="00D615B9">
        <w:t xml:space="preserve"> and the parties </w:t>
      </w:r>
      <w:r w:rsidR="007D562A">
        <w:t>‘</w:t>
      </w:r>
      <w:r w:rsidR="007D562A" w:rsidRPr="00D615B9">
        <w:t>were well into preparation of a lawsuit</w:t>
      </w:r>
      <w:r w:rsidR="007D562A">
        <w:t>’</w:t>
      </w:r>
      <w:r w:rsidR="007D562A" w:rsidRPr="00D615B9">
        <w:t xml:space="preserve"> before the party notified the opposing party of an intent to arbitrate; (3) whether a party either requested arbitration enforcement close to the trial date or delayed for a long period before seeking a stay; (4) whether a defendant seeking arbitration filed a counterclaim without asking for a stay of the proceedings; (5) </w:t>
      </w:r>
      <w:r w:rsidR="007D562A">
        <w:t>‘</w:t>
      </w:r>
      <w:r w:rsidR="007D562A" w:rsidRPr="00D615B9">
        <w:t>whether important intervening steps [e.g., taking advantage of judicial discovery procedures not available in arbitration] had taken place</w:t>
      </w:r>
      <w:r w:rsidR="007D562A">
        <w:t>’</w:t>
      </w:r>
      <w:r w:rsidR="007D562A" w:rsidRPr="00D615B9">
        <w:t xml:space="preserve">; and (6) whether the delay </w:t>
      </w:r>
      <w:r w:rsidR="007D562A">
        <w:t>‘</w:t>
      </w:r>
      <w:r w:rsidR="007D562A" w:rsidRPr="00D615B9">
        <w:t>affected, misled, or prejudiced</w:t>
      </w:r>
      <w:r w:rsidR="007D562A">
        <w:t>’</w:t>
      </w:r>
      <w:r w:rsidR="007D562A" w:rsidRPr="00D615B9">
        <w:t xml:space="preserve"> the opposing party.</w:t>
      </w:r>
      <w:r w:rsidR="007D562A">
        <w:t>”  (</w:t>
      </w:r>
      <w:r w:rsidR="007D562A" w:rsidRPr="00591F8E">
        <w:rPr>
          <w:i/>
          <w:iCs/>
        </w:rPr>
        <w:t>Peterson</w:t>
      </w:r>
      <w:r w:rsidR="007D562A">
        <w:rPr>
          <w:i/>
          <w:iCs/>
        </w:rPr>
        <w:t>,</w:t>
      </w:r>
      <w:r w:rsidR="007D562A" w:rsidRPr="00C57761">
        <w:rPr>
          <w:i/>
          <w:iCs/>
        </w:rPr>
        <w:t xml:space="preserve"> </w:t>
      </w:r>
      <w:r w:rsidR="00C57761" w:rsidRPr="00C57761">
        <w:rPr>
          <w:i/>
          <w:iCs/>
        </w:rPr>
        <w:t>supra</w:t>
      </w:r>
      <w:r w:rsidR="00C57761">
        <w:t xml:space="preserve">, </w:t>
      </w:r>
      <w:r w:rsidR="00C57761" w:rsidRPr="003B7BBE">
        <w:t xml:space="preserve">849 F.2d </w:t>
      </w:r>
      <w:r w:rsidR="007D562A">
        <w:t>at pp.</w:t>
      </w:r>
      <w:r w:rsidR="00285E32">
        <w:t> </w:t>
      </w:r>
      <w:r w:rsidR="007D562A" w:rsidRPr="003B7BBE">
        <w:t>467–468</w:t>
      </w:r>
      <w:r w:rsidR="000D2C1D">
        <w:t xml:space="preserve">; </w:t>
      </w:r>
      <w:r w:rsidR="000D2C1D">
        <w:rPr>
          <w:i/>
          <w:iCs/>
        </w:rPr>
        <w:t>St. Agnes</w:t>
      </w:r>
      <w:r w:rsidR="000D2C1D">
        <w:t>, at p. 1196</w:t>
      </w:r>
      <w:r w:rsidR="007D562A">
        <w:t xml:space="preserve">.) </w:t>
      </w:r>
      <w:r w:rsidR="000A2DBE">
        <w:t xml:space="preserve"> </w:t>
      </w:r>
      <w:r w:rsidR="00FF2388">
        <w:t xml:space="preserve">And, </w:t>
      </w:r>
      <w:r w:rsidR="004E1F5E">
        <w:t>this test</w:t>
      </w:r>
      <w:r w:rsidR="00FF2388">
        <w:t xml:space="preserve"> is substantially similar to the test adopted by most federal circuit courts.  (</w:t>
      </w:r>
      <w:r w:rsidR="00FF2388">
        <w:rPr>
          <w:i/>
          <w:iCs/>
        </w:rPr>
        <w:t xml:space="preserve">Zamora v. Lehman </w:t>
      </w:r>
      <w:r w:rsidR="00FF2388" w:rsidRPr="00355752">
        <w:t>(2010) 186 Cal.App.4th 1,</w:t>
      </w:r>
      <w:r w:rsidR="00FF2388">
        <w:t xml:space="preserve"> 21–22 [citing sources surveying </w:t>
      </w:r>
      <w:r w:rsidR="00C91326">
        <w:t xml:space="preserve">waiver </w:t>
      </w:r>
      <w:r w:rsidR="00FF2388">
        <w:t xml:space="preserve">tests used by federal </w:t>
      </w:r>
      <w:r w:rsidR="00C91326">
        <w:t>circuits</w:t>
      </w:r>
      <w:r w:rsidR="00FF2388">
        <w:t xml:space="preserve">].)    </w:t>
      </w:r>
    </w:p>
    <w:p w14:paraId="10B68C30" w14:textId="34623963" w:rsidR="0094495E" w:rsidRDefault="007D562A" w:rsidP="00B16635">
      <w:pPr>
        <w:widowControl w:val="0"/>
        <w:contextualSpacing/>
      </w:pPr>
      <w:r>
        <w:tab/>
        <w:t xml:space="preserve">The Tenth Circuit, along with </w:t>
      </w:r>
      <w:r w:rsidR="008B52A1">
        <w:t>eight other circuits including the Eighth and Ninth</w:t>
      </w:r>
      <w:r>
        <w:t>, have held that a party</w:t>
      </w:r>
      <w:r w:rsidR="00562DEB">
        <w:t xml:space="preserve"> can waive its arbitration right by litigating </w:t>
      </w:r>
      <w:r w:rsidR="00562DEB">
        <w:lastRenderedPageBreak/>
        <w:t>only when its conduct has prejudiced the other side</w:t>
      </w:r>
      <w:r>
        <w:t>.</w:t>
      </w:r>
      <w:r>
        <w:rPr>
          <w:rStyle w:val="FootnoteReference"/>
        </w:rPr>
        <w:footnoteReference w:id="3"/>
      </w:r>
      <w:r>
        <w:t xml:space="preserve">  Two circuits</w:t>
      </w:r>
      <w:r w:rsidR="00780D94">
        <w:t xml:space="preserve"> </w:t>
      </w:r>
      <w:r>
        <w:t xml:space="preserve">have rejected that rule, holding that prejudice is </w:t>
      </w:r>
      <w:proofErr w:type="gramStart"/>
      <w:r>
        <w:t>not indispensable</w:t>
      </w:r>
      <w:proofErr w:type="gramEnd"/>
      <w:r>
        <w:t xml:space="preserve"> to waiver.</w:t>
      </w:r>
      <w:r>
        <w:rPr>
          <w:rStyle w:val="FootnoteReference"/>
        </w:rPr>
        <w:footnoteReference w:id="4"/>
      </w:r>
      <w:r>
        <w:t xml:space="preserve"> </w:t>
      </w:r>
      <w:r w:rsidR="00A54994">
        <w:t xml:space="preserve"> </w:t>
      </w:r>
    </w:p>
    <w:p w14:paraId="02AAC126" w14:textId="117C4D95" w:rsidR="00C142DC" w:rsidRPr="00376FC2" w:rsidRDefault="00581BA1" w:rsidP="00B16635">
      <w:pPr>
        <w:widowControl w:val="0"/>
        <w:ind w:firstLine="720"/>
        <w:contextualSpacing/>
      </w:pPr>
      <w:r>
        <w:t xml:space="preserve">Just </w:t>
      </w:r>
      <w:r w:rsidR="005014A2">
        <w:t>a few months ago</w:t>
      </w:r>
      <w:r w:rsidR="0094495E">
        <w:t xml:space="preserve">, the </w:t>
      </w:r>
      <w:r w:rsidR="00203379">
        <w:t>U</w:t>
      </w:r>
      <w:r w:rsidR="00972E8E">
        <w:t>nited States</w:t>
      </w:r>
      <w:r w:rsidR="0094495E">
        <w:t xml:space="preserve"> Supreme Court </w:t>
      </w:r>
      <w:r w:rsidR="0072099F">
        <w:t xml:space="preserve">in </w:t>
      </w:r>
      <w:r w:rsidR="0072099F">
        <w:rPr>
          <w:i/>
          <w:iCs/>
        </w:rPr>
        <w:t>Morgan</w:t>
      </w:r>
      <w:r w:rsidR="0072099F">
        <w:t xml:space="preserve">, </w:t>
      </w:r>
      <w:r w:rsidR="0072099F">
        <w:rPr>
          <w:i/>
          <w:iCs/>
        </w:rPr>
        <w:t>supra</w:t>
      </w:r>
      <w:r w:rsidR="0072099F">
        <w:t xml:space="preserve">, 142 S.Ct. 1708 </w:t>
      </w:r>
      <w:r w:rsidR="0094495E">
        <w:t>resolve</w:t>
      </w:r>
      <w:r w:rsidR="00837146">
        <w:t>d</w:t>
      </w:r>
      <w:r w:rsidR="0094495E">
        <w:t xml:space="preserve"> that circuit split.  In a unanimous decision, the </w:t>
      </w:r>
      <w:r w:rsidR="002E49DF">
        <w:t>c</w:t>
      </w:r>
      <w:r w:rsidR="0094495E">
        <w:t>ourt sided with the minority of the circuit courts and held that under the FAA, courts may not “condition a waiver of the right to arbitrat</w:t>
      </w:r>
      <w:r w:rsidR="00815126">
        <w:t>e</w:t>
      </w:r>
      <w:r w:rsidR="0094495E">
        <w:t xml:space="preserve"> on a showing of prejudice.”  (</w:t>
      </w:r>
      <w:r w:rsidR="0094495E">
        <w:rPr>
          <w:i/>
          <w:iCs/>
        </w:rPr>
        <w:t>Id.</w:t>
      </w:r>
      <w:r w:rsidR="0094495E">
        <w:t xml:space="preserve"> at p. 1713.)  </w:t>
      </w:r>
      <w:r w:rsidR="007D53DA">
        <w:t>The court review</w:t>
      </w:r>
      <w:r w:rsidR="00F16A11">
        <w:t>ed</w:t>
      </w:r>
      <w:r w:rsidR="007D53DA">
        <w:t xml:space="preserve"> the Eighth Circuit’s test for deciding waiver, which </w:t>
      </w:r>
      <w:r w:rsidR="008A65AE">
        <w:t xml:space="preserve">provided </w:t>
      </w:r>
      <w:r w:rsidR="007D53DA">
        <w:t xml:space="preserve">that “a party waives its contractual right to arbitration if </w:t>
      </w:r>
      <w:r w:rsidR="007F3DEE" w:rsidRPr="007F3DEE">
        <w:t xml:space="preserve">it knew of the right; </w:t>
      </w:r>
      <w:r w:rsidR="007F3DEE">
        <w:t>‘</w:t>
      </w:r>
      <w:r w:rsidR="007F3DEE" w:rsidRPr="007F3DEE">
        <w:t>acted inconsistently with that right</w:t>
      </w:r>
      <w:proofErr w:type="gramStart"/>
      <w:r w:rsidR="007F3DEE">
        <w:t>’</w:t>
      </w:r>
      <w:r w:rsidR="007F3DEE" w:rsidRPr="007F3DEE">
        <w:t>;</w:t>
      </w:r>
      <w:proofErr w:type="gramEnd"/>
      <w:r w:rsidR="007F3DEE" w:rsidRPr="007F3DEE">
        <w:t xml:space="preserve"> and—critical here—</w:t>
      </w:r>
      <w:r w:rsidR="007F3DEE">
        <w:t>‘</w:t>
      </w:r>
      <w:r w:rsidR="007F3DEE" w:rsidRPr="007F3DEE">
        <w:t>prejudiced the other party by its inconsistent actions.</w:t>
      </w:r>
      <w:r w:rsidR="007F3DEE">
        <w:t>’  [Citation.]”  (</w:t>
      </w:r>
      <w:r w:rsidR="00E82A13">
        <w:rPr>
          <w:i/>
          <w:iCs/>
        </w:rPr>
        <w:t>Id.</w:t>
      </w:r>
      <w:r w:rsidR="00C61711">
        <w:t xml:space="preserve"> </w:t>
      </w:r>
      <w:r w:rsidR="007F3DEE">
        <w:t>at p</w:t>
      </w:r>
      <w:r w:rsidR="00740208">
        <w:t>p</w:t>
      </w:r>
      <w:r w:rsidR="007F3DEE">
        <w:t xml:space="preserve">. </w:t>
      </w:r>
      <w:r w:rsidR="00740208">
        <w:t xml:space="preserve">1711–1712.)  </w:t>
      </w:r>
      <w:r w:rsidR="00B830A8">
        <w:t xml:space="preserve">The </w:t>
      </w:r>
      <w:r w:rsidR="00D35419">
        <w:t xml:space="preserve">Supreme Court in </w:t>
      </w:r>
      <w:r w:rsidR="002E49DF">
        <w:rPr>
          <w:i/>
          <w:iCs/>
        </w:rPr>
        <w:t xml:space="preserve">Morgan </w:t>
      </w:r>
      <w:r w:rsidR="00C93713">
        <w:t>remark</w:t>
      </w:r>
      <w:r w:rsidR="00594A0B">
        <w:t>ed</w:t>
      </w:r>
      <w:r w:rsidR="00C93713">
        <w:t xml:space="preserve"> that “outside the arbitration context, a federal court assessing waiver does not generally ask about prejudice</w:t>
      </w:r>
      <w:r w:rsidR="00927768">
        <w:t>,</w:t>
      </w:r>
      <w:r w:rsidR="00C93713">
        <w:t>” and ge</w:t>
      </w:r>
      <w:r w:rsidR="00C93713" w:rsidRPr="00D845F9">
        <w:t xml:space="preserve">nerally, </w:t>
      </w:r>
      <w:r w:rsidR="009C3310">
        <w:t xml:space="preserve">that </w:t>
      </w:r>
      <w:r w:rsidR="00C93713" w:rsidRPr="00D845F9">
        <w:t>“court[s] focus[ ] on the actions of the person who held the right</w:t>
      </w:r>
      <w:r w:rsidR="00C93713">
        <w:t>,</w:t>
      </w:r>
      <w:r w:rsidR="00C93713" w:rsidRPr="00D845F9">
        <w:t>” rather than the “effects of those actions on the opposing party.”</w:t>
      </w:r>
      <w:r w:rsidR="00C93713">
        <w:t xml:space="preserve">  (</w:t>
      </w:r>
      <w:r w:rsidR="00C93713">
        <w:rPr>
          <w:i/>
          <w:iCs/>
        </w:rPr>
        <w:t xml:space="preserve">Id. </w:t>
      </w:r>
      <w:r w:rsidR="00C93713">
        <w:t xml:space="preserve">at </w:t>
      </w:r>
      <w:r w:rsidR="00C93713">
        <w:lastRenderedPageBreak/>
        <w:t xml:space="preserve">p. 1713.)  </w:t>
      </w:r>
      <w:r w:rsidR="008A65AE">
        <w:t>Thus,</w:t>
      </w:r>
      <w:r w:rsidR="00606A32">
        <w:t xml:space="preserve"> “</w:t>
      </w:r>
      <w:r w:rsidR="00EA5427">
        <w:t xml:space="preserve">in demanding [proof of prejudice] before finding the waiver of an arbitration right, </w:t>
      </w:r>
      <w:r w:rsidR="00606A32">
        <w:t>the Eighth Circuit applies a rule found nowhere else</w:t>
      </w:r>
      <w:r w:rsidR="00EA5427">
        <w:t>—</w:t>
      </w:r>
      <w:r w:rsidR="00606A32">
        <w:t>conside</w:t>
      </w:r>
      <w:r w:rsidR="00EA5427">
        <w:t>r it</w:t>
      </w:r>
      <w:r w:rsidR="00606A32">
        <w:t xml:space="preserve"> a bespoke rule of waiver for arbitration.”  (</w:t>
      </w:r>
      <w:r w:rsidR="00606A32">
        <w:rPr>
          <w:i/>
          <w:iCs/>
        </w:rPr>
        <w:t>I</w:t>
      </w:r>
      <w:r w:rsidR="00815126">
        <w:rPr>
          <w:i/>
          <w:iCs/>
        </w:rPr>
        <w:t>bi</w:t>
      </w:r>
      <w:r w:rsidR="00606A32">
        <w:rPr>
          <w:i/>
          <w:iCs/>
        </w:rPr>
        <w:t>d.</w:t>
      </w:r>
      <w:r w:rsidR="00606A32">
        <w:t xml:space="preserve">)  </w:t>
      </w:r>
    </w:p>
    <w:p w14:paraId="7A72D9C4" w14:textId="15413FF4" w:rsidR="001962C3" w:rsidRPr="00D845F9" w:rsidRDefault="00594A0B" w:rsidP="00B16635">
      <w:pPr>
        <w:widowControl w:val="0"/>
        <w:contextualSpacing/>
      </w:pPr>
      <w:r>
        <w:tab/>
      </w:r>
      <w:r w:rsidR="001962C3">
        <w:t xml:space="preserve">The </w:t>
      </w:r>
      <w:r w:rsidR="008A6558">
        <w:t xml:space="preserve">high </w:t>
      </w:r>
      <w:r w:rsidR="001962C3">
        <w:t xml:space="preserve">court </w:t>
      </w:r>
      <w:r w:rsidR="00BE62B9">
        <w:t xml:space="preserve">then </w:t>
      </w:r>
      <w:r w:rsidR="001962C3">
        <w:t>traced the</w:t>
      </w:r>
      <w:r w:rsidR="001962C3" w:rsidRPr="0083246B">
        <w:t xml:space="preserve"> Eighth Circuit</w:t>
      </w:r>
      <w:r w:rsidR="001962C3">
        <w:t>’s prejudice requirement to</w:t>
      </w:r>
      <w:r w:rsidR="001962C3" w:rsidRPr="0083246B">
        <w:t xml:space="preserve"> a “decades-old Second Circuit decision”</w:t>
      </w:r>
      <w:r w:rsidR="009C3310">
        <w:t>—</w:t>
      </w:r>
      <w:r w:rsidR="001962C3" w:rsidRPr="0083246B">
        <w:rPr>
          <w:i/>
          <w:iCs/>
        </w:rPr>
        <w:t>Carcich</w:t>
      </w:r>
      <w:r w:rsidR="00C46302">
        <w:rPr>
          <w:i/>
          <w:iCs/>
        </w:rPr>
        <w:t xml:space="preserve">, supra, </w:t>
      </w:r>
      <w:r w:rsidR="001962C3" w:rsidRPr="0083246B">
        <w:t>389 F.2d 692</w:t>
      </w:r>
      <w:r w:rsidR="001962C3">
        <w:t>.  (</w:t>
      </w:r>
      <w:r w:rsidR="001962C3" w:rsidRPr="004D617B">
        <w:rPr>
          <w:i/>
          <w:iCs/>
        </w:rPr>
        <w:t>Morgan</w:t>
      </w:r>
      <w:r w:rsidR="001962C3">
        <w:t xml:space="preserve">, </w:t>
      </w:r>
      <w:r w:rsidR="001962C3" w:rsidRPr="004D617B">
        <w:rPr>
          <w:i/>
          <w:iCs/>
        </w:rPr>
        <w:t>supra</w:t>
      </w:r>
      <w:r w:rsidR="001962C3">
        <w:t xml:space="preserve">, 142 S.Ct. at p. 1713.)  </w:t>
      </w:r>
      <w:r w:rsidR="001962C3" w:rsidRPr="0083246B">
        <w:t xml:space="preserve">In </w:t>
      </w:r>
      <w:r w:rsidR="001962C3" w:rsidRPr="004E5FED">
        <w:rPr>
          <w:i/>
          <w:iCs/>
        </w:rPr>
        <w:t>Carcich</w:t>
      </w:r>
      <w:r w:rsidR="001962C3" w:rsidRPr="0083246B">
        <w:t>, the Second Circuit relied on the “</w:t>
      </w:r>
      <w:r w:rsidR="00F618EC">
        <w:t xml:space="preserve"> ‘</w:t>
      </w:r>
      <w:r w:rsidR="001962C3" w:rsidRPr="0083246B">
        <w:t>overriding federal policy favoring arbitration</w:t>
      </w:r>
      <w:r w:rsidR="00F618EC">
        <w:t xml:space="preserve">’ </w:t>
      </w:r>
      <w:r w:rsidR="001962C3" w:rsidRPr="0083246B">
        <w:t xml:space="preserve">” to conclude that </w:t>
      </w:r>
      <w:r w:rsidR="00FC59E0">
        <w:t xml:space="preserve">“waiver of </w:t>
      </w:r>
      <w:r w:rsidR="001962C3" w:rsidRPr="0083246B">
        <w:t xml:space="preserve">the right to arbitrate ‘is not to be lightly inferred,’ ” such that “ ‘mere delay’ in seeking a stay of litigation, ‘without some resultant prejudice’ to the opposing party, ‘cannot carry the day.’ ” </w:t>
      </w:r>
      <w:r w:rsidR="001962C3">
        <w:t xml:space="preserve"> </w:t>
      </w:r>
      <w:r w:rsidR="001962C3" w:rsidRPr="0083246B">
        <w:t>(</w:t>
      </w:r>
      <w:r w:rsidR="001962C3" w:rsidRPr="004E5FED">
        <w:rPr>
          <w:i/>
          <w:iCs/>
        </w:rPr>
        <w:t>Morgan</w:t>
      </w:r>
      <w:r w:rsidR="001962C3">
        <w:t xml:space="preserve">, at p. 1713, </w:t>
      </w:r>
      <w:r w:rsidR="001962C3" w:rsidRPr="0083246B">
        <w:t xml:space="preserve">quoting </w:t>
      </w:r>
      <w:r w:rsidR="001962C3" w:rsidRPr="004E5FED">
        <w:rPr>
          <w:i/>
          <w:iCs/>
        </w:rPr>
        <w:t>Carcich</w:t>
      </w:r>
      <w:r w:rsidR="006A7A8A">
        <w:t>,</w:t>
      </w:r>
      <w:r w:rsidR="001962C3" w:rsidRPr="0083246B">
        <w:t xml:space="preserve"> at </w:t>
      </w:r>
      <w:r w:rsidR="006A7A8A">
        <w:t xml:space="preserve">p. </w:t>
      </w:r>
      <w:r w:rsidR="001962C3" w:rsidRPr="0083246B">
        <w:t>696.</w:t>
      </w:r>
      <w:r w:rsidR="001962C3">
        <w:t xml:space="preserve">)  </w:t>
      </w:r>
    </w:p>
    <w:p w14:paraId="54745F2C" w14:textId="19562338" w:rsidR="00F37A4E" w:rsidRDefault="001962C3" w:rsidP="00B16635">
      <w:pPr>
        <w:widowControl w:val="0"/>
        <w:contextualSpacing/>
      </w:pPr>
      <w:r>
        <w:tab/>
        <w:t xml:space="preserve">The </w:t>
      </w:r>
      <w:r w:rsidR="00D35419">
        <w:t xml:space="preserve">Supreme Court in </w:t>
      </w:r>
      <w:r w:rsidR="008A6558">
        <w:rPr>
          <w:i/>
        </w:rPr>
        <w:t xml:space="preserve">Morgan </w:t>
      </w:r>
      <w:r>
        <w:t xml:space="preserve">rejected </w:t>
      </w:r>
      <w:r>
        <w:rPr>
          <w:i/>
          <w:iCs/>
        </w:rPr>
        <w:t>Carcich</w:t>
      </w:r>
      <w:r>
        <w:t>’s analysis and clarified that the FAA’s “policy favoring arbitration” centers around treating arbitration agreements like all other contracts; it does not contain a preference for arbitration as an alternative dispute resolution mechanism.  (</w:t>
      </w:r>
      <w:r>
        <w:rPr>
          <w:i/>
          <w:iCs/>
        </w:rPr>
        <w:t>Morgan</w:t>
      </w:r>
      <w:r>
        <w:t xml:space="preserve">, </w:t>
      </w:r>
      <w:r>
        <w:rPr>
          <w:i/>
          <w:iCs/>
        </w:rPr>
        <w:t>supra</w:t>
      </w:r>
      <w:r>
        <w:t xml:space="preserve">, 142 S.Ct. at pp. 1713–1714.)  For this reason, the </w:t>
      </w:r>
      <w:r w:rsidR="00A9634D">
        <w:t>c</w:t>
      </w:r>
      <w:r>
        <w:t xml:space="preserve">ourt held “the Eighth Circuit was wrong to condition a waiver of the right to arbitrate on a showing of prejudice,” </w:t>
      </w:r>
      <w:r w:rsidR="0094495E">
        <w:t>vacated the judgment, and remanded the case.  (</w:t>
      </w:r>
      <w:r w:rsidR="0094495E">
        <w:rPr>
          <w:i/>
          <w:iCs/>
        </w:rPr>
        <w:t>Id.</w:t>
      </w:r>
      <w:r w:rsidR="00895503">
        <w:rPr>
          <w:i/>
          <w:iCs/>
        </w:rPr>
        <w:t xml:space="preserve"> </w:t>
      </w:r>
      <w:r w:rsidR="00895503" w:rsidRPr="00895503">
        <w:t>at pp.</w:t>
      </w:r>
      <w:r w:rsidR="00895503">
        <w:rPr>
          <w:i/>
          <w:iCs/>
        </w:rPr>
        <w:t xml:space="preserve"> </w:t>
      </w:r>
      <w:r w:rsidR="00895503">
        <w:t>1712</w:t>
      </w:r>
      <w:r w:rsidR="00895503">
        <w:sym w:font="Symbol" w:char="F02D"/>
      </w:r>
      <w:r w:rsidR="00895503">
        <w:t>1714.</w:t>
      </w:r>
      <w:r w:rsidR="0094495E">
        <w:t xml:space="preserve">)  </w:t>
      </w:r>
      <w:r w:rsidR="00885956">
        <w:t>O</w:t>
      </w:r>
      <w:r w:rsidR="0094495E">
        <w:t>n remand,</w:t>
      </w:r>
      <w:r w:rsidR="00885956">
        <w:t xml:space="preserve"> </w:t>
      </w:r>
      <w:r w:rsidR="00A9634D" w:rsidRPr="00A9634D">
        <w:t xml:space="preserve">the court </w:t>
      </w:r>
      <w:r w:rsidR="00885956">
        <w:t xml:space="preserve">explained, the Eighth Circuit’s </w:t>
      </w:r>
      <w:r w:rsidR="00953EBE">
        <w:t xml:space="preserve">current </w:t>
      </w:r>
      <w:r w:rsidR="00885956">
        <w:t xml:space="preserve">waiver inquiry, </w:t>
      </w:r>
      <w:r w:rsidR="0094495E">
        <w:t>“</w:t>
      </w:r>
      <w:r w:rsidR="00885956">
        <w:t>[s]</w:t>
      </w:r>
      <w:r w:rsidR="0094495E">
        <w:t>tripped of its prejudice requirement</w:t>
      </w:r>
      <w:r w:rsidR="006338F1">
        <w:t xml:space="preserve">[,] . . . </w:t>
      </w:r>
      <w:r w:rsidR="0094495E">
        <w:t>would focus on [the defendant’s] conduct</w:t>
      </w:r>
      <w:r w:rsidR="00113293">
        <w:t>,</w:t>
      </w:r>
      <w:r w:rsidR="005958AE">
        <w:t xml:space="preserve">” </w:t>
      </w:r>
      <w:r w:rsidR="00113293">
        <w:t xml:space="preserve">namely </w:t>
      </w:r>
      <w:r w:rsidR="00B25F2C">
        <w:t xml:space="preserve">by </w:t>
      </w:r>
      <w:r w:rsidR="00113293">
        <w:t>asking</w:t>
      </w:r>
      <w:r w:rsidR="004C253C">
        <w:t xml:space="preserve">:  </w:t>
      </w:r>
      <w:r w:rsidR="00162083">
        <w:t>“</w:t>
      </w:r>
      <w:r w:rsidR="004C253C">
        <w:t>Did [</w:t>
      </w:r>
      <w:r w:rsidR="00DC532A">
        <w:t>the defendant</w:t>
      </w:r>
      <w:r w:rsidR="004C253C">
        <w:t>]</w:t>
      </w:r>
      <w:r w:rsidR="0094495E">
        <w:t xml:space="preserve"> knowingly relinquish</w:t>
      </w:r>
      <w:r w:rsidR="004C253C">
        <w:t xml:space="preserve"> </w:t>
      </w:r>
      <w:r w:rsidR="0094495E">
        <w:t>the right to arbitrate by acting inconsistently with that right</w:t>
      </w:r>
      <w:r w:rsidR="004C253C">
        <w:t>?</w:t>
      </w:r>
      <w:r w:rsidR="005360C3">
        <w:t>”</w:t>
      </w:r>
      <w:r w:rsidR="0094495E">
        <w:t xml:space="preserve">  (</w:t>
      </w:r>
      <w:r w:rsidR="0094495E">
        <w:rPr>
          <w:i/>
          <w:iCs/>
        </w:rPr>
        <w:t>Id</w:t>
      </w:r>
      <w:r w:rsidR="0094495E">
        <w:t>.</w:t>
      </w:r>
      <w:r w:rsidR="00F32F6D">
        <w:t xml:space="preserve"> at p. 1714.</w:t>
      </w:r>
      <w:r w:rsidR="0094495E">
        <w:t>)</w:t>
      </w:r>
      <w:r w:rsidR="0094495E">
        <w:rPr>
          <w:rStyle w:val="FootnoteReference"/>
        </w:rPr>
        <w:footnoteReference w:id="5"/>
      </w:r>
      <w:r w:rsidR="0094495E">
        <w:t xml:space="preserve">  </w:t>
      </w:r>
      <w:r w:rsidR="00211541">
        <w:t xml:space="preserve"> </w:t>
      </w:r>
    </w:p>
    <w:p w14:paraId="6BD6F91A" w14:textId="50B8EF84" w:rsidR="002E5D41" w:rsidRPr="007603EC" w:rsidRDefault="00F37A4E" w:rsidP="00B16635">
      <w:pPr>
        <w:widowControl w:val="0"/>
        <w:ind w:firstLine="720"/>
        <w:contextualSpacing/>
      </w:pPr>
      <w:r>
        <w:lastRenderedPageBreak/>
        <w:t xml:space="preserve">In </w:t>
      </w:r>
      <w:r w:rsidR="00DE50F3">
        <w:t xml:space="preserve">their </w:t>
      </w:r>
      <w:r>
        <w:t>supplemental brief</w:t>
      </w:r>
      <w:r w:rsidR="00DE50F3">
        <w:t>s</w:t>
      </w:r>
      <w:r>
        <w:t xml:space="preserve">, the parties agree that </w:t>
      </w:r>
      <w:r>
        <w:rPr>
          <w:i/>
          <w:iCs/>
        </w:rPr>
        <w:t>Morgan</w:t>
      </w:r>
      <w:r>
        <w:t xml:space="preserve"> is controlling</w:t>
      </w:r>
      <w:r w:rsidR="00754DA1">
        <w:t>,</w:t>
      </w:r>
      <w:r w:rsidR="00F8135D">
        <w:t xml:space="preserve"> </w:t>
      </w:r>
      <w:r w:rsidR="00754DA1">
        <w:t>prejudice</w:t>
      </w:r>
      <w:r w:rsidR="00DE50F3">
        <w:t xml:space="preserve"> </w:t>
      </w:r>
      <w:r w:rsidR="00F8135D">
        <w:t xml:space="preserve">therefore </w:t>
      </w:r>
      <w:r w:rsidR="00754DA1">
        <w:t xml:space="preserve">is no longer </w:t>
      </w:r>
      <w:r w:rsidR="00DD62D2">
        <w:t>required to</w:t>
      </w:r>
      <w:r w:rsidR="00754DA1">
        <w:t xml:space="preserve"> demonstrate a waiver of </w:t>
      </w:r>
      <w:r w:rsidR="00DC7D0A">
        <w:t xml:space="preserve">one’s right to </w:t>
      </w:r>
      <w:r w:rsidR="00754DA1">
        <w:t xml:space="preserve">arbitration, and </w:t>
      </w:r>
      <w:r w:rsidR="00DC7D0A">
        <w:t>the waiver inquiry should instead focus on the actions of the holder of that right</w:t>
      </w:r>
      <w:r>
        <w:t xml:space="preserve">. </w:t>
      </w:r>
      <w:r w:rsidR="00E94A5B">
        <w:t xml:space="preserve"> </w:t>
      </w:r>
      <w:r w:rsidR="000143FF">
        <w:t xml:space="preserve">The parties also appear to agree </w:t>
      </w:r>
      <w:r w:rsidR="00F233AB">
        <w:t xml:space="preserve">that </w:t>
      </w:r>
      <w:r w:rsidR="00F67776">
        <w:t xml:space="preserve">the </w:t>
      </w:r>
      <w:r w:rsidR="007532A1" w:rsidRPr="001476B2">
        <w:rPr>
          <w:i/>
          <w:iCs/>
        </w:rPr>
        <w:t xml:space="preserve">Peterson </w:t>
      </w:r>
      <w:r w:rsidR="00F67776">
        <w:t xml:space="preserve">factors </w:t>
      </w:r>
      <w:r w:rsidR="00421E12">
        <w:t xml:space="preserve">“minus the prejudice requirement” </w:t>
      </w:r>
      <w:r w:rsidR="00F67776">
        <w:t xml:space="preserve">are unaffected by </w:t>
      </w:r>
      <w:r w:rsidR="000143FF">
        <w:rPr>
          <w:i/>
          <w:iCs/>
        </w:rPr>
        <w:t>Morgan</w:t>
      </w:r>
      <w:r w:rsidR="00F67776">
        <w:rPr>
          <w:i/>
          <w:iCs/>
        </w:rPr>
        <w:t xml:space="preserve"> </w:t>
      </w:r>
      <w:r w:rsidR="00F67776">
        <w:t xml:space="preserve">and </w:t>
      </w:r>
      <w:r w:rsidR="00AB0ECD">
        <w:t>remain proper considerations in the waiver inquiry</w:t>
      </w:r>
      <w:r w:rsidR="001775A8">
        <w:t>.</w:t>
      </w:r>
      <w:r w:rsidR="002055FA">
        <w:t xml:space="preserve"> </w:t>
      </w:r>
      <w:r w:rsidR="006A698E">
        <w:t xml:space="preserve"> </w:t>
      </w:r>
    </w:p>
    <w:p w14:paraId="1CB518B4" w14:textId="10E6E5BC" w:rsidR="0029619F" w:rsidRDefault="00B37075" w:rsidP="00B16635">
      <w:pPr>
        <w:pStyle w:val="Heading2"/>
      </w:pPr>
      <w:r>
        <w:t>The Trial Court</w:t>
      </w:r>
      <w:r w:rsidR="00F342BC">
        <w:t xml:space="preserve"> Properly Denied the Motion to Compel Arbitration</w:t>
      </w:r>
    </w:p>
    <w:p w14:paraId="659D1833" w14:textId="09477946" w:rsidR="00DB54AC" w:rsidRDefault="00C364B7" w:rsidP="00B16635">
      <w:pPr>
        <w:widowControl w:val="0"/>
        <w:contextualSpacing/>
      </w:pPr>
      <w:r>
        <w:tab/>
      </w:r>
      <w:r w:rsidR="004D6569">
        <w:t>When</w:t>
      </w:r>
      <w:r w:rsidR="00F8222D">
        <w:t xml:space="preserve"> the trial court</w:t>
      </w:r>
      <w:r w:rsidR="004D6569">
        <w:t xml:space="preserve"> ruled on Shiekh’s motion to compel arbitration, </w:t>
      </w:r>
      <w:r w:rsidR="00F8222D">
        <w:t xml:space="preserve">it </w:t>
      </w:r>
      <w:r w:rsidR="004D6569">
        <w:t>did not have the benefit of the</w:t>
      </w:r>
      <w:r w:rsidR="00321CF1">
        <w:t xml:space="preserve"> </w:t>
      </w:r>
      <w:r w:rsidR="004D6569">
        <w:t xml:space="preserve">Supreme Court’s decision in </w:t>
      </w:r>
      <w:r w:rsidR="004D6569">
        <w:rPr>
          <w:i/>
          <w:iCs/>
        </w:rPr>
        <w:t>Morgan</w:t>
      </w:r>
      <w:r w:rsidR="004D6569">
        <w:t xml:space="preserve">, which was </w:t>
      </w:r>
      <w:r w:rsidR="00B9391E">
        <w:t xml:space="preserve">issued </w:t>
      </w:r>
      <w:r w:rsidR="004D6569">
        <w:t xml:space="preserve">after the parties completed briefing in this appeal. </w:t>
      </w:r>
      <w:r w:rsidR="00A20B26">
        <w:t xml:space="preserve"> </w:t>
      </w:r>
      <w:r w:rsidR="004D6569">
        <w:t xml:space="preserve">Consequently, the </w:t>
      </w:r>
      <w:r w:rsidR="00321CF1">
        <w:t xml:space="preserve">trial </w:t>
      </w:r>
      <w:r w:rsidR="004D6569">
        <w:t xml:space="preserve">court considered the factors set forth in </w:t>
      </w:r>
      <w:r w:rsidR="004D6569" w:rsidRPr="000D2C1D">
        <w:t xml:space="preserve">the </w:t>
      </w:r>
      <w:r w:rsidR="004D6569" w:rsidRPr="004D6569">
        <w:rPr>
          <w:i/>
          <w:iCs/>
        </w:rPr>
        <w:t>Peterson</w:t>
      </w:r>
      <w:r w:rsidR="00A20B26">
        <w:t xml:space="preserve"> </w:t>
      </w:r>
      <w:r w:rsidR="002B0A13">
        <w:t xml:space="preserve">waiver </w:t>
      </w:r>
      <w:r w:rsidR="004D6569">
        <w:t>test, including prejudice</w:t>
      </w:r>
      <w:r w:rsidR="005411AA">
        <w:t xml:space="preserve"> to Davis</w:t>
      </w:r>
      <w:r w:rsidR="009F22C8">
        <w:t>.</w:t>
      </w:r>
      <w:r w:rsidR="005C1C5F">
        <w:t xml:space="preserve">  </w:t>
      </w:r>
      <w:r w:rsidR="00DB54AC">
        <w:t>In particular</w:t>
      </w:r>
      <w:r w:rsidR="002D304C">
        <w:t xml:space="preserve">, </w:t>
      </w:r>
      <w:r w:rsidR="005E0F40">
        <w:t>it</w:t>
      </w:r>
      <w:r w:rsidR="002D304C">
        <w:t xml:space="preserve"> found </w:t>
      </w:r>
      <w:r w:rsidR="00AF6DED">
        <w:t xml:space="preserve">Shiekh </w:t>
      </w:r>
      <w:r w:rsidR="00DB54AC">
        <w:t xml:space="preserve">had </w:t>
      </w:r>
      <w:r w:rsidR="00AF6DED">
        <w:t xml:space="preserve">waived its right to </w:t>
      </w:r>
      <w:r w:rsidR="00DB54AC">
        <w:t xml:space="preserve">invoke </w:t>
      </w:r>
      <w:r w:rsidR="00AF6DED">
        <w:t>arbitrat</w:t>
      </w:r>
      <w:r w:rsidR="00DB54AC">
        <w:t xml:space="preserve">ion </w:t>
      </w:r>
      <w:r w:rsidR="00AF6DED">
        <w:t xml:space="preserve">because </w:t>
      </w:r>
      <w:r w:rsidR="00DB54AC">
        <w:t>its</w:t>
      </w:r>
      <w:r w:rsidR="00AF6DED">
        <w:t xml:space="preserve"> actions were </w:t>
      </w:r>
      <w:r w:rsidR="005B26F1">
        <w:t xml:space="preserve">“ </w:t>
      </w:r>
      <w:r w:rsidR="00AF6DED">
        <w:t xml:space="preserve">‘inconsistent with the right to arbitrate’ ”; </w:t>
      </w:r>
      <w:r w:rsidR="00DB54AC">
        <w:t>it</w:t>
      </w:r>
      <w:r w:rsidR="00AF6DED">
        <w:t>“ ‘delayed for a long period of time’ ”; the “</w:t>
      </w:r>
      <w:r w:rsidR="004E2D04">
        <w:t> </w:t>
      </w:r>
      <w:r w:rsidR="00AF6DED">
        <w:t>‘litigation machinery ha</w:t>
      </w:r>
      <w:r w:rsidR="00DB54AC">
        <w:t>[d]</w:t>
      </w:r>
      <w:r w:rsidR="00AF6DED">
        <w:t xml:space="preserve"> been substantially invoked’ ”; “ ‘judicial discovery procedures’ took place”; and “the delay ‘affected, misled, or prejudiced’ [Davis].” </w:t>
      </w:r>
      <w:r w:rsidR="0024098B">
        <w:t xml:space="preserve"> </w:t>
      </w:r>
    </w:p>
    <w:p w14:paraId="2E68A271" w14:textId="6663DC6E" w:rsidR="000330AF" w:rsidRDefault="00BF1486" w:rsidP="00B16635">
      <w:pPr>
        <w:widowControl w:val="0"/>
        <w:ind w:firstLine="720"/>
        <w:contextualSpacing/>
      </w:pPr>
      <w:r>
        <w:t>To the extent the court</w:t>
      </w:r>
      <w:r w:rsidR="00831535">
        <w:t xml:space="preserve"> conditioned waiver on a showing of prejudice</w:t>
      </w:r>
      <w:r w:rsidR="004E2D04">
        <w:t>,</w:t>
      </w:r>
      <w:r w:rsidR="00415ABD">
        <w:rPr>
          <w:rStyle w:val="FootnoteReference"/>
        </w:rPr>
        <w:footnoteReference w:id="6"/>
      </w:r>
      <w:r w:rsidR="00C715B7">
        <w:t xml:space="preserve"> </w:t>
      </w:r>
      <w:r w:rsidR="007D4947">
        <w:t>its waiver finding was unauthorized under the FAA</w:t>
      </w:r>
      <w:r w:rsidR="00EB64F4">
        <w:t xml:space="preserve">, as articulated in </w:t>
      </w:r>
      <w:r w:rsidR="00221F66">
        <w:rPr>
          <w:i/>
          <w:iCs/>
        </w:rPr>
        <w:t>Morgan</w:t>
      </w:r>
      <w:r w:rsidR="004F0FA2">
        <w:t>.</w:t>
      </w:r>
      <w:r w:rsidR="007D2306">
        <w:t xml:space="preserve">  (See </w:t>
      </w:r>
      <w:r w:rsidR="007D2306">
        <w:rPr>
          <w:i/>
          <w:iCs/>
        </w:rPr>
        <w:t>Morgan</w:t>
      </w:r>
      <w:r w:rsidR="007D2306">
        <w:t xml:space="preserve">, </w:t>
      </w:r>
      <w:r w:rsidR="007D2306">
        <w:rPr>
          <w:i/>
          <w:iCs/>
        </w:rPr>
        <w:t>supra</w:t>
      </w:r>
      <w:r w:rsidR="007D2306">
        <w:t xml:space="preserve">, 142 S.Ct. at pp. 1712–1714.) </w:t>
      </w:r>
      <w:r w:rsidR="004F0FA2">
        <w:t xml:space="preserve"> </w:t>
      </w:r>
      <w:r w:rsidR="00B10C23">
        <w:t>N</w:t>
      </w:r>
      <w:r w:rsidR="009A2EE0">
        <w:t>onetheless</w:t>
      </w:r>
      <w:r w:rsidR="00B10C23">
        <w:t xml:space="preserve">, </w:t>
      </w:r>
      <w:r w:rsidR="00B10C23">
        <w:lastRenderedPageBreak/>
        <w:t xml:space="preserve">neither party requests a remand </w:t>
      </w:r>
      <w:r w:rsidR="006D39C1">
        <w:t>due to the change in the law</w:t>
      </w:r>
      <w:r w:rsidR="00181DAB">
        <w:t>.  Instead, both</w:t>
      </w:r>
      <w:r w:rsidR="006D39C1">
        <w:t xml:space="preserve"> </w:t>
      </w:r>
      <w:r w:rsidR="00C95347">
        <w:t xml:space="preserve">parties </w:t>
      </w:r>
      <w:r w:rsidR="00934081">
        <w:t>urge</w:t>
      </w:r>
      <w:r w:rsidR="0086461B">
        <w:t xml:space="preserve"> </w:t>
      </w:r>
      <w:r w:rsidR="00A80493">
        <w:t xml:space="preserve">us </w:t>
      </w:r>
      <w:r w:rsidR="0086461B">
        <w:t xml:space="preserve">to </w:t>
      </w:r>
      <w:r w:rsidR="0032615C">
        <w:t xml:space="preserve">review </w:t>
      </w:r>
      <w:r w:rsidR="00A857BE">
        <w:t>the</w:t>
      </w:r>
      <w:r w:rsidR="003E4707">
        <w:t xml:space="preserve"> order </w:t>
      </w:r>
      <w:r w:rsidR="0011188F">
        <w:t xml:space="preserve">in light of </w:t>
      </w:r>
      <w:r w:rsidR="004E1554">
        <w:t>other, proper considerations for determining waiver</w:t>
      </w:r>
      <w:r w:rsidR="00162E09">
        <w:t>.</w:t>
      </w:r>
      <w:r w:rsidR="00917003">
        <w:t xml:space="preserve"> </w:t>
      </w:r>
      <w:r w:rsidR="00C460E9">
        <w:t xml:space="preserve"> </w:t>
      </w:r>
      <w:r w:rsidR="00436334">
        <w:t xml:space="preserve">In its opening brief, Shiekh </w:t>
      </w:r>
      <w:r w:rsidR="00234EFC">
        <w:t>p</w:t>
      </w:r>
      <w:r w:rsidR="008A6558">
        <w:t>resented two principal argument</w:t>
      </w:r>
      <w:r w:rsidR="007E0722">
        <w:t>s</w:t>
      </w:r>
      <w:r w:rsidR="008A6558">
        <w:t>, headed as follows</w:t>
      </w:r>
      <w:r w:rsidR="00A6396E">
        <w:t>:</w:t>
      </w:r>
      <w:r w:rsidR="001667BC">
        <w:t xml:space="preserve"> </w:t>
      </w:r>
      <w:r w:rsidR="00436334">
        <w:t xml:space="preserve"> “Shiekh Did Not Engage in Acts Inconsistent </w:t>
      </w:r>
      <w:proofErr w:type="gramStart"/>
      <w:r w:rsidR="00436334">
        <w:t>With</w:t>
      </w:r>
      <w:proofErr w:type="gramEnd"/>
      <w:r w:rsidR="00436334">
        <w:t xml:space="preserve"> the Right to Arbitrate” and “Compelling Arbitration Would Not Result in Unfair Prejudice to Davis.”  </w:t>
      </w:r>
      <w:r w:rsidR="0036162C">
        <w:t xml:space="preserve">Later, in its supplemental brief, </w:t>
      </w:r>
      <w:r w:rsidR="000330AF">
        <w:t xml:space="preserve">Shiekh </w:t>
      </w:r>
      <w:r w:rsidR="00C063E3">
        <w:t xml:space="preserve">explains that its </w:t>
      </w:r>
      <w:r w:rsidR="00436334">
        <w:t xml:space="preserve">argument regarding prejudice </w:t>
      </w:r>
      <w:r w:rsidR="000330AF">
        <w:t>is no</w:t>
      </w:r>
      <w:r w:rsidR="009849BC">
        <w:t xml:space="preserve"> longer</w:t>
      </w:r>
      <w:r w:rsidR="00436334">
        <w:t xml:space="preserve"> applicable under </w:t>
      </w:r>
      <w:r w:rsidR="00436334">
        <w:rPr>
          <w:i/>
          <w:iCs/>
        </w:rPr>
        <w:t>Morgan</w:t>
      </w:r>
      <w:r w:rsidR="00436334">
        <w:t>, “but the crux of [its] argument that [it] did not engage in acts inconsistent with the right to arbitrat</w:t>
      </w:r>
      <w:r w:rsidR="00C07394">
        <w:t>e</w:t>
      </w:r>
      <w:r w:rsidR="00436334">
        <w:t xml:space="preserve"> is still consistent with </w:t>
      </w:r>
      <w:r w:rsidR="00436334" w:rsidRPr="002511A7">
        <w:rPr>
          <w:i/>
          <w:iCs/>
        </w:rPr>
        <w:t>Morgan</w:t>
      </w:r>
      <w:r w:rsidR="00436334">
        <w:t>.”  On</w:t>
      </w:r>
      <w:r w:rsidR="00F031F7">
        <w:t> </w:t>
      </w:r>
      <w:r w:rsidR="00436334">
        <w:t xml:space="preserve">this basis, Shiekh contends, the court’s waiver determination </w:t>
      </w:r>
      <w:r w:rsidR="00FF4DC1">
        <w:t>was not supported by the record</w:t>
      </w:r>
      <w:r w:rsidR="00436334">
        <w:t xml:space="preserve">. </w:t>
      </w:r>
      <w:r w:rsidR="001D4DD7">
        <w:t xml:space="preserve"> </w:t>
      </w:r>
      <w:r w:rsidR="00A0631E">
        <w:t>Davis counters that “[b]ecause the trial court found all of the traditional elements of contractual waiver analysis had been satisfied here[,] in addition to prejudice</w:t>
      </w:r>
      <w:r w:rsidR="00C07394">
        <w:t>,</w:t>
      </w:r>
      <w:r w:rsidR="00A0631E">
        <w:t xml:space="preserve"> . . . substantial evidence supports the trial court’s finding of waiver, and this Court should therefore affirm . . . .” </w:t>
      </w:r>
      <w:r w:rsidR="00507389">
        <w:t xml:space="preserve"> </w:t>
      </w:r>
    </w:p>
    <w:p w14:paraId="587CA7C1" w14:textId="6BDCF536" w:rsidR="00122B33" w:rsidRDefault="006A2372" w:rsidP="00B16635">
      <w:pPr>
        <w:widowControl w:val="0"/>
        <w:ind w:firstLine="720"/>
        <w:contextualSpacing/>
      </w:pPr>
      <w:r>
        <w:t xml:space="preserve">As the parties suggest, even if the </w:t>
      </w:r>
      <w:r w:rsidR="00EF2078">
        <w:t>trial court</w:t>
      </w:r>
      <w:r w:rsidR="008A6558">
        <w:t xml:space="preserve"> may have improperly conditioned its waiver determination on a showing of prejudice, </w:t>
      </w:r>
      <w:r w:rsidR="007B7A9E">
        <w:t>it</w:t>
      </w:r>
      <w:r w:rsidR="00CE39F6">
        <w:t>s</w:t>
      </w:r>
      <w:r w:rsidR="00EF2078">
        <w:t xml:space="preserve"> </w:t>
      </w:r>
      <w:r>
        <w:t xml:space="preserve">decision </w:t>
      </w:r>
      <w:r w:rsidR="00EF2078">
        <w:t xml:space="preserve">may </w:t>
      </w:r>
      <w:r w:rsidR="008A6558">
        <w:t xml:space="preserve">still </w:t>
      </w:r>
      <w:r w:rsidR="00EF2078">
        <w:t xml:space="preserve">be affirmed </w:t>
      </w:r>
      <w:r w:rsidR="00D00A82">
        <w:t>so long as any other correct legal reason exists to sustain it</w:t>
      </w:r>
      <w:r w:rsidR="008B134C" w:rsidRPr="007613B4">
        <w:t>.</w:t>
      </w:r>
      <w:r w:rsidR="000330AF" w:rsidRPr="007613B4">
        <w:t xml:space="preserve">  (See </w:t>
      </w:r>
      <w:r w:rsidR="000330AF" w:rsidRPr="007613B4">
        <w:rPr>
          <w:i/>
          <w:iCs/>
        </w:rPr>
        <w:t xml:space="preserve">D’Amico v. Board of Medical Examiners </w:t>
      </w:r>
      <w:r w:rsidR="000330AF" w:rsidRPr="007613B4">
        <w:t>(1974) 11 Cal.3d 1, 18–19 [“</w:t>
      </w:r>
      <w:r w:rsidR="00C07394">
        <w:t xml:space="preserve"> ‘</w:t>
      </w:r>
      <w:r w:rsidR="000330AF" w:rsidRPr="007613B4">
        <w:t>No rule of decision is better or more firmly established by authority, nor one resting upon a sounder basis of reason and propriety</w:t>
      </w:r>
      <w:r w:rsidR="00C07394">
        <w:t>,</w:t>
      </w:r>
      <w:r w:rsidR="000330AF" w:rsidRPr="007613B4">
        <w:t xml:space="preserve"> than that a ruling or decision, itself correct in law, will not be disturbed on appeal merely because given for a wrong reason.  If right upon any theory of the law applicable to the case, it must be sustained</w:t>
      </w:r>
      <w:r w:rsidR="00C07394">
        <w:t xml:space="preserve">’ </w:t>
      </w:r>
      <w:r w:rsidR="00A974A0">
        <w:t>”</w:t>
      </w:r>
      <w:r w:rsidR="000330AF" w:rsidRPr="007613B4">
        <w:t>]</w:t>
      </w:r>
      <w:r w:rsidR="00AD6389">
        <w:t xml:space="preserve">; accord, </w:t>
      </w:r>
      <w:r w:rsidR="00AD6389" w:rsidRPr="00AD6389">
        <w:rPr>
          <w:i/>
          <w:iCs/>
        </w:rPr>
        <w:t>Rappleyea v. Campbell</w:t>
      </w:r>
      <w:r w:rsidR="00AD6389" w:rsidRPr="00AD6389">
        <w:t xml:space="preserve"> (1994) 8 Cal.4th 975, 980–981.)</w:t>
      </w:r>
      <w:r w:rsidR="000330AF" w:rsidRPr="007613B4">
        <w:t xml:space="preserve">  </w:t>
      </w:r>
      <w:r w:rsidR="008A6558">
        <w:t>Accordingly, we</w:t>
      </w:r>
      <w:r w:rsidR="00B325AE" w:rsidRPr="007613B4">
        <w:t xml:space="preserve"> </w:t>
      </w:r>
      <w:r w:rsidR="00DB0786">
        <w:t>determine</w:t>
      </w:r>
      <w:r w:rsidR="00B325AE" w:rsidRPr="007613B4">
        <w:t xml:space="preserve"> whether substantial evidence supports the </w:t>
      </w:r>
      <w:r w:rsidR="007613B4">
        <w:t xml:space="preserve">court’s ruling </w:t>
      </w:r>
      <w:r w:rsidR="00D213DB" w:rsidRPr="007613B4">
        <w:t>in light of the</w:t>
      </w:r>
      <w:r w:rsidR="00B325AE" w:rsidRPr="007613B4">
        <w:t xml:space="preserve"> </w:t>
      </w:r>
      <w:r w:rsidR="00B325AE" w:rsidRPr="007613B4">
        <w:rPr>
          <w:i/>
          <w:iCs/>
        </w:rPr>
        <w:t xml:space="preserve">Peterson </w:t>
      </w:r>
      <w:r w:rsidR="00B325AE" w:rsidRPr="007613B4">
        <w:t>factors other than prejudice</w:t>
      </w:r>
      <w:r w:rsidR="000E3F1A" w:rsidRPr="007613B4">
        <w:t xml:space="preserve">. </w:t>
      </w:r>
      <w:r w:rsidR="005C6C37" w:rsidRPr="007613B4">
        <w:t xml:space="preserve"> </w:t>
      </w:r>
      <w:r w:rsidR="008A6558">
        <w:t>Specifically</w:t>
      </w:r>
      <w:r w:rsidR="00330EB7">
        <w:t xml:space="preserve">, </w:t>
      </w:r>
      <w:r w:rsidR="000E3F1A" w:rsidRPr="007613B4">
        <w:t xml:space="preserve">we </w:t>
      </w:r>
      <w:r w:rsidR="008A6558">
        <w:t>focus on</w:t>
      </w:r>
      <w:r w:rsidR="005C6C37" w:rsidRPr="007613B4">
        <w:t xml:space="preserve"> </w:t>
      </w:r>
      <w:r w:rsidR="0071101B" w:rsidRPr="007613B4">
        <w:t xml:space="preserve">whether </w:t>
      </w:r>
      <w:r w:rsidR="006E2CF6" w:rsidRPr="007613B4">
        <w:t>Shiekh acted inconsistently with the right to arbitrate</w:t>
      </w:r>
      <w:r w:rsidR="0071101B" w:rsidRPr="007613B4">
        <w:t>,</w:t>
      </w:r>
      <w:r w:rsidR="0071101B">
        <w:t xml:space="preserve"> </w:t>
      </w:r>
      <w:r w:rsidR="008A6558">
        <w:t xml:space="preserve">the </w:t>
      </w:r>
      <w:r w:rsidR="00841463">
        <w:t xml:space="preserve">one </w:t>
      </w:r>
      <w:r w:rsidR="0071101B">
        <w:t xml:space="preserve">factor </w:t>
      </w:r>
      <w:r w:rsidR="000E3F1A">
        <w:t xml:space="preserve">with which </w:t>
      </w:r>
      <w:r w:rsidR="005C6C37">
        <w:t>Shiekh</w:t>
      </w:r>
      <w:r w:rsidR="000E3F1A">
        <w:t xml:space="preserve"> </w:t>
      </w:r>
      <w:r w:rsidR="000E3F1A">
        <w:lastRenderedPageBreak/>
        <w:t>primarily takes issue</w:t>
      </w:r>
      <w:r w:rsidR="000C6944">
        <w:t xml:space="preserve"> on appeal</w:t>
      </w:r>
      <w:r w:rsidR="000E3F1A">
        <w:t>.</w:t>
      </w:r>
      <w:r w:rsidR="00424A76">
        <w:t xml:space="preserve"> </w:t>
      </w:r>
      <w:r w:rsidR="000E3F1A">
        <w:t xml:space="preserve"> </w:t>
      </w:r>
      <w:r w:rsidR="0087456D">
        <w:t>And conclude it did.</w:t>
      </w:r>
      <w:r w:rsidR="007613B4">
        <w:t xml:space="preserve"> </w:t>
      </w:r>
      <w:r w:rsidR="000E3F1A">
        <w:t xml:space="preserve"> </w:t>
      </w:r>
    </w:p>
    <w:p w14:paraId="6480B047" w14:textId="5B9E13D7" w:rsidR="002A4C2D" w:rsidRPr="00F10255" w:rsidRDefault="00D51F0A" w:rsidP="00B16635">
      <w:pPr>
        <w:widowControl w:val="0"/>
        <w:contextualSpacing/>
      </w:pPr>
      <w:r>
        <w:tab/>
      </w:r>
      <w:r w:rsidR="003E7C5E">
        <w:t xml:space="preserve">To begin with, </w:t>
      </w:r>
      <w:r w:rsidR="00C535CE">
        <w:t>Shiekh</w:t>
      </w:r>
      <w:r w:rsidR="00BD7228">
        <w:t xml:space="preserve">’s lengthy delay in </w:t>
      </w:r>
      <w:r w:rsidR="00425FB5">
        <w:t>moving to compel arbitration</w:t>
      </w:r>
      <w:r w:rsidR="00BD7228">
        <w:t xml:space="preserve"> cannot be squared with an intent to arbitrate. </w:t>
      </w:r>
      <w:r w:rsidR="002002BF">
        <w:t xml:space="preserve"> </w:t>
      </w:r>
      <w:r w:rsidR="00BD7228">
        <w:t xml:space="preserve">By the time </w:t>
      </w:r>
      <w:r w:rsidR="00425FB5">
        <w:t xml:space="preserve">Shiekh filed its motion, </w:t>
      </w:r>
      <w:r w:rsidR="006E4D27">
        <w:t xml:space="preserve">17 months </w:t>
      </w:r>
      <w:r w:rsidR="00425FB5">
        <w:t>had elapsed since it was</w:t>
      </w:r>
      <w:r w:rsidR="006E4D27">
        <w:t xml:space="preserve"> served with the complaint</w:t>
      </w:r>
      <w:r w:rsidR="00402C2D">
        <w:t>.</w:t>
      </w:r>
      <w:r w:rsidR="00EE3B00">
        <w:rPr>
          <w:rStyle w:val="FootnoteReference"/>
        </w:rPr>
        <w:footnoteReference w:id="7"/>
      </w:r>
      <w:r w:rsidR="00402C2D">
        <w:t xml:space="preserve"> </w:t>
      </w:r>
      <w:r w:rsidR="004B45D6">
        <w:t xml:space="preserve"> </w:t>
      </w:r>
      <w:r w:rsidR="00F00CF2">
        <w:t>This</w:t>
      </w:r>
      <w:r w:rsidR="00402C2D">
        <w:t xml:space="preserve"> </w:t>
      </w:r>
      <w:r w:rsidR="00DE3B9D">
        <w:t>length of</w:t>
      </w:r>
      <w:r w:rsidR="004B45D6">
        <w:t xml:space="preserve"> time</w:t>
      </w:r>
      <w:r w:rsidR="00F00CF2">
        <w:t>, in the court’s view,</w:t>
      </w:r>
      <w:r w:rsidR="00DE3B9D">
        <w:t xml:space="preserve"> </w:t>
      </w:r>
      <w:r w:rsidR="00F00CF2">
        <w:t xml:space="preserve">was significant, as </w:t>
      </w:r>
      <w:r w:rsidR="00CE2BD4">
        <w:t xml:space="preserve">reflected in </w:t>
      </w:r>
      <w:r w:rsidR="00F926A6">
        <w:t>its</w:t>
      </w:r>
      <w:r w:rsidR="00CE2BD4">
        <w:t xml:space="preserve"> comments</w:t>
      </w:r>
      <w:r w:rsidR="00F926A6">
        <w:t xml:space="preserve"> at the hearing on Shiekh’s motion</w:t>
      </w:r>
      <w:r w:rsidR="00CE2BD4">
        <w:t xml:space="preserve">: </w:t>
      </w:r>
      <w:r w:rsidR="00F926A6">
        <w:t xml:space="preserve"> </w:t>
      </w:r>
      <w:r w:rsidR="00C75B2A">
        <w:t>“</w:t>
      </w:r>
      <w:r w:rsidR="00CE2BD4">
        <w:t>[T]</w:t>
      </w:r>
      <w:r w:rsidR="00F00CF2">
        <w:t>h</w:t>
      </w:r>
      <w:r w:rsidR="00CE2BD4">
        <w:t>is</w:t>
      </w:r>
      <w:r w:rsidR="00C75B2A">
        <w:t xml:space="preserve"> issue of waiver comes up at least once a month in this calendar.  And I gotta tell you . . . [¶]</w:t>
      </w:r>
      <w:r w:rsidR="00D05C35">
        <w:t> </w:t>
      </w:r>
      <w:r w:rsidR="00C75B2A">
        <w:t>.</w:t>
      </w:r>
      <w:r w:rsidR="00D05C35">
        <w:t> </w:t>
      </w:r>
      <w:r w:rsidR="00C75B2A">
        <w:t>. . [¶]</w:t>
      </w:r>
      <w:r w:rsidR="007A4D42">
        <w:t> </w:t>
      </w:r>
      <w:r w:rsidR="00C75B2A">
        <w:t>.</w:t>
      </w:r>
      <w:r w:rsidR="007A4D42">
        <w:t> </w:t>
      </w:r>
      <w:r w:rsidR="00C75B2A">
        <w:t>.</w:t>
      </w:r>
      <w:r w:rsidR="007A4D42">
        <w:t> </w:t>
      </w:r>
      <w:r w:rsidR="00C75B2A">
        <w:t>. I’ve never seen [a delay] that’s as long as seventeen months</w:t>
      </w:r>
      <w:r w:rsidR="004808EC">
        <w:t> </w:t>
      </w:r>
      <w:r w:rsidR="00C75B2A">
        <w:t>.</w:t>
      </w:r>
      <w:r w:rsidR="004808EC">
        <w:t> </w:t>
      </w:r>
      <w:r w:rsidR="00C75B2A">
        <w:t>.</w:t>
      </w:r>
      <w:r w:rsidR="004808EC">
        <w:t> </w:t>
      </w:r>
      <w:r w:rsidR="00C75B2A">
        <w:t>.</w:t>
      </w:r>
      <w:r w:rsidR="004808EC">
        <w:t> </w:t>
      </w:r>
      <w:r w:rsidR="00C75B2A">
        <w:t xml:space="preserve">.” </w:t>
      </w:r>
      <w:r w:rsidR="00136384">
        <w:t xml:space="preserve"> </w:t>
      </w:r>
      <w:r w:rsidR="00C03249">
        <w:t>As</w:t>
      </w:r>
      <w:r w:rsidR="002F41B0">
        <w:t xml:space="preserve"> the litigation progressed</w:t>
      </w:r>
      <w:r w:rsidR="00C03249">
        <w:t xml:space="preserve"> for 17 months</w:t>
      </w:r>
      <w:r w:rsidR="00EB7728">
        <w:t xml:space="preserve">, </w:t>
      </w:r>
      <w:r w:rsidR="002F41B0">
        <w:t>Shiekh undertook a number of responses to th</w:t>
      </w:r>
      <w:r w:rsidR="00407830">
        <w:t xml:space="preserve">e </w:t>
      </w:r>
      <w:r w:rsidR="002F41B0">
        <w:t xml:space="preserve">lawsuit, but sat on its hands with regard to its </w:t>
      </w:r>
      <w:r w:rsidR="00D234BE">
        <w:t>right to arbitration</w:t>
      </w:r>
      <w:r w:rsidR="002F41B0">
        <w:t>.</w:t>
      </w:r>
      <w:r w:rsidR="00D234BE">
        <w:t xml:space="preserve"> </w:t>
      </w:r>
      <w:r w:rsidR="00C03249">
        <w:t xml:space="preserve"> This was so, even though Shiekh presumably was aware of its right to arbitrate when it asserted the parties’ arbitration agreement as an affirmative defense in its answer to the complaint.  In short, </w:t>
      </w:r>
      <w:r w:rsidR="004275A5">
        <w:t xml:space="preserve">Shiekh’s </w:t>
      </w:r>
      <w:r w:rsidR="00AF7CB3">
        <w:t>“extended silence and much delayed demand for arbitration”</w:t>
      </w:r>
      <w:r w:rsidR="00622A6C">
        <w:t xml:space="preserve"> </w:t>
      </w:r>
      <w:r w:rsidR="00AF7CB3">
        <w:t>cuts strongly in favor of a finding of waiver.  (</w:t>
      </w:r>
      <w:r w:rsidR="00AF7CB3">
        <w:rPr>
          <w:i/>
          <w:iCs/>
        </w:rPr>
        <w:t xml:space="preserve">Van Ness Townhouses v. Mar Industries Corp. </w:t>
      </w:r>
      <w:r w:rsidR="00AF7CB3">
        <w:lastRenderedPageBreak/>
        <w:t>(9th Cir. 1988) 862 F.2d 754, 759;</w:t>
      </w:r>
      <w:r w:rsidR="0064073F">
        <w:t xml:space="preserve"> </w:t>
      </w:r>
      <w:r w:rsidR="001714C6">
        <w:t xml:space="preserve">see also </w:t>
      </w:r>
      <w:r w:rsidR="001714C6" w:rsidRPr="009478D0">
        <w:rPr>
          <w:i/>
          <w:iCs/>
        </w:rPr>
        <w:t>Welborn Clinic v. Medquist, Inc.</w:t>
      </w:r>
      <w:r w:rsidR="001714C6">
        <w:t xml:space="preserve"> </w:t>
      </w:r>
      <w:r w:rsidR="001714C6" w:rsidRPr="006F216C">
        <w:t>(7th Cir.</w:t>
      </w:r>
      <w:r w:rsidR="001714C6">
        <w:t xml:space="preserve"> </w:t>
      </w:r>
      <w:r w:rsidR="001714C6" w:rsidRPr="006F216C">
        <w:t>2002)</w:t>
      </w:r>
      <w:r w:rsidR="001714C6">
        <w:rPr>
          <w:i/>
          <w:iCs/>
        </w:rPr>
        <w:t xml:space="preserve"> </w:t>
      </w:r>
      <w:r w:rsidR="001714C6" w:rsidRPr="006F216C">
        <w:t xml:space="preserve">301 F.3d 634, 637 </w:t>
      </w:r>
      <w:r w:rsidR="001714C6">
        <w:t>[</w:t>
      </w:r>
      <w:r w:rsidR="001714C6" w:rsidRPr="00286B87">
        <w:t>“[L]engthy delay can lead to an implicit waiver of arbitration</w:t>
      </w:r>
      <w:r w:rsidR="001714C6">
        <w:t>”].)</w:t>
      </w:r>
      <w:r w:rsidR="00D563C9">
        <w:t xml:space="preserve"> </w:t>
      </w:r>
      <w:r w:rsidR="00E622EE">
        <w:t xml:space="preserve"> </w:t>
      </w:r>
    </w:p>
    <w:p w14:paraId="412CFE3E" w14:textId="0254F919" w:rsidR="00386573" w:rsidRDefault="00C06150" w:rsidP="00B16635">
      <w:pPr>
        <w:widowControl w:val="0"/>
        <w:contextualSpacing/>
      </w:pPr>
      <w:r>
        <w:tab/>
      </w:r>
      <w:r w:rsidR="006C33A3">
        <w:t xml:space="preserve">Shiekh, as it did below, attempts to justify its delay on three bases:  its </w:t>
      </w:r>
      <w:r w:rsidR="00F416B8">
        <w:t>lack of counsel for several months during the case, pandemic-related reductions in court operations, and the status of its co-defendant Ensuncho as “the primary target” of Davis’s claims up until</w:t>
      </w:r>
      <w:r w:rsidR="00642B23">
        <w:t xml:space="preserve"> his</w:t>
      </w:r>
      <w:r w:rsidR="00F416B8">
        <w:t xml:space="preserve"> dismissal from the case. </w:t>
      </w:r>
      <w:r w:rsidR="00386573">
        <w:t xml:space="preserve"> The trial court expressly rejected the first two, stating:  “Attempting to excuse its delay, </w:t>
      </w:r>
      <w:r w:rsidR="00155268">
        <w:t xml:space="preserve">[Shiekh] </w:t>
      </w:r>
      <w:r w:rsidR="00386573">
        <w:t xml:space="preserve">says its first counsel ‘substituted out’ in January 2020, but does not explain the preceding months or why it delayed in retaining new counsel.  </w:t>
      </w:r>
      <w:r w:rsidR="00155268">
        <w:t>[Shiekh]</w:t>
      </w:r>
      <w:r w:rsidR="00386573">
        <w:t xml:space="preserve"> also notes that ‘non-essential court operations’ paused from Ma</w:t>
      </w:r>
      <w:r w:rsidR="000E0819">
        <w:t>rch</w:t>
      </w:r>
      <w:r w:rsidR="00386573">
        <w:t xml:space="preserve"> 16 to June 1, 2020.  However, this case is in the pre-trial phrase and this court’s law and motion department was deciding motions throughout, so the court cannot be blamed for</w:t>
      </w:r>
      <w:r w:rsidR="0080059F">
        <w:t xml:space="preserve"> [Shiekh’s]</w:t>
      </w:r>
      <w:r w:rsidR="00386573">
        <w:t xml:space="preserve"> delay.”  Shiekh does not dispute the</w:t>
      </w:r>
      <w:r w:rsidR="00097453">
        <w:t xml:space="preserve"> court’s </w:t>
      </w:r>
      <w:r w:rsidR="00386573">
        <w:t>findings.</w:t>
      </w:r>
      <w:r w:rsidR="00097453">
        <w:t xml:space="preserve"> </w:t>
      </w:r>
      <w:r w:rsidR="00386573">
        <w:t xml:space="preserve"> </w:t>
      </w:r>
    </w:p>
    <w:p w14:paraId="19E9C63B" w14:textId="25D20B92" w:rsidR="004B7C4D" w:rsidRDefault="00386573" w:rsidP="00B16635">
      <w:pPr>
        <w:widowControl w:val="0"/>
        <w:contextualSpacing/>
      </w:pPr>
      <w:r>
        <w:tab/>
      </w:r>
      <w:r w:rsidR="00F904D3">
        <w:t xml:space="preserve">Shiekh’s third proffered explanation for its delay in seeking arbitration—that Ensuncho </w:t>
      </w:r>
      <w:r w:rsidR="00770076">
        <w:t xml:space="preserve">seemed to be the </w:t>
      </w:r>
      <w:r w:rsidR="00F904D3">
        <w:t xml:space="preserve">“primary target” of Davis’s complaint—is </w:t>
      </w:r>
      <w:r w:rsidR="007E273E">
        <w:t>specious</w:t>
      </w:r>
      <w:r w:rsidR="00F904D3">
        <w:t xml:space="preserve">.  </w:t>
      </w:r>
      <w:r w:rsidR="006E638B">
        <w:t>Although t</w:t>
      </w:r>
      <w:r w:rsidR="00F904D3">
        <w:t xml:space="preserve">he court did not expressly address this </w:t>
      </w:r>
      <w:r w:rsidR="00A261AD">
        <w:t>explanation</w:t>
      </w:r>
      <w:r w:rsidR="00F904D3">
        <w:t xml:space="preserve">, which Shiekh raised in its motion, we may infer from the court’s denial of the motion that it rejected the </w:t>
      </w:r>
      <w:r w:rsidR="006F7BC1">
        <w:t>explanation</w:t>
      </w:r>
      <w:r w:rsidR="00F904D3">
        <w:t>.  Th</w:t>
      </w:r>
      <w:r w:rsidR="006F7BC1">
        <w:t>e court’s</w:t>
      </w:r>
      <w:r w:rsidR="00F904D3">
        <w:t xml:space="preserve"> implied finding is supported by the record.  </w:t>
      </w:r>
      <w:r w:rsidR="00F463FC">
        <w:t xml:space="preserve">Only one claim in the complaint—sexual harassment in violation of FEHA—is </w:t>
      </w:r>
      <w:r w:rsidR="005D3211">
        <w:t>alleged</w:t>
      </w:r>
      <w:r w:rsidR="00F463FC">
        <w:t xml:space="preserve"> against Ensuncho.  </w:t>
      </w:r>
      <w:r w:rsidR="005D3211">
        <w:t>E</w:t>
      </w:r>
      <w:r w:rsidR="00AE541D">
        <w:t xml:space="preserve">very </w:t>
      </w:r>
      <w:r w:rsidR="00D158F2">
        <w:t xml:space="preserve">cause of action and </w:t>
      </w:r>
      <w:r w:rsidR="005D3211">
        <w:t xml:space="preserve">its </w:t>
      </w:r>
      <w:r w:rsidR="00D158F2">
        <w:t>subparts</w:t>
      </w:r>
      <w:r w:rsidR="00F463FC">
        <w:t>,</w:t>
      </w:r>
      <w:r w:rsidR="00D158F2">
        <w:t xml:space="preserve"> </w:t>
      </w:r>
      <w:r w:rsidR="005D3211">
        <w:t>including the sexual harassment claim</w:t>
      </w:r>
      <w:r w:rsidR="00AE541D">
        <w:t>,</w:t>
      </w:r>
      <w:r w:rsidR="00D158F2">
        <w:t xml:space="preserve"> </w:t>
      </w:r>
      <w:r w:rsidR="008E3767">
        <w:t xml:space="preserve">is </w:t>
      </w:r>
      <w:r w:rsidR="00D158F2">
        <w:t xml:space="preserve">alleged against Shiekh.  </w:t>
      </w:r>
      <w:r w:rsidR="00F904D3">
        <w:t xml:space="preserve">It is thus neither supported nor reasonable for Shiekh to claim that Ensuncho was the “primary target” of Davis’s claims. </w:t>
      </w:r>
      <w:r w:rsidR="003932B8">
        <w:t xml:space="preserve"> </w:t>
      </w:r>
      <w:r w:rsidR="00F904D3">
        <w:t xml:space="preserve"> </w:t>
      </w:r>
    </w:p>
    <w:p w14:paraId="6326E2C1" w14:textId="15211098" w:rsidR="00BB189D" w:rsidRDefault="004B7C4D" w:rsidP="00B16635">
      <w:pPr>
        <w:widowControl w:val="0"/>
        <w:contextualSpacing/>
      </w:pPr>
      <w:r>
        <w:tab/>
      </w:r>
      <w:r w:rsidR="00C03249">
        <w:t>Even accepting Shiekh’s belief that</w:t>
      </w:r>
      <w:r w:rsidR="006776BA">
        <w:t xml:space="preserve"> Ensuncho was the primary target</w:t>
      </w:r>
      <w:r w:rsidR="00C14FE8">
        <w:t xml:space="preserve"> of </w:t>
      </w:r>
      <w:r w:rsidR="00C03249">
        <w:t>Davis’s claims</w:t>
      </w:r>
      <w:r w:rsidR="006776BA">
        <w:t xml:space="preserve">, </w:t>
      </w:r>
      <w:r w:rsidR="00C03249">
        <w:t xml:space="preserve">we are not required to draw the inference Shiekh wishes.  </w:t>
      </w:r>
      <w:r w:rsidR="00C03249">
        <w:lastRenderedPageBreak/>
        <w:t xml:space="preserve">That is, it appears Shiekh asks us to infer that </w:t>
      </w:r>
      <w:r w:rsidR="009635EE">
        <w:t xml:space="preserve">because </w:t>
      </w:r>
      <w:r w:rsidR="00914A1B">
        <w:t>Ensuncho</w:t>
      </w:r>
      <w:r w:rsidR="00551B91">
        <w:t xml:space="preserve"> </w:t>
      </w:r>
      <w:r w:rsidR="009635EE">
        <w:t xml:space="preserve">was the </w:t>
      </w:r>
      <w:r w:rsidR="00551B91">
        <w:t>main defendant in the case</w:t>
      </w:r>
      <w:r w:rsidR="004F4E26">
        <w:t>, then Shiekh</w:t>
      </w:r>
      <w:r>
        <w:t xml:space="preserve"> had no reason to, and </w:t>
      </w:r>
      <w:r w:rsidR="00FC2755">
        <w:t xml:space="preserve">thus </w:t>
      </w:r>
      <w:r>
        <w:t xml:space="preserve">did not, actively participate in the litigation.  </w:t>
      </w:r>
      <w:r w:rsidR="00AF1334">
        <w:t xml:space="preserve">However, </w:t>
      </w:r>
      <w:r w:rsidR="00496215">
        <w:t>one could also infer</w:t>
      </w:r>
      <w:r w:rsidR="00C03249">
        <w:t xml:space="preserve"> that </w:t>
      </w:r>
      <w:r w:rsidR="00552FF5">
        <w:t xml:space="preserve">Shiekh’s </w:t>
      </w:r>
      <w:r>
        <w:t xml:space="preserve">explanation amounts to </w:t>
      </w:r>
      <w:r w:rsidR="00552FF5">
        <w:t>it</w:t>
      </w:r>
      <w:r>
        <w:t xml:space="preserve"> saying that it wanted to see how the case would proceed vis-à-vis Davis and Ensuncho before deciding whether </w:t>
      </w:r>
      <w:r w:rsidR="00964200">
        <w:t>it</w:t>
      </w:r>
      <w:r>
        <w:t xml:space="preserve"> would be better off in arbitration.  (Cf. </w:t>
      </w:r>
      <w:r>
        <w:rPr>
          <w:i/>
          <w:iCs/>
        </w:rPr>
        <w:t>Cabinetree</w:t>
      </w:r>
      <w:r>
        <w:t xml:space="preserve"> </w:t>
      </w:r>
      <w:r>
        <w:rPr>
          <w:i/>
          <w:iCs/>
        </w:rPr>
        <w:t xml:space="preserve">of Wisconsin v. Kraftmaid Cabinetry </w:t>
      </w:r>
      <w:r>
        <w:t xml:space="preserve">(7th Cir. 1995) 50 F.3d 388, 391 [defendant’s explanation for delay of wanting to “ ‘weigh its options’ ” was “the worst possible reason for delay.  It amounts to saying that [it] wanted to see how the case was going in federal district court before deciding whether it would be better off there or in arbitration.  It wanted to play heads I win, tails you lose”].)  </w:t>
      </w:r>
      <w:r w:rsidR="00226398">
        <w:t>But e</w:t>
      </w:r>
      <w:r w:rsidR="005939DC">
        <w:t xml:space="preserve">ven if </w:t>
      </w:r>
      <w:r w:rsidR="00F86583">
        <w:t xml:space="preserve">the inference Shiekh asks us to draw </w:t>
      </w:r>
      <w:r w:rsidR="00226398">
        <w:t>were</w:t>
      </w:r>
      <w:r w:rsidR="00F86583">
        <w:t xml:space="preserve"> reasonable</w:t>
      </w:r>
      <w:r w:rsidR="005939DC">
        <w:t>, it is not one that we could make</w:t>
      </w:r>
      <w:r w:rsidR="00226398">
        <w:t>:</w:t>
      </w:r>
      <w:r w:rsidR="005939DC">
        <w:t xml:space="preserve"> </w:t>
      </w:r>
      <w:r w:rsidR="00AC0432">
        <w:t xml:space="preserve"> </w:t>
      </w:r>
      <w:r w:rsidR="00F97CAA">
        <w:t>under the applicable standard of review,</w:t>
      </w:r>
      <w:r w:rsidR="005939DC">
        <w:t xml:space="preserve"> we must draw all reasonable inferences in support of the ruling.</w:t>
      </w:r>
      <w:r w:rsidR="00C03249">
        <w:t xml:space="preserve">  </w:t>
      </w:r>
      <w:r w:rsidR="00BB189D">
        <w:t>In short,</w:t>
      </w:r>
      <w:r w:rsidR="00D02304">
        <w:t xml:space="preserve"> </w:t>
      </w:r>
      <w:r w:rsidR="00F904D3">
        <w:t xml:space="preserve">Shiekh has failed to provide a </w:t>
      </w:r>
      <w:r>
        <w:t>reasonable</w:t>
      </w:r>
      <w:r w:rsidR="00F904D3">
        <w:t xml:space="preserve"> explanation for its delay in </w:t>
      </w:r>
      <w:r w:rsidR="00A261AD">
        <w:t>demanding arbitration.</w:t>
      </w:r>
      <w:r w:rsidR="00F904D3">
        <w:t xml:space="preserve">  </w:t>
      </w:r>
    </w:p>
    <w:p w14:paraId="7F1562C1" w14:textId="1CD2EEFB" w:rsidR="00C25A22" w:rsidRDefault="00F904D3" w:rsidP="005E6474">
      <w:pPr>
        <w:widowControl w:val="0"/>
        <w:ind w:firstLine="720"/>
        <w:contextualSpacing/>
      </w:pPr>
      <w:r>
        <w:t xml:space="preserve">As courts have found, the absence of a reasonable explanation for delay </w:t>
      </w:r>
      <w:r w:rsidR="00815FBB">
        <w:t>is</w:t>
      </w:r>
      <w:r>
        <w:t xml:space="preserve"> a significant factor weighing in favor of finding waiver.  (See</w:t>
      </w:r>
      <w:r w:rsidR="00BB058D">
        <w:t xml:space="preserve"> </w:t>
      </w:r>
      <w:r>
        <w:rPr>
          <w:i/>
          <w:iCs/>
        </w:rPr>
        <w:t xml:space="preserve">Smith v. GC Services Limited Partnership </w:t>
      </w:r>
      <w:r>
        <w:t>(7th Cir. 2018) 907 F.3d 495, 499–500 [</w:t>
      </w:r>
      <w:r w:rsidR="003F567F">
        <w:t xml:space="preserve">finding </w:t>
      </w:r>
      <w:r w:rsidR="001F12FB">
        <w:t xml:space="preserve">defendant’s </w:t>
      </w:r>
      <w:r w:rsidR="000008A6">
        <w:t xml:space="preserve">“entirely </w:t>
      </w:r>
      <w:r>
        <w:t>inadequate</w:t>
      </w:r>
      <w:r w:rsidR="000008A6">
        <w:t>”</w:t>
      </w:r>
      <w:r>
        <w:t xml:space="preserve"> explanation for five-</w:t>
      </w:r>
      <w:r w:rsidR="000008A6">
        <w:t>month delay</w:t>
      </w:r>
      <w:r>
        <w:t xml:space="preserve"> </w:t>
      </w:r>
      <w:r w:rsidR="00A9498F">
        <w:t xml:space="preserve">was factor showing </w:t>
      </w:r>
      <w:r w:rsidR="001F12FB">
        <w:t>defendant acted inconsistently with right to arbitrate</w:t>
      </w:r>
      <w:r>
        <w:t xml:space="preserve">]; </w:t>
      </w:r>
      <w:r w:rsidR="00EE42E9">
        <w:t xml:space="preserve">see also </w:t>
      </w:r>
      <w:r>
        <w:rPr>
          <w:i/>
          <w:iCs/>
        </w:rPr>
        <w:t xml:space="preserve">Gray Holdco, Inc. v. Cassady </w:t>
      </w:r>
      <w:r>
        <w:t>(3d Cir. 2011) 654 F.3d 444, 455</w:t>
      </w:r>
      <w:r w:rsidR="00EE42E9">
        <w:t xml:space="preserve"> &amp; fn. 9</w:t>
      </w:r>
      <w:r>
        <w:t xml:space="preserve"> [</w:t>
      </w:r>
      <w:r w:rsidR="004B7FDE">
        <w:t>“I</w:t>
      </w:r>
      <w:r w:rsidRPr="009478D0">
        <w:t>t is significant that</w:t>
      </w:r>
      <w:r>
        <w:t xml:space="preserve"> . . .</w:t>
      </w:r>
      <w:r w:rsidRPr="009478D0">
        <w:t xml:space="preserve"> Gray offered no explanation to the District Court for its delay</w:t>
      </w:r>
      <w:r w:rsidR="005E33E0">
        <w:t xml:space="preserve"> </w:t>
      </w:r>
      <w:r w:rsidR="00C7502E" w:rsidRPr="00C7502E">
        <w:t>in waiting ten months after filing suit</w:t>
      </w:r>
      <w:r w:rsidR="00C7502E">
        <w:t xml:space="preserve"> </w:t>
      </w:r>
      <w:r>
        <w:t xml:space="preserve">. . . </w:t>
      </w:r>
      <w:r w:rsidRPr="009478D0">
        <w:t>and that it certainly has not offered such an explanation on this appeal</w:t>
      </w:r>
      <w:r>
        <w:t xml:space="preserve">”].)  </w:t>
      </w:r>
    </w:p>
    <w:p w14:paraId="2B9341CA" w14:textId="38C1BAC9" w:rsidR="00D64FE3" w:rsidRDefault="00D64FE3" w:rsidP="00B16635">
      <w:pPr>
        <w:widowControl w:val="0"/>
        <w:contextualSpacing/>
      </w:pPr>
      <w:r>
        <w:tab/>
      </w:r>
      <w:r w:rsidR="00F31DB6">
        <w:t>The record also supports th</w:t>
      </w:r>
      <w:r w:rsidR="00115790">
        <w:t xml:space="preserve">e </w:t>
      </w:r>
      <w:r w:rsidR="00F31DB6">
        <w:t>court’s finding that, on top of Shiekh’s extended period of unjustified silence,</w:t>
      </w:r>
      <w:r>
        <w:t xml:space="preserve"> Shiekh</w:t>
      </w:r>
      <w:r w:rsidR="00014D35">
        <w:t>’s conduct was</w:t>
      </w:r>
      <w:r w:rsidR="00006D4D">
        <w:t xml:space="preserve"> i</w:t>
      </w:r>
      <w:r>
        <w:t xml:space="preserve">nconsistent with its </w:t>
      </w:r>
      <w:r w:rsidR="00014D35">
        <w:t>alleged</w:t>
      </w:r>
      <w:r w:rsidR="00006D4D">
        <w:t xml:space="preserve"> </w:t>
      </w:r>
      <w:r>
        <w:t xml:space="preserve">intent to arbitrate.  </w:t>
      </w:r>
      <w:r w:rsidR="000F6C02">
        <w:t xml:space="preserve">As the court observed, </w:t>
      </w:r>
      <w:r>
        <w:t>Shiekh</w:t>
      </w:r>
      <w:r w:rsidR="00014D35">
        <w:t xml:space="preserve"> </w:t>
      </w:r>
      <w:r>
        <w:t xml:space="preserve">appeared for a </w:t>
      </w:r>
      <w:r>
        <w:lastRenderedPageBreak/>
        <w:t xml:space="preserve">case management conference, demanded a trial, gave its own estimate of the time of trial, and represented it would be participating in written discovery, depositions, and expert discovery.  </w:t>
      </w:r>
      <w:r w:rsidR="005D32C3">
        <w:t>Then</w:t>
      </w:r>
      <w:r w:rsidR="004F5A50">
        <w:t>, after the court s</w:t>
      </w:r>
      <w:r w:rsidR="003F1679">
        <w:t>cheduled a</w:t>
      </w:r>
      <w:r w:rsidR="004F5A50">
        <w:t xml:space="preserve"> jury trial, </w:t>
      </w:r>
      <w:r w:rsidR="00A85682">
        <w:t xml:space="preserve">Shiekh </w:t>
      </w:r>
      <w:r w:rsidR="00F80130">
        <w:t>engaged in</w:t>
      </w:r>
      <w:r w:rsidR="007B0B61">
        <w:t xml:space="preserve"> </w:t>
      </w:r>
      <w:r w:rsidR="001253DF">
        <w:t xml:space="preserve">rounds of </w:t>
      </w:r>
      <w:r>
        <w:t xml:space="preserve">discovery.  </w:t>
      </w:r>
      <w:r w:rsidR="002C0CCE">
        <w:t xml:space="preserve">It </w:t>
      </w:r>
      <w:r>
        <w:t>responded to</w:t>
      </w:r>
      <w:r w:rsidR="00860C82">
        <w:t xml:space="preserve"> </w:t>
      </w:r>
      <w:r>
        <w:t xml:space="preserve">multiple sets of interrogatories, </w:t>
      </w:r>
      <w:r w:rsidR="00D4000C">
        <w:t xml:space="preserve">a </w:t>
      </w:r>
      <w:r>
        <w:t xml:space="preserve">request for admissions, and </w:t>
      </w:r>
      <w:r w:rsidR="00D4000C">
        <w:t xml:space="preserve">a </w:t>
      </w:r>
      <w:r>
        <w:t xml:space="preserve">demand for productions of documents, met and conferred on those responses, and then supplemented them.  Although </w:t>
      </w:r>
      <w:r w:rsidR="007B0B61">
        <w:t xml:space="preserve">Shiekh </w:t>
      </w:r>
      <w:r>
        <w:t xml:space="preserve">objected to the discovery on a variety of grounds, </w:t>
      </w:r>
      <w:r w:rsidR="007B0B61">
        <w:t xml:space="preserve">it </w:t>
      </w:r>
      <w:r>
        <w:t xml:space="preserve">never once suggested that discovery should be barred because the case had to be arbitrated.   </w:t>
      </w:r>
    </w:p>
    <w:p w14:paraId="295FA88D" w14:textId="35ED3845" w:rsidR="008A6B66" w:rsidRDefault="00D64FE3" w:rsidP="00B16635">
      <w:pPr>
        <w:widowControl w:val="0"/>
        <w:contextualSpacing/>
      </w:pPr>
      <w:r>
        <w:tab/>
      </w:r>
      <w:r w:rsidR="00CC71B9">
        <w:t xml:space="preserve">Shiekh’s silence </w:t>
      </w:r>
      <w:r w:rsidR="00ED2203">
        <w:t>persisted in other aspects of the case</w:t>
      </w:r>
      <w:r w:rsidR="00CC71B9">
        <w:t>, as</w:t>
      </w:r>
      <w:r>
        <w:t xml:space="preserve"> it failed to respond to or join in Ensuncho’s motion for a stay of proceedings.  </w:t>
      </w:r>
      <w:r w:rsidR="00DD48B1">
        <w:t>Shiekh also did not</w:t>
      </w:r>
      <w:r>
        <w:t xml:space="preserve"> oppose Davis’s multiple requests to continue trial.  In</w:t>
      </w:r>
      <w:r w:rsidR="00DE3B9D">
        <w:t xml:space="preserve"> fact</w:t>
      </w:r>
      <w:r>
        <w:t>, Davis</w:t>
      </w:r>
      <w:r w:rsidR="00B33448">
        <w:t xml:space="preserve">’s </w:t>
      </w:r>
      <w:r w:rsidR="008904DE">
        <w:t>latest</w:t>
      </w:r>
      <w:r w:rsidR="00B33448">
        <w:t xml:space="preserve"> </w:t>
      </w:r>
      <w:r w:rsidR="00644175">
        <w:t>request</w:t>
      </w:r>
      <w:r w:rsidR="0081312C">
        <w:t xml:space="preserve"> </w:t>
      </w:r>
      <w:r w:rsidR="00B33448">
        <w:t>for a trial continuance</w:t>
      </w:r>
      <w:r w:rsidR="00270B32">
        <w:t xml:space="preserve"> </w:t>
      </w:r>
      <w:r w:rsidR="007A0AF2">
        <w:t>attached a</w:t>
      </w:r>
      <w:r>
        <w:t xml:space="preserve"> stipulation between Davis and Shiekh</w:t>
      </w:r>
      <w:r w:rsidR="00C2282A">
        <w:t xml:space="preserve">.  </w:t>
      </w:r>
      <w:r w:rsidR="00E91D3C">
        <w:t>That</w:t>
      </w:r>
      <w:r w:rsidR="00C2282A">
        <w:t xml:space="preserve"> stipulation</w:t>
      </w:r>
      <w:r>
        <w:t xml:space="preserve"> </w:t>
      </w:r>
      <w:r w:rsidR="00C2282A">
        <w:t>stated</w:t>
      </w:r>
      <w:r>
        <w:t xml:space="preserve"> Shiekh’s counsel “require[d] additional time to complete necessary discovery and prepare for trial” and “the Parties have agreed to an extension of the trial date and related deadlines in order to complete discovery in this matter, as well as allow time to address and resolve any potential disputes.”  </w:t>
      </w:r>
      <w:r w:rsidR="00FE4DB0">
        <w:t>This was an affirmative averment that Shiekh</w:t>
      </w:r>
      <w:r>
        <w:t xml:space="preserve"> intended to proceed to trial on the merits and that </w:t>
      </w:r>
      <w:r w:rsidR="00C8506C">
        <w:t>the court should structure the case accordingly</w:t>
      </w:r>
      <w:r>
        <w:t xml:space="preserve">.  </w:t>
      </w:r>
      <w:r w:rsidR="00533E8B">
        <w:t>Although</w:t>
      </w:r>
      <w:r w:rsidR="00C8506C">
        <w:t xml:space="preserve"> </w:t>
      </w:r>
      <w:r w:rsidR="008D160B">
        <w:t>i</w:t>
      </w:r>
      <w:r w:rsidR="0062240B">
        <w:t>t</w:t>
      </w:r>
      <w:r w:rsidR="0062240B" w:rsidRPr="007C0709">
        <w:t xml:space="preserve"> would not have been imprudent for </w:t>
      </w:r>
      <w:r w:rsidR="0062240B">
        <w:t>Shiekh</w:t>
      </w:r>
      <w:r w:rsidR="0062240B" w:rsidRPr="007C0709">
        <w:t xml:space="preserve"> to preserve its right to a jury trial </w:t>
      </w:r>
      <w:r w:rsidR="0062240B">
        <w:t xml:space="preserve">and </w:t>
      </w:r>
      <w:r w:rsidR="00E22109">
        <w:t xml:space="preserve">ability to conduct </w:t>
      </w:r>
      <w:r w:rsidR="0062240B">
        <w:t xml:space="preserve">discovery </w:t>
      </w:r>
      <w:r w:rsidR="0062240B" w:rsidRPr="007C0709">
        <w:t xml:space="preserve">in the event its </w:t>
      </w:r>
      <w:r w:rsidR="00E22109">
        <w:t xml:space="preserve">motion </w:t>
      </w:r>
      <w:r w:rsidR="0062240B" w:rsidRPr="007C0709">
        <w:t xml:space="preserve">proved unsuccessful, </w:t>
      </w:r>
      <w:r w:rsidR="00533E8B">
        <w:t>it did so without making</w:t>
      </w:r>
      <w:r w:rsidR="00533E8B" w:rsidRPr="007C0709">
        <w:t xml:space="preserve"> known </w:t>
      </w:r>
      <w:r w:rsidR="00376253">
        <w:t>to the court</w:t>
      </w:r>
      <w:r w:rsidR="00376253" w:rsidRPr="007C0709">
        <w:t xml:space="preserve"> </w:t>
      </w:r>
      <w:r w:rsidR="00533E8B" w:rsidRPr="007C0709">
        <w:t>its intent to seek arbitration</w:t>
      </w:r>
      <w:r w:rsidR="005F0718">
        <w:t>.</w:t>
      </w:r>
      <w:r w:rsidR="00533E8B" w:rsidRPr="007C0709">
        <w:t xml:space="preserve"> </w:t>
      </w:r>
      <w:r w:rsidR="00533E8B">
        <w:t xml:space="preserve"> The </w:t>
      </w:r>
      <w:r w:rsidR="00533E8B" w:rsidRPr="007C0709">
        <w:t xml:space="preserve">act of preserving </w:t>
      </w:r>
      <w:r w:rsidR="00533E8B">
        <w:t xml:space="preserve">its rights to a jury trial and discovery </w:t>
      </w:r>
      <w:r w:rsidR="00533E8B" w:rsidRPr="007C0709">
        <w:t xml:space="preserve">while remaining silent on </w:t>
      </w:r>
      <w:r w:rsidR="00533E8B">
        <w:t>arbitrat</w:t>
      </w:r>
      <w:r w:rsidR="00D35E81">
        <w:t>ion</w:t>
      </w:r>
      <w:r w:rsidR="00533E8B">
        <w:t xml:space="preserve"> </w:t>
      </w:r>
      <w:r w:rsidR="00533E8B" w:rsidRPr="007C0709">
        <w:t>was inconsistent with a right to arbitrate.</w:t>
      </w:r>
      <w:r w:rsidR="00533E8B">
        <w:t xml:space="preserve">   </w:t>
      </w:r>
    </w:p>
    <w:p w14:paraId="2BFE86FC" w14:textId="707A7A0A" w:rsidR="00447301" w:rsidRDefault="008A6B66" w:rsidP="00B16635">
      <w:pPr>
        <w:widowControl w:val="0"/>
        <w:contextualSpacing/>
      </w:pPr>
      <w:r>
        <w:tab/>
      </w:r>
      <w:r w:rsidR="00221D26">
        <w:t>I</w:t>
      </w:r>
      <w:r w:rsidR="005739D5">
        <w:t xml:space="preserve">n light of Shiekh’s </w:t>
      </w:r>
      <w:r w:rsidR="00DC6997">
        <w:t>nearly</w:t>
      </w:r>
      <w:r w:rsidR="00741BEF">
        <w:t xml:space="preserve"> one</w:t>
      </w:r>
      <w:r w:rsidR="005739D5">
        <w:t>-and-a-half</w:t>
      </w:r>
      <w:r w:rsidR="00493191">
        <w:t>-year</w:t>
      </w:r>
      <w:r w:rsidR="005739D5">
        <w:t xml:space="preserve"> delay in </w:t>
      </w:r>
      <w:r w:rsidR="00C33F58">
        <w:t>moving</w:t>
      </w:r>
      <w:r w:rsidR="005739D5">
        <w:t xml:space="preserve"> to compel arbitration, request for trial, active participation in discovery, </w:t>
      </w:r>
      <w:r w:rsidR="005739D5">
        <w:lastRenderedPageBreak/>
        <w:t xml:space="preserve">acquiescence to the trial and discovery schedule, and court appearances, the trial court had ample evidence from which to conclude Shiekh’s actions were inconsistent with an intent to arbitrate.  </w:t>
      </w:r>
      <w:r w:rsidR="00AC2C00">
        <w:t>Indeed, o</w:t>
      </w:r>
      <w:r>
        <w:t xml:space="preserve">ther courts have found that </w:t>
      </w:r>
      <w:r w:rsidR="00C516F3">
        <w:t>similar</w:t>
      </w:r>
      <w:r>
        <w:t xml:space="preserve">, </w:t>
      </w:r>
      <w:r w:rsidR="005D1123">
        <w:t>or</w:t>
      </w:r>
      <w:r>
        <w:t xml:space="preserve"> even shorter, periods of delay</w:t>
      </w:r>
      <w:r w:rsidR="00BA36EC">
        <w:t xml:space="preserve">, and </w:t>
      </w:r>
      <w:r w:rsidR="00C516F3">
        <w:t xml:space="preserve">comparable </w:t>
      </w:r>
      <w:r>
        <w:t>litigation activity</w:t>
      </w:r>
      <w:r w:rsidR="00BA36EC">
        <w:t>,</w:t>
      </w:r>
      <w:r>
        <w:t xml:space="preserve"> were sufficient to justify a waiver of arbitration.  (See</w:t>
      </w:r>
      <w:r w:rsidR="005739D5">
        <w:t>, e.g.,</w:t>
      </w:r>
      <w:r>
        <w:t xml:space="preserve"> </w:t>
      </w:r>
      <w:r w:rsidR="00892357">
        <w:rPr>
          <w:i/>
          <w:iCs/>
        </w:rPr>
        <w:t>Cabinetree</w:t>
      </w:r>
      <w:r w:rsidR="00892357">
        <w:t xml:space="preserve"> </w:t>
      </w:r>
      <w:r w:rsidR="00892357">
        <w:rPr>
          <w:i/>
          <w:iCs/>
        </w:rPr>
        <w:t>of Wisconsin v. Kraftmaid Cabinetry</w:t>
      </w:r>
      <w:r>
        <w:t xml:space="preserve">, </w:t>
      </w:r>
      <w:r w:rsidRPr="000D36EB">
        <w:rPr>
          <w:i/>
          <w:iCs/>
        </w:rPr>
        <w:t>supra</w:t>
      </w:r>
      <w:r>
        <w:t xml:space="preserve">, </w:t>
      </w:r>
      <w:r w:rsidRPr="000D36EB">
        <w:t>50</w:t>
      </w:r>
      <w:r>
        <w:t xml:space="preserve"> F.3d at pp. 3</w:t>
      </w:r>
      <w:r w:rsidR="008E7ACE">
        <w:t>89</w:t>
      </w:r>
      <w:r>
        <w:t>–391 [</w:t>
      </w:r>
      <w:r w:rsidR="00BA36EC">
        <w:t xml:space="preserve">trial date was set and </w:t>
      </w:r>
      <w:r>
        <w:t>discovery proceeded</w:t>
      </w:r>
      <w:r w:rsidR="00BA36EC">
        <w:t xml:space="preserve"> before defendant “dropped a bombshell into the proceedings”</w:t>
      </w:r>
      <w:r w:rsidR="00C06BDE">
        <w:t xml:space="preserve"> by moving to stay nine</w:t>
      </w:r>
      <w:r w:rsidR="00BA36EC">
        <w:t xml:space="preserve"> months after lawsuit filed]</w:t>
      </w:r>
      <w:r w:rsidR="005739D5">
        <w:t xml:space="preserve">; </w:t>
      </w:r>
      <w:r w:rsidR="005739D5">
        <w:rPr>
          <w:i/>
          <w:iCs/>
        </w:rPr>
        <w:t>U</w:t>
      </w:r>
      <w:r w:rsidR="00A65D18">
        <w:rPr>
          <w:i/>
          <w:iCs/>
        </w:rPr>
        <w:t>nited States</w:t>
      </w:r>
      <w:r w:rsidR="005739D5">
        <w:rPr>
          <w:i/>
          <w:iCs/>
        </w:rPr>
        <w:t xml:space="preserve"> for </w:t>
      </w:r>
      <w:r w:rsidR="005B3468">
        <w:rPr>
          <w:i/>
          <w:iCs/>
        </w:rPr>
        <w:t xml:space="preserve">the </w:t>
      </w:r>
      <w:r w:rsidR="005739D5">
        <w:rPr>
          <w:i/>
          <w:iCs/>
        </w:rPr>
        <w:t xml:space="preserve">Use of Duo Metal </w:t>
      </w:r>
      <w:r w:rsidR="00B77758">
        <w:rPr>
          <w:i/>
          <w:iCs/>
        </w:rPr>
        <w:t>&amp;</w:t>
      </w:r>
      <w:r w:rsidR="005739D5">
        <w:rPr>
          <w:i/>
          <w:iCs/>
        </w:rPr>
        <w:t xml:space="preserve"> Iron Works, Inc. v. S.T.C. Constr</w:t>
      </w:r>
      <w:r w:rsidR="005B3468">
        <w:rPr>
          <w:i/>
          <w:iCs/>
        </w:rPr>
        <w:t>uction</w:t>
      </w:r>
      <w:r w:rsidR="005739D5">
        <w:rPr>
          <w:i/>
          <w:iCs/>
        </w:rPr>
        <w:t xml:space="preserve"> Co. </w:t>
      </w:r>
      <w:r w:rsidR="005739D5">
        <w:t xml:space="preserve">(E.D.Penn. 1979) 472 F.Supp. 1023, 1025 [19-month delay; defendant answered interrogatories propounded by other parties and produced documents, conducted a deposition, and </w:t>
      </w:r>
      <w:r w:rsidR="008E22D0">
        <w:t>attended</w:t>
      </w:r>
      <w:r w:rsidR="005739D5">
        <w:t xml:space="preserve"> pretrial conferences].)  </w:t>
      </w:r>
    </w:p>
    <w:p w14:paraId="0C32D68E" w14:textId="7468BE25" w:rsidR="00D23CE1" w:rsidRDefault="00687C1D" w:rsidP="00B16635">
      <w:pPr>
        <w:widowControl w:val="0"/>
        <w:ind w:firstLine="720"/>
        <w:contextualSpacing/>
      </w:pPr>
      <w:r>
        <w:t xml:space="preserve">Despite all of this, </w:t>
      </w:r>
      <w:r w:rsidR="005F304D">
        <w:t xml:space="preserve">relying on several Ninth Circuit cases, </w:t>
      </w:r>
      <w:r>
        <w:t xml:space="preserve">Shiekh </w:t>
      </w:r>
      <w:r w:rsidR="00287E35">
        <w:t>contends it has never acted inconsistently with its right to arbitrate</w:t>
      </w:r>
      <w:r w:rsidR="00DB1331">
        <w:t>.</w:t>
      </w:r>
      <w:r w:rsidR="006526E7">
        <w:t xml:space="preserve"> </w:t>
      </w:r>
      <w:r w:rsidR="00DB1331">
        <w:t xml:space="preserve"> </w:t>
      </w:r>
      <w:r w:rsidR="004D5A88">
        <w:t xml:space="preserve">None is availing.  </w:t>
      </w:r>
      <w:r w:rsidR="00DB1331">
        <w:t xml:space="preserve">For example, </w:t>
      </w:r>
      <w:r w:rsidR="00F17FAE">
        <w:t>Shiekh</w:t>
      </w:r>
      <w:r w:rsidR="00DB1331">
        <w:t xml:space="preserve"> cites </w:t>
      </w:r>
      <w:r w:rsidR="00675531">
        <w:rPr>
          <w:i/>
          <w:iCs/>
        </w:rPr>
        <w:t xml:space="preserve">Britton v. Co-op Banking Group </w:t>
      </w:r>
      <w:r w:rsidR="00675531">
        <w:t>(9th Cir. 1990) 916 F.2d 1405 (</w:t>
      </w:r>
      <w:r w:rsidR="00675531" w:rsidRPr="005531BB">
        <w:rPr>
          <w:i/>
          <w:iCs/>
        </w:rPr>
        <w:t>Britton</w:t>
      </w:r>
      <w:r w:rsidR="00675531">
        <w:t>)</w:t>
      </w:r>
      <w:r w:rsidR="00DB1331">
        <w:t xml:space="preserve">, in which </w:t>
      </w:r>
      <w:r w:rsidR="00675531">
        <w:t xml:space="preserve">the </w:t>
      </w:r>
      <w:r w:rsidR="00675531" w:rsidRPr="005531BB">
        <w:t>Ninth</w:t>
      </w:r>
      <w:r w:rsidR="00675531">
        <w:t xml:space="preserve"> Circuit reversed the district court’s waiver finding in part because the defendant’s pre-trial actions—his resistance to discovery requests, pursuit of a court-appointed attorney, and application for in forma pauperis status—were </w:t>
      </w:r>
      <w:proofErr w:type="gramStart"/>
      <w:r w:rsidR="00675531">
        <w:t>not inconsistent</w:t>
      </w:r>
      <w:proofErr w:type="gramEnd"/>
      <w:r w:rsidR="00675531">
        <w:t xml:space="preserve"> with his pursuit of arbitration.  (</w:t>
      </w:r>
      <w:r w:rsidR="00675531">
        <w:rPr>
          <w:i/>
          <w:iCs/>
        </w:rPr>
        <w:t>Id.</w:t>
      </w:r>
      <w:r w:rsidR="00675531">
        <w:t xml:space="preserve"> at p. 1413.)  Such actions, the appellate court held, reflected </w:t>
      </w:r>
      <w:r w:rsidR="00675531" w:rsidRPr="00E8463A">
        <w:t>only a “determination to avoid or frustrate the litigation” rather than a strategic decision to “active[ly] litigat[e]</w:t>
      </w:r>
      <w:r w:rsidR="004B2CE0">
        <w:t>.</w:t>
      </w:r>
      <w:r w:rsidR="00675531" w:rsidRPr="00E8463A">
        <w:t xml:space="preserve">” </w:t>
      </w:r>
      <w:r w:rsidR="004B2CE0">
        <w:t xml:space="preserve"> </w:t>
      </w:r>
      <w:r w:rsidR="00675531">
        <w:t>(</w:t>
      </w:r>
      <w:r w:rsidR="00675531">
        <w:rPr>
          <w:i/>
          <w:iCs/>
        </w:rPr>
        <w:t>Ibid.</w:t>
      </w:r>
      <w:r w:rsidR="00675531">
        <w:t xml:space="preserve">)  </w:t>
      </w:r>
      <w:r w:rsidR="00675531">
        <w:rPr>
          <w:i/>
          <w:iCs/>
        </w:rPr>
        <w:t xml:space="preserve">Britton </w:t>
      </w:r>
      <w:r w:rsidR="00AE60D4">
        <w:t>does not assist Shiekh.</w:t>
      </w:r>
      <w:r w:rsidR="00675531">
        <w:t xml:space="preserve">  </w:t>
      </w:r>
      <w:r w:rsidR="00E17B0D">
        <w:t>Shiekh, u</w:t>
      </w:r>
      <w:r w:rsidR="00675531">
        <w:t xml:space="preserve">nlike the defendant in </w:t>
      </w:r>
      <w:r w:rsidR="00675531">
        <w:rPr>
          <w:i/>
          <w:iCs/>
        </w:rPr>
        <w:t>Britton</w:t>
      </w:r>
      <w:r w:rsidR="00675531">
        <w:t xml:space="preserve">, did not resist the litigation; it voluntarily acceded to it by, for </w:t>
      </w:r>
      <w:r w:rsidR="001C11AE">
        <w:t>instance</w:t>
      </w:r>
      <w:r w:rsidR="00675531">
        <w:t xml:space="preserve">, </w:t>
      </w:r>
      <w:r w:rsidR="00E70E57">
        <w:t>engaging in rounds of</w:t>
      </w:r>
      <w:r w:rsidR="00675531">
        <w:t xml:space="preserve"> discovery and requesting a trial</w:t>
      </w:r>
      <w:r w:rsidR="0026525A">
        <w:t xml:space="preserve">. </w:t>
      </w:r>
      <w:r w:rsidR="00EF0235">
        <w:t xml:space="preserve"> </w:t>
      </w:r>
      <w:r w:rsidR="0026525A">
        <w:t xml:space="preserve"> </w:t>
      </w:r>
    </w:p>
    <w:p w14:paraId="37DE0A27" w14:textId="208D3DBF" w:rsidR="00996452" w:rsidRDefault="00675531" w:rsidP="00B16635">
      <w:pPr>
        <w:widowControl w:val="0"/>
        <w:contextualSpacing/>
      </w:pPr>
      <w:r>
        <w:tab/>
      </w:r>
      <w:r w:rsidR="00A94FE7">
        <w:t xml:space="preserve">Shiekh </w:t>
      </w:r>
      <w:r w:rsidR="00220B4F">
        <w:t>also</w:t>
      </w:r>
      <w:r w:rsidR="00A94FE7">
        <w:t xml:space="preserve"> cites </w:t>
      </w:r>
      <w:r w:rsidR="00BB487B">
        <w:rPr>
          <w:i/>
          <w:iCs/>
        </w:rPr>
        <w:t xml:space="preserve">Newirth v. Aegis Senior Communities, LLC </w:t>
      </w:r>
      <w:r w:rsidR="00BB487B">
        <w:t>(9th Cir. 2019) 931 F.3d 935 (</w:t>
      </w:r>
      <w:r w:rsidR="00BB487B">
        <w:rPr>
          <w:i/>
          <w:iCs/>
        </w:rPr>
        <w:t>Newirth</w:t>
      </w:r>
      <w:r w:rsidR="00BB487B">
        <w:t>)</w:t>
      </w:r>
      <w:r w:rsidR="00483170">
        <w:t>,</w:t>
      </w:r>
      <w:r w:rsidR="007460E7">
        <w:t xml:space="preserve"> </w:t>
      </w:r>
      <w:r w:rsidR="007460E7" w:rsidRPr="008433F8">
        <w:rPr>
          <w:i/>
          <w:iCs/>
        </w:rPr>
        <w:t>Martin</w:t>
      </w:r>
      <w:r w:rsidR="007460E7">
        <w:t xml:space="preserve"> </w:t>
      </w:r>
      <w:r w:rsidR="007460E7">
        <w:rPr>
          <w:i/>
          <w:iCs/>
        </w:rPr>
        <w:t xml:space="preserve">v. Yasuda </w:t>
      </w:r>
      <w:r w:rsidR="007460E7">
        <w:t xml:space="preserve">(9th Cir. 2016) 829 F.3d </w:t>
      </w:r>
      <w:r w:rsidR="007460E7">
        <w:lastRenderedPageBreak/>
        <w:t>1118 (</w:t>
      </w:r>
      <w:r w:rsidR="007460E7">
        <w:rPr>
          <w:i/>
          <w:iCs/>
        </w:rPr>
        <w:t>Martin</w:t>
      </w:r>
      <w:r w:rsidR="007460E7">
        <w:t>)</w:t>
      </w:r>
      <w:r w:rsidR="00483170">
        <w:t xml:space="preserve">, and </w:t>
      </w:r>
      <w:r w:rsidR="00996452">
        <w:rPr>
          <w:i/>
          <w:iCs/>
        </w:rPr>
        <w:t xml:space="preserve">Morvant v. P.F. Chang’s China Bistro, Inc. </w:t>
      </w:r>
      <w:r w:rsidR="00996452">
        <w:t>(N.D.Cal. 2012) 870 F.Supp.2d 831 (</w:t>
      </w:r>
      <w:r w:rsidR="00996452">
        <w:rPr>
          <w:i/>
          <w:iCs/>
        </w:rPr>
        <w:t>Morvant</w:t>
      </w:r>
      <w:r w:rsidR="00996452">
        <w:t>).</w:t>
      </w:r>
      <w:r w:rsidR="007460E7">
        <w:t xml:space="preserve">  In </w:t>
      </w:r>
      <w:r w:rsidR="007460E7" w:rsidRPr="005802DF">
        <w:rPr>
          <w:i/>
          <w:iCs/>
        </w:rPr>
        <w:t>Newirth</w:t>
      </w:r>
      <w:r w:rsidR="007460E7">
        <w:t xml:space="preserve"> </w:t>
      </w:r>
      <w:r w:rsidR="007460E7" w:rsidRPr="005802DF">
        <w:t>the</w:t>
      </w:r>
      <w:r w:rsidR="007460E7">
        <w:t xml:space="preserve"> defendant filed a motion to compel arbitration and a motion to dismiss, but then withdrew those motions.  (</w:t>
      </w:r>
      <w:r w:rsidR="00A974A0">
        <w:rPr>
          <w:i/>
          <w:iCs/>
        </w:rPr>
        <w:t>Newirth</w:t>
      </w:r>
      <w:r w:rsidR="00A974A0">
        <w:rPr>
          <w:iCs/>
        </w:rPr>
        <w:t xml:space="preserve">, </w:t>
      </w:r>
      <w:r w:rsidR="00A974A0">
        <w:rPr>
          <w:i/>
          <w:iCs/>
        </w:rPr>
        <w:t>supra</w:t>
      </w:r>
      <w:r w:rsidR="00A974A0">
        <w:rPr>
          <w:iCs/>
        </w:rPr>
        <w:t>, 931 F.3d</w:t>
      </w:r>
      <w:r w:rsidR="007460E7" w:rsidRPr="009A03B5">
        <w:t xml:space="preserve"> at </w:t>
      </w:r>
      <w:r w:rsidR="007460E7">
        <w:t xml:space="preserve">pp. </w:t>
      </w:r>
      <w:r w:rsidR="007460E7" w:rsidRPr="009A03B5">
        <w:t>938</w:t>
      </w:r>
      <w:r w:rsidR="007460E7">
        <w:t>–9</w:t>
      </w:r>
      <w:r w:rsidR="007460E7" w:rsidRPr="009A03B5">
        <w:t>39.</w:t>
      </w:r>
      <w:r w:rsidR="007460E7">
        <w:t xml:space="preserve">) </w:t>
      </w:r>
      <w:r w:rsidR="007460E7" w:rsidRPr="009A03B5">
        <w:t xml:space="preserve"> </w:t>
      </w:r>
      <w:r w:rsidR="007460E7">
        <w:t>D</w:t>
      </w:r>
      <w:r w:rsidR="007460E7" w:rsidRPr="009A03B5">
        <w:t xml:space="preserve">efendant </w:t>
      </w:r>
      <w:r w:rsidR="007460E7">
        <w:t xml:space="preserve">again </w:t>
      </w:r>
      <w:r w:rsidR="007460E7" w:rsidRPr="009A03B5">
        <w:t xml:space="preserve">moved to dismiss </w:t>
      </w:r>
      <w:r w:rsidR="007460E7">
        <w:t>the second amended complaint and o</w:t>
      </w:r>
      <w:r w:rsidR="007460E7" w:rsidRPr="009A03B5">
        <w:t>ver the next eleven months, while the motion was pending, the parties engaged in discovery and settlement negotiations</w:t>
      </w:r>
      <w:r w:rsidR="007460E7">
        <w:t>.  (</w:t>
      </w:r>
      <w:r w:rsidR="007460E7" w:rsidRPr="002B5BA1">
        <w:rPr>
          <w:i/>
          <w:iCs/>
        </w:rPr>
        <w:t>Id.</w:t>
      </w:r>
      <w:r w:rsidR="007460E7" w:rsidRPr="009A03B5">
        <w:t xml:space="preserve"> at </w:t>
      </w:r>
      <w:r w:rsidR="007460E7">
        <w:t xml:space="preserve">p. </w:t>
      </w:r>
      <w:r w:rsidR="007460E7" w:rsidRPr="009A03B5">
        <w:t>939.</w:t>
      </w:r>
      <w:r w:rsidR="007460E7">
        <w:t xml:space="preserve">) </w:t>
      </w:r>
      <w:r w:rsidR="007460E7" w:rsidRPr="009A03B5">
        <w:t xml:space="preserve"> The district court denied the motion to dismiss, after which the defendant filed a renewed motion to compel arbitration. </w:t>
      </w:r>
      <w:r w:rsidR="007460E7">
        <w:t xml:space="preserve"> (</w:t>
      </w:r>
      <w:r w:rsidR="007460E7" w:rsidRPr="006E4E30">
        <w:rPr>
          <w:i/>
          <w:iCs/>
        </w:rPr>
        <w:t>Ibid.</w:t>
      </w:r>
      <w:r w:rsidR="007460E7">
        <w:t>)</w:t>
      </w:r>
      <w:r w:rsidR="007460E7" w:rsidRPr="009A03B5">
        <w:t xml:space="preserve"> </w:t>
      </w:r>
      <w:r w:rsidR="007460E7">
        <w:t xml:space="preserve"> </w:t>
      </w:r>
      <w:r w:rsidR="007460E7" w:rsidRPr="009A03B5">
        <w:t xml:space="preserve">The Ninth Circuit </w:t>
      </w:r>
      <w:r w:rsidR="007460E7">
        <w:t xml:space="preserve">held </w:t>
      </w:r>
      <w:r w:rsidR="00621A95">
        <w:t>the</w:t>
      </w:r>
      <w:r w:rsidR="007460E7">
        <w:t xml:space="preserve"> defendant acted inconsistently with its right to arbitration by litigating </w:t>
      </w:r>
      <w:r w:rsidR="00621A95">
        <w:t xml:space="preserve">for </w:t>
      </w:r>
      <w:r w:rsidR="007460E7">
        <w:t>two years and filing a renewed motion to compel arbitration only after an adverse ruling.  (</w:t>
      </w:r>
      <w:r w:rsidR="007460E7">
        <w:rPr>
          <w:i/>
          <w:iCs/>
        </w:rPr>
        <w:t>Id.</w:t>
      </w:r>
      <w:r w:rsidR="007460E7">
        <w:t xml:space="preserve"> at p. 942.)  </w:t>
      </w:r>
    </w:p>
    <w:p w14:paraId="41DCB15C" w14:textId="2140C697" w:rsidR="00A66771" w:rsidRDefault="00C153F6" w:rsidP="00B16635">
      <w:pPr>
        <w:widowControl w:val="0"/>
        <w:ind w:firstLine="720"/>
        <w:contextualSpacing/>
      </w:pPr>
      <w:r>
        <w:t xml:space="preserve">In </w:t>
      </w:r>
      <w:proofErr w:type="gramStart"/>
      <w:r>
        <w:rPr>
          <w:i/>
          <w:iCs/>
        </w:rPr>
        <w:t>Martin</w:t>
      </w:r>
      <w:proofErr w:type="gramEnd"/>
      <w:r>
        <w:t xml:space="preserve"> the Ninth Circuit found </w:t>
      </w:r>
      <w:r w:rsidRPr="00EE74EC">
        <w:t xml:space="preserve">the defendants </w:t>
      </w:r>
      <w:r>
        <w:t xml:space="preserve">acted inconsistently with an intent to arbitrate when </w:t>
      </w:r>
      <w:r w:rsidR="00CB312A">
        <w:t xml:space="preserve">they </w:t>
      </w:r>
      <w:r w:rsidRPr="00EE74EC">
        <w:t xml:space="preserve">spent seventeen months litigating a case, including “filing a motion to dismiss on a key merits issue,” and had also indicated to the district court “that they were likely ‘better off’ in federal court.” </w:t>
      </w:r>
      <w:r>
        <w:t xml:space="preserve"> (</w:t>
      </w:r>
      <w:r w:rsidRPr="00EE74EC">
        <w:rPr>
          <w:i/>
          <w:iCs/>
        </w:rPr>
        <w:t>Martin</w:t>
      </w:r>
      <w:r>
        <w:t xml:space="preserve">, </w:t>
      </w:r>
      <w:r w:rsidRPr="00EE74EC">
        <w:rPr>
          <w:i/>
          <w:iCs/>
        </w:rPr>
        <w:t>supra</w:t>
      </w:r>
      <w:r>
        <w:t xml:space="preserve">, </w:t>
      </w:r>
      <w:r w:rsidRPr="00EE74EC">
        <w:t xml:space="preserve">829 F.3d at </w:t>
      </w:r>
      <w:r>
        <w:t xml:space="preserve">p. </w:t>
      </w:r>
      <w:r w:rsidRPr="00EE74EC">
        <w:t>1126.</w:t>
      </w:r>
      <w:r>
        <w:t>)</w:t>
      </w:r>
      <w:r w:rsidR="00996452">
        <w:t xml:space="preserve">  </w:t>
      </w:r>
      <w:r w:rsidR="00775A71">
        <w:t xml:space="preserve">And in </w:t>
      </w:r>
      <w:r w:rsidR="003E64BF">
        <w:rPr>
          <w:i/>
          <w:iCs/>
        </w:rPr>
        <w:t xml:space="preserve">Morvant </w:t>
      </w:r>
      <w:r w:rsidR="003E64BF">
        <w:t xml:space="preserve">the district court granted the defendant’s motion to compel arbitration, rejecting the plaintiff’s argument that the defendant’s removal of the case prior to compelling arbitration was “neither uncommon nor inconsistent with the right to arbitrate.” </w:t>
      </w:r>
      <w:r w:rsidR="009537B6">
        <w:t xml:space="preserve"> </w:t>
      </w:r>
      <w:r w:rsidR="003E64BF">
        <w:t>(</w:t>
      </w:r>
      <w:r w:rsidR="003E64BF">
        <w:rPr>
          <w:i/>
          <w:iCs/>
        </w:rPr>
        <w:t>Morvant</w:t>
      </w:r>
      <w:r w:rsidR="003E64BF">
        <w:t xml:space="preserve">, </w:t>
      </w:r>
      <w:r w:rsidR="003E64BF">
        <w:rPr>
          <w:i/>
          <w:iCs/>
        </w:rPr>
        <w:t>supra</w:t>
      </w:r>
      <w:r w:rsidR="003E64BF">
        <w:t>, 870 F.Supp.2d at p. 846.)</w:t>
      </w:r>
    </w:p>
    <w:p w14:paraId="1D7FF8E8" w14:textId="29DCC898" w:rsidR="00B824B4" w:rsidRDefault="0017466C" w:rsidP="00B16635">
      <w:pPr>
        <w:widowControl w:val="0"/>
        <w:contextualSpacing/>
      </w:pPr>
      <w:r>
        <w:tab/>
      </w:r>
      <w:r w:rsidR="003B487A">
        <w:t xml:space="preserve">Shiekh seems to suggest that because it did not file </w:t>
      </w:r>
      <w:r w:rsidR="002240E0">
        <w:t>any motions</w:t>
      </w:r>
      <w:r w:rsidR="003B487A">
        <w:t xml:space="preserve"> seeking a judicial decision on the merits</w:t>
      </w:r>
      <w:r w:rsidR="006618F9">
        <w:t xml:space="preserve">, it could not have waived its right to arbitrate. </w:t>
      </w:r>
      <w:r w:rsidR="006A581F">
        <w:t xml:space="preserve"> </w:t>
      </w:r>
      <w:r w:rsidR="002819D2">
        <w:t xml:space="preserve">We disagree with such a suggestion.  </w:t>
      </w:r>
      <w:r w:rsidR="00CB0F55">
        <w:t>While the cases</w:t>
      </w:r>
      <w:r w:rsidR="007F621D">
        <w:t xml:space="preserve"> </w:t>
      </w:r>
      <w:r w:rsidR="00476535">
        <w:t xml:space="preserve">above </w:t>
      </w:r>
      <w:r w:rsidR="007F621D">
        <w:t xml:space="preserve">illustrate that the filing of a motion to dismiss or other motion on the merits </w:t>
      </w:r>
      <w:r w:rsidR="00CB0F55">
        <w:t xml:space="preserve">may be </w:t>
      </w:r>
      <w:r w:rsidR="007F621D">
        <w:t xml:space="preserve">one factor in determining waiver, </w:t>
      </w:r>
      <w:r w:rsidR="00FE52D3">
        <w:t>none of them</w:t>
      </w:r>
      <w:r w:rsidR="007F621D">
        <w:t xml:space="preserve"> declares such factor dispositive.  Rather, as </w:t>
      </w:r>
      <w:r w:rsidR="007F621D">
        <w:rPr>
          <w:i/>
          <w:iCs/>
        </w:rPr>
        <w:t xml:space="preserve">Martin </w:t>
      </w:r>
      <w:r w:rsidR="007F621D">
        <w:t xml:space="preserve">held, </w:t>
      </w:r>
      <w:r w:rsidR="00A16877" w:rsidRPr="00507BC5">
        <w:t xml:space="preserve">“seeking a decision on the merits of an </w:t>
      </w:r>
      <w:r w:rsidR="00A16877" w:rsidRPr="00507BC5">
        <w:lastRenderedPageBreak/>
        <w:t xml:space="preserve">issue </w:t>
      </w:r>
      <w:r w:rsidR="00A16877" w:rsidRPr="001D1AC6">
        <w:rPr>
          <w:i/>
          <w:iCs/>
        </w:rPr>
        <w:t>may</w:t>
      </w:r>
      <w:r w:rsidR="00A16877" w:rsidRPr="00507BC5">
        <w:t xml:space="preserve"> satisfy this element.”</w:t>
      </w:r>
      <w:r w:rsidR="00A16877">
        <w:t xml:space="preserve">  (</w:t>
      </w:r>
      <w:r w:rsidR="00A16877" w:rsidRPr="00507BC5">
        <w:rPr>
          <w:i/>
          <w:iCs/>
        </w:rPr>
        <w:t>Martin</w:t>
      </w:r>
      <w:r w:rsidR="00A16877" w:rsidRPr="00507BC5">
        <w:t xml:space="preserve">, </w:t>
      </w:r>
      <w:r w:rsidR="00A16877" w:rsidRPr="00507BC5">
        <w:rPr>
          <w:i/>
          <w:iCs/>
        </w:rPr>
        <w:t>supra</w:t>
      </w:r>
      <w:r w:rsidR="00A16877">
        <w:t xml:space="preserve">, </w:t>
      </w:r>
      <w:r w:rsidR="00A16877" w:rsidRPr="00507BC5">
        <w:t xml:space="preserve">829 F.3d at </w:t>
      </w:r>
      <w:r w:rsidR="00A16877">
        <w:t>p.</w:t>
      </w:r>
      <w:r w:rsidR="00E01A28">
        <w:t> </w:t>
      </w:r>
      <w:r w:rsidR="00A16877" w:rsidRPr="00507BC5">
        <w:t>1125</w:t>
      </w:r>
      <w:r w:rsidR="00A16877">
        <w:t xml:space="preserve">, italics added.) </w:t>
      </w:r>
      <w:r w:rsidR="0032212D">
        <w:t xml:space="preserve"> Certainly</w:t>
      </w:r>
      <w:r w:rsidR="00290229">
        <w:t>,</w:t>
      </w:r>
      <w:r w:rsidR="00AA18CB">
        <w:t xml:space="preserve"> the cases</w:t>
      </w:r>
      <w:r w:rsidR="0032212D">
        <w:t xml:space="preserve"> do no</w:t>
      </w:r>
      <w:r w:rsidR="00AA18CB">
        <w:t>t</w:t>
      </w:r>
      <w:r w:rsidR="0032212D">
        <w:t xml:space="preserve"> hold that </w:t>
      </w:r>
      <w:r w:rsidR="00915E90">
        <w:t>participating in</w:t>
      </w:r>
      <w:r w:rsidR="0032212D">
        <w:t xml:space="preserve"> discovery</w:t>
      </w:r>
      <w:r w:rsidR="00E04895">
        <w:t xml:space="preserve"> and</w:t>
      </w:r>
      <w:r w:rsidR="00BC2486">
        <w:t xml:space="preserve"> assenting to </w:t>
      </w:r>
      <w:r w:rsidR="00A46C5F">
        <w:t>pretrial orders</w:t>
      </w:r>
      <w:r w:rsidR="00260DF6">
        <w:t xml:space="preserve">, </w:t>
      </w:r>
      <w:r w:rsidR="0083613A">
        <w:t>rathe</w:t>
      </w:r>
      <w:r w:rsidR="008021E0">
        <w:t xml:space="preserve">r than filing </w:t>
      </w:r>
      <w:r w:rsidR="000B5DCD">
        <w:t xml:space="preserve">a </w:t>
      </w:r>
      <w:r w:rsidR="00621A95">
        <w:t>dispositive</w:t>
      </w:r>
      <w:r w:rsidR="000B5DCD">
        <w:t xml:space="preserve"> motion</w:t>
      </w:r>
      <w:r w:rsidR="00EC1A5D">
        <w:t>,</w:t>
      </w:r>
      <w:r w:rsidR="008021E0">
        <w:t xml:space="preserve"> can never amount to a waiver of arbitration.  </w:t>
      </w:r>
    </w:p>
    <w:p w14:paraId="61EB4C93" w14:textId="65869BEE" w:rsidR="00854EA6" w:rsidRDefault="00BC7EF0" w:rsidP="00AD66AD">
      <w:pPr>
        <w:widowControl w:val="0"/>
        <w:ind w:firstLine="720"/>
        <w:contextualSpacing/>
      </w:pPr>
      <w:r>
        <w:t xml:space="preserve">Moreover, </w:t>
      </w:r>
      <w:r w:rsidR="00E56C5B">
        <w:t xml:space="preserve">the fact that the </w:t>
      </w:r>
      <w:r w:rsidR="00287229">
        <w:t xml:space="preserve">specific </w:t>
      </w:r>
      <w:r w:rsidR="00E56C5B">
        <w:t xml:space="preserve">circumstances in </w:t>
      </w:r>
      <w:r w:rsidR="00287229">
        <w:t xml:space="preserve">this case are not mirrored in </w:t>
      </w:r>
      <w:r w:rsidR="00287229">
        <w:rPr>
          <w:i/>
          <w:iCs/>
        </w:rPr>
        <w:t>Newirth</w:t>
      </w:r>
      <w:r w:rsidR="00A61D95">
        <w:rPr>
          <w:i/>
          <w:iCs/>
        </w:rPr>
        <w:t>,</w:t>
      </w:r>
      <w:r w:rsidR="0094792E">
        <w:rPr>
          <w:i/>
          <w:iCs/>
        </w:rPr>
        <w:t xml:space="preserve"> </w:t>
      </w:r>
      <w:r w:rsidR="00287229" w:rsidRPr="00287229">
        <w:rPr>
          <w:i/>
          <w:iCs/>
        </w:rPr>
        <w:t>Martin</w:t>
      </w:r>
      <w:r w:rsidR="0094792E">
        <w:t xml:space="preserve">, or </w:t>
      </w:r>
      <w:r w:rsidR="0094792E">
        <w:rPr>
          <w:i/>
          <w:iCs/>
        </w:rPr>
        <w:t>Morvant</w:t>
      </w:r>
      <w:r w:rsidR="00E56C5B">
        <w:t xml:space="preserve"> does not </w:t>
      </w:r>
      <w:r w:rsidR="00D4593B">
        <w:t xml:space="preserve">mean that this case is </w:t>
      </w:r>
      <w:r w:rsidR="00607C92">
        <w:t xml:space="preserve">devoid of sufficient evidence to support waiver.  </w:t>
      </w:r>
      <w:r w:rsidR="00C23CAA">
        <w:t>The cited decisions were deeply bound up in their individual circumstances</w:t>
      </w:r>
      <w:r w:rsidR="00C335BF">
        <w:t>; indeed,</w:t>
      </w:r>
      <w:r w:rsidR="00C23CAA">
        <w:t xml:space="preserve"> </w:t>
      </w:r>
      <w:r>
        <w:rPr>
          <w:i/>
          <w:iCs/>
        </w:rPr>
        <w:t xml:space="preserve">Newirth </w:t>
      </w:r>
      <w:r>
        <w:t xml:space="preserve">cautions us to examine each case in context.  </w:t>
      </w:r>
      <w:r w:rsidRPr="003344B8">
        <w:t>(</w:t>
      </w:r>
      <w:r w:rsidR="00717940">
        <w:t xml:space="preserve">See </w:t>
      </w:r>
      <w:r w:rsidRPr="003344B8">
        <w:rPr>
          <w:i/>
          <w:iCs/>
        </w:rPr>
        <w:t>Newirth</w:t>
      </w:r>
      <w:r w:rsidRPr="003344B8">
        <w:t xml:space="preserve">, </w:t>
      </w:r>
      <w:r w:rsidRPr="003344B8">
        <w:rPr>
          <w:i/>
          <w:iCs/>
        </w:rPr>
        <w:t>supra</w:t>
      </w:r>
      <w:r w:rsidRPr="003344B8">
        <w:t>, 931 F.3d at p. 941</w:t>
      </w:r>
      <w:r w:rsidR="00BB487B">
        <w:t xml:space="preserve"> [I</w:t>
      </w:r>
      <w:r w:rsidR="00BB487B" w:rsidRPr="003344B8">
        <w:t xml:space="preserve">n </w:t>
      </w:r>
      <w:r w:rsidR="0013272C">
        <w:t>“determin[</w:t>
      </w:r>
      <w:r w:rsidR="00BB487B" w:rsidRPr="003344B8">
        <w:t>ing</w:t>
      </w:r>
      <w:r w:rsidR="0013272C">
        <w:t>]</w:t>
      </w:r>
      <w:r w:rsidR="00BB487B" w:rsidRPr="003344B8">
        <w:t xml:space="preserve"> whether a party has engaged in acts that are inconsistent with its right to arbitrate, . . . we consider the totality of the parties’ actions</w:t>
      </w:r>
      <w:r w:rsidR="00BB487B">
        <w:t>”]</w:t>
      </w:r>
      <w:r>
        <w:t xml:space="preserve">.)  </w:t>
      </w:r>
      <w:r w:rsidR="00BB487B">
        <w:t xml:space="preserve">As discussed, </w:t>
      </w:r>
      <w:r w:rsidR="00AB7773">
        <w:t xml:space="preserve">Shiekh’s actions demonstrate it may have realized its arbitration rights too late, or that it sought to resort to arbitration only upon realizing that the proceedings in court would not be advantageous to it.  </w:t>
      </w:r>
      <w:r w:rsidR="00FF08AE" w:rsidRPr="00FF08AE">
        <w:t>Either way, we cannot fault the trial court for characterizing the totality of Shiekh’s actions as inconsistent with an intent to arbitrate.</w:t>
      </w:r>
      <w:r w:rsidR="00A053AE">
        <w:rPr>
          <w:rStyle w:val="FootnoteReference"/>
        </w:rPr>
        <w:footnoteReference w:id="8"/>
      </w:r>
      <w:r w:rsidR="009D2EAB">
        <w:t xml:space="preserve">  </w:t>
      </w:r>
    </w:p>
    <w:p w14:paraId="74AA1119" w14:textId="102E9866" w:rsidR="00136746" w:rsidRDefault="005C0331" w:rsidP="00B16635">
      <w:pPr>
        <w:pStyle w:val="Heading1"/>
        <w:keepNext w:val="0"/>
        <w:widowControl w:val="0"/>
      </w:pPr>
      <w:r>
        <w:t>DISPOSITION</w:t>
      </w:r>
    </w:p>
    <w:p w14:paraId="1A4D1C40" w14:textId="443BB68F" w:rsidR="002D7E09" w:rsidRDefault="005C0331" w:rsidP="00B16635">
      <w:pPr>
        <w:widowControl w:val="0"/>
        <w:contextualSpacing/>
      </w:pPr>
      <w:r>
        <w:tab/>
        <w:t xml:space="preserve">The order denying the motion to compel arbitration is affirmed.  Davis </w:t>
      </w:r>
      <w:r>
        <w:lastRenderedPageBreak/>
        <w:t>shall recover her costs on appeal.</w:t>
      </w:r>
      <w:r w:rsidR="00EC072B">
        <w:t xml:space="preserve"> </w:t>
      </w:r>
    </w:p>
    <w:p w14:paraId="41D77586" w14:textId="77777777" w:rsidR="002D7E09" w:rsidRDefault="002D7E09">
      <w:r>
        <w:br w:type="page"/>
      </w:r>
    </w:p>
    <w:p w14:paraId="01C46CE6" w14:textId="62D416A6" w:rsidR="002D7E09" w:rsidRPr="00FF1763" w:rsidRDefault="002D7E09" w:rsidP="002D7E09">
      <w:pPr>
        <w:spacing w:line="240" w:lineRule="auto"/>
      </w:pPr>
      <w:r w:rsidRPr="00FF1763">
        <w:lastRenderedPageBreak/>
        <w:tab/>
      </w:r>
      <w:r w:rsidRPr="00FF1763">
        <w:tab/>
      </w:r>
      <w:r w:rsidRPr="00FF1763">
        <w:tab/>
      </w:r>
      <w:r w:rsidRPr="00FF1763">
        <w:tab/>
      </w:r>
      <w:r w:rsidRPr="00FF1763">
        <w:tab/>
      </w:r>
      <w:r w:rsidRPr="00FF1763">
        <w:tab/>
      </w:r>
      <w:r w:rsidRPr="00FF1763">
        <w:tab/>
      </w:r>
      <w:r w:rsidRPr="00FF1763">
        <w:tab/>
      </w:r>
      <w:r w:rsidRPr="00FF1763">
        <w:tab/>
      </w:r>
      <w:r w:rsidRPr="00FF1763">
        <w:tab/>
      </w:r>
      <w:r w:rsidRPr="00FF1763">
        <w:tab/>
      </w:r>
      <w:r w:rsidRPr="00FF1763">
        <w:tab/>
      </w:r>
      <w:r w:rsidRPr="00FF1763">
        <w:tab/>
      </w:r>
      <w:r w:rsidRPr="00FF1763">
        <w:tab/>
      </w:r>
      <w:r w:rsidRPr="00FF1763">
        <w:tab/>
      </w:r>
      <w:r w:rsidRPr="00FF1763">
        <w:tab/>
      </w:r>
      <w:r w:rsidRPr="00FF1763">
        <w:tab/>
      </w:r>
      <w:r w:rsidRPr="00FF1763">
        <w:tab/>
      </w:r>
      <w:r w:rsidRPr="00FF1763">
        <w:tab/>
      </w:r>
      <w:r w:rsidRPr="00FF1763">
        <w:tab/>
      </w:r>
      <w:r w:rsidRPr="00FF1763">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725228">
        <w:tab/>
      </w:r>
      <w:r w:rsidR="00725228">
        <w:tab/>
      </w:r>
      <w:r w:rsidR="00725228">
        <w:tab/>
      </w:r>
      <w:r w:rsidR="00725228">
        <w:tab/>
      </w:r>
      <w:r w:rsidR="00725228">
        <w:tab/>
      </w:r>
      <w:r w:rsidR="00725228">
        <w:tab/>
      </w:r>
      <w:r w:rsidR="00725228">
        <w:tab/>
      </w:r>
      <w:r w:rsidR="00725228">
        <w:tab/>
      </w:r>
      <w:r w:rsidR="00725228">
        <w:tab/>
      </w:r>
      <w:r w:rsidRPr="00FF1763">
        <w:t>_________________________</w:t>
      </w:r>
    </w:p>
    <w:p w14:paraId="67927783" w14:textId="7D75C614" w:rsidR="002D7E09" w:rsidRPr="00FF1763" w:rsidRDefault="002D7E09" w:rsidP="002D7E09">
      <w:pPr>
        <w:spacing w:line="240" w:lineRule="auto"/>
      </w:pPr>
      <w:r w:rsidRPr="00FF1763">
        <w:tab/>
      </w:r>
      <w:r w:rsidRPr="00FF1763">
        <w:tab/>
      </w:r>
      <w:r w:rsidRPr="00FF1763">
        <w:tab/>
      </w:r>
      <w:r w:rsidRPr="00FF1763">
        <w:tab/>
      </w:r>
      <w:r w:rsidRPr="00FF1763">
        <w:tab/>
      </w:r>
      <w:r w:rsidRPr="00FF1763">
        <w:tab/>
      </w:r>
      <w:r w:rsidR="00725228">
        <w:tab/>
      </w:r>
      <w:r w:rsidRPr="00FF1763">
        <w:t>Richman, Acting P. J.</w:t>
      </w:r>
    </w:p>
    <w:p w14:paraId="78FFD320" w14:textId="77777777" w:rsidR="002D7E09" w:rsidRPr="00FF1763" w:rsidRDefault="002D7E09" w:rsidP="002D7E09">
      <w:pPr>
        <w:spacing w:line="240" w:lineRule="auto"/>
      </w:pPr>
    </w:p>
    <w:p w14:paraId="0953711C" w14:textId="77777777" w:rsidR="002D7E09" w:rsidRPr="00FF1763" w:rsidRDefault="002D7E09" w:rsidP="002D7E09">
      <w:pPr>
        <w:spacing w:line="240" w:lineRule="auto"/>
      </w:pPr>
    </w:p>
    <w:p w14:paraId="6126E3A9" w14:textId="77777777" w:rsidR="002D7E09" w:rsidRPr="00FF1763" w:rsidRDefault="002D7E09" w:rsidP="002D7E09">
      <w:pPr>
        <w:spacing w:line="240" w:lineRule="auto"/>
      </w:pPr>
      <w:r w:rsidRPr="00FF1763">
        <w:t>We concur:</w:t>
      </w:r>
    </w:p>
    <w:p w14:paraId="2BF8B5D8" w14:textId="77777777" w:rsidR="002D7E09" w:rsidRPr="00FF1763" w:rsidRDefault="002D7E09" w:rsidP="002D7E09">
      <w:pPr>
        <w:spacing w:line="240" w:lineRule="auto"/>
      </w:pPr>
    </w:p>
    <w:p w14:paraId="7F64E513" w14:textId="77777777" w:rsidR="002D7E09" w:rsidRPr="00FF1763" w:rsidRDefault="002D7E09" w:rsidP="002D7E09">
      <w:pPr>
        <w:spacing w:line="240" w:lineRule="auto"/>
      </w:pPr>
    </w:p>
    <w:p w14:paraId="5CB5004A" w14:textId="77777777" w:rsidR="002D7E09" w:rsidRPr="00FF1763" w:rsidRDefault="002D7E09" w:rsidP="002D7E09">
      <w:pPr>
        <w:spacing w:line="240" w:lineRule="auto"/>
      </w:pPr>
      <w:r w:rsidRPr="00FF1763">
        <w:t>_________________________</w:t>
      </w:r>
    </w:p>
    <w:p w14:paraId="26D8F06D" w14:textId="77777777" w:rsidR="002D7E09" w:rsidRPr="00FF1763" w:rsidRDefault="002D7E09" w:rsidP="002D7E09">
      <w:pPr>
        <w:spacing w:line="240" w:lineRule="auto"/>
      </w:pPr>
      <w:r>
        <w:t>Miller</w:t>
      </w:r>
      <w:r w:rsidRPr="00FF1763">
        <w:t>, J.</w:t>
      </w:r>
    </w:p>
    <w:p w14:paraId="6B8C3B65" w14:textId="77777777" w:rsidR="002D7E09" w:rsidRPr="00FF1763" w:rsidRDefault="002D7E09" w:rsidP="002D7E09">
      <w:pPr>
        <w:spacing w:line="240" w:lineRule="auto"/>
      </w:pPr>
    </w:p>
    <w:p w14:paraId="7DCF7B90" w14:textId="77777777" w:rsidR="002D7E09" w:rsidRPr="00FF1763" w:rsidRDefault="002D7E09" w:rsidP="002D7E09">
      <w:pPr>
        <w:spacing w:line="240" w:lineRule="auto"/>
      </w:pPr>
    </w:p>
    <w:p w14:paraId="1BC4367B" w14:textId="77777777" w:rsidR="002D7E09" w:rsidRPr="00FF1763" w:rsidRDefault="002D7E09" w:rsidP="002D7E09">
      <w:pPr>
        <w:spacing w:line="240" w:lineRule="auto"/>
      </w:pPr>
      <w:r w:rsidRPr="00FF1763">
        <w:t>_________________________</w:t>
      </w:r>
    </w:p>
    <w:p w14:paraId="516AC734" w14:textId="77777777" w:rsidR="002D7E09" w:rsidRPr="00FF1763" w:rsidRDefault="002D7E09" w:rsidP="002D7E09">
      <w:pPr>
        <w:spacing w:line="240" w:lineRule="auto"/>
      </w:pPr>
      <w:r w:rsidRPr="00FF1763">
        <w:t>Mayfield, J. *</w:t>
      </w:r>
    </w:p>
    <w:p w14:paraId="0868EA6A" w14:textId="77777777" w:rsidR="002D7E09" w:rsidRPr="00FF1763" w:rsidRDefault="002D7E09" w:rsidP="002D7E09">
      <w:pPr>
        <w:spacing w:line="240" w:lineRule="auto"/>
      </w:pPr>
    </w:p>
    <w:p w14:paraId="3BF593CA" w14:textId="77777777" w:rsidR="002D7E09" w:rsidRPr="00FF1763" w:rsidRDefault="002D7E09" w:rsidP="002D7E09">
      <w:pPr>
        <w:spacing w:line="240" w:lineRule="auto"/>
      </w:pPr>
    </w:p>
    <w:p w14:paraId="57337776" w14:textId="77777777" w:rsidR="002D7E09" w:rsidRPr="00FF1763" w:rsidRDefault="002D7E09" w:rsidP="002D7E09">
      <w:pPr>
        <w:spacing w:line="240" w:lineRule="auto"/>
      </w:pPr>
    </w:p>
    <w:p w14:paraId="6C7AC3DB" w14:textId="77777777" w:rsidR="002D7E09" w:rsidRPr="00FF1763" w:rsidRDefault="002D7E09" w:rsidP="002D7E09">
      <w:pPr>
        <w:spacing w:line="240" w:lineRule="auto"/>
      </w:pPr>
    </w:p>
    <w:p w14:paraId="3CB8882B" w14:textId="77777777" w:rsidR="002D7E09" w:rsidRPr="00FF1763" w:rsidRDefault="002D7E09" w:rsidP="002D7E09">
      <w:pPr>
        <w:spacing w:line="240" w:lineRule="auto"/>
      </w:pPr>
    </w:p>
    <w:p w14:paraId="0E4CAAC6" w14:textId="77777777" w:rsidR="002D7E09" w:rsidRPr="00FF1763" w:rsidRDefault="002D7E09" w:rsidP="002D7E09">
      <w:pPr>
        <w:spacing w:line="240" w:lineRule="auto"/>
      </w:pPr>
    </w:p>
    <w:p w14:paraId="2E40168B" w14:textId="77777777" w:rsidR="002D7E09" w:rsidRPr="00FF1763" w:rsidRDefault="002D7E09" w:rsidP="002D7E09">
      <w:pPr>
        <w:spacing w:line="240" w:lineRule="auto"/>
      </w:pPr>
    </w:p>
    <w:p w14:paraId="6BAD9734" w14:textId="77777777" w:rsidR="002D7E09" w:rsidRPr="00FF1763" w:rsidRDefault="002D7E09" w:rsidP="002D7E09">
      <w:pPr>
        <w:spacing w:line="240" w:lineRule="auto"/>
      </w:pPr>
    </w:p>
    <w:p w14:paraId="7D8E9561" w14:textId="77777777" w:rsidR="002D7E09" w:rsidRPr="00FF1763" w:rsidRDefault="002D7E09" w:rsidP="002D7E09">
      <w:pPr>
        <w:spacing w:line="240" w:lineRule="auto"/>
      </w:pPr>
    </w:p>
    <w:p w14:paraId="6205B53A" w14:textId="77777777" w:rsidR="002D7E09" w:rsidRPr="00FF1763" w:rsidRDefault="002D7E09" w:rsidP="002D7E09">
      <w:pPr>
        <w:spacing w:line="240" w:lineRule="auto"/>
      </w:pPr>
    </w:p>
    <w:p w14:paraId="1006702E" w14:textId="77777777" w:rsidR="002D7E09" w:rsidRPr="00FF1763" w:rsidRDefault="002D7E09" w:rsidP="002D7E09">
      <w:pPr>
        <w:spacing w:line="240" w:lineRule="auto"/>
      </w:pPr>
    </w:p>
    <w:p w14:paraId="620A3CB9" w14:textId="77777777" w:rsidR="002D7E09" w:rsidRPr="00FF1763" w:rsidRDefault="002D7E09" w:rsidP="002D7E09">
      <w:pPr>
        <w:spacing w:line="240" w:lineRule="auto"/>
      </w:pPr>
    </w:p>
    <w:p w14:paraId="3DC85EE6" w14:textId="77777777" w:rsidR="002D7E09" w:rsidRPr="00FF1763" w:rsidRDefault="002D7E09" w:rsidP="002D7E09">
      <w:pPr>
        <w:spacing w:line="240" w:lineRule="auto"/>
      </w:pPr>
    </w:p>
    <w:p w14:paraId="4AED614A" w14:textId="77777777" w:rsidR="002D7E09" w:rsidRPr="00FF1763" w:rsidRDefault="002D7E09" w:rsidP="002D7E09">
      <w:pPr>
        <w:spacing w:line="240" w:lineRule="auto"/>
      </w:pPr>
    </w:p>
    <w:p w14:paraId="0FBA3585" w14:textId="77777777" w:rsidR="002D7E09" w:rsidRPr="00FF1763" w:rsidRDefault="002D7E09" w:rsidP="002D7E09">
      <w:pPr>
        <w:spacing w:line="240" w:lineRule="auto"/>
      </w:pPr>
    </w:p>
    <w:p w14:paraId="75A3D66D" w14:textId="77777777" w:rsidR="002D7E09" w:rsidRPr="00FF1763" w:rsidRDefault="002D7E09" w:rsidP="002D7E09">
      <w:pPr>
        <w:spacing w:line="240" w:lineRule="auto"/>
      </w:pPr>
    </w:p>
    <w:p w14:paraId="29660CC2" w14:textId="77777777" w:rsidR="002D7E09" w:rsidRPr="00FF1763" w:rsidRDefault="002D7E09" w:rsidP="002D7E09">
      <w:pPr>
        <w:spacing w:line="240" w:lineRule="auto"/>
      </w:pPr>
    </w:p>
    <w:p w14:paraId="4B043D60" w14:textId="5FF0F685" w:rsidR="002D7E09" w:rsidRPr="00FF1763" w:rsidRDefault="004777A0" w:rsidP="002D7E09">
      <w:pPr>
        <w:spacing w:line="240" w:lineRule="auto"/>
      </w:pPr>
      <w:r>
        <w:rPr>
          <w:i/>
          <w:lang w:val="it-IT"/>
        </w:rPr>
        <w:t xml:space="preserve">Davis v. Shiekh Shoes, LLC </w:t>
      </w:r>
      <w:r w:rsidR="002D7E09" w:rsidRPr="00FF1763">
        <w:rPr>
          <w:lang w:val="it-IT"/>
        </w:rPr>
        <w:t>(</w:t>
      </w:r>
      <w:r w:rsidR="002D7E09" w:rsidRPr="00FF1763">
        <w:t>A</w:t>
      </w:r>
      <w:r>
        <w:t>161961</w:t>
      </w:r>
      <w:r w:rsidR="002D7E09" w:rsidRPr="00FF1763">
        <w:rPr>
          <w:lang w:val="it-IT"/>
        </w:rPr>
        <w:t>)</w:t>
      </w:r>
      <w:r w:rsidR="002D7E09" w:rsidRPr="00FF1763">
        <w:t xml:space="preserve"> </w:t>
      </w:r>
    </w:p>
    <w:p w14:paraId="7CB36FFA" w14:textId="77777777" w:rsidR="002D7E09" w:rsidRPr="00FF1763" w:rsidRDefault="002D7E09" w:rsidP="002D7E09">
      <w:pPr>
        <w:spacing w:line="240" w:lineRule="auto"/>
      </w:pPr>
    </w:p>
    <w:p w14:paraId="0ADBBD70" w14:textId="438A67DE" w:rsidR="002D7E09" w:rsidRPr="00FF1763" w:rsidRDefault="002D7E09" w:rsidP="002D7E09">
      <w:pPr>
        <w:spacing w:line="240" w:lineRule="auto"/>
        <w:ind w:right="-720" w:firstLine="720"/>
      </w:pPr>
      <w:r w:rsidRPr="00FF1763">
        <w:t>*</w:t>
      </w:r>
      <w:r>
        <w:t xml:space="preserve">Judge of the Mendocino </w:t>
      </w:r>
      <w:r w:rsidRPr="00FF1763">
        <w:t>Superior Court,assigned by the Chief Justice pursuant to article VI, section 6 of the California Constitution.</w:t>
      </w:r>
    </w:p>
    <w:p w14:paraId="2AFF2FA8" w14:textId="77777777" w:rsidR="002D7E09" w:rsidRDefault="002D7E09" w:rsidP="002D7E09">
      <w:r>
        <w:br w:type="page"/>
      </w: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4323"/>
      </w:tblGrid>
      <w:tr w:rsidR="002D7E09" w:rsidRPr="00463DE7" w14:paraId="2CCB53A6" w14:textId="77777777" w:rsidTr="00CC28EB">
        <w:tc>
          <w:tcPr>
            <w:tcW w:w="4317" w:type="dxa"/>
            <w:tcBorders>
              <w:top w:val="nil"/>
              <w:left w:val="nil"/>
              <w:bottom w:val="nil"/>
              <w:right w:val="nil"/>
            </w:tcBorders>
            <w:hideMark/>
          </w:tcPr>
          <w:p w14:paraId="1AD3FBD4" w14:textId="77777777" w:rsidR="002D7E09" w:rsidRPr="00463DE7" w:rsidRDefault="002D7E09" w:rsidP="00CC28EB">
            <w:pPr>
              <w:spacing w:line="240" w:lineRule="auto"/>
            </w:pPr>
            <w:r w:rsidRPr="00463DE7">
              <w:lastRenderedPageBreak/>
              <w:t>Trial Court:</w:t>
            </w:r>
          </w:p>
        </w:tc>
        <w:tc>
          <w:tcPr>
            <w:tcW w:w="4323" w:type="dxa"/>
            <w:tcBorders>
              <w:top w:val="nil"/>
              <w:left w:val="nil"/>
              <w:bottom w:val="nil"/>
              <w:right w:val="nil"/>
            </w:tcBorders>
          </w:tcPr>
          <w:p w14:paraId="5170A58B" w14:textId="4EE090A0" w:rsidR="002D7E09" w:rsidRPr="00463DE7" w:rsidRDefault="004777A0" w:rsidP="00CC28EB">
            <w:pPr>
              <w:spacing w:line="240" w:lineRule="auto"/>
            </w:pPr>
            <w:r>
              <w:t xml:space="preserve">San Francisco </w:t>
            </w:r>
            <w:r w:rsidR="002D7E09">
              <w:t xml:space="preserve">County </w:t>
            </w:r>
            <w:r w:rsidR="002D7E09" w:rsidRPr="00463DE7">
              <w:t>Superior Court</w:t>
            </w:r>
          </w:p>
          <w:p w14:paraId="698BA1CE" w14:textId="77777777" w:rsidR="002D7E09" w:rsidRPr="00463DE7" w:rsidRDefault="002D7E09" w:rsidP="00CC28EB">
            <w:pPr>
              <w:spacing w:line="240" w:lineRule="auto"/>
            </w:pPr>
          </w:p>
        </w:tc>
      </w:tr>
      <w:tr w:rsidR="002D7E09" w:rsidRPr="00463DE7" w14:paraId="14443F8A" w14:textId="77777777" w:rsidTr="00CC28EB">
        <w:tc>
          <w:tcPr>
            <w:tcW w:w="4317" w:type="dxa"/>
            <w:tcBorders>
              <w:top w:val="nil"/>
              <w:left w:val="nil"/>
              <w:bottom w:val="nil"/>
              <w:right w:val="nil"/>
            </w:tcBorders>
            <w:hideMark/>
          </w:tcPr>
          <w:p w14:paraId="0F54CBCB" w14:textId="77777777" w:rsidR="002D7E09" w:rsidRPr="00463DE7" w:rsidRDefault="002D7E09" w:rsidP="00CC28EB">
            <w:pPr>
              <w:spacing w:line="240" w:lineRule="auto"/>
            </w:pPr>
            <w:r w:rsidRPr="00463DE7">
              <w:t>Trial Judge:</w:t>
            </w:r>
          </w:p>
        </w:tc>
        <w:tc>
          <w:tcPr>
            <w:tcW w:w="4323" w:type="dxa"/>
            <w:tcBorders>
              <w:top w:val="nil"/>
              <w:left w:val="nil"/>
              <w:bottom w:val="nil"/>
              <w:right w:val="nil"/>
            </w:tcBorders>
          </w:tcPr>
          <w:p w14:paraId="431ADEF9" w14:textId="3C2B8F47" w:rsidR="002D7E09" w:rsidRPr="00463DE7" w:rsidRDefault="002D7E09" w:rsidP="00CC28EB">
            <w:pPr>
              <w:spacing w:line="240" w:lineRule="auto"/>
            </w:pPr>
            <w:r w:rsidRPr="00463DE7">
              <w:t xml:space="preserve">Honorable </w:t>
            </w:r>
            <w:r w:rsidR="00CD3C37">
              <w:t>Richard Ulmer</w:t>
            </w:r>
            <w:r w:rsidR="000B117C">
              <w:t>; Honorable Ethan Schulman</w:t>
            </w:r>
          </w:p>
          <w:p w14:paraId="78E8C115" w14:textId="77777777" w:rsidR="002D7E09" w:rsidRPr="00463DE7" w:rsidRDefault="002D7E09" w:rsidP="00CC28EB">
            <w:pPr>
              <w:spacing w:line="240" w:lineRule="auto"/>
            </w:pPr>
          </w:p>
        </w:tc>
      </w:tr>
      <w:tr w:rsidR="002D7E09" w:rsidRPr="00463DE7" w14:paraId="587597AE" w14:textId="77777777" w:rsidTr="00CC28EB">
        <w:tc>
          <w:tcPr>
            <w:tcW w:w="4317" w:type="dxa"/>
            <w:tcBorders>
              <w:top w:val="nil"/>
              <w:left w:val="nil"/>
              <w:bottom w:val="nil"/>
              <w:right w:val="nil"/>
            </w:tcBorders>
            <w:hideMark/>
          </w:tcPr>
          <w:p w14:paraId="19463CD2" w14:textId="731F28D3" w:rsidR="002D7E09" w:rsidRPr="00463DE7" w:rsidRDefault="002D7E09" w:rsidP="00CC28EB">
            <w:pPr>
              <w:spacing w:line="240" w:lineRule="auto"/>
            </w:pPr>
            <w:r w:rsidRPr="00463DE7">
              <w:t xml:space="preserve">Attorney for </w:t>
            </w:r>
            <w:r>
              <w:t xml:space="preserve">Plaintiff and </w:t>
            </w:r>
            <w:r w:rsidR="005F052A">
              <w:t>Respondent</w:t>
            </w:r>
            <w:r>
              <w:t>,</w:t>
            </w:r>
            <w:r w:rsidR="005F052A">
              <w:t xml:space="preserve"> Britani Davis</w:t>
            </w:r>
            <w:r w:rsidRPr="00463DE7">
              <w:t>:</w:t>
            </w:r>
          </w:p>
          <w:p w14:paraId="3697F3CB" w14:textId="77777777" w:rsidR="002D7E09" w:rsidRPr="00463DE7" w:rsidRDefault="002D7E09" w:rsidP="00CC28EB">
            <w:pPr>
              <w:spacing w:line="240" w:lineRule="auto"/>
            </w:pPr>
          </w:p>
        </w:tc>
        <w:tc>
          <w:tcPr>
            <w:tcW w:w="4323" w:type="dxa"/>
            <w:tcBorders>
              <w:top w:val="nil"/>
              <w:left w:val="nil"/>
              <w:bottom w:val="nil"/>
              <w:right w:val="nil"/>
            </w:tcBorders>
          </w:tcPr>
          <w:p w14:paraId="7E7092BA" w14:textId="3CF45350" w:rsidR="002D7E09" w:rsidRDefault="007733E5" w:rsidP="00CC28EB">
            <w:pPr>
              <w:spacing w:line="240" w:lineRule="auto"/>
            </w:pPr>
            <w:r>
              <w:t>Matern Law Group, PC</w:t>
            </w:r>
            <w:r w:rsidR="002D7E09">
              <w:t>,</w:t>
            </w:r>
            <w:r w:rsidR="00EC2617">
              <w:t xml:space="preserve"> </w:t>
            </w:r>
            <w:r>
              <w:t>Matthew J. Matern</w:t>
            </w:r>
            <w:r w:rsidR="002D7E09">
              <w:t xml:space="preserve">; </w:t>
            </w:r>
            <w:r w:rsidR="00EC2617">
              <w:t>Joshua D. Boxer</w:t>
            </w:r>
            <w:r w:rsidR="002D7E09">
              <w:t xml:space="preserve">; </w:t>
            </w:r>
            <w:r w:rsidR="00EC2617">
              <w:t>Sara B. Tosdal</w:t>
            </w:r>
            <w:r w:rsidR="002D7E09">
              <w:t xml:space="preserve">; </w:t>
            </w:r>
            <w:r w:rsidR="00006D15">
              <w:t>Kiran Prasad</w:t>
            </w:r>
          </w:p>
          <w:p w14:paraId="3FB9DD8F" w14:textId="77777777" w:rsidR="002D7E09" w:rsidRPr="00463DE7" w:rsidRDefault="002D7E09" w:rsidP="00CC28EB">
            <w:pPr>
              <w:spacing w:line="240" w:lineRule="auto"/>
            </w:pPr>
          </w:p>
        </w:tc>
      </w:tr>
      <w:tr w:rsidR="002D7E09" w:rsidRPr="00463DE7" w14:paraId="3EF116FE" w14:textId="77777777" w:rsidTr="00CC28EB">
        <w:tc>
          <w:tcPr>
            <w:tcW w:w="4317" w:type="dxa"/>
            <w:tcBorders>
              <w:top w:val="nil"/>
              <w:left w:val="nil"/>
              <w:bottom w:val="nil"/>
              <w:right w:val="nil"/>
            </w:tcBorders>
          </w:tcPr>
          <w:p w14:paraId="41595A55" w14:textId="3B7323C8" w:rsidR="002D7E09" w:rsidRDefault="002D7E09" w:rsidP="00CC28EB">
            <w:pPr>
              <w:spacing w:line="240" w:lineRule="auto"/>
            </w:pPr>
            <w:r>
              <w:t xml:space="preserve">Attorney for Defendant and </w:t>
            </w:r>
            <w:r w:rsidR="00C514BB">
              <w:t>Appellant</w:t>
            </w:r>
            <w:r>
              <w:t xml:space="preserve">, </w:t>
            </w:r>
            <w:r w:rsidR="00C514BB">
              <w:t>Shiekh Shoes</w:t>
            </w:r>
            <w:r w:rsidR="00165D5D">
              <w:t xml:space="preserve"> LLC</w:t>
            </w:r>
          </w:p>
          <w:p w14:paraId="1BEB48A5" w14:textId="77777777" w:rsidR="002D7E09" w:rsidRPr="00463DE7" w:rsidRDefault="002D7E09" w:rsidP="00CC28EB">
            <w:pPr>
              <w:spacing w:line="240" w:lineRule="auto"/>
            </w:pPr>
          </w:p>
        </w:tc>
        <w:tc>
          <w:tcPr>
            <w:tcW w:w="4323" w:type="dxa"/>
            <w:tcBorders>
              <w:top w:val="nil"/>
              <w:left w:val="nil"/>
              <w:bottom w:val="nil"/>
              <w:right w:val="nil"/>
            </w:tcBorders>
          </w:tcPr>
          <w:p w14:paraId="2C4EACA5" w14:textId="62FC54B3" w:rsidR="002D7E09" w:rsidRDefault="00165D5D" w:rsidP="00CC28EB">
            <w:pPr>
              <w:spacing w:line="240" w:lineRule="auto"/>
            </w:pPr>
            <w:r>
              <w:t>Cohen Law Group, Marc</w:t>
            </w:r>
            <w:r w:rsidR="00820146">
              <w:t xml:space="preserve"> Cohen</w:t>
            </w:r>
            <w:r w:rsidR="002D7E09">
              <w:t>.</w:t>
            </w:r>
          </w:p>
          <w:p w14:paraId="61421373" w14:textId="77777777" w:rsidR="002D7E09" w:rsidRDefault="002D7E09" w:rsidP="00CC28EB">
            <w:pPr>
              <w:spacing w:line="240" w:lineRule="auto"/>
            </w:pPr>
          </w:p>
        </w:tc>
      </w:tr>
    </w:tbl>
    <w:p w14:paraId="555F4DE2" w14:textId="77777777" w:rsidR="003A48F6" w:rsidRPr="00955894" w:rsidRDefault="003A48F6" w:rsidP="00B16635">
      <w:pPr>
        <w:widowControl w:val="0"/>
        <w:contextualSpacing/>
      </w:pPr>
    </w:p>
    <w:sectPr w:rsidR="003A48F6" w:rsidRPr="00955894" w:rsidSect="0080364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1F7E8" w14:textId="77777777" w:rsidR="00BB0DAF" w:rsidRDefault="00BB0DAF" w:rsidP="00737B68">
      <w:pPr>
        <w:spacing w:line="240" w:lineRule="auto"/>
      </w:pPr>
      <w:r>
        <w:separator/>
      </w:r>
    </w:p>
  </w:endnote>
  <w:endnote w:type="continuationSeparator" w:id="0">
    <w:p w14:paraId="048071B3" w14:textId="77777777" w:rsidR="00BB0DAF" w:rsidRDefault="00BB0DAF" w:rsidP="00737B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90E4" w14:textId="39E06C05" w:rsidR="00803642" w:rsidRDefault="00803642" w:rsidP="0034304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F51835">
      <w:rPr>
        <w:rStyle w:val="PageNumber"/>
      </w:rPr>
      <w:fldChar w:fldCharType="separate"/>
    </w:r>
    <w:r w:rsidR="00F51835">
      <w:rPr>
        <w:rStyle w:val="PageNumber"/>
        <w:noProof/>
      </w:rPr>
      <w:t>1</w:t>
    </w:r>
    <w:r>
      <w:rPr>
        <w:rStyle w:val="PageNumber"/>
      </w:rPr>
      <w:fldChar w:fldCharType="end"/>
    </w:r>
  </w:p>
  <w:p w14:paraId="2684E03C" w14:textId="28F6DD1E" w:rsidR="00803642" w:rsidRDefault="00803642" w:rsidP="0034304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F51835">
      <w:rPr>
        <w:rStyle w:val="PageNumber"/>
      </w:rPr>
      <w:fldChar w:fldCharType="separate"/>
    </w:r>
    <w:r w:rsidR="00F51835">
      <w:rPr>
        <w:rStyle w:val="PageNumber"/>
        <w:noProof/>
      </w:rPr>
      <w:t>1</w:t>
    </w:r>
    <w:r>
      <w:rPr>
        <w:rStyle w:val="PageNumber"/>
      </w:rPr>
      <w:fldChar w:fldCharType="end"/>
    </w:r>
  </w:p>
  <w:p w14:paraId="0BDA2A5D" w14:textId="77777777" w:rsidR="00803642" w:rsidRDefault="00803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74A7" w14:textId="6E081594" w:rsidR="00803642" w:rsidRDefault="00803642" w:rsidP="008036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974A0">
      <w:rPr>
        <w:rStyle w:val="PageNumber"/>
        <w:noProof/>
      </w:rPr>
      <w:t>20</w:t>
    </w:r>
    <w:r>
      <w:rPr>
        <w:rStyle w:val="PageNumber"/>
      </w:rPr>
      <w:fldChar w:fldCharType="end"/>
    </w:r>
  </w:p>
  <w:p w14:paraId="61691297" w14:textId="70A0B9CB" w:rsidR="00D4713D" w:rsidRDefault="0010094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FF6AE" w14:textId="77777777" w:rsidR="00BB0DAF" w:rsidRDefault="00BB0DAF" w:rsidP="00737B68">
      <w:pPr>
        <w:spacing w:line="240" w:lineRule="auto"/>
      </w:pPr>
      <w:r>
        <w:separator/>
      </w:r>
    </w:p>
  </w:footnote>
  <w:footnote w:type="continuationSeparator" w:id="0">
    <w:p w14:paraId="17BC4282" w14:textId="77777777" w:rsidR="00BB0DAF" w:rsidRDefault="00BB0DAF" w:rsidP="00737B68">
      <w:pPr>
        <w:spacing w:line="240" w:lineRule="auto"/>
      </w:pPr>
      <w:r>
        <w:continuationSeparator/>
      </w:r>
    </w:p>
  </w:footnote>
  <w:footnote w:id="1">
    <w:p w14:paraId="1D217E6D" w14:textId="16084311" w:rsidR="00040C34" w:rsidRDefault="00040C34" w:rsidP="00040C34">
      <w:pPr>
        <w:pStyle w:val="FootnoteText"/>
        <w:ind w:firstLine="720"/>
      </w:pPr>
      <w:r>
        <w:rPr>
          <w:rStyle w:val="FootnoteReference"/>
        </w:rPr>
        <w:footnoteRef/>
      </w:r>
      <w:r>
        <w:t xml:space="preserve"> The proof of service of summons is among the many items</w:t>
      </w:r>
      <w:r w:rsidR="00EC6B12">
        <w:t xml:space="preserve"> that</w:t>
      </w:r>
      <w:r>
        <w:t xml:space="preserve"> Davis </w:t>
      </w:r>
      <w:r w:rsidR="00EC6B12">
        <w:t xml:space="preserve">has </w:t>
      </w:r>
      <w:r>
        <w:t xml:space="preserve">requested we augment the record to include, which we did. </w:t>
      </w:r>
    </w:p>
  </w:footnote>
  <w:footnote w:id="2">
    <w:p w14:paraId="005C9C20" w14:textId="5601A077" w:rsidR="00B065EA" w:rsidRDefault="00B965A9" w:rsidP="009D191E">
      <w:pPr>
        <w:pStyle w:val="FootnoteText"/>
        <w:ind w:firstLine="720"/>
      </w:pPr>
      <w:r>
        <w:rPr>
          <w:rStyle w:val="FootnoteReference"/>
        </w:rPr>
        <w:footnoteRef/>
      </w:r>
      <w:r>
        <w:t xml:space="preserve"> </w:t>
      </w:r>
      <w:r w:rsidR="00DC65F6">
        <w:t>The parties</w:t>
      </w:r>
      <w:r w:rsidR="00A877E7">
        <w:t>’</w:t>
      </w:r>
      <w:r w:rsidR="007B081B">
        <w:t xml:space="preserve"> briefs </w:t>
      </w:r>
      <w:r w:rsidR="00E26280">
        <w:t>analyze waiver under</w:t>
      </w:r>
      <w:r w:rsidR="00FD7640">
        <w:t xml:space="preserve"> </w:t>
      </w:r>
      <w:r w:rsidR="00DC65F6">
        <w:t>both</w:t>
      </w:r>
      <w:r w:rsidR="007B081B">
        <w:t xml:space="preserve"> federal and </w:t>
      </w:r>
      <w:r w:rsidR="008E0AC6">
        <w:t>California</w:t>
      </w:r>
      <w:r w:rsidR="007B081B">
        <w:t xml:space="preserve"> decisions</w:t>
      </w:r>
      <w:r w:rsidR="007B518C">
        <w:t xml:space="preserve">. </w:t>
      </w:r>
      <w:r w:rsidR="00923235">
        <w:t xml:space="preserve"> </w:t>
      </w:r>
    </w:p>
  </w:footnote>
  <w:footnote w:id="3">
    <w:p w14:paraId="5D82A646" w14:textId="696B4E3F" w:rsidR="007D562A" w:rsidRPr="0083528B" w:rsidRDefault="007D562A" w:rsidP="003D601F">
      <w:pPr>
        <w:pStyle w:val="FootnoteText"/>
        <w:spacing w:after="120"/>
        <w:ind w:firstLine="720"/>
      </w:pPr>
      <w:r>
        <w:rPr>
          <w:rStyle w:val="FootnoteReference"/>
        </w:rPr>
        <w:footnoteRef/>
      </w:r>
      <w:r>
        <w:t xml:space="preserve"> </w:t>
      </w:r>
      <w:r w:rsidRPr="00995982">
        <w:rPr>
          <w:i/>
          <w:iCs/>
        </w:rPr>
        <w:t xml:space="preserve">Joca-Roca Real Estate, LLC v. Brennan </w:t>
      </w:r>
      <w:r w:rsidRPr="00995982">
        <w:t>(1</w:t>
      </w:r>
      <w:r>
        <w:t>st Cir.</w:t>
      </w:r>
      <w:r w:rsidRPr="00995982">
        <w:t xml:space="preserve"> 2014)</w:t>
      </w:r>
      <w:r>
        <w:t xml:space="preserve"> </w:t>
      </w:r>
      <w:r w:rsidRPr="00995982">
        <w:t xml:space="preserve">772 F.3d 945, 948; </w:t>
      </w:r>
      <w:r w:rsidRPr="00995982">
        <w:rPr>
          <w:i/>
          <w:iCs/>
        </w:rPr>
        <w:t>O.J. Distributing, Inc. v. Hornell Brewing Co.</w:t>
      </w:r>
      <w:r>
        <w:t xml:space="preserve"> </w:t>
      </w:r>
      <w:r w:rsidRPr="00995982">
        <w:t>(</w:t>
      </w:r>
      <w:r>
        <w:t xml:space="preserve">6th Cir. </w:t>
      </w:r>
      <w:r w:rsidRPr="00995982">
        <w:t xml:space="preserve">2003) 340 F.3d 345, 355–356; </w:t>
      </w:r>
      <w:r w:rsidRPr="00995982">
        <w:rPr>
          <w:i/>
          <w:iCs/>
        </w:rPr>
        <w:t>PaineWebber Inc. v. Faragalli</w:t>
      </w:r>
      <w:r>
        <w:t xml:space="preserve"> </w:t>
      </w:r>
      <w:r w:rsidR="00B04774">
        <w:t>(</w:t>
      </w:r>
      <w:r>
        <w:t>3d Cir.</w:t>
      </w:r>
      <w:r w:rsidRPr="00995982">
        <w:t xml:space="preserve"> 1995)</w:t>
      </w:r>
      <w:r>
        <w:t xml:space="preserve"> </w:t>
      </w:r>
      <w:r w:rsidR="00B04774" w:rsidRPr="00995982">
        <w:t xml:space="preserve">61 F.3d </w:t>
      </w:r>
      <w:r w:rsidRPr="00995982">
        <w:t xml:space="preserve">1063, 1068–1069; </w:t>
      </w:r>
      <w:r w:rsidRPr="00995982">
        <w:rPr>
          <w:i/>
          <w:iCs/>
        </w:rPr>
        <w:t>S &amp; H Contractors, Inc. v. A. J. Taft Coal Co.</w:t>
      </w:r>
      <w:r>
        <w:t xml:space="preserve"> </w:t>
      </w:r>
      <w:r w:rsidRPr="00995982">
        <w:t>(11</w:t>
      </w:r>
      <w:r>
        <w:t>th Cir.</w:t>
      </w:r>
      <w:r w:rsidRPr="00995982">
        <w:t xml:space="preserve"> 1990)</w:t>
      </w:r>
      <w:r>
        <w:t xml:space="preserve"> </w:t>
      </w:r>
      <w:r w:rsidRPr="00995982">
        <w:t>906</w:t>
      </w:r>
      <w:r w:rsidR="00B066C9">
        <w:t> </w:t>
      </w:r>
      <w:r w:rsidRPr="00995982">
        <w:t xml:space="preserve">F.2d 1507, 1514; </w:t>
      </w:r>
      <w:r w:rsidRPr="00995982">
        <w:rPr>
          <w:i/>
          <w:iCs/>
        </w:rPr>
        <w:t>Miller Brewing Co. v. Fort Worth Distributing Co.</w:t>
      </w:r>
      <w:r>
        <w:t xml:space="preserve"> (5</w:t>
      </w:r>
      <w:r w:rsidR="001301A5">
        <w:t>th </w:t>
      </w:r>
      <w:r w:rsidR="003F28C2">
        <w:t>C</w:t>
      </w:r>
      <w:r>
        <w:t xml:space="preserve">ir. 1986) </w:t>
      </w:r>
      <w:r w:rsidRPr="00995982">
        <w:t xml:space="preserve">781 F.2d 494, 497; </w:t>
      </w:r>
      <w:r w:rsidRPr="00995982">
        <w:rPr>
          <w:i/>
          <w:iCs/>
        </w:rPr>
        <w:t>ATSA of Cal</w:t>
      </w:r>
      <w:r w:rsidR="0064200D">
        <w:rPr>
          <w:i/>
          <w:iCs/>
        </w:rPr>
        <w:t>ifornia</w:t>
      </w:r>
      <w:r w:rsidRPr="00995982">
        <w:rPr>
          <w:i/>
          <w:iCs/>
        </w:rPr>
        <w:t>, Inc. v. Continental Ins. Co.</w:t>
      </w:r>
      <w:r>
        <w:t xml:space="preserve"> (9th Cir. 1983)</w:t>
      </w:r>
      <w:r w:rsidRPr="00995982">
        <w:t xml:space="preserve"> 702 F.2d 172, 175; </w:t>
      </w:r>
      <w:r w:rsidRPr="00995982">
        <w:rPr>
          <w:i/>
          <w:iCs/>
        </w:rPr>
        <w:t>Carolina Throwing Co. v. S &amp; E Novelty Corp.</w:t>
      </w:r>
      <w:r>
        <w:t xml:space="preserve"> (4th Cir. 1971)</w:t>
      </w:r>
      <w:r w:rsidRPr="00995982">
        <w:t xml:space="preserve"> 442 F.2d 329, 331 (</w:t>
      </w:r>
      <w:r w:rsidRPr="006315EE">
        <w:rPr>
          <w:i/>
          <w:iCs/>
        </w:rPr>
        <w:t>per curiam</w:t>
      </w:r>
      <w:r w:rsidRPr="00995982">
        <w:t xml:space="preserve">); </w:t>
      </w:r>
      <w:r w:rsidRPr="00995982">
        <w:rPr>
          <w:i/>
          <w:iCs/>
        </w:rPr>
        <w:t>Carcich v. Rederi A/B Nordie</w:t>
      </w:r>
      <w:r w:rsidRPr="00995982">
        <w:t xml:space="preserve"> (2</w:t>
      </w:r>
      <w:r>
        <w:t>d Cir.</w:t>
      </w:r>
      <w:r w:rsidRPr="00995982">
        <w:t xml:space="preserve"> 1968)</w:t>
      </w:r>
      <w:r>
        <w:t xml:space="preserve"> </w:t>
      </w:r>
      <w:r w:rsidRPr="00995982">
        <w:t>389 F.2d 692, 696</w:t>
      </w:r>
      <w:r w:rsidR="00B02DB1">
        <w:t xml:space="preserve"> (</w:t>
      </w:r>
      <w:r w:rsidR="00B02DB1">
        <w:rPr>
          <w:i/>
          <w:iCs/>
        </w:rPr>
        <w:t>Carcich</w:t>
      </w:r>
      <w:r w:rsidR="00B02DB1">
        <w:t>)</w:t>
      </w:r>
      <w:r>
        <w:t>.</w:t>
      </w:r>
      <w:r w:rsidRPr="00995982">
        <w:t xml:space="preserve"> </w:t>
      </w:r>
      <w:r>
        <w:t xml:space="preserve"> </w:t>
      </w:r>
    </w:p>
  </w:footnote>
  <w:footnote w:id="4">
    <w:p w14:paraId="7831BB38" w14:textId="10C39876" w:rsidR="007D562A" w:rsidRPr="007C1F41" w:rsidRDefault="007D562A" w:rsidP="007D562A">
      <w:pPr>
        <w:pStyle w:val="FootnoteText"/>
        <w:ind w:firstLine="720"/>
      </w:pPr>
      <w:r>
        <w:rPr>
          <w:rStyle w:val="FootnoteReference"/>
        </w:rPr>
        <w:footnoteRef/>
      </w:r>
      <w:r>
        <w:t xml:space="preserve"> </w:t>
      </w:r>
      <w:r>
        <w:rPr>
          <w:i/>
          <w:iCs/>
        </w:rPr>
        <w:t>St. Mary’s Medical Center, Inc. v. Disco Aluminum Prods. Co.</w:t>
      </w:r>
      <w:r w:rsidR="00D414A7">
        <w:t xml:space="preserve">, </w:t>
      </w:r>
      <w:r w:rsidR="00D414A7" w:rsidRPr="00D414A7">
        <w:rPr>
          <w:i/>
          <w:iCs/>
        </w:rPr>
        <w:t>supra</w:t>
      </w:r>
      <w:r w:rsidR="00D414A7">
        <w:t xml:space="preserve">, </w:t>
      </w:r>
      <w:r>
        <w:t xml:space="preserve">969 F.2d </w:t>
      </w:r>
      <w:r w:rsidR="00D414A7">
        <w:t>at p.</w:t>
      </w:r>
      <w:r>
        <w:t xml:space="preserve"> 590</w:t>
      </w:r>
      <w:r w:rsidR="004A0DEC">
        <w:t xml:space="preserve"> [Seventh Circuit]</w:t>
      </w:r>
      <w:r>
        <w:t xml:space="preserve">; </w:t>
      </w:r>
      <w:r>
        <w:rPr>
          <w:i/>
          <w:iCs/>
        </w:rPr>
        <w:t xml:space="preserve">National </w:t>
      </w:r>
      <w:r w:rsidRPr="005500C3">
        <w:rPr>
          <w:i/>
          <w:iCs/>
        </w:rPr>
        <w:t>Foundation</w:t>
      </w:r>
      <w:r>
        <w:t xml:space="preserve">, </w:t>
      </w:r>
      <w:r w:rsidRPr="005500C3">
        <w:rPr>
          <w:i/>
          <w:iCs/>
        </w:rPr>
        <w:t>supra</w:t>
      </w:r>
      <w:r>
        <w:t xml:space="preserve">, </w:t>
      </w:r>
      <w:r w:rsidRPr="005500C3">
        <w:t>821</w:t>
      </w:r>
      <w:r>
        <w:t xml:space="preserve"> F.2d at p. 774</w:t>
      </w:r>
      <w:r w:rsidR="004A0DEC">
        <w:t xml:space="preserve"> [D.C. Circuit]</w:t>
      </w:r>
      <w:r>
        <w:t xml:space="preserve">.  </w:t>
      </w:r>
      <w:r w:rsidR="00920AE1">
        <w:t xml:space="preserve">For example, </w:t>
      </w:r>
      <w:r w:rsidR="00386FA0">
        <w:t xml:space="preserve">the D.C. Circuit in </w:t>
      </w:r>
      <w:r w:rsidR="007C1F41">
        <w:rPr>
          <w:i/>
          <w:iCs/>
        </w:rPr>
        <w:t>National Foundation</w:t>
      </w:r>
      <w:r w:rsidR="008B52A7">
        <w:t xml:space="preserve"> </w:t>
      </w:r>
      <w:r w:rsidR="00E902A8">
        <w:t xml:space="preserve">held </w:t>
      </w:r>
      <w:r w:rsidR="00386FA0">
        <w:t xml:space="preserve">that while </w:t>
      </w:r>
      <w:r w:rsidR="003304DA">
        <w:t>prejudice is not necessary to establish waiver</w:t>
      </w:r>
      <w:r w:rsidR="00386FA0">
        <w:rPr>
          <w:i/>
          <w:iCs/>
        </w:rPr>
        <w:t xml:space="preserve">, </w:t>
      </w:r>
      <w:r w:rsidR="00137656">
        <w:t>“</w:t>
      </w:r>
      <w:r w:rsidR="00137656" w:rsidRPr="00137656">
        <w:t>a court may consider prejudice to the objecting party as a relevant factor among the circumstances that the court examines in deciding whether the moving party has taken action inconsistent with the agreement to arbitrate</w:t>
      </w:r>
      <w:r w:rsidR="007C1F41">
        <w:t>.</w:t>
      </w:r>
      <w:r w:rsidR="00137656">
        <w:t>”</w:t>
      </w:r>
      <w:r w:rsidR="007C1F41">
        <w:t xml:space="preserve">  (</w:t>
      </w:r>
      <w:r w:rsidR="007C1F41">
        <w:rPr>
          <w:i/>
          <w:iCs/>
        </w:rPr>
        <w:t>National Foundation</w:t>
      </w:r>
      <w:r w:rsidR="007C1F41">
        <w:t xml:space="preserve">, at p. </w:t>
      </w:r>
      <w:r w:rsidR="00C9295E">
        <w:t>777.)</w:t>
      </w:r>
      <w:r w:rsidR="00B02DB1">
        <w:t xml:space="preserve"> </w:t>
      </w:r>
      <w:r w:rsidR="008B144E">
        <w:t xml:space="preserve"> </w:t>
      </w:r>
    </w:p>
  </w:footnote>
  <w:footnote w:id="5">
    <w:p w14:paraId="7A8C1AF6" w14:textId="25AB8256" w:rsidR="00A46722" w:rsidRDefault="0094495E" w:rsidP="00F031F7">
      <w:pPr>
        <w:pStyle w:val="FootnoteText"/>
        <w:spacing w:after="120"/>
        <w:ind w:firstLine="720"/>
      </w:pPr>
      <w:r>
        <w:rPr>
          <w:rStyle w:val="FootnoteReference"/>
        </w:rPr>
        <w:footnoteRef/>
      </w:r>
      <w:r>
        <w:t xml:space="preserve"> </w:t>
      </w:r>
      <w:r w:rsidR="00850FF3">
        <w:t xml:space="preserve">The California Supreme Court has not yet addressed </w:t>
      </w:r>
      <w:r w:rsidR="00850FF3" w:rsidRPr="00850FF3">
        <w:rPr>
          <w:i/>
        </w:rPr>
        <w:t>Morgan</w:t>
      </w:r>
      <w:r w:rsidR="000C01FE">
        <w:t>.  Thus</w:t>
      </w:r>
      <w:r w:rsidR="00850FF3">
        <w:t xml:space="preserve">, </w:t>
      </w:r>
      <w:r w:rsidR="00A278C0">
        <w:t xml:space="preserve">it has not spoken on whether </w:t>
      </w:r>
      <w:r w:rsidR="00850FF3">
        <w:t>prejudice remains a “critical” consideration in the waiv</w:t>
      </w:r>
      <w:r w:rsidR="000C01FE">
        <w:t xml:space="preserve">er inquiry under California law, as it held prior to </w:t>
      </w:r>
      <w:r w:rsidR="000C01FE">
        <w:rPr>
          <w:i/>
        </w:rPr>
        <w:t>Morgan</w:t>
      </w:r>
      <w:r w:rsidR="000C01FE">
        <w:t>.</w:t>
      </w:r>
      <w:r w:rsidR="00850FF3">
        <w:t xml:space="preserve">  (See</w:t>
      </w:r>
      <w:r w:rsidR="003D601F">
        <w:t> </w:t>
      </w:r>
      <w:r w:rsidR="00850FF3">
        <w:rPr>
          <w:i/>
          <w:iCs/>
        </w:rPr>
        <w:t>St.</w:t>
      </w:r>
      <w:r w:rsidR="00A41E3D">
        <w:rPr>
          <w:i/>
          <w:iCs/>
        </w:rPr>
        <w:t> </w:t>
      </w:r>
      <w:r w:rsidR="00850FF3">
        <w:rPr>
          <w:i/>
          <w:iCs/>
        </w:rPr>
        <w:t>Agnes</w:t>
      </w:r>
      <w:r w:rsidR="00850FF3">
        <w:t xml:space="preserve">, </w:t>
      </w:r>
      <w:r w:rsidR="00850FF3">
        <w:rPr>
          <w:i/>
          <w:iCs/>
        </w:rPr>
        <w:t>supra</w:t>
      </w:r>
      <w:r w:rsidR="00850FF3">
        <w:t xml:space="preserve">, </w:t>
      </w:r>
      <w:r w:rsidR="00850FF3" w:rsidRPr="00B55E25">
        <w:t>31</w:t>
      </w:r>
      <w:r w:rsidR="00850FF3" w:rsidRPr="000E4BAA">
        <w:t xml:space="preserve"> Cal.4th </w:t>
      </w:r>
      <w:r w:rsidR="00850FF3">
        <w:t xml:space="preserve">at pp. 1203–1204.)  </w:t>
      </w:r>
      <w:r w:rsidR="00850FF3" w:rsidRPr="00850FF3">
        <w:t xml:space="preserve">(A petition for review has been </w:t>
      </w:r>
      <w:r w:rsidR="008D7308">
        <w:t>granted</w:t>
      </w:r>
      <w:r w:rsidR="008D7308" w:rsidRPr="00850FF3">
        <w:t xml:space="preserve"> </w:t>
      </w:r>
      <w:r w:rsidR="00850FF3" w:rsidRPr="00850FF3">
        <w:t xml:space="preserve">in </w:t>
      </w:r>
      <w:r w:rsidR="00850FF3" w:rsidRPr="00850FF3">
        <w:rPr>
          <w:i/>
        </w:rPr>
        <w:t>Quach v. California Commerce Club, Inc.</w:t>
      </w:r>
      <w:r w:rsidR="00850FF3" w:rsidRPr="00850FF3">
        <w:t xml:space="preserve"> (2022) 78</w:t>
      </w:r>
      <w:r w:rsidR="00A41E3D">
        <w:t> </w:t>
      </w:r>
      <w:r w:rsidR="00850FF3" w:rsidRPr="00850FF3">
        <w:t xml:space="preserve">Cal.App.5th 470, review </w:t>
      </w:r>
      <w:r w:rsidR="008D7308">
        <w:t>granted</w:t>
      </w:r>
      <w:r w:rsidR="008D7308" w:rsidRPr="00850FF3">
        <w:t xml:space="preserve"> </w:t>
      </w:r>
      <w:r w:rsidR="008D7308">
        <w:t>Aug.</w:t>
      </w:r>
      <w:r w:rsidR="008D7308" w:rsidRPr="00850FF3">
        <w:t xml:space="preserve"> </w:t>
      </w:r>
      <w:r w:rsidR="00850FF3" w:rsidRPr="00850FF3">
        <w:t>2</w:t>
      </w:r>
      <w:r w:rsidR="008D7308">
        <w:t>4</w:t>
      </w:r>
      <w:r w:rsidR="00850FF3" w:rsidRPr="00850FF3">
        <w:t xml:space="preserve">, 2022, S275121, regarding the effect of </w:t>
      </w:r>
      <w:r w:rsidR="00850FF3" w:rsidRPr="00850FF3">
        <w:rPr>
          <w:i/>
        </w:rPr>
        <w:t>Morgan</w:t>
      </w:r>
      <w:r w:rsidR="00850FF3" w:rsidRPr="00850FF3">
        <w:t xml:space="preserve">, if any, on </w:t>
      </w:r>
      <w:r w:rsidR="00850FF3" w:rsidRPr="00850FF3">
        <w:rPr>
          <w:i/>
        </w:rPr>
        <w:t>St. Agnes</w:t>
      </w:r>
      <w:r w:rsidR="00850FF3" w:rsidRPr="00850FF3">
        <w:t xml:space="preserve">.)  </w:t>
      </w:r>
      <w:r w:rsidR="005C55AC" w:rsidRPr="00850FF3">
        <w:t>Davis</w:t>
      </w:r>
      <w:r w:rsidR="005C55AC">
        <w:t xml:space="preserve"> argues</w:t>
      </w:r>
      <w:r w:rsidR="00B2776F">
        <w:t xml:space="preserve"> </w:t>
      </w:r>
      <w:r w:rsidR="0042073F" w:rsidRPr="00740728">
        <w:t>“</w:t>
      </w:r>
      <w:r w:rsidR="00EA4781">
        <w:t>t</w:t>
      </w:r>
      <w:r w:rsidR="0042073F" w:rsidRPr="00740728">
        <w:t xml:space="preserve">o the extent California law imposes a prejudice requirement for arbitration-waiver disputes but does not impose a prejudice requirement for other contract-waiver disputes, that law is preempted by the FAA, whose equal-treatment principle prohibits application of arbitration-specific contract principles.”  </w:t>
      </w:r>
      <w:r w:rsidRPr="00740728">
        <w:t xml:space="preserve">We need not </w:t>
      </w:r>
      <w:r w:rsidR="000C7F4C">
        <w:t xml:space="preserve">address this </w:t>
      </w:r>
      <w:proofErr w:type="gramStart"/>
      <w:r w:rsidR="000C7F4C">
        <w:t>contention</w:t>
      </w:r>
      <w:r w:rsidR="00F92DBB">
        <w:t xml:space="preserve">, </w:t>
      </w:r>
      <w:r w:rsidRPr="00740728">
        <w:t>since</w:t>
      </w:r>
      <w:proofErr w:type="gramEnd"/>
      <w:r w:rsidRPr="00740728">
        <w:t xml:space="preserve"> </w:t>
      </w:r>
      <w:r w:rsidR="0042073F" w:rsidRPr="00740728">
        <w:t xml:space="preserve">federal law </w:t>
      </w:r>
      <w:r w:rsidR="00321D15" w:rsidRPr="00740728">
        <w:t xml:space="preserve">directly </w:t>
      </w:r>
      <w:r w:rsidR="0042073F" w:rsidRPr="00740728">
        <w:t>control</w:t>
      </w:r>
      <w:r w:rsidR="00321D15" w:rsidRPr="00740728">
        <w:t>s</w:t>
      </w:r>
      <w:r w:rsidR="006F2956" w:rsidRPr="006F2956">
        <w:t xml:space="preserve"> </w:t>
      </w:r>
      <w:r w:rsidR="006F2956" w:rsidRPr="00740728">
        <w:t>in this case</w:t>
      </w:r>
      <w:r w:rsidRPr="00740728">
        <w:t xml:space="preserve">.  </w:t>
      </w:r>
    </w:p>
  </w:footnote>
  <w:footnote w:id="6">
    <w:p w14:paraId="230D8E5A" w14:textId="082E59D2" w:rsidR="00415ABD" w:rsidRPr="00C725A6" w:rsidRDefault="00415ABD" w:rsidP="00415ABD">
      <w:pPr>
        <w:pStyle w:val="FootnoteText"/>
        <w:ind w:firstLine="720"/>
      </w:pPr>
      <w:r w:rsidRPr="00FA6E4B">
        <w:rPr>
          <w:rStyle w:val="FootnoteReference"/>
        </w:rPr>
        <w:footnoteRef/>
      </w:r>
      <w:r w:rsidRPr="00FA6E4B">
        <w:t xml:space="preserve"> </w:t>
      </w:r>
      <w:r>
        <w:t xml:space="preserve">A finding </w:t>
      </w:r>
      <w:r w:rsidR="00F36C58">
        <w:t xml:space="preserve">that </w:t>
      </w:r>
      <w:r>
        <w:t>we</w:t>
      </w:r>
      <w:r w:rsidR="00C0107C">
        <w:t>,</w:t>
      </w:r>
      <w:r w:rsidR="00080F13" w:rsidRPr="00080F13">
        <w:t xml:space="preserve"> </w:t>
      </w:r>
      <w:r w:rsidR="00453E7D">
        <w:t>in any event</w:t>
      </w:r>
      <w:r w:rsidR="00C0107C">
        <w:t>,</w:t>
      </w:r>
      <w:r w:rsidR="00AB4CB5">
        <w:t xml:space="preserve"> </w:t>
      </w:r>
      <w:r w:rsidR="00D7431B">
        <w:t>would</w:t>
      </w:r>
      <w:r w:rsidR="00D7431B" w:rsidRPr="00080F13">
        <w:t xml:space="preserve"> </w:t>
      </w:r>
      <w:r w:rsidR="00080F13">
        <w:t>conclude</w:t>
      </w:r>
      <w:r>
        <w:t xml:space="preserve"> is supported by substantial evidence</w:t>
      </w:r>
      <w:r w:rsidR="00CC13C5">
        <w:t xml:space="preserve"> for the reasons discussed in</w:t>
      </w:r>
      <w:r w:rsidR="009E51C2">
        <w:t xml:space="preserve"> footnote </w:t>
      </w:r>
      <w:r w:rsidR="004D35F5">
        <w:t>8</w:t>
      </w:r>
      <w:r w:rsidR="009E51C2">
        <w:t xml:space="preserve">, </w:t>
      </w:r>
      <w:r w:rsidR="009E51C2">
        <w:rPr>
          <w:i/>
          <w:iCs/>
        </w:rPr>
        <w:t>post.</w:t>
      </w:r>
      <w:r>
        <w:t xml:space="preserve">  </w:t>
      </w:r>
    </w:p>
  </w:footnote>
  <w:footnote w:id="7">
    <w:p w14:paraId="10B4E4FD" w14:textId="7199AF6C" w:rsidR="00EE3B00" w:rsidRDefault="00EE3B00" w:rsidP="00C54DDC">
      <w:pPr>
        <w:pStyle w:val="FootnoteText"/>
        <w:ind w:firstLine="720"/>
      </w:pPr>
      <w:r>
        <w:rPr>
          <w:rStyle w:val="FootnoteReference"/>
        </w:rPr>
        <w:footnoteRef/>
      </w:r>
      <w:r>
        <w:t xml:space="preserve"> </w:t>
      </w:r>
      <w:r w:rsidR="00885A13">
        <w:t>Shiekh suggests we should</w:t>
      </w:r>
      <w:r w:rsidRPr="00EE3B00">
        <w:t xml:space="preserve"> measure the delay </w:t>
      </w:r>
      <w:r w:rsidR="001B009F">
        <w:t>from the time it</w:t>
      </w:r>
      <w:r w:rsidR="00C03249">
        <w:t xml:space="preserve"> first</w:t>
      </w:r>
      <w:r w:rsidR="002A51AC">
        <w:t xml:space="preserve"> </w:t>
      </w:r>
      <w:r w:rsidR="001B009F">
        <w:t xml:space="preserve">appeared </w:t>
      </w:r>
      <w:r w:rsidR="002A51AC">
        <w:t>in the</w:t>
      </w:r>
      <w:r w:rsidRPr="00EE3B00">
        <w:t xml:space="preserve"> </w:t>
      </w:r>
      <w:r w:rsidR="002A51AC">
        <w:t xml:space="preserve">case </w:t>
      </w:r>
      <w:r w:rsidRPr="00EE3B00">
        <w:t>(July 20</w:t>
      </w:r>
      <w:r w:rsidR="006B11E1">
        <w:t>19</w:t>
      </w:r>
      <w:r w:rsidRPr="00EE3B00">
        <w:t>) until the time its attorney tried to obtain Davis</w:t>
      </w:r>
      <w:r w:rsidR="003101EB">
        <w:t>’s agreement</w:t>
      </w:r>
      <w:r w:rsidRPr="00EE3B00">
        <w:t xml:space="preserve"> to submit the case to arbitration (August 202</w:t>
      </w:r>
      <w:r w:rsidR="006B11E1">
        <w:t>0</w:t>
      </w:r>
      <w:r w:rsidRPr="00EE3B00">
        <w:t xml:space="preserve">)—a period </w:t>
      </w:r>
      <w:r w:rsidR="004F3C60">
        <w:t>of about</w:t>
      </w:r>
      <w:r w:rsidRPr="00EE3B00">
        <w:t xml:space="preserve"> 14 months. </w:t>
      </w:r>
      <w:r w:rsidR="00A612AF">
        <w:t xml:space="preserve"> </w:t>
      </w:r>
      <w:r w:rsidR="003101EB">
        <w:t xml:space="preserve">We disagree.  </w:t>
      </w:r>
      <w:r w:rsidRPr="00EE3B00">
        <w:t xml:space="preserve">Shiekh does not explain why the clock started to run from </w:t>
      </w:r>
      <w:r w:rsidR="00A00976">
        <w:t>its appearance</w:t>
      </w:r>
      <w:r w:rsidR="004C09CC">
        <w:t xml:space="preserve"> in the case</w:t>
      </w:r>
      <w:r w:rsidR="00A00976">
        <w:t xml:space="preserve">, </w:t>
      </w:r>
      <w:r w:rsidR="001B009F">
        <w:t>rather than when</w:t>
      </w:r>
      <w:r w:rsidR="00A00976">
        <w:t xml:space="preserve"> </w:t>
      </w:r>
      <w:r w:rsidR="006D671F">
        <w:t xml:space="preserve">the complaint was filed or served. </w:t>
      </w:r>
      <w:r w:rsidR="00DF2383">
        <w:t xml:space="preserve"> </w:t>
      </w:r>
      <w:r w:rsidR="0090732B">
        <w:t xml:space="preserve">We are also unpersuaded by </w:t>
      </w:r>
      <w:r w:rsidR="00684004">
        <w:t xml:space="preserve">Shiekh’s assertion </w:t>
      </w:r>
      <w:r w:rsidR="0090732B">
        <w:t>that the period of delay ended</w:t>
      </w:r>
      <w:r w:rsidR="00684004">
        <w:t xml:space="preserve"> </w:t>
      </w:r>
      <w:r w:rsidR="0090732B">
        <w:t xml:space="preserve">in </w:t>
      </w:r>
      <w:r w:rsidR="00684004">
        <w:t>August 2020</w:t>
      </w:r>
      <w:r w:rsidR="0090732B">
        <w:t>, not October 2020 when it filed its motion to compel arbitration</w:t>
      </w:r>
      <w:r w:rsidR="00684004">
        <w:t>.  A</w:t>
      </w:r>
      <w:r w:rsidRPr="00EE3B00">
        <w:t>lthough Shiekh claim</w:t>
      </w:r>
      <w:r w:rsidR="008C445E">
        <w:t>s</w:t>
      </w:r>
      <w:r w:rsidRPr="00EE3B00">
        <w:t xml:space="preserve"> it had told Davis of its intent to arbitrate in August 2020, </w:t>
      </w:r>
      <w:r w:rsidR="006849EC">
        <w:t>that</w:t>
      </w:r>
      <w:r w:rsidR="00684004">
        <w:t xml:space="preserve"> representation</w:t>
      </w:r>
      <w:r w:rsidR="006849EC">
        <w:t xml:space="preserve"> was not </w:t>
      </w:r>
      <w:r w:rsidR="005E67A8">
        <w:t>placed on the record</w:t>
      </w:r>
      <w:r w:rsidR="0090732B">
        <w:t>, and thus not made known to the court,</w:t>
      </w:r>
      <w:r w:rsidR="00684004">
        <w:t xml:space="preserve"> until it </w:t>
      </w:r>
      <w:r w:rsidR="006849EC">
        <w:t>filed</w:t>
      </w:r>
      <w:r w:rsidRPr="00EE3B00">
        <w:t xml:space="preserve"> </w:t>
      </w:r>
      <w:r w:rsidR="008C445E">
        <w:t xml:space="preserve">the </w:t>
      </w:r>
      <w:r w:rsidRPr="00EE3B00">
        <w:t xml:space="preserve">motion in October 2020. </w:t>
      </w:r>
      <w:r w:rsidR="00B34EFA">
        <w:t xml:space="preserve"> </w:t>
      </w:r>
      <w:r w:rsidRPr="00EE3B00">
        <w:t>“</w:t>
      </w:r>
      <w:r w:rsidR="007F6E85">
        <w:t>I</w:t>
      </w:r>
      <w:r w:rsidR="007F6E85" w:rsidRPr="00EE3B00">
        <w:t xml:space="preserve">n </w:t>
      </w:r>
      <w:r w:rsidR="0033523D">
        <w:t>[a party’s]</w:t>
      </w:r>
      <w:r w:rsidR="007F6E85" w:rsidRPr="00EE3B00">
        <w:t xml:space="preserve"> pre-trial huffery and puffery</w:t>
      </w:r>
      <w:r w:rsidR="007F6E85">
        <w:t xml:space="preserve">, </w:t>
      </w:r>
      <w:r w:rsidR="0033523D">
        <w:t>[it]</w:t>
      </w:r>
      <w:r w:rsidRPr="00EE3B00">
        <w:t xml:space="preserve"> may float all sorts of intentions, serious or not</w:t>
      </w:r>
      <w:r w:rsidR="0033523D">
        <w:t>,” but a</w:t>
      </w:r>
      <w:r>
        <w:t xml:space="preserve"> court deciding waiver “is</w:t>
      </w:r>
      <w:r w:rsidRPr="00EE3B00">
        <w:t xml:space="preserve"> properly concerned only with intentions placed upon the record.”  </w:t>
      </w:r>
      <w:r w:rsidR="0033523D" w:rsidRPr="00EE3B00">
        <w:t>(</w:t>
      </w:r>
      <w:r w:rsidR="0033523D" w:rsidRPr="00EE3B00">
        <w:rPr>
          <w:i/>
          <w:iCs/>
        </w:rPr>
        <w:t>Zuckerman Spaeder, LLP v. Auffenberg</w:t>
      </w:r>
      <w:r w:rsidR="0033523D" w:rsidRPr="00EE3B00">
        <w:t xml:space="preserve"> (</w:t>
      </w:r>
      <w:r w:rsidR="00162083">
        <w:t xml:space="preserve">D.C. Cir. </w:t>
      </w:r>
      <w:r w:rsidR="0033523D" w:rsidRPr="00EE3B00">
        <w:t>2011) 646 F.3d 919, 923</w:t>
      </w:r>
      <w:r w:rsidR="0033523D">
        <w:t xml:space="preserve">; </w:t>
      </w:r>
      <w:r w:rsidRPr="00EE3B00">
        <w:t xml:space="preserve">see </w:t>
      </w:r>
      <w:r w:rsidRPr="00EE3B00">
        <w:rPr>
          <w:i/>
          <w:iCs/>
        </w:rPr>
        <w:t>ibid.</w:t>
      </w:r>
      <w:r w:rsidRPr="00EE3B00">
        <w:t xml:space="preserve"> [focusing on a party’s</w:t>
      </w:r>
      <w:r w:rsidRPr="00F71AB1">
        <w:rPr>
          <w:i/>
          <w:iCs/>
        </w:rPr>
        <w:t xml:space="preserve"> filings</w:t>
      </w:r>
      <w:r w:rsidRPr="00EE3B00">
        <w:t xml:space="preserve"> to determine whether</w:t>
      </w:r>
      <w:r w:rsidR="000261A7">
        <w:t xml:space="preserve"> he </w:t>
      </w:r>
      <w:r w:rsidRPr="00EE3B00">
        <w:t xml:space="preserve">had waived the right to arbitrate].) </w:t>
      </w:r>
      <w:r w:rsidR="00326FDC">
        <w:t xml:space="preserve"> </w:t>
      </w:r>
      <w:r w:rsidR="00D2541D">
        <w:t xml:space="preserve">In any event, </w:t>
      </w:r>
      <w:r w:rsidR="00AB177C">
        <w:t xml:space="preserve">whether </w:t>
      </w:r>
      <w:r w:rsidR="005D2022">
        <w:t xml:space="preserve">the </w:t>
      </w:r>
      <w:r w:rsidR="00AB177C">
        <w:t>delay was 14 or 17 months, we would reach the same conclusion</w:t>
      </w:r>
      <w:r w:rsidR="00C118C6">
        <w:t xml:space="preserve">.  </w:t>
      </w:r>
    </w:p>
  </w:footnote>
  <w:footnote w:id="8">
    <w:p w14:paraId="5B24E8CC" w14:textId="004D4E82" w:rsidR="00A053AE" w:rsidRDefault="00A053AE" w:rsidP="008446E4">
      <w:pPr>
        <w:pStyle w:val="FootnoteText"/>
        <w:ind w:firstLine="720"/>
      </w:pPr>
      <w:r>
        <w:rPr>
          <w:rStyle w:val="FootnoteReference"/>
        </w:rPr>
        <w:footnoteRef/>
      </w:r>
      <w:r>
        <w:t xml:space="preserve"> </w:t>
      </w:r>
      <w:r w:rsidR="00886D99">
        <w:t>A</w:t>
      </w:r>
      <w:r w:rsidR="000B47D1">
        <w:t xml:space="preserve">s noted in footnote </w:t>
      </w:r>
      <w:r w:rsidR="004D35F5">
        <w:t>6</w:t>
      </w:r>
      <w:r w:rsidR="00F96766">
        <w:t xml:space="preserve">, </w:t>
      </w:r>
      <w:r w:rsidR="00F96766" w:rsidRPr="00F96766">
        <w:rPr>
          <w:i/>
          <w:iCs/>
        </w:rPr>
        <w:t>ante</w:t>
      </w:r>
      <w:r w:rsidR="00F96766">
        <w:t xml:space="preserve">, </w:t>
      </w:r>
      <w:r w:rsidR="008D3DFA">
        <w:t xml:space="preserve">even if we were to </w:t>
      </w:r>
      <w:r w:rsidR="00F36D00">
        <w:t xml:space="preserve">also consider the </w:t>
      </w:r>
      <w:r w:rsidR="008F3AA7">
        <w:t xml:space="preserve">court’s </w:t>
      </w:r>
      <w:r w:rsidR="009E51C2">
        <w:t xml:space="preserve">prejudice finding, </w:t>
      </w:r>
      <w:r w:rsidR="00C75938" w:rsidRPr="009A3909">
        <w:t xml:space="preserve">we would conclude </w:t>
      </w:r>
      <w:r w:rsidR="00615C73" w:rsidRPr="009A3909">
        <w:t>substantial evidence supports</w:t>
      </w:r>
      <w:r w:rsidR="007B51AE" w:rsidRPr="009A3909">
        <w:t xml:space="preserve"> it</w:t>
      </w:r>
      <w:r w:rsidR="007B4C05" w:rsidRPr="009A3909">
        <w:t>.</w:t>
      </w:r>
      <w:r w:rsidR="00970305">
        <w:t xml:space="preserve"> </w:t>
      </w:r>
      <w:r w:rsidR="004E2A05">
        <w:t xml:space="preserve"> </w:t>
      </w:r>
      <w:r w:rsidR="00F32878" w:rsidRPr="009A3909">
        <w:t>Shiekh’s extended</w:t>
      </w:r>
      <w:r w:rsidR="009F5095" w:rsidRPr="009A3909">
        <w:t>,</w:t>
      </w:r>
      <w:r w:rsidR="002A0AB4" w:rsidRPr="009A3909">
        <w:t xml:space="preserve"> unreasonable</w:t>
      </w:r>
      <w:r w:rsidR="00F32878" w:rsidRPr="009A3909">
        <w:t xml:space="preserve"> delay in moving to compel arbitration not only forced</w:t>
      </w:r>
      <w:r w:rsidR="00844CDC" w:rsidRPr="009A3909">
        <w:t xml:space="preserve"> Davis to incur substantial </w:t>
      </w:r>
      <w:r w:rsidR="00E847FA" w:rsidRPr="009A3909">
        <w:t>expense</w:t>
      </w:r>
      <w:r w:rsidR="00844CDC" w:rsidRPr="009A3909">
        <w:t xml:space="preserve">s, but </w:t>
      </w:r>
      <w:r w:rsidR="00E847FA" w:rsidRPr="009A3909">
        <w:t>also</w:t>
      </w:r>
      <w:r w:rsidR="00844CDC" w:rsidRPr="009A3909">
        <w:t xml:space="preserve"> deprived her of the advantage of arbitration as a speedy means of dispute resolution.  </w:t>
      </w:r>
      <w:r w:rsidR="00017968">
        <w:t xml:space="preserve">(See </w:t>
      </w:r>
      <w:r w:rsidR="00AC0BB8" w:rsidRPr="002F33B6">
        <w:rPr>
          <w:i/>
          <w:iCs/>
        </w:rPr>
        <w:t>Martin</w:t>
      </w:r>
      <w:r w:rsidR="00AC0BB8">
        <w:t xml:space="preserve">, </w:t>
      </w:r>
      <w:r w:rsidR="00AC0BB8" w:rsidRPr="002F33B6">
        <w:rPr>
          <w:i/>
          <w:iCs/>
        </w:rPr>
        <w:t>supra</w:t>
      </w:r>
      <w:r w:rsidR="00AC0BB8">
        <w:t xml:space="preserve">, </w:t>
      </w:r>
      <w:r w:rsidR="00902EA0">
        <w:t>829 F.3d at pp. 1127–1128</w:t>
      </w:r>
      <w:r w:rsidR="002F33B6">
        <w:t xml:space="preserve">.)  </w:t>
      </w:r>
      <w:r w:rsidR="00267EA8">
        <w:t>In a similar vein,</w:t>
      </w:r>
      <w:r w:rsidR="00D76D39" w:rsidRPr="009A3909">
        <w:t xml:space="preserve"> </w:t>
      </w:r>
      <w:r w:rsidR="00C84FED">
        <w:t>by</w:t>
      </w:r>
      <w:r w:rsidR="00D76D39" w:rsidRPr="009A3909">
        <w:t xml:space="preserve"> </w:t>
      </w:r>
      <w:r w:rsidR="008A001A">
        <w:t>request</w:t>
      </w:r>
      <w:r w:rsidR="00C84FED">
        <w:t>ing</w:t>
      </w:r>
      <w:r w:rsidR="008A001A">
        <w:t xml:space="preserve"> a trial and </w:t>
      </w:r>
      <w:r w:rsidR="00C84FED">
        <w:t>later stipulating</w:t>
      </w:r>
      <w:r w:rsidR="00D76D39" w:rsidRPr="009A3909">
        <w:t xml:space="preserve"> to </w:t>
      </w:r>
      <w:r w:rsidR="00DB277B">
        <w:t>a</w:t>
      </w:r>
      <w:r w:rsidR="00D76D39" w:rsidRPr="009A3909">
        <w:t xml:space="preserve"> trial continuance </w:t>
      </w:r>
      <w:r w:rsidR="008A001A">
        <w:t>because</w:t>
      </w:r>
      <w:r w:rsidR="00D76D39" w:rsidRPr="009A3909">
        <w:t xml:space="preserve"> it needed time to prepare for trial, </w:t>
      </w:r>
      <w:r w:rsidR="00C84FED">
        <w:t xml:space="preserve">Shiekh </w:t>
      </w:r>
      <w:r w:rsidR="0054535C" w:rsidRPr="009A3909">
        <w:t xml:space="preserve">misled Davis </w:t>
      </w:r>
      <w:r w:rsidR="001E445D">
        <w:t>into</w:t>
      </w:r>
      <w:r w:rsidR="00081A29" w:rsidRPr="009A3909">
        <w:t xml:space="preserve"> expect</w:t>
      </w:r>
      <w:r w:rsidR="001E445D">
        <w:t>ing</w:t>
      </w:r>
      <w:r w:rsidR="00081A29" w:rsidRPr="009A3909">
        <w:t xml:space="preserve"> </w:t>
      </w:r>
      <w:r w:rsidR="00CD63BD" w:rsidRPr="009A3909">
        <w:t>the parties</w:t>
      </w:r>
      <w:r w:rsidR="00081A29" w:rsidRPr="009A3909">
        <w:t xml:space="preserve"> would prepare the case for presentation to a jury and not an </w:t>
      </w:r>
      <w:r w:rsidR="001873A2" w:rsidRPr="009A3909">
        <w:t xml:space="preserve">arbitrator, causing the preparation to be </w:t>
      </w:r>
      <w:r w:rsidR="006923D6">
        <w:t>considerably</w:t>
      </w:r>
      <w:r w:rsidR="001A071D" w:rsidRPr="009A3909">
        <w:t xml:space="preserve"> </w:t>
      </w:r>
      <w:r w:rsidR="007A7C66" w:rsidRPr="009A3909">
        <w:t>different.</w:t>
      </w:r>
      <w:r w:rsidR="007A7C66">
        <w:t xml:space="preserve"> </w:t>
      </w:r>
      <w:r w:rsidR="004A3DA8">
        <w:t xml:space="preserve"> (See </w:t>
      </w:r>
      <w:r w:rsidR="004A3DA8">
        <w:rPr>
          <w:i/>
          <w:iCs/>
        </w:rPr>
        <w:t>Stol</w:t>
      </w:r>
      <w:r w:rsidR="00C8778E">
        <w:rPr>
          <w:i/>
          <w:iCs/>
        </w:rPr>
        <w:t>t</w:t>
      </w:r>
      <w:r w:rsidR="004A3DA8">
        <w:rPr>
          <w:i/>
          <w:iCs/>
        </w:rPr>
        <w:t>-Nielson S.A. v. AnimalFee</w:t>
      </w:r>
      <w:r w:rsidR="001C55DB">
        <w:rPr>
          <w:i/>
          <w:iCs/>
        </w:rPr>
        <w:t>d</w:t>
      </w:r>
      <w:r w:rsidR="004A3DA8">
        <w:rPr>
          <w:i/>
          <w:iCs/>
        </w:rPr>
        <w:t xml:space="preserve">s International Corp. </w:t>
      </w:r>
      <w:r w:rsidR="004A3DA8">
        <w:t xml:space="preserve">(2010) </w:t>
      </w:r>
      <w:r w:rsidR="00F26067">
        <w:t>559 U.S. 662, 685 [“</w:t>
      </w:r>
      <w:r w:rsidR="00F26067" w:rsidRPr="00F26067">
        <w:t>In bilateral arbitration, parties forgo the procedural rigor and appellate review of the courts in order to realize the benefits of private dispute resolution</w:t>
      </w:r>
      <w:r w:rsidR="00F26067">
        <w:t xml:space="preserve">”]. </w:t>
      </w:r>
      <w:r w:rsidR="004F44D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E7D42"/>
    <w:multiLevelType w:val="hybridMultilevel"/>
    <w:tmpl w:val="A8CC11C4"/>
    <w:lvl w:ilvl="0" w:tplc="09AC6C36">
      <w:start w:val="1"/>
      <w:numFmt w:val="upperRoman"/>
      <w:lvlText w:val="%1."/>
      <w:lvlJc w:val="right"/>
      <w:pPr>
        <w:ind w:left="72" w:hanging="72"/>
      </w:pPr>
      <w:rPr>
        <w:rFonts w:hint="default"/>
        <w:b/>
        <w:i w:val="0"/>
        <w:sz w:val="26"/>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1" w15:restartNumberingAfterBreak="0">
    <w:nsid w:val="38555485"/>
    <w:multiLevelType w:val="hybridMultilevel"/>
    <w:tmpl w:val="95B0E46E"/>
    <w:lvl w:ilvl="0" w:tplc="F3E2B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C53C32"/>
    <w:multiLevelType w:val="hybridMultilevel"/>
    <w:tmpl w:val="FFF6061C"/>
    <w:lvl w:ilvl="0" w:tplc="9EFE1588">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C30E2"/>
    <w:multiLevelType w:val="hybridMultilevel"/>
    <w:tmpl w:val="1FC2E096"/>
    <w:lvl w:ilvl="0" w:tplc="9EA22EB6">
      <w:start w:val="1"/>
      <w:numFmt w:val="lowerLetter"/>
      <w:pStyle w:val="Heading4"/>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78297783">
    <w:abstractNumId w:val="0"/>
  </w:num>
  <w:num w:numId="2" w16cid:durableId="2006778108">
    <w:abstractNumId w:val="2"/>
  </w:num>
  <w:num w:numId="3" w16cid:durableId="214045890">
    <w:abstractNumId w:val="1"/>
  </w:num>
  <w:num w:numId="4" w16cid:durableId="1213268187">
    <w:abstractNumId w:val="3"/>
  </w:num>
  <w:num w:numId="5" w16cid:durableId="626163563">
    <w:abstractNumId w:val="0"/>
    <w:lvlOverride w:ilvl="0">
      <w:startOverride w:val="1"/>
    </w:lvlOverride>
  </w:num>
  <w:num w:numId="6" w16cid:durableId="239796971">
    <w:abstractNumId w:val="0"/>
    <w:lvlOverride w:ilvl="0">
      <w:startOverride w:val="1"/>
    </w:lvlOverride>
  </w:num>
  <w:num w:numId="7" w16cid:durableId="1005746208">
    <w:abstractNumId w:val="0"/>
    <w:lvlOverride w:ilvl="0">
      <w:startOverride w:val="1"/>
    </w:lvlOverride>
  </w:num>
  <w:num w:numId="8" w16cid:durableId="1838615677">
    <w:abstractNumId w:val="0"/>
    <w:lvlOverride w:ilvl="0">
      <w:startOverride w:val="1"/>
    </w:lvlOverride>
  </w:num>
  <w:num w:numId="9" w16cid:durableId="781850003">
    <w:abstractNumId w:val="0"/>
    <w:lvlOverride w:ilvl="0">
      <w:startOverride w:val="1"/>
    </w:lvlOverride>
  </w:num>
  <w:num w:numId="10" w16cid:durableId="100533428">
    <w:abstractNumId w:val="0"/>
    <w:lvlOverride w:ilvl="0">
      <w:startOverride w:val="1"/>
    </w:lvlOverride>
  </w:num>
  <w:num w:numId="11" w16cid:durableId="2071881353">
    <w:abstractNumId w:val="0"/>
    <w:lvlOverride w:ilvl="0">
      <w:startOverride w:val="1"/>
    </w:lvlOverride>
  </w:num>
  <w:num w:numId="12" w16cid:durableId="967861814">
    <w:abstractNumId w:val="0"/>
    <w:lvlOverride w:ilvl="0">
      <w:startOverride w:val="1"/>
    </w:lvlOverride>
  </w:num>
  <w:num w:numId="13" w16cid:durableId="2065518985">
    <w:abstractNumId w:val="0"/>
    <w:lvlOverride w:ilvl="0">
      <w:startOverride w:val="1"/>
    </w:lvlOverride>
  </w:num>
  <w:num w:numId="14" w16cid:durableId="1735662522">
    <w:abstractNumId w:val="0"/>
    <w:lvlOverride w:ilvl="0">
      <w:startOverride w:val="1"/>
    </w:lvlOverride>
  </w:num>
  <w:num w:numId="15" w16cid:durableId="1786919347">
    <w:abstractNumId w:val="0"/>
    <w:lvlOverride w:ilvl="0">
      <w:startOverride w:val="1"/>
    </w:lvlOverride>
  </w:num>
  <w:num w:numId="16" w16cid:durableId="1328249136">
    <w:abstractNumId w:val="0"/>
    <w:lvlOverride w:ilvl="0">
      <w:startOverride w:val="1"/>
    </w:lvlOverride>
  </w:num>
  <w:num w:numId="17" w16cid:durableId="13479483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B68"/>
    <w:rsid w:val="000008A6"/>
    <w:rsid w:val="00000D9C"/>
    <w:rsid w:val="00000E21"/>
    <w:rsid w:val="0000300A"/>
    <w:rsid w:val="000030AD"/>
    <w:rsid w:val="00005150"/>
    <w:rsid w:val="0000522A"/>
    <w:rsid w:val="00006613"/>
    <w:rsid w:val="00006D15"/>
    <w:rsid w:val="00006D4D"/>
    <w:rsid w:val="00007358"/>
    <w:rsid w:val="00010319"/>
    <w:rsid w:val="00011966"/>
    <w:rsid w:val="00013175"/>
    <w:rsid w:val="000131FA"/>
    <w:rsid w:val="000143FF"/>
    <w:rsid w:val="00014D35"/>
    <w:rsid w:val="00014E89"/>
    <w:rsid w:val="00017968"/>
    <w:rsid w:val="00017CFC"/>
    <w:rsid w:val="000203B0"/>
    <w:rsid w:val="000208C4"/>
    <w:rsid w:val="00025C3C"/>
    <w:rsid w:val="000261A7"/>
    <w:rsid w:val="000267A5"/>
    <w:rsid w:val="00027D84"/>
    <w:rsid w:val="00030997"/>
    <w:rsid w:val="000316DA"/>
    <w:rsid w:val="00032C77"/>
    <w:rsid w:val="000330AF"/>
    <w:rsid w:val="00033B16"/>
    <w:rsid w:val="00035BC8"/>
    <w:rsid w:val="00035C47"/>
    <w:rsid w:val="000409E9"/>
    <w:rsid w:val="00040C34"/>
    <w:rsid w:val="00042918"/>
    <w:rsid w:val="000429C1"/>
    <w:rsid w:val="00042E6C"/>
    <w:rsid w:val="00043F6A"/>
    <w:rsid w:val="00044834"/>
    <w:rsid w:val="00045223"/>
    <w:rsid w:val="000455BB"/>
    <w:rsid w:val="00047BD1"/>
    <w:rsid w:val="00050517"/>
    <w:rsid w:val="000516F3"/>
    <w:rsid w:val="00051986"/>
    <w:rsid w:val="00051A83"/>
    <w:rsid w:val="00052119"/>
    <w:rsid w:val="00053E54"/>
    <w:rsid w:val="000560E8"/>
    <w:rsid w:val="00056D65"/>
    <w:rsid w:val="00057218"/>
    <w:rsid w:val="00061AD9"/>
    <w:rsid w:val="000633A0"/>
    <w:rsid w:val="00063D05"/>
    <w:rsid w:val="00064D74"/>
    <w:rsid w:val="00065D50"/>
    <w:rsid w:val="000679B7"/>
    <w:rsid w:val="00073101"/>
    <w:rsid w:val="00073235"/>
    <w:rsid w:val="0007342D"/>
    <w:rsid w:val="00073D95"/>
    <w:rsid w:val="00074ADC"/>
    <w:rsid w:val="0007521E"/>
    <w:rsid w:val="00075935"/>
    <w:rsid w:val="00075FE3"/>
    <w:rsid w:val="0007699C"/>
    <w:rsid w:val="000775C3"/>
    <w:rsid w:val="00077F4E"/>
    <w:rsid w:val="00080F13"/>
    <w:rsid w:val="00081A29"/>
    <w:rsid w:val="00081C5D"/>
    <w:rsid w:val="0008233F"/>
    <w:rsid w:val="00082B23"/>
    <w:rsid w:val="00084244"/>
    <w:rsid w:val="00084F6F"/>
    <w:rsid w:val="00085666"/>
    <w:rsid w:val="00085BED"/>
    <w:rsid w:val="00085E8A"/>
    <w:rsid w:val="0008641F"/>
    <w:rsid w:val="00086A0A"/>
    <w:rsid w:val="00087075"/>
    <w:rsid w:val="00087AAD"/>
    <w:rsid w:val="0009032E"/>
    <w:rsid w:val="00090E11"/>
    <w:rsid w:val="00091B07"/>
    <w:rsid w:val="00091F28"/>
    <w:rsid w:val="00092D56"/>
    <w:rsid w:val="000934DB"/>
    <w:rsid w:val="000947C7"/>
    <w:rsid w:val="0009489D"/>
    <w:rsid w:val="00094ECA"/>
    <w:rsid w:val="00095037"/>
    <w:rsid w:val="000952E8"/>
    <w:rsid w:val="00097453"/>
    <w:rsid w:val="00097DBE"/>
    <w:rsid w:val="000A1B81"/>
    <w:rsid w:val="000A1D35"/>
    <w:rsid w:val="000A1E88"/>
    <w:rsid w:val="000A2870"/>
    <w:rsid w:val="000A2DBE"/>
    <w:rsid w:val="000A448F"/>
    <w:rsid w:val="000A4502"/>
    <w:rsid w:val="000A52BA"/>
    <w:rsid w:val="000A637E"/>
    <w:rsid w:val="000A6FBE"/>
    <w:rsid w:val="000B04F6"/>
    <w:rsid w:val="000B117C"/>
    <w:rsid w:val="000B1B42"/>
    <w:rsid w:val="000B1F03"/>
    <w:rsid w:val="000B2242"/>
    <w:rsid w:val="000B2DE4"/>
    <w:rsid w:val="000B47D1"/>
    <w:rsid w:val="000B5DCD"/>
    <w:rsid w:val="000B69F3"/>
    <w:rsid w:val="000B6DC4"/>
    <w:rsid w:val="000B7CB2"/>
    <w:rsid w:val="000C01FE"/>
    <w:rsid w:val="000C1884"/>
    <w:rsid w:val="000C20B5"/>
    <w:rsid w:val="000C2404"/>
    <w:rsid w:val="000C2BE0"/>
    <w:rsid w:val="000C2F35"/>
    <w:rsid w:val="000C3550"/>
    <w:rsid w:val="000C5093"/>
    <w:rsid w:val="000C526E"/>
    <w:rsid w:val="000C62F0"/>
    <w:rsid w:val="000C6714"/>
    <w:rsid w:val="000C6944"/>
    <w:rsid w:val="000C6BC8"/>
    <w:rsid w:val="000C76D5"/>
    <w:rsid w:val="000C7EA7"/>
    <w:rsid w:val="000C7F4C"/>
    <w:rsid w:val="000D0878"/>
    <w:rsid w:val="000D1242"/>
    <w:rsid w:val="000D2C1D"/>
    <w:rsid w:val="000D40B8"/>
    <w:rsid w:val="000D4362"/>
    <w:rsid w:val="000D5CD5"/>
    <w:rsid w:val="000D6AB7"/>
    <w:rsid w:val="000D6BE1"/>
    <w:rsid w:val="000D78B9"/>
    <w:rsid w:val="000D7F9B"/>
    <w:rsid w:val="000D7FF8"/>
    <w:rsid w:val="000E0681"/>
    <w:rsid w:val="000E0819"/>
    <w:rsid w:val="000E0B85"/>
    <w:rsid w:val="000E2EC0"/>
    <w:rsid w:val="000E3405"/>
    <w:rsid w:val="000E37E1"/>
    <w:rsid w:val="000E3BD1"/>
    <w:rsid w:val="000E3F1A"/>
    <w:rsid w:val="000E4FAC"/>
    <w:rsid w:val="000E5FD8"/>
    <w:rsid w:val="000E7213"/>
    <w:rsid w:val="000F2238"/>
    <w:rsid w:val="000F2FC5"/>
    <w:rsid w:val="000F43E0"/>
    <w:rsid w:val="000F49D7"/>
    <w:rsid w:val="000F6546"/>
    <w:rsid w:val="000F6803"/>
    <w:rsid w:val="000F6C02"/>
    <w:rsid w:val="000F73F5"/>
    <w:rsid w:val="000F7556"/>
    <w:rsid w:val="000F75D0"/>
    <w:rsid w:val="000F7BB1"/>
    <w:rsid w:val="00100056"/>
    <w:rsid w:val="001006F7"/>
    <w:rsid w:val="00100942"/>
    <w:rsid w:val="00101C7F"/>
    <w:rsid w:val="001035E1"/>
    <w:rsid w:val="00103718"/>
    <w:rsid w:val="00103B36"/>
    <w:rsid w:val="00105D16"/>
    <w:rsid w:val="00107047"/>
    <w:rsid w:val="0011188F"/>
    <w:rsid w:val="00113293"/>
    <w:rsid w:val="001132E9"/>
    <w:rsid w:val="0011343B"/>
    <w:rsid w:val="00114B1D"/>
    <w:rsid w:val="00115790"/>
    <w:rsid w:val="00116F66"/>
    <w:rsid w:val="0012029A"/>
    <w:rsid w:val="00122B33"/>
    <w:rsid w:val="00122DE0"/>
    <w:rsid w:val="00123111"/>
    <w:rsid w:val="00123269"/>
    <w:rsid w:val="00123ADB"/>
    <w:rsid w:val="001243F9"/>
    <w:rsid w:val="001253DF"/>
    <w:rsid w:val="001301A5"/>
    <w:rsid w:val="00131445"/>
    <w:rsid w:val="00131D50"/>
    <w:rsid w:val="001324AB"/>
    <w:rsid w:val="0013272C"/>
    <w:rsid w:val="00132A86"/>
    <w:rsid w:val="001335C3"/>
    <w:rsid w:val="00135F72"/>
    <w:rsid w:val="00136384"/>
    <w:rsid w:val="00136746"/>
    <w:rsid w:val="001370E9"/>
    <w:rsid w:val="00137656"/>
    <w:rsid w:val="00137BFF"/>
    <w:rsid w:val="00141320"/>
    <w:rsid w:val="00141725"/>
    <w:rsid w:val="00141896"/>
    <w:rsid w:val="00143A95"/>
    <w:rsid w:val="00144271"/>
    <w:rsid w:val="001442B8"/>
    <w:rsid w:val="00145053"/>
    <w:rsid w:val="00145670"/>
    <w:rsid w:val="001456EC"/>
    <w:rsid w:val="00145BF8"/>
    <w:rsid w:val="00146202"/>
    <w:rsid w:val="00146464"/>
    <w:rsid w:val="001476B2"/>
    <w:rsid w:val="001478D1"/>
    <w:rsid w:val="00150BB2"/>
    <w:rsid w:val="00151A12"/>
    <w:rsid w:val="001526CA"/>
    <w:rsid w:val="00152BE2"/>
    <w:rsid w:val="00152F37"/>
    <w:rsid w:val="00153C6C"/>
    <w:rsid w:val="00154C9B"/>
    <w:rsid w:val="00155268"/>
    <w:rsid w:val="00155856"/>
    <w:rsid w:val="00155ED0"/>
    <w:rsid w:val="001562CB"/>
    <w:rsid w:val="00156B8C"/>
    <w:rsid w:val="00156BDC"/>
    <w:rsid w:val="001570FF"/>
    <w:rsid w:val="001576B2"/>
    <w:rsid w:val="00157D85"/>
    <w:rsid w:val="00162083"/>
    <w:rsid w:val="0016217D"/>
    <w:rsid w:val="00162E09"/>
    <w:rsid w:val="00165092"/>
    <w:rsid w:val="001655F3"/>
    <w:rsid w:val="00165D5D"/>
    <w:rsid w:val="001667BC"/>
    <w:rsid w:val="00166B4B"/>
    <w:rsid w:val="001702B0"/>
    <w:rsid w:val="001703E8"/>
    <w:rsid w:val="00170F71"/>
    <w:rsid w:val="00171309"/>
    <w:rsid w:val="00171417"/>
    <w:rsid w:val="001714C6"/>
    <w:rsid w:val="00171F56"/>
    <w:rsid w:val="001737ED"/>
    <w:rsid w:val="00174193"/>
    <w:rsid w:val="0017466C"/>
    <w:rsid w:val="0017511D"/>
    <w:rsid w:val="001761A7"/>
    <w:rsid w:val="0017720E"/>
    <w:rsid w:val="001773D5"/>
    <w:rsid w:val="001775A8"/>
    <w:rsid w:val="0017775B"/>
    <w:rsid w:val="001807A9"/>
    <w:rsid w:val="00181DAB"/>
    <w:rsid w:val="00182716"/>
    <w:rsid w:val="001841D1"/>
    <w:rsid w:val="001845D1"/>
    <w:rsid w:val="00184E43"/>
    <w:rsid w:val="00185E52"/>
    <w:rsid w:val="001864C9"/>
    <w:rsid w:val="00186584"/>
    <w:rsid w:val="00186FE6"/>
    <w:rsid w:val="00187344"/>
    <w:rsid w:val="001873A2"/>
    <w:rsid w:val="001905E1"/>
    <w:rsid w:val="001908E6"/>
    <w:rsid w:val="00190D61"/>
    <w:rsid w:val="0019320E"/>
    <w:rsid w:val="00194296"/>
    <w:rsid w:val="00194436"/>
    <w:rsid w:val="0019543A"/>
    <w:rsid w:val="00195A6E"/>
    <w:rsid w:val="00195B97"/>
    <w:rsid w:val="00195F2B"/>
    <w:rsid w:val="00196045"/>
    <w:rsid w:val="001962C3"/>
    <w:rsid w:val="0019667E"/>
    <w:rsid w:val="00196DB5"/>
    <w:rsid w:val="001A071D"/>
    <w:rsid w:val="001A318C"/>
    <w:rsid w:val="001A5199"/>
    <w:rsid w:val="001A6746"/>
    <w:rsid w:val="001A6D4E"/>
    <w:rsid w:val="001B009F"/>
    <w:rsid w:val="001B04D3"/>
    <w:rsid w:val="001B15E2"/>
    <w:rsid w:val="001B1CB4"/>
    <w:rsid w:val="001B42C7"/>
    <w:rsid w:val="001B659B"/>
    <w:rsid w:val="001B6715"/>
    <w:rsid w:val="001B6A02"/>
    <w:rsid w:val="001B7E17"/>
    <w:rsid w:val="001C05E5"/>
    <w:rsid w:val="001C0FF6"/>
    <w:rsid w:val="001C11AE"/>
    <w:rsid w:val="001C13F5"/>
    <w:rsid w:val="001C1B06"/>
    <w:rsid w:val="001C2977"/>
    <w:rsid w:val="001C35AD"/>
    <w:rsid w:val="001C368F"/>
    <w:rsid w:val="001C3B0F"/>
    <w:rsid w:val="001C3CB0"/>
    <w:rsid w:val="001C3D12"/>
    <w:rsid w:val="001C446E"/>
    <w:rsid w:val="001C5093"/>
    <w:rsid w:val="001C526F"/>
    <w:rsid w:val="001C5323"/>
    <w:rsid w:val="001C55DB"/>
    <w:rsid w:val="001C67C7"/>
    <w:rsid w:val="001C6DBA"/>
    <w:rsid w:val="001D1175"/>
    <w:rsid w:val="001D15CC"/>
    <w:rsid w:val="001D2395"/>
    <w:rsid w:val="001D25F8"/>
    <w:rsid w:val="001D2CD5"/>
    <w:rsid w:val="001D3C3F"/>
    <w:rsid w:val="001D4DD7"/>
    <w:rsid w:val="001D6504"/>
    <w:rsid w:val="001D6DA2"/>
    <w:rsid w:val="001E0E26"/>
    <w:rsid w:val="001E1574"/>
    <w:rsid w:val="001E16ED"/>
    <w:rsid w:val="001E2267"/>
    <w:rsid w:val="001E28A1"/>
    <w:rsid w:val="001E3E1C"/>
    <w:rsid w:val="001E445D"/>
    <w:rsid w:val="001E5EC8"/>
    <w:rsid w:val="001E7575"/>
    <w:rsid w:val="001F0259"/>
    <w:rsid w:val="001F0C1E"/>
    <w:rsid w:val="001F12FB"/>
    <w:rsid w:val="001F1DFE"/>
    <w:rsid w:val="001F25C3"/>
    <w:rsid w:val="001F31A3"/>
    <w:rsid w:val="001F3FF6"/>
    <w:rsid w:val="001F4EE5"/>
    <w:rsid w:val="001F5465"/>
    <w:rsid w:val="001F5E3C"/>
    <w:rsid w:val="001F6C0C"/>
    <w:rsid w:val="001F6F3B"/>
    <w:rsid w:val="00200131"/>
    <w:rsid w:val="002002BF"/>
    <w:rsid w:val="00200AFB"/>
    <w:rsid w:val="00200BF9"/>
    <w:rsid w:val="0020271A"/>
    <w:rsid w:val="002031E2"/>
    <w:rsid w:val="00203379"/>
    <w:rsid w:val="0020345A"/>
    <w:rsid w:val="00204213"/>
    <w:rsid w:val="002042F6"/>
    <w:rsid w:val="00204F46"/>
    <w:rsid w:val="002051D3"/>
    <w:rsid w:val="002055FA"/>
    <w:rsid w:val="00205D36"/>
    <w:rsid w:val="00206112"/>
    <w:rsid w:val="00206129"/>
    <w:rsid w:val="0020666E"/>
    <w:rsid w:val="00207950"/>
    <w:rsid w:val="00207DC9"/>
    <w:rsid w:val="002104A4"/>
    <w:rsid w:val="00211237"/>
    <w:rsid w:val="00211262"/>
    <w:rsid w:val="00211541"/>
    <w:rsid w:val="00212A02"/>
    <w:rsid w:val="00214BCB"/>
    <w:rsid w:val="00215288"/>
    <w:rsid w:val="00217209"/>
    <w:rsid w:val="00217E02"/>
    <w:rsid w:val="00220B4F"/>
    <w:rsid w:val="00220FBE"/>
    <w:rsid w:val="00221D26"/>
    <w:rsid w:val="00221DE9"/>
    <w:rsid w:val="00221F66"/>
    <w:rsid w:val="002240E0"/>
    <w:rsid w:val="002247F0"/>
    <w:rsid w:val="00226398"/>
    <w:rsid w:val="002276CA"/>
    <w:rsid w:val="0022789D"/>
    <w:rsid w:val="00227940"/>
    <w:rsid w:val="00230D48"/>
    <w:rsid w:val="00231569"/>
    <w:rsid w:val="002318A5"/>
    <w:rsid w:val="0023212B"/>
    <w:rsid w:val="00232487"/>
    <w:rsid w:val="00232B1A"/>
    <w:rsid w:val="0023334D"/>
    <w:rsid w:val="00233A6B"/>
    <w:rsid w:val="0023442F"/>
    <w:rsid w:val="00234A81"/>
    <w:rsid w:val="00234EFC"/>
    <w:rsid w:val="00237B6A"/>
    <w:rsid w:val="0024098B"/>
    <w:rsid w:val="002417C6"/>
    <w:rsid w:val="0024401B"/>
    <w:rsid w:val="00245558"/>
    <w:rsid w:val="00245F97"/>
    <w:rsid w:val="00250D3C"/>
    <w:rsid w:val="002511A7"/>
    <w:rsid w:val="00251FB6"/>
    <w:rsid w:val="0025273D"/>
    <w:rsid w:val="002532E8"/>
    <w:rsid w:val="00254BE9"/>
    <w:rsid w:val="00256295"/>
    <w:rsid w:val="00260193"/>
    <w:rsid w:val="00260DF6"/>
    <w:rsid w:val="00261944"/>
    <w:rsid w:val="00261F2D"/>
    <w:rsid w:val="00262C82"/>
    <w:rsid w:val="0026525A"/>
    <w:rsid w:val="00267EA8"/>
    <w:rsid w:val="002704AE"/>
    <w:rsid w:val="00270B32"/>
    <w:rsid w:val="00271875"/>
    <w:rsid w:val="002725E4"/>
    <w:rsid w:val="00272E6E"/>
    <w:rsid w:val="00272EAE"/>
    <w:rsid w:val="0027350F"/>
    <w:rsid w:val="0027402F"/>
    <w:rsid w:val="0027633C"/>
    <w:rsid w:val="002770C5"/>
    <w:rsid w:val="00277113"/>
    <w:rsid w:val="00277A7C"/>
    <w:rsid w:val="00280C51"/>
    <w:rsid w:val="00280CE7"/>
    <w:rsid w:val="002819D2"/>
    <w:rsid w:val="002820D1"/>
    <w:rsid w:val="00282688"/>
    <w:rsid w:val="00282C2C"/>
    <w:rsid w:val="00283A2D"/>
    <w:rsid w:val="00284508"/>
    <w:rsid w:val="00285E32"/>
    <w:rsid w:val="00287229"/>
    <w:rsid w:val="00287E35"/>
    <w:rsid w:val="00290229"/>
    <w:rsid w:val="00290A2F"/>
    <w:rsid w:val="002911DA"/>
    <w:rsid w:val="00291E57"/>
    <w:rsid w:val="00292EB4"/>
    <w:rsid w:val="002930D9"/>
    <w:rsid w:val="00293BC5"/>
    <w:rsid w:val="0029423B"/>
    <w:rsid w:val="00294BE4"/>
    <w:rsid w:val="0029619F"/>
    <w:rsid w:val="00296E2E"/>
    <w:rsid w:val="00296ED9"/>
    <w:rsid w:val="0029730E"/>
    <w:rsid w:val="002A0AB4"/>
    <w:rsid w:val="002A0C31"/>
    <w:rsid w:val="002A0CA1"/>
    <w:rsid w:val="002A191E"/>
    <w:rsid w:val="002A2479"/>
    <w:rsid w:val="002A2D8F"/>
    <w:rsid w:val="002A39C8"/>
    <w:rsid w:val="002A3DDB"/>
    <w:rsid w:val="002A4051"/>
    <w:rsid w:val="002A41FD"/>
    <w:rsid w:val="002A4C2D"/>
    <w:rsid w:val="002A51AC"/>
    <w:rsid w:val="002A520F"/>
    <w:rsid w:val="002A5DA4"/>
    <w:rsid w:val="002A6A00"/>
    <w:rsid w:val="002A716F"/>
    <w:rsid w:val="002A7D44"/>
    <w:rsid w:val="002A7EF5"/>
    <w:rsid w:val="002B0A13"/>
    <w:rsid w:val="002B15B3"/>
    <w:rsid w:val="002B39DF"/>
    <w:rsid w:val="002B7024"/>
    <w:rsid w:val="002B7466"/>
    <w:rsid w:val="002B7929"/>
    <w:rsid w:val="002C036E"/>
    <w:rsid w:val="002C06FD"/>
    <w:rsid w:val="002C0B41"/>
    <w:rsid w:val="002C0CCE"/>
    <w:rsid w:val="002C1074"/>
    <w:rsid w:val="002C1984"/>
    <w:rsid w:val="002C1A66"/>
    <w:rsid w:val="002C1D5F"/>
    <w:rsid w:val="002C2311"/>
    <w:rsid w:val="002C520B"/>
    <w:rsid w:val="002C5DE3"/>
    <w:rsid w:val="002C63B1"/>
    <w:rsid w:val="002C6BE8"/>
    <w:rsid w:val="002D0A51"/>
    <w:rsid w:val="002D0AC0"/>
    <w:rsid w:val="002D0D25"/>
    <w:rsid w:val="002D14AE"/>
    <w:rsid w:val="002D170A"/>
    <w:rsid w:val="002D207E"/>
    <w:rsid w:val="002D281C"/>
    <w:rsid w:val="002D2894"/>
    <w:rsid w:val="002D304C"/>
    <w:rsid w:val="002D4336"/>
    <w:rsid w:val="002D452C"/>
    <w:rsid w:val="002D4546"/>
    <w:rsid w:val="002D4B40"/>
    <w:rsid w:val="002D50D1"/>
    <w:rsid w:val="002D5CDB"/>
    <w:rsid w:val="002D695E"/>
    <w:rsid w:val="002D7E09"/>
    <w:rsid w:val="002D7F58"/>
    <w:rsid w:val="002E093A"/>
    <w:rsid w:val="002E0E65"/>
    <w:rsid w:val="002E19F3"/>
    <w:rsid w:val="002E1DF3"/>
    <w:rsid w:val="002E2DA8"/>
    <w:rsid w:val="002E3BDC"/>
    <w:rsid w:val="002E441F"/>
    <w:rsid w:val="002E48DE"/>
    <w:rsid w:val="002E49DF"/>
    <w:rsid w:val="002E5204"/>
    <w:rsid w:val="002E5D41"/>
    <w:rsid w:val="002E6E3B"/>
    <w:rsid w:val="002E6E4D"/>
    <w:rsid w:val="002E725E"/>
    <w:rsid w:val="002E72AC"/>
    <w:rsid w:val="002E7A4A"/>
    <w:rsid w:val="002E7E7D"/>
    <w:rsid w:val="002F1401"/>
    <w:rsid w:val="002F1F73"/>
    <w:rsid w:val="002F2874"/>
    <w:rsid w:val="002F307E"/>
    <w:rsid w:val="002F33B6"/>
    <w:rsid w:val="002F35D8"/>
    <w:rsid w:val="002F41B0"/>
    <w:rsid w:val="002F5010"/>
    <w:rsid w:val="00300DE6"/>
    <w:rsid w:val="0030152C"/>
    <w:rsid w:val="003015FA"/>
    <w:rsid w:val="00301B09"/>
    <w:rsid w:val="003025CE"/>
    <w:rsid w:val="00303DC8"/>
    <w:rsid w:val="00305594"/>
    <w:rsid w:val="00305D17"/>
    <w:rsid w:val="003063A8"/>
    <w:rsid w:val="00306F1E"/>
    <w:rsid w:val="00307507"/>
    <w:rsid w:val="00307CF8"/>
    <w:rsid w:val="003101EB"/>
    <w:rsid w:val="00310D75"/>
    <w:rsid w:val="00311A86"/>
    <w:rsid w:val="0031291D"/>
    <w:rsid w:val="003135EE"/>
    <w:rsid w:val="00313628"/>
    <w:rsid w:val="003136D1"/>
    <w:rsid w:val="0031411D"/>
    <w:rsid w:val="003152C9"/>
    <w:rsid w:val="0031531B"/>
    <w:rsid w:val="00315A6A"/>
    <w:rsid w:val="00316B86"/>
    <w:rsid w:val="00317BFD"/>
    <w:rsid w:val="00320388"/>
    <w:rsid w:val="003209CB"/>
    <w:rsid w:val="00321607"/>
    <w:rsid w:val="00321CF1"/>
    <w:rsid w:val="00321D15"/>
    <w:rsid w:val="0032212D"/>
    <w:rsid w:val="00324ABF"/>
    <w:rsid w:val="0032615C"/>
    <w:rsid w:val="00326FDC"/>
    <w:rsid w:val="00327946"/>
    <w:rsid w:val="003304DA"/>
    <w:rsid w:val="00330AAC"/>
    <w:rsid w:val="00330EB7"/>
    <w:rsid w:val="0033188B"/>
    <w:rsid w:val="003319BD"/>
    <w:rsid w:val="00333252"/>
    <w:rsid w:val="0033368E"/>
    <w:rsid w:val="00333E05"/>
    <w:rsid w:val="00334397"/>
    <w:rsid w:val="003349CA"/>
    <w:rsid w:val="0033523D"/>
    <w:rsid w:val="003374CD"/>
    <w:rsid w:val="00342484"/>
    <w:rsid w:val="00345D9C"/>
    <w:rsid w:val="0034629A"/>
    <w:rsid w:val="0034646C"/>
    <w:rsid w:val="003467A7"/>
    <w:rsid w:val="003472FD"/>
    <w:rsid w:val="003505BF"/>
    <w:rsid w:val="00350B55"/>
    <w:rsid w:val="00351CBA"/>
    <w:rsid w:val="003521B2"/>
    <w:rsid w:val="00353326"/>
    <w:rsid w:val="00353E36"/>
    <w:rsid w:val="00353EE1"/>
    <w:rsid w:val="00354845"/>
    <w:rsid w:val="003552F3"/>
    <w:rsid w:val="00355497"/>
    <w:rsid w:val="0035574E"/>
    <w:rsid w:val="00355752"/>
    <w:rsid w:val="00355E75"/>
    <w:rsid w:val="00356E7C"/>
    <w:rsid w:val="003604B3"/>
    <w:rsid w:val="0036083D"/>
    <w:rsid w:val="00360B80"/>
    <w:rsid w:val="00360E19"/>
    <w:rsid w:val="0036162C"/>
    <w:rsid w:val="00361D3B"/>
    <w:rsid w:val="00363939"/>
    <w:rsid w:val="0036504D"/>
    <w:rsid w:val="00365569"/>
    <w:rsid w:val="00365C19"/>
    <w:rsid w:val="00365D3F"/>
    <w:rsid w:val="00366A1E"/>
    <w:rsid w:val="0037041E"/>
    <w:rsid w:val="00370EF4"/>
    <w:rsid w:val="00372A9C"/>
    <w:rsid w:val="00374F1E"/>
    <w:rsid w:val="00376253"/>
    <w:rsid w:val="00376605"/>
    <w:rsid w:val="00376B72"/>
    <w:rsid w:val="00376FC2"/>
    <w:rsid w:val="0038130B"/>
    <w:rsid w:val="003831DC"/>
    <w:rsid w:val="003832DB"/>
    <w:rsid w:val="00383695"/>
    <w:rsid w:val="00383DE0"/>
    <w:rsid w:val="003840C5"/>
    <w:rsid w:val="003843BA"/>
    <w:rsid w:val="00385666"/>
    <w:rsid w:val="00386573"/>
    <w:rsid w:val="003865A8"/>
    <w:rsid w:val="00386FA0"/>
    <w:rsid w:val="00390006"/>
    <w:rsid w:val="003911A1"/>
    <w:rsid w:val="00391FE3"/>
    <w:rsid w:val="003932B8"/>
    <w:rsid w:val="00393558"/>
    <w:rsid w:val="00393F8D"/>
    <w:rsid w:val="00397779"/>
    <w:rsid w:val="003A029C"/>
    <w:rsid w:val="003A09E1"/>
    <w:rsid w:val="003A2CB3"/>
    <w:rsid w:val="003A4600"/>
    <w:rsid w:val="003A48F6"/>
    <w:rsid w:val="003A4D24"/>
    <w:rsid w:val="003A6AB3"/>
    <w:rsid w:val="003A7724"/>
    <w:rsid w:val="003B00CD"/>
    <w:rsid w:val="003B1BBE"/>
    <w:rsid w:val="003B2581"/>
    <w:rsid w:val="003B2749"/>
    <w:rsid w:val="003B2C63"/>
    <w:rsid w:val="003B2E9C"/>
    <w:rsid w:val="003B40D5"/>
    <w:rsid w:val="003B487A"/>
    <w:rsid w:val="003B4B89"/>
    <w:rsid w:val="003B4BAF"/>
    <w:rsid w:val="003B6B66"/>
    <w:rsid w:val="003B7DAE"/>
    <w:rsid w:val="003C04B6"/>
    <w:rsid w:val="003C195D"/>
    <w:rsid w:val="003C28C4"/>
    <w:rsid w:val="003C475B"/>
    <w:rsid w:val="003C4AB0"/>
    <w:rsid w:val="003C54E9"/>
    <w:rsid w:val="003C57D1"/>
    <w:rsid w:val="003C585A"/>
    <w:rsid w:val="003C7955"/>
    <w:rsid w:val="003D182E"/>
    <w:rsid w:val="003D337A"/>
    <w:rsid w:val="003D4B8E"/>
    <w:rsid w:val="003D57CA"/>
    <w:rsid w:val="003D601F"/>
    <w:rsid w:val="003E049F"/>
    <w:rsid w:val="003E20D0"/>
    <w:rsid w:val="003E26D7"/>
    <w:rsid w:val="003E2B85"/>
    <w:rsid w:val="003E3477"/>
    <w:rsid w:val="003E4707"/>
    <w:rsid w:val="003E47D7"/>
    <w:rsid w:val="003E64BF"/>
    <w:rsid w:val="003E7ACC"/>
    <w:rsid w:val="003E7B39"/>
    <w:rsid w:val="003E7C5E"/>
    <w:rsid w:val="003F0841"/>
    <w:rsid w:val="003F0A89"/>
    <w:rsid w:val="003F0E56"/>
    <w:rsid w:val="003F1679"/>
    <w:rsid w:val="003F19D9"/>
    <w:rsid w:val="003F1B71"/>
    <w:rsid w:val="003F214A"/>
    <w:rsid w:val="003F28C2"/>
    <w:rsid w:val="003F5040"/>
    <w:rsid w:val="003F567F"/>
    <w:rsid w:val="003F7F8E"/>
    <w:rsid w:val="004003C4"/>
    <w:rsid w:val="00400758"/>
    <w:rsid w:val="0040108F"/>
    <w:rsid w:val="0040114C"/>
    <w:rsid w:val="00402C2D"/>
    <w:rsid w:val="00403F93"/>
    <w:rsid w:val="0040405D"/>
    <w:rsid w:val="004048D4"/>
    <w:rsid w:val="00406857"/>
    <w:rsid w:val="00407830"/>
    <w:rsid w:val="00410988"/>
    <w:rsid w:val="004111B9"/>
    <w:rsid w:val="0041121E"/>
    <w:rsid w:val="0041269B"/>
    <w:rsid w:val="00414A18"/>
    <w:rsid w:val="00414B45"/>
    <w:rsid w:val="00415ABD"/>
    <w:rsid w:val="00416473"/>
    <w:rsid w:val="00417635"/>
    <w:rsid w:val="004177CF"/>
    <w:rsid w:val="0042055A"/>
    <w:rsid w:val="0042073F"/>
    <w:rsid w:val="004210B6"/>
    <w:rsid w:val="004216F1"/>
    <w:rsid w:val="00421E12"/>
    <w:rsid w:val="00422615"/>
    <w:rsid w:val="00422766"/>
    <w:rsid w:val="00424A76"/>
    <w:rsid w:val="00425FB5"/>
    <w:rsid w:val="0042624F"/>
    <w:rsid w:val="004275A5"/>
    <w:rsid w:val="00430547"/>
    <w:rsid w:val="004319D2"/>
    <w:rsid w:val="0043213F"/>
    <w:rsid w:val="00432C5D"/>
    <w:rsid w:val="00432E7C"/>
    <w:rsid w:val="00433449"/>
    <w:rsid w:val="00434591"/>
    <w:rsid w:val="00435109"/>
    <w:rsid w:val="00435340"/>
    <w:rsid w:val="00435461"/>
    <w:rsid w:val="0043554D"/>
    <w:rsid w:val="00436272"/>
    <w:rsid w:val="00436334"/>
    <w:rsid w:val="00437043"/>
    <w:rsid w:val="00437B69"/>
    <w:rsid w:val="0044076D"/>
    <w:rsid w:val="00442091"/>
    <w:rsid w:val="00443E38"/>
    <w:rsid w:val="00444611"/>
    <w:rsid w:val="004453FF"/>
    <w:rsid w:val="004458F5"/>
    <w:rsid w:val="0044613E"/>
    <w:rsid w:val="00446BF8"/>
    <w:rsid w:val="00446FB7"/>
    <w:rsid w:val="00447301"/>
    <w:rsid w:val="004504DB"/>
    <w:rsid w:val="004508E6"/>
    <w:rsid w:val="00452A8C"/>
    <w:rsid w:val="00452FB8"/>
    <w:rsid w:val="00452FDD"/>
    <w:rsid w:val="0045362E"/>
    <w:rsid w:val="00453E7D"/>
    <w:rsid w:val="00454400"/>
    <w:rsid w:val="00454554"/>
    <w:rsid w:val="00454910"/>
    <w:rsid w:val="00456950"/>
    <w:rsid w:val="00456992"/>
    <w:rsid w:val="0045701B"/>
    <w:rsid w:val="00461860"/>
    <w:rsid w:val="0046255A"/>
    <w:rsid w:val="004637BC"/>
    <w:rsid w:val="00463C16"/>
    <w:rsid w:val="00465189"/>
    <w:rsid w:val="00465488"/>
    <w:rsid w:val="00466205"/>
    <w:rsid w:val="004671F5"/>
    <w:rsid w:val="00470167"/>
    <w:rsid w:val="00471DB7"/>
    <w:rsid w:val="00472277"/>
    <w:rsid w:val="00472312"/>
    <w:rsid w:val="00472B8C"/>
    <w:rsid w:val="0047311F"/>
    <w:rsid w:val="0047371E"/>
    <w:rsid w:val="0047459F"/>
    <w:rsid w:val="004751D3"/>
    <w:rsid w:val="004758A2"/>
    <w:rsid w:val="00475F77"/>
    <w:rsid w:val="00476535"/>
    <w:rsid w:val="00476709"/>
    <w:rsid w:val="00476884"/>
    <w:rsid w:val="00476F79"/>
    <w:rsid w:val="004777A0"/>
    <w:rsid w:val="00477FC1"/>
    <w:rsid w:val="0048062F"/>
    <w:rsid w:val="004808EC"/>
    <w:rsid w:val="0048111F"/>
    <w:rsid w:val="004819B2"/>
    <w:rsid w:val="00481C0D"/>
    <w:rsid w:val="00482CCE"/>
    <w:rsid w:val="0048305C"/>
    <w:rsid w:val="00483170"/>
    <w:rsid w:val="004837EE"/>
    <w:rsid w:val="004855A7"/>
    <w:rsid w:val="00486655"/>
    <w:rsid w:val="004876E6"/>
    <w:rsid w:val="0048781F"/>
    <w:rsid w:val="00487EB7"/>
    <w:rsid w:val="00491B58"/>
    <w:rsid w:val="00492C6F"/>
    <w:rsid w:val="00493191"/>
    <w:rsid w:val="004933FC"/>
    <w:rsid w:val="00494F78"/>
    <w:rsid w:val="00495143"/>
    <w:rsid w:val="00496215"/>
    <w:rsid w:val="00496639"/>
    <w:rsid w:val="004A0180"/>
    <w:rsid w:val="004A099B"/>
    <w:rsid w:val="004A0DEC"/>
    <w:rsid w:val="004A0E6E"/>
    <w:rsid w:val="004A116F"/>
    <w:rsid w:val="004A3DA8"/>
    <w:rsid w:val="004A40A4"/>
    <w:rsid w:val="004A42A3"/>
    <w:rsid w:val="004A4DE8"/>
    <w:rsid w:val="004A5EDA"/>
    <w:rsid w:val="004A6F26"/>
    <w:rsid w:val="004A7166"/>
    <w:rsid w:val="004B20A9"/>
    <w:rsid w:val="004B2354"/>
    <w:rsid w:val="004B2CE0"/>
    <w:rsid w:val="004B45D6"/>
    <w:rsid w:val="004B53AF"/>
    <w:rsid w:val="004B717F"/>
    <w:rsid w:val="004B74C6"/>
    <w:rsid w:val="004B7A55"/>
    <w:rsid w:val="004B7C4D"/>
    <w:rsid w:val="004B7FDE"/>
    <w:rsid w:val="004C09CC"/>
    <w:rsid w:val="004C253C"/>
    <w:rsid w:val="004C39EE"/>
    <w:rsid w:val="004C3E37"/>
    <w:rsid w:val="004C59D1"/>
    <w:rsid w:val="004C6194"/>
    <w:rsid w:val="004C63F6"/>
    <w:rsid w:val="004C75E9"/>
    <w:rsid w:val="004D10D5"/>
    <w:rsid w:val="004D2082"/>
    <w:rsid w:val="004D35F5"/>
    <w:rsid w:val="004D3AF4"/>
    <w:rsid w:val="004D3E87"/>
    <w:rsid w:val="004D473F"/>
    <w:rsid w:val="004D5A88"/>
    <w:rsid w:val="004D6569"/>
    <w:rsid w:val="004D7410"/>
    <w:rsid w:val="004D7B77"/>
    <w:rsid w:val="004E0871"/>
    <w:rsid w:val="004E0D64"/>
    <w:rsid w:val="004E1554"/>
    <w:rsid w:val="004E1F5E"/>
    <w:rsid w:val="004E2A05"/>
    <w:rsid w:val="004E2A9F"/>
    <w:rsid w:val="004E2D04"/>
    <w:rsid w:val="004E3AEE"/>
    <w:rsid w:val="004E4311"/>
    <w:rsid w:val="004E4FD0"/>
    <w:rsid w:val="004E5072"/>
    <w:rsid w:val="004E7E7E"/>
    <w:rsid w:val="004F01F6"/>
    <w:rsid w:val="004F0669"/>
    <w:rsid w:val="004F0FA2"/>
    <w:rsid w:val="004F1596"/>
    <w:rsid w:val="004F15CE"/>
    <w:rsid w:val="004F32EC"/>
    <w:rsid w:val="004F3C60"/>
    <w:rsid w:val="004F44D9"/>
    <w:rsid w:val="004F4E26"/>
    <w:rsid w:val="004F5A50"/>
    <w:rsid w:val="004F5B74"/>
    <w:rsid w:val="004F5D9A"/>
    <w:rsid w:val="004F6EC0"/>
    <w:rsid w:val="004F7374"/>
    <w:rsid w:val="00500B7C"/>
    <w:rsid w:val="00500F80"/>
    <w:rsid w:val="005014A2"/>
    <w:rsid w:val="00501547"/>
    <w:rsid w:val="00502800"/>
    <w:rsid w:val="00502FAD"/>
    <w:rsid w:val="00502FCF"/>
    <w:rsid w:val="00503190"/>
    <w:rsid w:val="005032E4"/>
    <w:rsid w:val="005046E6"/>
    <w:rsid w:val="00504997"/>
    <w:rsid w:val="00504F42"/>
    <w:rsid w:val="005056D0"/>
    <w:rsid w:val="005060A5"/>
    <w:rsid w:val="00506EE5"/>
    <w:rsid w:val="00506EEC"/>
    <w:rsid w:val="00507389"/>
    <w:rsid w:val="00510A4D"/>
    <w:rsid w:val="005116DB"/>
    <w:rsid w:val="00511A11"/>
    <w:rsid w:val="00511ADB"/>
    <w:rsid w:val="00512165"/>
    <w:rsid w:val="005145C4"/>
    <w:rsid w:val="0051529A"/>
    <w:rsid w:val="00516034"/>
    <w:rsid w:val="0051606B"/>
    <w:rsid w:val="0051663A"/>
    <w:rsid w:val="00517AD5"/>
    <w:rsid w:val="005213D6"/>
    <w:rsid w:val="0052210D"/>
    <w:rsid w:val="00522336"/>
    <w:rsid w:val="0052278A"/>
    <w:rsid w:val="00523251"/>
    <w:rsid w:val="005244F4"/>
    <w:rsid w:val="00524BA0"/>
    <w:rsid w:val="0052578D"/>
    <w:rsid w:val="0052607E"/>
    <w:rsid w:val="005268C3"/>
    <w:rsid w:val="0052738E"/>
    <w:rsid w:val="005312F3"/>
    <w:rsid w:val="005326E4"/>
    <w:rsid w:val="005333FE"/>
    <w:rsid w:val="00533E4E"/>
    <w:rsid w:val="00533E8B"/>
    <w:rsid w:val="00534D02"/>
    <w:rsid w:val="005356EF"/>
    <w:rsid w:val="005360C3"/>
    <w:rsid w:val="005369F5"/>
    <w:rsid w:val="00537E8E"/>
    <w:rsid w:val="005411AA"/>
    <w:rsid w:val="005412DD"/>
    <w:rsid w:val="005413E5"/>
    <w:rsid w:val="00541480"/>
    <w:rsid w:val="005417F2"/>
    <w:rsid w:val="00542F49"/>
    <w:rsid w:val="0054535C"/>
    <w:rsid w:val="00545846"/>
    <w:rsid w:val="005471E2"/>
    <w:rsid w:val="00550F2B"/>
    <w:rsid w:val="00551B91"/>
    <w:rsid w:val="00552FF5"/>
    <w:rsid w:val="005542AA"/>
    <w:rsid w:val="00554999"/>
    <w:rsid w:val="00555175"/>
    <w:rsid w:val="00556367"/>
    <w:rsid w:val="005563EE"/>
    <w:rsid w:val="0055701A"/>
    <w:rsid w:val="00557726"/>
    <w:rsid w:val="00560666"/>
    <w:rsid w:val="00562DEB"/>
    <w:rsid w:val="0056655D"/>
    <w:rsid w:val="00567DA5"/>
    <w:rsid w:val="0057069F"/>
    <w:rsid w:val="00570822"/>
    <w:rsid w:val="005709B0"/>
    <w:rsid w:val="00572BD1"/>
    <w:rsid w:val="005739D5"/>
    <w:rsid w:val="00573AB2"/>
    <w:rsid w:val="00573F15"/>
    <w:rsid w:val="00575914"/>
    <w:rsid w:val="00576847"/>
    <w:rsid w:val="00576F9A"/>
    <w:rsid w:val="00577142"/>
    <w:rsid w:val="005803E5"/>
    <w:rsid w:val="00580D33"/>
    <w:rsid w:val="00581597"/>
    <w:rsid w:val="00581661"/>
    <w:rsid w:val="00581BA1"/>
    <w:rsid w:val="00581C3C"/>
    <w:rsid w:val="00582922"/>
    <w:rsid w:val="005830DB"/>
    <w:rsid w:val="00583211"/>
    <w:rsid w:val="0058388E"/>
    <w:rsid w:val="005859AC"/>
    <w:rsid w:val="00585F3F"/>
    <w:rsid w:val="00586750"/>
    <w:rsid w:val="00587B2B"/>
    <w:rsid w:val="00592D1F"/>
    <w:rsid w:val="00593749"/>
    <w:rsid w:val="005937FA"/>
    <w:rsid w:val="005939DC"/>
    <w:rsid w:val="0059427A"/>
    <w:rsid w:val="00594A0B"/>
    <w:rsid w:val="00595285"/>
    <w:rsid w:val="005958AE"/>
    <w:rsid w:val="005966C8"/>
    <w:rsid w:val="00596DB4"/>
    <w:rsid w:val="005A0258"/>
    <w:rsid w:val="005A0373"/>
    <w:rsid w:val="005A1BAF"/>
    <w:rsid w:val="005A1D69"/>
    <w:rsid w:val="005A1D86"/>
    <w:rsid w:val="005A31A4"/>
    <w:rsid w:val="005A4365"/>
    <w:rsid w:val="005A46A6"/>
    <w:rsid w:val="005A4A15"/>
    <w:rsid w:val="005A65B2"/>
    <w:rsid w:val="005A6B7C"/>
    <w:rsid w:val="005B03F4"/>
    <w:rsid w:val="005B074E"/>
    <w:rsid w:val="005B141D"/>
    <w:rsid w:val="005B26F1"/>
    <w:rsid w:val="005B3468"/>
    <w:rsid w:val="005B3E63"/>
    <w:rsid w:val="005B489D"/>
    <w:rsid w:val="005B4935"/>
    <w:rsid w:val="005B568C"/>
    <w:rsid w:val="005B572D"/>
    <w:rsid w:val="005B5FE9"/>
    <w:rsid w:val="005B747E"/>
    <w:rsid w:val="005B7D72"/>
    <w:rsid w:val="005C00C0"/>
    <w:rsid w:val="005C0331"/>
    <w:rsid w:val="005C1C5F"/>
    <w:rsid w:val="005C2869"/>
    <w:rsid w:val="005C308A"/>
    <w:rsid w:val="005C55AC"/>
    <w:rsid w:val="005C575C"/>
    <w:rsid w:val="005C6C37"/>
    <w:rsid w:val="005C7D40"/>
    <w:rsid w:val="005D0DB3"/>
    <w:rsid w:val="005D1123"/>
    <w:rsid w:val="005D2022"/>
    <w:rsid w:val="005D3211"/>
    <w:rsid w:val="005D32C3"/>
    <w:rsid w:val="005D45B3"/>
    <w:rsid w:val="005D47F7"/>
    <w:rsid w:val="005D56EF"/>
    <w:rsid w:val="005D649A"/>
    <w:rsid w:val="005D73A3"/>
    <w:rsid w:val="005E058F"/>
    <w:rsid w:val="005E0F40"/>
    <w:rsid w:val="005E1D27"/>
    <w:rsid w:val="005E21FA"/>
    <w:rsid w:val="005E23C1"/>
    <w:rsid w:val="005E2FE3"/>
    <w:rsid w:val="005E33E0"/>
    <w:rsid w:val="005E3493"/>
    <w:rsid w:val="005E4C3F"/>
    <w:rsid w:val="005E5762"/>
    <w:rsid w:val="005E5C87"/>
    <w:rsid w:val="005E5D3C"/>
    <w:rsid w:val="005E6474"/>
    <w:rsid w:val="005E67A8"/>
    <w:rsid w:val="005E6E5E"/>
    <w:rsid w:val="005E7C13"/>
    <w:rsid w:val="005F052A"/>
    <w:rsid w:val="005F0718"/>
    <w:rsid w:val="005F304D"/>
    <w:rsid w:val="005F363F"/>
    <w:rsid w:val="005F4C33"/>
    <w:rsid w:val="005F57A7"/>
    <w:rsid w:val="005F61A3"/>
    <w:rsid w:val="005F6695"/>
    <w:rsid w:val="005F70D9"/>
    <w:rsid w:val="005F7365"/>
    <w:rsid w:val="0060146D"/>
    <w:rsid w:val="006015EC"/>
    <w:rsid w:val="00602534"/>
    <w:rsid w:val="00603586"/>
    <w:rsid w:val="0060484B"/>
    <w:rsid w:val="0060539B"/>
    <w:rsid w:val="006065FD"/>
    <w:rsid w:val="00606A32"/>
    <w:rsid w:val="00606A96"/>
    <w:rsid w:val="00606B33"/>
    <w:rsid w:val="00607000"/>
    <w:rsid w:val="00607626"/>
    <w:rsid w:val="00607B67"/>
    <w:rsid w:val="00607C92"/>
    <w:rsid w:val="0061130B"/>
    <w:rsid w:val="00612530"/>
    <w:rsid w:val="00612EA5"/>
    <w:rsid w:val="00613E2A"/>
    <w:rsid w:val="00614805"/>
    <w:rsid w:val="00615A96"/>
    <w:rsid w:val="00615C73"/>
    <w:rsid w:val="00620043"/>
    <w:rsid w:val="006208C0"/>
    <w:rsid w:val="0062134E"/>
    <w:rsid w:val="00621A95"/>
    <w:rsid w:val="006221D3"/>
    <w:rsid w:val="0062240B"/>
    <w:rsid w:val="00622A6C"/>
    <w:rsid w:val="00626090"/>
    <w:rsid w:val="00626B20"/>
    <w:rsid w:val="00626FD6"/>
    <w:rsid w:val="0062758A"/>
    <w:rsid w:val="00630201"/>
    <w:rsid w:val="006315EE"/>
    <w:rsid w:val="00631630"/>
    <w:rsid w:val="00631743"/>
    <w:rsid w:val="00631A62"/>
    <w:rsid w:val="0063304A"/>
    <w:rsid w:val="006338F1"/>
    <w:rsid w:val="00633C64"/>
    <w:rsid w:val="00633F3C"/>
    <w:rsid w:val="00636076"/>
    <w:rsid w:val="00636D09"/>
    <w:rsid w:val="00637E17"/>
    <w:rsid w:val="0064073F"/>
    <w:rsid w:val="00640B63"/>
    <w:rsid w:val="00640E16"/>
    <w:rsid w:val="00640E1E"/>
    <w:rsid w:val="00641C15"/>
    <w:rsid w:val="0064200D"/>
    <w:rsid w:val="0064249A"/>
    <w:rsid w:val="00642B23"/>
    <w:rsid w:val="00644175"/>
    <w:rsid w:val="00644C2F"/>
    <w:rsid w:val="00645452"/>
    <w:rsid w:val="00645D60"/>
    <w:rsid w:val="006473FE"/>
    <w:rsid w:val="006526E7"/>
    <w:rsid w:val="00653368"/>
    <w:rsid w:val="00653D48"/>
    <w:rsid w:val="0065492F"/>
    <w:rsid w:val="0065674E"/>
    <w:rsid w:val="00656B31"/>
    <w:rsid w:val="00657077"/>
    <w:rsid w:val="006618F9"/>
    <w:rsid w:val="00661F02"/>
    <w:rsid w:val="0066207C"/>
    <w:rsid w:val="00663470"/>
    <w:rsid w:val="0066399D"/>
    <w:rsid w:val="006644C1"/>
    <w:rsid w:val="0066478D"/>
    <w:rsid w:val="00666F74"/>
    <w:rsid w:val="00670B56"/>
    <w:rsid w:val="0067344F"/>
    <w:rsid w:val="00674F52"/>
    <w:rsid w:val="00675531"/>
    <w:rsid w:val="0067689B"/>
    <w:rsid w:val="006776BA"/>
    <w:rsid w:val="006805D3"/>
    <w:rsid w:val="006807EF"/>
    <w:rsid w:val="00680964"/>
    <w:rsid w:val="006812C9"/>
    <w:rsid w:val="00681597"/>
    <w:rsid w:val="006819F3"/>
    <w:rsid w:val="00683FE6"/>
    <w:rsid w:val="00684004"/>
    <w:rsid w:val="006843BE"/>
    <w:rsid w:val="006849EC"/>
    <w:rsid w:val="00684ECF"/>
    <w:rsid w:val="006853F9"/>
    <w:rsid w:val="00686670"/>
    <w:rsid w:val="00687900"/>
    <w:rsid w:val="00687C1D"/>
    <w:rsid w:val="0069068B"/>
    <w:rsid w:val="00690924"/>
    <w:rsid w:val="00691690"/>
    <w:rsid w:val="0069176D"/>
    <w:rsid w:val="00691CCB"/>
    <w:rsid w:val="006923D6"/>
    <w:rsid w:val="00697612"/>
    <w:rsid w:val="00697C8B"/>
    <w:rsid w:val="006A032D"/>
    <w:rsid w:val="006A0561"/>
    <w:rsid w:val="006A1771"/>
    <w:rsid w:val="006A1F97"/>
    <w:rsid w:val="006A2372"/>
    <w:rsid w:val="006A2862"/>
    <w:rsid w:val="006A351B"/>
    <w:rsid w:val="006A48FC"/>
    <w:rsid w:val="006A581F"/>
    <w:rsid w:val="006A6647"/>
    <w:rsid w:val="006A698E"/>
    <w:rsid w:val="006A7A8A"/>
    <w:rsid w:val="006B0839"/>
    <w:rsid w:val="006B11E1"/>
    <w:rsid w:val="006B13FE"/>
    <w:rsid w:val="006B1B6A"/>
    <w:rsid w:val="006B5205"/>
    <w:rsid w:val="006B6384"/>
    <w:rsid w:val="006B65FC"/>
    <w:rsid w:val="006B663C"/>
    <w:rsid w:val="006C0507"/>
    <w:rsid w:val="006C0C65"/>
    <w:rsid w:val="006C3377"/>
    <w:rsid w:val="006C33A3"/>
    <w:rsid w:val="006C47E4"/>
    <w:rsid w:val="006C4E47"/>
    <w:rsid w:val="006C5E55"/>
    <w:rsid w:val="006C7B69"/>
    <w:rsid w:val="006C7D6F"/>
    <w:rsid w:val="006D06E7"/>
    <w:rsid w:val="006D39C1"/>
    <w:rsid w:val="006D3D8B"/>
    <w:rsid w:val="006D3FDB"/>
    <w:rsid w:val="006D51FE"/>
    <w:rsid w:val="006D566D"/>
    <w:rsid w:val="006D671F"/>
    <w:rsid w:val="006E17E0"/>
    <w:rsid w:val="006E1FA1"/>
    <w:rsid w:val="006E242E"/>
    <w:rsid w:val="006E2CF6"/>
    <w:rsid w:val="006E434B"/>
    <w:rsid w:val="006E4D27"/>
    <w:rsid w:val="006E4D61"/>
    <w:rsid w:val="006E4EB8"/>
    <w:rsid w:val="006E565E"/>
    <w:rsid w:val="006E5706"/>
    <w:rsid w:val="006E604E"/>
    <w:rsid w:val="006E638B"/>
    <w:rsid w:val="006E6B0C"/>
    <w:rsid w:val="006F0437"/>
    <w:rsid w:val="006F0612"/>
    <w:rsid w:val="006F2956"/>
    <w:rsid w:val="006F2F1F"/>
    <w:rsid w:val="006F5822"/>
    <w:rsid w:val="006F73CE"/>
    <w:rsid w:val="006F755F"/>
    <w:rsid w:val="006F7BC1"/>
    <w:rsid w:val="0070060F"/>
    <w:rsid w:val="0070065B"/>
    <w:rsid w:val="00700CD8"/>
    <w:rsid w:val="0070223C"/>
    <w:rsid w:val="007030A1"/>
    <w:rsid w:val="007030CE"/>
    <w:rsid w:val="007039D4"/>
    <w:rsid w:val="00704B57"/>
    <w:rsid w:val="00707FEE"/>
    <w:rsid w:val="00710780"/>
    <w:rsid w:val="00710BE0"/>
    <w:rsid w:val="0071101B"/>
    <w:rsid w:val="00711864"/>
    <w:rsid w:val="00711962"/>
    <w:rsid w:val="00711A08"/>
    <w:rsid w:val="00711CD1"/>
    <w:rsid w:val="00711DAC"/>
    <w:rsid w:val="007126DA"/>
    <w:rsid w:val="00713CC4"/>
    <w:rsid w:val="00715038"/>
    <w:rsid w:val="0071724D"/>
    <w:rsid w:val="00717940"/>
    <w:rsid w:val="00717D62"/>
    <w:rsid w:val="0072061D"/>
    <w:rsid w:val="0072099F"/>
    <w:rsid w:val="0072204E"/>
    <w:rsid w:val="00723083"/>
    <w:rsid w:val="00723CD2"/>
    <w:rsid w:val="0072475B"/>
    <w:rsid w:val="00724DCE"/>
    <w:rsid w:val="00725228"/>
    <w:rsid w:val="0072605E"/>
    <w:rsid w:val="00727389"/>
    <w:rsid w:val="00730005"/>
    <w:rsid w:val="007317A4"/>
    <w:rsid w:val="00731C41"/>
    <w:rsid w:val="00733B9A"/>
    <w:rsid w:val="00734263"/>
    <w:rsid w:val="00735DE7"/>
    <w:rsid w:val="00736372"/>
    <w:rsid w:val="00736E7C"/>
    <w:rsid w:val="00737B68"/>
    <w:rsid w:val="00737CC2"/>
    <w:rsid w:val="00740208"/>
    <w:rsid w:val="00740728"/>
    <w:rsid w:val="00740D3F"/>
    <w:rsid w:val="00741144"/>
    <w:rsid w:val="0074199B"/>
    <w:rsid w:val="00741A55"/>
    <w:rsid w:val="00741BEF"/>
    <w:rsid w:val="007428B2"/>
    <w:rsid w:val="00743829"/>
    <w:rsid w:val="00743F37"/>
    <w:rsid w:val="00744C82"/>
    <w:rsid w:val="00745AAC"/>
    <w:rsid w:val="007460E7"/>
    <w:rsid w:val="00746627"/>
    <w:rsid w:val="00746E65"/>
    <w:rsid w:val="00747656"/>
    <w:rsid w:val="00747C5A"/>
    <w:rsid w:val="007506A2"/>
    <w:rsid w:val="007511EE"/>
    <w:rsid w:val="0075251E"/>
    <w:rsid w:val="007532A1"/>
    <w:rsid w:val="007541D9"/>
    <w:rsid w:val="00754212"/>
    <w:rsid w:val="00754DA1"/>
    <w:rsid w:val="00757640"/>
    <w:rsid w:val="007603EC"/>
    <w:rsid w:val="007613B4"/>
    <w:rsid w:val="007613C8"/>
    <w:rsid w:val="0076417D"/>
    <w:rsid w:val="00765CAA"/>
    <w:rsid w:val="00766B2E"/>
    <w:rsid w:val="00766C36"/>
    <w:rsid w:val="00767334"/>
    <w:rsid w:val="00767C04"/>
    <w:rsid w:val="00770076"/>
    <w:rsid w:val="00770250"/>
    <w:rsid w:val="00771555"/>
    <w:rsid w:val="007722B9"/>
    <w:rsid w:val="007733E5"/>
    <w:rsid w:val="007738E6"/>
    <w:rsid w:val="00773B47"/>
    <w:rsid w:val="007743A6"/>
    <w:rsid w:val="00775A71"/>
    <w:rsid w:val="00780D94"/>
    <w:rsid w:val="00781388"/>
    <w:rsid w:val="00781C80"/>
    <w:rsid w:val="007825E6"/>
    <w:rsid w:val="0078261C"/>
    <w:rsid w:val="0078322A"/>
    <w:rsid w:val="007838EF"/>
    <w:rsid w:val="00785444"/>
    <w:rsid w:val="00785FF8"/>
    <w:rsid w:val="0078713F"/>
    <w:rsid w:val="0078793A"/>
    <w:rsid w:val="00792DBA"/>
    <w:rsid w:val="007930DA"/>
    <w:rsid w:val="00793A3E"/>
    <w:rsid w:val="00793EF7"/>
    <w:rsid w:val="007942CC"/>
    <w:rsid w:val="00795767"/>
    <w:rsid w:val="00796131"/>
    <w:rsid w:val="00796A07"/>
    <w:rsid w:val="00796DB0"/>
    <w:rsid w:val="00797439"/>
    <w:rsid w:val="007A0080"/>
    <w:rsid w:val="007A0AF2"/>
    <w:rsid w:val="007A41D3"/>
    <w:rsid w:val="007A490E"/>
    <w:rsid w:val="007A4D42"/>
    <w:rsid w:val="007A5937"/>
    <w:rsid w:val="007A5C8F"/>
    <w:rsid w:val="007A727A"/>
    <w:rsid w:val="007A7C66"/>
    <w:rsid w:val="007B005C"/>
    <w:rsid w:val="007B081B"/>
    <w:rsid w:val="007B094C"/>
    <w:rsid w:val="007B0B61"/>
    <w:rsid w:val="007B0EC9"/>
    <w:rsid w:val="007B29C3"/>
    <w:rsid w:val="007B328D"/>
    <w:rsid w:val="007B371A"/>
    <w:rsid w:val="007B395F"/>
    <w:rsid w:val="007B3C07"/>
    <w:rsid w:val="007B4031"/>
    <w:rsid w:val="007B4C05"/>
    <w:rsid w:val="007B518C"/>
    <w:rsid w:val="007B51AE"/>
    <w:rsid w:val="007B771F"/>
    <w:rsid w:val="007B7A9E"/>
    <w:rsid w:val="007C0593"/>
    <w:rsid w:val="007C0C5B"/>
    <w:rsid w:val="007C119A"/>
    <w:rsid w:val="007C12D0"/>
    <w:rsid w:val="007C1331"/>
    <w:rsid w:val="007C1860"/>
    <w:rsid w:val="007C1991"/>
    <w:rsid w:val="007C1CA2"/>
    <w:rsid w:val="007C1E37"/>
    <w:rsid w:val="007C1F41"/>
    <w:rsid w:val="007C2CCC"/>
    <w:rsid w:val="007C38D9"/>
    <w:rsid w:val="007C3F6C"/>
    <w:rsid w:val="007C7255"/>
    <w:rsid w:val="007D0866"/>
    <w:rsid w:val="007D0BE8"/>
    <w:rsid w:val="007D2142"/>
    <w:rsid w:val="007D2306"/>
    <w:rsid w:val="007D42ED"/>
    <w:rsid w:val="007D4947"/>
    <w:rsid w:val="007D5129"/>
    <w:rsid w:val="007D52E1"/>
    <w:rsid w:val="007D53DA"/>
    <w:rsid w:val="007D562A"/>
    <w:rsid w:val="007D6350"/>
    <w:rsid w:val="007E0606"/>
    <w:rsid w:val="007E0722"/>
    <w:rsid w:val="007E273E"/>
    <w:rsid w:val="007E4401"/>
    <w:rsid w:val="007E6099"/>
    <w:rsid w:val="007E7147"/>
    <w:rsid w:val="007F026A"/>
    <w:rsid w:val="007F0698"/>
    <w:rsid w:val="007F19D2"/>
    <w:rsid w:val="007F3DEE"/>
    <w:rsid w:val="007F41F7"/>
    <w:rsid w:val="007F5A5F"/>
    <w:rsid w:val="007F621D"/>
    <w:rsid w:val="007F6E7D"/>
    <w:rsid w:val="007F6E85"/>
    <w:rsid w:val="0080059F"/>
    <w:rsid w:val="00800A8B"/>
    <w:rsid w:val="00800B5A"/>
    <w:rsid w:val="008021E0"/>
    <w:rsid w:val="0080222C"/>
    <w:rsid w:val="00803642"/>
    <w:rsid w:val="00803D23"/>
    <w:rsid w:val="008043E1"/>
    <w:rsid w:val="00805F9C"/>
    <w:rsid w:val="00806654"/>
    <w:rsid w:val="0080709D"/>
    <w:rsid w:val="0080738C"/>
    <w:rsid w:val="00807942"/>
    <w:rsid w:val="00810C04"/>
    <w:rsid w:val="00811BE6"/>
    <w:rsid w:val="0081312C"/>
    <w:rsid w:val="00815126"/>
    <w:rsid w:val="00815FBB"/>
    <w:rsid w:val="0081614A"/>
    <w:rsid w:val="00816C12"/>
    <w:rsid w:val="00817455"/>
    <w:rsid w:val="008177AB"/>
    <w:rsid w:val="00820146"/>
    <w:rsid w:val="00821192"/>
    <w:rsid w:val="00821350"/>
    <w:rsid w:val="00821782"/>
    <w:rsid w:val="008255BC"/>
    <w:rsid w:val="00825F95"/>
    <w:rsid w:val="00830904"/>
    <w:rsid w:val="00830F7C"/>
    <w:rsid w:val="00831082"/>
    <w:rsid w:val="00831535"/>
    <w:rsid w:val="0083395B"/>
    <w:rsid w:val="008348D4"/>
    <w:rsid w:val="00835058"/>
    <w:rsid w:val="00835313"/>
    <w:rsid w:val="008355F0"/>
    <w:rsid w:val="00835A50"/>
    <w:rsid w:val="0083613A"/>
    <w:rsid w:val="00836846"/>
    <w:rsid w:val="00837146"/>
    <w:rsid w:val="00837D39"/>
    <w:rsid w:val="00837DBD"/>
    <w:rsid w:val="008406D0"/>
    <w:rsid w:val="0084133C"/>
    <w:rsid w:val="00841463"/>
    <w:rsid w:val="00842E28"/>
    <w:rsid w:val="00843070"/>
    <w:rsid w:val="008434D5"/>
    <w:rsid w:val="00843EB7"/>
    <w:rsid w:val="008446E4"/>
    <w:rsid w:val="00844C85"/>
    <w:rsid w:val="00844CDC"/>
    <w:rsid w:val="00845620"/>
    <w:rsid w:val="00845877"/>
    <w:rsid w:val="00846BF3"/>
    <w:rsid w:val="0084731A"/>
    <w:rsid w:val="00847505"/>
    <w:rsid w:val="00850134"/>
    <w:rsid w:val="00850FF3"/>
    <w:rsid w:val="00851289"/>
    <w:rsid w:val="008515CD"/>
    <w:rsid w:val="00852B5B"/>
    <w:rsid w:val="00853643"/>
    <w:rsid w:val="008536BD"/>
    <w:rsid w:val="008538A0"/>
    <w:rsid w:val="00854BDD"/>
    <w:rsid w:val="00854EA6"/>
    <w:rsid w:val="00855611"/>
    <w:rsid w:val="00857318"/>
    <w:rsid w:val="0085747A"/>
    <w:rsid w:val="008603E0"/>
    <w:rsid w:val="00860C82"/>
    <w:rsid w:val="00862C94"/>
    <w:rsid w:val="0086461B"/>
    <w:rsid w:val="00864ADF"/>
    <w:rsid w:val="00864B8D"/>
    <w:rsid w:val="00866BE7"/>
    <w:rsid w:val="0086700C"/>
    <w:rsid w:val="0086701F"/>
    <w:rsid w:val="00867D35"/>
    <w:rsid w:val="0087106A"/>
    <w:rsid w:val="0087456D"/>
    <w:rsid w:val="00874C92"/>
    <w:rsid w:val="00874DEE"/>
    <w:rsid w:val="00875A29"/>
    <w:rsid w:val="008774BD"/>
    <w:rsid w:val="00877C2D"/>
    <w:rsid w:val="00880E8F"/>
    <w:rsid w:val="00880EB0"/>
    <w:rsid w:val="0088169D"/>
    <w:rsid w:val="00882BAA"/>
    <w:rsid w:val="00883487"/>
    <w:rsid w:val="008855BD"/>
    <w:rsid w:val="0088583D"/>
    <w:rsid w:val="00885956"/>
    <w:rsid w:val="00885A13"/>
    <w:rsid w:val="00885D16"/>
    <w:rsid w:val="00886D1A"/>
    <w:rsid w:val="00886D99"/>
    <w:rsid w:val="008904DE"/>
    <w:rsid w:val="008911B2"/>
    <w:rsid w:val="00891DD8"/>
    <w:rsid w:val="00892357"/>
    <w:rsid w:val="008934BC"/>
    <w:rsid w:val="008943B2"/>
    <w:rsid w:val="00894C8F"/>
    <w:rsid w:val="00895503"/>
    <w:rsid w:val="00895E2F"/>
    <w:rsid w:val="008964B8"/>
    <w:rsid w:val="008978CD"/>
    <w:rsid w:val="008A001A"/>
    <w:rsid w:val="008A2553"/>
    <w:rsid w:val="008A2D13"/>
    <w:rsid w:val="008A3A8E"/>
    <w:rsid w:val="008A4188"/>
    <w:rsid w:val="008A4DCF"/>
    <w:rsid w:val="008A5284"/>
    <w:rsid w:val="008A5E4F"/>
    <w:rsid w:val="008A61C1"/>
    <w:rsid w:val="008A622F"/>
    <w:rsid w:val="008A6558"/>
    <w:rsid w:val="008A65AE"/>
    <w:rsid w:val="008A6B66"/>
    <w:rsid w:val="008B009D"/>
    <w:rsid w:val="008B134C"/>
    <w:rsid w:val="008B144E"/>
    <w:rsid w:val="008B2FDA"/>
    <w:rsid w:val="008B4451"/>
    <w:rsid w:val="008B52A1"/>
    <w:rsid w:val="008B52A7"/>
    <w:rsid w:val="008B6A4F"/>
    <w:rsid w:val="008B6DF8"/>
    <w:rsid w:val="008B7EB5"/>
    <w:rsid w:val="008B7EEE"/>
    <w:rsid w:val="008C03DF"/>
    <w:rsid w:val="008C0D80"/>
    <w:rsid w:val="008C16AB"/>
    <w:rsid w:val="008C2B5F"/>
    <w:rsid w:val="008C2B74"/>
    <w:rsid w:val="008C2D64"/>
    <w:rsid w:val="008C2F9A"/>
    <w:rsid w:val="008C35E0"/>
    <w:rsid w:val="008C445E"/>
    <w:rsid w:val="008C507D"/>
    <w:rsid w:val="008C706A"/>
    <w:rsid w:val="008C779A"/>
    <w:rsid w:val="008D160B"/>
    <w:rsid w:val="008D1CD5"/>
    <w:rsid w:val="008D1CF2"/>
    <w:rsid w:val="008D3A5E"/>
    <w:rsid w:val="008D3DFA"/>
    <w:rsid w:val="008D3DFC"/>
    <w:rsid w:val="008D4860"/>
    <w:rsid w:val="008D4B92"/>
    <w:rsid w:val="008D4DA0"/>
    <w:rsid w:val="008D547B"/>
    <w:rsid w:val="008D7308"/>
    <w:rsid w:val="008D7398"/>
    <w:rsid w:val="008E0522"/>
    <w:rsid w:val="008E0555"/>
    <w:rsid w:val="008E0AC6"/>
    <w:rsid w:val="008E22D0"/>
    <w:rsid w:val="008E3147"/>
    <w:rsid w:val="008E3411"/>
    <w:rsid w:val="008E3767"/>
    <w:rsid w:val="008E527F"/>
    <w:rsid w:val="008E7ACE"/>
    <w:rsid w:val="008F0253"/>
    <w:rsid w:val="008F0C75"/>
    <w:rsid w:val="008F18AA"/>
    <w:rsid w:val="008F1F9B"/>
    <w:rsid w:val="008F27D0"/>
    <w:rsid w:val="008F2941"/>
    <w:rsid w:val="008F2B63"/>
    <w:rsid w:val="008F3AA7"/>
    <w:rsid w:val="008F4521"/>
    <w:rsid w:val="008F474F"/>
    <w:rsid w:val="008F4B6C"/>
    <w:rsid w:val="008F4C40"/>
    <w:rsid w:val="008F6003"/>
    <w:rsid w:val="008F64F7"/>
    <w:rsid w:val="00900561"/>
    <w:rsid w:val="00900A0B"/>
    <w:rsid w:val="009012CF"/>
    <w:rsid w:val="00901A30"/>
    <w:rsid w:val="0090253D"/>
    <w:rsid w:val="009026E5"/>
    <w:rsid w:val="00902EA0"/>
    <w:rsid w:val="00902EC8"/>
    <w:rsid w:val="0090325C"/>
    <w:rsid w:val="009037CA"/>
    <w:rsid w:val="00904A52"/>
    <w:rsid w:val="009069AB"/>
    <w:rsid w:val="0090732B"/>
    <w:rsid w:val="009078C0"/>
    <w:rsid w:val="009112FD"/>
    <w:rsid w:val="009117E7"/>
    <w:rsid w:val="00914910"/>
    <w:rsid w:val="00914A1B"/>
    <w:rsid w:val="009154EB"/>
    <w:rsid w:val="00915E90"/>
    <w:rsid w:val="009162A9"/>
    <w:rsid w:val="00917003"/>
    <w:rsid w:val="00917037"/>
    <w:rsid w:val="0091730C"/>
    <w:rsid w:val="00920AE1"/>
    <w:rsid w:val="00921418"/>
    <w:rsid w:val="00921F6F"/>
    <w:rsid w:val="0092200D"/>
    <w:rsid w:val="00922C01"/>
    <w:rsid w:val="00923069"/>
    <w:rsid w:val="00923235"/>
    <w:rsid w:val="00924626"/>
    <w:rsid w:val="0092701B"/>
    <w:rsid w:val="00927768"/>
    <w:rsid w:val="00927B18"/>
    <w:rsid w:val="00927B76"/>
    <w:rsid w:val="009324A7"/>
    <w:rsid w:val="009331C6"/>
    <w:rsid w:val="00934081"/>
    <w:rsid w:val="0093450A"/>
    <w:rsid w:val="00935332"/>
    <w:rsid w:val="00935590"/>
    <w:rsid w:val="009365B8"/>
    <w:rsid w:val="00936D3C"/>
    <w:rsid w:val="00936F8E"/>
    <w:rsid w:val="00941B25"/>
    <w:rsid w:val="00941C73"/>
    <w:rsid w:val="00941C9C"/>
    <w:rsid w:val="0094268C"/>
    <w:rsid w:val="0094289F"/>
    <w:rsid w:val="00943205"/>
    <w:rsid w:val="00943554"/>
    <w:rsid w:val="009447EC"/>
    <w:rsid w:val="0094495E"/>
    <w:rsid w:val="00944C2C"/>
    <w:rsid w:val="0094530D"/>
    <w:rsid w:val="00946BEF"/>
    <w:rsid w:val="0094792E"/>
    <w:rsid w:val="00947C85"/>
    <w:rsid w:val="00950708"/>
    <w:rsid w:val="00951BC5"/>
    <w:rsid w:val="009537B6"/>
    <w:rsid w:val="00953D99"/>
    <w:rsid w:val="00953EBE"/>
    <w:rsid w:val="00954FBE"/>
    <w:rsid w:val="00955894"/>
    <w:rsid w:val="00956053"/>
    <w:rsid w:val="00956994"/>
    <w:rsid w:val="00956A58"/>
    <w:rsid w:val="00956CE3"/>
    <w:rsid w:val="00957814"/>
    <w:rsid w:val="009610C2"/>
    <w:rsid w:val="0096181F"/>
    <w:rsid w:val="009635EE"/>
    <w:rsid w:val="00964200"/>
    <w:rsid w:val="00965EA7"/>
    <w:rsid w:val="00965F54"/>
    <w:rsid w:val="009678C1"/>
    <w:rsid w:val="00967BB5"/>
    <w:rsid w:val="00970305"/>
    <w:rsid w:val="00970665"/>
    <w:rsid w:val="00970871"/>
    <w:rsid w:val="00970932"/>
    <w:rsid w:val="00971CAA"/>
    <w:rsid w:val="0097239C"/>
    <w:rsid w:val="009728D7"/>
    <w:rsid w:val="00972E8E"/>
    <w:rsid w:val="00974E9D"/>
    <w:rsid w:val="00975657"/>
    <w:rsid w:val="00975B9E"/>
    <w:rsid w:val="009762E4"/>
    <w:rsid w:val="00976842"/>
    <w:rsid w:val="009768C2"/>
    <w:rsid w:val="009774F5"/>
    <w:rsid w:val="00980372"/>
    <w:rsid w:val="0098048D"/>
    <w:rsid w:val="0098088B"/>
    <w:rsid w:val="00980CBD"/>
    <w:rsid w:val="00982BF2"/>
    <w:rsid w:val="00982F65"/>
    <w:rsid w:val="0098363F"/>
    <w:rsid w:val="00983858"/>
    <w:rsid w:val="00983EA6"/>
    <w:rsid w:val="00984011"/>
    <w:rsid w:val="00984046"/>
    <w:rsid w:val="009849BC"/>
    <w:rsid w:val="0098507E"/>
    <w:rsid w:val="00985631"/>
    <w:rsid w:val="009856C0"/>
    <w:rsid w:val="0098575F"/>
    <w:rsid w:val="00986E3E"/>
    <w:rsid w:val="00987090"/>
    <w:rsid w:val="00990374"/>
    <w:rsid w:val="00990465"/>
    <w:rsid w:val="009907A0"/>
    <w:rsid w:val="00990CE0"/>
    <w:rsid w:val="009939EA"/>
    <w:rsid w:val="00993A65"/>
    <w:rsid w:val="00995EBA"/>
    <w:rsid w:val="00996452"/>
    <w:rsid w:val="009966E8"/>
    <w:rsid w:val="00996C0A"/>
    <w:rsid w:val="0099728F"/>
    <w:rsid w:val="009A0393"/>
    <w:rsid w:val="009A1EA1"/>
    <w:rsid w:val="009A1EE4"/>
    <w:rsid w:val="009A24C8"/>
    <w:rsid w:val="009A2EE0"/>
    <w:rsid w:val="009A3909"/>
    <w:rsid w:val="009A447E"/>
    <w:rsid w:val="009A464E"/>
    <w:rsid w:val="009A5C00"/>
    <w:rsid w:val="009A661A"/>
    <w:rsid w:val="009B0B1E"/>
    <w:rsid w:val="009B1574"/>
    <w:rsid w:val="009B1C93"/>
    <w:rsid w:val="009B1D71"/>
    <w:rsid w:val="009B1F10"/>
    <w:rsid w:val="009B2203"/>
    <w:rsid w:val="009B2B97"/>
    <w:rsid w:val="009B320A"/>
    <w:rsid w:val="009B4781"/>
    <w:rsid w:val="009B5D03"/>
    <w:rsid w:val="009B65B2"/>
    <w:rsid w:val="009C03A0"/>
    <w:rsid w:val="009C0C4D"/>
    <w:rsid w:val="009C3310"/>
    <w:rsid w:val="009C4264"/>
    <w:rsid w:val="009C4348"/>
    <w:rsid w:val="009C47D0"/>
    <w:rsid w:val="009C53B5"/>
    <w:rsid w:val="009C6702"/>
    <w:rsid w:val="009C732F"/>
    <w:rsid w:val="009D0B42"/>
    <w:rsid w:val="009D119F"/>
    <w:rsid w:val="009D1789"/>
    <w:rsid w:val="009D17AA"/>
    <w:rsid w:val="009D191E"/>
    <w:rsid w:val="009D1D3F"/>
    <w:rsid w:val="009D2117"/>
    <w:rsid w:val="009D21E3"/>
    <w:rsid w:val="009D273E"/>
    <w:rsid w:val="009D2EAB"/>
    <w:rsid w:val="009D31DA"/>
    <w:rsid w:val="009D3A66"/>
    <w:rsid w:val="009D3F31"/>
    <w:rsid w:val="009D4144"/>
    <w:rsid w:val="009D7E49"/>
    <w:rsid w:val="009E065C"/>
    <w:rsid w:val="009E1406"/>
    <w:rsid w:val="009E210E"/>
    <w:rsid w:val="009E3675"/>
    <w:rsid w:val="009E38D1"/>
    <w:rsid w:val="009E3D8B"/>
    <w:rsid w:val="009E44BB"/>
    <w:rsid w:val="009E51C2"/>
    <w:rsid w:val="009E52BF"/>
    <w:rsid w:val="009E52E7"/>
    <w:rsid w:val="009E607A"/>
    <w:rsid w:val="009E7970"/>
    <w:rsid w:val="009E7A09"/>
    <w:rsid w:val="009F0C1F"/>
    <w:rsid w:val="009F17AA"/>
    <w:rsid w:val="009F19B1"/>
    <w:rsid w:val="009F1A8D"/>
    <w:rsid w:val="009F22C8"/>
    <w:rsid w:val="009F2CF8"/>
    <w:rsid w:val="009F474B"/>
    <w:rsid w:val="009F5095"/>
    <w:rsid w:val="009F6002"/>
    <w:rsid w:val="009F6EF9"/>
    <w:rsid w:val="00A00976"/>
    <w:rsid w:val="00A053AE"/>
    <w:rsid w:val="00A05704"/>
    <w:rsid w:val="00A05F82"/>
    <w:rsid w:val="00A0631E"/>
    <w:rsid w:val="00A06754"/>
    <w:rsid w:val="00A07B83"/>
    <w:rsid w:val="00A10382"/>
    <w:rsid w:val="00A1053C"/>
    <w:rsid w:val="00A11644"/>
    <w:rsid w:val="00A11F16"/>
    <w:rsid w:val="00A121BD"/>
    <w:rsid w:val="00A13054"/>
    <w:rsid w:val="00A13A98"/>
    <w:rsid w:val="00A1505F"/>
    <w:rsid w:val="00A16612"/>
    <w:rsid w:val="00A16877"/>
    <w:rsid w:val="00A1790C"/>
    <w:rsid w:val="00A17A18"/>
    <w:rsid w:val="00A20B26"/>
    <w:rsid w:val="00A2107B"/>
    <w:rsid w:val="00A22463"/>
    <w:rsid w:val="00A225FF"/>
    <w:rsid w:val="00A22A00"/>
    <w:rsid w:val="00A23341"/>
    <w:rsid w:val="00A2336C"/>
    <w:rsid w:val="00A236BB"/>
    <w:rsid w:val="00A245AD"/>
    <w:rsid w:val="00A261AD"/>
    <w:rsid w:val="00A2703C"/>
    <w:rsid w:val="00A27337"/>
    <w:rsid w:val="00A278C0"/>
    <w:rsid w:val="00A27E00"/>
    <w:rsid w:val="00A27FE5"/>
    <w:rsid w:val="00A30E30"/>
    <w:rsid w:val="00A32109"/>
    <w:rsid w:val="00A32179"/>
    <w:rsid w:val="00A3265B"/>
    <w:rsid w:val="00A3276F"/>
    <w:rsid w:val="00A32B7B"/>
    <w:rsid w:val="00A32FA0"/>
    <w:rsid w:val="00A35CF5"/>
    <w:rsid w:val="00A3600A"/>
    <w:rsid w:val="00A403B1"/>
    <w:rsid w:val="00A40976"/>
    <w:rsid w:val="00A4174B"/>
    <w:rsid w:val="00A41E3D"/>
    <w:rsid w:val="00A4224B"/>
    <w:rsid w:val="00A42E47"/>
    <w:rsid w:val="00A45987"/>
    <w:rsid w:val="00A45FEF"/>
    <w:rsid w:val="00A46722"/>
    <w:rsid w:val="00A46C5F"/>
    <w:rsid w:val="00A46CBC"/>
    <w:rsid w:val="00A471EC"/>
    <w:rsid w:val="00A50759"/>
    <w:rsid w:val="00A507CB"/>
    <w:rsid w:val="00A52648"/>
    <w:rsid w:val="00A53159"/>
    <w:rsid w:val="00A544C5"/>
    <w:rsid w:val="00A54994"/>
    <w:rsid w:val="00A54A5E"/>
    <w:rsid w:val="00A54F87"/>
    <w:rsid w:val="00A60462"/>
    <w:rsid w:val="00A612AF"/>
    <w:rsid w:val="00A61D95"/>
    <w:rsid w:val="00A632CD"/>
    <w:rsid w:val="00A6396E"/>
    <w:rsid w:val="00A64A1A"/>
    <w:rsid w:val="00A65366"/>
    <w:rsid w:val="00A6577A"/>
    <w:rsid w:val="00A65D18"/>
    <w:rsid w:val="00A6624A"/>
    <w:rsid w:val="00A662CF"/>
    <w:rsid w:val="00A6647A"/>
    <w:rsid w:val="00A66771"/>
    <w:rsid w:val="00A66E04"/>
    <w:rsid w:val="00A672BB"/>
    <w:rsid w:val="00A67825"/>
    <w:rsid w:val="00A678A9"/>
    <w:rsid w:val="00A67B90"/>
    <w:rsid w:val="00A708B1"/>
    <w:rsid w:val="00A71F45"/>
    <w:rsid w:val="00A72D68"/>
    <w:rsid w:val="00A72DBF"/>
    <w:rsid w:val="00A733B3"/>
    <w:rsid w:val="00A734FB"/>
    <w:rsid w:val="00A74426"/>
    <w:rsid w:val="00A74DA0"/>
    <w:rsid w:val="00A74ED6"/>
    <w:rsid w:val="00A756D7"/>
    <w:rsid w:val="00A80493"/>
    <w:rsid w:val="00A80829"/>
    <w:rsid w:val="00A822B2"/>
    <w:rsid w:val="00A83A86"/>
    <w:rsid w:val="00A84DC0"/>
    <w:rsid w:val="00A85682"/>
    <w:rsid w:val="00A857BE"/>
    <w:rsid w:val="00A86F58"/>
    <w:rsid w:val="00A86FC0"/>
    <w:rsid w:val="00A871ED"/>
    <w:rsid w:val="00A877E7"/>
    <w:rsid w:val="00A90EE4"/>
    <w:rsid w:val="00A910C1"/>
    <w:rsid w:val="00A925EB"/>
    <w:rsid w:val="00A92A83"/>
    <w:rsid w:val="00A92B5B"/>
    <w:rsid w:val="00A92DDC"/>
    <w:rsid w:val="00A9498F"/>
    <w:rsid w:val="00A94A5F"/>
    <w:rsid w:val="00A94FE7"/>
    <w:rsid w:val="00A9634D"/>
    <w:rsid w:val="00A9684E"/>
    <w:rsid w:val="00A974A0"/>
    <w:rsid w:val="00A979D5"/>
    <w:rsid w:val="00A97C5D"/>
    <w:rsid w:val="00AA066A"/>
    <w:rsid w:val="00AA0A35"/>
    <w:rsid w:val="00AA18CB"/>
    <w:rsid w:val="00AA218B"/>
    <w:rsid w:val="00AA3A1F"/>
    <w:rsid w:val="00AA3F36"/>
    <w:rsid w:val="00AA4A8E"/>
    <w:rsid w:val="00AA4D08"/>
    <w:rsid w:val="00AA4F28"/>
    <w:rsid w:val="00AA5551"/>
    <w:rsid w:val="00AA55BF"/>
    <w:rsid w:val="00AA5EDD"/>
    <w:rsid w:val="00AA5FB9"/>
    <w:rsid w:val="00AA71D5"/>
    <w:rsid w:val="00AA7648"/>
    <w:rsid w:val="00AB045F"/>
    <w:rsid w:val="00AB0ECD"/>
    <w:rsid w:val="00AB177C"/>
    <w:rsid w:val="00AB18EA"/>
    <w:rsid w:val="00AB2721"/>
    <w:rsid w:val="00AB4CB5"/>
    <w:rsid w:val="00AB5498"/>
    <w:rsid w:val="00AB6721"/>
    <w:rsid w:val="00AB7141"/>
    <w:rsid w:val="00AB772A"/>
    <w:rsid w:val="00AB7773"/>
    <w:rsid w:val="00AB7AD4"/>
    <w:rsid w:val="00AC0432"/>
    <w:rsid w:val="00AC0BA7"/>
    <w:rsid w:val="00AC0BB8"/>
    <w:rsid w:val="00AC211D"/>
    <w:rsid w:val="00AC2C00"/>
    <w:rsid w:val="00AC3546"/>
    <w:rsid w:val="00AC3C60"/>
    <w:rsid w:val="00AC50C5"/>
    <w:rsid w:val="00AC58DA"/>
    <w:rsid w:val="00AC7C5C"/>
    <w:rsid w:val="00AD0B72"/>
    <w:rsid w:val="00AD1299"/>
    <w:rsid w:val="00AD129D"/>
    <w:rsid w:val="00AD149A"/>
    <w:rsid w:val="00AD1CBC"/>
    <w:rsid w:val="00AD42FD"/>
    <w:rsid w:val="00AD5D86"/>
    <w:rsid w:val="00AD6389"/>
    <w:rsid w:val="00AD66AD"/>
    <w:rsid w:val="00AD6731"/>
    <w:rsid w:val="00AD7D8E"/>
    <w:rsid w:val="00AE13E7"/>
    <w:rsid w:val="00AE1FAD"/>
    <w:rsid w:val="00AE2727"/>
    <w:rsid w:val="00AE33CF"/>
    <w:rsid w:val="00AE4910"/>
    <w:rsid w:val="00AE51D0"/>
    <w:rsid w:val="00AE541D"/>
    <w:rsid w:val="00AE542F"/>
    <w:rsid w:val="00AE5726"/>
    <w:rsid w:val="00AE60D4"/>
    <w:rsid w:val="00AF0130"/>
    <w:rsid w:val="00AF09E8"/>
    <w:rsid w:val="00AF0B7B"/>
    <w:rsid w:val="00AF1334"/>
    <w:rsid w:val="00AF1582"/>
    <w:rsid w:val="00AF2677"/>
    <w:rsid w:val="00AF27B3"/>
    <w:rsid w:val="00AF3591"/>
    <w:rsid w:val="00AF5D29"/>
    <w:rsid w:val="00AF62F8"/>
    <w:rsid w:val="00AF6DED"/>
    <w:rsid w:val="00AF7CB3"/>
    <w:rsid w:val="00B00C87"/>
    <w:rsid w:val="00B01442"/>
    <w:rsid w:val="00B018E7"/>
    <w:rsid w:val="00B01F70"/>
    <w:rsid w:val="00B02287"/>
    <w:rsid w:val="00B025D1"/>
    <w:rsid w:val="00B02C56"/>
    <w:rsid w:val="00B02DB1"/>
    <w:rsid w:val="00B04774"/>
    <w:rsid w:val="00B05B21"/>
    <w:rsid w:val="00B065EA"/>
    <w:rsid w:val="00B066C9"/>
    <w:rsid w:val="00B069FC"/>
    <w:rsid w:val="00B07186"/>
    <w:rsid w:val="00B073E2"/>
    <w:rsid w:val="00B10289"/>
    <w:rsid w:val="00B1028A"/>
    <w:rsid w:val="00B10C23"/>
    <w:rsid w:val="00B1292F"/>
    <w:rsid w:val="00B12AC7"/>
    <w:rsid w:val="00B133E0"/>
    <w:rsid w:val="00B13554"/>
    <w:rsid w:val="00B139C9"/>
    <w:rsid w:val="00B14147"/>
    <w:rsid w:val="00B14A5E"/>
    <w:rsid w:val="00B15D56"/>
    <w:rsid w:val="00B15EB8"/>
    <w:rsid w:val="00B16602"/>
    <w:rsid w:val="00B16635"/>
    <w:rsid w:val="00B16FBE"/>
    <w:rsid w:val="00B172DE"/>
    <w:rsid w:val="00B20037"/>
    <w:rsid w:val="00B20294"/>
    <w:rsid w:val="00B20C1A"/>
    <w:rsid w:val="00B20C76"/>
    <w:rsid w:val="00B20D70"/>
    <w:rsid w:val="00B21D78"/>
    <w:rsid w:val="00B22C72"/>
    <w:rsid w:val="00B23262"/>
    <w:rsid w:val="00B232F6"/>
    <w:rsid w:val="00B2360A"/>
    <w:rsid w:val="00B24FBE"/>
    <w:rsid w:val="00B25F2C"/>
    <w:rsid w:val="00B26751"/>
    <w:rsid w:val="00B27054"/>
    <w:rsid w:val="00B2776F"/>
    <w:rsid w:val="00B31B61"/>
    <w:rsid w:val="00B325AE"/>
    <w:rsid w:val="00B33448"/>
    <w:rsid w:val="00B34EFA"/>
    <w:rsid w:val="00B35E23"/>
    <w:rsid w:val="00B37075"/>
    <w:rsid w:val="00B3736A"/>
    <w:rsid w:val="00B40182"/>
    <w:rsid w:val="00B4025C"/>
    <w:rsid w:val="00B41D1A"/>
    <w:rsid w:val="00B42B11"/>
    <w:rsid w:val="00B42C33"/>
    <w:rsid w:val="00B42D90"/>
    <w:rsid w:val="00B45BCE"/>
    <w:rsid w:val="00B46A4B"/>
    <w:rsid w:val="00B46AFD"/>
    <w:rsid w:val="00B46D42"/>
    <w:rsid w:val="00B474FF"/>
    <w:rsid w:val="00B509C3"/>
    <w:rsid w:val="00B52186"/>
    <w:rsid w:val="00B539FA"/>
    <w:rsid w:val="00B54207"/>
    <w:rsid w:val="00B54B43"/>
    <w:rsid w:val="00B55B04"/>
    <w:rsid w:val="00B55E25"/>
    <w:rsid w:val="00B55FCE"/>
    <w:rsid w:val="00B578AF"/>
    <w:rsid w:val="00B60FE6"/>
    <w:rsid w:val="00B61564"/>
    <w:rsid w:val="00B6232D"/>
    <w:rsid w:val="00B62CB2"/>
    <w:rsid w:val="00B63BD2"/>
    <w:rsid w:val="00B647E5"/>
    <w:rsid w:val="00B65138"/>
    <w:rsid w:val="00B6556B"/>
    <w:rsid w:val="00B65C55"/>
    <w:rsid w:val="00B67ADD"/>
    <w:rsid w:val="00B67E8F"/>
    <w:rsid w:val="00B70281"/>
    <w:rsid w:val="00B71CF4"/>
    <w:rsid w:val="00B7480C"/>
    <w:rsid w:val="00B74843"/>
    <w:rsid w:val="00B75690"/>
    <w:rsid w:val="00B75C19"/>
    <w:rsid w:val="00B76089"/>
    <w:rsid w:val="00B76CEA"/>
    <w:rsid w:val="00B77758"/>
    <w:rsid w:val="00B77DAB"/>
    <w:rsid w:val="00B80189"/>
    <w:rsid w:val="00B80E16"/>
    <w:rsid w:val="00B824B4"/>
    <w:rsid w:val="00B8276C"/>
    <w:rsid w:val="00B830A8"/>
    <w:rsid w:val="00B834BD"/>
    <w:rsid w:val="00B876A5"/>
    <w:rsid w:val="00B92203"/>
    <w:rsid w:val="00B92AD4"/>
    <w:rsid w:val="00B93108"/>
    <w:rsid w:val="00B934A1"/>
    <w:rsid w:val="00B9391E"/>
    <w:rsid w:val="00B95191"/>
    <w:rsid w:val="00B965A9"/>
    <w:rsid w:val="00B96B97"/>
    <w:rsid w:val="00BA069E"/>
    <w:rsid w:val="00BA0D5F"/>
    <w:rsid w:val="00BA0D94"/>
    <w:rsid w:val="00BA10C2"/>
    <w:rsid w:val="00BA12DE"/>
    <w:rsid w:val="00BA1828"/>
    <w:rsid w:val="00BA1885"/>
    <w:rsid w:val="00BA295B"/>
    <w:rsid w:val="00BA36EC"/>
    <w:rsid w:val="00BA453D"/>
    <w:rsid w:val="00BA52A8"/>
    <w:rsid w:val="00BA634F"/>
    <w:rsid w:val="00BA646F"/>
    <w:rsid w:val="00BA7727"/>
    <w:rsid w:val="00BB058D"/>
    <w:rsid w:val="00BB0CF9"/>
    <w:rsid w:val="00BB0DAF"/>
    <w:rsid w:val="00BB189D"/>
    <w:rsid w:val="00BB2B1B"/>
    <w:rsid w:val="00BB487B"/>
    <w:rsid w:val="00BB4C63"/>
    <w:rsid w:val="00BB5299"/>
    <w:rsid w:val="00BB623D"/>
    <w:rsid w:val="00BB6370"/>
    <w:rsid w:val="00BB654D"/>
    <w:rsid w:val="00BB6F14"/>
    <w:rsid w:val="00BB6FCB"/>
    <w:rsid w:val="00BB72FB"/>
    <w:rsid w:val="00BC0789"/>
    <w:rsid w:val="00BC0B7D"/>
    <w:rsid w:val="00BC0EAF"/>
    <w:rsid w:val="00BC1EFA"/>
    <w:rsid w:val="00BC2486"/>
    <w:rsid w:val="00BC26BF"/>
    <w:rsid w:val="00BC2870"/>
    <w:rsid w:val="00BC3AD3"/>
    <w:rsid w:val="00BC4559"/>
    <w:rsid w:val="00BC6293"/>
    <w:rsid w:val="00BC7EF0"/>
    <w:rsid w:val="00BD0C79"/>
    <w:rsid w:val="00BD1288"/>
    <w:rsid w:val="00BD1340"/>
    <w:rsid w:val="00BD235C"/>
    <w:rsid w:val="00BD2C61"/>
    <w:rsid w:val="00BD37EE"/>
    <w:rsid w:val="00BD387B"/>
    <w:rsid w:val="00BD3E68"/>
    <w:rsid w:val="00BD6E09"/>
    <w:rsid w:val="00BD7228"/>
    <w:rsid w:val="00BE0291"/>
    <w:rsid w:val="00BE09F8"/>
    <w:rsid w:val="00BE10EA"/>
    <w:rsid w:val="00BE34E7"/>
    <w:rsid w:val="00BE3B96"/>
    <w:rsid w:val="00BE4A68"/>
    <w:rsid w:val="00BE62B9"/>
    <w:rsid w:val="00BE64FA"/>
    <w:rsid w:val="00BE7733"/>
    <w:rsid w:val="00BE7EBA"/>
    <w:rsid w:val="00BF1486"/>
    <w:rsid w:val="00BF27AF"/>
    <w:rsid w:val="00BF36AB"/>
    <w:rsid w:val="00BF4431"/>
    <w:rsid w:val="00BF4F18"/>
    <w:rsid w:val="00BF5825"/>
    <w:rsid w:val="00BF6938"/>
    <w:rsid w:val="00BF7338"/>
    <w:rsid w:val="00BF7940"/>
    <w:rsid w:val="00C002C9"/>
    <w:rsid w:val="00C0107C"/>
    <w:rsid w:val="00C03249"/>
    <w:rsid w:val="00C03B80"/>
    <w:rsid w:val="00C03F66"/>
    <w:rsid w:val="00C04D24"/>
    <w:rsid w:val="00C04F37"/>
    <w:rsid w:val="00C05F05"/>
    <w:rsid w:val="00C06150"/>
    <w:rsid w:val="00C063E3"/>
    <w:rsid w:val="00C06BDE"/>
    <w:rsid w:val="00C07394"/>
    <w:rsid w:val="00C07F80"/>
    <w:rsid w:val="00C118C6"/>
    <w:rsid w:val="00C12D61"/>
    <w:rsid w:val="00C12D7E"/>
    <w:rsid w:val="00C1330D"/>
    <w:rsid w:val="00C1374F"/>
    <w:rsid w:val="00C13C52"/>
    <w:rsid w:val="00C142DC"/>
    <w:rsid w:val="00C14FE8"/>
    <w:rsid w:val="00C153F6"/>
    <w:rsid w:val="00C15798"/>
    <w:rsid w:val="00C15C0A"/>
    <w:rsid w:val="00C15F87"/>
    <w:rsid w:val="00C16BAE"/>
    <w:rsid w:val="00C170EE"/>
    <w:rsid w:val="00C1762A"/>
    <w:rsid w:val="00C17E16"/>
    <w:rsid w:val="00C21A67"/>
    <w:rsid w:val="00C21CB7"/>
    <w:rsid w:val="00C21FC6"/>
    <w:rsid w:val="00C2282A"/>
    <w:rsid w:val="00C22C3F"/>
    <w:rsid w:val="00C22CBC"/>
    <w:rsid w:val="00C2312C"/>
    <w:rsid w:val="00C23672"/>
    <w:rsid w:val="00C23CAA"/>
    <w:rsid w:val="00C24930"/>
    <w:rsid w:val="00C2546E"/>
    <w:rsid w:val="00C25677"/>
    <w:rsid w:val="00C25A22"/>
    <w:rsid w:val="00C25CC7"/>
    <w:rsid w:val="00C25D82"/>
    <w:rsid w:val="00C27054"/>
    <w:rsid w:val="00C2745D"/>
    <w:rsid w:val="00C274D4"/>
    <w:rsid w:val="00C30380"/>
    <w:rsid w:val="00C30574"/>
    <w:rsid w:val="00C30575"/>
    <w:rsid w:val="00C313E3"/>
    <w:rsid w:val="00C335BF"/>
    <w:rsid w:val="00C33F58"/>
    <w:rsid w:val="00C3638A"/>
    <w:rsid w:val="00C364B7"/>
    <w:rsid w:val="00C36788"/>
    <w:rsid w:val="00C36C57"/>
    <w:rsid w:val="00C37288"/>
    <w:rsid w:val="00C37A4E"/>
    <w:rsid w:val="00C37A66"/>
    <w:rsid w:val="00C40813"/>
    <w:rsid w:val="00C41462"/>
    <w:rsid w:val="00C42827"/>
    <w:rsid w:val="00C43E41"/>
    <w:rsid w:val="00C44B5D"/>
    <w:rsid w:val="00C460E9"/>
    <w:rsid w:val="00C46302"/>
    <w:rsid w:val="00C465D6"/>
    <w:rsid w:val="00C47841"/>
    <w:rsid w:val="00C500B5"/>
    <w:rsid w:val="00C514BB"/>
    <w:rsid w:val="00C516F3"/>
    <w:rsid w:val="00C51BE4"/>
    <w:rsid w:val="00C51F7F"/>
    <w:rsid w:val="00C51FED"/>
    <w:rsid w:val="00C52491"/>
    <w:rsid w:val="00C52827"/>
    <w:rsid w:val="00C52C7C"/>
    <w:rsid w:val="00C535CE"/>
    <w:rsid w:val="00C53AA1"/>
    <w:rsid w:val="00C546CE"/>
    <w:rsid w:val="00C54DDC"/>
    <w:rsid w:val="00C558B2"/>
    <w:rsid w:val="00C560CB"/>
    <w:rsid w:val="00C56450"/>
    <w:rsid w:val="00C57761"/>
    <w:rsid w:val="00C6035C"/>
    <w:rsid w:val="00C60D63"/>
    <w:rsid w:val="00C61711"/>
    <w:rsid w:val="00C63E72"/>
    <w:rsid w:val="00C65C7B"/>
    <w:rsid w:val="00C65EC5"/>
    <w:rsid w:val="00C665E5"/>
    <w:rsid w:val="00C67274"/>
    <w:rsid w:val="00C67BA4"/>
    <w:rsid w:val="00C707D9"/>
    <w:rsid w:val="00C71207"/>
    <w:rsid w:val="00C715B7"/>
    <w:rsid w:val="00C717FF"/>
    <w:rsid w:val="00C72070"/>
    <w:rsid w:val="00C725A6"/>
    <w:rsid w:val="00C72860"/>
    <w:rsid w:val="00C7314C"/>
    <w:rsid w:val="00C73A6E"/>
    <w:rsid w:val="00C7502E"/>
    <w:rsid w:val="00C75938"/>
    <w:rsid w:val="00C75B2A"/>
    <w:rsid w:val="00C75B4C"/>
    <w:rsid w:val="00C75F60"/>
    <w:rsid w:val="00C767AC"/>
    <w:rsid w:val="00C771CE"/>
    <w:rsid w:val="00C771EC"/>
    <w:rsid w:val="00C8004E"/>
    <w:rsid w:val="00C80602"/>
    <w:rsid w:val="00C80EC6"/>
    <w:rsid w:val="00C82976"/>
    <w:rsid w:val="00C82CC9"/>
    <w:rsid w:val="00C836A0"/>
    <w:rsid w:val="00C848BD"/>
    <w:rsid w:val="00C84B5C"/>
    <w:rsid w:val="00C84FED"/>
    <w:rsid w:val="00C8506C"/>
    <w:rsid w:val="00C85B57"/>
    <w:rsid w:val="00C85FCB"/>
    <w:rsid w:val="00C874F7"/>
    <w:rsid w:val="00C8778E"/>
    <w:rsid w:val="00C91326"/>
    <w:rsid w:val="00C9295E"/>
    <w:rsid w:val="00C92D3F"/>
    <w:rsid w:val="00C93713"/>
    <w:rsid w:val="00C93FFC"/>
    <w:rsid w:val="00C95055"/>
    <w:rsid w:val="00C95088"/>
    <w:rsid w:val="00C95347"/>
    <w:rsid w:val="00C96A2F"/>
    <w:rsid w:val="00C97A40"/>
    <w:rsid w:val="00CA0932"/>
    <w:rsid w:val="00CA09C5"/>
    <w:rsid w:val="00CA0D74"/>
    <w:rsid w:val="00CA1422"/>
    <w:rsid w:val="00CA1F7E"/>
    <w:rsid w:val="00CA3EE9"/>
    <w:rsid w:val="00CA4BC3"/>
    <w:rsid w:val="00CA5BAF"/>
    <w:rsid w:val="00CA6532"/>
    <w:rsid w:val="00CA7CB4"/>
    <w:rsid w:val="00CB0CD0"/>
    <w:rsid w:val="00CB0F55"/>
    <w:rsid w:val="00CB0FE2"/>
    <w:rsid w:val="00CB22F7"/>
    <w:rsid w:val="00CB2DF2"/>
    <w:rsid w:val="00CB312A"/>
    <w:rsid w:val="00CB32E8"/>
    <w:rsid w:val="00CB3D80"/>
    <w:rsid w:val="00CB4370"/>
    <w:rsid w:val="00CB4690"/>
    <w:rsid w:val="00CB6660"/>
    <w:rsid w:val="00CB72D2"/>
    <w:rsid w:val="00CB7596"/>
    <w:rsid w:val="00CC07BE"/>
    <w:rsid w:val="00CC13C5"/>
    <w:rsid w:val="00CC1FC3"/>
    <w:rsid w:val="00CC216B"/>
    <w:rsid w:val="00CC2515"/>
    <w:rsid w:val="00CC2693"/>
    <w:rsid w:val="00CC2F61"/>
    <w:rsid w:val="00CC2FD6"/>
    <w:rsid w:val="00CC3477"/>
    <w:rsid w:val="00CC3722"/>
    <w:rsid w:val="00CC71B9"/>
    <w:rsid w:val="00CD0C4B"/>
    <w:rsid w:val="00CD12A4"/>
    <w:rsid w:val="00CD1E42"/>
    <w:rsid w:val="00CD3C37"/>
    <w:rsid w:val="00CD49C0"/>
    <w:rsid w:val="00CD5993"/>
    <w:rsid w:val="00CD59DF"/>
    <w:rsid w:val="00CD63BD"/>
    <w:rsid w:val="00CD63FD"/>
    <w:rsid w:val="00CD71EA"/>
    <w:rsid w:val="00CD73C2"/>
    <w:rsid w:val="00CD7AC2"/>
    <w:rsid w:val="00CE0419"/>
    <w:rsid w:val="00CE0B4F"/>
    <w:rsid w:val="00CE20EC"/>
    <w:rsid w:val="00CE2853"/>
    <w:rsid w:val="00CE2BD4"/>
    <w:rsid w:val="00CE39F6"/>
    <w:rsid w:val="00CE41F3"/>
    <w:rsid w:val="00CE4618"/>
    <w:rsid w:val="00CF19E5"/>
    <w:rsid w:val="00CF2B53"/>
    <w:rsid w:val="00CF5B8A"/>
    <w:rsid w:val="00D00640"/>
    <w:rsid w:val="00D00A82"/>
    <w:rsid w:val="00D01BE8"/>
    <w:rsid w:val="00D02304"/>
    <w:rsid w:val="00D02FB9"/>
    <w:rsid w:val="00D04607"/>
    <w:rsid w:val="00D05C35"/>
    <w:rsid w:val="00D061F3"/>
    <w:rsid w:val="00D06778"/>
    <w:rsid w:val="00D07BF7"/>
    <w:rsid w:val="00D10676"/>
    <w:rsid w:val="00D1204C"/>
    <w:rsid w:val="00D121AC"/>
    <w:rsid w:val="00D12630"/>
    <w:rsid w:val="00D1398C"/>
    <w:rsid w:val="00D14A1C"/>
    <w:rsid w:val="00D14FCA"/>
    <w:rsid w:val="00D153C8"/>
    <w:rsid w:val="00D158F2"/>
    <w:rsid w:val="00D1601C"/>
    <w:rsid w:val="00D171B3"/>
    <w:rsid w:val="00D17262"/>
    <w:rsid w:val="00D17EC9"/>
    <w:rsid w:val="00D213DB"/>
    <w:rsid w:val="00D2186D"/>
    <w:rsid w:val="00D22918"/>
    <w:rsid w:val="00D22FBE"/>
    <w:rsid w:val="00D234BE"/>
    <w:rsid w:val="00D236E7"/>
    <w:rsid w:val="00D23B8D"/>
    <w:rsid w:val="00D23CE1"/>
    <w:rsid w:val="00D23FAF"/>
    <w:rsid w:val="00D25381"/>
    <w:rsid w:val="00D2541D"/>
    <w:rsid w:val="00D25A09"/>
    <w:rsid w:val="00D26641"/>
    <w:rsid w:val="00D27D67"/>
    <w:rsid w:val="00D30277"/>
    <w:rsid w:val="00D310CB"/>
    <w:rsid w:val="00D31C84"/>
    <w:rsid w:val="00D31D1C"/>
    <w:rsid w:val="00D31F59"/>
    <w:rsid w:val="00D320A8"/>
    <w:rsid w:val="00D34599"/>
    <w:rsid w:val="00D35419"/>
    <w:rsid w:val="00D35E81"/>
    <w:rsid w:val="00D36EF1"/>
    <w:rsid w:val="00D378E2"/>
    <w:rsid w:val="00D4000C"/>
    <w:rsid w:val="00D40B26"/>
    <w:rsid w:val="00D413FC"/>
    <w:rsid w:val="00D414A7"/>
    <w:rsid w:val="00D4464F"/>
    <w:rsid w:val="00D44C9E"/>
    <w:rsid w:val="00D4518D"/>
    <w:rsid w:val="00D458EA"/>
    <w:rsid w:val="00D4593B"/>
    <w:rsid w:val="00D4620D"/>
    <w:rsid w:val="00D464EF"/>
    <w:rsid w:val="00D467AB"/>
    <w:rsid w:val="00D46A88"/>
    <w:rsid w:val="00D47D4F"/>
    <w:rsid w:val="00D50981"/>
    <w:rsid w:val="00D51DB1"/>
    <w:rsid w:val="00D51F0A"/>
    <w:rsid w:val="00D5204F"/>
    <w:rsid w:val="00D52235"/>
    <w:rsid w:val="00D55A5E"/>
    <w:rsid w:val="00D563C9"/>
    <w:rsid w:val="00D56D80"/>
    <w:rsid w:val="00D60D17"/>
    <w:rsid w:val="00D61499"/>
    <w:rsid w:val="00D617A5"/>
    <w:rsid w:val="00D629F6"/>
    <w:rsid w:val="00D636FC"/>
    <w:rsid w:val="00D64FE3"/>
    <w:rsid w:val="00D6557C"/>
    <w:rsid w:val="00D659F2"/>
    <w:rsid w:val="00D65CEB"/>
    <w:rsid w:val="00D672F7"/>
    <w:rsid w:val="00D67B78"/>
    <w:rsid w:val="00D71641"/>
    <w:rsid w:val="00D72918"/>
    <w:rsid w:val="00D72FFF"/>
    <w:rsid w:val="00D73BA0"/>
    <w:rsid w:val="00D74159"/>
    <w:rsid w:val="00D74200"/>
    <w:rsid w:val="00D7431B"/>
    <w:rsid w:val="00D74D70"/>
    <w:rsid w:val="00D7521A"/>
    <w:rsid w:val="00D75593"/>
    <w:rsid w:val="00D75A70"/>
    <w:rsid w:val="00D765FF"/>
    <w:rsid w:val="00D76D39"/>
    <w:rsid w:val="00D76D99"/>
    <w:rsid w:val="00D77734"/>
    <w:rsid w:val="00D81209"/>
    <w:rsid w:val="00D815B4"/>
    <w:rsid w:val="00D81856"/>
    <w:rsid w:val="00D81E17"/>
    <w:rsid w:val="00D830D0"/>
    <w:rsid w:val="00D83649"/>
    <w:rsid w:val="00D83BC1"/>
    <w:rsid w:val="00D83BFD"/>
    <w:rsid w:val="00D84808"/>
    <w:rsid w:val="00D84EEE"/>
    <w:rsid w:val="00D850F1"/>
    <w:rsid w:val="00D85C81"/>
    <w:rsid w:val="00D862F6"/>
    <w:rsid w:val="00D870BC"/>
    <w:rsid w:val="00D875BB"/>
    <w:rsid w:val="00D875C9"/>
    <w:rsid w:val="00D901CD"/>
    <w:rsid w:val="00D9088B"/>
    <w:rsid w:val="00D9165C"/>
    <w:rsid w:val="00D916C5"/>
    <w:rsid w:val="00D92215"/>
    <w:rsid w:val="00D92512"/>
    <w:rsid w:val="00D92F1A"/>
    <w:rsid w:val="00D931DB"/>
    <w:rsid w:val="00D93C82"/>
    <w:rsid w:val="00D94FF9"/>
    <w:rsid w:val="00D972B1"/>
    <w:rsid w:val="00DA13A2"/>
    <w:rsid w:val="00DA3A03"/>
    <w:rsid w:val="00DA7F99"/>
    <w:rsid w:val="00DB0786"/>
    <w:rsid w:val="00DB0EB0"/>
    <w:rsid w:val="00DB1331"/>
    <w:rsid w:val="00DB16E6"/>
    <w:rsid w:val="00DB17ED"/>
    <w:rsid w:val="00DB195D"/>
    <w:rsid w:val="00DB277B"/>
    <w:rsid w:val="00DB41B4"/>
    <w:rsid w:val="00DB4D15"/>
    <w:rsid w:val="00DB54AC"/>
    <w:rsid w:val="00DB6AAF"/>
    <w:rsid w:val="00DB6B0F"/>
    <w:rsid w:val="00DC0425"/>
    <w:rsid w:val="00DC0B2F"/>
    <w:rsid w:val="00DC1412"/>
    <w:rsid w:val="00DC17F5"/>
    <w:rsid w:val="00DC1CCE"/>
    <w:rsid w:val="00DC2A5B"/>
    <w:rsid w:val="00DC2E2C"/>
    <w:rsid w:val="00DC3266"/>
    <w:rsid w:val="00DC32F8"/>
    <w:rsid w:val="00DC3F46"/>
    <w:rsid w:val="00DC532A"/>
    <w:rsid w:val="00DC5409"/>
    <w:rsid w:val="00DC6283"/>
    <w:rsid w:val="00DC65F6"/>
    <w:rsid w:val="00DC6997"/>
    <w:rsid w:val="00DC6F73"/>
    <w:rsid w:val="00DC7D0A"/>
    <w:rsid w:val="00DD0743"/>
    <w:rsid w:val="00DD0D45"/>
    <w:rsid w:val="00DD115C"/>
    <w:rsid w:val="00DD15D9"/>
    <w:rsid w:val="00DD20D7"/>
    <w:rsid w:val="00DD2C5B"/>
    <w:rsid w:val="00DD307C"/>
    <w:rsid w:val="00DD38BD"/>
    <w:rsid w:val="00DD48B1"/>
    <w:rsid w:val="00DD5F14"/>
    <w:rsid w:val="00DD6012"/>
    <w:rsid w:val="00DD62D2"/>
    <w:rsid w:val="00DD68AD"/>
    <w:rsid w:val="00DD6DB5"/>
    <w:rsid w:val="00DD7F99"/>
    <w:rsid w:val="00DE17C2"/>
    <w:rsid w:val="00DE1BA5"/>
    <w:rsid w:val="00DE1D9B"/>
    <w:rsid w:val="00DE3402"/>
    <w:rsid w:val="00DE3B9D"/>
    <w:rsid w:val="00DE4623"/>
    <w:rsid w:val="00DE50F3"/>
    <w:rsid w:val="00DE5BE3"/>
    <w:rsid w:val="00DE5F55"/>
    <w:rsid w:val="00DE71A2"/>
    <w:rsid w:val="00DE7F01"/>
    <w:rsid w:val="00DF0379"/>
    <w:rsid w:val="00DF05EF"/>
    <w:rsid w:val="00DF13ED"/>
    <w:rsid w:val="00DF2383"/>
    <w:rsid w:val="00DF41BF"/>
    <w:rsid w:val="00DF4B77"/>
    <w:rsid w:val="00DF5530"/>
    <w:rsid w:val="00DF686B"/>
    <w:rsid w:val="00DF7934"/>
    <w:rsid w:val="00DF7B34"/>
    <w:rsid w:val="00E005D2"/>
    <w:rsid w:val="00E00689"/>
    <w:rsid w:val="00E01A28"/>
    <w:rsid w:val="00E043A2"/>
    <w:rsid w:val="00E04895"/>
    <w:rsid w:val="00E04BAE"/>
    <w:rsid w:val="00E04ED6"/>
    <w:rsid w:val="00E06AB6"/>
    <w:rsid w:val="00E07551"/>
    <w:rsid w:val="00E076E9"/>
    <w:rsid w:val="00E102BB"/>
    <w:rsid w:val="00E111DA"/>
    <w:rsid w:val="00E119F5"/>
    <w:rsid w:val="00E11F08"/>
    <w:rsid w:val="00E12F05"/>
    <w:rsid w:val="00E13564"/>
    <w:rsid w:val="00E13D5B"/>
    <w:rsid w:val="00E1458C"/>
    <w:rsid w:val="00E1544F"/>
    <w:rsid w:val="00E165FC"/>
    <w:rsid w:val="00E16A27"/>
    <w:rsid w:val="00E17734"/>
    <w:rsid w:val="00E17B0D"/>
    <w:rsid w:val="00E2086E"/>
    <w:rsid w:val="00E20D52"/>
    <w:rsid w:val="00E22109"/>
    <w:rsid w:val="00E232F5"/>
    <w:rsid w:val="00E2343A"/>
    <w:rsid w:val="00E23975"/>
    <w:rsid w:val="00E23A0B"/>
    <w:rsid w:val="00E248C1"/>
    <w:rsid w:val="00E24D97"/>
    <w:rsid w:val="00E251EE"/>
    <w:rsid w:val="00E26280"/>
    <w:rsid w:val="00E26FA9"/>
    <w:rsid w:val="00E2734E"/>
    <w:rsid w:val="00E27756"/>
    <w:rsid w:val="00E31FE4"/>
    <w:rsid w:val="00E32FAE"/>
    <w:rsid w:val="00E33B55"/>
    <w:rsid w:val="00E33FC8"/>
    <w:rsid w:val="00E34715"/>
    <w:rsid w:val="00E35108"/>
    <w:rsid w:val="00E362D1"/>
    <w:rsid w:val="00E36BC8"/>
    <w:rsid w:val="00E371BF"/>
    <w:rsid w:val="00E37754"/>
    <w:rsid w:val="00E37C28"/>
    <w:rsid w:val="00E4039F"/>
    <w:rsid w:val="00E4157D"/>
    <w:rsid w:val="00E4315B"/>
    <w:rsid w:val="00E44FB3"/>
    <w:rsid w:val="00E453CC"/>
    <w:rsid w:val="00E472A3"/>
    <w:rsid w:val="00E47739"/>
    <w:rsid w:val="00E519D9"/>
    <w:rsid w:val="00E525E4"/>
    <w:rsid w:val="00E5375E"/>
    <w:rsid w:val="00E54050"/>
    <w:rsid w:val="00E54EA3"/>
    <w:rsid w:val="00E559BF"/>
    <w:rsid w:val="00E56414"/>
    <w:rsid w:val="00E56C5B"/>
    <w:rsid w:val="00E56E25"/>
    <w:rsid w:val="00E57FBA"/>
    <w:rsid w:val="00E6142C"/>
    <w:rsid w:val="00E616F5"/>
    <w:rsid w:val="00E61A0F"/>
    <w:rsid w:val="00E622EE"/>
    <w:rsid w:val="00E63470"/>
    <w:rsid w:val="00E6361A"/>
    <w:rsid w:val="00E648CE"/>
    <w:rsid w:val="00E64F12"/>
    <w:rsid w:val="00E66514"/>
    <w:rsid w:val="00E67E3E"/>
    <w:rsid w:val="00E705C8"/>
    <w:rsid w:val="00E70E57"/>
    <w:rsid w:val="00E71435"/>
    <w:rsid w:val="00E71C4E"/>
    <w:rsid w:val="00E7253C"/>
    <w:rsid w:val="00E72CCC"/>
    <w:rsid w:val="00E73B56"/>
    <w:rsid w:val="00E74834"/>
    <w:rsid w:val="00E74C8B"/>
    <w:rsid w:val="00E7535D"/>
    <w:rsid w:val="00E81B8C"/>
    <w:rsid w:val="00E8216F"/>
    <w:rsid w:val="00E82A13"/>
    <w:rsid w:val="00E83EE5"/>
    <w:rsid w:val="00E847FA"/>
    <w:rsid w:val="00E84E35"/>
    <w:rsid w:val="00E850E3"/>
    <w:rsid w:val="00E85616"/>
    <w:rsid w:val="00E902A8"/>
    <w:rsid w:val="00E902B6"/>
    <w:rsid w:val="00E90347"/>
    <w:rsid w:val="00E90BDB"/>
    <w:rsid w:val="00E910FB"/>
    <w:rsid w:val="00E91632"/>
    <w:rsid w:val="00E91917"/>
    <w:rsid w:val="00E91D3C"/>
    <w:rsid w:val="00E9219A"/>
    <w:rsid w:val="00E922E6"/>
    <w:rsid w:val="00E93E90"/>
    <w:rsid w:val="00E945D9"/>
    <w:rsid w:val="00E94A5B"/>
    <w:rsid w:val="00E96538"/>
    <w:rsid w:val="00E96A63"/>
    <w:rsid w:val="00E96C5F"/>
    <w:rsid w:val="00E9769F"/>
    <w:rsid w:val="00EA07FE"/>
    <w:rsid w:val="00EA0CA2"/>
    <w:rsid w:val="00EA128F"/>
    <w:rsid w:val="00EA1F17"/>
    <w:rsid w:val="00EA2025"/>
    <w:rsid w:val="00EA2A6C"/>
    <w:rsid w:val="00EA371E"/>
    <w:rsid w:val="00EA3AA0"/>
    <w:rsid w:val="00EA3E31"/>
    <w:rsid w:val="00EA414F"/>
    <w:rsid w:val="00EA4781"/>
    <w:rsid w:val="00EA5299"/>
    <w:rsid w:val="00EA5427"/>
    <w:rsid w:val="00EA764B"/>
    <w:rsid w:val="00EB2EE9"/>
    <w:rsid w:val="00EB39B7"/>
    <w:rsid w:val="00EB3BB1"/>
    <w:rsid w:val="00EB4D9E"/>
    <w:rsid w:val="00EB64F4"/>
    <w:rsid w:val="00EB7728"/>
    <w:rsid w:val="00EB7A99"/>
    <w:rsid w:val="00EC072B"/>
    <w:rsid w:val="00EC0BBC"/>
    <w:rsid w:val="00EC0CAC"/>
    <w:rsid w:val="00EC19CB"/>
    <w:rsid w:val="00EC1A5D"/>
    <w:rsid w:val="00EC22D2"/>
    <w:rsid w:val="00EC2617"/>
    <w:rsid w:val="00EC3D43"/>
    <w:rsid w:val="00EC3EA8"/>
    <w:rsid w:val="00EC6168"/>
    <w:rsid w:val="00EC61C2"/>
    <w:rsid w:val="00EC6B12"/>
    <w:rsid w:val="00EC70E2"/>
    <w:rsid w:val="00ED0027"/>
    <w:rsid w:val="00ED01F8"/>
    <w:rsid w:val="00ED091D"/>
    <w:rsid w:val="00ED0A0C"/>
    <w:rsid w:val="00ED2196"/>
    <w:rsid w:val="00ED2203"/>
    <w:rsid w:val="00ED2EA1"/>
    <w:rsid w:val="00ED3BE2"/>
    <w:rsid w:val="00EE0B17"/>
    <w:rsid w:val="00EE1FAE"/>
    <w:rsid w:val="00EE2073"/>
    <w:rsid w:val="00EE2405"/>
    <w:rsid w:val="00EE3B00"/>
    <w:rsid w:val="00EE402B"/>
    <w:rsid w:val="00EE42E9"/>
    <w:rsid w:val="00EE46DB"/>
    <w:rsid w:val="00EE47BB"/>
    <w:rsid w:val="00EE52E1"/>
    <w:rsid w:val="00EE5305"/>
    <w:rsid w:val="00EE54B4"/>
    <w:rsid w:val="00EE604D"/>
    <w:rsid w:val="00EE60D3"/>
    <w:rsid w:val="00EE6EDB"/>
    <w:rsid w:val="00EE735B"/>
    <w:rsid w:val="00EE7D3D"/>
    <w:rsid w:val="00EF0235"/>
    <w:rsid w:val="00EF0A18"/>
    <w:rsid w:val="00EF2078"/>
    <w:rsid w:val="00EF3A29"/>
    <w:rsid w:val="00EF3B86"/>
    <w:rsid w:val="00EF5774"/>
    <w:rsid w:val="00EF6939"/>
    <w:rsid w:val="00EF74F8"/>
    <w:rsid w:val="00F00868"/>
    <w:rsid w:val="00F00CF2"/>
    <w:rsid w:val="00F00D4A"/>
    <w:rsid w:val="00F00ED7"/>
    <w:rsid w:val="00F0193A"/>
    <w:rsid w:val="00F022AC"/>
    <w:rsid w:val="00F031F7"/>
    <w:rsid w:val="00F0322A"/>
    <w:rsid w:val="00F046E3"/>
    <w:rsid w:val="00F04977"/>
    <w:rsid w:val="00F04F18"/>
    <w:rsid w:val="00F055BE"/>
    <w:rsid w:val="00F0611C"/>
    <w:rsid w:val="00F06F49"/>
    <w:rsid w:val="00F10255"/>
    <w:rsid w:val="00F11E49"/>
    <w:rsid w:val="00F150D1"/>
    <w:rsid w:val="00F154BD"/>
    <w:rsid w:val="00F15FDC"/>
    <w:rsid w:val="00F16A11"/>
    <w:rsid w:val="00F17FAE"/>
    <w:rsid w:val="00F20789"/>
    <w:rsid w:val="00F2114F"/>
    <w:rsid w:val="00F215A6"/>
    <w:rsid w:val="00F21AB5"/>
    <w:rsid w:val="00F22E10"/>
    <w:rsid w:val="00F233AB"/>
    <w:rsid w:val="00F24EE5"/>
    <w:rsid w:val="00F25C03"/>
    <w:rsid w:val="00F25DFD"/>
    <w:rsid w:val="00F26067"/>
    <w:rsid w:val="00F26A5F"/>
    <w:rsid w:val="00F27299"/>
    <w:rsid w:val="00F313E3"/>
    <w:rsid w:val="00F3147F"/>
    <w:rsid w:val="00F31DB6"/>
    <w:rsid w:val="00F31FDF"/>
    <w:rsid w:val="00F32878"/>
    <w:rsid w:val="00F32F6D"/>
    <w:rsid w:val="00F342BC"/>
    <w:rsid w:val="00F347CD"/>
    <w:rsid w:val="00F36C58"/>
    <w:rsid w:val="00F36D00"/>
    <w:rsid w:val="00F37A4E"/>
    <w:rsid w:val="00F40734"/>
    <w:rsid w:val="00F411A7"/>
    <w:rsid w:val="00F416B8"/>
    <w:rsid w:val="00F41A07"/>
    <w:rsid w:val="00F431CD"/>
    <w:rsid w:val="00F4464B"/>
    <w:rsid w:val="00F45CDB"/>
    <w:rsid w:val="00F46163"/>
    <w:rsid w:val="00F463FC"/>
    <w:rsid w:val="00F5168B"/>
    <w:rsid w:val="00F51835"/>
    <w:rsid w:val="00F52543"/>
    <w:rsid w:val="00F53EBB"/>
    <w:rsid w:val="00F54808"/>
    <w:rsid w:val="00F54FC0"/>
    <w:rsid w:val="00F55E7D"/>
    <w:rsid w:val="00F56589"/>
    <w:rsid w:val="00F610B4"/>
    <w:rsid w:val="00F617A8"/>
    <w:rsid w:val="00F618EC"/>
    <w:rsid w:val="00F61AAF"/>
    <w:rsid w:val="00F6216B"/>
    <w:rsid w:val="00F63F2A"/>
    <w:rsid w:val="00F6572F"/>
    <w:rsid w:val="00F65BA4"/>
    <w:rsid w:val="00F67602"/>
    <w:rsid w:val="00F67776"/>
    <w:rsid w:val="00F70642"/>
    <w:rsid w:val="00F70CF9"/>
    <w:rsid w:val="00F71AB1"/>
    <w:rsid w:val="00F72459"/>
    <w:rsid w:val="00F72B84"/>
    <w:rsid w:val="00F72EF7"/>
    <w:rsid w:val="00F7321F"/>
    <w:rsid w:val="00F7365D"/>
    <w:rsid w:val="00F741C6"/>
    <w:rsid w:val="00F75A94"/>
    <w:rsid w:val="00F763A2"/>
    <w:rsid w:val="00F76F3F"/>
    <w:rsid w:val="00F80130"/>
    <w:rsid w:val="00F80C40"/>
    <w:rsid w:val="00F8135D"/>
    <w:rsid w:val="00F8222D"/>
    <w:rsid w:val="00F8225E"/>
    <w:rsid w:val="00F83428"/>
    <w:rsid w:val="00F8443E"/>
    <w:rsid w:val="00F8476D"/>
    <w:rsid w:val="00F851AC"/>
    <w:rsid w:val="00F8536F"/>
    <w:rsid w:val="00F863B2"/>
    <w:rsid w:val="00F86583"/>
    <w:rsid w:val="00F87FAE"/>
    <w:rsid w:val="00F904D3"/>
    <w:rsid w:val="00F90B01"/>
    <w:rsid w:val="00F915D4"/>
    <w:rsid w:val="00F916B6"/>
    <w:rsid w:val="00F91F58"/>
    <w:rsid w:val="00F926A6"/>
    <w:rsid w:val="00F92DBB"/>
    <w:rsid w:val="00F93CC9"/>
    <w:rsid w:val="00F94F33"/>
    <w:rsid w:val="00F96766"/>
    <w:rsid w:val="00F97CAA"/>
    <w:rsid w:val="00FA2DA4"/>
    <w:rsid w:val="00FA6BC3"/>
    <w:rsid w:val="00FA6E4B"/>
    <w:rsid w:val="00FB0091"/>
    <w:rsid w:val="00FB0E23"/>
    <w:rsid w:val="00FB13EA"/>
    <w:rsid w:val="00FB144F"/>
    <w:rsid w:val="00FB1571"/>
    <w:rsid w:val="00FB1CA7"/>
    <w:rsid w:val="00FB1E18"/>
    <w:rsid w:val="00FB2ADB"/>
    <w:rsid w:val="00FB35C3"/>
    <w:rsid w:val="00FB3812"/>
    <w:rsid w:val="00FB6985"/>
    <w:rsid w:val="00FB6B96"/>
    <w:rsid w:val="00FB6DE4"/>
    <w:rsid w:val="00FB7826"/>
    <w:rsid w:val="00FB7AED"/>
    <w:rsid w:val="00FC0060"/>
    <w:rsid w:val="00FC1C9C"/>
    <w:rsid w:val="00FC1DB5"/>
    <w:rsid w:val="00FC2755"/>
    <w:rsid w:val="00FC3913"/>
    <w:rsid w:val="00FC4993"/>
    <w:rsid w:val="00FC4AA3"/>
    <w:rsid w:val="00FC4D83"/>
    <w:rsid w:val="00FC59E0"/>
    <w:rsid w:val="00FC5E1A"/>
    <w:rsid w:val="00FC6043"/>
    <w:rsid w:val="00FC696D"/>
    <w:rsid w:val="00FC7581"/>
    <w:rsid w:val="00FC7919"/>
    <w:rsid w:val="00FD02EC"/>
    <w:rsid w:val="00FD0832"/>
    <w:rsid w:val="00FD165E"/>
    <w:rsid w:val="00FD2A08"/>
    <w:rsid w:val="00FD4955"/>
    <w:rsid w:val="00FD5D77"/>
    <w:rsid w:val="00FD62FA"/>
    <w:rsid w:val="00FD6917"/>
    <w:rsid w:val="00FD6A09"/>
    <w:rsid w:val="00FD7640"/>
    <w:rsid w:val="00FD76CE"/>
    <w:rsid w:val="00FE1481"/>
    <w:rsid w:val="00FE1E02"/>
    <w:rsid w:val="00FE2CB6"/>
    <w:rsid w:val="00FE49E9"/>
    <w:rsid w:val="00FE4C82"/>
    <w:rsid w:val="00FE4DB0"/>
    <w:rsid w:val="00FE4E64"/>
    <w:rsid w:val="00FE52D3"/>
    <w:rsid w:val="00FE55BB"/>
    <w:rsid w:val="00FE5DC4"/>
    <w:rsid w:val="00FE6E3F"/>
    <w:rsid w:val="00FF08AE"/>
    <w:rsid w:val="00FF0CD1"/>
    <w:rsid w:val="00FF0F5D"/>
    <w:rsid w:val="00FF1302"/>
    <w:rsid w:val="00FF1376"/>
    <w:rsid w:val="00FF2388"/>
    <w:rsid w:val="00FF24F5"/>
    <w:rsid w:val="00FF26BA"/>
    <w:rsid w:val="00FF2AC8"/>
    <w:rsid w:val="00FF343E"/>
    <w:rsid w:val="00FF486D"/>
    <w:rsid w:val="00FF4DC1"/>
    <w:rsid w:val="00FF510B"/>
    <w:rsid w:val="00FF5DFC"/>
    <w:rsid w:val="00FF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9C7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2AC"/>
  </w:style>
  <w:style w:type="paragraph" w:styleId="Heading1">
    <w:name w:val="heading 1"/>
    <w:basedOn w:val="Normal"/>
    <w:next w:val="Normal"/>
    <w:link w:val="Heading1Char"/>
    <w:uiPriority w:val="1"/>
    <w:qFormat/>
    <w:rsid w:val="00DF13ED"/>
    <w:pPr>
      <w:keepNext/>
      <w:ind w:left="72"/>
      <w:contextualSpacing/>
      <w:jc w:val="center"/>
      <w:outlineLvl w:val="0"/>
    </w:pPr>
    <w:rPr>
      <w:rFonts w:cs="Times New Roman"/>
      <w:b/>
      <w:bCs/>
      <w:caps/>
    </w:rPr>
  </w:style>
  <w:style w:type="paragraph" w:styleId="Heading2">
    <w:name w:val="heading 2"/>
    <w:basedOn w:val="ListParagraph"/>
    <w:next w:val="Normal"/>
    <w:link w:val="Heading2Char"/>
    <w:uiPriority w:val="9"/>
    <w:qFormat/>
    <w:rsid w:val="00DF13ED"/>
    <w:pPr>
      <w:widowControl w:val="0"/>
      <w:tabs>
        <w:tab w:val="left" w:pos="360"/>
      </w:tabs>
      <w:spacing w:after="120" w:line="240" w:lineRule="auto"/>
      <w:outlineLvl w:val="1"/>
    </w:pPr>
    <w:rPr>
      <w:rFonts w:cs="Times New Roman"/>
      <w:b/>
      <w:iCs/>
    </w:rPr>
  </w:style>
  <w:style w:type="paragraph" w:styleId="Heading3">
    <w:name w:val="heading 3"/>
    <w:basedOn w:val="ListParagraph"/>
    <w:next w:val="Normal"/>
    <w:link w:val="Heading3Char"/>
    <w:uiPriority w:val="3"/>
    <w:qFormat/>
    <w:rsid w:val="00DF13ED"/>
    <w:pPr>
      <w:widowControl w:val="0"/>
      <w:spacing w:after="120" w:line="240" w:lineRule="auto"/>
      <w:ind w:left="1080"/>
      <w:outlineLvl w:val="2"/>
    </w:pPr>
    <w:rPr>
      <w:rFonts w:cs="Times New Roman"/>
      <w:b/>
      <w:i/>
      <w:iCs/>
    </w:rPr>
  </w:style>
  <w:style w:type="paragraph" w:styleId="Heading4">
    <w:name w:val="heading 4"/>
    <w:basedOn w:val="ListParagraph"/>
    <w:next w:val="Normal"/>
    <w:link w:val="Heading4Char"/>
    <w:uiPriority w:val="4"/>
    <w:qFormat/>
    <w:rsid w:val="000775C3"/>
    <w:pPr>
      <w:keepNext/>
      <w:numPr>
        <w:numId w:val="4"/>
      </w:numPr>
      <w:spacing w:after="120" w:line="240" w:lineRule="auto"/>
      <w:outlineLvl w:val="3"/>
    </w:pPr>
    <w:rPr>
      <w:rFonts w:cs="Times New Roman"/>
      <w:i/>
      <w:iCs/>
    </w:rPr>
  </w:style>
  <w:style w:type="paragraph" w:styleId="Heading5">
    <w:name w:val="heading 5"/>
    <w:basedOn w:val="Normal"/>
    <w:next w:val="Normal"/>
    <w:link w:val="Heading5Char"/>
    <w:uiPriority w:val="9"/>
    <w:unhideWhenUsed/>
    <w:rsid w:val="000775C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F13ED"/>
    <w:rPr>
      <w:rFonts w:cs="Times New Roman"/>
      <w:b/>
      <w:bCs/>
      <w:caps/>
    </w:rPr>
  </w:style>
  <w:style w:type="paragraph" w:styleId="Header">
    <w:name w:val="header"/>
    <w:basedOn w:val="Normal"/>
    <w:link w:val="HeaderChar"/>
    <w:uiPriority w:val="99"/>
    <w:unhideWhenUsed/>
    <w:rsid w:val="00737B68"/>
    <w:pPr>
      <w:tabs>
        <w:tab w:val="center" w:pos="4680"/>
        <w:tab w:val="right" w:pos="9360"/>
      </w:tabs>
      <w:spacing w:line="240" w:lineRule="auto"/>
    </w:pPr>
    <w:rPr>
      <w:rFonts w:cs="Times New Roman"/>
    </w:rPr>
  </w:style>
  <w:style w:type="character" w:customStyle="1" w:styleId="HeaderChar">
    <w:name w:val="Header Char"/>
    <w:basedOn w:val="DefaultParagraphFont"/>
    <w:link w:val="Header"/>
    <w:uiPriority w:val="99"/>
    <w:rsid w:val="00737B68"/>
    <w:rPr>
      <w:rFonts w:cs="Times New Roman"/>
    </w:rPr>
  </w:style>
  <w:style w:type="paragraph" w:styleId="Footer">
    <w:name w:val="footer"/>
    <w:basedOn w:val="Normal"/>
    <w:link w:val="FooterChar"/>
    <w:uiPriority w:val="99"/>
    <w:unhideWhenUsed/>
    <w:rsid w:val="00737B68"/>
    <w:pPr>
      <w:tabs>
        <w:tab w:val="center" w:pos="4680"/>
        <w:tab w:val="right" w:pos="9360"/>
      </w:tabs>
      <w:spacing w:line="240" w:lineRule="auto"/>
    </w:pPr>
    <w:rPr>
      <w:rFonts w:cs="Times New Roman"/>
    </w:rPr>
  </w:style>
  <w:style w:type="character" w:customStyle="1" w:styleId="FooterChar">
    <w:name w:val="Footer Char"/>
    <w:basedOn w:val="DefaultParagraphFont"/>
    <w:link w:val="Footer"/>
    <w:uiPriority w:val="99"/>
    <w:rsid w:val="00737B68"/>
    <w:rPr>
      <w:rFonts w:cs="Times New Roman"/>
    </w:rPr>
  </w:style>
  <w:style w:type="character" w:customStyle="1" w:styleId="Heading2Char">
    <w:name w:val="Heading 2 Char"/>
    <w:basedOn w:val="DefaultParagraphFont"/>
    <w:link w:val="Heading2"/>
    <w:uiPriority w:val="9"/>
    <w:rsid w:val="00DF13ED"/>
    <w:rPr>
      <w:rFonts w:cs="Times New Roman"/>
      <w:b/>
      <w:iCs/>
    </w:rPr>
  </w:style>
  <w:style w:type="character" w:customStyle="1" w:styleId="Heading3Char">
    <w:name w:val="Heading 3 Char"/>
    <w:basedOn w:val="DefaultParagraphFont"/>
    <w:link w:val="Heading3"/>
    <w:uiPriority w:val="3"/>
    <w:rsid w:val="00DF13ED"/>
    <w:rPr>
      <w:rFonts w:cs="Times New Roman"/>
      <w:b/>
      <w:i/>
      <w:iCs/>
    </w:rPr>
  </w:style>
  <w:style w:type="character" w:customStyle="1" w:styleId="Heading4Char">
    <w:name w:val="Heading 4 Char"/>
    <w:basedOn w:val="DefaultParagraphFont"/>
    <w:link w:val="Heading4"/>
    <w:uiPriority w:val="4"/>
    <w:rsid w:val="00944C2C"/>
    <w:rPr>
      <w:rFonts w:cs="Times New Roman"/>
      <w:i/>
      <w:iCs/>
    </w:rPr>
  </w:style>
  <w:style w:type="paragraph" w:styleId="FootnoteText">
    <w:name w:val="footnote text"/>
    <w:link w:val="FootnoteTextChar"/>
    <w:uiPriority w:val="99"/>
    <w:unhideWhenUsed/>
    <w:rsid w:val="00737B68"/>
    <w:pPr>
      <w:spacing w:line="240" w:lineRule="auto"/>
    </w:pPr>
    <w:rPr>
      <w:szCs w:val="20"/>
    </w:rPr>
  </w:style>
  <w:style w:type="character" w:customStyle="1" w:styleId="FootnoteTextChar">
    <w:name w:val="Footnote Text Char"/>
    <w:basedOn w:val="DefaultParagraphFont"/>
    <w:link w:val="FootnoteText"/>
    <w:uiPriority w:val="99"/>
    <w:rsid w:val="00737B68"/>
    <w:rPr>
      <w:szCs w:val="20"/>
    </w:rPr>
  </w:style>
  <w:style w:type="character" w:styleId="FootnoteReference">
    <w:name w:val="footnote reference"/>
    <w:basedOn w:val="DefaultParagraphFont"/>
    <w:uiPriority w:val="99"/>
    <w:semiHidden/>
    <w:unhideWhenUsed/>
    <w:rsid w:val="00737B68"/>
    <w:rPr>
      <w:vertAlign w:val="superscript"/>
    </w:rPr>
  </w:style>
  <w:style w:type="paragraph" w:styleId="ListParagraph">
    <w:name w:val="List Paragraph"/>
    <w:basedOn w:val="Normal"/>
    <w:uiPriority w:val="34"/>
    <w:rsid w:val="000775C3"/>
    <w:pPr>
      <w:ind w:left="720"/>
      <w:contextualSpacing/>
    </w:pPr>
  </w:style>
  <w:style w:type="paragraph" w:customStyle="1" w:styleId="Footnote">
    <w:name w:val="Footnote"/>
    <w:basedOn w:val="FootnoteText"/>
    <w:link w:val="FootnoteChar"/>
    <w:uiPriority w:val="9"/>
    <w:qFormat/>
    <w:rsid w:val="000775C3"/>
    <w:pPr>
      <w:spacing w:after="120"/>
      <w:ind w:firstLine="720"/>
    </w:pPr>
    <w:rPr>
      <w:szCs w:val="26"/>
    </w:rPr>
  </w:style>
  <w:style w:type="character" w:customStyle="1" w:styleId="Heading5Char">
    <w:name w:val="Heading 5 Char"/>
    <w:basedOn w:val="DefaultParagraphFont"/>
    <w:link w:val="Heading5"/>
    <w:uiPriority w:val="9"/>
    <w:rsid w:val="000775C3"/>
    <w:rPr>
      <w:rFonts w:asciiTheme="majorHAnsi" w:eastAsiaTheme="majorEastAsia" w:hAnsiTheme="majorHAnsi" w:cstheme="majorBidi"/>
      <w:color w:val="2F5496" w:themeColor="accent1" w:themeShade="BF"/>
    </w:rPr>
  </w:style>
  <w:style w:type="character" w:customStyle="1" w:styleId="FootnoteChar">
    <w:name w:val="Footnote Char"/>
    <w:basedOn w:val="FootnoteTextChar"/>
    <w:link w:val="Footnote"/>
    <w:uiPriority w:val="9"/>
    <w:rsid w:val="00944C2C"/>
    <w:rPr>
      <w:sz w:val="20"/>
      <w:szCs w:val="20"/>
    </w:rPr>
  </w:style>
  <w:style w:type="paragraph" w:customStyle="1" w:styleId="FootnoteText0">
    <w:name w:val="FootnoteText"/>
    <w:basedOn w:val="ListParagraph"/>
    <w:uiPriority w:val="99"/>
    <w:semiHidden/>
    <w:rsid w:val="00146202"/>
  </w:style>
  <w:style w:type="paragraph" w:customStyle="1" w:styleId="Style1">
    <w:name w:val="Style1"/>
    <w:basedOn w:val="ListParagraph"/>
    <w:link w:val="Style1Char"/>
    <w:qFormat/>
    <w:rsid w:val="00A11F16"/>
    <w:pPr>
      <w:ind w:hanging="360"/>
      <w:jc w:val="center"/>
    </w:pPr>
    <w:rPr>
      <w:rFonts w:cstheme="minorHAnsi"/>
    </w:rPr>
  </w:style>
  <w:style w:type="character" w:customStyle="1" w:styleId="Style1Char">
    <w:name w:val="Style1 Char"/>
    <w:basedOn w:val="DefaultParagraphFont"/>
    <w:link w:val="Style1"/>
    <w:rsid w:val="00A11F16"/>
    <w:rPr>
      <w:rFonts w:cstheme="minorHAnsi"/>
    </w:rPr>
  </w:style>
  <w:style w:type="character" w:styleId="PageNumber">
    <w:name w:val="page number"/>
    <w:basedOn w:val="DefaultParagraphFont"/>
    <w:uiPriority w:val="99"/>
    <w:semiHidden/>
    <w:unhideWhenUsed/>
    <w:rsid w:val="00803642"/>
  </w:style>
  <w:style w:type="paragraph" w:styleId="Revision">
    <w:name w:val="Revision"/>
    <w:hidden/>
    <w:uiPriority w:val="99"/>
    <w:semiHidden/>
    <w:rsid w:val="003C195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EDDB1-4501-4BD9-9A0B-960AB1F2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5263</Words>
  <Characters>30002</Characters>
  <Application>Microsoft Office Word</Application>
  <DocSecurity>0</DocSecurity>
  <Lines>250</Lines>
  <Paragraphs>70</Paragraphs>
  <ScaleCrop>false</ScaleCrop>
  <Company/>
  <LinksUpToDate>false</LinksUpToDate>
  <CharactersWithSpaces>35195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2022-10-31T18:10:00Z</dcterms:created>
  <dcterms:modified xsi:type="dcterms:W3CDTF">2022-10-31T18:10:00Z</dcterms:modified>
</cp:coreProperties>
</file>