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E538" w14:textId="77777777" w:rsidR="004E76E3" w:rsidRDefault="008D5068" w:rsidP="004E76E3">
      <w:pPr>
        <w:spacing w:line="240" w:lineRule="auto"/>
        <w:rPr>
          <w:sz w:val="20"/>
        </w:rPr>
      </w:pPr>
      <w:r>
        <w:rPr>
          <w:sz w:val="20"/>
        </w:rPr>
        <w:t xml:space="preserve">Filed </w:t>
      </w:r>
      <w:r>
        <w:rPr>
          <w:sz w:val="20"/>
        </w:rPr>
        <w:t>12/29/</w:t>
      </w:r>
      <w:r>
        <w:rPr>
          <w:sz w:val="20"/>
        </w:rPr>
        <w:t>21</w:t>
      </w:r>
    </w:p>
    <w:p w14:paraId="1215642C" w14:textId="77777777" w:rsidR="004E76E3" w:rsidRDefault="008D5068" w:rsidP="004E76E3">
      <w:pPr>
        <w:spacing w:line="240" w:lineRule="auto"/>
        <w:jc w:val="center"/>
        <w:rPr>
          <w:b/>
        </w:rPr>
      </w:pPr>
      <w:r>
        <w:rPr>
          <w:b/>
        </w:rPr>
        <w:t>CERTIFIED FOR PUBLICATION</w:t>
      </w:r>
    </w:p>
    <w:p w14:paraId="59B0A2C1" w14:textId="77777777" w:rsidR="004E76E3" w:rsidRDefault="008D5068" w:rsidP="004E76E3">
      <w:pPr>
        <w:spacing w:line="240" w:lineRule="auto"/>
        <w:jc w:val="center"/>
      </w:pPr>
    </w:p>
    <w:p w14:paraId="6860BDD9" w14:textId="77777777" w:rsidR="008C69C3" w:rsidRDefault="008D5068" w:rsidP="004E76E3">
      <w:pPr>
        <w:spacing w:line="240" w:lineRule="auto"/>
        <w:jc w:val="center"/>
      </w:pPr>
      <w:r>
        <w:t>IN THE COURT OF APPEAL OF THE STATE OF CALIFORNIA</w:t>
      </w:r>
    </w:p>
    <w:p w14:paraId="626011B6" w14:textId="77777777" w:rsidR="00613E6B" w:rsidRDefault="008D5068" w:rsidP="00613E6B">
      <w:pPr>
        <w:spacing w:line="240" w:lineRule="auto"/>
        <w:jc w:val="center"/>
      </w:pPr>
    </w:p>
    <w:p w14:paraId="1A9451D4" w14:textId="77777777" w:rsidR="00613E6B" w:rsidRDefault="008D5068" w:rsidP="00613E6B">
      <w:pPr>
        <w:spacing w:line="240" w:lineRule="auto"/>
        <w:jc w:val="center"/>
      </w:pPr>
      <w:r>
        <w:t>FIRST APPELLATE DISTRICT</w:t>
      </w:r>
    </w:p>
    <w:p w14:paraId="4713FC45" w14:textId="77777777" w:rsidR="00613E6B" w:rsidRDefault="008D5068" w:rsidP="00613E6B">
      <w:pPr>
        <w:spacing w:line="240" w:lineRule="auto"/>
        <w:jc w:val="center"/>
      </w:pPr>
    </w:p>
    <w:p w14:paraId="64C1BD21" w14:textId="77777777" w:rsidR="00613E6B" w:rsidRDefault="008D5068" w:rsidP="00613E6B">
      <w:pPr>
        <w:spacing w:line="240" w:lineRule="auto"/>
        <w:jc w:val="center"/>
      </w:pPr>
      <w:r>
        <w:t>DIVISION ONE</w:t>
      </w:r>
    </w:p>
    <w:p w14:paraId="77818190" w14:textId="77777777" w:rsidR="00613E6B" w:rsidRDefault="008D5068" w:rsidP="00613E6B">
      <w:pPr>
        <w:spacing w:line="240" w:lineRule="auto"/>
        <w:jc w:val="center"/>
      </w:pPr>
    </w:p>
    <w:p w14:paraId="3E5464B4" w14:textId="77777777" w:rsidR="00613E6B" w:rsidRDefault="008D5068" w:rsidP="00613E6B">
      <w:pPr>
        <w:spacing w:line="240" w:lineRule="auto"/>
        <w:jc w:val="center"/>
      </w:pPr>
    </w:p>
    <w:tbl>
      <w:tblPr>
        <w:tblW w:w="0" w:type="auto"/>
        <w:tblLayout w:type="fixed"/>
        <w:tblLook w:val="0000" w:firstRow="0" w:lastRow="0" w:firstColumn="0" w:lastColumn="0" w:noHBand="0" w:noVBand="0"/>
      </w:tblPr>
      <w:tblGrid>
        <w:gridCol w:w="4680"/>
        <w:gridCol w:w="4680"/>
      </w:tblGrid>
      <w:tr w:rsidR="00450936" w14:paraId="0542FEEA" w14:textId="77777777" w:rsidTr="00613E6B">
        <w:tc>
          <w:tcPr>
            <w:tcW w:w="4680" w:type="dxa"/>
            <w:tcBorders>
              <w:bottom w:val="single" w:sz="4" w:space="0" w:color="auto"/>
              <w:right w:val="single" w:sz="4" w:space="0" w:color="auto"/>
            </w:tcBorders>
            <w:shd w:val="clear" w:color="auto" w:fill="auto"/>
          </w:tcPr>
          <w:p w14:paraId="46A81CBD" w14:textId="77777777" w:rsidR="00613E6B" w:rsidRDefault="008D5068" w:rsidP="00613E6B">
            <w:pPr>
              <w:spacing w:after="120" w:line="240" w:lineRule="auto"/>
            </w:pPr>
            <w:r>
              <w:t>BBBB BONDING CORPORATION,</w:t>
            </w:r>
          </w:p>
          <w:p w14:paraId="3A636636" w14:textId="77777777" w:rsidR="00613E6B" w:rsidRDefault="008D5068" w:rsidP="006130FB">
            <w:pPr>
              <w:tabs>
                <w:tab w:val="clear" w:pos="720"/>
              </w:tabs>
              <w:spacing w:after="120" w:line="240" w:lineRule="auto"/>
              <w:ind w:left="720" w:hanging="720"/>
            </w:pPr>
            <w:r>
              <w:tab/>
              <w:t>Plaintiff</w:t>
            </w:r>
            <w:r>
              <w:t>, Cross-defendant</w:t>
            </w:r>
            <w:r>
              <w:t xml:space="preserve"> and Appellant,</w:t>
            </w:r>
          </w:p>
          <w:p w14:paraId="12550082" w14:textId="77777777" w:rsidR="00613E6B" w:rsidRDefault="008D5068" w:rsidP="00613E6B">
            <w:pPr>
              <w:spacing w:after="120" w:line="240" w:lineRule="auto"/>
            </w:pPr>
            <w:r>
              <w:t>v.</w:t>
            </w:r>
          </w:p>
          <w:p w14:paraId="62013B5D" w14:textId="77777777" w:rsidR="00613E6B" w:rsidRDefault="008D5068" w:rsidP="00613E6B">
            <w:pPr>
              <w:spacing w:after="120" w:line="240" w:lineRule="auto"/>
            </w:pPr>
            <w:r>
              <w:t>KIARA CALDWELL,</w:t>
            </w:r>
          </w:p>
          <w:p w14:paraId="644F4B34" w14:textId="77777777" w:rsidR="00613E6B" w:rsidRDefault="008D5068" w:rsidP="006130FB">
            <w:pPr>
              <w:tabs>
                <w:tab w:val="clear" w:pos="720"/>
              </w:tabs>
              <w:spacing w:after="120" w:line="240" w:lineRule="auto"/>
              <w:ind w:left="720" w:hanging="720"/>
            </w:pPr>
            <w:r>
              <w:tab/>
              <w:t>Defendant</w:t>
            </w:r>
            <w:r>
              <w:t xml:space="preserve">, </w:t>
            </w:r>
            <w:r>
              <w:t>Cross-complainant</w:t>
            </w:r>
            <w:r>
              <w:t xml:space="preserve"> and Respondent.</w:t>
            </w:r>
          </w:p>
        </w:tc>
        <w:tc>
          <w:tcPr>
            <w:tcW w:w="4680" w:type="dxa"/>
            <w:tcBorders>
              <w:left w:val="single" w:sz="4" w:space="0" w:color="auto"/>
            </w:tcBorders>
            <w:shd w:val="clear" w:color="auto" w:fill="auto"/>
          </w:tcPr>
          <w:p w14:paraId="510503B9" w14:textId="77777777" w:rsidR="00613E6B" w:rsidRDefault="008D5068" w:rsidP="00613E6B">
            <w:pPr>
              <w:spacing w:line="240" w:lineRule="auto"/>
            </w:pPr>
          </w:p>
          <w:p w14:paraId="486CB762" w14:textId="77777777" w:rsidR="00613E6B" w:rsidRDefault="008D5068" w:rsidP="00613E6B">
            <w:pPr>
              <w:spacing w:line="240" w:lineRule="auto"/>
            </w:pPr>
          </w:p>
          <w:p w14:paraId="0DC40904" w14:textId="77777777" w:rsidR="00613E6B" w:rsidRDefault="008D5068" w:rsidP="00613E6B">
            <w:pPr>
              <w:spacing w:line="240" w:lineRule="auto"/>
            </w:pPr>
            <w:r>
              <w:t xml:space="preserve">      A162453</w:t>
            </w:r>
          </w:p>
          <w:p w14:paraId="349A8CD6" w14:textId="77777777" w:rsidR="00613E6B" w:rsidRDefault="008D5068" w:rsidP="00613E6B">
            <w:pPr>
              <w:spacing w:line="240" w:lineRule="auto"/>
            </w:pPr>
          </w:p>
          <w:p w14:paraId="2819B1EE" w14:textId="77777777" w:rsidR="00613E6B" w:rsidRDefault="008D5068" w:rsidP="00613E6B">
            <w:pPr>
              <w:spacing w:line="240" w:lineRule="auto"/>
            </w:pPr>
            <w:r>
              <w:t xml:space="preserve">      (Alameda County</w:t>
            </w:r>
          </w:p>
          <w:p w14:paraId="7CCBB62C" w14:textId="77777777" w:rsidR="00613E6B" w:rsidRDefault="008D5068" w:rsidP="00613E6B">
            <w:pPr>
              <w:spacing w:line="240" w:lineRule="auto"/>
            </w:pPr>
            <w:r>
              <w:t xml:space="preserve">      Super. Ct. No. RG19041553)</w:t>
            </w:r>
          </w:p>
          <w:p w14:paraId="2E18B776" w14:textId="77777777" w:rsidR="00613E6B" w:rsidRDefault="008D5068" w:rsidP="00613E6B">
            <w:pPr>
              <w:spacing w:line="240" w:lineRule="auto"/>
            </w:pPr>
          </w:p>
        </w:tc>
      </w:tr>
    </w:tbl>
    <w:p w14:paraId="763A10B3" w14:textId="77777777" w:rsidR="00613E6B" w:rsidRDefault="008D5068" w:rsidP="00613E6B">
      <w:pPr>
        <w:spacing w:line="360" w:lineRule="auto"/>
      </w:pPr>
    </w:p>
    <w:p w14:paraId="2C9F9DFC" w14:textId="77777777" w:rsidR="00FF5515" w:rsidRPr="004E76E3" w:rsidRDefault="008D5068" w:rsidP="00613E6B">
      <w:pPr>
        <w:spacing w:line="360" w:lineRule="auto"/>
      </w:pPr>
      <w:r>
        <w:tab/>
      </w:r>
      <w:r w:rsidRPr="004E76E3">
        <w:t xml:space="preserve">This appeal </w:t>
      </w:r>
      <w:r w:rsidRPr="004E76E3">
        <w:t xml:space="preserve">requires us to interpret </w:t>
      </w:r>
      <w:r w:rsidRPr="004E76E3">
        <w:t xml:space="preserve">a </w:t>
      </w:r>
      <w:r w:rsidRPr="004E76E3">
        <w:t>long</w:t>
      </w:r>
      <w:r w:rsidRPr="004E76E3">
        <w:t>-</w:t>
      </w:r>
      <w:r w:rsidRPr="004E76E3">
        <w:t xml:space="preserve">standing </w:t>
      </w:r>
      <w:r w:rsidRPr="004E76E3">
        <w:t xml:space="preserve">consumer protection </w:t>
      </w:r>
      <w:r w:rsidRPr="004E76E3">
        <w:t>statute</w:t>
      </w:r>
      <w:r w:rsidRPr="004E76E3">
        <w:t xml:space="preserve"> </w:t>
      </w:r>
      <w:r w:rsidRPr="004E76E3">
        <w:t>in</w:t>
      </w:r>
      <w:r w:rsidRPr="004E76E3">
        <w:t xml:space="preserve"> a novel context: </w:t>
      </w:r>
      <w:r w:rsidRPr="004E76E3">
        <w:t xml:space="preserve"> </w:t>
      </w:r>
      <w:r w:rsidRPr="004E76E3">
        <w:t xml:space="preserve">whether </w:t>
      </w:r>
      <w:r w:rsidRPr="004E76E3">
        <w:t xml:space="preserve">the requirement </w:t>
      </w:r>
      <w:r w:rsidRPr="004E76E3">
        <w:t xml:space="preserve">under Civil Code section 1799.91 </w:t>
      </w:r>
      <w:r w:rsidRPr="004E76E3">
        <w:t xml:space="preserve">that notice be </w:t>
      </w:r>
      <w:r w:rsidRPr="004E76E3">
        <w:t>afforded</w:t>
      </w:r>
      <w:r w:rsidRPr="004E76E3">
        <w:t xml:space="preserve"> to </w:t>
      </w:r>
      <w:r w:rsidRPr="004E76E3">
        <w:t>cosigner</w:t>
      </w:r>
      <w:r w:rsidRPr="004E76E3">
        <w:t xml:space="preserve">s of </w:t>
      </w:r>
      <w:r w:rsidRPr="004E76E3">
        <w:t xml:space="preserve">consumer credit contracts </w:t>
      </w:r>
      <w:r w:rsidRPr="004E76E3">
        <w:t xml:space="preserve">about the risks of guaranteeing </w:t>
      </w:r>
      <w:r w:rsidRPr="004E76E3">
        <w:t xml:space="preserve">such an </w:t>
      </w:r>
      <w:r w:rsidRPr="004E76E3">
        <w:t>agreement</w:t>
      </w:r>
      <w:r w:rsidRPr="004E76E3">
        <w:t xml:space="preserve"> </w:t>
      </w:r>
      <w:r w:rsidRPr="004E76E3">
        <w:t xml:space="preserve">applies to </w:t>
      </w:r>
      <w:r w:rsidRPr="004E76E3">
        <w:t>bail bond premium financing agreements.</w:t>
      </w:r>
      <w:r>
        <w:rPr>
          <w:rStyle w:val="FootnoteReference"/>
        </w:rPr>
        <w:footnoteReference w:id="1"/>
      </w:r>
      <w:r w:rsidRPr="004E76E3">
        <w:t xml:space="preserve">  </w:t>
      </w:r>
      <w:r w:rsidRPr="004E76E3">
        <w:t xml:space="preserve">We conclude that it does.  </w:t>
      </w:r>
    </w:p>
    <w:p w14:paraId="027CA93D" w14:textId="77777777" w:rsidR="0098240F" w:rsidRPr="004E76E3" w:rsidRDefault="008D5068" w:rsidP="00613E6B">
      <w:pPr>
        <w:spacing w:line="360" w:lineRule="auto"/>
      </w:pPr>
      <w:r w:rsidRPr="004E76E3">
        <w:tab/>
      </w:r>
      <w:r w:rsidRPr="004E76E3">
        <w:t>In this putative class a</w:t>
      </w:r>
      <w:r w:rsidRPr="004E76E3">
        <w:t xml:space="preserve">ction, </w:t>
      </w:r>
      <w:r w:rsidRPr="004E76E3">
        <w:t xml:space="preserve">the trial court enjoined </w:t>
      </w:r>
      <w:r w:rsidRPr="004E76E3">
        <w:t xml:space="preserve">appellant BBBB Bonding Corporation, </w:t>
      </w:r>
      <w:r w:rsidRPr="004E76E3">
        <w:t>doing business as</w:t>
      </w:r>
      <w:r w:rsidRPr="004E76E3">
        <w:t xml:space="preserve"> Bad Boys Bail Bonds (BBBB)</w:t>
      </w:r>
      <w:r w:rsidRPr="004E76E3">
        <w:t>,</w:t>
      </w:r>
      <w:r w:rsidRPr="004E76E3">
        <w:t xml:space="preserve"> </w:t>
      </w:r>
      <w:r w:rsidRPr="004E76E3">
        <w:t xml:space="preserve">from enforcing </w:t>
      </w:r>
      <w:r w:rsidRPr="004E76E3">
        <w:t>bail</w:t>
      </w:r>
      <w:r w:rsidRPr="004E76E3">
        <w:t xml:space="preserve"> bond</w:t>
      </w:r>
      <w:r w:rsidRPr="004E76E3">
        <w:t xml:space="preserve"> premium </w:t>
      </w:r>
      <w:r w:rsidRPr="004E76E3">
        <w:t>financing agreements</w:t>
      </w:r>
      <w:r w:rsidRPr="004E76E3">
        <w:t xml:space="preserve"> entered into by </w:t>
      </w:r>
      <w:r w:rsidRPr="004E76E3">
        <w:t>respondent Kiara Caldwell and other</w:t>
      </w:r>
      <w:r w:rsidRPr="004E76E3">
        <w:t xml:space="preserve"> similarly situated persons</w:t>
      </w:r>
      <w:r w:rsidRPr="004E76E3">
        <w:t xml:space="preserve"> </w:t>
      </w:r>
      <w:r w:rsidRPr="004E76E3">
        <w:t xml:space="preserve">who </w:t>
      </w:r>
      <w:r w:rsidRPr="004E76E3">
        <w:t xml:space="preserve">had </w:t>
      </w:r>
      <w:r w:rsidRPr="004E76E3">
        <w:t xml:space="preserve">cosigned on behalf of an arrestee </w:t>
      </w:r>
      <w:r w:rsidRPr="004E76E3">
        <w:t xml:space="preserve">without having </w:t>
      </w:r>
      <w:r w:rsidRPr="004E76E3">
        <w:t xml:space="preserve">first </w:t>
      </w:r>
      <w:r w:rsidRPr="004E76E3">
        <w:t xml:space="preserve">been provided with </w:t>
      </w:r>
      <w:r w:rsidRPr="004E76E3">
        <w:t>this</w:t>
      </w:r>
      <w:r w:rsidRPr="004E76E3">
        <w:t xml:space="preserve"> st</w:t>
      </w:r>
      <w:r w:rsidRPr="004E76E3">
        <w:t xml:space="preserve">atutory </w:t>
      </w:r>
      <w:r w:rsidRPr="004E76E3">
        <w:t>notice</w:t>
      </w:r>
      <w:r w:rsidRPr="004E76E3">
        <w:t>.</w:t>
      </w:r>
      <w:r w:rsidRPr="004E76E3">
        <w:t xml:space="preserve"> </w:t>
      </w:r>
      <w:r w:rsidRPr="004E76E3">
        <w:t xml:space="preserve"> </w:t>
      </w:r>
      <w:r w:rsidRPr="004E76E3">
        <w:t>BBBB asserts that</w:t>
      </w:r>
      <w:r w:rsidRPr="004E76E3">
        <w:t xml:space="preserve"> this consumer protection law </w:t>
      </w:r>
      <w:r w:rsidRPr="004E76E3">
        <w:t xml:space="preserve">has never applied </w:t>
      </w:r>
      <w:r w:rsidRPr="004E76E3">
        <w:t xml:space="preserve">to bail </w:t>
      </w:r>
      <w:r w:rsidRPr="004E76E3">
        <w:t>bo</w:t>
      </w:r>
      <w:r w:rsidRPr="004E76E3">
        <w:t>nd agents</w:t>
      </w:r>
      <w:r w:rsidRPr="004E76E3">
        <w:t xml:space="preserve"> </w:t>
      </w:r>
      <w:r w:rsidRPr="004E76E3">
        <w:t xml:space="preserve">or to </w:t>
      </w:r>
      <w:r w:rsidRPr="004E76E3">
        <w:t xml:space="preserve">bail </w:t>
      </w:r>
      <w:r w:rsidRPr="004E76E3">
        <w:t xml:space="preserve">bond </w:t>
      </w:r>
      <w:r w:rsidRPr="004E76E3">
        <w:t>premium contracts</w:t>
      </w:r>
      <w:r w:rsidRPr="004E76E3">
        <w:t xml:space="preserve"> bef</w:t>
      </w:r>
      <w:r w:rsidRPr="004E76E3">
        <w:t>ore</w:t>
      </w:r>
      <w:r w:rsidRPr="004E76E3">
        <w:t xml:space="preserve">.  </w:t>
      </w:r>
      <w:r w:rsidRPr="004E76E3">
        <w:t>BBBB</w:t>
      </w:r>
      <w:r w:rsidRPr="004E76E3">
        <w:t xml:space="preserve"> </w:t>
      </w:r>
      <w:r w:rsidRPr="004E76E3">
        <w:lastRenderedPageBreak/>
        <w:t xml:space="preserve">raises </w:t>
      </w:r>
      <w:r w:rsidRPr="004E76E3">
        <w:t xml:space="preserve">many </w:t>
      </w:r>
      <w:r w:rsidRPr="004E76E3">
        <w:t xml:space="preserve">substantive and </w:t>
      </w:r>
      <w:r w:rsidRPr="004E76E3">
        <w:t>procedural challenges</w:t>
      </w:r>
      <w:r w:rsidRPr="004E76E3">
        <w:t xml:space="preserve"> to the </w:t>
      </w:r>
      <w:r w:rsidRPr="004E76E3">
        <w:t xml:space="preserve">trial court’s </w:t>
      </w:r>
      <w:r w:rsidRPr="004E76E3">
        <w:t xml:space="preserve">preliminary </w:t>
      </w:r>
      <w:r w:rsidRPr="004E76E3">
        <w:t>injunction</w:t>
      </w:r>
      <w:r w:rsidRPr="004E76E3">
        <w:t xml:space="preserve">, </w:t>
      </w:r>
      <w:r w:rsidRPr="004E76E3">
        <w:t xml:space="preserve">arguing </w:t>
      </w:r>
      <w:r w:rsidRPr="004E76E3">
        <w:t>primarily</w:t>
      </w:r>
      <w:r w:rsidRPr="004E76E3">
        <w:t xml:space="preserve"> </w:t>
      </w:r>
      <w:r w:rsidRPr="004E76E3">
        <w:t xml:space="preserve">that </w:t>
      </w:r>
      <w:r w:rsidRPr="004E76E3">
        <w:t xml:space="preserve">because </w:t>
      </w:r>
      <w:r w:rsidRPr="004E76E3">
        <w:t xml:space="preserve">the Legislature </w:t>
      </w:r>
      <w:r w:rsidRPr="004E76E3">
        <w:t>adopted</w:t>
      </w:r>
      <w:r w:rsidRPr="004E76E3">
        <w:t xml:space="preserve"> a comprehensive scheme to regulate the conduct of bail bond licensees, </w:t>
      </w:r>
      <w:r w:rsidRPr="004E76E3">
        <w:t xml:space="preserve">it intended to exclude from such transactions the consumer protections applicable to </w:t>
      </w:r>
      <w:r w:rsidRPr="004E76E3">
        <w:t>consumer credit</w:t>
      </w:r>
      <w:r w:rsidRPr="004E76E3">
        <w:t xml:space="preserve"> contracts.  </w:t>
      </w:r>
    </w:p>
    <w:p w14:paraId="037530BA" w14:textId="77777777" w:rsidR="009740D1" w:rsidRPr="004E76E3" w:rsidRDefault="008D5068" w:rsidP="00613E6B">
      <w:pPr>
        <w:spacing w:line="360" w:lineRule="auto"/>
      </w:pPr>
      <w:r w:rsidRPr="004E76E3">
        <w:tab/>
      </w:r>
      <w:r w:rsidRPr="004E76E3">
        <w:t xml:space="preserve"> </w:t>
      </w:r>
      <w:r w:rsidRPr="004E76E3">
        <w:t>W</w:t>
      </w:r>
      <w:r w:rsidRPr="004E76E3">
        <w:t xml:space="preserve">e hold that </w:t>
      </w:r>
      <w:r w:rsidRPr="004E76E3">
        <w:t xml:space="preserve">a </w:t>
      </w:r>
      <w:r w:rsidRPr="004E76E3">
        <w:t xml:space="preserve">bail bond premium financing agreement </w:t>
      </w:r>
      <w:r w:rsidRPr="004E76E3">
        <w:t xml:space="preserve">between </w:t>
      </w:r>
      <w:r w:rsidRPr="004E76E3">
        <w:t xml:space="preserve">a </w:t>
      </w:r>
      <w:r w:rsidRPr="004E76E3">
        <w:t>cosig</w:t>
      </w:r>
      <w:r w:rsidRPr="004E76E3">
        <w:t>ner</w:t>
      </w:r>
      <w:r w:rsidRPr="004E76E3">
        <w:t xml:space="preserve"> and the bail bond agent is a consumer credit contract subject to the </w:t>
      </w:r>
      <w:r w:rsidRPr="004E76E3">
        <w:t xml:space="preserve">notice </w:t>
      </w:r>
      <w:r w:rsidRPr="004E76E3">
        <w:t>provision</w:t>
      </w:r>
      <w:r w:rsidRPr="004E76E3">
        <w:t xml:space="preserve"> of section 1799.91</w:t>
      </w:r>
      <w:r w:rsidRPr="004E76E3">
        <w:t xml:space="preserve"> and related </w:t>
      </w:r>
      <w:r w:rsidRPr="004E76E3">
        <w:t>statutory</w:t>
      </w:r>
      <w:r w:rsidRPr="004E76E3">
        <w:t xml:space="preserve"> protections</w:t>
      </w:r>
      <w:r w:rsidRPr="004E76E3">
        <w:t xml:space="preserve">.  </w:t>
      </w:r>
      <w:r w:rsidRPr="004E76E3">
        <w:t xml:space="preserve">No statute </w:t>
      </w:r>
      <w:r w:rsidRPr="004E76E3">
        <w:t xml:space="preserve">or regulatory provision supports </w:t>
      </w:r>
      <w:r w:rsidRPr="004E76E3">
        <w:t>BBBB’s</w:t>
      </w:r>
      <w:r w:rsidRPr="004E76E3">
        <w:t xml:space="preserve"> claim that the legal regime governing bail bond licensees was intended to operate as the exclusive source of law for the bail bond industry. </w:t>
      </w:r>
      <w:r w:rsidRPr="004E76E3">
        <w:t xml:space="preserve"> </w:t>
      </w:r>
      <w:r w:rsidRPr="004E76E3">
        <w:t xml:space="preserve">Nor </w:t>
      </w:r>
      <w:r w:rsidRPr="004E76E3">
        <w:t>is</w:t>
      </w:r>
      <w:r w:rsidRPr="004E76E3">
        <w:t xml:space="preserve"> BBBB </w:t>
      </w:r>
      <w:r w:rsidRPr="004E76E3">
        <w:t xml:space="preserve">able to </w:t>
      </w:r>
      <w:r w:rsidRPr="004E76E3">
        <w:t xml:space="preserve">identify any </w:t>
      </w:r>
      <w:r w:rsidRPr="004E76E3">
        <w:t xml:space="preserve">licensee </w:t>
      </w:r>
      <w:r w:rsidRPr="004E76E3">
        <w:t xml:space="preserve">provision </w:t>
      </w:r>
      <w:r w:rsidRPr="004E76E3">
        <w:t xml:space="preserve">that stands in conflict with the cosigner notice </w:t>
      </w:r>
      <w:r w:rsidRPr="004E76E3">
        <w:t>requirement.</w:t>
      </w:r>
      <w:r w:rsidRPr="004E76E3">
        <w:t xml:space="preserve">  </w:t>
      </w:r>
      <w:r w:rsidRPr="004E76E3">
        <w:t xml:space="preserve">While we appreciate that this </w:t>
      </w:r>
      <w:r w:rsidRPr="004E76E3">
        <w:t>decision</w:t>
      </w:r>
      <w:r w:rsidRPr="004E76E3">
        <w:t xml:space="preserve"> </w:t>
      </w:r>
      <w:r w:rsidRPr="004E76E3">
        <w:t xml:space="preserve">may upend </w:t>
      </w:r>
      <w:r w:rsidRPr="004E76E3">
        <w:t xml:space="preserve">business </w:t>
      </w:r>
      <w:r w:rsidRPr="004E76E3">
        <w:t>expectations</w:t>
      </w:r>
      <w:r w:rsidRPr="004E76E3">
        <w:t xml:space="preserve"> </w:t>
      </w:r>
      <w:r w:rsidRPr="004E76E3">
        <w:t xml:space="preserve">for bail bond agents, </w:t>
      </w:r>
      <w:r w:rsidRPr="004E76E3">
        <w:t xml:space="preserve">we </w:t>
      </w:r>
      <w:r w:rsidRPr="004E76E3">
        <w:t xml:space="preserve">cannot accept BBBB’s urging that the injunction should apply </w:t>
      </w:r>
      <w:r w:rsidRPr="004E76E3">
        <w:t xml:space="preserve">only on a prospective basis.  </w:t>
      </w:r>
      <w:r w:rsidRPr="004E76E3">
        <w:t xml:space="preserve">To do so would deprive </w:t>
      </w:r>
      <w:r w:rsidRPr="004E76E3">
        <w:t xml:space="preserve">respondent and other </w:t>
      </w:r>
      <w:r w:rsidRPr="004E76E3">
        <w:t>cosigner</w:t>
      </w:r>
      <w:r w:rsidRPr="004E76E3">
        <w:t xml:space="preserve">s </w:t>
      </w:r>
      <w:r w:rsidRPr="004E76E3">
        <w:t xml:space="preserve">who never received statutory warning of the risks of cosigning a bail bond premium </w:t>
      </w:r>
      <w:r w:rsidRPr="004E76E3">
        <w:t xml:space="preserve">financing </w:t>
      </w:r>
      <w:r w:rsidRPr="004E76E3">
        <w:t xml:space="preserve">agreement </w:t>
      </w:r>
      <w:r w:rsidRPr="004E76E3">
        <w:t xml:space="preserve">of the </w:t>
      </w:r>
      <w:r w:rsidRPr="004E76E3">
        <w:t xml:space="preserve">protections </w:t>
      </w:r>
      <w:r w:rsidRPr="004E76E3">
        <w:t xml:space="preserve">the consumer credit laws were designed to address.  </w:t>
      </w:r>
      <w:r w:rsidRPr="004E76E3">
        <w:t>We reject BBBB’s other challenges to the issuance of the preliminary injunction an</w:t>
      </w:r>
      <w:r w:rsidRPr="004E76E3">
        <w:t>d affirm.</w:t>
      </w:r>
    </w:p>
    <w:p w14:paraId="41DAFF74" w14:textId="77777777" w:rsidR="0011135D" w:rsidRPr="005C67EE" w:rsidRDefault="008D5068" w:rsidP="005C67EE">
      <w:pPr>
        <w:spacing w:line="360" w:lineRule="auto"/>
        <w:jc w:val="center"/>
        <w:rPr>
          <w:b/>
          <w:bCs/>
        </w:rPr>
      </w:pPr>
      <w:r>
        <w:rPr>
          <w:b/>
          <w:bCs/>
        </w:rPr>
        <w:t xml:space="preserve">I.  </w:t>
      </w:r>
      <w:r w:rsidRPr="005C67EE">
        <w:rPr>
          <w:b/>
          <w:bCs/>
        </w:rPr>
        <w:t>FACTUAL AND PROCEDURAL BACKGROUND</w:t>
      </w:r>
    </w:p>
    <w:p w14:paraId="0986D23C" w14:textId="77777777" w:rsidR="00421EA2" w:rsidRDefault="008D5068" w:rsidP="00613E6B">
      <w:pPr>
        <w:spacing w:line="360" w:lineRule="auto"/>
      </w:pPr>
      <w:r>
        <w:tab/>
        <w:t xml:space="preserve">On June 21, </w:t>
      </w:r>
      <w:r>
        <w:t xml:space="preserve">2018, Caldwell </w:t>
      </w:r>
      <w:r>
        <w:t xml:space="preserve">was contacted by BBBB </w:t>
      </w:r>
      <w:r>
        <w:t xml:space="preserve">and informed that her friend D.C. </w:t>
      </w:r>
      <w:r>
        <w:t xml:space="preserve">had been arrested </w:t>
      </w:r>
      <w:r>
        <w:t>and was being held in the City of San Leandro jail.</w:t>
      </w:r>
      <w:r>
        <w:t xml:space="preserve">  </w:t>
      </w:r>
      <w:r>
        <w:t xml:space="preserve">To </w:t>
      </w:r>
      <w:r>
        <w:t>bail her friend</w:t>
      </w:r>
      <w:r>
        <w:t xml:space="preserve"> out, Caldwell </w:t>
      </w:r>
      <w:r>
        <w:t>was asked to sign se</w:t>
      </w:r>
      <w:r>
        <w:t xml:space="preserve">veral documents and provide a bail bond premium.  </w:t>
      </w:r>
      <w:r>
        <w:t xml:space="preserve">Caldwell </w:t>
      </w:r>
      <w:r>
        <w:t xml:space="preserve">signed </w:t>
      </w:r>
    </w:p>
    <w:p w14:paraId="143C0ED5" w14:textId="77777777" w:rsidR="001F4BD5" w:rsidRDefault="008D5068" w:rsidP="00613E6B">
      <w:pPr>
        <w:spacing w:line="360" w:lineRule="auto"/>
      </w:pPr>
      <w:r>
        <w:t>an “Unpaid Premium Agreement” (</w:t>
      </w:r>
      <w:r>
        <w:t xml:space="preserve">Premium </w:t>
      </w:r>
      <w:r>
        <w:t xml:space="preserve">Agreement) </w:t>
      </w:r>
      <w:r>
        <w:t xml:space="preserve">in which she became </w:t>
      </w:r>
      <w:r>
        <w:t xml:space="preserve">legally </w:t>
      </w:r>
      <w:r>
        <w:t>responsible for</w:t>
      </w:r>
      <w:r>
        <w:t xml:space="preserve"> </w:t>
      </w:r>
      <w:r>
        <w:t xml:space="preserve">the bail bond </w:t>
      </w:r>
      <w:r>
        <w:t xml:space="preserve">premium </w:t>
      </w:r>
      <w:r>
        <w:t xml:space="preserve">of </w:t>
      </w:r>
      <w:r>
        <w:t>$5,000</w:t>
      </w:r>
      <w:r>
        <w:t>,</w:t>
      </w:r>
      <w:r>
        <w:t xml:space="preserve"> </w:t>
      </w:r>
      <w:r>
        <w:t xml:space="preserve">representing </w:t>
      </w:r>
      <w:r>
        <w:t xml:space="preserve">10 percent of </w:t>
      </w:r>
      <w:r>
        <w:t>D.C.’s</w:t>
      </w:r>
      <w:r>
        <w:t xml:space="preserve"> bail</w:t>
      </w:r>
      <w:r>
        <w:t xml:space="preserve">.  </w:t>
      </w:r>
      <w:r>
        <w:t>Pursuant to</w:t>
      </w:r>
      <w:r>
        <w:t xml:space="preserve"> the </w:t>
      </w:r>
      <w:r>
        <w:t xml:space="preserve">Premium </w:t>
      </w:r>
      <w:r>
        <w:t xml:space="preserve">Agreement, Caldwell </w:t>
      </w:r>
      <w:r>
        <w:lastRenderedPageBreak/>
        <w:t xml:space="preserve">agreed to </w:t>
      </w:r>
      <w:r>
        <w:t xml:space="preserve">make a </w:t>
      </w:r>
      <w:r>
        <w:t>downpayment</w:t>
      </w:r>
      <w:r>
        <w:t xml:space="preserve"> of $500</w:t>
      </w:r>
      <w:r>
        <w:t xml:space="preserve"> and pay the </w:t>
      </w:r>
      <w:r>
        <w:t>bal</w:t>
      </w:r>
      <w:r>
        <w:t>a</w:t>
      </w:r>
      <w:r>
        <w:t xml:space="preserve">nce due of $4,500 </w:t>
      </w:r>
      <w:r>
        <w:t>in</w:t>
      </w:r>
      <w:r>
        <w:t xml:space="preserve"> $450 monthly </w:t>
      </w:r>
      <w:r>
        <w:t>installment</w:t>
      </w:r>
      <w:r>
        <w:t>s</w:t>
      </w:r>
      <w:r>
        <w:t xml:space="preserve"> </w:t>
      </w:r>
      <w:r>
        <w:t xml:space="preserve">until paid in full. </w:t>
      </w:r>
      <w:r>
        <w:t xml:space="preserve"> </w:t>
      </w:r>
    </w:p>
    <w:p w14:paraId="5F11BC59" w14:textId="77777777" w:rsidR="006B1265" w:rsidRDefault="008D5068" w:rsidP="00613E6B">
      <w:pPr>
        <w:spacing w:line="360" w:lineRule="auto"/>
      </w:pPr>
      <w:r>
        <w:tab/>
      </w:r>
      <w:r>
        <w:t xml:space="preserve">Caldwell </w:t>
      </w:r>
      <w:r>
        <w:t xml:space="preserve">was also required </w:t>
      </w:r>
      <w:r>
        <w:t xml:space="preserve">to </w:t>
      </w:r>
      <w:r>
        <w:t>sign</w:t>
      </w:r>
      <w:r>
        <w:t xml:space="preserve"> an “Indemnity Agreement for Surety </w:t>
      </w:r>
      <w:r>
        <w:t>B</w:t>
      </w:r>
      <w:r>
        <w:t>ail Bo</w:t>
      </w:r>
      <w:r>
        <w:t>n</w:t>
      </w:r>
      <w:r>
        <w:t>d</w:t>
      </w:r>
      <w:r>
        <w:t xml:space="preserve">” </w:t>
      </w:r>
      <w:r>
        <w:t xml:space="preserve">(Indemnity Agreement) </w:t>
      </w:r>
      <w:r>
        <w:t>wi</w:t>
      </w:r>
      <w:r>
        <w:t>th the</w:t>
      </w:r>
      <w:r>
        <w:t xml:space="preserve"> North River Insurance </w:t>
      </w:r>
      <w:r>
        <w:t>C</w:t>
      </w:r>
      <w:r>
        <w:t>ompany</w:t>
      </w:r>
      <w:r>
        <w:t xml:space="preserve"> (North River)</w:t>
      </w:r>
      <w:r>
        <w:t xml:space="preserve">. </w:t>
      </w:r>
      <w:r>
        <w:t xml:space="preserve"> </w:t>
      </w:r>
      <w:r>
        <w:t>Th</w:t>
      </w:r>
      <w:r>
        <w:t>at</w:t>
      </w:r>
      <w:r>
        <w:t xml:space="preserve"> contract provided that the </w:t>
      </w:r>
      <w:r>
        <w:t xml:space="preserve">bail </w:t>
      </w:r>
      <w:r>
        <w:t xml:space="preserve">bond </w:t>
      </w:r>
      <w:r>
        <w:t xml:space="preserve">premium payment </w:t>
      </w:r>
      <w:r>
        <w:t>would be “fully earned” upon D.C.’s release</w:t>
      </w:r>
      <w:r>
        <w:t xml:space="preserve"> from jail</w:t>
      </w:r>
      <w:r>
        <w:t xml:space="preserve">, </w:t>
      </w:r>
      <w:r>
        <w:t>and would be renewed annually</w:t>
      </w:r>
      <w:r>
        <w:t xml:space="preserve"> until the surety </w:t>
      </w:r>
      <w:r>
        <w:t>was</w:t>
      </w:r>
      <w:r>
        <w:t xml:space="preserve"> legally discharged from all liability on the bond posted</w:t>
      </w:r>
      <w:r>
        <w:t>.</w:t>
      </w:r>
      <w:r>
        <w:t xml:space="preserve">  </w:t>
      </w:r>
      <w:r>
        <w:t xml:space="preserve">Finally, </w:t>
      </w:r>
      <w:r>
        <w:t xml:space="preserve">Caldwell </w:t>
      </w:r>
      <w:r>
        <w:t>signed an</w:t>
      </w:r>
      <w:r>
        <w:t xml:space="preserve"> “I</w:t>
      </w:r>
      <w:r>
        <w:t>ndemnitor/</w:t>
      </w:r>
      <w:r>
        <w:t xml:space="preserve"> </w:t>
      </w:r>
      <w:r>
        <w:t>Guarantor Check L</w:t>
      </w:r>
      <w:r>
        <w:t>i</w:t>
      </w:r>
      <w:r>
        <w:t>st</w:t>
      </w:r>
      <w:r>
        <w:t>,</w:t>
      </w:r>
      <w:r>
        <w:t>”</w:t>
      </w:r>
      <w:r>
        <w:t xml:space="preserve"> </w:t>
      </w:r>
      <w:r>
        <w:t>which contain</w:t>
      </w:r>
      <w:r>
        <w:t>ed</w:t>
      </w:r>
      <w:r>
        <w:t xml:space="preserve"> a series of acknowledgements, </w:t>
      </w:r>
      <w:r>
        <w:t xml:space="preserve">including </w:t>
      </w:r>
      <w:r>
        <w:t>an</w:t>
      </w:r>
      <w:r>
        <w:t xml:space="preserve"> </w:t>
      </w:r>
      <w:r>
        <w:t>acknowle</w:t>
      </w:r>
      <w:r>
        <w:t>d</w:t>
      </w:r>
      <w:r>
        <w:t>g</w:t>
      </w:r>
      <w:r>
        <w:t>ment</w:t>
      </w:r>
      <w:r>
        <w:t xml:space="preserve"> </w:t>
      </w:r>
      <w:r>
        <w:t>that she was res</w:t>
      </w:r>
      <w:r>
        <w:t>p</w:t>
      </w:r>
      <w:r>
        <w:t xml:space="preserve">onsible </w:t>
      </w:r>
      <w:r>
        <w:t>for making</w:t>
      </w:r>
      <w:r>
        <w:t xml:space="preserve"> payments on the premiu</w:t>
      </w:r>
      <w:r>
        <w:t>m</w:t>
      </w:r>
      <w:r>
        <w:t xml:space="preserve">. </w:t>
      </w:r>
      <w:r>
        <w:t xml:space="preserve"> </w:t>
      </w:r>
      <w:r>
        <w:t>Caldwell was told that D.C. would separately sign her own copies of the same contracts.  C</w:t>
      </w:r>
      <w:r>
        <w:t xml:space="preserve">aldwell </w:t>
      </w:r>
      <w:r>
        <w:t>asserts</w:t>
      </w:r>
      <w:r>
        <w:t xml:space="preserve"> t</w:t>
      </w:r>
      <w:r>
        <w:t>hat</w:t>
      </w:r>
      <w:r>
        <w:t xml:space="preserve"> she was not informed of the financial risks associated with cosigning</w:t>
      </w:r>
      <w:r w:rsidRPr="003E0A84">
        <w:t xml:space="preserve"> </w:t>
      </w:r>
      <w:r>
        <w:t xml:space="preserve">for D.C.’s bail bond, and </w:t>
      </w:r>
      <w:r>
        <w:t xml:space="preserve">maintains </w:t>
      </w:r>
      <w:r>
        <w:t>that she would not have cosigned fo</w:t>
      </w:r>
      <w:r>
        <w:t xml:space="preserve">r the bail </w:t>
      </w:r>
      <w:r>
        <w:t xml:space="preserve">bond </w:t>
      </w:r>
      <w:r>
        <w:t xml:space="preserve">premium if </w:t>
      </w:r>
      <w:r>
        <w:t xml:space="preserve">she had been provided with </w:t>
      </w:r>
      <w:r>
        <w:t>the section 1799.91 notice</w:t>
      </w:r>
      <w:r>
        <w:t xml:space="preserve">. </w:t>
      </w:r>
    </w:p>
    <w:p w14:paraId="46737A4C" w14:textId="77777777" w:rsidR="00D1509F" w:rsidRDefault="008D5068" w:rsidP="00301B07">
      <w:pPr>
        <w:spacing w:line="360" w:lineRule="auto"/>
      </w:pPr>
      <w:r>
        <w:tab/>
      </w:r>
      <w:r>
        <w:t>Caldwell was unable to make the installment payments</w:t>
      </w:r>
      <w:r>
        <w:t xml:space="preserve"> beyond the initial $500 deposit</w:t>
      </w:r>
      <w:r>
        <w:t xml:space="preserve">.  BBBB </w:t>
      </w:r>
      <w:r>
        <w:t>attempted to collect from her, repeatedly calling her</w:t>
      </w:r>
      <w:r>
        <w:t xml:space="preserve"> phone</w:t>
      </w:r>
      <w:r>
        <w:t xml:space="preserve">, her mother, and her place of employment </w:t>
      </w:r>
      <w:r>
        <w:t>in an effort to</w:t>
      </w:r>
      <w:r>
        <w:t xml:space="preserve"> persuade her to resume payments.</w:t>
      </w:r>
      <w:r>
        <w:t xml:space="preserve"> </w:t>
      </w:r>
      <w:r>
        <w:t xml:space="preserve"> </w:t>
      </w:r>
      <w:r>
        <w:t xml:space="preserve">BBBB representatives </w:t>
      </w:r>
      <w:r>
        <w:t xml:space="preserve">reportedly </w:t>
      </w:r>
      <w:r>
        <w:t xml:space="preserve">threatened litigation and claimed she could lose her job </w:t>
      </w:r>
      <w:r>
        <w:t xml:space="preserve">if she did not </w:t>
      </w:r>
      <w:r>
        <w:t>make payment</w:t>
      </w:r>
      <w:r>
        <w:t>s</w:t>
      </w:r>
      <w:r>
        <w:t xml:space="preserve">.  </w:t>
      </w:r>
      <w:r>
        <w:t>Eventually, Caldwell change</w:t>
      </w:r>
      <w:r>
        <w:t>d</w:t>
      </w:r>
      <w:r>
        <w:t xml:space="preserve"> her cell phone </w:t>
      </w:r>
      <w:r>
        <w:t>number</w:t>
      </w:r>
      <w:r>
        <w:t xml:space="preserve"> to avoid the repeated phone calls.</w:t>
      </w:r>
      <w:r>
        <w:t xml:space="preserve"> </w:t>
      </w:r>
      <w:r>
        <w:t xml:space="preserve"> </w:t>
      </w:r>
      <w:r>
        <w:t xml:space="preserve">Other </w:t>
      </w:r>
      <w:r>
        <w:t>cosigner</w:t>
      </w:r>
      <w:r>
        <w:t xml:space="preserve">s </w:t>
      </w:r>
      <w:r>
        <w:t>attested</w:t>
      </w:r>
      <w:r>
        <w:t xml:space="preserve"> to similar </w:t>
      </w:r>
      <w:r>
        <w:t>aggressive collection</w:t>
      </w:r>
      <w:r>
        <w:t xml:space="preserve"> </w:t>
      </w:r>
      <w:r>
        <w:t>efforts</w:t>
      </w:r>
      <w:r>
        <w:t xml:space="preserve"> by BBBB, including </w:t>
      </w:r>
      <w:r>
        <w:t xml:space="preserve">highly embarrassing calls to employers, </w:t>
      </w:r>
      <w:r>
        <w:t xml:space="preserve">calls </w:t>
      </w:r>
      <w:r>
        <w:t xml:space="preserve">made </w:t>
      </w:r>
      <w:r>
        <w:t xml:space="preserve">to homes </w:t>
      </w:r>
      <w:r>
        <w:t>very early in the morning or late at night</w:t>
      </w:r>
      <w:r>
        <w:t xml:space="preserve">, </w:t>
      </w:r>
      <w:r>
        <w:t xml:space="preserve">and </w:t>
      </w:r>
      <w:r>
        <w:t>calls in which BBBB</w:t>
      </w:r>
      <w:r>
        <w:t xml:space="preserve"> </w:t>
      </w:r>
      <w:r>
        <w:t xml:space="preserve">representatives </w:t>
      </w:r>
      <w:r>
        <w:t xml:space="preserve">stated </w:t>
      </w:r>
      <w:r>
        <w:t>it</w:t>
      </w:r>
      <w:r>
        <w:t xml:space="preserve"> could have the </w:t>
      </w:r>
      <w:r>
        <w:t>cosigner</w:t>
      </w:r>
      <w:r>
        <w:t xml:space="preserve"> arrested </w:t>
      </w:r>
      <w:r>
        <w:t xml:space="preserve">if payment was not made.  </w:t>
      </w:r>
      <w:r>
        <w:t xml:space="preserve"> </w:t>
      </w:r>
      <w:r>
        <w:t xml:space="preserve"> </w:t>
      </w:r>
      <w:r>
        <w:tab/>
      </w:r>
    </w:p>
    <w:p w14:paraId="572798E3" w14:textId="77777777" w:rsidR="00301B07" w:rsidRDefault="008D5068" w:rsidP="00301B07">
      <w:pPr>
        <w:spacing w:line="360" w:lineRule="auto"/>
      </w:pPr>
      <w:r>
        <w:lastRenderedPageBreak/>
        <w:tab/>
      </w:r>
      <w:r>
        <w:t>In October</w:t>
      </w:r>
      <w:r>
        <w:t xml:space="preserve"> 2019, BBBB </w:t>
      </w:r>
      <w:r>
        <w:t>initiated</w:t>
      </w:r>
      <w:r>
        <w:t xml:space="preserve"> a </w:t>
      </w:r>
      <w:r>
        <w:t xml:space="preserve">collection action </w:t>
      </w:r>
      <w:r>
        <w:t xml:space="preserve">by filing a </w:t>
      </w:r>
      <w:r>
        <w:t xml:space="preserve">complaint for breach of contract </w:t>
      </w:r>
      <w:r>
        <w:t xml:space="preserve">and common counts </w:t>
      </w:r>
      <w:r>
        <w:t xml:space="preserve">against Caldwell.  BBBB alleged she had </w:t>
      </w:r>
      <w:r>
        <w:t xml:space="preserve">breached the Premium Agreement by </w:t>
      </w:r>
      <w:r>
        <w:t>fail</w:t>
      </w:r>
      <w:r>
        <w:t>ing</w:t>
      </w:r>
      <w:r>
        <w:t xml:space="preserve"> to pay </w:t>
      </w:r>
      <w:r>
        <w:t>the</w:t>
      </w:r>
      <w:r>
        <w:t xml:space="preserve"> </w:t>
      </w:r>
      <w:r>
        <w:t>$</w:t>
      </w:r>
      <w:r>
        <w:t>4,500</w:t>
      </w:r>
      <w:r w:rsidRPr="004919BC">
        <w:t xml:space="preserve"> </w:t>
      </w:r>
      <w:r>
        <w:t xml:space="preserve">owing on the </w:t>
      </w:r>
      <w:r>
        <w:t xml:space="preserve">bail </w:t>
      </w:r>
      <w:r>
        <w:t>bond premium</w:t>
      </w:r>
      <w:r>
        <w:t xml:space="preserve">.  </w:t>
      </w:r>
    </w:p>
    <w:p w14:paraId="25213028" w14:textId="77777777" w:rsidR="00DD2271" w:rsidRDefault="008D5068" w:rsidP="005E27A8">
      <w:pPr>
        <w:spacing w:line="360" w:lineRule="auto"/>
      </w:pPr>
      <w:r>
        <w:tab/>
        <w:t xml:space="preserve">In October 2020, </w:t>
      </w:r>
      <w:r>
        <w:t>Caldwell</w:t>
      </w:r>
      <w:r>
        <w:t xml:space="preserve"> filed a class action cross-complaint </w:t>
      </w:r>
      <w:r>
        <w:t xml:space="preserve">against BBBB </w:t>
      </w:r>
      <w:r>
        <w:t>alleg</w:t>
      </w:r>
      <w:r>
        <w:t>ing</w:t>
      </w:r>
      <w:r>
        <w:t xml:space="preserve"> </w:t>
      </w:r>
      <w:r>
        <w:t>ca</w:t>
      </w:r>
      <w:r>
        <w:t>u</w:t>
      </w:r>
      <w:r>
        <w:t>ses of act</w:t>
      </w:r>
      <w:r>
        <w:t>i</w:t>
      </w:r>
      <w:r>
        <w:t xml:space="preserve">on for violation of </w:t>
      </w:r>
      <w:r>
        <w:t xml:space="preserve">the </w:t>
      </w:r>
      <w:r>
        <w:t>u</w:t>
      </w:r>
      <w:r>
        <w:t xml:space="preserve">nfair </w:t>
      </w:r>
      <w:r>
        <w:t>c</w:t>
      </w:r>
      <w:r>
        <w:t xml:space="preserve">ompetition </w:t>
      </w:r>
      <w:r>
        <w:t>l</w:t>
      </w:r>
      <w:r>
        <w:t xml:space="preserve">aw (Bus. &amp; Prof. Code </w:t>
      </w:r>
      <w:r>
        <w:t>§</w:t>
      </w:r>
      <w:r>
        <w:t xml:space="preserve"> 17200 et seq.</w:t>
      </w:r>
      <w:r>
        <w:t>; UCL</w:t>
      </w:r>
      <w:r>
        <w:t xml:space="preserve">) </w:t>
      </w:r>
      <w:r>
        <w:t>and declaratory judgment</w:t>
      </w:r>
      <w:r>
        <w:t>.</w:t>
      </w:r>
      <w:r>
        <w:t xml:space="preserve">  </w:t>
      </w:r>
      <w:r>
        <w:t xml:space="preserve">Caldwell alleged that BBBB </w:t>
      </w:r>
      <w:r>
        <w:t xml:space="preserve">had </w:t>
      </w:r>
      <w:r>
        <w:t>engaged in an unfair and unlawful business practice in violation of</w:t>
      </w:r>
      <w:r>
        <w:t xml:space="preserve"> the </w:t>
      </w:r>
      <w:r>
        <w:t>UCL</w:t>
      </w:r>
      <w:r>
        <w:t xml:space="preserve"> </w:t>
      </w:r>
      <w:r>
        <w:t>by failing to</w:t>
      </w:r>
      <w:r>
        <w:t xml:space="preserve"> </w:t>
      </w:r>
      <w:r>
        <w:t>provide statutory no</w:t>
      </w:r>
      <w:r>
        <w:t xml:space="preserve">tice of the risks of cosigning a consumer credit contract under </w:t>
      </w:r>
      <w:r>
        <w:t xml:space="preserve">section </w:t>
      </w:r>
      <w:r>
        <w:t>1799.91</w:t>
      </w:r>
      <w:r>
        <w:t>.</w:t>
      </w:r>
      <w:r>
        <w:t xml:space="preserve"> </w:t>
      </w:r>
      <w:r>
        <w:t xml:space="preserve"> </w:t>
      </w:r>
      <w:r>
        <w:t>She</w:t>
      </w:r>
      <w:r>
        <w:t xml:space="preserve"> sought restitution of the mon</w:t>
      </w:r>
      <w:r>
        <w:t>e</w:t>
      </w:r>
      <w:r>
        <w:t xml:space="preserve">y </w:t>
      </w:r>
      <w:r>
        <w:t xml:space="preserve">she </w:t>
      </w:r>
      <w:r>
        <w:t xml:space="preserve">and other putative class members </w:t>
      </w:r>
      <w:r>
        <w:t xml:space="preserve">had </w:t>
      </w:r>
      <w:r>
        <w:t>paid for bail</w:t>
      </w:r>
      <w:r>
        <w:t xml:space="preserve"> </w:t>
      </w:r>
      <w:r>
        <w:t>bond premium</w:t>
      </w:r>
      <w:r>
        <w:t>s</w:t>
      </w:r>
      <w:r>
        <w:t xml:space="preserve">, a declaratory judgment that </w:t>
      </w:r>
      <w:r>
        <w:t xml:space="preserve">the </w:t>
      </w:r>
      <w:r>
        <w:t>P</w:t>
      </w:r>
      <w:r>
        <w:t>remium</w:t>
      </w:r>
      <w:r>
        <w:t xml:space="preserve"> </w:t>
      </w:r>
      <w:r>
        <w:t>A</w:t>
      </w:r>
      <w:r>
        <w:t xml:space="preserve">greements are unenforceable, </w:t>
      </w:r>
      <w:r>
        <w:t xml:space="preserve">and </w:t>
      </w:r>
      <w:r>
        <w:t>a</w:t>
      </w:r>
      <w:r>
        <w:t>n</w:t>
      </w:r>
      <w:r>
        <w:t xml:space="preserve"> injunction prohibiting BBBB from enforcing </w:t>
      </w:r>
      <w:r>
        <w:t>these</w:t>
      </w:r>
      <w:r>
        <w:t xml:space="preserve"> agreements and requiring </w:t>
      </w:r>
      <w:r>
        <w:t>it</w:t>
      </w:r>
      <w:r>
        <w:t xml:space="preserve"> to provide notice </w:t>
      </w:r>
      <w:r>
        <w:t xml:space="preserve">to </w:t>
      </w:r>
      <w:r>
        <w:t>cosigner</w:t>
      </w:r>
      <w:r>
        <w:t xml:space="preserve">s </w:t>
      </w:r>
      <w:r>
        <w:t>in compliance with section 1799.91</w:t>
      </w:r>
      <w:r>
        <w:t xml:space="preserve">.  She also </w:t>
      </w:r>
      <w:r>
        <w:t xml:space="preserve">requested </w:t>
      </w:r>
      <w:r>
        <w:t xml:space="preserve">costs and </w:t>
      </w:r>
      <w:r>
        <w:t>attorney</w:t>
      </w:r>
      <w:r>
        <w:t xml:space="preserve"> fees.  </w:t>
      </w:r>
    </w:p>
    <w:p w14:paraId="05413365" w14:textId="77777777" w:rsidR="009C1987" w:rsidRDefault="008D5068" w:rsidP="005E27A8">
      <w:pPr>
        <w:spacing w:line="360" w:lineRule="auto"/>
      </w:pPr>
      <w:r>
        <w:tab/>
      </w:r>
      <w:r>
        <w:t>Caldwell</w:t>
      </w:r>
      <w:r>
        <w:t xml:space="preserve"> </w:t>
      </w:r>
      <w:r>
        <w:t xml:space="preserve">then </w:t>
      </w:r>
      <w:r>
        <w:t>filed a motion</w:t>
      </w:r>
      <w:r>
        <w:t xml:space="preserve"> for a preliminary injunction</w:t>
      </w:r>
      <w:r>
        <w:t xml:space="preserve"> </w:t>
      </w:r>
      <w:r>
        <w:t xml:space="preserve">seeking to </w:t>
      </w:r>
      <w:r>
        <w:t>enjoin</w:t>
      </w:r>
      <w:r>
        <w:t xml:space="preserve"> BBBB from enforcing </w:t>
      </w:r>
      <w:r>
        <w:t>or attempting to collect on</w:t>
      </w:r>
      <w:r>
        <w:t xml:space="preserve"> </w:t>
      </w:r>
      <w:r>
        <w:t xml:space="preserve">Premium Agreements </w:t>
      </w:r>
      <w:r>
        <w:t>signed by</w:t>
      </w:r>
      <w:r>
        <w:t xml:space="preserve"> </w:t>
      </w:r>
      <w:r>
        <w:t>cosigner</w:t>
      </w:r>
      <w:r>
        <w:t>s</w:t>
      </w:r>
      <w:r>
        <w:t xml:space="preserve"> who were not provided with </w:t>
      </w:r>
      <w:r>
        <w:t xml:space="preserve">the notice required by </w:t>
      </w:r>
      <w:r>
        <w:t>section</w:t>
      </w:r>
      <w:r>
        <w:t> </w:t>
      </w:r>
      <w:r>
        <w:t>1799.91</w:t>
      </w:r>
      <w:r>
        <w:t xml:space="preserve">.  </w:t>
      </w:r>
      <w:r w:rsidRPr="00DF7CC1">
        <w:t xml:space="preserve">In her moving papers, Caldwell alleged that BBBB </w:t>
      </w:r>
      <w:r>
        <w:t xml:space="preserve">commenced </w:t>
      </w:r>
      <w:r w:rsidRPr="00DF7CC1">
        <w:t xml:space="preserve">at least 150 lawsuits against similarly situated </w:t>
      </w:r>
      <w:r>
        <w:t>cosigner</w:t>
      </w:r>
      <w:r w:rsidRPr="00DF7CC1">
        <w:t xml:space="preserve">s in the 18-month period from July 1, 2019 </w:t>
      </w:r>
      <w:r>
        <w:t>through</w:t>
      </w:r>
      <w:r w:rsidRPr="00DF7CC1">
        <w:t xml:space="preserve"> </w:t>
      </w:r>
      <w:r w:rsidRPr="00DF7CC1">
        <w:t xml:space="preserve">December </w:t>
      </w:r>
      <w:r>
        <w:t>31</w:t>
      </w:r>
      <w:r w:rsidRPr="00DF7CC1">
        <w:t xml:space="preserve">, 2020. </w:t>
      </w:r>
      <w:r>
        <w:t xml:space="preserve"> </w:t>
      </w:r>
      <w:r>
        <w:t>Her</w:t>
      </w:r>
      <w:r>
        <w:t xml:space="preserve"> motion was supported by </w:t>
      </w:r>
      <w:r>
        <w:t>declarations</w:t>
      </w:r>
      <w:r>
        <w:t xml:space="preserve"> </w:t>
      </w:r>
      <w:r>
        <w:t xml:space="preserve">from </w:t>
      </w:r>
      <w:r>
        <w:t xml:space="preserve">several </w:t>
      </w:r>
      <w:r>
        <w:t>individuals</w:t>
      </w:r>
      <w:r>
        <w:t xml:space="preserve"> who</w:t>
      </w:r>
      <w:r>
        <w:t xml:space="preserve"> had </w:t>
      </w:r>
      <w:r>
        <w:t>co</w:t>
      </w:r>
      <w:r>
        <w:t xml:space="preserve">signed </w:t>
      </w:r>
      <w:r>
        <w:t>identical or near</w:t>
      </w:r>
      <w:r>
        <w:t xml:space="preserve">ly </w:t>
      </w:r>
      <w:r>
        <w:t xml:space="preserve">identical </w:t>
      </w:r>
      <w:r>
        <w:t>P</w:t>
      </w:r>
      <w:r>
        <w:t xml:space="preserve">remium </w:t>
      </w:r>
      <w:r>
        <w:t>A</w:t>
      </w:r>
      <w:r>
        <w:t>greements</w:t>
      </w:r>
      <w:r>
        <w:t xml:space="preserve"> </w:t>
      </w:r>
      <w:r>
        <w:t xml:space="preserve">without such notice </w:t>
      </w:r>
      <w:r>
        <w:t xml:space="preserve">and had been subjected to BBBB’s </w:t>
      </w:r>
      <w:r>
        <w:t xml:space="preserve">aggressive </w:t>
      </w:r>
      <w:r>
        <w:t xml:space="preserve">collection efforts. </w:t>
      </w:r>
    </w:p>
    <w:p w14:paraId="315D5A65" w14:textId="77777777" w:rsidR="009E2C20" w:rsidRDefault="008D5068" w:rsidP="005E27A8">
      <w:pPr>
        <w:spacing w:line="360" w:lineRule="auto"/>
      </w:pPr>
      <w:r>
        <w:tab/>
      </w:r>
      <w:r w:rsidRPr="00DF7CC1">
        <w:t>On April 8, 2021, the trial court grant</w:t>
      </w:r>
      <w:r>
        <w:t>ed</w:t>
      </w:r>
      <w:r w:rsidRPr="00DF7CC1">
        <w:t xml:space="preserve"> Caldwell’s motion for a preliminary injunction. </w:t>
      </w:r>
      <w:r>
        <w:t xml:space="preserve"> </w:t>
      </w:r>
      <w:r>
        <w:t>In reviewing the</w:t>
      </w:r>
      <w:r>
        <w:t xml:space="preserve"> collections complaints filed by BBBB</w:t>
      </w:r>
      <w:r>
        <w:t xml:space="preserve"> in the other actions</w:t>
      </w:r>
      <w:r>
        <w:t xml:space="preserve">, the </w:t>
      </w:r>
      <w:r>
        <w:t xml:space="preserve">trial </w:t>
      </w:r>
      <w:r>
        <w:t>court found that the</w:t>
      </w:r>
      <w:r>
        <w:t xml:space="preserve"> premium </w:t>
      </w:r>
      <w:r>
        <w:lastRenderedPageBreak/>
        <w:t xml:space="preserve">agreements </w:t>
      </w:r>
      <w:r>
        <w:t>were</w:t>
      </w:r>
      <w:r>
        <w:t xml:space="preserve"> “typically signed by both the arrestee and the family or friend who acts as an indemnitor.”</w:t>
      </w:r>
      <w:r>
        <w:t xml:space="preserve">  </w:t>
      </w:r>
      <w:r>
        <w:t xml:space="preserve">The trial court </w:t>
      </w:r>
      <w:r>
        <w:t>determined</w:t>
      </w:r>
      <w:r>
        <w:t xml:space="preserve"> that </w:t>
      </w:r>
      <w:r>
        <w:t xml:space="preserve">Caldwell had </w:t>
      </w:r>
      <w:r>
        <w:t>shown a substantial likelihood of success on the merits of her UCL claim under the UCL’s unlawful prong.</w:t>
      </w:r>
      <w:r>
        <w:t xml:space="preserve">  </w:t>
      </w:r>
      <w:r>
        <w:t xml:space="preserve">The court </w:t>
      </w:r>
      <w:r>
        <w:t>found</w:t>
      </w:r>
      <w:r>
        <w:t xml:space="preserve"> that </w:t>
      </w:r>
      <w:r>
        <w:t xml:space="preserve">the </w:t>
      </w:r>
      <w:r>
        <w:t xml:space="preserve">premium </w:t>
      </w:r>
      <w:r>
        <w:t xml:space="preserve">financing </w:t>
      </w:r>
      <w:r>
        <w:t xml:space="preserve">agreements </w:t>
      </w:r>
      <w:r>
        <w:t xml:space="preserve">are </w:t>
      </w:r>
      <w:r>
        <w:t xml:space="preserve">consumer credit contracts </w:t>
      </w:r>
      <w:r>
        <w:t>subject to the notice requirements</w:t>
      </w:r>
      <w:r>
        <w:t xml:space="preserve"> of section 17</w:t>
      </w:r>
      <w:r>
        <w:t xml:space="preserve">99.91, </w:t>
      </w:r>
      <w:r>
        <w:t>and it reje</w:t>
      </w:r>
      <w:r>
        <w:t>cted</w:t>
      </w:r>
      <w:r>
        <w:t xml:space="preserve"> </w:t>
      </w:r>
      <w:r>
        <w:t>BBBB’s</w:t>
      </w:r>
      <w:r>
        <w:t xml:space="preserve"> argument that </w:t>
      </w:r>
      <w:r>
        <w:t xml:space="preserve">compliance with </w:t>
      </w:r>
      <w:r>
        <w:t xml:space="preserve">bail bond </w:t>
      </w:r>
      <w:r>
        <w:t xml:space="preserve">licensing </w:t>
      </w:r>
      <w:r>
        <w:t xml:space="preserve">regulations </w:t>
      </w:r>
      <w:r>
        <w:t xml:space="preserve">exempted it from </w:t>
      </w:r>
      <w:r>
        <w:t>comply</w:t>
      </w:r>
      <w:r>
        <w:t>ing</w:t>
      </w:r>
      <w:r>
        <w:t xml:space="preserve"> with consumer protection statutes.  </w:t>
      </w:r>
    </w:p>
    <w:p w14:paraId="6561B113" w14:textId="77777777" w:rsidR="004368A6" w:rsidRDefault="008D5068" w:rsidP="005E27A8">
      <w:pPr>
        <w:spacing w:line="360" w:lineRule="auto"/>
      </w:pPr>
      <w:r>
        <w:tab/>
        <w:t xml:space="preserve">The court further found that the balance of hardships tipped </w:t>
      </w:r>
      <w:r>
        <w:t xml:space="preserve">decidedly </w:t>
      </w:r>
      <w:r>
        <w:t xml:space="preserve">towards Caldwell because she had demonstrated </w:t>
      </w:r>
      <w:r>
        <w:t xml:space="preserve">that she and others like her had been victimized by BBBB’s failure to provide section 1799.91 notice.  </w:t>
      </w:r>
      <w:r>
        <w:t>On the other hand</w:t>
      </w:r>
      <w:r>
        <w:t>, the injunction would not interfere with BBBB’s ability to conduct business in California, provided it complied with state consumer pro</w:t>
      </w:r>
      <w:r>
        <w:t xml:space="preserve">tection laws. </w:t>
      </w:r>
      <w:r>
        <w:t xml:space="preserve"> </w:t>
      </w:r>
    </w:p>
    <w:p w14:paraId="6FD324AE" w14:textId="77777777" w:rsidR="00561774" w:rsidRDefault="008D5068" w:rsidP="005E27A8">
      <w:pPr>
        <w:spacing w:line="360" w:lineRule="auto"/>
      </w:pPr>
      <w:r>
        <w:tab/>
      </w:r>
      <w:r>
        <w:t>T</w:t>
      </w:r>
      <w:r>
        <w:t xml:space="preserve">he court enjoined BBBB from filing any actions to enforce </w:t>
      </w:r>
      <w:r>
        <w:t>or</w:t>
      </w:r>
      <w:r>
        <w:t xml:space="preserve"> collect on bail </w:t>
      </w:r>
      <w:r>
        <w:t xml:space="preserve">bond premium </w:t>
      </w:r>
      <w:r>
        <w:t xml:space="preserve">agreements against </w:t>
      </w:r>
      <w:r>
        <w:t>cosigner</w:t>
      </w:r>
      <w:r>
        <w:t>s</w:t>
      </w:r>
      <w:r>
        <w:t xml:space="preserve"> who </w:t>
      </w:r>
      <w:r>
        <w:t>were</w:t>
      </w:r>
      <w:r>
        <w:t xml:space="preserve"> not </w:t>
      </w:r>
      <w:r>
        <w:t>p</w:t>
      </w:r>
      <w:r>
        <w:t xml:space="preserve">rovided </w:t>
      </w:r>
      <w:r>
        <w:t xml:space="preserve">with </w:t>
      </w:r>
      <w:r>
        <w:t>section 1799.91</w:t>
      </w:r>
      <w:r>
        <w:t xml:space="preserve"> notice</w:t>
      </w:r>
      <w:r>
        <w:t xml:space="preserve">, </w:t>
      </w:r>
      <w:r>
        <w:t xml:space="preserve">or </w:t>
      </w:r>
      <w:r>
        <w:t xml:space="preserve">from </w:t>
      </w:r>
      <w:r>
        <w:t xml:space="preserve">otherwise </w:t>
      </w:r>
      <w:r>
        <w:t>attempting</w:t>
      </w:r>
      <w:r>
        <w:t xml:space="preserve"> to collect on such agreements</w:t>
      </w:r>
      <w:r>
        <w:t xml:space="preserve">.  BBBB was also enjoined from </w:t>
      </w:r>
      <w:r>
        <w:t>prosecuting any actions already filed</w:t>
      </w:r>
      <w:r>
        <w:t>,</w:t>
      </w:r>
      <w:r>
        <w:t xml:space="preserve"> or seeking to enforce, execute, or collect on any judgments against </w:t>
      </w:r>
      <w:r>
        <w:t>such</w:t>
      </w:r>
      <w:r>
        <w:t xml:space="preserve"> </w:t>
      </w:r>
      <w:r>
        <w:t>cosigner</w:t>
      </w:r>
      <w:r>
        <w:t xml:space="preserve">s. </w:t>
      </w:r>
      <w:r>
        <w:t xml:space="preserve"> </w:t>
      </w:r>
      <w:r>
        <w:t xml:space="preserve">The court also waived </w:t>
      </w:r>
      <w:r>
        <w:t xml:space="preserve">any </w:t>
      </w:r>
      <w:r>
        <w:t>bond requirement based on undisputed evidence</w:t>
      </w:r>
      <w:r>
        <w:t xml:space="preserve"> that the cost of </w:t>
      </w:r>
      <w:r>
        <w:t xml:space="preserve">posting </w:t>
      </w:r>
      <w:r>
        <w:t>a</w:t>
      </w:r>
      <w:r>
        <w:t>n injunction</w:t>
      </w:r>
      <w:r>
        <w:t xml:space="preserve"> bond would be </w:t>
      </w:r>
      <w:r>
        <w:t xml:space="preserve">well </w:t>
      </w:r>
      <w:r>
        <w:t xml:space="preserve">beyond Caldwell’s reach.  </w:t>
      </w:r>
    </w:p>
    <w:p w14:paraId="12330DF1" w14:textId="77777777" w:rsidR="009B1A1E" w:rsidRDefault="008D5068" w:rsidP="009B1A1E">
      <w:pPr>
        <w:spacing w:line="360" w:lineRule="auto"/>
      </w:pPr>
      <w:r>
        <w:tab/>
        <w:t xml:space="preserve">The </w:t>
      </w:r>
      <w:r>
        <w:t xml:space="preserve">trial court’s </w:t>
      </w:r>
      <w:r>
        <w:t xml:space="preserve">ruling </w:t>
      </w:r>
      <w:r>
        <w:t xml:space="preserve">was stayed </w:t>
      </w:r>
      <w:r>
        <w:t>for 15 days.  Shortly before that stay expire</w:t>
      </w:r>
      <w:r>
        <w:t>d</w:t>
      </w:r>
      <w:r>
        <w:t>, BBBB petitioned this court for a writ of supersedeas.  We stayed the trial court’s ru</w:t>
      </w:r>
      <w:r>
        <w:t xml:space="preserve">ling and ordered expedited briefing. </w:t>
      </w:r>
    </w:p>
    <w:p w14:paraId="4BAA8B3A" w14:textId="77777777" w:rsidR="009B1A1E" w:rsidRPr="009B1A1E" w:rsidRDefault="008D5068" w:rsidP="003335A3">
      <w:pPr>
        <w:keepNext/>
        <w:spacing w:line="360" w:lineRule="auto"/>
        <w:jc w:val="center"/>
        <w:rPr>
          <w:b/>
          <w:bCs/>
        </w:rPr>
      </w:pPr>
      <w:r w:rsidRPr="009B1A1E">
        <w:rPr>
          <w:b/>
          <w:bCs/>
        </w:rPr>
        <w:lastRenderedPageBreak/>
        <w:t>II.  RELEVANT STATUTORY SCHEMES</w:t>
      </w:r>
    </w:p>
    <w:p w14:paraId="68ABFE25" w14:textId="77777777" w:rsidR="00C36AA9" w:rsidRPr="009B1A1E" w:rsidRDefault="008D5068" w:rsidP="003335A3">
      <w:pPr>
        <w:keepNext/>
        <w:spacing w:line="360" w:lineRule="auto"/>
      </w:pPr>
      <w:r>
        <w:tab/>
        <w:t xml:space="preserve">At the center of this appeal are two </w:t>
      </w:r>
      <w:r>
        <w:t>statutory schemes</w:t>
      </w:r>
      <w:r>
        <w:t xml:space="preserve">: </w:t>
      </w:r>
      <w:r>
        <w:t xml:space="preserve">consumer credit </w:t>
      </w:r>
      <w:r>
        <w:t>protections</w:t>
      </w:r>
      <w:r>
        <w:t xml:space="preserve"> under </w:t>
      </w:r>
      <w:r>
        <w:t>the Civil Code</w:t>
      </w:r>
      <w:r>
        <w:t xml:space="preserve"> </w:t>
      </w:r>
      <w:r>
        <w:t xml:space="preserve">(§ 1799.90 </w:t>
      </w:r>
      <w:r w:rsidRPr="00B04DE0">
        <w:t>et seq</w:t>
      </w:r>
      <w:r>
        <w:t>.</w:t>
      </w:r>
      <w:r>
        <w:t>)</w:t>
      </w:r>
      <w:r>
        <w:t>,</w:t>
      </w:r>
      <w:r>
        <w:t xml:space="preserve"> and the Bail Bond Regulatory Act (Ins. Code, § 1800 </w:t>
      </w:r>
      <w:r w:rsidRPr="00B04DE0">
        <w:t>et seq</w:t>
      </w:r>
      <w:r>
        <w:t>.</w:t>
      </w:r>
      <w:r>
        <w:t>)</w:t>
      </w:r>
      <w:r>
        <w:t>.</w:t>
      </w:r>
      <w:r>
        <w:t xml:space="preserve">  Before setting forth the parties’ arguments, </w:t>
      </w:r>
      <w:r w:rsidRPr="009B1A1E">
        <w:t xml:space="preserve">we </w:t>
      </w:r>
      <w:r>
        <w:t>describe</w:t>
      </w:r>
      <w:r w:rsidRPr="009B1A1E">
        <w:t xml:space="preserve"> these </w:t>
      </w:r>
      <w:r>
        <w:t>overlapping statu</w:t>
      </w:r>
      <w:r>
        <w:t>t</w:t>
      </w:r>
      <w:r>
        <w:t xml:space="preserve">es.  </w:t>
      </w:r>
    </w:p>
    <w:p w14:paraId="2941B59F" w14:textId="77777777" w:rsidR="007A1663" w:rsidRPr="00AB21D4" w:rsidRDefault="008D5068" w:rsidP="00BE1161">
      <w:pPr>
        <w:spacing w:line="360" w:lineRule="auto"/>
        <w:rPr>
          <w:b/>
          <w:bCs/>
        </w:rPr>
      </w:pPr>
      <w:r w:rsidRPr="00AB21D4">
        <w:rPr>
          <w:b/>
          <w:bCs/>
        </w:rPr>
        <w:t>A.</w:t>
      </w:r>
      <w:r w:rsidRPr="00AB21D4">
        <w:rPr>
          <w:b/>
          <w:bCs/>
        </w:rPr>
        <w:tab/>
        <w:t xml:space="preserve">California Consumer </w:t>
      </w:r>
      <w:r w:rsidRPr="00AB21D4">
        <w:rPr>
          <w:b/>
          <w:bCs/>
        </w:rPr>
        <w:t xml:space="preserve">Credit </w:t>
      </w:r>
      <w:r w:rsidRPr="00AB21D4">
        <w:rPr>
          <w:b/>
          <w:bCs/>
        </w:rPr>
        <w:t>Protection Laws</w:t>
      </w:r>
    </w:p>
    <w:p w14:paraId="58E168FB" w14:textId="77777777" w:rsidR="00AB21D4" w:rsidRDefault="008D5068" w:rsidP="006F7292">
      <w:pPr>
        <w:spacing w:line="360" w:lineRule="auto"/>
      </w:pPr>
      <w:r>
        <w:tab/>
      </w:r>
      <w:r>
        <w:t xml:space="preserve">In 1975, the Legislature enacted a series of </w:t>
      </w:r>
      <w:r>
        <w:t xml:space="preserve">laws </w:t>
      </w:r>
      <w:r>
        <w:t xml:space="preserve">commencing with section 1799.90 designed to inform unsuspecting consumers of the consequences of cosigning </w:t>
      </w:r>
      <w:r>
        <w:t xml:space="preserve">consumer credit </w:t>
      </w:r>
      <w:r>
        <w:t xml:space="preserve">contracts for friends and family members.  </w:t>
      </w:r>
      <w:r w:rsidRPr="008F4045">
        <w:t>(See Stats. 19</w:t>
      </w:r>
      <w:r>
        <w:t>75</w:t>
      </w:r>
      <w:r w:rsidRPr="008F4045">
        <w:t>, ch. 847, §</w:t>
      </w:r>
      <w:r>
        <w:t>§</w:t>
      </w:r>
      <w:r w:rsidRPr="008F4045">
        <w:t xml:space="preserve"> 1</w:t>
      </w:r>
      <w:r>
        <w:t>, 2, pp. 1912–1914</w:t>
      </w:r>
      <w:r>
        <w:t>, operative April 1, 1976.)</w:t>
      </w:r>
      <w:r>
        <w:t xml:space="preserve">  </w:t>
      </w:r>
      <w:r>
        <w:t>Prior to the</w:t>
      </w:r>
      <w:r>
        <w:t xml:space="preserve"> enactment of these statutes, there were no provisions requiring creditors to </w:t>
      </w:r>
      <w:r>
        <w:t xml:space="preserve">notify such </w:t>
      </w:r>
      <w:r>
        <w:t>cosigner</w:t>
      </w:r>
      <w:r>
        <w:t>s</w:t>
      </w:r>
      <w:r>
        <w:t xml:space="preserve"> </w:t>
      </w:r>
      <w:r>
        <w:t xml:space="preserve">that they </w:t>
      </w:r>
      <w:r>
        <w:t>could</w:t>
      </w:r>
      <w:r>
        <w:t xml:space="preserve"> be </w:t>
      </w:r>
      <w:r>
        <w:t xml:space="preserve">held </w:t>
      </w:r>
      <w:r>
        <w:t xml:space="preserve">liable for </w:t>
      </w:r>
      <w:r>
        <w:t xml:space="preserve">the financial obligation on the contract even when they </w:t>
      </w:r>
      <w:r>
        <w:t xml:space="preserve">do not receive any of the goods or services that are the subject </w:t>
      </w:r>
      <w:r>
        <w:t xml:space="preserve">of the contract. </w:t>
      </w:r>
      <w:r w:rsidRPr="008F4045">
        <w:t>(</w:t>
      </w:r>
      <w:r>
        <w:t xml:space="preserve">See </w:t>
      </w:r>
      <w:r w:rsidRPr="008F4045">
        <w:t>Legis. Counsel</w:t>
      </w:r>
      <w:r>
        <w:t>’</w:t>
      </w:r>
      <w:r w:rsidRPr="008F4045">
        <w:t xml:space="preserve">s Dig., </w:t>
      </w:r>
      <w:r>
        <w:t>Sen</w:t>
      </w:r>
      <w:r w:rsidRPr="008F4045">
        <w:t xml:space="preserve">. Bill No. </w:t>
      </w:r>
      <w:r>
        <w:t>560</w:t>
      </w:r>
      <w:r w:rsidRPr="008F4045">
        <w:t xml:space="preserve"> (19</w:t>
      </w:r>
      <w:r>
        <w:t>75</w:t>
      </w:r>
      <w:r w:rsidRPr="008F4045">
        <w:t>–19</w:t>
      </w:r>
      <w:r>
        <w:t>76</w:t>
      </w:r>
      <w:r w:rsidRPr="008F4045">
        <w:t xml:space="preserve"> Reg. Sess.) Stats. 19</w:t>
      </w:r>
      <w:r>
        <w:t>75</w:t>
      </w:r>
      <w:r w:rsidRPr="008F4045">
        <w:t>, Summary Dig., p.</w:t>
      </w:r>
      <w:r>
        <w:t> </w:t>
      </w:r>
      <w:r w:rsidRPr="008F4045">
        <w:t>2</w:t>
      </w:r>
      <w:r>
        <w:t>14</w:t>
      </w:r>
      <w:r w:rsidRPr="008F4045">
        <w:t>.)</w:t>
      </w:r>
      <w:r>
        <w:t xml:space="preserve">  </w:t>
      </w:r>
    </w:p>
    <w:p w14:paraId="5A854551" w14:textId="77777777" w:rsidR="00171B47" w:rsidRDefault="008D5068" w:rsidP="005944AA">
      <w:pPr>
        <w:spacing w:line="360" w:lineRule="auto"/>
      </w:pPr>
      <w:r>
        <w:tab/>
      </w:r>
      <w:r>
        <w:t xml:space="preserve">Under </w:t>
      </w:r>
      <w:r>
        <w:t>the notice</w:t>
      </w:r>
      <w:r>
        <w:t xml:space="preserve"> </w:t>
      </w:r>
      <w:r>
        <w:t>provision</w:t>
      </w:r>
      <w:r>
        <w:t xml:space="preserve">, if a creditor obtains the signature of more than one person on a consumer credit contract, and the signatories are not married, the creditor must provide the </w:t>
      </w:r>
      <w:r>
        <w:t>cosigner</w:t>
      </w:r>
      <w:r>
        <w:t xml:space="preserve"> with a specified </w:t>
      </w:r>
      <w:r>
        <w:t>cosigner</w:t>
      </w:r>
      <w:r>
        <w:t xml:space="preserve"> notice.  </w:t>
      </w:r>
      <w:r>
        <w:t>S</w:t>
      </w:r>
      <w:r w:rsidRPr="004C7AC3">
        <w:t xml:space="preserve">ection 1799.91, subdivision (a) </w:t>
      </w:r>
      <w:r>
        <w:t>provides in relevan</w:t>
      </w:r>
      <w:r>
        <w:t xml:space="preserve">t part: </w:t>
      </w:r>
    </w:p>
    <w:p w14:paraId="45C10FFD" w14:textId="77777777" w:rsidR="006B04F6" w:rsidRPr="00461570" w:rsidRDefault="008D5068" w:rsidP="003B4A72">
      <w:pPr>
        <w:pStyle w:val="Quote"/>
        <w:spacing w:before="160" w:line="240" w:lineRule="auto"/>
        <w:ind w:left="1170" w:right="1530"/>
        <w:jc w:val="left"/>
        <w:rPr>
          <w:i w:val="0"/>
          <w:iCs w:val="0"/>
          <w:color w:val="auto"/>
        </w:rPr>
      </w:pPr>
      <w:r w:rsidRPr="00461570">
        <w:rPr>
          <w:i w:val="0"/>
          <w:iCs w:val="0"/>
          <w:color w:val="auto"/>
        </w:rPr>
        <w:t>“</w:t>
      </w:r>
      <w:r w:rsidRPr="00461570">
        <w:rPr>
          <w:i w:val="0"/>
          <w:iCs w:val="0"/>
          <w:color w:val="auto"/>
        </w:rPr>
        <w:t>Unless the persons are married to each other, each creditor who obtains the signature of more than one person on a consumer credit contract shall deliver to each person who does not in fact receive any of the money, property, or services which ar</w:t>
      </w:r>
      <w:r w:rsidRPr="00461570">
        <w:rPr>
          <w:i w:val="0"/>
          <w:iCs w:val="0"/>
          <w:color w:val="auto"/>
        </w:rPr>
        <w:t xml:space="preserve">e the subject matter of the consumer credit contract, prior to that person’s becoming obligated on the consumer credit contract, a notice in English and Spanish in at least 10-point type as follows:    </w:t>
      </w:r>
    </w:p>
    <w:p w14:paraId="1A8F3567" w14:textId="77777777" w:rsidR="002D0A88" w:rsidRPr="00461570" w:rsidRDefault="008D5068" w:rsidP="003B4A72">
      <w:pPr>
        <w:pStyle w:val="Quote"/>
        <w:spacing w:before="160" w:line="240" w:lineRule="auto"/>
        <w:ind w:left="1170" w:right="1530"/>
        <w:jc w:val="left"/>
        <w:rPr>
          <w:i w:val="0"/>
          <w:iCs w:val="0"/>
          <w:color w:val="auto"/>
        </w:rPr>
      </w:pPr>
      <w:r w:rsidRPr="00461570">
        <w:rPr>
          <w:i w:val="0"/>
          <w:iCs w:val="0"/>
          <w:color w:val="auto"/>
        </w:rPr>
        <w:t>“</w:t>
      </w:r>
      <w:r w:rsidRPr="00461570">
        <w:rPr>
          <w:i w:val="0"/>
          <w:iCs w:val="0"/>
          <w:color w:val="auto"/>
        </w:rPr>
        <w:t xml:space="preserve">NOTICE TO COSIGNER </w:t>
      </w:r>
      <w:r w:rsidRPr="00461570">
        <w:rPr>
          <w:i w:val="0"/>
          <w:iCs w:val="0"/>
          <w:color w:val="auto"/>
        </w:rPr>
        <w:t>. . .</w:t>
      </w:r>
    </w:p>
    <w:p w14:paraId="030077C1" w14:textId="77777777" w:rsidR="006B04F6" w:rsidRPr="00461570" w:rsidRDefault="008D5068" w:rsidP="003B4A72">
      <w:pPr>
        <w:pStyle w:val="Quote"/>
        <w:spacing w:before="160" w:line="240" w:lineRule="auto"/>
        <w:ind w:left="1170" w:right="1530"/>
        <w:jc w:val="left"/>
        <w:rPr>
          <w:i w:val="0"/>
          <w:iCs w:val="0"/>
          <w:color w:val="auto"/>
        </w:rPr>
      </w:pPr>
      <w:r w:rsidRPr="00461570">
        <w:rPr>
          <w:i w:val="0"/>
          <w:iCs w:val="0"/>
          <w:color w:val="auto"/>
        </w:rPr>
        <w:lastRenderedPageBreak/>
        <w:t>“</w:t>
      </w:r>
      <w:r w:rsidRPr="00461570">
        <w:rPr>
          <w:i w:val="0"/>
          <w:iCs w:val="0"/>
          <w:color w:val="auto"/>
        </w:rPr>
        <w:t>You are being asked to gua</w:t>
      </w:r>
      <w:r w:rsidRPr="00461570">
        <w:rPr>
          <w:i w:val="0"/>
          <w:iCs w:val="0"/>
          <w:color w:val="auto"/>
        </w:rPr>
        <w:t xml:space="preserve">rantee this debt.  Think carefully before you do.  If the borrower doesn’t pay the debt, you will have to.  Be sure you can afford to pay if you have to, and that you want to accept this responsibility.    </w:t>
      </w:r>
    </w:p>
    <w:p w14:paraId="43FED798" w14:textId="77777777" w:rsidR="006B04F6" w:rsidRPr="00461570" w:rsidRDefault="008D5068" w:rsidP="003B4A72">
      <w:pPr>
        <w:pStyle w:val="Quote"/>
        <w:spacing w:before="160" w:line="240" w:lineRule="auto"/>
        <w:ind w:left="1170" w:right="1530"/>
        <w:jc w:val="left"/>
        <w:rPr>
          <w:i w:val="0"/>
          <w:iCs w:val="0"/>
          <w:color w:val="auto"/>
        </w:rPr>
      </w:pPr>
      <w:r w:rsidRPr="00461570">
        <w:rPr>
          <w:i w:val="0"/>
          <w:iCs w:val="0"/>
          <w:color w:val="auto"/>
        </w:rPr>
        <w:t>“</w:t>
      </w:r>
      <w:r w:rsidRPr="00461570">
        <w:rPr>
          <w:i w:val="0"/>
          <w:iCs w:val="0"/>
          <w:color w:val="auto"/>
        </w:rPr>
        <w:t>You may have to pay up to the full amount of the</w:t>
      </w:r>
      <w:r w:rsidRPr="00461570">
        <w:rPr>
          <w:i w:val="0"/>
          <w:iCs w:val="0"/>
          <w:color w:val="auto"/>
        </w:rPr>
        <w:t xml:space="preserve"> debt if the borrower does not pay.  You may also have to pay late fees or collection costs, which increase this amount.    </w:t>
      </w:r>
    </w:p>
    <w:p w14:paraId="22A1A9B4" w14:textId="77777777" w:rsidR="006B04F6" w:rsidRPr="00461570" w:rsidRDefault="008D5068" w:rsidP="003B4A72">
      <w:pPr>
        <w:pStyle w:val="Quote"/>
        <w:spacing w:before="160" w:line="240" w:lineRule="auto"/>
        <w:ind w:left="1170" w:right="1530"/>
        <w:jc w:val="left"/>
        <w:rPr>
          <w:i w:val="0"/>
          <w:iCs w:val="0"/>
          <w:color w:val="auto"/>
        </w:rPr>
      </w:pPr>
      <w:r w:rsidRPr="00461570">
        <w:rPr>
          <w:i w:val="0"/>
          <w:iCs w:val="0"/>
          <w:color w:val="auto"/>
        </w:rPr>
        <w:t>“</w:t>
      </w:r>
      <w:r w:rsidRPr="00461570">
        <w:rPr>
          <w:i w:val="0"/>
          <w:iCs w:val="0"/>
          <w:color w:val="auto"/>
        </w:rPr>
        <w:t>The creditor can collect this debt from you without first trying to collect from the borrower.  The creditor can use the same coll</w:t>
      </w:r>
      <w:r w:rsidRPr="00461570">
        <w:rPr>
          <w:i w:val="0"/>
          <w:iCs w:val="0"/>
          <w:color w:val="auto"/>
        </w:rPr>
        <w:t xml:space="preserve">ection methods against you that can be used against the borrower, such as suing you, garnishing your wages, etc.  If this debt is ever in default, that fact may become a part of </w:t>
      </w:r>
      <w:r w:rsidRPr="00461570">
        <w:rPr>
          <w:color w:val="auto"/>
        </w:rPr>
        <w:t>your</w:t>
      </w:r>
      <w:r w:rsidRPr="00461570">
        <w:rPr>
          <w:i w:val="0"/>
          <w:iCs w:val="0"/>
          <w:color w:val="auto"/>
        </w:rPr>
        <w:t xml:space="preserve"> credit record.    </w:t>
      </w:r>
    </w:p>
    <w:p w14:paraId="2EF833CF" w14:textId="77777777" w:rsidR="005944AA" w:rsidRPr="00461570" w:rsidRDefault="008D5068" w:rsidP="003B4A72">
      <w:pPr>
        <w:pStyle w:val="Quote"/>
        <w:spacing w:before="160" w:line="240" w:lineRule="auto"/>
        <w:ind w:left="1170" w:right="1530"/>
        <w:jc w:val="left"/>
        <w:rPr>
          <w:i w:val="0"/>
          <w:iCs w:val="0"/>
          <w:color w:val="auto"/>
        </w:rPr>
      </w:pPr>
      <w:r w:rsidRPr="00461570">
        <w:rPr>
          <w:i w:val="0"/>
          <w:iCs w:val="0"/>
          <w:color w:val="auto"/>
        </w:rPr>
        <w:t>“This notice is not the contract that makes you liable</w:t>
      </w:r>
      <w:r w:rsidRPr="00461570">
        <w:rPr>
          <w:i w:val="0"/>
          <w:iCs w:val="0"/>
          <w:color w:val="auto"/>
        </w:rPr>
        <w:t xml:space="preserve"> for the debt.</w:t>
      </w:r>
      <w:r w:rsidRPr="00461570">
        <w:rPr>
          <w:i w:val="0"/>
          <w:iCs w:val="0"/>
          <w:color w:val="auto"/>
        </w:rPr>
        <w:t>”</w:t>
      </w:r>
    </w:p>
    <w:p w14:paraId="02E868BD" w14:textId="77777777" w:rsidR="005944AA" w:rsidRDefault="008D5068" w:rsidP="005944AA">
      <w:pPr>
        <w:spacing w:line="360" w:lineRule="auto"/>
      </w:pPr>
      <w:r>
        <w:tab/>
      </w:r>
      <w:r w:rsidRPr="007B3FC9">
        <w:t xml:space="preserve">If the </w:t>
      </w:r>
      <w:r>
        <w:t xml:space="preserve">required </w:t>
      </w:r>
      <w:r w:rsidRPr="00461570">
        <w:t>cosigner</w:t>
      </w:r>
      <w:r w:rsidRPr="007B3FC9">
        <w:t xml:space="preserve"> notice is not given, the creditor may not enforce any resulting security interest</w:t>
      </w:r>
      <w:r>
        <w:t xml:space="preserve"> against the </w:t>
      </w:r>
      <w:r>
        <w:t>cosigner</w:t>
      </w:r>
      <w:r w:rsidRPr="007B3FC9">
        <w:t xml:space="preserve">. </w:t>
      </w:r>
      <w:r>
        <w:t xml:space="preserve"> </w:t>
      </w:r>
      <w:r w:rsidRPr="007B3FC9">
        <w:t>(§ 1799.95</w:t>
      </w:r>
      <w:r>
        <w:t xml:space="preserve"> </w:t>
      </w:r>
      <w:r>
        <w:t>[“</w:t>
      </w:r>
      <w:r w:rsidRPr="004C7AC3">
        <w:t xml:space="preserve">No action shall be brought, nor shall any security interest be enforced, by any creditor or </w:t>
      </w:r>
      <w:r w:rsidRPr="004C7AC3">
        <w:t>any assignee of a creditor on any consumer credit contract which fails to comply with this title against any person, however designated, who is entitled to notice under Section 1799.91 and who does not in fact receive any of the money, property or services</w:t>
      </w:r>
      <w:r w:rsidRPr="004C7AC3">
        <w:t xml:space="preserve"> which are the subject matter of the consumer credit contract.</w:t>
      </w:r>
      <w:r>
        <w:t>”</w:t>
      </w:r>
      <w:r>
        <w:t xml:space="preserve">].)  </w:t>
      </w:r>
    </w:p>
    <w:p w14:paraId="2906DAA7" w14:textId="77777777" w:rsidR="006F7292" w:rsidRDefault="008D5068" w:rsidP="006F7292">
      <w:pPr>
        <w:spacing w:line="360" w:lineRule="auto"/>
      </w:pPr>
      <w:r>
        <w:tab/>
      </w:r>
      <w:r>
        <w:t xml:space="preserve">The </w:t>
      </w:r>
      <w:r>
        <w:t>cosigner</w:t>
      </w:r>
      <w:r>
        <w:t xml:space="preserve"> </w:t>
      </w:r>
      <w:r>
        <w:t>provisions</w:t>
      </w:r>
      <w:r>
        <w:t xml:space="preserve"> apply to </w:t>
      </w:r>
      <w:r>
        <w:t xml:space="preserve">any </w:t>
      </w:r>
      <w:r>
        <w:t>“</w:t>
      </w:r>
      <w:r>
        <w:t> ‘C</w:t>
      </w:r>
      <w:r>
        <w:t xml:space="preserve">onsumer </w:t>
      </w:r>
      <w:r>
        <w:t xml:space="preserve">credit </w:t>
      </w:r>
      <w:r>
        <w:t>contract</w:t>
      </w:r>
      <w:r>
        <w:t>,</w:t>
      </w:r>
      <w:r>
        <w:t>’ </w:t>
      </w:r>
      <w:r>
        <w:t>”</w:t>
      </w:r>
      <w:r>
        <w:t xml:space="preserve"> </w:t>
      </w:r>
      <w:r>
        <w:t xml:space="preserve">defined </w:t>
      </w:r>
      <w:r>
        <w:t xml:space="preserve">in </w:t>
      </w:r>
      <w:r>
        <w:t xml:space="preserve">the </w:t>
      </w:r>
      <w:r>
        <w:t xml:space="preserve">statute </w:t>
      </w:r>
      <w:r>
        <w:t xml:space="preserve">as </w:t>
      </w:r>
      <w:r>
        <w:t xml:space="preserve">an “obligation[] </w:t>
      </w:r>
      <w:r w:rsidRPr="006A608D">
        <w:t>to pay money on a deferred payment basis, where the money, property, servi</w:t>
      </w:r>
      <w:r w:rsidRPr="006A608D">
        <w:t>ces or other consideration which is the subject matter of the contract is primarily for personal, family or household purposes</w:t>
      </w:r>
      <w:r>
        <w:t>”</w:t>
      </w:r>
      <w:r>
        <w:t xml:space="preserve"> and the obligation falls within </w:t>
      </w:r>
      <w:r>
        <w:t>any</w:t>
      </w:r>
      <w:r>
        <w:t xml:space="preserve"> of six </w:t>
      </w:r>
      <w:r>
        <w:t xml:space="preserve">broad </w:t>
      </w:r>
      <w:r>
        <w:t>categories</w:t>
      </w:r>
      <w:r>
        <w:t xml:space="preserve">: (1) </w:t>
      </w:r>
      <w:r>
        <w:t>retail installment contracts</w:t>
      </w:r>
      <w:r>
        <w:t xml:space="preserve">; (2) retail installment accounts; </w:t>
      </w:r>
      <w:r>
        <w:t xml:space="preserve">(3) </w:t>
      </w:r>
      <w:r>
        <w:t xml:space="preserve">conditional sales </w:t>
      </w:r>
      <w:r>
        <w:lastRenderedPageBreak/>
        <w:t>contracts</w:t>
      </w:r>
      <w:r>
        <w:t xml:space="preserve">; (4) </w:t>
      </w:r>
      <w:r>
        <w:t>loans or extensions of credit secured by other than real property or unsecured</w:t>
      </w:r>
      <w:r>
        <w:t xml:space="preserve">; (5) loans or extensions of credit </w:t>
      </w:r>
      <w:r>
        <w:t xml:space="preserve">that are subject to </w:t>
      </w:r>
      <w:r>
        <w:t xml:space="preserve">certain Business and Professions Code provisions related to real property loans; and </w:t>
      </w:r>
      <w:r>
        <w:t xml:space="preserve">(6) </w:t>
      </w:r>
      <w:r>
        <w:t>lease</w:t>
      </w:r>
      <w:r>
        <w:t xml:space="preserve"> contracts. </w:t>
      </w:r>
      <w:r>
        <w:t xml:space="preserve"> </w:t>
      </w:r>
      <w:r>
        <w:t>(§ 1799.90, subd. (a)</w:t>
      </w:r>
      <w:r>
        <w:t>.</w:t>
      </w:r>
      <w:r>
        <w:t xml:space="preserve">)  </w:t>
      </w:r>
      <w:r>
        <w:t xml:space="preserve">California’s </w:t>
      </w:r>
      <w:r>
        <w:t>cosigner</w:t>
      </w:r>
      <w:r>
        <w:t xml:space="preserve"> notice protections apply across </w:t>
      </w:r>
      <w:r>
        <w:t xml:space="preserve">a wide </w:t>
      </w:r>
      <w:r>
        <w:t>array</w:t>
      </w:r>
      <w:r>
        <w:t xml:space="preserve"> of </w:t>
      </w:r>
      <w:r>
        <w:t xml:space="preserve">consumer credit contracts and </w:t>
      </w:r>
      <w:r>
        <w:t xml:space="preserve">“should be liberally construed to promote that protection, if such a construction does not </w:t>
      </w:r>
      <w:r>
        <w:t>contradict the plain language of the statute or lead to absurd results.”  (</w:t>
      </w:r>
      <w:r w:rsidRPr="00D31F22">
        <w:rPr>
          <w:i/>
          <w:iCs/>
        </w:rPr>
        <w:t>Garver v. Brace</w:t>
      </w:r>
      <w:r>
        <w:t xml:space="preserve"> (1996) 47 Cal.App.4th 995, 1002</w:t>
      </w:r>
      <w:r>
        <w:t xml:space="preserve">; see also </w:t>
      </w:r>
      <w:r w:rsidRPr="003B4A72">
        <w:rPr>
          <w:i/>
          <w:iCs/>
        </w:rPr>
        <w:t>Maldonado v. Fast Auto Loans, Inc</w:t>
      </w:r>
      <w:r w:rsidRPr="003B4A72">
        <w:rPr>
          <w:i/>
          <w:iCs/>
        </w:rPr>
        <w:t>.</w:t>
      </w:r>
      <w:r>
        <w:t xml:space="preserve"> (2021) </w:t>
      </w:r>
      <w:r>
        <w:t>60 Cal.App.5th 710</w:t>
      </w:r>
      <w:r>
        <w:t xml:space="preserve">, </w:t>
      </w:r>
      <w:r>
        <w:t xml:space="preserve">721 </w:t>
      </w:r>
      <w:r>
        <w:t>[</w:t>
      </w:r>
      <w:r>
        <w:t>“</w:t>
      </w:r>
      <w:r w:rsidRPr="001D7E12">
        <w:t>California</w:t>
      </w:r>
      <w:r>
        <w:t>’</w:t>
      </w:r>
      <w:r w:rsidRPr="001D7E12">
        <w:t>s consumer protection laws must be liberally</w:t>
      </w:r>
      <w:r w:rsidRPr="001D7E12">
        <w:t>, not narrowly, applied</w:t>
      </w:r>
      <w:r>
        <w:t>.”</w:t>
      </w:r>
      <w:r>
        <w:t>].</w:t>
      </w:r>
      <w:r>
        <w:t xml:space="preserve">)  </w:t>
      </w:r>
      <w:r>
        <w:t xml:space="preserve">  </w:t>
      </w:r>
    </w:p>
    <w:p w14:paraId="06FEF0CC" w14:textId="77777777" w:rsidR="00BE1161" w:rsidRPr="00AB21D4" w:rsidRDefault="008D5068" w:rsidP="00BE1161">
      <w:pPr>
        <w:spacing w:line="360" w:lineRule="auto"/>
        <w:rPr>
          <w:b/>
          <w:bCs/>
        </w:rPr>
      </w:pPr>
      <w:r w:rsidRPr="00AB21D4">
        <w:rPr>
          <w:b/>
          <w:bCs/>
        </w:rPr>
        <w:t>B.</w:t>
      </w:r>
      <w:r w:rsidRPr="00AB21D4">
        <w:rPr>
          <w:b/>
          <w:bCs/>
        </w:rPr>
        <w:tab/>
      </w:r>
      <w:r w:rsidRPr="00AB21D4">
        <w:rPr>
          <w:b/>
          <w:bCs/>
        </w:rPr>
        <w:t xml:space="preserve">Bail Bond </w:t>
      </w:r>
      <w:r w:rsidRPr="00AB21D4">
        <w:rPr>
          <w:b/>
          <w:bCs/>
        </w:rPr>
        <w:t>Contracts</w:t>
      </w:r>
      <w:r w:rsidRPr="00AB21D4">
        <w:rPr>
          <w:b/>
          <w:bCs/>
        </w:rPr>
        <w:t xml:space="preserve"> and Statutory </w:t>
      </w:r>
      <w:r>
        <w:rPr>
          <w:b/>
          <w:bCs/>
        </w:rPr>
        <w:t>Scheme</w:t>
      </w:r>
      <w:r w:rsidRPr="00AB21D4">
        <w:rPr>
          <w:b/>
          <w:bCs/>
        </w:rPr>
        <w:t xml:space="preserve"> </w:t>
      </w:r>
    </w:p>
    <w:p w14:paraId="7D686818" w14:textId="77777777" w:rsidR="00AB0477" w:rsidRDefault="008D5068" w:rsidP="00AB21D4">
      <w:pPr>
        <w:spacing w:line="360" w:lineRule="auto"/>
      </w:pPr>
      <w:r>
        <w:tab/>
        <w:t xml:space="preserve">“While bail bond proceedings occur in connection with criminal prosecutions, they are independent from and collateral to the prosecutions and are civil in nature.  </w:t>
      </w:r>
      <w:r>
        <w:t>[Citation.]  ‘The object of bail and its forfeiture is to insure the attendance of the accused and his [or her] obedience to the orders and judgment of the court.’</w:t>
      </w:r>
      <w:r>
        <w:t> </w:t>
      </w:r>
      <w:r>
        <w:t>”  (</w:t>
      </w:r>
      <w:r>
        <w:rPr>
          <w:i/>
          <w:iCs/>
        </w:rPr>
        <w:t>People v. American Contractors Indemnity Co.</w:t>
      </w:r>
      <w:r>
        <w:t xml:space="preserve"> (2004) 33 Cal.4th 653, 657.)  </w:t>
      </w:r>
    </w:p>
    <w:p w14:paraId="296E6472" w14:textId="77777777" w:rsidR="00AB21D4" w:rsidRDefault="008D5068" w:rsidP="00AB21D4">
      <w:pPr>
        <w:spacing w:line="360" w:lineRule="auto"/>
      </w:pPr>
      <w:r>
        <w:tab/>
        <w:t>The bail bo</w:t>
      </w:r>
      <w:r>
        <w:t>nd transaction “</w:t>
      </w:r>
      <w:r w:rsidRPr="0013111D">
        <w:t xml:space="preserve">is a function of </w:t>
      </w:r>
      <w:r>
        <w:t>‘</w:t>
      </w:r>
      <w:r w:rsidRPr="0013111D">
        <w:t>two different contracts between three different parties</w:t>
      </w:r>
      <w:r>
        <w:t>’</w:t>
      </w:r>
      <w:r w:rsidRPr="0013111D">
        <w:t>—namely, (1) a contract between a criminal defendant and a surety under which the surety posts a bail bond in exchange for the defendant</w:t>
      </w:r>
      <w:r>
        <w:t>’</w:t>
      </w:r>
      <w:r w:rsidRPr="0013111D">
        <w:t xml:space="preserve">s payment of a premium and his </w:t>
      </w:r>
      <w:r>
        <w:t xml:space="preserve">[or her] </w:t>
      </w:r>
      <w:r w:rsidRPr="0013111D">
        <w:t xml:space="preserve">promise to pay the full amount of the bond in the event of his </w:t>
      </w:r>
      <w:r>
        <w:t xml:space="preserve">[or her] </w:t>
      </w:r>
      <w:r w:rsidRPr="0013111D">
        <w:t xml:space="preserve">nonappearance, and (2) a contract between the surety and the People under which the surety </w:t>
      </w:r>
      <w:r>
        <w:t xml:space="preserve">‘ </w:t>
      </w:r>
      <w:r w:rsidRPr="0013111D">
        <w:t>“ ‘ “act[s] as a guarantor of the defendant</w:t>
      </w:r>
      <w:r>
        <w:t>’</w:t>
      </w:r>
      <w:r w:rsidRPr="0013111D">
        <w:t>s appea</w:t>
      </w:r>
      <w:r w:rsidRPr="0013111D">
        <w:t>rance in court under risk of forfeiture of the bond.</w:t>
      </w:r>
      <w:r>
        <w:t xml:space="preserve">” </w:t>
      </w:r>
      <w:r w:rsidRPr="0013111D">
        <w:t>’ ”</w:t>
      </w:r>
      <w:r>
        <w:t> </w:t>
      </w:r>
      <w:r w:rsidRPr="0013111D">
        <w:t>’</w:t>
      </w:r>
      <w:r>
        <w:t> </w:t>
      </w:r>
      <w:r>
        <w:t>”  (</w:t>
      </w:r>
      <w:r w:rsidRPr="00722DC1">
        <w:rPr>
          <w:i/>
          <w:iCs/>
        </w:rPr>
        <w:t xml:space="preserve">People v. </w:t>
      </w:r>
      <w:r>
        <w:rPr>
          <w:i/>
          <w:iCs/>
        </w:rPr>
        <w:t xml:space="preserve">The </w:t>
      </w:r>
      <w:r w:rsidRPr="00722DC1">
        <w:rPr>
          <w:i/>
          <w:iCs/>
        </w:rPr>
        <w:t xml:space="preserve">North River </w:t>
      </w:r>
      <w:r w:rsidRPr="00722DC1">
        <w:rPr>
          <w:i/>
          <w:iCs/>
        </w:rPr>
        <w:t>Ins</w:t>
      </w:r>
      <w:r>
        <w:rPr>
          <w:i/>
          <w:iCs/>
        </w:rPr>
        <w:t>.</w:t>
      </w:r>
      <w:r w:rsidRPr="00722DC1">
        <w:rPr>
          <w:i/>
          <w:iCs/>
        </w:rPr>
        <w:t xml:space="preserve"> </w:t>
      </w:r>
      <w:r w:rsidRPr="00722DC1">
        <w:rPr>
          <w:i/>
          <w:iCs/>
        </w:rPr>
        <w:t>Co</w:t>
      </w:r>
      <w:r>
        <w:t xml:space="preserve">. (2020) 48 Cal.App.5th 226, 235.)  If the defendant fails to appear, the surety becomes the </w:t>
      </w:r>
      <w:r>
        <w:t xml:space="preserve">state’s </w:t>
      </w:r>
      <w:r>
        <w:lastRenderedPageBreak/>
        <w:t>absolute debtor for the full amount of the bond.  (</w:t>
      </w:r>
      <w:r>
        <w:rPr>
          <w:i/>
          <w:iCs/>
        </w:rPr>
        <w:t xml:space="preserve">People </w:t>
      </w:r>
      <w:r>
        <w:rPr>
          <w:i/>
          <w:iCs/>
        </w:rPr>
        <w:t>v. Financial Casualty &amp; Surety, Inc.</w:t>
      </w:r>
      <w:r>
        <w:t xml:space="preserve"> (2019) </w:t>
      </w:r>
      <w:r w:rsidRPr="00B21C1D">
        <w:t>39 Cal.App.5th 1213</w:t>
      </w:r>
      <w:r>
        <w:t xml:space="preserve">, 1225; see also </w:t>
      </w:r>
      <w:r>
        <w:rPr>
          <w:i/>
          <w:iCs/>
        </w:rPr>
        <w:t>People v. Ranger Ins. Co.</w:t>
      </w:r>
      <w:r>
        <w:t xml:space="preserve"> (1994) 31 Cal.App.4th 13, 22.)  </w:t>
      </w:r>
    </w:p>
    <w:p w14:paraId="0B10297B" w14:textId="77777777" w:rsidR="00AB21D4" w:rsidRDefault="008D5068" w:rsidP="00AB21D4">
      <w:pPr>
        <w:spacing w:line="360" w:lineRule="auto"/>
      </w:pPr>
      <w:r>
        <w:tab/>
      </w:r>
      <w:r>
        <w:t xml:space="preserve">This appeal </w:t>
      </w:r>
      <w:r>
        <w:t>raises</w:t>
      </w:r>
      <w:r>
        <w:t xml:space="preserve"> questions about a third </w:t>
      </w:r>
      <w:r>
        <w:t>contract</w:t>
      </w:r>
      <w:r>
        <w:t xml:space="preserve"> </w:t>
      </w:r>
      <w:r>
        <w:t xml:space="preserve">not previously </w:t>
      </w:r>
      <w:r>
        <w:t>addressed</w:t>
      </w:r>
      <w:r>
        <w:t xml:space="preserve"> by the above authorities</w:t>
      </w:r>
      <w:r>
        <w:t>—bond premium f</w:t>
      </w:r>
      <w:r>
        <w:t>inancing agreement</w:t>
      </w:r>
      <w:r>
        <w:t>s</w:t>
      </w:r>
      <w:r>
        <w:t xml:space="preserve"> </w:t>
      </w:r>
      <w:r>
        <w:t>between a</w:t>
      </w:r>
      <w:r>
        <w:t xml:space="preserve">n arrestee </w:t>
      </w:r>
      <w:r>
        <w:t xml:space="preserve">(or </w:t>
      </w:r>
      <w:r>
        <w:t>cosigner</w:t>
      </w:r>
      <w:r>
        <w:t>) and the bail bond agent</w:t>
      </w:r>
      <w:r>
        <w:t xml:space="preserve"> to finance the payment of the premium</w:t>
      </w:r>
      <w:r>
        <w:t xml:space="preserve">.  </w:t>
      </w:r>
      <w:r>
        <w:t xml:space="preserve">A bail bond is </w:t>
      </w:r>
      <w:r>
        <w:t xml:space="preserve">generally </w:t>
      </w:r>
      <w:r>
        <w:t>arranged by a bail agent who acts on behalf of the surety company.  The client (the arrestee and/or a friend or f</w:t>
      </w:r>
      <w:r>
        <w:t xml:space="preserve">amily member) utilizes the services of the bail agent to secure the undertaking of bail and the arrestee’s release from detention.  The bail agent charges the client the bail premium, which is normally set at 10 percent of the cash bail amount.  This bail </w:t>
      </w:r>
      <w:r>
        <w:t xml:space="preserve">premium is </w:t>
      </w:r>
      <w:r>
        <w:t xml:space="preserve">typically </w:t>
      </w:r>
      <w:r>
        <w:t>nonrefundable.</w:t>
      </w:r>
      <w:r>
        <w:rPr>
          <w:rStyle w:val="FootnoteReference"/>
        </w:rPr>
        <w:footnoteReference w:id="2"/>
      </w:r>
      <w:r>
        <w:t xml:space="preserve">  If the client cannot afford to pay the full bail premium amount, the bail agent may offer to arrange for </w:t>
      </w:r>
      <w:r>
        <w:t>installment</w:t>
      </w:r>
      <w:r>
        <w:t xml:space="preserve"> </w:t>
      </w:r>
      <w:r>
        <w:t>payments to be made over time</w:t>
      </w:r>
      <w:r>
        <w:t xml:space="preserve"> until the debt is </w:t>
      </w:r>
      <w:r>
        <w:t>paid off</w:t>
      </w:r>
      <w:r>
        <w:t xml:space="preserve">.  </w:t>
      </w:r>
    </w:p>
    <w:p w14:paraId="061412C7" w14:textId="77777777" w:rsidR="0061277D" w:rsidRPr="004E76E3" w:rsidRDefault="008D5068" w:rsidP="0061277D">
      <w:pPr>
        <w:spacing w:line="360" w:lineRule="auto"/>
      </w:pPr>
      <w:r>
        <w:rPr>
          <w:b/>
          <w:bCs/>
        </w:rPr>
        <w:tab/>
      </w:r>
      <w:r>
        <w:t xml:space="preserve">The bail bond industry is regulated under the Bail Bond Regulatory Act (Ins. Code, § 1800 et seq.).  </w:t>
      </w:r>
      <w:r w:rsidRPr="004E76E3">
        <w:t xml:space="preserve">The </w:t>
      </w:r>
      <w:r w:rsidRPr="004E76E3">
        <w:t>law</w:t>
      </w:r>
      <w:r w:rsidRPr="004E76E3">
        <w:t xml:space="preserve"> </w:t>
      </w:r>
      <w:r w:rsidRPr="004E76E3">
        <w:t xml:space="preserve">regulates </w:t>
      </w:r>
      <w:r w:rsidRPr="004E76E3">
        <w:t xml:space="preserve">the licensing and conduct </w:t>
      </w:r>
      <w:r w:rsidRPr="004E76E3">
        <w:t xml:space="preserve">of bail bond agents and surety insurers.  (See </w:t>
      </w:r>
      <w:r w:rsidRPr="004E76E3">
        <w:rPr>
          <w:i/>
          <w:iCs/>
        </w:rPr>
        <w:t>McDonough v. Goodcell</w:t>
      </w:r>
      <w:r w:rsidRPr="004E76E3">
        <w:t xml:space="preserve"> (1939) 13</w:t>
      </w:r>
      <w:r>
        <w:t> </w:t>
      </w:r>
      <w:r w:rsidRPr="004E76E3">
        <w:t>Cal.2d 741, 7</w:t>
      </w:r>
      <w:r w:rsidRPr="004E76E3">
        <w:t>43</w:t>
      </w:r>
      <w:r w:rsidRPr="004E76E3">
        <w:t>–</w:t>
      </w:r>
      <w:r w:rsidRPr="004E76E3">
        <w:t>744.)  “Surety i</w:t>
      </w:r>
      <w:r w:rsidRPr="004E76E3">
        <w:t>nsurers are required by law to execute bail undertakings through licensed bail agents (bail bondsmen), and only such licensees may post bail.”  (</w:t>
      </w:r>
      <w:r w:rsidRPr="004E76E3">
        <w:rPr>
          <w:i/>
          <w:iCs/>
        </w:rPr>
        <w:t>Taylor v. Financial Casualty &amp; Surety, Inc.</w:t>
      </w:r>
      <w:r w:rsidRPr="004E76E3">
        <w:t xml:space="preserve"> (2021) 67 Cal.App.5th 966, 989</w:t>
      </w:r>
      <w:r w:rsidRPr="004E76E3">
        <w:t>–</w:t>
      </w:r>
      <w:r w:rsidRPr="004E76E3">
        <w:t xml:space="preserve">990.)  </w:t>
      </w:r>
    </w:p>
    <w:p w14:paraId="4B210D85" w14:textId="77777777" w:rsidR="00580635" w:rsidRPr="003C0BC6" w:rsidRDefault="008D5068" w:rsidP="008F1E36">
      <w:pPr>
        <w:widowControl w:val="0"/>
        <w:spacing w:line="360" w:lineRule="auto"/>
      </w:pPr>
      <w:r w:rsidRPr="004E76E3">
        <w:tab/>
        <w:t>Insurance Code section 1812</w:t>
      </w:r>
      <w:r w:rsidRPr="004E76E3">
        <w:t xml:space="preserve"> authorizes the </w:t>
      </w:r>
      <w:r w:rsidRPr="004E76E3">
        <w:t xml:space="preserve">Insurance </w:t>
      </w:r>
      <w:r w:rsidRPr="004E76E3">
        <w:t xml:space="preserve">Commissioner to </w:t>
      </w:r>
      <w:r w:rsidRPr="004E76E3">
        <w:t xml:space="preserve">promulgate </w:t>
      </w:r>
      <w:r w:rsidRPr="004E76E3">
        <w:t>reasonable rules for the “administration and enforcement</w:t>
      </w:r>
      <w:r w:rsidRPr="004E76E3">
        <w:t>”</w:t>
      </w:r>
      <w:r w:rsidRPr="004E76E3">
        <w:t xml:space="preserve"> of the </w:t>
      </w:r>
      <w:r w:rsidRPr="004E76E3">
        <w:lastRenderedPageBreak/>
        <w:t>statutory scheme.</w:t>
      </w:r>
      <w:r w:rsidRPr="004E76E3">
        <w:t xml:space="preserve"> </w:t>
      </w:r>
      <w:r w:rsidRPr="004E76E3">
        <w:t xml:space="preserve"> </w:t>
      </w:r>
      <w:r w:rsidRPr="004E76E3">
        <w:t>The Department of Insurance (Department) issue</w:t>
      </w:r>
      <w:r w:rsidRPr="004E76E3">
        <w:t>s</w:t>
      </w:r>
      <w:r w:rsidRPr="004E76E3">
        <w:t xml:space="preserve"> regulations that supplement the statutory scheme.  (See Cal. Code Regs.</w:t>
      </w:r>
      <w:r w:rsidRPr="004E76E3">
        <w:t>, tit.</w:t>
      </w:r>
      <w:r w:rsidRPr="004E76E3">
        <w:t> </w:t>
      </w:r>
      <w:r w:rsidRPr="004E76E3">
        <w:t>10, § 2053 et seq.)  These regulations address bail licensing requirements (</w:t>
      </w:r>
      <w:r w:rsidRPr="004E76E3">
        <w:rPr>
          <w:i/>
          <w:iCs/>
        </w:rPr>
        <w:t>id.</w:t>
      </w:r>
      <w:r w:rsidRPr="004E76E3">
        <w:t>,</w:t>
      </w:r>
      <w:r w:rsidRPr="004E76E3">
        <w:t xml:space="preserve"> §§ 2055</w:t>
      </w:r>
      <w:r w:rsidRPr="004E76E3">
        <w:t>–</w:t>
      </w:r>
      <w:r w:rsidRPr="004E76E3">
        <w:t>2059), the conduct of bail licensees (</w:t>
      </w:r>
      <w:r w:rsidRPr="004E76E3">
        <w:rPr>
          <w:i/>
          <w:iCs/>
        </w:rPr>
        <w:t>id.</w:t>
      </w:r>
      <w:r w:rsidRPr="004E76E3">
        <w:t>,</w:t>
      </w:r>
      <w:r w:rsidRPr="004E76E3">
        <w:t xml:space="preserve"> §§</w:t>
      </w:r>
      <w:r w:rsidRPr="004E76E3">
        <w:t> </w:t>
      </w:r>
      <w:r w:rsidRPr="004E76E3">
        <w:t>2064</w:t>
      </w:r>
      <w:r w:rsidRPr="004E76E3">
        <w:t>–</w:t>
      </w:r>
      <w:r w:rsidRPr="004E76E3">
        <w:t>2092), and the filings, statements, and rec</w:t>
      </w:r>
      <w:r>
        <w:t>ords that bail licensees must maintain in connection with bail tra</w:t>
      </w:r>
      <w:r>
        <w:t>nsactions (</w:t>
      </w:r>
      <w:r>
        <w:rPr>
          <w:i/>
          <w:iCs/>
        </w:rPr>
        <w:t>i</w:t>
      </w:r>
      <w:r w:rsidRPr="00042CFF">
        <w:rPr>
          <w:i/>
          <w:iCs/>
        </w:rPr>
        <w:t>d</w:t>
      </w:r>
      <w:r>
        <w:t>.</w:t>
      </w:r>
      <w:r>
        <w:t>,</w:t>
      </w:r>
      <w:r>
        <w:t xml:space="preserve"> §§ 2094</w:t>
      </w:r>
      <w:r>
        <w:t>–</w:t>
      </w:r>
      <w:r>
        <w:t>2104</w:t>
      </w:r>
      <w:r>
        <w:t>)</w:t>
      </w:r>
      <w:r>
        <w:t xml:space="preserve">.  </w:t>
      </w:r>
    </w:p>
    <w:p w14:paraId="4E108E1E" w14:textId="77777777" w:rsidR="00C85A72" w:rsidRPr="007B3FC9" w:rsidRDefault="008D5068" w:rsidP="007B3FC9">
      <w:pPr>
        <w:spacing w:line="360" w:lineRule="auto"/>
        <w:jc w:val="center"/>
        <w:rPr>
          <w:b/>
          <w:bCs/>
        </w:rPr>
      </w:pPr>
      <w:r>
        <w:rPr>
          <w:b/>
          <w:bCs/>
        </w:rPr>
        <w:t>II</w:t>
      </w:r>
      <w:r>
        <w:rPr>
          <w:b/>
          <w:bCs/>
        </w:rPr>
        <w:t>I</w:t>
      </w:r>
      <w:r>
        <w:rPr>
          <w:b/>
          <w:bCs/>
        </w:rPr>
        <w:t xml:space="preserve">.  </w:t>
      </w:r>
      <w:r w:rsidRPr="007B3FC9">
        <w:rPr>
          <w:b/>
          <w:bCs/>
        </w:rPr>
        <w:t>DISCUSSION</w:t>
      </w:r>
    </w:p>
    <w:p w14:paraId="6C28F6D4" w14:textId="77777777" w:rsidR="00083B14" w:rsidRPr="00083B14" w:rsidRDefault="008D5068" w:rsidP="00083B14">
      <w:pPr>
        <w:spacing w:line="360" w:lineRule="auto"/>
        <w:rPr>
          <w:b/>
          <w:bCs/>
        </w:rPr>
      </w:pPr>
      <w:r w:rsidRPr="00083B14">
        <w:rPr>
          <w:b/>
          <w:bCs/>
        </w:rPr>
        <w:t>A.</w:t>
      </w:r>
      <w:r>
        <w:rPr>
          <w:b/>
          <w:bCs/>
        </w:rPr>
        <w:tab/>
      </w:r>
      <w:r w:rsidRPr="00083B14">
        <w:rPr>
          <w:b/>
          <w:bCs/>
        </w:rPr>
        <w:t>Standard of Review</w:t>
      </w:r>
    </w:p>
    <w:p w14:paraId="7A920C5D" w14:textId="77777777" w:rsidR="00083B14" w:rsidRDefault="008D5068" w:rsidP="00083B14">
      <w:pPr>
        <w:spacing w:line="360" w:lineRule="auto"/>
      </w:pPr>
      <w:r>
        <w:tab/>
        <w:t xml:space="preserve">“ ‘Pursuant to long-standing Supreme Court case law, “trial courts should evaluate two interrelated factors when deciding whether or not to issue a preliminary injunction.  The </w:t>
      </w:r>
      <w:r>
        <w:t>first is the likelihood that the plaintiff will prevail on the merits at trial.  The second is the interim harm that the plaintiff is likely to sustain if the injunction were denied as compared to the harm that the defendant is likely to suffer if the prel</w:t>
      </w:r>
      <w:r>
        <w:t>iminary injunction were issued.”  [Citation.]  We review a trial court’s application of these factors for abuse of discretion.’</w:t>
      </w:r>
      <w:r>
        <w:t> </w:t>
      </w:r>
      <w:r>
        <w:t>”  (</w:t>
      </w:r>
      <w:r w:rsidRPr="00083B14">
        <w:rPr>
          <w:i/>
          <w:iCs/>
        </w:rPr>
        <w:t>Urgent Care Medical Services v. City of Pasadena</w:t>
      </w:r>
      <w:r>
        <w:t xml:space="preserve"> (2018) 21 Cal.App.5th 1086, 1092.)  The party challenging the injunction ha</w:t>
      </w:r>
      <w:r>
        <w:t>s the burden to make a clear showing of an abuse of discretion, and “[a] trial court will be found to have abused its discretion only when it has ‘ “exceeded the bounds of reason or contravened the uncontradicted evidence.” ’</w:t>
      </w:r>
      <w:r>
        <w:t> </w:t>
      </w:r>
      <w:r>
        <w:t>”  (</w:t>
      </w:r>
      <w:r w:rsidRPr="00083B14">
        <w:rPr>
          <w:i/>
          <w:iCs/>
        </w:rPr>
        <w:t>IT Corp. v. County of Impe</w:t>
      </w:r>
      <w:r w:rsidRPr="00083B14">
        <w:rPr>
          <w:i/>
          <w:iCs/>
        </w:rPr>
        <w:t>rial</w:t>
      </w:r>
      <w:r>
        <w:t xml:space="preserve"> (1983) 35 Cal.3d 63, 69.)</w:t>
      </w:r>
    </w:p>
    <w:p w14:paraId="4FF1349C" w14:textId="77777777" w:rsidR="00CC2648" w:rsidRDefault="008D5068" w:rsidP="00083B14">
      <w:pPr>
        <w:spacing w:line="360" w:lineRule="auto"/>
      </w:pPr>
      <w:r>
        <w:tab/>
        <w:t>“</w:t>
      </w:r>
      <w:r>
        <w:t>[Q]</w:t>
      </w:r>
      <w:r>
        <w:t>uestions underlying the preliminary injunction are reviewed under the appropriate standard of review.  Thus, for example, issues of fact are subject to review under the substantial evidence standard; issues of pure law a</w:t>
      </w:r>
      <w:r>
        <w:t>re subject to independent review.”  (</w:t>
      </w:r>
      <w:r w:rsidRPr="00AF09A0">
        <w:rPr>
          <w:i/>
          <w:iCs/>
        </w:rPr>
        <w:t>People ex rel. Gallo v. Acuna</w:t>
      </w:r>
      <w:r>
        <w:t xml:space="preserve"> (1997) 14</w:t>
      </w:r>
      <w:r>
        <w:t> </w:t>
      </w:r>
      <w:r>
        <w:t>Cal.4th 1090, 1136–1137</w:t>
      </w:r>
      <w:r>
        <w:t xml:space="preserve"> (</w:t>
      </w:r>
      <w:r w:rsidRPr="00AF09A0">
        <w:rPr>
          <w:i/>
          <w:iCs/>
        </w:rPr>
        <w:t>Gallo</w:t>
      </w:r>
      <w:r>
        <w:t>)</w:t>
      </w:r>
      <w:r>
        <w:t>.)</w:t>
      </w:r>
    </w:p>
    <w:p w14:paraId="737C2301" w14:textId="77777777" w:rsidR="00C85A72" w:rsidRPr="001412FC" w:rsidRDefault="008D5068" w:rsidP="004E76E3">
      <w:pPr>
        <w:keepNext/>
        <w:spacing w:line="360" w:lineRule="auto"/>
        <w:rPr>
          <w:b/>
          <w:bCs/>
        </w:rPr>
      </w:pPr>
      <w:r>
        <w:rPr>
          <w:b/>
          <w:bCs/>
        </w:rPr>
        <w:lastRenderedPageBreak/>
        <w:t>B</w:t>
      </w:r>
      <w:r w:rsidRPr="001412FC">
        <w:rPr>
          <w:b/>
          <w:bCs/>
        </w:rPr>
        <w:t>.</w:t>
      </w:r>
      <w:r w:rsidRPr="001412FC">
        <w:rPr>
          <w:b/>
          <w:bCs/>
        </w:rPr>
        <w:tab/>
      </w:r>
      <w:r>
        <w:rPr>
          <w:b/>
          <w:bCs/>
        </w:rPr>
        <w:t xml:space="preserve">Likelihood of Success </w:t>
      </w:r>
      <w:r>
        <w:rPr>
          <w:b/>
          <w:bCs/>
        </w:rPr>
        <w:t>o</w:t>
      </w:r>
      <w:r>
        <w:rPr>
          <w:b/>
          <w:bCs/>
        </w:rPr>
        <w:t xml:space="preserve">n </w:t>
      </w:r>
      <w:r>
        <w:rPr>
          <w:b/>
          <w:bCs/>
        </w:rPr>
        <w:t>t</w:t>
      </w:r>
      <w:r>
        <w:rPr>
          <w:b/>
          <w:bCs/>
        </w:rPr>
        <w:t>he Merits</w:t>
      </w:r>
    </w:p>
    <w:p w14:paraId="7C57D180" w14:textId="77777777" w:rsidR="00A461A7" w:rsidRPr="001D1CF6" w:rsidRDefault="008D5068" w:rsidP="001D1CF6">
      <w:pPr>
        <w:spacing w:line="360" w:lineRule="auto"/>
      </w:pPr>
      <w:r>
        <w:tab/>
      </w:r>
      <w:r>
        <w:t xml:space="preserve">BBBB raises </w:t>
      </w:r>
      <w:r>
        <w:t>numerous</w:t>
      </w:r>
      <w:r>
        <w:t xml:space="preserve"> challenges to the trial court’s </w:t>
      </w:r>
      <w:r>
        <w:t xml:space="preserve">determination </w:t>
      </w:r>
      <w:r>
        <w:t xml:space="preserve">that Caldwell </w:t>
      </w:r>
      <w:r>
        <w:t xml:space="preserve">was </w:t>
      </w:r>
      <w:r>
        <w:t xml:space="preserve">likely to succeed on the merits of her </w:t>
      </w:r>
      <w:r>
        <w:t>UCL</w:t>
      </w:r>
      <w:r>
        <w:t xml:space="preserve"> claims.  </w:t>
      </w:r>
      <w:r>
        <w:t xml:space="preserve">Because </w:t>
      </w:r>
      <w:r>
        <w:t>many of these</w:t>
      </w:r>
      <w:r>
        <w:t xml:space="preserve"> contentions turn on questions of statutory interpretation or </w:t>
      </w:r>
      <w:r>
        <w:t>other</w:t>
      </w:r>
      <w:r>
        <w:t xml:space="preserve"> questions of law, </w:t>
      </w:r>
      <w:r>
        <w:t xml:space="preserve">we review such claims </w:t>
      </w:r>
      <w:r w:rsidRPr="0088267F">
        <w:t>de novo</w:t>
      </w:r>
      <w:r>
        <w:t xml:space="preserve">.  </w:t>
      </w:r>
      <w:r w:rsidRPr="004B6A03">
        <w:t>(</w:t>
      </w:r>
      <w:r w:rsidRPr="003B4A72">
        <w:rPr>
          <w:i/>
          <w:iCs/>
        </w:rPr>
        <w:t>Millennium Rock Mortgage, Inc. v. T.D. Service Co</w:t>
      </w:r>
      <w:r w:rsidRPr="004B6A03">
        <w:t>. (2009) 179 Ca</w:t>
      </w:r>
      <w:r w:rsidRPr="004B6A03">
        <w:t>l.App.4th 804, 808</w:t>
      </w:r>
      <w:r>
        <w:t>–</w:t>
      </w:r>
      <w:r w:rsidRPr="004B6A03">
        <w:t>809.)</w:t>
      </w:r>
      <w:r>
        <w:t xml:space="preserve"> </w:t>
      </w:r>
      <w:r>
        <w:t xml:space="preserve"> Where other standards of review are applicable to our analysis, we discuss </w:t>
      </w:r>
      <w:r>
        <w:t xml:space="preserve">our review of </w:t>
      </w:r>
      <w:r>
        <w:t xml:space="preserve">those matters below. </w:t>
      </w:r>
    </w:p>
    <w:p w14:paraId="500D0A51" w14:textId="77777777" w:rsidR="00535672" w:rsidRPr="00380164" w:rsidRDefault="008D5068" w:rsidP="00420A27">
      <w:pPr>
        <w:pStyle w:val="ListParagraph"/>
        <w:numPr>
          <w:ilvl w:val="0"/>
          <w:numId w:val="4"/>
        </w:numPr>
        <w:tabs>
          <w:tab w:val="clear" w:pos="720"/>
        </w:tabs>
        <w:spacing w:after="120" w:line="240" w:lineRule="auto"/>
        <w:ind w:left="1080" w:hanging="360"/>
        <w:rPr>
          <w:b/>
          <w:bCs/>
          <w:i/>
          <w:iCs/>
        </w:rPr>
      </w:pPr>
      <w:r w:rsidRPr="00380164">
        <w:rPr>
          <w:b/>
          <w:bCs/>
          <w:i/>
          <w:iCs/>
        </w:rPr>
        <w:t>The Bail Bond Industry Is Not Categorically Exempt From</w:t>
      </w:r>
      <w:r w:rsidRPr="00380164">
        <w:rPr>
          <w:b/>
          <w:bCs/>
          <w:i/>
          <w:iCs/>
        </w:rPr>
        <w:t xml:space="preserve"> </w:t>
      </w:r>
      <w:r w:rsidRPr="00380164">
        <w:rPr>
          <w:b/>
          <w:bCs/>
          <w:i/>
          <w:iCs/>
        </w:rPr>
        <w:t xml:space="preserve">Consumer Protection Statutes </w:t>
      </w:r>
    </w:p>
    <w:p w14:paraId="1F51B825" w14:textId="77777777" w:rsidR="00956B6F" w:rsidRDefault="008D5068" w:rsidP="00CF68D9">
      <w:pPr>
        <w:spacing w:line="360" w:lineRule="auto"/>
      </w:pPr>
      <w:r>
        <w:tab/>
      </w:r>
      <w:r>
        <w:t xml:space="preserve">BBBB </w:t>
      </w:r>
      <w:r>
        <w:t xml:space="preserve">first </w:t>
      </w:r>
      <w:r>
        <w:t>contends that consume</w:t>
      </w:r>
      <w:r>
        <w:t xml:space="preserve">r protection </w:t>
      </w:r>
      <w:r>
        <w:t>laws</w:t>
      </w:r>
      <w:r>
        <w:t>,</w:t>
      </w:r>
      <w:r>
        <w:t xml:space="preserve"> </w:t>
      </w:r>
      <w:r>
        <w:t>such as</w:t>
      </w:r>
      <w:r>
        <w:t xml:space="preserve"> the </w:t>
      </w:r>
      <w:r>
        <w:t>cosigner</w:t>
      </w:r>
      <w:r>
        <w:t xml:space="preserve"> </w:t>
      </w:r>
      <w:r>
        <w:t>notice provision</w:t>
      </w:r>
      <w:r>
        <w:t>,</w:t>
      </w:r>
      <w:r>
        <w:t xml:space="preserve"> have no application to bail bond transactions because the bail bond industry is governed by its own statutory scheme</w:t>
      </w:r>
      <w:r>
        <w:t xml:space="preserve">—the Bail Bond Regulatory Act and its </w:t>
      </w:r>
      <w:r>
        <w:t>licensee</w:t>
      </w:r>
      <w:r>
        <w:t xml:space="preserve"> regulations</w:t>
      </w:r>
      <w:r>
        <w:t xml:space="preserve">. </w:t>
      </w:r>
      <w:r w:rsidRPr="00F94666">
        <w:t xml:space="preserve"> </w:t>
      </w:r>
      <w:r>
        <w:t xml:space="preserve">BBBB maintains that it has not violated any provision of the </w:t>
      </w:r>
      <w:r w:rsidRPr="004E76E3">
        <w:t>Insurance Code</w:t>
      </w:r>
      <w:r>
        <w:t xml:space="preserve"> or any </w:t>
      </w:r>
      <w:r>
        <w:t xml:space="preserve">of the Department’s </w:t>
      </w:r>
      <w:r>
        <w:t xml:space="preserve">administrative regulations. </w:t>
      </w:r>
      <w:r>
        <w:t xml:space="preserve"> </w:t>
      </w:r>
      <w:r>
        <w:t xml:space="preserve">It </w:t>
      </w:r>
      <w:r>
        <w:t xml:space="preserve">observes </w:t>
      </w:r>
      <w:r>
        <w:t xml:space="preserve">that these provisions </w:t>
      </w:r>
      <w:r>
        <w:t xml:space="preserve">do not </w:t>
      </w:r>
      <w:r>
        <w:t xml:space="preserve">refer to any aspect of a bail bond </w:t>
      </w:r>
      <w:r>
        <w:t xml:space="preserve">transaction </w:t>
      </w:r>
      <w:r>
        <w:t>with</w:t>
      </w:r>
      <w:r>
        <w:t xml:space="preserve"> the terms “credit” or “loan,” n</w:t>
      </w:r>
      <w:r>
        <w:t xml:space="preserve">or do they characterize unpaid bail bond premiums as </w:t>
      </w:r>
      <w:r>
        <w:t xml:space="preserve">involving </w:t>
      </w:r>
      <w:r>
        <w:t>“</w:t>
      </w:r>
      <w:r>
        <w:t>having a borrower or involving credit.</w:t>
      </w:r>
      <w:r>
        <w:t>”</w:t>
      </w:r>
      <w:r>
        <w:t xml:space="preserve">  </w:t>
      </w:r>
      <w:r>
        <w:t xml:space="preserve">BBBB in effect </w:t>
      </w:r>
      <w:r>
        <w:t>argues</w:t>
      </w:r>
      <w:r>
        <w:t xml:space="preserve"> that </w:t>
      </w:r>
      <w:r>
        <w:t xml:space="preserve">because the Legislature created a comprehensive scheme to regulate the conduct of bail bond licensees, </w:t>
      </w:r>
      <w:r>
        <w:t>it intended to exclud</w:t>
      </w:r>
      <w:r>
        <w:t xml:space="preserve">e </w:t>
      </w:r>
      <w:r>
        <w:t xml:space="preserve">from such transactions the consumer protections applicable to other kinds of contracts.  </w:t>
      </w:r>
    </w:p>
    <w:p w14:paraId="1D121A71" w14:textId="77777777" w:rsidR="00C020D8" w:rsidRPr="00E62326" w:rsidRDefault="008D5068" w:rsidP="00CF68D9">
      <w:pPr>
        <w:spacing w:line="360" w:lineRule="auto"/>
      </w:pPr>
      <w:r>
        <w:tab/>
      </w:r>
      <w:r>
        <w:t>BBBB</w:t>
      </w:r>
      <w:r>
        <w:t xml:space="preserve"> fails to support this argument </w:t>
      </w:r>
      <w:r>
        <w:t>by reference to</w:t>
      </w:r>
      <w:r>
        <w:t xml:space="preserve"> any</w:t>
      </w:r>
      <w:r>
        <w:t xml:space="preserve"> statutory text</w:t>
      </w:r>
      <w:r>
        <w:t xml:space="preserve">, </w:t>
      </w:r>
      <w:r>
        <w:t>legislative history</w:t>
      </w:r>
      <w:r>
        <w:t xml:space="preserve">, or </w:t>
      </w:r>
      <w:r>
        <w:t xml:space="preserve">court </w:t>
      </w:r>
      <w:r>
        <w:t xml:space="preserve">precedent.  </w:t>
      </w:r>
      <w:r>
        <w:t xml:space="preserve">Nothing within the text of </w:t>
      </w:r>
      <w:r>
        <w:t xml:space="preserve">California’s consumer </w:t>
      </w:r>
      <w:r>
        <w:t xml:space="preserve">credit </w:t>
      </w:r>
      <w:r>
        <w:t xml:space="preserve">laws offers any indication </w:t>
      </w:r>
      <w:r>
        <w:t xml:space="preserve">that the Legislature intended to exclude bail bond transactions </w:t>
      </w:r>
      <w:r>
        <w:t xml:space="preserve">that otherwise qualify </w:t>
      </w:r>
      <w:r>
        <w:t>a</w:t>
      </w:r>
      <w:r>
        <w:t>s a</w:t>
      </w:r>
      <w:r>
        <w:t xml:space="preserve"> “</w:t>
      </w:r>
      <w:r>
        <w:t> </w:t>
      </w:r>
      <w:r>
        <w:t>‘</w:t>
      </w:r>
      <w:r>
        <w:t>C</w:t>
      </w:r>
      <w:r>
        <w:t>onsumer credit contract</w:t>
      </w:r>
      <w:r>
        <w:t>’ </w:t>
      </w:r>
      <w:r>
        <w:t xml:space="preserve">” </w:t>
      </w:r>
      <w:r>
        <w:t>within the meaning of</w:t>
      </w:r>
      <w:r>
        <w:t xml:space="preserve"> section 1799.90</w:t>
      </w:r>
      <w:r>
        <w:t xml:space="preserve">, subdivision (a).  </w:t>
      </w:r>
      <w:r>
        <w:t xml:space="preserve">On the contrary, </w:t>
      </w:r>
      <w:r>
        <w:t xml:space="preserve">we must construe </w:t>
      </w:r>
      <w:r>
        <w:t xml:space="preserve">consumer protection </w:t>
      </w:r>
      <w:r>
        <w:t>statutes</w:t>
      </w:r>
      <w:r>
        <w:t xml:space="preserve"> liberally </w:t>
      </w:r>
      <w:r>
        <w:t xml:space="preserve">so as to </w:t>
      </w:r>
      <w:r>
        <w:lastRenderedPageBreak/>
        <w:t>accomplish their remedial purpose.  (</w:t>
      </w:r>
      <w:r w:rsidRPr="00746F13">
        <w:rPr>
          <w:i/>
          <w:iCs/>
        </w:rPr>
        <w:t>Pitney-Bowes, Inc. v. State of California</w:t>
      </w:r>
      <w:r>
        <w:t xml:space="preserve"> (1980) 108 Cal.App.3d 307, 324</w:t>
      </w:r>
      <w:r>
        <w:t xml:space="preserve">.)  </w:t>
      </w:r>
      <w:r>
        <w:t>As noted above, t</w:t>
      </w:r>
      <w:r>
        <w:t xml:space="preserve">he Legislature intended </w:t>
      </w:r>
      <w:r>
        <w:t xml:space="preserve">to </w:t>
      </w:r>
      <w:r>
        <w:t xml:space="preserve">protect </w:t>
      </w:r>
      <w:r>
        <w:t>cosigner</w:t>
      </w:r>
      <w:r>
        <w:t xml:space="preserve">s from </w:t>
      </w:r>
      <w:r>
        <w:t>unwittingly</w:t>
      </w:r>
      <w:r>
        <w:t xml:space="preserve"> tying themselves to </w:t>
      </w:r>
      <w:r>
        <w:t>onerous</w:t>
      </w:r>
      <w:r>
        <w:t xml:space="preserve"> consumer credit </w:t>
      </w:r>
      <w:r>
        <w:t>agreements</w:t>
      </w:r>
      <w:r>
        <w:t xml:space="preserve"> </w:t>
      </w:r>
      <w:r>
        <w:t xml:space="preserve">by requiring </w:t>
      </w:r>
      <w:r>
        <w:t xml:space="preserve">that notice be given of the financial obligation </w:t>
      </w:r>
      <w:r>
        <w:t>cosigner</w:t>
      </w:r>
      <w:r>
        <w:t>s</w:t>
      </w:r>
      <w:r>
        <w:t xml:space="preserve"> were about to </w:t>
      </w:r>
      <w:r w:rsidRPr="00E62326">
        <w:t>enter</w:t>
      </w:r>
      <w:r w:rsidRPr="00E62326">
        <w:t xml:space="preserve">.  </w:t>
      </w:r>
      <w:r w:rsidRPr="00E62326">
        <w:t xml:space="preserve">Because consumer credit contracts </w:t>
      </w:r>
      <w:r w:rsidRPr="00E62326">
        <w:t xml:space="preserve">arise </w:t>
      </w:r>
      <w:r w:rsidRPr="00E62326">
        <w:t xml:space="preserve">across </w:t>
      </w:r>
      <w:r w:rsidRPr="00E62326">
        <w:t xml:space="preserve">many different industries and </w:t>
      </w:r>
      <w:r w:rsidRPr="00E62326">
        <w:t>circumstances</w:t>
      </w:r>
      <w:r w:rsidRPr="00E62326">
        <w:t>, the Legislatur</w:t>
      </w:r>
      <w:r w:rsidRPr="00E62326">
        <w:t xml:space="preserve">e </w:t>
      </w:r>
      <w:r w:rsidRPr="00E62326">
        <w:t>broadly</w:t>
      </w:r>
      <w:r w:rsidRPr="00E62326">
        <w:t xml:space="preserve"> </w:t>
      </w:r>
      <w:r w:rsidRPr="00E62326">
        <w:t>defined</w:t>
      </w:r>
      <w:r w:rsidRPr="00E62326">
        <w:t xml:space="preserve"> </w:t>
      </w:r>
      <w:r w:rsidRPr="00E62326">
        <w:t>six categories of “consumer credit contract</w:t>
      </w:r>
      <w:r w:rsidRPr="00E62326">
        <w:t>s</w:t>
      </w:r>
      <w:r w:rsidRPr="00E62326">
        <w:t>”</w:t>
      </w:r>
      <w:r w:rsidRPr="00E62326">
        <w:t xml:space="preserve"> that qualif</w:t>
      </w:r>
      <w:r w:rsidRPr="00E62326">
        <w:t>y</w:t>
      </w:r>
      <w:r w:rsidRPr="00E62326">
        <w:t xml:space="preserve"> for protection.</w:t>
      </w:r>
      <w:r w:rsidRPr="00E62326">
        <w:t xml:space="preserve"> (§ </w:t>
      </w:r>
      <w:r w:rsidRPr="00E62326">
        <w:t>1799.90, subd. (a)</w:t>
      </w:r>
      <w:r w:rsidRPr="00E62326">
        <w:t>.</w:t>
      </w:r>
      <w:r w:rsidRPr="00E62326">
        <w:t xml:space="preserve">)  </w:t>
      </w:r>
      <w:r w:rsidRPr="00E62326">
        <w:t xml:space="preserve"> </w:t>
      </w:r>
    </w:p>
    <w:p w14:paraId="5A8D20F7" w14:textId="77777777" w:rsidR="00056F3E" w:rsidRPr="00E62326" w:rsidRDefault="008D5068" w:rsidP="00CF68D9">
      <w:pPr>
        <w:spacing w:line="360" w:lineRule="auto"/>
      </w:pPr>
      <w:r w:rsidRPr="00E62326">
        <w:tab/>
      </w:r>
      <w:r w:rsidRPr="00E62326">
        <w:t>Nor does</w:t>
      </w:r>
      <w:r w:rsidRPr="00E62326">
        <w:t xml:space="preserve"> </w:t>
      </w:r>
      <w:r w:rsidRPr="00E62326">
        <w:t xml:space="preserve">BBBB point to any provision of the </w:t>
      </w:r>
      <w:r w:rsidRPr="00E62326">
        <w:t xml:space="preserve">Bail Bond Regulatory </w:t>
      </w:r>
      <w:r w:rsidRPr="00E62326">
        <w:t xml:space="preserve">Act or </w:t>
      </w:r>
      <w:r w:rsidRPr="00E62326">
        <w:t xml:space="preserve">its regulations to </w:t>
      </w:r>
      <w:r w:rsidRPr="00E62326">
        <w:t xml:space="preserve">support its </w:t>
      </w:r>
      <w:r w:rsidRPr="00E62326">
        <w:t>argument</w:t>
      </w:r>
      <w:r w:rsidRPr="00E62326">
        <w:t xml:space="preserve"> that this legal regime was intended to operate </w:t>
      </w:r>
      <w:r w:rsidRPr="00E62326">
        <w:t xml:space="preserve">as the exclusive source of law for the bail bond industry. </w:t>
      </w:r>
      <w:r w:rsidRPr="00E62326">
        <w:t xml:space="preserve"> </w:t>
      </w:r>
      <w:r w:rsidRPr="00E62326">
        <w:t xml:space="preserve">That is not surprising </w:t>
      </w:r>
      <w:r w:rsidRPr="00E62326">
        <w:t xml:space="preserve">because California law generally does not operate this way.  Commercial </w:t>
      </w:r>
      <w:r w:rsidRPr="00E62326">
        <w:t>enterprises</w:t>
      </w:r>
      <w:r w:rsidRPr="00E62326">
        <w:t xml:space="preserve"> </w:t>
      </w:r>
      <w:r w:rsidRPr="00E62326">
        <w:t xml:space="preserve">are aware </w:t>
      </w:r>
      <w:r w:rsidRPr="00E62326">
        <w:t xml:space="preserve">that </w:t>
      </w:r>
      <w:r w:rsidRPr="00E62326">
        <w:t xml:space="preserve">they </w:t>
      </w:r>
      <w:r w:rsidRPr="00E62326">
        <w:t>will be</w:t>
      </w:r>
      <w:r w:rsidRPr="00E62326">
        <w:t xml:space="preserve"> subject to </w:t>
      </w:r>
      <w:r w:rsidRPr="00E62326">
        <w:t>many</w:t>
      </w:r>
      <w:r w:rsidRPr="00E62326">
        <w:t xml:space="preserve"> laws and regulations </w:t>
      </w:r>
      <w:r w:rsidRPr="00E62326">
        <w:t xml:space="preserve">touching on different aspects of legislative interest.  </w:t>
      </w:r>
      <w:r w:rsidRPr="00E62326">
        <w:t xml:space="preserve">The </w:t>
      </w:r>
      <w:r w:rsidRPr="00E62326">
        <w:t>Insurance Code</w:t>
      </w:r>
      <w:r w:rsidRPr="00E62326">
        <w:t xml:space="preserve"> </w:t>
      </w:r>
      <w:r w:rsidRPr="00E62326">
        <w:t>governs</w:t>
      </w:r>
      <w:r w:rsidRPr="00E62326">
        <w:t xml:space="preserve"> the licensing of persons </w:t>
      </w:r>
      <w:r w:rsidRPr="00E62326">
        <w:t xml:space="preserve">and companies </w:t>
      </w:r>
      <w:r w:rsidRPr="00E62326">
        <w:t>engaged in the bail bond business</w:t>
      </w:r>
      <w:r w:rsidRPr="00E62326">
        <w:t xml:space="preserve"> and the conduct of such licensees </w:t>
      </w:r>
      <w:r w:rsidRPr="00E62326">
        <w:t>in certain areas</w:t>
      </w:r>
      <w:r w:rsidRPr="00E62326">
        <w:t xml:space="preserve">.  </w:t>
      </w:r>
      <w:r w:rsidRPr="00E62326">
        <w:t xml:space="preserve">But BBBB </w:t>
      </w:r>
      <w:r w:rsidRPr="00E62326">
        <w:t>cannot</w:t>
      </w:r>
      <w:r w:rsidRPr="00E62326">
        <w:t xml:space="preserve"> </w:t>
      </w:r>
      <w:r w:rsidRPr="00E62326">
        <w:t>plaus</w:t>
      </w:r>
      <w:r w:rsidRPr="00E62326">
        <w:t>ibly</w:t>
      </w:r>
      <w:r w:rsidRPr="00E62326">
        <w:t xml:space="preserve"> </w:t>
      </w:r>
      <w:r w:rsidRPr="00E62326">
        <w:t xml:space="preserve">suggest that compliance with </w:t>
      </w:r>
      <w:r w:rsidRPr="00E62326">
        <w:t>its licensing obligations</w:t>
      </w:r>
      <w:r w:rsidRPr="00E62326">
        <w:t xml:space="preserve"> somehow</w:t>
      </w:r>
      <w:r w:rsidRPr="00E62326">
        <w:t xml:space="preserve"> exempts </w:t>
      </w:r>
      <w:r w:rsidRPr="00E62326">
        <w:t>it</w:t>
      </w:r>
      <w:r w:rsidRPr="00E62326">
        <w:t xml:space="preserve"> from </w:t>
      </w:r>
      <w:r w:rsidRPr="00E62326">
        <w:t xml:space="preserve">compliance with </w:t>
      </w:r>
      <w:r w:rsidRPr="00E62326">
        <w:t xml:space="preserve">other </w:t>
      </w:r>
      <w:r w:rsidRPr="00E62326">
        <w:t>statutes</w:t>
      </w:r>
      <w:r w:rsidRPr="00E62326">
        <w:t xml:space="preserve"> such as </w:t>
      </w:r>
      <w:r w:rsidRPr="00E62326">
        <w:t xml:space="preserve">the </w:t>
      </w:r>
      <w:r>
        <w:t>UCL</w:t>
      </w:r>
      <w:r w:rsidRPr="00E62326">
        <w:t xml:space="preserve"> (Bus. &amp; Prof. Code § 17200 et seq.)</w:t>
      </w:r>
      <w:r w:rsidRPr="00E62326">
        <w:t xml:space="preserve">, </w:t>
      </w:r>
      <w:r w:rsidRPr="00E62326">
        <w:t xml:space="preserve">the </w:t>
      </w:r>
      <w:r w:rsidRPr="00E62326">
        <w:t>Rosenthal Fair Debt Collection Practices Act (</w:t>
      </w:r>
      <w:r w:rsidRPr="00E62326">
        <w:t xml:space="preserve">Civ. Code, § 1788 et seq.), </w:t>
      </w:r>
      <w:r w:rsidRPr="00E62326">
        <w:t xml:space="preserve">or </w:t>
      </w:r>
      <w:r w:rsidRPr="00E62326">
        <w:t xml:space="preserve">other legal </w:t>
      </w:r>
      <w:r w:rsidRPr="00E62326">
        <w:t>requirements</w:t>
      </w:r>
      <w:r w:rsidRPr="00E62326">
        <w:t xml:space="preserve">.  </w:t>
      </w:r>
    </w:p>
    <w:p w14:paraId="73367B3E" w14:textId="77777777" w:rsidR="00FE05A1" w:rsidRPr="00E62326" w:rsidRDefault="008D5068" w:rsidP="00F1314C">
      <w:pPr>
        <w:spacing w:line="360" w:lineRule="auto"/>
      </w:pPr>
      <w:r w:rsidRPr="00E62326">
        <w:tab/>
      </w:r>
      <w:r w:rsidRPr="00E62326">
        <w:t xml:space="preserve">Finally, BBBB has failed to identify any conflict between the notice requirement of section </w:t>
      </w:r>
      <w:r w:rsidRPr="00E62326">
        <w:t xml:space="preserve">1799.91 and any provision of the </w:t>
      </w:r>
      <w:r w:rsidRPr="00E62326">
        <w:t>Insurance Code</w:t>
      </w:r>
      <w:r w:rsidRPr="00E62326">
        <w:t>.  As Caldwell correctly observes, the Insurance Code and the Civil Code are not mutuall</w:t>
      </w:r>
      <w:r w:rsidRPr="00E62326">
        <w:t xml:space="preserve">y exclusive, </w:t>
      </w:r>
      <w:r w:rsidRPr="00E62326">
        <w:t xml:space="preserve">and compliance with one </w:t>
      </w:r>
      <w:r w:rsidRPr="00E62326">
        <w:t xml:space="preserve">statutory </w:t>
      </w:r>
      <w:r w:rsidRPr="00E62326">
        <w:t>regime</w:t>
      </w:r>
      <w:r w:rsidRPr="00E62326">
        <w:t xml:space="preserve"> does not </w:t>
      </w:r>
      <w:r w:rsidRPr="00E62326">
        <w:t xml:space="preserve">in any way </w:t>
      </w:r>
      <w:r w:rsidRPr="00E62326">
        <w:t xml:space="preserve">inhibit </w:t>
      </w:r>
      <w:r w:rsidRPr="00E62326">
        <w:t>its</w:t>
      </w:r>
      <w:r w:rsidRPr="00E62326">
        <w:t xml:space="preserve"> ability to comply with the other.  </w:t>
      </w:r>
    </w:p>
    <w:p w14:paraId="0C22FFB9" w14:textId="77777777" w:rsidR="000B68AE" w:rsidRPr="00E712E7" w:rsidRDefault="008D5068" w:rsidP="0099293F">
      <w:pPr>
        <w:pStyle w:val="ListParagraph"/>
        <w:keepNext/>
        <w:numPr>
          <w:ilvl w:val="0"/>
          <w:numId w:val="4"/>
        </w:numPr>
        <w:tabs>
          <w:tab w:val="clear" w:pos="720"/>
        </w:tabs>
        <w:spacing w:after="120" w:line="240" w:lineRule="auto"/>
        <w:ind w:left="1080" w:hanging="360"/>
        <w:rPr>
          <w:b/>
          <w:bCs/>
          <w:i/>
          <w:iCs/>
        </w:rPr>
      </w:pPr>
      <w:r w:rsidRPr="00E712E7">
        <w:rPr>
          <w:b/>
          <w:bCs/>
          <w:i/>
          <w:iCs/>
        </w:rPr>
        <w:lastRenderedPageBreak/>
        <w:t xml:space="preserve">The </w:t>
      </w:r>
      <w:r w:rsidRPr="00E712E7">
        <w:rPr>
          <w:b/>
          <w:bCs/>
          <w:i/>
          <w:iCs/>
        </w:rPr>
        <w:t xml:space="preserve">Bail Premium </w:t>
      </w:r>
      <w:r w:rsidRPr="00E712E7">
        <w:rPr>
          <w:b/>
          <w:bCs/>
          <w:i/>
          <w:iCs/>
        </w:rPr>
        <w:t>Financing Agreement Qualif</w:t>
      </w:r>
      <w:r w:rsidRPr="00E712E7">
        <w:rPr>
          <w:b/>
          <w:bCs/>
          <w:i/>
          <w:iCs/>
        </w:rPr>
        <w:t>ies</w:t>
      </w:r>
      <w:r w:rsidRPr="00E712E7">
        <w:rPr>
          <w:b/>
          <w:bCs/>
          <w:i/>
          <w:iCs/>
        </w:rPr>
        <w:t xml:space="preserve"> As a</w:t>
      </w:r>
      <w:r w:rsidRPr="00E712E7">
        <w:rPr>
          <w:b/>
          <w:bCs/>
          <w:i/>
          <w:iCs/>
        </w:rPr>
        <w:t xml:space="preserve"> </w:t>
      </w:r>
      <w:r w:rsidRPr="00E712E7">
        <w:rPr>
          <w:b/>
          <w:bCs/>
          <w:i/>
          <w:iCs/>
        </w:rPr>
        <w:t>Consumer Credit Contract</w:t>
      </w:r>
      <w:r w:rsidRPr="00E712E7">
        <w:rPr>
          <w:b/>
          <w:bCs/>
          <w:i/>
          <w:iCs/>
        </w:rPr>
        <w:t xml:space="preserve"> </w:t>
      </w:r>
    </w:p>
    <w:p w14:paraId="35B91BF9" w14:textId="77777777" w:rsidR="00F94666" w:rsidRDefault="008D5068" w:rsidP="00E62326">
      <w:pPr>
        <w:keepNext/>
        <w:spacing w:line="360" w:lineRule="auto"/>
        <w:rPr>
          <w:b/>
          <w:bCs/>
          <w:highlight w:val="yellow"/>
        </w:rPr>
      </w:pPr>
      <w:r>
        <w:tab/>
        <w:t xml:space="preserve">BBBB </w:t>
      </w:r>
      <w:r>
        <w:t xml:space="preserve">next </w:t>
      </w:r>
      <w:r>
        <w:t xml:space="preserve">asserts that the consumer credit contract </w:t>
      </w:r>
      <w:r w:rsidRPr="00E62326">
        <w:t xml:space="preserve">laws </w:t>
      </w:r>
      <w:r w:rsidRPr="00E62326">
        <w:t xml:space="preserve">have no application here because the Premium Agreement “is not a consumer credit transaction within any plain understanding of that term.”  This </w:t>
      </w:r>
      <w:r w:rsidRPr="00E62326">
        <w:t>contention</w:t>
      </w:r>
      <w:r w:rsidRPr="00E62326">
        <w:t xml:space="preserve"> </w:t>
      </w:r>
      <w:r w:rsidRPr="00E62326">
        <w:t xml:space="preserve">requires us to construe </w:t>
      </w:r>
      <w:r w:rsidRPr="00E62326">
        <w:t xml:space="preserve">the meaning of </w:t>
      </w:r>
      <w:r w:rsidRPr="00E62326">
        <w:t xml:space="preserve">these statutory provisions </w:t>
      </w:r>
      <w:r w:rsidRPr="00E62326">
        <w:t xml:space="preserve">and whether </w:t>
      </w:r>
      <w:r w:rsidRPr="00E62326">
        <w:t xml:space="preserve">they </w:t>
      </w:r>
      <w:r w:rsidRPr="00E62326">
        <w:t>appl</w:t>
      </w:r>
      <w:r w:rsidRPr="00E62326">
        <w:t>y</w:t>
      </w:r>
      <w:r w:rsidRPr="00E62326">
        <w:t xml:space="preserve"> to </w:t>
      </w:r>
      <w:r w:rsidRPr="00E62326">
        <w:t xml:space="preserve">the </w:t>
      </w:r>
      <w:r w:rsidRPr="00E62326">
        <w:t>premium financing agreements a</w:t>
      </w:r>
      <w:r>
        <w:t xml:space="preserve">t issue in this appeal. </w:t>
      </w:r>
    </w:p>
    <w:p w14:paraId="1972E90A" w14:textId="77777777" w:rsidR="00F94666" w:rsidRDefault="008D5068" w:rsidP="00F94666">
      <w:pPr>
        <w:spacing w:line="360" w:lineRule="auto"/>
      </w:pPr>
      <w:r>
        <w:tab/>
        <w:t>“The rules governing statutory construction are well settled.  We begin with the fundamental premise that the objective of statu</w:t>
      </w:r>
      <w:r>
        <w:t xml:space="preserve">tory interpretation is to ascertain and effectuate legislative intent.  [Citations.]  ‘In determining intent, we look first to the language of the statute, giving effect to its “plain meaning.” ’  [Citations.] </w:t>
      </w:r>
      <w:r>
        <w:t>. . .</w:t>
      </w:r>
      <w:r>
        <w:t xml:space="preserve"> Where the words of the statute are clear</w:t>
      </w:r>
      <w:r>
        <w:t>, we may not add to or alter them to accomplish a purpose that does not appear on the face of the statute or from its legislative history.”  (</w:t>
      </w:r>
      <w:r w:rsidRPr="006F25AF">
        <w:rPr>
          <w:i/>
          <w:iCs/>
        </w:rPr>
        <w:t>Burden v. Snowden</w:t>
      </w:r>
      <w:r>
        <w:t xml:space="preserve"> (1992) 2 Cal.4th 556, 562.)  “[I]f the statutory language permits more than one reasonable inter</w:t>
      </w:r>
      <w:r>
        <w:t>pretation, courts may consider various extrinsic aids, including the purpose of the statute, the evils to be remedied, the legislative history, public policy, and the statutory scheme encompassing the statute.  [Citation.]  In the end, we ‘ “must select th</w:t>
      </w:r>
      <w:r>
        <w:t>e construction that comports most closely with the apparent intent of the Legislature, with a view to promoting rather than defeating the general purpose of the statute, and avoid an interpretation that would lead to absurd consequences.”</w:t>
      </w:r>
      <w:r>
        <w:t> </w:t>
      </w:r>
      <w:r>
        <w:t>’ ”  (</w:t>
      </w:r>
      <w:r w:rsidRPr="006F25AF">
        <w:rPr>
          <w:i/>
          <w:iCs/>
        </w:rPr>
        <w:t>Torres v. P</w:t>
      </w:r>
      <w:r w:rsidRPr="006F25AF">
        <w:rPr>
          <w:i/>
          <w:iCs/>
        </w:rPr>
        <w:t>arkhouse Tire Service, Inc.</w:t>
      </w:r>
      <w:r>
        <w:t xml:space="preserve"> (2001) 26 Cal.4th 995, 1003.)</w:t>
      </w:r>
    </w:p>
    <w:p w14:paraId="6862E658" w14:textId="77777777" w:rsidR="00ED4F14" w:rsidRDefault="008D5068" w:rsidP="00ED4F14">
      <w:pPr>
        <w:spacing w:line="360" w:lineRule="auto"/>
      </w:pPr>
      <w:r>
        <w:tab/>
      </w:r>
      <w:r>
        <w:t>S</w:t>
      </w:r>
      <w:r w:rsidRPr="007B3FC9">
        <w:t xml:space="preserve">ection 1799.90, subdivision (a) defines </w:t>
      </w:r>
      <w:r>
        <w:t xml:space="preserve">a </w:t>
      </w:r>
      <w:r>
        <w:t>“</w:t>
      </w:r>
      <w:r>
        <w:t> ‘C</w:t>
      </w:r>
      <w:r w:rsidRPr="007B3FC9">
        <w:t>onsumer credit contract</w:t>
      </w:r>
      <w:r>
        <w:t>’ </w:t>
      </w:r>
      <w:r>
        <w:t xml:space="preserve">” </w:t>
      </w:r>
      <w:r>
        <w:t>as</w:t>
      </w:r>
      <w:r w:rsidRPr="007B3FC9">
        <w:t xml:space="preserve"> </w:t>
      </w:r>
      <w:r>
        <w:t xml:space="preserve">an obligation </w:t>
      </w:r>
      <w:r>
        <w:t>“</w:t>
      </w:r>
      <w:r w:rsidRPr="006A608D">
        <w:t>to pay money on a deferred payment basis</w:t>
      </w:r>
      <w:r>
        <w:t xml:space="preserve">” where the subject matter of the contract </w:t>
      </w:r>
      <w:r>
        <w:t>is “</w:t>
      </w:r>
      <w:r w:rsidRPr="006A608D">
        <w:t>primarily for pers</w:t>
      </w:r>
      <w:r w:rsidRPr="006A608D">
        <w:t>onal, family or household purposes</w:t>
      </w:r>
      <w:r>
        <w:t xml:space="preserve">” </w:t>
      </w:r>
      <w:r>
        <w:t>and the obligation falls within any of six general categories</w:t>
      </w:r>
      <w:r>
        <w:t xml:space="preserve">.  </w:t>
      </w:r>
      <w:r>
        <w:t>(</w:t>
      </w:r>
      <w:r>
        <w:t xml:space="preserve">See </w:t>
      </w:r>
      <w:r>
        <w:rPr>
          <w:i/>
          <w:iCs/>
        </w:rPr>
        <w:lastRenderedPageBreak/>
        <w:t>ante</w:t>
      </w:r>
      <w:r>
        <w:t xml:space="preserve">, at </w:t>
      </w:r>
      <w:r>
        <w:t>p.</w:t>
      </w:r>
      <w:r>
        <w:t> </w:t>
      </w:r>
      <w:r>
        <w:t>7</w:t>
      </w:r>
      <w:r>
        <w:t>.</w:t>
      </w:r>
      <w:r>
        <w:t>)</w:t>
      </w:r>
      <w:r>
        <w:t xml:space="preserve">  </w:t>
      </w:r>
      <w:r>
        <w:t xml:space="preserve">We are concerned here with the fourth type of </w:t>
      </w:r>
      <w:r>
        <w:t xml:space="preserve">consumer credit obligation: </w:t>
      </w:r>
      <w:r>
        <w:t xml:space="preserve"> </w:t>
      </w:r>
      <w:r>
        <w:t>“</w:t>
      </w:r>
      <w:r w:rsidRPr="00DC2371">
        <w:t xml:space="preserve">Loans </w:t>
      </w:r>
      <w:r w:rsidRPr="003B4A72">
        <w:t xml:space="preserve">or extensions of credit secured by other than </w:t>
      </w:r>
      <w:r w:rsidRPr="003B4A72">
        <w:t>real property, or unsecured, for use primarily for personal, family or household purposes.</w:t>
      </w:r>
      <w:r w:rsidRPr="00112F44">
        <w:t xml:space="preserve">” </w:t>
      </w:r>
      <w:r>
        <w:t xml:space="preserve"> </w:t>
      </w:r>
      <w:r>
        <w:t>(§</w:t>
      </w:r>
      <w:r>
        <w:t> </w:t>
      </w:r>
      <w:r>
        <w:t>1799.90, subd. (a)(4)</w:t>
      </w:r>
      <w:r>
        <w:t>.</w:t>
      </w:r>
      <w:r>
        <w:t xml:space="preserve">)  </w:t>
      </w:r>
    </w:p>
    <w:p w14:paraId="352BA346" w14:textId="77777777" w:rsidR="00642E6E" w:rsidRDefault="008D5068" w:rsidP="00112F44">
      <w:pPr>
        <w:spacing w:line="360" w:lineRule="auto"/>
      </w:pPr>
      <w:r>
        <w:tab/>
        <w:t xml:space="preserve">We conclude the Premium Agreement qualifies as an “extension of credit” under section 1799.90, subdivision (a)(4). </w:t>
      </w:r>
      <w:r>
        <w:t xml:space="preserve"> </w:t>
      </w:r>
      <w:r>
        <w:t xml:space="preserve">Section 1799.90, </w:t>
      </w:r>
      <w:r>
        <w:t>subdivision</w:t>
      </w:r>
      <w:r>
        <w:t> </w:t>
      </w:r>
      <w:r>
        <w:t xml:space="preserve">(a)(4) does not define the term “extension of credit,” but its </w:t>
      </w:r>
      <w:r>
        <w:t xml:space="preserve">meaning can be readily discerned </w:t>
      </w:r>
      <w:r>
        <w:t xml:space="preserve">by a commonsense understanding of its component </w:t>
      </w:r>
      <w:r>
        <w:t>words</w:t>
      </w:r>
      <w:r>
        <w:t xml:space="preserve">.  </w:t>
      </w:r>
      <w:r>
        <w:t>Black’s Law Dictionary defines “credit” as “</w:t>
      </w:r>
      <w:r>
        <w:t>[</w:t>
      </w:r>
      <w:r>
        <w:t>t</w:t>
      </w:r>
      <w:r>
        <w:t>]</w:t>
      </w:r>
      <w:r>
        <w:t>he time that a seller gives the buyer to make</w:t>
      </w:r>
      <w:r>
        <w:t xml:space="preserve"> the payment that is due.”  (Black’s Law Dictionary (11th ed. 2019) at p. 463.)  </w:t>
      </w:r>
      <w:r>
        <w:t>To</w:t>
      </w:r>
      <w:r>
        <w:t xml:space="preserve"> </w:t>
      </w:r>
      <w:r>
        <w:t>“</w:t>
      </w:r>
      <w:r>
        <w:t xml:space="preserve">extend” </w:t>
      </w:r>
      <w:r>
        <w:t>means</w:t>
      </w:r>
      <w:r>
        <w:t xml:space="preserve"> “to make available.”  (Merriam-Webster’s </w:t>
      </w:r>
      <w:r>
        <w:t xml:space="preserve">Collegiate </w:t>
      </w:r>
      <w:r>
        <w:t>Dictionary (11th ed. 20</w:t>
      </w:r>
      <w:r>
        <w:t>09</w:t>
      </w:r>
      <w:r>
        <w:t xml:space="preserve">) p. 442.)  Under a plain reading of </w:t>
      </w:r>
      <w:r>
        <w:t>section 1799.90, subdivision (a)(4)</w:t>
      </w:r>
      <w:r>
        <w:t>, a bail</w:t>
      </w:r>
      <w:r>
        <w:t xml:space="preserve"> premium financing agreement is an </w:t>
      </w:r>
      <w:r>
        <w:t>“</w:t>
      </w:r>
      <w:r>
        <w:t>extension of credit</w:t>
      </w:r>
      <w:r>
        <w:t>”</w:t>
      </w:r>
      <w:r>
        <w:t xml:space="preserve"> </w:t>
      </w:r>
      <w:r>
        <w:t xml:space="preserve">because it is an agreement </w:t>
      </w:r>
      <w:r>
        <w:t xml:space="preserve">by </w:t>
      </w:r>
      <w:r>
        <w:t xml:space="preserve">which the bail agent makes available </w:t>
      </w:r>
      <w:r>
        <w:t xml:space="preserve">to the consumer </w:t>
      </w:r>
      <w:r>
        <w:t xml:space="preserve">the ability to satisfy </w:t>
      </w:r>
      <w:r>
        <w:t>his or her</w:t>
      </w:r>
      <w:r>
        <w:t xml:space="preserve"> obligation to pay the </w:t>
      </w:r>
      <w:r>
        <w:t xml:space="preserve">bail bond </w:t>
      </w:r>
      <w:r>
        <w:t xml:space="preserve">premium amount over a series of monthly </w:t>
      </w:r>
      <w:r w:rsidRPr="00E62326">
        <w:t>installments</w:t>
      </w:r>
      <w:r>
        <w:t xml:space="preserve">.  </w:t>
      </w:r>
    </w:p>
    <w:p w14:paraId="66237E15" w14:textId="77777777" w:rsidR="00C41810" w:rsidRDefault="008D5068" w:rsidP="00112F44">
      <w:pPr>
        <w:spacing w:line="360" w:lineRule="auto"/>
      </w:pPr>
      <w:r>
        <w:tab/>
        <w:t>As amici curiae the Attorney General observes, “[t]his plain language interpretation is consistent with definitions in other statutes governing consumer transactions.”  For example, the Credit Services Act of 1984 (§</w:t>
      </w:r>
      <w:r>
        <w:t> </w:t>
      </w:r>
      <w:r>
        <w:t>1789.10 et seq</w:t>
      </w:r>
      <w:r>
        <w:t>.</w:t>
      </w:r>
      <w:r>
        <w:t>) defin</w:t>
      </w:r>
      <w:r>
        <w:t>es an extension of credit as “the right to defer payment of debt or to incur debt and defer its payment, offered or granted primarily for personal, family, or household purposes.”  (§ 1789.12, subd. (d)</w:t>
      </w:r>
      <w:r>
        <w:t>.</w:t>
      </w:r>
      <w:r>
        <w:t xml:space="preserve">)  </w:t>
      </w:r>
      <w:r>
        <w:t>Similarly, t</w:t>
      </w:r>
      <w:r>
        <w:t xml:space="preserve">he Truth in Lending Act </w:t>
      </w:r>
      <w:r>
        <w:t>(TILA</w:t>
      </w:r>
      <w:r>
        <w:t xml:space="preserve">; </w:t>
      </w:r>
      <w:r>
        <w:t>15 U.S.</w:t>
      </w:r>
      <w:r>
        <w:t>C. § 1601</w:t>
      </w:r>
      <w:r>
        <w:t xml:space="preserve"> et seq.</w:t>
      </w:r>
      <w:r>
        <w:t xml:space="preserve">) was enacted by Congress </w:t>
      </w:r>
      <w:r>
        <w:t xml:space="preserve">to regulate credit disclosures </w:t>
      </w:r>
      <w:r>
        <w:t xml:space="preserve">among </w:t>
      </w:r>
      <w:r>
        <w:t>“</w:t>
      </w:r>
      <w:r w:rsidRPr="00CB1039">
        <w:t>various financial institutions and other firms engaged in the extension of consumer credit</w:t>
      </w:r>
      <w:r>
        <w:t xml:space="preserve">.’ </w:t>
      </w:r>
      <w:r w:rsidRPr="00CB1039">
        <w:t>”</w:t>
      </w:r>
      <w:r>
        <w:t xml:space="preserve"> </w:t>
      </w:r>
      <w:r>
        <w:t>(</w:t>
      </w:r>
      <w:r w:rsidRPr="00AC7473">
        <w:rPr>
          <w:i/>
          <w:iCs/>
        </w:rPr>
        <w:t>Thompson v. 10,000 RV Sales, Inc</w:t>
      </w:r>
      <w:r w:rsidRPr="003B4A72">
        <w:t>.</w:t>
      </w:r>
      <w:r>
        <w:t xml:space="preserve"> (2005) </w:t>
      </w:r>
      <w:r w:rsidRPr="003B4A72">
        <w:t>130 Cal.App.4th 950</w:t>
      </w:r>
      <w:r>
        <w:t xml:space="preserve">, </w:t>
      </w:r>
      <w:r>
        <w:t>965</w:t>
      </w:r>
      <w:r>
        <w:t xml:space="preserve">, </w:t>
      </w:r>
      <w:r>
        <w:t>quoting</w:t>
      </w:r>
      <w:r>
        <w:t xml:space="preserve"> </w:t>
      </w:r>
      <w:r w:rsidRPr="00BD2D87">
        <w:lastRenderedPageBreak/>
        <w:t>15 U</w:t>
      </w:r>
      <w:r w:rsidRPr="00BD2D87">
        <w:t>.S.C. § 160</w:t>
      </w:r>
      <w:r>
        <w:t>1</w:t>
      </w:r>
      <w:r w:rsidRPr="00BD2D87">
        <w:t>(</w:t>
      </w:r>
      <w:r>
        <w:t>a</w:t>
      </w:r>
      <w:r w:rsidRPr="00BD2D87">
        <w:t>)</w:t>
      </w:r>
      <w:r>
        <w:t xml:space="preserve">.)  </w:t>
      </w:r>
      <w:r>
        <w:t>TILA</w:t>
      </w:r>
      <w:r>
        <w:t xml:space="preserve"> defines “</w:t>
      </w:r>
      <w:r>
        <w:t> ‘</w:t>
      </w:r>
      <w:r>
        <w:t>credit</w:t>
      </w:r>
      <w:r>
        <w:t>’ </w:t>
      </w:r>
      <w:r>
        <w:t xml:space="preserve">” as </w:t>
      </w:r>
      <w:r>
        <w:t>“</w:t>
      </w:r>
      <w:r w:rsidRPr="00E23F99">
        <w:t>the right granted by a creditor to a debtor to defer payment of debt or to incur debt and defer its payment</w:t>
      </w:r>
      <w:r>
        <w:t>.</w:t>
      </w:r>
      <w:r>
        <w:t>”</w:t>
      </w:r>
      <w:r>
        <w:t xml:space="preserve"> </w:t>
      </w:r>
      <w:r>
        <w:t>(</w:t>
      </w:r>
      <w:r w:rsidRPr="00BD2D87">
        <w:t>15 U.S.C. § 1602(f)</w:t>
      </w:r>
      <w:r>
        <w:t>.</w:t>
      </w:r>
      <w:r>
        <w:t>)</w:t>
      </w:r>
      <w:r>
        <w:rPr>
          <w:rStyle w:val="FootnoteReference"/>
        </w:rPr>
        <w:footnoteReference w:id="3"/>
      </w:r>
      <w:r>
        <w:t xml:space="preserve">  </w:t>
      </w:r>
    </w:p>
    <w:p w14:paraId="7AA8DAAB" w14:textId="77777777" w:rsidR="00316000" w:rsidRDefault="008D5068" w:rsidP="000A674F">
      <w:pPr>
        <w:spacing w:line="360" w:lineRule="auto"/>
      </w:pPr>
      <w:r>
        <w:tab/>
      </w:r>
      <w:r>
        <w:t xml:space="preserve">Thus, </w:t>
      </w:r>
      <w:r>
        <w:t xml:space="preserve">Caldwell’s Premium Agreement </w:t>
      </w:r>
      <w:r>
        <w:t xml:space="preserve">with BBBB </w:t>
      </w:r>
      <w:r>
        <w:t xml:space="preserve">qualifies as a </w:t>
      </w:r>
      <w:r>
        <w:t xml:space="preserve">consumer </w:t>
      </w:r>
      <w:r>
        <w:t xml:space="preserve">credit contract because Caldwell signed an agreement </w:t>
      </w:r>
      <w:r>
        <w:t xml:space="preserve">(1) </w:t>
      </w:r>
      <w:r>
        <w:t>“</w:t>
      </w:r>
      <w:r w:rsidRPr="006A608D">
        <w:t>to pay money on a deferred payment basis</w:t>
      </w:r>
      <w:r>
        <w:t>”</w:t>
      </w:r>
      <w:r>
        <w:t>;</w:t>
      </w:r>
      <w:r>
        <w:t xml:space="preserve"> </w:t>
      </w:r>
      <w:r>
        <w:t xml:space="preserve">(2) </w:t>
      </w:r>
      <w:r>
        <w:t>the subject matter of the contract</w:t>
      </w:r>
      <w:r>
        <w:t xml:space="preserve"> was “</w:t>
      </w:r>
      <w:r>
        <w:t>primarily for personal, family or household purposes”</w:t>
      </w:r>
      <w:r>
        <w:t>; (3)</w:t>
      </w:r>
      <w:r>
        <w:t xml:space="preserve"> </w:t>
      </w:r>
      <w:r>
        <w:t xml:space="preserve">the obligation involved </w:t>
      </w:r>
      <w:r>
        <w:t xml:space="preserve">an </w:t>
      </w:r>
      <w:r>
        <w:t>“</w:t>
      </w:r>
      <w:r>
        <w:t>extension</w:t>
      </w:r>
      <w:r>
        <w:t>[]</w:t>
      </w:r>
      <w:r>
        <w:t xml:space="preserve"> of credit</w:t>
      </w:r>
      <w:r>
        <w:t>”</w:t>
      </w:r>
      <w:r>
        <w:t xml:space="preserve"> </w:t>
      </w:r>
      <w:r>
        <w:t xml:space="preserve">because Caldwell was allowed to </w:t>
      </w:r>
      <w:r>
        <w:t xml:space="preserve">satisfy her bail premium obligation over a series of </w:t>
      </w:r>
      <w:r>
        <w:t>monthly</w:t>
      </w:r>
      <w:r>
        <w:t xml:space="preserve"> payments</w:t>
      </w:r>
      <w:r>
        <w:t xml:space="preserve">; and (4) </w:t>
      </w:r>
      <w:r>
        <w:t xml:space="preserve">Caldwell’s obligation </w:t>
      </w:r>
      <w:r>
        <w:t>was “</w:t>
      </w:r>
      <w:r w:rsidRPr="006A608D">
        <w:t>secured by other than real property</w:t>
      </w:r>
      <w:r>
        <w:t>,</w:t>
      </w:r>
      <w:r>
        <w:t xml:space="preserve"> or unsecured.”</w:t>
      </w:r>
      <w:r>
        <w:t xml:space="preserve">  (§ 1799.90, subd. (a)(4)</w:t>
      </w:r>
      <w:r>
        <w:t>.</w:t>
      </w:r>
      <w:r>
        <w:t xml:space="preserve">)  </w:t>
      </w:r>
      <w:r>
        <w:tab/>
      </w:r>
    </w:p>
    <w:p w14:paraId="3AD9D9AB" w14:textId="77777777" w:rsidR="00BB3D5D" w:rsidRDefault="008D5068" w:rsidP="000A674F">
      <w:pPr>
        <w:spacing w:line="360" w:lineRule="auto"/>
      </w:pPr>
      <w:r>
        <w:tab/>
      </w:r>
      <w:r>
        <w:t xml:space="preserve">BBBB </w:t>
      </w:r>
      <w:r>
        <w:t>does not dispute that the contracts signed by Caldwell and her declarants were primarily for personal, family, or household purposes</w:t>
      </w:r>
      <w:r>
        <w:t>.</w:t>
      </w:r>
      <w:r>
        <w:t xml:space="preserve">  </w:t>
      </w:r>
      <w:r>
        <w:t xml:space="preserve">Rather, </w:t>
      </w:r>
      <w:r>
        <w:t>B</w:t>
      </w:r>
      <w:r w:rsidRPr="006A608D">
        <w:t xml:space="preserve">BBB </w:t>
      </w:r>
      <w:r>
        <w:t xml:space="preserve">contends that Caldwell was not a party to a “consumer credit </w:t>
      </w:r>
      <w:r>
        <w:lastRenderedPageBreak/>
        <w:t xml:space="preserve">contract” but </w:t>
      </w:r>
      <w:r>
        <w:t xml:space="preserve">was </w:t>
      </w:r>
      <w:r>
        <w:t>instead “the indemnifier of t</w:t>
      </w:r>
      <w:r>
        <w:t xml:space="preserve">he surety issuing the bond.” </w:t>
      </w:r>
      <w:r>
        <w:t xml:space="preserve"> </w:t>
      </w:r>
      <w:r>
        <w:t>BBBB reasons that in bail bond transactions, “the bail agent pays no money to the court that imposed the bond on behalf of the person requesting the bond.”  Instead, “the agent collects a premium from the person requesting a b</w:t>
      </w:r>
      <w:r>
        <w:t xml:space="preserve">ond, and in return secures the promise of a surety company </w:t>
      </w:r>
      <w:r>
        <w:t>. . .</w:t>
      </w:r>
      <w:r>
        <w:t xml:space="preserve"> to pay the bail amount in the future” if the arrestee fails to appear and the court declares the bond to be forfeited.  </w:t>
      </w:r>
      <w:r>
        <w:t xml:space="preserve">BBBB adds that </w:t>
      </w:r>
      <w:r>
        <w:t xml:space="preserve">the terms used in the section 1799.91 notice </w:t>
      </w:r>
      <w:r>
        <w:t xml:space="preserve">provision </w:t>
      </w:r>
      <w:r>
        <w:t>a</w:t>
      </w:r>
      <w:r>
        <w:t>re “incompatible with bail-bond agreements” because the notice refers to a “</w:t>
      </w:r>
      <w:r>
        <w:t> ‘</w:t>
      </w:r>
      <w:r>
        <w:t>cosigner</w:t>
      </w:r>
      <w:r>
        <w:t>’</w:t>
      </w:r>
      <w:r>
        <w:t xml:space="preserve"> who is being asked to </w:t>
      </w:r>
      <w:r>
        <w:t>‘</w:t>
      </w:r>
      <w:r>
        <w:t>guarantee</w:t>
      </w:r>
      <w:r>
        <w:t>’</w:t>
      </w:r>
      <w:r>
        <w:t xml:space="preserve"> a debt </w:t>
      </w:r>
      <w:r>
        <w:t>‘</w:t>
      </w:r>
      <w:r>
        <w:t>[i]f the borrower doesn’t pay.</w:t>
      </w:r>
      <w:r>
        <w:t>’ </w:t>
      </w:r>
      <w:r>
        <w:t>”</w:t>
      </w:r>
      <w:r>
        <w:t xml:space="preserve">  </w:t>
      </w:r>
      <w:r>
        <w:t>Such</w:t>
      </w:r>
      <w:r>
        <w:t xml:space="preserve"> terms have no application </w:t>
      </w:r>
      <w:r>
        <w:t xml:space="preserve">here, BBB contends, </w:t>
      </w:r>
      <w:r>
        <w:t xml:space="preserve">because “a bail-bond agreement consists </w:t>
      </w:r>
      <w:r>
        <w:t xml:space="preserve">of a promise to pay </w:t>
      </w:r>
      <w:r w:rsidRPr="0000315F">
        <w:t>by the bail agent</w:t>
      </w:r>
      <w:r>
        <w:t xml:space="preserve"> acting as a surety.  In exchange, the </w:t>
      </w:r>
      <w:r w:rsidRPr="0088267F">
        <w:rPr>
          <w:i/>
          <w:iCs/>
        </w:rPr>
        <w:t>arrestee</w:t>
      </w:r>
      <w:r>
        <w:t xml:space="preserve"> has </w:t>
      </w:r>
      <w:r w:rsidRPr="0000315F">
        <w:t xml:space="preserve">no obligation to pay the bail </w:t>
      </w:r>
      <w:r>
        <w:t xml:space="preserve">or debt, but only to appear in court.” </w:t>
      </w:r>
      <w:r>
        <w:tab/>
      </w:r>
    </w:p>
    <w:p w14:paraId="52803F39" w14:textId="77777777" w:rsidR="00262E1B" w:rsidRDefault="008D5068" w:rsidP="000A674F">
      <w:pPr>
        <w:spacing w:line="360" w:lineRule="auto"/>
      </w:pPr>
      <w:r>
        <w:tab/>
      </w:r>
      <w:r>
        <w:t>BBBB’s argument</w:t>
      </w:r>
      <w:r>
        <w:t>s</w:t>
      </w:r>
      <w:r>
        <w:t xml:space="preserve"> </w:t>
      </w:r>
      <w:r>
        <w:t xml:space="preserve">confuse </w:t>
      </w:r>
      <w:r>
        <w:t xml:space="preserve">the </w:t>
      </w:r>
      <w:r>
        <w:t xml:space="preserve">contract at issue in this appeal.  </w:t>
      </w:r>
      <w:r>
        <w:t xml:space="preserve">While </w:t>
      </w:r>
      <w:r>
        <w:t xml:space="preserve">an </w:t>
      </w:r>
      <w:r>
        <w:t xml:space="preserve">arrestee or </w:t>
      </w:r>
      <w:r>
        <w:t>indemnitor</w:t>
      </w:r>
      <w:r>
        <w:t xml:space="preserve"> may contract with the surety </w:t>
      </w:r>
      <w:r>
        <w:t xml:space="preserve">to </w:t>
      </w:r>
      <w:r>
        <w:t>guarantee</w:t>
      </w:r>
      <w:r>
        <w:t xml:space="preserve"> the full amount of the bail if the defendant fails to appear in court as ordered</w:t>
      </w:r>
      <w:r>
        <w:t xml:space="preserve"> (see </w:t>
      </w:r>
      <w:r w:rsidRPr="00722DC1">
        <w:rPr>
          <w:i/>
          <w:iCs/>
        </w:rPr>
        <w:t xml:space="preserve">People v. </w:t>
      </w:r>
      <w:r>
        <w:rPr>
          <w:i/>
          <w:iCs/>
        </w:rPr>
        <w:t xml:space="preserve">The </w:t>
      </w:r>
      <w:r w:rsidRPr="00722DC1">
        <w:rPr>
          <w:i/>
          <w:iCs/>
        </w:rPr>
        <w:t>North River Ins</w:t>
      </w:r>
      <w:r>
        <w:rPr>
          <w:i/>
          <w:iCs/>
        </w:rPr>
        <w:t>.</w:t>
      </w:r>
      <w:r w:rsidRPr="00722DC1">
        <w:rPr>
          <w:i/>
          <w:iCs/>
        </w:rPr>
        <w:t xml:space="preserve"> Co</w:t>
      </w:r>
      <w:r>
        <w:t>.</w:t>
      </w:r>
      <w:r>
        <w:t xml:space="preserve">, </w:t>
      </w:r>
      <w:r>
        <w:rPr>
          <w:i/>
          <w:iCs/>
        </w:rPr>
        <w:t>supra</w:t>
      </w:r>
      <w:r>
        <w:t>,</w:t>
      </w:r>
      <w:r>
        <w:t xml:space="preserve"> 48 Cal.App.5th </w:t>
      </w:r>
      <w:r>
        <w:t xml:space="preserve">at p. </w:t>
      </w:r>
      <w:r>
        <w:t>235)</w:t>
      </w:r>
      <w:r>
        <w:t xml:space="preserve">, </w:t>
      </w:r>
      <w:r>
        <w:t>t</w:t>
      </w:r>
      <w:r>
        <w:t xml:space="preserve">he </w:t>
      </w:r>
      <w:r>
        <w:t xml:space="preserve">contract </w:t>
      </w:r>
      <w:r>
        <w:t>we are concerned with</w:t>
      </w:r>
      <w:r>
        <w:t xml:space="preserve"> </w:t>
      </w:r>
      <w:r>
        <w:t xml:space="preserve">here </w:t>
      </w:r>
      <w:r>
        <w:t xml:space="preserve">is </w:t>
      </w:r>
      <w:r>
        <w:t xml:space="preserve">a different one.  </w:t>
      </w:r>
      <w:r>
        <w:t xml:space="preserve">A bail premium financing agreement </w:t>
      </w:r>
      <w:r>
        <w:t xml:space="preserve">extends credit to </w:t>
      </w:r>
      <w:r>
        <w:t>cosigner</w:t>
      </w:r>
      <w:r>
        <w:t xml:space="preserve">s who are unable to afford the bail bond premium by accepting an initial downpayment and allowing them to pay the balance of the premium in monthly installments.  </w:t>
      </w:r>
      <w:r>
        <w:t>This</w:t>
      </w:r>
      <w:r>
        <w:t xml:space="preserve"> </w:t>
      </w:r>
      <w:r>
        <w:t>financing</w:t>
      </w:r>
      <w:r>
        <w:t xml:space="preserve"> </w:t>
      </w:r>
      <w:r>
        <w:t xml:space="preserve">agreement is </w:t>
      </w:r>
      <w:r>
        <w:t>ancillary</w:t>
      </w:r>
      <w:r>
        <w:t xml:space="preserve"> to </w:t>
      </w:r>
      <w:r>
        <w:t xml:space="preserve">the </w:t>
      </w:r>
      <w:r>
        <w:t xml:space="preserve">bail bond transaction.  </w:t>
      </w:r>
      <w:r>
        <w:t>D</w:t>
      </w:r>
      <w:r>
        <w:t xml:space="preserve">efendants who have financial means will have no occasion to execute such an agreement when obtaining a bail bond because they can pay the full premium outright. </w:t>
      </w:r>
      <w:r>
        <w:t xml:space="preserve"> And, u</w:t>
      </w:r>
      <w:r w:rsidRPr="000A674F">
        <w:t>nlike the indemnity agreement be</w:t>
      </w:r>
      <w:r w:rsidRPr="000A674F">
        <w:t xml:space="preserve">tween a defendant and the surety </w:t>
      </w:r>
      <w:r w:rsidRPr="000A674F">
        <w:lastRenderedPageBreak/>
        <w:t xml:space="preserve">company (here North River), the premium financing agreement </w:t>
      </w:r>
      <w:r>
        <w:t xml:space="preserve">is between </w:t>
      </w:r>
      <w:r w:rsidRPr="000A674F">
        <w:t xml:space="preserve">the </w:t>
      </w:r>
      <w:r>
        <w:t xml:space="preserve">arrestee (or </w:t>
      </w:r>
      <w:r>
        <w:t>cosigner</w:t>
      </w:r>
      <w:r>
        <w:t>)</w:t>
      </w:r>
      <w:r w:rsidRPr="000A674F">
        <w:t xml:space="preserve"> </w:t>
      </w:r>
      <w:r w:rsidRPr="000A674F">
        <w:t xml:space="preserve">and the bail bond </w:t>
      </w:r>
      <w:r w:rsidRPr="00192E0B">
        <w:rPr>
          <w:i/>
          <w:iCs/>
        </w:rPr>
        <w:t>agent</w:t>
      </w:r>
      <w:r w:rsidRPr="000A674F">
        <w:t xml:space="preserve">, </w:t>
      </w:r>
      <w:r>
        <w:t xml:space="preserve">here </w:t>
      </w:r>
      <w:r w:rsidRPr="000A674F">
        <w:t>BBBB.</w:t>
      </w:r>
      <w:r>
        <w:rPr>
          <w:rStyle w:val="FootnoteReference"/>
        </w:rPr>
        <w:footnoteReference w:id="4"/>
      </w:r>
      <w:r w:rsidRPr="000A674F">
        <w:t xml:space="preserve">   </w:t>
      </w:r>
    </w:p>
    <w:p w14:paraId="1D066033" w14:textId="77777777" w:rsidR="000A674F" w:rsidRDefault="008D5068" w:rsidP="000A674F">
      <w:pPr>
        <w:spacing w:line="360" w:lineRule="auto"/>
      </w:pPr>
      <w:r>
        <w:tab/>
      </w:r>
      <w:r>
        <w:t xml:space="preserve">In short, the premium financing agreement does not “indemnify the surety </w:t>
      </w:r>
      <w:r>
        <w:t>issuing the bond,” as BBBB contends.</w:t>
      </w:r>
      <w:r>
        <w:t xml:space="preserve">  </w:t>
      </w:r>
      <w:r>
        <w:t xml:space="preserve">Rather, </w:t>
      </w:r>
      <w:r>
        <w:t xml:space="preserve">the </w:t>
      </w:r>
      <w:r>
        <w:t xml:space="preserve">subject </w:t>
      </w:r>
      <w:r>
        <w:t>Premium Agreement</w:t>
      </w:r>
      <w:r>
        <w:t>s</w:t>
      </w:r>
      <w:r>
        <w:t xml:space="preserve"> </w:t>
      </w:r>
      <w:r>
        <w:t>allow</w:t>
      </w:r>
      <w:r>
        <w:t>ed</w:t>
      </w:r>
      <w:r>
        <w:t xml:space="preserve"> the </w:t>
      </w:r>
      <w:r>
        <w:t>cosigner</w:t>
      </w:r>
      <w:r>
        <w:t xml:space="preserve"> to satisfy </w:t>
      </w:r>
      <w:r>
        <w:t>his or her</w:t>
      </w:r>
      <w:r>
        <w:t xml:space="preserve"> obligation</w:t>
      </w:r>
      <w:r>
        <w:t xml:space="preserve"> to pay </w:t>
      </w:r>
      <w:r>
        <w:t>the bail bond premium</w:t>
      </w:r>
      <w:r>
        <w:t xml:space="preserve"> </w:t>
      </w:r>
      <w:r>
        <w:t xml:space="preserve">over a series of monthly payments.  </w:t>
      </w:r>
      <w:r>
        <w:t>Thus, the transaction comports with the ordinary understandi</w:t>
      </w:r>
      <w:r>
        <w:t>ng of a</w:t>
      </w:r>
      <w:r>
        <w:t xml:space="preserve"> consumer credit contract </w:t>
      </w:r>
      <w:r>
        <w:t>involving an “extension</w:t>
      </w:r>
      <w:r>
        <w:t>[]</w:t>
      </w:r>
      <w:r>
        <w:t xml:space="preserve"> of credit</w:t>
      </w:r>
      <w:r>
        <w:t>”</w:t>
      </w:r>
      <w:r>
        <w:t xml:space="preserve"> </w:t>
      </w:r>
      <w:r>
        <w:t>under section</w:t>
      </w:r>
      <w:r>
        <w:t> </w:t>
      </w:r>
      <w:r>
        <w:t xml:space="preserve">1799.90, </w:t>
      </w:r>
      <w:r>
        <w:t>s</w:t>
      </w:r>
      <w:r>
        <w:t>ubdivision</w:t>
      </w:r>
      <w:r>
        <w:t xml:space="preserve"> (a)(4).  </w:t>
      </w:r>
    </w:p>
    <w:p w14:paraId="18A54CFC" w14:textId="77777777" w:rsidR="00BF4B37" w:rsidRDefault="008D5068" w:rsidP="0017568B">
      <w:pPr>
        <w:spacing w:line="360" w:lineRule="auto"/>
      </w:pPr>
      <w:r>
        <w:tab/>
        <w:t xml:space="preserve">In its reply brief, BBBB argues that the Premium Agreement </w:t>
      </w:r>
      <w:r w:rsidRPr="00E62326">
        <w:t>cannot be</w:t>
      </w:r>
      <w:r w:rsidRPr="00E62326">
        <w:t xml:space="preserve"> </w:t>
      </w:r>
      <w:r>
        <w:t>an “extension of credit” because “a construction of the statute that in</w:t>
      </w:r>
      <w:r>
        <w:t>cludes installment contracts within ‘loans’ or ‘extensions of credit’ would necessarily render the California Legislature’s decision to specifically and separately include the term ‘retail installment contracts’ in [section 1799.90</w:t>
      </w:r>
      <w:r>
        <w:t>,</w:t>
      </w:r>
      <w:r>
        <w:t>] subdivision (a)(1) com</w:t>
      </w:r>
      <w:r>
        <w:t xml:space="preserve">pletely superfluous.”  We disagree.  </w:t>
      </w:r>
    </w:p>
    <w:p w14:paraId="18872BD4" w14:textId="77777777" w:rsidR="0017568B" w:rsidRDefault="008D5068" w:rsidP="0017568B">
      <w:pPr>
        <w:spacing w:line="360" w:lineRule="auto"/>
      </w:pPr>
      <w:r>
        <w:tab/>
      </w:r>
      <w:r>
        <w:t xml:space="preserve">BBBB fails to explain how </w:t>
      </w:r>
      <w:r>
        <w:rPr>
          <w:i/>
          <w:iCs/>
        </w:rPr>
        <w:t>it</w:t>
      </w:r>
      <w:r>
        <w:t xml:space="preserve"> would construe the phrase “extension</w:t>
      </w:r>
      <w:r>
        <w:t>s</w:t>
      </w:r>
      <w:r>
        <w:t xml:space="preserve"> of credit</w:t>
      </w:r>
      <w:r>
        <w:t xml:space="preserve">” under </w:t>
      </w:r>
      <w:r>
        <w:t xml:space="preserve">section 1799.90, </w:t>
      </w:r>
      <w:r>
        <w:t>subdivision (a)(4).</w:t>
      </w:r>
      <w:r>
        <w:t xml:space="preserve"> </w:t>
      </w:r>
      <w:r>
        <w:t xml:space="preserve"> In any event, </w:t>
      </w:r>
      <w:r>
        <w:t xml:space="preserve">while </w:t>
      </w:r>
      <w:r>
        <w:t>an extension of credit</w:t>
      </w:r>
      <w:r>
        <w:t xml:space="preserve"> overlap</w:t>
      </w:r>
      <w:r>
        <w:t>s</w:t>
      </w:r>
      <w:r>
        <w:t xml:space="preserve"> to </w:t>
      </w:r>
      <w:r>
        <w:t>some</w:t>
      </w:r>
      <w:r>
        <w:t xml:space="preserve"> degree</w:t>
      </w:r>
      <w:r>
        <w:t xml:space="preserve"> with </w:t>
      </w:r>
      <w:r>
        <w:t xml:space="preserve">certain </w:t>
      </w:r>
      <w:r>
        <w:t xml:space="preserve">retail </w:t>
      </w:r>
      <w:r>
        <w:t>installment contracts</w:t>
      </w:r>
      <w:r>
        <w:t xml:space="preserve">, </w:t>
      </w:r>
      <w:r>
        <w:t>the two subdivisions</w:t>
      </w:r>
      <w:r>
        <w:t xml:space="preserve"> also address distinct </w:t>
      </w:r>
      <w:r>
        <w:t xml:space="preserve">consumer </w:t>
      </w:r>
      <w:r>
        <w:t xml:space="preserve">credit </w:t>
      </w:r>
      <w:r>
        <w:t xml:space="preserve">situations.  </w:t>
      </w:r>
      <w:r>
        <w:t>For example, an extension of credit secured by real property would be excluded from section 1799.90, subdivision (a)(4), but a retail installment contract may be</w:t>
      </w:r>
      <w:r>
        <w:t xml:space="preserve"> secured by real property.  (See</w:t>
      </w:r>
      <w:r>
        <w:t>,</w:t>
      </w:r>
      <w:r>
        <w:t xml:space="preserve"> e.g., §</w:t>
      </w:r>
      <w:r>
        <w:t> </w:t>
      </w:r>
      <w:r>
        <w:t>1803.2, subd. (b)(3) [detailing requirements for “[a]ny contract for goods or services that provides for a security interest in real property”].)</w:t>
      </w:r>
      <w:r>
        <w:t xml:space="preserve">  </w:t>
      </w:r>
      <w:r>
        <w:t>In addition</w:t>
      </w:r>
      <w:r>
        <w:t xml:space="preserve">, </w:t>
      </w:r>
      <w:r>
        <w:t>a</w:t>
      </w:r>
      <w:r>
        <w:t xml:space="preserve"> financing agreement </w:t>
      </w:r>
      <w:r>
        <w:t>that involved</w:t>
      </w:r>
      <w:r>
        <w:t xml:space="preserve"> </w:t>
      </w:r>
      <w:r>
        <w:t>four or fe</w:t>
      </w:r>
      <w:r>
        <w:t>wer inst</w:t>
      </w:r>
      <w:r>
        <w:t>allment payments</w:t>
      </w:r>
      <w:r>
        <w:t xml:space="preserve"> would </w:t>
      </w:r>
      <w:r>
        <w:lastRenderedPageBreak/>
        <w:t xml:space="preserve">not qualify as a retail installment contract </w:t>
      </w:r>
      <w:r>
        <w:t>under subdivision (a)(1)</w:t>
      </w:r>
      <w:r>
        <w:t xml:space="preserve"> of section</w:t>
      </w:r>
      <w:r>
        <w:t> </w:t>
      </w:r>
      <w:r>
        <w:t>1799.90</w:t>
      </w:r>
      <w:r>
        <w:t xml:space="preserve"> </w:t>
      </w:r>
      <w:r>
        <w:t xml:space="preserve">(see </w:t>
      </w:r>
      <w:r>
        <w:t>§ 1802.6</w:t>
      </w:r>
      <w:r>
        <w:t xml:space="preserve"> [defining </w:t>
      </w:r>
      <w:r>
        <w:t>retail installment contracts]</w:t>
      </w:r>
      <w:r>
        <w:t>)</w:t>
      </w:r>
      <w:r>
        <w:t>,</w:t>
      </w:r>
      <w:r>
        <w:t xml:space="preserve"> </w:t>
      </w:r>
      <w:r>
        <w:t xml:space="preserve">but </w:t>
      </w:r>
      <w:r>
        <w:t xml:space="preserve">may </w:t>
      </w:r>
      <w:r>
        <w:t xml:space="preserve">qualify as an </w:t>
      </w:r>
      <w:r>
        <w:t>extension of credit</w:t>
      </w:r>
      <w:r>
        <w:t xml:space="preserve"> under subdivision (a)(4).</w:t>
      </w:r>
      <w:r>
        <w:t xml:space="preserve">  Even if some overlap </w:t>
      </w:r>
      <w:r>
        <w:t xml:space="preserve">between terms </w:t>
      </w:r>
      <w:r>
        <w:t>is unavoidable</w:t>
      </w:r>
      <w:r>
        <w:t>,</w:t>
      </w:r>
      <w:r>
        <w:t xml:space="preserve"> “the presence of some duplication in a multiprong statutory test does not automatically render it meaningless.”  (</w:t>
      </w:r>
      <w:r w:rsidRPr="00630DA2">
        <w:rPr>
          <w:i/>
          <w:iCs/>
        </w:rPr>
        <w:t>People v. Davis</w:t>
      </w:r>
      <w:r>
        <w:t xml:space="preserve"> (1997) 15 Cal.4th 1096, 1102.)  </w:t>
      </w:r>
      <w:r>
        <w:t>W</w:t>
      </w:r>
      <w:r>
        <w:t>hile “ ‘[a] co</w:t>
      </w:r>
      <w:r>
        <w:t>nstruction making some words surplusage is to be avoided’ ” (</w:t>
      </w:r>
      <w:r w:rsidRPr="006F25AF">
        <w:rPr>
          <w:i/>
          <w:iCs/>
        </w:rPr>
        <w:t>Grupe Development Co. v. Superior Court</w:t>
      </w:r>
      <w:r>
        <w:t xml:space="preserve"> (1993) 4 Cal.4th 911, 921), there is no “rule of statutory construction requiring courts ‘to assume that the Legislature has used the most economical means</w:t>
      </w:r>
      <w:r>
        <w:t xml:space="preserve"> of expression in drafting a statute </w:t>
      </w:r>
      <w:r>
        <w:t>. . . </w:t>
      </w:r>
      <w:r>
        <w:t>.’</w:t>
      </w:r>
      <w:r>
        <w:t> </w:t>
      </w:r>
      <w:r>
        <w:t>”  (</w:t>
      </w:r>
      <w:r w:rsidRPr="00CF0DCF">
        <w:rPr>
          <w:i/>
          <w:iCs/>
        </w:rPr>
        <w:t xml:space="preserve">River Garden Retirement Home v. Franchise Tax </w:t>
      </w:r>
      <w:r>
        <w:rPr>
          <w:i/>
          <w:iCs/>
        </w:rPr>
        <w:t>Bd.</w:t>
      </w:r>
      <w:r>
        <w:t xml:space="preserve"> </w:t>
      </w:r>
      <w:r>
        <w:t>(2010) 186 Cal.App.4th 922, 942.)</w:t>
      </w:r>
      <w:r>
        <w:rPr>
          <w:rStyle w:val="FootnoteReference"/>
        </w:rPr>
        <w:footnoteReference w:id="5"/>
      </w:r>
    </w:p>
    <w:p w14:paraId="14A9140C" w14:textId="77777777" w:rsidR="00F02991" w:rsidRPr="00704E41" w:rsidRDefault="008D5068" w:rsidP="00F02991">
      <w:pPr>
        <w:spacing w:after="160" w:line="240" w:lineRule="auto"/>
        <w:ind w:left="720" w:hanging="720"/>
        <w:rPr>
          <w:b/>
          <w:bCs/>
          <w:i/>
          <w:iCs/>
        </w:rPr>
      </w:pPr>
      <w:r w:rsidRPr="00D7767D">
        <w:rPr>
          <w:b/>
          <w:bCs/>
        </w:rPr>
        <w:tab/>
      </w:r>
      <w:r w:rsidRPr="00704E41">
        <w:rPr>
          <w:b/>
          <w:bCs/>
          <w:i/>
          <w:iCs/>
        </w:rPr>
        <w:t>i</w:t>
      </w:r>
      <w:r>
        <w:rPr>
          <w:b/>
          <w:bCs/>
          <w:i/>
          <w:iCs/>
        </w:rPr>
        <w:t>ii</w:t>
      </w:r>
      <w:r w:rsidRPr="00704E41">
        <w:rPr>
          <w:b/>
          <w:bCs/>
          <w:i/>
          <w:iCs/>
        </w:rPr>
        <w:t xml:space="preserve">.  </w:t>
      </w:r>
      <w:r>
        <w:rPr>
          <w:b/>
          <w:bCs/>
          <w:i/>
          <w:iCs/>
        </w:rPr>
        <w:t xml:space="preserve">Caldwell </w:t>
      </w:r>
      <w:r>
        <w:rPr>
          <w:b/>
          <w:bCs/>
          <w:i/>
          <w:iCs/>
        </w:rPr>
        <w:t xml:space="preserve">Is </w:t>
      </w:r>
      <w:r>
        <w:rPr>
          <w:b/>
          <w:bCs/>
          <w:i/>
          <w:iCs/>
        </w:rPr>
        <w:t xml:space="preserve">a </w:t>
      </w:r>
      <w:r>
        <w:rPr>
          <w:b/>
          <w:bCs/>
          <w:i/>
          <w:iCs/>
        </w:rPr>
        <w:t>Cosigner</w:t>
      </w:r>
      <w:r>
        <w:rPr>
          <w:b/>
          <w:bCs/>
          <w:i/>
          <w:iCs/>
        </w:rPr>
        <w:t xml:space="preserve"> Entitled to Statutory Notice </w:t>
      </w:r>
    </w:p>
    <w:p w14:paraId="3572D465" w14:textId="77777777" w:rsidR="006A5210" w:rsidRDefault="008D5068" w:rsidP="00C4414F">
      <w:pPr>
        <w:spacing w:line="360" w:lineRule="auto"/>
      </w:pPr>
      <w:r>
        <w:tab/>
      </w:r>
      <w:r>
        <w:t xml:space="preserve">Because </w:t>
      </w:r>
      <w:r>
        <w:t xml:space="preserve">we conclude that </w:t>
      </w:r>
      <w:r>
        <w:t xml:space="preserve">the </w:t>
      </w:r>
      <w:r>
        <w:t xml:space="preserve">bail premium financing agreement </w:t>
      </w:r>
      <w:r>
        <w:t xml:space="preserve">at issue here </w:t>
      </w:r>
      <w:r>
        <w:t>is a consumer credit contract within the meaning of section</w:t>
      </w:r>
      <w:r>
        <w:t> </w:t>
      </w:r>
      <w:r>
        <w:t xml:space="preserve">1799.90, </w:t>
      </w:r>
      <w:r>
        <w:t>such contrac</w:t>
      </w:r>
      <w:r>
        <w:t xml:space="preserve">t is subject to the consumer protections provided </w:t>
      </w:r>
      <w:r>
        <w:t xml:space="preserve">by </w:t>
      </w:r>
      <w:r>
        <w:t xml:space="preserve">statute, </w:t>
      </w:r>
      <w:r>
        <w:t xml:space="preserve">including the notice provision to </w:t>
      </w:r>
      <w:r>
        <w:t>cosigner</w:t>
      </w:r>
      <w:r>
        <w:t xml:space="preserve">s of </w:t>
      </w:r>
      <w:r>
        <w:t>a</w:t>
      </w:r>
      <w:r>
        <w:t xml:space="preserve"> consumer credit c</w:t>
      </w:r>
      <w:r>
        <w:t xml:space="preserve">ontract. </w:t>
      </w:r>
      <w:r>
        <w:t xml:space="preserve"> Unless the signers are married to each other, “each creditor who obtains the signature of more than one person </w:t>
      </w:r>
      <w:r>
        <w:t xml:space="preserve">on </w:t>
      </w:r>
      <w:r>
        <w:t xml:space="preserve">a </w:t>
      </w:r>
      <w:r>
        <w:t>consumer credit contract shall deliver to each person who does not in fact receive any of the money, property, or services which a</w:t>
      </w:r>
      <w:r>
        <w:t>re the subject matter of the con</w:t>
      </w:r>
      <w:r>
        <w:t xml:space="preserve">sumer credit contract” the statutorily prescribed </w:t>
      </w:r>
      <w:r>
        <w:t xml:space="preserve">written </w:t>
      </w:r>
      <w:r>
        <w:t>notice.  (§1799.91, subd.</w:t>
      </w:r>
      <w:r>
        <w:t> </w:t>
      </w:r>
      <w:r>
        <w:t>(a)</w:t>
      </w:r>
      <w:r>
        <w:t>.</w:t>
      </w:r>
      <w:r>
        <w:t xml:space="preserve">)  Such notice must be given </w:t>
      </w:r>
      <w:r>
        <w:t xml:space="preserve">to the </w:t>
      </w:r>
      <w:r>
        <w:t>cosigner</w:t>
      </w:r>
      <w:r>
        <w:t xml:space="preserve"> “prior to that person’s becoming obligated on the consumer credit contract</w:t>
      </w:r>
      <w:r>
        <w:t>.</w:t>
      </w:r>
      <w:r>
        <w:t xml:space="preserve">” </w:t>
      </w:r>
      <w:r>
        <w:t xml:space="preserve"> </w:t>
      </w:r>
      <w:r>
        <w:t>(</w:t>
      </w:r>
      <w:r>
        <w:rPr>
          <w:i/>
          <w:iCs/>
        </w:rPr>
        <w:t>Ibid.</w:t>
      </w:r>
      <w:r>
        <w:t xml:space="preserve">)  </w:t>
      </w:r>
    </w:p>
    <w:p w14:paraId="114AFDD6" w14:textId="77777777" w:rsidR="00307A46" w:rsidRDefault="008D5068" w:rsidP="00C4414F">
      <w:pPr>
        <w:spacing w:line="360" w:lineRule="auto"/>
      </w:pPr>
      <w:r>
        <w:lastRenderedPageBreak/>
        <w:tab/>
      </w:r>
      <w:r>
        <w:t>In determining that Caldwell was likely to succeed on the merits of her claims</w:t>
      </w:r>
      <w:r>
        <w:t xml:space="preserve">, the trial court found that </w:t>
      </w:r>
      <w:r>
        <w:t>Caldwell</w:t>
      </w:r>
      <w:r>
        <w:t>, her declarants,</w:t>
      </w:r>
      <w:r>
        <w:t xml:space="preserve"> and the other </w:t>
      </w:r>
      <w:r>
        <w:t>cosigner</w:t>
      </w:r>
      <w:r>
        <w:t xml:space="preserve">s of the </w:t>
      </w:r>
      <w:r>
        <w:t>150 enforcement actions filed by BBBB</w:t>
      </w:r>
      <w:r>
        <w:t>,</w:t>
      </w:r>
      <w:r>
        <w:t xml:space="preserve"> had not received section 1799.91 notice</w:t>
      </w:r>
      <w:r>
        <w:t>s</w:t>
      </w:r>
      <w:r>
        <w:t xml:space="preserve"> </w:t>
      </w:r>
      <w:r>
        <w:t xml:space="preserve">prior to signing </w:t>
      </w:r>
      <w:r>
        <w:t>BBBB’s</w:t>
      </w:r>
      <w:r>
        <w:t xml:space="preserve"> Premium Agreements.</w:t>
      </w:r>
      <w:r>
        <w:t xml:space="preserve">  </w:t>
      </w:r>
      <w:r>
        <w:t>Therefore</w:t>
      </w:r>
      <w:r>
        <w:t>,</w:t>
      </w:r>
      <w:r>
        <w:t xml:space="preserve"> </w:t>
      </w:r>
      <w:r>
        <w:t xml:space="preserve">BBBB was prohibited under section 1799.95 from </w:t>
      </w:r>
      <w:r>
        <w:t>filing actions or attempting to collect on these contracts</w:t>
      </w:r>
      <w:r>
        <w:t xml:space="preserve"> with the </w:t>
      </w:r>
      <w:r>
        <w:t>cosigner</w:t>
      </w:r>
      <w:r>
        <w:t xml:space="preserve">s.  </w:t>
      </w:r>
    </w:p>
    <w:p w14:paraId="04F8B7BD" w14:textId="77777777" w:rsidR="00747C82" w:rsidRDefault="008D5068" w:rsidP="00747C82">
      <w:pPr>
        <w:spacing w:line="360" w:lineRule="auto"/>
      </w:pPr>
      <w:r>
        <w:tab/>
      </w:r>
      <w:r>
        <w:t xml:space="preserve">BBBB raises two </w:t>
      </w:r>
      <w:r>
        <w:t>specific chal</w:t>
      </w:r>
      <w:r>
        <w:t>lenges to the applicability of section</w:t>
      </w:r>
      <w:r>
        <w:t> </w:t>
      </w:r>
      <w:r>
        <w:t xml:space="preserve">1799.91.  </w:t>
      </w:r>
      <w:r>
        <w:t xml:space="preserve">First, it argues that </w:t>
      </w:r>
      <w:r>
        <w:t xml:space="preserve">the statute does not apply </w:t>
      </w:r>
      <w:r>
        <w:t>to contracts like Caldwell’s that do not contain “the signature of more than one person.”</w:t>
      </w:r>
      <w:r>
        <w:t xml:space="preserve">  </w:t>
      </w:r>
      <w:r>
        <w:t xml:space="preserve">BBBB notes that </w:t>
      </w:r>
      <w:r>
        <w:t>t</w:t>
      </w:r>
      <w:r>
        <w:t xml:space="preserve">he Premium Agreement </w:t>
      </w:r>
      <w:r>
        <w:t>bears only Caldwell’s signatu</w:t>
      </w:r>
      <w:r>
        <w:t xml:space="preserve">re, </w:t>
      </w:r>
      <w:r>
        <w:t xml:space="preserve">and the record </w:t>
      </w:r>
      <w:r>
        <w:t>shows that BBBB did not obtain the signature of more than one person on other bail bond premium financing agreements</w:t>
      </w:r>
      <w:r>
        <w:t xml:space="preserve"> either</w:t>
      </w:r>
      <w:r>
        <w:t>.</w:t>
      </w:r>
      <w:r>
        <w:t xml:space="preserve">  </w:t>
      </w:r>
      <w:r>
        <w:t>As the trial court pointed out, BBBB does not “explicitly dispute that the arrestee signs similar, if not ident</w:t>
      </w:r>
      <w:r>
        <w:t>ical documents, a fact that is confirmed by the attachment</w:t>
      </w:r>
      <w:r>
        <w:t>s</w:t>
      </w:r>
      <w:r>
        <w:t xml:space="preserve"> of numerous actions to enforce the agreements.”</w:t>
      </w:r>
      <w:r>
        <w:rPr>
          <w:rStyle w:val="FootnoteReference"/>
        </w:rPr>
        <w:footnoteReference w:id="6"/>
      </w:r>
      <w:r>
        <w:t xml:space="preserve">  </w:t>
      </w:r>
      <w:r>
        <w:t xml:space="preserve">BBBB </w:t>
      </w:r>
      <w:r>
        <w:t>essentially</w:t>
      </w:r>
      <w:r>
        <w:t xml:space="preserve"> argues that because its practice is to have a</w:t>
      </w:r>
      <w:r>
        <w:t xml:space="preserve"> </w:t>
      </w:r>
      <w:r>
        <w:t>cosigner</w:t>
      </w:r>
      <w:r>
        <w:t xml:space="preserve"> and the arrestee each sign separate bail agreements that are essentially </w:t>
      </w:r>
      <w:r>
        <w:t xml:space="preserve">identical, section 1799.91 </w:t>
      </w:r>
      <w:r>
        <w:t>should</w:t>
      </w:r>
      <w:r>
        <w:t xml:space="preserve"> not</w:t>
      </w:r>
      <w:r>
        <w:t xml:space="preserve"> be enforced because </w:t>
      </w:r>
      <w:r>
        <w:t xml:space="preserve">these documents do not bear </w:t>
      </w:r>
      <w:r>
        <w:t>“the signature of more than one person.</w:t>
      </w:r>
      <w:r>
        <w:t xml:space="preserve">”  </w:t>
      </w:r>
      <w:r>
        <w:t xml:space="preserve">  </w:t>
      </w:r>
    </w:p>
    <w:p w14:paraId="54AD7B97" w14:textId="77777777" w:rsidR="00B83779" w:rsidRDefault="008D5068" w:rsidP="00747C82">
      <w:pPr>
        <w:spacing w:line="360" w:lineRule="auto"/>
      </w:pPr>
      <w:r>
        <w:lastRenderedPageBreak/>
        <w:tab/>
        <w:t>The trial court appropriately rejected this argument</w:t>
      </w:r>
      <w:r>
        <w:t>, asking</w:t>
      </w:r>
      <w:r>
        <w:t>,</w:t>
      </w:r>
      <w:r>
        <w:t xml:space="preserve"> “</w:t>
      </w:r>
      <w:r>
        <w:t>C</w:t>
      </w:r>
      <w:r>
        <w:t xml:space="preserve">an section 1799.91 be so easily circumvented by simply having the arrestee and co-signer sign different although </w:t>
      </w:r>
      <w:r>
        <w:t xml:space="preserve">identical documents?”  </w:t>
      </w:r>
      <w:r>
        <w:t xml:space="preserve">Relying on basic contract principles, the court </w:t>
      </w:r>
      <w:r>
        <w:t xml:space="preserve">concluded that </w:t>
      </w:r>
      <w:r>
        <w:t>the arrestee and his or her signer are engaged in one ove</w:t>
      </w:r>
      <w:r>
        <w:t>rall transaction, reas</w:t>
      </w:r>
      <w:r>
        <w:t xml:space="preserve">oning that </w:t>
      </w:r>
      <w:r>
        <w:t xml:space="preserve">several </w:t>
      </w:r>
      <w:r>
        <w:t>writings</w:t>
      </w:r>
      <w:r>
        <w:t xml:space="preserve"> that pertain to the same matter may be treated as </w:t>
      </w:r>
      <w:r>
        <w:t>a single</w:t>
      </w:r>
      <w:r>
        <w:t xml:space="preserve"> contract</w:t>
      </w:r>
      <w:r>
        <w:t>.</w:t>
      </w:r>
      <w:r>
        <w:t xml:space="preserve">  </w:t>
      </w:r>
      <w:r>
        <w:t xml:space="preserve">(See </w:t>
      </w:r>
      <w:r>
        <w:rPr>
          <w:i/>
          <w:iCs/>
        </w:rPr>
        <w:t>Holguin v. Dish Network LLC</w:t>
      </w:r>
      <w:r>
        <w:t xml:space="preserve"> (2014) 229 Cal.App.4th 1310, 1322</w:t>
      </w:r>
      <w:r>
        <w:t xml:space="preserve"> </w:t>
      </w:r>
      <w:r>
        <w:t>[</w:t>
      </w:r>
      <w:r>
        <w:t>“Where, as here, the written instruments are all part of the same tr</w:t>
      </w:r>
      <w:r>
        <w:t>ansaction, they may be considered together even when the counterparties to each instrument are different</w:t>
      </w:r>
      <w:r>
        <w:t>.”</w:t>
      </w:r>
      <w:r>
        <w:t>].</w:t>
      </w:r>
      <w:r>
        <w:t>)</w:t>
      </w:r>
      <w:r>
        <w:t xml:space="preserve">  </w:t>
      </w:r>
      <w:r>
        <w:t xml:space="preserve">On appeal, BBBB </w:t>
      </w:r>
      <w:r>
        <w:t>makes no effort to explain why the trial court’s reasoning was unsound.</w:t>
      </w:r>
      <w:r>
        <w:t xml:space="preserve">  We </w:t>
      </w:r>
      <w:r>
        <w:t xml:space="preserve">conclude that when an arrestee and </w:t>
      </w:r>
      <w:r>
        <w:t>cosigner</w:t>
      </w:r>
      <w:r>
        <w:t xml:space="preserve"> </w:t>
      </w:r>
      <w:r>
        <w:t xml:space="preserve">each </w:t>
      </w:r>
      <w:r>
        <w:t>sign</w:t>
      </w:r>
      <w:r>
        <w:t xml:space="preserve"> substantially similar or identical bond premium financing agreements</w:t>
      </w:r>
      <w:r>
        <w:t xml:space="preserve"> which bear the name of the person arrested </w:t>
      </w:r>
      <w:r>
        <w:t xml:space="preserve">or other indicia that the </w:t>
      </w:r>
      <w:r>
        <w:t>writings</w:t>
      </w:r>
      <w:r>
        <w:t xml:space="preserve"> are linked, </w:t>
      </w:r>
      <w:r>
        <w:t xml:space="preserve">the trial court may construe these written instruments as a single contract </w:t>
      </w:r>
      <w:r>
        <w:t>in order to effectua</w:t>
      </w:r>
      <w:r>
        <w:t xml:space="preserve">te </w:t>
      </w:r>
      <w:r>
        <w:t>the purpose of section</w:t>
      </w:r>
      <w:r>
        <w:t> </w:t>
      </w:r>
      <w:r>
        <w:t xml:space="preserve">1799.91, which is to inform </w:t>
      </w:r>
      <w:r>
        <w:t>cosigner</w:t>
      </w:r>
      <w:r>
        <w:t>s of the consequences of signing</w:t>
      </w:r>
      <w:r>
        <w:t xml:space="preserve"> a </w:t>
      </w:r>
      <w:r>
        <w:t xml:space="preserve">consumer </w:t>
      </w:r>
      <w:r>
        <w:t>credit contract</w:t>
      </w:r>
      <w:r>
        <w:t xml:space="preserve">.  </w:t>
      </w:r>
    </w:p>
    <w:p w14:paraId="1E6B36F6" w14:textId="77777777" w:rsidR="00D7767D" w:rsidRDefault="008D5068">
      <w:pPr>
        <w:spacing w:line="360" w:lineRule="auto"/>
      </w:pPr>
      <w:r>
        <w:tab/>
      </w:r>
      <w:r>
        <w:t xml:space="preserve">Second, </w:t>
      </w:r>
      <w:r>
        <w:t xml:space="preserve">BBBB </w:t>
      </w:r>
      <w:r>
        <w:t xml:space="preserve">asserts that section 1799.91 does not apply to non-arrestees </w:t>
      </w:r>
      <w:r>
        <w:t xml:space="preserve">like Caldwell </w:t>
      </w:r>
      <w:r>
        <w:t xml:space="preserve">who sign Premium Agreements because these individuals </w:t>
      </w:r>
      <w:r>
        <w:t>are not “cosigners</w:t>
      </w:r>
      <w:r>
        <w:t>.</w:t>
      </w:r>
      <w:r>
        <w:t xml:space="preserve">” </w:t>
      </w:r>
      <w:r>
        <w:t xml:space="preserve"> </w:t>
      </w:r>
      <w:r>
        <w:t xml:space="preserve">Instead, they </w:t>
      </w:r>
      <w:r>
        <w:t>have received</w:t>
      </w:r>
      <w:r>
        <w:t xml:space="preserve"> </w:t>
      </w:r>
      <w:r>
        <w:t>the</w:t>
      </w:r>
      <w:r>
        <w:t xml:space="preserve"> “services” </w:t>
      </w:r>
      <w:r>
        <w:t xml:space="preserve">that are the subject of the contract by deriving </w:t>
      </w:r>
      <w:r>
        <w:t>a “</w:t>
      </w:r>
      <w:r>
        <w:t>personal b</w:t>
      </w:r>
      <w:r>
        <w:t xml:space="preserve">enefit” from getting their family member or friend out of jail.  </w:t>
      </w:r>
      <w:r>
        <w:t>We are not persuaded</w:t>
      </w:r>
      <w:r>
        <w:t xml:space="preserve">.  </w:t>
      </w:r>
    </w:p>
    <w:p w14:paraId="12282C73" w14:textId="77777777" w:rsidR="002B5148" w:rsidRDefault="008D5068" w:rsidP="00C4414F">
      <w:pPr>
        <w:spacing w:line="360" w:lineRule="auto"/>
      </w:pPr>
      <w:r>
        <w:tab/>
      </w:r>
      <w:r>
        <w:t>Section 1799.91</w:t>
      </w:r>
      <w:r>
        <w:t xml:space="preserve">’s notice provision applies to an individual </w:t>
      </w:r>
      <w:r>
        <w:t xml:space="preserve">who “does not in fact receive any of the money, property, or services which are the subject matter of the </w:t>
      </w:r>
      <w:r>
        <w:t>consumer credit contract.”  (§ 1799.91, subd. (a)</w:t>
      </w:r>
      <w:r>
        <w:t>.</w:t>
      </w:r>
      <w:r>
        <w:t xml:space="preserve">)  </w:t>
      </w:r>
      <w:r>
        <w:t xml:space="preserve">The statute does not contain </w:t>
      </w:r>
      <w:r>
        <w:t xml:space="preserve">an </w:t>
      </w:r>
      <w:r>
        <w:t xml:space="preserve">exception for signatories who receive a “personal” or “intangible” benefit.  </w:t>
      </w:r>
      <w:r>
        <w:t xml:space="preserve">In the procurement of a bail bond, the </w:t>
      </w:r>
      <w:r w:rsidRPr="00BC22CC">
        <w:t>“services”</w:t>
      </w:r>
      <w:r>
        <w:t xml:space="preserve"> are </w:t>
      </w:r>
      <w:r>
        <w:lastRenderedPageBreak/>
        <w:t>received by the person who is released f</w:t>
      </w:r>
      <w:r>
        <w:t xml:space="preserve">rom </w:t>
      </w:r>
      <w:r>
        <w:t xml:space="preserve">detention </w:t>
      </w:r>
      <w:r>
        <w:t xml:space="preserve">as a result of </w:t>
      </w:r>
      <w:r>
        <w:t xml:space="preserve">the posting of a bail bond.  </w:t>
      </w:r>
      <w:r>
        <w:t>BBBB’s argument</w:t>
      </w:r>
      <w:r>
        <w:t xml:space="preserve"> </w:t>
      </w:r>
      <w:r>
        <w:t xml:space="preserve">would write the </w:t>
      </w:r>
      <w:r>
        <w:t>statutory</w:t>
      </w:r>
      <w:r>
        <w:t xml:space="preserve"> notice provision out of existence because any </w:t>
      </w:r>
      <w:r>
        <w:t>cosigner</w:t>
      </w:r>
      <w:r>
        <w:t xml:space="preserve"> might derive a “personal” or psychic benefit </w:t>
      </w:r>
      <w:r>
        <w:t xml:space="preserve">by helping </w:t>
      </w:r>
      <w:r>
        <w:t xml:space="preserve">to </w:t>
      </w:r>
      <w:r>
        <w:t>guarantee a consumer credit contract on be</w:t>
      </w:r>
      <w:r>
        <w:t xml:space="preserve">half of a friend or loved one. </w:t>
      </w:r>
      <w:r>
        <w:t xml:space="preserve"> We do not believe the Legislature intended </w:t>
      </w:r>
      <w:r>
        <w:t xml:space="preserve">such a strained and self-defeating </w:t>
      </w:r>
      <w:r>
        <w:t xml:space="preserve">reading of this provision.  </w:t>
      </w:r>
      <w:r>
        <w:t xml:space="preserve"> </w:t>
      </w:r>
    </w:p>
    <w:p w14:paraId="2A3DEA48" w14:textId="77777777" w:rsidR="008370EA" w:rsidRDefault="008D5068" w:rsidP="00C4414F">
      <w:pPr>
        <w:spacing w:line="360" w:lineRule="auto"/>
      </w:pPr>
      <w:r>
        <w:tab/>
      </w:r>
      <w:r>
        <w:t xml:space="preserve">BBBB suggests another unworkable construction of the statute when it argues </w:t>
      </w:r>
      <w:r>
        <w:t>that Caldwell was not a “cosigner” because she received “the unique service” under the Premium Agreement of “the ability to pay part of the agreed premium over time rather than upf</w:t>
      </w:r>
      <w:r>
        <w:t xml:space="preserve">ront.”  But this feature is true of all consumer credit </w:t>
      </w:r>
      <w:r>
        <w:t>contracts</w:t>
      </w:r>
      <w:r>
        <w:t xml:space="preserve">, which involve </w:t>
      </w:r>
      <w:r>
        <w:t>“obligation</w:t>
      </w:r>
      <w:r>
        <w:t>s</w:t>
      </w:r>
      <w:r>
        <w:t xml:space="preserve"> </w:t>
      </w:r>
      <w:r w:rsidRPr="006A608D">
        <w:t>to pay money on a deferred payment basis</w:t>
      </w:r>
      <w:r>
        <w:t>.</w:t>
      </w:r>
      <w:r>
        <w:t xml:space="preserve">”  (§ </w:t>
      </w:r>
      <w:r>
        <w:t>1799.90</w:t>
      </w:r>
      <w:r>
        <w:t>, subd. (a)</w:t>
      </w:r>
      <w:r>
        <w:t>.</w:t>
      </w:r>
      <w:r>
        <w:t xml:space="preserve">)  </w:t>
      </w:r>
      <w:r>
        <w:t>I</w:t>
      </w:r>
      <w:r w:rsidRPr="00A2453F">
        <w:t xml:space="preserve">f the ability to repay over time itself constituted a </w:t>
      </w:r>
      <w:r>
        <w:t>“</w:t>
      </w:r>
      <w:r w:rsidRPr="00A2453F">
        <w:t>service,</w:t>
      </w:r>
      <w:r>
        <w:t>”</w:t>
      </w:r>
      <w:r w:rsidRPr="00A2453F">
        <w:t xml:space="preserve"> no one would be entitled to</w:t>
      </w:r>
      <w:r w:rsidRPr="00A2453F">
        <w:t xml:space="preserve"> </w:t>
      </w:r>
      <w:r>
        <w:t>cosigner</w:t>
      </w:r>
      <w:r w:rsidRPr="00A2453F">
        <w:t xml:space="preserve"> notice because all signatories to credit contracts receive the benefit of making payments over time.  </w:t>
      </w:r>
      <w:r w:rsidRPr="00CE59A7">
        <w:t>Accordingly, w</w:t>
      </w:r>
      <w:r w:rsidRPr="00CE59A7">
        <w:t xml:space="preserve">e uphold </w:t>
      </w:r>
      <w:r w:rsidRPr="00CE59A7">
        <w:t xml:space="preserve">the trial court’s finding that Caldwell and the </w:t>
      </w:r>
      <w:r>
        <w:t>putative</w:t>
      </w:r>
      <w:r w:rsidRPr="00CE59A7">
        <w:t xml:space="preserve"> class members </w:t>
      </w:r>
      <w:r w:rsidRPr="00CE59A7">
        <w:t xml:space="preserve">who signed BBBB’s Premium Agreements </w:t>
      </w:r>
      <w:r w:rsidRPr="00CE59A7">
        <w:t xml:space="preserve">on behalf of </w:t>
      </w:r>
      <w:r w:rsidRPr="00CE59A7">
        <w:t xml:space="preserve">other arrestees </w:t>
      </w:r>
      <w:r w:rsidRPr="00CE59A7">
        <w:t>are</w:t>
      </w:r>
      <w:r>
        <w:t xml:space="preserve"> </w:t>
      </w:r>
      <w:r>
        <w:t>cosigner</w:t>
      </w:r>
      <w:r>
        <w:t xml:space="preserve">s </w:t>
      </w:r>
      <w:r>
        <w:t xml:space="preserve">entitled to statutory notice under section 1799.91.  </w:t>
      </w:r>
    </w:p>
    <w:p w14:paraId="24518FF8" w14:textId="77777777" w:rsidR="00ED4F14" w:rsidRPr="003B4A72" w:rsidRDefault="008D5068" w:rsidP="008A1CC9">
      <w:pPr>
        <w:spacing w:line="360" w:lineRule="auto"/>
        <w:rPr>
          <w:b/>
          <w:bCs/>
          <w:i/>
          <w:iCs/>
        </w:rPr>
      </w:pPr>
      <w:r w:rsidRPr="003B4A72">
        <w:rPr>
          <w:b/>
          <w:bCs/>
        </w:rPr>
        <w:tab/>
      </w:r>
      <w:r w:rsidRPr="003B4A72">
        <w:rPr>
          <w:b/>
          <w:bCs/>
          <w:i/>
          <w:iCs/>
        </w:rPr>
        <w:t xml:space="preserve"> iv.  </w:t>
      </w:r>
      <w:r w:rsidRPr="003B4A72">
        <w:rPr>
          <w:b/>
          <w:bCs/>
          <w:i/>
          <w:iCs/>
        </w:rPr>
        <w:t>BBBB’s Additional</w:t>
      </w:r>
      <w:r w:rsidRPr="003B4A72">
        <w:rPr>
          <w:b/>
          <w:bCs/>
          <w:i/>
          <w:iCs/>
        </w:rPr>
        <w:t xml:space="preserve"> Contentions</w:t>
      </w:r>
    </w:p>
    <w:p w14:paraId="680CDF54" w14:textId="77777777" w:rsidR="00A257CE" w:rsidRDefault="008D5068" w:rsidP="00F869E8">
      <w:pPr>
        <w:spacing w:line="360" w:lineRule="auto"/>
      </w:pPr>
      <w:r>
        <w:tab/>
        <w:t xml:space="preserve">BBBB </w:t>
      </w:r>
      <w:r>
        <w:t xml:space="preserve">raises several </w:t>
      </w:r>
      <w:r>
        <w:t>additional</w:t>
      </w:r>
      <w:r>
        <w:t xml:space="preserve"> </w:t>
      </w:r>
      <w:r>
        <w:t>arguments</w:t>
      </w:r>
      <w:r>
        <w:t xml:space="preserve"> in its briefing</w:t>
      </w:r>
      <w:r>
        <w:t xml:space="preserve">, some addressing </w:t>
      </w:r>
      <w:r>
        <w:t xml:space="preserve">the propriety of the trial court’s issuance of the preliminary injunction, and other arguments </w:t>
      </w:r>
      <w:r>
        <w:t>challenging</w:t>
      </w:r>
      <w:r>
        <w:t xml:space="preserve"> the scope of </w:t>
      </w:r>
      <w:r>
        <w:t>the relief</w:t>
      </w:r>
      <w:r>
        <w:t xml:space="preserve"> ordered</w:t>
      </w:r>
      <w:r>
        <w:t xml:space="preserve">.  </w:t>
      </w:r>
      <w:r>
        <w:t xml:space="preserve">Because we find no merit to these contentions, we group them together here and address each argument in turn.  </w:t>
      </w:r>
    </w:p>
    <w:p w14:paraId="50E0893C" w14:textId="77777777" w:rsidR="00E80018" w:rsidRPr="003B4A72" w:rsidRDefault="008D5068" w:rsidP="000937D5">
      <w:pPr>
        <w:spacing w:line="360" w:lineRule="auto"/>
        <w:rPr>
          <w:i/>
          <w:iCs/>
        </w:rPr>
      </w:pPr>
      <w:r w:rsidRPr="003B4A72">
        <w:rPr>
          <w:b/>
          <w:bCs/>
          <w:i/>
          <w:iCs/>
        </w:rPr>
        <w:tab/>
      </w:r>
      <w:r w:rsidRPr="003B4A72">
        <w:rPr>
          <w:b/>
          <w:bCs/>
          <w:i/>
          <w:iCs/>
        </w:rPr>
        <w:tab/>
      </w:r>
      <w:r w:rsidRPr="003B4A72">
        <w:rPr>
          <w:i/>
          <w:iCs/>
        </w:rPr>
        <w:t>a</w:t>
      </w:r>
      <w:r w:rsidRPr="003B4A72">
        <w:rPr>
          <w:i/>
          <w:iCs/>
        </w:rPr>
        <w:t xml:space="preserve">.  Effect of Failed </w:t>
      </w:r>
      <w:r w:rsidRPr="003B4A72">
        <w:rPr>
          <w:i/>
          <w:iCs/>
        </w:rPr>
        <w:t>Amendment</w:t>
      </w:r>
      <w:r w:rsidRPr="003B4A72">
        <w:rPr>
          <w:i/>
          <w:iCs/>
        </w:rPr>
        <w:t xml:space="preserve"> to </w:t>
      </w:r>
      <w:r w:rsidRPr="003B4A72">
        <w:rPr>
          <w:i/>
          <w:iCs/>
        </w:rPr>
        <w:t>Civil Code</w:t>
      </w:r>
    </w:p>
    <w:p w14:paraId="50FD95F7" w14:textId="77777777" w:rsidR="00961ACF" w:rsidRDefault="008D5068" w:rsidP="00E80018">
      <w:pPr>
        <w:spacing w:line="360" w:lineRule="auto"/>
      </w:pPr>
      <w:r>
        <w:tab/>
        <w:t xml:space="preserve">BBBB argues the </w:t>
      </w:r>
      <w:r>
        <w:t>trial c</w:t>
      </w:r>
      <w:r>
        <w:t xml:space="preserve">ourt’s interpretation </w:t>
      </w:r>
      <w:r>
        <w:t>of section 1799.91</w:t>
      </w:r>
      <w:r>
        <w:t xml:space="preserve"> was rejected by the Legislature in 2019</w:t>
      </w:r>
      <w:r>
        <w:t>,</w:t>
      </w:r>
      <w:r>
        <w:t xml:space="preserve"> when it declined to adopt proposed </w:t>
      </w:r>
      <w:r>
        <w:lastRenderedPageBreak/>
        <w:t>ame</w:t>
      </w:r>
      <w:r>
        <w:t>ndment</w:t>
      </w:r>
      <w:r>
        <w:t>s</w:t>
      </w:r>
      <w:r>
        <w:t xml:space="preserve"> that would have expanded the definition of </w:t>
      </w:r>
      <w:r>
        <w:t>“</w:t>
      </w:r>
      <w:r>
        <w:t xml:space="preserve">consumer credit </w:t>
      </w:r>
      <w:r>
        <w:t>contract</w:t>
      </w:r>
      <w:r>
        <w:t>”</w:t>
      </w:r>
      <w:r>
        <w:t xml:space="preserve"> </w:t>
      </w:r>
      <w:r>
        <w:t xml:space="preserve">in section 1799.91 </w:t>
      </w:r>
      <w:r>
        <w:t>(</w:t>
      </w:r>
      <w:r>
        <w:t xml:space="preserve">and </w:t>
      </w:r>
      <w:r>
        <w:t xml:space="preserve">three </w:t>
      </w:r>
      <w:r>
        <w:t xml:space="preserve">other consumer credit protection </w:t>
      </w:r>
      <w:r>
        <w:t>statutes)</w:t>
      </w:r>
      <w:r>
        <w:t xml:space="preserve"> </w:t>
      </w:r>
      <w:r>
        <w:t xml:space="preserve">to </w:t>
      </w:r>
      <w:r>
        <w:t xml:space="preserve">expressly </w:t>
      </w:r>
      <w:r>
        <w:t>apply to</w:t>
      </w:r>
      <w:r>
        <w:t xml:space="preserve"> “</w:t>
      </w:r>
      <w:r>
        <w:t> ‘</w:t>
      </w:r>
      <w:r>
        <w:t>bail agreement</w:t>
      </w:r>
      <w:r>
        <w:t>s.”</w:t>
      </w:r>
      <w:r>
        <w:t>’ </w:t>
      </w:r>
      <w:r>
        <w:t xml:space="preserve"> </w:t>
      </w:r>
      <w:r>
        <w:t xml:space="preserve"> </w:t>
      </w:r>
      <w:r>
        <w:t xml:space="preserve">Senate Bill </w:t>
      </w:r>
      <w:r>
        <w:t xml:space="preserve">No. </w:t>
      </w:r>
      <w:r>
        <w:t xml:space="preserve">318 </w:t>
      </w:r>
      <w:r>
        <w:t>(2019–2020 Reg. Sess</w:t>
      </w:r>
      <w:r>
        <w:t>.</w:t>
      </w:r>
      <w:r>
        <w:t xml:space="preserve">) </w:t>
      </w:r>
      <w:r>
        <w:t>(</w:t>
      </w:r>
      <w:r>
        <w:t>Senate Bill 318)</w:t>
      </w:r>
      <w:r>
        <w:t xml:space="preserve"> </w:t>
      </w:r>
      <w:r>
        <w:t xml:space="preserve">would have </w:t>
      </w:r>
      <w:r>
        <w:t xml:space="preserve">clarified that consumer credit notice </w:t>
      </w:r>
      <w:r>
        <w:t>provisions apply to bail bonds</w:t>
      </w:r>
      <w:r>
        <w:t xml:space="preserve"> and immigration bonds.  </w:t>
      </w:r>
      <w:r>
        <w:t>The bill was</w:t>
      </w:r>
      <w:r>
        <w:t xml:space="preserve"> reportedly</w:t>
      </w:r>
      <w:r>
        <w:t xml:space="preserve"> not intended to change existing law, but </w:t>
      </w:r>
      <w:r>
        <w:t>to “restate</w:t>
      </w:r>
      <w:r>
        <w:t>[]</w:t>
      </w:r>
      <w:r>
        <w:t>” that the</w:t>
      </w:r>
      <w:r>
        <w:t>se</w:t>
      </w:r>
      <w:r>
        <w:t xml:space="preserve"> consumer protections </w:t>
      </w:r>
      <w:r>
        <w:t>“apply to bail bond and immigration bonds</w:t>
      </w:r>
      <w:r>
        <w:t>,</w:t>
      </w:r>
      <w:r>
        <w:t>”</w:t>
      </w:r>
      <w:r>
        <w:t xml:space="preserve"> </w:t>
      </w:r>
      <w:r>
        <w:t xml:space="preserve">purportedly </w:t>
      </w:r>
      <w:r>
        <w:t>in response</w:t>
      </w:r>
      <w:r>
        <w:t xml:space="preserve"> to</w:t>
      </w:r>
      <w:r>
        <w:t xml:space="preserve"> </w:t>
      </w:r>
      <w:r>
        <w:t xml:space="preserve">legal </w:t>
      </w:r>
      <w:r>
        <w:t>arguments be</w:t>
      </w:r>
      <w:r>
        <w:t>ing advanced by immigration bond and</w:t>
      </w:r>
      <w:r>
        <w:t xml:space="preserve"> </w:t>
      </w:r>
      <w:r>
        <w:t>bail bond companies</w:t>
      </w:r>
      <w:r>
        <w:t>.</w:t>
      </w:r>
      <w:r>
        <w:t xml:space="preserve">  (Sen. Com. on Judiciary, com. on Senate Bill </w:t>
      </w:r>
      <w:r>
        <w:t>318, as amended Mar. 25, 2019, Executive Summary, p. 1.)</w:t>
      </w:r>
      <w:r>
        <w:t xml:space="preserve"> </w:t>
      </w:r>
      <w:r>
        <w:t xml:space="preserve"> </w:t>
      </w:r>
    </w:p>
    <w:p w14:paraId="2B6F1666" w14:textId="77777777" w:rsidR="00B547F8" w:rsidRDefault="008D5068" w:rsidP="00C94735">
      <w:pPr>
        <w:spacing w:line="360" w:lineRule="auto"/>
      </w:pPr>
      <w:r>
        <w:tab/>
      </w:r>
      <w:r>
        <w:t>T</w:t>
      </w:r>
      <w:r>
        <w:t xml:space="preserve">he trial court </w:t>
      </w:r>
      <w:r>
        <w:t>rejected</w:t>
      </w:r>
      <w:r>
        <w:t xml:space="preserve"> BBBB’s argument, </w:t>
      </w:r>
      <w:r>
        <w:t>reason</w:t>
      </w:r>
      <w:r>
        <w:t>ing</w:t>
      </w:r>
      <w:r>
        <w:t xml:space="preserve"> that the failure to pass the </w:t>
      </w:r>
      <w:r>
        <w:t>amendment</w:t>
      </w:r>
      <w:r>
        <w:t xml:space="preserve"> d</w:t>
      </w:r>
      <w:r>
        <w:t>id not “establish a legislative intent to exclude such transactions from that section’s reach.”</w:t>
      </w:r>
      <w:r>
        <w:t xml:space="preserve"> </w:t>
      </w:r>
      <w:r>
        <w:t xml:space="preserve"> </w:t>
      </w:r>
      <w:r>
        <w:t xml:space="preserve">We agree. </w:t>
      </w:r>
      <w:r>
        <w:t xml:space="preserve">As </w:t>
      </w:r>
      <w:r>
        <w:t>our</w:t>
      </w:r>
      <w:r>
        <w:t xml:space="preserve"> Supreme Court </w:t>
      </w:r>
      <w:r>
        <w:t>explains</w:t>
      </w:r>
      <w:r>
        <w:t xml:space="preserve">: </w:t>
      </w:r>
      <w:r>
        <w:t xml:space="preserve"> </w:t>
      </w:r>
      <w:r>
        <w:t xml:space="preserve">“In most cases there are a number of possible reasons why the Legislature might have failed to enact a proposed provision. </w:t>
      </w:r>
      <w:r>
        <w:t xml:space="preserve"> </w:t>
      </w:r>
      <w:r>
        <w:t xml:space="preserve">One reason might have been, of course, that the Legislature rejected the proposal on its merits. </w:t>
      </w:r>
      <w:r>
        <w:t xml:space="preserve"> </w:t>
      </w:r>
      <w:r>
        <w:t xml:space="preserve">But the Legislature might equally </w:t>
      </w:r>
      <w:r>
        <w:t>well have been motivated instead by considerations unrelated to the merits, not the least of which is that it might have believed the provision unnecessary because the law already so provided</w:t>
      </w:r>
      <w:r>
        <w:t xml:space="preserve"> </w:t>
      </w:r>
      <w:r>
        <w:t>. . . </w:t>
      </w:r>
      <w:r>
        <w:t xml:space="preserve">. </w:t>
      </w:r>
      <w:r>
        <w:t xml:space="preserve">Indeed, when </w:t>
      </w:r>
      <w:r>
        <w:t xml:space="preserve">. . . </w:t>
      </w:r>
      <w:r>
        <w:t>a provision is dropped from a bill du</w:t>
      </w:r>
      <w:r>
        <w:t xml:space="preserve">ring the enactment process, the cause may not even be a </w:t>
      </w:r>
      <w:r w:rsidRPr="0088267F">
        <w:rPr>
          <w:i/>
          <w:iCs/>
        </w:rPr>
        <w:t>legislative</w:t>
      </w:r>
      <w:r>
        <w:t xml:space="preserve"> decision at all; it may simply be that its proponents decided to withdraw the provision on tactical grounds.</w:t>
      </w:r>
      <w:r>
        <w:t xml:space="preserve"> [</w:t>
      </w:r>
      <w:r>
        <w:t>¶</w:t>
      </w:r>
      <w:r>
        <w:t xml:space="preserve">] </w:t>
      </w:r>
      <w:r>
        <w:t>Because these reasons apply equally to a failure to enact a new statute and</w:t>
      </w:r>
      <w:r>
        <w:t xml:space="preserve"> to a failure to amend an existing statute, we decline to draw any such distinction: both cases are governed by our often stated rule that </w:t>
      </w:r>
      <w:r>
        <w:t>‘</w:t>
      </w:r>
      <w:r>
        <w:t>Unpassed bills, as evidences of legislative intent, have little value.</w:t>
      </w:r>
      <w:r>
        <w:t>’</w:t>
      </w:r>
      <w:r>
        <w:t> </w:t>
      </w:r>
      <w:r>
        <w:t>”</w:t>
      </w:r>
      <w:r>
        <w:t xml:space="preserve"> </w:t>
      </w:r>
      <w:r>
        <w:t xml:space="preserve"> (</w:t>
      </w:r>
      <w:r w:rsidRPr="00714D65">
        <w:rPr>
          <w:i/>
          <w:iCs/>
        </w:rPr>
        <w:t>Arnett v. Dal Cielo</w:t>
      </w:r>
      <w:r>
        <w:t xml:space="preserve"> (1996) 14 Cal.4th 4,</w:t>
      </w:r>
      <w:r>
        <w:t xml:space="preserve"> 28</w:t>
      </w:r>
      <w:r>
        <w:t>–</w:t>
      </w:r>
      <w:r>
        <w:t xml:space="preserve">29.)  </w:t>
      </w:r>
      <w:r>
        <w:t xml:space="preserve">Under </w:t>
      </w:r>
      <w:r>
        <w:t>these principles</w:t>
      </w:r>
      <w:r>
        <w:t xml:space="preserve">, </w:t>
      </w:r>
      <w:r>
        <w:t xml:space="preserve">we </w:t>
      </w:r>
      <w:r>
        <w:lastRenderedPageBreak/>
        <w:t xml:space="preserve">decline BBBB’s invitation to </w:t>
      </w:r>
      <w:r>
        <w:t xml:space="preserve">draw any inference over the </w:t>
      </w:r>
      <w:r>
        <w:t xml:space="preserve">Legislature’s </w:t>
      </w:r>
      <w:r>
        <w:t xml:space="preserve">failure to pass </w:t>
      </w:r>
      <w:r>
        <w:t>Senate Bill No.</w:t>
      </w:r>
      <w:r>
        <w:t> </w:t>
      </w:r>
      <w:r>
        <w:t>318</w:t>
      </w:r>
      <w:r>
        <w:t>.</w:t>
      </w:r>
      <w:r>
        <w:t xml:space="preserve"> </w:t>
      </w:r>
    </w:p>
    <w:p w14:paraId="5FBB0F95" w14:textId="77777777" w:rsidR="001B6C28" w:rsidRPr="003B4A72" w:rsidRDefault="008D5068" w:rsidP="007B2E28">
      <w:pPr>
        <w:spacing w:line="360" w:lineRule="auto"/>
        <w:rPr>
          <w:i/>
          <w:iCs/>
        </w:rPr>
      </w:pPr>
      <w:r w:rsidRPr="003B4A72">
        <w:rPr>
          <w:i/>
          <w:iCs/>
        </w:rPr>
        <w:tab/>
      </w:r>
      <w:r w:rsidRPr="003B4A72">
        <w:rPr>
          <w:i/>
          <w:iCs/>
        </w:rPr>
        <w:tab/>
      </w:r>
      <w:r w:rsidRPr="003B4A72">
        <w:rPr>
          <w:i/>
          <w:iCs/>
        </w:rPr>
        <w:t>b</w:t>
      </w:r>
      <w:r w:rsidRPr="003B4A72">
        <w:rPr>
          <w:i/>
          <w:iCs/>
        </w:rPr>
        <w:t>.</w:t>
      </w:r>
      <w:r w:rsidRPr="003B4A72">
        <w:rPr>
          <w:i/>
          <w:iCs/>
        </w:rPr>
        <w:t xml:space="preserve">  </w:t>
      </w:r>
      <w:r w:rsidRPr="003B4A72">
        <w:rPr>
          <w:i/>
          <w:iCs/>
        </w:rPr>
        <w:t>Primary Jurisdiction Doctrine</w:t>
      </w:r>
    </w:p>
    <w:p w14:paraId="2651C0BD" w14:textId="77777777" w:rsidR="00BA0112" w:rsidRDefault="008D5068" w:rsidP="007B2E28">
      <w:pPr>
        <w:spacing w:line="360" w:lineRule="auto"/>
      </w:pPr>
      <w:r>
        <w:tab/>
        <w:t xml:space="preserve">BBBB contends the </w:t>
      </w:r>
      <w:r>
        <w:t>trial</w:t>
      </w:r>
      <w:r>
        <w:t xml:space="preserve"> court’s injunction runs afoul of the primary jurisdiction doctrine</w:t>
      </w:r>
      <w:r>
        <w:t>, arguing that the</w:t>
      </w:r>
      <w:r>
        <w:t xml:space="preserve"> Department has </w:t>
      </w:r>
      <w:r>
        <w:t xml:space="preserve">primary jurisdiction over this matter </w:t>
      </w:r>
      <w:r>
        <w:t xml:space="preserve">because its </w:t>
      </w:r>
      <w:r>
        <w:t xml:space="preserve">bail bond </w:t>
      </w:r>
      <w:r>
        <w:t>regulations</w:t>
      </w:r>
      <w:r>
        <w:t xml:space="preserve"> </w:t>
      </w:r>
      <w:r>
        <w:t xml:space="preserve">set forth extensive disclosure requirements </w:t>
      </w:r>
      <w:r>
        <w:t>and “there is no indication that the [D</w:t>
      </w:r>
      <w:r>
        <w:t xml:space="preserve">epartment] has ever included the section 1799.91 disclosure as an obligation in the course </w:t>
      </w:r>
      <w:r>
        <w:t xml:space="preserve">of </w:t>
      </w:r>
      <w:r>
        <w:t>[</w:t>
      </w:r>
      <w:r>
        <w:t>unpaid bail bond premium transactions</w:t>
      </w:r>
      <w:r>
        <w:t>] or any other bail transaction</w:t>
      </w:r>
      <w:r>
        <w:t>s</w:t>
      </w:r>
      <w:r>
        <w:t>.</w:t>
      </w:r>
      <w:r>
        <w:t>”</w:t>
      </w:r>
      <w:r>
        <w:t xml:space="preserve">  </w:t>
      </w:r>
    </w:p>
    <w:p w14:paraId="295BE4EF" w14:textId="77777777" w:rsidR="00446993" w:rsidRDefault="008D5068" w:rsidP="00446993">
      <w:pPr>
        <w:spacing w:line="360" w:lineRule="auto"/>
      </w:pPr>
      <w:r>
        <w:tab/>
        <w:t xml:space="preserve">Primary jurisdiction </w:t>
      </w:r>
      <w:r>
        <w:t>“ ‘</w:t>
      </w:r>
      <w:r>
        <w:t xml:space="preserve">applies where a claim is originally cognizable in the courts, </w:t>
      </w:r>
      <w:r>
        <w:t>and comes into play whenever enforcement of the claim requires the resolution of issues which, under a regulatory scheme, have been placed within the special competence of an administrative body; in such a case the judicial process is suspended pending ref</w:t>
      </w:r>
      <w:r>
        <w:t>erral of such issues to the administrative body for its views.</w:t>
      </w:r>
      <w:r>
        <w:t>’</w:t>
      </w:r>
      <w:r>
        <w:t> </w:t>
      </w:r>
      <w:r>
        <w:t>”</w:t>
      </w:r>
      <w:r>
        <w:t xml:space="preserve"> </w:t>
      </w:r>
      <w:r>
        <w:t xml:space="preserve"> </w:t>
      </w:r>
      <w:r>
        <w:t>(</w:t>
      </w:r>
      <w:r w:rsidRPr="009418E0">
        <w:rPr>
          <w:i/>
          <w:iCs/>
        </w:rPr>
        <w:t>Farmers Ins. Exchange v. Superior Court</w:t>
      </w:r>
      <w:r>
        <w:t xml:space="preserve"> (1992) 2 Cal.4th 377, 390 (</w:t>
      </w:r>
      <w:r w:rsidRPr="006112EB">
        <w:rPr>
          <w:i/>
          <w:iCs/>
        </w:rPr>
        <w:t>Farmers</w:t>
      </w:r>
      <w:r>
        <w:t xml:space="preserve">), italics omitted; accord, </w:t>
      </w:r>
      <w:r w:rsidRPr="009418E0">
        <w:rPr>
          <w:i/>
          <w:iCs/>
        </w:rPr>
        <w:t>Jonathan Neil &amp; Assoc., Inc. v. Jones</w:t>
      </w:r>
      <w:r>
        <w:t xml:space="preserve"> (2004) 33 Cal.4th 917, 931</w:t>
      </w:r>
      <w:r>
        <w:t>–</w:t>
      </w:r>
      <w:r>
        <w:t xml:space="preserve">932.) </w:t>
      </w:r>
      <w:r>
        <w:t xml:space="preserve"> </w:t>
      </w:r>
      <w:r>
        <w:t>The primary ju</w:t>
      </w:r>
      <w:r>
        <w:t xml:space="preserve">risdiction doctrine advances two policies: </w:t>
      </w:r>
      <w:r>
        <w:t>“</w:t>
      </w:r>
      <w:r>
        <w:t>it enhances court decisionmaking and efficiency by allowing courts to take advantage of administrative expertise, and it helps assure uniform application of regulatory laws.</w:t>
      </w:r>
      <w:r>
        <w:t>”</w:t>
      </w:r>
      <w:r>
        <w:t xml:space="preserve"> </w:t>
      </w:r>
      <w:r>
        <w:t xml:space="preserve"> </w:t>
      </w:r>
      <w:r>
        <w:t>(</w:t>
      </w:r>
      <w:r w:rsidRPr="00B42F54">
        <w:rPr>
          <w:i/>
          <w:iCs/>
        </w:rPr>
        <w:t>Farmers</w:t>
      </w:r>
      <w:r w:rsidRPr="0088267F">
        <w:t>,</w:t>
      </w:r>
      <w:r w:rsidRPr="00B42F54">
        <w:rPr>
          <w:i/>
          <w:iCs/>
        </w:rPr>
        <w:t xml:space="preserve"> </w:t>
      </w:r>
      <w:r>
        <w:t>at p. 391.)</w:t>
      </w:r>
      <w:r>
        <w:t xml:space="preserve">  </w:t>
      </w:r>
      <w:r>
        <w:t>“</w:t>
      </w:r>
      <w:r>
        <w:t>No rigid for</w:t>
      </w:r>
      <w:r>
        <w:t xml:space="preserve">mula exists for applying the primary jurisdiction doctrine [citation]. </w:t>
      </w:r>
      <w:r>
        <w:t xml:space="preserve"> </w:t>
      </w:r>
      <w:r>
        <w:t>Instead, resolution generally hinges on a court</w:t>
      </w:r>
      <w:r>
        <w:t>’</w:t>
      </w:r>
      <w:r>
        <w:t xml:space="preserve">s determination of the extent to which the policies noted above are implicated in a given case. </w:t>
      </w:r>
      <w:r>
        <w:t xml:space="preserve"> </w:t>
      </w:r>
      <w:r>
        <w:t>[Citation</w:t>
      </w:r>
      <w:r>
        <w:t>s</w:t>
      </w:r>
      <w:r>
        <w:t xml:space="preserve">.] </w:t>
      </w:r>
      <w:r>
        <w:t xml:space="preserve"> </w:t>
      </w:r>
      <w:r>
        <w:t xml:space="preserve">This </w:t>
      </w:r>
      <w:r>
        <w:t xml:space="preserve">discretionary approach leaves courts with considerable flexibility to avoid application of the doctrine in </w:t>
      </w:r>
      <w:r>
        <w:lastRenderedPageBreak/>
        <w:t>appropriate situations, as required by the interests of justice.</w:t>
      </w:r>
      <w:r>
        <w:t xml:space="preserve">” </w:t>
      </w:r>
      <w:r>
        <w:t xml:space="preserve"> (</w:t>
      </w:r>
      <w:r>
        <w:rPr>
          <w:i/>
          <w:iCs/>
        </w:rPr>
        <w:t>Id.</w:t>
      </w:r>
      <w:r>
        <w:t xml:space="preserve"> at pp.</w:t>
      </w:r>
      <w:r>
        <w:t> </w:t>
      </w:r>
      <w:r>
        <w:t>391</w:t>
      </w:r>
      <w:r>
        <w:t>–</w:t>
      </w:r>
      <w:r>
        <w:t>392, fns.</w:t>
      </w:r>
      <w:r>
        <w:t> </w:t>
      </w:r>
      <w:r>
        <w:t>omitted.)</w:t>
      </w:r>
    </w:p>
    <w:p w14:paraId="456A693C" w14:textId="77777777" w:rsidR="007A6861" w:rsidRDefault="008D5068" w:rsidP="00B1679A">
      <w:pPr>
        <w:spacing w:line="360" w:lineRule="auto"/>
      </w:pPr>
      <w:r>
        <w:tab/>
      </w:r>
      <w:r>
        <w:t xml:space="preserve">The </w:t>
      </w:r>
      <w:r>
        <w:t xml:space="preserve">trial </w:t>
      </w:r>
      <w:r>
        <w:t xml:space="preserve">court </w:t>
      </w:r>
      <w:r>
        <w:t xml:space="preserve">below </w:t>
      </w:r>
      <w:r>
        <w:t xml:space="preserve">properly </w:t>
      </w:r>
      <w:r>
        <w:t>rejected the d</w:t>
      </w:r>
      <w:r>
        <w:t xml:space="preserve">octrine of primary jurisdiction on the </w:t>
      </w:r>
      <w:r>
        <w:t>ground</w:t>
      </w:r>
      <w:r>
        <w:t xml:space="preserve"> that “the question </w:t>
      </w:r>
      <w:r>
        <w:t xml:space="preserve">[at issue] </w:t>
      </w:r>
      <w:r>
        <w:t xml:space="preserve">is one of interpretation of </w:t>
      </w:r>
      <w:r>
        <w:t>applicable</w:t>
      </w:r>
      <w:r>
        <w:t xml:space="preserve"> statutes,” which is “ ‘an </w:t>
      </w:r>
      <w:r>
        <w:t>inherently</w:t>
      </w:r>
      <w:r>
        <w:t xml:space="preserve"> judicial function</w:t>
      </w:r>
      <w:r>
        <w:t>.</w:t>
      </w:r>
      <w:r>
        <w:t>’</w:t>
      </w:r>
      <w:r>
        <w:t> </w:t>
      </w:r>
      <w:r>
        <w:t xml:space="preserve">” </w:t>
      </w:r>
      <w:r>
        <w:t xml:space="preserve"> </w:t>
      </w:r>
      <w:r>
        <w:t xml:space="preserve">It is clear that </w:t>
      </w:r>
      <w:r>
        <w:t>“</w:t>
      </w:r>
      <w:r>
        <w:t>[t]</w:t>
      </w:r>
      <w:r>
        <w:t>his case involves neither disputed facts of a technical natu</w:t>
      </w:r>
      <w:r>
        <w:t>re nor a voluminous record of conflicting evidence.”  (</w:t>
      </w:r>
      <w:r w:rsidRPr="00B1679A">
        <w:rPr>
          <w:i/>
          <w:iCs/>
        </w:rPr>
        <w:t xml:space="preserve">Southern </w:t>
      </w:r>
      <w:r w:rsidRPr="00B1679A">
        <w:rPr>
          <w:i/>
          <w:iCs/>
        </w:rPr>
        <w:t>Cal</w:t>
      </w:r>
      <w:r>
        <w:rPr>
          <w:i/>
          <w:iCs/>
        </w:rPr>
        <w:t>.</w:t>
      </w:r>
      <w:r w:rsidRPr="00B1679A">
        <w:rPr>
          <w:i/>
          <w:iCs/>
        </w:rPr>
        <w:t xml:space="preserve"> Ch</w:t>
      </w:r>
      <w:r>
        <w:rPr>
          <w:i/>
          <w:iCs/>
        </w:rPr>
        <w:t>.</w:t>
      </w:r>
      <w:r w:rsidRPr="00B1679A">
        <w:rPr>
          <w:i/>
          <w:iCs/>
        </w:rPr>
        <w:t xml:space="preserve"> </w:t>
      </w:r>
      <w:r w:rsidRPr="00B1679A">
        <w:rPr>
          <w:i/>
          <w:iCs/>
        </w:rPr>
        <w:t>of Associated Builders etc. Com. v. California Apprenticeship Council</w:t>
      </w:r>
      <w:r>
        <w:t xml:space="preserve"> (1992) 4 Cal.4th 422, 454.)  </w:t>
      </w:r>
      <w:r>
        <w:t>T</w:t>
      </w:r>
      <w:r w:rsidRPr="007A6861">
        <w:t xml:space="preserve">he </w:t>
      </w:r>
      <w:r>
        <w:t>pivotal</w:t>
      </w:r>
      <w:r w:rsidRPr="007A6861">
        <w:t xml:space="preserve"> issue in this appeal involves a question of statutory interpretation, a </w:t>
      </w:r>
      <w:r w:rsidRPr="007A6861">
        <w:t xml:space="preserve">matter with which courts have considerable experience and which does not necessitate deferral to </w:t>
      </w:r>
      <w:r>
        <w:t>an administrative</w:t>
      </w:r>
      <w:r w:rsidRPr="007A6861">
        <w:t xml:space="preserve"> agency. </w:t>
      </w:r>
      <w:r>
        <w:t xml:space="preserve"> </w:t>
      </w:r>
      <w:r w:rsidRPr="007A6861">
        <w:t>(</w:t>
      </w:r>
      <w:r>
        <w:rPr>
          <w:i/>
          <w:iCs/>
        </w:rPr>
        <w:t>Ibid</w:t>
      </w:r>
      <w:r w:rsidRPr="007A6861">
        <w:t>.)</w:t>
      </w:r>
      <w:r>
        <w:t xml:space="preserve">  Accordingly, the doctrine of </w:t>
      </w:r>
      <w:r>
        <w:t>primary jurisdiction does not apply.</w:t>
      </w:r>
      <w:r>
        <w:rPr>
          <w:rStyle w:val="FootnoteReference"/>
        </w:rPr>
        <w:footnoteReference w:id="7"/>
      </w:r>
      <w:r>
        <w:t xml:space="preserve"> </w:t>
      </w:r>
    </w:p>
    <w:p w14:paraId="1E53F66B" w14:textId="77777777" w:rsidR="0017568B" w:rsidRPr="003B4A72" w:rsidRDefault="008D5068" w:rsidP="00FA1053">
      <w:pPr>
        <w:keepNext/>
        <w:spacing w:line="360" w:lineRule="auto"/>
        <w:rPr>
          <w:i/>
          <w:iCs/>
        </w:rPr>
      </w:pPr>
      <w:r w:rsidRPr="003B4A72">
        <w:rPr>
          <w:b/>
          <w:bCs/>
          <w:i/>
          <w:iCs/>
        </w:rPr>
        <w:tab/>
      </w:r>
      <w:r w:rsidRPr="003B4A72">
        <w:rPr>
          <w:b/>
          <w:bCs/>
          <w:i/>
          <w:iCs/>
        </w:rPr>
        <w:tab/>
      </w:r>
      <w:r w:rsidRPr="003B4A72">
        <w:rPr>
          <w:i/>
          <w:iCs/>
        </w:rPr>
        <w:t>c.</w:t>
      </w:r>
      <w:r w:rsidRPr="003B4A72">
        <w:rPr>
          <w:i/>
          <w:iCs/>
        </w:rPr>
        <w:t xml:space="preserve">  </w:t>
      </w:r>
      <w:r w:rsidRPr="003B4A72">
        <w:rPr>
          <w:i/>
          <w:iCs/>
        </w:rPr>
        <w:t>Exclusive Concurrent Jurisdiction</w:t>
      </w:r>
    </w:p>
    <w:p w14:paraId="162135A0" w14:textId="77777777" w:rsidR="0017568B" w:rsidRDefault="008D5068" w:rsidP="0017568B">
      <w:pPr>
        <w:spacing w:line="360" w:lineRule="auto"/>
      </w:pPr>
      <w:r>
        <w:tab/>
        <w:t xml:space="preserve">BBBB </w:t>
      </w:r>
      <w:r>
        <w:t xml:space="preserve">next </w:t>
      </w:r>
      <w:r>
        <w:t xml:space="preserve">contends that the </w:t>
      </w:r>
      <w:r>
        <w:t xml:space="preserve">preliminary </w:t>
      </w:r>
      <w:r>
        <w:t>injunction violates the doctrine of exclusive concurrent jurisdiction, asserting that the trial court lacked the power to enjoin the enforcement of hundreds of other actions that BBBB claims were pending before Caldwell f</w:t>
      </w:r>
      <w:r>
        <w:t xml:space="preserve">iled her cross-complaint.  The contention lacks merit.  </w:t>
      </w:r>
    </w:p>
    <w:p w14:paraId="1312EAEF" w14:textId="77777777" w:rsidR="005A41EF" w:rsidRPr="00277404" w:rsidRDefault="008D5068" w:rsidP="0017568B">
      <w:pPr>
        <w:spacing w:line="360" w:lineRule="auto"/>
      </w:pPr>
      <w:r>
        <w:tab/>
        <w:t>The doctrine of “</w:t>
      </w:r>
      <w:r>
        <w:t> ‘</w:t>
      </w:r>
      <w:r>
        <w:t>e</w:t>
      </w:r>
      <w:r w:rsidRPr="00DE14D0">
        <w:t>xclusive concurrent jurisdiction</w:t>
      </w:r>
      <w:r>
        <w:t>’ </w:t>
      </w:r>
      <w:r>
        <w:t>”</w:t>
      </w:r>
      <w:r w:rsidRPr="00DE14D0">
        <w:t xml:space="preserve"> provides that when two or more courts have subject matter jurisdiction over a dispute, the court that first asserts jurisdiction assumes it to</w:t>
      </w:r>
      <w:r w:rsidRPr="00DE14D0">
        <w:t xml:space="preserve"> the exclusion of the others. </w:t>
      </w:r>
      <w:r>
        <w:t xml:space="preserve"> </w:t>
      </w:r>
      <w:r w:rsidRPr="00DE14D0">
        <w:t>(</w:t>
      </w:r>
      <w:r w:rsidRPr="00D777F9">
        <w:rPr>
          <w:i/>
          <w:iCs/>
        </w:rPr>
        <w:t>Franklin &amp; Franklin v. 7-Eleven Owners for Fair Franchising</w:t>
      </w:r>
      <w:r w:rsidRPr="00DE14D0">
        <w:t xml:space="preserve"> (2000) 85</w:t>
      </w:r>
      <w:r>
        <w:t> </w:t>
      </w:r>
      <w:r w:rsidRPr="00DE14D0">
        <w:t xml:space="preserve">Cal.App.4th 1168, 1175; see also </w:t>
      </w:r>
      <w:r w:rsidRPr="00E14559">
        <w:rPr>
          <w:i/>
          <w:iCs/>
        </w:rPr>
        <w:t>Levine v. Smith</w:t>
      </w:r>
      <w:r w:rsidRPr="00DE14D0">
        <w:t xml:space="preserve"> (2006) 145 Cal.App.4th 1131, 1135</w:t>
      </w:r>
      <w:r>
        <w:t xml:space="preserve"> </w:t>
      </w:r>
      <w:r w:rsidRPr="00DE14D0">
        <w:t>[</w:t>
      </w:r>
      <w:r>
        <w:t>“</w:t>
      </w:r>
      <w:r w:rsidRPr="00DE14D0">
        <w:t>Under the doctrine of priority of jurisdiction, the first superior co</w:t>
      </w:r>
      <w:r w:rsidRPr="00DE14D0">
        <w:t xml:space="preserve">urt to assume and exercise jurisdiction in the case acquires exclusive </w:t>
      </w:r>
      <w:r w:rsidRPr="00DE14D0">
        <w:lastRenderedPageBreak/>
        <w:t>jurisdiction until the matter is disposed of</w:t>
      </w:r>
      <w:r>
        <w:t>.</w:t>
      </w:r>
      <w:r>
        <w:t>”</w:t>
      </w:r>
      <w:r w:rsidRPr="00DE14D0">
        <w:t>]</w:t>
      </w:r>
      <w:r>
        <w:t>.)</w:t>
      </w:r>
      <w:r>
        <w:t xml:space="preserve">  </w:t>
      </w:r>
      <w:r w:rsidRPr="006D19CF">
        <w:t xml:space="preserve">The rule is </w:t>
      </w:r>
      <w:r>
        <w:t>“</w:t>
      </w:r>
      <w:r w:rsidRPr="006D19CF">
        <w:t>a judicial rule of priority or preference and is not jurisdictional in the traditional sense of the word,</w:t>
      </w:r>
      <w:r>
        <w:t>”</w:t>
      </w:r>
      <w:r w:rsidRPr="006D19CF">
        <w:t xml:space="preserve"> in that it </w:t>
      </w:r>
      <w:r>
        <w:t>“</w:t>
      </w:r>
      <w:r w:rsidRPr="006D19CF">
        <w:t>do</w:t>
      </w:r>
      <w:r w:rsidRPr="006D19CF">
        <w:t>es not divest a court, which otherwise has jurisdiction of an action, of jurisdiction.</w:t>
      </w:r>
      <w:r>
        <w:t>”</w:t>
      </w:r>
      <w:r w:rsidRPr="006D19CF">
        <w:t xml:space="preserve"> </w:t>
      </w:r>
      <w:r>
        <w:t xml:space="preserve"> (</w:t>
      </w:r>
      <w:r w:rsidRPr="00834859">
        <w:rPr>
          <w:i/>
          <w:iCs/>
        </w:rPr>
        <w:t>People ex rel. Garamendi v. American Autoplan, Inc.</w:t>
      </w:r>
      <w:r>
        <w:t xml:space="preserve"> (1993) 20 Cal.App.4th 760, </w:t>
      </w:r>
      <w:r w:rsidRPr="006D19CF">
        <w:t>764</w:t>
      </w:r>
      <w:r>
        <w:t>–</w:t>
      </w:r>
      <w:r w:rsidRPr="006D19CF">
        <w:t>765, 769</w:t>
      </w:r>
      <w:r>
        <w:t xml:space="preserve"> (</w:t>
      </w:r>
      <w:r w:rsidRPr="002E4B91">
        <w:rPr>
          <w:i/>
          <w:iCs/>
        </w:rPr>
        <w:t>Garamendi</w:t>
      </w:r>
      <w:r>
        <w:t>)</w:t>
      </w:r>
      <w:r w:rsidRPr="006D19CF">
        <w:t>.)</w:t>
      </w:r>
      <w:r>
        <w:t xml:space="preserve">  </w:t>
      </w:r>
      <w:r>
        <w:t>The purpose of this rule “</w:t>
      </w:r>
      <w:r w:rsidRPr="00325BEF">
        <w:t xml:space="preserve">is to avoid unseemly </w:t>
      </w:r>
      <w:r w:rsidRPr="00325BEF">
        <w:t>conflict between courts that might arise if they were free to make contradictory decisions or awards at the same time or relating to the same controversy</w:t>
      </w:r>
      <w:r>
        <w:t xml:space="preserve">” </w:t>
      </w:r>
      <w:r>
        <w:t xml:space="preserve">and “to </w:t>
      </w:r>
      <w:r w:rsidRPr="00325BEF">
        <w:t>protect litigants from the expense and harassment of multiple litigation.</w:t>
      </w:r>
      <w:r>
        <w:t xml:space="preserve">” </w:t>
      </w:r>
      <w:r>
        <w:t xml:space="preserve"> </w:t>
      </w:r>
      <w:r>
        <w:t>(</w:t>
      </w:r>
      <w:r w:rsidRPr="003B4A72">
        <w:rPr>
          <w:i/>
          <w:iCs/>
        </w:rPr>
        <w:t>Scott v. Industr</w:t>
      </w:r>
      <w:r w:rsidRPr="003B4A72">
        <w:rPr>
          <w:i/>
          <w:iCs/>
        </w:rPr>
        <w:t>ial Ac</w:t>
      </w:r>
      <w:r w:rsidRPr="003B4A72">
        <w:rPr>
          <w:i/>
          <w:iCs/>
        </w:rPr>
        <w:t>c</w:t>
      </w:r>
      <w:r>
        <w:rPr>
          <w:i/>
          <w:iCs/>
        </w:rPr>
        <w:t>i</w:t>
      </w:r>
      <w:r w:rsidRPr="003B4A72">
        <w:rPr>
          <w:i/>
          <w:iCs/>
        </w:rPr>
        <w:t>. Com</w:t>
      </w:r>
      <w:r>
        <w:rPr>
          <w:i/>
          <w:iCs/>
        </w:rPr>
        <w:t>.</w:t>
      </w:r>
      <w:r>
        <w:t xml:space="preserve"> (1956) 46 Cal.2d 76, 81</w:t>
      </w:r>
      <w:r>
        <w:t>–</w:t>
      </w:r>
      <w:r>
        <w:t>82</w:t>
      </w:r>
      <w:r>
        <w:t>.</w:t>
      </w:r>
      <w:r>
        <w:t xml:space="preserve">)  </w:t>
      </w:r>
      <w:r w:rsidRPr="00277404">
        <w:t>Because it is a policy rule, the application of the rule in a given case depends upon the balancing of countervailing policies</w:t>
      </w:r>
      <w:r>
        <w:t xml:space="preserve">.  </w:t>
      </w:r>
      <w:r w:rsidRPr="009C28CB">
        <w:t>(</w:t>
      </w:r>
      <w:r w:rsidRPr="003B4A72">
        <w:rPr>
          <w:i/>
          <w:iCs/>
        </w:rPr>
        <w:t>Childs v. Eltinge</w:t>
      </w:r>
      <w:r w:rsidRPr="009C28CB">
        <w:t xml:space="preserve"> (1973) 29 Cal.App.3d 843, 854.)</w:t>
      </w:r>
    </w:p>
    <w:p w14:paraId="57CB81F4" w14:textId="77777777" w:rsidR="0017568B" w:rsidRDefault="008D5068" w:rsidP="0017568B">
      <w:pPr>
        <w:spacing w:line="360" w:lineRule="auto"/>
      </w:pPr>
      <w:r>
        <w:tab/>
        <w:t>Importantly, “[t]he rule of ex</w:t>
      </w:r>
      <w:r>
        <w:t>clusive concurrent jurisdiction is not a defense to a request for a preliminary injunction.  Exclusive concurrent jurisdiction is a judicial rule of policy which mandates that the second action be stayed upon the filing of an appropriate pleading.  Prior t</w:t>
      </w:r>
      <w:r>
        <w:t>o the filing of such an appropriate pleading, the trial court in the second action retains jurisdiction to act.  Opposition to a request for a preliminary injunction is not such an appropriate pleading.  A trial court may not stay or dismiss an action in c</w:t>
      </w:r>
      <w:r>
        <w:t xml:space="preserve">onnection with a hearing on a preliminary injunction; it is without power to grant such relief.”  </w:t>
      </w:r>
      <w:bookmarkStart w:id="0" w:name="_Hlk83977645"/>
      <w:r>
        <w:t>(</w:t>
      </w:r>
      <w:r w:rsidRPr="00834859">
        <w:rPr>
          <w:i/>
          <w:iCs/>
        </w:rPr>
        <w:t>Garamendi</w:t>
      </w:r>
      <w:r>
        <w:rPr>
          <w:i/>
          <w:iCs/>
        </w:rPr>
        <w:t xml:space="preserve">, supra, </w:t>
      </w:r>
      <w:r>
        <w:t>20 Cal.App.4th at p.</w:t>
      </w:r>
      <w:r>
        <w:t> </w:t>
      </w:r>
      <w:r>
        <w:t xml:space="preserve">774.)  </w:t>
      </w:r>
      <w:bookmarkEnd w:id="0"/>
    </w:p>
    <w:p w14:paraId="35455125" w14:textId="77777777" w:rsidR="00A6378D" w:rsidRDefault="008D5068" w:rsidP="0017568B">
      <w:pPr>
        <w:spacing w:line="360" w:lineRule="auto"/>
      </w:pPr>
      <w:r>
        <w:tab/>
      </w:r>
      <w:r>
        <w:t xml:space="preserve">As </w:t>
      </w:r>
      <w:r>
        <w:t>Caldwell</w:t>
      </w:r>
      <w:r>
        <w:t xml:space="preserve"> points out, BBBB has never sought to obtain a stay </w:t>
      </w:r>
      <w:r>
        <w:t>in this matter in deferenc</w:t>
      </w:r>
      <w:r>
        <w:t>e</w:t>
      </w:r>
      <w:r>
        <w:t xml:space="preserve"> to some earlier-fi</w:t>
      </w:r>
      <w:r>
        <w:t xml:space="preserve">led case. </w:t>
      </w:r>
      <w:r>
        <w:t xml:space="preserve"> </w:t>
      </w:r>
      <w:r>
        <w:t xml:space="preserve">Further, there are no active earlier-filed cases in which </w:t>
      </w:r>
      <w:r>
        <w:t xml:space="preserve">a </w:t>
      </w:r>
      <w:r>
        <w:t>cosigner</w:t>
      </w:r>
      <w:r>
        <w:t xml:space="preserve"> has cross-claimed on the grounds that BBBB </w:t>
      </w:r>
      <w:r>
        <w:t>is legally barred from</w:t>
      </w:r>
      <w:r>
        <w:t xml:space="preserve"> enforcing a premium financing agreement </w:t>
      </w:r>
      <w:r>
        <w:t>under sections 1799.91 and 1799.95</w:t>
      </w:r>
      <w:r>
        <w:t xml:space="preserve">, </w:t>
      </w:r>
      <w:r>
        <w:t xml:space="preserve">and no </w:t>
      </w:r>
      <w:r>
        <w:t>prior</w:t>
      </w:r>
      <w:r>
        <w:t xml:space="preserve"> case </w:t>
      </w:r>
      <w:r>
        <w:t xml:space="preserve">that </w:t>
      </w:r>
      <w:r>
        <w:t>involves a putative class action</w:t>
      </w:r>
      <w:r>
        <w:t xml:space="preserve"> </w:t>
      </w:r>
      <w:r>
        <w:t>asserting</w:t>
      </w:r>
      <w:r>
        <w:t xml:space="preserve"> these claims</w:t>
      </w:r>
      <w:r>
        <w:t xml:space="preserve">.  </w:t>
      </w:r>
      <w:r>
        <w:t>Thus</w:t>
      </w:r>
      <w:r>
        <w:t xml:space="preserve">, it </w:t>
      </w:r>
      <w:r>
        <w:t>appears</w:t>
      </w:r>
      <w:r>
        <w:t xml:space="preserve"> doubtful that BBBB has </w:t>
      </w:r>
      <w:r>
        <w:lastRenderedPageBreak/>
        <w:t xml:space="preserve">established grounds </w:t>
      </w:r>
      <w:r>
        <w:t xml:space="preserve">to dismiss or stay this action under the </w:t>
      </w:r>
      <w:r>
        <w:t xml:space="preserve">doctrine of </w:t>
      </w:r>
      <w:r>
        <w:t>exclusive concurrent jurisdiction</w:t>
      </w:r>
      <w:r>
        <w:t xml:space="preserve">.  </w:t>
      </w:r>
      <w:r>
        <w:t xml:space="preserve">However, even if </w:t>
      </w:r>
      <w:r>
        <w:t xml:space="preserve">BBBB had </w:t>
      </w:r>
      <w:r>
        <w:t>properly</w:t>
      </w:r>
      <w:r>
        <w:t xml:space="preserve"> invoke</w:t>
      </w:r>
      <w:r>
        <w:t>d</w:t>
      </w:r>
      <w:r>
        <w:t xml:space="preserve"> this r</w:t>
      </w:r>
      <w:r>
        <w:t xml:space="preserve">ule, </w:t>
      </w:r>
      <w:r>
        <w:t xml:space="preserve">the trial court </w:t>
      </w:r>
      <w:r>
        <w:t>was</w:t>
      </w:r>
      <w:r>
        <w:t xml:space="preserve"> without any power to grant a stay or dismissal o</w:t>
      </w:r>
      <w:r>
        <w:t xml:space="preserve">f the pending action in connection with </w:t>
      </w:r>
      <w:r>
        <w:t xml:space="preserve">a hearing on the preliminary injunction.  </w:t>
      </w:r>
      <w:r>
        <w:t>(</w:t>
      </w:r>
      <w:r w:rsidRPr="00834859">
        <w:rPr>
          <w:i/>
          <w:iCs/>
        </w:rPr>
        <w:t>Garamendi</w:t>
      </w:r>
      <w:r>
        <w:rPr>
          <w:i/>
          <w:iCs/>
        </w:rPr>
        <w:t xml:space="preserve">, supra, </w:t>
      </w:r>
      <w:r>
        <w:t xml:space="preserve">20 Cal.App.4th at p. 774.)  </w:t>
      </w:r>
    </w:p>
    <w:p w14:paraId="3F46DAAC" w14:textId="77777777" w:rsidR="00126EE3" w:rsidRDefault="008D5068" w:rsidP="0017568B">
      <w:pPr>
        <w:spacing w:line="360" w:lineRule="auto"/>
      </w:pPr>
      <w:r>
        <w:tab/>
      </w:r>
      <w:r>
        <w:t xml:space="preserve">BBBB </w:t>
      </w:r>
      <w:r>
        <w:t xml:space="preserve">also </w:t>
      </w:r>
      <w:r>
        <w:t xml:space="preserve">contends that </w:t>
      </w:r>
      <w:r>
        <w:t xml:space="preserve">the preliminary injunction </w:t>
      </w:r>
      <w:r>
        <w:t>improperly “overturns” or “</w:t>
      </w:r>
      <w:r>
        <w:t> ‘</w:t>
      </w:r>
      <w:r>
        <w:t>nullif</w:t>
      </w:r>
      <w:r>
        <w:t>[</w:t>
      </w:r>
      <w:r>
        <w:t>ies</w:t>
      </w:r>
      <w:r>
        <w:t>]’ </w:t>
      </w:r>
      <w:r>
        <w:t xml:space="preserve">” </w:t>
      </w:r>
      <w:r>
        <w:t xml:space="preserve">the entry of judgement in prior collection actions, </w:t>
      </w:r>
      <w:r>
        <w:t xml:space="preserve">particularly in several </w:t>
      </w:r>
      <w:r>
        <w:t>default judgments.</w:t>
      </w:r>
      <w:r>
        <w:t xml:space="preserve">  </w:t>
      </w:r>
      <w:r>
        <w:t xml:space="preserve">We disagree.  </w:t>
      </w:r>
      <w:r>
        <w:t>T</w:t>
      </w:r>
      <w:r>
        <w:t xml:space="preserve">he trial court </w:t>
      </w:r>
      <w:r>
        <w:t>enjoins</w:t>
      </w:r>
      <w:r>
        <w:t xml:space="preserve"> BBBB</w:t>
      </w:r>
      <w:r>
        <w:t xml:space="preserve">, on </w:t>
      </w:r>
      <w:r>
        <w:t>an interim</w:t>
      </w:r>
      <w:r>
        <w:t xml:space="preserve"> basis, </w:t>
      </w:r>
      <w:r>
        <w:t>from “</w:t>
      </w:r>
      <w:r>
        <w:t>seeking to enforce, execute, or collect on an</w:t>
      </w:r>
      <w:r>
        <w:t>y judgments against such cosigners.</w:t>
      </w:r>
      <w:r>
        <w:t>”</w:t>
      </w:r>
      <w:r>
        <w:t xml:space="preserve"> </w:t>
      </w:r>
      <w:r>
        <w:t xml:space="preserve"> In both language and effect, </w:t>
      </w:r>
      <w:r>
        <w:t>the order</w:t>
      </w:r>
      <w:r>
        <w:t xml:space="preserve"> does not disturb any prior judgment or reopen any prior case.  </w:t>
      </w:r>
      <w:r>
        <w:t xml:space="preserve">As </w:t>
      </w:r>
      <w:r>
        <w:t>Caldwell</w:t>
      </w:r>
      <w:r>
        <w:t xml:space="preserve"> </w:t>
      </w:r>
      <w:r>
        <w:t>notes</w:t>
      </w:r>
      <w:r>
        <w:t>, the preliminary injunction ensures that, while this case proceeds</w:t>
      </w:r>
      <w:r>
        <w:t xml:space="preserve"> to an adjudication of the </w:t>
      </w:r>
      <w:r>
        <w:t>putat</w:t>
      </w:r>
      <w:r>
        <w:t xml:space="preserve">ive </w:t>
      </w:r>
      <w:r>
        <w:t>class members</w:t>
      </w:r>
      <w:r>
        <w:t>’</w:t>
      </w:r>
      <w:r>
        <w:t xml:space="preserve"> claims,</w:t>
      </w:r>
      <w:r>
        <w:t xml:space="preserve"> BBBB “is prohibited from taking any new actions that would expose defaulting cosigners to particularly severe forms of irreparable harm—wage garnishments, credit injury, the imposition of judgment liens, or the seizure of securit</w:t>
      </w:r>
      <w:r>
        <w:t>ies.”</w:t>
      </w:r>
      <w:r>
        <w:rPr>
          <w:rStyle w:val="FootnoteReference"/>
        </w:rPr>
        <w:footnoteReference w:id="8"/>
      </w:r>
      <w:r>
        <w:t xml:space="preserve">  </w:t>
      </w:r>
      <w:r>
        <w:t xml:space="preserve"> </w:t>
      </w:r>
    </w:p>
    <w:p w14:paraId="1C3FD759" w14:textId="77777777" w:rsidR="00961ACF" w:rsidRPr="003B4A72" w:rsidRDefault="008D5068" w:rsidP="0017568B">
      <w:pPr>
        <w:spacing w:line="360" w:lineRule="auto"/>
        <w:rPr>
          <w:i/>
          <w:iCs/>
        </w:rPr>
      </w:pPr>
      <w:r w:rsidRPr="003B4A72">
        <w:rPr>
          <w:b/>
          <w:bCs/>
          <w:i/>
          <w:iCs/>
        </w:rPr>
        <w:tab/>
      </w:r>
      <w:r w:rsidRPr="003B4A72">
        <w:rPr>
          <w:b/>
          <w:bCs/>
          <w:i/>
          <w:iCs/>
        </w:rPr>
        <w:tab/>
      </w:r>
      <w:r w:rsidRPr="003B4A72">
        <w:rPr>
          <w:i/>
          <w:iCs/>
        </w:rPr>
        <w:t>d</w:t>
      </w:r>
      <w:r w:rsidRPr="003B4A72">
        <w:rPr>
          <w:i/>
          <w:iCs/>
        </w:rPr>
        <w:t>.</w:t>
      </w:r>
      <w:r w:rsidRPr="003B4A72">
        <w:rPr>
          <w:i/>
          <w:iCs/>
        </w:rPr>
        <w:t xml:space="preserve">  </w:t>
      </w:r>
      <w:r w:rsidRPr="003B4A72">
        <w:rPr>
          <w:i/>
          <w:iCs/>
        </w:rPr>
        <w:t>Due Process</w:t>
      </w:r>
    </w:p>
    <w:p w14:paraId="58352328" w14:textId="77777777" w:rsidR="0017568B" w:rsidRDefault="008D5068" w:rsidP="0017568B">
      <w:pPr>
        <w:spacing w:line="360" w:lineRule="auto"/>
      </w:pPr>
      <w:r>
        <w:tab/>
      </w:r>
      <w:r>
        <w:t xml:space="preserve">BBBB asserts that the superior court’s “ ‘retroactive application’ ” of an “entirely new” interpretation of section 1799.91 violates </w:t>
      </w:r>
      <w:r>
        <w:t xml:space="preserve">its </w:t>
      </w:r>
      <w:r>
        <w:t>due process</w:t>
      </w:r>
      <w:r>
        <w:t xml:space="preserve"> rights</w:t>
      </w:r>
      <w:r>
        <w:t xml:space="preserve">.  </w:t>
      </w:r>
      <w:r>
        <w:t xml:space="preserve">BBBB is mistaken.  </w:t>
      </w:r>
      <w:r>
        <w:t>“In general, judicial decisions apply retroactively.  [Citations.]  This rule a</w:t>
      </w:r>
      <w:r>
        <w:t xml:space="preserve">pplies to decisions interpreting statutes, for ‘ “[a] judicial construction of a statute is an authoritative statement of what the statute meant before as well as after the decision of the case giving rise to </w:t>
      </w:r>
      <w:r>
        <w:lastRenderedPageBreak/>
        <w:t>that construction.” ’</w:t>
      </w:r>
      <w:r>
        <w:t> </w:t>
      </w:r>
      <w:r>
        <w:t>”  (</w:t>
      </w:r>
      <w:r w:rsidRPr="00602EAD">
        <w:rPr>
          <w:i/>
          <w:iCs/>
        </w:rPr>
        <w:t>Ferra v. Loews Hollyw</w:t>
      </w:r>
      <w:r w:rsidRPr="00602EAD">
        <w:rPr>
          <w:i/>
          <w:iCs/>
        </w:rPr>
        <w:t>ood Hotel, LLC</w:t>
      </w:r>
      <w:r>
        <w:t xml:space="preserve"> (2021) 11</w:t>
      </w:r>
      <w:r>
        <w:t> </w:t>
      </w:r>
      <w:r>
        <w:t xml:space="preserve">Cal.5th 858, </w:t>
      </w:r>
      <w:r>
        <w:t>878</w:t>
      </w:r>
      <w:r>
        <w:t xml:space="preserve">; see also </w:t>
      </w:r>
      <w:r>
        <w:rPr>
          <w:i/>
          <w:iCs/>
        </w:rPr>
        <w:t xml:space="preserve">Woosley v. </w:t>
      </w:r>
      <w:r>
        <w:rPr>
          <w:i/>
          <w:iCs/>
        </w:rPr>
        <w:t xml:space="preserve">State of </w:t>
      </w:r>
      <w:r>
        <w:rPr>
          <w:i/>
          <w:iCs/>
        </w:rPr>
        <w:t>California</w:t>
      </w:r>
      <w:r>
        <w:t xml:space="preserve"> (1992) 3 Cal.4th 758, 794 </w:t>
      </w:r>
      <w:r>
        <w:t>[</w:t>
      </w:r>
      <w:r>
        <w:t>“</w:t>
      </w:r>
      <w:r>
        <w:t> ‘</w:t>
      </w:r>
      <w:r>
        <w:t xml:space="preserve">Whenever a decision undertakes to vindicate the original meaning of an enactment </w:t>
      </w:r>
      <w:r>
        <w:t>. . .</w:t>
      </w:r>
      <w:r>
        <w:t xml:space="preserve"> retroactive application is essential to accomplish that </w:t>
      </w:r>
      <w:r>
        <w:t>aim</w:t>
      </w:r>
      <w:r>
        <w:t>.’ </w:t>
      </w:r>
      <w:r>
        <w:t>”</w:t>
      </w:r>
      <w:r>
        <w:t>].</w:t>
      </w:r>
      <w:r>
        <w:t>)</w:t>
      </w:r>
    </w:p>
    <w:p w14:paraId="0992ADB8" w14:textId="77777777" w:rsidR="0017568B" w:rsidRDefault="008D5068" w:rsidP="0017568B">
      <w:pPr>
        <w:spacing w:line="360" w:lineRule="auto"/>
      </w:pPr>
      <w:r>
        <w:tab/>
        <w:t xml:space="preserve">BBBB’s </w:t>
      </w:r>
      <w:r>
        <w:t xml:space="preserve">reliance on </w:t>
      </w:r>
      <w:r w:rsidRPr="00297BF3">
        <w:rPr>
          <w:i/>
          <w:iCs/>
        </w:rPr>
        <w:t>Moss v. Superior Court</w:t>
      </w:r>
      <w:r>
        <w:t xml:space="preserve"> (1998) 17 Cal.4th 396</w:t>
      </w:r>
      <w:r>
        <w:t xml:space="preserve"> (</w:t>
      </w:r>
      <w:r>
        <w:rPr>
          <w:i/>
          <w:iCs/>
        </w:rPr>
        <w:t>Moss</w:t>
      </w:r>
      <w:r>
        <w:t>)</w:t>
      </w:r>
      <w:r>
        <w:t xml:space="preserve"> is misplaced.</w:t>
      </w:r>
      <w:r>
        <w:t xml:space="preserve">  </w:t>
      </w:r>
      <w:r>
        <w:t xml:space="preserve">In </w:t>
      </w:r>
      <w:r>
        <w:rPr>
          <w:i/>
          <w:iCs/>
        </w:rPr>
        <w:t>Moss</w:t>
      </w:r>
      <w:r w:rsidRPr="003B4A72">
        <w:t>,</w:t>
      </w:r>
      <w:r>
        <w:rPr>
          <w:i/>
          <w:iCs/>
        </w:rPr>
        <w:t xml:space="preserve"> </w:t>
      </w:r>
      <w:r>
        <w:t xml:space="preserve">the Supreme Court concluded that it could not retroactively apply “criminal contempt sanctions” to conduct that was authorized by </w:t>
      </w:r>
      <w:r>
        <w:t>settled case</w:t>
      </w:r>
      <w:r>
        <w:t xml:space="preserve"> law in</w:t>
      </w:r>
      <w:r>
        <w:t xml:space="preserve"> effect at the time the acts were committed</w:t>
      </w:r>
      <w:r>
        <w:t>.</w:t>
      </w:r>
      <w:r>
        <w:t xml:space="preserve">  (</w:t>
      </w:r>
      <w:r>
        <w:rPr>
          <w:i/>
          <w:iCs/>
        </w:rPr>
        <w:t>Id.</w:t>
      </w:r>
      <w:r>
        <w:t xml:space="preserve"> at p. 429.)</w:t>
      </w:r>
      <w:r>
        <w:t xml:space="preserve">  Doing so would have posed an evident due process problem</w:t>
      </w:r>
      <w:r>
        <w:t xml:space="preserve"> because the parties had legitimately relied on existing law</w:t>
      </w:r>
      <w:r>
        <w:t>.  (</w:t>
      </w:r>
      <w:r w:rsidRPr="00297BF3">
        <w:rPr>
          <w:i/>
          <w:iCs/>
        </w:rPr>
        <w:t>Ibid</w:t>
      </w:r>
      <w:r>
        <w:t xml:space="preserve">.)  Here, BBBB cannot claim reasonable reliance on settled law.  No prior precedent authorized the conduct addressed by the preliminary injunction.  Moreover, the </w:t>
      </w:r>
      <w:r>
        <w:t xml:space="preserve">purpose </w:t>
      </w:r>
      <w:r>
        <w:t xml:space="preserve">of the preliminary injunction is not to criminally sanction BBBB, but to protect the </w:t>
      </w:r>
      <w:r>
        <w:t xml:space="preserve">statutory rights of </w:t>
      </w:r>
      <w:r>
        <w:t>cosigner</w:t>
      </w:r>
      <w:r>
        <w:t>s.</w:t>
      </w:r>
    </w:p>
    <w:p w14:paraId="5B1F2CCE" w14:textId="77777777" w:rsidR="00A77084" w:rsidRDefault="008D5068" w:rsidP="0017568B">
      <w:pPr>
        <w:spacing w:line="360" w:lineRule="auto"/>
      </w:pPr>
      <w:r>
        <w:tab/>
        <w:t>R</w:t>
      </w:r>
      <w:r w:rsidRPr="00DB6C6E">
        <w:t xml:space="preserve">elying on </w:t>
      </w:r>
      <w:r w:rsidRPr="00936E27">
        <w:rPr>
          <w:i/>
          <w:iCs/>
        </w:rPr>
        <w:t>Claxton v. Waters</w:t>
      </w:r>
      <w:r w:rsidRPr="00DB6C6E">
        <w:t xml:space="preserve"> (2004) 34 Cal.4th 367</w:t>
      </w:r>
      <w:r>
        <w:t xml:space="preserve"> and </w:t>
      </w:r>
      <w:r w:rsidRPr="00936E27">
        <w:rPr>
          <w:i/>
          <w:iCs/>
        </w:rPr>
        <w:t>Williams &amp; Fickett</w:t>
      </w:r>
      <w:r>
        <w:rPr>
          <w:i/>
          <w:iCs/>
        </w:rPr>
        <w:t xml:space="preserve"> v. County of Fresno</w:t>
      </w:r>
      <w:r>
        <w:t xml:space="preserve"> (2017) 2 Cal.5th 1258</w:t>
      </w:r>
      <w:r>
        <w:t>,</w:t>
      </w:r>
      <w:r w:rsidRPr="00DB6C6E">
        <w:t xml:space="preserve"> </w:t>
      </w:r>
      <w:r>
        <w:t>BBBB</w:t>
      </w:r>
      <w:r w:rsidRPr="00DB6C6E">
        <w:t xml:space="preserve"> argues that </w:t>
      </w:r>
      <w:r>
        <w:t>“[g]iven the long-standing rules by which bail agents have conducted themselves for decade</w:t>
      </w:r>
      <w:r>
        <w:t xml:space="preserve">s, the imposition now of a sweeping new application of section 1799.91 to their transactions should be applied, if at all, </w:t>
      </w:r>
      <w:r w:rsidRPr="00F075AB">
        <w:rPr>
          <w:i/>
          <w:iCs/>
        </w:rPr>
        <w:t>prospectively only</w:t>
      </w:r>
      <w:r>
        <w:t xml:space="preserve">.”  </w:t>
      </w:r>
      <w:r>
        <w:t>Both</w:t>
      </w:r>
      <w:r>
        <w:t xml:space="preserve"> cases, like </w:t>
      </w:r>
      <w:r w:rsidRPr="0041434B">
        <w:rPr>
          <w:i/>
          <w:iCs/>
        </w:rPr>
        <w:t xml:space="preserve">Moss, </w:t>
      </w:r>
      <w:r>
        <w:t xml:space="preserve">involved settled prior legal precedent upon which the defendants had reasonably relied. </w:t>
      </w:r>
      <w:r>
        <w:t xml:space="preserve"> (See </w:t>
      </w:r>
      <w:r w:rsidRPr="00AF6FEA">
        <w:rPr>
          <w:i/>
          <w:iCs/>
        </w:rPr>
        <w:t>Claxton</w:t>
      </w:r>
      <w:r>
        <w:t>,</w:t>
      </w:r>
      <w:r>
        <w:t xml:space="preserve"> at pp. 378</w:t>
      </w:r>
      <w:r>
        <w:t>–</w:t>
      </w:r>
      <w:r>
        <w:t xml:space="preserve">379; </w:t>
      </w:r>
      <w:r w:rsidRPr="00AF6FEA">
        <w:rPr>
          <w:i/>
          <w:iCs/>
        </w:rPr>
        <w:t>Williams</w:t>
      </w:r>
      <w:r>
        <w:t>,</w:t>
      </w:r>
      <w:r w:rsidRPr="00AF6FEA">
        <w:rPr>
          <w:i/>
          <w:iCs/>
        </w:rPr>
        <w:t xml:space="preserve"> </w:t>
      </w:r>
      <w:r>
        <w:t xml:space="preserve">at p. 1282.)  </w:t>
      </w:r>
      <w:r>
        <w:t xml:space="preserve">Again, </w:t>
      </w:r>
      <w:r>
        <w:t xml:space="preserve">BBBB does not cite any precedent that would have caused it to believe it was </w:t>
      </w:r>
      <w:r>
        <w:t xml:space="preserve">exempt from complying with </w:t>
      </w:r>
      <w:r w:rsidRPr="00CE59A7">
        <w:t>cosigner</w:t>
      </w:r>
      <w:r w:rsidRPr="00CE59A7">
        <w:t xml:space="preserve"> </w:t>
      </w:r>
      <w:r w:rsidRPr="00CE59A7">
        <w:t xml:space="preserve">consumer </w:t>
      </w:r>
      <w:r w:rsidRPr="00CE59A7">
        <w:t>notice</w:t>
      </w:r>
      <w:r w:rsidRPr="00FA1053">
        <w:rPr>
          <w:b/>
          <w:bCs/>
        </w:rPr>
        <w:t xml:space="preserve"> </w:t>
      </w:r>
      <w:r>
        <w:t>protection</w:t>
      </w:r>
      <w:r>
        <w:t>s</w:t>
      </w:r>
      <w:r>
        <w:t xml:space="preserve">.  </w:t>
      </w:r>
    </w:p>
    <w:p w14:paraId="5606C72E" w14:textId="77777777" w:rsidR="000532F0" w:rsidRDefault="008D5068" w:rsidP="0017568B">
      <w:pPr>
        <w:spacing w:line="360" w:lineRule="auto"/>
      </w:pPr>
      <w:r>
        <w:tab/>
      </w:r>
      <w:r>
        <w:t xml:space="preserve">Nor do we perceive any unfairness in </w:t>
      </w:r>
      <w:r>
        <w:t>enforcing the consumer protection laws</w:t>
      </w:r>
      <w:r>
        <w:t xml:space="preserve"> at this juncture</w:t>
      </w:r>
      <w:r>
        <w:t xml:space="preserve">.  </w:t>
      </w:r>
      <w:r>
        <w:t xml:space="preserve">To apply the injunction prospectively, as BBBB urges, </w:t>
      </w:r>
      <w:r>
        <w:lastRenderedPageBreak/>
        <w:t xml:space="preserve">would </w:t>
      </w:r>
      <w:r w:rsidRPr="0019297B">
        <w:t xml:space="preserve">exclude </w:t>
      </w:r>
      <w:r>
        <w:t xml:space="preserve">scores of unsuspecting </w:t>
      </w:r>
      <w:r>
        <w:t>cosigner</w:t>
      </w:r>
      <w:r>
        <w:t xml:space="preserve">s who never received statutory warning of the risks of cosigning a bail bond premium agreement and </w:t>
      </w:r>
      <w:r>
        <w:t>became liable for the full amount of the premium and subject to enforcement action</w:t>
      </w:r>
      <w:r>
        <w:t>s</w:t>
      </w:r>
      <w:r>
        <w:t xml:space="preserve">, garnishment of wages, damage to their credit, </w:t>
      </w:r>
      <w:r>
        <w:t>and</w:t>
      </w:r>
      <w:r>
        <w:t xml:space="preserve"> other serious financial and legal consequences.</w:t>
      </w:r>
      <w:r>
        <w:t xml:space="preserve">  </w:t>
      </w:r>
      <w:r>
        <w:t xml:space="preserve">Caldwell and other putative class members contend they </w:t>
      </w:r>
      <w:r>
        <w:t>would not have ag</w:t>
      </w:r>
      <w:r>
        <w:t xml:space="preserve">reed to cosign bail bond premium financing agreements had they be given proper warning of the consequences of their decision.  </w:t>
      </w:r>
      <w:r>
        <w:t>As discussed above, the preliminary injunction merely ensures that</w:t>
      </w:r>
      <w:r>
        <w:t xml:space="preserve"> </w:t>
      </w:r>
      <w:r>
        <w:t xml:space="preserve">no injury will befall the putative class members </w:t>
      </w:r>
      <w:r>
        <w:t>as the case r</w:t>
      </w:r>
      <w:r>
        <w:t>eaches the merits of their claims.  We see nothing unfair abo</w:t>
      </w:r>
      <w:r>
        <w:t xml:space="preserve">ut the order, and certainly nothing violative of BBBB’s due process rights.  </w:t>
      </w:r>
    </w:p>
    <w:p w14:paraId="5D142293" w14:textId="77777777" w:rsidR="003A7474" w:rsidRPr="003B4A72" w:rsidRDefault="008D5068" w:rsidP="00FA1053">
      <w:pPr>
        <w:keepNext/>
        <w:spacing w:line="360" w:lineRule="auto"/>
        <w:rPr>
          <w:i/>
          <w:iCs/>
        </w:rPr>
      </w:pPr>
      <w:r w:rsidRPr="003B4A72">
        <w:rPr>
          <w:b/>
          <w:bCs/>
          <w:i/>
          <w:iCs/>
        </w:rPr>
        <w:tab/>
      </w:r>
      <w:r w:rsidRPr="003B4A72">
        <w:rPr>
          <w:b/>
          <w:bCs/>
          <w:i/>
          <w:iCs/>
        </w:rPr>
        <w:tab/>
      </w:r>
      <w:r w:rsidRPr="003B4A72">
        <w:rPr>
          <w:i/>
          <w:iCs/>
        </w:rPr>
        <w:t>e.</w:t>
      </w:r>
      <w:r w:rsidRPr="003B4A72">
        <w:rPr>
          <w:i/>
          <w:iCs/>
        </w:rPr>
        <w:t xml:space="preserve">  </w:t>
      </w:r>
      <w:r>
        <w:rPr>
          <w:i/>
          <w:iCs/>
        </w:rPr>
        <w:t>Violation of</w:t>
      </w:r>
      <w:r w:rsidRPr="003B4A72">
        <w:rPr>
          <w:i/>
          <w:iCs/>
        </w:rPr>
        <w:t xml:space="preserve"> the UCL</w:t>
      </w:r>
    </w:p>
    <w:p w14:paraId="687F4CB3" w14:textId="77777777" w:rsidR="003A7474" w:rsidRDefault="008D5068" w:rsidP="003A7474">
      <w:pPr>
        <w:spacing w:line="360" w:lineRule="auto"/>
      </w:pPr>
      <w:r>
        <w:tab/>
        <w:t xml:space="preserve">BBBB contends that even if we conclude </w:t>
      </w:r>
      <w:r>
        <w:t xml:space="preserve">that </w:t>
      </w:r>
      <w:r>
        <w:t>the Premium Agreement is subject to section 1</w:t>
      </w:r>
      <w:r>
        <w:t xml:space="preserve">799.91, </w:t>
      </w:r>
      <w:r>
        <w:t xml:space="preserve">Caldwell is unlikely to prevail on the merits </w:t>
      </w:r>
      <w:r>
        <w:t xml:space="preserve">because BBBB has not violated </w:t>
      </w:r>
      <w:r>
        <w:t>the UCL</w:t>
      </w:r>
      <w:r>
        <w:t xml:space="preserve">.  </w:t>
      </w:r>
      <w:r>
        <w:t xml:space="preserve">BBBB </w:t>
      </w:r>
      <w:r>
        <w:t xml:space="preserve">asserts that </w:t>
      </w:r>
      <w:r>
        <w:t>it</w:t>
      </w:r>
      <w:r>
        <w:t xml:space="preserve"> did not violate the unlawful prong </w:t>
      </w:r>
      <w:r>
        <w:t xml:space="preserve">of the UCL </w:t>
      </w:r>
      <w:r>
        <w:t xml:space="preserve">because its conduct fell within the “safe harbor” provided by the Department’s regulations.  </w:t>
      </w:r>
      <w:r>
        <w:t>T</w:t>
      </w:r>
      <w:r>
        <w:t>h</w:t>
      </w:r>
      <w:r>
        <w:t xml:space="preserve">e trial court </w:t>
      </w:r>
      <w:r>
        <w:t xml:space="preserve">below </w:t>
      </w:r>
      <w:r>
        <w:t xml:space="preserve">disagreed, reasoning that “only the Legislature can create a ‘safe harbor’ ” and that courts cannot “rely on insurance regulations as support for a safe harbor finding.”  BBBB </w:t>
      </w:r>
      <w:r>
        <w:t>contests</w:t>
      </w:r>
      <w:r>
        <w:t xml:space="preserve"> this finding.</w:t>
      </w:r>
      <w:r>
        <w:rPr>
          <w:rStyle w:val="FootnoteReference"/>
        </w:rPr>
        <w:footnoteReference w:id="9"/>
      </w:r>
      <w:r>
        <w:t xml:space="preserve">   </w:t>
      </w:r>
    </w:p>
    <w:p w14:paraId="76AE4D0F" w14:textId="77777777" w:rsidR="00285FA6" w:rsidRPr="00CD21F8" w:rsidRDefault="008D5068" w:rsidP="003A7474">
      <w:pPr>
        <w:spacing w:line="360" w:lineRule="auto"/>
      </w:pPr>
      <w:r>
        <w:lastRenderedPageBreak/>
        <w:tab/>
      </w:r>
      <w:r>
        <w:t xml:space="preserve">The Supreme Court has explained the “safe harbor” doctrine in this way: </w:t>
      </w:r>
      <w:r>
        <w:t xml:space="preserve"> </w:t>
      </w:r>
      <w:r>
        <w:t xml:space="preserve">“Although the unfair competition law’s scope is sweeping, it is not unlimited. </w:t>
      </w:r>
      <w:r>
        <w:t xml:space="preserve">. . . </w:t>
      </w:r>
      <w:r>
        <w:t>Specific legislation may limit the judiciary’s power to declare conduct unfair.  If the Legislatur</w:t>
      </w:r>
      <w:r>
        <w:t>e has permitted certain conduct or considered a situation and concluded no action should lie, courts may not override that determination.  When specific legislation provides a ‘safe harbor,’ plaintiffs may not use the general unfair competition law to assa</w:t>
      </w:r>
      <w:r>
        <w:t>ult that harbor.”  (</w:t>
      </w:r>
      <w:r w:rsidRPr="00B854CA">
        <w:rPr>
          <w:i/>
          <w:iCs/>
        </w:rPr>
        <w:t>Cel-Tech Comm</w:t>
      </w:r>
      <w:r>
        <w:rPr>
          <w:i/>
          <w:iCs/>
        </w:rPr>
        <w:t>unications</w:t>
      </w:r>
      <w:r>
        <w:rPr>
          <w:i/>
          <w:iCs/>
        </w:rPr>
        <w:t>,</w:t>
      </w:r>
      <w:r w:rsidRPr="00B854CA">
        <w:rPr>
          <w:i/>
          <w:iCs/>
        </w:rPr>
        <w:t xml:space="preserve"> Inc. v. </w:t>
      </w:r>
      <w:r>
        <w:rPr>
          <w:i/>
          <w:iCs/>
        </w:rPr>
        <w:t>Los Angeles</w:t>
      </w:r>
      <w:r w:rsidRPr="00B854CA">
        <w:rPr>
          <w:i/>
          <w:iCs/>
        </w:rPr>
        <w:t xml:space="preserve"> Cellular Tel</w:t>
      </w:r>
      <w:r>
        <w:rPr>
          <w:i/>
          <w:iCs/>
        </w:rPr>
        <w:t>ephone</w:t>
      </w:r>
      <w:r w:rsidRPr="00B854CA">
        <w:rPr>
          <w:i/>
          <w:iCs/>
        </w:rPr>
        <w:t xml:space="preserve"> Co.</w:t>
      </w:r>
      <w:r>
        <w:t xml:space="preserve"> (1999) 20 Cal.4th 163, 182.)  Under the safe harbor doctrine, “[t]o forestall an action under the unfair competition law, another provision must actually ‘bar’ the acti</w:t>
      </w:r>
      <w:r>
        <w:t>on or clearly permit the conduct.”  (</w:t>
      </w:r>
      <w:r w:rsidRPr="00F32ADF">
        <w:rPr>
          <w:i/>
          <w:iCs/>
        </w:rPr>
        <w:t>Id.</w:t>
      </w:r>
      <w:r>
        <w:t xml:space="preserve"> at p. 183.)  </w:t>
      </w:r>
      <w:r>
        <w:t>W</w:t>
      </w:r>
      <w:r w:rsidRPr="00102D26">
        <w:t>hile an express statutory provision permitting specific conduct would be sufficient to create a safe harbor, “the Legislature’s mere failure to prohibit an activity does not prevent a court from findin</w:t>
      </w:r>
      <w:r w:rsidRPr="00102D26">
        <w:t>g it unfair.”  (</w:t>
      </w:r>
      <w:r>
        <w:rPr>
          <w:i/>
          <w:iCs/>
        </w:rPr>
        <w:t>Id.</w:t>
      </w:r>
      <w:r w:rsidRPr="00102D26">
        <w:t xml:space="preserve"> at p.</w:t>
      </w:r>
      <w:r>
        <w:t> </w:t>
      </w:r>
      <w:r w:rsidRPr="00102D26">
        <w:t xml:space="preserve">184.)  </w:t>
      </w:r>
      <w:r w:rsidRPr="00CC4682">
        <w:t xml:space="preserve">Subsequent cases applying </w:t>
      </w:r>
      <w:r w:rsidRPr="00CC4682">
        <w:rPr>
          <w:i/>
          <w:iCs/>
        </w:rPr>
        <w:t>Cel-Tech</w:t>
      </w:r>
      <w:r w:rsidRPr="00CC4682">
        <w:t xml:space="preserve"> have explained that to </w:t>
      </w:r>
      <w:r>
        <w:t>“</w:t>
      </w:r>
      <w:r w:rsidRPr="00CC4682">
        <w:t xml:space="preserve">qualify for the </w:t>
      </w:r>
      <w:r>
        <w:t>‘</w:t>
      </w:r>
      <w:r w:rsidRPr="00CC4682">
        <w:t>safe harbor</w:t>
      </w:r>
      <w:r>
        <w:t>’</w:t>
      </w:r>
      <w:r w:rsidRPr="00CC4682">
        <w:t xml:space="preserve"> rule</w:t>
      </w:r>
      <w:r>
        <w:t>,</w:t>
      </w:r>
      <w:r w:rsidRPr="00CC4682">
        <w:t xml:space="preserve"> </w:t>
      </w:r>
      <w:r>
        <w:t xml:space="preserve">the </w:t>
      </w:r>
      <w:r w:rsidRPr="00CC4682">
        <w:t xml:space="preserve">defendant must show that a statute </w:t>
      </w:r>
      <w:r>
        <w:t>‘</w:t>
      </w:r>
      <w:r w:rsidRPr="00CC4682">
        <w:t>explicitly prohibit[s] liability for the defendant</w:t>
      </w:r>
      <w:r>
        <w:t>’</w:t>
      </w:r>
      <w:r w:rsidRPr="00CC4682">
        <w:t>s acts or omissions</w:t>
      </w:r>
      <w:r>
        <w:t xml:space="preserve"> </w:t>
      </w:r>
      <w:r>
        <w:t xml:space="preserve">[citation] </w:t>
      </w:r>
      <w:r>
        <w:t xml:space="preserve">or </w:t>
      </w:r>
      <w:r>
        <w:t>‘</w:t>
      </w:r>
      <w:r w:rsidRPr="00CC4682">
        <w:t>ex</w:t>
      </w:r>
      <w:r w:rsidRPr="00CC4682">
        <w:t>pressly precludes an action based on the conduct</w:t>
      </w:r>
      <w:r>
        <w:t>.</w:t>
      </w:r>
      <w:r>
        <w:t>’ </w:t>
      </w:r>
      <w:r>
        <w:t>”  (</w:t>
      </w:r>
      <w:r>
        <w:rPr>
          <w:i/>
          <w:iCs/>
        </w:rPr>
        <w:t>Klein v. Chevron U.S.A.</w:t>
      </w:r>
      <w:r>
        <w:rPr>
          <w:i/>
          <w:iCs/>
        </w:rPr>
        <w:t>,</w:t>
      </w:r>
      <w:r>
        <w:rPr>
          <w:i/>
          <w:iCs/>
        </w:rPr>
        <w:t xml:space="preserve"> Inc.</w:t>
      </w:r>
      <w:r>
        <w:t xml:space="preserve"> (2012) 202 Cal.App.4th 1</w:t>
      </w:r>
      <w:r>
        <w:t>342, 1379</w:t>
      </w:r>
      <w:r>
        <w:t xml:space="preserve"> (</w:t>
      </w:r>
      <w:r>
        <w:rPr>
          <w:i/>
          <w:iCs/>
        </w:rPr>
        <w:t>Klein</w:t>
      </w:r>
      <w:r>
        <w:t>)</w:t>
      </w:r>
      <w:r>
        <w:t xml:space="preserve">.) </w:t>
      </w:r>
      <w:r>
        <w:t xml:space="preserve"> </w:t>
      </w:r>
    </w:p>
    <w:p w14:paraId="17CF3715" w14:textId="77777777" w:rsidR="00B05C84" w:rsidRDefault="008D5068" w:rsidP="003A7474">
      <w:pPr>
        <w:spacing w:line="360" w:lineRule="auto"/>
      </w:pPr>
      <w:r>
        <w:tab/>
        <w:t xml:space="preserve">Even if the trial court </w:t>
      </w:r>
      <w:r>
        <w:t xml:space="preserve">were </w:t>
      </w:r>
      <w:r>
        <w:t xml:space="preserve">incorrect in </w:t>
      </w:r>
      <w:r>
        <w:t xml:space="preserve">concluding </w:t>
      </w:r>
      <w:r>
        <w:t>that administrative regulations cannot create a safe harbor</w:t>
      </w:r>
      <w:r>
        <w:t xml:space="preserve"> under the UCL</w:t>
      </w:r>
      <w:r>
        <w:t xml:space="preserve">, </w:t>
      </w:r>
      <w:r>
        <w:t xml:space="preserve">an issue we need not decide, </w:t>
      </w:r>
      <w:r>
        <w:t xml:space="preserve">BBBB does not cite any </w:t>
      </w:r>
      <w:r>
        <w:t xml:space="preserve">Department </w:t>
      </w:r>
      <w:r>
        <w:t>regulation that</w:t>
      </w:r>
      <w:r>
        <w:t xml:space="preserve"> </w:t>
      </w:r>
      <w:r>
        <w:t xml:space="preserve">“expressly” or “explicitly” bars </w:t>
      </w:r>
      <w:r>
        <w:t xml:space="preserve">the relief sought by Caldwell </w:t>
      </w:r>
      <w:r>
        <w:t xml:space="preserve">under the consumer credit protection statutes </w:t>
      </w:r>
      <w:r>
        <w:t>or “clearly permit</w:t>
      </w:r>
      <w:r>
        <w:t>s</w:t>
      </w:r>
      <w:r>
        <w:t xml:space="preserve">” BBBB’s conduct here.  </w:t>
      </w:r>
      <w:r>
        <w:t xml:space="preserve">Instead, </w:t>
      </w:r>
      <w:r>
        <w:t xml:space="preserve">BBBB </w:t>
      </w:r>
      <w:r>
        <w:t xml:space="preserve">repeats its general point </w:t>
      </w:r>
      <w:r>
        <w:t xml:space="preserve">that the Department has adopted regulations governing all aspects of bail transactions, and reiterates its view that it is in compliance with its obligations under the </w:t>
      </w:r>
      <w:r w:rsidRPr="00605858">
        <w:t>Insurance Code.</w:t>
      </w:r>
      <w:r>
        <w:t xml:space="preserve"> </w:t>
      </w:r>
    </w:p>
    <w:p w14:paraId="0380D336" w14:textId="77777777" w:rsidR="003A7474" w:rsidRPr="00CD21F8" w:rsidRDefault="008D5068" w:rsidP="003A7474">
      <w:pPr>
        <w:spacing w:line="360" w:lineRule="auto"/>
      </w:pPr>
      <w:r>
        <w:lastRenderedPageBreak/>
        <w:tab/>
      </w:r>
      <w:r>
        <w:t xml:space="preserve">Such showing is insufficient </w:t>
      </w:r>
      <w:r>
        <w:t>to support</w:t>
      </w:r>
      <w:r>
        <w:t xml:space="preserve"> a safe harbor claim </w:t>
      </w:r>
      <w:r>
        <w:t>as a matter of law</w:t>
      </w:r>
      <w:r>
        <w:t>.</w:t>
      </w:r>
      <w:r>
        <w:t xml:space="preserve">  If a statute does not “explicitly prohibit liability” for a defendant’s specific acts</w:t>
      </w:r>
      <w:r>
        <w:t xml:space="preserve"> or omissions, the court may not create an “implied safe harbor.” (</w:t>
      </w:r>
      <w:r>
        <w:rPr>
          <w:i/>
          <w:iCs/>
        </w:rPr>
        <w:t>Krumme v. Mercury Ins. Co.</w:t>
      </w:r>
      <w:r>
        <w:t xml:space="preserve"> (2004) 123 Cal.App.</w:t>
      </w:r>
      <w:r>
        <w:t xml:space="preserve">4th 924, </w:t>
      </w:r>
      <w:r>
        <w:t xml:space="preserve">940 </w:t>
      </w:r>
      <w:r>
        <w:t>&amp; f</w:t>
      </w:r>
      <w:r>
        <w:t xml:space="preserve">n. 5; </w:t>
      </w:r>
      <w:r>
        <w:t xml:space="preserve">see also </w:t>
      </w:r>
      <w:r>
        <w:rPr>
          <w:i/>
          <w:iCs/>
        </w:rPr>
        <w:t>Klein</w:t>
      </w:r>
      <w:r>
        <w:t xml:space="preserve">, </w:t>
      </w:r>
      <w:r>
        <w:rPr>
          <w:i/>
          <w:iCs/>
        </w:rPr>
        <w:t>supra</w:t>
      </w:r>
      <w:r>
        <w:t xml:space="preserve">, 202 Cal.App.4th at p. 1379 </w:t>
      </w:r>
      <w:r>
        <w:t>[</w:t>
      </w:r>
      <w:r>
        <w:t>declining to infer safe harbor where Legislature regulated similar conduct but did not expressly permit challenged conduct</w:t>
      </w:r>
      <w:r>
        <w:t>].</w:t>
      </w:r>
      <w:r>
        <w:t xml:space="preserve">)  </w:t>
      </w:r>
    </w:p>
    <w:p w14:paraId="00336309" w14:textId="77777777" w:rsidR="003A7474" w:rsidRPr="003A7474" w:rsidRDefault="008D5068" w:rsidP="003A7474">
      <w:pPr>
        <w:spacing w:line="360" w:lineRule="auto"/>
        <w:rPr>
          <w:b/>
          <w:bCs/>
        </w:rPr>
      </w:pPr>
      <w:r>
        <w:rPr>
          <w:b/>
          <w:bCs/>
        </w:rPr>
        <w:t>C</w:t>
      </w:r>
      <w:r w:rsidRPr="0017568B">
        <w:rPr>
          <w:b/>
          <w:bCs/>
        </w:rPr>
        <w:t>.</w:t>
      </w:r>
      <w:r w:rsidRPr="0017568B">
        <w:rPr>
          <w:b/>
          <w:bCs/>
        </w:rPr>
        <w:tab/>
        <w:t>Balance of Hardships</w:t>
      </w:r>
    </w:p>
    <w:p w14:paraId="4E6B0E62" w14:textId="77777777" w:rsidR="00326400" w:rsidRDefault="008D5068" w:rsidP="00326400">
      <w:pPr>
        <w:spacing w:line="360" w:lineRule="auto"/>
      </w:pPr>
      <w:r>
        <w:tab/>
      </w:r>
      <w:r w:rsidRPr="00961ACF">
        <w:t xml:space="preserve">As </w:t>
      </w:r>
      <w:r>
        <w:t>previously discussed</w:t>
      </w:r>
      <w:r>
        <w:t xml:space="preserve">, </w:t>
      </w:r>
      <w:r>
        <w:t xml:space="preserve">to </w:t>
      </w:r>
      <w:r>
        <w:t>demonstrate entitlement to preliminary injuncti</w:t>
      </w:r>
      <w:r>
        <w:t>ve relief</w:t>
      </w:r>
      <w:r>
        <w:t xml:space="preserve">, </w:t>
      </w:r>
      <w:r>
        <w:t xml:space="preserve">a plaintiff </w:t>
      </w:r>
      <w:r>
        <w:t xml:space="preserve">must </w:t>
      </w:r>
      <w:r w:rsidRPr="00961ACF">
        <w:t>sho</w:t>
      </w:r>
      <w:r>
        <w:t>w</w:t>
      </w:r>
      <w:r w:rsidRPr="00961ACF">
        <w:t xml:space="preserve"> both a probability that </w:t>
      </w:r>
      <w:r>
        <w:t>he or she</w:t>
      </w:r>
      <w:r w:rsidRPr="00961ACF">
        <w:t xml:space="preserve"> </w:t>
      </w:r>
      <w:r>
        <w:t>will</w:t>
      </w:r>
      <w:r w:rsidRPr="00961ACF">
        <w:t xml:space="preserve"> prevail at trial</w:t>
      </w:r>
      <w:r>
        <w:t>,</w:t>
      </w:r>
      <w:r w:rsidRPr="00961ACF">
        <w:t xml:space="preserve"> and that the </w:t>
      </w:r>
      <w:r>
        <w:t>“ ‘ “</w:t>
      </w:r>
      <w:r w:rsidRPr="00961ACF">
        <w:t>interim harm that the plaintiff is likely to sustain if the injunction were denied [</w:t>
      </w:r>
      <w:r>
        <w:t>(</w:t>
      </w:r>
      <w:r w:rsidRPr="00961ACF">
        <w:t>favored the plai</w:t>
      </w:r>
      <w:r w:rsidRPr="00961ACF">
        <w:t>ntiff</w:t>
      </w:r>
      <w:r>
        <w:t>)</w:t>
      </w:r>
      <w:r w:rsidRPr="00961ACF">
        <w:t>] as compared to the harm the defendant</w:t>
      </w:r>
      <w:r>
        <w:t xml:space="preserve"> </w:t>
      </w:r>
      <w:r w:rsidRPr="00961ACF">
        <w:t>is likely to suffer if the preliminary injunction were issued.</w:t>
      </w:r>
      <w:r>
        <w:t>” ’ ”</w:t>
      </w:r>
      <w:r>
        <w:t> </w:t>
      </w:r>
      <w:r>
        <w:t>”</w:t>
      </w:r>
      <w:r w:rsidRPr="00961ACF">
        <w:t xml:space="preserve"> </w:t>
      </w:r>
      <w:r>
        <w:t xml:space="preserve"> </w:t>
      </w:r>
      <w:r w:rsidRPr="00961ACF">
        <w:t>(</w:t>
      </w:r>
      <w:r w:rsidRPr="00AF09A0">
        <w:rPr>
          <w:i/>
          <w:iCs/>
        </w:rPr>
        <w:t>Gallo</w:t>
      </w:r>
      <w:r w:rsidRPr="0088267F">
        <w:t>,</w:t>
      </w:r>
      <w:r w:rsidRPr="00AF09A0">
        <w:rPr>
          <w:i/>
          <w:iCs/>
        </w:rPr>
        <w:t xml:space="preserve"> supra</w:t>
      </w:r>
      <w:r w:rsidRPr="0088267F">
        <w:t>,</w:t>
      </w:r>
      <w:r w:rsidRPr="00961ACF">
        <w:t xml:space="preserve"> 14 Cal.4th at p. 1109</w:t>
      </w:r>
      <w:r>
        <w:t xml:space="preserve">.) </w:t>
      </w:r>
      <w:r>
        <w:t xml:space="preserve"> </w:t>
      </w:r>
      <w:r>
        <w:t xml:space="preserve"> </w:t>
      </w:r>
    </w:p>
    <w:p w14:paraId="7C13B5B1" w14:textId="77777777" w:rsidR="00153F02" w:rsidRDefault="008D5068" w:rsidP="00DB75C7">
      <w:pPr>
        <w:spacing w:line="360" w:lineRule="auto"/>
      </w:pPr>
      <w:r>
        <w:tab/>
        <w:t>The trial court weigh</w:t>
      </w:r>
      <w:r>
        <w:t>ed</w:t>
      </w:r>
      <w:r>
        <w:t xml:space="preserve"> the relative harms</w:t>
      </w:r>
      <w:r>
        <w:t xml:space="preserve"> to both parties</w:t>
      </w:r>
      <w:r>
        <w:t xml:space="preserve"> </w:t>
      </w:r>
      <w:r>
        <w:t xml:space="preserve">and concluded that </w:t>
      </w:r>
      <w:r>
        <w:t>the balance of har</w:t>
      </w:r>
      <w:r>
        <w:t xml:space="preserve">dships tipped decidedly towards Caldwell because she had demonstrated that she and others like her had been victimized by BBBB’s failure to provide section 1799.91 notice.  While BBBB asserted it might lose bail premiums </w:t>
      </w:r>
      <w:r>
        <w:t xml:space="preserve">worth millions </w:t>
      </w:r>
      <w:r>
        <w:t xml:space="preserve">of dollars </w:t>
      </w:r>
      <w:r>
        <w:t>if sectio</w:t>
      </w:r>
      <w:r>
        <w:t>n</w:t>
      </w:r>
      <w:r>
        <w:t> </w:t>
      </w:r>
      <w:r>
        <w:t>1799.91 were enforced against it, the court found that BBBB “ma[de</w:t>
      </w:r>
      <w:r>
        <w:t>]</w:t>
      </w:r>
      <w:r>
        <w:t xml:space="preserve"> no showing it cannot provide the notice and comply with the statute” and, “</w:t>
      </w:r>
      <w:r>
        <w:t> ‘</w:t>
      </w:r>
      <w:r>
        <w:t>[i]n any event, the injunction does not prevent [BBBB] from conducting business in California.  Rather, it me</w:t>
      </w:r>
      <w:r>
        <w:t>rely conditions their continued activity on compliance with California’s consumer protection laws.</w:t>
      </w:r>
      <w:r>
        <w:t>’ </w:t>
      </w:r>
      <w:r>
        <w:t>”</w:t>
      </w:r>
      <w:r>
        <w:t xml:space="preserve"> </w:t>
      </w:r>
      <w:r>
        <w:t xml:space="preserve"> We conclude the trial court did not abuse its discretion in finding that the balance of hardships favors Caldwell. </w:t>
      </w:r>
      <w:r>
        <w:tab/>
      </w:r>
    </w:p>
    <w:p w14:paraId="1B2E4BB4" w14:textId="77777777" w:rsidR="00131350" w:rsidRDefault="008D5068" w:rsidP="00DB75C7">
      <w:pPr>
        <w:spacing w:line="360" w:lineRule="auto"/>
      </w:pPr>
      <w:r>
        <w:lastRenderedPageBreak/>
        <w:tab/>
      </w:r>
      <w:r>
        <w:t xml:space="preserve">On appeal, </w:t>
      </w:r>
      <w:r>
        <w:t xml:space="preserve">BBBB </w:t>
      </w:r>
      <w:r>
        <w:t xml:space="preserve">seeks to </w:t>
      </w:r>
      <w:r>
        <w:t xml:space="preserve">minimize Caldwell’s harm by </w:t>
      </w:r>
      <w:r>
        <w:t xml:space="preserve">suggesting </w:t>
      </w:r>
      <w:r>
        <w:t xml:space="preserve">that </w:t>
      </w:r>
      <w:r>
        <w:t xml:space="preserve">the only wrong she suffered was </w:t>
      </w:r>
      <w:r>
        <w:t>the failure to receive notice “in exactly the language proscribed by section 1799.91.</w:t>
      </w:r>
      <w:r>
        <w:t>”</w:t>
      </w:r>
      <w:r>
        <w:t xml:space="preserve">  However, the </w:t>
      </w:r>
      <w:r>
        <w:t xml:space="preserve">actual </w:t>
      </w:r>
      <w:r>
        <w:t xml:space="preserve">harm </w:t>
      </w:r>
      <w:r>
        <w:t>presented</w:t>
      </w:r>
      <w:r>
        <w:t xml:space="preserve"> </w:t>
      </w:r>
      <w:r>
        <w:t>stems from the fact that she and other putative class mem</w:t>
      </w:r>
      <w:r>
        <w:t xml:space="preserve">bers </w:t>
      </w:r>
      <w:r>
        <w:t>are being held to</w:t>
      </w:r>
      <w:r>
        <w:t xml:space="preserve"> contracts they would not </w:t>
      </w:r>
      <w:r>
        <w:t xml:space="preserve">otherwise </w:t>
      </w:r>
      <w:r>
        <w:t>have entered had they been provided</w:t>
      </w:r>
      <w:r>
        <w:t xml:space="preserve"> </w:t>
      </w:r>
      <w:r>
        <w:t xml:space="preserve">with </w:t>
      </w:r>
      <w:r>
        <w:t>the required notice.</w:t>
      </w:r>
      <w:r>
        <w:t xml:space="preserve">  </w:t>
      </w:r>
      <w:r>
        <w:t>As the trial court found, t</w:t>
      </w:r>
      <w:r>
        <w:t>hat harm is significant.</w:t>
      </w:r>
      <w:r>
        <w:t xml:space="preserve"> </w:t>
      </w:r>
    </w:p>
    <w:p w14:paraId="5A1AEA5E" w14:textId="77777777" w:rsidR="00860C0A" w:rsidRDefault="008D5068" w:rsidP="00DB75C7">
      <w:pPr>
        <w:spacing w:line="360" w:lineRule="auto"/>
      </w:pPr>
      <w:r>
        <w:tab/>
        <w:t>On the other side of the equation</w:t>
      </w:r>
      <w:r>
        <w:t xml:space="preserve">, </w:t>
      </w:r>
      <w:r>
        <w:t xml:space="preserve">the trial court </w:t>
      </w:r>
      <w:r>
        <w:t>concluded</w:t>
      </w:r>
      <w:r>
        <w:t xml:space="preserve"> that </w:t>
      </w:r>
      <w:r>
        <w:t>compliance with</w:t>
      </w:r>
      <w:r>
        <w:t xml:space="preserve"> t</w:t>
      </w:r>
      <w:r>
        <w:t xml:space="preserve">he notice requirement is not burdensome.  </w:t>
      </w:r>
      <w:r>
        <w:t xml:space="preserve">BBBB disagrees, asserting the court “did not come to grips with the enormous harm that would inure to BBBB from being deprived of its contractual rights.”  </w:t>
      </w:r>
      <w:r>
        <w:t xml:space="preserve">BBBB </w:t>
      </w:r>
      <w:r>
        <w:t>argues</w:t>
      </w:r>
      <w:r>
        <w:t xml:space="preserve"> that</w:t>
      </w:r>
      <w:r>
        <w:t xml:space="preserve"> it cannot go back and provide section 1</w:t>
      </w:r>
      <w:r>
        <w:t xml:space="preserve">799.91 notices to </w:t>
      </w:r>
      <w:r>
        <w:t>fully</w:t>
      </w:r>
      <w:r>
        <w:t xml:space="preserve"> executed transaction</w:t>
      </w:r>
      <w:r>
        <w:t>s</w:t>
      </w:r>
      <w:r>
        <w:t>,</w:t>
      </w:r>
      <w:r>
        <w:t xml:space="preserve"> and </w:t>
      </w:r>
      <w:r>
        <w:t xml:space="preserve">protests </w:t>
      </w:r>
      <w:r>
        <w:t xml:space="preserve">that </w:t>
      </w:r>
      <w:r>
        <w:t xml:space="preserve">the </w:t>
      </w:r>
      <w:r>
        <w:t>injunction</w:t>
      </w:r>
      <w:r>
        <w:t xml:space="preserve"> bars it from trying to collect on </w:t>
      </w:r>
      <w:r>
        <w:t>“</w:t>
      </w:r>
      <w:r>
        <w:t>valid</w:t>
      </w:r>
      <w:r>
        <w:t>”</w:t>
      </w:r>
      <w:r>
        <w:t xml:space="preserve"> judgments already obtained.  </w:t>
      </w:r>
      <w:r>
        <w:t xml:space="preserve">BBBB does not explain why it cannot </w:t>
      </w:r>
      <w:r>
        <w:t xml:space="preserve">enforce Premium Agreements against the </w:t>
      </w:r>
      <w:r>
        <w:t>a</w:t>
      </w:r>
      <w:r>
        <w:t>r</w:t>
      </w:r>
      <w:r>
        <w:t xml:space="preserve">restees themselves, </w:t>
      </w:r>
      <w:r>
        <w:t xml:space="preserve">or against </w:t>
      </w:r>
      <w:r>
        <w:t xml:space="preserve">persons </w:t>
      </w:r>
      <w:r>
        <w:t xml:space="preserve">(such as spouses) </w:t>
      </w:r>
      <w:r>
        <w:t xml:space="preserve">who were not entitled to </w:t>
      </w:r>
      <w:r>
        <w:t>cosigner</w:t>
      </w:r>
      <w:r>
        <w:t xml:space="preserve"> notice.</w:t>
      </w:r>
      <w:r>
        <w:t xml:space="preserve"> </w:t>
      </w:r>
      <w:r>
        <w:t xml:space="preserve"> Further, as a matter of law, the cost of ceasing illegal </w:t>
      </w:r>
      <w:r>
        <w:t>conduct</w:t>
      </w:r>
      <w:r>
        <w:t xml:space="preserve"> is not a cognizable injury</w:t>
      </w:r>
      <w:r>
        <w:t xml:space="preserve">.  (See </w:t>
      </w:r>
      <w:r w:rsidRPr="002C3EF6">
        <w:rPr>
          <w:i/>
          <w:iCs/>
        </w:rPr>
        <w:t>People ex rel. Reisig v. Acuna</w:t>
      </w:r>
      <w:r>
        <w:t xml:space="preserve"> (2010) 182 Cal.App.4</w:t>
      </w:r>
      <w:r>
        <w:t xml:space="preserve">th </w:t>
      </w:r>
      <w:r>
        <w:t>866</w:t>
      </w:r>
      <w:r>
        <w:t xml:space="preserve">, 882 [“Defendants, of course, cannot claim harm from any </w:t>
      </w:r>
      <w:r>
        <w:t>restrictions</w:t>
      </w:r>
      <w:r>
        <w:t xml:space="preserve"> in the activities that constitute the public nuisance</w:t>
      </w:r>
      <w:r>
        <w:t>.</w:t>
      </w:r>
      <w:r>
        <w:t xml:space="preserve">”].)  </w:t>
      </w:r>
      <w:r>
        <w:t xml:space="preserve">We find no abuse of the trial court’s discretion on this record.  </w:t>
      </w:r>
    </w:p>
    <w:p w14:paraId="559DF7E8" w14:textId="77777777" w:rsidR="00326400" w:rsidRDefault="008D5068" w:rsidP="003B4A72">
      <w:pPr>
        <w:spacing w:line="360" w:lineRule="auto"/>
      </w:pPr>
      <w:r>
        <w:tab/>
      </w:r>
      <w:r>
        <w:t xml:space="preserve">BBBB </w:t>
      </w:r>
      <w:r>
        <w:t>finally</w:t>
      </w:r>
      <w:r>
        <w:t xml:space="preserve"> </w:t>
      </w:r>
      <w:r>
        <w:t xml:space="preserve">contends </w:t>
      </w:r>
      <w:r>
        <w:t xml:space="preserve">that </w:t>
      </w:r>
      <w:r>
        <w:t>the trial court incorrectly ex</w:t>
      </w:r>
      <w:r>
        <w:t xml:space="preserve">cused Caldwell of the obligation to </w:t>
      </w:r>
      <w:r>
        <w:t>post an appeal bond.</w:t>
      </w:r>
      <w:r>
        <w:t xml:space="preserve">  </w:t>
      </w:r>
      <w:r>
        <w:t xml:space="preserve">BBBB claims that Caldwell was required to show </w:t>
      </w:r>
      <w:r>
        <w:t>that each or all members of the class</w:t>
      </w:r>
      <w:r>
        <w:t xml:space="preserve"> </w:t>
      </w:r>
      <w:r>
        <w:t>are unable to afford a bond to protect BBBB from the harm it will experience from having to comply with the preli</w:t>
      </w:r>
      <w:r>
        <w:t xml:space="preserve">minary injunction in the event it ultimately prevails on the merits.  BBBB claimed below that a bond of at least $3 million was required.  </w:t>
      </w:r>
      <w:r>
        <w:lastRenderedPageBreak/>
        <w:t>Caldwell, citing to Code of Civil Procedure section 995.240, argued that the bond should be waived due to her limited</w:t>
      </w:r>
      <w:r>
        <w:t xml:space="preserve"> financial resources.  </w:t>
      </w:r>
      <w:r>
        <w:t xml:space="preserve"> </w:t>
      </w:r>
    </w:p>
    <w:p w14:paraId="283C5E5E" w14:textId="77777777" w:rsidR="00326400" w:rsidRDefault="008D5068" w:rsidP="003B4A72">
      <w:pPr>
        <w:spacing w:line="360" w:lineRule="auto"/>
      </w:pPr>
      <w:r>
        <w:tab/>
      </w:r>
      <w:r w:rsidRPr="008C6D67">
        <w:t xml:space="preserve">In entering a preliminary injunction, </w:t>
      </w:r>
      <w:r>
        <w:t>the</w:t>
      </w:r>
      <w:r w:rsidRPr="008C6D67">
        <w:t xml:space="preserve"> trial court ordinarily must require the posting of an appropriate bond. </w:t>
      </w:r>
      <w:r>
        <w:t xml:space="preserve"> </w:t>
      </w:r>
      <w:r w:rsidRPr="008C6D67">
        <w:t xml:space="preserve">(Code Civ. Proc., § 529; </w:t>
      </w:r>
      <w:r w:rsidRPr="008C6D67">
        <w:rPr>
          <w:i/>
          <w:iCs/>
        </w:rPr>
        <w:t>ABBA Rubber Co. v. Seaquist</w:t>
      </w:r>
      <w:r w:rsidRPr="008C6D67">
        <w:t xml:space="preserve"> (1991) 235 Cal.App.3d 1, 10.) </w:t>
      </w:r>
      <w:r>
        <w:t xml:space="preserve"> </w:t>
      </w:r>
      <w:r w:rsidRPr="008C6D67">
        <w:t xml:space="preserve">The court has the </w:t>
      </w:r>
      <w:r w:rsidRPr="008C6D67">
        <w:t>discretion, however, to waive the undertaking if the plaintiff is indigent. (Code Civ. Proc., § 995.240.)</w:t>
      </w:r>
      <w:r>
        <w:t xml:space="preserve">  “Judicial authority to facilitate meaningful access to indigent litigants extends </w:t>
      </w:r>
      <w:r>
        <w:t xml:space="preserve">. . . </w:t>
      </w:r>
      <w:r>
        <w:t>to excusing statutorily imposed expenses that are intended to</w:t>
      </w:r>
      <w:r>
        <w:t xml:space="preserve"> protect third parties (e.g., injunction or damage bonds) and to devising alternative procedures (e.g., additional methods of service or meaningful access) so that indigent litigants are not, as a practical matter, denied their day in court.”  (</w:t>
      </w:r>
      <w:r w:rsidRPr="00424452">
        <w:rPr>
          <w:i/>
          <w:iCs/>
        </w:rPr>
        <w:t xml:space="preserve">Jameson v. </w:t>
      </w:r>
      <w:r w:rsidRPr="00424452">
        <w:rPr>
          <w:i/>
          <w:iCs/>
        </w:rPr>
        <w:t>Desta</w:t>
      </w:r>
      <w:r>
        <w:t xml:space="preserve"> (2018) 5</w:t>
      </w:r>
      <w:r>
        <w:t> </w:t>
      </w:r>
      <w:r>
        <w:t>Cal.5th 594, 605</w:t>
      </w:r>
      <w:r>
        <w:t>–</w:t>
      </w:r>
      <w:r>
        <w:t>606.)</w:t>
      </w:r>
      <w:r>
        <w:t xml:space="preserve"> </w:t>
      </w:r>
    </w:p>
    <w:p w14:paraId="2EFD02E2" w14:textId="77777777" w:rsidR="00326400" w:rsidRDefault="008D5068" w:rsidP="003B4A72">
      <w:pPr>
        <w:spacing w:line="360" w:lineRule="auto"/>
      </w:pPr>
      <w:r>
        <w:tab/>
        <w:t xml:space="preserve">The trial court did not abuse its discretion in </w:t>
      </w:r>
      <w:r>
        <w:t xml:space="preserve">excusing Caldwell from any bond requirement.  </w:t>
      </w:r>
      <w:r>
        <w:t>The court noted that BBBB cited no authority in support of its claim</w:t>
      </w:r>
      <w:r>
        <w:t xml:space="preserve"> that the court was required to take into account the financial resources of putative class members.  On appeal, BBBB does not provide us with any such authority.  We find no error. </w:t>
      </w:r>
    </w:p>
    <w:p w14:paraId="3B645D90" w14:textId="77777777" w:rsidR="00326400" w:rsidRDefault="008D5068" w:rsidP="00326400">
      <w:pPr>
        <w:jc w:val="center"/>
        <w:rPr>
          <w:b/>
          <w:bCs/>
        </w:rPr>
      </w:pPr>
      <w:r>
        <w:rPr>
          <w:b/>
          <w:bCs/>
        </w:rPr>
        <w:t xml:space="preserve">III.  </w:t>
      </w:r>
      <w:r w:rsidRPr="00CE7305">
        <w:rPr>
          <w:b/>
          <w:bCs/>
        </w:rPr>
        <w:t>DISPOSITION</w:t>
      </w:r>
    </w:p>
    <w:p w14:paraId="14661F67" w14:textId="77777777" w:rsidR="00D575C1" w:rsidRPr="002C3EF6" w:rsidRDefault="008D5068" w:rsidP="00326400">
      <w:r>
        <w:rPr>
          <w:b/>
          <w:bCs/>
        </w:rPr>
        <w:tab/>
      </w:r>
      <w:r w:rsidRPr="002C3EF6">
        <w:t>The order is affirmed.</w:t>
      </w:r>
    </w:p>
    <w:p w14:paraId="2CCF6DD6" w14:textId="77777777" w:rsidR="00FA1053" w:rsidRDefault="008D5068">
      <w:pPr>
        <w:tabs>
          <w:tab w:val="clear" w:pos="720"/>
        </w:tabs>
        <w:spacing w:line="360" w:lineRule="auto"/>
      </w:pPr>
      <w:r>
        <w:br w:type="page"/>
      </w:r>
    </w:p>
    <w:p w14:paraId="2CB58628" w14:textId="77777777" w:rsidR="00FA1053" w:rsidRPr="000C15AC" w:rsidRDefault="008D5068" w:rsidP="00EB5353">
      <w:pPr>
        <w:spacing w:line="240" w:lineRule="auto"/>
      </w:pPr>
    </w:p>
    <w:p w14:paraId="4AE87716" w14:textId="77777777" w:rsidR="00FA1053" w:rsidRPr="000C15AC" w:rsidRDefault="008D5068" w:rsidP="00EB5353">
      <w:pPr>
        <w:spacing w:line="240" w:lineRule="auto"/>
      </w:pPr>
    </w:p>
    <w:p w14:paraId="532D5691" w14:textId="77777777" w:rsidR="00FA1053" w:rsidRPr="000C15AC" w:rsidRDefault="008D5068" w:rsidP="00EB5353">
      <w:pPr>
        <w:spacing w:line="240" w:lineRule="auto"/>
      </w:pPr>
    </w:p>
    <w:p w14:paraId="0D5ECEC6" w14:textId="77777777" w:rsidR="00FA1053" w:rsidRPr="000C15AC" w:rsidRDefault="008D5068" w:rsidP="00EB5353">
      <w:pPr>
        <w:spacing w:line="240" w:lineRule="auto"/>
      </w:pPr>
    </w:p>
    <w:p w14:paraId="092F2A18" w14:textId="77777777" w:rsidR="00FA1053" w:rsidRPr="0002324F" w:rsidRDefault="008D5068" w:rsidP="00FA1053">
      <w:pPr>
        <w:spacing w:line="240" w:lineRule="auto"/>
        <w:rPr>
          <w:smallCaps/>
        </w:rPr>
      </w:pPr>
      <w:r w:rsidRPr="0002324F">
        <w:rPr>
          <w:smallCaps/>
        </w:rPr>
        <w:tab/>
      </w:r>
      <w:r w:rsidRPr="0002324F">
        <w:rPr>
          <w:smallCaps/>
        </w:rPr>
        <w:tab/>
      </w:r>
      <w:r w:rsidRPr="0002324F">
        <w:rPr>
          <w:smallCaps/>
        </w:rPr>
        <w:tab/>
      </w:r>
      <w:r w:rsidRPr="0002324F">
        <w:rPr>
          <w:smallCaps/>
        </w:rPr>
        <w:tab/>
      </w:r>
      <w:r w:rsidRPr="0002324F">
        <w:rPr>
          <w:smallCaps/>
        </w:rPr>
        <w:tab/>
      </w:r>
      <w:r w:rsidRPr="0002324F">
        <w:rPr>
          <w:smallCaps/>
        </w:rPr>
        <w:tab/>
      </w:r>
      <w:r w:rsidRPr="0002324F">
        <w:rPr>
          <w:smallCaps/>
        </w:rPr>
        <w:tab/>
        <w:t>Sanchez, J.</w:t>
      </w:r>
    </w:p>
    <w:p w14:paraId="716E9BFB" w14:textId="77777777" w:rsidR="00FA1053" w:rsidRPr="000C15AC" w:rsidRDefault="008D5068" w:rsidP="00FA1053">
      <w:pPr>
        <w:spacing w:line="240" w:lineRule="auto"/>
      </w:pPr>
    </w:p>
    <w:p w14:paraId="3B62CE0A" w14:textId="77777777" w:rsidR="00FA1053" w:rsidRPr="0002324F" w:rsidRDefault="008D5068" w:rsidP="00EB5353">
      <w:pPr>
        <w:spacing w:line="240" w:lineRule="auto"/>
        <w:rPr>
          <w:smallCaps/>
        </w:rPr>
      </w:pPr>
    </w:p>
    <w:p w14:paraId="5887382A" w14:textId="77777777" w:rsidR="00FA1053" w:rsidRPr="000C15AC" w:rsidRDefault="008D5068" w:rsidP="00EB5353">
      <w:pPr>
        <w:spacing w:line="240" w:lineRule="auto"/>
      </w:pPr>
    </w:p>
    <w:p w14:paraId="568277A0" w14:textId="77777777" w:rsidR="00FA1053" w:rsidRPr="000C15AC" w:rsidRDefault="008D5068" w:rsidP="00EB5353">
      <w:pPr>
        <w:spacing w:line="240" w:lineRule="auto"/>
      </w:pPr>
    </w:p>
    <w:p w14:paraId="66342331" w14:textId="77777777" w:rsidR="00FA1053" w:rsidRPr="000C15AC" w:rsidRDefault="008D5068" w:rsidP="00EB5353">
      <w:pPr>
        <w:spacing w:line="240" w:lineRule="auto"/>
      </w:pPr>
      <w:r w:rsidRPr="000C15AC">
        <w:t>WE</w:t>
      </w:r>
      <w:r w:rsidRPr="000C15AC">
        <w:t xml:space="preserve"> CONCUR:</w:t>
      </w:r>
    </w:p>
    <w:p w14:paraId="7937087B" w14:textId="77777777" w:rsidR="00FA1053" w:rsidRPr="000C15AC" w:rsidRDefault="008D5068" w:rsidP="00EB5353">
      <w:pPr>
        <w:spacing w:line="240" w:lineRule="auto"/>
      </w:pPr>
    </w:p>
    <w:p w14:paraId="4F4D5649" w14:textId="77777777" w:rsidR="00FA1053" w:rsidRPr="000C15AC" w:rsidRDefault="008D5068" w:rsidP="00EB5353">
      <w:pPr>
        <w:spacing w:line="240" w:lineRule="auto"/>
      </w:pPr>
    </w:p>
    <w:p w14:paraId="64F4153F" w14:textId="77777777" w:rsidR="00FA1053" w:rsidRPr="000C15AC" w:rsidRDefault="008D5068" w:rsidP="00EB5353">
      <w:pPr>
        <w:spacing w:line="240" w:lineRule="auto"/>
      </w:pPr>
    </w:p>
    <w:p w14:paraId="02DFECDB" w14:textId="77777777" w:rsidR="00FA1053" w:rsidRPr="0002324F" w:rsidRDefault="008D5068" w:rsidP="00EB5353">
      <w:pPr>
        <w:spacing w:line="240" w:lineRule="auto"/>
        <w:rPr>
          <w:smallCaps/>
        </w:rPr>
      </w:pPr>
      <w:r w:rsidRPr="0002324F">
        <w:rPr>
          <w:smallCaps/>
        </w:rPr>
        <w:t>Humes, P. J.</w:t>
      </w:r>
    </w:p>
    <w:p w14:paraId="638E2E4D" w14:textId="77777777" w:rsidR="00FA1053" w:rsidRPr="0002324F" w:rsidRDefault="008D5068" w:rsidP="00EB5353">
      <w:pPr>
        <w:spacing w:line="240" w:lineRule="auto"/>
        <w:rPr>
          <w:smallCaps/>
        </w:rPr>
      </w:pPr>
    </w:p>
    <w:p w14:paraId="60932846" w14:textId="77777777" w:rsidR="00FA1053" w:rsidRPr="0002324F" w:rsidRDefault="008D5068" w:rsidP="00EB5353">
      <w:pPr>
        <w:spacing w:line="240" w:lineRule="auto"/>
        <w:rPr>
          <w:smallCaps/>
        </w:rPr>
      </w:pPr>
    </w:p>
    <w:p w14:paraId="087CF048" w14:textId="77777777" w:rsidR="00FA1053" w:rsidRPr="0002324F" w:rsidRDefault="008D5068" w:rsidP="00EB5353">
      <w:pPr>
        <w:spacing w:line="240" w:lineRule="auto"/>
        <w:rPr>
          <w:smallCaps/>
        </w:rPr>
      </w:pPr>
    </w:p>
    <w:p w14:paraId="3C1AAE62" w14:textId="77777777" w:rsidR="00FA1053" w:rsidRPr="0002324F" w:rsidRDefault="008D5068" w:rsidP="00EB5353">
      <w:pPr>
        <w:spacing w:line="240" w:lineRule="auto"/>
        <w:rPr>
          <w:smallCaps/>
        </w:rPr>
      </w:pPr>
    </w:p>
    <w:p w14:paraId="66A0B03A" w14:textId="77777777" w:rsidR="00FA1053" w:rsidRPr="0002324F" w:rsidRDefault="008D5068" w:rsidP="00EB5353">
      <w:pPr>
        <w:spacing w:line="240" w:lineRule="auto"/>
        <w:rPr>
          <w:smallCaps/>
        </w:rPr>
      </w:pPr>
      <w:r w:rsidRPr="0002324F">
        <w:rPr>
          <w:smallCaps/>
        </w:rPr>
        <w:t>Banke, J.</w:t>
      </w:r>
    </w:p>
    <w:p w14:paraId="3D959DFA" w14:textId="77777777" w:rsidR="00FA1053" w:rsidRPr="0002324F" w:rsidRDefault="008D5068" w:rsidP="00EB5353">
      <w:pPr>
        <w:spacing w:line="240" w:lineRule="auto"/>
        <w:rPr>
          <w:smallCaps/>
        </w:rPr>
      </w:pPr>
    </w:p>
    <w:p w14:paraId="2FDA51CB" w14:textId="77777777" w:rsidR="00FA1053" w:rsidRPr="0002324F" w:rsidRDefault="008D5068" w:rsidP="00EB5353">
      <w:pPr>
        <w:spacing w:line="240" w:lineRule="auto"/>
        <w:rPr>
          <w:smallCaps/>
        </w:rPr>
      </w:pPr>
    </w:p>
    <w:p w14:paraId="6580A7A5" w14:textId="77777777" w:rsidR="00FA1053" w:rsidRPr="0002324F" w:rsidRDefault="008D5068" w:rsidP="00EB5353">
      <w:pPr>
        <w:spacing w:line="240" w:lineRule="auto"/>
        <w:rPr>
          <w:smallCaps/>
        </w:rPr>
      </w:pPr>
    </w:p>
    <w:p w14:paraId="13AC490C" w14:textId="77777777" w:rsidR="00FA1053" w:rsidRPr="0002324F" w:rsidRDefault="008D5068" w:rsidP="005C1BD9">
      <w:pPr>
        <w:spacing w:line="240" w:lineRule="auto"/>
        <w:rPr>
          <w:smallCaps/>
        </w:rPr>
      </w:pPr>
    </w:p>
    <w:p w14:paraId="537B1E9C" w14:textId="77777777" w:rsidR="00FA1053" w:rsidRPr="000C15AC" w:rsidRDefault="008D5068" w:rsidP="00EB5353">
      <w:pPr>
        <w:spacing w:line="240" w:lineRule="auto"/>
      </w:pPr>
    </w:p>
    <w:p w14:paraId="35522AED" w14:textId="77777777" w:rsidR="00FA1053" w:rsidRPr="000C15AC" w:rsidRDefault="008D5068" w:rsidP="00EB5353">
      <w:pPr>
        <w:spacing w:line="240" w:lineRule="auto"/>
      </w:pPr>
    </w:p>
    <w:p w14:paraId="2C45A149" w14:textId="77777777" w:rsidR="00FA1053" w:rsidRPr="000C15AC" w:rsidRDefault="008D5068" w:rsidP="00EB5353">
      <w:pPr>
        <w:spacing w:line="240" w:lineRule="auto"/>
      </w:pPr>
    </w:p>
    <w:p w14:paraId="06494989" w14:textId="77777777" w:rsidR="00FA1053" w:rsidRPr="000C15AC" w:rsidRDefault="008D5068" w:rsidP="00EB5353">
      <w:pPr>
        <w:spacing w:line="240" w:lineRule="auto"/>
      </w:pPr>
    </w:p>
    <w:p w14:paraId="4496C258" w14:textId="77777777" w:rsidR="00FA1053" w:rsidRPr="000C15AC" w:rsidRDefault="008D5068" w:rsidP="00EB5353">
      <w:pPr>
        <w:spacing w:line="240" w:lineRule="auto"/>
      </w:pPr>
    </w:p>
    <w:p w14:paraId="66AA7EEF" w14:textId="77777777" w:rsidR="00FA1053" w:rsidRPr="000C15AC" w:rsidRDefault="008D5068" w:rsidP="00EB5353">
      <w:pPr>
        <w:spacing w:line="240" w:lineRule="auto"/>
      </w:pPr>
    </w:p>
    <w:p w14:paraId="35D49647" w14:textId="77777777" w:rsidR="00FA1053" w:rsidRPr="000C15AC" w:rsidRDefault="008D5068" w:rsidP="00EB5353">
      <w:pPr>
        <w:spacing w:line="240" w:lineRule="auto"/>
      </w:pPr>
    </w:p>
    <w:p w14:paraId="3795FA82" w14:textId="77777777" w:rsidR="00FA1053" w:rsidRPr="000C15AC" w:rsidRDefault="008D5068" w:rsidP="00EB5353">
      <w:pPr>
        <w:spacing w:line="240" w:lineRule="auto"/>
      </w:pPr>
    </w:p>
    <w:p w14:paraId="0FB82977" w14:textId="77777777" w:rsidR="00FA1053" w:rsidRPr="000C15AC" w:rsidRDefault="008D5068" w:rsidP="00EB5353">
      <w:pPr>
        <w:spacing w:line="240" w:lineRule="auto"/>
      </w:pPr>
    </w:p>
    <w:p w14:paraId="271B84B6" w14:textId="77777777" w:rsidR="00FA1053" w:rsidRPr="000C15AC" w:rsidRDefault="008D5068" w:rsidP="00EB5353">
      <w:pPr>
        <w:spacing w:line="240" w:lineRule="auto"/>
      </w:pPr>
    </w:p>
    <w:p w14:paraId="65BF02B9" w14:textId="77777777" w:rsidR="00FA1053" w:rsidRPr="000C15AC" w:rsidRDefault="008D5068" w:rsidP="00EB5353">
      <w:pPr>
        <w:spacing w:line="240" w:lineRule="auto"/>
      </w:pPr>
    </w:p>
    <w:p w14:paraId="6BD84D6B" w14:textId="77777777" w:rsidR="00FA1053" w:rsidRPr="000C15AC" w:rsidRDefault="008D5068" w:rsidP="00EB5353">
      <w:pPr>
        <w:spacing w:line="240" w:lineRule="auto"/>
      </w:pPr>
    </w:p>
    <w:p w14:paraId="641EF662" w14:textId="77777777" w:rsidR="00FA1053" w:rsidRPr="000C15AC" w:rsidRDefault="008D5068" w:rsidP="00EB5353">
      <w:pPr>
        <w:spacing w:line="240" w:lineRule="auto"/>
      </w:pPr>
    </w:p>
    <w:p w14:paraId="12DEF8D4" w14:textId="77777777" w:rsidR="00FA1053" w:rsidRPr="000C15AC" w:rsidRDefault="008D5068" w:rsidP="00EB5353">
      <w:pPr>
        <w:spacing w:line="240" w:lineRule="auto"/>
      </w:pPr>
      <w:r>
        <w:t>A162453</w:t>
      </w:r>
    </w:p>
    <w:p w14:paraId="0EFC8DB9" w14:textId="77777777" w:rsidR="00FA1053" w:rsidRPr="000C15AC" w:rsidRDefault="008D5068" w:rsidP="00EB5353">
      <w:pPr>
        <w:spacing w:line="240" w:lineRule="auto"/>
        <w:rPr>
          <w:i/>
        </w:rPr>
      </w:pPr>
      <w:r>
        <w:rPr>
          <w:i/>
        </w:rPr>
        <w:t>BBBB Bonding Corporation v. Caldwell</w:t>
      </w:r>
    </w:p>
    <w:p w14:paraId="09D5A83C" w14:textId="77777777" w:rsidR="00605858" w:rsidRDefault="008D5068">
      <w:pPr>
        <w:tabs>
          <w:tab w:val="clear" w:pos="720"/>
        </w:tabs>
        <w:spacing w:line="360" w:lineRule="auto"/>
      </w:pPr>
      <w:r>
        <w:br w:type="page"/>
      </w:r>
    </w:p>
    <w:p w14:paraId="64A3B7D9" w14:textId="77777777" w:rsidR="00605858" w:rsidRPr="00801B4D" w:rsidRDefault="008D5068" w:rsidP="0025232B">
      <w:pPr>
        <w:spacing w:line="240" w:lineRule="auto"/>
      </w:pPr>
      <w:r w:rsidRPr="00801B4D">
        <w:lastRenderedPageBreak/>
        <w:t>Trial Court:</w:t>
      </w:r>
      <w:r w:rsidRPr="00801B4D">
        <w:tab/>
        <w:t xml:space="preserve"> </w:t>
      </w:r>
      <w:r>
        <w:tab/>
      </w:r>
      <w:r>
        <w:t>Alameda County</w:t>
      </w:r>
    </w:p>
    <w:p w14:paraId="77D0E68E" w14:textId="77777777" w:rsidR="00605858" w:rsidRPr="00801B4D" w:rsidRDefault="008D5068" w:rsidP="0025232B">
      <w:pPr>
        <w:spacing w:line="240" w:lineRule="auto"/>
      </w:pPr>
    </w:p>
    <w:p w14:paraId="2429D6EA" w14:textId="77777777" w:rsidR="00605858" w:rsidRPr="00801B4D" w:rsidRDefault="008D5068" w:rsidP="0025232B">
      <w:pPr>
        <w:spacing w:line="240" w:lineRule="auto"/>
      </w:pPr>
      <w:r w:rsidRPr="00801B4D">
        <w:t xml:space="preserve">Trial Judge: </w:t>
      </w:r>
      <w:r w:rsidRPr="00801B4D">
        <w:tab/>
      </w:r>
      <w:r>
        <w:t>Hon. Brad Seligman</w:t>
      </w:r>
    </w:p>
    <w:p w14:paraId="74269643" w14:textId="77777777" w:rsidR="00605858" w:rsidRPr="00801B4D" w:rsidRDefault="008D5068" w:rsidP="0025232B">
      <w:pPr>
        <w:spacing w:line="240" w:lineRule="auto"/>
      </w:pPr>
    </w:p>
    <w:p w14:paraId="075F7E95" w14:textId="77777777" w:rsidR="00605858" w:rsidRPr="00801B4D" w:rsidRDefault="008D5068" w:rsidP="0025232B">
      <w:pPr>
        <w:spacing w:line="240" w:lineRule="auto"/>
      </w:pPr>
      <w:r w:rsidRPr="00801B4D">
        <w:t xml:space="preserve">Counsel:  </w:t>
      </w:r>
    </w:p>
    <w:p w14:paraId="7587BF84" w14:textId="77777777" w:rsidR="00605858" w:rsidRPr="00801B4D" w:rsidRDefault="008D5068" w:rsidP="0025232B">
      <w:pPr>
        <w:spacing w:line="240" w:lineRule="auto"/>
      </w:pPr>
    </w:p>
    <w:p w14:paraId="73CB1D4A" w14:textId="77777777" w:rsidR="00605858" w:rsidRDefault="008D5068" w:rsidP="0025232B">
      <w:pPr>
        <w:spacing w:line="240" w:lineRule="auto"/>
      </w:pPr>
      <w:r>
        <w:t>Law Offices of Jeffrey M. Cohon, APC</w:t>
      </w:r>
      <w:r>
        <w:t xml:space="preserve">, Jeffrey M. Cohon; Weintraub Tobin </w:t>
      </w:r>
      <w:r>
        <w:t>Law Corporation, Brendan J. Begley, Charles L. Pos</w:t>
      </w:r>
      <w:r>
        <w:t>t,</w:t>
      </w:r>
      <w:r>
        <w:t xml:space="preserve"> James Kachmar and Audrey A. Millemann</w:t>
      </w:r>
      <w:r w:rsidRPr="00801B4D">
        <w:t xml:space="preserve"> for Plaintiff</w:t>
      </w:r>
      <w:r>
        <w:t>, Cross-defendant</w:t>
      </w:r>
      <w:r w:rsidRPr="00801B4D">
        <w:t xml:space="preserve"> and Appellant.</w:t>
      </w:r>
    </w:p>
    <w:p w14:paraId="522FA747" w14:textId="77777777" w:rsidR="00B92C99" w:rsidRDefault="008D5068" w:rsidP="0025232B">
      <w:pPr>
        <w:spacing w:line="240" w:lineRule="auto"/>
      </w:pPr>
    </w:p>
    <w:p w14:paraId="09313154" w14:textId="77777777" w:rsidR="00605858" w:rsidRPr="00801B4D" w:rsidRDefault="008D5068" w:rsidP="6B4F90DA">
      <w:pPr>
        <w:spacing w:line="240" w:lineRule="auto"/>
      </w:pPr>
      <w:r>
        <w:t>Keker, Van Nest &amp; Peters LLP, Laurie Carr Mims, Jay Rapaport, Niall Mackay</w:t>
      </w:r>
      <w:r>
        <w:t xml:space="preserve"> Roberts, and Donna Zamora-Stevens</w:t>
      </w:r>
      <w:r>
        <w:t>; Lawyers’ Committee for Civil Rights of the San Francisco Bay Area, Elisa Della-Piana</w:t>
      </w:r>
      <w:r>
        <w:t>, Zal K. Shroff and Rio Scharf</w:t>
      </w:r>
      <w:r>
        <w:t xml:space="preserve"> for </w:t>
      </w:r>
      <w:r w:rsidRPr="00801B4D">
        <w:t>Defendant</w:t>
      </w:r>
      <w:r>
        <w:t>, Cross-complainant</w:t>
      </w:r>
      <w:r w:rsidRPr="00801B4D">
        <w:t xml:space="preserve"> and Respondent.</w:t>
      </w:r>
    </w:p>
    <w:p w14:paraId="3F3E1186" w14:textId="77777777" w:rsidR="00605858" w:rsidRPr="00801B4D" w:rsidRDefault="008D5068" w:rsidP="0025232B">
      <w:pPr>
        <w:spacing w:line="240" w:lineRule="auto"/>
      </w:pPr>
    </w:p>
    <w:p w14:paraId="4B330963" w14:textId="77777777" w:rsidR="00605858" w:rsidRPr="00801B4D" w:rsidRDefault="008D5068" w:rsidP="009A6360">
      <w:pPr>
        <w:spacing w:line="240" w:lineRule="auto"/>
      </w:pPr>
      <w:r>
        <w:t>Mitchell Silberberg &amp; Knupp LLP, Mark C. Humph</w:t>
      </w:r>
      <w:r>
        <w:t>rey, Elai</w:t>
      </w:r>
      <w:r>
        <w:t xml:space="preserve">ne K. Kim </w:t>
      </w:r>
      <w:r>
        <w:t>and Alexandra Anfuso</w:t>
      </w:r>
      <w:r>
        <w:t xml:space="preserve"> for Public Counsel, Community Legal Services in East Palo Alto, National Consumer Law Center, The Debt Collective, </w:t>
      </w:r>
      <w:r>
        <w:t xml:space="preserve">The </w:t>
      </w:r>
      <w:r>
        <w:t>Public Law Center, Watsonville Law Center</w:t>
      </w:r>
      <w:r>
        <w:t>, and East Bay Community Law Cente</w:t>
      </w:r>
      <w:r>
        <w:t>r</w:t>
      </w:r>
      <w:r w:rsidRPr="00801B4D">
        <w:t xml:space="preserve"> as Amicus Curiae on behalf of</w:t>
      </w:r>
      <w:r w:rsidRPr="00801B4D">
        <w:t xml:space="preserve"> </w:t>
      </w:r>
      <w:r>
        <w:t>Defendant</w:t>
      </w:r>
      <w:r>
        <w:t>, Cross-complainant</w:t>
      </w:r>
      <w:r w:rsidRPr="00801B4D">
        <w:t xml:space="preserve"> and </w:t>
      </w:r>
      <w:r>
        <w:t>Respondent</w:t>
      </w:r>
      <w:r w:rsidRPr="00801B4D">
        <w:t>.</w:t>
      </w:r>
    </w:p>
    <w:p w14:paraId="7FFBEE48" w14:textId="77777777" w:rsidR="00605858" w:rsidRPr="00801B4D" w:rsidRDefault="008D5068" w:rsidP="009A6360">
      <w:pPr>
        <w:spacing w:line="240" w:lineRule="auto"/>
      </w:pPr>
    </w:p>
    <w:p w14:paraId="7EF13FC1" w14:textId="77777777" w:rsidR="00200C3B" w:rsidRDefault="008D5068" w:rsidP="00200C3B">
      <w:pPr>
        <w:spacing w:line="240" w:lineRule="auto"/>
      </w:pPr>
      <w:r>
        <w:t xml:space="preserve">Rob Bonta, Attorney General, </w:t>
      </w:r>
      <w:r>
        <w:t>N</w:t>
      </w:r>
      <w:r>
        <w:t>icklas A. Akers, Assistant Attorney General, Michele Van Gelderen, Michael Gowe, and Alicia K. Hancock, Deputy Attorneys General</w:t>
      </w:r>
      <w:r w:rsidRPr="00200C3B">
        <w:t xml:space="preserve"> </w:t>
      </w:r>
      <w:r>
        <w:t>for the Attorney General of the State of Californi</w:t>
      </w:r>
      <w:r>
        <w:t xml:space="preserve">a and the California Department of Insurance </w:t>
      </w:r>
      <w:r w:rsidRPr="00801B4D">
        <w:t>as Amicus Curiae on behalf of</w:t>
      </w:r>
      <w:r>
        <w:t xml:space="preserve"> </w:t>
      </w:r>
      <w:r>
        <w:t>Defendant</w:t>
      </w:r>
      <w:r>
        <w:t>, Cross-complainant</w:t>
      </w:r>
      <w:r>
        <w:t xml:space="preserve"> and Respondent.</w:t>
      </w:r>
    </w:p>
    <w:p w14:paraId="0827DC35" w14:textId="77777777" w:rsidR="00DF4BB9" w:rsidRDefault="008D5068" w:rsidP="00200C3B">
      <w:pPr>
        <w:spacing w:line="240" w:lineRule="auto"/>
      </w:pPr>
    </w:p>
    <w:p w14:paraId="7C3791ED" w14:textId="77777777" w:rsidR="00DF4BB9" w:rsidRDefault="008D5068" w:rsidP="00200C3B">
      <w:pPr>
        <w:spacing w:line="240" w:lineRule="auto"/>
      </w:pPr>
      <w:r>
        <w:t xml:space="preserve">Willkie, Farr &amp; Gallagher LLP, Eduardo E. Santacana and Joshua D. Anderson; </w:t>
      </w:r>
      <w:r>
        <w:t>Chesa Boudin, District Attorney</w:t>
      </w:r>
      <w:r>
        <w:t xml:space="preserve"> (</w:t>
      </w:r>
      <w:r>
        <w:t>San Francisco</w:t>
      </w:r>
      <w:r>
        <w:t>)</w:t>
      </w:r>
      <w:r>
        <w:t xml:space="preserve"> and Alex Fe</w:t>
      </w:r>
      <w:r>
        <w:t>igen Fasteau, Deputy District Attorney f</w:t>
      </w:r>
      <w:r>
        <w:t xml:space="preserve">or Prosecutors Alliance </w:t>
      </w:r>
      <w:r>
        <w:t xml:space="preserve">of California </w:t>
      </w:r>
      <w:r>
        <w:t xml:space="preserve">and District Attorney </w:t>
      </w:r>
      <w:r>
        <w:t>of the City and County of San Francisco</w:t>
      </w:r>
      <w:r>
        <w:t xml:space="preserve"> as Amicus Curiae on behalf of </w:t>
      </w:r>
      <w:r>
        <w:t>Defendant</w:t>
      </w:r>
      <w:r>
        <w:t>, Cross-complainant</w:t>
      </w:r>
      <w:r>
        <w:t xml:space="preserve"> and Respondent</w:t>
      </w:r>
      <w:r>
        <w:t xml:space="preserve">.  </w:t>
      </w:r>
    </w:p>
    <w:p w14:paraId="7AE62588" w14:textId="77777777" w:rsidR="00B41D6C" w:rsidRDefault="008D5068" w:rsidP="00200C3B">
      <w:pPr>
        <w:spacing w:line="240" w:lineRule="auto"/>
      </w:pPr>
    </w:p>
    <w:p w14:paraId="6A3ADD19" w14:textId="77777777" w:rsidR="00B41D6C" w:rsidRPr="00801B4D" w:rsidRDefault="008D5068" w:rsidP="00200C3B">
      <w:pPr>
        <w:spacing w:line="240" w:lineRule="auto"/>
      </w:pPr>
    </w:p>
    <w:p w14:paraId="6F40EA4F" w14:textId="77777777" w:rsidR="00CE7305" w:rsidRDefault="008D5068" w:rsidP="0008384C">
      <w:pPr>
        <w:spacing w:line="360" w:lineRule="auto"/>
      </w:pPr>
    </w:p>
    <w:sectPr w:rsidR="00CE7305" w:rsidSect="00613E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5DE2" w14:textId="77777777" w:rsidR="00000000" w:rsidRDefault="008D5068">
      <w:pPr>
        <w:spacing w:line="240" w:lineRule="auto"/>
      </w:pPr>
      <w:r>
        <w:separator/>
      </w:r>
    </w:p>
  </w:endnote>
  <w:endnote w:type="continuationSeparator" w:id="0">
    <w:p w14:paraId="11B8003E" w14:textId="77777777" w:rsidR="00000000" w:rsidRDefault="008D5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1E78" w14:textId="77777777" w:rsidR="00613E6B" w:rsidRDefault="008D5068" w:rsidP="00824B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520FBE5B" w14:textId="77777777" w:rsidR="00613E6B" w:rsidRDefault="008D5068" w:rsidP="00824B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41067DF4" w14:textId="77777777" w:rsidR="00613E6B" w:rsidRDefault="008D5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D4AC" w14:textId="77777777" w:rsidR="00613E6B" w:rsidRDefault="008D5068" w:rsidP="00613E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76CCB7" w14:textId="77777777" w:rsidR="00613E6B" w:rsidRDefault="008D5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AF7F" w14:textId="77777777" w:rsidR="007B4677" w:rsidRDefault="008D5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DDEC" w14:textId="77777777" w:rsidR="007E1558" w:rsidRDefault="008D5068" w:rsidP="00613E6B">
      <w:pPr>
        <w:spacing w:line="240" w:lineRule="auto"/>
      </w:pPr>
      <w:r>
        <w:separator/>
      </w:r>
    </w:p>
  </w:footnote>
  <w:footnote w:type="continuationSeparator" w:id="0">
    <w:p w14:paraId="69DEDBA9" w14:textId="77777777" w:rsidR="007E1558" w:rsidRDefault="008D5068" w:rsidP="00613E6B">
      <w:pPr>
        <w:spacing w:line="240" w:lineRule="auto"/>
      </w:pPr>
      <w:r>
        <w:continuationSeparator/>
      </w:r>
    </w:p>
  </w:footnote>
  <w:footnote w:id="1">
    <w:p w14:paraId="414D89D0" w14:textId="77777777" w:rsidR="008F2919" w:rsidRDefault="008D5068" w:rsidP="008F2919">
      <w:pPr>
        <w:pStyle w:val="FootnoteText"/>
        <w:ind w:firstLine="720"/>
      </w:pPr>
      <w:r>
        <w:rPr>
          <w:rStyle w:val="FootnoteReference"/>
        </w:rPr>
        <w:footnoteRef/>
      </w:r>
      <w:r>
        <w:t xml:space="preserve"> All further undesignated statutory references are to the Civil Code.</w:t>
      </w:r>
    </w:p>
  </w:footnote>
  <w:footnote w:id="2">
    <w:p w14:paraId="56ACD950" w14:textId="77777777" w:rsidR="00AB21D4" w:rsidRPr="003B4A72" w:rsidRDefault="008D5068" w:rsidP="00AB21D4">
      <w:pPr>
        <w:pStyle w:val="FootnoteText"/>
        <w:rPr>
          <w:sz w:val="12"/>
          <w:szCs w:val="12"/>
        </w:rPr>
      </w:pPr>
      <w:r>
        <w:tab/>
      </w:r>
      <w:r>
        <w:rPr>
          <w:rStyle w:val="FootnoteReference"/>
        </w:rPr>
        <w:footnoteRef/>
      </w:r>
      <w:r>
        <w:t xml:space="preserve"> </w:t>
      </w:r>
      <w:r w:rsidRPr="00FC7586">
        <w:t xml:space="preserve">Because </w:t>
      </w:r>
      <w:r>
        <w:t>sureties</w:t>
      </w:r>
      <w:r w:rsidRPr="00FC7586">
        <w:t xml:space="preserve"> are “at risk for paying the entire posted bail if [a defendant] abscond[s] at any time, the law permit[s] [sureties] to make the prem</w:t>
      </w:r>
      <w:r w:rsidRPr="00FC7586">
        <w:t>ium nonrefundable.”  (</w:t>
      </w:r>
      <w:r w:rsidRPr="00FC7586">
        <w:rPr>
          <w:i/>
          <w:iCs/>
        </w:rPr>
        <w:t>Indiana Lumbermens Mutual Ins. Co. v. Alexander</w:t>
      </w:r>
      <w:r w:rsidRPr="00FC7586">
        <w:t xml:space="preserve"> (2008) 167 Cal.App.4th 1544, 1547.)</w:t>
      </w:r>
      <w:r>
        <w:t xml:space="preserve"> </w:t>
      </w:r>
    </w:p>
  </w:footnote>
  <w:footnote w:id="3">
    <w:p w14:paraId="4019A95B" w14:textId="77777777" w:rsidR="00AA2271" w:rsidRPr="00794A72" w:rsidRDefault="008D5068" w:rsidP="00794A72">
      <w:pPr>
        <w:pStyle w:val="FootnoteText"/>
        <w:ind w:firstLine="720"/>
      </w:pPr>
      <w:r>
        <w:rPr>
          <w:rStyle w:val="FootnoteReference"/>
        </w:rPr>
        <w:footnoteRef/>
      </w:r>
      <w:r>
        <w:t xml:space="preserve"> </w:t>
      </w:r>
      <w:r>
        <w:t xml:space="preserve">BBBB directs our attention to an Eleventh Circuit decision which held that </w:t>
      </w:r>
      <w:r>
        <w:t>TILA</w:t>
      </w:r>
      <w:r>
        <w:t xml:space="preserve"> did not apply to </w:t>
      </w:r>
      <w:r>
        <w:t xml:space="preserve">the execution of a contingent promissory note and </w:t>
      </w:r>
      <w:r>
        <w:t xml:space="preserve">mortgage put up as collateral </w:t>
      </w:r>
      <w:r>
        <w:t>in a</w:t>
      </w:r>
      <w:r>
        <w:t xml:space="preserve"> </w:t>
      </w:r>
      <w:r>
        <w:t>bail bond</w:t>
      </w:r>
      <w:r>
        <w:t xml:space="preserve"> indemnity agreement</w:t>
      </w:r>
      <w:r>
        <w:t>.  (</w:t>
      </w:r>
      <w:r>
        <w:rPr>
          <w:i/>
          <w:iCs/>
        </w:rPr>
        <w:t xml:space="preserve">Buckman </w:t>
      </w:r>
      <w:r>
        <w:rPr>
          <w:i/>
          <w:iCs/>
        </w:rPr>
        <w:t>v. American Bankers Ins. Co. of Florida</w:t>
      </w:r>
      <w:r>
        <w:t xml:space="preserve"> (11</w:t>
      </w:r>
      <w:r w:rsidRPr="0088267F">
        <w:t>th</w:t>
      </w:r>
      <w:r w:rsidRPr="000A33A9">
        <w:t xml:space="preserve"> </w:t>
      </w:r>
      <w:r>
        <w:t>Cir. 1997) 115 F.3d 892</w:t>
      </w:r>
      <w:r>
        <w:t>.</w:t>
      </w:r>
      <w:r>
        <w:t>)</w:t>
      </w:r>
      <w:r>
        <w:t xml:space="preserve">  The court </w:t>
      </w:r>
      <w:r>
        <w:t>concluded</w:t>
      </w:r>
      <w:r>
        <w:t xml:space="preserve"> that </w:t>
      </w:r>
      <w:r>
        <w:t xml:space="preserve">the </w:t>
      </w:r>
      <w:r>
        <w:t>promissory note</w:t>
      </w:r>
      <w:r>
        <w:t xml:space="preserve"> was not an “</w:t>
      </w:r>
      <w:r>
        <w:t> ‘</w:t>
      </w:r>
      <w:r>
        <w:t>extension of credit</w:t>
      </w:r>
      <w:r>
        <w:t>’ </w:t>
      </w:r>
      <w:r>
        <w:t xml:space="preserve">” </w:t>
      </w:r>
      <w:r>
        <w:t xml:space="preserve">under the federal statute </w:t>
      </w:r>
      <w:r>
        <w:t xml:space="preserve">because </w:t>
      </w:r>
      <w:r>
        <w:t>it</w:t>
      </w:r>
      <w:r>
        <w:t xml:space="preserve"> </w:t>
      </w:r>
      <w:r>
        <w:t xml:space="preserve">was a </w:t>
      </w:r>
      <w:r w:rsidRPr="00E62326">
        <w:t>contingent obligation.</w:t>
      </w:r>
      <w:r>
        <w:t xml:space="preserve"> </w:t>
      </w:r>
      <w:r>
        <w:t xml:space="preserve"> </w:t>
      </w:r>
      <w:r>
        <w:t xml:space="preserve">Under the </w:t>
      </w:r>
      <w:r>
        <w:t xml:space="preserve">promissory note, </w:t>
      </w:r>
      <w:r>
        <w:t xml:space="preserve">no debt </w:t>
      </w:r>
      <w:r>
        <w:t>was owed unless and until the bond was forfeited</w:t>
      </w:r>
      <w:r>
        <w:t xml:space="preserve"> and </w:t>
      </w:r>
      <w:r>
        <w:t>thus</w:t>
      </w:r>
      <w:r>
        <w:t xml:space="preserve"> “[t]o the extent Plaintiff became liable for a ‘debt,’ it was not as a result of [the surety’s] </w:t>
      </w:r>
      <w:r>
        <w:t>extension of a line of credit to Plaintiff, but arose by court order when the bond was breached.” (</w:t>
      </w:r>
      <w:r>
        <w:rPr>
          <w:i/>
          <w:iCs/>
        </w:rPr>
        <w:t>Id.</w:t>
      </w:r>
      <w:r>
        <w:t xml:space="preserve"> at p. 894.</w:t>
      </w:r>
      <w:r>
        <w:t xml:space="preserve">)  </w:t>
      </w:r>
      <w:r>
        <w:rPr>
          <w:i/>
          <w:iCs/>
        </w:rPr>
        <w:t>Buckman</w:t>
      </w:r>
      <w:r>
        <w:t xml:space="preserve"> is distinguishable </w:t>
      </w:r>
      <w:r>
        <w:t xml:space="preserve">in </w:t>
      </w:r>
      <w:r>
        <w:t xml:space="preserve">several </w:t>
      </w:r>
      <w:r>
        <w:t>respects</w:t>
      </w:r>
      <w:r>
        <w:t xml:space="preserve">.  The case does not concern a </w:t>
      </w:r>
      <w:r>
        <w:t>bail</w:t>
      </w:r>
      <w:r>
        <w:t xml:space="preserve"> premium financing agreement as the plaintiff had paid the entire premium up front. </w:t>
      </w:r>
      <w:r>
        <w:t xml:space="preserve"> </w:t>
      </w:r>
      <w:r>
        <w:t>(</w:t>
      </w:r>
      <w:r>
        <w:rPr>
          <w:i/>
          <w:iCs/>
        </w:rPr>
        <w:t>I</w:t>
      </w:r>
      <w:r>
        <w:rPr>
          <w:i/>
          <w:iCs/>
        </w:rPr>
        <w:t>d.</w:t>
      </w:r>
      <w:r>
        <w:t xml:space="preserve"> at </w:t>
      </w:r>
      <w:r>
        <w:t>p</w:t>
      </w:r>
      <w:r>
        <w:t>.</w:t>
      </w:r>
      <w:r>
        <w:t> </w:t>
      </w:r>
      <w:r>
        <w:t>893</w:t>
      </w:r>
      <w:r>
        <w:t>.</w:t>
      </w:r>
      <w:r>
        <w:t>)</w:t>
      </w:r>
      <w:r>
        <w:t xml:space="preserve">  </w:t>
      </w:r>
      <w:r>
        <w:t xml:space="preserve">Caldwell’s </w:t>
      </w:r>
      <w:r>
        <w:t>allegations</w:t>
      </w:r>
      <w:r>
        <w:t xml:space="preserve"> here</w:t>
      </w:r>
      <w:r>
        <w:t xml:space="preserve"> involve </w:t>
      </w:r>
      <w:r>
        <w:t>a</w:t>
      </w:r>
      <w:r>
        <w:t xml:space="preserve">n agreement to pay the bail </w:t>
      </w:r>
      <w:r>
        <w:rPr>
          <w:i/>
          <w:iCs/>
        </w:rPr>
        <w:t>premium</w:t>
      </w:r>
      <w:r>
        <w:t xml:space="preserve"> </w:t>
      </w:r>
      <w:r>
        <w:t xml:space="preserve">over a series of </w:t>
      </w:r>
      <w:r>
        <w:t xml:space="preserve">installments, </w:t>
      </w:r>
      <w:r>
        <w:t xml:space="preserve">and the obligation was not contingent but was </w:t>
      </w:r>
      <w:r>
        <w:t>ful</w:t>
      </w:r>
      <w:r>
        <w:t xml:space="preserve">ly payable and nonrefundable the moment the arrestee was released from detention. </w:t>
      </w:r>
      <w:r>
        <w:t xml:space="preserve"> </w:t>
      </w:r>
      <w:r>
        <w:t xml:space="preserve">(See </w:t>
      </w:r>
      <w:r>
        <w:rPr>
          <w:i/>
          <w:iCs/>
        </w:rPr>
        <w:t>Sharp v. Memphis Bonding Co., Inc.</w:t>
      </w:r>
      <w:r>
        <w:t xml:space="preserve"> </w:t>
      </w:r>
      <w:r>
        <w:t>(</w:t>
      </w:r>
      <w:r w:rsidRPr="007D53FF">
        <w:t xml:space="preserve">W.D.Tenn. Mar. 21, 2019, No. 18-2143) 2019 </w:t>
      </w:r>
      <w:r>
        <w:t>WL</w:t>
      </w:r>
      <w:r w:rsidRPr="007D53FF">
        <w:t xml:space="preserve"> </w:t>
      </w:r>
      <w:r>
        <w:t>1301993</w:t>
      </w:r>
      <w:r w:rsidRPr="007D53FF">
        <w:t xml:space="preserve">, at </w:t>
      </w:r>
      <w:r>
        <w:t>p. </w:t>
      </w:r>
      <w:r w:rsidRPr="007D53FF">
        <w:t>*</w:t>
      </w:r>
      <w:r>
        <w:t>1</w:t>
      </w:r>
      <w:r w:rsidRPr="007D53FF">
        <w:t>1</w:t>
      </w:r>
      <w:r>
        <w:t xml:space="preserve"> [</w:t>
      </w:r>
      <w:r>
        <w:t xml:space="preserve">distinguishing </w:t>
      </w:r>
      <w:r>
        <w:rPr>
          <w:i/>
          <w:iCs/>
        </w:rPr>
        <w:t>Buckman</w:t>
      </w:r>
      <w:r>
        <w:t xml:space="preserve"> and concluding </w:t>
      </w:r>
      <w:r>
        <w:t>agreement to defer payment o</w:t>
      </w:r>
      <w:r>
        <w:t xml:space="preserve">f a bail bond premium </w:t>
      </w:r>
      <w:r>
        <w:t>constitute</w:t>
      </w:r>
      <w:r>
        <w:t>s</w:t>
      </w:r>
      <w:r>
        <w:t xml:space="preserve"> an </w:t>
      </w:r>
      <w:r>
        <w:t>“</w:t>
      </w:r>
      <w:r>
        <w:t>extension of credit</w:t>
      </w:r>
      <w:r>
        <w:t>”</w:t>
      </w:r>
      <w:r>
        <w:t xml:space="preserve"> under TILA].)  </w:t>
      </w:r>
    </w:p>
  </w:footnote>
  <w:footnote w:id="4">
    <w:p w14:paraId="3382D2FD" w14:textId="77777777" w:rsidR="00D7767D" w:rsidRDefault="008D5068" w:rsidP="00D7767D">
      <w:pPr>
        <w:pStyle w:val="FootnoteText"/>
      </w:pPr>
      <w:r>
        <w:tab/>
      </w:r>
      <w:r>
        <w:rPr>
          <w:rStyle w:val="FootnoteReference"/>
        </w:rPr>
        <w:footnoteRef/>
      </w:r>
      <w:r>
        <w:t xml:space="preserve"> The </w:t>
      </w:r>
      <w:r>
        <w:t>“</w:t>
      </w:r>
      <w:r>
        <w:t>Indemnitor/Guarantor Checklist</w:t>
      </w:r>
      <w:r>
        <w:t>”</w:t>
      </w:r>
      <w:r>
        <w:t xml:space="preserve"> signed by Caldwell </w:t>
      </w:r>
      <w:r>
        <w:t>expressly states</w:t>
      </w:r>
      <w:r>
        <w:t xml:space="preserve"> that the “insurance company [</w:t>
      </w:r>
      <w:r>
        <w:t>(</w:t>
      </w:r>
      <w:r>
        <w:t>North River</w:t>
      </w:r>
      <w:r>
        <w:t>)</w:t>
      </w:r>
      <w:r>
        <w:t xml:space="preserve">] is </w:t>
      </w:r>
      <w:r w:rsidRPr="003B4A72">
        <w:rPr>
          <w:i/>
          <w:iCs/>
        </w:rPr>
        <w:t>not a party</w:t>
      </w:r>
      <w:r>
        <w:t xml:space="preserve"> to any premium financing.  Any financial agreement is strictly between the bail agent/agency [</w:t>
      </w:r>
      <w:r>
        <w:t>(</w:t>
      </w:r>
      <w:r>
        <w:t>BBBB</w:t>
      </w:r>
      <w:r>
        <w:t>)</w:t>
      </w:r>
      <w:r>
        <w:t>] and indemnitor.”</w:t>
      </w:r>
      <w:r>
        <w:t xml:space="preserve"> </w:t>
      </w:r>
      <w:r>
        <w:t xml:space="preserve"> </w:t>
      </w:r>
      <w:r>
        <w:t>(</w:t>
      </w:r>
      <w:r>
        <w:t xml:space="preserve">Italics </w:t>
      </w:r>
      <w:r>
        <w:t>added</w:t>
      </w:r>
      <w:r>
        <w:t>.</w:t>
      </w:r>
      <w:r>
        <w:t>)</w:t>
      </w:r>
      <w:r>
        <w:t xml:space="preserve">  </w:t>
      </w:r>
    </w:p>
  </w:footnote>
  <w:footnote w:id="5">
    <w:p w14:paraId="3CE4FFF6" w14:textId="77777777" w:rsidR="00E6191B" w:rsidRDefault="008D5068" w:rsidP="0035579D">
      <w:pPr>
        <w:pStyle w:val="FootnoteText"/>
        <w:ind w:firstLine="720"/>
      </w:pPr>
      <w:r>
        <w:rPr>
          <w:rStyle w:val="FootnoteReference"/>
        </w:rPr>
        <w:footnoteRef/>
      </w:r>
      <w:r>
        <w:t xml:space="preserve"> Because we conclude that </w:t>
      </w:r>
      <w:r>
        <w:t xml:space="preserve">the Premium Agreement qualifies </w:t>
      </w:r>
      <w:r>
        <w:t xml:space="preserve">as </w:t>
      </w:r>
      <w:r>
        <w:t xml:space="preserve">a consumer credit contract under </w:t>
      </w:r>
      <w:r>
        <w:t>section 1799.90, subdivision (a)(4)</w:t>
      </w:r>
      <w:r>
        <w:t xml:space="preserve"> </w:t>
      </w:r>
      <w:r>
        <w:t xml:space="preserve">as an </w:t>
      </w:r>
      <w:r>
        <w:t>extension of credit</w:t>
      </w:r>
      <w:r>
        <w:t xml:space="preserve">, we need not </w:t>
      </w:r>
      <w:r>
        <w:t xml:space="preserve">resolve the </w:t>
      </w:r>
      <w:r>
        <w:t xml:space="preserve">question </w:t>
      </w:r>
      <w:r>
        <w:t>whether such agreement also qualif</w:t>
      </w:r>
      <w:r>
        <w:t>ies</w:t>
      </w:r>
      <w:r>
        <w:t xml:space="preserve"> as a retail installment contract </w:t>
      </w:r>
      <w:r>
        <w:t xml:space="preserve">under subdivision (a)(1).  </w:t>
      </w:r>
    </w:p>
  </w:footnote>
  <w:footnote w:id="6">
    <w:p w14:paraId="383C6838" w14:textId="77777777" w:rsidR="00797F84" w:rsidRDefault="008D5068" w:rsidP="007A39A1">
      <w:pPr>
        <w:pStyle w:val="FootnoteText"/>
        <w:ind w:firstLine="720"/>
      </w:pPr>
      <w:r>
        <w:rPr>
          <w:rStyle w:val="FootnoteReference"/>
        </w:rPr>
        <w:footnoteRef/>
      </w:r>
      <w:r>
        <w:t xml:space="preserve"> The record indeed confirm</w:t>
      </w:r>
      <w:r>
        <w:t>s</w:t>
      </w:r>
      <w:r>
        <w:t xml:space="preserve"> that </w:t>
      </w:r>
      <w:r>
        <w:t xml:space="preserve">in the collection actions filed by BBBB against other </w:t>
      </w:r>
      <w:r>
        <w:t>cosigner</w:t>
      </w:r>
      <w:r>
        <w:t xml:space="preserve">s, </w:t>
      </w:r>
      <w:r>
        <w:t>the various bail bond a</w:t>
      </w:r>
      <w:r>
        <w:t>greements</w:t>
      </w:r>
      <w:r>
        <w:t>, including Premium Agreements,</w:t>
      </w:r>
      <w:r>
        <w:t xml:space="preserve"> </w:t>
      </w:r>
      <w:r>
        <w:t xml:space="preserve">were signed by </w:t>
      </w:r>
      <w:r>
        <w:t>the arrestee</w:t>
      </w:r>
      <w:r>
        <w:t>s</w:t>
      </w:r>
      <w:r>
        <w:t xml:space="preserve"> and </w:t>
      </w:r>
      <w:r>
        <w:t>cosigner</w:t>
      </w:r>
      <w:r>
        <w:t>s</w:t>
      </w:r>
      <w:r>
        <w:t xml:space="preserve"> </w:t>
      </w:r>
      <w:r>
        <w:t xml:space="preserve">on separate, essentially identical </w:t>
      </w:r>
      <w:r>
        <w:t>contracts</w:t>
      </w:r>
      <w:r>
        <w:t>.   BBBB</w:t>
      </w:r>
      <w:r>
        <w:t>’s</w:t>
      </w:r>
      <w:r>
        <w:t xml:space="preserve"> representative </w:t>
      </w:r>
      <w:r>
        <w:t xml:space="preserve">also </w:t>
      </w:r>
      <w:r>
        <w:t>filed a declaration below verifying that arrestees sign agreements and forms by which they become liable to BBBB</w:t>
      </w:r>
      <w:r w:rsidRPr="00F37B09">
        <w:t xml:space="preserve"> </w:t>
      </w:r>
      <w:r>
        <w:t xml:space="preserve">after they are released on bail. Moreover, Caldwell </w:t>
      </w:r>
      <w:r>
        <w:t>stated</w:t>
      </w:r>
      <w:r>
        <w:t xml:space="preserve"> that </w:t>
      </w:r>
      <w:r>
        <w:t>she was told that</w:t>
      </w:r>
      <w:r>
        <w:t xml:space="preserve"> D.C. would separately sign her own copie</w:t>
      </w:r>
      <w:r>
        <w:t>s of the same contracts</w:t>
      </w:r>
      <w:r>
        <w:t xml:space="preserve">. </w:t>
      </w:r>
      <w:r>
        <w:t xml:space="preserve"> Thus, to the extent BBBB </w:t>
      </w:r>
      <w:r>
        <w:t xml:space="preserve">challenges </w:t>
      </w:r>
      <w:r>
        <w:t>whether</w:t>
      </w:r>
      <w:r>
        <w:t xml:space="preserve"> Caldwell </w:t>
      </w:r>
      <w:r>
        <w:t xml:space="preserve">and </w:t>
      </w:r>
      <w:r>
        <w:t xml:space="preserve">D.C. each signed the same </w:t>
      </w:r>
      <w:r>
        <w:t xml:space="preserve">or similar </w:t>
      </w:r>
      <w:r>
        <w:t xml:space="preserve">bail bond agreements, </w:t>
      </w:r>
      <w:r>
        <w:t xml:space="preserve">we conclude there is </w:t>
      </w:r>
      <w:r w:rsidRPr="00FE69B8">
        <w:t xml:space="preserve">substantial evidence in the record to support the </w:t>
      </w:r>
      <w:r>
        <w:t xml:space="preserve">trial </w:t>
      </w:r>
      <w:r w:rsidRPr="00FE69B8">
        <w:t>court’s finding that Caldwell was a c</w:t>
      </w:r>
      <w:r w:rsidRPr="00FE69B8">
        <w:t>osignatory to the Premium Agreement.</w:t>
      </w:r>
    </w:p>
  </w:footnote>
  <w:footnote w:id="7">
    <w:p w14:paraId="0076FCBF" w14:textId="77777777" w:rsidR="000673CE" w:rsidRDefault="008D5068" w:rsidP="00265160">
      <w:pPr>
        <w:pStyle w:val="FootnoteText"/>
        <w:ind w:firstLine="720"/>
      </w:pPr>
      <w:r>
        <w:rPr>
          <w:rStyle w:val="FootnoteReference"/>
        </w:rPr>
        <w:footnoteRef/>
      </w:r>
      <w:r>
        <w:t xml:space="preserve"> In its amicus </w:t>
      </w:r>
      <w:r>
        <w:t xml:space="preserve">curiae </w:t>
      </w:r>
      <w:r>
        <w:t>brief, the Department</w:t>
      </w:r>
      <w:r>
        <w:t xml:space="preserve"> </w:t>
      </w:r>
      <w:r>
        <w:t>agrees</w:t>
      </w:r>
      <w:r>
        <w:t xml:space="preserve"> that “[t]here is no basis for the Court to stay this case under the primary jurisdiction doctrine.” </w:t>
      </w:r>
    </w:p>
  </w:footnote>
  <w:footnote w:id="8">
    <w:p w14:paraId="6FCADB0A" w14:textId="77777777" w:rsidR="008B7B74" w:rsidRDefault="008D5068" w:rsidP="00D23433">
      <w:pPr>
        <w:pStyle w:val="FootnoteText"/>
        <w:ind w:firstLine="720"/>
      </w:pPr>
      <w:r>
        <w:rPr>
          <w:rStyle w:val="FootnoteReference"/>
        </w:rPr>
        <w:footnoteRef/>
      </w:r>
      <w:r>
        <w:t xml:space="preserve"> BBBB </w:t>
      </w:r>
      <w:r>
        <w:t xml:space="preserve">also </w:t>
      </w:r>
      <w:r>
        <w:t xml:space="preserve">advances an overbreadth argument that is limited to a </w:t>
      </w:r>
      <w:r>
        <w:t xml:space="preserve">single sentence.  </w:t>
      </w:r>
      <w:r>
        <w:t xml:space="preserve">Because BBBB does not support its claim with reasoned analysis, we deem the issue forfeited.  </w:t>
      </w:r>
      <w:r>
        <w:t>(</w:t>
      </w:r>
      <w:r>
        <w:t xml:space="preserve">See </w:t>
      </w:r>
      <w:r w:rsidRPr="003B4A72">
        <w:rPr>
          <w:i/>
          <w:iCs/>
        </w:rPr>
        <w:t>Sviridov v. City of San Diego</w:t>
      </w:r>
      <w:r w:rsidRPr="003B4A72">
        <w:rPr>
          <w:i/>
          <w:iCs/>
        </w:rPr>
        <w:t xml:space="preserve"> </w:t>
      </w:r>
      <w:r>
        <w:t xml:space="preserve">(2017) </w:t>
      </w:r>
      <w:r w:rsidRPr="003B39E1">
        <w:t>14 Cal.App.5th 514</w:t>
      </w:r>
      <w:r>
        <w:t xml:space="preserve">, </w:t>
      </w:r>
      <w:r>
        <w:t>521</w:t>
      </w:r>
      <w:r>
        <w:t>.</w:t>
      </w:r>
      <w:r>
        <w:t xml:space="preserve">)  </w:t>
      </w:r>
    </w:p>
  </w:footnote>
  <w:footnote w:id="9">
    <w:p w14:paraId="5441FC8E" w14:textId="77777777" w:rsidR="003A7474" w:rsidRDefault="008D5068" w:rsidP="003A7474">
      <w:pPr>
        <w:pStyle w:val="FootnoteText"/>
        <w:ind w:firstLine="720"/>
      </w:pPr>
      <w:r>
        <w:rPr>
          <w:rStyle w:val="FootnoteReference"/>
        </w:rPr>
        <w:footnoteRef/>
      </w:r>
      <w:r>
        <w:t xml:space="preserve"> </w:t>
      </w:r>
      <w:r w:rsidRPr="00B93EAB">
        <w:t>Because it found that BBBB’s conduct violate</w:t>
      </w:r>
      <w:r>
        <w:t>d</w:t>
      </w:r>
      <w:r w:rsidRPr="00B93EAB">
        <w:t xml:space="preserve"> the unlawful prong of the UCL, the trial court declined to address whether BBBB’s conduct also violate</w:t>
      </w:r>
      <w:r>
        <w:t>d</w:t>
      </w:r>
      <w:r w:rsidRPr="00B93EAB">
        <w:t xml:space="preserve"> the unfairness prong.  BBBB asserts that the trial court abused its discretion</w:t>
      </w:r>
      <w:r>
        <w:t xml:space="preserve"> </w:t>
      </w:r>
      <w:r>
        <w:t xml:space="preserve">by failing to </w:t>
      </w:r>
      <w:r>
        <w:t>reach this question</w:t>
      </w:r>
      <w:r w:rsidRPr="00B93EAB">
        <w:t>.  Not so.  (See</w:t>
      </w:r>
      <w:r>
        <w:t>,</w:t>
      </w:r>
      <w:r w:rsidRPr="00B93EAB">
        <w:t xml:space="preserve"> e.g., </w:t>
      </w:r>
      <w:r w:rsidRPr="00B93EAB">
        <w:rPr>
          <w:i/>
          <w:iCs/>
        </w:rPr>
        <w:t>Troyk v. Farmer</w:t>
      </w:r>
      <w:r w:rsidRPr="00B93EAB">
        <w:rPr>
          <w:i/>
          <w:iCs/>
        </w:rPr>
        <w:t>s Group, Inc.</w:t>
      </w:r>
      <w:r w:rsidRPr="00B93EAB">
        <w:t xml:space="preserve"> (2009) 171 Cal</w:t>
      </w:r>
      <w:r>
        <w:t>.</w:t>
      </w:r>
      <w:r w:rsidRPr="00B93EAB">
        <w:t>App.4th 1305, 1337</w:t>
      </w:r>
      <w:r>
        <w:t>–133</w:t>
      </w:r>
      <w:r>
        <w:t>8</w:t>
      </w:r>
      <w:r w:rsidRPr="00B93EAB">
        <w:t>, fn. 23 [“Because we conclude Troyk met his burden to show Farmers committed an unlawful business practice under the UCL, we need not, and do not, address the two alternative bases for unfair competition</w:t>
      </w:r>
      <w:r w:rsidRPr="00B93EAB">
        <w:t xml:space="preserve"> under the UCL (i.e., whether Farmers also engaged in fraudulent or unfair business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4B75" w14:textId="77777777" w:rsidR="007B4677" w:rsidRDefault="008D5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4293" w14:textId="77777777" w:rsidR="007B4677" w:rsidRDefault="008D5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8BDB" w14:textId="77777777" w:rsidR="007B4677" w:rsidRDefault="008D5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359"/>
    <w:multiLevelType w:val="hybridMultilevel"/>
    <w:tmpl w:val="ABA697F6"/>
    <w:lvl w:ilvl="0" w:tplc="FDB2282A">
      <w:start w:val="1"/>
      <w:numFmt w:val="lowerRoman"/>
      <w:lvlText w:val="%1."/>
      <w:lvlJc w:val="left"/>
      <w:pPr>
        <w:ind w:left="1440" w:hanging="720"/>
      </w:pPr>
      <w:rPr>
        <w:rFonts w:hint="default"/>
      </w:rPr>
    </w:lvl>
    <w:lvl w:ilvl="1" w:tplc="4F34E954" w:tentative="1">
      <w:start w:val="1"/>
      <w:numFmt w:val="lowerLetter"/>
      <w:lvlText w:val="%2."/>
      <w:lvlJc w:val="left"/>
      <w:pPr>
        <w:ind w:left="1800" w:hanging="360"/>
      </w:pPr>
    </w:lvl>
    <w:lvl w:ilvl="2" w:tplc="E5D265EC" w:tentative="1">
      <w:start w:val="1"/>
      <w:numFmt w:val="lowerRoman"/>
      <w:lvlText w:val="%3."/>
      <w:lvlJc w:val="right"/>
      <w:pPr>
        <w:ind w:left="2520" w:hanging="180"/>
      </w:pPr>
    </w:lvl>
    <w:lvl w:ilvl="3" w:tplc="AEE2B0DC" w:tentative="1">
      <w:start w:val="1"/>
      <w:numFmt w:val="decimal"/>
      <w:lvlText w:val="%4."/>
      <w:lvlJc w:val="left"/>
      <w:pPr>
        <w:ind w:left="3240" w:hanging="360"/>
      </w:pPr>
    </w:lvl>
    <w:lvl w:ilvl="4" w:tplc="62889A78" w:tentative="1">
      <w:start w:val="1"/>
      <w:numFmt w:val="lowerLetter"/>
      <w:lvlText w:val="%5."/>
      <w:lvlJc w:val="left"/>
      <w:pPr>
        <w:ind w:left="3960" w:hanging="360"/>
      </w:pPr>
    </w:lvl>
    <w:lvl w:ilvl="5" w:tplc="70501E06" w:tentative="1">
      <w:start w:val="1"/>
      <w:numFmt w:val="lowerRoman"/>
      <w:lvlText w:val="%6."/>
      <w:lvlJc w:val="right"/>
      <w:pPr>
        <w:ind w:left="4680" w:hanging="180"/>
      </w:pPr>
    </w:lvl>
    <w:lvl w:ilvl="6" w:tplc="11D47404" w:tentative="1">
      <w:start w:val="1"/>
      <w:numFmt w:val="decimal"/>
      <w:lvlText w:val="%7."/>
      <w:lvlJc w:val="left"/>
      <w:pPr>
        <w:ind w:left="5400" w:hanging="360"/>
      </w:pPr>
    </w:lvl>
    <w:lvl w:ilvl="7" w:tplc="2752D374" w:tentative="1">
      <w:start w:val="1"/>
      <w:numFmt w:val="lowerLetter"/>
      <w:lvlText w:val="%8."/>
      <w:lvlJc w:val="left"/>
      <w:pPr>
        <w:ind w:left="6120" w:hanging="360"/>
      </w:pPr>
    </w:lvl>
    <w:lvl w:ilvl="8" w:tplc="B2B8E7BC" w:tentative="1">
      <w:start w:val="1"/>
      <w:numFmt w:val="lowerRoman"/>
      <w:lvlText w:val="%9."/>
      <w:lvlJc w:val="right"/>
      <w:pPr>
        <w:ind w:left="6840" w:hanging="180"/>
      </w:pPr>
    </w:lvl>
  </w:abstractNum>
  <w:abstractNum w:abstractNumId="1" w15:restartNumberingAfterBreak="0">
    <w:nsid w:val="340B4A67"/>
    <w:multiLevelType w:val="hybridMultilevel"/>
    <w:tmpl w:val="140E9AA2"/>
    <w:lvl w:ilvl="0" w:tplc="F1F4CE1E">
      <w:start w:val="1"/>
      <w:numFmt w:val="decimal"/>
      <w:lvlText w:val="%1."/>
      <w:lvlJc w:val="left"/>
      <w:pPr>
        <w:ind w:left="1440" w:hanging="720"/>
      </w:pPr>
      <w:rPr>
        <w:rFonts w:hint="default"/>
      </w:rPr>
    </w:lvl>
    <w:lvl w:ilvl="1" w:tplc="F2A07D4A" w:tentative="1">
      <w:start w:val="1"/>
      <w:numFmt w:val="lowerLetter"/>
      <w:lvlText w:val="%2."/>
      <w:lvlJc w:val="left"/>
      <w:pPr>
        <w:ind w:left="1800" w:hanging="360"/>
      </w:pPr>
    </w:lvl>
    <w:lvl w:ilvl="2" w:tplc="185E49A6" w:tentative="1">
      <w:start w:val="1"/>
      <w:numFmt w:val="lowerRoman"/>
      <w:lvlText w:val="%3."/>
      <w:lvlJc w:val="right"/>
      <w:pPr>
        <w:ind w:left="2520" w:hanging="180"/>
      </w:pPr>
    </w:lvl>
    <w:lvl w:ilvl="3" w:tplc="C8DE7EB6" w:tentative="1">
      <w:start w:val="1"/>
      <w:numFmt w:val="decimal"/>
      <w:lvlText w:val="%4."/>
      <w:lvlJc w:val="left"/>
      <w:pPr>
        <w:ind w:left="3240" w:hanging="360"/>
      </w:pPr>
    </w:lvl>
    <w:lvl w:ilvl="4" w:tplc="7A047178" w:tentative="1">
      <w:start w:val="1"/>
      <w:numFmt w:val="lowerLetter"/>
      <w:lvlText w:val="%5."/>
      <w:lvlJc w:val="left"/>
      <w:pPr>
        <w:ind w:left="3960" w:hanging="360"/>
      </w:pPr>
    </w:lvl>
    <w:lvl w:ilvl="5" w:tplc="9F16ADAE" w:tentative="1">
      <w:start w:val="1"/>
      <w:numFmt w:val="lowerRoman"/>
      <w:lvlText w:val="%6."/>
      <w:lvlJc w:val="right"/>
      <w:pPr>
        <w:ind w:left="4680" w:hanging="180"/>
      </w:pPr>
    </w:lvl>
    <w:lvl w:ilvl="6" w:tplc="7CD4317E" w:tentative="1">
      <w:start w:val="1"/>
      <w:numFmt w:val="decimal"/>
      <w:lvlText w:val="%7."/>
      <w:lvlJc w:val="left"/>
      <w:pPr>
        <w:ind w:left="5400" w:hanging="360"/>
      </w:pPr>
    </w:lvl>
    <w:lvl w:ilvl="7" w:tplc="FA2E832A" w:tentative="1">
      <w:start w:val="1"/>
      <w:numFmt w:val="lowerLetter"/>
      <w:lvlText w:val="%8."/>
      <w:lvlJc w:val="left"/>
      <w:pPr>
        <w:ind w:left="6120" w:hanging="360"/>
      </w:pPr>
    </w:lvl>
    <w:lvl w:ilvl="8" w:tplc="73C01B3C" w:tentative="1">
      <w:start w:val="1"/>
      <w:numFmt w:val="lowerRoman"/>
      <w:lvlText w:val="%9."/>
      <w:lvlJc w:val="right"/>
      <w:pPr>
        <w:ind w:left="6840" w:hanging="180"/>
      </w:pPr>
    </w:lvl>
  </w:abstractNum>
  <w:abstractNum w:abstractNumId="2" w15:restartNumberingAfterBreak="0">
    <w:nsid w:val="45A33D55"/>
    <w:multiLevelType w:val="hybridMultilevel"/>
    <w:tmpl w:val="A4CCD73C"/>
    <w:lvl w:ilvl="0" w:tplc="AD0E8A08">
      <w:start w:val="1"/>
      <w:numFmt w:val="lowerRoman"/>
      <w:lvlText w:val="%1."/>
      <w:lvlJc w:val="left"/>
      <w:pPr>
        <w:ind w:left="1440" w:hanging="720"/>
      </w:pPr>
      <w:rPr>
        <w:rFonts w:hint="default"/>
      </w:rPr>
    </w:lvl>
    <w:lvl w:ilvl="1" w:tplc="E1C0FF84" w:tentative="1">
      <w:start w:val="1"/>
      <w:numFmt w:val="lowerLetter"/>
      <w:lvlText w:val="%2."/>
      <w:lvlJc w:val="left"/>
      <w:pPr>
        <w:ind w:left="1800" w:hanging="360"/>
      </w:pPr>
    </w:lvl>
    <w:lvl w:ilvl="2" w:tplc="F162E9D8" w:tentative="1">
      <w:start w:val="1"/>
      <w:numFmt w:val="lowerRoman"/>
      <w:lvlText w:val="%3."/>
      <w:lvlJc w:val="right"/>
      <w:pPr>
        <w:ind w:left="2520" w:hanging="180"/>
      </w:pPr>
    </w:lvl>
    <w:lvl w:ilvl="3" w:tplc="BFC0B84E" w:tentative="1">
      <w:start w:val="1"/>
      <w:numFmt w:val="decimal"/>
      <w:lvlText w:val="%4."/>
      <w:lvlJc w:val="left"/>
      <w:pPr>
        <w:ind w:left="3240" w:hanging="360"/>
      </w:pPr>
    </w:lvl>
    <w:lvl w:ilvl="4" w:tplc="15388940" w:tentative="1">
      <w:start w:val="1"/>
      <w:numFmt w:val="lowerLetter"/>
      <w:lvlText w:val="%5."/>
      <w:lvlJc w:val="left"/>
      <w:pPr>
        <w:ind w:left="3960" w:hanging="360"/>
      </w:pPr>
    </w:lvl>
    <w:lvl w:ilvl="5" w:tplc="E9283770" w:tentative="1">
      <w:start w:val="1"/>
      <w:numFmt w:val="lowerRoman"/>
      <w:lvlText w:val="%6."/>
      <w:lvlJc w:val="right"/>
      <w:pPr>
        <w:ind w:left="4680" w:hanging="180"/>
      </w:pPr>
    </w:lvl>
    <w:lvl w:ilvl="6" w:tplc="14289E8A" w:tentative="1">
      <w:start w:val="1"/>
      <w:numFmt w:val="decimal"/>
      <w:lvlText w:val="%7."/>
      <w:lvlJc w:val="left"/>
      <w:pPr>
        <w:ind w:left="5400" w:hanging="360"/>
      </w:pPr>
    </w:lvl>
    <w:lvl w:ilvl="7" w:tplc="BF4A027A" w:tentative="1">
      <w:start w:val="1"/>
      <w:numFmt w:val="lowerLetter"/>
      <w:lvlText w:val="%8."/>
      <w:lvlJc w:val="left"/>
      <w:pPr>
        <w:ind w:left="6120" w:hanging="360"/>
      </w:pPr>
    </w:lvl>
    <w:lvl w:ilvl="8" w:tplc="7EF26F56" w:tentative="1">
      <w:start w:val="1"/>
      <w:numFmt w:val="lowerRoman"/>
      <w:lvlText w:val="%9."/>
      <w:lvlJc w:val="right"/>
      <w:pPr>
        <w:ind w:left="6840" w:hanging="180"/>
      </w:pPr>
    </w:lvl>
  </w:abstractNum>
  <w:abstractNum w:abstractNumId="3" w15:restartNumberingAfterBreak="0">
    <w:nsid w:val="668961B3"/>
    <w:multiLevelType w:val="hybridMultilevel"/>
    <w:tmpl w:val="73B0C676"/>
    <w:lvl w:ilvl="0" w:tplc="CEFAE270">
      <w:start w:val="1"/>
      <w:numFmt w:val="lowerLetter"/>
      <w:lvlText w:val="%1."/>
      <w:lvlJc w:val="left"/>
      <w:pPr>
        <w:ind w:left="1800" w:hanging="360"/>
      </w:pPr>
      <w:rPr>
        <w:rFonts w:hint="default"/>
      </w:rPr>
    </w:lvl>
    <w:lvl w:ilvl="1" w:tplc="74344E3E" w:tentative="1">
      <w:start w:val="1"/>
      <w:numFmt w:val="lowerLetter"/>
      <w:lvlText w:val="%2."/>
      <w:lvlJc w:val="left"/>
      <w:pPr>
        <w:ind w:left="2520" w:hanging="360"/>
      </w:pPr>
    </w:lvl>
    <w:lvl w:ilvl="2" w:tplc="F852EC3C" w:tentative="1">
      <w:start w:val="1"/>
      <w:numFmt w:val="lowerRoman"/>
      <w:lvlText w:val="%3."/>
      <w:lvlJc w:val="right"/>
      <w:pPr>
        <w:ind w:left="3240" w:hanging="180"/>
      </w:pPr>
    </w:lvl>
    <w:lvl w:ilvl="3" w:tplc="6C603260" w:tentative="1">
      <w:start w:val="1"/>
      <w:numFmt w:val="decimal"/>
      <w:lvlText w:val="%4."/>
      <w:lvlJc w:val="left"/>
      <w:pPr>
        <w:ind w:left="3960" w:hanging="360"/>
      </w:pPr>
    </w:lvl>
    <w:lvl w:ilvl="4" w:tplc="0E0EAA38" w:tentative="1">
      <w:start w:val="1"/>
      <w:numFmt w:val="lowerLetter"/>
      <w:lvlText w:val="%5."/>
      <w:lvlJc w:val="left"/>
      <w:pPr>
        <w:ind w:left="4680" w:hanging="360"/>
      </w:pPr>
    </w:lvl>
    <w:lvl w:ilvl="5" w:tplc="B25CE5C8" w:tentative="1">
      <w:start w:val="1"/>
      <w:numFmt w:val="lowerRoman"/>
      <w:lvlText w:val="%6."/>
      <w:lvlJc w:val="right"/>
      <w:pPr>
        <w:ind w:left="5400" w:hanging="180"/>
      </w:pPr>
    </w:lvl>
    <w:lvl w:ilvl="6" w:tplc="B50C0414" w:tentative="1">
      <w:start w:val="1"/>
      <w:numFmt w:val="decimal"/>
      <w:lvlText w:val="%7."/>
      <w:lvlJc w:val="left"/>
      <w:pPr>
        <w:ind w:left="6120" w:hanging="360"/>
      </w:pPr>
    </w:lvl>
    <w:lvl w:ilvl="7" w:tplc="EA10E6CE" w:tentative="1">
      <w:start w:val="1"/>
      <w:numFmt w:val="lowerLetter"/>
      <w:lvlText w:val="%8."/>
      <w:lvlJc w:val="left"/>
      <w:pPr>
        <w:ind w:left="6840" w:hanging="360"/>
      </w:pPr>
    </w:lvl>
    <w:lvl w:ilvl="8" w:tplc="F9B07B6A"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36"/>
    <w:rsid w:val="00450936"/>
    <w:rsid w:val="008D5068"/>
    <w:rsid w:val="0095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E6B"/>
    <w:pPr>
      <w:tabs>
        <w:tab w:val="center" w:pos="4680"/>
        <w:tab w:val="right" w:pos="9360"/>
      </w:tabs>
      <w:spacing w:line="240" w:lineRule="auto"/>
    </w:pPr>
  </w:style>
  <w:style w:type="character" w:customStyle="1" w:styleId="HeaderChar">
    <w:name w:val="Header Char"/>
    <w:basedOn w:val="DefaultParagraphFont"/>
    <w:link w:val="Header"/>
    <w:uiPriority w:val="99"/>
    <w:rsid w:val="00613E6B"/>
  </w:style>
  <w:style w:type="paragraph" w:styleId="Footer">
    <w:name w:val="footer"/>
    <w:basedOn w:val="Normal"/>
    <w:link w:val="FooterChar"/>
    <w:uiPriority w:val="99"/>
    <w:unhideWhenUsed/>
    <w:rsid w:val="00613E6B"/>
    <w:pPr>
      <w:tabs>
        <w:tab w:val="center" w:pos="4680"/>
        <w:tab w:val="right" w:pos="9360"/>
      </w:tabs>
      <w:spacing w:line="240" w:lineRule="auto"/>
    </w:pPr>
  </w:style>
  <w:style w:type="character" w:customStyle="1" w:styleId="FooterChar">
    <w:name w:val="Footer Char"/>
    <w:basedOn w:val="DefaultParagraphFont"/>
    <w:link w:val="Footer"/>
    <w:uiPriority w:val="99"/>
    <w:rsid w:val="00613E6B"/>
  </w:style>
  <w:style w:type="character" w:styleId="PageNumber">
    <w:name w:val="page number"/>
    <w:basedOn w:val="DefaultParagraphFont"/>
    <w:uiPriority w:val="99"/>
    <w:semiHidden/>
    <w:unhideWhenUsed/>
    <w:rsid w:val="00613E6B"/>
  </w:style>
  <w:style w:type="paragraph" w:styleId="FootnoteText">
    <w:name w:val="footnote text"/>
    <w:link w:val="FootnoteTextChar"/>
    <w:uiPriority w:val="99"/>
    <w:unhideWhenUsed/>
    <w:rsid w:val="00613E6B"/>
    <w:pPr>
      <w:spacing w:line="240" w:lineRule="auto"/>
    </w:pPr>
    <w:rPr>
      <w:szCs w:val="20"/>
    </w:rPr>
  </w:style>
  <w:style w:type="character" w:customStyle="1" w:styleId="FootnoteTextChar">
    <w:name w:val="Footnote Text Char"/>
    <w:basedOn w:val="DefaultParagraphFont"/>
    <w:link w:val="FootnoteText"/>
    <w:uiPriority w:val="99"/>
    <w:rsid w:val="00613E6B"/>
    <w:rPr>
      <w:szCs w:val="20"/>
    </w:rPr>
  </w:style>
  <w:style w:type="paragraph" w:styleId="ListParagraph">
    <w:name w:val="List Paragraph"/>
    <w:basedOn w:val="Normal"/>
    <w:uiPriority w:val="34"/>
    <w:qFormat/>
    <w:rsid w:val="007B3FC9"/>
    <w:pPr>
      <w:ind w:left="720"/>
      <w:contextualSpacing/>
    </w:pPr>
  </w:style>
  <w:style w:type="character" w:styleId="FootnoteReference">
    <w:name w:val="footnote reference"/>
    <w:basedOn w:val="DefaultParagraphFont"/>
    <w:uiPriority w:val="99"/>
    <w:semiHidden/>
    <w:unhideWhenUsed/>
    <w:rsid w:val="00097AD9"/>
    <w:rPr>
      <w:vertAlign w:val="superscript"/>
    </w:rPr>
  </w:style>
  <w:style w:type="character" w:styleId="CommentReference">
    <w:name w:val="annotation reference"/>
    <w:basedOn w:val="DefaultParagraphFont"/>
    <w:uiPriority w:val="99"/>
    <w:semiHidden/>
    <w:unhideWhenUsed/>
    <w:rsid w:val="004975D6"/>
    <w:rPr>
      <w:sz w:val="16"/>
      <w:szCs w:val="16"/>
    </w:rPr>
  </w:style>
  <w:style w:type="paragraph" w:styleId="CommentText">
    <w:name w:val="annotation text"/>
    <w:basedOn w:val="Normal"/>
    <w:link w:val="CommentTextChar"/>
    <w:uiPriority w:val="99"/>
    <w:semiHidden/>
    <w:unhideWhenUsed/>
    <w:rsid w:val="004975D6"/>
    <w:pPr>
      <w:spacing w:line="240" w:lineRule="auto"/>
    </w:pPr>
    <w:rPr>
      <w:sz w:val="20"/>
      <w:szCs w:val="20"/>
    </w:rPr>
  </w:style>
  <w:style w:type="character" w:customStyle="1" w:styleId="CommentTextChar">
    <w:name w:val="Comment Text Char"/>
    <w:basedOn w:val="DefaultParagraphFont"/>
    <w:link w:val="CommentText"/>
    <w:uiPriority w:val="99"/>
    <w:semiHidden/>
    <w:rsid w:val="004975D6"/>
    <w:rPr>
      <w:sz w:val="20"/>
      <w:szCs w:val="20"/>
    </w:rPr>
  </w:style>
  <w:style w:type="paragraph" w:styleId="CommentSubject">
    <w:name w:val="annotation subject"/>
    <w:basedOn w:val="CommentText"/>
    <w:next w:val="CommentText"/>
    <w:link w:val="CommentSubjectChar"/>
    <w:uiPriority w:val="99"/>
    <w:semiHidden/>
    <w:unhideWhenUsed/>
    <w:rsid w:val="004975D6"/>
    <w:rPr>
      <w:b/>
      <w:bCs/>
    </w:rPr>
  </w:style>
  <w:style w:type="character" w:customStyle="1" w:styleId="CommentSubjectChar">
    <w:name w:val="Comment Subject Char"/>
    <w:basedOn w:val="CommentTextChar"/>
    <w:link w:val="CommentSubject"/>
    <w:uiPriority w:val="99"/>
    <w:semiHidden/>
    <w:rsid w:val="004975D6"/>
    <w:rPr>
      <w:b/>
      <w:bCs/>
      <w:sz w:val="20"/>
      <w:szCs w:val="20"/>
    </w:rPr>
  </w:style>
  <w:style w:type="paragraph" w:styleId="Quote">
    <w:name w:val="Quote"/>
    <w:basedOn w:val="Normal"/>
    <w:next w:val="Normal"/>
    <w:link w:val="QuoteChar"/>
    <w:uiPriority w:val="29"/>
    <w:qFormat/>
    <w:rsid w:val="00910C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0C9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9065</Words>
  <Characters>48185</Characters>
  <Application>Microsoft Office Word</Application>
  <DocSecurity>0</DocSecurity>
  <Lines>899</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2021-12-29T19:36:00Z</dcterms:created>
  <dcterms:modified xsi:type="dcterms:W3CDTF">2021-12-29T19:36:00Z</dcterms:modified>
  <cp:category/>
</cp:coreProperties>
</file>