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259" w:rsidRPr="006C7958" w:rsidRDefault="00466718" w:rsidP="00257259">
      <w:pPr>
        <w:spacing w:line="240" w:lineRule="auto"/>
        <w:rPr>
          <w:sz w:val="20"/>
          <w:szCs w:val="20"/>
        </w:rPr>
      </w:pPr>
      <w:r>
        <w:rPr>
          <w:sz w:val="20"/>
          <w:szCs w:val="20"/>
        </w:rPr>
        <w:t>Filed 2/9/17</w:t>
      </w:r>
    </w:p>
    <w:p w:rsidR="00257259" w:rsidRDefault="00336AB2" w:rsidP="00257259">
      <w:pPr>
        <w:spacing w:line="240" w:lineRule="auto"/>
        <w:jc w:val="center"/>
        <w:rPr>
          <w:b/>
        </w:rPr>
      </w:pPr>
      <w:r>
        <w:rPr>
          <w:b/>
        </w:rPr>
        <w:t>CERTIFIED FOR PUBLICATION</w:t>
      </w:r>
    </w:p>
    <w:p w:rsidR="00336AB2" w:rsidRDefault="00336AB2" w:rsidP="00257259">
      <w:pPr>
        <w:spacing w:line="240" w:lineRule="auto"/>
        <w:jc w:val="center"/>
        <w:rPr>
          <w:b/>
        </w:rPr>
      </w:pPr>
    </w:p>
    <w:p w:rsidR="00CB6DB0" w:rsidRDefault="00CB6DB0" w:rsidP="00257259">
      <w:pPr>
        <w:spacing w:line="240" w:lineRule="auto"/>
        <w:jc w:val="center"/>
        <w:rPr>
          <w:b/>
        </w:rPr>
      </w:pPr>
    </w:p>
    <w:p w:rsidR="00CB6DB0" w:rsidRDefault="00CB6DB0" w:rsidP="00257259">
      <w:pPr>
        <w:spacing w:line="240" w:lineRule="auto"/>
        <w:jc w:val="center"/>
        <w:rPr>
          <w:b/>
        </w:rPr>
      </w:pPr>
    </w:p>
    <w:p w:rsidR="00257259" w:rsidRDefault="00257259" w:rsidP="00257259">
      <w:pPr>
        <w:spacing w:line="240" w:lineRule="auto"/>
        <w:jc w:val="center"/>
      </w:pPr>
      <w:r>
        <w:t xml:space="preserve">IN THE COURT OF APPEAL OF THE STATE OF </w:t>
      </w:r>
      <w:bookmarkStart w:id="0" w:name="_GoBack"/>
      <w:bookmarkEnd w:id="0"/>
      <w:r>
        <w:t>CALIFORNIA</w:t>
      </w:r>
    </w:p>
    <w:p w:rsidR="00257259" w:rsidRDefault="00257259" w:rsidP="00257259">
      <w:pPr>
        <w:spacing w:line="240" w:lineRule="auto"/>
        <w:jc w:val="center"/>
      </w:pPr>
    </w:p>
    <w:p w:rsidR="00257259" w:rsidRDefault="00257259" w:rsidP="00257259">
      <w:pPr>
        <w:spacing w:line="240" w:lineRule="auto"/>
        <w:jc w:val="center"/>
      </w:pPr>
      <w:r>
        <w:t>SECOND APPELLATE DISTRICT</w:t>
      </w:r>
    </w:p>
    <w:p w:rsidR="00257259" w:rsidRDefault="00257259" w:rsidP="00257259">
      <w:pPr>
        <w:spacing w:line="240" w:lineRule="auto"/>
        <w:jc w:val="center"/>
      </w:pPr>
    </w:p>
    <w:p w:rsidR="00257259" w:rsidRDefault="00257259" w:rsidP="00257259">
      <w:pPr>
        <w:spacing w:line="240" w:lineRule="auto"/>
        <w:jc w:val="center"/>
      </w:pPr>
      <w:r>
        <w:t>DIVISION ONE</w:t>
      </w:r>
    </w:p>
    <w:p w:rsidR="00257259" w:rsidRDefault="00257259" w:rsidP="00257259">
      <w:pPr>
        <w:spacing w:line="240" w:lineRule="auto"/>
        <w:jc w:val="center"/>
      </w:pPr>
    </w:p>
    <w:p w:rsidR="00257259" w:rsidRDefault="00257259" w:rsidP="00257259">
      <w:pPr>
        <w:spacing w:line="240" w:lineRule="auto"/>
        <w:jc w:val="center"/>
      </w:pPr>
    </w:p>
    <w:tbl>
      <w:tblPr>
        <w:tblW w:w="0" w:type="auto"/>
        <w:tblLayout w:type="fixed"/>
        <w:tblLook w:val="0000" w:firstRow="0" w:lastRow="0" w:firstColumn="0" w:lastColumn="0" w:noHBand="0" w:noVBand="0"/>
      </w:tblPr>
      <w:tblGrid>
        <w:gridCol w:w="4788"/>
        <w:gridCol w:w="4788"/>
      </w:tblGrid>
      <w:tr w:rsidR="00257259" w:rsidTr="00257259">
        <w:tc>
          <w:tcPr>
            <w:tcW w:w="4788" w:type="dxa"/>
            <w:tcBorders>
              <w:bottom w:val="single" w:sz="4" w:space="0" w:color="auto"/>
              <w:right w:val="single" w:sz="4" w:space="0" w:color="auto"/>
            </w:tcBorders>
            <w:shd w:val="clear" w:color="auto" w:fill="auto"/>
          </w:tcPr>
          <w:p w:rsidR="00257259" w:rsidRDefault="00257259" w:rsidP="00257259">
            <w:pPr>
              <w:spacing w:line="240" w:lineRule="auto"/>
            </w:pPr>
            <w:r>
              <w:t>PIERRE DANIEL,</w:t>
            </w:r>
          </w:p>
          <w:p w:rsidR="00257259" w:rsidRDefault="00257259" w:rsidP="00257259">
            <w:pPr>
              <w:spacing w:line="240" w:lineRule="auto"/>
            </w:pPr>
          </w:p>
          <w:p w:rsidR="00257259" w:rsidRDefault="00257259" w:rsidP="00257259">
            <w:pPr>
              <w:spacing w:line="240" w:lineRule="auto"/>
            </w:pPr>
            <w:r>
              <w:tab/>
              <w:t>Plaintiff and Appellant,</w:t>
            </w:r>
          </w:p>
          <w:p w:rsidR="00257259" w:rsidRDefault="00257259" w:rsidP="00257259">
            <w:pPr>
              <w:spacing w:line="240" w:lineRule="auto"/>
            </w:pPr>
          </w:p>
          <w:p w:rsidR="00257259" w:rsidRDefault="00257259" w:rsidP="00257259">
            <w:pPr>
              <w:spacing w:line="240" w:lineRule="auto"/>
            </w:pPr>
            <w:r>
              <w:tab/>
              <w:t>v.</w:t>
            </w:r>
          </w:p>
          <w:p w:rsidR="00257259" w:rsidRDefault="00257259" w:rsidP="00257259">
            <w:pPr>
              <w:spacing w:line="240" w:lineRule="auto"/>
            </w:pPr>
          </w:p>
          <w:p w:rsidR="00257259" w:rsidRDefault="00257259" w:rsidP="00257259">
            <w:pPr>
              <w:spacing w:line="240" w:lineRule="auto"/>
            </w:pPr>
            <w:r>
              <w:t>MARLON WAYANS,</w:t>
            </w:r>
          </w:p>
          <w:p w:rsidR="00257259" w:rsidRDefault="00257259" w:rsidP="00257259">
            <w:pPr>
              <w:spacing w:line="240" w:lineRule="auto"/>
            </w:pPr>
          </w:p>
          <w:p w:rsidR="00257259" w:rsidRDefault="00257259" w:rsidP="00257259">
            <w:pPr>
              <w:spacing w:line="240" w:lineRule="auto"/>
            </w:pPr>
            <w:r>
              <w:tab/>
              <w:t>Defendant and Respondent.</w:t>
            </w:r>
          </w:p>
          <w:p w:rsidR="00257259" w:rsidRDefault="00257259" w:rsidP="00257259">
            <w:pPr>
              <w:spacing w:line="240" w:lineRule="auto"/>
            </w:pPr>
          </w:p>
        </w:tc>
        <w:tc>
          <w:tcPr>
            <w:tcW w:w="4788" w:type="dxa"/>
            <w:tcBorders>
              <w:left w:val="single" w:sz="4" w:space="0" w:color="auto"/>
            </w:tcBorders>
            <w:shd w:val="clear" w:color="auto" w:fill="auto"/>
          </w:tcPr>
          <w:p w:rsidR="008B3864" w:rsidRDefault="00257259" w:rsidP="00257259">
            <w:pPr>
              <w:spacing w:line="240" w:lineRule="auto"/>
            </w:pPr>
            <w:r>
              <w:t xml:space="preserve">      B261814</w:t>
            </w:r>
          </w:p>
          <w:p w:rsidR="00257259" w:rsidRDefault="008B3864" w:rsidP="00257259">
            <w:pPr>
              <w:spacing w:line="240" w:lineRule="auto"/>
            </w:pPr>
            <w:r>
              <w:t xml:space="preserve">      Consolidated with</w:t>
            </w:r>
            <w:r w:rsidR="00E0686B">
              <w:t xml:space="preserve"> B263950</w:t>
            </w:r>
          </w:p>
          <w:p w:rsidR="00257259" w:rsidRDefault="00257259" w:rsidP="00257259">
            <w:pPr>
              <w:spacing w:line="240" w:lineRule="auto"/>
            </w:pPr>
          </w:p>
          <w:p w:rsidR="00257259" w:rsidRDefault="00257259" w:rsidP="00257259">
            <w:pPr>
              <w:spacing w:line="240" w:lineRule="auto"/>
            </w:pPr>
            <w:r>
              <w:t xml:space="preserve">      (Los Angeles County</w:t>
            </w:r>
          </w:p>
          <w:p w:rsidR="00257259" w:rsidRDefault="00257259" w:rsidP="00257259">
            <w:pPr>
              <w:spacing w:line="240" w:lineRule="auto"/>
            </w:pPr>
            <w:r>
              <w:t xml:space="preserve">      Super. Ct. No. BC555610)</w:t>
            </w:r>
          </w:p>
          <w:p w:rsidR="00257259" w:rsidRDefault="00257259" w:rsidP="00257259">
            <w:pPr>
              <w:spacing w:line="240" w:lineRule="auto"/>
            </w:pPr>
          </w:p>
        </w:tc>
      </w:tr>
    </w:tbl>
    <w:p w:rsidR="00257259" w:rsidRDefault="00257259" w:rsidP="00257259">
      <w:pPr>
        <w:spacing w:line="360" w:lineRule="auto"/>
      </w:pPr>
    </w:p>
    <w:p w:rsidR="00257259" w:rsidRDefault="00257259" w:rsidP="00257259">
      <w:r>
        <w:tab/>
        <w:t>APPEAL from a judgment and an order of the Superior Court of Los Angeles County</w:t>
      </w:r>
      <w:r w:rsidR="006C7958">
        <w:t>,</w:t>
      </w:r>
      <w:r>
        <w:t xml:space="preserve"> Rafael A. Ongkeko, Judge.  Affirmed.</w:t>
      </w:r>
    </w:p>
    <w:p w:rsidR="00257259" w:rsidRDefault="00257259" w:rsidP="00257259">
      <w:r>
        <w:tab/>
        <w:t>Reisner &amp; King, Adam J. Reisner, Tessa M. King; Benedon &amp; Serlin, Melinda W. Ebelhar and Douglas G. Benedon for Plaintiff and Appellant.</w:t>
      </w:r>
    </w:p>
    <w:p w:rsidR="00F83B8E" w:rsidRDefault="00257259" w:rsidP="00257259">
      <w:r>
        <w:tab/>
        <w:t>Venable, William J. Briggs II, Celeste M. Brecht and Eric J. Bakewell for Defendant and Respondent.</w:t>
      </w:r>
    </w:p>
    <w:p w:rsidR="00257259" w:rsidRDefault="00B27A93" w:rsidP="00257259">
      <w:pPr>
        <w:ind w:firstLine="720"/>
      </w:pPr>
      <w:r>
        <w:lastRenderedPageBreak/>
        <w:t xml:space="preserve">On September 4, 2013, </w:t>
      </w:r>
      <w:r w:rsidR="00257259">
        <w:t xml:space="preserve">Pierre Daniel (Daniel), an actor, </w:t>
      </w:r>
      <w:r>
        <w:t xml:space="preserve">worked </w:t>
      </w:r>
      <w:r w:rsidR="00257259">
        <w:t>as an extra in a movie entitled</w:t>
      </w:r>
      <w:r>
        <w:t>,</w:t>
      </w:r>
      <w:r w:rsidR="00257259">
        <w:t xml:space="preserve"> </w:t>
      </w:r>
      <w:r>
        <w:t xml:space="preserve">A </w:t>
      </w:r>
      <w:r w:rsidR="00257259">
        <w:t>Haunted House</w:t>
      </w:r>
      <w:r w:rsidR="00953AA9">
        <w:t> </w:t>
      </w:r>
      <w:r w:rsidR="00257259">
        <w:t>2</w:t>
      </w:r>
      <w:r w:rsidR="006434B8">
        <w:t xml:space="preserve"> (Open Road Films 2014)</w:t>
      </w:r>
      <w:r>
        <w:t xml:space="preserve">. </w:t>
      </w:r>
      <w:r w:rsidR="00953AA9">
        <w:t xml:space="preserve"> </w:t>
      </w:r>
      <w:r>
        <w:t>Marlon Wayans (Wayans) co-wrote, produced, and starred in the movie.  In August 2014, Daniel sued Wayans and others, alleging</w:t>
      </w:r>
      <w:r w:rsidR="00383FCA">
        <w:t>, inter alia,</w:t>
      </w:r>
      <w:r>
        <w:t xml:space="preserve"> that </w:t>
      </w:r>
      <w:r w:rsidR="00383FCA">
        <w:t xml:space="preserve">he was the victim of racial harassment because </w:t>
      </w:r>
      <w:r w:rsidR="00F0358A">
        <w:t xml:space="preserve">during his one day of work on the movie </w:t>
      </w:r>
      <w:r w:rsidR="00383FCA">
        <w:t>he was compared to a Black cartoon character and called “</w:t>
      </w:r>
      <w:r w:rsidR="00E0686B">
        <w:t xml:space="preserve"> ‘[</w:t>
      </w:r>
      <w:r w:rsidR="00383FCA">
        <w:t>n</w:t>
      </w:r>
      <w:r w:rsidR="00E0686B">
        <w:t>]</w:t>
      </w:r>
      <w:r w:rsidR="00383FCA">
        <w:t>igga.</w:t>
      </w:r>
      <w:r w:rsidR="00E0686B">
        <w:t xml:space="preserve">’ </w:t>
      </w:r>
      <w:r w:rsidR="00383FCA">
        <w:t xml:space="preserve">”  In response, Wayans, pursuant to </w:t>
      </w:r>
      <w:r w:rsidR="00E0686B" w:rsidRPr="00383FCA">
        <w:t xml:space="preserve">Code </w:t>
      </w:r>
      <w:r w:rsidR="00E0686B">
        <w:t>of Civil Procedure</w:t>
      </w:r>
      <w:r w:rsidR="00E0686B" w:rsidRPr="00E0686B">
        <w:rPr>
          <w:rStyle w:val="FootnoteReference"/>
          <w:szCs w:val="20"/>
        </w:rPr>
        <w:footnoteReference w:id="1"/>
      </w:r>
      <w:r w:rsidR="00E0686B">
        <w:t xml:space="preserve"> </w:t>
      </w:r>
      <w:r w:rsidR="00383FCA">
        <w:t>section 425.16</w:t>
      </w:r>
      <w:r w:rsidR="00F0358A">
        <w:t>,</w:t>
      </w:r>
      <w:r w:rsidR="00383FCA" w:rsidRPr="00383FCA">
        <w:t xml:space="preserve"> </w:t>
      </w:r>
      <w:r w:rsidR="00383FCA">
        <w:t>moved to strike Daniel’s claims against h</w:t>
      </w:r>
      <w:r w:rsidR="00F0358A">
        <w:t>im as a SLAPP suit</w:t>
      </w:r>
      <w:r w:rsidR="00E0686B">
        <w:t xml:space="preserve"> (strategic lawsuit against public participation)</w:t>
      </w:r>
      <w:r w:rsidR="00F0358A">
        <w:t>, arguing that all of Daniel’s claims arose from Wayans’s constitutional right of free speech</w:t>
      </w:r>
      <w:r w:rsidR="00E157F1">
        <w:t xml:space="preserve"> because the core injury-</w:t>
      </w:r>
      <w:r w:rsidR="00F0358A">
        <w:t xml:space="preserve">producing conduct </w:t>
      </w:r>
      <w:r w:rsidR="00E157F1">
        <w:t xml:space="preserve">arose out of </w:t>
      </w:r>
      <w:r w:rsidR="00F0358A">
        <w:t>the creation of the mo</w:t>
      </w:r>
      <w:r w:rsidR="005C6B75">
        <w:t>vie and its promotion over the I</w:t>
      </w:r>
      <w:r w:rsidR="00F0358A">
        <w:t xml:space="preserve">nternet.  The trial court agreed with Wayans and </w:t>
      </w:r>
      <w:r w:rsidR="003D6407">
        <w:t xml:space="preserve">also </w:t>
      </w:r>
      <w:r w:rsidR="00F0358A">
        <w:t xml:space="preserve">found that Daniel had failed to establish the probability that he would prevail on any of his claims against Wayans.  As a result, the trial court </w:t>
      </w:r>
      <w:r w:rsidR="00E00E0E">
        <w:t>entered judgment in favor of Wayans and awarded him his attorney fees.</w:t>
      </w:r>
    </w:p>
    <w:p w:rsidR="00E00E0E" w:rsidRDefault="00E00E0E" w:rsidP="00257259">
      <w:pPr>
        <w:ind w:firstLine="720"/>
      </w:pPr>
      <w:r>
        <w:t>On appeal, Daniel argues that the trial court erred</w:t>
      </w:r>
      <w:r w:rsidR="003D6407">
        <w:t xml:space="preserve"> with regard to its determination of the threshold issue in </w:t>
      </w:r>
      <w:r w:rsidR="00066CD1">
        <w:t>Wayans’s</w:t>
      </w:r>
      <w:r w:rsidR="003D6407">
        <w:t xml:space="preserve"> anti-SLAPP motion</w:t>
      </w:r>
      <w:r>
        <w:t>—that is, the conduct at issue was not part of the “</w:t>
      </w:r>
      <w:r w:rsidR="0017509F">
        <w:t xml:space="preserve"> ‘</w:t>
      </w:r>
      <w:r>
        <w:t>creative process</w:t>
      </w:r>
      <w:r w:rsidR="0017509F">
        <w:t xml:space="preserve">’ </w:t>
      </w:r>
      <w:r>
        <w:t xml:space="preserve">” inherent in making the movie </w:t>
      </w:r>
      <w:r w:rsidR="00EB0AB1">
        <w:t xml:space="preserve">because it occurred when the cameras were not rolling </w:t>
      </w:r>
      <w:r>
        <w:t>and, as a result, did not involve the right of free speech or an issue of public interest.  In the alternative, Daniel contends that even if the conduct at issue implicated Wayans’s right to free speech, he presented sufficient evidence to the trial court to establish a probability of prevailing.</w:t>
      </w:r>
      <w:r w:rsidR="00237ED1">
        <w:t xml:space="preserve">  We find both of Daniel’s arguments to be unpersuasive.  Accordingly, we affirm the judgment.</w:t>
      </w:r>
    </w:p>
    <w:p w:rsidR="00257259" w:rsidRPr="00383FCA" w:rsidRDefault="00257259" w:rsidP="00257259">
      <w:pPr>
        <w:jc w:val="center"/>
        <w:rPr>
          <w:b/>
        </w:rPr>
      </w:pPr>
      <w:r w:rsidRPr="00383FCA">
        <w:rPr>
          <w:b/>
        </w:rPr>
        <w:t>BACKGROUND</w:t>
      </w:r>
    </w:p>
    <w:p w:rsidR="00383FCA" w:rsidRPr="00EB0AB1" w:rsidRDefault="00EB0AB1" w:rsidP="00EB0AB1">
      <w:pPr>
        <w:rPr>
          <w:b/>
        </w:rPr>
      </w:pPr>
      <w:r w:rsidRPr="00EB0AB1">
        <w:rPr>
          <w:b/>
        </w:rPr>
        <w:t>I.</w:t>
      </w:r>
      <w:r w:rsidRPr="00EB0AB1">
        <w:rPr>
          <w:b/>
        </w:rPr>
        <w:tab/>
        <w:t>Daniel’s complaint</w:t>
      </w:r>
    </w:p>
    <w:p w:rsidR="00DC7190" w:rsidRDefault="003F1F11" w:rsidP="00383FCA">
      <w:pPr>
        <w:ind w:firstLine="720"/>
      </w:pPr>
      <w:r>
        <w:t xml:space="preserve">On August 25, 2014, in an unverified complaint, </w:t>
      </w:r>
      <w:r w:rsidR="00F16B38">
        <w:t xml:space="preserve">Daniel alleged that </w:t>
      </w:r>
      <w:r w:rsidR="00F16B38" w:rsidRPr="00F16B38">
        <w:t>defendants EFS Entertainment, ICM Partners, and IM Global employed him as an acto</w:t>
      </w:r>
      <w:r w:rsidR="00944288">
        <w:t>r for A Haunted House 2.</w:t>
      </w:r>
      <w:r w:rsidR="00953AA9">
        <w:t xml:space="preserve"> </w:t>
      </w:r>
      <w:r w:rsidR="00F16B38" w:rsidRPr="00F16B38">
        <w:t xml:space="preserve"> </w:t>
      </w:r>
      <w:r w:rsidR="00F16B38">
        <w:t>He further allege</w:t>
      </w:r>
      <w:r w:rsidR="00944288">
        <w:t>d</w:t>
      </w:r>
      <w:r w:rsidR="00F16B38" w:rsidRPr="00F16B38">
        <w:t xml:space="preserve"> </w:t>
      </w:r>
      <w:r w:rsidR="00F16B38">
        <w:t xml:space="preserve">that </w:t>
      </w:r>
      <w:r w:rsidR="00F16B38" w:rsidRPr="00F16B38">
        <w:t xml:space="preserve">Wayans </w:t>
      </w:r>
      <w:r w:rsidR="00944288">
        <w:t>was</w:t>
      </w:r>
      <w:r w:rsidR="00F16B38" w:rsidRPr="00F16B38">
        <w:t xml:space="preserve"> a manager, officer, shareholder, director, supervisor, managing agent, owner, principal, or employee of all </w:t>
      </w:r>
      <w:r w:rsidR="00944288">
        <w:t>of the other defendants.</w:t>
      </w:r>
    </w:p>
    <w:p w:rsidR="00EB0AB1" w:rsidRDefault="00944288" w:rsidP="00383FCA">
      <w:pPr>
        <w:ind w:firstLine="720"/>
      </w:pPr>
      <w:r>
        <w:t xml:space="preserve">The complaint asserted a total of 13 different causes of action, eight of which were asserted against Wayans:  </w:t>
      </w:r>
      <w:r w:rsidR="00DC7190">
        <w:t xml:space="preserve">a </w:t>
      </w:r>
      <w:r w:rsidRPr="00944288">
        <w:t>race-based harassment</w:t>
      </w:r>
      <w:r w:rsidR="00DC7190">
        <w:t xml:space="preserve"> claim</w:t>
      </w:r>
      <w:r w:rsidR="005C6B75">
        <w:t xml:space="preserve"> brought</w:t>
      </w:r>
      <w:r w:rsidR="00DC7190">
        <w:t xml:space="preserve"> pursuant to Government Code section 12940 et seq.</w:t>
      </w:r>
      <w:r>
        <w:t>;</w:t>
      </w:r>
      <w:r w:rsidRPr="00944288">
        <w:t xml:space="preserve"> </w:t>
      </w:r>
      <w:r w:rsidR="00DC7190">
        <w:t xml:space="preserve">a </w:t>
      </w:r>
      <w:r w:rsidR="003B5E2F">
        <w:t xml:space="preserve">claim alleging a </w:t>
      </w:r>
      <w:r w:rsidR="00DC7190">
        <w:t>violation of the Unruh Civil Rights Act (Civ. Code</w:t>
      </w:r>
      <w:r w:rsidR="004F30AB">
        <w:t>,</w:t>
      </w:r>
      <w:r w:rsidR="00DC7190">
        <w:t xml:space="preserve"> §</w:t>
      </w:r>
      <w:r w:rsidR="00953AA9">
        <w:t> </w:t>
      </w:r>
      <w:r w:rsidR="00DC7190">
        <w:t>51</w:t>
      </w:r>
      <w:r w:rsidR="00953AA9">
        <w:t> </w:t>
      </w:r>
      <w:r w:rsidR="00DC7190">
        <w:t>et</w:t>
      </w:r>
      <w:r w:rsidR="004F30AB">
        <w:t> </w:t>
      </w:r>
      <w:r w:rsidR="00DC7190">
        <w:t>s</w:t>
      </w:r>
      <w:r w:rsidR="005C6B75">
        <w:t>eq.)</w:t>
      </w:r>
      <w:r w:rsidR="003B5E2F">
        <w:t>;</w:t>
      </w:r>
      <w:r w:rsidR="005C6B75">
        <w:t xml:space="preserve"> a claim brought </w:t>
      </w:r>
      <w:r w:rsidR="00DC7190">
        <w:t xml:space="preserve">pursuant to Civil Code section 3344 for the unauthorized </w:t>
      </w:r>
      <w:r w:rsidRPr="00944288">
        <w:t>use of another’s photograph for advertising</w:t>
      </w:r>
      <w:r>
        <w:t>;</w:t>
      </w:r>
      <w:r w:rsidRPr="00944288">
        <w:t xml:space="preserve"> </w:t>
      </w:r>
      <w:r w:rsidR="00DC7190">
        <w:t>a common law mis</w:t>
      </w:r>
      <w:r w:rsidRPr="00944288">
        <w:t>appropriation of likeness</w:t>
      </w:r>
      <w:r w:rsidR="00DC7190">
        <w:t xml:space="preserve"> claim</w:t>
      </w:r>
      <w:r>
        <w:t>;</w:t>
      </w:r>
      <w:r w:rsidRPr="00944288">
        <w:t xml:space="preserve"> </w:t>
      </w:r>
      <w:r w:rsidR="00DC7190">
        <w:t>a common law “false light”/</w:t>
      </w:r>
      <w:r w:rsidRPr="00944288">
        <w:t>invasion of privacy</w:t>
      </w:r>
      <w:r w:rsidR="00DC7190">
        <w:t xml:space="preserve"> claim;</w:t>
      </w:r>
      <w:r w:rsidRPr="00944288">
        <w:t xml:space="preserve"> </w:t>
      </w:r>
      <w:r w:rsidR="00DC7190">
        <w:t xml:space="preserve">a common law claim for breach of </w:t>
      </w:r>
      <w:r w:rsidR="004D5967">
        <w:t xml:space="preserve">a </w:t>
      </w:r>
      <w:r w:rsidR="00DC7190">
        <w:t>quasi</w:t>
      </w:r>
      <w:r w:rsidR="00CF63D1">
        <w:t>-</w:t>
      </w:r>
      <w:r w:rsidR="00DC7190">
        <w:t>contract;</w:t>
      </w:r>
      <w:r w:rsidRPr="00944288">
        <w:t xml:space="preserve"> a </w:t>
      </w:r>
      <w:r w:rsidR="00DC7190">
        <w:t xml:space="preserve">common law claim </w:t>
      </w:r>
      <w:r w:rsidR="005C6B75">
        <w:t xml:space="preserve">for </w:t>
      </w:r>
      <w:r w:rsidRPr="00944288">
        <w:t>un</w:t>
      </w:r>
      <w:r w:rsidR="00DC7190">
        <w:t xml:space="preserve">just enrichment; and a common law claim for </w:t>
      </w:r>
      <w:r w:rsidR="00DC7190" w:rsidRPr="00944288">
        <w:t>intentional infliction of emotional distress</w:t>
      </w:r>
      <w:r w:rsidR="00DC7190">
        <w:t>.</w:t>
      </w:r>
    </w:p>
    <w:p w:rsidR="00F16B38" w:rsidRDefault="00915384" w:rsidP="00383FCA">
      <w:pPr>
        <w:ind w:firstLine="720"/>
      </w:pPr>
      <w:r>
        <w:t xml:space="preserve">Daniel’s claims against Wayans </w:t>
      </w:r>
      <w:r w:rsidR="00C0140C">
        <w:t>stem from</w:t>
      </w:r>
      <w:r>
        <w:t xml:space="preserve"> two different but related </w:t>
      </w:r>
      <w:r w:rsidR="00C0140C">
        <w:t>contexts</w:t>
      </w:r>
      <w:r>
        <w:t xml:space="preserve"> of </w:t>
      </w:r>
      <w:r w:rsidR="005C6B75">
        <w:t>alleged mis</w:t>
      </w:r>
      <w:r>
        <w:t xml:space="preserve">conduct.  The first alleged misconduct occurred </w:t>
      </w:r>
      <w:r w:rsidR="005C6B75">
        <w:t xml:space="preserve">solely </w:t>
      </w:r>
      <w:r>
        <w:t>on the movie set</w:t>
      </w:r>
      <w:r w:rsidR="00AA2DF6">
        <w:t xml:space="preserve"> (the </w:t>
      </w:r>
      <w:r w:rsidR="00FB3E8A">
        <w:t>on-set</w:t>
      </w:r>
      <w:r w:rsidR="00AA2DF6">
        <w:t xml:space="preserve"> comments and conduct)</w:t>
      </w:r>
      <w:r>
        <w:t xml:space="preserve">.  Specifically, </w:t>
      </w:r>
      <w:r w:rsidR="005A2E38">
        <w:t>Daniel</w:t>
      </w:r>
      <w:r>
        <w:t xml:space="preserve"> alleged that Wayans subjected him to </w:t>
      </w:r>
      <w:r w:rsidRPr="00915384">
        <w:t xml:space="preserve">“offensive and derogatory language regarding his race/national origin,” such as repeatedly referring to </w:t>
      </w:r>
      <w:r w:rsidR="00E157F1">
        <w:t>him</w:t>
      </w:r>
      <w:r w:rsidRPr="00915384">
        <w:t xml:space="preserve"> “in a demeaning manner, as ‘Nigga,’ a derogatory term and racial slur used to refer to African-Americans”; “repeatedly mocking </w:t>
      </w:r>
      <w:r w:rsidR="00A21E69">
        <w:t>[Daniel]</w:t>
      </w:r>
      <w:r w:rsidRPr="00915384">
        <w:t>’s ‘afro’</w:t>
      </w:r>
      <w:r w:rsidR="00DF30F7">
        <w:t> </w:t>
      </w:r>
      <w:r w:rsidRPr="00915384">
        <w:t xml:space="preserve">”; “repeatedly and negatively referr[ing] to </w:t>
      </w:r>
      <w:r w:rsidR="00E157F1">
        <w:t>[Daniel]</w:t>
      </w:r>
      <w:r w:rsidRPr="00915384">
        <w:t xml:space="preserve"> as ‘Cleveland Brown,’ an African American cartoon character in the adult cartoon comedy series ‘Family Guy’</w:t>
      </w:r>
      <w:r w:rsidR="00DF30F7">
        <w:t> </w:t>
      </w:r>
      <w:r w:rsidRPr="00915384">
        <w:t xml:space="preserve">”; routinely leering, staring, and rolling his eyes at Daniel; ridiculing Daniel in the presence of other crew members; </w:t>
      </w:r>
      <w:r>
        <w:t xml:space="preserve">and </w:t>
      </w:r>
      <w:r w:rsidRPr="00915384">
        <w:t>treating Daniel “differently, disparately, and negatively because of his race/national origin, including making demeaning, abusive, and de</w:t>
      </w:r>
      <w:r>
        <w:t>rogatory comments and gestures.”</w:t>
      </w:r>
    </w:p>
    <w:p w:rsidR="00915384" w:rsidRDefault="00915384" w:rsidP="00383FCA">
      <w:pPr>
        <w:ind w:firstLine="720"/>
      </w:pPr>
      <w:r>
        <w:t xml:space="preserve">The second </w:t>
      </w:r>
      <w:r w:rsidR="00C0140C">
        <w:t xml:space="preserve">arena or context </w:t>
      </w:r>
      <w:r>
        <w:t xml:space="preserve"> of alleged misconduct </w:t>
      </w:r>
      <w:r w:rsidR="00C0140C">
        <w:t xml:space="preserve">evolved </w:t>
      </w:r>
      <w:r w:rsidR="005C6B75">
        <w:t xml:space="preserve">primarily </w:t>
      </w:r>
      <w:r w:rsidR="00AA2DF6">
        <w:t>on the I</w:t>
      </w:r>
      <w:r>
        <w:t>nternet</w:t>
      </w:r>
      <w:r w:rsidR="00AA2DF6">
        <w:t xml:space="preserve"> (the Internet posting)</w:t>
      </w:r>
      <w:r>
        <w:t xml:space="preserve">.  Specifically, Daniel alleged that Wayans took </w:t>
      </w:r>
      <w:r w:rsidR="005C6B75" w:rsidRPr="005C6B75">
        <w:t xml:space="preserve">Daniel’s photograph without his consent and </w:t>
      </w:r>
      <w:r w:rsidR="005C6B75">
        <w:t xml:space="preserve">then </w:t>
      </w:r>
      <w:r w:rsidR="005C6B75" w:rsidRPr="005C6B75">
        <w:t>post</w:t>
      </w:r>
      <w:r w:rsidR="005C6B75">
        <w:t>ed</w:t>
      </w:r>
      <w:r w:rsidR="005C6B75" w:rsidRPr="005C6B75">
        <w:t xml:space="preserve"> it on the Internet and “Defendants’ websites alongside a photograph of </w:t>
      </w:r>
      <w:r w:rsidR="005C6B75">
        <w:t xml:space="preserve">[a] </w:t>
      </w:r>
      <w:r w:rsidR="005C6B75" w:rsidRPr="005C6B75">
        <w:t>popular African-American cartoon character, ‘Cleveland Brown’ with the inappropriate caption, ‘Tell me this nigga don’t look like . . . THIS NIGGA!!!  Ol cleveland Brown ass lookin @ahhmovie 2 @whatthefunny I’m hurtin!’</w:t>
      </w:r>
      <w:r w:rsidR="00BD01E8">
        <w:t> </w:t>
      </w:r>
      <w:r w:rsidR="005C6B75" w:rsidRPr="005C6B75">
        <w:t>”</w:t>
      </w:r>
    </w:p>
    <w:p w:rsidR="00EB0AB1" w:rsidRPr="00EB0AB1" w:rsidRDefault="00EB0AB1" w:rsidP="00522A00">
      <w:pPr>
        <w:keepNext/>
        <w:rPr>
          <w:b/>
        </w:rPr>
      </w:pPr>
      <w:r w:rsidRPr="00EB0AB1">
        <w:rPr>
          <w:b/>
        </w:rPr>
        <w:t>I</w:t>
      </w:r>
      <w:r>
        <w:rPr>
          <w:b/>
        </w:rPr>
        <w:t>I</w:t>
      </w:r>
      <w:r w:rsidRPr="00EB0AB1">
        <w:rPr>
          <w:b/>
        </w:rPr>
        <w:t>.</w:t>
      </w:r>
      <w:r w:rsidRPr="00EB0AB1">
        <w:rPr>
          <w:b/>
        </w:rPr>
        <w:tab/>
      </w:r>
      <w:r>
        <w:rPr>
          <w:b/>
        </w:rPr>
        <w:t>Wayans’s anti-SLAPP motion</w:t>
      </w:r>
    </w:p>
    <w:p w:rsidR="003B5E2F" w:rsidRDefault="003F1F11" w:rsidP="00522A00">
      <w:pPr>
        <w:keepNext/>
        <w:ind w:firstLine="720"/>
      </w:pPr>
      <w:r>
        <w:t xml:space="preserve">On November 5, 2014, </w:t>
      </w:r>
      <w:r w:rsidRPr="003F1F11">
        <w:t xml:space="preserve">Wayans filed a special motion to strike pursuant to section 425.16.  </w:t>
      </w:r>
      <w:r>
        <w:t>Wayans’</w:t>
      </w:r>
      <w:r w:rsidR="007F660C">
        <w:t>s</w:t>
      </w:r>
      <w:r>
        <w:t xml:space="preserve"> anti-SLAPP </w:t>
      </w:r>
      <w:r w:rsidRPr="003F1F11">
        <w:t>motion challenged all causes of action in which he was named.</w:t>
      </w:r>
      <w:r w:rsidR="00953AA9">
        <w:t xml:space="preserve"> </w:t>
      </w:r>
      <w:r w:rsidRPr="003F1F11">
        <w:t xml:space="preserve"> </w:t>
      </w:r>
      <w:r w:rsidR="00C27AA4">
        <w:t xml:space="preserve">Wayans argued that he met his burden under the anti-SLAPP statute because </w:t>
      </w:r>
      <w:r w:rsidR="006C44DB" w:rsidRPr="006C44DB">
        <w:t xml:space="preserve">his creative spark in referring to Daniel as </w:t>
      </w:r>
      <w:r w:rsidR="00A108C7">
        <w:t>“</w:t>
      </w:r>
      <w:r w:rsidR="006C44DB">
        <w:t>Cleveland</w:t>
      </w:r>
      <w:r w:rsidR="00A108C7">
        <w:t>”</w:t>
      </w:r>
      <w:r w:rsidR="006C44DB">
        <w:t xml:space="preserve"> resulted in the birth of a character in the film</w:t>
      </w:r>
      <w:r w:rsidR="00A108C7">
        <w:t>;</w:t>
      </w:r>
      <w:r w:rsidR="006C44DB">
        <w:t xml:space="preserve"> his use of the word nigga, a term liberally used throughout the film, helped advance or assist in the creation of dialogue for the film;</w:t>
      </w:r>
      <w:r w:rsidR="00953AA9">
        <w:t xml:space="preserve"> </w:t>
      </w:r>
      <w:r w:rsidR="006C44DB">
        <w:t xml:space="preserve">and by promoting Daniel in the Internet and Twitter post as a Cleveland Brown look-alike, Wayans helped promote the film.  </w:t>
      </w:r>
      <w:r w:rsidR="003B5E2F">
        <w:t xml:space="preserve">The motion was </w:t>
      </w:r>
      <w:r w:rsidR="006C44DB">
        <w:t>supported by three declarations:  one by Wayans himself; one by the movie’s leading actress, Ja</w:t>
      </w:r>
      <w:r w:rsidR="00BD01E8">
        <w:t>i</w:t>
      </w:r>
      <w:r w:rsidR="006C44DB">
        <w:t>me Pressly (Pressly); and one by</w:t>
      </w:r>
      <w:r w:rsidR="006C44DB" w:rsidRPr="006C44DB">
        <w:t xml:space="preserve"> </w:t>
      </w:r>
      <w:r w:rsidR="006C44DB">
        <w:t xml:space="preserve">Rick Alvarez (Alvarez), “a producer and cowriter” of both </w:t>
      </w:r>
      <w:r w:rsidR="006C44DB" w:rsidRPr="00220887">
        <w:t>A Haunted House</w:t>
      </w:r>
      <w:r w:rsidR="006C44DB">
        <w:t xml:space="preserve"> and </w:t>
      </w:r>
      <w:r w:rsidR="006C44DB" w:rsidRPr="00220887">
        <w:t>A Haunted House 2</w:t>
      </w:r>
      <w:r w:rsidR="006C44DB">
        <w:t>.</w:t>
      </w:r>
    </w:p>
    <w:p w:rsidR="000A75D8" w:rsidRDefault="000A75D8" w:rsidP="00EB0AB1">
      <w:pPr>
        <w:ind w:firstLine="720"/>
      </w:pPr>
      <w:r>
        <w:t>A.</w:t>
      </w:r>
      <w:r>
        <w:tab/>
      </w:r>
      <w:r w:rsidRPr="000A75D8">
        <w:rPr>
          <w:smallCaps/>
        </w:rPr>
        <w:t>Wayans’s declaration</w:t>
      </w:r>
    </w:p>
    <w:p w:rsidR="00F92DFF" w:rsidRDefault="006C44DB" w:rsidP="00EB0AB1">
      <w:pPr>
        <w:ind w:firstLine="720"/>
      </w:pPr>
      <w:r>
        <w:t xml:space="preserve">In his declaration, </w:t>
      </w:r>
      <w:r w:rsidR="003B5E2F">
        <w:t xml:space="preserve">Wayans </w:t>
      </w:r>
      <w:r w:rsidR="003F1F11" w:rsidRPr="003F1F11">
        <w:t xml:space="preserve">admitted joking with </w:t>
      </w:r>
      <w:r w:rsidR="005A2E38">
        <w:t>Daniel</w:t>
      </w:r>
      <w:r w:rsidR="003F1F11" w:rsidRPr="003F1F11">
        <w:t xml:space="preserve"> about his resemblance to the Cleveland Brown cartoon character.  Wayans stated he then named the character portrayed by Daniel “Cleveland” and used that name as he improvised dialogue for the scene in which Daniel appeared.  </w:t>
      </w:r>
      <w:r w:rsidR="000A75D8">
        <w:t>Wayans emphasized that on-set improvisation, including “</w:t>
      </w:r>
      <w:r w:rsidR="00BD01E8">
        <w:t>[</w:t>
      </w:r>
      <w:r w:rsidR="000A75D8">
        <w:t>j</w:t>
      </w:r>
      <w:r w:rsidR="00BD01E8">
        <w:t>]</w:t>
      </w:r>
      <w:r w:rsidR="000A75D8">
        <w:t xml:space="preserve">oking around,” </w:t>
      </w:r>
      <w:r w:rsidR="00EA6010">
        <w:t>constituted</w:t>
      </w:r>
      <w:r w:rsidR="000A75D8">
        <w:t xml:space="preserve"> a key part of the creative process both in A Haunted House 2 and in his other movies</w:t>
      </w:r>
      <w:r w:rsidR="0008265E">
        <w:t>, as the script</w:t>
      </w:r>
      <w:r w:rsidR="00A108C7">
        <w:t>s</w:t>
      </w:r>
      <w:r w:rsidR="0008265E">
        <w:t xml:space="preserve"> </w:t>
      </w:r>
      <w:r w:rsidR="00A108C7">
        <w:t xml:space="preserve">for those movies were </w:t>
      </w:r>
      <w:r w:rsidR="0008265E">
        <w:t>often just an “outline of scenes</w:t>
      </w:r>
      <w:r w:rsidR="000A75D8">
        <w:t>.</w:t>
      </w:r>
      <w:r w:rsidR="0008265E">
        <w:t>”</w:t>
      </w:r>
      <w:r w:rsidR="000A75D8">
        <w:t xml:space="preserve">  </w:t>
      </w:r>
      <w:r w:rsidR="0008265E">
        <w:t xml:space="preserve">To demonstrate the improvisational nature of the movie’s creative process, </w:t>
      </w:r>
      <w:r w:rsidR="000A75D8">
        <w:t xml:space="preserve">Wayans submitted the </w:t>
      </w:r>
      <w:r w:rsidR="0008265E">
        <w:t xml:space="preserve">certified </w:t>
      </w:r>
      <w:r w:rsidR="000A75D8">
        <w:t xml:space="preserve">transcript of three different “takes” of the scene in which Daniel appeared; in each of those takes the action is the same—Wayans’s character calling Daniel’s character to help get a </w:t>
      </w:r>
      <w:r w:rsidR="00220887">
        <w:t xml:space="preserve">heavy </w:t>
      </w:r>
      <w:r w:rsidR="000A75D8">
        <w:t>safe off of his dog—but the dialogue is markedly different each time as Wa</w:t>
      </w:r>
      <w:r w:rsidR="00953AA9">
        <w:t>yans experiments or improvises.</w:t>
      </w:r>
    </w:p>
    <w:p w:rsidR="00EB0AB1" w:rsidRDefault="003F1F11" w:rsidP="00EB0AB1">
      <w:pPr>
        <w:ind w:firstLine="720"/>
      </w:pPr>
      <w:r w:rsidRPr="003F1F11">
        <w:t>Wayans also admitted taking Daniel’s photograph, but declared that Daniel consented and posed for the photograph.  Wayans then “juxtaposed the photo with a humorously similar photo of Mr. Daniel’s cartoon look-alike, Cleveland Brown, with the caption” alleged in the complaint and previously quoted herein.  Wayans continued:  “My reference to ‘@ahhmovie2’ was a link to the Twitter and Instagram pages for A Haunted House 2.  My reference to ‘whatthefunny’ is a reference to my website, which posts humorous videos.  I then posted the juxtaposed photos and caption to my Twitter account, which at that time had over a</w:t>
      </w:r>
      <w:r>
        <w:t xml:space="preserve"> million followers.”</w:t>
      </w:r>
      <w:r w:rsidR="00BD01E8">
        <w:t xml:space="preserve">  (Italics omitted.)</w:t>
      </w:r>
      <w:r>
        <w:t xml:space="preserve"> </w:t>
      </w:r>
      <w:r w:rsidRPr="003F1F11">
        <w:t xml:space="preserve"> Wayans stated that Daniel at no time objected or stated he was uncomfortable when Wayans joked with him, </w:t>
      </w:r>
      <w:r w:rsidR="0030556B">
        <w:t>took the photo, or posted it</w:t>
      </w:r>
      <w:r w:rsidRPr="003F1F11">
        <w:t>.</w:t>
      </w:r>
    </w:p>
    <w:p w:rsidR="0008265E" w:rsidRDefault="0008265E" w:rsidP="00FD6C43">
      <w:pPr>
        <w:keepNext/>
        <w:ind w:firstLine="720"/>
      </w:pPr>
      <w:r>
        <w:t>B.</w:t>
      </w:r>
      <w:r>
        <w:tab/>
      </w:r>
      <w:r>
        <w:rPr>
          <w:smallCaps/>
        </w:rPr>
        <w:t xml:space="preserve">Pressly’s </w:t>
      </w:r>
      <w:r w:rsidRPr="000A75D8">
        <w:rPr>
          <w:smallCaps/>
        </w:rPr>
        <w:t>declaration</w:t>
      </w:r>
    </w:p>
    <w:p w:rsidR="003B5E2F" w:rsidRDefault="006C44DB" w:rsidP="00EB0AB1">
      <w:pPr>
        <w:ind w:firstLine="720"/>
      </w:pPr>
      <w:r>
        <w:t>In her declaration,</w:t>
      </w:r>
      <w:r w:rsidR="0008265E">
        <w:t xml:space="preserve"> </w:t>
      </w:r>
      <w:r w:rsidR="00F92DFF">
        <w:t xml:space="preserve">Pressly stated that she observed Wayans and Daniel interacting on the set and declared that Daniel laughed at Wayans’s joke that Daniel looked like the Cleveland Brown </w:t>
      </w:r>
      <w:r w:rsidR="00220887">
        <w:t xml:space="preserve">cartoon </w:t>
      </w:r>
      <w:r w:rsidR="00F92DFF">
        <w:t>character</w:t>
      </w:r>
      <w:r w:rsidR="00531A1C">
        <w:t xml:space="preserve"> and noted that Wayans was so st</w:t>
      </w:r>
      <w:r w:rsidR="00654416">
        <w:t>r</w:t>
      </w:r>
      <w:r w:rsidR="00531A1C">
        <w:t>uck by the resemblance that he decided to use Cleveland as the name for Daniel’s character</w:t>
      </w:r>
      <w:r w:rsidR="000F1AB9">
        <w:t>.</w:t>
      </w:r>
      <w:r w:rsidR="00F92DFF">
        <w:t xml:space="preserve">  Pressly further declared that </w:t>
      </w:r>
      <w:r w:rsidR="00531A1C">
        <w:t xml:space="preserve">Daniel not only agreed to be photographed by Wayans but posed for the photograph and later joined in the laughter </w:t>
      </w:r>
      <w:r w:rsidR="003A151D">
        <w:t xml:space="preserve">among the cast and crew </w:t>
      </w:r>
      <w:r w:rsidR="00531A1C">
        <w:t xml:space="preserve">on </w:t>
      </w:r>
      <w:r w:rsidR="003A151D">
        <w:t xml:space="preserve">the </w:t>
      </w:r>
      <w:r w:rsidR="00531A1C">
        <w:t>set once the photograph and the image of the Cleveland Brown character were posted to the Internet.</w:t>
      </w:r>
    </w:p>
    <w:p w:rsidR="00531A1C" w:rsidRDefault="00531A1C" w:rsidP="00EB0AB1">
      <w:pPr>
        <w:ind w:firstLine="720"/>
      </w:pPr>
      <w:r>
        <w:t>With regard to the creative process for the movie, Pressly affirmed that “</w:t>
      </w:r>
      <w:r w:rsidR="00654416">
        <w:t>[</w:t>
      </w:r>
      <w:r>
        <w:t>m</w:t>
      </w:r>
      <w:r w:rsidR="00654416">
        <w:t>]</w:t>
      </w:r>
      <w:r>
        <w:t>any of the scenes in A Haunted House 2 were improvisational in nature,” meaning that “the actors and actresses spontaneously make up jokes as they go along.”</w:t>
      </w:r>
      <w:r w:rsidR="007977D2">
        <w:t xml:space="preserve">  On a related note, </w:t>
      </w:r>
      <w:r w:rsidR="000F1AB9">
        <w:t xml:space="preserve">Pressly stated that much of the comedy in the movie </w:t>
      </w:r>
      <w:r w:rsidR="00CE4B91">
        <w:t>derived from</w:t>
      </w:r>
      <w:r w:rsidR="000F1AB9">
        <w:t xml:space="preserve"> making fun of </w:t>
      </w:r>
      <w:r w:rsidR="00220887">
        <w:t xml:space="preserve">various </w:t>
      </w:r>
      <w:r w:rsidR="000F1AB9">
        <w:t xml:space="preserve">stereotypes, including racial </w:t>
      </w:r>
      <w:r w:rsidR="008A5010">
        <w:t>stereotypes. As</w:t>
      </w:r>
      <w:r w:rsidR="000F1AB9">
        <w:t xml:space="preserve"> a result, the word nigga </w:t>
      </w:r>
      <w:r w:rsidR="00A108C7">
        <w:t>wa</w:t>
      </w:r>
      <w:r w:rsidR="000F1AB9">
        <w:t>s used “dozens of times of times throughout the movie”; in fact</w:t>
      </w:r>
      <w:r w:rsidR="00A108C7">
        <w:t>,</w:t>
      </w:r>
      <w:r w:rsidR="000F1AB9">
        <w:t xml:space="preserve"> at one point in the movie Wayans’s character call</w:t>
      </w:r>
      <w:r w:rsidR="00E4592C">
        <w:t>s</w:t>
      </w:r>
      <w:r w:rsidR="000F1AB9">
        <w:t xml:space="preserve"> Pressly’s character nigga, even though Pressly is </w:t>
      </w:r>
      <w:r w:rsidR="00CE4B91">
        <w:t>Caucasian</w:t>
      </w:r>
      <w:r w:rsidR="000F1AB9">
        <w:t>.  In addition, Pressly noted that Wayans has called her “ ‘nigga’ in the past</w:t>
      </w:r>
      <w:r w:rsidR="00F75AAA">
        <w:t>,</w:t>
      </w:r>
      <w:r w:rsidR="000F1AB9">
        <w:t xml:space="preserve"> and frequently uses it as a term of endearment with his friends and family.”</w:t>
      </w:r>
    </w:p>
    <w:p w:rsidR="0008265E" w:rsidRDefault="0008265E" w:rsidP="00F75AAA">
      <w:pPr>
        <w:keepNext/>
        <w:ind w:firstLine="720"/>
      </w:pPr>
      <w:r>
        <w:t>C.</w:t>
      </w:r>
      <w:r>
        <w:tab/>
      </w:r>
      <w:r w:rsidRPr="00234DA2">
        <w:rPr>
          <w:smallCaps/>
        </w:rPr>
        <w:t>Alvarez’s</w:t>
      </w:r>
      <w:r>
        <w:t xml:space="preserve"> </w:t>
      </w:r>
      <w:r w:rsidRPr="000A75D8">
        <w:rPr>
          <w:smallCaps/>
        </w:rPr>
        <w:t>declaration</w:t>
      </w:r>
    </w:p>
    <w:p w:rsidR="0008265E" w:rsidRDefault="00220887" w:rsidP="00F75AAA">
      <w:pPr>
        <w:keepNext/>
        <w:ind w:firstLine="720"/>
      </w:pPr>
      <w:r>
        <w:t xml:space="preserve">One </w:t>
      </w:r>
      <w:r w:rsidR="00EB4E5C">
        <w:t xml:space="preserve">of Alvarez’s roles with regard to </w:t>
      </w:r>
      <w:r w:rsidR="00EB4E5C" w:rsidRPr="00220887">
        <w:t>A Haunted House</w:t>
      </w:r>
      <w:r w:rsidR="00075CF1">
        <w:t> </w:t>
      </w:r>
      <w:r w:rsidR="00EB4E5C" w:rsidRPr="00220887">
        <w:t>2</w:t>
      </w:r>
      <w:r w:rsidR="00EB4E5C">
        <w:t xml:space="preserve"> was to “oversee </w:t>
      </w:r>
      <w:r w:rsidR="00EB4E5C" w:rsidRPr="00EB4E5C">
        <w:t>the entire production of the film.”</w:t>
      </w:r>
      <w:r w:rsidR="00EB4E5C">
        <w:t xml:space="preserve">  Alvarez affirmed that Daniel was hired as a non-speaking extra for the movie and attached to his declaration a copy of a </w:t>
      </w:r>
      <w:r w:rsidR="00E22D04">
        <w:t>s</w:t>
      </w:r>
      <w:r w:rsidR="00EB4E5C">
        <w:t xml:space="preserve">tandard </w:t>
      </w:r>
      <w:r w:rsidR="00E22D04">
        <w:t>u</w:t>
      </w:r>
      <w:r w:rsidR="00EB4E5C">
        <w:t xml:space="preserve">nion </w:t>
      </w:r>
      <w:r w:rsidR="00E22D04">
        <w:t>v</w:t>
      </w:r>
      <w:r w:rsidR="00EB4E5C">
        <w:t xml:space="preserve">oucher signed by Daniel in connection with his work on the movie (the </w:t>
      </w:r>
      <w:r w:rsidR="00750624">
        <w:t>v</w:t>
      </w:r>
      <w:r w:rsidR="00EB4E5C">
        <w:t xml:space="preserve">oucher).  The </w:t>
      </w:r>
      <w:r w:rsidR="00EC558F">
        <w:t>v</w:t>
      </w:r>
      <w:r w:rsidR="00EB4E5C">
        <w:t xml:space="preserve">oucher, in part, states that Daniel </w:t>
      </w:r>
      <w:r w:rsidR="008F5AA5">
        <w:t xml:space="preserve">agreed to </w:t>
      </w:r>
      <w:r w:rsidR="00EB4E5C">
        <w:t>g</w:t>
      </w:r>
      <w:r w:rsidR="008F5AA5">
        <w:t>ive the movie’s production company broad rights with regard to the use of his image:  “I hereby grant to the Production Company of The Production, its successors, assignees, licenses or any other person or company who might gain title or rights to the production, the right to photograph me and record my voice to use, alter, dub, edit</w:t>
      </w:r>
      <w:r w:rsidR="00EC558F">
        <w:t>,</w:t>
      </w:r>
      <w:r w:rsidR="008F5AA5">
        <w:t xml:space="preserve"> and or otherwise change such photographs and recordings, in any manner whatsoever and for any reason in connection with The Production, such right to be worldwide and in perpetuity</w:t>
      </w:r>
      <w:r w:rsidR="003951A7">
        <w:t>.</w:t>
      </w:r>
      <w:r w:rsidR="008F5AA5">
        <w:t>”</w:t>
      </w:r>
    </w:p>
    <w:p w:rsidR="008F5AA5" w:rsidRDefault="008F5AA5" w:rsidP="008F5AA5">
      <w:pPr>
        <w:ind w:firstLine="720"/>
      </w:pPr>
      <w:r>
        <w:t xml:space="preserve">As with Wayans and Pressly, Alvarez described </w:t>
      </w:r>
      <w:r w:rsidR="004E216F">
        <w:t>the creative process for the movie as improvisational:  “A Haunted House 2 is an R-Rated comedy.  To make the film as funny as possible, much o</w:t>
      </w:r>
      <w:r w:rsidR="00CA0A14">
        <w:t>f</w:t>
      </w:r>
      <w:r w:rsidR="004E216F">
        <w:t xml:space="preserve"> the dialogue was intended to be, and was, developed on the set through improvisation.  The actors were encouraged to improvise, ad lib, and have fun as part of the creative process.  Mr. Wayans and the other actors regu</w:t>
      </w:r>
      <w:r w:rsidR="00BC3652">
        <w:t xml:space="preserve">larly joked amongst themselves </w:t>
      </w:r>
      <w:r w:rsidR="004E216F">
        <w:t>and with others on the set to develop dialogue and create an atmosphere that was humorous and conducive to comedy.”  (Italics omitted.)</w:t>
      </w:r>
    </w:p>
    <w:p w:rsidR="004E216F" w:rsidRPr="00257259" w:rsidRDefault="004E216F" w:rsidP="008F5AA5">
      <w:pPr>
        <w:ind w:firstLine="720"/>
      </w:pPr>
      <w:r>
        <w:t>Alvarez, like Pressly, noted that the word nigga, and variants such as nigger and niggie</w:t>
      </w:r>
      <w:r w:rsidR="00D803C8">
        <w:t>,</w:t>
      </w:r>
      <w:r>
        <w:t xml:space="preserve"> are used </w:t>
      </w:r>
      <w:r w:rsidR="00D803C8">
        <w:t>“</w:t>
      </w:r>
      <w:r>
        <w:t>dozens of times</w:t>
      </w:r>
      <w:r w:rsidR="001C2A43">
        <w:t>,</w:t>
      </w:r>
      <w:r>
        <w:t xml:space="preserve"> </w:t>
      </w:r>
      <w:r w:rsidR="00D803C8">
        <w:t>througho</w:t>
      </w:r>
      <w:r w:rsidR="00BC3652">
        <w:t xml:space="preserve">ut the movie </w:t>
      </w:r>
      <w:r w:rsidR="00D803C8">
        <w:t>as part of the comedy.”  Alvarez goes on to note that the movie “</w:t>
      </w:r>
      <w:r w:rsidR="00BC3652">
        <w:t>i</w:t>
      </w:r>
      <w:r w:rsidR="00D803C8">
        <w:t xml:space="preserve">ncludes a scene that specifically explores the idea that the use of the terms ‘nigga’ and ‘nigger’ are sometimes considered socially acceptable for black people to use but not people with other racial backgrounds.”  Like Pressly, Alvarez affirmed that Wayans uses the term nigga as a term of endearment, noting that Wayans “has even called </w:t>
      </w:r>
      <w:r w:rsidR="00FC3B84">
        <w:t>[him]</w:t>
      </w:r>
      <w:r w:rsidR="00D803C8">
        <w:t xml:space="preserve"> ‘nigga’ durin</w:t>
      </w:r>
      <w:r w:rsidR="00C27AA4">
        <w:t>g</w:t>
      </w:r>
      <w:r w:rsidR="00D803C8">
        <w:t xml:space="preserve"> the time </w:t>
      </w:r>
      <w:r w:rsidR="00FC3B84">
        <w:t>[they]</w:t>
      </w:r>
      <w:r w:rsidR="00D803C8">
        <w:t xml:space="preserve"> spent writing together, and </w:t>
      </w:r>
      <w:r w:rsidR="00FC3B84">
        <w:t>[he is]</w:t>
      </w:r>
      <w:r w:rsidR="00D803C8">
        <w:t xml:space="preserve"> not black.”</w:t>
      </w:r>
    </w:p>
    <w:p w:rsidR="00EB0AB1" w:rsidRPr="00EB0AB1" w:rsidRDefault="00EB0AB1" w:rsidP="00EB0AB1">
      <w:pPr>
        <w:rPr>
          <w:b/>
        </w:rPr>
      </w:pPr>
      <w:r>
        <w:rPr>
          <w:b/>
        </w:rPr>
        <w:t>II</w:t>
      </w:r>
      <w:r w:rsidRPr="00EB0AB1">
        <w:rPr>
          <w:b/>
        </w:rPr>
        <w:t>I.</w:t>
      </w:r>
      <w:r w:rsidRPr="00EB0AB1">
        <w:rPr>
          <w:b/>
        </w:rPr>
        <w:tab/>
        <w:t xml:space="preserve">Daniel’s </w:t>
      </w:r>
      <w:r>
        <w:rPr>
          <w:b/>
        </w:rPr>
        <w:t>opposition</w:t>
      </w:r>
    </w:p>
    <w:p w:rsidR="003E01FF" w:rsidRPr="003E01FF" w:rsidRDefault="00FB3E8A" w:rsidP="00EB0AB1">
      <w:pPr>
        <w:ind w:firstLine="720"/>
      </w:pPr>
      <w:r>
        <w:t xml:space="preserve">Daniel opposed Wayans’s motion, arguing, inter alia, that the anti-SLAPP statute </w:t>
      </w:r>
      <w:r w:rsidR="00E4592C">
        <w:t>does</w:t>
      </w:r>
      <w:r>
        <w:t xml:space="preserve"> not reach claims for racial harassment and that there was no “public interest” in the photo of him and </w:t>
      </w:r>
      <w:r w:rsidR="00A108C7">
        <w:t xml:space="preserve">the </w:t>
      </w:r>
      <w:r>
        <w:t xml:space="preserve">Cleveland Brown character that Wayans posted to the Internet.  In addition, he argued that there was sufficient evidence to show </w:t>
      </w:r>
      <w:r w:rsidR="003E01FF">
        <w:t xml:space="preserve">a probability of prevailing </w:t>
      </w:r>
      <w:r>
        <w:t>on each of his claims.</w:t>
      </w:r>
    </w:p>
    <w:p w:rsidR="00EB4E5C" w:rsidRDefault="00D803C8" w:rsidP="00EB0AB1">
      <w:pPr>
        <w:ind w:firstLine="720"/>
      </w:pPr>
      <w:r>
        <w:t>In support of his opposition Daniel submitted a declaration of his own</w:t>
      </w:r>
      <w:r w:rsidR="009B6ED0">
        <w:t xml:space="preserve"> in which he, inter alia, </w:t>
      </w:r>
      <w:r w:rsidR="009B6ED0" w:rsidRPr="009B6ED0">
        <w:t>elaborated upon Wayans’s alleged harassment of him on the set</w:t>
      </w:r>
      <w:r w:rsidR="009B6ED0">
        <w:t>.  Daniel stated</w:t>
      </w:r>
      <w:r w:rsidR="00793C56">
        <w:t xml:space="preserve"> </w:t>
      </w:r>
      <w:r w:rsidR="009B6ED0" w:rsidRPr="009B6ED0">
        <w:t>that Wayans first called him Cleveland</w:t>
      </w:r>
      <w:r w:rsidR="009B6ED0">
        <w:t xml:space="preserve"> while he was “waiting off camera to receive [his] acting directions</w:t>
      </w:r>
      <w:r w:rsidR="00953AA9">
        <w:t>,</w:t>
      </w:r>
      <w:r w:rsidR="009B6ED0">
        <w:t xml:space="preserve">” </w:t>
      </w:r>
      <w:r w:rsidR="009B6ED0" w:rsidRPr="009B6ED0">
        <w:t>when filming was not underway.  Wayans also sa</w:t>
      </w:r>
      <w:r w:rsidR="00793C56">
        <w:t xml:space="preserve">id, “ ‘O’l </w:t>
      </w:r>
      <w:r w:rsidR="009B6ED0" w:rsidRPr="009B6ED0">
        <w:t xml:space="preserve">Cleveland Brown with your afro and thick mustache, you need to shed some pounds.’ ”  Wayans then called Daniel a </w:t>
      </w:r>
      <w:r w:rsidR="00001FF1">
        <w:t>“</w:t>
      </w:r>
      <w:r w:rsidR="00DF30F7">
        <w:t> </w:t>
      </w:r>
      <w:r w:rsidR="009B6ED0" w:rsidRPr="009B6ED0">
        <w:t>‘black fat ass’ and began laughing at” him.  Daniel declared that throughout the day, while he was on break and cameras were not rolling, Wayans repeatedly approached him and called him Cleveland at least 15 more times, looked and pointed at him while saying nigga at least three to four times, called Daniel’s hair an “</w:t>
      </w:r>
      <w:r w:rsidR="00001FF1">
        <w:t> </w:t>
      </w:r>
      <w:r w:rsidR="009B6ED0" w:rsidRPr="009B6ED0">
        <w:t>‘Afro’</w:t>
      </w:r>
      <w:r w:rsidR="00001FF1">
        <w:t> </w:t>
      </w:r>
      <w:r w:rsidR="009B6ED0" w:rsidRPr="009B6ED0">
        <w:t xml:space="preserve">” while laughing on at least 10 occasions, called Daniel </w:t>
      </w:r>
      <w:r w:rsidR="00793C56">
        <w:t xml:space="preserve">a </w:t>
      </w:r>
      <w:r w:rsidR="009B6ED0" w:rsidRPr="009B6ED0">
        <w:t>“ ‘black fat ass’  in the presence of others at least twice, and “continuously” approached Daniel and leered, “sneeringly smile[d],” rolled his eyes, and watched Daniel.</w:t>
      </w:r>
      <w:r w:rsidR="00793C56">
        <w:t xml:space="preserve">  Daniel stated that at no time did he laugh when Wayans called him Cleveland and th</w:t>
      </w:r>
      <w:r w:rsidR="00871730">
        <w:t>at he found Wayans’s use of nigga when directed at him to be “racially offensive and derogatory.”</w:t>
      </w:r>
      <w:r w:rsidR="005513B5">
        <w:t xml:space="preserve">  However, Daniel did not assert that Wayans’s conduct and/or comments </w:t>
      </w:r>
      <w:r w:rsidR="002D26C9">
        <w:t xml:space="preserve">on the set </w:t>
      </w:r>
      <w:r w:rsidR="005513B5">
        <w:t xml:space="preserve">adversely affected his work </w:t>
      </w:r>
      <w:r w:rsidR="00F73009">
        <w:t xml:space="preserve">in any way </w:t>
      </w:r>
      <w:r w:rsidR="005513B5">
        <w:t>on the movie.</w:t>
      </w:r>
    </w:p>
    <w:p w:rsidR="00871730" w:rsidRDefault="00CE4B91" w:rsidP="00EB0AB1">
      <w:pPr>
        <w:ind w:firstLine="720"/>
      </w:pPr>
      <w:r>
        <w:t>As for</w:t>
      </w:r>
      <w:r w:rsidR="00793C56">
        <w:t xml:space="preserve"> the photograph of him that was posted to the Internet, Daniel disputed that he gave his consent and/or laughed about the posting </w:t>
      </w:r>
      <w:r w:rsidR="00871730">
        <w:t xml:space="preserve">while </w:t>
      </w:r>
      <w:r w:rsidR="00793C56">
        <w:t xml:space="preserve">on </w:t>
      </w:r>
      <w:r w:rsidR="00871730">
        <w:t xml:space="preserve">the </w:t>
      </w:r>
      <w:r w:rsidR="00793C56">
        <w:t xml:space="preserve">set.  According to Daniel, he did not </w:t>
      </w:r>
      <w:r w:rsidR="00871730">
        <w:t xml:space="preserve">learn of the posting until later that night </w:t>
      </w:r>
      <w:r w:rsidR="0057740E">
        <w:t xml:space="preserve">after he left the set </w:t>
      </w:r>
      <w:r w:rsidR="00871730">
        <w:t xml:space="preserve">when his brother informed him of the post.  When he finally did view the post, Daniel </w:t>
      </w:r>
      <w:r w:rsidR="007360CF">
        <w:t>felt “extremely</w:t>
      </w:r>
      <w:r w:rsidR="00871730">
        <w:t xml:space="preserve"> offended.”  Because other people besides his brother have called him and approached him to ask </w:t>
      </w:r>
      <w:r w:rsidR="00871730" w:rsidRPr="00871730">
        <w:t>if he is “the ‘Cleveland Brown’ character” from the post</w:t>
      </w:r>
      <w:r w:rsidR="00871730">
        <w:t xml:space="preserve">, Daniel has suffered </w:t>
      </w:r>
      <w:r w:rsidR="00871730" w:rsidRPr="00871730">
        <w:t>apprehension when going out in public, nightmares, anxiety, depression, and stress headache</w:t>
      </w:r>
      <w:r w:rsidR="00871730">
        <w:t>s as a result</w:t>
      </w:r>
      <w:r w:rsidR="004A572F">
        <w:t xml:space="preserve"> of Wayans’s alleged misconduct</w:t>
      </w:r>
      <w:r w:rsidR="00871730">
        <w:t>.</w:t>
      </w:r>
    </w:p>
    <w:p w:rsidR="00EB0AB1" w:rsidRDefault="00EB4E5C" w:rsidP="00EB0AB1">
      <w:pPr>
        <w:ind w:firstLine="720"/>
      </w:pPr>
      <w:r>
        <w:t>In his declaration</w:t>
      </w:r>
      <w:r w:rsidR="00871730">
        <w:t>,</w:t>
      </w:r>
      <w:r>
        <w:t xml:space="preserve"> Daniel did not dispute </w:t>
      </w:r>
      <w:r w:rsidR="00871730">
        <w:t>the improvisational nature of the movie’s creative process</w:t>
      </w:r>
      <w:r w:rsidR="007F660C">
        <w:t>, as described by Wayans, Pressly and Alvarez</w:t>
      </w:r>
      <w:r w:rsidR="00871730">
        <w:t xml:space="preserve">.  Nor did he dispute </w:t>
      </w:r>
      <w:r>
        <w:t xml:space="preserve">that </w:t>
      </w:r>
      <w:r w:rsidR="00CE4B91">
        <w:t xml:space="preserve">the </w:t>
      </w:r>
      <w:r>
        <w:t xml:space="preserve">signature on the </w:t>
      </w:r>
      <w:r w:rsidR="005030D2">
        <w:t>v</w:t>
      </w:r>
      <w:r>
        <w:t>oucher</w:t>
      </w:r>
      <w:r w:rsidR="00CE4B91">
        <w:t xml:space="preserve"> is his</w:t>
      </w:r>
      <w:r w:rsidR="00871730">
        <w:t>.</w:t>
      </w:r>
      <w:r w:rsidR="00953AA9">
        <w:t xml:space="preserve"> </w:t>
      </w:r>
      <w:r w:rsidR="00871730">
        <w:t xml:space="preserve"> I</w:t>
      </w:r>
      <w:r>
        <w:t xml:space="preserve">nstead, he objected to the </w:t>
      </w:r>
      <w:r w:rsidR="005030D2">
        <w:t>v</w:t>
      </w:r>
      <w:r>
        <w:t xml:space="preserve">oucher on various </w:t>
      </w:r>
      <w:r w:rsidR="00871730">
        <w:t xml:space="preserve">evidentiary </w:t>
      </w:r>
      <w:r>
        <w:t>grounds, including lack of foundation.</w:t>
      </w:r>
      <w:r w:rsidR="00BC3652">
        <w:t xml:space="preserve">  </w:t>
      </w:r>
      <w:r w:rsidR="00CE4B91">
        <w:t xml:space="preserve">Daniel did not </w:t>
      </w:r>
      <w:r w:rsidR="00BC3652">
        <w:t xml:space="preserve">submit any declarations by any experts or any other members of </w:t>
      </w:r>
      <w:r w:rsidR="00224BA1">
        <w:t xml:space="preserve">the cast or crew of </w:t>
      </w:r>
      <w:r w:rsidR="00BC3652">
        <w:t>A Haunted House 2.</w:t>
      </w:r>
    </w:p>
    <w:p w:rsidR="00EB0AB1" w:rsidRPr="00EB0AB1" w:rsidRDefault="00EB0AB1" w:rsidP="0057740E">
      <w:pPr>
        <w:keepNext/>
        <w:rPr>
          <w:b/>
        </w:rPr>
      </w:pPr>
      <w:r w:rsidRPr="00EB0AB1">
        <w:rPr>
          <w:b/>
        </w:rPr>
        <w:t>I</w:t>
      </w:r>
      <w:r>
        <w:rPr>
          <w:b/>
        </w:rPr>
        <w:t>V</w:t>
      </w:r>
      <w:r w:rsidRPr="00EB0AB1">
        <w:rPr>
          <w:b/>
        </w:rPr>
        <w:t>.</w:t>
      </w:r>
      <w:r w:rsidRPr="00EB0AB1">
        <w:rPr>
          <w:b/>
        </w:rPr>
        <w:tab/>
      </w:r>
      <w:r>
        <w:rPr>
          <w:b/>
        </w:rPr>
        <w:t>The trial court’s findings</w:t>
      </w:r>
    </w:p>
    <w:p w:rsidR="004A572F" w:rsidRDefault="004A572F" w:rsidP="00995C7F">
      <w:pPr>
        <w:ind w:firstLine="720"/>
      </w:pPr>
      <w:r>
        <w:t>On December 11, 2014, the trial court heard oral argument on the motion</w:t>
      </w:r>
      <w:r w:rsidR="00B05AA5">
        <w:t>.</w:t>
      </w:r>
      <w:r w:rsidR="00995C7F">
        <w:t xml:space="preserve">  </w:t>
      </w:r>
      <w:r>
        <w:t>On December 31, 2014, the tria</w:t>
      </w:r>
      <w:r w:rsidR="00995C7F">
        <w:t xml:space="preserve">l court issued a 17-page </w:t>
      </w:r>
      <w:r w:rsidR="005030D2">
        <w:t>r</w:t>
      </w:r>
      <w:r w:rsidR="00995C7F">
        <w:t xml:space="preserve">uling, which, inter alia, overruled Daniel’s objection to the </w:t>
      </w:r>
      <w:r w:rsidR="005030D2">
        <w:t>v</w:t>
      </w:r>
      <w:r w:rsidR="00995C7F">
        <w:t xml:space="preserve">oucher and granted Wayans’s motion in its entirety.  </w:t>
      </w:r>
      <w:r w:rsidR="00654566">
        <w:t>On January 23, 2015,</w:t>
      </w:r>
      <w:r w:rsidR="00E4592C">
        <w:t xml:space="preserve"> </w:t>
      </w:r>
      <w:r w:rsidR="00654566">
        <w:t>the trial court entered a judgment in favor of Wayans.  On March 13, 2015, t</w:t>
      </w:r>
      <w:r w:rsidR="00995C7F">
        <w:t>he trial court</w:t>
      </w:r>
      <w:r w:rsidR="00654566">
        <w:t>, in accord with the anti-SLAPP statute</w:t>
      </w:r>
      <w:r w:rsidR="00614D7C">
        <w:t xml:space="preserve"> (§</w:t>
      </w:r>
      <w:r w:rsidR="00DF30F7">
        <w:t> </w:t>
      </w:r>
      <w:r w:rsidR="00614D7C">
        <w:t>425.16, subd. (c</w:t>
      </w:r>
      <w:r w:rsidR="00614D7C" w:rsidRPr="00B3024F">
        <w:t>))</w:t>
      </w:r>
      <w:r w:rsidR="00654566">
        <w:t>,</w:t>
      </w:r>
      <w:r w:rsidR="00995C7F">
        <w:t xml:space="preserve"> awarded attorney fees to Wayans in the amount of $96,040.  Daniel filed a timely appeal with regard to </w:t>
      </w:r>
      <w:r w:rsidR="00654566">
        <w:t>both the judgment and the award of attorney fees.</w:t>
      </w:r>
    </w:p>
    <w:p w:rsidR="00EB0AB1" w:rsidRPr="00383FCA" w:rsidRDefault="00EB0AB1" w:rsidP="00E0204F">
      <w:pPr>
        <w:keepNext/>
        <w:jc w:val="center"/>
        <w:rPr>
          <w:b/>
        </w:rPr>
      </w:pPr>
      <w:r>
        <w:rPr>
          <w:b/>
        </w:rPr>
        <w:t>DISCUSSION</w:t>
      </w:r>
    </w:p>
    <w:p w:rsidR="00EB0AB1" w:rsidRPr="00EB0AB1" w:rsidRDefault="00EB0AB1" w:rsidP="00E0204F">
      <w:pPr>
        <w:keepNext/>
        <w:rPr>
          <w:b/>
        </w:rPr>
      </w:pPr>
      <w:r w:rsidRPr="00EB0AB1">
        <w:rPr>
          <w:b/>
        </w:rPr>
        <w:t>I.</w:t>
      </w:r>
      <w:r w:rsidRPr="00EB0AB1">
        <w:rPr>
          <w:b/>
        </w:rPr>
        <w:tab/>
      </w:r>
      <w:r w:rsidR="00B6093C">
        <w:rPr>
          <w:b/>
        </w:rPr>
        <w:t>S</w:t>
      </w:r>
      <w:r w:rsidR="00F16B38">
        <w:rPr>
          <w:b/>
        </w:rPr>
        <w:t>tandard of review</w:t>
      </w:r>
    </w:p>
    <w:p w:rsidR="00EB0AB1" w:rsidRDefault="00B3024F" w:rsidP="00E0204F">
      <w:pPr>
        <w:keepNext/>
        <w:ind w:firstLine="720"/>
      </w:pPr>
      <w:r w:rsidRPr="00B3024F">
        <w:t xml:space="preserve">We review an order granting or denying an anti-SLAPP motion de novo. </w:t>
      </w:r>
      <w:r>
        <w:t xml:space="preserve"> </w:t>
      </w:r>
      <w:r w:rsidRPr="00B3024F">
        <w:t>(</w:t>
      </w:r>
      <w:r w:rsidRPr="00B3024F">
        <w:rPr>
          <w:i/>
        </w:rPr>
        <w:t>Oasis West Realty, LLC v. Goldman</w:t>
      </w:r>
      <w:r w:rsidRPr="00B3024F">
        <w:t xml:space="preserve"> (2011) 51 Cal.4th 811, 820.) </w:t>
      </w:r>
      <w:r w:rsidR="00695F11">
        <w:t xml:space="preserve"> </w:t>
      </w:r>
      <w:r w:rsidRPr="00B3024F">
        <w:t xml:space="preserve">We consider the “pleadings, and supporting and opposing affidavits stating the facts upon which the liability or defense is based.” </w:t>
      </w:r>
      <w:r w:rsidR="00BC3652">
        <w:t xml:space="preserve"> </w:t>
      </w:r>
      <w:r w:rsidRPr="00B3024F">
        <w:t>(§ 425.16, subd.</w:t>
      </w:r>
      <w:r w:rsidR="00695F11">
        <w:t> </w:t>
      </w:r>
      <w:r w:rsidRPr="00B3024F">
        <w:t xml:space="preserve">(b)(2).) </w:t>
      </w:r>
      <w:r w:rsidR="00614D7C">
        <w:t xml:space="preserve"> </w:t>
      </w:r>
      <w:r w:rsidRPr="00B3024F">
        <w:t xml:space="preserve">We do not “weigh evidence or resolve conflicting factual claims. </w:t>
      </w:r>
      <w:r w:rsidR="00614D7C">
        <w:t xml:space="preserve"> </w:t>
      </w:r>
      <w:r w:rsidRPr="00B3024F">
        <w:t xml:space="preserve">[Our] inquiry is limited to whether the plaintiff has stated a legally sufficient claim and made a prima facie factual showing sufficient to sustain a favorable judgment. </w:t>
      </w:r>
      <w:r w:rsidR="00614D7C">
        <w:t xml:space="preserve"> </w:t>
      </w:r>
      <w:r w:rsidRPr="00B3024F">
        <w:t>[We] accept[</w:t>
      </w:r>
      <w:r w:rsidR="00695F11">
        <w:t xml:space="preserve"> </w:t>
      </w:r>
      <w:r w:rsidRPr="00B3024F">
        <w:t xml:space="preserve">] the plaintiff’s evidence as true, and evaluate[ ] the defendant’s showing only to determine if it defeats the plaintiff’s claim as a matter of law.” </w:t>
      </w:r>
      <w:r>
        <w:t xml:space="preserve"> </w:t>
      </w:r>
      <w:r w:rsidRPr="00B3024F">
        <w:t>(</w:t>
      </w:r>
      <w:r w:rsidRPr="00B3024F">
        <w:rPr>
          <w:i/>
        </w:rPr>
        <w:t>Baral v. Schnitt</w:t>
      </w:r>
      <w:r w:rsidRPr="00B3024F">
        <w:t xml:space="preserve"> (2016) 1 Cal.5th 376, 384</w:t>
      </w:r>
      <w:r w:rsidR="00695F11">
        <w:t>–</w:t>
      </w:r>
      <w:r w:rsidRPr="00B3024F">
        <w:t>385</w:t>
      </w:r>
      <w:r>
        <w:t>.)</w:t>
      </w:r>
    </w:p>
    <w:p w:rsidR="00B6093C" w:rsidRPr="00EB0AB1" w:rsidRDefault="00B6093C" w:rsidP="00FD6C43">
      <w:pPr>
        <w:keepNext/>
        <w:rPr>
          <w:b/>
        </w:rPr>
      </w:pPr>
      <w:r w:rsidRPr="00EB0AB1">
        <w:rPr>
          <w:b/>
        </w:rPr>
        <w:t>I</w:t>
      </w:r>
      <w:r>
        <w:rPr>
          <w:b/>
        </w:rPr>
        <w:t>I</w:t>
      </w:r>
      <w:r w:rsidRPr="00EB0AB1">
        <w:rPr>
          <w:b/>
        </w:rPr>
        <w:t>.</w:t>
      </w:r>
      <w:r w:rsidRPr="00EB0AB1">
        <w:rPr>
          <w:b/>
        </w:rPr>
        <w:tab/>
      </w:r>
      <w:r w:rsidR="002644FB">
        <w:rPr>
          <w:b/>
        </w:rPr>
        <w:t>Anti-SLAPP principles</w:t>
      </w:r>
    </w:p>
    <w:p w:rsidR="00B6093C" w:rsidRDefault="00FD6C43" w:rsidP="00B6093C">
      <w:pPr>
        <w:ind w:firstLine="720"/>
      </w:pPr>
      <w:r w:rsidRPr="00FD6C43">
        <w:t xml:space="preserve">“A SLAPP suit—a strategic lawsuit against public participation—seeks to chill or punish a party’s exercise of constitutional rights to free speech and to petition the government for redress of grievances. </w:t>
      </w:r>
      <w:r>
        <w:t xml:space="preserve"> </w:t>
      </w:r>
      <w:r w:rsidRPr="00FD6C43">
        <w:t xml:space="preserve">[Citation.] </w:t>
      </w:r>
      <w:r>
        <w:t xml:space="preserve"> </w:t>
      </w:r>
      <w:r w:rsidR="002007ED">
        <w:t>The Legislature enacted . . . </w:t>
      </w:r>
      <w:r w:rsidRPr="00FD6C43">
        <w:t xml:space="preserve">section 425.16—known as the anti-SLAPP statute—to provide a procedural remedy to dispose of lawsuits that are brought to chill the valid exercise of constitutional rights.” </w:t>
      </w:r>
      <w:r>
        <w:t xml:space="preserve"> </w:t>
      </w:r>
      <w:r w:rsidRPr="00FD6C43">
        <w:t>(</w:t>
      </w:r>
      <w:r w:rsidRPr="00FD6C43">
        <w:rPr>
          <w:i/>
        </w:rPr>
        <w:t>Rusheen v. Cohen</w:t>
      </w:r>
      <w:r w:rsidRPr="00FD6C43">
        <w:t xml:space="preserve"> (2006) 37 Cal.4th 1048, 1055–1056</w:t>
      </w:r>
      <w:r w:rsidR="009432EE">
        <w:t>.</w:t>
      </w:r>
      <w:r w:rsidRPr="00FD6C43">
        <w:t>)</w:t>
      </w:r>
    </w:p>
    <w:p w:rsidR="00FD6C43" w:rsidRDefault="00FD6C43" w:rsidP="00FD6C43">
      <w:pPr>
        <w:ind w:firstLine="720"/>
      </w:pPr>
      <w:r w:rsidRPr="00FD6C43">
        <w:t>To determine whether a lawsuit or cause of action should be disposed of as a SLAPP suit, section 425.16 establishes a two-part test.</w:t>
      </w:r>
      <w:r>
        <w:t xml:space="preserve">  “First</w:t>
      </w:r>
      <w:r w:rsidR="002007ED">
        <w:t>,</w:t>
      </w:r>
      <w:r>
        <w:t xml:space="preserve"> the court decides whether the defendant has made a threshold showing that the challenged cause of action is one arising from protected activity.  (§ 425.16, subd. (b)(1).)  ‘A defendant meets this burden by demonstrating that the act underlying the plaintiff’s cause [of action] fits one of the categories spelled out in section 425.16, subdivision (e)</w:t>
      </w:r>
      <w:r w:rsidR="00E331E5">
        <w:t>.</w:t>
      </w:r>
      <w:r>
        <w:t>’</w:t>
      </w:r>
      <w:r w:rsidR="00DF30F7">
        <w:t> </w:t>
      </w:r>
      <w:r>
        <w:t>”  (</w:t>
      </w:r>
      <w:r w:rsidRPr="00FD6C43">
        <w:rPr>
          <w:i/>
        </w:rPr>
        <w:t>Navellier v. Sletten</w:t>
      </w:r>
      <w:r>
        <w:t xml:space="preserve"> (2002) 29 Cal.4th 82, 88.)  A cause of action arises from protected activity if “the defendant’s acts underpinning the plaintiff’s cause of action involve[s] an exercise of the right of petition or free speech.”  </w:t>
      </w:r>
      <w:r w:rsidRPr="00FD6C43">
        <w:t>(</w:t>
      </w:r>
      <w:r w:rsidRPr="00FD6C43">
        <w:rPr>
          <w:i/>
        </w:rPr>
        <w:t>Gerbosi v. Gaims, Weil, West &amp; Epstein, LLP</w:t>
      </w:r>
      <w:r w:rsidRPr="00FD6C43">
        <w:t xml:space="preserve"> (2011) 193 Cal.App.4th 435, 443.)</w:t>
      </w:r>
    </w:p>
    <w:p w:rsidR="00FD6C43" w:rsidRDefault="00FD6C43" w:rsidP="00FD6C43">
      <w:pPr>
        <w:ind w:firstLine="720"/>
      </w:pPr>
      <w:r>
        <w:t>If the defendant makes this showing, the court proceeds to the second step of the anti-SLAPP analysis.  (</w:t>
      </w:r>
      <w:r w:rsidRPr="00FD6C43">
        <w:rPr>
          <w:i/>
        </w:rPr>
        <w:t>Navellier</w:t>
      </w:r>
      <w:r w:rsidR="00E331E5">
        <w:rPr>
          <w:i/>
        </w:rPr>
        <w:t xml:space="preserve"> v. Sletten</w:t>
      </w:r>
      <w:r>
        <w:t xml:space="preserve">, </w:t>
      </w:r>
      <w:r w:rsidRPr="00FD6C43">
        <w:rPr>
          <w:i/>
        </w:rPr>
        <w:t>supra</w:t>
      </w:r>
      <w:r>
        <w:t>, 29 Cal.4th at p. 88.)  In the second step, the court decides whether the plaintiff has demonstrated a reasonable probability of prevailing at trial on the merits of its challenged causes of action.  (</w:t>
      </w:r>
      <w:r w:rsidRPr="00FD6C43">
        <w:rPr>
          <w:i/>
        </w:rPr>
        <w:t>Ibid</w:t>
      </w:r>
      <w:r>
        <w:t>.)  Conversely, if the defendant does not meet its burden on the first step, the court should deny the motion and need not address the second step.  “Only a cause of action that satisfies both prongs of the anti-SLAPP statute—i.e., that arises from protected speech or petitioning and lacks even minimal merit—is a SLAPP, subject to being stricken under the statute.”  (</w:t>
      </w:r>
      <w:r w:rsidR="00E331E5" w:rsidRPr="00E331E5">
        <w:rPr>
          <w:i/>
        </w:rPr>
        <w:t>Id</w:t>
      </w:r>
      <w:r w:rsidR="00E331E5">
        <w:t>.</w:t>
      </w:r>
      <w:r>
        <w:t xml:space="preserve"> at p. 89</w:t>
      </w:r>
      <w:r w:rsidR="00E331E5">
        <w:t>, italics omitted</w:t>
      </w:r>
      <w:r>
        <w:t>.)</w:t>
      </w:r>
    </w:p>
    <w:p w:rsidR="00434407" w:rsidRPr="00EB0AB1" w:rsidRDefault="00434407" w:rsidP="00B13746">
      <w:pPr>
        <w:keepNext/>
        <w:rPr>
          <w:b/>
        </w:rPr>
      </w:pPr>
      <w:r w:rsidRPr="00EB0AB1">
        <w:rPr>
          <w:b/>
        </w:rPr>
        <w:t>I</w:t>
      </w:r>
      <w:r>
        <w:rPr>
          <w:b/>
        </w:rPr>
        <w:t>I</w:t>
      </w:r>
      <w:r w:rsidR="00B6093C">
        <w:rPr>
          <w:b/>
        </w:rPr>
        <w:t>I</w:t>
      </w:r>
      <w:r w:rsidRPr="00EB0AB1">
        <w:rPr>
          <w:b/>
        </w:rPr>
        <w:t>.</w:t>
      </w:r>
      <w:r w:rsidRPr="00EB0AB1">
        <w:rPr>
          <w:b/>
        </w:rPr>
        <w:tab/>
      </w:r>
      <w:r w:rsidR="004C3D15">
        <w:rPr>
          <w:b/>
        </w:rPr>
        <w:t>Step one:  Wayans met his burden</w:t>
      </w:r>
    </w:p>
    <w:p w:rsidR="00B13746" w:rsidRDefault="00B13746" w:rsidP="00383FCA">
      <w:pPr>
        <w:ind w:firstLine="720"/>
      </w:pPr>
      <w:r>
        <w:t xml:space="preserve">Under the two-step process applicable to anti-SLAPP motions, we must first determine whether Wayans made </w:t>
      </w:r>
      <w:r w:rsidR="00F64D3A">
        <w:t xml:space="preserve">a </w:t>
      </w:r>
      <w:r>
        <w:t>threshold showing that Daniel’s claims ar</w:t>
      </w:r>
      <w:r w:rsidR="00ED1DD6">
        <w:t>ise from a protected activity.</w:t>
      </w:r>
    </w:p>
    <w:p w:rsidR="00431611" w:rsidRDefault="00431611" w:rsidP="0000614D">
      <w:pPr>
        <w:keepNext/>
        <w:ind w:firstLine="720"/>
      </w:pPr>
      <w:r>
        <w:t>A.</w:t>
      </w:r>
      <w:r>
        <w:tab/>
      </w:r>
      <w:r w:rsidRPr="009C6100">
        <w:rPr>
          <w:smallCaps/>
        </w:rPr>
        <w:t>Wayans</w:t>
      </w:r>
      <w:r w:rsidR="009C6100">
        <w:rPr>
          <w:smallCaps/>
        </w:rPr>
        <w:t>’s</w:t>
      </w:r>
      <w:r w:rsidRPr="009C6100">
        <w:rPr>
          <w:smallCaps/>
        </w:rPr>
        <w:t xml:space="preserve"> burden</w:t>
      </w:r>
    </w:p>
    <w:p w:rsidR="00B13746" w:rsidRDefault="00B13746" w:rsidP="00B13746">
      <w:pPr>
        <w:ind w:firstLine="720"/>
        <w:rPr>
          <w:szCs w:val="20"/>
        </w:rPr>
      </w:pPr>
      <w:r>
        <w:t>In assessing whether a cause of action arises from protected activity, “</w:t>
      </w:r>
      <w:r w:rsidR="00406693">
        <w:t> </w:t>
      </w:r>
      <w:r>
        <w:t xml:space="preserve">‘we disregard the labeling of the claim [citation] and instead “examine the </w:t>
      </w:r>
      <w:r w:rsidRPr="002B3859">
        <w:rPr>
          <w:i/>
        </w:rPr>
        <w:t>principal thrust</w:t>
      </w:r>
      <w:r>
        <w:t xml:space="preserve"> or </w:t>
      </w:r>
      <w:r w:rsidRPr="002B3859">
        <w:rPr>
          <w:i/>
        </w:rPr>
        <w:t>gravamen</w:t>
      </w:r>
      <w:r>
        <w:t xml:space="preserve"> of a plaintiff’s cause of action</w:t>
      </w:r>
      <w:r w:rsidR="002B3859">
        <w:t> . . . .</w:t>
      </w:r>
      <w:r w:rsidR="00D03E9F">
        <w:t>”</w:t>
      </w:r>
      <w:r w:rsidR="002B3859">
        <w:t> . . . </w:t>
      </w:r>
      <w:r w:rsidR="00D03E9F">
        <w:t xml:space="preserve">[Citation.]  </w:t>
      </w:r>
      <w:r>
        <w:t xml:space="preserve">We assess the principal thrust by identifying </w:t>
      </w:r>
      <w:r w:rsidR="00D03E9F">
        <w:t>“</w:t>
      </w:r>
      <w:r>
        <w:t>[t]he allegedly wrongful and injury-producing conduct</w:t>
      </w:r>
      <w:r w:rsidR="009432EE">
        <w:t> . . . </w:t>
      </w:r>
      <w:r>
        <w:t>that provides the foundation for the claim.’’  [Citation.]  If the core injury-producing conduct upon which the plaintiff’s claim is premised does not rest on protected speech or petitioning activity, collateral or incidental allusions to protected activity will not trigger application of the anti-SLAPP statute.’</w:t>
      </w:r>
      <w:r w:rsidR="00CD1129">
        <w:t> </w:t>
      </w:r>
      <w:r>
        <w:t>”  (</w:t>
      </w:r>
      <w:r w:rsidRPr="00B13746">
        <w:rPr>
          <w:i/>
        </w:rPr>
        <w:t>Tuszynska v. Cunningham</w:t>
      </w:r>
      <w:r w:rsidRPr="00B13746">
        <w:t xml:space="preserve"> (2011) 199 Cal.App.4th 257, 26</w:t>
      </w:r>
      <w:r>
        <w:t xml:space="preserve">7.)  “[T]he critical point is whether the plaintiff’s cause of action itself was </w:t>
      </w:r>
      <w:r w:rsidRPr="00CD1129">
        <w:rPr>
          <w:i/>
        </w:rPr>
        <w:t>based on</w:t>
      </w:r>
      <w:r>
        <w:t xml:space="preserve"> an act in furtherance of the defendant’s right of petition or free speech.”  (</w:t>
      </w:r>
      <w:r w:rsidRPr="00B13746">
        <w:rPr>
          <w:i/>
        </w:rPr>
        <w:t>City of Cotati v. Cashman</w:t>
      </w:r>
      <w:r>
        <w:t xml:space="preserve"> (2002) 29 Cal.4th 69, 78.)</w:t>
      </w:r>
      <w:r w:rsidR="002B3859">
        <w:t xml:space="preserve">  </w:t>
      </w:r>
      <w:r w:rsidR="002B3859" w:rsidRPr="002B3859">
        <w:t xml:space="preserve">“In other words, ‘the defendant’s act underlying the plaintiff’s cause of action must </w:t>
      </w:r>
      <w:r w:rsidR="002B3859" w:rsidRPr="00CD1129">
        <w:rPr>
          <w:i/>
        </w:rPr>
        <w:t>itself</w:t>
      </w:r>
      <w:r w:rsidR="002B3859" w:rsidRPr="002B3859">
        <w:t xml:space="preserve"> have been an act in furtherance of the right of petition or free speech.’</w:t>
      </w:r>
      <w:r w:rsidR="00CD1129">
        <w:t> </w:t>
      </w:r>
      <w:r w:rsidR="002B3859" w:rsidRPr="002B3859">
        <w:t>”</w:t>
      </w:r>
      <w:r w:rsidR="00CD1129">
        <w:t xml:space="preserve"> </w:t>
      </w:r>
      <w:r w:rsidR="002B3859" w:rsidRPr="002B3859">
        <w:t xml:space="preserve"> (</w:t>
      </w:r>
      <w:r w:rsidR="002B3859" w:rsidRPr="002B3859">
        <w:rPr>
          <w:i/>
        </w:rPr>
        <w:t>Peregrine Funding, Inc. v. Sheppard Mullin Richter &amp; Hampton LLP</w:t>
      </w:r>
      <w:r w:rsidR="002B3859" w:rsidRPr="002B3859">
        <w:t xml:space="preserve"> (2005) 133 Cal.App.4th 658, 670.)</w:t>
      </w:r>
    </w:p>
    <w:p w:rsidR="00B13746" w:rsidRDefault="00B13746" w:rsidP="00B13746">
      <w:pPr>
        <w:ind w:firstLine="720"/>
      </w:pPr>
      <w:r>
        <w:t xml:space="preserve">When evaluating whether the defendant has carried its burden under the first prong of the anti-SLAPP statute, “courts must be careful to distinguish allegations of conduct on which liability is to be based from allegations of motives for such conduct. </w:t>
      </w:r>
      <w:r w:rsidR="002B3859">
        <w:t xml:space="preserve"> </w:t>
      </w:r>
      <w:r>
        <w:t>‘[C]auses of action do not arise from motives; they arise from acts.’</w:t>
      </w:r>
      <w:r w:rsidR="00CD1129">
        <w:t> </w:t>
      </w:r>
      <w:r>
        <w:t xml:space="preserve">” </w:t>
      </w:r>
      <w:r w:rsidR="002B3859">
        <w:t xml:space="preserve"> </w:t>
      </w:r>
      <w:r>
        <w:t>(</w:t>
      </w:r>
      <w:r w:rsidRPr="002B3859">
        <w:rPr>
          <w:i/>
        </w:rPr>
        <w:t>People ex rel. Fire Ins. Exchange v. Anapol</w:t>
      </w:r>
      <w:r>
        <w:t xml:space="preserve"> (2012) 211 Cal.App.4th 809, 82</w:t>
      </w:r>
      <w:r w:rsidR="009D6EE9">
        <w:t>3</w:t>
      </w:r>
      <w:r>
        <w:t xml:space="preserve">.) </w:t>
      </w:r>
      <w:r w:rsidR="002B3859">
        <w:t xml:space="preserve"> </w:t>
      </w:r>
      <w:r>
        <w:t>“</w:t>
      </w:r>
      <w:r w:rsidR="009D6EE9">
        <w:t> </w:t>
      </w:r>
      <w:r>
        <w:t>‘The court reviews the parties’ pleadings, declarations and other supporting documents to determine what conduct is actually being challenged, not to determine whether the conduct is actionable.’</w:t>
      </w:r>
      <w:r w:rsidR="009D6EE9">
        <w:t> </w:t>
      </w:r>
      <w:r>
        <w:t xml:space="preserve">” </w:t>
      </w:r>
      <w:r w:rsidR="002B3859">
        <w:t xml:space="preserve"> </w:t>
      </w:r>
      <w:r>
        <w:t>(</w:t>
      </w:r>
      <w:r w:rsidRPr="002B3859">
        <w:rPr>
          <w:i/>
        </w:rPr>
        <w:t>Id</w:t>
      </w:r>
      <w:r>
        <w:t>.</w:t>
      </w:r>
      <w:r w:rsidR="009D6EE9">
        <w:t xml:space="preserve"> at p. 822.</w:t>
      </w:r>
      <w:r>
        <w:t>)</w:t>
      </w:r>
    </w:p>
    <w:p w:rsidR="00ED1DD6" w:rsidRDefault="00ED1DD6" w:rsidP="00383FCA">
      <w:pPr>
        <w:ind w:firstLine="720"/>
      </w:pPr>
      <w:r w:rsidRPr="00ED1DD6">
        <w:t xml:space="preserve">A defendant need only make a prima facie showing that the plaintiff’s claims arise from protected activity. </w:t>
      </w:r>
      <w:r>
        <w:t xml:space="preserve"> </w:t>
      </w:r>
      <w:r w:rsidRPr="00ED1DD6">
        <w:t>(</w:t>
      </w:r>
      <w:r w:rsidRPr="00ED1DD6">
        <w:rPr>
          <w:i/>
        </w:rPr>
        <w:t>Mundy v. Lenc</w:t>
      </w:r>
      <w:r w:rsidRPr="00ED1DD6">
        <w:t xml:space="preserve"> (2012) 203 Cal.App.4th 1401, 1408; </w:t>
      </w:r>
      <w:r w:rsidRPr="00ED1DD6">
        <w:rPr>
          <w:i/>
        </w:rPr>
        <w:t>People ex rel. Fire Ins. Exchange v. Anapol</w:t>
      </w:r>
      <w:r w:rsidRPr="00ED1DD6">
        <w:t xml:space="preserve">, </w:t>
      </w:r>
      <w:r w:rsidRPr="00ED1DD6">
        <w:rPr>
          <w:i/>
        </w:rPr>
        <w:t>supra</w:t>
      </w:r>
      <w:r w:rsidRPr="00ED1DD6">
        <w:t xml:space="preserve">, 211 Cal.App.4th </w:t>
      </w:r>
      <w:r w:rsidR="005078FB">
        <w:t xml:space="preserve">at p. </w:t>
      </w:r>
      <w:r w:rsidRPr="00ED1DD6">
        <w:t xml:space="preserve">822.) </w:t>
      </w:r>
      <w:r>
        <w:t xml:space="preserve"> </w:t>
      </w:r>
      <w:r w:rsidRPr="00ED1DD6">
        <w:t xml:space="preserve">“The Legislature did not intend that in order to invoke the special motion to strike the defendant must first establish her actions are constitutionally protected under the First Amendment as a matter of law.” </w:t>
      </w:r>
      <w:r>
        <w:t xml:space="preserve"> </w:t>
      </w:r>
      <w:r w:rsidRPr="00ED1DD6">
        <w:t>(</w:t>
      </w:r>
      <w:r w:rsidRPr="00ED1DD6">
        <w:rPr>
          <w:i/>
        </w:rPr>
        <w:t>Fox Searchlight Pictures, Inc. v. Paladino</w:t>
      </w:r>
      <w:r w:rsidRPr="00ED1DD6">
        <w:t xml:space="preserve"> (2001) 89 Cal.App.4th 294, 305.) </w:t>
      </w:r>
      <w:r>
        <w:t xml:space="preserve"> </w:t>
      </w:r>
      <w:r w:rsidRPr="00ED1DD6">
        <w:t xml:space="preserve">“Instead, under the statutory scheme, </w:t>
      </w:r>
      <w:r w:rsidRPr="003613A9">
        <w:rPr>
          <w:i/>
        </w:rPr>
        <w:t>a court must generally presume the validity of the claimed constitutional right in the first step of the anti-SLAPP analysis</w:t>
      </w:r>
      <w:r w:rsidRPr="00ED1DD6">
        <w:t xml:space="preserve">, and then permit the parties to address the issue in the second step of the analysis, if necessary. </w:t>
      </w:r>
      <w:r>
        <w:t xml:space="preserve"> </w:t>
      </w:r>
      <w:r w:rsidRPr="00ED1DD6">
        <w:t xml:space="preserve">[Citation.] </w:t>
      </w:r>
      <w:r>
        <w:t xml:space="preserve"> </w:t>
      </w:r>
      <w:r w:rsidRPr="00ED1DD6">
        <w:t xml:space="preserve">Otherwise, the second step would become superfluous in almost every case, resulting in an improper shifting of the burdens.” </w:t>
      </w:r>
      <w:r>
        <w:t xml:space="preserve"> </w:t>
      </w:r>
      <w:r w:rsidRPr="00ED1DD6">
        <w:t>(</w:t>
      </w:r>
      <w:r w:rsidRPr="00ED1DD6">
        <w:rPr>
          <w:i/>
        </w:rPr>
        <w:t>Chavez v. Mendoza</w:t>
      </w:r>
      <w:r w:rsidRPr="00ED1DD6">
        <w:t xml:space="preserve"> (2001) 94 Cal.App.4th 1083, 1089</w:t>
      </w:r>
      <w:r w:rsidR="003613A9">
        <w:t>, italics added</w:t>
      </w:r>
      <w:r w:rsidRPr="00ED1DD6">
        <w:t xml:space="preserve">; </w:t>
      </w:r>
      <w:r w:rsidRPr="00ED1DD6">
        <w:rPr>
          <w:i/>
        </w:rPr>
        <w:t>City of Los Angeles v. Animal Defense League</w:t>
      </w:r>
      <w:r w:rsidRPr="00ED1DD6">
        <w:t xml:space="preserve"> (2006) 135 Cal.App.4th 606, 621.)</w:t>
      </w:r>
    </w:p>
    <w:p w:rsidR="00F178E1" w:rsidRDefault="00F178E1" w:rsidP="00F178E1">
      <w:pPr>
        <w:pStyle w:val="FootnoteText"/>
        <w:rPr>
          <w:szCs w:val="28"/>
        </w:rPr>
      </w:pPr>
      <w:r>
        <w:rPr>
          <w:szCs w:val="28"/>
        </w:rPr>
        <w:t xml:space="preserve">Daniel argues that Wayans’s conduct necessarily falls outside the protections of the anti-SLAPP statute because the gravamen of his complaint is race-based harassment and such conduct is not a protected activity.  We are unpersuaded by Daniel’s argument because the exercise of free speech here was central, not incidental, to his alleged injuries.  (See </w:t>
      </w:r>
      <w:r w:rsidRPr="004A7380">
        <w:rPr>
          <w:i/>
          <w:szCs w:val="28"/>
        </w:rPr>
        <w:t>Nam v. Regents of University of California</w:t>
      </w:r>
      <w:r w:rsidRPr="004A7380">
        <w:rPr>
          <w:szCs w:val="28"/>
        </w:rPr>
        <w:t xml:space="preserve"> (2016) 1 Cal.App.5th 1176</w:t>
      </w:r>
      <w:r>
        <w:rPr>
          <w:szCs w:val="28"/>
        </w:rPr>
        <w:t xml:space="preserve">, 1190 </w:t>
      </w:r>
      <w:r w:rsidR="00D9205A">
        <w:rPr>
          <w:szCs w:val="28"/>
        </w:rPr>
        <w:t>(</w:t>
      </w:r>
      <w:r w:rsidRPr="00E76E4C">
        <w:rPr>
          <w:i/>
          <w:szCs w:val="28"/>
        </w:rPr>
        <w:t>Nam</w:t>
      </w:r>
      <w:r>
        <w:rPr>
          <w:szCs w:val="28"/>
        </w:rPr>
        <w:t>) [“</w:t>
      </w:r>
      <w:r w:rsidRPr="004A7380">
        <w:rPr>
          <w:szCs w:val="28"/>
        </w:rPr>
        <w:t xml:space="preserve">protected activity that is incidental to a cause of action </w:t>
      </w:r>
      <w:r>
        <w:rPr>
          <w:szCs w:val="28"/>
        </w:rPr>
        <w:t xml:space="preserve">[does not] </w:t>
      </w:r>
      <w:r w:rsidRPr="004A7380">
        <w:rPr>
          <w:szCs w:val="28"/>
        </w:rPr>
        <w:t>justify an anti-SLAPP dismissal</w:t>
      </w:r>
      <w:r>
        <w:rPr>
          <w:szCs w:val="28"/>
        </w:rPr>
        <w:t xml:space="preserve">”]; see also </w:t>
      </w:r>
      <w:r w:rsidRPr="0073295A">
        <w:rPr>
          <w:i/>
          <w:szCs w:val="28"/>
        </w:rPr>
        <w:t>Hunter v. CBS Broadcasting</w:t>
      </w:r>
      <w:r w:rsidR="00D9205A">
        <w:rPr>
          <w:i/>
          <w:szCs w:val="28"/>
        </w:rPr>
        <w:t>, Inc.</w:t>
      </w:r>
      <w:r>
        <w:rPr>
          <w:szCs w:val="28"/>
        </w:rPr>
        <w:t xml:space="preserve"> (2013</w:t>
      </w:r>
      <w:r w:rsidR="00D9205A">
        <w:rPr>
          <w:szCs w:val="28"/>
        </w:rPr>
        <w:t>)</w:t>
      </w:r>
      <w:r>
        <w:rPr>
          <w:szCs w:val="28"/>
        </w:rPr>
        <w:t xml:space="preserve"> 221 </w:t>
      </w:r>
      <w:r w:rsidR="00E87415">
        <w:rPr>
          <w:szCs w:val="28"/>
        </w:rPr>
        <w:t>Cal.App.4th 1510, 1521, 1525.)</w:t>
      </w:r>
    </w:p>
    <w:p w:rsidR="00F178E1" w:rsidRDefault="00F178E1" w:rsidP="00F178E1">
      <w:pPr>
        <w:pStyle w:val="FootnoteText"/>
        <w:rPr>
          <w:szCs w:val="28"/>
        </w:rPr>
      </w:pPr>
      <w:r>
        <w:rPr>
          <w:szCs w:val="28"/>
        </w:rPr>
        <w:t xml:space="preserve">The distinction between communicative conduct that is central versus that which is incidental to the exercise of the right to petition or the right of free speech is illustrated by the two cases upon which Daniel relies:  </w:t>
      </w:r>
      <w:r w:rsidRPr="001B0D18">
        <w:rPr>
          <w:i/>
          <w:szCs w:val="28"/>
        </w:rPr>
        <w:t>Department of Fair Employment &amp; Housing v. 1105 Alta Loma Road Apartments, LLC</w:t>
      </w:r>
      <w:r w:rsidRPr="001B0D18">
        <w:rPr>
          <w:szCs w:val="28"/>
        </w:rPr>
        <w:t xml:space="preserve"> (2007) 154 Cal.App.4th 1273</w:t>
      </w:r>
      <w:r>
        <w:rPr>
          <w:szCs w:val="28"/>
        </w:rPr>
        <w:t xml:space="preserve"> (</w:t>
      </w:r>
      <w:r w:rsidRPr="001B0D18">
        <w:rPr>
          <w:i/>
          <w:szCs w:val="28"/>
        </w:rPr>
        <w:t>DFEH</w:t>
      </w:r>
      <w:r>
        <w:rPr>
          <w:szCs w:val="28"/>
        </w:rPr>
        <w:t xml:space="preserve">); </w:t>
      </w:r>
      <w:r w:rsidRPr="005D6B18">
        <w:rPr>
          <w:i/>
          <w:szCs w:val="28"/>
        </w:rPr>
        <w:t>Martin v. Inland Empire Utilities Agency</w:t>
      </w:r>
      <w:r w:rsidRPr="005D6B18">
        <w:rPr>
          <w:szCs w:val="28"/>
        </w:rPr>
        <w:t xml:space="preserve"> (2011) 198 Cal.App.4th 611</w:t>
      </w:r>
      <w:r>
        <w:rPr>
          <w:szCs w:val="28"/>
        </w:rPr>
        <w:t xml:space="preserve"> (</w:t>
      </w:r>
      <w:r w:rsidRPr="001B0D18">
        <w:rPr>
          <w:i/>
          <w:szCs w:val="28"/>
        </w:rPr>
        <w:t>Martin</w:t>
      </w:r>
      <w:r>
        <w:rPr>
          <w:szCs w:val="28"/>
        </w:rPr>
        <w:t xml:space="preserve">).  In both </w:t>
      </w:r>
      <w:r w:rsidRPr="001B0D18">
        <w:rPr>
          <w:i/>
          <w:szCs w:val="28"/>
        </w:rPr>
        <w:t>DFEH</w:t>
      </w:r>
      <w:r>
        <w:rPr>
          <w:szCs w:val="28"/>
        </w:rPr>
        <w:t xml:space="preserve"> and </w:t>
      </w:r>
      <w:r w:rsidRPr="005D6B18">
        <w:rPr>
          <w:i/>
          <w:szCs w:val="28"/>
        </w:rPr>
        <w:t>Martin</w:t>
      </w:r>
      <w:r>
        <w:rPr>
          <w:szCs w:val="28"/>
        </w:rPr>
        <w:t>, the alleged injury-producing conduct were acts of discrimination largely, if not completely</w:t>
      </w:r>
      <w:r w:rsidR="009432EE">
        <w:rPr>
          <w:szCs w:val="28"/>
        </w:rPr>
        <w:t>,</w:t>
      </w:r>
      <w:r>
        <w:rPr>
          <w:szCs w:val="28"/>
        </w:rPr>
        <w:t xml:space="preserve"> untethered to the exercise of </w:t>
      </w:r>
      <w:r w:rsidR="006F1030">
        <w:rPr>
          <w:szCs w:val="28"/>
        </w:rPr>
        <w:t xml:space="preserve">the </w:t>
      </w:r>
      <w:r>
        <w:rPr>
          <w:szCs w:val="28"/>
        </w:rPr>
        <w:t>defendant’s free speech/petitioning rights.</w:t>
      </w:r>
    </w:p>
    <w:p w:rsidR="00F178E1" w:rsidRDefault="00F178E1" w:rsidP="00F178E1">
      <w:pPr>
        <w:pStyle w:val="FootnoteText"/>
        <w:rPr>
          <w:szCs w:val="28"/>
        </w:rPr>
      </w:pPr>
      <w:r>
        <w:rPr>
          <w:szCs w:val="28"/>
        </w:rPr>
        <w:t xml:space="preserve">In </w:t>
      </w:r>
      <w:r w:rsidRPr="00BB332C">
        <w:rPr>
          <w:i/>
          <w:szCs w:val="28"/>
        </w:rPr>
        <w:t>DFEH</w:t>
      </w:r>
      <w:r w:rsidR="00E87415">
        <w:rPr>
          <w:szCs w:val="28"/>
        </w:rPr>
        <w:t xml:space="preserve">, </w:t>
      </w:r>
      <w:r w:rsidR="00E87415" w:rsidRPr="00570694">
        <w:rPr>
          <w:i/>
          <w:szCs w:val="28"/>
        </w:rPr>
        <w:t>supra</w:t>
      </w:r>
      <w:r w:rsidR="00E87415">
        <w:rPr>
          <w:szCs w:val="28"/>
        </w:rPr>
        <w:t xml:space="preserve">, </w:t>
      </w:r>
      <w:r w:rsidR="00E87415" w:rsidRPr="001B0D18">
        <w:rPr>
          <w:szCs w:val="28"/>
        </w:rPr>
        <w:t>154 Cal.App.4th</w:t>
      </w:r>
      <w:r w:rsidR="00E87415">
        <w:rPr>
          <w:szCs w:val="28"/>
        </w:rPr>
        <w:t xml:space="preserve"> 1273</w:t>
      </w:r>
      <w:r>
        <w:rPr>
          <w:szCs w:val="28"/>
        </w:rPr>
        <w:t>, the trial court denied the defendant’s anti-SLAPP motion and the Court of Appeal affirmed because, although the complaint discussed in detail a number of communications, those communications were not the source of the alleged injury.  Rather, “</w:t>
      </w:r>
      <w:r w:rsidRPr="00BB332C">
        <w:rPr>
          <w:szCs w:val="28"/>
        </w:rPr>
        <w:t>the al</w:t>
      </w:r>
      <w:r>
        <w:rPr>
          <w:szCs w:val="28"/>
        </w:rPr>
        <w:t>legations of wrongdoing in DFEH’</w:t>
      </w:r>
      <w:r w:rsidRPr="00BB332C">
        <w:rPr>
          <w:szCs w:val="28"/>
        </w:rPr>
        <w:t xml:space="preserve">s complaint arose from </w:t>
      </w:r>
      <w:r>
        <w:rPr>
          <w:szCs w:val="28"/>
        </w:rPr>
        <w:t>[</w:t>
      </w:r>
      <w:r w:rsidR="009432EE">
        <w:rPr>
          <w:szCs w:val="28"/>
        </w:rPr>
        <w:t xml:space="preserve">the </w:t>
      </w:r>
      <w:r>
        <w:rPr>
          <w:szCs w:val="28"/>
        </w:rPr>
        <w:t>landlord</w:t>
      </w:r>
      <w:r w:rsidR="00E87415">
        <w:rPr>
          <w:szCs w:val="28"/>
        </w:rPr>
        <w:t>]</w:t>
      </w:r>
      <w:r>
        <w:rPr>
          <w:szCs w:val="28"/>
        </w:rPr>
        <w:t>’s</w:t>
      </w:r>
      <w:r w:rsidRPr="00BB332C">
        <w:rPr>
          <w:szCs w:val="28"/>
        </w:rPr>
        <w:t xml:space="preserve"> alleged acts of</w:t>
      </w:r>
      <w:r>
        <w:rPr>
          <w:szCs w:val="28"/>
        </w:rPr>
        <w:t xml:space="preserve"> failing to accommodate [the tenant</w:t>
      </w:r>
      <w:r w:rsidR="00E87415">
        <w:rPr>
          <w:szCs w:val="28"/>
        </w:rPr>
        <w:t>]</w:t>
      </w:r>
      <w:r>
        <w:rPr>
          <w:szCs w:val="28"/>
        </w:rPr>
        <w:t>’s</w:t>
      </w:r>
      <w:r w:rsidRPr="00BB332C">
        <w:rPr>
          <w:szCs w:val="28"/>
        </w:rPr>
        <w:t xml:space="preserve"> disability.</w:t>
      </w:r>
      <w:r>
        <w:rPr>
          <w:szCs w:val="28"/>
        </w:rPr>
        <w:t>”  (</w:t>
      </w:r>
      <w:r w:rsidR="00E87415" w:rsidRPr="00E87415">
        <w:rPr>
          <w:i/>
          <w:szCs w:val="28"/>
        </w:rPr>
        <w:t>Id</w:t>
      </w:r>
      <w:r w:rsidR="00E87415">
        <w:rPr>
          <w:szCs w:val="28"/>
        </w:rPr>
        <w:t>.</w:t>
      </w:r>
      <w:r w:rsidRPr="001B0D18">
        <w:rPr>
          <w:szCs w:val="28"/>
        </w:rPr>
        <w:t xml:space="preserve"> </w:t>
      </w:r>
      <w:r>
        <w:rPr>
          <w:szCs w:val="28"/>
        </w:rPr>
        <w:t>at p. 1284.)</w:t>
      </w:r>
    </w:p>
    <w:p w:rsidR="00F178E1" w:rsidRDefault="00F178E1" w:rsidP="00F178E1">
      <w:pPr>
        <w:pStyle w:val="FootnoteText"/>
        <w:rPr>
          <w:szCs w:val="28"/>
        </w:rPr>
      </w:pPr>
      <w:r>
        <w:rPr>
          <w:szCs w:val="28"/>
        </w:rPr>
        <w:t xml:space="preserve">In </w:t>
      </w:r>
      <w:r w:rsidRPr="006E52F5">
        <w:rPr>
          <w:i/>
          <w:szCs w:val="28"/>
        </w:rPr>
        <w:t>Martin</w:t>
      </w:r>
      <w:r>
        <w:rPr>
          <w:szCs w:val="28"/>
        </w:rPr>
        <w:t xml:space="preserve">, </w:t>
      </w:r>
      <w:r w:rsidRPr="00570694">
        <w:rPr>
          <w:i/>
          <w:szCs w:val="28"/>
        </w:rPr>
        <w:t>supra</w:t>
      </w:r>
      <w:r>
        <w:rPr>
          <w:szCs w:val="28"/>
        </w:rPr>
        <w:t xml:space="preserve">, </w:t>
      </w:r>
      <w:r w:rsidRPr="005D6B18">
        <w:rPr>
          <w:szCs w:val="28"/>
        </w:rPr>
        <w:t xml:space="preserve">198 Cal.App.4th </w:t>
      </w:r>
      <w:r>
        <w:rPr>
          <w:szCs w:val="28"/>
        </w:rPr>
        <w:t>611, the court found the employee’</w:t>
      </w:r>
      <w:r w:rsidRPr="005D6B18">
        <w:rPr>
          <w:szCs w:val="28"/>
        </w:rPr>
        <w:t>s claims for discrimination and retaliation</w:t>
      </w:r>
      <w:r>
        <w:rPr>
          <w:szCs w:val="28"/>
        </w:rPr>
        <w:t xml:space="preserve"> </w:t>
      </w:r>
      <w:r w:rsidRPr="005D6B18">
        <w:rPr>
          <w:szCs w:val="28"/>
        </w:rPr>
        <w:t>against his former employer were not based on protected activity</w:t>
      </w:r>
      <w:r>
        <w:rPr>
          <w:szCs w:val="28"/>
        </w:rPr>
        <w:t>, because a</w:t>
      </w:r>
      <w:r w:rsidRPr="005D6B18">
        <w:rPr>
          <w:szCs w:val="28"/>
        </w:rPr>
        <w:t>lthough the complaint contained some references to protected activity—namely, poor performance review</w:t>
      </w:r>
      <w:r>
        <w:rPr>
          <w:szCs w:val="28"/>
        </w:rPr>
        <w:t>s and a discussion of plaintiff’</w:t>
      </w:r>
      <w:r w:rsidRPr="005D6B18">
        <w:rPr>
          <w:szCs w:val="28"/>
        </w:rPr>
        <w:t>s performance during a board meeting—those references were “</w:t>
      </w:r>
      <w:r w:rsidRPr="004A7380">
        <w:rPr>
          <w:szCs w:val="28"/>
        </w:rPr>
        <w:t xml:space="preserve">mentioned only minimally in plaintiff's </w:t>
      </w:r>
      <w:r>
        <w:rPr>
          <w:szCs w:val="28"/>
        </w:rPr>
        <w:t>pleading.”  (</w:t>
      </w:r>
      <w:r w:rsidRPr="006E52F5">
        <w:rPr>
          <w:i/>
          <w:szCs w:val="28"/>
        </w:rPr>
        <w:t>Id</w:t>
      </w:r>
      <w:r w:rsidRPr="005D6B18">
        <w:rPr>
          <w:szCs w:val="28"/>
        </w:rPr>
        <w:t>.</w:t>
      </w:r>
      <w:r>
        <w:rPr>
          <w:szCs w:val="28"/>
        </w:rPr>
        <w:t xml:space="preserve"> at p. 625.</w:t>
      </w:r>
      <w:r w:rsidRPr="005D6B18">
        <w:rPr>
          <w:szCs w:val="28"/>
        </w:rPr>
        <w:t>)</w:t>
      </w:r>
      <w:r>
        <w:rPr>
          <w:szCs w:val="28"/>
        </w:rPr>
        <w:t xml:space="preserve">  </w:t>
      </w:r>
      <w:r w:rsidRPr="005D6B18">
        <w:rPr>
          <w:szCs w:val="28"/>
        </w:rPr>
        <w:t>Instead, the focus of plaintiff's claims was the harassing an</w:t>
      </w:r>
      <w:r>
        <w:rPr>
          <w:szCs w:val="28"/>
        </w:rPr>
        <w:t>d retaliatory acts by plaintiff’</w:t>
      </w:r>
      <w:r w:rsidRPr="005D6B18">
        <w:rPr>
          <w:szCs w:val="28"/>
        </w:rPr>
        <w:t>s supervisor</w:t>
      </w:r>
      <w:r>
        <w:rPr>
          <w:szCs w:val="28"/>
        </w:rPr>
        <w:t xml:space="preserve"> (e.g., “he hired plaintiff’</w:t>
      </w:r>
      <w:r w:rsidRPr="004A7380">
        <w:rPr>
          <w:szCs w:val="28"/>
        </w:rPr>
        <w:t>s employees without his input, restructured plaintif</w:t>
      </w:r>
      <w:r>
        <w:rPr>
          <w:szCs w:val="28"/>
        </w:rPr>
        <w:t>f’</w:t>
      </w:r>
      <w:r w:rsidRPr="004A7380">
        <w:rPr>
          <w:szCs w:val="28"/>
        </w:rPr>
        <w:t>s division, and announced the latter decision in a manner allegedly meant to disgrace him</w:t>
      </w:r>
      <w:r>
        <w:rPr>
          <w:szCs w:val="28"/>
        </w:rPr>
        <w:t>”)</w:t>
      </w:r>
      <w:r w:rsidRPr="005D6B18">
        <w:rPr>
          <w:szCs w:val="28"/>
        </w:rPr>
        <w:t xml:space="preserve">, none of which </w:t>
      </w:r>
      <w:r>
        <w:rPr>
          <w:szCs w:val="28"/>
        </w:rPr>
        <w:t xml:space="preserve">were based on the </w:t>
      </w:r>
      <w:r w:rsidRPr="005D6B18">
        <w:rPr>
          <w:szCs w:val="28"/>
        </w:rPr>
        <w:t xml:space="preserve">rights of petition or free speech. </w:t>
      </w:r>
      <w:r>
        <w:rPr>
          <w:szCs w:val="28"/>
        </w:rPr>
        <w:t xml:space="preserve"> </w:t>
      </w:r>
      <w:r w:rsidRPr="005D6B18">
        <w:rPr>
          <w:szCs w:val="28"/>
        </w:rPr>
        <w:t>(</w:t>
      </w:r>
      <w:r w:rsidRPr="006E52F5">
        <w:rPr>
          <w:i/>
          <w:szCs w:val="28"/>
        </w:rPr>
        <w:t>I</w:t>
      </w:r>
      <w:r>
        <w:rPr>
          <w:i/>
          <w:szCs w:val="28"/>
        </w:rPr>
        <w:t>d.</w:t>
      </w:r>
      <w:r>
        <w:rPr>
          <w:szCs w:val="28"/>
        </w:rPr>
        <w:t xml:space="preserve"> at p.</w:t>
      </w:r>
      <w:r w:rsidR="0011074E">
        <w:rPr>
          <w:szCs w:val="28"/>
        </w:rPr>
        <w:t> </w:t>
      </w:r>
      <w:r>
        <w:rPr>
          <w:szCs w:val="28"/>
        </w:rPr>
        <w:t>624.</w:t>
      </w:r>
      <w:r w:rsidRPr="005D6B18">
        <w:rPr>
          <w:szCs w:val="28"/>
        </w:rPr>
        <w:t>)</w:t>
      </w:r>
    </w:p>
    <w:p w:rsidR="00F178E1" w:rsidRDefault="00F178E1" w:rsidP="00F178E1">
      <w:pPr>
        <w:pStyle w:val="FootnoteText"/>
        <w:rPr>
          <w:szCs w:val="28"/>
        </w:rPr>
      </w:pPr>
      <w:r>
        <w:rPr>
          <w:szCs w:val="28"/>
        </w:rPr>
        <w:t xml:space="preserve">Similarly, in the more recent decision in </w:t>
      </w:r>
      <w:r w:rsidRPr="00E76E4C">
        <w:rPr>
          <w:i/>
          <w:szCs w:val="28"/>
        </w:rPr>
        <w:t>Nam</w:t>
      </w:r>
      <w:r>
        <w:rPr>
          <w:szCs w:val="28"/>
        </w:rPr>
        <w:t xml:space="preserve">, </w:t>
      </w:r>
      <w:r w:rsidRPr="00E76E4C">
        <w:rPr>
          <w:i/>
          <w:szCs w:val="28"/>
        </w:rPr>
        <w:t>supra</w:t>
      </w:r>
      <w:r>
        <w:rPr>
          <w:szCs w:val="28"/>
        </w:rPr>
        <w:t xml:space="preserve">, </w:t>
      </w:r>
      <w:r w:rsidRPr="004A7380">
        <w:rPr>
          <w:szCs w:val="28"/>
        </w:rPr>
        <w:t>1 Cal.App.5th 1176</w:t>
      </w:r>
      <w:r>
        <w:rPr>
          <w:szCs w:val="28"/>
        </w:rPr>
        <w:t>, the core conduct at issue did no</w:t>
      </w:r>
      <w:r w:rsidR="009432EE">
        <w:rPr>
          <w:szCs w:val="28"/>
        </w:rPr>
        <w:t>t</w:t>
      </w:r>
      <w:r>
        <w:rPr>
          <w:szCs w:val="28"/>
        </w:rPr>
        <w:t xml:space="preserve"> implicate defendant’s petition or free speech rights.  In </w:t>
      </w:r>
      <w:r w:rsidRPr="00F178E1">
        <w:rPr>
          <w:i/>
          <w:szCs w:val="28"/>
        </w:rPr>
        <w:t>Nam</w:t>
      </w:r>
      <w:r>
        <w:rPr>
          <w:szCs w:val="28"/>
        </w:rPr>
        <w:t xml:space="preserve">, while there was some allegedly protected activity (the defendant’s disciplinary process and related communications), the gravamen of plaintiff’s complaint </w:t>
      </w:r>
      <w:r w:rsidR="003D484C">
        <w:rPr>
          <w:szCs w:val="28"/>
        </w:rPr>
        <w:t xml:space="preserve">focused </w:t>
      </w:r>
      <w:r w:rsidR="007360CF">
        <w:rPr>
          <w:szCs w:val="28"/>
        </w:rPr>
        <w:t>on defendant’s</w:t>
      </w:r>
      <w:r>
        <w:rPr>
          <w:szCs w:val="28"/>
        </w:rPr>
        <w:t xml:space="preserve"> acts of “retaliation for her public challenge of department policies and her rejection of [a supervisor’s] inappropriate overtures.”  (</w:t>
      </w:r>
      <w:r w:rsidR="008C7B42">
        <w:rPr>
          <w:i/>
          <w:szCs w:val="28"/>
        </w:rPr>
        <w:t>Id.</w:t>
      </w:r>
      <w:r>
        <w:rPr>
          <w:szCs w:val="28"/>
        </w:rPr>
        <w:t xml:space="preserve"> at p. 1192.)  Accordingly, the Court of Appeal affirmed the denial of defendant’s anti-SLAPP motion because “the basis of [plaintiff’s] claim, as in [</w:t>
      </w:r>
      <w:r>
        <w:rPr>
          <w:i/>
          <w:szCs w:val="28"/>
        </w:rPr>
        <w:t>DFEH</w:t>
      </w:r>
      <w:r w:rsidRPr="00A3242D">
        <w:rPr>
          <w:szCs w:val="28"/>
        </w:rPr>
        <w:t>,</w:t>
      </w:r>
      <w:r>
        <w:rPr>
          <w:i/>
          <w:szCs w:val="28"/>
        </w:rPr>
        <w:t xml:space="preserve"> </w:t>
      </w:r>
      <w:r w:rsidRPr="00570694">
        <w:rPr>
          <w:i/>
          <w:szCs w:val="28"/>
        </w:rPr>
        <w:t>supra</w:t>
      </w:r>
      <w:r>
        <w:rPr>
          <w:szCs w:val="28"/>
        </w:rPr>
        <w:t xml:space="preserve">, </w:t>
      </w:r>
      <w:r w:rsidRPr="001B0D18">
        <w:rPr>
          <w:szCs w:val="28"/>
        </w:rPr>
        <w:t>154 Cal.App.4th</w:t>
      </w:r>
      <w:r>
        <w:rPr>
          <w:szCs w:val="28"/>
        </w:rPr>
        <w:t xml:space="preserve"> 1273] and </w:t>
      </w:r>
      <w:r w:rsidRPr="009432EE">
        <w:rPr>
          <w:i/>
          <w:szCs w:val="28"/>
        </w:rPr>
        <w:t>Martin</w:t>
      </w:r>
      <w:r>
        <w:rPr>
          <w:szCs w:val="28"/>
        </w:rPr>
        <w:t xml:space="preserve">[, </w:t>
      </w:r>
      <w:r w:rsidRPr="00570694">
        <w:rPr>
          <w:i/>
          <w:szCs w:val="28"/>
        </w:rPr>
        <w:t>supra</w:t>
      </w:r>
      <w:r>
        <w:rPr>
          <w:szCs w:val="28"/>
        </w:rPr>
        <w:t xml:space="preserve">, </w:t>
      </w:r>
      <w:r w:rsidRPr="005D6B18">
        <w:rPr>
          <w:szCs w:val="28"/>
        </w:rPr>
        <w:t xml:space="preserve">198 Cal.App.4th </w:t>
      </w:r>
      <w:r w:rsidR="009432EE">
        <w:rPr>
          <w:szCs w:val="28"/>
        </w:rPr>
        <w:t xml:space="preserve">611] was defendant’s </w:t>
      </w:r>
      <w:r>
        <w:rPr>
          <w:szCs w:val="28"/>
        </w:rPr>
        <w:t xml:space="preserve">retaliation,” not defendant’s </w:t>
      </w:r>
      <w:r w:rsidR="00DA3963">
        <w:rPr>
          <w:szCs w:val="28"/>
        </w:rPr>
        <w:t xml:space="preserve">exercise of its </w:t>
      </w:r>
      <w:r w:rsidR="00FB3E8A">
        <w:rPr>
          <w:szCs w:val="28"/>
        </w:rPr>
        <w:t>petition</w:t>
      </w:r>
      <w:r>
        <w:rPr>
          <w:szCs w:val="28"/>
        </w:rPr>
        <w:t xml:space="preserve"> or free speech rights.  (</w:t>
      </w:r>
      <w:r w:rsidRPr="00E76E4C">
        <w:rPr>
          <w:i/>
          <w:szCs w:val="28"/>
        </w:rPr>
        <w:t>Nam</w:t>
      </w:r>
      <w:r>
        <w:rPr>
          <w:szCs w:val="28"/>
        </w:rPr>
        <w:t xml:space="preserve">, </w:t>
      </w:r>
      <w:r w:rsidR="00BB281A">
        <w:rPr>
          <w:szCs w:val="28"/>
        </w:rPr>
        <w:t>at p. 1193.)</w:t>
      </w:r>
    </w:p>
    <w:p w:rsidR="00F178E1" w:rsidRPr="003D01AC" w:rsidRDefault="00F178E1" w:rsidP="00F178E1">
      <w:pPr>
        <w:pStyle w:val="FootnoteText"/>
        <w:rPr>
          <w:szCs w:val="28"/>
        </w:rPr>
      </w:pPr>
      <w:r>
        <w:rPr>
          <w:szCs w:val="28"/>
        </w:rPr>
        <w:t xml:space="preserve">Here, in contrast (and as discussed in more detail below), the gravamen of Daniel’s complaint </w:t>
      </w:r>
      <w:r w:rsidR="003D484C">
        <w:rPr>
          <w:szCs w:val="28"/>
        </w:rPr>
        <w:t>stems not from</w:t>
      </w:r>
      <w:r>
        <w:rPr>
          <w:szCs w:val="28"/>
        </w:rPr>
        <w:t xml:space="preserve"> any conduct incidental to Wayans’s free speech rights; rather, all of the alleged misconduct is based squarely on Wayans’s exercise of free speech—the creation and promotion of a full-length motion picture</w:t>
      </w:r>
      <w:r w:rsidR="003D484C">
        <w:rPr>
          <w:szCs w:val="28"/>
        </w:rPr>
        <w:t>, including the off-camera creative process</w:t>
      </w:r>
      <w:r>
        <w:rPr>
          <w:szCs w:val="28"/>
        </w:rPr>
        <w:t xml:space="preserve">.  As such, </w:t>
      </w:r>
      <w:r w:rsidR="009432EE">
        <w:rPr>
          <w:szCs w:val="28"/>
        </w:rPr>
        <w:t xml:space="preserve">Daniel’s complaint </w:t>
      </w:r>
      <w:r>
        <w:rPr>
          <w:szCs w:val="28"/>
        </w:rPr>
        <w:t>is subject to an anti-SLAPP motion.</w:t>
      </w:r>
    </w:p>
    <w:p w:rsidR="004C3D15" w:rsidRDefault="00431611" w:rsidP="00D072E7">
      <w:pPr>
        <w:keepNext/>
        <w:ind w:firstLine="720"/>
      </w:pPr>
      <w:r>
        <w:t>B</w:t>
      </w:r>
      <w:r w:rsidR="004C3D15">
        <w:t>.</w:t>
      </w:r>
      <w:r w:rsidR="004C3D15">
        <w:tab/>
      </w:r>
      <w:r w:rsidR="004C3D15" w:rsidRPr="009C6100">
        <w:rPr>
          <w:smallCaps/>
        </w:rPr>
        <w:t xml:space="preserve">The </w:t>
      </w:r>
      <w:r w:rsidR="00AA2DF6" w:rsidRPr="009C6100">
        <w:rPr>
          <w:smallCaps/>
        </w:rPr>
        <w:t>acts</w:t>
      </w:r>
      <w:r w:rsidR="004C3D15" w:rsidRPr="009C6100">
        <w:rPr>
          <w:smallCaps/>
        </w:rPr>
        <w:t xml:space="preserve"> at issue </w:t>
      </w:r>
      <w:r w:rsidR="00DA3963">
        <w:rPr>
          <w:smallCaps/>
        </w:rPr>
        <w:t xml:space="preserve">arose out of </w:t>
      </w:r>
      <w:r w:rsidR="00ED1DD6" w:rsidRPr="009C6100">
        <w:rPr>
          <w:smallCaps/>
        </w:rPr>
        <w:t>protected activity</w:t>
      </w:r>
    </w:p>
    <w:p w:rsidR="006D7E51" w:rsidRDefault="006D7E51" w:rsidP="006D7E51">
      <w:pPr>
        <w:ind w:firstLine="720"/>
      </w:pPr>
      <w:r w:rsidRPr="00A00E1E">
        <w:t xml:space="preserve">Section 425.16, subdivision (e) sets forth four categories of protected activity. </w:t>
      </w:r>
      <w:r>
        <w:t xml:space="preserve"> Wayans contends </w:t>
      </w:r>
      <w:r w:rsidRPr="00A00E1E">
        <w:t xml:space="preserve">that the conduct underlying </w:t>
      </w:r>
      <w:r>
        <w:t xml:space="preserve">Daniel’s </w:t>
      </w:r>
      <w:r w:rsidRPr="00A00E1E">
        <w:t>claims falls within section</w:t>
      </w:r>
      <w:r w:rsidR="00953AA9">
        <w:t> </w:t>
      </w:r>
      <w:r w:rsidRPr="00A00E1E">
        <w:t>425.16, subdivision</w:t>
      </w:r>
      <w:r>
        <w:t>s</w:t>
      </w:r>
      <w:r w:rsidRPr="00A00E1E">
        <w:t xml:space="preserve"> (e)</w:t>
      </w:r>
      <w:r>
        <w:t xml:space="preserve">(3) and </w:t>
      </w:r>
      <w:r w:rsidRPr="00A00E1E">
        <w:t>(4), which define protected activity to include</w:t>
      </w:r>
      <w:r>
        <w:t xml:space="preserve"> the following:  </w:t>
      </w:r>
      <w:r w:rsidRPr="00A00E1E">
        <w:t>“</w:t>
      </w:r>
      <w:r w:rsidR="001625C7">
        <w:t> ‘</w:t>
      </w:r>
      <w:r w:rsidRPr="00A00E1E">
        <w:t>(3) any written or oral statement or writing made in a place open to</w:t>
      </w:r>
      <w:r>
        <w:t xml:space="preserve"> the public or a public forum in connection with an issue of public interest, or (4) any other conduct in furtherance of the exercise of the constitutional right of petition or the constitutional right of free speech in connection with a public issue or an issue of public interest.</w:t>
      </w:r>
      <w:r w:rsidR="001625C7">
        <w:t>’ </w:t>
      </w:r>
      <w:r>
        <w:t>”  As discussed below, we agree with Wayans.</w:t>
      </w:r>
    </w:p>
    <w:p w:rsidR="00AA2DF6" w:rsidRDefault="003B1BCB" w:rsidP="00383FCA">
      <w:pPr>
        <w:ind w:firstLine="720"/>
      </w:pPr>
      <w:r>
        <w:t xml:space="preserve">As noted above, the </w:t>
      </w:r>
      <w:r w:rsidR="00234DA2">
        <w:t>acts</w:t>
      </w:r>
      <w:r w:rsidR="003613A9">
        <w:t xml:space="preserve"> at issue fall</w:t>
      </w:r>
      <w:r>
        <w:t xml:space="preserve"> into two </w:t>
      </w:r>
      <w:r w:rsidR="003613A9">
        <w:t xml:space="preserve">basic </w:t>
      </w:r>
      <w:r>
        <w:t>categories:  t</w:t>
      </w:r>
      <w:r w:rsidR="005A5621">
        <w:t>he on-</w:t>
      </w:r>
      <w:r w:rsidR="008838C7">
        <w:t>set comments and conduct</w:t>
      </w:r>
      <w:r>
        <w:t xml:space="preserve">; and the </w:t>
      </w:r>
      <w:r w:rsidR="00AA2DF6">
        <w:t>Internet</w:t>
      </w:r>
      <w:r w:rsidR="008838C7">
        <w:t xml:space="preserve"> posting</w:t>
      </w:r>
      <w:r>
        <w:t>.  We discuss each in turn.</w:t>
      </w:r>
    </w:p>
    <w:p w:rsidR="00AA2DF6" w:rsidRDefault="0092224F" w:rsidP="00787067">
      <w:pPr>
        <w:keepNext/>
        <w:ind w:firstLine="720"/>
      </w:pPr>
      <w:r>
        <w:tab/>
        <w:t>1.</w:t>
      </w:r>
      <w:r>
        <w:tab/>
      </w:r>
      <w:r w:rsidR="00ED1DD6" w:rsidRPr="00234DA2">
        <w:rPr>
          <w:i/>
        </w:rPr>
        <w:t>The on-set conduct and comments</w:t>
      </w:r>
    </w:p>
    <w:p w:rsidR="00ED1DD6" w:rsidRDefault="00234DA2" w:rsidP="00383FCA">
      <w:pPr>
        <w:ind w:firstLine="720"/>
      </w:pPr>
      <w:r>
        <w:t xml:space="preserve">The allegedly harassing </w:t>
      </w:r>
      <w:r w:rsidR="00F90AEC">
        <w:t xml:space="preserve">and offensive </w:t>
      </w:r>
      <w:r>
        <w:t>conduct and comments by Wayans on the set of A Haunted House 2 were made in furtherance of his cons</w:t>
      </w:r>
      <w:r w:rsidR="00EC5856">
        <w:t>titutional right of free spe</w:t>
      </w:r>
      <w:r>
        <w:t xml:space="preserve">ech </w:t>
      </w:r>
      <w:r w:rsidR="00EC5856">
        <w:t>in connection with an issue of public interest.</w:t>
      </w:r>
      <w:r w:rsidR="005A5621">
        <w:t xml:space="preserve">  (§ </w:t>
      </w:r>
      <w:r w:rsidR="005A5621" w:rsidRPr="00A00E1E">
        <w:t>425.16, subd</w:t>
      </w:r>
      <w:r w:rsidR="005A5621">
        <w:t>.</w:t>
      </w:r>
      <w:r w:rsidR="001625C7">
        <w:t xml:space="preserve"> </w:t>
      </w:r>
      <w:r w:rsidR="005A5621" w:rsidRPr="00A00E1E">
        <w:t>(e)</w:t>
      </w:r>
      <w:r w:rsidR="005A5621">
        <w:t>(4).)</w:t>
      </w:r>
    </w:p>
    <w:p w:rsidR="00234DA2" w:rsidRDefault="00234DA2" w:rsidP="00617273">
      <w:pPr>
        <w:keepNext/>
        <w:ind w:firstLine="720"/>
      </w:pPr>
      <w:r>
        <w:tab/>
      </w:r>
      <w:r>
        <w:tab/>
        <w:t>a.</w:t>
      </w:r>
      <w:r>
        <w:tab/>
      </w:r>
      <w:r w:rsidRPr="001625C7">
        <w:t>Free speech</w:t>
      </w:r>
    </w:p>
    <w:p w:rsidR="00316B47" w:rsidRDefault="00316B47" w:rsidP="00383FCA">
      <w:pPr>
        <w:ind w:firstLine="720"/>
      </w:pPr>
      <w:r w:rsidRPr="00316B47">
        <w:t xml:space="preserve">Movies and films generally are considered “expressive works” subject to First Amendment protections. </w:t>
      </w:r>
      <w:r>
        <w:t xml:space="preserve"> </w:t>
      </w:r>
      <w:r w:rsidRPr="00316B47">
        <w:t>(</w:t>
      </w:r>
      <w:r w:rsidRPr="00316B47">
        <w:rPr>
          <w:i/>
        </w:rPr>
        <w:t>Guglielmi v. Spelling–Goldberg Productions</w:t>
      </w:r>
      <w:r w:rsidRPr="00316B47">
        <w:t xml:space="preserve"> (1979) 25 Cal.3d 860, 8</w:t>
      </w:r>
      <w:r w:rsidR="001625C7">
        <w:t xml:space="preserve">72.)  </w:t>
      </w:r>
      <w:r w:rsidRPr="00316B47">
        <w:t xml:space="preserve">Movies are a “significant medium for the communication of ideas. </w:t>
      </w:r>
      <w:r w:rsidR="0000452C">
        <w:t xml:space="preserve"> </w:t>
      </w:r>
      <w:r w:rsidRPr="00316B47">
        <w:t xml:space="preserve">They may affect public attitudes and behavior in a variety of ways, ranging from direct espousal of a political or social doctrine to the subtle shaping of thought which characterizes all artistic expression. </w:t>
      </w:r>
      <w:r w:rsidR="0000452C">
        <w:t xml:space="preserve"> </w:t>
      </w:r>
      <w:r w:rsidRPr="00316B47">
        <w:t xml:space="preserve">The importance of motion pictures as an organ of public opinion is not lessened by the fact that they are designed to entertain as well as to inform.” </w:t>
      </w:r>
      <w:r w:rsidR="00787067">
        <w:t xml:space="preserve"> </w:t>
      </w:r>
      <w:r w:rsidRPr="00316B47">
        <w:t>(</w:t>
      </w:r>
      <w:r w:rsidR="00787067" w:rsidRPr="00787067">
        <w:rPr>
          <w:i/>
        </w:rPr>
        <w:t>Joseph Burstyn, Inc. v. Wilson</w:t>
      </w:r>
      <w:r w:rsidR="00787067" w:rsidRPr="00316B47">
        <w:t xml:space="preserve"> (1952) 343 U.S. 495, 501</w:t>
      </w:r>
      <w:r w:rsidR="00917151">
        <w:t>, fn. omitted</w:t>
      </w:r>
      <w:r w:rsidRPr="00316B47">
        <w:t xml:space="preserve">.) </w:t>
      </w:r>
      <w:r w:rsidR="00787067">
        <w:t xml:space="preserve"> </w:t>
      </w:r>
      <w:r w:rsidRPr="00316B47">
        <w:t xml:space="preserve">Whether exhibited in theaters or on television, a film is a medium which is protected by the constitutional guarantees of free expression. </w:t>
      </w:r>
      <w:r w:rsidR="00787067">
        <w:t xml:space="preserve"> </w:t>
      </w:r>
      <w:r w:rsidRPr="00316B47">
        <w:t xml:space="preserve">(U.S. Const., 1st </w:t>
      </w:r>
      <w:r w:rsidR="00406693">
        <w:t>&amp;</w:t>
      </w:r>
      <w:r w:rsidRPr="00316B47">
        <w:t xml:space="preserve"> 14th Amends.; Cal. Const., art. I, § 2; </w:t>
      </w:r>
      <w:r w:rsidRPr="00787067">
        <w:rPr>
          <w:i/>
        </w:rPr>
        <w:t>Joseph Burstyn, Inc.</w:t>
      </w:r>
      <w:r w:rsidR="00917151">
        <w:t>,</w:t>
      </w:r>
      <w:r w:rsidRPr="00316B47">
        <w:t xml:space="preserve"> at pp. 501–502; </w:t>
      </w:r>
      <w:r w:rsidRPr="00F92A46">
        <w:rPr>
          <w:i/>
        </w:rPr>
        <w:t>Red Lion Broadcasting Co. v. FCC</w:t>
      </w:r>
      <w:r w:rsidRPr="00316B47">
        <w:t xml:space="preserve"> (1969) 395 U.S. 367, 386–390.) </w:t>
      </w:r>
      <w:r w:rsidR="00787067">
        <w:t xml:space="preserve"> </w:t>
      </w:r>
      <w:r w:rsidRPr="00316B47">
        <w:t xml:space="preserve">Nor do films and movies lose their constitutional protection because they are undertaken to generate a profit. </w:t>
      </w:r>
      <w:r w:rsidR="00787067">
        <w:t xml:space="preserve"> </w:t>
      </w:r>
      <w:r w:rsidRPr="00316B47">
        <w:t>(</w:t>
      </w:r>
      <w:r w:rsidRPr="00787067">
        <w:rPr>
          <w:i/>
        </w:rPr>
        <w:t>Guglielmi v. Spelling–Goldberg Productions</w:t>
      </w:r>
      <w:r w:rsidRPr="00316B47">
        <w:t>, at pp. 867–868.)</w:t>
      </w:r>
      <w:r w:rsidR="00787067">
        <w:t xml:space="preserve">  In short, “it is beyond dispute that movies involve free speech.”  (</w:t>
      </w:r>
      <w:r w:rsidR="00787067" w:rsidRPr="00787067">
        <w:rPr>
          <w:i/>
        </w:rPr>
        <w:t>Dyer v. Childress</w:t>
      </w:r>
      <w:r w:rsidR="00787067" w:rsidRPr="00316B47">
        <w:t xml:space="preserve"> (2007) 147 Cal.App.4th 1273, 1280</w:t>
      </w:r>
      <w:r w:rsidR="00F92A46">
        <w:t xml:space="preserve">.)  Because a film is an expressive work, its creation is also an exercise of free speech.  (See </w:t>
      </w:r>
      <w:r w:rsidR="00F92A46" w:rsidRPr="00F91CC4">
        <w:rPr>
          <w:i/>
        </w:rPr>
        <w:t>Tamkin v. CBS Broadcasting, Inc</w:t>
      </w:r>
      <w:r w:rsidR="00F92A46" w:rsidRPr="00F91CC4">
        <w:t>. (2011) 193 Cal.App.4</w:t>
      </w:r>
      <w:r w:rsidR="00F92A46">
        <w:t>th 133, 143 [creati</w:t>
      </w:r>
      <w:r w:rsidR="00A06067">
        <w:t>ng</w:t>
      </w:r>
      <w:r w:rsidR="00F92A46">
        <w:t xml:space="preserve">, casting and broadcasting T.V. episode </w:t>
      </w:r>
      <w:r w:rsidR="00BC6A0E">
        <w:t xml:space="preserve">is </w:t>
      </w:r>
      <w:r w:rsidR="00C8069C">
        <w:t xml:space="preserve">exercise </w:t>
      </w:r>
      <w:r w:rsidR="00BC6A0E">
        <w:t xml:space="preserve">of </w:t>
      </w:r>
      <w:r w:rsidR="00F92A46">
        <w:t>free speech].)</w:t>
      </w:r>
    </w:p>
    <w:p w:rsidR="002557C1" w:rsidRDefault="00787067" w:rsidP="00383FCA">
      <w:pPr>
        <w:ind w:firstLine="720"/>
      </w:pPr>
      <w:r>
        <w:t>Although it is undisputed that the conduct and comments at issue were made on the set of A Haunted House</w:t>
      </w:r>
      <w:r w:rsidR="00D06DCE">
        <w:t> </w:t>
      </w:r>
      <w:r>
        <w:t>2, Daniel argues that they were not made in furtherance of Wayans’s free speech rights because they occurred “during breaks</w:t>
      </w:r>
      <w:r w:rsidR="00D57683">
        <w:t>, while no cameras were rolling.”  Daniel’s argument is unav</w:t>
      </w:r>
      <w:r w:rsidR="00F91CC4">
        <w:t>a</w:t>
      </w:r>
      <w:r w:rsidR="00D57683">
        <w:t>i</w:t>
      </w:r>
      <w:r w:rsidR="00F91CC4">
        <w:t>l</w:t>
      </w:r>
      <w:r w:rsidR="00D57683">
        <w:t xml:space="preserve">ing </w:t>
      </w:r>
      <w:r w:rsidR="00C27E6F">
        <w:t>f</w:t>
      </w:r>
      <w:r w:rsidR="002557C1">
        <w:t>or several reasons.</w:t>
      </w:r>
    </w:p>
    <w:p w:rsidR="00316B47" w:rsidRDefault="002557C1" w:rsidP="00383FCA">
      <w:pPr>
        <w:ind w:firstLine="720"/>
      </w:pPr>
      <w:r>
        <w:t xml:space="preserve">First, Daniel’s argument that the </w:t>
      </w:r>
      <w:r w:rsidR="00DA3963">
        <w:t xml:space="preserve">movie’s </w:t>
      </w:r>
      <w:r>
        <w:t xml:space="preserve">creative process </w:t>
      </w:r>
      <w:r w:rsidR="003D484C">
        <w:t>occurred</w:t>
      </w:r>
      <w:r>
        <w:t xml:space="preserve"> only when the cameras were rolling </w:t>
      </w:r>
      <w:r w:rsidR="00D57683">
        <w:t>rests on a</w:t>
      </w:r>
      <w:r w:rsidR="00E4592C">
        <w:t xml:space="preserve">n unreasonably narrow or constrained </w:t>
      </w:r>
      <w:r w:rsidR="00D57683">
        <w:t>view of the creative process generally</w:t>
      </w:r>
      <w:r w:rsidR="00DC7DF8">
        <w:t xml:space="preserve">.  </w:t>
      </w:r>
      <w:r w:rsidR="00F91CC4" w:rsidRPr="00F91CC4">
        <w:t xml:space="preserve">“As stated in a different context, ‘[t]he creative process </w:t>
      </w:r>
      <w:r w:rsidR="00D96C4D">
        <w:t xml:space="preserve">[for a raunchy comedy] </w:t>
      </w:r>
      <w:r w:rsidR="00F91CC4" w:rsidRPr="00F91CC4">
        <w:t>must be unfettered, especially because it can often take strange turns, as many bizarre and potentially offensive ideas are suggested, tried, and, in the end, either discarded or used</w:t>
      </w:r>
      <w:r w:rsidR="00F91CC4">
        <w:t> . . . .  </w:t>
      </w:r>
      <w:r w:rsidR="00F91CC4" w:rsidRPr="00F91CC4">
        <w:t>[¶]</w:t>
      </w:r>
      <w:r w:rsidR="00F91CC4">
        <w:t> . . . </w:t>
      </w:r>
      <w:r w:rsidR="00F91CC4" w:rsidRPr="00F91CC4">
        <w:t xml:space="preserve">We must not permit juries to dissect the creative process in order to determine what was </w:t>
      </w:r>
      <w:r w:rsidR="00F91CC4" w:rsidRPr="000A5619">
        <w:rPr>
          <w:i/>
        </w:rPr>
        <w:t>necessary</w:t>
      </w:r>
      <w:r w:rsidR="00F91CC4" w:rsidRPr="00F91CC4">
        <w:t xml:space="preserve"> to achieve the final product and what was not, and to impose liability</w:t>
      </w:r>
      <w:r w:rsidR="00F91CC4">
        <w:t> . . . </w:t>
      </w:r>
      <w:r w:rsidR="00F91CC4" w:rsidRPr="00F91CC4">
        <w:t xml:space="preserve">for that portion deemed unnecessary. </w:t>
      </w:r>
      <w:r w:rsidR="00F91CC4">
        <w:t xml:space="preserve"> </w:t>
      </w:r>
      <w:r w:rsidR="00F91CC4" w:rsidRPr="00F91CC4">
        <w:t xml:space="preserve">Creativity is, by its nature, creative. </w:t>
      </w:r>
      <w:r>
        <w:t xml:space="preserve"> </w:t>
      </w:r>
      <w:r w:rsidR="00F91CC4" w:rsidRPr="00F91CC4">
        <w:t xml:space="preserve">It is unpredictable. </w:t>
      </w:r>
      <w:r w:rsidR="00F91CC4">
        <w:t xml:space="preserve"> </w:t>
      </w:r>
      <w:r w:rsidR="00F91CC4" w:rsidRPr="00F91CC4">
        <w:t xml:space="preserve">Much that is not obvious can be necessary to the creative process.’ ” </w:t>
      </w:r>
      <w:r w:rsidR="00F91CC4">
        <w:t xml:space="preserve"> </w:t>
      </w:r>
      <w:r w:rsidR="00F91CC4" w:rsidRPr="00F91CC4">
        <w:t>(</w:t>
      </w:r>
      <w:r w:rsidR="00F91CC4" w:rsidRPr="00F91CC4">
        <w:rPr>
          <w:i/>
        </w:rPr>
        <w:t>Tamkin v. CBS Broadcasting, Inc</w:t>
      </w:r>
      <w:r w:rsidR="00F92A46">
        <w:t xml:space="preserve">., </w:t>
      </w:r>
      <w:r w:rsidR="00F92A46" w:rsidRPr="000A5619">
        <w:rPr>
          <w:i/>
        </w:rPr>
        <w:t>supra</w:t>
      </w:r>
      <w:r w:rsidR="00F92A46">
        <w:t xml:space="preserve">, </w:t>
      </w:r>
      <w:r w:rsidR="00F91CC4" w:rsidRPr="00F91CC4">
        <w:t>193 Cal.App.4</w:t>
      </w:r>
      <w:r w:rsidR="00F91CC4">
        <w:t xml:space="preserve">th </w:t>
      </w:r>
      <w:r w:rsidR="00F92A46">
        <w:t xml:space="preserve">at pp. </w:t>
      </w:r>
      <w:r w:rsidR="00F91CC4" w:rsidRPr="00F91CC4">
        <w:t xml:space="preserve">144–145, quoting </w:t>
      </w:r>
      <w:r w:rsidR="00F91CC4" w:rsidRPr="00F91CC4">
        <w:rPr>
          <w:i/>
        </w:rPr>
        <w:t>Lyle v. Warner Brothers Television Productions</w:t>
      </w:r>
      <w:r w:rsidR="00F91CC4" w:rsidRPr="00F91CC4">
        <w:t xml:space="preserve"> (2006) 38 Cal.4th 264, 298 (conc. opn. of Chin,</w:t>
      </w:r>
      <w:r w:rsidR="00F043C4">
        <w:t> </w:t>
      </w:r>
      <w:r w:rsidR="00F91CC4" w:rsidRPr="00F91CC4">
        <w:t>J.) [addressing workplace sexual harassment claim]</w:t>
      </w:r>
      <w:r w:rsidR="009E0761">
        <w:t>;</w:t>
      </w:r>
      <w:r w:rsidR="00D96C4D" w:rsidRPr="00435891">
        <w:rPr>
          <w:rStyle w:val="FootnoteReference"/>
          <w:szCs w:val="20"/>
        </w:rPr>
        <w:footnoteReference w:id="2"/>
      </w:r>
      <w:r w:rsidR="009E0761">
        <w:t xml:space="preserve"> </w:t>
      </w:r>
      <w:r w:rsidR="009E0761" w:rsidRPr="009E0761">
        <w:rPr>
          <w:i/>
        </w:rPr>
        <w:t>Brodeur v. Atlas Entertainment, Inc</w:t>
      </w:r>
      <w:r w:rsidR="009E0761">
        <w:t xml:space="preserve">.  (2016) 248 Cal.App.4th 665, 677 [declining </w:t>
      </w:r>
      <w:r w:rsidR="009E0761" w:rsidRPr="009E0761">
        <w:t>“</w:t>
      </w:r>
      <w:r w:rsidR="00F043C4">
        <w:t> </w:t>
      </w:r>
      <w:r w:rsidR="009E0761" w:rsidRPr="009E0761">
        <w:t>‘</w:t>
      </w:r>
      <w:r w:rsidR="00F043C4">
        <w:t> </w:t>
      </w:r>
      <w:r w:rsidR="009E0761">
        <w:t>“</w:t>
      </w:r>
      <w:r w:rsidR="009E0761" w:rsidRPr="009E0761">
        <w:t>to dissect the creative process</w:t>
      </w:r>
      <w:r w:rsidR="009E0761">
        <w:t>”</w:t>
      </w:r>
      <w:r w:rsidR="00F043C4">
        <w:t> </w:t>
      </w:r>
      <w:r w:rsidR="009E0761" w:rsidRPr="009E0761">
        <w:t>’</w:t>
      </w:r>
      <w:r w:rsidR="00F043C4">
        <w:t> </w:t>
      </w:r>
      <w:r w:rsidR="009E0761" w:rsidRPr="009E0761">
        <w:t xml:space="preserve">” </w:t>
      </w:r>
      <w:r w:rsidR="009E0761">
        <w:t>and affirming granting anti-SLAPP]</w:t>
      </w:r>
      <w:r w:rsidR="00F91CC4" w:rsidRPr="00F91CC4">
        <w:t>.)</w:t>
      </w:r>
    </w:p>
    <w:p w:rsidR="00F90AEC" w:rsidRDefault="00DC7DF8" w:rsidP="003613A9">
      <w:pPr>
        <w:ind w:firstLine="720"/>
      </w:pPr>
      <w:r>
        <w:t>Second, Daniel’s argument about the boundaries of the creative process</w:t>
      </w:r>
      <w:r w:rsidR="00072560">
        <w:t xml:space="preserve"> for A Haunted House 2</w:t>
      </w:r>
      <w:r>
        <w:t xml:space="preserve">—it only </w:t>
      </w:r>
      <w:r w:rsidR="00B02F0C">
        <w:t>occurs on-</w:t>
      </w:r>
      <w:r>
        <w:t xml:space="preserve">set when the camera is rolling—is flatly contradicted by the undisputed testimony </w:t>
      </w:r>
      <w:r w:rsidR="00072560">
        <w:t>offered</w:t>
      </w:r>
      <w:r w:rsidR="00C27E6F">
        <w:t xml:space="preserve"> </w:t>
      </w:r>
      <w:r>
        <w:t>by Wayans, Pressly and Alvarez</w:t>
      </w:r>
      <w:r w:rsidR="00B02F0C">
        <w:t>, who affirmed</w:t>
      </w:r>
      <w:r>
        <w:t xml:space="preserve"> that the creative process for A Haunted House 2 was highly improvisational in nature and occurred when the camera was rolling and when it was not.</w:t>
      </w:r>
      <w:r w:rsidR="00F043C4">
        <w:t xml:space="preserve">  </w:t>
      </w:r>
      <w:r>
        <w:t xml:space="preserve">As Wayans explained, “[j]oking around on set is part of my creative process for making a comedy film.”  </w:t>
      </w:r>
      <w:r w:rsidR="00B154F6">
        <w:t xml:space="preserve">According to </w:t>
      </w:r>
      <w:r w:rsidR="00F90AEC">
        <w:t>Pressly</w:t>
      </w:r>
      <w:r w:rsidR="00B154F6">
        <w:t xml:space="preserve">, it is “important” on the set of any comedy to have a </w:t>
      </w:r>
      <w:r w:rsidR="009925FC">
        <w:t>“</w:t>
      </w:r>
      <w:r w:rsidR="00B154F6">
        <w:t>light, funny atmosphere,” and on the set of A Haunted House 2 “</w:t>
      </w:r>
      <w:r w:rsidR="009925FC">
        <w:t>[</w:t>
      </w:r>
      <w:r w:rsidR="00B154F6">
        <w:t>e</w:t>
      </w:r>
      <w:r w:rsidR="009925FC">
        <w:t>]</w:t>
      </w:r>
      <w:r w:rsidR="00B154F6">
        <w:t>veryone</w:t>
      </w:r>
      <w:r w:rsidR="009925FC">
        <w:t> . . . </w:t>
      </w:r>
      <w:r w:rsidR="00B154F6">
        <w:t>joked around with each other as part of the creative process.”</w:t>
      </w:r>
    </w:p>
    <w:p w:rsidR="002557C1" w:rsidRDefault="00B02F0C" w:rsidP="003613A9">
      <w:pPr>
        <w:ind w:firstLine="720"/>
      </w:pPr>
      <w:r>
        <w:t>The improvisational nature of the creative process for the movie is amply demonstrated in the widely varying dialogue that was used in the three out-takes and in the final version of the scene in which Daniel appears.  In fact, Daniel’s contention that Wayans’s comments and conduct when the camera was rolling was completely divorced from his comments and conduct when the cameras w</w:t>
      </w:r>
      <w:r w:rsidR="007E39C1">
        <w:t>ere</w:t>
      </w:r>
      <w:r>
        <w:t xml:space="preserve"> not rolling is flatly belied by those outtakes.  For example, Daniel contends that during break</w:t>
      </w:r>
      <w:r w:rsidR="00901479">
        <w:t>s</w:t>
      </w:r>
      <w:r>
        <w:t xml:space="preserve"> when the camera</w:t>
      </w:r>
      <w:r w:rsidR="007E39C1">
        <w:t>s</w:t>
      </w:r>
      <w:r>
        <w:t xml:space="preserve"> w</w:t>
      </w:r>
      <w:r w:rsidR="007E39C1">
        <w:t>ere</w:t>
      </w:r>
      <w:r>
        <w:t xml:space="preserve"> not rolling Wayans made disparaging comments about Daniel’s hair—“Throughout the day, at least ten times, Wayans called my hair </w:t>
      </w:r>
      <w:r w:rsidRPr="009B6ED0">
        <w:t xml:space="preserve">an ‘Afro’ </w:t>
      </w:r>
      <w:r>
        <w:t>and would start laughing.”</w:t>
      </w:r>
      <w:r w:rsidRPr="009B6ED0">
        <w:t xml:space="preserve"> </w:t>
      </w:r>
      <w:r>
        <w:t xml:space="preserve"> However, in one of the outtakes, Wayans’s character commented repeatedly on the hair of Daniel’s character, promising to get Daniel’s character a “perm . . . a nice moist </w:t>
      </w:r>
      <w:r w:rsidR="008F4585">
        <w:t>[Jheri]</w:t>
      </w:r>
      <w:r>
        <w:t xml:space="preserve"> curl”</w:t>
      </w:r>
      <w:r w:rsidR="00922882" w:rsidRPr="00A11642">
        <w:rPr>
          <w:rStyle w:val="FootnoteReference"/>
          <w:szCs w:val="20"/>
        </w:rPr>
        <w:footnoteReference w:id="3"/>
      </w:r>
      <w:r>
        <w:t xml:space="preserve"> if he will help Wayans’s character move the safe off his dog.</w:t>
      </w:r>
      <w:r w:rsidR="00617273">
        <w:t xml:space="preserve">  </w:t>
      </w:r>
      <w:r w:rsidR="0073295A">
        <w:t>In addition, the name given to Daniel’s character, Cleveland was also born from the creative process that occurred when the cameras were not rolling—</w:t>
      </w:r>
      <w:r w:rsidR="00DA3963">
        <w:t xml:space="preserve">Wayans noticing and commenting on Daniel’s resemblance to the cartoon character.  </w:t>
      </w:r>
      <w:r w:rsidR="00617273">
        <w:t>In other words, the evidence shows a direct linkage between the allegedly injury-producing off-camera comments and the film’s creative process.</w:t>
      </w:r>
    </w:p>
    <w:p w:rsidR="00C27E6F" w:rsidRDefault="00C27E6F" w:rsidP="003613A9">
      <w:pPr>
        <w:ind w:firstLine="720"/>
      </w:pPr>
      <w:r>
        <w:t xml:space="preserve">Third, Daniel’s argument is bereft of any supporting evidence.  Daniel does not offer any testimony or documents rebutting the testimony by Wayans, Pressly, and Alvarez about the creative process for A Haunted House 2.  There is, in other words, no evidence </w:t>
      </w:r>
      <w:r w:rsidR="00F73009">
        <w:t xml:space="preserve">showing or even suggesting </w:t>
      </w:r>
      <w:r>
        <w:t xml:space="preserve">that the creative process for A Haunted House 2 </w:t>
      </w:r>
      <w:r w:rsidR="007E39C1">
        <w:t>ceased</w:t>
      </w:r>
      <w:r>
        <w:t xml:space="preserve"> when the cameras stopped rolling.</w:t>
      </w:r>
    </w:p>
    <w:p w:rsidR="00B02F0C" w:rsidRDefault="00DC7DF8" w:rsidP="003613A9">
      <w:pPr>
        <w:ind w:firstLine="720"/>
      </w:pPr>
      <w:r>
        <w:t>In short, a</w:t>
      </w:r>
      <w:r w:rsidR="00F91CC4" w:rsidRPr="00F91CC4">
        <w:t xml:space="preserve">n act is in furtherance of the right of free speech if the act helps to advance that right or assists in the exercise of that right. </w:t>
      </w:r>
      <w:r w:rsidR="003613A9">
        <w:t xml:space="preserve"> </w:t>
      </w:r>
      <w:r w:rsidR="00F91CC4" w:rsidRPr="00F91CC4">
        <w:t xml:space="preserve">(See </w:t>
      </w:r>
      <w:r w:rsidR="00F91CC4" w:rsidRPr="003613A9">
        <w:rPr>
          <w:i/>
        </w:rPr>
        <w:t>Lieberman v. KCOP Television, Inc</w:t>
      </w:r>
      <w:r w:rsidR="00F91CC4" w:rsidRPr="00F91CC4">
        <w:t>. (2003) 110 Cal.App.4th 156, 166 [“</w:t>
      </w:r>
      <w:r w:rsidR="00F91CC4" w:rsidRPr="00E24314">
        <w:rPr>
          <w:i/>
        </w:rPr>
        <w:t>Furtherance</w:t>
      </w:r>
      <w:r w:rsidR="00F91CC4" w:rsidRPr="00F91CC4">
        <w:t xml:space="preserve"> means </w:t>
      </w:r>
      <w:r w:rsidR="00F91CC4" w:rsidRPr="00E24314">
        <w:rPr>
          <w:i/>
        </w:rPr>
        <w:t>helping</w:t>
      </w:r>
      <w:r w:rsidR="00F91CC4" w:rsidRPr="00F91CC4">
        <w:t xml:space="preserve"> to advance, </w:t>
      </w:r>
      <w:r w:rsidR="00F91CC4" w:rsidRPr="00E24314">
        <w:rPr>
          <w:i/>
        </w:rPr>
        <w:t>assisting</w:t>
      </w:r>
      <w:r w:rsidR="00F91CC4" w:rsidRPr="00F91CC4">
        <w:t>.</w:t>
      </w:r>
      <w:r w:rsidR="003613A9">
        <w:t>”]</w:t>
      </w:r>
      <w:r w:rsidR="00F91CC4" w:rsidRPr="00F91CC4">
        <w:t>)</w:t>
      </w:r>
      <w:r w:rsidR="003613A9">
        <w:t xml:space="preserve">  Here, </w:t>
      </w:r>
      <w:r>
        <w:t>the testimony and documentary evidence submitted by Wayans</w:t>
      </w:r>
      <w:r w:rsidR="004E1C30">
        <w:t xml:space="preserve"> regarding the movie’s creative process</w:t>
      </w:r>
      <w:r w:rsidR="00B02F0C">
        <w:t xml:space="preserve">—which was uncontradicted by </w:t>
      </w:r>
      <w:r w:rsidR="005A2E38">
        <w:t>Daniel</w:t>
      </w:r>
      <w:r w:rsidR="00B02F0C">
        <w:t xml:space="preserve">—established that the on-set comments and conduct were done </w:t>
      </w:r>
      <w:r w:rsidR="004E427C">
        <w:t xml:space="preserve">to assist </w:t>
      </w:r>
      <w:r w:rsidR="00B02F0C">
        <w:t>Wayans</w:t>
      </w:r>
      <w:r w:rsidR="004E427C">
        <w:t xml:space="preserve"> in the exercise of hi</w:t>
      </w:r>
      <w:r w:rsidR="00B02F0C">
        <w:t>s right to free speech</w:t>
      </w:r>
      <w:r w:rsidR="00DA3963">
        <w:t>—that is, to make A Haunted House 2.</w:t>
      </w:r>
    </w:p>
    <w:p w:rsidR="00234DA2" w:rsidRPr="00EC5856" w:rsidRDefault="00234DA2" w:rsidP="0000452C">
      <w:pPr>
        <w:keepNext/>
        <w:ind w:firstLine="720"/>
      </w:pPr>
      <w:r>
        <w:tab/>
      </w:r>
      <w:r>
        <w:tab/>
        <w:t>b.</w:t>
      </w:r>
      <w:r>
        <w:tab/>
      </w:r>
      <w:r w:rsidR="00EC5856" w:rsidRPr="00E24314">
        <w:t>Issue of public interest</w:t>
      </w:r>
    </w:p>
    <w:p w:rsidR="00234DA2" w:rsidRDefault="00EC5856" w:rsidP="00383FCA">
      <w:pPr>
        <w:ind w:firstLine="720"/>
      </w:pPr>
      <w:r w:rsidRPr="00EC5856">
        <w:t xml:space="preserve">The term “issue of public interest” is construed broadly in the anti-SLAPP context. </w:t>
      </w:r>
      <w:r>
        <w:t xml:space="preserve"> </w:t>
      </w:r>
      <w:r w:rsidRPr="00EC5856">
        <w:t>(</w:t>
      </w:r>
      <w:r w:rsidRPr="00EC5856">
        <w:rPr>
          <w:i/>
        </w:rPr>
        <w:t>Hecimovich v. Encinal School Parent Teacher Organization</w:t>
      </w:r>
      <w:r w:rsidRPr="00EC5856">
        <w:t xml:space="preserve"> (2012) 203 Cal.App.4th 450, 464.) </w:t>
      </w:r>
      <w:r>
        <w:t xml:space="preserve"> </w:t>
      </w:r>
      <w:r w:rsidRPr="00EC5856">
        <w:t>An issue of public interest is “</w:t>
      </w:r>
      <w:r w:rsidRPr="005A5621">
        <w:rPr>
          <w:i/>
        </w:rPr>
        <w:t>any</w:t>
      </w:r>
      <w:r w:rsidRPr="00EC5856">
        <w:t xml:space="preserve"> issue in which the public is interested.” </w:t>
      </w:r>
      <w:r>
        <w:t xml:space="preserve"> </w:t>
      </w:r>
      <w:r w:rsidRPr="00EC5856">
        <w:t>(</w:t>
      </w:r>
      <w:r w:rsidRPr="00EC5856">
        <w:rPr>
          <w:i/>
        </w:rPr>
        <w:t>Nyg</w:t>
      </w:r>
      <w:r w:rsidR="00E24314">
        <w:rPr>
          <w:i/>
        </w:rPr>
        <w:t>a</w:t>
      </w:r>
      <w:r w:rsidRPr="00EC5856">
        <w:rPr>
          <w:i/>
        </w:rPr>
        <w:t>rd, Inc. v. Uusi–Kerttula</w:t>
      </w:r>
      <w:r w:rsidRPr="00EC5856">
        <w:t xml:space="preserve"> (2008) 159 Cal.App.4th 1027, 1042</w:t>
      </w:r>
      <w:r w:rsidR="00E24314">
        <w:t>, italics omitted</w:t>
      </w:r>
      <w:r w:rsidRPr="00EC5856">
        <w:t xml:space="preserve">.) </w:t>
      </w:r>
      <w:r>
        <w:t xml:space="preserve"> </w:t>
      </w:r>
      <w:r w:rsidRPr="00EC5856">
        <w:t>The issue does not need to be “</w:t>
      </w:r>
      <w:r w:rsidR="00E24314">
        <w:t> ‘</w:t>
      </w:r>
      <w:r w:rsidRPr="00EC5856">
        <w:t>significant</w:t>
      </w:r>
      <w:r w:rsidR="00E24314">
        <w:t>’ </w:t>
      </w:r>
      <w:r w:rsidRPr="00EC5856">
        <w:t xml:space="preserve">” to be covered by the anti-SLAPP statute. </w:t>
      </w:r>
      <w:r>
        <w:t xml:space="preserve"> </w:t>
      </w:r>
      <w:r w:rsidRPr="00EC5856">
        <w:t>(</w:t>
      </w:r>
      <w:r w:rsidRPr="00EC5856">
        <w:rPr>
          <w:i/>
        </w:rPr>
        <w:t>Ibid</w:t>
      </w:r>
      <w:r w:rsidRPr="00EC5856">
        <w:t xml:space="preserve">.) </w:t>
      </w:r>
      <w:r w:rsidR="00406693">
        <w:t xml:space="preserve"> </w:t>
      </w:r>
      <w:r w:rsidRPr="00EC5856">
        <w:t xml:space="preserve">For example, in </w:t>
      </w:r>
      <w:r w:rsidRPr="00EC5856">
        <w:rPr>
          <w:i/>
        </w:rPr>
        <w:t>Hecimovich</w:t>
      </w:r>
      <w:r w:rsidRPr="00EC5856">
        <w:t xml:space="preserve">, </w:t>
      </w:r>
      <w:r w:rsidR="007E39C1">
        <w:t>a California appellate court determined</w:t>
      </w:r>
      <w:r w:rsidRPr="00EC5856">
        <w:t xml:space="preserve"> that a dispute between a fourth grade basketball coach and members of a parent teacher organization regarding parental complaints about the plaintiff’s abrasive coaching style constituted an issue of public interest because “the safety of children in sports” is an issue of public interest, the “suitability of [the plaintiff’s] coaching style was a matter of public interest among the parents,” and “problem coaches/problem parents in youth sports” is an issue of public interest. </w:t>
      </w:r>
      <w:r>
        <w:t xml:space="preserve"> </w:t>
      </w:r>
      <w:r w:rsidRPr="00EC5856">
        <w:t>(</w:t>
      </w:r>
      <w:r w:rsidR="00E24314" w:rsidRPr="00E24314">
        <w:rPr>
          <w:i/>
        </w:rPr>
        <w:t>Hecimovich</w:t>
      </w:r>
      <w:r w:rsidR="00E24314">
        <w:t>,</w:t>
      </w:r>
      <w:r w:rsidRPr="00EC5856">
        <w:t xml:space="preserve"> at pp. 467–468.)</w:t>
      </w:r>
      <w:r w:rsidR="009E0761">
        <w:t xml:space="preserve">  With regard to entertainment, California courts have found that there is a public interest within the meaning of the anti-SLAPP statute </w:t>
      </w:r>
      <w:r w:rsidR="009E0761" w:rsidRPr="009E0761">
        <w:t xml:space="preserve">“in the writing, casting and broadcasting” of an episode of a popular television program. </w:t>
      </w:r>
      <w:r w:rsidR="009E0761">
        <w:t xml:space="preserve"> </w:t>
      </w:r>
      <w:r w:rsidR="009E0761" w:rsidRPr="009E0761">
        <w:t>(</w:t>
      </w:r>
      <w:r w:rsidR="009E0761" w:rsidRPr="009E0761">
        <w:rPr>
          <w:i/>
        </w:rPr>
        <w:t>Tamkin v. CBS Broadcasting, Inc</w:t>
      </w:r>
      <w:r w:rsidR="009E0761">
        <w:t xml:space="preserve">., </w:t>
      </w:r>
      <w:r w:rsidR="009E0761" w:rsidRPr="00B70E6F">
        <w:rPr>
          <w:i/>
        </w:rPr>
        <w:t>supra</w:t>
      </w:r>
      <w:r w:rsidR="009E0761">
        <w:t xml:space="preserve">, </w:t>
      </w:r>
      <w:r w:rsidR="009E0761" w:rsidRPr="009E0761">
        <w:t xml:space="preserve">193 Cal.App.4th </w:t>
      </w:r>
      <w:r w:rsidR="009E0761">
        <w:t>at</w:t>
      </w:r>
      <w:r w:rsidR="00B70E6F">
        <w:t xml:space="preserve"> p. 1</w:t>
      </w:r>
      <w:r w:rsidR="009E0761" w:rsidRPr="009E0761">
        <w:t>44</w:t>
      </w:r>
      <w:r w:rsidR="009E0761">
        <w:t>.)</w:t>
      </w:r>
    </w:p>
    <w:p w:rsidR="009A0BDB" w:rsidRDefault="00A040F5" w:rsidP="00383FCA">
      <w:pPr>
        <w:ind w:firstLine="720"/>
      </w:pPr>
      <w:r>
        <w:t>Here, Wayans submitted evidence that the making of A</w:t>
      </w:r>
      <w:r w:rsidR="00406693">
        <w:t> </w:t>
      </w:r>
      <w:r>
        <w:t xml:space="preserve">Haunted House 2 was an issue of public interest.  Wayans is a popular and prolific entertainer—since 1988, Wayans has acted in 21 films; since 1991, he has acted in 13 different television shows, specials, or movies; since 1992, he has written or co-written 16 different films and/or television movies or shows; </w:t>
      </w:r>
      <w:r w:rsidR="004E1C30">
        <w:t>and since 1996, he has produced or served as an executive producer of 13 different films and/or television movies or shows</w:t>
      </w:r>
      <w:r>
        <w:t>.</w:t>
      </w:r>
      <w:r w:rsidR="004E1C30">
        <w:t xml:space="preserve">  </w:t>
      </w:r>
      <w:r w:rsidR="007E39C1">
        <w:t xml:space="preserve">The </w:t>
      </w:r>
      <w:r w:rsidR="00F223E9">
        <w:t>longevity and brea</w:t>
      </w:r>
      <w:r w:rsidR="003751B2">
        <w:t>d</w:t>
      </w:r>
      <w:r w:rsidR="00F223E9">
        <w:t xml:space="preserve">th </w:t>
      </w:r>
      <w:r w:rsidR="007E39C1">
        <w:t xml:space="preserve">of Wayans’s </w:t>
      </w:r>
      <w:r w:rsidR="00F223E9">
        <w:t>career</w:t>
      </w:r>
      <w:r w:rsidR="007E39C1">
        <w:t xml:space="preserve"> </w:t>
      </w:r>
      <w:r w:rsidR="00F223E9">
        <w:t xml:space="preserve">demonstrate continuing public interest in his work.  </w:t>
      </w:r>
      <w:r w:rsidR="004E1C30">
        <w:t>In addition, many of Wayans’s projects “involve making fun of pop culture, racial stereotypes, [and] current events</w:t>
      </w:r>
      <w:r w:rsidR="00F223E9">
        <w:t>,</w:t>
      </w:r>
      <w:r w:rsidR="004E1C30">
        <w:t xml:space="preserve">” </w:t>
      </w:r>
      <w:r w:rsidR="00F223E9">
        <w:t>adding to the public’s interest in his work.</w:t>
      </w:r>
      <w:r w:rsidR="004E1C30">
        <w:t xml:space="preserve"> </w:t>
      </w:r>
      <w:r w:rsidR="003123C4">
        <w:t xml:space="preserve"> </w:t>
      </w:r>
      <w:r w:rsidR="004E1C30">
        <w:t xml:space="preserve">In light of Wayans’s extensive body of work and the subject matter of that work, </w:t>
      </w:r>
      <w:r w:rsidR="005A5621">
        <w:t xml:space="preserve">A Haunted House 2 falls easily within the </w:t>
      </w:r>
      <w:r w:rsidR="005A5621" w:rsidRPr="00EC5856">
        <w:t>anti-SLAPP statute</w:t>
      </w:r>
      <w:r w:rsidR="005A5621">
        <w:t xml:space="preserve">’s definition of an </w:t>
      </w:r>
      <w:r w:rsidR="005A5621" w:rsidRPr="00EC5856">
        <w:t>“issue of public interest</w:t>
      </w:r>
      <w:r w:rsidR="00F73009">
        <w:t>.</w:t>
      </w:r>
      <w:r w:rsidR="005A5621" w:rsidRPr="00EC5856">
        <w:t>”</w:t>
      </w:r>
      <w:r w:rsidR="00015158" w:rsidRPr="00406693">
        <w:rPr>
          <w:rStyle w:val="FootnoteReference"/>
        </w:rPr>
        <w:footnoteReference w:id="4"/>
      </w:r>
    </w:p>
    <w:p w:rsidR="005A5621" w:rsidRPr="00234DA2" w:rsidRDefault="005A5621" w:rsidP="00383FCA">
      <w:pPr>
        <w:ind w:firstLine="720"/>
      </w:pPr>
      <w:r>
        <w:t xml:space="preserve">In sum, Wayans met his burden of </w:t>
      </w:r>
      <w:r w:rsidR="00B154F6">
        <w:t xml:space="preserve">making a prima facie showing </w:t>
      </w:r>
      <w:r>
        <w:t xml:space="preserve">that the on-set comments and conduct fell within the definition of </w:t>
      </w:r>
      <w:r w:rsidRPr="00A00E1E">
        <w:t xml:space="preserve">protected activity </w:t>
      </w:r>
      <w:r>
        <w:t xml:space="preserve">set forth in </w:t>
      </w:r>
      <w:r w:rsidRPr="00A00E1E">
        <w:t>section</w:t>
      </w:r>
      <w:r w:rsidR="00F043C4">
        <w:t> </w:t>
      </w:r>
      <w:r w:rsidRPr="00A00E1E">
        <w:t>425.16, subdivision (e)(4)</w:t>
      </w:r>
      <w:r>
        <w:t>.</w:t>
      </w:r>
    </w:p>
    <w:p w:rsidR="00A534EF" w:rsidRDefault="003E01FF" w:rsidP="003E01FF">
      <w:pPr>
        <w:ind w:firstLine="720"/>
      </w:pPr>
      <w:r w:rsidRPr="003E01FF">
        <w:t xml:space="preserve">The dissenting opinion describes a parade of horribles that the majority opinion would unleash.  </w:t>
      </w:r>
      <w:r w:rsidRPr="00CF4A37">
        <w:t>But</w:t>
      </w:r>
      <w:r w:rsidRPr="003E01FF">
        <w:t xml:space="preserve"> these </w:t>
      </w:r>
      <w:r w:rsidR="00CF4A37">
        <w:t xml:space="preserve">horrible </w:t>
      </w:r>
      <w:r w:rsidRPr="003E01FF">
        <w:t xml:space="preserve">are not before us. </w:t>
      </w:r>
      <w:r>
        <w:t xml:space="preserve"> </w:t>
      </w:r>
      <w:r w:rsidRPr="003E01FF">
        <w:t xml:space="preserve">And in any case, we agree that the examples described by the dissent </w:t>
      </w:r>
      <w:r>
        <w:t xml:space="preserve">would not be in furtherance of the right of </w:t>
      </w:r>
      <w:r w:rsidRPr="003E01FF">
        <w:t xml:space="preserve">free speech. </w:t>
      </w:r>
      <w:r>
        <w:t xml:space="preserve"> </w:t>
      </w:r>
      <w:r w:rsidRPr="003E01FF">
        <w:t xml:space="preserve">Here, we only hold that </w:t>
      </w:r>
      <w:r w:rsidR="00A534EF">
        <w:t xml:space="preserve">Wayans’s conduct, including </w:t>
      </w:r>
      <w:r w:rsidR="00A534EF" w:rsidRPr="00A534EF">
        <w:t>calling Daniel nigga, during the creative process of molding a theatrical work is protected by free speech.</w:t>
      </w:r>
    </w:p>
    <w:p w:rsidR="00234DA2" w:rsidRDefault="00234DA2" w:rsidP="000E28AD">
      <w:pPr>
        <w:keepNext/>
        <w:ind w:firstLine="720"/>
      </w:pPr>
      <w:r>
        <w:tab/>
        <w:t>2.</w:t>
      </w:r>
      <w:r>
        <w:tab/>
      </w:r>
      <w:r w:rsidRPr="00234DA2">
        <w:rPr>
          <w:i/>
        </w:rPr>
        <w:t>The Internet posting</w:t>
      </w:r>
    </w:p>
    <w:p w:rsidR="00234DA2" w:rsidRDefault="005A5621" w:rsidP="00234DA2">
      <w:pPr>
        <w:ind w:firstLine="720"/>
      </w:pPr>
      <w:r>
        <w:t xml:space="preserve">The </w:t>
      </w:r>
      <w:r w:rsidR="00F90AEC">
        <w:t xml:space="preserve">allegedly harassing and offensive </w:t>
      </w:r>
      <w:r>
        <w:t xml:space="preserve">Internet posting </w:t>
      </w:r>
      <w:r w:rsidR="00F90AEC">
        <w:t xml:space="preserve">was a </w:t>
      </w:r>
      <w:r w:rsidR="00D01ED1">
        <w:t>writing</w:t>
      </w:r>
      <w:r w:rsidRPr="00A00E1E">
        <w:t xml:space="preserve"> made in a place open to</w:t>
      </w:r>
      <w:r>
        <w:t xml:space="preserve"> the public or a public forum </w:t>
      </w:r>
      <w:r w:rsidR="00F90AEC">
        <w:t xml:space="preserve">and it was made </w:t>
      </w:r>
      <w:r>
        <w:t>in connection with an issue of public interest</w:t>
      </w:r>
      <w:r w:rsidR="00F90AEC">
        <w:t xml:space="preserve">.  (§ </w:t>
      </w:r>
      <w:r w:rsidR="00F90AEC" w:rsidRPr="00A00E1E">
        <w:t>425.16, subd</w:t>
      </w:r>
      <w:r w:rsidR="00F90AEC">
        <w:t>.</w:t>
      </w:r>
      <w:r w:rsidR="00F043C4">
        <w:t xml:space="preserve"> </w:t>
      </w:r>
      <w:r w:rsidR="00F90AEC" w:rsidRPr="00A00E1E">
        <w:t>(e)</w:t>
      </w:r>
      <w:r w:rsidR="00F90AEC">
        <w:t>(3).)</w:t>
      </w:r>
    </w:p>
    <w:p w:rsidR="00234DA2" w:rsidRDefault="00234DA2" w:rsidP="00234DA2">
      <w:pPr>
        <w:ind w:firstLine="720"/>
      </w:pPr>
      <w:r>
        <w:tab/>
      </w:r>
      <w:r>
        <w:tab/>
        <w:t>a.</w:t>
      </w:r>
      <w:r>
        <w:tab/>
      </w:r>
      <w:r w:rsidR="005A5621" w:rsidRPr="002A35DB">
        <w:t>Statement made in a public forum</w:t>
      </w:r>
    </w:p>
    <w:p w:rsidR="004C6BE4" w:rsidRDefault="00C035DF" w:rsidP="00234DA2">
      <w:pPr>
        <w:ind w:firstLine="720"/>
      </w:pPr>
      <w:r w:rsidRPr="00C035DF">
        <w:t>“</w:t>
      </w:r>
      <w:r>
        <w:t>[O]</w:t>
      </w:r>
      <w:r w:rsidRPr="00C035DF">
        <w:t xml:space="preserve">ur Supreme Court has held that </w:t>
      </w:r>
      <w:r w:rsidRPr="00C035DF">
        <w:rPr>
          <w:i/>
        </w:rPr>
        <w:t>public access</w:t>
      </w:r>
      <w:r w:rsidRPr="00C035DF">
        <w:t xml:space="preserve">, not the right to public </w:t>
      </w:r>
      <w:r w:rsidRPr="00C035DF">
        <w:rPr>
          <w:i/>
        </w:rPr>
        <w:t>comment</w:t>
      </w:r>
      <w:r w:rsidRPr="00C035DF">
        <w:t>, is the hallmark of a public forum:</w:t>
      </w:r>
      <w:r w:rsidR="002A35DB">
        <w:t xml:space="preserve"> </w:t>
      </w:r>
      <w:r w:rsidRPr="00C035DF">
        <w:t xml:space="preserve"> ‘Web sites accessible to the public</w:t>
      </w:r>
      <w:r>
        <w:t> . . . </w:t>
      </w:r>
      <w:r w:rsidRPr="00C035DF">
        <w:t>are “</w:t>
      </w:r>
      <w:r w:rsidRPr="00C035DF">
        <w:rPr>
          <w:i/>
        </w:rPr>
        <w:t>public forums</w:t>
      </w:r>
      <w:r w:rsidRPr="00C035DF">
        <w:t xml:space="preserve"> ” for purposes of the anti-SLAPP statute.’</w:t>
      </w:r>
      <w:r w:rsidR="00F043C4">
        <w:t> </w:t>
      </w:r>
      <w:r w:rsidRPr="00C035DF">
        <w:t xml:space="preserve">” </w:t>
      </w:r>
      <w:r w:rsidR="00F043C4">
        <w:t xml:space="preserve"> </w:t>
      </w:r>
      <w:r w:rsidRPr="00C035DF">
        <w:t>(</w:t>
      </w:r>
      <w:r w:rsidR="00FB3E8A" w:rsidRPr="00C035DF">
        <w:rPr>
          <w:i/>
        </w:rPr>
        <w:t>Nyg</w:t>
      </w:r>
      <w:r w:rsidR="00FB3E8A">
        <w:rPr>
          <w:i/>
        </w:rPr>
        <w:t>a</w:t>
      </w:r>
      <w:r w:rsidR="00FB3E8A" w:rsidRPr="00C035DF">
        <w:rPr>
          <w:i/>
        </w:rPr>
        <w:t>rd</w:t>
      </w:r>
      <w:r w:rsidRPr="00C035DF">
        <w:rPr>
          <w:i/>
        </w:rPr>
        <w:t>, Inc. v. Uusi–Kerttula</w:t>
      </w:r>
      <w:r w:rsidR="002A35DB">
        <w:t xml:space="preserve">, </w:t>
      </w:r>
      <w:r w:rsidR="002A35DB">
        <w:rPr>
          <w:i/>
        </w:rPr>
        <w:t>supra</w:t>
      </w:r>
      <w:r w:rsidR="002A35DB">
        <w:t>,</w:t>
      </w:r>
      <w:r w:rsidRPr="00C035DF">
        <w:t xml:space="preserve"> 159 Cal.App.4th </w:t>
      </w:r>
      <w:r w:rsidR="009B44CB">
        <w:t xml:space="preserve">at p. </w:t>
      </w:r>
      <w:r w:rsidRPr="00C035DF">
        <w:t>1039, italics added.)</w:t>
      </w:r>
    </w:p>
    <w:p w:rsidR="00234DA2" w:rsidRDefault="004C6BE4" w:rsidP="00234DA2">
      <w:pPr>
        <w:ind w:firstLine="720"/>
      </w:pPr>
      <w:r>
        <w:t xml:space="preserve">Here, </w:t>
      </w:r>
      <w:r w:rsidR="00B154F6" w:rsidRPr="00B154F6">
        <w:t>both Daniel’s and Wayans’s declarations state</w:t>
      </w:r>
      <w:r w:rsidR="00C035DF">
        <w:t xml:space="preserve"> that the juxtaposed pictures of </w:t>
      </w:r>
      <w:r w:rsidR="005A2E38">
        <w:t>Daniel</w:t>
      </w:r>
      <w:r w:rsidR="00C035DF">
        <w:t xml:space="preserve"> and the Cleveland Brown cartoon figure and the accompanying caption were </w:t>
      </w:r>
      <w:r w:rsidR="00B154F6" w:rsidRPr="00B154F6">
        <w:t xml:space="preserve">posted to Wayans’s Twitter account, which had over a million followers. </w:t>
      </w:r>
      <w:r w:rsidR="00B154F6">
        <w:t xml:space="preserve"> </w:t>
      </w:r>
      <w:r w:rsidR="00B154F6" w:rsidRPr="00B154F6">
        <w:t>The Twitter account constitutes a publicly accessible social media forum.  Indeed, according to Daniel’s declaration, both he and his brother saw the Twitter post online.</w:t>
      </w:r>
      <w:r w:rsidR="00B41B5E">
        <w:t xml:space="preserve">  Accordingly, the Internet posting was a statement made in a public forum.</w:t>
      </w:r>
    </w:p>
    <w:p w:rsidR="00234DA2" w:rsidRDefault="00234DA2" w:rsidP="00234DA2">
      <w:pPr>
        <w:ind w:firstLine="720"/>
      </w:pPr>
      <w:r>
        <w:tab/>
      </w:r>
      <w:r>
        <w:tab/>
        <w:t>b.</w:t>
      </w:r>
      <w:r>
        <w:tab/>
      </w:r>
      <w:r w:rsidRPr="00657660">
        <w:t>Issue of public interest</w:t>
      </w:r>
    </w:p>
    <w:p w:rsidR="003D328F" w:rsidRDefault="00B41B5E" w:rsidP="003D328F">
      <w:pPr>
        <w:ind w:firstLine="720"/>
      </w:pPr>
      <w:r w:rsidRPr="00B41B5E">
        <w:t>Although “not every Web site post involves a public issue” (</w:t>
      </w:r>
      <w:r w:rsidRPr="00C96662">
        <w:rPr>
          <w:i/>
          <w:iCs/>
        </w:rPr>
        <w:t>D.C. v. R.R.</w:t>
      </w:r>
      <w:r w:rsidRPr="00C96662">
        <w:t xml:space="preserve"> (2010) 182 Cal.App.4th 1190, 1226</w:t>
      </w:r>
      <w:r>
        <w:t xml:space="preserve">), </w:t>
      </w:r>
      <w:r w:rsidR="003D328F">
        <w:t xml:space="preserve">the bar for an anti-SLAPP defendant to overcome is not a particularly demanding one.  In </w:t>
      </w:r>
      <w:r w:rsidR="003D328F" w:rsidRPr="003D328F">
        <w:rPr>
          <w:i/>
        </w:rPr>
        <w:t>Kronemyer v. Internet Movie Database Inc</w:t>
      </w:r>
      <w:r w:rsidR="003D328F">
        <w:t>. (2007) 150 Cal.App.4th 941, the mere listing of producer credits for a movie on defendant’s website was found to be “</w:t>
      </w:r>
      <w:r w:rsidR="003D328F" w:rsidRPr="003D328F">
        <w:t>an act in furtherance of the right of free speech protected under the anti-SLAPP statute.</w:t>
      </w:r>
      <w:r w:rsidR="003D328F">
        <w:t>”  (</w:t>
      </w:r>
      <w:r w:rsidR="003D328F" w:rsidRPr="003D328F">
        <w:rPr>
          <w:i/>
        </w:rPr>
        <w:t>Id</w:t>
      </w:r>
      <w:r w:rsidR="003D328F">
        <w:t xml:space="preserve">. at </w:t>
      </w:r>
      <w:r w:rsidR="00657660">
        <w:t xml:space="preserve">p. </w:t>
      </w:r>
      <w:r w:rsidR="003D328F">
        <w:t>947.)</w:t>
      </w:r>
    </w:p>
    <w:p w:rsidR="003D328F" w:rsidRDefault="007F1CB0" w:rsidP="00234DA2">
      <w:pPr>
        <w:ind w:firstLine="720"/>
      </w:pPr>
      <w:r>
        <w:t>Here, t</w:t>
      </w:r>
      <w:r w:rsidR="00B41B5E">
        <w:t xml:space="preserve">he posting at issue </w:t>
      </w:r>
      <w:r w:rsidR="00B41B5E" w:rsidRPr="00B41B5E">
        <w:t xml:space="preserve">references a Twitter account that had more than one million followers (and, per Wayans’s declaration, an Instagram account) for the movie A Haunted House 2, as well as Wayans’s Whatthefunny Web site.  </w:t>
      </w:r>
      <w:r w:rsidR="00B41B5E">
        <w:t xml:space="preserve">As noted above, </w:t>
      </w:r>
      <w:r w:rsidR="00B41B5E" w:rsidRPr="00B41B5E">
        <w:t xml:space="preserve">Wayans is a popular actor, writer, and </w:t>
      </w:r>
      <w:r w:rsidR="00B41B5E">
        <w:t>producer</w:t>
      </w:r>
      <w:r w:rsidR="00B41B5E" w:rsidRPr="00B41B5E">
        <w:t xml:space="preserve"> with many films and television shows to his credit</w:t>
      </w:r>
      <w:r w:rsidR="00B41B5E">
        <w:t xml:space="preserve">. </w:t>
      </w:r>
      <w:r w:rsidR="004B562A">
        <w:t xml:space="preserve"> </w:t>
      </w:r>
      <w:r w:rsidR="00B41B5E">
        <w:t xml:space="preserve">Moreover, </w:t>
      </w:r>
      <w:r w:rsidR="00B41B5E" w:rsidRPr="00B41B5E">
        <w:t xml:space="preserve">A Haunted House 2 was a sequel to A Haunted House (IM Global Octane 2013), which apparently was </w:t>
      </w:r>
      <w:r w:rsidR="00F223E9">
        <w:t xml:space="preserve">sufficiently </w:t>
      </w:r>
      <w:r w:rsidR="00B41B5E" w:rsidRPr="00B41B5E">
        <w:t xml:space="preserve">popular </w:t>
      </w:r>
      <w:r w:rsidR="00A47E89">
        <w:t xml:space="preserve">and profitable </w:t>
      </w:r>
      <w:r w:rsidR="00B41B5E" w:rsidRPr="00B41B5E">
        <w:t xml:space="preserve">to lead to financing and production of a sequel. </w:t>
      </w:r>
      <w:r w:rsidR="004B562A">
        <w:t xml:space="preserve"> </w:t>
      </w:r>
      <w:r w:rsidR="00B41B5E" w:rsidRPr="00B41B5E">
        <w:t>According to Wayans’s declaration, when A Haunted House</w:t>
      </w:r>
      <w:r w:rsidR="007279FF">
        <w:t> </w:t>
      </w:r>
      <w:r w:rsidR="00B41B5E" w:rsidRPr="00B41B5E">
        <w:t>2 was released, it played in 2,310 theaters and grossed $8.8 million in its first week.</w:t>
      </w:r>
    </w:p>
    <w:p w:rsidR="0000452C" w:rsidRDefault="00B41B5E" w:rsidP="00234DA2">
      <w:pPr>
        <w:ind w:firstLine="720"/>
      </w:pPr>
      <w:r w:rsidRPr="00B41B5E">
        <w:t>Accordingly, advance information from Wayans about the making of A Haunted House 2, including a photo of someone acting in the film, constitutes a topic of public interest, even though Daniel himself may not have been known to the public.</w:t>
      </w:r>
      <w:r w:rsidR="00922882" w:rsidRPr="006F4D23">
        <w:rPr>
          <w:rStyle w:val="FootnoteReference"/>
          <w:szCs w:val="20"/>
        </w:rPr>
        <w:footnoteReference w:id="5"/>
      </w:r>
      <w:r w:rsidRPr="00B41B5E">
        <w:t xml:space="preserve">  The post both referred to a topic of widespread public interest (the film) and contributed to the public “debate” or discussion regarding the film by giving fans and those interested a glimpse of someone in the film.  We therefore conclude that the Internet posti</w:t>
      </w:r>
      <w:r>
        <w:t xml:space="preserve">ng constituted protected activity as provided in </w:t>
      </w:r>
      <w:r w:rsidRPr="00A00E1E">
        <w:t>section 425.16, subdivision</w:t>
      </w:r>
      <w:r w:rsidR="00E13CA4">
        <w:t> </w:t>
      </w:r>
      <w:r w:rsidRPr="00A00E1E">
        <w:t>(e)(</w:t>
      </w:r>
      <w:r>
        <w:t>3</w:t>
      </w:r>
      <w:r w:rsidRPr="00A00E1E">
        <w:t>)</w:t>
      </w:r>
      <w:r>
        <w:t>.</w:t>
      </w:r>
    </w:p>
    <w:p w:rsidR="00D01D0A" w:rsidRDefault="004C3D15" w:rsidP="00D01D0A">
      <w:pPr>
        <w:rPr>
          <w:b/>
        </w:rPr>
      </w:pPr>
      <w:r w:rsidRPr="00EB0AB1">
        <w:rPr>
          <w:b/>
        </w:rPr>
        <w:t>I</w:t>
      </w:r>
      <w:r w:rsidR="00B6093C">
        <w:rPr>
          <w:b/>
        </w:rPr>
        <w:t>V</w:t>
      </w:r>
      <w:r w:rsidRPr="00EB0AB1">
        <w:rPr>
          <w:b/>
        </w:rPr>
        <w:t>.</w:t>
      </w:r>
      <w:r w:rsidRPr="00EB0AB1">
        <w:rPr>
          <w:b/>
        </w:rPr>
        <w:tab/>
      </w:r>
      <w:r>
        <w:rPr>
          <w:b/>
        </w:rPr>
        <w:t>Step two:  Daniel did not meet his burden</w:t>
      </w:r>
    </w:p>
    <w:p w:rsidR="000E28AD" w:rsidRDefault="000E28AD" w:rsidP="004C3D15">
      <w:pPr>
        <w:ind w:firstLine="720"/>
      </w:pPr>
      <w:r w:rsidRPr="000E28AD">
        <w:t>In the second step of a</w:t>
      </w:r>
      <w:r w:rsidR="00A47E89">
        <w:t>n anti-</w:t>
      </w:r>
      <w:r w:rsidRPr="000E28AD">
        <w:t>SLAPP analysis, we determine whether plaintiff has produced evidence demonstrating a probabili</w:t>
      </w:r>
      <w:r w:rsidR="004B562A">
        <w:t>ty of prevailing on his claims.</w:t>
      </w:r>
    </w:p>
    <w:p w:rsidR="000E28AD" w:rsidRDefault="000E28AD" w:rsidP="000E28AD">
      <w:pPr>
        <w:ind w:firstLine="720"/>
      </w:pPr>
      <w:r>
        <w:t>To show a probability of prevailing on his claims, “</w:t>
      </w:r>
      <w:r w:rsidR="004B562A">
        <w:t> </w:t>
      </w:r>
      <w:r>
        <w:t xml:space="preserve">‘the plaintiff “must demonstrate that the complaint is both legally sufficient and supported by a sufficient prima facie showing of facts to sustain a favorable judgment if the evidence submitted by the plaintiff is credited.” </w:t>
      </w:r>
      <w:r w:rsidR="00E13CA4">
        <w:t xml:space="preserve"> </w:t>
      </w:r>
      <w:r>
        <w:t xml:space="preserve">[Citations.] . . . [T]hough the court does not </w:t>
      </w:r>
      <w:r w:rsidRPr="00E13CA4">
        <w:rPr>
          <w:i/>
        </w:rPr>
        <w:t>weigh</w:t>
      </w:r>
      <w:r>
        <w:t xml:space="preserve"> the credibility or comparative probative strength of competing evidence, it should grant the motion if, as a matter of law, the defendant’s evidence supporting the motion defeats the plaintiff’s attempt to establish evidentiary support for the claim.’</w:t>
      </w:r>
      <w:r w:rsidR="00E13CA4">
        <w:t> </w:t>
      </w:r>
      <w:r>
        <w:t>”  (</w:t>
      </w:r>
      <w:r w:rsidRPr="000E28AD">
        <w:rPr>
          <w:i/>
        </w:rPr>
        <w:t>Taus v. Loftus</w:t>
      </w:r>
      <w:r w:rsidRPr="000E28AD">
        <w:t xml:space="preserve"> (2007) 40 Cal.4th 683, </w:t>
      </w:r>
      <w:r>
        <w:t>713–714.)  “</w:t>
      </w:r>
      <w:r w:rsidR="00E13CA4">
        <w:t> ‘</w:t>
      </w:r>
      <w:r>
        <w:t>The plaintiff may not rely solely on its complaint, even if verified; instead, its proof must be made upon competent admissible evidence.</w:t>
      </w:r>
      <w:r w:rsidR="00E13CA4">
        <w:t>’ </w:t>
      </w:r>
      <w:r>
        <w:t>”  (</w:t>
      </w:r>
      <w:r w:rsidRPr="000E28AD">
        <w:rPr>
          <w:i/>
        </w:rPr>
        <w:t>Paiva v. Nichols</w:t>
      </w:r>
      <w:r>
        <w:t xml:space="preserve"> (2008) 168 Cal.App.4th 1007, 1017.)</w:t>
      </w:r>
    </w:p>
    <w:p w:rsidR="004C3D15" w:rsidRDefault="000E28AD" w:rsidP="004C3D15">
      <w:pPr>
        <w:ind w:firstLine="720"/>
      </w:pPr>
      <w:r>
        <w:t>Here, w</w:t>
      </w:r>
      <w:r w:rsidRPr="000E28AD">
        <w:t xml:space="preserve">e conclude </w:t>
      </w:r>
      <w:r>
        <w:t>that Daniel did not meet his burden with respect to any of his claims against Wayans.</w:t>
      </w:r>
      <w:r w:rsidRPr="003812D7">
        <w:rPr>
          <w:rStyle w:val="FootnoteReference"/>
        </w:rPr>
        <w:footnoteReference w:id="6"/>
      </w:r>
    </w:p>
    <w:p w:rsidR="009C6100" w:rsidRDefault="009C6100" w:rsidP="009C6100">
      <w:pPr>
        <w:ind w:firstLine="720"/>
      </w:pPr>
      <w:r>
        <w:t>A.</w:t>
      </w:r>
      <w:r>
        <w:tab/>
      </w:r>
      <w:r w:rsidRPr="009C6100">
        <w:rPr>
          <w:smallCaps/>
        </w:rPr>
        <w:t>Racial harassment</w:t>
      </w:r>
    </w:p>
    <w:p w:rsidR="004C3D15" w:rsidRDefault="00EC3D9D" w:rsidP="00383FCA">
      <w:pPr>
        <w:ind w:firstLine="720"/>
      </w:pPr>
      <w:r>
        <w:t>Daniel’s racial harassment c</w:t>
      </w:r>
      <w:r w:rsidR="00843E7A">
        <w:t>laim against Wayans</w:t>
      </w:r>
      <w:r>
        <w:t xml:space="preserve"> </w:t>
      </w:r>
      <w:r w:rsidR="00843E7A">
        <w:t xml:space="preserve">(first cause of action) </w:t>
      </w:r>
      <w:r>
        <w:t xml:space="preserve">is brought pursuant to </w:t>
      </w:r>
      <w:r w:rsidRPr="00EC3D9D">
        <w:t xml:space="preserve">the California Fair Employment and Housing Act (FEHA) </w:t>
      </w:r>
      <w:r>
        <w:t>(Gov. Code</w:t>
      </w:r>
      <w:r w:rsidR="00EC7EA2">
        <w:t>,</w:t>
      </w:r>
      <w:r>
        <w:t xml:space="preserve"> § 12940 et seq.).  </w:t>
      </w:r>
      <w:r w:rsidRPr="00EC3D9D">
        <w:t xml:space="preserve">Although federal court rulings are not binding on the Court of Appeal, California courts </w:t>
      </w:r>
      <w:r>
        <w:t>“</w:t>
      </w:r>
      <w:r w:rsidRPr="00EC3D9D">
        <w:t>frequently turn to federal authorities interpreting Title VII of the Civil Rights Act of 1964</w:t>
      </w:r>
      <w:r w:rsidR="00D214E3">
        <w:t> . . . </w:t>
      </w:r>
      <w:r w:rsidRPr="00EC3D9D">
        <w:t xml:space="preserve">for assistance in </w:t>
      </w:r>
      <w:r w:rsidR="00D214E3">
        <w:t xml:space="preserve">interpreting the </w:t>
      </w:r>
      <w:r w:rsidRPr="00EC3D9D">
        <w:t>FEHA</w:t>
      </w:r>
      <w:r w:rsidR="00D214E3">
        <w:t> . . . .</w:t>
      </w:r>
      <w:r>
        <w:t>”</w:t>
      </w:r>
      <w:r w:rsidRPr="00EC3D9D">
        <w:t xml:space="preserve"> </w:t>
      </w:r>
      <w:r>
        <w:t xml:space="preserve"> (</w:t>
      </w:r>
      <w:r w:rsidR="00D214E3" w:rsidRPr="00D214E3">
        <w:rPr>
          <w:i/>
        </w:rPr>
        <w:t>Miller v. Department of Corrections</w:t>
      </w:r>
      <w:r w:rsidR="00D214E3" w:rsidRPr="00D214E3">
        <w:t xml:space="preserve"> (2005) 36 Cal.4th 446, 463</w:t>
      </w:r>
      <w:r w:rsidR="00D214E3">
        <w:t xml:space="preserve">; </w:t>
      </w:r>
      <w:r w:rsidRPr="00EC3D9D">
        <w:rPr>
          <w:i/>
        </w:rPr>
        <w:t xml:space="preserve">Mitchell v. </w:t>
      </w:r>
      <w:r w:rsidR="00EC7EA2">
        <w:rPr>
          <w:i/>
        </w:rPr>
        <w:t xml:space="preserve">State Dept. </w:t>
      </w:r>
      <w:r w:rsidRPr="00EC3D9D">
        <w:rPr>
          <w:i/>
        </w:rPr>
        <w:t>of Public Health</w:t>
      </w:r>
      <w:r w:rsidRPr="00EC3D9D">
        <w:t xml:space="preserve"> (2016) </w:t>
      </w:r>
      <w:r w:rsidR="00D214E3">
        <w:t>1 Cal.App.5th 1000, 1009</w:t>
      </w:r>
      <w:r w:rsidR="00EC7EA2">
        <w:t>,</w:t>
      </w:r>
      <w:r w:rsidR="00D214E3">
        <w:t xml:space="preserve"> fn.</w:t>
      </w:r>
      <w:r w:rsidR="00EC7EA2">
        <w:t> </w:t>
      </w:r>
      <w:r w:rsidR="00D214E3">
        <w:t>4.)</w:t>
      </w:r>
    </w:p>
    <w:p w:rsidR="00D214E3" w:rsidRDefault="00D214E3" w:rsidP="00D214E3">
      <w:pPr>
        <w:ind w:firstLine="720"/>
      </w:pPr>
      <w:r>
        <w:t>In his complaint, Daniel alleges that while on the set of A Haunted House 2 he was subjected to a racially hostile work environment.  “</w:t>
      </w:r>
      <w:r w:rsidRPr="00D214E3">
        <w:t xml:space="preserve">To establish a prima facie case of a racially hostile work environment, </w:t>
      </w:r>
      <w:r w:rsidR="00833D54">
        <w:t>[a plaintiff</w:t>
      </w:r>
      <w:r w:rsidR="00A47E89">
        <w:t>]</w:t>
      </w:r>
      <w:r w:rsidR="00833D54">
        <w:t xml:space="preserve"> </w:t>
      </w:r>
      <w:r w:rsidR="00EC7EA2">
        <w:t>[</w:t>
      </w:r>
      <w:r w:rsidR="00833D54">
        <w:t>is</w:t>
      </w:r>
      <w:r w:rsidR="00EC7EA2">
        <w:t>]</w:t>
      </w:r>
      <w:r w:rsidRPr="00D214E3">
        <w:t xml:space="preserve"> required to show that (1) he was a member of a protected class; (2) he was subjected to unwelcome racial harassment; (3)</w:t>
      </w:r>
      <w:r w:rsidR="004B562A">
        <w:t> </w:t>
      </w:r>
      <w:r w:rsidRPr="00D214E3">
        <w:t xml:space="preserve">the harassment was based on race; (4) the harassment unreasonably interfered with his work performance by creating an intimidating, hostile, or offensive work environment; and (5) the </w:t>
      </w:r>
      <w:r w:rsidR="00833D54">
        <w:t>[defendant]</w:t>
      </w:r>
      <w:r w:rsidRPr="00D214E3">
        <w:t xml:space="preserve"> is liable for the harassment.</w:t>
      </w:r>
      <w:r>
        <w:t>”  (</w:t>
      </w:r>
      <w:r w:rsidRPr="00833D54">
        <w:rPr>
          <w:i/>
        </w:rPr>
        <w:t>Thompson v. City of Monrovia</w:t>
      </w:r>
      <w:r>
        <w:t xml:space="preserve"> (2010) 186 Cal.App.4th 860, 876</w:t>
      </w:r>
      <w:r w:rsidR="00833D54">
        <w:t>.)</w:t>
      </w:r>
    </w:p>
    <w:p w:rsidR="00833D54" w:rsidRDefault="00833D54" w:rsidP="00D214E3">
      <w:pPr>
        <w:ind w:firstLine="720"/>
      </w:pPr>
      <w:r w:rsidRPr="00833D54">
        <w:t>To establish the fourth element—that the harassment created a hostile work environment—</w:t>
      </w:r>
      <w:r>
        <w:t>a plaintiff</w:t>
      </w:r>
      <w:r w:rsidRPr="00833D54">
        <w:t xml:space="preserve"> “</w:t>
      </w:r>
      <w:r w:rsidR="004B562A">
        <w:t> </w:t>
      </w:r>
      <w:r w:rsidRPr="00833D54">
        <w:t>‘must prove that the defendant</w:t>
      </w:r>
      <w:r w:rsidR="00370BF3">
        <w:t>’</w:t>
      </w:r>
      <w:r w:rsidRPr="00833D54">
        <w:t>s conduct would have interf</w:t>
      </w:r>
      <w:r w:rsidR="005524D8">
        <w:t>ered with a reasonable employee’</w:t>
      </w:r>
      <w:r w:rsidRPr="00833D54">
        <w:t>s work performance and would have seriously affected the psychological well-being of a reasonable employee</w:t>
      </w:r>
      <w:r w:rsidR="000C1597">
        <w:t> . . . .</w:t>
      </w:r>
      <w:r w:rsidRPr="00833D54">
        <w:t>’</w:t>
      </w:r>
      <w:r w:rsidR="004B562A">
        <w:t> </w:t>
      </w:r>
      <w:r w:rsidRPr="00833D54">
        <w:t>”</w:t>
      </w:r>
      <w:r w:rsidR="00D46E53">
        <w:t xml:space="preserve">  </w:t>
      </w:r>
      <w:r w:rsidRPr="00833D54">
        <w:t>(</w:t>
      </w:r>
      <w:r w:rsidRPr="00833D54">
        <w:rPr>
          <w:i/>
        </w:rPr>
        <w:t>Aguilar v. Avis Rent A Car System, Inc</w:t>
      </w:r>
      <w:r w:rsidRPr="00833D54">
        <w:t>. (1999) 21 Cal.4th 121, 130–131</w:t>
      </w:r>
      <w:r>
        <w:t>.</w:t>
      </w:r>
      <w:r w:rsidRPr="00833D54">
        <w:t xml:space="preserve">) </w:t>
      </w:r>
      <w:r>
        <w:t xml:space="preserve"> </w:t>
      </w:r>
      <w:r w:rsidRPr="00833D54">
        <w:t>Harassment, which may be verbal, physical, or visual and “communicates an offensive message to the harassed employee” (</w:t>
      </w:r>
      <w:r w:rsidRPr="00833D54">
        <w:rPr>
          <w:i/>
        </w:rPr>
        <w:t>Roby v. McKesson Corp</w:t>
      </w:r>
      <w:r w:rsidRPr="00833D54">
        <w:t>. (2009) 47 Cal.4th 686, 706), “</w:t>
      </w:r>
      <w:r w:rsidR="004B562A">
        <w:t> </w:t>
      </w:r>
      <w:r w:rsidRPr="00833D54">
        <w:t>‘cannot be occasional, isolated, sporadic, or trivial[;] rather the plaintiff must show a concerted pattern of harassment of a repeated, rout</w:t>
      </w:r>
      <w:r w:rsidR="00D46E53">
        <w:t>ine or a generalized nature.’</w:t>
      </w:r>
      <w:r w:rsidR="004B562A">
        <w:t> </w:t>
      </w:r>
      <w:r w:rsidR="00D46E53">
        <w:t xml:space="preserve">”  </w:t>
      </w:r>
      <w:r w:rsidRPr="00833D54">
        <w:t>(</w:t>
      </w:r>
      <w:r w:rsidRPr="00833D54">
        <w:rPr>
          <w:i/>
        </w:rPr>
        <w:t>Aguilar</w:t>
      </w:r>
      <w:r w:rsidRPr="00833D54">
        <w:t xml:space="preserve">, at p. 131.) </w:t>
      </w:r>
      <w:r>
        <w:t xml:space="preserve"> </w:t>
      </w:r>
      <w:r w:rsidRPr="00833D54">
        <w:t>Whether the harassment is sufficiently severe or pervasive to alt</w:t>
      </w:r>
      <w:r>
        <w:t>er the conditions of the victim’</w:t>
      </w:r>
      <w:r w:rsidRPr="00833D54">
        <w:t>s employment and create an abusive environment “must be assessed from the ‘perspective of a reasonable person belonging to the racial or ethnic group of the plaintiff.’</w:t>
      </w:r>
      <w:r w:rsidR="004B562A">
        <w:t> </w:t>
      </w:r>
      <w:r w:rsidRPr="00833D54">
        <w:t xml:space="preserve">” </w:t>
      </w:r>
      <w:r w:rsidR="00A36A50">
        <w:t xml:space="preserve"> </w:t>
      </w:r>
      <w:r w:rsidRPr="00833D54">
        <w:t>(</w:t>
      </w:r>
      <w:r w:rsidRPr="00833D54">
        <w:rPr>
          <w:i/>
        </w:rPr>
        <w:t>Nazir v. United Airlines, Inc</w:t>
      </w:r>
      <w:r w:rsidRPr="00833D54">
        <w:t>. (2009) 178 Cal.App.4th 243, 263–264.)</w:t>
      </w:r>
      <w:r w:rsidR="001A41A2">
        <w:t xml:space="preserve">  In addition, d</w:t>
      </w:r>
      <w:r w:rsidR="001A41A2" w:rsidRPr="001A41A2">
        <w:t>etermining whether an environment is hostile requires looking at the totality of the circumstances, including “the frequency of the discriminatory conduct; its severity; whether it is physically threatening or humiliating, or a mere offensive utterance; and whether it unreasonably interferes with an employee</w:t>
      </w:r>
      <w:r w:rsidR="00370BF3">
        <w:t>’</w:t>
      </w:r>
      <w:r w:rsidR="001A41A2" w:rsidRPr="001A41A2">
        <w:t>s work performance.”</w:t>
      </w:r>
      <w:r w:rsidR="001A41A2">
        <w:t xml:space="preserve">  (</w:t>
      </w:r>
      <w:r w:rsidR="001A41A2" w:rsidRPr="001A41A2">
        <w:rPr>
          <w:i/>
        </w:rPr>
        <w:t>Harris v. Forklift Systems, Inc</w:t>
      </w:r>
      <w:r w:rsidR="001A41A2" w:rsidRPr="001A41A2">
        <w:t>. (1993) 510 U.S. 17,</w:t>
      </w:r>
      <w:r w:rsidR="001A41A2">
        <w:t xml:space="preserve"> 23.)</w:t>
      </w:r>
    </w:p>
    <w:p w:rsidR="00A34009" w:rsidRDefault="009B26E6" w:rsidP="0014492C">
      <w:pPr>
        <w:ind w:firstLine="720"/>
      </w:pPr>
      <w:r w:rsidRPr="009B26E6">
        <w:t xml:space="preserve">Daniel relies upon </w:t>
      </w:r>
      <w:r w:rsidRPr="009B26E6">
        <w:rPr>
          <w:i/>
        </w:rPr>
        <w:t xml:space="preserve">Dee v. </w:t>
      </w:r>
      <w:r w:rsidRPr="009B26E6">
        <w:rPr>
          <w:i/>
          <w:iCs/>
        </w:rPr>
        <w:t>Vintage Petroleum, Inc.</w:t>
      </w:r>
      <w:r w:rsidRPr="009B26E6">
        <w:t xml:space="preserve"> (2003) 106 Cal.App.4th 30</w:t>
      </w:r>
      <w:r>
        <w:t>,</w:t>
      </w:r>
      <w:r w:rsidRPr="009B26E6">
        <w:t xml:space="preserve"> for his assertion that “a single racial slur by a supervisor may also create a hostile work environment.”  (</w:t>
      </w:r>
      <w:r w:rsidR="003A0A76">
        <w:rPr>
          <w:i/>
        </w:rPr>
        <w:t>I</w:t>
      </w:r>
      <w:r w:rsidRPr="009B26E6">
        <w:rPr>
          <w:i/>
        </w:rPr>
        <w:t>d.</w:t>
      </w:r>
      <w:r w:rsidRPr="009B26E6">
        <w:t xml:space="preserve"> at p. 36.)  </w:t>
      </w:r>
      <w:r w:rsidRPr="009B26E6">
        <w:rPr>
          <w:i/>
        </w:rPr>
        <w:t>Dee</w:t>
      </w:r>
      <w:r w:rsidRPr="009B26E6">
        <w:t xml:space="preserve"> involved much more than </w:t>
      </w:r>
      <w:r w:rsidR="00811EE9">
        <w:t xml:space="preserve">a </w:t>
      </w:r>
      <w:r w:rsidRPr="009B26E6">
        <w:t xml:space="preserve">single racial slur.  The plaintiff’s supervisor “called her a ‘bitch’ and ‘constantly’ used the word ‘asshole.’ </w:t>
      </w:r>
      <w:r>
        <w:t xml:space="preserve"> </w:t>
      </w:r>
      <w:r w:rsidRPr="009B26E6">
        <w:t xml:space="preserve">He berated her, ‘harassed’ her, ordered her to lie and blamed her for tasks he ordered her to perform.”  </w:t>
      </w:r>
      <w:r w:rsidRPr="0079067F">
        <w:t>(</w:t>
      </w:r>
      <w:r w:rsidRPr="0079067F">
        <w:rPr>
          <w:i/>
        </w:rPr>
        <w:t>Id.</w:t>
      </w:r>
      <w:r w:rsidR="00A20A6B">
        <w:t xml:space="preserve"> at p. 37.</w:t>
      </w:r>
      <w:r w:rsidRPr="0079067F">
        <w:t>)</w:t>
      </w:r>
      <w:r>
        <w:t xml:space="preserve">  </w:t>
      </w:r>
      <w:r w:rsidRPr="009B26E6">
        <w:t xml:space="preserve">After the plaintiff complained to </w:t>
      </w:r>
      <w:r>
        <w:t xml:space="preserve">her </w:t>
      </w:r>
      <w:r w:rsidRPr="009B26E6">
        <w:t>supervisor about being asked to lie, the supervisor told the plaintiff that “</w:t>
      </w:r>
      <w:r w:rsidR="000C2878">
        <w:t> ‘</w:t>
      </w:r>
      <w:r w:rsidRPr="009B26E6">
        <w:t>it is your Filipino understanding versus mine.</w:t>
      </w:r>
      <w:r w:rsidR="000C2878">
        <w:t>’ </w:t>
      </w:r>
      <w:r w:rsidRPr="009B26E6">
        <w:t xml:space="preserve">”  This comment was, </w:t>
      </w:r>
      <w:r>
        <w:t>as the C</w:t>
      </w:r>
      <w:r w:rsidRPr="009B26E6">
        <w:t>ourt</w:t>
      </w:r>
      <w:r>
        <w:t xml:space="preserve"> of Appeal stated</w:t>
      </w:r>
      <w:r w:rsidRPr="009B26E6">
        <w:t>, “an ethnic slur, both abusive and hostile.”  (</w:t>
      </w:r>
      <w:r w:rsidRPr="009B26E6">
        <w:rPr>
          <w:i/>
        </w:rPr>
        <w:t>Ibid.</w:t>
      </w:r>
      <w:r w:rsidRPr="009B26E6">
        <w:t>)  The court concluded that the evidence supported a reasonable inference that “the racial slur was not an isolated event” and that the supervisor “wished to intimidate [the plaintiff] so that she would not complain to higher</w:t>
      </w:r>
      <w:r w:rsidR="009E5545">
        <w:t xml:space="preserve"> management about his conduct.”  (</w:t>
      </w:r>
      <w:r w:rsidR="009E5545">
        <w:rPr>
          <w:i/>
        </w:rPr>
        <w:t>Ibid.</w:t>
      </w:r>
      <w:r w:rsidR="009E5545">
        <w:t xml:space="preserve">) </w:t>
      </w:r>
      <w:r w:rsidRPr="009B26E6">
        <w:t xml:space="preserve"> The court did not hold, as Daniel asserts, that “a single racial slur by a supervisor may also create a hostile work environment.” Although the </w:t>
      </w:r>
      <w:r w:rsidRPr="009B26E6">
        <w:rPr>
          <w:i/>
        </w:rPr>
        <w:t>Dee</w:t>
      </w:r>
      <w:r w:rsidRPr="009B26E6">
        <w:t xml:space="preserve"> court made this statement, it preceded </w:t>
      </w:r>
      <w:r>
        <w:t xml:space="preserve">it with </w:t>
      </w:r>
      <w:r w:rsidRPr="009B26E6">
        <w:t>the phrase, “</w:t>
      </w:r>
      <w:r w:rsidRPr="009B26E6">
        <w:rPr>
          <w:i/>
        </w:rPr>
        <w:t>[i]n other jurisdictions</w:t>
      </w:r>
      <w:r w:rsidRPr="009B26E6">
        <w:t>.”  (</w:t>
      </w:r>
      <w:r w:rsidR="000D28EA" w:rsidRPr="000D28EA">
        <w:rPr>
          <w:i/>
        </w:rPr>
        <w:t>Id</w:t>
      </w:r>
      <w:r w:rsidR="000D28EA">
        <w:t xml:space="preserve">. </w:t>
      </w:r>
      <w:r w:rsidRPr="009B26E6">
        <w:t>at p.</w:t>
      </w:r>
      <w:r>
        <w:t> </w:t>
      </w:r>
      <w:r w:rsidRPr="009B26E6">
        <w:t>36</w:t>
      </w:r>
      <w:r w:rsidR="000D28EA">
        <w:t>,</w:t>
      </w:r>
      <w:r w:rsidRPr="009B26E6">
        <w:t xml:space="preserve"> italics added, citing </w:t>
      </w:r>
      <w:r w:rsidRPr="00867F0A">
        <w:rPr>
          <w:i/>
        </w:rPr>
        <w:t>Rodgers v. Western–Southern Life Insurance Co</w:t>
      </w:r>
      <w:r w:rsidRPr="00867F0A">
        <w:t>. (7th Cir.</w:t>
      </w:r>
      <w:r>
        <w:t xml:space="preserve"> 1993) 12 F.3d 668, 675</w:t>
      </w:r>
      <w:r w:rsidR="00A534EF">
        <w:t xml:space="preserve"> (</w:t>
      </w:r>
      <w:r w:rsidR="00A534EF" w:rsidRPr="00867F0A">
        <w:rPr>
          <w:i/>
        </w:rPr>
        <w:t>Rodgers</w:t>
      </w:r>
      <w:r w:rsidR="00A534EF">
        <w:t>)</w:t>
      </w:r>
      <w:r w:rsidRPr="009B26E6">
        <w:t xml:space="preserve">.) </w:t>
      </w:r>
      <w:r>
        <w:t xml:space="preserve"> </w:t>
      </w:r>
      <w:r>
        <w:rPr>
          <w:i/>
        </w:rPr>
        <w:t>Dee</w:t>
      </w:r>
      <w:r>
        <w:t xml:space="preserve"> </w:t>
      </w:r>
      <w:r w:rsidRPr="009B26E6">
        <w:t>c</w:t>
      </w:r>
      <w:r w:rsidR="006F4E15">
        <w:t>annot be read as Daniel urges.</w:t>
      </w:r>
    </w:p>
    <w:p w:rsidR="00177ABC" w:rsidRDefault="00A34009" w:rsidP="0014492C">
      <w:pPr>
        <w:ind w:firstLine="720"/>
      </w:pPr>
      <w:r>
        <w:t>Daniel argues on appeal that “</w:t>
      </w:r>
      <w:r w:rsidR="00F7129E">
        <w:t> </w:t>
      </w:r>
      <w:r>
        <w:t>‘It is beyond question that the use of the word “nigger” is highly offensive and demeaning, evoking a history of racial violence, brutality, and subordination.  This word is “perhaps the most offensive and inflammatory racial slur in English, . . . a word expressive of racial hatred and bigotry.” ’ ”  We agree with our Supreme Court that although “ ‘nigger’ may once have been in common usage,” it is now considered to be “particularly abusive and insulting . . . as it pertains to the American Negro.”  (</w:t>
      </w:r>
      <w:r w:rsidRPr="007F1CB0">
        <w:rPr>
          <w:i/>
        </w:rPr>
        <w:t>Alcorn v. Anbro Engineering, Inc</w:t>
      </w:r>
      <w:r>
        <w:t>. (19</w:t>
      </w:r>
      <w:r w:rsidR="00DD4AA1">
        <w:t>70) 2 Cal.3d 493, 498, fn. 4.)</w:t>
      </w:r>
    </w:p>
    <w:p w:rsidR="00BB3911" w:rsidRDefault="00A36A50" w:rsidP="0014492C">
      <w:pPr>
        <w:ind w:firstLine="720"/>
      </w:pPr>
      <w:r>
        <w:t>N</w:t>
      </w:r>
      <w:r w:rsidR="00332FBB">
        <w:t>igger</w:t>
      </w:r>
      <w:r>
        <w:t>,</w:t>
      </w:r>
      <w:r w:rsidR="00332FBB">
        <w:t xml:space="preserve"> </w:t>
      </w:r>
      <w:r>
        <w:t xml:space="preserve">however, </w:t>
      </w:r>
      <w:r w:rsidR="00375778">
        <w:t>is not the term at issue</w:t>
      </w:r>
      <w:r w:rsidR="007F1CB0">
        <w:t xml:space="preserve"> here</w:t>
      </w:r>
      <w:r w:rsidR="00375778">
        <w:t xml:space="preserve">.  Rather, the term at issue is nigga. </w:t>
      </w:r>
      <w:r w:rsidR="00332FBB">
        <w:t xml:space="preserve"> </w:t>
      </w:r>
      <w:r w:rsidR="00926284">
        <w:t xml:space="preserve">As Daniel makes clear in his declaration opposing the motion, he was </w:t>
      </w:r>
      <w:r w:rsidR="004F550F">
        <w:t xml:space="preserve">not called nigger by Wayans, but </w:t>
      </w:r>
      <w:r w:rsidR="00926284">
        <w:t>nigga</w:t>
      </w:r>
      <w:r w:rsidR="004F550F">
        <w:t xml:space="preserve">. </w:t>
      </w:r>
      <w:r w:rsidR="003B3D0F">
        <w:t xml:space="preserve"> </w:t>
      </w:r>
      <w:r w:rsidR="008F3468">
        <w:t>N</w:t>
      </w:r>
      <w:r w:rsidR="00603B0F">
        <w:t>igga is not an unambiguous racial epithet</w:t>
      </w:r>
      <w:r w:rsidR="00A84F70">
        <w:t xml:space="preserve"> in today’s world</w:t>
      </w:r>
      <w:r w:rsidR="00205E72">
        <w:t>, especially when used intra-racially, as it was here</w:t>
      </w:r>
      <w:r w:rsidR="00603B0F">
        <w:t xml:space="preserve">.  </w:t>
      </w:r>
      <w:r w:rsidR="00BB3911">
        <w:t>In fact, one noted legal scholar</w:t>
      </w:r>
      <w:r w:rsidR="00C157EF">
        <w:t>, Harvard Law professor, Randall Kennedy has observed that “</w:t>
      </w:r>
      <w:r w:rsidR="009E0877">
        <w:t> </w:t>
      </w:r>
      <w:r w:rsidR="00C157EF">
        <w:t>‘[today</w:t>
      </w:r>
      <w:r w:rsidR="00BB3911">
        <w:t>,</w:t>
      </w:r>
      <w:r w:rsidR="00C157EF">
        <w:t>] when African Americans are speaking to each other, “nigger,” and especially its more genial cousin, “nigga” can be an affectionate greeting, a compliment, or a term of respect.</w:t>
      </w:r>
      <w:r w:rsidR="003140E1">
        <w:t>’</w:t>
      </w:r>
      <w:r w:rsidR="008F0A75">
        <w:t> </w:t>
      </w:r>
      <w:r w:rsidR="00C157EF">
        <w:t xml:space="preserve">” </w:t>
      </w:r>
      <w:r w:rsidR="00BB3911">
        <w:t xml:space="preserve"> (</w:t>
      </w:r>
      <w:r w:rsidR="00C157EF">
        <w:t xml:space="preserve">Perdu and Parks, </w:t>
      </w:r>
      <w:r w:rsidR="00C157EF" w:rsidRPr="00C157EF">
        <w:rPr>
          <w:i/>
        </w:rPr>
        <w:t>The Nth Degree:  Examining Intraracial use of the N-word in Employment Discrimination Cases</w:t>
      </w:r>
      <w:r w:rsidR="00C157EF">
        <w:t xml:space="preserve"> (2014) 64 DePaul L.Rev. 65, 6</w:t>
      </w:r>
      <w:r w:rsidR="009E0877">
        <w:t>7</w:t>
      </w:r>
      <w:r w:rsidR="00C157EF">
        <w:t xml:space="preserve">; see </w:t>
      </w:r>
      <w:r w:rsidR="00BB3911">
        <w:t>Kennedy, Nigger:  The Strange Career  of a Troublesome Wo</w:t>
      </w:r>
      <w:r w:rsidR="003F56A3">
        <w:t>rd (2002) p. 5</w:t>
      </w:r>
      <w:r w:rsidR="00C157EF">
        <w:t xml:space="preserve"> [</w:t>
      </w:r>
      <w:r w:rsidR="00C157EF" w:rsidRPr="00BB3911">
        <w:t>“</w:t>
      </w:r>
      <w:r w:rsidR="00C157EF">
        <w:t>C</w:t>
      </w:r>
      <w:r w:rsidR="00C157EF" w:rsidRPr="00BB3911">
        <w:t>urrently, some people insist upon distinguishing nigger—which they see as exclusively an insult—from nigga, which they view as a term capable of signaling a friendly salutation.”</w:t>
      </w:r>
      <w:r w:rsidR="00C157EF">
        <w:t>].</w:t>
      </w:r>
      <w:r w:rsidR="00C157EF" w:rsidRPr="007670FF">
        <w:rPr>
          <w:rStyle w:val="FootnoteReference"/>
        </w:rPr>
        <w:footnoteReference w:id="7"/>
      </w:r>
      <w:r w:rsidR="00BB3911">
        <w:t>)</w:t>
      </w:r>
    </w:p>
    <w:p w:rsidR="005834A3" w:rsidRDefault="00926284" w:rsidP="0014492C">
      <w:pPr>
        <w:ind w:firstLine="720"/>
      </w:pPr>
      <w:r>
        <w:t xml:space="preserve">Wayans introduced evidence that </w:t>
      </w:r>
      <w:r w:rsidR="008F3468">
        <w:t>nigga</w:t>
      </w:r>
      <w:r w:rsidR="004F550F">
        <w:t xml:space="preserve"> as used by him—</w:t>
      </w:r>
      <w:r w:rsidR="00603B0F">
        <w:t>generally and on the set of A Hau</w:t>
      </w:r>
      <w:r w:rsidR="008F3468">
        <w:t>nted House 2</w:t>
      </w:r>
      <w:r w:rsidR="004F550F">
        <w:t>—</w:t>
      </w:r>
      <w:r w:rsidR="008F3468">
        <w:t xml:space="preserve">and </w:t>
      </w:r>
      <w:r w:rsidR="005834A3">
        <w:t xml:space="preserve">as </w:t>
      </w:r>
      <w:r w:rsidR="004F550F">
        <w:t xml:space="preserve">received by others </w:t>
      </w:r>
      <w:r w:rsidR="005C3E07">
        <w:t xml:space="preserve">working on the movie </w:t>
      </w:r>
      <w:r w:rsidR="005834A3">
        <w:t xml:space="preserve">was not a racial slur, but </w:t>
      </w:r>
      <w:r w:rsidR="005C3E07">
        <w:t xml:space="preserve">a </w:t>
      </w:r>
      <w:r w:rsidR="008F3468">
        <w:t>term of endearment.</w:t>
      </w:r>
      <w:r w:rsidR="000F58D6">
        <w:t xml:space="preserve">  </w:t>
      </w:r>
      <w:r w:rsidR="004F550F">
        <w:t xml:space="preserve">In rebuttal, </w:t>
      </w:r>
      <w:r w:rsidR="000F58D6">
        <w:t xml:space="preserve">Daniel </w:t>
      </w:r>
      <w:r w:rsidR="004F550F">
        <w:t xml:space="preserve">stated </w:t>
      </w:r>
      <w:r w:rsidR="000F58D6">
        <w:t>that</w:t>
      </w:r>
      <w:r w:rsidR="008F5F14">
        <w:t>,</w:t>
      </w:r>
      <w:r w:rsidR="000F58D6">
        <w:t xml:space="preserve"> </w:t>
      </w:r>
      <w:r w:rsidR="008F5F14">
        <w:t xml:space="preserve">regardless of how others found Wayans’s use of the term, </w:t>
      </w:r>
      <w:r w:rsidR="000F58D6">
        <w:t xml:space="preserve">he found the term </w:t>
      </w:r>
      <w:r w:rsidR="004F3B90">
        <w:t xml:space="preserve">personally offensive </w:t>
      </w:r>
      <w:r w:rsidR="005F26B6">
        <w:t>when directed at him</w:t>
      </w:r>
      <w:r w:rsidR="004F550F">
        <w:t>.</w:t>
      </w:r>
      <w:r w:rsidR="005834A3">
        <w:t xml:space="preserve">  </w:t>
      </w:r>
      <w:r w:rsidR="00AD6E0F">
        <w:t xml:space="preserve">But Daniel limited his rebuttal to </w:t>
      </w:r>
      <w:r w:rsidR="008F5F14">
        <w:t xml:space="preserve">only </w:t>
      </w:r>
      <w:r w:rsidR="00AD6E0F">
        <w:t xml:space="preserve">his subjective perspective.  In other words, </w:t>
      </w:r>
      <w:r w:rsidR="005834A3">
        <w:t xml:space="preserve">Daniel </w:t>
      </w:r>
      <w:r w:rsidR="00AD6E0F">
        <w:t xml:space="preserve">did not </w:t>
      </w:r>
      <w:r w:rsidR="005834A3">
        <w:t xml:space="preserve">introduce any evidence </w:t>
      </w:r>
      <w:r w:rsidR="00195EB6">
        <w:t xml:space="preserve">showing that </w:t>
      </w:r>
      <w:r w:rsidR="000F58D6">
        <w:t xml:space="preserve">an objectively reasonable Black </w:t>
      </w:r>
      <w:r w:rsidR="00A84F70">
        <w:t>actor</w:t>
      </w:r>
      <w:r w:rsidR="000F58D6">
        <w:t xml:space="preserve"> in his situation would </w:t>
      </w:r>
      <w:r w:rsidR="008F5F14">
        <w:t xml:space="preserve">also </w:t>
      </w:r>
      <w:r w:rsidR="000F58D6">
        <w:t>find the term offensive</w:t>
      </w:r>
      <w:r w:rsidR="00BB3911">
        <w:t xml:space="preserve"> such that it</w:t>
      </w:r>
      <w:r w:rsidR="00195EB6">
        <w:t>s</w:t>
      </w:r>
      <w:r w:rsidR="00BB3911">
        <w:t xml:space="preserve"> </w:t>
      </w:r>
      <w:r w:rsidR="003140E1">
        <w:t xml:space="preserve">usage would </w:t>
      </w:r>
      <w:r w:rsidR="00BB3911" w:rsidRPr="001A41A2">
        <w:t xml:space="preserve">unreasonably interfere with </w:t>
      </w:r>
      <w:r w:rsidR="00BB3911">
        <w:t xml:space="preserve">his </w:t>
      </w:r>
      <w:r w:rsidR="00BB3911" w:rsidRPr="001A41A2">
        <w:t>work performance</w:t>
      </w:r>
      <w:r w:rsidR="008F5F14">
        <w:t>.</w:t>
      </w:r>
      <w:r w:rsidR="0057740E">
        <w:t xml:space="preserve">  Under the law that is not a sufficient showing.  </w:t>
      </w:r>
      <w:r w:rsidR="0057740E" w:rsidRPr="0057740E">
        <w:t>(</w:t>
      </w:r>
      <w:r w:rsidR="009D5C8B" w:rsidRPr="009D5C8B">
        <w:t xml:space="preserve">See </w:t>
      </w:r>
      <w:r w:rsidR="0057740E" w:rsidRPr="0057740E">
        <w:rPr>
          <w:i/>
        </w:rPr>
        <w:t>Hope v. California Youth Authority</w:t>
      </w:r>
      <w:r w:rsidR="0057740E" w:rsidRPr="0057740E">
        <w:t xml:space="preserve"> (2005) 134 Cal.App.4th 577, 588 </w:t>
      </w:r>
      <w:r w:rsidR="0057740E">
        <w:t>[</w:t>
      </w:r>
      <w:r w:rsidR="0057740E" w:rsidRPr="0057740E">
        <w:t>“</w:t>
      </w:r>
      <w:r w:rsidR="0057740E">
        <w:t>h</w:t>
      </w:r>
      <w:r w:rsidR="0057740E" w:rsidRPr="0057740E">
        <w:t xml:space="preserve">arassment must satisfy an objective </w:t>
      </w:r>
      <w:r w:rsidR="0057740E" w:rsidRPr="005C3E07">
        <w:rPr>
          <w:i/>
        </w:rPr>
        <w:t>and</w:t>
      </w:r>
      <w:r w:rsidR="0057740E" w:rsidRPr="0057740E">
        <w:t xml:space="preserve"> a subjective standard</w:t>
      </w:r>
      <w:r w:rsidR="0057740E">
        <w:t>”</w:t>
      </w:r>
      <w:r w:rsidR="009D5C8B">
        <w:t>]</w:t>
      </w:r>
      <w:r w:rsidR="005C3E07">
        <w:t xml:space="preserve"> italics added</w:t>
      </w:r>
      <w:r w:rsidR="0057740E" w:rsidRPr="0057740E">
        <w:t>.)</w:t>
      </w:r>
    </w:p>
    <w:p w:rsidR="00DC3FAF" w:rsidRDefault="00336BD8">
      <w:pPr>
        <w:ind w:firstLine="720"/>
      </w:pPr>
      <w:r>
        <w:t>Moreover, t</w:t>
      </w:r>
      <w:r w:rsidR="0008161A">
        <w:t xml:space="preserve">he evidence </w:t>
      </w:r>
      <w:r w:rsidR="00195EB6">
        <w:t xml:space="preserve">introduced </w:t>
      </w:r>
      <w:r w:rsidR="005834A3">
        <w:t xml:space="preserve">below </w:t>
      </w:r>
      <w:r w:rsidR="0008161A">
        <w:t xml:space="preserve">suggests </w:t>
      </w:r>
      <w:r w:rsidR="001E67FD">
        <w:t>the contrary</w:t>
      </w:r>
      <w:r>
        <w:t xml:space="preserve"> to Daniel’s claim</w:t>
      </w:r>
      <w:r w:rsidR="001E67FD">
        <w:t xml:space="preserve">—that is, </w:t>
      </w:r>
      <w:r w:rsidR="0008161A">
        <w:t xml:space="preserve">a </w:t>
      </w:r>
      <w:r>
        <w:t xml:space="preserve">reasonable </w:t>
      </w:r>
      <w:r w:rsidR="0008161A">
        <w:t xml:space="preserve">Black actor who voluntarily agreed to participate in a movie </w:t>
      </w:r>
      <w:r w:rsidR="005F26B6">
        <w:t xml:space="preserve">addressing racial stereotypes </w:t>
      </w:r>
      <w:r w:rsidR="008F5F14">
        <w:t xml:space="preserve">that was </w:t>
      </w:r>
      <w:r w:rsidR="0008161A">
        <w:t>writte</w:t>
      </w:r>
      <w:r w:rsidR="007F1CB0">
        <w:t>n, produced and starr</w:t>
      </w:r>
      <w:r w:rsidR="008F5F14">
        <w:t>ed</w:t>
      </w:r>
      <w:r w:rsidR="007F1CB0">
        <w:t xml:space="preserve"> Wayans—an artist known for </w:t>
      </w:r>
      <w:r w:rsidR="008F5F14">
        <w:t xml:space="preserve">his </w:t>
      </w:r>
      <w:r w:rsidR="007F1CB0">
        <w:t>frequent use of both nigger and nigga</w:t>
      </w:r>
      <w:r w:rsidR="003140E1">
        <w:t xml:space="preserve"> in his work</w:t>
      </w:r>
      <w:r w:rsidR="00AD6E0F" w:rsidRPr="00C5379B">
        <w:rPr>
          <w:rStyle w:val="FootnoteReference"/>
        </w:rPr>
        <w:footnoteReference w:id="8"/>
      </w:r>
      <w:r w:rsidR="007F1CB0">
        <w:t>—</w:t>
      </w:r>
      <w:r w:rsidR="005F26B6">
        <w:t xml:space="preserve">would be on notice that potentially racially charged language would be used </w:t>
      </w:r>
      <w:r>
        <w:t xml:space="preserve">in the film, and, </w:t>
      </w:r>
      <w:r w:rsidR="005F26B6">
        <w:t xml:space="preserve">given the improvisational nature of the production, </w:t>
      </w:r>
      <w:r>
        <w:t xml:space="preserve">that </w:t>
      </w:r>
      <w:r w:rsidR="005F26B6">
        <w:t xml:space="preserve">such language might be used among the actors and </w:t>
      </w:r>
      <w:r>
        <w:t>production staff</w:t>
      </w:r>
      <w:r w:rsidR="005F26B6">
        <w:t xml:space="preserve"> when the cameras were not rolling to help develop storylines and dialogue</w:t>
      </w:r>
      <w:r w:rsidR="00AD6E0F">
        <w:t xml:space="preserve">.  </w:t>
      </w:r>
      <w:r w:rsidR="00B420CB">
        <w:t xml:space="preserve">Consequently, </w:t>
      </w:r>
      <w:r w:rsidR="00177ABC">
        <w:t xml:space="preserve">under the facts of this case the use of the term nigga did not </w:t>
      </w:r>
      <w:r w:rsidR="00674150">
        <w:t xml:space="preserve">create a </w:t>
      </w:r>
      <w:r w:rsidR="00AA1352">
        <w:t>“ ‘</w:t>
      </w:r>
      <w:r w:rsidR="00674150" w:rsidRPr="00C325A4">
        <w:t>hostile or abusive work environment</w:t>
      </w:r>
      <w:r w:rsidR="00674150">
        <w:t>.</w:t>
      </w:r>
      <w:r w:rsidR="00AA1352">
        <w:t>’ ”</w:t>
      </w:r>
      <w:r w:rsidR="00674150">
        <w:t xml:space="preserve"> </w:t>
      </w:r>
      <w:r w:rsidR="006A7046">
        <w:t xml:space="preserve"> </w:t>
      </w:r>
      <w:r w:rsidR="00674150">
        <w:t>(</w:t>
      </w:r>
      <w:r w:rsidR="00674150" w:rsidRPr="00C325A4">
        <w:rPr>
          <w:i/>
          <w:iCs/>
        </w:rPr>
        <w:t>Aguilar</w:t>
      </w:r>
      <w:r w:rsidR="0020040E" w:rsidRPr="00833D54">
        <w:rPr>
          <w:i/>
        </w:rPr>
        <w:t xml:space="preserve"> v. Avis Rent A Car System, Inc</w:t>
      </w:r>
      <w:r w:rsidR="0020040E" w:rsidRPr="00833D54">
        <w:t>.</w:t>
      </w:r>
      <w:r w:rsidR="00674150">
        <w:rPr>
          <w:iCs/>
        </w:rPr>
        <w:t xml:space="preserve">, </w:t>
      </w:r>
      <w:r w:rsidR="00674150">
        <w:rPr>
          <w:i/>
          <w:iCs/>
        </w:rPr>
        <w:t>supra</w:t>
      </w:r>
      <w:r w:rsidR="00674150">
        <w:rPr>
          <w:iCs/>
        </w:rPr>
        <w:t>,</w:t>
      </w:r>
      <w:r w:rsidR="00674150" w:rsidRPr="00C325A4">
        <w:t xml:space="preserve"> 21 Cal.4th </w:t>
      </w:r>
      <w:r w:rsidR="00674150">
        <w:t>at p.</w:t>
      </w:r>
      <w:r w:rsidR="00674150" w:rsidRPr="00C325A4">
        <w:t xml:space="preserve"> 130</w:t>
      </w:r>
      <w:r w:rsidR="00AA1352">
        <w:t>.)</w:t>
      </w:r>
    </w:p>
    <w:p w:rsidR="00CE01ED" w:rsidRDefault="00BB3911" w:rsidP="0014492C">
      <w:pPr>
        <w:ind w:firstLine="720"/>
      </w:pPr>
      <w:r>
        <w:t xml:space="preserve">The doubts about Daniel’s ability to prevail </w:t>
      </w:r>
      <w:r w:rsidR="00B420CB">
        <w:t xml:space="preserve">on his racial harassment </w:t>
      </w:r>
      <w:r w:rsidR="00BE3D9A">
        <w:t xml:space="preserve">claim </w:t>
      </w:r>
      <w:r>
        <w:t xml:space="preserve">are </w:t>
      </w:r>
      <w:r w:rsidR="003871C1">
        <w:t xml:space="preserve">raised </w:t>
      </w:r>
      <w:r>
        <w:t>to a fatal level when he fails to mention</w:t>
      </w:r>
      <w:r w:rsidR="00BE3D9A">
        <w:t>, let alone discuss,</w:t>
      </w:r>
      <w:r>
        <w:t xml:space="preserve"> how the use of the allegedly offensive language adversely</w:t>
      </w:r>
      <w:r w:rsidR="000C5B2F">
        <w:t xml:space="preserve"> affected him in his work for the movie</w:t>
      </w:r>
      <w:r w:rsidR="0057740E">
        <w:t xml:space="preserve"> and would have affected a reasonable Black actor’s performance. </w:t>
      </w:r>
      <w:r w:rsidR="000C5B2F">
        <w:t xml:space="preserve"> Although </w:t>
      </w:r>
      <w:r w:rsidR="00823FD0">
        <w:t xml:space="preserve">Daniel </w:t>
      </w:r>
      <w:r w:rsidR="000C5B2F">
        <w:t>s</w:t>
      </w:r>
      <w:r w:rsidR="00823FD0">
        <w:t xml:space="preserve">tates </w:t>
      </w:r>
      <w:r w:rsidR="000C5B2F">
        <w:t xml:space="preserve">that </w:t>
      </w:r>
      <w:r w:rsidR="001E67FD">
        <w:t xml:space="preserve">Wayans’s alleged harassment made him feel “self-conscious, insecure,” </w:t>
      </w:r>
      <w:r w:rsidR="002F3A9F">
        <w:t>“</w:t>
      </w:r>
      <w:r w:rsidR="001E67FD">
        <w:t xml:space="preserve">humiliated,” and “embarrassed” while he was on the set, </w:t>
      </w:r>
      <w:r w:rsidR="000C5B2F">
        <w:t xml:space="preserve">his declaration is </w:t>
      </w:r>
      <w:r w:rsidR="00823FD0">
        <w:t xml:space="preserve">completely and </w:t>
      </w:r>
      <w:r w:rsidR="000C5B2F">
        <w:t>telling</w:t>
      </w:r>
      <w:r w:rsidR="00D2220D">
        <w:t>ly</w:t>
      </w:r>
      <w:r w:rsidR="000C5B2F">
        <w:t xml:space="preserve"> silent with regard to how Wayans’s on-set comments and conduct adversely affected his work performance</w:t>
      </w:r>
      <w:r w:rsidR="003F56A3">
        <w:t xml:space="preserve"> that day</w:t>
      </w:r>
      <w:r w:rsidR="000C5B2F">
        <w:t xml:space="preserve">.  </w:t>
      </w:r>
      <w:r w:rsidR="00195EB6">
        <w:t>N</w:t>
      </w:r>
      <w:r w:rsidR="00D2220D">
        <w:t xml:space="preserve">one of the other declarants who were on the set that day—Wayans, Pressly, and Alvarez—observed </w:t>
      </w:r>
      <w:r w:rsidR="005A2E38">
        <w:t>Daniel</w:t>
      </w:r>
      <w:r w:rsidR="00D2220D">
        <w:t xml:space="preserve"> having </w:t>
      </w:r>
      <w:r w:rsidR="00EF7CD4">
        <w:t xml:space="preserve">any </w:t>
      </w:r>
      <w:r w:rsidR="00D2220D">
        <w:t>trouble in p</w:t>
      </w:r>
      <w:r w:rsidR="004F3B90">
        <w:t xml:space="preserve">erforming his </w:t>
      </w:r>
      <w:r w:rsidR="001E67FD">
        <w:t xml:space="preserve">duties.  None of the declarants, including </w:t>
      </w:r>
      <w:r w:rsidR="005A2E38">
        <w:t>Daniel</w:t>
      </w:r>
      <w:r w:rsidR="00E73679">
        <w:t xml:space="preserve"> himself</w:t>
      </w:r>
      <w:r w:rsidR="001E67FD">
        <w:t xml:space="preserve">, </w:t>
      </w:r>
      <w:r w:rsidR="004F3B90">
        <w:t>state</w:t>
      </w:r>
      <w:r w:rsidR="001E67FD">
        <w:t>s</w:t>
      </w:r>
      <w:r w:rsidR="004F3B90">
        <w:t xml:space="preserve">, for example, that </w:t>
      </w:r>
      <w:r w:rsidR="001E67FD">
        <w:t xml:space="preserve">his </w:t>
      </w:r>
      <w:r w:rsidR="004F3B90">
        <w:t xml:space="preserve">scene had to be reshot </w:t>
      </w:r>
      <w:r w:rsidR="00CE01ED">
        <w:t xml:space="preserve">and/or delayed in being shot </w:t>
      </w:r>
      <w:r w:rsidR="004F3B90">
        <w:t xml:space="preserve">because Daniel was </w:t>
      </w:r>
      <w:r w:rsidR="00EF7CD4">
        <w:t xml:space="preserve">plainly </w:t>
      </w:r>
      <w:r w:rsidR="004F3B90">
        <w:t xml:space="preserve">troubled </w:t>
      </w:r>
      <w:r w:rsidR="00EF7CD4">
        <w:t xml:space="preserve">by something </w:t>
      </w:r>
      <w:r w:rsidR="00195EB6">
        <w:t xml:space="preserve">that occurred when the cameras were not rolling </w:t>
      </w:r>
      <w:r w:rsidR="004F3B90">
        <w:t>and</w:t>
      </w:r>
      <w:r w:rsidR="00195EB6">
        <w:t>, as a result,</w:t>
      </w:r>
      <w:r w:rsidR="004F3B90">
        <w:t xml:space="preserve"> </w:t>
      </w:r>
      <w:r w:rsidR="00F223E9">
        <w:t xml:space="preserve">he </w:t>
      </w:r>
      <w:r w:rsidR="008F5F14">
        <w:t xml:space="preserve">was </w:t>
      </w:r>
      <w:r w:rsidR="004F3B90">
        <w:t>unable to get into character</w:t>
      </w:r>
      <w:r w:rsidR="00CE01ED">
        <w:t xml:space="preserve"> and/or perform his role</w:t>
      </w:r>
      <w:r w:rsidR="00E73679">
        <w:t xml:space="preserve"> in an efficient and effective manner</w:t>
      </w:r>
      <w:r w:rsidR="004F3B90">
        <w:t>.</w:t>
      </w:r>
      <w:r w:rsidR="00E73679">
        <w:t xml:space="preserve">  The only reasonable conclusion that can be drawn from such silence is that the alleged racial harassment had no adverse effect</w:t>
      </w:r>
      <w:r w:rsidR="000D432F">
        <w:t xml:space="preserve"> on Daniel’s work performance</w:t>
      </w:r>
      <w:r w:rsidR="00B4637A">
        <w:t>.</w:t>
      </w:r>
      <w:r w:rsidR="00225E1C" w:rsidRPr="002F3A9F">
        <w:rPr>
          <w:rStyle w:val="FootnoteReference"/>
        </w:rPr>
        <w:footnoteReference w:id="9"/>
      </w:r>
    </w:p>
    <w:p w:rsidR="00A36A50" w:rsidRDefault="00EF7CD4" w:rsidP="0014492C">
      <w:pPr>
        <w:ind w:firstLine="720"/>
      </w:pPr>
      <w:r>
        <w:t xml:space="preserve">In sum, </w:t>
      </w:r>
      <w:r w:rsidR="00823FD0">
        <w:t xml:space="preserve">looking, as we must, at the </w:t>
      </w:r>
      <w:r w:rsidR="00823FD0" w:rsidRPr="001A41A2">
        <w:t>totality of the circumstances</w:t>
      </w:r>
      <w:r w:rsidR="00823FD0">
        <w:t xml:space="preserve">, the alleged acts of racial harassment </w:t>
      </w:r>
      <w:r w:rsidR="005C3E07">
        <w:t xml:space="preserve">here </w:t>
      </w:r>
      <w:r w:rsidR="000D7B45">
        <w:t xml:space="preserve">did not </w:t>
      </w:r>
      <w:r w:rsidR="00A36A50" w:rsidRPr="00833D54">
        <w:t>alt</w:t>
      </w:r>
      <w:r w:rsidR="00A36A50">
        <w:t xml:space="preserve">er the conditions of </w:t>
      </w:r>
      <w:r w:rsidR="00823FD0">
        <w:t xml:space="preserve">Daniel’s </w:t>
      </w:r>
      <w:r w:rsidR="00A36A50" w:rsidRPr="00833D54">
        <w:t>employment and create an abusive environment</w:t>
      </w:r>
      <w:r w:rsidR="00823FD0">
        <w:t xml:space="preserve">.  Even when we credit Daniel’s </w:t>
      </w:r>
      <w:r w:rsidR="00063BC0">
        <w:t>evidence</w:t>
      </w:r>
      <w:r w:rsidR="00823FD0">
        <w:t>, th</w:t>
      </w:r>
      <w:r w:rsidR="00063BC0">
        <w:t xml:space="preserve">at evidence is </w:t>
      </w:r>
      <w:r w:rsidR="00823FD0">
        <w:t>insufficient as a matter of law to sustain a judgment favorable to him.  Accordingly, we hold that the trial court properly struck Daniel’s racial h</w:t>
      </w:r>
      <w:r w:rsidR="008F0A75">
        <w:t>arassment claim against Wayans.</w:t>
      </w:r>
    </w:p>
    <w:p w:rsidR="00804E61" w:rsidRDefault="00824D46" w:rsidP="00225E1C">
      <w:pPr>
        <w:keepNext/>
        <w:ind w:firstLine="720"/>
      </w:pPr>
      <w:r>
        <w:t>B</w:t>
      </w:r>
      <w:r w:rsidR="00804E61">
        <w:t>.</w:t>
      </w:r>
      <w:r w:rsidR="00804E61">
        <w:tab/>
      </w:r>
      <w:r w:rsidR="00804E61">
        <w:rPr>
          <w:smallCaps/>
        </w:rPr>
        <w:t>Misappropriation</w:t>
      </w:r>
    </w:p>
    <w:p w:rsidR="00143FBF" w:rsidRDefault="008F0D6F" w:rsidP="008F0D6F">
      <w:pPr>
        <w:ind w:firstLine="720"/>
      </w:pPr>
      <w:r>
        <w:t xml:space="preserve">Daniel’s </w:t>
      </w:r>
      <w:r w:rsidR="00843E7A">
        <w:t>claims for statutory and common la</w:t>
      </w:r>
      <w:r>
        <w:t xml:space="preserve">w misappropriation </w:t>
      </w:r>
      <w:r w:rsidR="00843E7A">
        <w:t xml:space="preserve">of name and likeness </w:t>
      </w:r>
      <w:r>
        <w:t xml:space="preserve">(fifth and sixth causes of action) are based solely on the Internet posting.  Daniel failed to meet his burden of showing a probability of prevailing with respect to these claims for two reasons:  first, </w:t>
      </w:r>
      <w:r w:rsidR="003951A7">
        <w:t xml:space="preserve">Daniel failed to overcome evidence that he waived his claims when he signed the </w:t>
      </w:r>
      <w:r w:rsidR="005B6D9C">
        <w:t>v</w:t>
      </w:r>
      <w:r w:rsidR="003951A7">
        <w:t>oucher</w:t>
      </w:r>
      <w:r w:rsidR="0011581B">
        <w:t>,</w:t>
      </w:r>
      <w:r w:rsidR="003951A7">
        <w:t xml:space="preserve"> which contained </w:t>
      </w:r>
      <w:r>
        <w:t>a broad release consenting to the use of his image</w:t>
      </w:r>
      <w:r w:rsidR="003951A7">
        <w:t xml:space="preserve"> in connection with the movie</w:t>
      </w:r>
      <w:r>
        <w:t xml:space="preserve">; second, </w:t>
      </w:r>
      <w:r w:rsidR="003951A7">
        <w:t>even if Daniel did not release his claims</w:t>
      </w:r>
      <w:r w:rsidR="0073295A">
        <w:t xml:space="preserve"> or the </w:t>
      </w:r>
      <w:r w:rsidR="005B6D9C">
        <w:t>v</w:t>
      </w:r>
      <w:r w:rsidR="0073295A">
        <w:t>oucher was inadmissible</w:t>
      </w:r>
      <w:r w:rsidR="003951A7">
        <w:t xml:space="preserve">, </w:t>
      </w:r>
      <w:r>
        <w:t>Wayans’s transformative use of Daniel’s photograph established a complete defense.</w:t>
      </w:r>
    </w:p>
    <w:p w:rsidR="008F0D6F" w:rsidRDefault="008F0D6F" w:rsidP="008F0D6F">
      <w:pPr>
        <w:ind w:firstLine="720"/>
      </w:pPr>
      <w:r>
        <w:tab/>
        <w:t>1.</w:t>
      </w:r>
      <w:r>
        <w:tab/>
      </w:r>
      <w:r w:rsidRPr="008F0D6F">
        <w:rPr>
          <w:i/>
        </w:rPr>
        <w:t xml:space="preserve">The </w:t>
      </w:r>
      <w:r w:rsidR="005B6D9C">
        <w:rPr>
          <w:i/>
        </w:rPr>
        <w:t>v</w:t>
      </w:r>
      <w:r w:rsidRPr="008F0D6F">
        <w:rPr>
          <w:i/>
        </w:rPr>
        <w:t>oucher</w:t>
      </w:r>
    </w:p>
    <w:p w:rsidR="00273369" w:rsidRDefault="00EE7EA9" w:rsidP="00273369">
      <w:pPr>
        <w:ind w:firstLine="720"/>
      </w:pPr>
      <w:r>
        <w:t xml:space="preserve">An essential element for either a common law or statutory misappropriation claim is the unauthorized use of plaintiff’s image.  (See </w:t>
      </w:r>
      <w:r w:rsidRPr="003951A7">
        <w:rPr>
          <w:i/>
        </w:rPr>
        <w:t>Kirby v. Sega of Am</w:t>
      </w:r>
      <w:r w:rsidR="00AA2CF0">
        <w:rPr>
          <w:i/>
        </w:rPr>
        <w:t>erican</w:t>
      </w:r>
      <w:r w:rsidRPr="003951A7">
        <w:rPr>
          <w:i/>
        </w:rPr>
        <w:t>, Inc</w:t>
      </w:r>
      <w:r>
        <w:t xml:space="preserve">. </w:t>
      </w:r>
      <w:r w:rsidR="00AA2CF0">
        <w:t xml:space="preserve">(2006) </w:t>
      </w:r>
      <w:r>
        <w:t xml:space="preserve">144 Cal.App.4th 47, 55 [common law misappropriation claim]; </w:t>
      </w:r>
      <w:r w:rsidRPr="003951A7">
        <w:rPr>
          <w:i/>
        </w:rPr>
        <w:t>Montana v. San Jose Mercury News</w:t>
      </w:r>
      <w:r w:rsidR="0010777C">
        <w:rPr>
          <w:i/>
        </w:rPr>
        <w:t>, Inc.</w:t>
      </w:r>
      <w:r>
        <w:t xml:space="preserve"> </w:t>
      </w:r>
      <w:r w:rsidR="0010777C">
        <w:t xml:space="preserve">(1995) </w:t>
      </w:r>
      <w:r>
        <w:t>34</w:t>
      </w:r>
      <w:r w:rsidR="003951A7">
        <w:t xml:space="preserve"> Cal.App.4th 790, 793 [</w:t>
      </w:r>
      <w:r>
        <w:t>statutory misappropriation claim</w:t>
      </w:r>
      <w:r w:rsidR="003951A7">
        <w:t>].</w:t>
      </w:r>
      <w:r>
        <w:t>)</w:t>
      </w:r>
      <w:r w:rsidR="003951A7">
        <w:t xml:space="preserve">  As discussed above, the </w:t>
      </w:r>
      <w:r w:rsidR="005764AE">
        <w:t>v</w:t>
      </w:r>
      <w:r w:rsidR="003951A7">
        <w:t>oucher contains a broad release regarding the use of Daniel’s image</w:t>
      </w:r>
      <w:r w:rsidR="00273369">
        <w:t xml:space="preserve"> “in </w:t>
      </w:r>
      <w:r w:rsidR="00273369" w:rsidRPr="00273369">
        <w:rPr>
          <w:i/>
        </w:rPr>
        <w:t xml:space="preserve">any </w:t>
      </w:r>
      <w:r w:rsidR="00273369">
        <w:t xml:space="preserve">manner whatsoever and for </w:t>
      </w:r>
      <w:r w:rsidR="00273369" w:rsidRPr="00273369">
        <w:rPr>
          <w:i/>
        </w:rPr>
        <w:t>any</w:t>
      </w:r>
      <w:r w:rsidR="00273369">
        <w:t xml:space="preserve"> reason in connection with </w:t>
      </w:r>
      <w:r w:rsidR="005764AE">
        <w:t>T</w:t>
      </w:r>
      <w:r w:rsidR="00273369">
        <w:t xml:space="preserve">he </w:t>
      </w:r>
      <w:r w:rsidR="005764AE">
        <w:t>P</w:t>
      </w:r>
      <w:r w:rsidR="00273369">
        <w:t>roduction</w:t>
      </w:r>
      <w:r w:rsidR="003951A7">
        <w:t>.</w:t>
      </w:r>
      <w:r w:rsidR="00273369">
        <w:t>”</w:t>
      </w:r>
      <w:r w:rsidR="003951A7">
        <w:t xml:space="preserve">  </w:t>
      </w:r>
      <w:r w:rsidR="00D05776">
        <w:t>(Italics added.)</w:t>
      </w:r>
    </w:p>
    <w:p w:rsidR="00EE7EA9" w:rsidRDefault="003951A7" w:rsidP="00273369">
      <w:pPr>
        <w:ind w:firstLine="720"/>
      </w:pPr>
      <w:r>
        <w:t xml:space="preserve">On appeal, </w:t>
      </w:r>
      <w:r w:rsidR="00273369">
        <w:t xml:space="preserve">Daniel makes two related arguments:  </w:t>
      </w:r>
      <w:r w:rsidR="00762C56">
        <w:t>(a)</w:t>
      </w:r>
      <w:r w:rsidR="00E809A0">
        <w:t> </w:t>
      </w:r>
      <w:r w:rsidR="00273369">
        <w:t xml:space="preserve">the trial court </w:t>
      </w:r>
      <w:r w:rsidR="00762C56">
        <w:t xml:space="preserve">improperly overruled his objection to the </w:t>
      </w:r>
      <w:r w:rsidR="00E809A0">
        <w:t>v</w:t>
      </w:r>
      <w:r w:rsidR="00273369">
        <w:t>oucher</w:t>
      </w:r>
      <w:r w:rsidR="00762C56">
        <w:t xml:space="preserve"> on authentication grounds; and (b) the </w:t>
      </w:r>
      <w:r w:rsidR="00E809A0">
        <w:t>v</w:t>
      </w:r>
      <w:r w:rsidR="00762C56">
        <w:t>oucher does not establish that the release runs in favor of Wayans.</w:t>
      </w:r>
      <w:r w:rsidR="00CD6AD4">
        <w:t xml:space="preserve">  We do not find either argument to have merit.</w:t>
      </w:r>
    </w:p>
    <w:p w:rsidR="00EE7EA9" w:rsidRPr="00D821FC" w:rsidRDefault="00616C99" w:rsidP="00804E61">
      <w:pPr>
        <w:ind w:firstLine="720"/>
      </w:pPr>
      <w:r w:rsidRPr="00D821FC">
        <w:tab/>
      </w:r>
      <w:r w:rsidR="00762C56" w:rsidRPr="00D821FC">
        <w:tab/>
        <w:t>a.</w:t>
      </w:r>
      <w:r w:rsidR="00762C56" w:rsidRPr="00D821FC">
        <w:tab/>
        <w:t xml:space="preserve">The trial court did not err by overruling Daniel’s </w:t>
      </w:r>
      <w:r w:rsidR="004649E3" w:rsidRPr="00D821FC">
        <w:t xml:space="preserve">authentication </w:t>
      </w:r>
      <w:r w:rsidR="00762C56" w:rsidRPr="00D821FC">
        <w:t xml:space="preserve">objection to the </w:t>
      </w:r>
      <w:r w:rsidR="00D821FC">
        <w:t>v</w:t>
      </w:r>
      <w:r w:rsidR="00762C56" w:rsidRPr="00D821FC">
        <w:t>oucher</w:t>
      </w:r>
    </w:p>
    <w:p w:rsidR="00762C56" w:rsidRDefault="00762C56" w:rsidP="00804E61">
      <w:pPr>
        <w:ind w:firstLine="720"/>
      </w:pPr>
      <w:r>
        <w:t>“</w:t>
      </w:r>
      <w:r w:rsidRPr="00762C56">
        <w:t xml:space="preserve">Evidentiary challenges </w:t>
      </w:r>
      <w:r>
        <w:t xml:space="preserve">[on a anti-SLAPP motion] </w:t>
      </w:r>
      <w:r w:rsidRPr="00762C56">
        <w:t xml:space="preserve">are reviewed only for abuse of discretion. </w:t>
      </w:r>
      <w:r>
        <w:t xml:space="preserve"> [Citation.]</w:t>
      </w:r>
      <w:r w:rsidRPr="00762C56">
        <w:t xml:space="preserve"> </w:t>
      </w:r>
      <w:r w:rsidR="00CD6AD4">
        <w:t xml:space="preserve"> </w:t>
      </w:r>
      <w:r w:rsidRPr="00762C56">
        <w:t>As such, we will not overturn an evide</w:t>
      </w:r>
      <w:r w:rsidR="004649E3">
        <w:t>ntiary ruling on appeal unless ‘</w:t>
      </w:r>
      <w:r w:rsidRPr="00762C56">
        <w:t>the trial court exceeded the bounds of reason, all of the circumstances before it being considered.</w:t>
      </w:r>
      <w:r w:rsidR="004649E3">
        <w:t>’</w:t>
      </w:r>
      <w:r w:rsidR="00206527">
        <w:t> </w:t>
      </w:r>
      <w:r w:rsidRPr="00762C56">
        <w:t>”</w:t>
      </w:r>
      <w:r w:rsidR="004649E3">
        <w:t xml:space="preserve">  (</w:t>
      </w:r>
      <w:r w:rsidR="00CD6AD4">
        <w:rPr>
          <w:i/>
        </w:rPr>
        <w:t xml:space="preserve">Public Employees’ </w:t>
      </w:r>
      <w:r w:rsidR="004649E3" w:rsidRPr="004649E3">
        <w:rPr>
          <w:i/>
        </w:rPr>
        <w:t>Retirement System v. Moody's Investors Service, Inc</w:t>
      </w:r>
      <w:r w:rsidR="004649E3" w:rsidRPr="004649E3">
        <w:t>.</w:t>
      </w:r>
      <w:r w:rsidR="004649E3">
        <w:t xml:space="preserve"> (2014) 226 Cal.App.4th 643, 683.)</w:t>
      </w:r>
    </w:p>
    <w:p w:rsidR="00762C56" w:rsidRDefault="002F759D" w:rsidP="00804E61">
      <w:pPr>
        <w:ind w:firstLine="720"/>
      </w:pPr>
      <w:r>
        <w:t>“[W]</w:t>
      </w:r>
      <w:r w:rsidRPr="002F759D">
        <w:t>hile all writings must be authenticated before they are received into evidence (</w:t>
      </w:r>
      <w:r>
        <w:t>[Evid. Code</w:t>
      </w:r>
      <w:r w:rsidR="00206527">
        <w:t>,</w:t>
      </w:r>
      <w:r>
        <w:t xml:space="preserve">] </w:t>
      </w:r>
      <w:r w:rsidRPr="002F759D">
        <w:t>§ 1401), the proponent’s burden of producing evidence to sho</w:t>
      </w:r>
      <w:r>
        <w:t>w authenticity ([Evid. Code</w:t>
      </w:r>
      <w:r w:rsidR="00206527">
        <w:t>,</w:t>
      </w:r>
      <w:r>
        <w:t>] § 1400) is met ‘</w:t>
      </w:r>
      <w:r w:rsidRPr="002F759D">
        <w:t>when sufficient evidence has been produced to sustain a finding that the document is what</w:t>
      </w:r>
      <w:r>
        <w:t xml:space="preserve"> it purports to be. </w:t>
      </w:r>
      <w:r w:rsidR="00CD6AD4">
        <w:t xml:space="preserve"> </w:t>
      </w:r>
      <w:r>
        <w:t>[Citation.]’</w:t>
      </w:r>
      <w:r w:rsidRPr="002F759D">
        <w:t xml:space="preserve"> </w:t>
      </w:r>
      <w:r>
        <w:t xml:space="preserve"> [Citation.] </w:t>
      </w:r>
      <w:r w:rsidRPr="002F759D">
        <w:t xml:space="preserve"> The author’s testimony is not required to authenticate a document (</w:t>
      </w:r>
      <w:r>
        <w:t>[Evid. Code</w:t>
      </w:r>
      <w:r w:rsidR="00206527">
        <w:t>,</w:t>
      </w:r>
      <w:r>
        <w:t xml:space="preserve">] </w:t>
      </w:r>
      <w:r w:rsidRPr="002F759D">
        <w:t>§ 1411); instead, its authenticity may be established by the contents of the writing (</w:t>
      </w:r>
      <w:r>
        <w:t>[Evid. Code</w:t>
      </w:r>
      <w:r w:rsidR="00206527">
        <w:t>,</w:t>
      </w:r>
      <w:r>
        <w:t xml:space="preserve">] </w:t>
      </w:r>
      <w:r w:rsidRPr="002F759D">
        <w:t>§ 1421) or by other means (</w:t>
      </w:r>
      <w:r>
        <w:t>[Evid. Code</w:t>
      </w:r>
      <w:r w:rsidR="00206527">
        <w:t>,</w:t>
      </w:r>
      <w:r>
        <w:t>] § 1410 [no restriction on ‘</w:t>
      </w:r>
      <w:r w:rsidRPr="002F759D">
        <w:t>the means by which a writing may be authenticated</w:t>
      </w:r>
      <w:r>
        <w:t xml:space="preserve">’]). </w:t>
      </w:r>
      <w:r w:rsidR="00816451">
        <w:t xml:space="preserve"> </w:t>
      </w:r>
      <w:r>
        <w:t>‘</w:t>
      </w:r>
      <w:r w:rsidRPr="002F759D">
        <w:t xml:space="preserve">As long as the evidence would support a finding of authenticity, the writing is admissible. </w:t>
      </w:r>
      <w:r w:rsidR="00E039F0">
        <w:t xml:space="preserve"> </w:t>
      </w:r>
      <w:r w:rsidRPr="002F759D">
        <w:t>The fact conflicting inferences can be drawn regarding authenticity goes to the document’s weight as evidence, not its admissibility.</w:t>
      </w:r>
      <w:r w:rsidR="008F0A75">
        <w:t xml:space="preserve"> </w:t>
      </w:r>
      <w:r w:rsidRPr="002F759D">
        <w:t xml:space="preserve"> [Citations.]</w:t>
      </w:r>
      <w:r>
        <w:t>’</w:t>
      </w:r>
      <w:r w:rsidRPr="002F759D">
        <w:t xml:space="preserve"> </w:t>
      </w:r>
      <w:r>
        <w:t xml:space="preserve"> [Citation.]</w:t>
      </w:r>
      <w:r w:rsidRPr="002F759D">
        <w:t xml:space="preserve"> </w:t>
      </w:r>
      <w:r w:rsidR="00206527">
        <w:t xml:space="preserve"> </w:t>
      </w:r>
      <w:r w:rsidRPr="002F759D">
        <w:t>‘</w:t>
      </w:r>
      <w:r w:rsidR="00206527">
        <w:t> </w:t>
      </w:r>
      <w:r>
        <w:t>“</w:t>
      </w:r>
      <w:r w:rsidRPr="002F759D">
        <w:t>[L]ike any other material fact, the authenticity of a [document] may be established by circumstantial evidence</w:t>
      </w:r>
      <w:r>
        <w:t> . . . .”</w:t>
      </w:r>
      <w:r w:rsidR="00206527">
        <w:t> </w:t>
      </w:r>
      <w:r w:rsidRPr="002F759D">
        <w:t>’</w:t>
      </w:r>
      <w:r w:rsidR="00206527">
        <w:t> </w:t>
      </w:r>
      <w:r w:rsidRPr="002F759D">
        <w:t>”</w:t>
      </w:r>
      <w:r>
        <w:t xml:space="preserve">  (</w:t>
      </w:r>
      <w:r w:rsidRPr="002F759D">
        <w:rPr>
          <w:i/>
        </w:rPr>
        <w:t>People v. Valdez</w:t>
      </w:r>
      <w:r>
        <w:t xml:space="preserve"> (2011) 201 Cal.App.4th 142</w:t>
      </w:r>
      <w:r w:rsidR="00044043">
        <w:t>9</w:t>
      </w:r>
      <w:r>
        <w:t>, 1435.)</w:t>
      </w:r>
    </w:p>
    <w:p w:rsidR="00E429B3" w:rsidRDefault="00B77DD3" w:rsidP="00804E61">
      <w:pPr>
        <w:ind w:firstLine="720"/>
      </w:pPr>
      <w:r>
        <w:t xml:space="preserve">Here, </w:t>
      </w:r>
      <w:r w:rsidR="00816451">
        <w:t>Wayans presented sufficient circ</w:t>
      </w:r>
      <w:r w:rsidR="00CD6AD4">
        <w:t xml:space="preserve">umstantial evidence </w:t>
      </w:r>
      <w:r w:rsidR="00816451">
        <w:t xml:space="preserve">for the trial court to find that the document had been </w:t>
      </w:r>
      <w:r w:rsidR="002F759D">
        <w:t>authenticated</w:t>
      </w:r>
      <w:r w:rsidR="00816451">
        <w:t xml:space="preserve">.  </w:t>
      </w:r>
      <w:r w:rsidR="002F759D">
        <w:t>A</w:t>
      </w:r>
      <w:r w:rsidR="008F0D6F">
        <w:t xml:space="preserve">s discussed above, the </w:t>
      </w:r>
      <w:r w:rsidR="001F2F44">
        <w:t>v</w:t>
      </w:r>
      <w:r w:rsidR="008F0D6F">
        <w:t>oucher was attached as an exhibit to Alvarez’s declaration</w:t>
      </w:r>
      <w:r w:rsidR="00EE7EA9">
        <w:t xml:space="preserve">.  </w:t>
      </w:r>
      <w:r w:rsidR="00E039F0">
        <w:t xml:space="preserve">The </w:t>
      </w:r>
      <w:r w:rsidR="001F2F44">
        <w:t>v</w:t>
      </w:r>
      <w:r w:rsidR="00E039F0">
        <w:t xml:space="preserve">oucher indicates that the production or project name is “Dumb Ass Prod.,” not A Haunted House 2. </w:t>
      </w:r>
      <w:r w:rsidR="008F0A75">
        <w:t xml:space="preserve"> </w:t>
      </w:r>
      <w:r w:rsidR="00E039F0">
        <w:t xml:space="preserve">However, </w:t>
      </w:r>
      <w:r w:rsidR="002F759D">
        <w:t>Alvarez</w:t>
      </w:r>
      <w:r w:rsidR="00E039F0">
        <w:t xml:space="preserve"> stated in his declaration that the “production company for A Haunted House 2 was Dumb Ass Productions, which is why that company is listed on the [</w:t>
      </w:r>
      <w:r w:rsidR="001F2F44">
        <w:t>v</w:t>
      </w:r>
      <w:r w:rsidR="00E039F0">
        <w:t>oucher].”</w:t>
      </w:r>
      <w:r w:rsidR="00966F15">
        <w:t xml:space="preserve">  (Italics omitted.)</w:t>
      </w:r>
      <w:r w:rsidR="00E039F0">
        <w:t xml:space="preserve">  In addition, Alvarez indicated in his declaration that he was in a position to have personal knowledge of the corporate entities involved in </w:t>
      </w:r>
      <w:r w:rsidR="00CD6AD4">
        <w:t xml:space="preserve">the </w:t>
      </w:r>
      <w:r w:rsidR="00E039F0">
        <w:t xml:space="preserve">making </w:t>
      </w:r>
      <w:r w:rsidR="00CD6AD4">
        <w:t xml:space="preserve">of </w:t>
      </w:r>
      <w:r w:rsidR="00E039F0">
        <w:t xml:space="preserve">the </w:t>
      </w:r>
      <w:r w:rsidR="00CD6AD4">
        <w:t>movie</w:t>
      </w:r>
      <w:r w:rsidR="00E039F0">
        <w:t xml:space="preserve">, as well as the vouchers used with extras, such as Daniel, and Daniel’s execution of the </w:t>
      </w:r>
      <w:r w:rsidR="00966F15">
        <w:t>v</w:t>
      </w:r>
      <w:r w:rsidR="00E039F0">
        <w:t xml:space="preserve">oucher.  Alvarez states that </w:t>
      </w:r>
      <w:r w:rsidR="002F759D">
        <w:t xml:space="preserve">as </w:t>
      </w:r>
      <w:r w:rsidR="00E039F0">
        <w:t>the coproducer of the movie</w:t>
      </w:r>
      <w:r w:rsidR="002F759D">
        <w:t xml:space="preserve"> he was responsible for </w:t>
      </w:r>
      <w:r w:rsidR="00F51D40">
        <w:t xml:space="preserve">“oversee[ing] the </w:t>
      </w:r>
      <w:r w:rsidR="00F51D40" w:rsidRPr="00E039F0">
        <w:rPr>
          <w:i/>
        </w:rPr>
        <w:t>entire</w:t>
      </w:r>
      <w:r w:rsidR="00E039F0">
        <w:t xml:space="preserve"> production.”  (Italics added.)  In addition, </w:t>
      </w:r>
      <w:r w:rsidR="00CD6AD4">
        <w:t xml:space="preserve">Alvarez states he was “on the set the one day that Mr. Daniel was on the set and was present during the shooting of the scene in which </w:t>
      </w:r>
      <w:r w:rsidR="008F0A75">
        <w:t>Mr. Daniel appeared.”</w:t>
      </w:r>
    </w:p>
    <w:p w:rsidR="00B77DD3" w:rsidRDefault="00CD6AD4" w:rsidP="00804E61">
      <w:pPr>
        <w:ind w:firstLine="720"/>
      </w:pPr>
      <w:r>
        <w:t>From the facts</w:t>
      </w:r>
      <w:r w:rsidR="00E429B3">
        <w:t xml:space="preserve"> in Alvarez’s declaration</w:t>
      </w:r>
      <w:r>
        <w:t xml:space="preserve">, it can be readily inferred that the </w:t>
      </w:r>
      <w:r w:rsidR="00966F15">
        <w:t>v</w:t>
      </w:r>
      <w:r>
        <w:t xml:space="preserve">oucher was a true and accurate copy of the document that Daniel signed allowing him to </w:t>
      </w:r>
      <w:r w:rsidR="00616C99">
        <w:t xml:space="preserve">be present on the set of A Haunted House 2 and to </w:t>
      </w:r>
      <w:r>
        <w:t xml:space="preserve">work </w:t>
      </w:r>
      <w:r w:rsidR="00616C99">
        <w:t xml:space="preserve">as an extra </w:t>
      </w:r>
      <w:r>
        <w:t>on th</w:t>
      </w:r>
      <w:r w:rsidR="00616C99">
        <w:t>at</w:t>
      </w:r>
      <w:r>
        <w:t xml:space="preserve"> movie on September 4, 2013.  </w:t>
      </w:r>
      <w:r w:rsidR="00E429B3">
        <w:t xml:space="preserve">(Daniel does not dispute that he signed the </w:t>
      </w:r>
      <w:r w:rsidR="00E15319">
        <w:t>v</w:t>
      </w:r>
      <w:r w:rsidR="00E429B3">
        <w:t xml:space="preserve">oucher or that the </w:t>
      </w:r>
      <w:r w:rsidR="00E15319">
        <w:t>v</w:t>
      </w:r>
      <w:r w:rsidR="00E429B3">
        <w:t>oucher contains his address, phone number and redacted social security number.</w:t>
      </w:r>
      <w:r w:rsidR="0011581B">
        <w:t>)  Accordingly, the trial court,</w:t>
      </w:r>
      <w:r w:rsidR="00616C99">
        <w:t xml:space="preserve"> c</w:t>
      </w:r>
      <w:r w:rsidR="0011581B">
        <w:t xml:space="preserve">onsidering all of the facts before it, </w:t>
      </w:r>
      <w:r w:rsidR="00E429B3">
        <w:t>did not e</w:t>
      </w:r>
      <w:r w:rsidR="0011581B">
        <w:t xml:space="preserve">xceed the bounds of reason by </w:t>
      </w:r>
      <w:r w:rsidR="00E429B3">
        <w:t>overruling Daniel’s objection.</w:t>
      </w:r>
    </w:p>
    <w:p w:rsidR="00D93A9C" w:rsidRPr="0007586E" w:rsidRDefault="00616C99" w:rsidP="00D93A9C">
      <w:pPr>
        <w:ind w:firstLine="720"/>
      </w:pPr>
      <w:r>
        <w:tab/>
      </w:r>
      <w:r w:rsidR="00D93A9C">
        <w:tab/>
        <w:t>b.</w:t>
      </w:r>
      <w:r w:rsidR="00D93A9C">
        <w:tab/>
      </w:r>
      <w:r w:rsidR="00D93A9C" w:rsidRPr="0007586E">
        <w:t xml:space="preserve">The </w:t>
      </w:r>
      <w:r w:rsidR="0007586E" w:rsidRPr="0007586E">
        <w:t>v</w:t>
      </w:r>
      <w:r w:rsidR="00D93A9C" w:rsidRPr="0007586E">
        <w:t xml:space="preserve">oucher’s release </w:t>
      </w:r>
      <w:r w:rsidR="002A244B" w:rsidRPr="0007586E">
        <w:t xml:space="preserve">extends to </w:t>
      </w:r>
      <w:r w:rsidR="00D93A9C" w:rsidRPr="0007586E">
        <w:t>Wayans</w:t>
      </w:r>
    </w:p>
    <w:p w:rsidR="001516C8" w:rsidRDefault="001516C8" w:rsidP="00F67D69">
      <w:pPr>
        <w:tabs>
          <w:tab w:val="left" w:pos="2700"/>
        </w:tabs>
        <w:ind w:firstLine="720"/>
      </w:pPr>
      <w:r>
        <w:t>Daniel asserts that there is “</w:t>
      </w:r>
      <w:r w:rsidRPr="001516C8">
        <w:t>nothing</w:t>
      </w:r>
      <w:r>
        <w:t xml:space="preserve"> in this record to demonstrate that Wayans was entitled to the benefit of the contract between Daniel and Dumb Ass Productions.”  Daniel’s assertion is incorrect.  As discussed above, Alvarez states in his declaration that Dumb Ass Productions is the production company responsible for making A Haunted House 2.</w:t>
      </w:r>
      <w:r w:rsidR="002A244B">
        <w:t xml:space="preserve">  Both Alvarez and Wayans identify Wayans as one of the movie’s coproducers.  Those two undisputed facts are sufficient for purposes of an anti-SLAPP motion to show that the </w:t>
      </w:r>
      <w:r w:rsidR="002002BD">
        <w:t>v</w:t>
      </w:r>
      <w:r w:rsidR="002A244B">
        <w:t>oucher’s broad release includes Wayans.</w:t>
      </w:r>
    </w:p>
    <w:p w:rsidR="008F0D6F" w:rsidRDefault="008F0D6F" w:rsidP="00F7129E">
      <w:pPr>
        <w:keepNext/>
        <w:ind w:firstLine="720"/>
      </w:pPr>
      <w:r>
        <w:tab/>
        <w:t>2.</w:t>
      </w:r>
      <w:r>
        <w:tab/>
      </w:r>
      <w:r w:rsidR="00AB13A6">
        <w:rPr>
          <w:i/>
        </w:rPr>
        <w:t xml:space="preserve">Wayans’s use of Daniel’s image was </w:t>
      </w:r>
      <w:r>
        <w:rPr>
          <w:i/>
        </w:rPr>
        <w:t>transformative</w:t>
      </w:r>
    </w:p>
    <w:p w:rsidR="00E429B3" w:rsidRDefault="00D93A9C" w:rsidP="00F7129E">
      <w:pPr>
        <w:keepNext/>
        <w:ind w:firstLine="720"/>
      </w:pPr>
      <w:r w:rsidRPr="00D93A9C">
        <w:t>The freedom of expression protected by the First Amendment exists to preserve an uninhibited marketplace of ideas and to further individual rights of self expression.</w:t>
      </w:r>
      <w:r>
        <w:t xml:space="preserve">  (</w:t>
      </w:r>
      <w:r w:rsidRPr="00D93A9C">
        <w:rPr>
          <w:i/>
        </w:rPr>
        <w:t>Winter v. DC Comics</w:t>
      </w:r>
      <w:r w:rsidRPr="00D93A9C">
        <w:t xml:space="preserve"> (2003) 30 Cal.4th 881,</w:t>
      </w:r>
      <w:r>
        <w:t xml:space="preserve"> 887 (</w:t>
      </w:r>
      <w:r w:rsidRPr="00D93A9C">
        <w:rPr>
          <w:i/>
        </w:rPr>
        <w:t>Winter</w:t>
      </w:r>
      <w:r>
        <w:t xml:space="preserve">).)  </w:t>
      </w:r>
      <w:r w:rsidRPr="00D93A9C">
        <w:t>The protections may extend to all forms of expression, including written and spoken words (fact or fiction), music, films, paintings, and entertainment, whether or not sold for a profit</w:t>
      </w:r>
      <w:r>
        <w:t>.  (</w:t>
      </w:r>
      <w:r w:rsidRPr="00D93A9C">
        <w:rPr>
          <w:i/>
        </w:rPr>
        <w:t>Comedy III</w:t>
      </w:r>
      <w:r w:rsidR="004127CE">
        <w:rPr>
          <w:i/>
        </w:rPr>
        <w:t xml:space="preserve"> </w:t>
      </w:r>
      <w:r w:rsidRPr="00D93A9C">
        <w:rPr>
          <w:i/>
        </w:rPr>
        <w:t>Productions, Inc. v. Gary Saderup, Inc</w:t>
      </w:r>
      <w:r w:rsidRPr="00D93A9C">
        <w:t xml:space="preserve">. (2001) 25 Cal.4th 387, </w:t>
      </w:r>
      <w:r>
        <w:t>406</w:t>
      </w:r>
      <w:r w:rsidRPr="00D93A9C">
        <w:t xml:space="preserve"> (</w:t>
      </w:r>
      <w:r w:rsidRPr="00D93A9C">
        <w:rPr>
          <w:i/>
        </w:rPr>
        <w:t>Comedy III</w:t>
      </w:r>
      <w:r w:rsidRPr="00D93A9C">
        <w:t>)</w:t>
      </w:r>
      <w:r>
        <w:t>.)</w:t>
      </w:r>
    </w:p>
    <w:p w:rsidR="00E94FAD" w:rsidRDefault="00D93A9C" w:rsidP="00E94FAD">
      <w:pPr>
        <w:ind w:firstLine="720"/>
      </w:pPr>
      <w:r w:rsidRPr="00D93A9C">
        <w:t xml:space="preserve">In </w:t>
      </w:r>
      <w:r w:rsidRPr="00D93A9C">
        <w:rPr>
          <w:i/>
        </w:rPr>
        <w:t>Comedy III</w:t>
      </w:r>
      <w:r w:rsidR="0029243E">
        <w:t xml:space="preserve">, </w:t>
      </w:r>
      <w:r w:rsidR="0029243E">
        <w:rPr>
          <w:i/>
        </w:rPr>
        <w:t>supra</w:t>
      </w:r>
      <w:r w:rsidR="0029243E">
        <w:t>, 25 Cal.4th 387</w:t>
      </w:r>
      <w:r w:rsidRPr="00D93A9C">
        <w:t xml:space="preserve"> and again in </w:t>
      </w:r>
      <w:r w:rsidRPr="00D93A9C">
        <w:rPr>
          <w:i/>
        </w:rPr>
        <w:t>Winter</w:t>
      </w:r>
      <w:r w:rsidR="0029243E">
        <w:t xml:space="preserve">, </w:t>
      </w:r>
      <w:r w:rsidR="0029243E">
        <w:rPr>
          <w:i/>
        </w:rPr>
        <w:t>supra</w:t>
      </w:r>
      <w:r w:rsidR="0029243E">
        <w:t>, 30 Cal.4th 881</w:t>
      </w:r>
      <w:r w:rsidRPr="00D93A9C">
        <w:t xml:space="preserve">, </w:t>
      </w:r>
      <w:r>
        <w:t xml:space="preserve">our </w:t>
      </w:r>
      <w:r w:rsidRPr="00D93A9C">
        <w:t>Supreme Court addressed the balance between a</w:t>
      </w:r>
      <w:r>
        <w:t>n individual’</w:t>
      </w:r>
      <w:r w:rsidRPr="00D93A9C">
        <w:t>s right to control the commercial exploitation of his or her likeness or identity and the First Amendment right of free expression.</w:t>
      </w:r>
      <w:r>
        <w:t xml:space="preserve"> </w:t>
      </w:r>
      <w:r w:rsidRPr="00D93A9C">
        <w:t xml:space="preserve"> (See </w:t>
      </w:r>
      <w:r w:rsidRPr="00D93A9C">
        <w:rPr>
          <w:i/>
        </w:rPr>
        <w:t>Comedy</w:t>
      </w:r>
      <w:r w:rsidR="00F7129E">
        <w:rPr>
          <w:i/>
        </w:rPr>
        <w:t> </w:t>
      </w:r>
      <w:r w:rsidRPr="00D93A9C">
        <w:rPr>
          <w:i/>
        </w:rPr>
        <w:t>III</w:t>
      </w:r>
      <w:r w:rsidRPr="00D93A9C">
        <w:t xml:space="preserve">, at p. 400; </w:t>
      </w:r>
      <w:r w:rsidRPr="00D93A9C">
        <w:rPr>
          <w:i/>
        </w:rPr>
        <w:t>Winter</w:t>
      </w:r>
      <w:r w:rsidRPr="00D93A9C">
        <w:t xml:space="preserve">, at pp. 887–888.) </w:t>
      </w:r>
      <w:r>
        <w:t xml:space="preserve"> </w:t>
      </w:r>
      <w:r w:rsidRPr="00D93A9C">
        <w:t xml:space="preserve">In </w:t>
      </w:r>
      <w:r w:rsidRPr="00D93A9C">
        <w:rPr>
          <w:i/>
        </w:rPr>
        <w:t>Comedy</w:t>
      </w:r>
      <w:r w:rsidR="00F7129E">
        <w:rPr>
          <w:i/>
        </w:rPr>
        <w:t> </w:t>
      </w:r>
      <w:r w:rsidRPr="00D93A9C">
        <w:rPr>
          <w:i/>
        </w:rPr>
        <w:t>III</w:t>
      </w:r>
      <w:r w:rsidRPr="00D93A9C">
        <w:t xml:space="preserve">, the </w:t>
      </w:r>
      <w:r w:rsidR="00B85006">
        <w:t>c</w:t>
      </w:r>
      <w:r w:rsidRPr="00D93A9C">
        <w:t>ourt held a defendant may raise the First Amendment as an affirmative defense to an allegation of</w:t>
      </w:r>
      <w:r>
        <w:t xml:space="preserve"> appropriation if the defendant’</w:t>
      </w:r>
      <w:r w:rsidRPr="00D93A9C">
        <w:t>s work “</w:t>
      </w:r>
      <w:r w:rsidR="00253D50">
        <w:t> </w:t>
      </w:r>
      <w:r w:rsidRPr="00D93A9C">
        <w:t>‘adds something new, with a further purpose or different character, altering the first with new expression, meaning, or message</w:t>
      </w:r>
      <w:r>
        <w:t> . . . .</w:t>
      </w:r>
      <w:r w:rsidRPr="00D93A9C">
        <w:t>’</w:t>
      </w:r>
      <w:r w:rsidR="00253D50">
        <w:t> </w:t>
      </w:r>
      <w:r w:rsidRPr="00D93A9C">
        <w:t xml:space="preserve">” </w:t>
      </w:r>
      <w:r w:rsidR="00253D50">
        <w:t xml:space="preserve"> </w:t>
      </w:r>
      <w:r w:rsidRPr="00D93A9C">
        <w:t>(</w:t>
      </w:r>
      <w:r w:rsidR="00253D50">
        <w:rPr>
          <w:i/>
        </w:rPr>
        <w:t>Id.</w:t>
      </w:r>
      <w:r w:rsidRPr="00D93A9C">
        <w:t xml:space="preserve"> at p. 404.) </w:t>
      </w:r>
      <w:r w:rsidR="00E94FAD">
        <w:t xml:space="preserve"> </w:t>
      </w:r>
      <w:r w:rsidRPr="00D93A9C">
        <w:t xml:space="preserve">In other words, the new work must contain significant “transformative elements.” </w:t>
      </w:r>
      <w:r w:rsidR="00E94FAD">
        <w:t xml:space="preserve"> </w:t>
      </w:r>
      <w:r w:rsidRPr="00D93A9C">
        <w:t>(</w:t>
      </w:r>
      <w:r w:rsidRPr="00E94FAD">
        <w:rPr>
          <w:i/>
        </w:rPr>
        <w:t>Id</w:t>
      </w:r>
      <w:r w:rsidRPr="00D93A9C">
        <w:t>. at pp. 406–407.)</w:t>
      </w:r>
    </w:p>
    <w:p w:rsidR="00133ACB" w:rsidRDefault="00E94FAD" w:rsidP="00E94FAD">
      <w:pPr>
        <w:ind w:firstLine="720"/>
      </w:pPr>
      <w:r>
        <w:t>The transformative test is straightforward:  The “inquiry is whether the celebrity likeness is one of the ‘raw materials' from which an original work is synthesized, or whether the depiction or imitation of the celebrity is the very sum and substance of the work in question.”</w:t>
      </w:r>
      <w:r w:rsidR="008F0A75">
        <w:t xml:space="preserve"> </w:t>
      </w:r>
      <w:r>
        <w:t xml:space="preserve"> (</w:t>
      </w:r>
      <w:r w:rsidRPr="00E94FAD">
        <w:rPr>
          <w:i/>
        </w:rPr>
        <w:t>Comedy III</w:t>
      </w:r>
      <w:r>
        <w:t xml:space="preserve">, </w:t>
      </w:r>
      <w:r w:rsidRPr="00E94FAD">
        <w:rPr>
          <w:i/>
        </w:rPr>
        <w:t>supra</w:t>
      </w:r>
      <w:r>
        <w:t xml:space="preserve">, 25 Cal.4th at p. 406.)  If the “product containing the </w:t>
      </w:r>
      <w:r w:rsidR="00133ACB">
        <w:t>celebrity’</w:t>
      </w:r>
      <w:r>
        <w:t>s likeness is so transformed that it has become primarily the defendant’s own expression” of what he or she is trying to create or portray, rather than the celebrity's likeness, it is protected.  (</w:t>
      </w:r>
      <w:r w:rsidRPr="00E94FAD">
        <w:rPr>
          <w:i/>
        </w:rPr>
        <w:t>Id</w:t>
      </w:r>
      <w:r>
        <w:t xml:space="preserve">. at pp. 406–407.) </w:t>
      </w:r>
      <w:r w:rsidR="006E6D31">
        <w:t xml:space="preserve"> </w:t>
      </w:r>
      <w:r w:rsidR="00133ACB">
        <w:t xml:space="preserve">In developing the test, the </w:t>
      </w:r>
      <w:r w:rsidR="00133ACB" w:rsidRPr="00133ACB">
        <w:rPr>
          <w:i/>
        </w:rPr>
        <w:t xml:space="preserve">Comedy </w:t>
      </w:r>
      <w:r w:rsidR="004127CE">
        <w:rPr>
          <w:i/>
        </w:rPr>
        <w:t>I</w:t>
      </w:r>
      <w:r w:rsidR="00133ACB" w:rsidRPr="00133ACB">
        <w:rPr>
          <w:i/>
        </w:rPr>
        <w:t>II</w:t>
      </w:r>
      <w:r w:rsidR="00133ACB">
        <w:t xml:space="preserve"> court made two important observations.  First, </w:t>
      </w:r>
      <w:r w:rsidR="00133ACB" w:rsidRPr="00133ACB">
        <w:t xml:space="preserve">the right </w:t>
      </w:r>
      <w:r w:rsidR="00133ACB">
        <w:t>to control one’s image “</w:t>
      </w:r>
      <w:r w:rsidR="00133ACB" w:rsidRPr="00133ACB">
        <w:t>cannot, consistent with the First Amendment, be a right to control the</w:t>
      </w:r>
      <w:r w:rsidR="00133ACB">
        <w:t> . . . </w:t>
      </w:r>
      <w:r w:rsidR="00133ACB" w:rsidRPr="00133ACB">
        <w:t>image by censoring disagreeable portrayals</w:t>
      </w:r>
      <w:r w:rsidR="003E1552">
        <w:t>. . . .  </w:t>
      </w:r>
      <w:r w:rsidR="00133ACB">
        <w:t>[T]</w:t>
      </w:r>
      <w:r w:rsidR="00133ACB" w:rsidRPr="00133ACB">
        <w:t>he First Amendment dictates that the right to comment on, parody, lampoon, and make other expressive uses of the celebrity image must be given broad scope.</w:t>
      </w:r>
      <w:r w:rsidR="00133ACB">
        <w:t>”  (</w:t>
      </w:r>
      <w:r w:rsidR="00133ACB" w:rsidRPr="00133ACB">
        <w:rPr>
          <w:i/>
        </w:rPr>
        <w:t>Id</w:t>
      </w:r>
      <w:r w:rsidR="00133ACB">
        <w:t>. at p. 403.)  Second, “</w:t>
      </w:r>
      <w:r w:rsidR="00133ACB" w:rsidRPr="00133ACB">
        <w:t>in determining whether the work is transformative, courts are not to be concerned with the quality of the artistic contribution—vulgar forms of expression fully qualify for First Amendment protection.</w:t>
      </w:r>
      <w:r w:rsidR="00133ACB">
        <w:t>”  (</w:t>
      </w:r>
      <w:r w:rsidR="00133ACB" w:rsidRPr="00133ACB">
        <w:rPr>
          <w:i/>
        </w:rPr>
        <w:t>Id</w:t>
      </w:r>
      <w:r w:rsidR="00133ACB">
        <w:t>. at p. 407.)  In short, a</w:t>
      </w:r>
      <w:r w:rsidR="00133ACB" w:rsidRPr="00133ACB">
        <w:t xml:space="preserve">ll that is necessary is that </w:t>
      </w:r>
      <w:r w:rsidR="00133ACB">
        <w:t>the defendant’s</w:t>
      </w:r>
      <w:r w:rsidR="00133ACB" w:rsidRPr="00133ACB">
        <w:t xml:space="preserve"> work add “</w:t>
      </w:r>
      <w:r w:rsidR="00435A7A">
        <w:t> ‘</w:t>
      </w:r>
      <w:r w:rsidR="00133ACB" w:rsidRPr="00133ACB">
        <w:t>something new, with a further purpose or different character, altering the first with new expression, meaning, or message.</w:t>
      </w:r>
      <w:r w:rsidR="00435A7A">
        <w:t>’ </w:t>
      </w:r>
      <w:r w:rsidR="00133ACB" w:rsidRPr="00133ACB">
        <w:t xml:space="preserve">” </w:t>
      </w:r>
      <w:r w:rsidR="00AE2066">
        <w:t xml:space="preserve"> </w:t>
      </w:r>
      <w:r w:rsidR="00133ACB" w:rsidRPr="00133ACB">
        <w:t>(</w:t>
      </w:r>
      <w:r w:rsidR="00133ACB" w:rsidRPr="00AE2066">
        <w:rPr>
          <w:i/>
        </w:rPr>
        <w:t>Id</w:t>
      </w:r>
      <w:r w:rsidR="00133ACB" w:rsidRPr="00133ACB">
        <w:t xml:space="preserve">. at p. 404.) </w:t>
      </w:r>
      <w:r w:rsidR="00AE2066">
        <w:t xml:space="preserve"> </w:t>
      </w:r>
      <w:r w:rsidR="00133ACB" w:rsidRPr="00133ACB">
        <w:t>A work is transformative if it adds “</w:t>
      </w:r>
      <w:r w:rsidR="00435A7A">
        <w:t> ‘</w:t>
      </w:r>
      <w:r w:rsidR="00133ACB" w:rsidRPr="00133ACB">
        <w:t>new expression.</w:t>
      </w:r>
      <w:r w:rsidR="00435A7A">
        <w:t>’ </w:t>
      </w:r>
      <w:r w:rsidR="00133ACB" w:rsidRPr="00133ACB">
        <w:t xml:space="preserve">” </w:t>
      </w:r>
      <w:r w:rsidR="00AE2066">
        <w:t xml:space="preserve"> </w:t>
      </w:r>
      <w:r w:rsidR="00133ACB" w:rsidRPr="00133ACB">
        <w:t>That expression alone is sufficient; it need not convey any “</w:t>
      </w:r>
      <w:r w:rsidR="00435A7A">
        <w:t> ‘</w:t>
      </w:r>
      <w:r w:rsidR="00133ACB" w:rsidRPr="00133ACB">
        <w:t>meaning or message</w:t>
      </w:r>
      <w:r w:rsidR="00AE2066">
        <w:t>.</w:t>
      </w:r>
      <w:r w:rsidR="00435A7A">
        <w:t>’ </w:t>
      </w:r>
      <w:r w:rsidR="00133ACB" w:rsidRPr="00133ACB">
        <w:t xml:space="preserve">” </w:t>
      </w:r>
      <w:r w:rsidR="00C81020">
        <w:t xml:space="preserve"> </w:t>
      </w:r>
      <w:r w:rsidR="00133ACB" w:rsidRPr="00133ACB">
        <w:t>(</w:t>
      </w:r>
      <w:r w:rsidR="00133ACB" w:rsidRPr="00AE2066">
        <w:rPr>
          <w:i/>
        </w:rPr>
        <w:t>Ibid</w:t>
      </w:r>
      <w:r w:rsidR="00133ACB" w:rsidRPr="00133ACB">
        <w:t>.)</w:t>
      </w:r>
    </w:p>
    <w:p w:rsidR="00E94FAD" w:rsidRDefault="00E94FAD" w:rsidP="00E94FAD">
      <w:pPr>
        <w:ind w:firstLine="720"/>
      </w:pPr>
      <w:r>
        <w:t xml:space="preserve">Applying this test in </w:t>
      </w:r>
      <w:r w:rsidRPr="00E94FAD">
        <w:rPr>
          <w:i/>
        </w:rPr>
        <w:t>Comedy III</w:t>
      </w:r>
      <w:r w:rsidR="003E1552">
        <w:t xml:space="preserve">, </w:t>
      </w:r>
      <w:r w:rsidR="003E1552">
        <w:rPr>
          <w:i/>
        </w:rPr>
        <w:t>supra</w:t>
      </w:r>
      <w:r w:rsidR="003E1552">
        <w:t>, 25 Cal.4th 387</w:t>
      </w:r>
      <w:r>
        <w:t xml:space="preserve">, which involved drawings depicting The Three Stooges, and T-shirts made from those drawings, the </w:t>
      </w:r>
      <w:r w:rsidR="000E4726">
        <w:t>c</w:t>
      </w:r>
      <w:r>
        <w:t xml:space="preserve">ourt concluded the drawings and T-shirts were not entitled to First Amendment protection. </w:t>
      </w:r>
      <w:r w:rsidR="006E6D31">
        <w:t xml:space="preserve"> </w:t>
      </w:r>
      <w:r>
        <w:t>The artist who created them, while highly skilled, contributed nothing other than a trivial variation that transformed the drawings from literal likenesses of the three actors.  (</w:t>
      </w:r>
      <w:r w:rsidRPr="00E94FAD">
        <w:rPr>
          <w:i/>
        </w:rPr>
        <w:t>Id</w:t>
      </w:r>
      <w:r>
        <w:t>. at pp. 408–409.)</w:t>
      </w:r>
    </w:p>
    <w:p w:rsidR="00E94FAD" w:rsidRDefault="00E94FAD" w:rsidP="00E94FAD">
      <w:pPr>
        <w:ind w:firstLine="720"/>
      </w:pPr>
      <w:r>
        <w:t xml:space="preserve">The Supreme Court applied the transformative test again two years later in </w:t>
      </w:r>
      <w:r w:rsidRPr="00E94FAD">
        <w:rPr>
          <w:i/>
        </w:rPr>
        <w:t>Winter</w:t>
      </w:r>
      <w:r w:rsidRPr="00D93A9C">
        <w:t xml:space="preserve">, </w:t>
      </w:r>
      <w:r w:rsidRPr="00D93A9C">
        <w:rPr>
          <w:i/>
        </w:rPr>
        <w:t>supra</w:t>
      </w:r>
      <w:r w:rsidRPr="00D93A9C">
        <w:t>, 30 Cal.4th</w:t>
      </w:r>
      <w:r>
        <w:t xml:space="preserve"> 881. </w:t>
      </w:r>
      <w:r w:rsidR="004E2CC5">
        <w:t xml:space="preserve"> </w:t>
      </w:r>
      <w:r>
        <w:t>In that case, the defendant published a series of comics featuring two half-worm, half-human characters based on singers Edgar and Johnny Winter.  Both characters had long white hair and albino features similar to the Winter brothers, while one wore a hat similar to one often worn by Johnny Winter.  (</w:t>
      </w:r>
      <w:r w:rsidR="00F149E4">
        <w:rPr>
          <w:i/>
        </w:rPr>
        <w:t>Id.</w:t>
      </w:r>
      <w:r>
        <w:t xml:space="preserve"> at p. 886.)  The Winter brothers sued for statutory appropriation and lost</w:t>
      </w:r>
      <w:r w:rsidR="004127CE">
        <w:t xml:space="preserve"> on summary judgment</w:t>
      </w:r>
      <w:r>
        <w:t xml:space="preserve">.  </w:t>
      </w:r>
      <w:r w:rsidR="004127CE">
        <w:t xml:space="preserve">The Court of Appeal </w:t>
      </w:r>
      <w:r w:rsidR="004127CE" w:rsidRPr="004127CE">
        <w:t>affi</w:t>
      </w:r>
      <w:r w:rsidR="004127CE">
        <w:t xml:space="preserve">rmed in part, reversed in </w:t>
      </w:r>
      <w:r w:rsidR="007360CF">
        <w:t>part,</w:t>
      </w:r>
      <w:r w:rsidR="007360CF" w:rsidRPr="004127CE">
        <w:t xml:space="preserve"> and</w:t>
      </w:r>
      <w:r w:rsidR="004127CE" w:rsidRPr="004127CE">
        <w:t xml:space="preserve"> remanded. </w:t>
      </w:r>
      <w:r w:rsidR="004127CE">
        <w:t xml:space="preserve"> </w:t>
      </w:r>
      <w:r w:rsidR="004127CE" w:rsidRPr="004127CE">
        <w:t>The Supreme Court</w:t>
      </w:r>
      <w:r w:rsidR="004127CE">
        <w:t xml:space="preserve">, however, </w:t>
      </w:r>
      <w:r w:rsidR="004127CE" w:rsidRPr="004127CE">
        <w:t>granted review</w:t>
      </w:r>
      <w:r w:rsidR="004127CE">
        <w:t xml:space="preserve">. </w:t>
      </w:r>
      <w:r w:rsidR="001455C5">
        <w:t xml:space="preserve"> </w:t>
      </w:r>
      <w:r>
        <w:t xml:space="preserve">Applying the transformative test, the </w:t>
      </w:r>
      <w:r w:rsidR="001455C5">
        <w:t>c</w:t>
      </w:r>
      <w:r>
        <w:t xml:space="preserve">ourt </w:t>
      </w:r>
      <w:r w:rsidR="00CF63D1">
        <w:t>found for the defendants</w:t>
      </w:r>
      <w:r>
        <w:t xml:space="preserve">, </w:t>
      </w:r>
      <w:r w:rsidR="00CF63D1">
        <w:t>holding</w:t>
      </w:r>
      <w:r>
        <w:t xml:space="preserve"> that the comic depictions contained significant expres</w:t>
      </w:r>
      <w:r w:rsidR="00133ACB">
        <w:t>sive content beyond the Winters’</w:t>
      </w:r>
      <w:r>
        <w:t xml:space="preserve"> mere likenesses</w:t>
      </w:r>
      <w:r w:rsidR="004127CE">
        <w:t xml:space="preserve"> and were “entitled to First Amendment protection</w:t>
      </w:r>
      <w:r>
        <w:t>.</w:t>
      </w:r>
      <w:r w:rsidR="004127CE">
        <w:t>”</w:t>
      </w:r>
      <w:r>
        <w:t xml:space="preserve">  (</w:t>
      </w:r>
      <w:r w:rsidRPr="00E94FAD">
        <w:rPr>
          <w:i/>
        </w:rPr>
        <w:t>Id</w:t>
      </w:r>
      <w:r>
        <w:t>. at p</w:t>
      </w:r>
      <w:r w:rsidR="004127CE">
        <w:t>p</w:t>
      </w:r>
      <w:r>
        <w:t>. 890</w:t>
      </w:r>
      <w:r w:rsidR="004127CE">
        <w:t>, 892</w:t>
      </w:r>
      <w:r>
        <w:t xml:space="preserve">.) </w:t>
      </w:r>
      <w:r w:rsidR="000C60B1">
        <w:t xml:space="preserve"> As the Supreme Court </w:t>
      </w:r>
      <w:r w:rsidR="00F36D21">
        <w:t>explained</w:t>
      </w:r>
      <w:r w:rsidR="000C60B1">
        <w:t>, t</w:t>
      </w:r>
      <w:r>
        <w:t xml:space="preserve">he Winters were merely part of the raw material from which the comics’ plot and characters were fashioned.  In addition, the characters were distorted pictures of the Winters for the purpose of lampoon, parody or caricature.  In short, and in stark contrast to the near literal depictions of the Three Stooges in </w:t>
      </w:r>
      <w:r w:rsidRPr="006E6D31">
        <w:rPr>
          <w:i/>
        </w:rPr>
        <w:t>Comedy III</w:t>
      </w:r>
      <w:r>
        <w:t xml:space="preserve">, </w:t>
      </w:r>
      <w:r w:rsidR="00AE2066" w:rsidRPr="00AE2066">
        <w:rPr>
          <w:i/>
        </w:rPr>
        <w:t>supra</w:t>
      </w:r>
      <w:r w:rsidR="00AE2066">
        <w:t xml:space="preserve">, </w:t>
      </w:r>
      <w:r w:rsidR="006E6D31" w:rsidRPr="00D93A9C">
        <w:t>25 Cal.4th 387</w:t>
      </w:r>
      <w:r w:rsidR="006E6D31">
        <w:t xml:space="preserve">, </w:t>
      </w:r>
      <w:r>
        <w:t>the comic book characters depicted were “fanciful, creative characters, not pictures of the Winter brothers.”  (</w:t>
      </w:r>
      <w:r w:rsidR="001455C5">
        <w:rPr>
          <w:i/>
        </w:rPr>
        <w:t>Winter</w:t>
      </w:r>
      <w:r w:rsidR="001455C5">
        <w:t>,</w:t>
      </w:r>
      <w:r>
        <w:t xml:space="preserve"> at p. 892.)</w:t>
      </w:r>
    </w:p>
    <w:p w:rsidR="00E94FAD" w:rsidRDefault="00E94FAD" w:rsidP="00E94FAD">
      <w:pPr>
        <w:ind w:firstLine="720"/>
      </w:pPr>
      <w:r>
        <w:t xml:space="preserve">Here, </w:t>
      </w:r>
      <w:r w:rsidR="006E6D31">
        <w:t xml:space="preserve">although Wayans used two unaltered images—one of Daniel and one of the Cleveland Brown character—his use of those images was nonetheless transformative.  Wayans’s use was transformative in the combination of the juxtaposed images </w:t>
      </w:r>
      <w:r w:rsidR="006E6D31" w:rsidRPr="006E6D31">
        <w:rPr>
          <w:i/>
        </w:rPr>
        <w:t>with</w:t>
      </w:r>
      <w:r w:rsidR="006E6D31">
        <w:t xml:space="preserve"> his commentary.  That combination of images and </w:t>
      </w:r>
      <w:r w:rsidR="002C0DE6">
        <w:t xml:space="preserve">arguably </w:t>
      </w:r>
      <w:r w:rsidR="006E6D31">
        <w:t>humorous commentary provide</w:t>
      </w:r>
      <w:r w:rsidR="00133ACB">
        <w:t xml:space="preserve">d the Internet posting with an </w:t>
      </w:r>
      <w:r w:rsidR="006E6D31" w:rsidRPr="006E6D31">
        <w:t xml:space="preserve">element of </w:t>
      </w:r>
      <w:r w:rsidR="00133ACB">
        <w:t xml:space="preserve">caricature, lampoon, or parody.  It is this element that puts the Internet </w:t>
      </w:r>
      <w:r w:rsidR="00AE2066">
        <w:t>posting within the protection of</w:t>
      </w:r>
      <w:r w:rsidR="00133ACB">
        <w:t xml:space="preserve"> the First Amendment.</w:t>
      </w:r>
      <w:r w:rsidR="00AE2066">
        <w:t xml:space="preserve">  In other words, Wayans’s juxtaposition of Daniel’s image with the image of</w:t>
      </w:r>
      <w:r w:rsidR="00F1661B">
        <w:t xml:space="preserve"> the Cleveland Brown character </w:t>
      </w:r>
      <w:r w:rsidR="003700FA">
        <w:t xml:space="preserve">and his caption </w:t>
      </w:r>
      <w:r w:rsidR="00AE2066">
        <w:t>added “</w:t>
      </w:r>
      <w:r w:rsidR="0029513E">
        <w:t> ‘</w:t>
      </w:r>
      <w:r w:rsidR="00AE2066">
        <w:t>something new</w:t>
      </w:r>
      <w:r w:rsidR="0029513E">
        <w:t>’ </w:t>
      </w:r>
      <w:r w:rsidR="00AE2066">
        <w:t xml:space="preserve">” to Daniel’s image, </w:t>
      </w:r>
      <w:r w:rsidR="00AE2066" w:rsidRPr="00133ACB">
        <w:t xml:space="preserve">altering </w:t>
      </w:r>
      <w:r w:rsidR="00AE2066">
        <w:t xml:space="preserve">it with </w:t>
      </w:r>
      <w:r w:rsidR="00F1661B">
        <w:t xml:space="preserve">a </w:t>
      </w:r>
      <w:r w:rsidR="00AE2066">
        <w:t>“</w:t>
      </w:r>
      <w:r w:rsidR="0029513E">
        <w:t> ‘</w:t>
      </w:r>
      <w:r w:rsidR="00AE2066" w:rsidRPr="00133ACB">
        <w:t>new expression, meaning, or message.</w:t>
      </w:r>
      <w:r w:rsidR="0029513E">
        <w:t>’ </w:t>
      </w:r>
      <w:r w:rsidR="00AE2066" w:rsidRPr="00133ACB">
        <w:t xml:space="preserve">” </w:t>
      </w:r>
      <w:r w:rsidR="00AE2066">
        <w:t xml:space="preserve"> </w:t>
      </w:r>
      <w:r w:rsidR="00AE2066" w:rsidRPr="00133ACB">
        <w:t>(</w:t>
      </w:r>
      <w:r w:rsidR="00AE2066" w:rsidRPr="006E6D31">
        <w:rPr>
          <w:i/>
        </w:rPr>
        <w:t>Comedy III</w:t>
      </w:r>
      <w:r w:rsidR="00AE2066">
        <w:t xml:space="preserve">, </w:t>
      </w:r>
      <w:r w:rsidR="00AE2066" w:rsidRPr="00AE2066">
        <w:rPr>
          <w:i/>
        </w:rPr>
        <w:t>supra</w:t>
      </w:r>
      <w:r w:rsidR="00AE2066">
        <w:t xml:space="preserve">, </w:t>
      </w:r>
      <w:r w:rsidR="00AE2066" w:rsidRPr="00D93A9C">
        <w:t>25 Cal.4th</w:t>
      </w:r>
      <w:r w:rsidR="00AE2066" w:rsidRPr="00133ACB">
        <w:t xml:space="preserve"> at p. 404</w:t>
      </w:r>
      <w:r w:rsidR="00AE2066">
        <w:t>.)</w:t>
      </w:r>
    </w:p>
    <w:p w:rsidR="00041903" w:rsidRDefault="00041903" w:rsidP="00E94FAD">
      <w:pPr>
        <w:ind w:firstLine="720"/>
      </w:pPr>
      <w:r>
        <w:t xml:space="preserve">In sum, because the </w:t>
      </w:r>
      <w:r w:rsidR="002002BD">
        <w:t>v</w:t>
      </w:r>
      <w:r>
        <w:t>oucher was authenticated and because its release is not only broad but</w:t>
      </w:r>
      <w:r w:rsidR="003700FA">
        <w:t xml:space="preserve"> </w:t>
      </w:r>
      <w:r>
        <w:t xml:space="preserve">can reasonably be read to extend to Wayans, Daniel failed to show a probability of prevailing.  Alternatively, even if the </w:t>
      </w:r>
      <w:r w:rsidR="002002BD">
        <w:t>v</w:t>
      </w:r>
      <w:r>
        <w:t xml:space="preserve">oucher had not been authenticated, or the evidence was insufficient to show that its release extended to Wayans, the Internet posting </w:t>
      </w:r>
      <w:r w:rsidR="003700FA">
        <w:t xml:space="preserve">was a </w:t>
      </w:r>
      <w:r>
        <w:t xml:space="preserve">transformative use </w:t>
      </w:r>
      <w:r w:rsidR="003700FA">
        <w:t xml:space="preserve">of Daniel’s image </w:t>
      </w:r>
      <w:r>
        <w:t xml:space="preserve">and, as a result, Wayans has an affirmative defense to Daniel’s misappropriation claims.  </w:t>
      </w:r>
      <w:r w:rsidR="003700FA">
        <w:t xml:space="preserve">In light of the </w:t>
      </w:r>
      <w:r w:rsidR="002002BD">
        <w:t>v</w:t>
      </w:r>
      <w:r w:rsidR="000C60B1">
        <w:t xml:space="preserve">oucher’s </w:t>
      </w:r>
      <w:r w:rsidR="003700FA">
        <w:t xml:space="preserve">release and the Internet posting’s transformative use, </w:t>
      </w:r>
      <w:r>
        <w:t>the tr</w:t>
      </w:r>
      <w:r w:rsidR="003700FA">
        <w:t>ial court properly struck the misappropriation claims</w:t>
      </w:r>
      <w:r>
        <w:t>.</w:t>
      </w:r>
    </w:p>
    <w:p w:rsidR="00804E61" w:rsidRDefault="00824D46" w:rsidP="00F7129E">
      <w:pPr>
        <w:keepNext/>
        <w:ind w:firstLine="720"/>
      </w:pPr>
      <w:r>
        <w:t>C</w:t>
      </w:r>
      <w:r w:rsidR="00804E61">
        <w:t>.</w:t>
      </w:r>
      <w:r w:rsidR="00804E61">
        <w:tab/>
      </w:r>
      <w:r w:rsidR="00804E61">
        <w:rPr>
          <w:smallCaps/>
        </w:rPr>
        <w:t>False light</w:t>
      </w:r>
    </w:p>
    <w:p w:rsidR="0057174D" w:rsidRDefault="0057174D" w:rsidP="00F7129E">
      <w:pPr>
        <w:keepNext/>
        <w:ind w:firstLine="720"/>
      </w:pPr>
      <w:r>
        <w:t>“</w:t>
      </w:r>
      <w:r w:rsidR="00F7129E">
        <w:t> </w:t>
      </w:r>
      <w:r>
        <w:t>‘</w:t>
      </w:r>
      <w:r w:rsidRPr="00A62215">
        <w:t xml:space="preserve">One who gives publicity to a matter concerning another that places the other before the public in a </w:t>
      </w:r>
      <w:r w:rsidRPr="007E0071">
        <w:t>false</w:t>
      </w:r>
      <w:r w:rsidRPr="00A62215">
        <w:t xml:space="preserve"> </w:t>
      </w:r>
      <w:r w:rsidRPr="007E0071">
        <w:t>light</w:t>
      </w:r>
      <w:r w:rsidRPr="00A62215">
        <w:t xml:space="preserve"> is subject to liability to the other for invasion of his privacy, if (a) the </w:t>
      </w:r>
      <w:r w:rsidRPr="007E0071">
        <w:t>false</w:t>
      </w:r>
      <w:r w:rsidRPr="00A62215">
        <w:t xml:space="preserve"> </w:t>
      </w:r>
      <w:r w:rsidRPr="007E0071">
        <w:t>light</w:t>
      </w:r>
      <w:r w:rsidRPr="00A62215">
        <w:t xml:space="preserve"> in which the other was placed would be highly offensive to a reasonable person, and (b) the actor had knowledge of or acted in reckless disregard as to the falsity of the publicized matter and the </w:t>
      </w:r>
      <w:r w:rsidRPr="007E0071">
        <w:t>false</w:t>
      </w:r>
      <w:r w:rsidRPr="00A62215">
        <w:t xml:space="preserve"> </w:t>
      </w:r>
      <w:r w:rsidRPr="007E0071">
        <w:t>light</w:t>
      </w:r>
      <w:r w:rsidRPr="00A62215">
        <w:t xml:space="preserve"> in which</w:t>
      </w:r>
      <w:r w:rsidRPr="007E0071">
        <w:t xml:space="preserve"> the other would be placed.</w:t>
      </w:r>
      <w:r>
        <w:t>’</w:t>
      </w:r>
      <w:r w:rsidR="00E30541">
        <w:t> </w:t>
      </w:r>
      <w:r>
        <w:t>”</w:t>
      </w:r>
      <w:r w:rsidRPr="007E0071">
        <w:t xml:space="preserve">  </w:t>
      </w:r>
      <w:r w:rsidRPr="00A62215">
        <w:t>(</w:t>
      </w:r>
      <w:r w:rsidRPr="00066AB2">
        <w:t xml:space="preserve">5 Witkin, Summary of </w:t>
      </w:r>
      <w:r w:rsidRPr="007E0071">
        <w:t>Cal. Law (10th ed. 2005) Torts,</w:t>
      </w:r>
      <w:r w:rsidRPr="00A62215">
        <w:t xml:space="preserve"> § 673, p. 988.)</w:t>
      </w:r>
      <w:r>
        <w:t xml:space="preserve">  </w:t>
      </w:r>
      <w:r w:rsidRPr="003234A9">
        <w:t xml:space="preserve">A </w:t>
      </w:r>
      <w:r>
        <w:t>“</w:t>
      </w:r>
      <w:r w:rsidRPr="003234A9">
        <w:t>false light</w:t>
      </w:r>
      <w:r>
        <w:t>”</w:t>
      </w:r>
      <w:r w:rsidRPr="003234A9">
        <w:t xml:space="preserve"> cause of action is a variety of defamation and is subject to the same requirements.  (</w:t>
      </w:r>
      <w:r w:rsidRPr="003234A9">
        <w:rPr>
          <w:i/>
        </w:rPr>
        <w:t>A</w:t>
      </w:r>
      <w:r w:rsidRPr="0001537C">
        <w:rPr>
          <w:i/>
        </w:rPr>
        <w:t>isenson v. American Broadcasting Co.</w:t>
      </w:r>
      <w:r w:rsidRPr="0001537C">
        <w:t xml:space="preserve"> (1990) 220 Cal.App.3d 146, 161</w:t>
      </w:r>
      <w:r>
        <w:t>.)</w:t>
      </w:r>
    </w:p>
    <w:p w:rsidR="0057174D" w:rsidRDefault="0057174D" w:rsidP="0057174D">
      <w:pPr>
        <w:ind w:firstLine="720"/>
      </w:pPr>
      <w:r>
        <w:t>“</w:t>
      </w:r>
      <w:r w:rsidRPr="00523EDF">
        <w:t>In determining whether a statement is libelous we look to what is explicitly stated as well as what insinuation and implication can be reasonably drawn from the communication.</w:t>
      </w:r>
      <w:r>
        <w:t>”</w:t>
      </w:r>
      <w:r w:rsidRPr="0001537C">
        <w:t xml:space="preserve"> </w:t>
      </w:r>
      <w:r>
        <w:t xml:space="preserve"> </w:t>
      </w:r>
      <w:r w:rsidRPr="0001537C">
        <w:t>(</w:t>
      </w:r>
      <w:r w:rsidRPr="0001537C">
        <w:rPr>
          <w:i/>
          <w:iCs/>
        </w:rPr>
        <w:t>Forsher v. Bugliosi</w:t>
      </w:r>
      <w:r w:rsidRPr="0001537C">
        <w:t xml:space="preserve"> (1980) 26 Cal.3d 792, 803.)</w:t>
      </w:r>
      <w:r>
        <w:t xml:space="preserve">  “ ‘ “</w:t>
      </w:r>
      <w:r w:rsidRPr="0073588E">
        <w:t>[I]f the defendant juxtaposes [a] series of facts so as to imply a defamatory connection between them, or [otherwise] creates a defamatory implication</w:t>
      </w:r>
      <w:r w:rsidR="00C81020">
        <w:t> . . . </w:t>
      </w:r>
      <w:r w:rsidRPr="0073588E">
        <w:t>he may be held responsible for the defamatory implication,</w:t>
      </w:r>
      <w:r w:rsidR="00C81020">
        <w:t> . . . </w:t>
      </w:r>
      <w:r w:rsidRPr="0073588E">
        <w:t>even though the particular facts are correct.</w:t>
      </w:r>
      <w:r>
        <w:t>” ’ ”</w:t>
      </w:r>
      <w:r w:rsidRPr="0073588E">
        <w:t xml:space="preserve">  (</w:t>
      </w:r>
      <w:r w:rsidRPr="0073588E">
        <w:rPr>
          <w:i/>
          <w:iCs/>
        </w:rPr>
        <w:t>Weller v. American Broadcasting Companies, Inc.</w:t>
      </w:r>
      <w:r w:rsidRPr="0073588E">
        <w:t xml:space="preserve"> (1991) 232 Cal.App.3d 991, 1003,</w:t>
      </w:r>
      <w:r>
        <w:t xml:space="preserve"> f</w:t>
      </w:r>
      <w:r w:rsidRPr="0073588E">
        <w:t>n.</w:t>
      </w:r>
      <w:r>
        <w:t xml:space="preserve"> </w:t>
      </w:r>
      <w:r w:rsidRPr="0073588E">
        <w:t>10.)  A co</w:t>
      </w:r>
      <w:r>
        <w:t xml:space="preserve">urt examines </w:t>
      </w:r>
      <w:r w:rsidRPr="0001537C">
        <w:t xml:space="preserve">the totality of the circumstances, </w:t>
      </w:r>
      <w:r>
        <w:t xml:space="preserve">including </w:t>
      </w:r>
      <w:r w:rsidRPr="0001537C">
        <w:t xml:space="preserve">the context in which the statement was made. </w:t>
      </w:r>
      <w:r>
        <w:t xml:space="preserve"> </w:t>
      </w:r>
      <w:r w:rsidRPr="0001537C">
        <w:t>(</w:t>
      </w:r>
      <w:r w:rsidRPr="0001537C">
        <w:rPr>
          <w:i/>
          <w:iCs/>
        </w:rPr>
        <w:t>Baker v. Los Angeles Herald Examiner</w:t>
      </w:r>
      <w:r w:rsidRPr="0001537C">
        <w:t xml:space="preserve"> (1986) 42 Cal.3d 254, 260</w:t>
      </w:r>
      <w:r>
        <w:t>–</w:t>
      </w:r>
      <w:r w:rsidRPr="0001537C">
        <w:t>261.)</w:t>
      </w:r>
      <w:r>
        <w:t xml:space="preserve">  </w:t>
      </w:r>
      <w:r w:rsidRPr="00AB7CCF">
        <w:t xml:space="preserve">Opinions are constitutionally protected and cannot form the basis of a defamation-type claim.  </w:t>
      </w:r>
      <w:r w:rsidRPr="0001537C">
        <w:t>(</w:t>
      </w:r>
      <w:r>
        <w:rPr>
          <w:i/>
          <w:iCs/>
        </w:rPr>
        <w:t>Id.</w:t>
      </w:r>
      <w:r>
        <w:rPr>
          <w:iCs/>
        </w:rPr>
        <w:t xml:space="preserve"> at p. </w:t>
      </w:r>
      <w:r w:rsidRPr="0001537C">
        <w:t>260.)</w:t>
      </w:r>
      <w:r>
        <w:t xml:space="preserve">  </w:t>
      </w:r>
      <w:r w:rsidRPr="000A66ED">
        <w:t>Whether a statement constitutes a statement of fact or opinion is a question of law.  (</w:t>
      </w:r>
      <w:r w:rsidRPr="000A66ED">
        <w:rPr>
          <w:i/>
        </w:rPr>
        <w:t>Ibid</w:t>
      </w:r>
      <w:r w:rsidRPr="000A66ED">
        <w:t xml:space="preserve">.)  </w:t>
      </w:r>
      <w:r>
        <w:t>“</w:t>
      </w:r>
      <w:r w:rsidRPr="000A66ED">
        <w:t>In making such a determination, the court must place itself in the position of the hearer or reader, and determine the sense or meaning of the statement according to its natural and popular construction.</w:t>
      </w:r>
      <w:r>
        <w:t>”</w:t>
      </w:r>
      <w:r w:rsidRPr="000A66ED">
        <w:t xml:space="preserve">  (</w:t>
      </w:r>
      <w:r w:rsidRPr="000A66ED">
        <w:rPr>
          <w:i/>
          <w:iCs/>
        </w:rPr>
        <w:t>Ibid.</w:t>
      </w:r>
      <w:r w:rsidRPr="000A66ED">
        <w:t xml:space="preserve">)  Based on the language used and the totality of the surrounding circumstances, the court determines whether the average reader or hearer </w:t>
      </w:r>
      <w:r>
        <w:t>“</w:t>
      </w:r>
      <w:r w:rsidRPr="000A66ED">
        <w:t>could have reasonably understood the alleged defamatory statement to be one of fact.</w:t>
      </w:r>
      <w:r>
        <w:t>”</w:t>
      </w:r>
      <w:r w:rsidRPr="000A66ED">
        <w:t xml:space="preserve">  (</w:t>
      </w:r>
      <w:r w:rsidRPr="000A66ED">
        <w:rPr>
          <w:i/>
          <w:iCs/>
        </w:rPr>
        <w:t>I</w:t>
      </w:r>
      <w:r w:rsidRPr="0001537C">
        <w:rPr>
          <w:i/>
          <w:iCs/>
        </w:rPr>
        <w:t>d.</w:t>
      </w:r>
      <w:r w:rsidRPr="0001537C">
        <w:t xml:space="preserve"> at p.</w:t>
      </w:r>
      <w:r w:rsidR="008855A5">
        <w:t> </w:t>
      </w:r>
      <w:r w:rsidRPr="0001537C">
        <w:t>261.)</w:t>
      </w:r>
      <w:r>
        <w:t xml:space="preserve">  “</w:t>
      </w:r>
      <w:r w:rsidRPr="00DB404B">
        <w:t>Photographs are not actionable if they are fair and accurate depictions of the person and scene in question, even if they place the person in a less than flattering light, so long as the photographs do not surpass the limits of decency by being highly offensive to persons of ordinary sensibilities.</w:t>
      </w:r>
      <w:r>
        <w:t>”</w:t>
      </w:r>
      <w:r w:rsidRPr="00DB404B">
        <w:t xml:space="preserve">  (</w:t>
      </w:r>
      <w:r w:rsidRPr="00DB404B">
        <w:rPr>
          <w:i/>
        </w:rPr>
        <w:t>Ai</w:t>
      </w:r>
      <w:r w:rsidRPr="0001537C">
        <w:rPr>
          <w:i/>
        </w:rPr>
        <w:t>senson</w:t>
      </w:r>
      <w:r w:rsidR="008855A5">
        <w:rPr>
          <w:i/>
        </w:rPr>
        <w:t xml:space="preserve"> v. American Broadcasting Co.</w:t>
      </w:r>
      <w:r>
        <w:t xml:space="preserve">, </w:t>
      </w:r>
      <w:r>
        <w:rPr>
          <w:i/>
        </w:rPr>
        <w:t xml:space="preserve">supra, </w:t>
      </w:r>
      <w:r w:rsidRPr="0001537C">
        <w:t xml:space="preserve">220 Cal.App.3d </w:t>
      </w:r>
      <w:r>
        <w:t>at p. 161.)</w:t>
      </w:r>
    </w:p>
    <w:p w:rsidR="0057174D" w:rsidRDefault="0057174D" w:rsidP="0057174D">
      <w:pPr>
        <w:ind w:firstLine="720"/>
      </w:pPr>
      <w:r>
        <w:t xml:space="preserve">Here, the Internet </w:t>
      </w:r>
      <w:r w:rsidRPr="0001537C">
        <w:t>post</w:t>
      </w:r>
      <w:r>
        <w:t>ing</w:t>
      </w:r>
      <w:r w:rsidRPr="0001537C">
        <w:t xml:space="preserve"> referred only to </w:t>
      </w:r>
      <w:r>
        <w:t>Daniel’s</w:t>
      </w:r>
      <w:r w:rsidRPr="0001537C">
        <w:t xml:space="preserve"> physical resemblance to the Cleveland Brown cartoon character.  It twice expressly referred to how </w:t>
      </w:r>
      <w:r w:rsidR="00F0117A">
        <w:t>Daniel</w:t>
      </w:r>
      <w:r w:rsidRPr="0001537C">
        <w:t xml:space="preserve"> looked.  It did not insinuate or imply that </w:t>
      </w:r>
      <w:r w:rsidR="00F0117A">
        <w:t>Daniel</w:t>
      </w:r>
      <w:r w:rsidRPr="0001537C">
        <w:t xml:space="preserve"> shared any personality characteristics or, as </w:t>
      </w:r>
      <w:r w:rsidR="00F0117A">
        <w:t xml:space="preserve">Daniel </w:t>
      </w:r>
      <w:r w:rsidRPr="0001537C">
        <w:t xml:space="preserve">argues, </w:t>
      </w:r>
      <w:r>
        <w:t>“</w:t>
      </w:r>
      <w:r w:rsidRPr="0001537C">
        <w:t>suggest[</w:t>
      </w:r>
      <w:r w:rsidR="00C81020">
        <w:t xml:space="preserve"> </w:t>
      </w:r>
      <w:r w:rsidRPr="0001537C">
        <w:t xml:space="preserve">] that </w:t>
      </w:r>
      <w:r>
        <w:t>Daniel</w:t>
      </w:r>
      <w:r w:rsidRPr="0001537C">
        <w:t xml:space="preserve"> is a real-life incarnation of the cartoon figure.</w:t>
      </w:r>
      <w:r>
        <w:t xml:space="preserve">” </w:t>
      </w:r>
      <w:r w:rsidR="00F0117A">
        <w:t xml:space="preserve"> </w:t>
      </w:r>
      <w:r w:rsidRPr="0001537C">
        <w:t xml:space="preserve">Moreover, it was a combination of an expression of an opinion by Wayans that </w:t>
      </w:r>
      <w:r w:rsidR="00925408">
        <w:t>Daniel</w:t>
      </w:r>
      <w:r w:rsidRPr="0001537C">
        <w:t xml:space="preserve"> looked like Cleveland Brown and an accurate photographic comparison.</w:t>
      </w:r>
      <w:r>
        <w:t xml:space="preserve">  Accordingly, Daniel </w:t>
      </w:r>
      <w:r w:rsidR="00CB7377">
        <w:t xml:space="preserve">did </w:t>
      </w:r>
      <w:r>
        <w:t xml:space="preserve">not show </w:t>
      </w:r>
      <w:r w:rsidR="00CB7377">
        <w:t xml:space="preserve">a probability of prevailing on </w:t>
      </w:r>
      <w:r>
        <w:t xml:space="preserve">his </w:t>
      </w:r>
      <w:r w:rsidR="00CB7377">
        <w:t xml:space="preserve">false light </w:t>
      </w:r>
      <w:r>
        <w:t>claim, and the trial court properly struck it.</w:t>
      </w:r>
    </w:p>
    <w:p w:rsidR="00804E61" w:rsidRDefault="00824D46" w:rsidP="00925408">
      <w:pPr>
        <w:keepNext/>
        <w:ind w:firstLine="720"/>
      </w:pPr>
      <w:r>
        <w:t>D</w:t>
      </w:r>
      <w:r w:rsidR="00804E61">
        <w:t>.</w:t>
      </w:r>
      <w:r w:rsidR="00804E61">
        <w:tab/>
      </w:r>
      <w:r w:rsidR="00CF63D1">
        <w:rPr>
          <w:smallCaps/>
        </w:rPr>
        <w:t>Quasi-contract</w:t>
      </w:r>
    </w:p>
    <w:p w:rsidR="007877A8" w:rsidRDefault="00F0117A" w:rsidP="00804E61">
      <w:pPr>
        <w:ind w:firstLine="720"/>
      </w:pPr>
      <w:r>
        <w:t xml:space="preserve">Daniel’s </w:t>
      </w:r>
      <w:r w:rsidR="00CF63D1">
        <w:t>quasi-contract</w:t>
      </w:r>
      <w:r>
        <w:t xml:space="preserve"> claim (eighth cause of action) is based solely on the Internet posting. </w:t>
      </w:r>
      <w:r w:rsidR="003125C8">
        <w:t xml:space="preserve"> </w:t>
      </w:r>
      <w:r w:rsidR="004A54C8">
        <w:t xml:space="preserve">According to the complaint, </w:t>
      </w:r>
      <w:r>
        <w:t xml:space="preserve">Wayans obtained </w:t>
      </w:r>
      <w:r w:rsidR="004A54C8">
        <w:t xml:space="preserve">an improper </w:t>
      </w:r>
      <w:r>
        <w:t>“benefit</w:t>
      </w:r>
      <w:r w:rsidR="004A54C8">
        <w:t>”</w:t>
      </w:r>
      <w:r>
        <w:t xml:space="preserve"> from </w:t>
      </w:r>
      <w:r w:rsidR="004A54C8">
        <w:t>using Daniel’s likeness in the Internet posting.</w:t>
      </w:r>
      <w:r w:rsidR="003125C8">
        <w:t xml:space="preserve">  </w:t>
      </w:r>
      <w:r w:rsidR="004A54C8">
        <w:t xml:space="preserve">The Internet posting, according to the complaint, was improper because the photograph of Daniel used in that posting was taken </w:t>
      </w:r>
      <w:r w:rsidR="00B40D24">
        <w:t>“</w:t>
      </w:r>
      <w:r w:rsidR="004A54C8">
        <w:t>w</w:t>
      </w:r>
      <w:r w:rsidR="003125C8">
        <w:t>ithout [his] consent.”</w:t>
      </w:r>
    </w:p>
    <w:p w:rsidR="00B86F1B" w:rsidRDefault="00B86F1B" w:rsidP="00804E61">
      <w:pPr>
        <w:ind w:firstLine="720"/>
      </w:pPr>
      <w:r>
        <w:t>“[I]</w:t>
      </w:r>
      <w:r w:rsidRPr="00B86F1B">
        <w:t>t is well settled that an action based on an implied-in-fact or quasi-contract cannot lie where there exists between the parties a valid express contract covering the same subject matter.</w:t>
      </w:r>
      <w:r>
        <w:t>”</w:t>
      </w:r>
      <w:r w:rsidR="00CB7377">
        <w:t xml:space="preserve">  (</w:t>
      </w:r>
      <w:r w:rsidR="00CB7377" w:rsidRPr="00CB7377">
        <w:rPr>
          <w:i/>
        </w:rPr>
        <w:t>Lance Camper Manufacturing Corp. v. Republic Indemnity Co</w:t>
      </w:r>
      <w:r w:rsidR="00CB7377" w:rsidRPr="00CB7377">
        <w:t>.</w:t>
      </w:r>
      <w:r w:rsidR="00CB7377">
        <w:t xml:space="preserve"> (1996) 44 Cal.App.4th 194, 203; </w:t>
      </w:r>
      <w:r w:rsidR="00CB7377" w:rsidRPr="00CB7377">
        <w:rPr>
          <w:i/>
        </w:rPr>
        <w:t>Rutherford Holdings, LLC v. Plaza Del Rey</w:t>
      </w:r>
      <w:r w:rsidR="00CB7377">
        <w:t xml:space="preserve"> (2014) </w:t>
      </w:r>
      <w:r w:rsidR="00CB7377" w:rsidRPr="00CB7377">
        <w:t>223 Cal.App.4th 221, 231</w:t>
      </w:r>
      <w:r w:rsidR="00CB7377">
        <w:t>.)</w:t>
      </w:r>
    </w:p>
    <w:p w:rsidR="00F0117A" w:rsidRDefault="00CB7377" w:rsidP="00804E61">
      <w:pPr>
        <w:ind w:firstLine="720"/>
      </w:pPr>
      <w:r>
        <w:t xml:space="preserve">Here, there was a valid express contract covering the use of </w:t>
      </w:r>
      <w:r w:rsidR="00F0117A">
        <w:t>Daniel</w:t>
      </w:r>
      <w:r>
        <w:t xml:space="preserve">’s photograph in connection with A Haunted House 2, the </w:t>
      </w:r>
      <w:r w:rsidR="00FE0339">
        <w:t>v</w:t>
      </w:r>
      <w:r>
        <w:t>oucher.</w:t>
      </w:r>
      <w:r w:rsidR="003125C8">
        <w:t xml:space="preserve">  </w:t>
      </w:r>
      <w:r>
        <w:t>B</w:t>
      </w:r>
      <w:r w:rsidR="004A54C8">
        <w:t xml:space="preserve">y signing the </w:t>
      </w:r>
      <w:r w:rsidR="00FE0339">
        <w:t>v</w:t>
      </w:r>
      <w:r w:rsidR="004A54C8">
        <w:t>oucher</w:t>
      </w:r>
      <w:r>
        <w:t>, Daniel</w:t>
      </w:r>
      <w:r w:rsidR="004A54C8">
        <w:t xml:space="preserve"> not only gave Wayans the right to use his photograph “in any manner whatsoever and for any reason</w:t>
      </w:r>
      <w:r w:rsidR="007877A8">
        <w:t>”</w:t>
      </w:r>
      <w:r w:rsidR="004A54C8">
        <w:t xml:space="preserve"> in connection with </w:t>
      </w:r>
      <w:r w:rsidR="007877A8">
        <w:t xml:space="preserve">the movie, but also acknowledged that </w:t>
      </w:r>
      <w:r>
        <w:t xml:space="preserve">the </w:t>
      </w:r>
      <w:r w:rsidR="007877A8">
        <w:t>wages he received for his work on the movie were “payment in full”</w:t>
      </w:r>
      <w:r>
        <w:t xml:space="preserve">—that is, he is not entitled to any other payment, including payment for the use of his photograph.  </w:t>
      </w:r>
      <w:r w:rsidR="00AD766A">
        <w:t>Because</w:t>
      </w:r>
      <w:r>
        <w:t xml:space="preserve"> Daniel did not show a probability of prevailing on his quasi-contract claim, the trial court properly struck it.</w:t>
      </w:r>
    </w:p>
    <w:p w:rsidR="00804E61" w:rsidRDefault="00824D46" w:rsidP="003123C4">
      <w:pPr>
        <w:keepNext/>
        <w:ind w:firstLine="720"/>
      </w:pPr>
      <w:r>
        <w:t>E</w:t>
      </w:r>
      <w:r w:rsidR="00804E61">
        <w:t>.</w:t>
      </w:r>
      <w:r w:rsidR="00804E61">
        <w:tab/>
      </w:r>
      <w:r w:rsidR="00804E61">
        <w:rPr>
          <w:smallCaps/>
        </w:rPr>
        <w:t>Unjust enrichment</w:t>
      </w:r>
    </w:p>
    <w:p w:rsidR="0022471D" w:rsidRDefault="0022471D" w:rsidP="00804E61">
      <w:pPr>
        <w:ind w:firstLine="720"/>
      </w:pPr>
      <w:r>
        <w:t xml:space="preserve">Like his </w:t>
      </w:r>
      <w:r w:rsidR="00CF63D1">
        <w:t>quasi-contract</w:t>
      </w:r>
      <w:r>
        <w:t xml:space="preserve"> claim, Daniel’s claim for unjust enrichment is based solely on the Internet posting.  Technically, “[u]</w:t>
      </w:r>
      <w:r w:rsidRPr="00407DA4">
        <w:t>njust enrichment is not a cause of ac</w:t>
      </w:r>
      <w:r w:rsidRPr="0015301C">
        <w:t>tion,</w:t>
      </w:r>
      <w:r>
        <w:t> . . . </w:t>
      </w:r>
      <w:r w:rsidRPr="0015301C">
        <w:t>or even a remedy</w:t>
      </w:r>
      <w:r>
        <w:t>”;</w:t>
      </w:r>
      <w:r w:rsidR="003125C8">
        <w:t xml:space="preserve"> </w:t>
      </w:r>
      <w:r>
        <w:t xml:space="preserve">it is </w:t>
      </w:r>
      <w:r w:rsidRPr="0015301C">
        <w:t xml:space="preserve">instead a principle or state </w:t>
      </w:r>
      <w:r>
        <w:t>“</w:t>
      </w:r>
      <w:r w:rsidRPr="00407DA4">
        <w:t xml:space="preserve">describing </w:t>
      </w:r>
      <w:r>
        <w:t>‘</w:t>
      </w:r>
      <w:r w:rsidR="003125C8">
        <w:t> </w:t>
      </w:r>
      <w:r>
        <w:t>“</w:t>
      </w:r>
      <w:r w:rsidRPr="00407DA4">
        <w:t>the result of a failure to make restitution.</w:t>
      </w:r>
      <w:r>
        <w:t>”</w:t>
      </w:r>
      <w:r w:rsidR="00FE0339">
        <w:t> </w:t>
      </w:r>
      <w:r>
        <w:t>’</w:t>
      </w:r>
      <w:r w:rsidR="00FE0339">
        <w:t> </w:t>
      </w:r>
      <w:r>
        <w:t>”</w:t>
      </w:r>
      <w:r w:rsidRPr="00407DA4">
        <w:t xml:space="preserve"> </w:t>
      </w:r>
      <w:r w:rsidRPr="0015301C">
        <w:t xml:space="preserve"> </w:t>
      </w:r>
      <w:r>
        <w:t>(</w:t>
      </w:r>
      <w:r w:rsidRPr="00F07A64">
        <w:rPr>
          <w:i/>
          <w:iCs/>
        </w:rPr>
        <w:t>McBride v. Boughton</w:t>
      </w:r>
      <w:r w:rsidRPr="00F07A64">
        <w:t xml:space="preserve"> (2004) 123 Cal.App.4th 379, </w:t>
      </w:r>
      <w:r>
        <w:t xml:space="preserve">387.)  However, because this appeal </w:t>
      </w:r>
      <w:r w:rsidR="00220D67">
        <w:t xml:space="preserve">concerns </w:t>
      </w:r>
      <w:r>
        <w:t xml:space="preserve">an anti-SLAPP motion, we disregard how a plaintiff may have styled or labeled a particular cause of action and focus instead on the claim’s merits.  </w:t>
      </w:r>
      <w:r w:rsidRPr="0022471D">
        <w:t>(</w:t>
      </w:r>
      <w:r w:rsidRPr="0022471D">
        <w:rPr>
          <w:i/>
        </w:rPr>
        <w:t>Hylton v. Frank E. Rogozienski, Inc</w:t>
      </w:r>
      <w:r w:rsidRPr="0022471D">
        <w:t>. (2009) 177 Cal.App.4th 1264,</w:t>
      </w:r>
      <w:r>
        <w:t xml:space="preserve"> 1272.)</w:t>
      </w:r>
    </w:p>
    <w:p w:rsidR="00220D67" w:rsidRDefault="00220D67" w:rsidP="00804E61">
      <w:pPr>
        <w:ind w:firstLine="720"/>
      </w:pPr>
      <w:r>
        <w:t xml:space="preserve">Daniel’s claim for unjust enrichment suffers from </w:t>
      </w:r>
      <w:r w:rsidR="00AD766A">
        <w:t>two related</w:t>
      </w:r>
      <w:r>
        <w:t xml:space="preserve"> problems.  First, </w:t>
      </w:r>
      <w:r w:rsidRPr="00220D67">
        <w:t xml:space="preserve">a party to an express contract can assert a claim for restitution based on unjust enrichment by </w:t>
      </w:r>
      <w:r>
        <w:t xml:space="preserve">only </w:t>
      </w:r>
      <w:r w:rsidRPr="00220D67">
        <w:t>“</w:t>
      </w:r>
      <w:r w:rsidR="00FE0339">
        <w:t> ‘</w:t>
      </w:r>
      <w:r w:rsidRPr="00220D67">
        <w:t>alleg[ing in that cause of action] that the express contract is void or was rescinded.</w:t>
      </w:r>
      <w:r w:rsidR="00FE0339">
        <w:t>’ </w:t>
      </w:r>
      <w:r w:rsidRPr="00220D67">
        <w:t xml:space="preserve">” </w:t>
      </w:r>
      <w:r>
        <w:t xml:space="preserve"> </w:t>
      </w:r>
      <w:r w:rsidRPr="00220D67">
        <w:t>(</w:t>
      </w:r>
      <w:r w:rsidR="00AD766A" w:rsidRPr="00CB7377">
        <w:rPr>
          <w:i/>
        </w:rPr>
        <w:t>Rutherford Holdings</w:t>
      </w:r>
      <w:r w:rsidR="00A63B46" w:rsidRPr="00CB7377">
        <w:rPr>
          <w:i/>
        </w:rPr>
        <w:t>, LLC v. Plaza Del Rey</w:t>
      </w:r>
      <w:r w:rsidR="00AD766A" w:rsidRPr="00AD766A">
        <w:t>,</w:t>
      </w:r>
      <w:r w:rsidR="00AD766A">
        <w:rPr>
          <w:i/>
        </w:rPr>
        <w:t xml:space="preserve"> supra</w:t>
      </w:r>
      <w:r w:rsidR="00AD766A" w:rsidRPr="00AD766A">
        <w:t>,</w:t>
      </w:r>
      <w:r w:rsidR="00AD766A">
        <w:rPr>
          <w:i/>
        </w:rPr>
        <w:t xml:space="preserve"> </w:t>
      </w:r>
      <w:r w:rsidR="00AD766A" w:rsidRPr="00CB7377">
        <w:t xml:space="preserve">223 Cal.App.4th </w:t>
      </w:r>
      <w:r w:rsidR="00AD766A">
        <w:t xml:space="preserve">at p. </w:t>
      </w:r>
      <w:r w:rsidR="00AD766A" w:rsidRPr="00CB7377">
        <w:t>231</w:t>
      </w:r>
      <w:r>
        <w:t xml:space="preserve">.)  Here, Daniel does not allege in his complaint </w:t>
      </w:r>
      <w:r w:rsidR="00CF63D1">
        <w:t xml:space="preserve">and has not </w:t>
      </w:r>
      <w:r>
        <w:t xml:space="preserve">demonstrated in his declaration opposing Wayans’s motion that the </w:t>
      </w:r>
      <w:r w:rsidR="003125C8">
        <w:t>voucher was void or rescinded.</w:t>
      </w:r>
    </w:p>
    <w:p w:rsidR="00AD766A" w:rsidRDefault="00AD766A" w:rsidP="00AD766A">
      <w:pPr>
        <w:ind w:firstLine="720"/>
      </w:pPr>
      <w:r>
        <w:t xml:space="preserve">Second, and more substantively, Daniel’s unjust enrichment claim suffers from many of the same problems that bedevil his </w:t>
      </w:r>
      <w:r w:rsidR="00CF63D1">
        <w:t>quasi-contract</w:t>
      </w:r>
      <w:r>
        <w:t xml:space="preserve"> claim:  Daniel:</w:t>
      </w:r>
      <w:r w:rsidR="00E30541">
        <w:t xml:space="preserve"> </w:t>
      </w:r>
      <w:r>
        <w:t xml:space="preserve"> (1) was hired as a non-speaking extra in a one day role; (2) was paid in full for his services; (3) acknowledged in writing that he received “payment in full”</w:t>
      </w:r>
      <w:r w:rsidR="00A63B46">
        <w:t>;</w:t>
      </w:r>
      <w:r>
        <w:t xml:space="preserve"> and (4) released any right to any use of his image in connection with the promotion of A Haunted House</w:t>
      </w:r>
      <w:r w:rsidR="00A63B46">
        <w:t> </w:t>
      </w:r>
      <w:r>
        <w:t xml:space="preserve">2.  </w:t>
      </w:r>
      <w:r w:rsidR="00925408">
        <w:t xml:space="preserve">Consequently, </w:t>
      </w:r>
      <w:r>
        <w:t>Daniel</w:t>
      </w:r>
      <w:r w:rsidRPr="00AD766A">
        <w:t xml:space="preserve"> </w:t>
      </w:r>
      <w:r>
        <w:t>failed to show a probability of prevailing on his quasi-contract claim, and the trial court properly struck it.</w:t>
      </w:r>
    </w:p>
    <w:p w:rsidR="00824D46" w:rsidRDefault="00824D46" w:rsidP="00824D46">
      <w:pPr>
        <w:ind w:firstLine="720"/>
      </w:pPr>
      <w:r>
        <w:t>F.</w:t>
      </w:r>
      <w:r>
        <w:tab/>
      </w:r>
      <w:r>
        <w:rPr>
          <w:smallCaps/>
        </w:rPr>
        <w:t>Intentional Infliction of emotional distress</w:t>
      </w:r>
    </w:p>
    <w:p w:rsidR="00824D46" w:rsidRDefault="00D048F4" w:rsidP="00824D46">
      <w:pPr>
        <w:ind w:firstLine="720"/>
      </w:pPr>
      <w:r>
        <w:t>Daniel’s claim for the intentional infliction of emotional distress is based on both the on-set comments and conduct and the Internet posting.</w:t>
      </w:r>
    </w:p>
    <w:p w:rsidR="00D048F4" w:rsidRDefault="00D048F4" w:rsidP="00824D46">
      <w:pPr>
        <w:ind w:firstLine="720"/>
      </w:pPr>
      <w:r w:rsidRPr="00D048F4">
        <w:t>The elements of a prima facie case for the tort of intentional infliction of emotional distress are:</w:t>
      </w:r>
      <w:r w:rsidR="00A63B46">
        <w:t xml:space="preserve"> </w:t>
      </w:r>
      <w:r w:rsidRPr="00D048F4">
        <w:t xml:space="preserve"> </w:t>
      </w:r>
      <w:r w:rsidR="00A34E46" w:rsidRPr="00A34E46">
        <w:t>“</w:t>
      </w:r>
      <w:r w:rsidR="00A63B46">
        <w:t> </w:t>
      </w:r>
      <w:r w:rsidR="00A34E46" w:rsidRPr="00A34E46">
        <w:t>‘</w:t>
      </w:r>
      <w:r w:rsidR="00A63B46">
        <w:t> </w:t>
      </w:r>
      <w:r w:rsidR="00A34E46" w:rsidRPr="00A34E46">
        <w:t>“</w:t>
      </w:r>
      <w:r w:rsidR="00A63B46">
        <w:t> </w:t>
      </w:r>
      <w:r w:rsidR="00A34E46" w:rsidRPr="00A34E46">
        <w:t>‘(1)</w:t>
      </w:r>
      <w:r w:rsidR="00A63B46">
        <w:t> </w:t>
      </w:r>
      <w:r w:rsidR="00A34E46" w:rsidRPr="00A34E46">
        <w:t>extreme and outrageous conduct by the defendant with the intention of causing, or reckless disregard of the probability of causing, emotional distress; (2) the plaintiff's suffering severe or extreme emotional distress; and (3)</w:t>
      </w:r>
      <w:r w:rsidR="00830FAC">
        <w:t> </w:t>
      </w:r>
      <w:r w:rsidR="00A34E46" w:rsidRPr="00A34E46">
        <w:t>actual and proximate causation of the emotional distress by the defenda</w:t>
      </w:r>
      <w:r w:rsidR="00A34E46">
        <w:t>nt's outrageous conduct. . . .’</w:t>
      </w:r>
      <w:r w:rsidR="000E049C">
        <w:t> </w:t>
      </w:r>
      <w:r w:rsidR="00A34E46">
        <w:t>”</w:t>
      </w:r>
      <w:r w:rsidR="000E049C">
        <w:t> </w:t>
      </w:r>
      <w:r w:rsidR="00A34E46">
        <w:t>’</w:t>
      </w:r>
      <w:r w:rsidR="000E049C">
        <w:t> </w:t>
      </w:r>
      <w:r w:rsidR="00A34E46" w:rsidRPr="00A34E46">
        <w:t xml:space="preserve">” </w:t>
      </w:r>
      <w:r w:rsidR="000E049C">
        <w:t xml:space="preserve"> </w:t>
      </w:r>
      <w:r w:rsidR="00A34E46" w:rsidRPr="00A34E46">
        <w:t>(</w:t>
      </w:r>
      <w:r w:rsidR="00A34E46" w:rsidRPr="00A34E46">
        <w:rPr>
          <w:i/>
        </w:rPr>
        <w:t>Potter v. Firestone Tire &amp; Rubber Co</w:t>
      </w:r>
      <w:r w:rsidR="00A34E46" w:rsidRPr="00A34E46">
        <w:t>. (1993) 6 Cal.4th 965, 1001</w:t>
      </w:r>
      <w:r w:rsidR="00E06984">
        <w:t xml:space="preserve">; </w:t>
      </w:r>
      <w:r w:rsidR="00E06984" w:rsidRPr="00E06984">
        <w:rPr>
          <w:i/>
        </w:rPr>
        <w:t>Hughes v. Pair</w:t>
      </w:r>
      <w:r w:rsidR="00E06984">
        <w:t xml:space="preserve"> (2009) 46 Cal.4th 1035,1050</w:t>
      </w:r>
      <w:r w:rsidR="00325E3B">
        <w:t>.</w:t>
      </w:r>
      <w:r w:rsidR="00A34E46">
        <w:t xml:space="preserve">)  </w:t>
      </w:r>
      <w:r w:rsidR="00A34E46" w:rsidRPr="00A34E46">
        <w:t>“</w:t>
      </w:r>
      <w:r w:rsidR="00662104">
        <w:t> </w:t>
      </w:r>
      <w:r w:rsidR="00A34E46" w:rsidRPr="00A34E46">
        <w:t>‘</w:t>
      </w:r>
      <w:r w:rsidR="00662104">
        <w:t> </w:t>
      </w:r>
      <w:r w:rsidR="00A34E46" w:rsidRPr="00A34E46">
        <w:t>“Conduct to be outrageous must be so extreme as to exceed all bounds of that usually tolerated in a civilized community.”</w:t>
      </w:r>
      <w:r w:rsidR="00662104">
        <w:t> </w:t>
      </w:r>
      <w:r w:rsidR="00A34E46" w:rsidRPr="00A34E46">
        <w:t>’</w:t>
      </w:r>
      <w:r w:rsidR="00662104">
        <w:t> </w:t>
      </w:r>
      <w:r w:rsidR="00A34E46" w:rsidRPr="00A34E46">
        <w:t>”</w:t>
      </w:r>
      <w:r w:rsidR="00662104">
        <w:t xml:space="preserve">  </w:t>
      </w:r>
      <w:r w:rsidR="00A34E46" w:rsidRPr="00A34E46">
        <w:t>(</w:t>
      </w:r>
      <w:r w:rsidR="00662104">
        <w:rPr>
          <w:i/>
        </w:rPr>
        <w:t>Potter</w:t>
      </w:r>
      <w:r w:rsidR="00662104">
        <w:t>, at p. 1001.</w:t>
      </w:r>
      <w:r w:rsidR="00A34E46" w:rsidRPr="00A34E46">
        <w:t>)</w:t>
      </w:r>
      <w:r w:rsidR="00A34E46">
        <w:t xml:space="preserve">  </w:t>
      </w:r>
      <w:r w:rsidR="00E06984">
        <w:t xml:space="preserve">However, </w:t>
      </w:r>
      <w:r w:rsidR="00A34E46" w:rsidRPr="00A34E46">
        <w:t>“</w:t>
      </w:r>
      <w:r w:rsidR="00E06984">
        <w:t>l</w:t>
      </w:r>
      <w:r w:rsidR="00A34E46" w:rsidRPr="00A34E46">
        <w:t>iability ‘does not extend to mere insults, indignities, threats, annoyances, petty oppressions, or other trivialities,</w:t>
      </w:r>
      <w:r w:rsidR="00387FF3">
        <w:t>’</w:t>
      </w:r>
      <w:r w:rsidR="00A34E46" w:rsidRPr="00A34E46">
        <w:t xml:space="preserve"> but only to conduct so extreme and outrageous </w:t>
      </w:r>
      <w:r w:rsidR="00387FF3">
        <w:t>‘</w:t>
      </w:r>
      <w:r w:rsidR="00A34E46" w:rsidRPr="00A34E46">
        <w:t>as to go beyond all possible bonds of decency</w:t>
      </w:r>
      <w:r w:rsidR="00E06984">
        <w:t> . . . </w:t>
      </w:r>
      <w:r w:rsidR="00A34E46" w:rsidRPr="00A34E46">
        <w:t>.’</w:t>
      </w:r>
      <w:r w:rsidR="00387FF3">
        <w:t> </w:t>
      </w:r>
      <w:r w:rsidR="00A34E46" w:rsidRPr="00A34E46">
        <w:t xml:space="preserve">” </w:t>
      </w:r>
      <w:r w:rsidR="00E30541">
        <w:t xml:space="preserve"> </w:t>
      </w:r>
      <w:r w:rsidR="00A34E46" w:rsidRPr="00A34E46">
        <w:t>(</w:t>
      </w:r>
      <w:r w:rsidR="00E06984" w:rsidRPr="00E06984">
        <w:rPr>
          <w:i/>
        </w:rPr>
        <w:t>Alcorn v. Anbro Engineering, Inc</w:t>
      </w:r>
      <w:r w:rsidR="00E06984" w:rsidRPr="00E06984">
        <w:t>. (1970) 2 Cal.3d 493</w:t>
      </w:r>
      <w:r w:rsidR="00E06984">
        <w:t xml:space="preserve">, 499, fn. 5; </w:t>
      </w:r>
      <w:r w:rsidR="00E06984" w:rsidRPr="00E06984">
        <w:rPr>
          <w:i/>
        </w:rPr>
        <w:t>Hughes</w:t>
      </w:r>
      <w:r w:rsidR="00387FF3" w:rsidRPr="00387FF3">
        <w:t>,</w:t>
      </w:r>
      <w:r w:rsidR="00387FF3">
        <w:rPr>
          <w:i/>
        </w:rPr>
        <w:t xml:space="preserve"> </w:t>
      </w:r>
      <w:r w:rsidR="00E06984">
        <w:t>at p. 1051.)</w:t>
      </w:r>
    </w:p>
    <w:p w:rsidR="00013A08" w:rsidRDefault="00013A08" w:rsidP="00E30541">
      <w:pPr>
        <w:ind w:firstLine="720"/>
      </w:pPr>
      <w:r>
        <w:t xml:space="preserve">Here, the allegedly outrageous conduct </w:t>
      </w:r>
      <w:r w:rsidR="005A7EA2">
        <w:t xml:space="preserve">consisted of a number of boorish and/or juvenile comments about Daniel’s physical appearance, the use of </w:t>
      </w:r>
      <w:r w:rsidR="00763667">
        <w:t xml:space="preserve">the </w:t>
      </w:r>
      <w:r w:rsidR="005A7EA2">
        <w:t xml:space="preserve">term nigga, which in contemporary usage may or may not be a term of endearment among African Americans depending on the circumstances, and an arguably comic juxtaposition of photographs on the Internet.  </w:t>
      </w:r>
      <w:r w:rsidR="00063BC0">
        <w:t xml:space="preserve">Although </w:t>
      </w:r>
      <w:r w:rsidR="00063BC0" w:rsidRPr="00063BC0">
        <w:t xml:space="preserve">Daniel may have found such conduct hurtful, under all the circumstances Wayans’s conduct was not so extreme </w:t>
      </w:r>
      <w:r w:rsidR="005A7EA2" w:rsidRPr="00A34E46">
        <w:t>as to exceed all bounds of that usually tolerated in a civilized community</w:t>
      </w:r>
      <w:r w:rsidR="005A7EA2">
        <w:t xml:space="preserve">.  Rather, the alleged misconduct falls more in the category of </w:t>
      </w:r>
      <w:r w:rsidR="005A7EA2" w:rsidRPr="00A34E46">
        <w:t xml:space="preserve">insults, indignities, annoyances, </w:t>
      </w:r>
      <w:r w:rsidR="005A7EA2">
        <w:t xml:space="preserve">and </w:t>
      </w:r>
      <w:r w:rsidR="005A7EA2" w:rsidRPr="00A34E46">
        <w:t>petty oppressions</w:t>
      </w:r>
      <w:r w:rsidR="00763667">
        <w:t>.</w:t>
      </w:r>
      <w:r w:rsidR="005A7EA2">
        <w:t xml:space="preserve">  Accordingly, the trial court properly struck this claim.</w:t>
      </w:r>
    </w:p>
    <w:p w:rsidR="007D26B7" w:rsidRPr="00EB0AB1" w:rsidRDefault="007D26B7" w:rsidP="00E30541">
      <w:pPr>
        <w:rPr>
          <w:b/>
        </w:rPr>
      </w:pPr>
      <w:r>
        <w:rPr>
          <w:b/>
        </w:rPr>
        <w:t>V</w:t>
      </w:r>
      <w:r w:rsidRPr="00EB0AB1">
        <w:rPr>
          <w:b/>
        </w:rPr>
        <w:t>.</w:t>
      </w:r>
      <w:r w:rsidRPr="00EB0AB1">
        <w:rPr>
          <w:b/>
        </w:rPr>
        <w:tab/>
      </w:r>
      <w:r>
        <w:rPr>
          <w:b/>
        </w:rPr>
        <w:t>Attorney fees award</w:t>
      </w:r>
    </w:p>
    <w:p w:rsidR="00BD59E4" w:rsidRDefault="005A7EA2" w:rsidP="00E30541">
      <w:pPr>
        <w:ind w:firstLine="720"/>
      </w:pPr>
      <w:r>
        <w:t>The trial court</w:t>
      </w:r>
      <w:r w:rsidR="00BD59E4">
        <w:t>, pursuant to section 425.16, subdivision</w:t>
      </w:r>
      <w:r w:rsidR="00CC18DE">
        <w:t> </w:t>
      </w:r>
      <w:r w:rsidR="00BD59E4">
        <w:t>(c),</w:t>
      </w:r>
      <w:r>
        <w:t xml:space="preserve"> awarded Wayans</w:t>
      </w:r>
      <w:r w:rsidR="00BD59E4">
        <w:t xml:space="preserve"> his attorney fees as the prevailing party.  Daniel does not challenge the amount of those fees.  Instead, his challenge to those fees is a global one—that is, Wayans was not entitled to those fees because his anti-SLAPP motion should not have been granted.  Because we hold that the trial court properly granted Wayans’s anti-SLAPP motion, we further hold that the award </w:t>
      </w:r>
      <w:r w:rsidR="00FB3E8A">
        <w:t>of</w:t>
      </w:r>
      <w:r w:rsidR="00BD59E4">
        <w:t xml:space="preserve"> attorney fees was proper.</w:t>
      </w:r>
    </w:p>
    <w:p w:rsidR="00292BDF" w:rsidRDefault="00292BDF" w:rsidP="00E30541">
      <w:pPr>
        <w:keepNext/>
        <w:jc w:val="center"/>
        <w:rPr>
          <w:b/>
        </w:rPr>
      </w:pPr>
      <w:r w:rsidRPr="00292BDF">
        <w:rPr>
          <w:b/>
        </w:rPr>
        <w:t>DISPOSITION</w:t>
      </w:r>
    </w:p>
    <w:p w:rsidR="00292BDF" w:rsidRDefault="00292BDF" w:rsidP="00E30541">
      <w:pPr>
        <w:keepNext/>
        <w:ind w:firstLine="720"/>
      </w:pPr>
      <w:r w:rsidRPr="00292BDF">
        <w:t>The judgment and order granting the anti-SLAPP motion and dismissing the complaint are</w:t>
      </w:r>
      <w:r>
        <w:t xml:space="preserve"> affirmed.  The order granting </w:t>
      </w:r>
      <w:r w:rsidR="00856E9C">
        <w:t xml:space="preserve">Marlon </w:t>
      </w:r>
      <w:r>
        <w:t xml:space="preserve">Wayans’s attorney fees is also affirmed.  </w:t>
      </w:r>
      <w:r w:rsidR="00856E9C">
        <w:t xml:space="preserve">Marlon </w:t>
      </w:r>
      <w:r>
        <w:t>Wayans is awarded his costs on appeal.</w:t>
      </w:r>
    </w:p>
    <w:p w:rsidR="00292BDF" w:rsidRDefault="006C7958" w:rsidP="00E30541">
      <w:pPr>
        <w:keepNext/>
      </w:pPr>
      <w:r>
        <w:tab/>
      </w:r>
      <w:r w:rsidR="00336AB2">
        <w:t>CERTIFIED FOR PUBLICATION</w:t>
      </w:r>
      <w:r>
        <w:t>.</w:t>
      </w:r>
    </w:p>
    <w:p w:rsidR="00292BDF" w:rsidRDefault="00292BDF" w:rsidP="00E30541">
      <w:pPr>
        <w:keepNext/>
      </w:pPr>
    </w:p>
    <w:p w:rsidR="006C7958" w:rsidRDefault="006C7958" w:rsidP="00E30541">
      <w:pPr>
        <w:keepNext/>
      </w:pPr>
    </w:p>
    <w:p w:rsidR="00292BDF" w:rsidRDefault="00292BDF" w:rsidP="00E30541">
      <w:pPr>
        <w:keepNext/>
      </w:pPr>
      <w:r>
        <w:tab/>
      </w:r>
      <w:r>
        <w:tab/>
      </w:r>
      <w:r>
        <w:tab/>
      </w:r>
      <w:r>
        <w:tab/>
      </w:r>
      <w:r>
        <w:tab/>
      </w:r>
      <w:r>
        <w:tab/>
        <w:t>JOHNSON, J.</w:t>
      </w:r>
    </w:p>
    <w:p w:rsidR="00292BDF" w:rsidRDefault="00292BDF" w:rsidP="00E30541">
      <w:pPr>
        <w:keepNext/>
      </w:pPr>
    </w:p>
    <w:p w:rsidR="00292BDF" w:rsidRDefault="00292BDF" w:rsidP="00E30541">
      <w:pPr>
        <w:keepNext/>
      </w:pPr>
      <w:r>
        <w:t>I concur:</w:t>
      </w:r>
    </w:p>
    <w:p w:rsidR="00292BDF" w:rsidRDefault="00292BDF" w:rsidP="00E30541">
      <w:pPr>
        <w:keepNext/>
      </w:pPr>
    </w:p>
    <w:p w:rsidR="006C7958" w:rsidRDefault="006C7958" w:rsidP="00E30541">
      <w:pPr>
        <w:keepNext/>
      </w:pPr>
    </w:p>
    <w:p w:rsidR="00B86E1E" w:rsidRDefault="006C7958" w:rsidP="00E30541">
      <w:pPr>
        <w:keepNext/>
        <w:sectPr w:rsidR="00B86E1E" w:rsidSect="006C7958">
          <w:headerReference w:type="even" r:id="rId7"/>
          <w:headerReference w:type="default" r:id="rId8"/>
          <w:footerReference w:type="even" r:id="rId9"/>
          <w:footerReference w:type="default" r:id="rId10"/>
          <w:headerReference w:type="first" r:id="rId11"/>
          <w:footerReference w:type="first" r:id="rId12"/>
          <w:pgSz w:w="12240" w:h="15840"/>
          <w:pgMar w:top="2160" w:right="2160" w:bottom="2160" w:left="2160" w:header="720" w:footer="720" w:gutter="0"/>
          <w:cols w:space="720"/>
          <w:titlePg/>
          <w:docGrid w:linePitch="381"/>
        </w:sectPr>
      </w:pPr>
      <w:r>
        <w:tab/>
      </w:r>
      <w:r w:rsidR="00292BDF">
        <w:tab/>
        <w:t>ROTHSCHILD, P.</w:t>
      </w:r>
      <w:r w:rsidR="00856E9C">
        <w:t xml:space="preserve"> </w:t>
      </w:r>
      <w:r w:rsidR="00292BDF">
        <w:t>J.</w:t>
      </w:r>
    </w:p>
    <w:p w:rsidR="00B86E1E" w:rsidRDefault="00B86E1E" w:rsidP="00B86E1E">
      <w:r>
        <w:t>LUI, J., Concurring and Dissenting.</w:t>
      </w:r>
    </w:p>
    <w:p w:rsidR="00B86E1E" w:rsidRPr="00DB0913" w:rsidRDefault="00B86E1E" w:rsidP="00B86E1E"/>
    <w:p w:rsidR="00B86E1E" w:rsidRDefault="00B86E1E" w:rsidP="00B86E1E">
      <w:pPr>
        <w:ind w:firstLine="720"/>
      </w:pPr>
      <w:r>
        <w:t>Although I agree with the majority on some of its analysis, I disagree with the majority’s conclusions concerning both the scope of the creative process and the scope of the release that appellant Pierre Daniel (Daniel) signed</w:t>
      </w:r>
      <w:r w:rsidRPr="00DB0913">
        <w:t>.</w:t>
      </w:r>
      <w:r>
        <w:t xml:space="preserve">  I also believe that Daniel demonstrated a reasonable probability that he would prevail on his cause of action for intentional infliction of emotional distress.  Accordingly, I would reverse the trial court’s ruling in part and permit Daniel’s action to proceed on claims relating to both the alleged on-set conduct of respondent Marlon Wayans (Wayans) and to his Internet posting.</w:t>
      </w:r>
    </w:p>
    <w:p w:rsidR="00B86E1E" w:rsidRDefault="00B86E1E" w:rsidP="00B86E1E">
      <w:pPr>
        <w:ind w:firstLine="720"/>
      </w:pPr>
      <w:r>
        <w:t>Because this is an appeal from an order granting an anti-SLAPP motion, we must accept the “plaintiff’s evidence as true.”  (</w:t>
      </w:r>
      <w:r>
        <w:rPr>
          <w:i/>
        </w:rPr>
        <w:t>Baral v. Schnitt</w:t>
      </w:r>
      <w:r>
        <w:t xml:space="preserve"> (2016) 1 Cal.5th 376, 385 (</w:t>
      </w:r>
      <w:r>
        <w:rPr>
          <w:i/>
        </w:rPr>
        <w:t>Baral</w:t>
      </w:r>
      <w:r>
        <w:t>).)  We evaluate the defendant’s showing “only to determine if it defeats the plaintiff’s claim as a matter of law.”  (</w:t>
      </w:r>
      <w:r>
        <w:rPr>
          <w:i/>
        </w:rPr>
        <w:t>Ibid.</w:t>
      </w:r>
      <w:r>
        <w:t>)  Under that standard, we are faced with the following facts.</w:t>
      </w:r>
    </w:p>
    <w:p w:rsidR="00B86E1E" w:rsidRDefault="00B86E1E" w:rsidP="00B86E1E">
      <w:pPr>
        <w:ind w:firstLine="720"/>
      </w:pPr>
      <w:r>
        <w:t>Daniel was hired for one day as an extra on a movie, A </w:t>
      </w:r>
      <w:r w:rsidRPr="00795991">
        <w:t>Haunted House 2</w:t>
      </w:r>
      <w:r>
        <w:t xml:space="preserve">.  While on the set, when no filming was occurring, the producer, cowriter and star of the movie, Wayans, repeatedly called Daniel “ ‘nigga’ ” and a “ ‘black fat ass,’ ” mocked him for his “ ‘Afro’ ” hairstyle, approached Daniel while sneering, leering and rolling his eyes, compared Daniel to an unflattering character (Cleveland Brown) in the animated series </w:t>
      </w:r>
      <w:r w:rsidRPr="00EE50D7">
        <w:rPr>
          <w:i/>
        </w:rPr>
        <w:t>Family Guy</w:t>
      </w:r>
      <w:r>
        <w:t>, and generally treated him in a demeaning and abusive manner.  Daniel had no prior relationship with Wayans and did not participate in this insulting conduct that Wayans characterized as “joking.”  Indeed, he testified that he walked away.</w:t>
      </w:r>
    </w:p>
    <w:p w:rsidR="00B86E1E" w:rsidRDefault="00B86E1E" w:rsidP="00B86E1E">
      <w:pPr>
        <w:ind w:firstLine="720"/>
      </w:pPr>
      <w:r>
        <w:t>The insulting conduct was not limited to the set.  Without Daniel’s permission, Wayans took Daniel’s picture on Wayans’s cell phone.  Wayans posted the picture on his personal Twitter account next to a picture of the Cleveland Brown animated character with a caption comparing “ ‘this nigga’ ” (Daniel) to “ ‘THIS NIGGA’ ” (Cleveland Brown).  Many people saw the pictures, resulting in repeated embarrassing questions as to whether Daniel is the “ ‘Cleveland Brown’ ” character from Wayans’s post.</w:t>
      </w:r>
    </w:p>
    <w:p w:rsidR="00B86E1E" w:rsidRPr="00116F77" w:rsidRDefault="00B86E1E" w:rsidP="00B86E1E">
      <w:pPr>
        <w:keepNext/>
        <w:ind w:left="720" w:hanging="720"/>
        <w:rPr>
          <w:b/>
          <w:i/>
        </w:rPr>
      </w:pPr>
      <w:r>
        <w:rPr>
          <w:b/>
        </w:rPr>
        <w:t>1.</w:t>
      </w:r>
      <w:r>
        <w:rPr>
          <w:b/>
        </w:rPr>
        <w:tab/>
      </w:r>
      <w:r>
        <w:rPr>
          <w:b/>
          <w:i/>
        </w:rPr>
        <w:t>Wayans’s on-set conduct, as alleged, was not in furtherance of his constitutional right to free speech</w:t>
      </w:r>
    </w:p>
    <w:p w:rsidR="00B86E1E" w:rsidRDefault="00B86E1E" w:rsidP="00B86E1E">
      <w:pPr>
        <w:ind w:firstLine="720"/>
      </w:pPr>
      <w:r>
        <w:t xml:space="preserve">The majority concludes that Wayans’s alleged on-set conduct was protected under the anti-SLAPP statute because it was part of the creative process of making the movie.  (Code Civ. Proc., </w:t>
      </w:r>
      <w:r w:rsidRPr="00B47E94">
        <w:t xml:space="preserve">§ </w:t>
      </w:r>
      <w:r>
        <w:t>425.16, subd. (e)(4).)</w:t>
      </w:r>
      <w:r w:rsidRPr="00B738D4">
        <w:rPr>
          <w:rStyle w:val="FootnoteReference"/>
        </w:rPr>
        <w:footnoteReference w:id="10"/>
      </w:r>
      <w:r>
        <w:t xml:space="preserve">  The majority observes that Daniel did not rebut Wayans’s evidence that creation of the movie involved a great deal of on-set improvisation both before and during filming, along with a “ ‘light, funny atmosphere’ ” in which “ ‘[e]veryone . . . joked around with each other as part of the creative process.’ ”  (Maj. opn. </w:t>
      </w:r>
      <w:r w:rsidRPr="002E2EA9">
        <w:rPr>
          <w:i/>
        </w:rPr>
        <w:t>ante</w:t>
      </w:r>
      <w:r>
        <w:t>, at p. 22.)</w:t>
      </w:r>
    </w:p>
    <w:p w:rsidR="00B86E1E" w:rsidRDefault="00B86E1E" w:rsidP="00B86E1E">
      <w:pPr>
        <w:ind w:firstLine="720"/>
      </w:pPr>
      <w:r>
        <w:t>The problem with this analysis is that Daniel did not willingly participate in this creative process.  Under Daniel’s version of events—which we must accept on this appeal—he was not a collaborator in a crass but collegial brainstorming session.  He did not know Wayans.  He was not hired to be a writer or creative consultant.  He was an extra hired for one day to be a “non-descriptive furniture mover who would be assisting in moving boxes in and out of a house.”  He was the target of, not a participant in, others’ demeaning and offensive humor.</w:t>
      </w:r>
    </w:p>
    <w:p w:rsidR="00B86E1E" w:rsidRDefault="00B86E1E" w:rsidP="00B86E1E">
      <w:pPr>
        <w:ind w:firstLine="720"/>
      </w:pPr>
      <w:r>
        <w:t xml:space="preserve">The humor was racially charged.  We have no reason to question Wayans’s claim that he commonly uses the term “ ‘nigga’ ” as a term of endearment with friends of all races.  But it hardly stretches credibility when Daniel claims that the use of such an historically fraught term offended and insulted </w:t>
      </w:r>
      <w:r w:rsidRPr="005D5A34">
        <w:rPr>
          <w:i/>
        </w:rPr>
        <w:t>him</w:t>
      </w:r>
      <w:r>
        <w:t>.</w:t>
      </w:r>
      <w:r w:rsidRPr="00B738D4">
        <w:rPr>
          <w:rStyle w:val="FootnoteReference"/>
        </w:rPr>
        <w:footnoteReference w:id="11"/>
      </w:r>
      <w:r>
        <w:t xml:space="preserve">  Most important, it is not our role to decide credibility.  We accept Daniel’s testimony that he was offended and evaluate the circumstances in which the offensive conduct occurred.</w:t>
      </w:r>
    </w:p>
    <w:p w:rsidR="00B86E1E" w:rsidRDefault="00B86E1E" w:rsidP="00B86E1E">
      <w:pPr>
        <w:ind w:firstLine="720"/>
      </w:pPr>
      <w:r>
        <w:t xml:space="preserve">Daniel’s claim that the conduct at issue here was specifically directed </w:t>
      </w:r>
      <w:r w:rsidRPr="00C070D0">
        <w:rPr>
          <w:i/>
        </w:rPr>
        <w:t xml:space="preserve">at him </w:t>
      </w:r>
      <w:r>
        <w:t xml:space="preserve">creates a critical difference between the facts of this case and the facts in </w:t>
      </w:r>
      <w:r>
        <w:rPr>
          <w:i/>
        </w:rPr>
        <w:t xml:space="preserve">Lyle v. Warner Brothers Television Productions </w:t>
      </w:r>
      <w:r>
        <w:t>(2006) 38 Cal.4th 264 (</w:t>
      </w:r>
      <w:r w:rsidRPr="00B13D2F">
        <w:rPr>
          <w:i/>
        </w:rPr>
        <w:t>Lyle</w:t>
      </w:r>
      <w:r>
        <w:t xml:space="preserve">), which the majority suggests provides “insights about the creative process for developing a somewhat raunchy comedy.”  (Maj. opn. </w:t>
      </w:r>
      <w:r w:rsidRPr="00B13D2F">
        <w:rPr>
          <w:i/>
        </w:rPr>
        <w:t>ante</w:t>
      </w:r>
      <w:r>
        <w:t xml:space="preserve">, at p. 20, fn. 2.)  In </w:t>
      </w:r>
      <w:r>
        <w:rPr>
          <w:i/>
        </w:rPr>
        <w:t>Lyle</w:t>
      </w:r>
      <w:r>
        <w:t xml:space="preserve">, a former comedy assistant on the television show </w:t>
      </w:r>
      <w:r>
        <w:rPr>
          <w:i/>
        </w:rPr>
        <w:t xml:space="preserve">Friends </w:t>
      </w:r>
      <w:r>
        <w:t>brought a claim for sexual harassment based upon sexually explicit language that the male writers used.  In affirming summary judgment, our Supreme Court was careful to note that the record showed that the sexual antics and discussions at issue “did not involve and were not aimed at plaintiff or any other female employee.”  (</w:t>
      </w:r>
      <w:r>
        <w:rPr>
          <w:i/>
        </w:rPr>
        <w:t>Lyle</w:t>
      </w:r>
      <w:r>
        <w:t>, at p. 287.)  Here, the conduct at issue was allegedly aimed at Daniel.</w:t>
      </w:r>
    </w:p>
    <w:p w:rsidR="00B86E1E" w:rsidRPr="00DA767F" w:rsidRDefault="00B86E1E" w:rsidP="00B86E1E">
      <w:pPr>
        <w:ind w:firstLine="720"/>
      </w:pPr>
      <w:r>
        <w:t xml:space="preserve">In his concurring opinion in </w:t>
      </w:r>
      <w:r>
        <w:rPr>
          <w:i/>
        </w:rPr>
        <w:t>Lyle</w:t>
      </w:r>
      <w:r>
        <w:t xml:space="preserve">, Justice Chin explained that protection of the creative process is particularly important in lawsuits that are “directed at restricting the creative process in a workplace </w:t>
      </w:r>
      <w:r>
        <w:rPr>
          <w:i/>
        </w:rPr>
        <w:t>whose very business is speech related.</w:t>
      </w:r>
      <w:r>
        <w:t>”  (</w:t>
      </w:r>
      <w:r>
        <w:rPr>
          <w:i/>
        </w:rPr>
        <w:t>Lyle</w:t>
      </w:r>
      <w:r>
        <w:t xml:space="preserve">, </w:t>
      </w:r>
      <w:r>
        <w:rPr>
          <w:i/>
        </w:rPr>
        <w:t>supra</w:t>
      </w:r>
      <w:r>
        <w:t>, 38 Cal.4th at p. 297 (conc. opn. of Chin, J.).)  But he also concluded that, “[j]ust as criminal threats are not protected, just as no one has the right to falsely shout ‘fire’ in a crowded theater, limits exist as to what may occur in the writers’ room.”  (</w:t>
      </w:r>
      <w:r>
        <w:rPr>
          <w:i/>
        </w:rPr>
        <w:t>Id.</w:t>
      </w:r>
      <w:r>
        <w:t xml:space="preserve"> at p. 299.)  Even in that context, “speech that is </w:t>
      </w:r>
      <w:r>
        <w:rPr>
          <w:i/>
        </w:rPr>
        <w:t>directed</w:t>
      </w:r>
      <w:r>
        <w:t>, or ‘aimed at a particular employee because of her race, sex, religion, or national origin,’ is not protected.”  (</w:t>
      </w:r>
      <w:r>
        <w:rPr>
          <w:i/>
        </w:rPr>
        <w:t>Ibid.</w:t>
      </w:r>
      <w:r>
        <w:t xml:space="preserve">, quoting Volokh, </w:t>
      </w:r>
      <w:r>
        <w:rPr>
          <w:i/>
        </w:rPr>
        <w:t xml:space="preserve">Freedom of Speech and Workplace Harassment </w:t>
      </w:r>
      <w:r>
        <w:t>(1992) 39 UCLA L.Rev. 1791, 1846.)  I would draw that same line here.</w:t>
      </w:r>
    </w:p>
    <w:p w:rsidR="00B86E1E" w:rsidRPr="00D009F1" w:rsidRDefault="00B86E1E" w:rsidP="00B86E1E">
      <w:pPr>
        <w:ind w:firstLine="720"/>
      </w:pPr>
      <w:r>
        <w:t xml:space="preserve">The record in this case supports such a limit.  Wayans did not claim that </w:t>
      </w:r>
      <w:r w:rsidRPr="001C75BC">
        <w:t>offensive</w:t>
      </w:r>
      <w:r>
        <w:rPr>
          <w:i/>
        </w:rPr>
        <w:t xml:space="preserve"> </w:t>
      </w:r>
      <w:r>
        <w:t xml:space="preserve">conduct </w:t>
      </w:r>
      <w:r w:rsidRPr="001C75BC">
        <w:rPr>
          <w:i/>
        </w:rPr>
        <w:t>targeting</w:t>
      </w:r>
      <w:r>
        <w:t xml:space="preserve"> a particular person is part of his creative process.  Rather, he testified that Daniel was “laughing and joking” along with the rest of the cast and claimed that Daniel never objected or suggested that “he was uncomfortable in any way with the joke.”</w:t>
      </w:r>
      <w:r w:rsidRPr="00B675C7">
        <w:rPr>
          <w:rStyle w:val="FootnoteReference"/>
        </w:rPr>
        <w:footnoteReference w:id="12"/>
      </w:r>
      <w:r>
        <w:t xml:space="preserve">  His costar, Jaime Pressly, went even further in explaining the nature of the creative process that Wayans employed on the set.  She testified that ‘[t]he practice on set is that if anyone is uncomfortable with anything that is said, we take it back and agree not to use it.  As part of his practice, Mr. Wayans makes sure that the subject of the joke is okay with the joke.”  Thus, Wayans himself apparently does not believe that the creative process must extend to conduct that directly offends a cast member.</w:t>
      </w:r>
    </w:p>
    <w:p w:rsidR="00B86E1E" w:rsidRDefault="00B86E1E" w:rsidP="00B86E1E">
      <w:pPr>
        <w:ind w:firstLine="720"/>
      </w:pPr>
      <w:r>
        <w:t>There are no discernible limits to the conduct that would be protected under the majority’s interpretation of the creative process.  What if, for example, a producer/writer/actor claimed that he needed to inspire his creative muse by repeatedly using racial epithets toward and mocking the appearance of a caterer who happened to be near the set?  Or what if he engaged in unwanted sexual conduct with a female extra during a lunch break as a way to try out a new joke?  Or parodied a disabled production assistant?  Under the majority’s analysis, it seems that a writer or actor has free rein to insult and degrade others so long as he or she claims that it somehow helps him or her to make movies.</w:t>
      </w:r>
    </w:p>
    <w:p w:rsidR="00B86E1E" w:rsidRDefault="00B86E1E" w:rsidP="00B86E1E">
      <w:pPr>
        <w:ind w:firstLine="720"/>
      </w:pPr>
      <w:r>
        <w:t>True, victims of such conduct might get past an anti-SLAPP motion if they manage to convince a court that they will probably succeed on their claims.  But requiring them to make such a showing before they have even had an opportunity for discovery is an unwarranted extension of the prelitigation screening authorized by the anti-SLAPP statute and stretches the definition of conduct that is “in furtherance of” the constitutional right of free speech beyond any reasonable bound.  (</w:t>
      </w:r>
      <w:r w:rsidRPr="00F157CA">
        <w:t xml:space="preserve">§ </w:t>
      </w:r>
      <w:r>
        <w:t>425.16, subd. (e)(4).)</w:t>
      </w:r>
    </w:p>
    <w:p w:rsidR="00B86E1E" w:rsidRDefault="00B86E1E" w:rsidP="00B86E1E">
      <w:pPr>
        <w:ind w:firstLine="720"/>
      </w:pPr>
      <w:r w:rsidRPr="008F099E">
        <w:t xml:space="preserve">I recognize, of course, that the anti-SLAPP statute is to be broadly construed and </w:t>
      </w:r>
      <w:r>
        <w:t xml:space="preserve">that to prevail on an anti-SLAPP motion </w:t>
      </w:r>
      <w:r w:rsidRPr="008F099E">
        <w:t xml:space="preserve">a defendant need not prove that the plaintiff’s motive in bringing the lawsuit was </w:t>
      </w:r>
      <w:r>
        <w:t xml:space="preserve">actually </w:t>
      </w:r>
      <w:r w:rsidRPr="008F099E">
        <w:t>to chill the exercise of the defendant’s constitutional rights</w:t>
      </w:r>
      <w:r>
        <w:t xml:space="preserve"> or that the action has actually had a chilling effect on the exercise of such rights</w:t>
      </w:r>
      <w:r w:rsidRPr="008F099E">
        <w:t xml:space="preserve">. </w:t>
      </w:r>
      <w:r w:rsidR="00B675C7">
        <w:t xml:space="preserve"> </w:t>
      </w:r>
      <w:r w:rsidRPr="008F099E">
        <w:t>(§</w:t>
      </w:r>
      <w:r w:rsidR="00B675C7">
        <w:t> </w:t>
      </w:r>
      <w:r w:rsidRPr="008F099E">
        <w:t>425.16, subd. (a)</w:t>
      </w:r>
      <w:r>
        <w:t xml:space="preserve">; </w:t>
      </w:r>
      <w:r>
        <w:rPr>
          <w:i/>
        </w:rPr>
        <w:t>Navellier v. Sletten</w:t>
      </w:r>
      <w:r>
        <w:t xml:space="preserve"> (2002) 29 Cal.4th 82, 88.)  T</w:t>
      </w:r>
      <w:r w:rsidRPr="008F099E">
        <w:t xml:space="preserve">he scope of the </w:t>
      </w:r>
      <w:r>
        <w:t>anti-SLAPP statute therefore can extend</w:t>
      </w:r>
      <w:r w:rsidRPr="008F099E">
        <w:t xml:space="preserve"> beyond the “quintessential” SLAPP, which is “filed by an economic powerhouse to dissuade its opponent from exercising its constitutional right to free speech or to petition.”  (</w:t>
      </w:r>
      <w:r>
        <w:rPr>
          <w:i/>
        </w:rPr>
        <w:t>Nam v. Regents of University of California</w:t>
      </w:r>
      <w:r>
        <w:t xml:space="preserve"> (2016) 1 Cal.App.5th 1176, 1193 (</w:t>
      </w:r>
      <w:r>
        <w:rPr>
          <w:i/>
        </w:rPr>
        <w:t>Nam</w:t>
      </w:r>
      <w:r>
        <w:t>).)</w:t>
      </w:r>
    </w:p>
    <w:p w:rsidR="00B86E1E" w:rsidRDefault="00B86E1E" w:rsidP="00B86E1E">
      <w:pPr>
        <w:ind w:firstLine="720"/>
      </w:pPr>
      <w:r w:rsidRPr="008F099E">
        <w:t xml:space="preserve">However, in considering how far to extend the definition of the creative process for purposes of anti-SLAPP protection, it is appropriate to consider the stated legislative purpose of the anti-SLAPP statute, which is to address “lawsuits brought primarily to chill the valid exercise of the constitutional rights of freedom of speech and petition for the redress of grievances.”  </w:t>
      </w:r>
      <w:r>
        <w:t>(</w:t>
      </w:r>
      <w:r w:rsidRPr="008F099E">
        <w:t>§ 425.16, subd. (a)</w:t>
      </w:r>
      <w:r>
        <w:t xml:space="preserve">; </w:t>
      </w:r>
      <w:r>
        <w:rPr>
          <w:i/>
        </w:rPr>
        <w:t>Nam</w:t>
      </w:r>
      <w:r>
        <w:t xml:space="preserve">, </w:t>
      </w:r>
      <w:r>
        <w:rPr>
          <w:i/>
        </w:rPr>
        <w:t>supra</w:t>
      </w:r>
      <w:r>
        <w:t xml:space="preserve">, </w:t>
      </w:r>
      <w:r w:rsidRPr="007D7A83">
        <w:t>1</w:t>
      </w:r>
      <w:r>
        <w:t xml:space="preserve"> Cal.App.5th at pp. 1189, 1193.)  </w:t>
      </w:r>
      <w:r w:rsidRPr="008F099E">
        <w:t>The record of this case does not suggest that permitting a lawsuit by an extra for racially offensive conduct directed toward him on the set would have any effect on the content of movies or the creative process for making them.  While improvisation and racially</w:t>
      </w:r>
      <w:r>
        <w:t xml:space="preserve"> </w:t>
      </w:r>
      <w:r w:rsidRPr="008F099E">
        <w:t>tinged bantering might be a part of Wayans’</w:t>
      </w:r>
      <w:r>
        <w:t>s</w:t>
      </w:r>
      <w:r w:rsidRPr="008F099E">
        <w:t xml:space="preserve"> creative process, there is no reason to believe that this process must include conduct amounting to </w:t>
      </w:r>
      <w:r>
        <w:t xml:space="preserve">racial </w:t>
      </w:r>
      <w:r w:rsidRPr="008F099E">
        <w:t xml:space="preserve">harassment of a subordinate employee.  </w:t>
      </w:r>
      <w:r>
        <w:t>To the contrary:  As discussed above, Wayans’s evidence showed that his typical creative process was intended to be collaborative and to make sure that no one is made to feel uncomfortable.</w:t>
      </w:r>
    </w:p>
    <w:p w:rsidR="00B86E1E" w:rsidRPr="00116F77" w:rsidRDefault="00B86E1E" w:rsidP="00B86E1E">
      <w:pPr>
        <w:ind w:firstLine="720"/>
      </w:pPr>
      <w:r w:rsidRPr="008F099E">
        <w:t>On the other hand, extending the definition of the creative process to encompass such conduct does threaten to chill meritorious lawsuits with</w:t>
      </w:r>
      <w:r>
        <w:t xml:space="preserve"> the prospect of </w:t>
      </w:r>
      <w:r w:rsidRPr="008F099E">
        <w:t>losing an anti-SLAPP motion.  Individuals such as Daniel</w:t>
      </w:r>
      <w:r>
        <w:t>—</w:t>
      </w:r>
      <w:r w:rsidRPr="008F099E">
        <w:t>who is hardly an “economic powerhouse” in the hierarchy of Hollywood</w:t>
      </w:r>
      <w:r>
        <w:t>—</w:t>
      </w:r>
      <w:r w:rsidRPr="008F099E">
        <w:t xml:space="preserve">are </w:t>
      </w:r>
      <w:r>
        <w:t xml:space="preserve">far </w:t>
      </w:r>
      <w:r w:rsidRPr="008F099E">
        <w:t>more likely to be intimidated by the possibility of a substantial attorney fee award than they are to file suit for the purpose of intimidation.</w:t>
      </w:r>
      <w:r w:rsidR="008F7DBF">
        <w:t xml:space="preserve">  </w:t>
      </w:r>
      <w:r>
        <w:t xml:space="preserve">(See </w:t>
      </w:r>
      <w:r>
        <w:rPr>
          <w:i/>
        </w:rPr>
        <w:t>Nam</w:t>
      </w:r>
      <w:r>
        <w:t xml:space="preserve">, </w:t>
      </w:r>
      <w:r>
        <w:rPr>
          <w:i/>
        </w:rPr>
        <w:t>supra</w:t>
      </w:r>
      <w:r>
        <w:t>, 1 Cal.App.5th at pp. 1188–1189 [anti-SLAPP law “was designed to ferret out meritless lawsuits intended to quell the free exercise of First Amendment rights, not to burden victims of discrimination and retaliation with an earlier and heavier burden of proof than other civil litigants and dissuade the exercise of their right to petition for fear of an onerous attorney fee award”].)</w:t>
      </w:r>
    </w:p>
    <w:p w:rsidR="00B86E1E" w:rsidRPr="00623CCE" w:rsidRDefault="00B86E1E" w:rsidP="00B86E1E">
      <w:pPr>
        <w:ind w:firstLine="720"/>
      </w:pPr>
      <w:r>
        <w:t>In concluding that the conduct at issue here—alleged racially offensive and degrading comments specifically aimed at Daniel—should not be considered in furtherance of constitutionally protected free speech, I do not suggest that the trial court should have evaluated the merits of Daniel’s racial harassment claim as part of the first step in the SLAPP analysis.  The relevant distinction here is not between conduct that would or would not support a harassment claim.  Rather, the important distinction for purposes of defining the contours of the creative process is between creative collaboration, even if it includes offensive topics, and demeaning conduct that is directed at a specific person.  The latter is outside the bounds of constitutionally protected free speech.  (</w:t>
      </w:r>
      <w:r>
        <w:rPr>
          <w:i/>
        </w:rPr>
        <w:t>Lyle</w:t>
      </w:r>
      <w:r>
        <w:t xml:space="preserve">, </w:t>
      </w:r>
      <w:r>
        <w:rPr>
          <w:i/>
        </w:rPr>
        <w:t>supra</w:t>
      </w:r>
      <w:r>
        <w:t>, 38 Cal.4th at pp. 299–300 (conc. opn. of Chin, J.).)</w:t>
      </w:r>
    </w:p>
    <w:p w:rsidR="00B86E1E" w:rsidRDefault="00B86E1E" w:rsidP="00B86E1E">
      <w:pPr>
        <w:ind w:firstLine="720"/>
      </w:pPr>
      <w:r>
        <w:t>Therefore, I would hold that, with respect to Wayans’s alleged on-set conduct, Wayans failed to prove the first step of his anti-SLAPP motion.  The alleged conduct was not in furtherance of his constitutional right of free speech, and the trial court should have permitted Daniel’s claim for racial harassment to proceed with respect to such conduct.  For the same reason, the trial court should have permitted Daniel’s 10th cause of action for intentional infliction of emotional distress to proceed with respect to Wayans’s alleged on-set conduct.</w:t>
      </w:r>
    </w:p>
    <w:p w:rsidR="00B86E1E" w:rsidRPr="00917B8F" w:rsidRDefault="00B86E1E" w:rsidP="00B86E1E">
      <w:pPr>
        <w:keepNext/>
        <w:ind w:left="720" w:hanging="720"/>
        <w:rPr>
          <w:b/>
          <w:i/>
        </w:rPr>
      </w:pPr>
      <w:r>
        <w:rPr>
          <w:b/>
        </w:rPr>
        <w:t>2.</w:t>
      </w:r>
      <w:r>
        <w:rPr>
          <w:b/>
        </w:rPr>
        <w:tab/>
      </w:r>
      <w:r>
        <w:rPr>
          <w:b/>
          <w:i/>
        </w:rPr>
        <w:t>Wayans failed to provide evidence sufficient to show that the scope of Daniel’s release extended to Wayans’s Internet posting</w:t>
      </w:r>
    </w:p>
    <w:p w:rsidR="00B86E1E" w:rsidRDefault="00B86E1E" w:rsidP="00B86E1E">
      <w:pPr>
        <w:ind w:firstLine="720"/>
      </w:pPr>
      <w:r>
        <w:t xml:space="preserve">I agree with the majority that the “allegedly harassing and offensive Internet posting was a writing made in a place open to the public or a public forum and it was made in connection with an issue of public interest.”  (Maj. opn. </w:t>
      </w:r>
      <w:r w:rsidRPr="00B13D2F">
        <w:rPr>
          <w:i/>
        </w:rPr>
        <w:t>ante</w:t>
      </w:r>
      <w:r>
        <w:t>, at p. 26; § 425.16, subd. (e)(3).)  The trial court therefore properly concluded that Wayans met his burden with respect to the first step of the SLAPP analysis with respect to the Internet posting.</w:t>
      </w:r>
    </w:p>
    <w:p w:rsidR="00B86E1E" w:rsidRDefault="00B86E1E" w:rsidP="00B86E1E">
      <w:pPr>
        <w:ind w:firstLine="720"/>
      </w:pPr>
      <w:r>
        <w:t>However, I disagree with the majority’s analysis of the second step of the anti-SLAPP inquiry concerning the merits of Daniel’s claims.  The majority accepts Wayans’s argument that Daniel executed a broad union voucher that precludes his claims for statutory and common law misappropriation of likeness (Daniel’s fifth and sixth causes of action) and for implied contract and unjust enrichment (Daniel’s eighth and ninth causes of action).  In my view, Wayans did not meet his burden to show that the scope of the consent that Daniel provided in the voucher extended to Wayans’s Internet posting.</w:t>
      </w:r>
    </w:p>
    <w:p w:rsidR="00B86E1E" w:rsidRDefault="00B86E1E" w:rsidP="00B86E1E">
      <w:pPr>
        <w:ind w:firstLine="720"/>
      </w:pPr>
      <w:r>
        <w:t xml:space="preserve">Wayans’s only evidence concerning the scope of the union voucher was the voucher itself and two sentences in a declaration submitted by a producer and cowriter of </w:t>
      </w:r>
      <w:r w:rsidRPr="00795991">
        <w:t>A Haunted House 2</w:t>
      </w:r>
      <w:r>
        <w:t xml:space="preserve">, Rick Alvarez.  The Alvarez declaration purports to identify the voucher as a “Standard Union Voucher” that Daniel signed, and states that “Dumb Ass Productions” was a production company for </w:t>
      </w:r>
      <w:r w:rsidRPr="002D4DDA">
        <w:t>A Haunted House 2</w:t>
      </w:r>
      <w:r>
        <w:t>, “which is why that company is listed on the Standard Union Voucher.”</w:t>
      </w:r>
    </w:p>
    <w:p w:rsidR="00B86E1E" w:rsidRDefault="00B86E1E" w:rsidP="00B86E1E">
      <w:pPr>
        <w:ind w:firstLine="720"/>
      </w:pPr>
      <w:r>
        <w:t xml:space="preserve">The voucher, which bears the signature “Pierre Daniel,” grants to the “Production Company of The Production, </w:t>
      </w:r>
      <w:r w:rsidRPr="00032A90">
        <w:t>its successors, assignees, licensees or any other person or company who might gain title or rights to the production</w:t>
      </w:r>
      <w:r>
        <w:t xml:space="preserve">, the right to photograph me and record my voice to use, alter, dub, edit and or otherwise change such photographs and recordings, in any manner whatsoever and for any reason in connection with The Production, such right to be worldwide and in perpetuity.”  The only identification of “The Production” appears in a field for “PRODUCTION &amp; PROJECT NAME,” which lists “Dumb Ass Prod.”  The voucher does not mention Wayans or </w:t>
      </w:r>
      <w:r w:rsidRPr="002D4DDA">
        <w:t>A Haunted House 2</w:t>
      </w:r>
      <w:r>
        <w:t>.</w:t>
      </w:r>
    </w:p>
    <w:p w:rsidR="00B86E1E" w:rsidRDefault="00B86E1E" w:rsidP="00B86E1E">
      <w:pPr>
        <w:ind w:firstLine="720"/>
      </w:pPr>
      <w:r>
        <w:t>I do not believe that this evidence is sufficient as a matter of law to overcome Daniel’s testimony that Wayans did not have his consent to take his picture and to post it on the Internet.  (</w:t>
      </w:r>
      <w:r>
        <w:rPr>
          <w:i/>
        </w:rPr>
        <w:t>Baral</w:t>
      </w:r>
      <w:r>
        <w:t xml:space="preserve">, </w:t>
      </w:r>
      <w:r>
        <w:rPr>
          <w:i/>
        </w:rPr>
        <w:t>supra</w:t>
      </w:r>
      <w:r>
        <w:t>, 1 Cal.5th at p. 385 [defendant’s showing must “defeat[ ] the plaintiff’s claim as a matter of law”].)  The record does not establish that the consent in the voucher (1) applied to Wayans or (2) applied to the use that Wayans made of it.</w:t>
      </w:r>
    </w:p>
    <w:p w:rsidR="00B86E1E" w:rsidRDefault="00B86E1E" w:rsidP="00B86E1E">
      <w:pPr>
        <w:ind w:firstLine="720"/>
      </w:pPr>
      <w:r>
        <w:t xml:space="preserve">The majority concludes that Wayans was entitled to the benefit of the release because there was evidence that Dumb Ass Productions was a production company for </w:t>
      </w:r>
      <w:r w:rsidRPr="002D4DDA">
        <w:t>A Haunted House 2</w:t>
      </w:r>
      <w:r>
        <w:rPr>
          <w:i/>
        </w:rPr>
        <w:t xml:space="preserve"> </w:t>
      </w:r>
      <w:r>
        <w:t xml:space="preserve">and Wayans was a coproducer of the movie.  (Maj. opn. </w:t>
      </w:r>
      <w:r w:rsidRPr="00B13D2F">
        <w:rPr>
          <w:i/>
        </w:rPr>
        <w:t>ante</w:t>
      </w:r>
      <w:r>
        <w:t>, at p. 40.)  But there was no evidence of any connection between Wayans and Dumb Ass Productions, which is the only entity identified on the voucher.  Thus, there is insufficient evidence to show that Wayans either was acting on behalf of Dumb Ass Productions in making the Internet post or was one of the “successors, assignees, licensees” of Dumb Ass Productions or a person with rights to the production.</w:t>
      </w:r>
    </w:p>
    <w:p w:rsidR="00B86E1E" w:rsidRDefault="00B86E1E" w:rsidP="00B86E1E">
      <w:pPr>
        <w:ind w:firstLine="720"/>
      </w:pPr>
      <w:r>
        <w:t xml:space="preserve">There was also insufficient evidence to establish that Wayans was acting “in connection with The Production” in making that post.  Wayans made the post to his own Twitter account.  The only connection to </w:t>
      </w:r>
      <w:r w:rsidRPr="00711FC0">
        <w:t>A Haunted House 2</w:t>
      </w:r>
      <w:r>
        <w:t xml:space="preserve"> was a link to the movie’s Twitter and Instagram pages, which Wayans included along with a link to his own Web site.  Wayans’s declaration does not address </w:t>
      </w:r>
      <w:r>
        <w:rPr>
          <w:i/>
        </w:rPr>
        <w:t xml:space="preserve">why </w:t>
      </w:r>
      <w:r>
        <w:t>he made the post.  According to Daniel, Wayans took Daniel’s picture on Wayans’s cell phone without Daniel’s knowledge or permission during a break.  There is a difference between photography done for the purpose of filming and photography allegedly done during a break on a personal device for the purpose of posting on a personal Twitter account.  Without more evidence to show that Wayans’s particular use of Daniel’s picture was “in connection with The Production” as contemplated by the standard release in the union voucher, I would not preclude Daniel’s claim as a matter of law.</w:t>
      </w:r>
    </w:p>
    <w:p w:rsidR="00B86E1E" w:rsidRDefault="00B86E1E" w:rsidP="00B86E1E">
      <w:pPr>
        <w:ind w:firstLine="720"/>
      </w:pPr>
      <w:r>
        <w:t xml:space="preserve">I am also not persuaded that Wayans’s Internet post was a “transformative use” of Daniel’s likeness as a matter of law.  </w:t>
      </w:r>
      <w:r w:rsidRPr="00032A90">
        <w:t xml:space="preserve">The </w:t>
      </w:r>
      <w:r>
        <w:t>Internet</w:t>
      </w:r>
      <w:r w:rsidRPr="00032A90">
        <w:t xml:space="preserve"> post in issue in this case </w:t>
      </w:r>
      <w:r>
        <w:t>contained</w:t>
      </w:r>
      <w:r w:rsidRPr="00032A90">
        <w:t xml:space="preserve"> no significant transformative elements.  Wayans used Daniel’s photo not as raw material for an original work, but as a literal depiction of Daniel’s appearance and a literal depiction of the appearance of cartoon character Cleveland Brown.  Wayans simply repackaged the two images together and added a caption remarking upon the resemblance of the two.  This was not a transformation that was primarily Wayans’s own expression.</w:t>
      </w:r>
      <w:r>
        <w:t xml:space="preserve">  Thus, the facts here are closer to the use of the literal likeness of The Three Stooges in </w:t>
      </w:r>
      <w:r w:rsidRPr="00032A90">
        <w:rPr>
          <w:i/>
          <w:iCs/>
        </w:rPr>
        <w:t>Comedy III Production, Inc. v. Gary Saderup, Inc.</w:t>
      </w:r>
      <w:r w:rsidRPr="00032A90">
        <w:t xml:space="preserve"> (2001) 25 Cal.4th 387,</w:t>
      </w:r>
      <w:r>
        <w:rPr>
          <w:iCs/>
        </w:rPr>
        <w:t xml:space="preserve"> 408,</w:t>
      </w:r>
      <w:r>
        <w:t xml:space="preserve"> than to the comic book illustrations of “fanciful, creative characters” in </w:t>
      </w:r>
      <w:r w:rsidRPr="002D4D89">
        <w:rPr>
          <w:i/>
          <w:iCs/>
        </w:rPr>
        <w:t>Winter v. DC Comics</w:t>
      </w:r>
      <w:r>
        <w:t xml:space="preserve"> (2003) 30 Cal.4th 881, 892</w:t>
      </w:r>
      <w:r w:rsidRPr="002D4D89">
        <w:t>.</w:t>
      </w:r>
    </w:p>
    <w:p w:rsidR="00B86E1E" w:rsidRPr="00D20F03" w:rsidRDefault="00B86E1E" w:rsidP="00B86E1E">
      <w:pPr>
        <w:keepNext/>
        <w:ind w:left="720" w:hanging="720"/>
        <w:rPr>
          <w:b/>
          <w:i/>
        </w:rPr>
      </w:pPr>
      <w:r>
        <w:rPr>
          <w:b/>
        </w:rPr>
        <w:t>3.</w:t>
      </w:r>
      <w:r>
        <w:rPr>
          <w:b/>
        </w:rPr>
        <w:tab/>
      </w:r>
      <w:r>
        <w:rPr>
          <w:b/>
          <w:i/>
        </w:rPr>
        <w:t>Daniel demonstrated a reasonable probability that he would succeed on his claim for intentional infliction of emotional distress</w:t>
      </w:r>
    </w:p>
    <w:p w:rsidR="00B86E1E" w:rsidRDefault="00B86E1E" w:rsidP="00B86E1E">
      <w:pPr>
        <w:ind w:firstLine="720"/>
      </w:pPr>
      <w:r>
        <w:t>Because I conclude that Wayans’s Internet posting was protected free speech under the anti-SLAPP statute, it is necessary to consider whether Daniel showed that he had a reasonable probability of prevailing on his claim that the Internet post referring to him as “nigga” and comparing his picture to the picture of Cleveland Brown amounted to intentional infliction of emotional distress.</w:t>
      </w:r>
      <w:r w:rsidRPr="00871CEC">
        <w:rPr>
          <w:rStyle w:val="FootnoteReference"/>
        </w:rPr>
        <w:footnoteReference w:id="13"/>
      </w:r>
      <w:r>
        <w:t xml:space="preserve">  I conclude that he did.</w:t>
      </w:r>
    </w:p>
    <w:p w:rsidR="00B86E1E" w:rsidRDefault="00B86E1E" w:rsidP="00B86E1E">
      <w:pPr>
        <w:ind w:firstLine="720"/>
      </w:pPr>
      <w:r>
        <w:t xml:space="preserve">The majority finds that Wayans’s alleged conduct, including the Internet post, “was not so extreme as to exceed all bounds of that usually tolerated in a civilized community,” but was “more in the category of insults, indignities, annoyances, and petty oppressions.”  (Maj. opn. </w:t>
      </w:r>
      <w:r w:rsidRPr="009B2239">
        <w:rPr>
          <w:i/>
        </w:rPr>
        <w:t>ante</w:t>
      </w:r>
      <w:r>
        <w:t>, at p. 50.)  For the reasons discussed earlier, I disagree that Wayans’s use of the term “nigga” in his post to refer to Daniel was not extreme as a matter of law.  Again, context is important.  Daniel saw the post after a day in which he claims Wayans subjected him to in-person racial harassment and demeaning treatment.  If, as he claims, he was the target of racial insults by Wayans previously, it was reasonable to expect that he would react to the term “nigga” in the Internet post as more of the same.  It was also highly foreseeable that Wayans’s comparison of Daniel to an unflattering African-American animated character on Wayans’s personal Twitter account—which he testified had over a million followers—could cause extreme distress.  Daniel testified that it did, claiming that he lost sleep and was apprehensive about going out in public.  Wayans’s post has been reposted and could easily be viewable for years.</w:t>
      </w:r>
    </w:p>
    <w:p w:rsidR="00B86E1E" w:rsidRPr="00DB0913" w:rsidRDefault="00B86E1E" w:rsidP="00B86E1E">
      <w:pPr>
        <w:ind w:firstLine="720"/>
      </w:pPr>
      <w:r w:rsidRPr="009C6EFD">
        <w:t>California courts have repeatedly held that the use of racial epithets can support a cause of action for intentional infliction of emotional distress.</w:t>
      </w:r>
      <w:r>
        <w:t xml:space="preserve">  (</w:t>
      </w:r>
      <w:r w:rsidRPr="00032A90">
        <w:rPr>
          <w:i/>
          <w:iCs/>
        </w:rPr>
        <w:t>Alcorn v. Anbro Engineering, Inc.</w:t>
      </w:r>
      <w:r w:rsidRPr="00032A90">
        <w:t xml:space="preserve"> (1970) 2</w:t>
      </w:r>
      <w:r>
        <w:t> </w:t>
      </w:r>
      <w:r w:rsidRPr="00032A90">
        <w:t>Cal.3d 493</w:t>
      </w:r>
      <w:r>
        <w:t xml:space="preserve"> [</w:t>
      </w:r>
      <w:r w:rsidRPr="00032A90">
        <w:t>African-American plaintiff stated a cause of action for intentional infliction of emotional distress based upon allegations that his supervisor</w:t>
      </w:r>
      <w:r>
        <w:t xml:space="preserve"> referred to him using the term “niggers” in a demeaning manner]; </w:t>
      </w:r>
      <w:r w:rsidRPr="00032A90">
        <w:rPr>
          <w:i/>
          <w:iCs/>
        </w:rPr>
        <w:t>Agarwal v. Johnson</w:t>
      </w:r>
      <w:r w:rsidRPr="00032A90">
        <w:t xml:space="preserve"> (1979) 25 Cal.3d 932</w:t>
      </w:r>
      <w:r>
        <w:t xml:space="preserve"> [affirming jury verdict on the plaintiff’s claim for intentional infliction of emotional distress based on conduct that included the use of racial epithets by the plaintiff’s supervisor to humiliate him]</w:t>
      </w:r>
      <w:r w:rsidRPr="00032A90">
        <w:t xml:space="preserve">, disapproved on another point in </w:t>
      </w:r>
      <w:r w:rsidRPr="00032A90">
        <w:rPr>
          <w:i/>
        </w:rPr>
        <w:t>White v. Ultramar, Inc.</w:t>
      </w:r>
      <w:r w:rsidRPr="00032A90">
        <w:t xml:space="preserve"> (1999) 21 Cal.4th 563, 574, fn. 4</w:t>
      </w:r>
      <w:r>
        <w:t xml:space="preserve">; </w:t>
      </w:r>
      <w:r w:rsidRPr="00032A90">
        <w:rPr>
          <w:i/>
          <w:iCs/>
        </w:rPr>
        <w:t>Robinson v. Hewlett</w:t>
      </w:r>
      <w:r>
        <w:rPr>
          <w:i/>
          <w:iCs/>
        </w:rPr>
        <w:t>-</w:t>
      </w:r>
      <w:r w:rsidRPr="00032A90">
        <w:rPr>
          <w:i/>
          <w:iCs/>
        </w:rPr>
        <w:t>Packard Corp.</w:t>
      </w:r>
      <w:r w:rsidRPr="00032A90">
        <w:t xml:space="preserve"> (1986) 183 Cal.App.3d 1108</w:t>
      </w:r>
      <w:r>
        <w:t xml:space="preserve"> [supervisor insulted plaintiff and his race in an employment setting].)  A jury could reasonably find that Wayans’s alleged conduct was outrageous, and I would therefore permit Daniel’s intentional infliction claim to proceed.</w:t>
      </w:r>
      <w:r w:rsidRPr="003A00CB">
        <w:rPr>
          <w:rStyle w:val="FootnoteReference"/>
        </w:rPr>
        <w:footnoteReference w:id="14"/>
      </w:r>
    </w:p>
    <w:p w:rsidR="00B86E1E" w:rsidRPr="00DB0913" w:rsidRDefault="00B86E1E" w:rsidP="00B86E1E">
      <w:pPr>
        <w:keepNext/>
        <w:rPr>
          <w:b/>
        </w:rPr>
      </w:pPr>
      <w:r>
        <w:rPr>
          <w:b/>
        </w:rPr>
        <w:t>4</w:t>
      </w:r>
      <w:r w:rsidRPr="00DB0913">
        <w:rPr>
          <w:b/>
        </w:rPr>
        <w:t>.</w:t>
      </w:r>
      <w:r w:rsidRPr="00DB0913">
        <w:rPr>
          <w:b/>
        </w:rPr>
        <w:tab/>
      </w:r>
      <w:r w:rsidRPr="00C16D3D">
        <w:rPr>
          <w:b/>
          <w:i/>
        </w:rPr>
        <w:t>Conclusion</w:t>
      </w:r>
    </w:p>
    <w:p w:rsidR="00B86E1E" w:rsidRDefault="00B86E1E" w:rsidP="00B86E1E">
      <w:r w:rsidRPr="00DB0913">
        <w:tab/>
        <w:t>Accordingly, I would reverse the judgment and</w:t>
      </w:r>
      <w:r>
        <w:t xml:space="preserve"> the</w:t>
      </w:r>
      <w:r w:rsidRPr="00DB0913">
        <w:t xml:space="preserve"> order granting the anti-SLAPP motion and dismissing the complaint and direct the trial court to enter a new order partially granting the anti-SLAPP motion and striking </w:t>
      </w:r>
      <w:r>
        <w:t>t</w:t>
      </w:r>
      <w:r w:rsidRPr="00DB0913">
        <w:t>he false light and Unruh Civil Right</w:t>
      </w:r>
      <w:r>
        <w:t>s</w:t>
      </w:r>
      <w:r w:rsidRPr="00DB0913">
        <w:t xml:space="preserve"> Act causes of action in their entirety and paragraph</w:t>
      </w:r>
      <w:r>
        <w:t> </w:t>
      </w:r>
      <w:r w:rsidRPr="00DB0913">
        <w:t>9(h)</w:t>
      </w:r>
      <w:r>
        <w:t xml:space="preserve"> of the racial harassment claim.</w:t>
      </w:r>
    </w:p>
    <w:p w:rsidR="00B86E1E" w:rsidRDefault="00B86E1E" w:rsidP="00B86E1E"/>
    <w:p w:rsidR="00292BDF" w:rsidRDefault="00B86E1E" w:rsidP="003A00CB">
      <w:r>
        <w:tab/>
      </w:r>
      <w:r>
        <w:tab/>
      </w:r>
      <w:r>
        <w:tab/>
      </w:r>
      <w:r>
        <w:tab/>
      </w:r>
      <w:r>
        <w:tab/>
      </w:r>
      <w:r>
        <w:tab/>
      </w:r>
      <w:r>
        <w:tab/>
        <w:t>LUI, J.</w:t>
      </w:r>
    </w:p>
    <w:sectPr w:rsidR="00292BDF" w:rsidSect="00B86E1E">
      <w:footerReference w:type="default" r:id="rId13"/>
      <w:footnotePr>
        <w:numRestart w:val="eachSect"/>
      </w:footnotePr>
      <w:pgSz w:w="12240" w:h="15840"/>
      <w:pgMar w:top="2160" w:right="2160" w:bottom="2160" w:left="216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8D4" w:rsidRDefault="00B738D4" w:rsidP="00C248F8">
      <w:r>
        <w:separator/>
      </w:r>
    </w:p>
  </w:endnote>
  <w:endnote w:type="continuationSeparator" w:id="0">
    <w:p w:rsidR="00B738D4" w:rsidRDefault="00B738D4" w:rsidP="00C24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8D4" w:rsidRDefault="00413F68" w:rsidP="003D6407">
    <w:pPr>
      <w:pStyle w:val="Footer"/>
      <w:framePr w:wrap="around" w:vAnchor="text" w:hAnchor="margin" w:xAlign="center" w:y="1"/>
      <w:rPr>
        <w:rStyle w:val="PageNumber"/>
      </w:rPr>
    </w:pPr>
    <w:r>
      <w:rPr>
        <w:rStyle w:val="PageNumber"/>
      </w:rPr>
      <w:fldChar w:fldCharType="begin"/>
    </w:r>
    <w:r w:rsidR="00B738D4">
      <w:rPr>
        <w:rStyle w:val="PageNumber"/>
      </w:rPr>
      <w:instrText xml:space="preserve">PAGE  </w:instrText>
    </w:r>
    <w:r>
      <w:rPr>
        <w:rStyle w:val="PageNumber"/>
      </w:rPr>
      <w:fldChar w:fldCharType="end"/>
    </w:r>
  </w:p>
  <w:p w:rsidR="00B738D4" w:rsidRDefault="00B738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8D4" w:rsidRDefault="00413F68" w:rsidP="003D6407">
    <w:pPr>
      <w:pStyle w:val="Footer"/>
      <w:framePr w:wrap="around" w:vAnchor="text" w:hAnchor="margin" w:xAlign="center" w:y="1"/>
      <w:rPr>
        <w:rStyle w:val="PageNumber"/>
      </w:rPr>
    </w:pPr>
    <w:r>
      <w:rPr>
        <w:rStyle w:val="PageNumber"/>
      </w:rPr>
      <w:fldChar w:fldCharType="begin"/>
    </w:r>
    <w:r w:rsidR="00B738D4">
      <w:rPr>
        <w:rStyle w:val="PageNumber"/>
      </w:rPr>
      <w:instrText xml:space="preserve">PAGE  </w:instrText>
    </w:r>
    <w:r>
      <w:rPr>
        <w:rStyle w:val="PageNumber"/>
      </w:rPr>
      <w:fldChar w:fldCharType="separate"/>
    </w:r>
    <w:r w:rsidR="003022BD">
      <w:rPr>
        <w:rStyle w:val="PageNumber"/>
        <w:noProof/>
      </w:rPr>
      <w:t>2</w:t>
    </w:r>
    <w:r>
      <w:rPr>
        <w:rStyle w:val="PageNumber"/>
      </w:rPr>
      <w:fldChar w:fldCharType="end"/>
    </w:r>
  </w:p>
  <w:p w:rsidR="00B738D4" w:rsidRDefault="00B738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B73" w:rsidRDefault="00165B7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8D4" w:rsidRDefault="00165B73" w:rsidP="00B738D4">
    <w:pPr>
      <w:pStyle w:val="Footer"/>
      <w:jc w:val="center"/>
    </w:pPr>
    <w:r>
      <w:fldChar w:fldCharType="begin"/>
    </w:r>
    <w:r>
      <w:instrText xml:space="preserve"> PAGE   \* MERGEFORMAT </w:instrText>
    </w:r>
    <w:r>
      <w:fldChar w:fldCharType="separate"/>
    </w:r>
    <w:r w:rsidR="003022BD">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8D4" w:rsidRPr="00C248F8" w:rsidRDefault="00B738D4" w:rsidP="00C248F8">
      <w:r>
        <w:continuationSeparator/>
      </w:r>
    </w:p>
  </w:footnote>
  <w:footnote w:type="continuationSeparator" w:id="0">
    <w:p w:rsidR="00B738D4" w:rsidRDefault="00B738D4" w:rsidP="00C248F8">
      <w:r>
        <w:continuationSeparator/>
      </w:r>
    </w:p>
  </w:footnote>
  <w:footnote w:id="1">
    <w:p w:rsidR="00B738D4" w:rsidRPr="003D01AC" w:rsidRDefault="00B738D4" w:rsidP="00E0686B">
      <w:pPr>
        <w:pStyle w:val="FootnoteText"/>
        <w:spacing w:after="120" w:line="240" w:lineRule="auto"/>
        <w:rPr>
          <w:szCs w:val="28"/>
        </w:rPr>
      </w:pPr>
      <w:r w:rsidRPr="004F30AB">
        <w:rPr>
          <w:rStyle w:val="FootnoteReference"/>
        </w:rPr>
        <w:footnoteRef/>
      </w:r>
      <w:r w:rsidRPr="006F4D23">
        <w:rPr>
          <w:position w:val="10"/>
        </w:rPr>
        <w:t xml:space="preserve"> </w:t>
      </w:r>
      <w:r w:rsidRPr="003D01AC">
        <w:rPr>
          <w:szCs w:val="28"/>
        </w:rPr>
        <w:t xml:space="preserve">All further statutory references are to the </w:t>
      </w:r>
      <w:r>
        <w:rPr>
          <w:szCs w:val="28"/>
        </w:rPr>
        <w:t xml:space="preserve">Code of Civil Procedure </w:t>
      </w:r>
      <w:r w:rsidRPr="003D01AC">
        <w:rPr>
          <w:szCs w:val="28"/>
        </w:rPr>
        <w:t>unless otherwise indicated.</w:t>
      </w:r>
    </w:p>
  </w:footnote>
  <w:footnote w:id="2">
    <w:p w:rsidR="00B738D4" w:rsidRDefault="00B738D4" w:rsidP="00D96C4D">
      <w:pPr>
        <w:pStyle w:val="FootnoteText"/>
        <w:spacing w:after="120" w:line="240" w:lineRule="auto"/>
        <w:rPr>
          <w:rFonts w:cstheme="minorBidi"/>
          <w:szCs w:val="28"/>
        </w:rPr>
      </w:pPr>
      <w:r w:rsidRPr="00435891">
        <w:rPr>
          <w:rStyle w:val="FootnoteReference"/>
        </w:rPr>
        <w:footnoteRef/>
      </w:r>
      <w:r>
        <w:rPr>
          <w:rFonts w:cstheme="minorBidi"/>
          <w:i/>
          <w:szCs w:val="28"/>
        </w:rPr>
        <w:t xml:space="preserve"> </w:t>
      </w:r>
      <w:r w:rsidRPr="00D96C4D">
        <w:rPr>
          <w:rFonts w:cstheme="minorBidi"/>
          <w:i/>
          <w:szCs w:val="28"/>
        </w:rPr>
        <w:t>Lyle</w:t>
      </w:r>
      <w:r w:rsidRPr="00D96C4D">
        <w:rPr>
          <w:rFonts w:cstheme="minorBidi"/>
          <w:szCs w:val="28"/>
        </w:rPr>
        <w:t xml:space="preserve">, </w:t>
      </w:r>
      <w:r w:rsidRPr="00D96C4D">
        <w:rPr>
          <w:rFonts w:cstheme="minorBidi"/>
          <w:i/>
          <w:szCs w:val="28"/>
        </w:rPr>
        <w:t>supra</w:t>
      </w:r>
      <w:r w:rsidRPr="00D96C4D">
        <w:rPr>
          <w:rFonts w:cstheme="minorBidi"/>
          <w:szCs w:val="28"/>
        </w:rPr>
        <w:t>, 38 Cal.4th</w:t>
      </w:r>
      <w:r>
        <w:rPr>
          <w:rFonts w:cstheme="minorBidi"/>
          <w:szCs w:val="28"/>
        </w:rPr>
        <w:t xml:space="preserve"> 264</w:t>
      </w:r>
      <w:r w:rsidRPr="00D96C4D">
        <w:rPr>
          <w:rFonts w:cstheme="minorBidi"/>
          <w:szCs w:val="28"/>
        </w:rPr>
        <w:t xml:space="preserve"> itself is not directly applicable to this case either procedurally (it involved a motion for summary judgment, not a special motion to strike) or substantively (it concerned alleged sexual harassment, not racial harassment, which occurred over the course of four months, not during the course of a single day).  Nonetheless, the majority opinion, as well as the concurring opinion of Justice Chin, provides a number of illuminating insights about the creative process for developing a somewhat raunchy comedy.  </w:t>
      </w:r>
      <w:r w:rsidRPr="00D96C4D">
        <w:rPr>
          <w:rFonts w:cstheme="minorBidi"/>
          <w:i/>
          <w:szCs w:val="28"/>
        </w:rPr>
        <w:t>Lyle</w:t>
      </w:r>
      <w:r w:rsidRPr="00D96C4D">
        <w:rPr>
          <w:rFonts w:cstheme="minorBidi"/>
          <w:szCs w:val="28"/>
        </w:rPr>
        <w:t xml:space="preserve"> involved a claim by a </w:t>
      </w:r>
      <w:r>
        <w:rPr>
          <w:rFonts w:cstheme="minorBidi"/>
          <w:szCs w:val="28"/>
        </w:rPr>
        <w:t>female</w:t>
      </w:r>
      <w:r w:rsidRPr="00D96C4D">
        <w:rPr>
          <w:rFonts w:cstheme="minorBidi"/>
          <w:szCs w:val="28"/>
        </w:rPr>
        <w:t xml:space="preserve"> employee of a television production company that the use of sexual language in the workplace by the male writers of the television show </w:t>
      </w:r>
      <w:r w:rsidRPr="00D96C4D">
        <w:rPr>
          <w:rFonts w:cstheme="minorBidi"/>
          <w:i/>
          <w:szCs w:val="28"/>
        </w:rPr>
        <w:t>Friends</w:t>
      </w:r>
      <w:r w:rsidRPr="00D96C4D">
        <w:rPr>
          <w:rFonts w:cstheme="minorBidi"/>
          <w:szCs w:val="28"/>
        </w:rPr>
        <w:t xml:space="preserve"> gave rise to a hostile work environment. </w:t>
      </w:r>
      <w:r>
        <w:rPr>
          <w:rFonts w:cstheme="minorBidi"/>
          <w:szCs w:val="28"/>
        </w:rPr>
        <w:t xml:space="preserve"> </w:t>
      </w:r>
      <w:r w:rsidRPr="00D96C4D">
        <w:rPr>
          <w:rFonts w:cstheme="minorBidi"/>
          <w:szCs w:val="28"/>
        </w:rPr>
        <w:t>(</w:t>
      </w:r>
      <w:r>
        <w:rPr>
          <w:rFonts w:cstheme="minorBidi"/>
          <w:i/>
          <w:szCs w:val="28"/>
        </w:rPr>
        <w:t>Id.</w:t>
      </w:r>
      <w:r w:rsidRPr="00D96C4D">
        <w:rPr>
          <w:rFonts w:cstheme="minorBidi"/>
          <w:szCs w:val="28"/>
        </w:rPr>
        <w:t xml:space="preserve"> at p. 271.) </w:t>
      </w:r>
      <w:r>
        <w:rPr>
          <w:rFonts w:cstheme="minorBidi"/>
          <w:szCs w:val="28"/>
        </w:rPr>
        <w:t xml:space="preserve"> </w:t>
      </w:r>
      <w:r w:rsidRPr="00D96C4D">
        <w:rPr>
          <w:rFonts w:cstheme="minorBidi"/>
          <w:szCs w:val="28"/>
        </w:rPr>
        <w:t xml:space="preserve">The Supreme Court “granted review to address whether the use of sexually coarse and vulgar language in the workplace can constitute harassment based on </w:t>
      </w:r>
      <w:r>
        <w:rPr>
          <w:rFonts w:cstheme="minorBidi"/>
          <w:szCs w:val="28"/>
        </w:rPr>
        <w:t xml:space="preserve">sex within </w:t>
      </w:r>
      <w:r w:rsidRPr="00D96C4D">
        <w:rPr>
          <w:rFonts w:cstheme="minorBidi"/>
          <w:szCs w:val="28"/>
        </w:rPr>
        <w:t xml:space="preserve">the meaning of the </w:t>
      </w:r>
      <w:r>
        <w:rPr>
          <w:rFonts w:cstheme="minorBidi"/>
          <w:szCs w:val="28"/>
        </w:rPr>
        <w:t>[Fair Employment and Housing Act] . . . .</w:t>
      </w:r>
      <w:r w:rsidRPr="00D96C4D">
        <w:rPr>
          <w:rFonts w:cstheme="minorBidi"/>
          <w:szCs w:val="28"/>
        </w:rPr>
        <w:t xml:space="preserve">” </w:t>
      </w:r>
      <w:r>
        <w:rPr>
          <w:rFonts w:cstheme="minorBidi"/>
          <w:szCs w:val="28"/>
        </w:rPr>
        <w:t xml:space="preserve"> </w:t>
      </w:r>
      <w:r w:rsidRPr="00D96C4D">
        <w:rPr>
          <w:rFonts w:cstheme="minorBidi"/>
          <w:szCs w:val="28"/>
        </w:rPr>
        <w:t>(</w:t>
      </w:r>
      <w:r w:rsidRPr="00D96C4D">
        <w:rPr>
          <w:rFonts w:cstheme="minorBidi"/>
          <w:i/>
          <w:szCs w:val="28"/>
        </w:rPr>
        <w:t>Id</w:t>
      </w:r>
      <w:r w:rsidRPr="00D96C4D">
        <w:rPr>
          <w:rFonts w:cstheme="minorBidi"/>
          <w:szCs w:val="28"/>
        </w:rPr>
        <w:t xml:space="preserve">. at p. 272.)  It concluded:  “Based on the totality of the undisputed circumstances, particularly the fact that the </w:t>
      </w:r>
      <w:r w:rsidRPr="00D96C4D">
        <w:rPr>
          <w:rFonts w:cstheme="minorBidi"/>
          <w:i/>
          <w:szCs w:val="28"/>
        </w:rPr>
        <w:t>Friends</w:t>
      </w:r>
      <w:r w:rsidRPr="00D96C4D">
        <w:rPr>
          <w:rFonts w:cstheme="minorBidi"/>
          <w:szCs w:val="28"/>
        </w:rPr>
        <w:t xml:space="preserve"> production was a creative workplace focused on generating scripts for an adult-oriented </w:t>
      </w:r>
      <w:r>
        <w:rPr>
          <w:rFonts w:cstheme="minorBidi"/>
          <w:szCs w:val="28"/>
        </w:rPr>
        <w:t xml:space="preserve">comedy </w:t>
      </w:r>
      <w:r w:rsidRPr="00D96C4D">
        <w:rPr>
          <w:rFonts w:cstheme="minorBidi"/>
          <w:szCs w:val="28"/>
        </w:rPr>
        <w:t xml:space="preserve">show featuring sexual themes, we find no reasonable trier of fact could conclude such language constituted harassment directed at plaintiff because of her sex within the meaning of the FEHA.” </w:t>
      </w:r>
      <w:r>
        <w:rPr>
          <w:rFonts w:cstheme="minorBidi"/>
          <w:szCs w:val="28"/>
        </w:rPr>
        <w:t xml:space="preserve"> </w:t>
      </w:r>
      <w:r w:rsidRPr="00D96C4D">
        <w:rPr>
          <w:rFonts w:cstheme="minorBidi"/>
          <w:szCs w:val="28"/>
        </w:rPr>
        <w:t>(</w:t>
      </w:r>
      <w:r w:rsidRPr="00D96C4D">
        <w:rPr>
          <w:rFonts w:cstheme="minorBidi"/>
          <w:i/>
          <w:szCs w:val="28"/>
        </w:rPr>
        <w:t>I</w:t>
      </w:r>
      <w:r>
        <w:rPr>
          <w:rFonts w:cstheme="minorBidi"/>
          <w:i/>
          <w:szCs w:val="28"/>
        </w:rPr>
        <w:t>bi</w:t>
      </w:r>
      <w:r w:rsidRPr="00D96C4D">
        <w:rPr>
          <w:rFonts w:cstheme="minorBidi"/>
          <w:i/>
          <w:szCs w:val="28"/>
        </w:rPr>
        <w:t>d</w:t>
      </w:r>
      <w:r w:rsidRPr="00D96C4D">
        <w:rPr>
          <w:rFonts w:cstheme="minorBidi"/>
          <w:szCs w:val="28"/>
        </w:rPr>
        <w:t xml:space="preserve">.)  The </w:t>
      </w:r>
      <w:r w:rsidRPr="00D96C4D">
        <w:rPr>
          <w:rFonts w:cstheme="minorBidi"/>
          <w:i/>
          <w:szCs w:val="28"/>
        </w:rPr>
        <w:t>Lyle</w:t>
      </w:r>
      <w:r w:rsidRPr="00D96C4D">
        <w:rPr>
          <w:rFonts w:cstheme="minorBidi"/>
          <w:szCs w:val="28"/>
        </w:rPr>
        <w:t xml:space="preserve"> majority went on to state:  “That the writers commonly engaged in discussions of personal sexual experiences and preferences and used physical gesturing while brainstorming and generating script ideas for this particular show was neither surprising nor unreasonable from a creative standpoint.”  (</w:t>
      </w:r>
      <w:r w:rsidRPr="00D96C4D">
        <w:rPr>
          <w:rFonts w:cstheme="minorBidi"/>
          <w:i/>
          <w:szCs w:val="28"/>
        </w:rPr>
        <w:t>Id</w:t>
      </w:r>
      <w:r w:rsidRPr="00D96C4D">
        <w:rPr>
          <w:rFonts w:cstheme="minorBidi"/>
          <w:szCs w:val="28"/>
        </w:rPr>
        <w:t>. at p.</w:t>
      </w:r>
      <w:r>
        <w:rPr>
          <w:rFonts w:cstheme="minorBidi"/>
          <w:szCs w:val="28"/>
        </w:rPr>
        <w:t> </w:t>
      </w:r>
      <w:r w:rsidRPr="00D96C4D">
        <w:rPr>
          <w:rFonts w:cstheme="minorBidi"/>
          <w:szCs w:val="28"/>
        </w:rPr>
        <w:t>287.)</w:t>
      </w:r>
    </w:p>
    <w:p w:rsidR="00B738D4" w:rsidRDefault="00B738D4" w:rsidP="00D96C4D">
      <w:pPr>
        <w:pStyle w:val="FootnoteText"/>
        <w:spacing w:after="120" w:line="240" w:lineRule="auto"/>
      </w:pPr>
      <w:r>
        <w:rPr>
          <w:rFonts w:cstheme="minorBidi"/>
          <w:szCs w:val="28"/>
        </w:rPr>
        <w:t>Based on the testimony of Wayans, Pressly and Alvarez about the improvisational creative process used for the making of A Haunted House 2—</w:t>
      </w:r>
      <w:r w:rsidRPr="00D96C4D">
        <w:rPr>
          <w:rFonts w:cstheme="minorBidi"/>
          <w:szCs w:val="28"/>
        </w:rPr>
        <w:t>an adult-oriented</w:t>
      </w:r>
      <w:r>
        <w:rPr>
          <w:rFonts w:cstheme="minorBidi"/>
          <w:szCs w:val="28"/>
        </w:rPr>
        <w:t>, R-rated</w:t>
      </w:r>
      <w:r w:rsidRPr="00D96C4D">
        <w:rPr>
          <w:rFonts w:cstheme="minorBidi"/>
          <w:szCs w:val="28"/>
        </w:rPr>
        <w:t xml:space="preserve"> </w:t>
      </w:r>
      <w:r>
        <w:rPr>
          <w:rFonts w:cstheme="minorBidi"/>
          <w:szCs w:val="28"/>
        </w:rPr>
        <w:t>feature-length comedy f</w:t>
      </w:r>
      <w:r w:rsidRPr="00D96C4D">
        <w:rPr>
          <w:rFonts w:cstheme="minorBidi"/>
          <w:szCs w:val="28"/>
        </w:rPr>
        <w:t>eaturing</w:t>
      </w:r>
      <w:r>
        <w:rPr>
          <w:rFonts w:cstheme="minorBidi"/>
          <w:szCs w:val="28"/>
        </w:rPr>
        <w:t xml:space="preserve"> race-based humor—it is not surprising or unreasonable that terms such as </w:t>
      </w:r>
      <w:r>
        <w:t>nigga, nigger and niggie, which were used dozens of times in the final version of the movie, were also used by the cast and writers as they brainstormed ideas for the script while on-set but in-between the filming of scenes (i.e., “during breaks, while no cameras were rolling”).</w:t>
      </w:r>
    </w:p>
    <w:p w:rsidR="00B738D4" w:rsidRPr="003D01AC" w:rsidRDefault="00B738D4" w:rsidP="00D96C4D">
      <w:pPr>
        <w:pStyle w:val="FootnoteText"/>
        <w:spacing w:after="120" w:line="240" w:lineRule="auto"/>
        <w:rPr>
          <w:szCs w:val="28"/>
        </w:rPr>
      </w:pPr>
      <w:r>
        <w:t>In short, the creative process should not be confined, as Daniel argues, to a fixed place or point in time (i.e., only when the cameras are rolling).  To borrow from Ernest Hemingway, the creative process, depending on the circumstances, may well be a movable feast.</w:t>
      </w:r>
    </w:p>
  </w:footnote>
  <w:footnote w:id="3">
    <w:p w:rsidR="00B738D4" w:rsidRPr="003D01AC" w:rsidRDefault="00B738D4" w:rsidP="00922882">
      <w:pPr>
        <w:pStyle w:val="FootnoteText"/>
        <w:spacing w:after="120" w:line="240" w:lineRule="auto"/>
        <w:rPr>
          <w:szCs w:val="28"/>
        </w:rPr>
      </w:pPr>
      <w:r w:rsidRPr="00A11642">
        <w:rPr>
          <w:rStyle w:val="FootnoteReference"/>
        </w:rPr>
        <w:footnoteRef/>
      </w:r>
      <w:r>
        <w:rPr>
          <w:rFonts w:cstheme="minorBidi"/>
          <w:szCs w:val="28"/>
        </w:rPr>
        <w:t xml:space="preserve"> “</w:t>
      </w:r>
      <w:r w:rsidRPr="003C0264">
        <w:rPr>
          <w:rFonts w:cstheme="minorBidi"/>
          <w:szCs w:val="28"/>
        </w:rPr>
        <w:t xml:space="preserve">A Jheri curl is created by a chemical </w:t>
      </w:r>
      <w:r>
        <w:rPr>
          <w:rFonts w:cstheme="minorBidi"/>
          <w:szCs w:val="28"/>
        </w:rPr>
        <w:t>process that gives black people’</w:t>
      </w:r>
      <w:r w:rsidRPr="003C0264">
        <w:rPr>
          <w:rFonts w:cstheme="minorBidi"/>
          <w:szCs w:val="28"/>
        </w:rPr>
        <w:t>s hair a glossy, loosely curled look</w:t>
      </w:r>
      <w:r>
        <w:rPr>
          <w:rFonts w:cstheme="minorBidi"/>
          <w:szCs w:val="28"/>
        </w:rPr>
        <w:t>. . . .  </w:t>
      </w:r>
      <w:r w:rsidRPr="003C0264">
        <w:rPr>
          <w:rFonts w:cstheme="minorBidi"/>
          <w:szCs w:val="28"/>
        </w:rPr>
        <w:t>The most famous person to wear a Jheri curl likely was the late Michael Jackson during the mid-1980s.</w:t>
      </w:r>
      <w:r>
        <w:rPr>
          <w:rFonts w:cstheme="minorBidi"/>
          <w:szCs w:val="28"/>
        </w:rPr>
        <w:t xml:space="preserve">”  (Onwuach-Willig, </w:t>
      </w:r>
      <w:r w:rsidRPr="00DE3F2F">
        <w:rPr>
          <w:rFonts w:cstheme="minorBidi"/>
          <w:i/>
          <w:szCs w:val="28"/>
        </w:rPr>
        <w:t>Another Hair Pie</w:t>
      </w:r>
      <w:r>
        <w:rPr>
          <w:rFonts w:cstheme="minorBidi"/>
          <w:i/>
          <w:szCs w:val="28"/>
        </w:rPr>
        <w:t>ce:  Exploring New Strands of A</w:t>
      </w:r>
      <w:r w:rsidRPr="00DE3F2F">
        <w:rPr>
          <w:rFonts w:cstheme="minorBidi"/>
          <w:i/>
          <w:szCs w:val="28"/>
        </w:rPr>
        <w:t>nalysis under Title VII</w:t>
      </w:r>
      <w:r>
        <w:rPr>
          <w:rFonts w:cstheme="minorBidi"/>
          <w:szCs w:val="28"/>
        </w:rPr>
        <w:t xml:space="preserve"> (2006) 98 Geo. L.J. 1079, 1129, fn. 252; see </w:t>
      </w:r>
      <w:r w:rsidRPr="00DE3F2F">
        <w:rPr>
          <w:rFonts w:cstheme="minorBidi"/>
          <w:i/>
          <w:szCs w:val="28"/>
        </w:rPr>
        <w:t>People v. Fudge</w:t>
      </w:r>
      <w:r>
        <w:rPr>
          <w:rFonts w:cstheme="minorBidi"/>
          <w:szCs w:val="28"/>
        </w:rPr>
        <w:t xml:space="preserve"> (1994) 7 Cal.4th 1075, 1089, 1092 [witness identification based on man’s “ ‘jheri-curls’ ”]; </w:t>
      </w:r>
      <w:r w:rsidRPr="00901479">
        <w:rPr>
          <w:rFonts w:cstheme="minorBidi"/>
          <w:i/>
          <w:szCs w:val="28"/>
        </w:rPr>
        <w:t>People v. Harrison</w:t>
      </w:r>
      <w:r>
        <w:rPr>
          <w:rFonts w:cstheme="minorBidi"/>
          <w:szCs w:val="28"/>
        </w:rPr>
        <w:t xml:space="preserve"> (2005) 35 Cal.4th 208, 231 [same].)</w:t>
      </w:r>
    </w:p>
  </w:footnote>
  <w:footnote w:id="4">
    <w:p w:rsidR="00B738D4" w:rsidRDefault="00B738D4" w:rsidP="00015158">
      <w:pPr>
        <w:pStyle w:val="FootnoteText"/>
        <w:spacing w:line="240" w:lineRule="auto"/>
      </w:pPr>
      <w:r w:rsidRPr="00406693">
        <w:rPr>
          <w:rStyle w:val="FootnoteReference"/>
        </w:rPr>
        <w:footnoteRef/>
      </w:r>
      <w:r w:rsidRPr="00406693">
        <w:t xml:space="preserve"> Although A Haunted House 2 was a major theatrical production, we do not intend to suggest that smaller productions would not qualify for protection as being in the public interest.</w:t>
      </w:r>
    </w:p>
  </w:footnote>
  <w:footnote w:id="5">
    <w:p w:rsidR="00B738D4" w:rsidRPr="003D01AC" w:rsidRDefault="00B738D4" w:rsidP="00922882">
      <w:pPr>
        <w:pStyle w:val="FootnoteText"/>
        <w:spacing w:after="120" w:line="240" w:lineRule="auto"/>
        <w:rPr>
          <w:szCs w:val="28"/>
        </w:rPr>
      </w:pPr>
      <w:r w:rsidRPr="006F4D23">
        <w:rPr>
          <w:rStyle w:val="FootnoteReference"/>
        </w:rPr>
        <w:footnoteRef/>
      </w:r>
      <w:r>
        <w:rPr>
          <w:rFonts w:cstheme="minorBidi"/>
          <w:szCs w:val="28"/>
        </w:rPr>
        <w:t xml:space="preserve"> It should be noted that although </w:t>
      </w:r>
      <w:r w:rsidRPr="00922882">
        <w:rPr>
          <w:rFonts w:cstheme="minorBidi"/>
          <w:szCs w:val="28"/>
        </w:rPr>
        <w:t>Daniel may not</w:t>
      </w:r>
      <w:r>
        <w:rPr>
          <w:rFonts w:cstheme="minorBidi"/>
          <w:szCs w:val="28"/>
        </w:rPr>
        <w:t xml:space="preserve"> </w:t>
      </w:r>
      <w:r w:rsidRPr="00922882">
        <w:rPr>
          <w:rFonts w:cstheme="minorBidi"/>
          <w:szCs w:val="28"/>
        </w:rPr>
        <w:t>have been widely known prior to his appearance in A Haunted House</w:t>
      </w:r>
      <w:r>
        <w:rPr>
          <w:rFonts w:cstheme="minorBidi"/>
          <w:szCs w:val="28"/>
        </w:rPr>
        <w:t xml:space="preserve"> </w:t>
      </w:r>
      <w:r w:rsidRPr="00922882">
        <w:rPr>
          <w:rFonts w:cstheme="minorBidi"/>
          <w:szCs w:val="28"/>
        </w:rPr>
        <w:t xml:space="preserve">2, he actively sought to </w:t>
      </w:r>
      <w:r>
        <w:rPr>
          <w:rFonts w:cstheme="minorBidi"/>
          <w:szCs w:val="28"/>
        </w:rPr>
        <w:t xml:space="preserve">increase his standing before the public when he agreed to </w:t>
      </w:r>
      <w:r w:rsidRPr="00922882">
        <w:rPr>
          <w:rFonts w:cstheme="minorBidi"/>
          <w:szCs w:val="28"/>
        </w:rPr>
        <w:t>a</w:t>
      </w:r>
      <w:r>
        <w:rPr>
          <w:rFonts w:cstheme="minorBidi"/>
          <w:szCs w:val="28"/>
        </w:rPr>
        <w:t xml:space="preserve">ct </w:t>
      </w:r>
      <w:r w:rsidRPr="00922882">
        <w:rPr>
          <w:rFonts w:cstheme="minorBidi"/>
          <w:szCs w:val="28"/>
        </w:rPr>
        <w:t xml:space="preserve">in </w:t>
      </w:r>
      <w:r>
        <w:rPr>
          <w:rFonts w:cstheme="minorBidi"/>
          <w:szCs w:val="28"/>
        </w:rPr>
        <w:t xml:space="preserve">the movie.  By agreeing to appear in the </w:t>
      </w:r>
      <w:r w:rsidRPr="00922882">
        <w:rPr>
          <w:rFonts w:cstheme="minorBidi"/>
          <w:szCs w:val="28"/>
        </w:rPr>
        <w:t>movie</w:t>
      </w:r>
      <w:r>
        <w:rPr>
          <w:rFonts w:cstheme="minorBidi"/>
          <w:szCs w:val="28"/>
        </w:rPr>
        <w:t>, Daniel “</w:t>
      </w:r>
      <w:r w:rsidRPr="00922882">
        <w:rPr>
          <w:rFonts w:cstheme="minorBidi"/>
          <w:szCs w:val="28"/>
        </w:rPr>
        <w:t>voluntarily subjected</w:t>
      </w:r>
      <w:r>
        <w:rPr>
          <w:rFonts w:cstheme="minorBidi"/>
          <w:szCs w:val="28"/>
        </w:rPr>
        <w:t xml:space="preserve"> [him]</w:t>
      </w:r>
      <w:r w:rsidRPr="00922882">
        <w:rPr>
          <w:rFonts w:cstheme="minorBidi"/>
          <w:szCs w:val="28"/>
        </w:rPr>
        <w:t>self to inevitable scrutiny and potential ridicule by the public and</w:t>
      </w:r>
      <w:r>
        <w:rPr>
          <w:rFonts w:cstheme="minorBidi"/>
          <w:szCs w:val="28"/>
        </w:rPr>
        <w:t xml:space="preserve"> </w:t>
      </w:r>
      <w:r w:rsidRPr="00922882">
        <w:rPr>
          <w:rFonts w:cstheme="minorBidi"/>
          <w:szCs w:val="28"/>
        </w:rPr>
        <w:t>the media.”</w:t>
      </w:r>
      <w:r>
        <w:rPr>
          <w:rFonts w:cstheme="minorBidi"/>
          <w:szCs w:val="28"/>
        </w:rPr>
        <w:t xml:space="preserve">  (</w:t>
      </w:r>
      <w:r w:rsidRPr="00922882">
        <w:rPr>
          <w:rFonts w:cstheme="minorBidi"/>
          <w:i/>
          <w:szCs w:val="28"/>
        </w:rPr>
        <w:t>Seelig v. Infinity Broad</w:t>
      </w:r>
      <w:r>
        <w:rPr>
          <w:rFonts w:cstheme="minorBidi"/>
          <w:i/>
          <w:szCs w:val="28"/>
        </w:rPr>
        <w:t>casting</w:t>
      </w:r>
      <w:r w:rsidRPr="00922882">
        <w:rPr>
          <w:rFonts w:cstheme="minorBidi"/>
          <w:i/>
          <w:szCs w:val="28"/>
        </w:rPr>
        <w:t xml:space="preserve"> Corp</w:t>
      </w:r>
      <w:r>
        <w:rPr>
          <w:rFonts w:cstheme="minorBidi"/>
          <w:szCs w:val="28"/>
        </w:rPr>
        <w:t xml:space="preserve">. </w:t>
      </w:r>
      <w:r w:rsidRPr="00922882">
        <w:rPr>
          <w:rFonts w:cstheme="minorBidi"/>
          <w:szCs w:val="28"/>
        </w:rPr>
        <w:t>(2002)</w:t>
      </w:r>
      <w:r>
        <w:rPr>
          <w:rFonts w:cstheme="minorBidi"/>
          <w:szCs w:val="28"/>
        </w:rPr>
        <w:t xml:space="preserve"> 97 Cal.App.4th 798, 808.)</w:t>
      </w:r>
    </w:p>
  </w:footnote>
  <w:footnote w:id="6">
    <w:p w:rsidR="00B738D4" w:rsidRPr="00BA3D62" w:rsidRDefault="00B738D4" w:rsidP="000E28AD">
      <w:pPr>
        <w:pStyle w:val="FootnoteText"/>
        <w:spacing w:after="120" w:line="240" w:lineRule="auto"/>
        <w:rPr>
          <w:szCs w:val="28"/>
        </w:rPr>
      </w:pPr>
      <w:r w:rsidRPr="003812D7">
        <w:rPr>
          <w:rStyle w:val="FootnoteReference"/>
        </w:rPr>
        <w:footnoteRef/>
      </w:r>
      <w:r>
        <w:t xml:space="preserve"> </w:t>
      </w:r>
      <w:r w:rsidRPr="00BA3D62">
        <w:rPr>
          <w:szCs w:val="28"/>
        </w:rPr>
        <w:t xml:space="preserve">Both Wayans’s </w:t>
      </w:r>
      <w:r>
        <w:rPr>
          <w:szCs w:val="28"/>
        </w:rPr>
        <w:t xml:space="preserve">special </w:t>
      </w:r>
      <w:r w:rsidRPr="00BA3D62">
        <w:rPr>
          <w:szCs w:val="28"/>
        </w:rPr>
        <w:t xml:space="preserve">motion </w:t>
      </w:r>
      <w:r>
        <w:rPr>
          <w:szCs w:val="28"/>
        </w:rPr>
        <w:t xml:space="preserve">to strike </w:t>
      </w:r>
      <w:r w:rsidRPr="00BA3D62">
        <w:rPr>
          <w:szCs w:val="28"/>
        </w:rPr>
        <w:t>and Daniel’s opposition thereto addressed the fourth cause of action, which alleges a violation of the Unruh Civil Rights Act.  On appeal, however, Daniel provides no argument with respect to that cause of action.  We necessarily conclude that he has either conceded the propriety of granting the anti-SLAPP motion as to that cause of action or has forfeited any contention regarding it.</w:t>
      </w:r>
    </w:p>
  </w:footnote>
  <w:footnote w:id="7">
    <w:p w:rsidR="00B738D4" w:rsidRDefault="00B738D4" w:rsidP="00C157EF">
      <w:pPr>
        <w:pStyle w:val="FootnoteText"/>
        <w:spacing w:after="120" w:line="240" w:lineRule="auto"/>
        <w:rPr>
          <w:szCs w:val="28"/>
        </w:rPr>
      </w:pPr>
      <w:r w:rsidRPr="007670FF">
        <w:rPr>
          <w:rStyle w:val="FootnoteReference"/>
        </w:rPr>
        <w:footnoteRef/>
      </w:r>
      <w:r>
        <w:t xml:space="preserve"> </w:t>
      </w:r>
      <w:r>
        <w:rPr>
          <w:szCs w:val="28"/>
        </w:rPr>
        <w:t>See Parks and Jones, “</w:t>
      </w:r>
      <w:r w:rsidRPr="003F56A3">
        <w:rPr>
          <w:i/>
          <w:szCs w:val="28"/>
        </w:rPr>
        <w:t>Nigger</w:t>
      </w:r>
      <w:r>
        <w:rPr>
          <w:szCs w:val="28"/>
        </w:rPr>
        <w:t xml:space="preserve">”: </w:t>
      </w:r>
      <w:r w:rsidRPr="003F56A3">
        <w:rPr>
          <w:i/>
          <w:szCs w:val="28"/>
        </w:rPr>
        <w:t>A Critical Race Realist Analysis of the N-Word within Hate Crimes Law</w:t>
      </w:r>
      <w:r>
        <w:rPr>
          <w:szCs w:val="28"/>
        </w:rPr>
        <w:t xml:space="preserve">” (2008) 98 J.Crim. L. &amp; Criminology 1305, 1306 (“the N-word has a different connotation when used intra-racially among Blacks than when directed at Blacks by Whites”).  It should be noted, however, that others see little difference between nigger and nigga:  </w:t>
      </w:r>
      <w:r w:rsidRPr="000540CE">
        <w:rPr>
          <w:szCs w:val="28"/>
        </w:rPr>
        <w:t>“whether it ends in -a or -er, the first thing that comes to mind is a negative image of a black person</w:t>
      </w:r>
      <w:r>
        <w:rPr>
          <w:szCs w:val="28"/>
        </w:rPr>
        <w:t>.</w:t>
      </w:r>
      <w:r w:rsidRPr="000540CE">
        <w:rPr>
          <w:szCs w:val="28"/>
        </w:rPr>
        <w:t xml:space="preserve">” </w:t>
      </w:r>
      <w:r>
        <w:rPr>
          <w:szCs w:val="28"/>
        </w:rPr>
        <w:t xml:space="preserve"> (Frost, </w:t>
      </w:r>
      <w:r w:rsidRPr="000540CE">
        <w:rPr>
          <w:i/>
          <w:szCs w:val="28"/>
        </w:rPr>
        <w:t xml:space="preserve">What is the </w:t>
      </w:r>
      <w:r>
        <w:rPr>
          <w:i/>
          <w:szCs w:val="28"/>
        </w:rPr>
        <w:t>Difference Between “Nigga” and “N</w:t>
      </w:r>
      <w:r w:rsidRPr="000540CE">
        <w:rPr>
          <w:i/>
          <w:szCs w:val="28"/>
        </w:rPr>
        <w:t>igger</w:t>
      </w:r>
      <w:r w:rsidRPr="000540CE">
        <w:rPr>
          <w:szCs w:val="28"/>
        </w:rPr>
        <w:t xml:space="preserve">” (Feb. 27, 2014), The Pioneer </w:t>
      </w:r>
      <w:r>
        <w:rPr>
          <w:szCs w:val="28"/>
        </w:rPr>
        <w:t>&lt;</w:t>
      </w:r>
      <w:r w:rsidRPr="000540CE">
        <w:rPr>
          <w:szCs w:val="28"/>
        </w:rPr>
        <w:t>http://thepioneeronline.com/20399/opinions/what-is-the-diffe</w:t>
      </w:r>
      <w:r>
        <w:rPr>
          <w:szCs w:val="28"/>
        </w:rPr>
        <w:t>rence-between-nigga-and-nigger&gt;</w:t>
      </w:r>
      <w:r w:rsidRPr="000540CE">
        <w:rPr>
          <w:szCs w:val="28"/>
        </w:rPr>
        <w:t xml:space="preserve"> </w:t>
      </w:r>
      <w:r>
        <w:rPr>
          <w:szCs w:val="28"/>
        </w:rPr>
        <w:t>[as of December 12, 2016].)</w:t>
      </w:r>
    </w:p>
    <w:p w:rsidR="00B738D4" w:rsidRDefault="00B738D4" w:rsidP="00BE3D9A">
      <w:pPr>
        <w:pStyle w:val="FootnoteText"/>
        <w:spacing w:after="120" w:line="240" w:lineRule="auto"/>
        <w:rPr>
          <w:szCs w:val="28"/>
        </w:rPr>
      </w:pPr>
      <w:r>
        <w:rPr>
          <w:szCs w:val="28"/>
        </w:rPr>
        <w:t xml:space="preserve">The key fact for our purposes here is that in contemporary usage nigga is not </w:t>
      </w:r>
      <w:r>
        <w:t>an unambiguous racial epithet, but a term which can have a number of different meanings when used by different people in different contexts.  T</w:t>
      </w:r>
      <w:r>
        <w:rPr>
          <w:szCs w:val="28"/>
        </w:rPr>
        <w:t>he highly ambiguous/context-specific nature of the term nigga is captured by Dictionary.com:  “</w:t>
      </w:r>
      <w:r w:rsidRPr="000540CE">
        <w:rPr>
          <w:szCs w:val="28"/>
        </w:rPr>
        <w:t xml:space="preserve">Nigga is used mainly among African Americans, but also among other minorities and ethnicities, in a neutral or familiar way and as a friendly term of address. </w:t>
      </w:r>
      <w:r>
        <w:rPr>
          <w:szCs w:val="28"/>
        </w:rPr>
        <w:t xml:space="preserve"> </w:t>
      </w:r>
      <w:r w:rsidRPr="000540CE">
        <w:rPr>
          <w:szCs w:val="28"/>
        </w:rPr>
        <w:t xml:space="preserve">It is also common in rap music. </w:t>
      </w:r>
      <w:r>
        <w:rPr>
          <w:szCs w:val="28"/>
        </w:rPr>
        <w:t xml:space="preserve"> </w:t>
      </w:r>
      <w:r w:rsidRPr="000540CE">
        <w:rPr>
          <w:szCs w:val="28"/>
        </w:rPr>
        <w:t xml:space="preserve">However, nigga is taken to be extremely offensive when used by outsiders. </w:t>
      </w:r>
      <w:r>
        <w:rPr>
          <w:szCs w:val="28"/>
        </w:rPr>
        <w:t xml:space="preserve"> </w:t>
      </w:r>
      <w:r w:rsidRPr="000540CE">
        <w:rPr>
          <w:szCs w:val="28"/>
        </w:rPr>
        <w:t>Many people consider this word to be equally as offensive as nigger</w:t>
      </w:r>
      <w:r>
        <w:rPr>
          <w:szCs w:val="28"/>
        </w:rPr>
        <w:t>.”  (&lt;</w:t>
      </w:r>
      <w:r w:rsidRPr="000540CE">
        <w:rPr>
          <w:szCs w:val="28"/>
        </w:rPr>
        <w:t>http://www.dictionary.com/browse/nigga?s=t</w:t>
      </w:r>
      <w:r>
        <w:rPr>
          <w:szCs w:val="28"/>
        </w:rPr>
        <w:t>&gt;).</w:t>
      </w:r>
    </w:p>
    <w:p w:rsidR="00B738D4" w:rsidRPr="00BA3D62" w:rsidRDefault="00B738D4" w:rsidP="00BE3D9A">
      <w:pPr>
        <w:pStyle w:val="FootnoteText"/>
        <w:spacing w:after="120" w:line="240" w:lineRule="auto"/>
        <w:rPr>
          <w:szCs w:val="28"/>
        </w:rPr>
      </w:pPr>
      <w:r>
        <w:rPr>
          <w:szCs w:val="28"/>
        </w:rPr>
        <w:t>To borrow from and paraphrase Professor Kennedy, “[m]ore vividly than most words, then [nigga] illustrates Justice Oliver Wendell Holmes’s observation, that ‘a</w:t>
      </w:r>
      <w:r w:rsidRPr="00BE3D9A">
        <w:rPr>
          <w:szCs w:val="28"/>
        </w:rPr>
        <w:t xml:space="preserve"> word is not a crystal, transparent and unchanged,</w:t>
      </w:r>
      <w:r>
        <w:rPr>
          <w:szCs w:val="28"/>
        </w:rPr>
        <w:t> . . . [</w:t>
      </w:r>
      <w:r w:rsidRPr="00BE3D9A">
        <w:rPr>
          <w:szCs w:val="28"/>
        </w:rPr>
        <w:t>it is</w:t>
      </w:r>
      <w:r>
        <w:rPr>
          <w:szCs w:val="28"/>
        </w:rPr>
        <w:t>]</w:t>
      </w:r>
      <w:r w:rsidRPr="00BE3D9A">
        <w:rPr>
          <w:szCs w:val="28"/>
        </w:rPr>
        <w:t xml:space="preserve"> the skin of a living thought </w:t>
      </w:r>
      <w:r>
        <w:rPr>
          <w:szCs w:val="28"/>
        </w:rPr>
        <w:t>[</w:t>
      </w:r>
      <w:r w:rsidRPr="00BE3D9A">
        <w:rPr>
          <w:szCs w:val="28"/>
        </w:rPr>
        <w:t>and</w:t>
      </w:r>
      <w:r>
        <w:rPr>
          <w:szCs w:val="28"/>
        </w:rPr>
        <w:t>]</w:t>
      </w:r>
      <w:r w:rsidRPr="00BE3D9A">
        <w:rPr>
          <w:szCs w:val="28"/>
        </w:rPr>
        <w:t xml:space="preserve"> may vary greatly in color and content according to the circumstances and the time in which it is used</w:t>
      </w:r>
      <w:r>
        <w:rPr>
          <w:szCs w:val="28"/>
        </w:rPr>
        <w:t>.’ ”  (</w:t>
      </w:r>
      <w:r>
        <w:t xml:space="preserve">Kennedy, Nigger:  The Strange Career of a Troublesome Word, </w:t>
      </w:r>
      <w:r w:rsidRPr="00D01D0A">
        <w:rPr>
          <w:i/>
        </w:rPr>
        <w:t>supra</w:t>
      </w:r>
      <w:r>
        <w:t>, at p. 55</w:t>
      </w:r>
      <w:r>
        <w:rPr>
          <w:szCs w:val="28"/>
        </w:rPr>
        <w:t>.)</w:t>
      </w:r>
    </w:p>
  </w:footnote>
  <w:footnote w:id="8">
    <w:p w:rsidR="00B738D4" w:rsidRPr="00BA3D62" w:rsidRDefault="00B738D4" w:rsidP="00AD6E0F">
      <w:pPr>
        <w:pStyle w:val="FootnoteText"/>
        <w:spacing w:after="120" w:line="240" w:lineRule="auto"/>
        <w:rPr>
          <w:szCs w:val="28"/>
        </w:rPr>
      </w:pPr>
      <w:r w:rsidRPr="00C5379B">
        <w:rPr>
          <w:rStyle w:val="FootnoteReference"/>
        </w:rPr>
        <w:footnoteRef/>
      </w:r>
      <w:r>
        <w:t xml:space="preserve"> In the original Haunted House, the word nigga was used “numerous times” and in another prior movie in which Wayans starred, authored, and produced, the word nigger was used 55 times in the final, released version of the film.</w:t>
      </w:r>
    </w:p>
  </w:footnote>
  <w:footnote w:id="9">
    <w:p w:rsidR="00B738D4" w:rsidRPr="00BA3D62" w:rsidRDefault="00B738D4" w:rsidP="00225E1C">
      <w:pPr>
        <w:pStyle w:val="FootnoteText"/>
        <w:spacing w:after="120" w:line="240" w:lineRule="auto"/>
        <w:rPr>
          <w:szCs w:val="28"/>
        </w:rPr>
      </w:pPr>
      <w:r w:rsidRPr="002F3A9F">
        <w:rPr>
          <w:rStyle w:val="FootnoteReference"/>
        </w:rPr>
        <w:footnoteRef/>
      </w:r>
      <w:r>
        <w:t xml:space="preserve"> One of the cases upon which Daniel relies, </w:t>
      </w:r>
      <w:r>
        <w:rPr>
          <w:i/>
          <w:iCs/>
        </w:rPr>
        <w:t>Rodgers</w:t>
      </w:r>
      <w:r>
        <w:t xml:space="preserve">, </w:t>
      </w:r>
      <w:r>
        <w:rPr>
          <w:i/>
          <w:iCs/>
        </w:rPr>
        <w:t>supra</w:t>
      </w:r>
      <w:r>
        <w:t xml:space="preserve">, 12 F.3d 668, illustrates how big of a gap there is between Daniel’s allegations of a hostile work environment and what courts have actually found to be a hostile work environment.  In </w:t>
      </w:r>
      <w:r>
        <w:rPr>
          <w:i/>
          <w:iCs/>
        </w:rPr>
        <w:t>Rodgers</w:t>
      </w:r>
      <w:r>
        <w:t>, the plaintiff’s supervisor, a White man, who also hired the plaintiff, a Black man, used profanity and personal insults to motivate the plaintiff and other subordinates.  The insults included unambiguous racial remarks—including the use of the word nigger—as well as many race-neutral epithets over the course of 12 years.  (</w:t>
      </w:r>
      <w:r>
        <w:rPr>
          <w:i/>
          <w:iCs/>
        </w:rPr>
        <w:t>Id</w:t>
      </w:r>
      <w:r>
        <w:t>. at p. 671.)  In addition to verbal abuse, the plaintiff’s supervisor on one occasion dumped out the contents of the plaintiff’s desk.  (</w:t>
      </w:r>
      <w:r>
        <w:rPr>
          <w:i/>
          <w:iCs/>
        </w:rPr>
        <w:t>Ibid</w:t>
      </w:r>
      <w:r>
        <w:t>.)  As a result of the “harsh treatment and racist language,” plaintiff suffered a number of physical problems for which he sought medical treatment.  (</w:t>
      </w:r>
      <w:r>
        <w:rPr>
          <w:i/>
          <w:iCs/>
        </w:rPr>
        <w:t>Ibid</w:t>
      </w:r>
      <w:r>
        <w:t>.)  Despite the job-related stress resulting from the harsh treatment and racial insults, the plaintiff continued to work for the defendant.  (</w:t>
      </w:r>
      <w:r>
        <w:rPr>
          <w:i/>
          <w:iCs/>
        </w:rPr>
        <w:t>Ibid</w:t>
      </w:r>
      <w:r>
        <w:t>.)  However, the stress became so severe that the plaintiff repeatedly asked for a demotion and when the last of those requests were refused, he resigned.  (</w:t>
      </w:r>
      <w:r>
        <w:rPr>
          <w:i/>
          <w:iCs/>
        </w:rPr>
        <w:t>Id</w:t>
      </w:r>
      <w:r>
        <w:t xml:space="preserve">. at p. 672.)  Here, in contrast to the plaintiff in </w:t>
      </w:r>
      <w:r w:rsidRPr="00824D46">
        <w:rPr>
          <w:i/>
        </w:rPr>
        <w:t>Rodgers</w:t>
      </w:r>
      <w:r>
        <w:t>, Daniel was exposed to a handful of arguably racist comments and some arguably offensive but race-neutral comments over the course of a single work day, comments which apparently did not interfere with his work performance at all or force him to seek reduced responsibilities or any other on-the-job relief from the alleged misconduct.  Nor does the record reflect that the alleged harassment has caused Daniel to seek any subsequent medical treatment.</w:t>
      </w:r>
    </w:p>
  </w:footnote>
  <w:footnote w:id="10">
    <w:p w:rsidR="00B738D4" w:rsidRPr="00B738D4" w:rsidRDefault="00B738D4" w:rsidP="00B738D4">
      <w:pPr>
        <w:pStyle w:val="FootnoteText"/>
        <w:spacing w:after="120" w:line="240" w:lineRule="auto"/>
        <w:rPr>
          <w:szCs w:val="28"/>
        </w:rPr>
      </w:pPr>
      <w:r w:rsidRPr="00B738D4">
        <w:rPr>
          <w:rStyle w:val="FootnoteReference"/>
        </w:rPr>
        <w:footnoteRef/>
      </w:r>
      <w:r w:rsidRPr="00B738D4">
        <w:rPr>
          <w:szCs w:val="28"/>
        </w:rPr>
        <w:t xml:space="preserve"> Subsequent undesignated statutory references are to the Code of Civil Procedure.</w:t>
      </w:r>
    </w:p>
  </w:footnote>
  <w:footnote w:id="11">
    <w:p w:rsidR="00B738D4" w:rsidRPr="0061360F" w:rsidRDefault="00B738D4" w:rsidP="00B738D4">
      <w:pPr>
        <w:pStyle w:val="FootnoteText"/>
        <w:spacing w:after="120" w:line="240" w:lineRule="auto"/>
        <w:rPr>
          <w:sz w:val="26"/>
          <w:szCs w:val="26"/>
        </w:rPr>
      </w:pPr>
      <w:r w:rsidRPr="00B738D4">
        <w:rPr>
          <w:rStyle w:val="FootnoteReference"/>
        </w:rPr>
        <w:footnoteRef/>
      </w:r>
      <w:r w:rsidRPr="00B738D4">
        <w:rPr>
          <w:szCs w:val="28"/>
        </w:rPr>
        <w:t xml:space="preserve"> The majority engages in a scholarly discussion of the evolution of, and differences between, the terms “nigger” and “nigga” and the current offensive and inoffensive usages of the terms.  But the key component of that analysis is that the meaning of the terms depends upon the circumstances.  As the majority explains, the term “ ‘nigga’ ” “can have a number of different meanings when used by different people in different contexts.”  (Maj. opn. </w:t>
      </w:r>
      <w:r w:rsidRPr="00B738D4">
        <w:rPr>
          <w:i/>
          <w:szCs w:val="28"/>
        </w:rPr>
        <w:t>ante</w:t>
      </w:r>
      <w:r w:rsidRPr="00B738D4">
        <w:rPr>
          <w:szCs w:val="28"/>
        </w:rPr>
        <w:t>, at p. 33, fn. 7.)  No one can seriously question that either term can be highly offensive when used in an offensive manner.  Indeed, in recognition of the term’s connotations, in 2007 the NAACP held a mock funeral for the “N” word, complete with a horse drawn carriage carrying “a wooden coffin that adorned black roses and a ribbon with the word ‘nigga’ displayed.”  (&lt;http://www.naacp.org/latest/the-n-word-is-laid-to-rest-by-the-naacp&gt; [as of Feb. 8, 2017].)  The context that Daniel describes in this case is use of the term “ ‘nigga’ ” by one person (Wayans) to refer to another person (Daniel) who found the term “racially offensive and derogatory.”</w:t>
      </w:r>
    </w:p>
  </w:footnote>
  <w:footnote w:id="12">
    <w:p w:rsidR="00B738D4" w:rsidRPr="00B675C7" w:rsidRDefault="00B738D4" w:rsidP="00B675C7">
      <w:pPr>
        <w:pStyle w:val="FootnoteText"/>
        <w:spacing w:after="120" w:line="240" w:lineRule="auto"/>
        <w:rPr>
          <w:szCs w:val="26"/>
        </w:rPr>
      </w:pPr>
      <w:r w:rsidRPr="00B675C7">
        <w:rPr>
          <w:rStyle w:val="FootnoteReference"/>
          <w:rFonts w:ascii="Times New Roman Bold" w:hAnsi="Times New Roman Bold"/>
          <w:b w:val="0"/>
        </w:rPr>
        <w:footnoteRef/>
      </w:r>
      <w:r w:rsidRPr="00B675C7">
        <w:rPr>
          <w:szCs w:val="26"/>
        </w:rPr>
        <w:t xml:space="preserve"> Parents might recognize a common defense to jokes that bring their child to tears:  “We’re not laughing </w:t>
      </w:r>
      <w:r w:rsidRPr="00B675C7">
        <w:rPr>
          <w:i/>
          <w:szCs w:val="26"/>
        </w:rPr>
        <w:t xml:space="preserve">at </w:t>
      </w:r>
      <w:r w:rsidRPr="00B675C7">
        <w:rPr>
          <w:szCs w:val="26"/>
        </w:rPr>
        <w:t xml:space="preserve">you, we’re laughing </w:t>
      </w:r>
      <w:r w:rsidRPr="00B675C7">
        <w:rPr>
          <w:i/>
          <w:szCs w:val="26"/>
        </w:rPr>
        <w:t xml:space="preserve">with </w:t>
      </w:r>
      <w:r w:rsidRPr="00B675C7">
        <w:rPr>
          <w:szCs w:val="26"/>
        </w:rPr>
        <w:t>you.”  The child’s typical response, “But I’m not laughing,” is equally appropriate here.  According to Daniel, he was not laughing.</w:t>
      </w:r>
    </w:p>
  </w:footnote>
  <w:footnote w:id="13">
    <w:p w:rsidR="00B738D4" w:rsidRPr="00871CEC" w:rsidRDefault="00B738D4" w:rsidP="00871CEC">
      <w:pPr>
        <w:pStyle w:val="FootnoteText"/>
        <w:spacing w:after="120" w:line="240" w:lineRule="auto"/>
        <w:rPr>
          <w:szCs w:val="28"/>
        </w:rPr>
      </w:pPr>
      <w:r w:rsidRPr="00871CEC">
        <w:rPr>
          <w:rStyle w:val="FootnoteReference"/>
        </w:rPr>
        <w:footnoteRef/>
      </w:r>
      <w:r w:rsidRPr="00871CEC">
        <w:rPr>
          <w:szCs w:val="28"/>
        </w:rPr>
        <w:t xml:space="preserve"> As mentioned, I believe that Wayans’s alleged on-set conduct was not protected free speech activity, and it is therefore unnecessary to reach the question whether Daniel’s evidence was sufficient to support a claim for intentional infliction of emotional distress on that aspect of his claim.</w:t>
      </w:r>
    </w:p>
  </w:footnote>
  <w:footnote w:id="14">
    <w:p w:rsidR="00B738D4" w:rsidRPr="003A00CB" w:rsidRDefault="00B738D4" w:rsidP="003A00CB">
      <w:pPr>
        <w:pStyle w:val="FootnoteText"/>
        <w:spacing w:after="120" w:line="240" w:lineRule="auto"/>
        <w:rPr>
          <w:szCs w:val="28"/>
        </w:rPr>
      </w:pPr>
      <w:r w:rsidRPr="003A00CB">
        <w:rPr>
          <w:rStyle w:val="FootnoteReference"/>
        </w:rPr>
        <w:footnoteRef/>
      </w:r>
      <w:r w:rsidRPr="003A00CB">
        <w:rPr>
          <w:szCs w:val="28"/>
        </w:rPr>
        <w:t xml:space="preserve"> On the other hand, I do not believe that Daniel demonstrated a reasonable probability of succeeding on the portion of his </w:t>
      </w:r>
      <w:r w:rsidRPr="003A00CB">
        <w:rPr>
          <w:i/>
          <w:szCs w:val="28"/>
        </w:rPr>
        <w:t xml:space="preserve">racial harassment </w:t>
      </w:r>
      <w:r w:rsidRPr="003A00CB">
        <w:rPr>
          <w:szCs w:val="28"/>
        </w:rPr>
        <w:t>claim concerning the Internet post.  Because Daniel did not even know about Wayans’s Internet post until he got home and checked the Internet after his single day of employment on A Haunted House 2 had ended, the Internet post could not have created a hostile environment so severe as to interfere with his (already completed) work performance.  (</w:t>
      </w:r>
      <w:r w:rsidRPr="003A00CB">
        <w:rPr>
          <w:i/>
          <w:iCs/>
          <w:szCs w:val="28"/>
        </w:rPr>
        <w:t>Thompson v. City of Monrovia</w:t>
      </w:r>
      <w:r w:rsidRPr="003A00CB">
        <w:rPr>
          <w:szCs w:val="28"/>
        </w:rPr>
        <w:t xml:space="preserve"> (2010) 186 Cal.App.4th 860, 876.)  Therefore, paragraph 9(h) of the complaint, which alleges the Internet posting, should have been stricken from Daniel’s racial harassment claim.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B73" w:rsidRDefault="00165B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B73" w:rsidRDefault="00165B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B73" w:rsidRDefault="00165B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movePersonalInformation/>
  <w:removeDateAndTime/>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27A93"/>
    <w:rsid w:val="00001FF1"/>
    <w:rsid w:val="0000452C"/>
    <w:rsid w:val="0000614D"/>
    <w:rsid w:val="00013A08"/>
    <w:rsid w:val="00015158"/>
    <w:rsid w:val="00041853"/>
    <w:rsid w:val="00041903"/>
    <w:rsid w:val="00044043"/>
    <w:rsid w:val="000540CE"/>
    <w:rsid w:val="000568ED"/>
    <w:rsid w:val="00063BC0"/>
    <w:rsid w:val="00066CD1"/>
    <w:rsid w:val="00072560"/>
    <w:rsid w:val="0007586E"/>
    <w:rsid w:val="00075CF1"/>
    <w:rsid w:val="0008161A"/>
    <w:rsid w:val="0008265E"/>
    <w:rsid w:val="00083152"/>
    <w:rsid w:val="000A0894"/>
    <w:rsid w:val="000A5619"/>
    <w:rsid w:val="000A5649"/>
    <w:rsid w:val="000A75D8"/>
    <w:rsid w:val="000C1597"/>
    <w:rsid w:val="000C1723"/>
    <w:rsid w:val="000C2878"/>
    <w:rsid w:val="000C2F7F"/>
    <w:rsid w:val="000C5B2F"/>
    <w:rsid w:val="000C60B1"/>
    <w:rsid w:val="000D28EA"/>
    <w:rsid w:val="000D432F"/>
    <w:rsid w:val="000D6125"/>
    <w:rsid w:val="000D7B45"/>
    <w:rsid w:val="000D7B8B"/>
    <w:rsid w:val="000E049C"/>
    <w:rsid w:val="000E28AD"/>
    <w:rsid w:val="000E4726"/>
    <w:rsid w:val="000F1AB9"/>
    <w:rsid w:val="000F3347"/>
    <w:rsid w:val="000F58D6"/>
    <w:rsid w:val="00101807"/>
    <w:rsid w:val="00103E0D"/>
    <w:rsid w:val="001063DF"/>
    <w:rsid w:val="0010777C"/>
    <w:rsid w:val="00107E9B"/>
    <w:rsid w:val="0011074E"/>
    <w:rsid w:val="0011581B"/>
    <w:rsid w:val="00116E5F"/>
    <w:rsid w:val="00124734"/>
    <w:rsid w:val="0013258E"/>
    <w:rsid w:val="00133ACB"/>
    <w:rsid w:val="00135021"/>
    <w:rsid w:val="00137CE8"/>
    <w:rsid w:val="00143FBF"/>
    <w:rsid w:val="0014492C"/>
    <w:rsid w:val="001455C5"/>
    <w:rsid w:val="001516C8"/>
    <w:rsid w:val="001625C7"/>
    <w:rsid w:val="00165B73"/>
    <w:rsid w:val="0017509F"/>
    <w:rsid w:val="00177ABC"/>
    <w:rsid w:val="00191C65"/>
    <w:rsid w:val="00193591"/>
    <w:rsid w:val="00195EB6"/>
    <w:rsid w:val="001A41A2"/>
    <w:rsid w:val="001A6852"/>
    <w:rsid w:val="001B0D18"/>
    <w:rsid w:val="001C2A43"/>
    <w:rsid w:val="001D0BA4"/>
    <w:rsid w:val="001E1204"/>
    <w:rsid w:val="001E16D6"/>
    <w:rsid w:val="001E67FD"/>
    <w:rsid w:val="001F2F44"/>
    <w:rsid w:val="002002BD"/>
    <w:rsid w:val="0020040E"/>
    <w:rsid w:val="002007ED"/>
    <w:rsid w:val="00205E72"/>
    <w:rsid w:val="00206527"/>
    <w:rsid w:val="00220887"/>
    <w:rsid w:val="00220D67"/>
    <w:rsid w:val="00223C82"/>
    <w:rsid w:val="0022471D"/>
    <w:rsid w:val="00224BA1"/>
    <w:rsid w:val="00225E1C"/>
    <w:rsid w:val="00234DA2"/>
    <w:rsid w:val="00237ED1"/>
    <w:rsid w:val="00253D50"/>
    <w:rsid w:val="002557C1"/>
    <w:rsid w:val="00256CD1"/>
    <w:rsid w:val="00257259"/>
    <w:rsid w:val="002644FB"/>
    <w:rsid w:val="002674B1"/>
    <w:rsid w:val="00271637"/>
    <w:rsid w:val="00273369"/>
    <w:rsid w:val="0029243E"/>
    <w:rsid w:val="00292BDF"/>
    <w:rsid w:val="0029513E"/>
    <w:rsid w:val="002A244B"/>
    <w:rsid w:val="002A35DB"/>
    <w:rsid w:val="002B349C"/>
    <w:rsid w:val="002B3859"/>
    <w:rsid w:val="002B6147"/>
    <w:rsid w:val="002B6683"/>
    <w:rsid w:val="002C0DE6"/>
    <w:rsid w:val="002C3741"/>
    <w:rsid w:val="002C3BAC"/>
    <w:rsid w:val="002D26C9"/>
    <w:rsid w:val="002E735D"/>
    <w:rsid w:val="002F2BB2"/>
    <w:rsid w:val="002F2BF4"/>
    <w:rsid w:val="002F3A9F"/>
    <w:rsid w:val="002F759D"/>
    <w:rsid w:val="003022BD"/>
    <w:rsid w:val="0030556B"/>
    <w:rsid w:val="003123C4"/>
    <w:rsid w:val="003125C8"/>
    <w:rsid w:val="003140E1"/>
    <w:rsid w:val="00316B47"/>
    <w:rsid w:val="00322086"/>
    <w:rsid w:val="00325E3B"/>
    <w:rsid w:val="00332C38"/>
    <w:rsid w:val="00332FBB"/>
    <w:rsid w:val="0033603E"/>
    <w:rsid w:val="00336AB2"/>
    <w:rsid w:val="00336BD8"/>
    <w:rsid w:val="00340E06"/>
    <w:rsid w:val="003613A9"/>
    <w:rsid w:val="003700FA"/>
    <w:rsid w:val="00370B24"/>
    <w:rsid w:val="00370BF3"/>
    <w:rsid w:val="003740D1"/>
    <w:rsid w:val="003751B2"/>
    <w:rsid w:val="00375778"/>
    <w:rsid w:val="003812D7"/>
    <w:rsid w:val="00383FCA"/>
    <w:rsid w:val="003871C1"/>
    <w:rsid w:val="00387FF3"/>
    <w:rsid w:val="003951A7"/>
    <w:rsid w:val="003A00CB"/>
    <w:rsid w:val="003A0A76"/>
    <w:rsid w:val="003A151D"/>
    <w:rsid w:val="003B1BCB"/>
    <w:rsid w:val="003B3D0F"/>
    <w:rsid w:val="003B5E2F"/>
    <w:rsid w:val="003C0264"/>
    <w:rsid w:val="003D328F"/>
    <w:rsid w:val="003D484C"/>
    <w:rsid w:val="003D6407"/>
    <w:rsid w:val="003D7F0B"/>
    <w:rsid w:val="003E01FF"/>
    <w:rsid w:val="003E1552"/>
    <w:rsid w:val="003E440A"/>
    <w:rsid w:val="003F1F11"/>
    <w:rsid w:val="003F56A3"/>
    <w:rsid w:val="00400D35"/>
    <w:rsid w:val="00406693"/>
    <w:rsid w:val="004127CE"/>
    <w:rsid w:val="00413F68"/>
    <w:rsid w:val="00415146"/>
    <w:rsid w:val="00431611"/>
    <w:rsid w:val="00434407"/>
    <w:rsid w:val="00435891"/>
    <w:rsid w:val="00435A7A"/>
    <w:rsid w:val="0043637E"/>
    <w:rsid w:val="0043671D"/>
    <w:rsid w:val="00440FD7"/>
    <w:rsid w:val="00446EC2"/>
    <w:rsid w:val="00452ACF"/>
    <w:rsid w:val="004649E3"/>
    <w:rsid w:val="00466718"/>
    <w:rsid w:val="004A54C8"/>
    <w:rsid w:val="004A572F"/>
    <w:rsid w:val="004A7380"/>
    <w:rsid w:val="004B562A"/>
    <w:rsid w:val="004B69D5"/>
    <w:rsid w:val="004C3D15"/>
    <w:rsid w:val="004C5CAA"/>
    <w:rsid w:val="004C6BE4"/>
    <w:rsid w:val="004D5967"/>
    <w:rsid w:val="004D62AF"/>
    <w:rsid w:val="004E0932"/>
    <w:rsid w:val="004E1C30"/>
    <w:rsid w:val="004E216F"/>
    <w:rsid w:val="004E2C1C"/>
    <w:rsid w:val="004E2CC5"/>
    <w:rsid w:val="004E427C"/>
    <w:rsid w:val="004F30AB"/>
    <w:rsid w:val="004F3B90"/>
    <w:rsid w:val="004F550F"/>
    <w:rsid w:val="004F59CB"/>
    <w:rsid w:val="0050022B"/>
    <w:rsid w:val="005030D2"/>
    <w:rsid w:val="0050501D"/>
    <w:rsid w:val="005078FB"/>
    <w:rsid w:val="0051247C"/>
    <w:rsid w:val="005166D1"/>
    <w:rsid w:val="00522A00"/>
    <w:rsid w:val="0052542B"/>
    <w:rsid w:val="00531A1C"/>
    <w:rsid w:val="005427DA"/>
    <w:rsid w:val="005431AC"/>
    <w:rsid w:val="005513B5"/>
    <w:rsid w:val="005524D8"/>
    <w:rsid w:val="00570694"/>
    <w:rsid w:val="0057174D"/>
    <w:rsid w:val="005764AE"/>
    <w:rsid w:val="0057740E"/>
    <w:rsid w:val="005802F4"/>
    <w:rsid w:val="005834A3"/>
    <w:rsid w:val="005A2E38"/>
    <w:rsid w:val="005A5621"/>
    <w:rsid w:val="005A7EA2"/>
    <w:rsid w:val="005B6D9C"/>
    <w:rsid w:val="005C3E07"/>
    <w:rsid w:val="005C6B75"/>
    <w:rsid w:val="005D6B18"/>
    <w:rsid w:val="005E10D7"/>
    <w:rsid w:val="005E1C08"/>
    <w:rsid w:val="005F26B6"/>
    <w:rsid w:val="005F5220"/>
    <w:rsid w:val="00603B0F"/>
    <w:rsid w:val="006044FF"/>
    <w:rsid w:val="00614D7C"/>
    <w:rsid w:val="00616C99"/>
    <w:rsid w:val="00617273"/>
    <w:rsid w:val="00624806"/>
    <w:rsid w:val="006275AF"/>
    <w:rsid w:val="0063329B"/>
    <w:rsid w:val="00637627"/>
    <w:rsid w:val="006434B8"/>
    <w:rsid w:val="00646A02"/>
    <w:rsid w:val="00654416"/>
    <w:rsid w:val="00654566"/>
    <w:rsid w:val="00657660"/>
    <w:rsid w:val="00662104"/>
    <w:rsid w:val="00674150"/>
    <w:rsid w:val="00695F11"/>
    <w:rsid w:val="00697D47"/>
    <w:rsid w:val="006A7046"/>
    <w:rsid w:val="006B79B3"/>
    <w:rsid w:val="006C44DB"/>
    <w:rsid w:val="006C7958"/>
    <w:rsid w:val="006C7B6C"/>
    <w:rsid w:val="006D1F9D"/>
    <w:rsid w:val="006D7E51"/>
    <w:rsid w:val="006E52F5"/>
    <w:rsid w:val="006E676D"/>
    <w:rsid w:val="006E6D31"/>
    <w:rsid w:val="006F1030"/>
    <w:rsid w:val="006F4E15"/>
    <w:rsid w:val="00704FC7"/>
    <w:rsid w:val="007060F1"/>
    <w:rsid w:val="007279FF"/>
    <w:rsid w:val="0073295A"/>
    <w:rsid w:val="00735569"/>
    <w:rsid w:val="007360CF"/>
    <w:rsid w:val="00750624"/>
    <w:rsid w:val="00762C56"/>
    <w:rsid w:val="00763667"/>
    <w:rsid w:val="00765D0A"/>
    <w:rsid w:val="007670FF"/>
    <w:rsid w:val="007773C6"/>
    <w:rsid w:val="007864BB"/>
    <w:rsid w:val="00787067"/>
    <w:rsid w:val="007877A8"/>
    <w:rsid w:val="00793C56"/>
    <w:rsid w:val="007977D2"/>
    <w:rsid w:val="007A1657"/>
    <w:rsid w:val="007D26B7"/>
    <w:rsid w:val="007E39C1"/>
    <w:rsid w:val="007E4EB9"/>
    <w:rsid w:val="007E5040"/>
    <w:rsid w:val="007F1CB0"/>
    <w:rsid w:val="007F660C"/>
    <w:rsid w:val="00804E61"/>
    <w:rsid w:val="00811EE9"/>
    <w:rsid w:val="00816451"/>
    <w:rsid w:val="00823FD0"/>
    <w:rsid w:val="00824D46"/>
    <w:rsid w:val="00826EE9"/>
    <w:rsid w:val="00830FAC"/>
    <w:rsid w:val="00833D54"/>
    <w:rsid w:val="00843E7A"/>
    <w:rsid w:val="00856E9C"/>
    <w:rsid w:val="00857058"/>
    <w:rsid w:val="00867F0A"/>
    <w:rsid w:val="00871730"/>
    <w:rsid w:val="00871CEC"/>
    <w:rsid w:val="00877C34"/>
    <w:rsid w:val="008838C7"/>
    <w:rsid w:val="008855A5"/>
    <w:rsid w:val="008A5010"/>
    <w:rsid w:val="008B3864"/>
    <w:rsid w:val="008C7B42"/>
    <w:rsid w:val="008D5DD7"/>
    <w:rsid w:val="008F0A75"/>
    <w:rsid w:val="008F0D6F"/>
    <w:rsid w:val="008F3468"/>
    <w:rsid w:val="008F4585"/>
    <w:rsid w:val="008F5AA5"/>
    <w:rsid w:val="008F5F14"/>
    <w:rsid w:val="008F7DBF"/>
    <w:rsid w:val="00900C2E"/>
    <w:rsid w:val="00901479"/>
    <w:rsid w:val="00915384"/>
    <w:rsid w:val="00917151"/>
    <w:rsid w:val="00917750"/>
    <w:rsid w:val="0092224F"/>
    <w:rsid w:val="00922882"/>
    <w:rsid w:val="00925408"/>
    <w:rsid w:val="00926284"/>
    <w:rsid w:val="00933D9F"/>
    <w:rsid w:val="00936E54"/>
    <w:rsid w:val="009432EE"/>
    <w:rsid w:val="00944288"/>
    <w:rsid w:val="00953AA9"/>
    <w:rsid w:val="00966F15"/>
    <w:rsid w:val="009925FC"/>
    <w:rsid w:val="00995C7F"/>
    <w:rsid w:val="009A0BDB"/>
    <w:rsid w:val="009A2CA2"/>
    <w:rsid w:val="009B26E6"/>
    <w:rsid w:val="009B44CB"/>
    <w:rsid w:val="009B6ED0"/>
    <w:rsid w:val="009C6100"/>
    <w:rsid w:val="009D3580"/>
    <w:rsid w:val="009D5C8B"/>
    <w:rsid w:val="009D6EE9"/>
    <w:rsid w:val="009E0761"/>
    <w:rsid w:val="009E0877"/>
    <w:rsid w:val="009E5545"/>
    <w:rsid w:val="009F0A85"/>
    <w:rsid w:val="009F3428"/>
    <w:rsid w:val="009F360E"/>
    <w:rsid w:val="00A00E1E"/>
    <w:rsid w:val="00A040F5"/>
    <w:rsid w:val="00A06067"/>
    <w:rsid w:val="00A108C7"/>
    <w:rsid w:val="00A11642"/>
    <w:rsid w:val="00A11F34"/>
    <w:rsid w:val="00A20A6B"/>
    <w:rsid w:val="00A21E69"/>
    <w:rsid w:val="00A2381E"/>
    <w:rsid w:val="00A3242D"/>
    <w:rsid w:val="00A34009"/>
    <w:rsid w:val="00A34E46"/>
    <w:rsid w:val="00A36A50"/>
    <w:rsid w:val="00A47E89"/>
    <w:rsid w:val="00A50757"/>
    <w:rsid w:val="00A534EF"/>
    <w:rsid w:val="00A61606"/>
    <w:rsid w:val="00A62BF0"/>
    <w:rsid w:val="00A63B46"/>
    <w:rsid w:val="00A7525A"/>
    <w:rsid w:val="00A763CA"/>
    <w:rsid w:val="00A822BA"/>
    <w:rsid w:val="00A84F70"/>
    <w:rsid w:val="00A92E83"/>
    <w:rsid w:val="00AA1352"/>
    <w:rsid w:val="00AA2CF0"/>
    <w:rsid w:val="00AA2DF6"/>
    <w:rsid w:val="00AB13A6"/>
    <w:rsid w:val="00AC4D2A"/>
    <w:rsid w:val="00AD6E0F"/>
    <w:rsid w:val="00AD766A"/>
    <w:rsid w:val="00AE2066"/>
    <w:rsid w:val="00AE563C"/>
    <w:rsid w:val="00B00713"/>
    <w:rsid w:val="00B00B72"/>
    <w:rsid w:val="00B02F0C"/>
    <w:rsid w:val="00B05AA5"/>
    <w:rsid w:val="00B06F80"/>
    <w:rsid w:val="00B07CE2"/>
    <w:rsid w:val="00B11457"/>
    <w:rsid w:val="00B13746"/>
    <w:rsid w:val="00B154F6"/>
    <w:rsid w:val="00B21302"/>
    <w:rsid w:val="00B27A93"/>
    <w:rsid w:val="00B3024F"/>
    <w:rsid w:val="00B40D24"/>
    <w:rsid w:val="00B40F4F"/>
    <w:rsid w:val="00B41B5E"/>
    <w:rsid w:val="00B420CB"/>
    <w:rsid w:val="00B4637A"/>
    <w:rsid w:val="00B6093C"/>
    <w:rsid w:val="00B675C7"/>
    <w:rsid w:val="00B70E6F"/>
    <w:rsid w:val="00B738D4"/>
    <w:rsid w:val="00B77C62"/>
    <w:rsid w:val="00B77DD3"/>
    <w:rsid w:val="00B8248B"/>
    <w:rsid w:val="00B84CA0"/>
    <w:rsid w:val="00B85006"/>
    <w:rsid w:val="00B863B9"/>
    <w:rsid w:val="00B86E1E"/>
    <w:rsid w:val="00B86F1B"/>
    <w:rsid w:val="00B915B1"/>
    <w:rsid w:val="00B9184F"/>
    <w:rsid w:val="00B95915"/>
    <w:rsid w:val="00BA3666"/>
    <w:rsid w:val="00BA3D62"/>
    <w:rsid w:val="00BB281A"/>
    <w:rsid w:val="00BB332C"/>
    <w:rsid w:val="00BB3911"/>
    <w:rsid w:val="00BC3652"/>
    <w:rsid w:val="00BC6A0E"/>
    <w:rsid w:val="00BD01E8"/>
    <w:rsid w:val="00BD59E4"/>
    <w:rsid w:val="00BE3D9A"/>
    <w:rsid w:val="00C0140C"/>
    <w:rsid w:val="00C035DF"/>
    <w:rsid w:val="00C06F39"/>
    <w:rsid w:val="00C14E9C"/>
    <w:rsid w:val="00C157EF"/>
    <w:rsid w:val="00C230BB"/>
    <w:rsid w:val="00C248F8"/>
    <w:rsid w:val="00C27AA4"/>
    <w:rsid w:val="00C27E6F"/>
    <w:rsid w:val="00C325A4"/>
    <w:rsid w:val="00C5379B"/>
    <w:rsid w:val="00C8069C"/>
    <w:rsid w:val="00C81020"/>
    <w:rsid w:val="00C87289"/>
    <w:rsid w:val="00CA0A14"/>
    <w:rsid w:val="00CB6DB0"/>
    <w:rsid w:val="00CB7377"/>
    <w:rsid w:val="00CC18DE"/>
    <w:rsid w:val="00CC69EF"/>
    <w:rsid w:val="00CD1129"/>
    <w:rsid w:val="00CD6AD4"/>
    <w:rsid w:val="00CE01ED"/>
    <w:rsid w:val="00CE41B8"/>
    <w:rsid w:val="00CE4B91"/>
    <w:rsid w:val="00CF4A37"/>
    <w:rsid w:val="00CF63D1"/>
    <w:rsid w:val="00D01D0A"/>
    <w:rsid w:val="00D01ED1"/>
    <w:rsid w:val="00D03E9F"/>
    <w:rsid w:val="00D048F4"/>
    <w:rsid w:val="00D05776"/>
    <w:rsid w:val="00D06DCE"/>
    <w:rsid w:val="00D072E7"/>
    <w:rsid w:val="00D15FD8"/>
    <w:rsid w:val="00D214E3"/>
    <w:rsid w:val="00D2220D"/>
    <w:rsid w:val="00D46E53"/>
    <w:rsid w:val="00D52F95"/>
    <w:rsid w:val="00D57683"/>
    <w:rsid w:val="00D67B96"/>
    <w:rsid w:val="00D803C8"/>
    <w:rsid w:val="00D821FC"/>
    <w:rsid w:val="00D8774D"/>
    <w:rsid w:val="00D9205A"/>
    <w:rsid w:val="00D93A9C"/>
    <w:rsid w:val="00D96C4D"/>
    <w:rsid w:val="00DA1EFE"/>
    <w:rsid w:val="00DA3963"/>
    <w:rsid w:val="00DA7965"/>
    <w:rsid w:val="00DB6D37"/>
    <w:rsid w:val="00DC3FAF"/>
    <w:rsid w:val="00DC7190"/>
    <w:rsid w:val="00DC7388"/>
    <w:rsid w:val="00DC7DF8"/>
    <w:rsid w:val="00DD4AA1"/>
    <w:rsid w:val="00DE3F2F"/>
    <w:rsid w:val="00DF30F7"/>
    <w:rsid w:val="00DF5575"/>
    <w:rsid w:val="00E00E0E"/>
    <w:rsid w:val="00E0204F"/>
    <w:rsid w:val="00E039F0"/>
    <w:rsid w:val="00E0686B"/>
    <w:rsid w:val="00E06984"/>
    <w:rsid w:val="00E12ADF"/>
    <w:rsid w:val="00E13CA4"/>
    <w:rsid w:val="00E15319"/>
    <w:rsid w:val="00E157F1"/>
    <w:rsid w:val="00E22BFB"/>
    <w:rsid w:val="00E22D04"/>
    <w:rsid w:val="00E23227"/>
    <w:rsid w:val="00E24314"/>
    <w:rsid w:val="00E30541"/>
    <w:rsid w:val="00E331E5"/>
    <w:rsid w:val="00E429B3"/>
    <w:rsid w:val="00E4592C"/>
    <w:rsid w:val="00E73679"/>
    <w:rsid w:val="00E76E4C"/>
    <w:rsid w:val="00E809A0"/>
    <w:rsid w:val="00E84B88"/>
    <w:rsid w:val="00E87415"/>
    <w:rsid w:val="00E94FAD"/>
    <w:rsid w:val="00EA2101"/>
    <w:rsid w:val="00EA2C71"/>
    <w:rsid w:val="00EA522B"/>
    <w:rsid w:val="00EA6010"/>
    <w:rsid w:val="00EB05DE"/>
    <w:rsid w:val="00EB0AB1"/>
    <w:rsid w:val="00EB4E5C"/>
    <w:rsid w:val="00EC3D9D"/>
    <w:rsid w:val="00EC558F"/>
    <w:rsid w:val="00EC5856"/>
    <w:rsid w:val="00EC7DF9"/>
    <w:rsid w:val="00EC7EA2"/>
    <w:rsid w:val="00ED1DD6"/>
    <w:rsid w:val="00EE7EA9"/>
    <w:rsid w:val="00EF7CD4"/>
    <w:rsid w:val="00F0117A"/>
    <w:rsid w:val="00F0358A"/>
    <w:rsid w:val="00F043C4"/>
    <w:rsid w:val="00F05882"/>
    <w:rsid w:val="00F06407"/>
    <w:rsid w:val="00F149E4"/>
    <w:rsid w:val="00F1661B"/>
    <w:rsid w:val="00F16B38"/>
    <w:rsid w:val="00F178E1"/>
    <w:rsid w:val="00F223E9"/>
    <w:rsid w:val="00F24993"/>
    <w:rsid w:val="00F31CFA"/>
    <w:rsid w:val="00F36D21"/>
    <w:rsid w:val="00F377B6"/>
    <w:rsid w:val="00F51D40"/>
    <w:rsid w:val="00F61775"/>
    <w:rsid w:val="00F64D3A"/>
    <w:rsid w:val="00F67D69"/>
    <w:rsid w:val="00F7129E"/>
    <w:rsid w:val="00F73009"/>
    <w:rsid w:val="00F75AAA"/>
    <w:rsid w:val="00F83B8E"/>
    <w:rsid w:val="00F90AEC"/>
    <w:rsid w:val="00F91CC4"/>
    <w:rsid w:val="00F92A46"/>
    <w:rsid w:val="00F92DFF"/>
    <w:rsid w:val="00F95968"/>
    <w:rsid w:val="00FB3E8A"/>
    <w:rsid w:val="00FC21CF"/>
    <w:rsid w:val="00FC3B84"/>
    <w:rsid w:val="00FD47C4"/>
    <w:rsid w:val="00FD6C43"/>
    <w:rsid w:val="00FE0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Schoolbook" w:eastAsiaTheme="minorHAnsi" w:hAnsi="Century Schoolbook" w:cs="Times New Roman"/>
        <w:sz w:val="26"/>
        <w:szCs w:val="26"/>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8D4"/>
    <w:rPr>
      <w:sz w:val="28"/>
    </w:rPr>
  </w:style>
  <w:style w:type="paragraph" w:styleId="Heading1">
    <w:name w:val="heading 1"/>
    <w:basedOn w:val="Normal"/>
    <w:next w:val="Normal"/>
    <w:link w:val="Heading1Char"/>
    <w:uiPriority w:val="9"/>
    <w:qFormat/>
    <w:rsid w:val="00C248F8"/>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48F8"/>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nhideWhenUsed/>
    <w:rsid w:val="00B738D4"/>
    <w:pPr>
      <w:ind w:firstLine="720"/>
    </w:pPr>
    <w:rPr>
      <w:szCs w:val="20"/>
    </w:rPr>
  </w:style>
  <w:style w:type="character" w:customStyle="1" w:styleId="FootnoteTextChar">
    <w:name w:val="Footnote Text Char"/>
    <w:basedOn w:val="DefaultParagraphFont"/>
    <w:link w:val="FootnoteText"/>
    <w:rsid w:val="00B738D4"/>
    <w:rPr>
      <w:sz w:val="28"/>
      <w:szCs w:val="20"/>
    </w:rPr>
  </w:style>
  <w:style w:type="character" w:styleId="FootnoteReference">
    <w:name w:val="footnote reference"/>
    <w:basedOn w:val="DefaultParagraphFont"/>
    <w:semiHidden/>
    <w:unhideWhenUsed/>
    <w:rsid w:val="00C5379B"/>
    <w:rPr>
      <w:rFonts w:ascii="Century Schoolbook" w:hAnsi="Century Schoolbook"/>
      <w:b/>
      <w:spacing w:val="0"/>
      <w:w w:val="100"/>
      <w:position w:val="8"/>
      <w:sz w:val="20"/>
      <w:vertAlign w:val="baseline"/>
    </w:rPr>
  </w:style>
  <w:style w:type="paragraph" w:styleId="Footer">
    <w:name w:val="footer"/>
    <w:basedOn w:val="Normal"/>
    <w:link w:val="FooterChar"/>
    <w:uiPriority w:val="99"/>
    <w:unhideWhenUsed/>
    <w:rsid w:val="00C248F8"/>
    <w:pPr>
      <w:tabs>
        <w:tab w:val="center" w:pos="4680"/>
        <w:tab w:val="right" w:pos="9360"/>
      </w:tabs>
    </w:pPr>
  </w:style>
  <w:style w:type="character" w:customStyle="1" w:styleId="FooterChar">
    <w:name w:val="Footer Char"/>
    <w:basedOn w:val="DefaultParagraphFont"/>
    <w:link w:val="Footer"/>
    <w:uiPriority w:val="99"/>
    <w:rsid w:val="00C248F8"/>
    <w:rPr>
      <w:rFonts w:ascii="Times New Roman" w:hAnsi="Times New Roman" w:cs="Times New Roman"/>
      <w:sz w:val="26"/>
    </w:rPr>
  </w:style>
  <w:style w:type="paragraph" w:styleId="Header">
    <w:name w:val="header"/>
    <w:basedOn w:val="Normal"/>
    <w:link w:val="HeaderChar"/>
    <w:uiPriority w:val="99"/>
    <w:unhideWhenUsed/>
    <w:rsid w:val="00257259"/>
    <w:pPr>
      <w:tabs>
        <w:tab w:val="center" w:pos="4680"/>
        <w:tab w:val="right" w:pos="9360"/>
      </w:tabs>
      <w:spacing w:line="240" w:lineRule="auto"/>
    </w:pPr>
  </w:style>
  <w:style w:type="character" w:customStyle="1" w:styleId="HeaderChar">
    <w:name w:val="Header Char"/>
    <w:basedOn w:val="DefaultParagraphFont"/>
    <w:link w:val="Header"/>
    <w:uiPriority w:val="99"/>
    <w:rsid w:val="00257259"/>
    <w:rPr>
      <w:sz w:val="28"/>
    </w:rPr>
  </w:style>
  <w:style w:type="character" w:styleId="PageNumber">
    <w:name w:val="page number"/>
    <w:basedOn w:val="DefaultParagraphFont"/>
    <w:uiPriority w:val="99"/>
    <w:semiHidden/>
    <w:unhideWhenUsed/>
    <w:rsid w:val="00257259"/>
  </w:style>
  <w:style w:type="paragraph" w:styleId="BalloonText">
    <w:name w:val="Balloon Text"/>
    <w:basedOn w:val="Normal"/>
    <w:link w:val="BalloonTextChar"/>
    <w:uiPriority w:val="99"/>
    <w:semiHidden/>
    <w:unhideWhenUsed/>
    <w:rsid w:val="00826E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E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228036">
      <w:bodyDiv w:val="1"/>
      <w:marLeft w:val="0"/>
      <w:marRight w:val="0"/>
      <w:marTop w:val="0"/>
      <w:marBottom w:val="0"/>
      <w:divBdr>
        <w:top w:val="none" w:sz="0" w:space="0" w:color="auto"/>
        <w:left w:val="none" w:sz="0" w:space="0" w:color="auto"/>
        <w:bottom w:val="none" w:sz="0" w:space="0" w:color="auto"/>
        <w:right w:val="none" w:sz="0" w:space="0" w:color="auto"/>
      </w:divBdr>
    </w:div>
    <w:div w:id="832263232">
      <w:bodyDiv w:val="1"/>
      <w:marLeft w:val="0"/>
      <w:marRight w:val="0"/>
      <w:marTop w:val="0"/>
      <w:marBottom w:val="0"/>
      <w:divBdr>
        <w:top w:val="none" w:sz="0" w:space="0" w:color="auto"/>
        <w:left w:val="none" w:sz="0" w:space="0" w:color="auto"/>
        <w:bottom w:val="none" w:sz="0" w:space="0" w:color="auto"/>
        <w:right w:val="none" w:sz="0" w:space="0" w:color="auto"/>
      </w:divBdr>
      <w:divsChild>
        <w:div w:id="188573414">
          <w:marLeft w:val="0"/>
          <w:marRight w:val="0"/>
          <w:marTop w:val="0"/>
          <w:marBottom w:val="0"/>
          <w:divBdr>
            <w:top w:val="none" w:sz="0" w:space="0" w:color="auto"/>
            <w:left w:val="none" w:sz="0" w:space="0" w:color="auto"/>
            <w:bottom w:val="none" w:sz="0" w:space="0" w:color="auto"/>
            <w:right w:val="none" w:sz="0" w:space="0" w:color="auto"/>
          </w:divBdr>
          <w:divsChild>
            <w:div w:id="16319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96266">
      <w:bodyDiv w:val="1"/>
      <w:marLeft w:val="0"/>
      <w:marRight w:val="0"/>
      <w:marTop w:val="0"/>
      <w:marBottom w:val="0"/>
      <w:divBdr>
        <w:top w:val="none" w:sz="0" w:space="0" w:color="auto"/>
        <w:left w:val="none" w:sz="0" w:space="0" w:color="auto"/>
        <w:bottom w:val="none" w:sz="0" w:space="0" w:color="auto"/>
        <w:right w:val="none" w:sz="0" w:space="0" w:color="auto"/>
      </w:divBdr>
      <w:divsChild>
        <w:div w:id="735856961">
          <w:marLeft w:val="0"/>
          <w:marRight w:val="0"/>
          <w:marTop w:val="0"/>
          <w:marBottom w:val="0"/>
          <w:divBdr>
            <w:top w:val="none" w:sz="0" w:space="0" w:color="auto"/>
            <w:left w:val="none" w:sz="0" w:space="0" w:color="auto"/>
            <w:bottom w:val="none" w:sz="0" w:space="0" w:color="auto"/>
            <w:right w:val="none" w:sz="0" w:space="0" w:color="auto"/>
          </w:divBdr>
          <w:divsChild>
            <w:div w:id="197906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0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14209</Words>
  <Characters>73339</Characters>
  <Application>Microsoft Office Word</Application>
  <DocSecurity>0</DocSecurity>
  <Lines>1633</Lines>
  <Paragraphs>184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87821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2017-02-09T19:22:00Z</cp:lastPrinted>
  <dcterms:created xsi:type="dcterms:W3CDTF">2017-02-09T19:43:00Z</dcterms:created>
  <dcterms:modified xsi:type="dcterms:W3CDTF">2017-02-09T19:43:00Z</dcterms:modified>
  <cp:category/>
</cp:coreProperties>
</file>