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60" w:rsidRPr="00E7682B" w:rsidRDefault="00502E54" w:rsidP="00DC2060">
      <w:pPr>
        <w:spacing w:line="240" w:lineRule="auto"/>
        <w:rPr>
          <w:sz w:val="20"/>
          <w:szCs w:val="20"/>
        </w:rPr>
      </w:pPr>
      <w:r>
        <w:rPr>
          <w:sz w:val="20"/>
          <w:szCs w:val="20"/>
        </w:rPr>
        <w:t>Filed 10/31/18</w:t>
      </w:r>
    </w:p>
    <w:p w:rsidR="0062629F" w:rsidRDefault="0062629F" w:rsidP="00B059E0">
      <w:pPr>
        <w:spacing w:line="240" w:lineRule="auto"/>
        <w:jc w:val="center"/>
        <w:rPr>
          <w:b/>
          <w:sz w:val="26"/>
        </w:rPr>
      </w:pPr>
      <w:r>
        <w:rPr>
          <w:b/>
          <w:sz w:val="26"/>
        </w:rPr>
        <w:t xml:space="preserve">CERTIFIED FOR </w:t>
      </w:r>
      <w:r w:rsidRPr="0062629F">
        <w:rPr>
          <w:b/>
          <w:sz w:val="26"/>
        </w:rPr>
        <w:t>PUBLICATION</w:t>
      </w:r>
    </w:p>
    <w:p w:rsidR="0062629F" w:rsidRPr="0062629F" w:rsidRDefault="0062629F" w:rsidP="0062629F">
      <w:pPr>
        <w:spacing w:line="240" w:lineRule="auto"/>
        <w:jc w:val="center"/>
        <w:rPr>
          <w:sz w:val="26"/>
        </w:rPr>
      </w:pPr>
    </w:p>
    <w:p w:rsidR="00DC2060" w:rsidRPr="00966DCA" w:rsidRDefault="00DC2060" w:rsidP="00DC2060">
      <w:pPr>
        <w:spacing w:line="240" w:lineRule="auto"/>
        <w:jc w:val="center"/>
        <w:rPr>
          <w:sz w:val="26"/>
        </w:rPr>
      </w:pPr>
      <w:r w:rsidRPr="00966DCA">
        <w:rPr>
          <w:sz w:val="26"/>
        </w:rPr>
        <w:t>IN THE COURT OF APPEAL OF THE STATE OF CALIFORNIA</w:t>
      </w:r>
    </w:p>
    <w:p w:rsidR="00DC2060" w:rsidRPr="00966DCA" w:rsidRDefault="00DC2060" w:rsidP="00DC2060">
      <w:pPr>
        <w:spacing w:line="240" w:lineRule="auto"/>
        <w:jc w:val="center"/>
        <w:rPr>
          <w:sz w:val="26"/>
        </w:rPr>
      </w:pPr>
    </w:p>
    <w:p w:rsidR="00DC2060" w:rsidRPr="00966DCA" w:rsidRDefault="00DC2060" w:rsidP="00DC2060">
      <w:pPr>
        <w:spacing w:line="240" w:lineRule="auto"/>
        <w:jc w:val="center"/>
        <w:rPr>
          <w:sz w:val="26"/>
        </w:rPr>
      </w:pPr>
      <w:r w:rsidRPr="00966DCA">
        <w:rPr>
          <w:sz w:val="26"/>
        </w:rPr>
        <w:t>SECOND APPELLATE DISTRICT</w:t>
      </w:r>
    </w:p>
    <w:p w:rsidR="00DC2060" w:rsidRPr="00966DCA" w:rsidRDefault="00DC2060" w:rsidP="00DC2060">
      <w:pPr>
        <w:spacing w:line="240" w:lineRule="auto"/>
        <w:jc w:val="center"/>
        <w:rPr>
          <w:sz w:val="26"/>
        </w:rPr>
      </w:pPr>
    </w:p>
    <w:p w:rsidR="00DC2060" w:rsidRPr="00966DCA" w:rsidRDefault="00DC2060" w:rsidP="00DC2060">
      <w:pPr>
        <w:spacing w:line="240" w:lineRule="auto"/>
        <w:jc w:val="center"/>
        <w:rPr>
          <w:sz w:val="26"/>
        </w:rPr>
      </w:pPr>
      <w:r w:rsidRPr="00966DCA">
        <w:rPr>
          <w:sz w:val="26"/>
        </w:rPr>
        <w:t>DIVISION FIVE</w:t>
      </w:r>
    </w:p>
    <w:p w:rsidR="00DC2060" w:rsidRPr="00966DCA" w:rsidRDefault="00DC2060" w:rsidP="00DC2060">
      <w:pPr>
        <w:spacing w:line="240" w:lineRule="auto"/>
        <w:jc w:val="center"/>
        <w:rPr>
          <w:sz w:val="26"/>
        </w:rPr>
      </w:pPr>
    </w:p>
    <w:p w:rsidR="00DC2060" w:rsidRPr="00966DCA" w:rsidRDefault="00DC2060" w:rsidP="00DC2060">
      <w:pPr>
        <w:spacing w:line="240" w:lineRule="auto"/>
        <w:jc w:val="center"/>
        <w:rPr>
          <w:sz w:val="26"/>
        </w:rPr>
      </w:pPr>
    </w:p>
    <w:tbl>
      <w:tblPr>
        <w:tblW w:w="9576" w:type="dxa"/>
        <w:tblLayout w:type="fixed"/>
        <w:tblLook w:val="0000" w:firstRow="0" w:lastRow="0" w:firstColumn="0" w:lastColumn="0" w:noHBand="0" w:noVBand="0"/>
      </w:tblPr>
      <w:tblGrid>
        <w:gridCol w:w="5418"/>
        <w:gridCol w:w="4158"/>
      </w:tblGrid>
      <w:tr w:rsidR="00DC2060" w:rsidRPr="00966DCA" w:rsidTr="0062629F">
        <w:tc>
          <w:tcPr>
            <w:tcW w:w="5418" w:type="dxa"/>
            <w:tcBorders>
              <w:bottom w:val="single" w:sz="4" w:space="0" w:color="auto"/>
              <w:right w:val="single" w:sz="4" w:space="0" w:color="auto"/>
            </w:tcBorders>
            <w:shd w:val="clear" w:color="auto" w:fill="auto"/>
          </w:tcPr>
          <w:p w:rsidR="00DC2060" w:rsidRPr="00966DCA" w:rsidRDefault="00DC2060" w:rsidP="00DC2060">
            <w:pPr>
              <w:spacing w:line="240" w:lineRule="auto"/>
              <w:rPr>
                <w:sz w:val="26"/>
              </w:rPr>
            </w:pPr>
            <w:r>
              <w:rPr>
                <w:sz w:val="26"/>
              </w:rPr>
              <w:t>TERRI BROWN</w:t>
            </w:r>
            <w:r w:rsidRPr="00966DCA">
              <w:rPr>
                <w:sz w:val="26"/>
              </w:rPr>
              <w:t>,</w:t>
            </w:r>
          </w:p>
          <w:p w:rsidR="00DC2060" w:rsidRPr="00966DCA" w:rsidRDefault="00DC2060" w:rsidP="00DC2060">
            <w:pPr>
              <w:spacing w:line="240" w:lineRule="auto"/>
              <w:rPr>
                <w:sz w:val="26"/>
              </w:rPr>
            </w:pPr>
          </w:p>
          <w:p w:rsidR="00DC2060" w:rsidRPr="00966DCA" w:rsidRDefault="00DC2060" w:rsidP="00DC2060">
            <w:pPr>
              <w:spacing w:line="240" w:lineRule="auto"/>
              <w:rPr>
                <w:sz w:val="26"/>
              </w:rPr>
            </w:pPr>
            <w:r w:rsidRPr="00966DCA">
              <w:rPr>
                <w:sz w:val="26"/>
              </w:rPr>
              <w:tab/>
              <w:t xml:space="preserve">Plaintiff and </w:t>
            </w:r>
            <w:r>
              <w:rPr>
                <w:sz w:val="26"/>
              </w:rPr>
              <w:t>Appellant</w:t>
            </w:r>
            <w:r w:rsidRPr="00966DCA">
              <w:rPr>
                <w:sz w:val="26"/>
              </w:rPr>
              <w:t>,</w:t>
            </w:r>
          </w:p>
          <w:p w:rsidR="00DC2060" w:rsidRPr="00966DCA" w:rsidRDefault="00DC2060" w:rsidP="00DC2060">
            <w:pPr>
              <w:spacing w:line="240" w:lineRule="auto"/>
              <w:rPr>
                <w:sz w:val="26"/>
              </w:rPr>
            </w:pPr>
          </w:p>
          <w:p w:rsidR="00DC2060" w:rsidRPr="00966DCA" w:rsidRDefault="00DC2060" w:rsidP="00DC2060">
            <w:pPr>
              <w:spacing w:line="240" w:lineRule="auto"/>
              <w:rPr>
                <w:sz w:val="26"/>
              </w:rPr>
            </w:pPr>
            <w:r w:rsidRPr="00966DCA">
              <w:rPr>
                <w:sz w:val="26"/>
              </w:rPr>
              <w:tab/>
              <w:t>v.</w:t>
            </w:r>
          </w:p>
          <w:p w:rsidR="00DC2060" w:rsidRPr="00966DCA" w:rsidRDefault="00DC2060" w:rsidP="00DC2060">
            <w:pPr>
              <w:spacing w:line="240" w:lineRule="auto"/>
              <w:rPr>
                <w:sz w:val="26"/>
              </w:rPr>
            </w:pPr>
          </w:p>
          <w:p w:rsidR="00DC2060" w:rsidRPr="00966DCA" w:rsidRDefault="00DC2060" w:rsidP="00DC2060">
            <w:pPr>
              <w:spacing w:line="240" w:lineRule="auto"/>
              <w:rPr>
                <w:sz w:val="26"/>
              </w:rPr>
            </w:pPr>
            <w:r>
              <w:rPr>
                <w:sz w:val="26"/>
              </w:rPr>
              <w:t>RALPHS GROCERY COMPANY et al.</w:t>
            </w:r>
            <w:r w:rsidRPr="00966DCA">
              <w:rPr>
                <w:sz w:val="26"/>
              </w:rPr>
              <w:t>,</w:t>
            </w:r>
          </w:p>
          <w:p w:rsidR="00DC2060" w:rsidRPr="00966DCA" w:rsidRDefault="00DC2060" w:rsidP="00DC2060">
            <w:pPr>
              <w:spacing w:line="240" w:lineRule="auto"/>
              <w:rPr>
                <w:sz w:val="26"/>
              </w:rPr>
            </w:pPr>
          </w:p>
          <w:p w:rsidR="00DC2060" w:rsidRPr="00966DCA" w:rsidRDefault="00DC2060" w:rsidP="00DC2060">
            <w:pPr>
              <w:spacing w:line="240" w:lineRule="auto"/>
              <w:rPr>
                <w:sz w:val="26"/>
              </w:rPr>
            </w:pPr>
            <w:r w:rsidRPr="00966DCA">
              <w:rPr>
                <w:sz w:val="26"/>
              </w:rPr>
              <w:tab/>
              <w:t>Defendant</w:t>
            </w:r>
            <w:r>
              <w:rPr>
                <w:sz w:val="26"/>
              </w:rPr>
              <w:t>s</w:t>
            </w:r>
            <w:r w:rsidRPr="00966DCA">
              <w:rPr>
                <w:sz w:val="26"/>
              </w:rPr>
              <w:t xml:space="preserve"> and </w:t>
            </w:r>
            <w:r>
              <w:rPr>
                <w:sz w:val="26"/>
              </w:rPr>
              <w:t>Respondents</w:t>
            </w:r>
            <w:r w:rsidRPr="00966DCA">
              <w:rPr>
                <w:sz w:val="26"/>
              </w:rPr>
              <w:t>.</w:t>
            </w:r>
          </w:p>
          <w:p w:rsidR="00DC2060" w:rsidRPr="00966DCA" w:rsidRDefault="00DC2060" w:rsidP="00DC2060">
            <w:pPr>
              <w:spacing w:line="240" w:lineRule="auto"/>
              <w:rPr>
                <w:sz w:val="26"/>
              </w:rPr>
            </w:pPr>
          </w:p>
        </w:tc>
        <w:tc>
          <w:tcPr>
            <w:tcW w:w="4158" w:type="dxa"/>
            <w:tcBorders>
              <w:left w:val="single" w:sz="4" w:space="0" w:color="auto"/>
            </w:tcBorders>
            <w:shd w:val="clear" w:color="auto" w:fill="auto"/>
          </w:tcPr>
          <w:p w:rsidR="00DC2060" w:rsidRPr="00966DCA" w:rsidRDefault="00DC2060" w:rsidP="00DC2060">
            <w:pPr>
              <w:spacing w:line="240" w:lineRule="auto"/>
              <w:rPr>
                <w:sz w:val="26"/>
              </w:rPr>
            </w:pPr>
            <w:r w:rsidRPr="00966DCA">
              <w:rPr>
                <w:sz w:val="26"/>
              </w:rPr>
              <w:t xml:space="preserve">  B2</w:t>
            </w:r>
            <w:r>
              <w:rPr>
                <w:sz w:val="26"/>
              </w:rPr>
              <w:t>78911</w:t>
            </w:r>
          </w:p>
          <w:p w:rsidR="00DC2060" w:rsidRPr="00966DCA" w:rsidRDefault="00DC2060" w:rsidP="00DC2060">
            <w:pPr>
              <w:spacing w:line="240" w:lineRule="auto"/>
              <w:rPr>
                <w:sz w:val="26"/>
              </w:rPr>
            </w:pPr>
          </w:p>
          <w:p w:rsidR="00DC2060" w:rsidRPr="00966DCA" w:rsidRDefault="00DC2060" w:rsidP="00DC2060">
            <w:pPr>
              <w:spacing w:line="240" w:lineRule="auto"/>
              <w:rPr>
                <w:sz w:val="26"/>
              </w:rPr>
            </w:pPr>
            <w:r w:rsidRPr="00966DCA">
              <w:rPr>
                <w:sz w:val="26"/>
              </w:rPr>
              <w:t xml:space="preserve">  (Los Angeles County</w:t>
            </w:r>
          </w:p>
          <w:p w:rsidR="00DC2060" w:rsidRPr="00966DCA" w:rsidRDefault="00DC2060" w:rsidP="00DC2060">
            <w:pPr>
              <w:spacing w:line="240" w:lineRule="auto"/>
              <w:rPr>
                <w:sz w:val="26"/>
              </w:rPr>
            </w:pPr>
            <w:r w:rsidRPr="00966DCA">
              <w:rPr>
                <w:sz w:val="26"/>
              </w:rPr>
              <w:t xml:space="preserve">  Super. Ct. No.</w:t>
            </w:r>
            <w:r w:rsidR="00B059E0">
              <w:rPr>
                <w:sz w:val="26"/>
              </w:rPr>
              <w:t xml:space="preserve"> </w:t>
            </w:r>
            <w:r>
              <w:rPr>
                <w:sz w:val="26"/>
              </w:rPr>
              <w:t>BC423782</w:t>
            </w:r>
            <w:r w:rsidRPr="00966DCA">
              <w:rPr>
                <w:sz w:val="26"/>
              </w:rPr>
              <w:t>)</w:t>
            </w:r>
          </w:p>
          <w:p w:rsidR="00DC2060" w:rsidRPr="00966DCA" w:rsidRDefault="00DC2060" w:rsidP="00DC2060">
            <w:pPr>
              <w:spacing w:line="240" w:lineRule="auto"/>
              <w:rPr>
                <w:sz w:val="26"/>
              </w:rPr>
            </w:pPr>
          </w:p>
        </w:tc>
      </w:tr>
    </w:tbl>
    <w:p w:rsidR="00DC2060" w:rsidRPr="005C3DA7" w:rsidRDefault="00DC2060" w:rsidP="00DC2060">
      <w:pPr>
        <w:spacing w:line="360" w:lineRule="auto"/>
      </w:pPr>
    </w:p>
    <w:p w:rsidR="00DC2060" w:rsidRPr="005C3DA7" w:rsidRDefault="00DC2060" w:rsidP="00DC2060">
      <w:pPr>
        <w:spacing w:line="360" w:lineRule="auto"/>
      </w:pPr>
    </w:p>
    <w:p w:rsidR="00DC2060" w:rsidRPr="00966DCA" w:rsidRDefault="00DC2060" w:rsidP="002A194B">
      <w:pPr>
        <w:rPr>
          <w:sz w:val="26"/>
        </w:rPr>
      </w:pPr>
      <w:r w:rsidRPr="00966DCA">
        <w:rPr>
          <w:sz w:val="26"/>
        </w:rPr>
        <w:tab/>
        <w:t>APPEAL from a</w:t>
      </w:r>
      <w:r>
        <w:rPr>
          <w:sz w:val="26"/>
        </w:rPr>
        <w:t xml:space="preserve"> judgment</w:t>
      </w:r>
      <w:r w:rsidRPr="00966DCA">
        <w:rPr>
          <w:sz w:val="26"/>
        </w:rPr>
        <w:t xml:space="preserve"> of the Superior Court of Los Angeles County, </w:t>
      </w:r>
      <w:r>
        <w:rPr>
          <w:sz w:val="26"/>
        </w:rPr>
        <w:t xml:space="preserve">Richard E. Rico, Judge.  </w:t>
      </w:r>
      <w:r w:rsidR="00C50E78">
        <w:rPr>
          <w:sz w:val="26"/>
        </w:rPr>
        <w:t>R</w:t>
      </w:r>
      <w:r w:rsidR="002505B2">
        <w:rPr>
          <w:sz w:val="26"/>
        </w:rPr>
        <w:t xml:space="preserve">eversed </w:t>
      </w:r>
      <w:r w:rsidR="00331886">
        <w:rPr>
          <w:sz w:val="26"/>
        </w:rPr>
        <w:t>and remanded</w:t>
      </w:r>
      <w:r w:rsidR="006A1194">
        <w:rPr>
          <w:sz w:val="26"/>
        </w:rPr>
        <w:t xml:space="preserve"> with directions</w:t>
      </w:r>
      <w:r>
        <w:rPr>
          <w:sz w:val="26"/>
        </w:rPr>
        <w:t>.</w:t>
      </w:r>
    </w:p>
    <w:p w:rsidR="00DC2060" w:rsidRDefault="00DC2060" w:rsidP="002A194B">
      <w:pPr>
        <w:rPr>
          <w:sz w:val="26"/>
        </w:rPr>
      </w:pPr>
      <w:r>
        <w:rPr>
          <w:sz w:val="26"/>
        </w:rPr>
        <w:tab/>
        <w:t>Capstone Law, Glenn A. Danas, Melissa Grant, Liana Carter and Arnab Banerjee for Plaintiff and Appellant.</w:t>
      </w:r>
    </w:p>
    <w:p w:rsidR="00DC2060" w:rsidRDefault="00DC2060" w:rsidP="002A194B">
      <w:pPr>
        <w:rPr>
          <w:sz w:val="26"/>
        </w:rPr>
      </w:pPr>
      <w:r>
        <w:rPr>
          <w:sz w:val="26"/>
        </w:rPr>
        <w:tab/>
        <w:t xml:space="preserve">Reed Smith, Linda S. </w:t>
      </w:r>
      <w:proofErr w:type="spellStart"/>
      <w:r>
        <w:rPr>
          <w:sz w:val="26"/>
        </w:rPr>
        <w:t>Husar</w:t>
      </w:r>
      <w:proofErr w:type="spellEnd"/>
      <w:r>
        <w:rPr>
          <w:sz w:val="26"/>
        </w:rPr>
        <w:t>, Mara D. Curtis and Kasey J. Curtis for Defendants and Respondents.</w:t>
      </w:r>
    </w:p>
    <w:p w:rsidR="002A194B" w:rsidRDefault="002A194B" w:rsidP="002A194B">
      <w:pPr>
        <w:rPr>
          <w:sz w:val="26"/>
        </w:rPr>
      </w:pPr>
    </w:p>
    <w:p w:rsidR="002A194B" w:rsidRDefault="002A194B" w:rsidP="002A194B">
      <w:pPr>
        <w:jc w:val="center"/>
        <w:rPr>
          <w:sz w:val="26"/>
        </w:rPr>
      </w:pPr>
    </w:p>
    <w:p w:rsidR="006A1194" w:rsidRDefault="006A1194" w:rsidP="002A194B">
      <w:pPr>
        <w:jc w:val="center"/>
        <w:rPr>
          <w:sz w:val="26"/>
        </w:rPr>
      </w:pPr>
    </w:p>
    <w:p w:rsidR="002A194B" w:rsidRDefault="002A194B" w:rsidP="002A194B">
      <w:pPr>
        <w:jc w:val="center"/>
        <w:rPr>
          <w:sz w:val="26"/>
        </w:rPr>
      </w:pPr>
    </w:p>
    <w:p w:rsidR="0088131F" w:rsidRPr="002A194B" w:rsidRDefault="00EC5E16" w:rsidP="002A194B">
      <w:pPr>
        <w:pStyle w:val="ListParagraph"/>
        <w:numPr>
          <w:ilvl w:val="0"/>
          <w:numId w:val="7"/>
        </w:numPr>
        <w:jc w:val="center"/>
        <w:rPr>
          <w:b/>
          <w:sz w:val="26"/>
          <w:szCs w:val="26"/>
        </w:rPr>
      </w:pPr>
      <w:r w:rsidRPr="002A194B">
        <w:rPr>
          <w:b/>
          <w:sz w:val="26"/>
          <w:szCs w:val="26"/>
        </w:rPr>
        <w:lastRenderedPageBreak/>
        <w:t>INTRODUCTION</w:t>
      </w:r>
    </w:p>
    <w:p w:rsidR="000F7786" w:rsidRDefault="000F7786" w:rsidP="002A194B">
      <w:pPr>
        <w:pStyle w:val="ListParagraph"/>
        <w:ind w:left="0" w:firstLine="720"/>
        <w:rPr>
          <w:sz w:val="26"/>
          <w:szCs w:val="26"/>
        </w:rPr>
      </w:pPr>
    </w:p>
    <w:p w:rsidR="00E3112F" w:rsidRDefault="00A77945" w:rsidP="002A194B">
      <w:pPr>
        <w:pStyle w:val="ListParagraph"/>
        <w:ind w:left="0" w:firstLine="720"/>
        <w:rPr>
          <w:sz w:val="26"/>
          <w:szCs w:val="26"/>
        </w:rPr>
      </w:pPr>
      <w:r>
        <w:rPr>
          <w:sz w:val="26"/>
          <w:szCs w:val="26"/>
        </w:rPr>
        <w:t xml:space="preserve">Plaintiff </w:t>
      </w:r>
      <w:r w:rsidR="00264983">
        <w:rPr>
          <w:sz w:val="26"/>
          <w:szCs w:val="26"/>
        </w:rPr>
        <w:t xml:space="preserve">Terri Brown </w:t>
      </w:r>
      <w:r>
        <w:rPr>
          <w:sz w:val="26"/>
          <w:szCs w:val="26"/>
        </w:rPr>
        <w:t>brought a r</w:t>
      </w:r>
      <w:r w:rsidR="00264983">
        <w:rPr>
          <w:sz w:val="26"/>
          <w:szCs w:val="26"/>
        </w:rPr>
        <w:t>epresentative action against her</w:t>
      </w:r>
      <w:r>
        <w:rPr>
          <w:sz w:val="26"/>
          <w:szCs w:val="26"/>
        </w:rPr>
        <w:t xml:space="preserve"> employer</w:t>
      </w:r>
      <w:r w:rsidR="00C014CD">
        <w:rPr>
          <w:sz w:val="26"/>
          <w:szCs w:val="26"/>
        </w:rPr>
        <w:t>, Ralphs Grocery Company</w:t>
      </w:r>
      <w:r w:rsidR="00236B35">
        <w:rPr>
          <w:sz w:val="26"/>
          <w:szCs w:val="26"/>
        </w:rPr>
        <w:t xml:space="preserve"> (Ralphs)</w:t>
      </w:r>
      <w:r w:rsidR="00264983">
        <w:rPr>
          <w:sz w:val="26"/>
          <w:szCs w:val="26"/>
        </w:rPr>
        <w:t>, and its parent company, The Kroger Co. (collectively defendants),</w:t>
      </w:r>
      <w:r>
        <w:rPr>
          <w:sz w:val="26"/>
          <w:szCs w:val="26"/>
        </w:rPr>
        <w:t xml:space="preserve"> under the Private Attorneys General Act of 2004 (PAGA; Lab. Code</w:t>
      </w:r>
      <w:r w:rsidR="00BF002E">
        <w:rPr>
          <w:sz w:val="26"/>
          <w:szCs w:val="26"/>
        </w:rPr>
        <w:t>,</w:t>
      </w:r>
      <w:r>
        <w:rPr>
          <w:sz w:val="26"/>
          <w:szCs w:val="26"/>
        </w:rPr>
        <w:t xml:space="preserve"> §</w:t>
      </w:r>
      <w:r w:rsidR="00905BEB">
        <w:rPr>
          <w:sz w:val="26"/>
          <w:szCs w:val="26"/>
        </w:rPr>
        <w:t> </w:t>
      </w:r>
      <w:r>
        <w:rPr>
          <w:sz w:val="26"/>
          <w:szCs w:val="26"/>
        </w:rPr>
        <w:t xml:space="preserve">2698, et seq.), alleging </w:t>
      </w:r>
      <w:r w:rsidR="00264983">
        <w:rPr>
          <w:sz w:val="26"/>
          <w:szCs w:val="26"/>
        </w:rPr>
        <w:t xml:space="preserve">wage and hour violations.  </w:t>
      </w:r>
      <w:r w:rsidR="00E3112F">
        <w:rPr>
          <w:sz w:val="26"/>
          <w:szCs w:val="26"/>
        </w:rPr>
        <w:t xml:space="preserve">In 2009, plaintiff filed with </w:t>
      </w:r>
      <w:r w:rsidR="00160DD3">
        <w:rPr>
          <w:sz w:val="26"/>
          <w:szCs w:val="26"/>
        </w:rPr>
        <w:t>the California Labor and Workforce Development Agency (LWDA)</w:t>
      </w:r>
      <w:r w:rsidR="00E3112F">
        <w:rPr>
          <w:sz w:val="26"/>
          <w:szCs w:val="26"/>
        </w:rPr>
        <w:t xml:space="preserve"> a notice of alleged Labor Code violations, as required under Labor Code section 2699.3, subdivision (a) as a condition of filing a PAGA action</w:t>
      </w:r>
      <w:r w:rsidR="007419CB">
        <w:rPr>
          <w:sz w:val="26"/>
          <w:szCs w:val="26"/>
        </w:rPr>
        <w:t>,</w:t>
      </w:r>
      <w:r w:rsidR="00E3112F">
        <w:rPr>
          <w:sz w:val="26"/>
          <w:szCs w:val="26"/>
        </w:rPr>
        <w:t xml:space="preserve"> and filed her complaint in this action alleging PAGA claims.  </w:t>
      </w:r>
      <w:r w:rsidR="002505B2">
        <w:rPr>
          <w:sz w:val="26"/>
          <w:szCs w:val="26"/>
        </w:rPr>
        <w:t>T</w:t>
      </w:r>
      <w:r w:rsidR="00B14F2C">
        <w:rPr>
          <w:sz w:val="26"/>
          <w:szCs w:val="26"/>
        </w:rPr>
        <w:t>hereafter</w:t>
      </w:r>
      <w:r w:rsidR="00E3112F">
        <w:rPr>
          <w:sz w:val="26"/>
          <w:szCs w:val="26"/>
        </w:rPr>
        <w:t xml:space="preserve">, </w:t>
      </w:r>
      <w:r w:rsidR="00B14F2C">
        <w:rPr>
          <w:sz w:val="26"/>
          <w:szCs w:val="26"/>
        </w:rPr>
        <w:t>plaintiff filed a second amended complaint alleging new violations of different Labor Code provisions not specified in her 2009 notice.</w:t>
      </w:r>
      <w:r w:rsidR="0062629F">
        <w:rPr>
          <w:sz w:val="26"/>
          <w:szCs w:val="26"/>
        </w:rPr>
        <w:t xml:space="preserve">  </w:t>
      </w:r>
    </w:p>
    <w:p w:rsidR="008B5860" w:rsidRDefault="007C6E15" w:rsidP="002A194B">
      <w:pPr>
        <w:pStyle w:val="ListParagraph"/>
        <w:ind w:left="0" w:firstLine="720"/>
        <w:rPr>
          <w:sz w:val="26"/>
          <w:szCs w:val="26"/>
        </w:rPr>
      </w:pPr>
      <w:r>
        <w:rPr>
          <w:sz w:val="26"/>
          <w:szCs w:val="26"/>
        </w:rPr>
        <w:t xml:space="preserve">Defendants moved for </w:t>
      </w:r>
      <w:r w:rsidR="00E3112F">
        <w:rPr>
          <w:sz w:val="26"/>
          <w:szCs w:val="26"/>
        </w:rPr>
        <w:t>j</w:t>
      </w:r>
      <w:r w:rsidR="00264983">
        <w:rPr>
          <w:sz w:val="26"/>
          <w:szCs w:val="26"/>
        </w:rPr>
        <w:t>ud</w:t>
      </w:r>
      <w:r w:rsidR="00160DD3">
        <w:rPr>
          <w:sz w:val="26"/>
          <w:szCs w:val="26"/>
        </w:rPr>
        <w:t xml:space="preserve">gment on the pleadings </w:t>
      </w:r>
      <w:r>
        <w:rPr>
          <w:sz w:val="26"/>
          <w:szCs w:val="26"/>
        </w:rPr>
        <w:t xml:space="preserve">arguing the 2009 notice was deficient, which the trial court granted </w:t>
      </w:r>
      <w:r w:rsidR="00160DD3">
        <w:rPr>
          <w:sz w:val="26"/>
          <w:szCs w:val="26"/>
        </w:rPr>
        <w:t xml:space="preserve">with </w:t>
      </w:r>
      <w:r w:rsidR="00264983">
        <w:rPr>
          <w:sz w:val="26"/>
          <w:szCs w:val="26"/>
        </w:rPr>
        <w:t>leave to amend</w:t>
      </w:r>
      <w:r w:rsidR="00160DD3">
        <w:rPr>
          <w:sz w:val="26"/>
          <w:szCs w:val="26"/>
        </w:rPr>
        <w:t xml:space="preserve"> the notice and the complaint.  </w:t>
      </w:r>
      <w:r>
        <w:rPr>
          <w:sz w:val="26"/>
          <w:szCs w:val="26"/>
        </w:rPr>
        <w:t>In March 2016, p</w:t>
      </w:r>
      <w:r w:rsidR="00160DD3">
        <w:rPr>
          <w:sz w:val="26"/>
          <w:szCs w:val="26"/>
        </w:rPr>
        <w:t xml:space="preserve">laintiff amended </w:t>
      </w:r>
      <w:r w:rsidR="00E3112F">
        <w:rPr>
          <w:sz w:val="26"/>
          <w:szCs w:val="26"/>
        </w:rPr>
        <w:t>her</w:t>
      </w:r>
      <w:r w:rsidR="00160DD3">
        <w:rPr>
          <w:sz w:val="26"/>
          <w:szCs w:val="26"/>
        </w:rPr>
        <w:t xml:space="preserve"> notice and </w:t>
      </w:r>
      <w:r w:rsidR="00E3112F">
        <w:rPr>
          <w:sz w:val="26"/>
          <w:szCs w:val="26"/>
        </w:rPr>
        <w:t>filed a third amended</w:t>
      </w:r>
      <w:r w:rsidR="00160DD3">
        <w:rPr>
          <w:sz w:val="26"/>
          <w:szCs w:val="26"/>
        </w:rPr>
        <w:t xml:space="preserve"> complaint.  </w:t>
      </w:r>
      <w:r w:rsidR="00C014CD">
        <w:rPr>
          <w:sz w:val="26"/>
          <w:szCs w:val="26"/>
        </w:rPr>
        <w:t xml:space="preserve">  </w:t>
      </w:r>
    </w:p>
    <w:p w:rsidR="003B5038" w:rsidRDefault="000C56EB" w:rsidP="002A194B">
      <w:pPr>
        <w:pStyle w:val="ListParagraph"/>
        <w:ind w:left="0" w:firstLine="720"/>
        <w:rPr>
          <w:sz w:val="26"/>
          <w:szCs w:val="26"/>
        </w:rPr>
      </w:pPr>
      <w:r>
        <w:rPr>
          <w:sz w:val="26"/>
          <w:szCs w:val="26"/>
        </w:rPr>
        <w:t>Defendants demurred</w:t>
      </w:r>
      <w:r w:rsidR="002A290A">
        <w:rPr>
          <w:sz w:val="26"/>
          <w:szCs w:val="26"/>
        </w:rPr>
        <w:t xml:space="preserve"> to</w:t>
      </w:r>
      <w:r w:rsidR="00160DD3">
        <w:rPr>
          <w:sz w:val="26"/>
          <w:szCs w:val="26"/>
        </w:rPr>
        <w:t xml:space="preserve"> the </w:t>
      </w:r>
      <w:r w:rsidR="00C014CD">
        <w:rPr>
          <w:sz w:val="26"/>
          <w:szCs w:val="26"/>
        </w:rPr>
        <w:t xml:space="preserve">third </w:t>
      </w:r>
      <w:r w:rsidR="002A290A">
        <w:rPr>
          <w:sz w:val="26"/>
          <w:szCs w:val="26"/>
        </w:rPr>
        <w:t>amended complaint</w:t>
      </w:r>
      <w:r>
        <w:rPr>
          <w:sz w:val="26"/>
          <w:szCs w:val="26"/>
        </w:rPr>
        <w:t>, which was sustained by the trial court</w:t>
      </w:r>
      <w:r w:rsidR="00160DD3">
        <w:rPr>
          <w:sz w:val="26"/>
          <w:szCs w:val="26"/>
        </w:rPr>
        <w:t>.</w:t>
      </w:r>
      <w:r>
        <w:rPr>
          <w:sz w:val="26"/>
          <w:szCs w:val="26"/>
        </w:rPr>
        <w:t xml:space="preserve">  </w:t>
      </w:r>
      <w:r w:rsidR="00E3112F">
        <w:rPr>
          <w:sz w:val="26"/>
          <w:szCs w:val="26"/>
        </w:rPr>
        <w:t>T</w:t>
      </w:r>
      <w:r w:rsidR="002A290A">
        <w:rPr>
          <w:sz w:val="26"/>
          <w:szCs w:val="26"/>
        </w:rPr>
        <w:t xml:space="preserve">he </w:t>
      </w:r>
      <w:r w:rsidR="008B5860">
        <w:rPr>
          <w:sz w:val="26"/>
          <w:szCs w:val="26"/>
        </w:rPr>
        <w:t xml:space="preserve">trial court held </w:t>
      </w:r>
      <w:r w:rsidR="00E3112F">
        <w:rPr>
          <w:sz w:val="26"/>
          <w:szCs w:val="26"/>
        </w:rPr>
        <w:t xml:space="preserve">that </w:t>
      </w:r>
      <w:r w:rsidR="008B5860">
        <w:rPr>
          <w:sz w:val="26"/>
          <w:szCs w:val="26"/>
        </w:rPr>
        <w:t>the PAGA claims were</w:t>
      </w:r>
      <w:r w:rsidR="002A290A">
        <w:rPr>
          <w:sz w:val="26"/>
          <w:szCs w:val="26"/>
        </w:rPr>
        <w:t xml:space="preserve"> barred because the </w:t>
      </w:r>
      <w:r w:rsidR="007C6E15">
        <w:rPr>
          <w:sz w:val="26"/>
          <w:szCs w:val="26"/>
        </w:rPr>
        <w:t xml:space="preserve">2009 notice was deficient and the </w:t>
      </w:r>
      <w:r w:rsidR="002A290A">
        <w:rPr>
          <w:sz w:val="26"/>
          <w:szCs w:val="26"/>
        </w:rPr>
        <w:t>2</w:t>
      </w:r>
      <w:r w:rsidR="008B5860">
        <w:rPr>
          <w:sz w:val="26"/>
          <w:szCs w:val="26"/>
        </w:rPr>
        <w:t xml:space="preserve">016 notice </w:t>
      </w:r>
      <w:r w:rsidR="007C6E15">
        <w:rPr>
          <w:sz w:val="26"/>
          <w:szCs w:val="26"/>
        </w:rPr>
        <w:t>and third amended complaint were</w:t>
      </w:r>
      <w:r w:rsidR="008B5860">
        <w:rPr>
          <w:sz w:val="26"/>
          <w:szCs w:val="26"/>
        </w:rPr>
        <w:t xml:space="preserve"> filed more than five years after the expiration of the statute of limitations.  The trial court rejected plaintiff</w:t>
      </w:r>
      <w:r w:rsidR="001037EF">
        <w:rPr>
          <w:sz w:val="26"/>
          <w:szCs w:val="26"/>
        </w:rPr>
        <w:t>’</w:t>
      </w:r>
      <w:r w:rsidR="008B5860">
        <w:rPr>
          <w:sz w:val="26"/>
          <w:szCs w:val="26"/>
        </w:rPr>
        <w:t xml:space="preserve">s contention that equitable tolling </w:t>
      </w:r>
      <w:r w:rsidR="007419CB">
        <w:rPr>
          <w:sz w:val="26"/>
          <w:szCs w:val="26"/>
        </w:rPr>
        <w:t>saved</w:t>
      </w:r>
      <w:r w:rsidR="001E5CFB">
        <w:rPr>
          <w:sz w:val="26"/>
          <w:szCs w:val="26"/>
        </w:rPr>
        <w:t xml:space="preserve"> the PAGA claims</w:t>
      </w:r>
      <w:r w:rsidR="003B5038">
        <w:rPr>
          <w:sz w:val="26"/>
          <w:szCs w:val="26"/>
        </w:rPr>
        <w:t xml:space="preserve">.   </w:t>
      </w:r>
    </w:p>
    <w:p w:rsidR="000C56EB" w:rsidRDefault="00551D2E" w:rsidP="002A194B">
      <w:pPr>
        <w:pStyle w:val="ListParagraph"/>
        <w:ind w:left="0" w:firstLine="720"/>
        <w:rPr>
          <w:sz w:val="26"/>
          <w:szCs w:val="26"/>
        </w:rPr>
      </w:pPr>
      <w:r>
        <w:rPr>
          <w:sz w:val="26"/>
          <w:szCs w:val="26"/>
        </w:rPr>
        <w:t xml:space="preserve">We conclude </w:t>
      </w:r>
      <w:r w:rsidR="0001717F">
        <w:rPr>
          <w:sz w:val="26"/>
          <w:szCs w:val="26"/>
        </w:rPr>
        <w:t xml:space="preserve">part of </w:t>
      </w:r>
      <w:r w:rsidR="00E3112F">
        <w:rPr>
          <w:sz w:val="26"/>
          <w:szCs w:val="26"/>
        </w:rPr>
        <w:t>plaintiff</w:t>
      </w:r>
      <w:r w:rsidR="001037EF">
        <w:rPr>
          <w:sz w:val="26"/>
          <w:szCs w:val="26"/>
        </w:rPr>
        <w:t>’</w:t>
      </w:r>
      <w:r w:rsidR="00E3112F">
        <w:rPr>
          <w:sz w:val="26"/>
          <w:szCs w:val="26"/>
        </w:rPr>
        <w:t>s</w:t>
      </w:r>
      <w:r w:rsidR="00CF2CEA">
        <w:rPr>
          <w:sz w:val="26"/>
          <w:szCs w:val="26"/>
        </w:rPr>
        <w:t xml:space="preserve"> </w:t>
      </w:r>
      <w:r w:rsidR="007C6E15">
        <w:rPr>
          <w:sz w:val="26"/>
          <w:szCs w:val="26"/>
        </w:rPr>
        <w:t xml:space="preserve">2009 </w:t>
      </w:r>
      <w:r w:rsidR="007817CA">
        <w:rPr>
          <w:sz w:val="26"/>
          <w:szCs w:val="26"/>
        </w:rPr>
        <w:t>notice</w:t>
      </w:r>
      <w:r w:rsidR="00E3112F">
        <w:rPr>
          <w:sz w:val="26"/>
          <w:szCs w:val="26"/>
        </w:rPr>
        <w:t xml:space="preserve"> </w:t>
      </w:r>
      <w:r w:rsidR="00CF2CEA">
        <w:rPr>
          <w:sz w:val="26"/>
          <w:szCs w:val="26"/>
        </w:rPr>
        <w:t>w</w:t>
      </w:r>
      <w:r w:rsidR="00E3112F">
        <w:rPr>
          <w:sz w:val="26"/>
          <w:szCs w:val="26"/>
        </w:rPr>
        <w:t>as</w:t>
      </w:r>
      <w:r w:rsidR="00CF2CEA">
        <w:rPr>
          <w:sz w:val="26"/>
          <w:szCs w:val="26"/>
        </w:rPr>
        <w:t xml:space="preserve"> adequate and</w:t>
      </w:r>
      <w:r w:rsidR="007817CA">
        <w:rPr>
          <w:sz w:val="26"/>
          <w:szCs w:val="26"/>
        </w:rPr>
        <w:t xml:space="preserve"> satisfied </w:t>
      </w:r>
      <w:r w:rsidR="00CF2CEA">
        <w:rPr>
          <w:sz w:val="26"/>
          <w:szCs w:val="26"/>
        </w:rPr>
        <w:t>the PAGA</w:t>
      </w:r>
      <w:r w:rsidR="007817CA">
        <w:rPr>
          <w:sz w:val="26"/>
          <w:szCs w:val="26"/>
        </w:rPr>
        <w:t xml:space="preserve"> </w:t>
      </w:r>
      <w:r w:rsidR="005D53B7">
        <w:rPr>
          <w:sz w:val="26"/>
          <w:szCs w:val="26"/>
        </w:rPr>
        <w:t xml:space="preserve">notice </w:t>
      </w:r>
      <w:r w:rsidR="007817CA">
        <w:rPr>
          <w:sz w:val="26"/>
          <w:szCs w:val="26"/>
        </w:rPr>
        <w:t xml:space="preserve">requirements </w:t>
      </w:r>
      <w:r w:rsidR="00E3112F">
        <w:rPr>
          <w:sz w:val="26"/>
          <w:szCs w:val="26"/>
        </w:rPr>
        <w:t>under Labor Code section 2699.3</w:t>
      </w:r>
      <w:r w:rsidR="00381FB4">
        <w:rPr>
          <w:sz w:val="26"/>
          <w:szCs w:val="26"/>
        </w:rPr>
        <w:t>, subdivision (a)</w:t>
      </w:r>
      <w:r w:rsidR="0001717F">
        <w:rPr>
          <w:sz w:val="26"/>
          <w:szCs w:val="26"/>
        </w:rPr>
        <w:t>, and part was not and did not</w:t>
      </w:r>
      <w:r w:rsidR="00EF05B1">
        <w:rPr>
          <w:sz w:val="26"/>
          <w:szCs w:val="26"/>
        </w:rPr>
        <w:t xml:space="preserve">.  </w:t>
      </w:r>
      <w:r w:rsidR="0001717F">
        <w:rPr>
          <w:sz w:val="26"/>
          <w:szCs w:val="26"/>
        </w:rPr>
        <w:t xml:space="preserve">We </w:t>
      </w:r>
      <w:r w:rsidR="0001717F">
        <w:rPr>
          <w:sz w:val="26"/>
          <w:szCs w:val="26"/>
        </w:rPr>
        <w:lastRenderedPageBreak/>
        <w:t>also conclude</w:t>
      </w:r>
      <w:r w:rsidR="00EF05B1">
        <w:rPr>
          <w:sz w:val="26"/>
          <w:szCs w:val="26"/>
        </w:rPr>
        <w:t xml:space="preserve"> plaintiff</w:t>
      </w:r>
      <w:r w:rsidR="00744BCE">
        <w:rPr>
          <w:sz w:val="26"/>
          <w:szCs w:val="26"/>
        </w:rPr>
        <w:t>’s</w:t>
      </w:r>
      <w:r w:rsidR="003B5038">
        <w:rPr>
          <w:sz w:val="26"/>
          <w:szCs w:val="26"/>
        </w:rPr>
        <w:t xml:space="preserve"> </w:t>
      </w:r>
      <w:r w:rsidR="007419CB">
        <w:rPr>
          <w:sz w:val="26"/>
          <w:szCs w:val="26"/>
        </w:rPr>
        <w:t>later-added</w:t>
      </w:r>
      <w:r w:rsidR="003B5038">
        <w:rPr>
          <w:sz w:val="26"/>
          <w:szCs w:val="26"/>
        </w:rPr>
        <w:t xml:space="preserve"> PAGA claims </w:t>
      </w:r>
      <w:r w:rsidR="007C6E15">
        <w:rPr>
          <w:sz w:val="26"/>
          <w:szCs w:val="26"/>
        </w:rPr>
        <w:t xml:space="preserve">for violations of Labor Code provisions </w:t>
      </w:r>
      <w:r w:rsidR="00EF05B1">
        <w:rPr>
          <w:sz w:val="26"/>
          <w:szCs w:val="26"/>
        </w:rPr>
        <w:t xml:space="preserve">not alleged in the </w:t>
      </w:r>
      <w:r w:rsidR="003B5038">
        <w:rPr>
          <w:sz w:val="26"/>
          <w:szCs w:val="26"/>
        </w:rPr>
        <w:t xml:space="preserve">2009 notice </w:t>
      </w:r>
      <w:r w:rsidR="0001717F">
        <w:rPr>
          <w:sz w:val="26"/>
          <w:szCs w:val="26"/>
        </w:rPr>
        <w:t>did not</w:t>
      </w:r>
      <w:r w:rsidR="003B5038">
        <w:rPr>
          <w:sz w:val="26"/>
          <w:szCs w:val="26"/>
        </w:rPr>
        <w:t xml:space="preserve"> </w:t>
      </w:r>
      <w:r w:rsidR="00B40ADF">
        <w:rPr>
          <w:sz w:val="26"/>
          <w:szCs w:val="26"/>
        </w:rPr>
        <w:t xml:space="preserve">timely </w:t>
      </w:r>
      <w:r w:rsidR="003B5038">
        <w:rPr>
          <w:sz w:val="26"/>
          <w:szCs w:val="26"/>
        </w:rPr>
        <w:t xml:space="preserve">comply with </w:t>
      </w:r>
      <w:r w:rsidR="007C6E15">
        <w:rPr>
          <w:sz w:val="26"/>
          <w:szCs w:val="26"/>
        </w:rPr>
        <w:t>section 2699.3</w:t>
      </w:r>
      <w:r w:rsidR="001037EF">
        <w:rPr>
          <w:sz w:val="26"/>
          <w:szCs w:val="26"/>
        </w:rPr>
        <w:t>’</w:t>
      </w:r>
      <w:r w:rsidR="007C6E15">
        <w:rPr>
          <w:sz w:val="26"/>
          <w:szCs w:val="26"/>
        </w:rPr>
        <w:t>s</w:t>
      </w:r>
      <w:r w:rsidR="003B5038">
        <w:rPr>
          <w:sz w:val="26"/>
          <w:szCs w:val="26"/>
        </w:rPr>
        <w:t xml:space="preserve"> notice requirements</w:t>
      </w:r>
      <w:r w:rsidR="00381FB4">
        <w:rPr>
          <w:sz w:val="26"/>
          <w:szCs w:val="26"/>
        </w:rPr>
        <w:t xml:space="preserve"> </w:t>
      </w:r>
      <w:r w:rsidR="00744BCE">
        <w:rPr>
          <w:sz w:val="26"/>
          <w:szCs w:val="26"/>
        </w:rPr>
        <w:t>and are time-barred</w:t>
      </w:r>
      <w:r w:rsidR="00EF05B1">
        <w:rPr>
          <w:sz w:val="26"/>
          <w:szCs w:val="26"/>
        </w:rPr>
        <w:t xml:space="preserve">.  </w:t>
      </w:r>
      <w:r w:rsidR="00B40ADF">
        <w:rPr>
          <w:sz w:val="26"/>
          <w:szCs w:val="26"/>
        </w:rPr>
        <w:t xml:space="preserve">Furthermore, </w:t>
      </w:r>
      <w:r w:rsidR="0001717F">
        <w:rPr>
          <w:sz w:val="26"/>
          <w:szCs w:val="26"/>
        </w:rPr>
        <w:t xml:space="preserve">the deficient claims and </w:t>
      </w:r>
      <w:r w:rsidR="007419CB">
        <w:rPr>
          <w:sz w:val="26"/>
          <w:szCs w:val="26"/>
        </w:rPr>
        <w:t>later-added</w:t>
      </w:r>
      <w:r w:rsidR="00695931">
        <w:rPr>
          <w:sz w:val="26"/>
          <w:szCs w:val="26"/>
        </w:rPr>
        <w:t xml:space="preserve"> claims are </w:t>
      </w:r>
      <w:r w:rsidR="00BD1C11">
        <w:rPr>
          <w:sz w:val="26"/>
          <w:szCs w:val="26"/>
        </w:rPr>
        <w:t xml:space="preserve">not </w:t>
      </w:r>
      <w:r w:rsidR="00383D4F">
        <w:rPr>
          <w:sz w:val="26"/>
          <w:szCs w:val="26"/>
        </w:rPr>
        <w:t xml:space="preserve">saved </w:t>
      </w:r>
      <w:r w:rsidR="00BD1C11">
        <w:rPr>
          <w:sz w:val="26"/>
          <w:szCs w:val="26"/>
        </w:rPr>
        <w:t>by</w:t>
      </w:r>
      <w:r w:rsidR="00695931">
        <w:rPr>
          <w:sz w:val="26"/>
          <w:szCs w:val="26"/>
        </w:rPr>
        <w:t xml:space="preserve"> equitable </w:t>
      </w:r>
      <w:r w:rsidR="003B5038">
        <w:rPr>
          <w:sz w:val="26"/>
          <w:szCs w:val="26"/>
        </w:rPr>
        <w:t>tolling,</w:t>
      </w:r>
      <w:r w:rsidR="00B40ADF">
        <w:rPr>
          <w:sz w:val="26"/>
          <w:szCs w:val="26"/>
        </w:rPr>
        <w:t xml:space="preserve"> the relation</w:t>
      </w:r>
      <w:r w:rsidR="007419CB">
        <w:rPr>
          <w:sz w:val="26"/>
          <w:szCs w:val="26"/>
        </w:rPr>
        <w:t xml:space="preserve"> </w:t>
      </w:r>
      <w:r w:rsidR="00B40ADF">
        <w:rPr>
          <w:sz w:val="26"/>
          <w:szCs w:val="26"/>
        </w:rPr>
        <w:t>back doctrine, judicial estoppel</w:t>
      </w:r>
      <w:r w:rsidR="00695931">
        <w:rPr>
          <w:sz w:val="26"/>
          <w:szCs w:val="26"/>
        </w:rPr>
        <w:t>, or</w:t>
      </w:r>
      <w:r w:rsidR="00B40ADF">
        <w:rPr>
          <w:sz w:val="26"/>
          <w:szCs w:val="26"/>
        </w:rPr>
        <w:t xml:space="preserve"> </w:t>
      </w:r>
      <w:r w:rsidR="00383D4F">
        <w:rPr>
          <w:sz w:val="26"/>
          <w:szCs w:val="26"/>
        </w:rPr>
        <w:t>waiver</w:t>
      </w:r>
      <w:r w:rsidR="0001717F">
        <w:rPr>
          <w:sz w:val="26"/>
          <w:szCs w:val="26"/>
        </w:rPr>
        <w:t xml:space="preserve">, except to the extent the </w:t>
      </w:r>
      <w:r w:rsidR="00B6025E">
        <w:rPr>
          <w:sz w:val="26"/>
          <w:szCs w:val="26"/>
        </w:rPr>
        <w:t>later-added</w:t>
      </w:r>
      <w:r w:rsidR="0001717F">
        <w:rPr>
          <w:sz w:val="26"/>
          <w:szCs w:val="26"/>
        </w:rPr>
        <w:t xml:space="preserve"> claims may relate back to the PAGA claim adequately and timely noticed in 2009</w:t>
      </w:r>
      <w:r w:rsidR="00B40ADF">
        <w:rPr>
          <w:sz w:val="26"/>
          <w:szCs w:val="26"/>
        </w:rPr>
        <w:t xml:space="preserve">.  </w:t>
      </w:r>
      <w:r w:rsidR="004D078C">
        <w:rPr>
          <w:sz w:val="26"/>
          <w:szCs w:val="26"/>
        </w:rPr>
        <w:t xml:space="preserve">We </w:t>
      </w:r>
      <w:r w:rsidR="00C50E78">
        <w:rPr>
          <w:sz w:val="26"/>
          <w:szCs w:val="26"/>
        </w:rPr>
        <w:t>reverse</w:t>
      </w:r>
      <w:r w:rsidR="004D078C">
        <w:rPr>
          <w:sz w:val="26"/>
          <w:szCs w:val="26"/>
        </w:rPr>
        <w:t xml:space="preserve"> the judgment </w:t>
      </w:r>
      <w:r w:rsidR="0001717F">
        <w:rPr>
          <w:sz w:val="26"/>
          <w:szCs w:val="26"/>
        </w:rPr>
        <w:t>and remand</w:t>
      </w:r>
      <w:r w:rsidR="006A1194">
        <w:rPr>
          <w:sz w:val="26"/>
          <w:szCs w:val="26"/>
        </w:rPr>
        <w:t xml:space="preserve"> with directions</w:t>
      </w:r>
      <w:r w:rsidR="00CF2CEA">
        <w:rPr>
          <w:sz w:val="26"/>
          <w:szCs w:val="26"/>
        </w:rPr>
        <w:t>.</w:t>
      </w:r>
      <w:r w:rsidR="007817CA">
        <w:rPr>
          <w:sz w:val="26"/>
          <w:szCs w:val="26"/>
        </w:rPr>
        <w:t xml:space="preserve">  </w:t>
      </w:r>
    </w:p>
    <w:p w:rsidR="00DC2060" w:rsidRDefault="00DC2060" w:rsidP="002A194B">
      <w:pPr>
        <w:pStyle w:val="ListParagraph"/>
        <w:ind w:left="0"/>
        <w:rPr>
          <w:sz w:val="26"/>
          <w:szCs w:val="26"/>
        </w:rPr>
      </w:pPr>
    </w:p>
    <w:p w:rsidR="00EC5E16" w:rsidRPr="002A194B" w:rsidRDefault="00EC5E16" w:rsidP="002A194B">
      <w:pPr>
        <w:pStyle w:val="ListParagraph"/>
        <w:numPr>
          <w:ilvl w:val="0"/>
          <w:numId w:val="7"/>
        </w:numPr>
        <w:jc w:val="center"/>
        <w:rPr>
          <w:b/>
          <w:sz w:val="26"/>
          <w:szCs w:val="26"/>
        </w:rPr>
      </w:pPr>
      <w:r w:rsidRPr="002A194B">
        <w:rPr>
          <w:b/>
          <w:sz w:val="26"/>
          <w:szCs w:val="26"/>
        </w:rPr>
        <w:t>FACTUAL AND PROCEDURAL BACKGROUND</w:t>
      </w:r>
    </w:p>
    <w:p w:rsidR="000F7786" w:rsidRDefault="000F7786" w:rsidP="002A194B">
      <w:pPr>
        <w:pStyle w:val="ListParagraph"/>
        <w:ind w:left="0" w:firstLine="720"/>
        <w:rPr>
          <w:sz w:val="26"/>
          <w:szCs w:val="26"/>
        </w:rPr>
      </w:pPr>
    </w:p>
    <w:p w:rsidR="005C6068" w:rsidRDefault="00EC5E16" w:rsidP="002A194B">
      <w:pPr>
        <w:pStyle w:val="ListParagraph"/>
        <w:ind w:left="0" w:firstLine="720"/>
        <w:rPr>
          <w:sz w:val="26"/>
          <w:szCs w:val="26"/>
        </w:rPr>
      </w:pPr>
      <w:r>
        <w:rPr>
          <w:sz w:val="26"/>
          <w:szCs w:val="26"/>
        </w:rPr>
        <w:t>Plaintiff was em</w:t>
      </w:r>
      <w:r w:rsidR="005C6068">
        <w:rPr>
          <w:sz w:val="26"/>
          <w:szCs w:val="26"/>
        </w:rPr>
        <w:t xml:space="preserve">ployed by </w:t>
      </w:r>
      <w:r>
        <w:rPr>
          <w:sz w:val="26"/>
          <w:szCs w:val="26"/>
        </w:rPr>
        <w:t xml:space="preserve">Ralphs as an hourly, nonexempt security guard </w:t>
      </w:r>
      <w:r w:rsidR="0020246A">
        <w:rPr>
          <w:sz w:val="26"/>
          <w:szCs w:val="26"/>
        </w:rPr>
        <w:t xml:space="preserve">at two distribution centers </w:t>
      </w:r>
      <w:r>
        <w:rPr>
          <w:sz w:val="26"/>
          <w:szCs w:val="26"/>
        </w:rPr>
        <w:t xml:space="preserve">from October 2005 to December 2009.  </w:t>
      </w:r>
      <w:r w:rsidR="00040A04">
        <w:rPr>
          <w:sz w:val="26"/>
          <w:szCs w:val="26"/>
        </w:rPr>
        <w:t>She work</w:t>
      </w:r>
      <w:r w:rsidR="0020246A">
        <w:rPr>
          <w:sz w:val="26"/>
          <w:szCs w:val="26"/>
        </w:rPr>
        <w:t>ed</w:t>
      </w:r>
      <w:r w:rsidR="00040A04">
        <w:rPr>
          <w:sz w:val="26"/>
          <w:szCs w:val="26"/>
        </w:rPr>
        <w:t xml:space="preserve"> eight hours or more a day and 40 hours or more per week. </w:t>
      </w:r>
      <w:r w:rsidR="005C6068">
        <w:rPr>
          <w:sz w:val="26"/>
          <w:szCs w:val="26"/>
        </w:rPr>
        <w:t xml:space="preserve">  </w:t>
      </w:r>
    </w:p>
    <w:p w:rsidR="007C03D7" w:rsidRDefault="00EC5E16" w:rsidP="002A194B">
      <w:pPr>
        <w:pStyle w:val="ListParagraph"/>
        <w:ind w:left="0" w:firstLine="720"/>
        <w:rPr>
          <w:sz w:val="26"/>
          <w:szCs w:val="26"/>
        </w:rPr>
      </w:pPr>
      <w:r>
        <w:rPr>
          <w:sz w:val="26"/>
          <w:szCs w:val="26"/>
        </w:rPr>
        <w:t xml:space="preserve">On October 12, 2009, </w:t>
      </w:r>
      <w:r w:rsidR="00385AA1">
        <w:rPr>
          <w:sz w:val="26"/>
          <w:szCs w:val="26"/>
        </w:rPr>
        <w:t xml:space="preserve">she </w:t>
      </w:r>
      <w:r>
        <w:rPr>
          <w:sz w:val="26"/>
          <w:szCs w:val="26"/>
        </w:rPr>
        <w:t>sent</w:t>
      </w:r>
      <w:r w:rsidR="00E93E0B">
        <w:rPr>
          <w:sz w:val="26"/>
          <w:szCs w:val="26"/>
        </w:rPr>
        <w:t xml:space="preserve"> </w:t>
      </w:r>
      <w:r w:rsidR="00B27EA3">
        <w:rPr>
          <w:sz w:val="26"/>
          <w:szCs w:val="26"/>
        </w:rPr>
        <w:t>two</w:t>
      </w:r>
      <w:r w:rsidR="00B55914">
        <w:rPr>
          <w:sz w:val="26"/>
          <w:szCs w:val="26"/>
        </w:rPr>
        <w:t xml:space="preserve"> two</w:t>
      </w:r>
      <w:r w:rsidR="00B27EA3">
        <w:rPr>
          <w:sz w:val="26"/>
          <w:szCs w:val="26"/>
        </w:rPr>
        <w:t xml:space="preserve">-page </w:t>
      </w:r>
      <w:r w:rsidR="00385AA1">
        <w:rPr>
          <w:sz w:val="26"/>
          <w:szCs w:val="26"/>
        </w:rPr>
        <w:t xml:space="preserve">letters to the </w:t>
      </w:r>
      <w:r w:rsidR="00160DD3">
        <w:rPr>
          <w:sz w:val="26"/>
          <w:szCs w:val="26"/>
        </w:rPr>
        <w:t>LWDA</w:t>
      </w:r>
      <w:r w:rsidR="00385AA1">
        <w:rPr>
          <w:sz w:val="26"/>
          <w:szCs w:val="26"/>
        </w:rPr>
        <w:t xml:space="preserve"> and</w:t>
      </w:r>
      <w:r w:rsidR="005C6068">
        <w:rPr>
          <w:sz w:val="26"/>
          <w:szCs w:val="26"/>
        </w:rPr>
        <w:t xml:space="preserve"> defendants </w:t>
      </w:r>
      <w:r w:rsidR="00040A04">
        <w:rPr>
          <w:sz w:val="26"/>
          <w:szCs w:val="26"/>
        </w:rPr>
        <w:t xml:space="preserve">alleging </w:t>
      </w:r>
      <w:r w:rsidR="00D361E2">
        <w:rPr>
          <w:sz w:val="26"/>
          <w:szCs w:val="26"/>
        </w:rPr>
        <w:t xml:space="preserve">violations of </w:t>
      </w:r>
      <w:r w:rsidR="00040A04">
        <w:rPr>
          <w:sz w:val="26"/>
          <w:szCs w:val="26"/>
        </w:rPr>
        <w:t>Labor Code</w:t>
      </w:r>
      <w:r w:rsidR="006F1218" w:rsidRPr="006E3F5A">
        <w:rPr>
          <w:rStyle w:val="FootnoteReference"/>
          <w:position w:val="8"/>
          <w:sz w:val="20"/>
          <w:szCs w:val="26"/>
          <w:vertAlign w:val="baseline"/>
        </w:rPr>
        <w:footnoteReference w:id="1"/>
      </w:r>
      <w:r w:rsidR="00D361E2">
        <w:rPr>
          <w:sz w:val="26"/>
          <w:szCs w:val="26"/>
        </w:rPr>
        <w:t xml:space="preserve"> sections 204, 226, subdivision (a), 226.7, and 512</w:t>
      </w:r>
      <w:r w:rsidR="0020246A">
        <w:rPr>
          <w:sz w:val="26"/>
          <w:szCs w:val="26"/>
        </w:rPr>
        <w:t xml:space="preserve"> (2009 </w:t>
      </w:r>
      <w:r w:rsidR="00E93E0B">
        <w:rPr>
          <w:sz w:val="26"/>
          <w:szCs w:val="26"/>
        </w:rPr>
        <w:t>Notice)</w:t>
      </w:r>
      <w:r w:rsidR="00040A04">
        <w:rPr>
          <w:sz w:val="26"/>
          <w:szCs w:val="26"/>
        </w:rPr>
        <w:t xml:space="preserve">.  The </w:t>
      </w:r>
      <w:r w:rsidR="00D960D8">
        <w:rPr>
          <w:sz w:val="26"/>
          <w:szCs w:val="26"/>
        </w:rPr>
        <w:t xml:space="preserve">2009 Notice </w:t>
      </w:r>
      <w:r w:rsidR="000C56EB">
        <w:rPr>
          <w:sz w:val="26"/>
          <w:szCs w:val="26"/>
        </w:rPr>
        <w:t>identified defendants as her</w:t>
      </w:r>
      <w:r w:rsidR="0023776E">
        <w:rPr>
          <w:sz w:val="26"/>
          <w:szCs w:val="26"/>
        </w:rPr>
        <w:t xml:space="preserve"> employer</w:t>
      </w:r>
      <w:r w:rsidR="004D078C">
        <w:rPr>
          <w:sz w:val="26"/>
          <w:szCs w:val="26"/>
        </w:rPr>
        <w:t>, defendants</w:t>
      </w:r>
      <w:r w:rsidR="001037EF">
        <w:rPr>
          <w:sz w:val="26"/>
          <w:szCs w:val="26"/>
        </w:rPr>
        <w:t>’</w:t>
      </w:r>
      <w:r w:rsidR="00FE39D8">
        <w:rPr>
          <w:sz w:val="26"/>
          <w:szCs w:val="26"/>
        </w:rPr>
        <w:t xml:space="preserve"> address</w:t>
      </w:r>
      <w:r w:rsidR="000C56EB">
        <w:rPr>
          <w:sz w:val="26"/>
          <w:szCs w:val="26"/>
        </w:rPr>
        <w:t>es</w:t>
      </w:r>
      <w:r w:rsidR="00FE39D8">
        <w:rPr>
          <w:sz w:val="26"/>
          <w:szCs w:val="26"/>
        </w:rPr>
        <w:t>,</w:t>
      </w:r>
      <w:r w:rsidR="000C56EB">
        <w:rPr>
          <w:sz w:val="26"/>
          <w:szCs w:val="26"/>
        </w:rPr>
        <w:t xml:space="preserve"> and plaintiff</w:t>
      </w:r>
      <w:r w:rsidR="001037EF">
        <w:rPr>
          <w:sz w:val="26"/>
          <w:szCs w:val="26"/>
        </w:rPr>
        <w:t>’</w:t>
      </w:r>
      <w:r w:rsidR="000C56EB">
        <w:rPr>
          <w:sz w:val="26"/>
          <w:szCs w:val="26"/>
        </w:rPr>
        <w:t>s</w:t>
      </w:r>
      <w:r w:rsidR="0023776E">
        <w:rPr>
          <w:sz w:val="26"/>
          <w:szCs w:val="26"/>
        </w:rPr>
        <w:t xml:space="preserve"> job </w:t>
      </w:r>
      <w:r w:rsidR="00D6542D">
        <w:rPr>
          <w:sz w:val="26"/>
          <w:szCs w:val="26"/>
        </w:rPr>
        <w:t>as a</w:t>
      </w:r>
      <w:r w:rsidR="0023776E">
        <w:rPr>
          <w:sz w:val="26"/>
          <w:szCs w:val="26"/>
        </w:rPr>
        <w:t>n hourly</w:t>
      </w:r>
      <w:r w:rsidR="008E101E">
        <w:rPr>
          <w:sz w:val="26"/>
          <w:szCs w:val="26"/>
        </w:rPr>
        <w:t>-paid</w:t>
      </w:r>
      <w:r w:rsidR="00D6542D">
        <w:rPr>
          <w:sz w:val="26"/>
          <w:szCs w:val="26"/>
        </w:rPr>
        <w:t xml:space="preserve"> security guard</w:t>
      </w:r>
      <w:r w:rsidR="0020246A">
        <w:rPr>
          <w:sz w:val="26"/>
          <w:szCs w:val="26"/>
        </w:rPr>
        <w:t xml:space="preserve"> in Los Angeles County</w:t>
      </w:r>
      <w:r w:rsidR="00D6542D">
        <w:rPr>
          <w:sz w:val="26"/>
          <w:szCs w:val="26"/>
        </w:rPr>
        <w:t xml:space="preserve">. </w:t>
      </w:r>
      <w:r w:rsidR="0023776E">
        <w:rPr>
          <w:sz w:val="26"/>
          <w:szCs w:val="26"/>
        </w:rPr>
        <w:t xml:space="preserve"> The </w:t>
      </w:r>
      <w:r w:rsidR="00D960D8">
        <w:rPr>
          <w:sz w:val="26"/>
          <w:szCs w:val="26"/>
        </w:rPr>
        <w:t xml:space="preserve">2009 Notice </w:t>
      </w:r>
      <w:r w:rsidR="0023776E">
        <w:rPr>
          <w:sz w:val="26"/>
          <w:szCs w:val="26"/>
        </w:rPr>
        <w:t>alleged</w:t>
      </w:r>
      <w:r w:rsidR="0020246A">
        <w:rPr>
          <w:sz w:val="26"/>
          <w:szCs w:val="26"/>
        </w:rPr>
        <w:t xml:space="preserve"> </w:t>
      </w:r>
      <w:r w:rsidR="0023776E">
        <w:rPr>
          <w:sz w:val="26"/>
          <w:szCs w:val="26"/>
        </w:rPr>
        <w:t>defendants</w:t>
      </w:r>
      <w:r w:rsidR="007C03D7">
        <w:rPr>
          <w:sz w:val="26"/>
          <w:szCs w:val="26"/>
        </w:rPr>
        <w:t xml:space="preserve"> had violated sections 226.7 and 512 because </w:t>
      </w:r>
      <w:r w:rsidR="001037EF">
        <w:rPr>
          <w:sz w:val="26"/>
          <w:szCs w:val="26"/>
        </w:rPr>
        <w:t>“</w:t>
      </w:r>
      <w:r w:rsidR="007C03D7">
        <w:rPr>
          <w:sz w:val="26"/>
          <w:szCs w:val="26"/>
        </w:rPr>
        <w:t>[plaintiff] and other aggrieved employees did not take all meal and rest periods and were not properly compensated for missed meal and rest periods.</w:t>
      </w:r>
      <w:r w:rsidR="001037EF">
        <w:rPr>
          <w:sz w:val="26"/>
          <w:szCs w:val="26"/>
        </w:rPr>
        <w:t>”</w:t>
      </w:r>
      <w:r w:rsidR="007C03D7">
        <w:rPr>
          <w:sz w:val="26"/>
          <w:szCs w:val="26"/>
        </w:rPr>
        <w:t xml:space="preserve">  </w:t>
      </w:r>
      <w:r w:rsidR="00EB6F6A">
        <w:rPr>
          <w:sz w:val="26"/>
          <w:szCs w:val="26"/>
        </w:rPr>
        <w:t xml:space="preserve">The </w:t>
      </w:r>
      <w:r w:rsidR="00B27DE5">
        <w:rPr>
          <w:sz w:val="26"/>
          <w:szCs w:val="26"/>
        </w:rPr>
        <w:t>2009 N</w:t>
      </w:r>
      <w:r w:rsidR="00D960D8">
        <w:rPr>
          <w:sz w:val="26"/>
          <w:szCs w:val="26"/>
        </w:rPr>
        <w:t>otice</w:t>
      </w:r>
      <w:r w:rsidR="00EB6F6A">
        <w:rPr>
          <w:sz w:val="26"/>
          <w:szCs w:val="26"/>
        </w:rPr>
        <w:t xml:space="preserve"> alleged defendants </w:t>
      </w:r>
      <w:r w:rsidR="003B7888">
        <w:rPr>
          <w:sz w:val="26"/>
          <w:szCs w:val="26"/>
        </w:rPr>
        <w:t xml:space="preserve">had </w:t>
      </w:r>
      <w:r w:rsidR="00EB6F6A">
        <w:rPr>
          <w:sz w:val="26"/>
          <w:szCs w:val="26"/>
        </w:rPr>
        <w:t xml:space="preserve">violated section 204 because they </w:t>
      </w:r>
      <w:r w:rsidR="001037EF">
        <w:rPr>
          <w:sz w:val="26"/>
          <w:szCs w:val="26"/>
        </w:rPr>
        <w:t>“</w:t>
      </w:r>
      <w:r w:rsidR="00EB6F6A">
        <w:rPr>
          <w:sz w:val="26"/>
          <w:szCs w:val="26"/>
        </w:rPr>
        <w:t>failed to pay [plaintiff] and other aggrieved employees all wages due to them within any time period specified by California Labor Code section 204.</w:t>
      </w:r>
      <w:r w:rsidR="001037EF">
        <w:rPr>
          <w:sz w:val="26"/>
          <w:szCs w:val="26"/>
        </w:rPr>
        <w:t>”</w:t>
      </w:r>
      <w:r w:rsidR="00EB6F6A">
        <w:rPr>
          <w:sz w:val="26"/>
          <w:szCs w:val="26"/>
        </w:rPr>
        <w:t xml:space="preserve"> </w:t>
      </w:r>
      <w:r w:rsidR="00D960D8">
        <w:rPr>
          <w:sz w:val="26"/>
          <w:szCs w:val="26"/>
        </w:rPr>
        <w:t xml:space="preserve"> And </w:t>
      </w:r>
      <w:r w:rsidR="00B27DE5">
        <w:rPr>
          <w:sz w:val="26"/>
          <w:szCs w:val="26"/>
        </w:rPr>
        <w:t>it</w:t>
      </w:r>
      <w:r w:rsidR="00EB6F6A">
        <w:rPr>
          <w:sz w:val="26"/>
          <w:szCs w:val="26"/>
        </w:rPr>
        <w:t xml:space="preserve"> alleged defendants </w:t>
      </w:r>
      <w:r w:rsidR="003B7888">
        <w:rPr>
          <w:sz w:val="26"/>
          <w:szCs w:val="26"/>
        </w:rPr>
        <w:t xml:space="preserve">had </w:t>
      </w:r>
      <w:r w:rsidR="00EB6F6A">
        <w:rPr>
          <w:sz w:val="26"/>
          <w:szCs w:val="26"/>
        </w:rPr>
        <w:t xml:space="preserve">violated section 226, subdivision </w:t>
      </w:r>
      <w:r w:rsidR="00D960D8">
        <w:rPr>
          <w:sz w:val="26"/>
          <w:szCs w:val="26"/>
        </w:rPr>
        <w:t>(</w:t>
      </w:r>
      <w:r w:rsidR="00EB6F6A">
        <w:rPr>
          <w:sz w:val="26"/>
          <w:szCs w:val="26"/>
        </w:rPr>
        <w:t>a</w:t>
      </w:r>
      <w:r w:rsidR="00D960D8">
        <w:rPr>
          <w:sz w:val="26"/>
          <w:szCs w:val="26"/>
        </w:rPr>
        <w:t>)</w:t>
      </w:r>
      <w:r w:rsidR="00EB6F6A">
        <w:rPr>
          <w:sz w:val="26"/>
          <w:szCs w:val="26"/>
        </w:rPr>
        <w:t xml:space="preserve"> by not providing </w:t>
      </w:r>
      <w:r w:rsidR="001037EF">
        <w:rPr>
          <w:sz w:val="26"/>
          <w:szCs w:val="26"/>
        </w:rPr>
        <w:t>“</w:t>
      </w:r>
      <w:r w:rsidR="00EB6F6A">
        <w:rPr>
          <w:sz w:val="26"/>
          <w:szCs w:val="26"/>
        </w:rPr>
        <w:t>[plaintiff ]and other aggrieved employees with proper itemized wage statements</w:t>
      </w:r>
      <w:r w:rsidR="001037EF">
        <w:rPr>
          <w:sz w:val="26"/>
          <w:szCs w:val="26"/>
        </w:rPr>
        <w:t>”</w:t>
      </w:r>
      <w:r w:rsidR="00EB6F6A">
        <w:rPr>
          <w:sz w:val="26"/>
          <w:szCs w:val="26"/>
        </w:rPr>
        <w:t xml:space="preserve"> because</w:t>
      </w:r>
      <w:r w:rsidR="005E77F2">
        <w:rPr>
          <w:sz w:val="26"/>
          <w:szCs w:val="26"/>
        </w:rPr>
        <w:t>, among other things,</w:t>
      </w:r>
      <w:r w:rsidR="00EB6F6A">
        <w:rPr>
          <w:sz w:val="26"/>
          <w:szCs w:val="26"/>
        </w:rPr>
        <w:t xml:space="preserve"> the wage statements failed </w:t>
      </w:r>
      <w:r w:rsidR="001037EF">
        <w:rPr>
          <w:sz w:val="26"/>
          <w:szCs w:val="26"/>
        </w:rPr>
        <w:t>“</w:t>
      </w:r>
      <w:r w:rsidR="00EB6F6A">
        <w:rPr>
          <w:sz w:val="26"/>
          <w:szCs w:val="26"/>
        </w:rPr>
        <w:t>to include the name and address of the legal entity that is the employer.</w:t>
      </w:r>
      <w:r w:rsidR="001037EF">
        <w:rPr>
          <w:sz w:val="26"/>
          <w:szCs w:val="26"/>
        </w:rPr>
        <w:t>”</w:t>
      </w:r>
      <w:r w:rsidR="00EB6F6A">
        <w:rPr>
          <w:sz w:val="26"/>
          <w:szCs w:val="26"/>
        </w:rPr>
        <w:t xml:space="preserve">  </w:t>
      </w:r>
    </w:p>
    <w:p w:rsidR="003206E7" w:rsidRDefault="009D0640" w:rsidP="002A194B">
      <w:pPr>
        <w:pStyle w:val="ListParagraph"/>
        <w:ind w:left="0" w:firstLine="720"/>
        <w:rPr>
          <w:sz w:val="26"/>
          <w:szCs w:val="26"/>
        </w:rPr>
      </w:pPr>
      <w:r>
        <w:rPr>
          <w:sz w:val="26"/>
          <w:szCs w:val="26"/>
        </w:rPr>
        <w:t>Two days later</w:t>
      </w:r>
      <w:r w:rsidR="003606D8">
        <w:rPr>
          <w:sz w:val="26"/>
          <w:szCs w:val="26"/>
        </w:rPr>
        <w:t xml:space="preserve"> on October 14, 2009</w:t>
      </w:r>
      <w:r>
        <w:rPr>
          <w:sz w:val="26"/>
          <w:szCs w:val="26"/>
        </w:rPr>
        <w:t>, plaintiff filed a class action</w:t>
      </w:r>
      <w:r w:rsidR="005D22FF">
        <w:rPr>
          <w:sz w:val="26"/>
          <w:szCs w:val="26"/>
        </w:rPr>
        <w:t xml:space="preserve"> and PAGA representative action</w:t>
      </w:r>
      <w:r>
        <w:rPr>
          <w:sz w:val="26"/>
          <w:szCs w:val="26"/>
        </w:rPr>
        <w:t xml:space="preserve"> against defendants.  </w:t>
      </w:r>
      <w:r w:rsidR="003606D8">
        <w:rPr>
          <w:sz w:val="26"/>
          <w:szCs w:val="26"/>
        </w:rPr>
        <w:t>The complaint</w:t>
      </w:r>
      <w:r>
        <w:rPr>
          <w:sz w:val="26"/>
          <w:szCs w:val="26"/>
        </w:rPr>
        <w:t xml:space="preserve"> </w:t>
      </w:r>
      <w:r w:rsidR="00FD1CA5">
        <w:rPr>
          <w:sz w:val="26"/>
          <w:szCs w:val="26"/>
        </w:rPr>
        <w:t>allege</w:t>
      </w:r>
      <w:r w:rsidR="006F1218">
        <w:rPr>
          <w:sz w:val="26"/>
          <w:szCs w:val="26"/>
        </w:rPr>
        <w:t>d defendants violated</w:t>
      </w:r>
      <w:r w:rsidR="00FD1CA5">
        <w:rPr>
          <w:sz w:val="26"/>
          <w:szCs w:val="26"/>
        </w:rPr>
        <w:t xml:space="preserve"> sections 226.7 and 512</w:t>
      </w:r>
      <w:r w:rsidR="00FD2A2C">
        <w:rPr>
          <w:sz w:val="26"/>
          <w:szCs w:val="26"/>
        </w:rPr>
        <w:t xml:space="preserve"> by requiring plaintiff to work through meal and rest periods without compensation, violated section 204 by failing to pay plaintiff the full wages due within the required time period, and violated</w:t>
      </w:r>
      <w:r w:rsidR="00FD1CA5">
        <w:rPr>
          <w:sz w:val="26"/>
          <w:szCs w:val="26"/>
        </w:rPr>
        <w:t xml:space="preserve"> section 226, subdivision (a) </w:t>
      </w:r>
      <w:r w:rsidR="00FD2A2C">
        <w:rPr>
          <w:sz w:val="26"/>
          <w:szCs w:val="26"/>
        </w:rPr>
        <w:t>by failing to provide complete and accurate wage statements</w:t>
      </w:r>
      <w:r w:rsidR="005E77F2">
        <w:rPr>
          <w:sz w:val="26"/>
          <w:szCs w:val="26"/>
        </w:rPr>
        <w:t>, including by not listing the legal name and address of the employer</w:t>
      </w:r>
      <w:r w:rsidR="00FD1CA5">
        <w:rPr>
          <w:sz w:val="26"/>
          <w:szCs w:val="26"/>
        </w:rPr>
        <w:t xml:space="preserve">.  In addition, plaintiff </w:t>
      </w:r>
      <w:r w:rsidR="00CB5586">
        <w:rPr>
          <w:sz w:val="26"/>
          <w:szCs w:val="26"/>
        </w:rPr>
        <w:t>advanced a</w:t>
      </w:r>
      <w:r w:rsidR="00FD1CA5">
        <w:rPr>
          <w:sz w:val="26"/>
          <w:szCs w:val="26"/>
        </w:rPr>
        <w:t xml:space="preserve"> Business and Professions Code section 17200</w:t>
      </w:r>
      <w:r w:rsidR="00CB5586">
        <w:rPr>
          <w:sz w:val="26"/>
          <w:szCs w:val="26"/>
        </w:rPr>
        <w:t xml:space="preserve"> c</w:t>
      </w:r>
      <w:r w:rsidR="009A414B">
        <w:rPr>
          <w:sz w:val="26"/>
          <w:szCs w:val="26"/>
        </w:rPr>
        <w:t>ause of action</w:t>
      </w:r>
      <w:r w:rsidR="00FD1CA5">
        <w:rPr>
          <w:sz w:val="26"/>
          <w:szCs w:val="26"/>
        </w:rPr>
        <w:t xml:space="preserve">.  </w:t>
      </w:r>
    </w:p>
    <w:p w:rsidR="00E034FE" w:rsidRDefault="008544BA" w:rsidP="002A194B">
      <w:pPr>
        <w:pStyle w:val="ListParagraph"/>
        <w:ind w:left="0" w:firstLine="720"/>
        <w:rPr>
          <w:sz w:val="26"/>
          <w:szCs w:val="26"/>
        </w:rPr>
      </w:pPr>
      <w:r>
        <w:rPr>
          <w:sz w:val="26"/>
          <w:szCs w:val="26"/>
        </w:rPr>
        <w:t>On November 30, 2009, p</w:t>
      </w:r>
      <w:r w:rsidR="00FD1CA5">
        <w:rPr>
          <w:sz w:val="26"/>
          <w:szCs w:val="26"/>
        </w:rPr>
        <w:t>laintiff filed a first amended</w:t>
      </w:r>
      <w:r w:rsidR="001E5CFB">
        <w:rPr>
          <w:sz w:val="26"/>
          <w:szCs w:val="26"/>
        </w:rPr>
        <w:t xml:space="preserve"> </w:t>
      </w:r>
      <w:r>
        <w:rPr>
          <w:sz w:val="26"/>
          <w:szCs w:val="26"/>
        </w:rPr>
        <w:t xml:space="preserve"> complaint </w:t>
      </w:r>
      <w:r w:rsidR="00FD1CA5">
        <w:rPr>
          <w:sz w:val="26"/>
          <w:szCs w:val="26"/>
        </w:rPr>
        <w:t xml:space="preserve">alleging the same causes of action </w:t>
      </w:r>
      <w:r w:rsidR="002E4FE7">
        <w:rPr>
          <w:sz w:val="26"/>
          <w:szCs w:val="26"/>
        </w:rPr>
        <w:t xml:space="preserve">and adding an allegation that </w:t>
      </w:r>
      <w:r>
        <w:rPr>
          <w:sz w:val="26"/>
          <w:szCs w:val="26"/>
        </w:rPr>
        <w:t xml:space="preserve">she </w:t>
      </w:r>
      <w:r w:rsidR="002E4FE7">
        <w:rPr>
          <w:sz w:val="26"/>
          <w:szCs w:val="26"/>
        </w:rPr>
        <w:t xml:space="preserve">had </w:t>
      </w:r>
      <w:r>
        <w:rPr>
          <w:sz w:val="26"/>
          <w:szCs w:val="26"/>
        </w:rPr>
        <w:t>satisfied the administrative</w:t>
      </w:r>
      <w:r w:rsidR="006F1218">
        <w:rPr>
          <w:sz w:val="26"/>
          <w:szCs w:val="26"/>
        </w:rPr>
        <w:t xml:space="preserve"> prerequisites under </w:t>
      </w:r>
      <w:r>
        <w:rPr>
          <w:sz w:val="26"/>
          <w:szCs w:val="26"/>
        </w:rPr>
        <w:t>section 2699.3, subdivision (a)</w:t>
      </w:r>
      <w:r w:rsidR="002E4FE7">
        <w:rPr>
          <w:sz w:val="26"/>
          <w:szCs w:val="26"/>
        </w:rPr>
        <w:t xml:space="preserve"> by sending the 2009 Notice</w:t>
      </w:r>
      <w:r>
        <w:rPr>
          <w:sz w:val="26"/>
          <w:szCs w:val="26"/>
        </w:rPr>
        <w:t xml:space="preserve">. </w:t>
      </w:r>
      <w:r w:rsidR="00686B41">
        <w:rPr>
          <w:sz w:val="26"/>
          <w:szCs w:val="26"/>
        </w:rPr>
        <w:t xml:space="preserve"> She alleged </w:t>
      </w:r>
      <w:r w:rsidR="007830F3">
        <w:rPr>
          <w:sz w:val="26"/>
          <w:szCs w:val="26"/>
        </w:rPr>
        <w:t>that mor</w:t>
      </w:r>
      <w:r w:rsidR="00686B41">
        <w:rPr>
          <w:sz w:val="26"/>
          <w:szCs w:val="26"/>
        </w:rPr>
        <w:t>e than</w:t>
      </w:r>
      <w:r>
        <w:rPr>
          <w:sz w:val="26"/>
          <w:szCs w:val="26"/>
        </w:rPr>
        <w:t xml:space="preserve"> 33 days </w:t>
      </w:r>
      <w:r w:rsidR="007830F3">
        <w:rPr>
          <w:sz w:val="26"/>
          <w:szCs w:val="26"/>
        </w:rPr>
        <w:t xml:space="preserve">had passed </w:t>
      </w:r>
      <w:r>
        <w:rPr>
          <w:sz w:val="26"/>
          <w:szCs w:val="26"/>
        </w:rPr>
        <w:t xml:space="preserve">since she sent the </w:t>
      </w:r>
      <w:r w:rsidR="002E4FE7">
        <w:rPr>
          <w:sz w:val="26"/>
          <w:szCs w:val="26"/>
        </w:rPr>
        <w:t>2009 Notice</w:t>
      </w:r>
      <w:r>
        <w:rPr>
          <w:sz w:val="26"/>
          <w:szCs w:val="26"/>
        </w:rPr>
        <w:t xml:space="preserve"> and </w:t>
      </w:r>
      <w:r w:rsidR="00B6025E">
        <w:rPr>
          <w:sz w:val="26"/>
          <w:szCs w:val="26"/>
        </w:rPr>
        <w:t xml:space="preserve">the </w:t>
      </w:r>
      <w:r>
        <w:rPr>
          <w:sz w:val="26"/>
          <w:szCs w:val="26"/>
        </w:rPr>
        <w:t xml:space="preserve">LWDA had not provided any response. </w:t>
      </w:r>
      <w:r w:rsidR="00EC5E16">
        <w:rPr>
          <w:sz w:val="26"/>
          <w:szCs w:val="26"/>
        </w:rPr>
        <w:t xml:space="preserve"> </w:t>
      </w:r>
      <w:r w:rsidR="00E034FE">
        <w:rPr>
          <w:sz w:val="26"/>
          <w:szCs w:val="26"/>
        </w:rPr>
        <w:t>On December 8, 2009, the LWDA advised plaintiff and defendants that it had received</w:t>
      </w:r>
      <w:r w:rsidR="003206E7">
        <w:rPr>
          <w:sz w:val="26"/>
          <w:szCs w:val="26"/>
        </w:rPr>
        <w:t xml:space="preserve"> </w:t>
      </w:r>
      <w:r w:rsidR="008F05F8">
        <w:rPr>
          <w:sz w:val="26"/>
          <w:szCs w:val="26"/>
        </w:rPr>
        <w:t xml:space="preserve">the 2009 Notice and </w:t>
      </w:r>
      <w:r w:rsidR="00E034FE">
        <w:rPr>
          <w:sz w:val="26"/>
          <w:szCs w:val="26"/>
        </w:rPr>
        <w:t xml:space="preserve">did not intend to investigate the allegations.   </w:t>
      </w:r>
    </w:p>
    <w:p w:rsidR="006150CE" w:rsidRDefault="006150CE" w:rsidP="002A194B">
      <w:pPr>
        <w:pStyle w:val="ListParagraph"/>
        <w:ind w:left="0" w:firstLine="720"/>
        <w:rPr>
          <w:sz w:val="26"/>
          <w:szCs w:val="26"/>
        </w:rPr>
      </w:pPr>
      <w:r>
        <w:rPr>
          <w:sz w:val="26"/>
          <w:szCs w:val="26"/>
        </w:rPr>
        <w:t>On approximately December 11, 2009, plaintiff</w:t>
      </w:r>
      <w:r w:rsidR="001037EF">
        <w:rPr>
          <w:sz w:val="26"/>
          <w:szCs w:val="26"/>
        </w:rPr>
        <w:t>’</w:t>
      </w:r>
      <w:r>
        <w:rPr>
          <w:sz w:val="26"/>
          <w:szCs w:val="26"/>
        </w:rPr>
        <w:t xml:space="preserve">s employment </w:t>
      </w:r>
      <w:r w:rsidR="005E3831">
        <w:rPr>
          <w:sz w:val="26"/>
          <w:szCs w:val="26"/>
        </w:rPr>
        <w:t>with defendants</w:t>
      </w:r>
      <w:r>
        <w:rPr>
          <w:sz w:val="26"/>
          <w:szCs w:val="26"/>
        </w:rPr>
        <w:t xml:space="preserve"> was terminated.  </w:t>
      </w:r>
    </w:p>
    <w:p w:rsidR="00EC5E16" w:rsidRDefault="00D27316" w:rsidP="002A194B">
      <w:pPr>
        <w:rPr>
          <w:sz w:val="26"/>
          <w:szCs w:val="26"/>
        </w:rPr>
      </w:pPr>
      <w:r>
        <w:rPr>
          <w:sz w:val="26"/>
          <w:szCs w:val="26"/>
        </w:rPr>
        <w:tab/>
      </w:r>
      <w:r w:rsidR="008F05F8">
        <w:rPr>
          <w:sz w:val="26"/>
          <w:szCs w:val="26"/>
        </w:rPr>
        <w:t xml:space="preserve">Rather than answer or demur, </w:t>
      </w:r>
      <w:r w:rsidR="00D65B00">
        <w:rPr>
          <w:sz w:val="26"/>
          <w:szCs w:val="26"/>
        </w:rPr>
        <w:t>o</w:t>
      </w:r>
      <w:r>
        <w:rPr>
          <w:sz w:val="26"/>
          <w:szCs w:val="26"/>
        </w:rPr>
        <w:t>n January 6, 2010, Ralphs filed a petition to compel arbitration.</w:t>
      </w:r>
      <w:r w:rsidR="00B476D8">
        <w:rPr>
          <w:sz w:val="26"/>
          <w:szCs w:val="26"/>
        </w:rPr>
        <w:t xml:space="preserve">  The trial court concluded</w:t>
      </w:r>
      <w:r w:rsidR="003066C6">
        <w:rPr>
          <w:sz w:val="26"/>
          <w:szCs w:val="26"/>
        </w:rPr>
        <w:t xml:space="preserve"> the class action and PAGA waivers were substantivel</w:t>
      </w:r>
      <w:r w:rsidR="00B476D8">
        <w:rPr>
          <w:sz w:val="26"/>
          <w:szCs w:val="26"/>
        </w:rPr>
        <w:t xml:space="preserve">y </w:t>
      </w:r>
      <w:r w:rsidR="003066C6">
        <w:rPr>
          <w:sz w:val="26"/>
          <w:szCs w:val="26"/>
        </w:rPr>
        <w:t xml:space="preserve">unconscionable and denied the petition.  </w:t>
      </w:r>
      <w:r w:rsidR="00686B41">
        <w:rPr>
          <w:sz w:val="26"/>
          <w:szCs w:val="26"/>
        </w:rPr>
        <w:t>On July</w:t>
      </w:r>
      <w:r w:rsidR="0086539A">
        <w:rPr>
          <w:sz w:val="26"/>
          <w:szCs w:val="26"/>
        </w:rPr>
        <w:t> </w:t>
      </w:r>
      <w:r w:rsidR="00686B41">
        <w:rPr>
          <w:sz w:val="26"/>
          <w:szCs w:val="26"/>
        </w:rPr>
        <w:t>12, 2011, w</w:t>
      </w:r>
      <w:r w:rsidR="003066C6">
        <w:rPr>
          <w:sz w:val="26"/>
          <w:szCs w:val="26"/>
        </w:rPr>
        <w:t>e reversed the trial court</w:t>
      </w:r>
      <w:r w:rsidR="001037EF">
        <w:rPr>
          <w:sz w:val="26"/>
          <w:szCs w:val="26"/>
        </w:rPr>
        <w:t>’</w:t>
      </w:r>
      <w:r w:rsidR="003066C6">
        <w:rPr>
          <w:sz w:val="26"/>
          <w:szCs w:val="26"/>
        </w:rPr>
        <w:t>s ruling in</w:t>
      </w:r>
      <w:r w:rsidR="00D5712B">
        <w:rPr>
          <w:sz w:val="26"/>
          <w:szCs w:val="26"/>
        </w:rPr>
        <w:t>valid</w:t>
      </w:r>
      <w:r w:rsidR="00FD42C7">
        <w:rPr>
          <w:sz w:val="26"/>
          <w:szCs w:val="26"/>
        </w:rPr>
        <w:t>at</w:t>
      </w:r>
      <w:r w:rsidR="00D5712B">
        <w:rPr>
          <w:sz w:val="26"/>
          <w:szCs w:val="26"/>
        </w:rPr>
        <w:t xml:space="preserve">ing the class action waiver because </w:t>
      </w:r>
      <w:r w:rsidR="003066C6">
        <w:rPr>
          <w:sz w:val="26"/>
          <w:szCs w:val="26"/>
        </w:rPr>
        <w:t>plaintiff</w:t>
      </w:r>
      <w:r w:rsidR="002B03C1">
        <w:rPr>
          <w:sz w:val="26"/>
          <w:szCs w:val="26"/>
        </w:rPr>
        <w:t>’s opposition to the petition had not made the necessary</w:t>
      </w:r>
      <w:r w:rsidR="003066C6">
        <w:rPr>
          <w:sz w:val="26"/>
          <w:szCs w:val="26"/>
        </w:rPr>
        <w:t xml:space="preserve"> factual showing under the test in </w:t>
      </w:r>
      <w:r w:rsidR="003066C6">
        <w:rPr>
          <w:i/>
          <w:sz w:val="26"/>
          <w:szCs w:val="26"/>
        </w:rPr>
        <w:t xml:space="preserve">Gentry v. Superior Court </w:t>
      </w:r>
      <w:r w:rsidR="00282BDC">
        <w:rPr>
          <w:sz w:val="26"/>
          <w:szCs w:val="26"/>
        </w:rPr>
        <w:t>(200</w:t>
      </w:r>
      <w:r w:rsidR="00A07C6E">
        <w:rPr>
          <w:sz w:val="26"/>
          <w:szCs w:val="26"/>
        </w:rPr>
        <w:t>7</w:t>
      </w:r>
      <w:r w:rsidR="00282BDC">
        <w:rPr>
          <w:sz w:val="26"/>
          <w:szCs w:val="26"/>
        </w:rPr>
        <w:t>) 42 Cal.4th 443,</w:t>
      </w:r>
      <w:r w:rsidR="003066C6">
        <w:rPr>
          <w:sz w:val="26"/>
          <w:szCs w:val="26"/>
        </w:rPr>
        <w:t xml:space="preserve"> </w:t>
      </w:r>
      <w:r w:rsidR="00282BDC">
        <w:rPr>
          <w:sz w:val="26"/>
          <w:szCs w:val="26"/>
        </w:rPr>
        <w:t>446</w:t>
      </w:r>
      <w:r w:rsidR="003066C6">
        <w:rPr>
          <w:sz w:val="26"/>
          <w:szCs w:val="26"/>
        </w:rPr>
        <w:t>.</w:t>
      </w:r>
      <w:r w:rsidR="00282BDC">
        <w:rPr>
          <w:sz w:val="26"/>
          <w:szCs w:val="26"/>
        </w:rPr>
        <w:t xml:space="preserve">  </w:t>
      </w:r>
      <w:r w:rsidR="00B27DE5">
        <w:rPr>
          <w:i/>
          <w:sz w:val="26"/>
          <w:szCs w:val="26"/>
        </w:rPr>
        <w:t xml:space="preserve">(Brown v. Ralphs Grocery Co. </w:t>
      </w:r>
      <w:r w:rsidR="00B27DE5">
        <w:rPr>
          <w:sz w:val="26"/>
          <w:szCs w:val="26"/>
        </w:rPr>
        <w:t>(2011) 197 Cal.App.4th 489, 49</w:t>
      </w:r>
      <w:r w:rsidR="00CE53AD">
        <w:rPr>
          <w:sz w:val="26"/>
          <w:szCs w:val="26"/>
        </w:rPr>
        <w:t>7</w:t>
      </w:r>
      <w:r w:rsidR="00B27DE5">
        <w:rPr>
          <w:sz w:val="26"/>
          <w:szCs w:val="26"/>
        </w:rPr>
        <w:t>.)</w:t>
      </w:r>
      <w:r w:rsidR="00282BDC">
        <w:rPr>
          <w:sz w:val="26"/>
          <w:szCs w:val="26"/>
        </w:rPr>
        <w:t xml:space="preserve">  But we affirmed the ruling that the PAGA waiver was substantively unconscionable</w:t>
      </w:r>
      <w:r w:rsidR="00A651B5">
        <w:rPr>
          <w:sz w:val="26"/>
          <w:szCs w:val="26"/>
        </w:rPr>
        <w:t xml:space="preserve"> and held PAGA was not preempted by the Federal Arbitration Act</w:t>
      </w:r>
      <w:r w:rsidR="00282BDC">
        <w:rPr>
          <w:sz w:val="26"/>
          <w:szCs w:val="26"/>
        </w:rPr>
        <w:t>.  (</w:t>
      </w:r>
      <w:r w:rsidR="00871F8C">
        <w:rPr>
          <w:sz w:val="26"/>
          <w:szCs w:val="26"/>
        </w:rPr>
        <w:t xml:space="preserve">197 Cal.App.4th </w:t>
      </w:r>
      <w:r w:rsidR="00282BDC">
        <w:rPr>
          <w:sz w:val="26"/>
          <w:szCs w:val="26"/>
        </w:rPr>
        <w:t xml:space="preserve">at pp. 500-503.)  We </w:t>
      </w:r>
      <w:r w:rsidR="00A651B5">
        <w:rPr>
          <w:sz w:val="26"/>
          <w:szCs w:val="26"/>
        </w:rPr>
        <w:t xml:space="preserve">reversed and </w:t>
      </w:r>
      <w:r w:rsidR="00282BDC">
        <w:rPr>
          <w:sz w:val="26"/>
          <w:szCs w:val="26"/>
        </w:rPr>
        <w:t xml:space="preserve">remanded </w:t>
      </w:r>
      <w:r w:rsidR="00A651B5">
        <w:rPr>
          <w:sz w:val="26"/>
          <w:szCs w:val="26"/>
        </w:rPr>
        <w:t xml:space="preserve">for a determination </w:t>
      </w:r>
      <w:r w:rsidR="00B476D8">
        <w:rPr>
          <w:sz w:val="26"/>
          <w:szCs w:val="26"/>
        </w:rPr>
        <w:t xml:space="preserve">whether the PAGA waiver </w:t>
      </w:r>
      <w:r w:rsidR="00D5712B">
        <w:rPr>
          <w:sz w:val="26"/>
          <w:szCs w:val="26"/>
        </w:rPr>
        <w:t xml:space="preserve">provision </w:t>
      </w:r>
      <w:r w:rsidR="00B476D8">
        <w:rPr>
          <w:sz w:val="26"/>
          <w:szCs w:val="26"/>
        </w:rPr>
        <w:t>could be</w:t>
      </w:r>
      <w:r w:rsidR="00A651B5">
        <w:rPr>
          <w:sz w:val="26"/>
          <w:szCs w:val="26"/>
        </w:rPr>
        <w:t xml:space="preserve"> s</w:t>
      </w:r>
      <w:r w:rsidR="00D5712B">
        <w:rPr>
          <w:sz w:val="26"/>
          <w:szCs w:val="26"/>
        </w:rPr>
        <w:t xml:space="preserve">evered from the </w:t>
      </w:r>
      <w:r w:rsidR="00A651B5">
        <w:rPr>
          <w:sz w:val="26"/>
          <w:szCs w:val="26"/>
        </w:rPr>
        <w:t>arbitration agreement.  (</w:t>
      </w:r>
      <w:r w:rsidR="00A651B5">
        <w:rPr>
          <w:i/>
          <w:sz w:val="26"/>
          <w:szCs w:val="26"/>
        </w:rPr>
        <w:t>Id.</w:t>
      </w:r>
      <w:r w:rsidR="00A651B5">
        <w:rPr>
          <w:sz w:val="26"/>
          <w:szCs w:val="26"/>
        </w:rPr>
        <w:t xml:space="preserve"> at p. 504.)</w:t>
      </w:r>
      <w:r w:rsidR="009D766A">
        <w:rPr>
          <w:sz w:val="26"/>
          <w:szCs w:val="26"/>
        </w:rPr>
        <w:t xml:space="preserve">  Defendants</w:t>
      </w:r>
      <w:r w:rsidR="001037EF">
        <w:rPr>
          <w:sz w:val="26"/>
          <w:szCs w:val="26"/>
        </w:rPr>
        <w:t>’</w:t>
      </w:r>
      <w:r w:rsidR="009D766A">
        <w:rPr>
          <w:sz w:val="26"/>
          <w:szCs w:val="26"/>
        </w:rPr>
        <w:t xml:space="preserve"> petition for review by our Supreme Court was denied on October 19, 2011.  (</w:t>
      </w:r>
      <w:r w:rsidR="009D766A">
        <w:rPr>
          <w:i/>
          <w:sz w:val="26"/>
          <w:szCs w:val="26"/>
        </w:rPr>
        <w:t>Id.</w:t>
      </w:r>
      <w:r w:rsidR="009D766A">
        <w:rPr>
          <w:sz w:val="26"/>
          <w:szCs w:val="26"/>
        </w:rPr>
        <w:t xml:space="preserve"> at p. 510.)  Defendants</w:t>
      </w:r>
      <w:r w:rsidR="001037EF">
        <w:rPr>
          <w:sz w:val="26"/>
          <w:szCs w:val="26"/>
        </w:rPr>
        <w:t>’</w:t>
      </w:r>
      <w:r w:rsidR="009D766A">
        <w:rPr>
          <w:sz w:val="26"/>
          <w:szCs w:val="26"/>
        </w:rPr>
        <w:t xml:space="preserve"> petition for certiorari to the United States Supreme Court was denied on April 16, 2012.  (</w:t>
      </w:r>
      <w:r w:rsidR="009D766A">
        <w:rPr>
          <w:i/>
          <w:sz w:val="26"/>
          <w:szCs w:val="26"/>
        </w:rPr>
        <w:t xml:space="preserve">Ralphs Grocery Co. v. Brown </w:t>
      </w:r>
      <w:r w:rsidR="009D766A">
        <w:rPr>
          <w:sz w:val="26"/>
          <w:szCs w:val="26"/>
        </w:rPr>
        <w:t>(2012) 566 U.S. 937.)</w:t>
      </w:r>
      <w:r w:rsidR="003066C6">
        <w:rPr>
          <w:sz w:val="26"/>
          <w:szCs w:val="26"/>
        </w:rPr>
        <w:t xml:space="preserve">   </w:t>
      </w:r>
    </w:p>
    <w:p w:rsidR="00601BA6" w:rsidRDefault="00024823" w:rsidP="002A194B">
      <w:pPr>
        <w:rPr>
          <w:sz w:val="26"/>
          <w:szCs w:val="26"/>
        </w:rPr>
      </w:pPr>
      <w:r>
        <w:rPr>
          <w:sz w:val="26"/>
          <w:szCs w:val="26"/>
        </w:rPr>
        <w:tab/>
        <w:t xml:space="preserve">On May 2, 2012, </w:t>
      </w:r>
      <w:r w:rsidR="009D766A">
        <w:rPr>
          <w:sz w:val="26"/>
          <w:szCs w:val="26"/>
        </w:rPr>
        <w:t>the trial court</w:t>
      </w:r>
      <w:r w:rsidR="00601BA6">
        <w:rPr>
          <w:sz w:val="26"/>
          <w:szCs w:val="26"/>
        </w:rPr>
        <w:t xml:space="preserve"> severed the PAGA waiver provision from the arbitration agreement, granted Ralph</w:t>
      </w:r>
      <w:r w:rsidR="00DA1CB0">
        <w:rPr>
          <w:sz w:val="26"/>
          <w:szCs w:val="26"/>
        </w:rPr>
        <w:t>s</w:t>
      </w:r>
      <w:r w:rsidR="001037EF">
        <w:rPr>
          <w:sz w:val="26"/>
          <w:szCs w:val="26"/>
        </w:rPr>
        <w:t>’</w:t>
      </w:r>
      <w:r w:rsidR="006A1194">
        <w:rPr>
          <w:sz w:val="26"/>
          <w:szCs w:val="26"/>
        </w:rPr>
        <w:t>s</w:t>
      </w:r>
      <w:r w:rsidR="00601BA6">
        <w:rPr>
          <w:sz w:val="26"/>
          <w:szCs w:val="26"/>
        </w:rPr>
        <w:t xml:space="preserve"> request to arbitrate </w:t>
      </w:r>
      <w:r w:rsidR="00FE39D8">
        <w:rPr>
          <w:sz w:val="26"/>
          <w:szCs w:val="26"/>
        </w:rPr>
        <w:t xml:space="preserve">the </w:t>
      </w:r>
      <w:r w:rsidR="00601BA6">
        <w:rPr>
          <w:sz w:val="26"/>
          <w:szCs w:val="26"/>
        </w:rPr>
        <w:t>non-PAGA claims on an individual basis, and stayed the PAGA claim</w:t>
      </w:r>
      <w:r w:rsidR="001E5CFB">
        <w:rPr>
          <w:sz w:val="26"/>
          <w:szCs w:val="26"/>
        </w:rPr>
        <w:t>s</w:t>
      </w:r>
      <w:r w:rsidR="00601BA6">
        <w:rPr>
          <w:sz w:val="26"/>
          <w:szCs w:val="26"/>
        </w:rPr>
        <w:t xml:space="preserve"> until completion of the arbitration</w:t>
      </w:r>
      <w:r>
        <w:rPr>
          <w:sz w:val="26"/>
          <w:szCs w:val="26"/>
        </w:rPr>
        <w:t>.</w:t>
      </w:r>
      <w:r w:rsidR="00601BA6">
        <w:rPr>
          <w:sz w:val="26"/>
          <w:szCs w:val="26"/>
        </w:rPr>
        <w:t xml:space="preserve">  </w:t>
      </w:r>
      <w:r w:rsidR="004E52F7">
        <w:rPr>
          <w:sz w:val="26"/>
          <w:szCs w:val="26"/>
        </w:rPr>
        <w:t>Shortly thereafter</w:t>
      </w:r>
      <w:r w:rsidR="008E101E">
        <w:rPr>
          <w:sz w:val="26"/>
          <w:szCs w:val="26"/>
        </w:rPr>
        <w:t xml:space="preserve">, plaintiff decided not </w:t>
      </w:r>
      <w:r w:rsidR="003A0342">
        <w:rPr>
          <w:sz w:val="26"/>
          <w:szCs w:val="26"/>
        </w:rPr>
        <w:t xml:space="preserve">to </w:t>
      </w:r>
      <w:r w:rsidR="00601BA6">
        <w:rPr>
          <w:sz w:val="26"/>
          <w:szCs w:val="26"/>
        </w:rPr>
        <w:t>pursue her individual claims i</w:t>
      </w:r>
      <w:r w:rsidR="000341EF">
        <w:rPr>
          <w:sz w:val="26"/>
          <w:szCs w:val="26"/>
        </w:rPr>
        <w:t>n arbitration</w:t>
      </w:r>
      <w:r w:rsidR="003A0342">
        <w:rPr>
          <w:sz w:val="26"/>
          <w:szCs w:val="26"/>
        </w:rPr>
        <w:t xml:space="preserve"> and instead to</w:t>
      </w:r>
      <w:r w:rsidR="004E52F7">
        <w:rPr>
          <w:sz w:val="26"/>
          <w:szCs w:val="26"/>
        </w:rPr>
        <w:t xml:space="preserve"> amend her complaint to drop her individual claims and proceed only on her PAGA claims.</w:t>
      </w:r>
      <w:r w:rsidR="00601BA6">
        <w:rPr>
          <w:sz w:val="26"/>
          <w:szCs w:val="26"/>
        </w:rPr>
        <w:t xml:space="preserve">  </w:t>
      </w:r>
    </w:p>
    <w:p w:rsidR="00B128A2" w:rsidRDefault="00601BA6" w:rsidP="002A194B">
      <w:pPr>
        <w:ind w:firstLine="720"/>
        <w:rPr>
          <w:sz w:val="26"/>
          <w:szCs w:val="26"/>
        </w:rPr>
      </w:pPr>
      <w:r>
        <w:rPr>
          <w:sz w:val="26"/>
          <w:szCs w:val="26"/>
        </w:rPr>
        <w:t>On September 21, 2012, plaintiff moved for leave to file her second amended complaint.</w:t>
      </w:r>
      <w:r w:rsidR="000341EF">
        <w:rPr>
          <w:sz w:val="26"/>
          <w:szCs w:val="26"/>
        </w:rPr>
        <w:t xml:space="preserve">  </w:t>
      </w:r>
      <w:r w:rsidR="008515D9">
        <w:rPr>
          <w:sz w:val="26"/>
          <w:szCs w:val="26"/>
        </w:rPr>
        <w:t xml:space="preserve">The </w:t>
      </w:r>
      <w:r w:rsidR="003A0342">
        <w:rPr>
          <w:sz w:val="26"/>
          <w:szCs w:val="26"/>
        </w:rPr>
        <w:t xml:space="preserve">proposed </w:t>
      </w:r>
      <w:r w:rsidR="008515D9">
        <w:rPr>
          <w:sz w:val="26"/>
          <w:szCs w:val="26"/>
        </w:rPr>
        <w:t>second amended complaint no longer alleged</w:t>
      </w:r>
      <w:r w:rsidR="00B128A2">
        <w:rPr>
          <w:sz w:val="26"/>
          <w:szCs w:val="26"/>
        </w:rPr>
        <w:t xml:space="preserve"> class and individual c</w:t>
      </w:r>
      <w:r w:rsidR="009A414B">
        <w:rPr>
          <w:sz w:val="26"/>
          <w:szCs w:val="26"/>
        </w:rPr>
        <w:t>auses of action</w:t>
      </w:r>
      <w:r w:rsidR="003A0342">
        <w:rPr>
          <w:sz w:val="26"/>
          <w:szCs w:val="26"/>
        </w:rPr>
        <w:t>.  It</w:t>
      </w:r>
      <w:r w:rsidR="008515D9">
        <w:rPr>
          <w:sz w:val="26"/>
          <w:szCs w:val="26"/>
        </w:rPr>
        <w:t xml:space="preserve"> included </w:t>
      </w:r>
      <w:r w:rsidR="001E5CFB">
        <w:rPr>
          <w:sz w:val="26"/>
          <w:szCs w:val="26"/>
        </w:rPr>
        <w:t>the</w:t>
      </w:r>
      <w:r w:rsidR="00B128A2">
        <w:rPr>
          <w:sz w:val="26"/>
          <w:szCs w:val="26"/>
        </w:rPr>
        <w:t xml:space="preserve"> PAGA </w:t>
      </w:r>
      <w:r w:rsidR="001E5CFB">
        <w:rPr>
          <w:sz w:val="26"/>
          <w:szCs w:val="26"/>
        </w:rPr>
        <w:t>claims</w:t>
      </w:r>
      <w:r w:rsidR="00BA3C89">
        <w:rPr>
          <w:sz w:val="26"/>
          <w:szCs w:val="26"/>
        </w:rPr>
        <w:t xml:space="preserve"> for violations of </w:t>
      </w:r>
      <w:r w:rsidR="000341EF">
        <w:rPr>
          <w:sz w:val="26"/>
          <w:szCs w:val="26"/>
        </w:rPr>
        <w:t xml:space="preserve">sections 204, 226, subdivision (a), 226.7, </w:t>
      </w:r>
      <w:r w:rsidR="008515D9">
        <w:rPr>
          <w:sz w:val="26"/>
          <w:szCs w:val="26"/>
        </w:rPr>
        <w:t xml:space="preserve">and </w:t>
      </w:r>
      <w:r w:rsidR="000341EF">
        <w:rPr>
          <w:sz w:val="26"/>
          <w:szCs w:val="26"/>
        </w:rPr>
        <w:t>512</w:t>
      </w:r>
      <w:r w:rsidR="006150CE">
        <w:rPr>
          <w:sz w:val="26"/>
          <w:szCs w:val="26"/>
        </w:rPr>
        <w:t xml:space="preserve"> from the first amended complaint</w:t>
      </w:r>
      <w:r w:rsidR="008515D9">
        <w:rPr>
          <w:sz w:val="26"/>
          <w:szCs w:val="26"/>
        </w:rPr>
        <w:t xml:space="preserve">, and it </w:t>
      </w:r>
      <w:r w:rsidR="009929EC">
        <w:rPr>
          <w:sz w:val="26"/>
          <w:szCs w:val="26"/>
        </w:rPr>
        <w:t xml:space="preserve">added </w:t>
      </w:r>
      <w:r w:rsidR="006150CE">
        <w:rPr>
          <w:sz w:val="26"/>
          <w:szCs w:val="26"/>
        </w:rPr>
        <w:t>new</w:t>
      </w:r>
      <w:r w:rsidR="003A0342">
        <w:rPr>
          <w:sz w:val="26"/>
          <w:szCs w:val="26"/>
        </w:rPr>
        <w:t xml:space="preserve"> PAGA</w:t>
      </w:r>
      <w:r w:rsidR="006150CE">
        <w:rPr>
          <w:sz w:val="26"/>
          <w:szCs w:val="26"/>
        </w:rPr>
        <w:t xml:space="preserve"> </w:t>
      </w:r>
      <w:r w:rsidR="003A0342">
        <w:rPr>
          <w:sz w:val="26"/>
          <w:szCs w:val="26"/>
        </w:rPr>
        <w:t>claims</w:t>
      </w:r>
      <w:r w:rsidR="006150CE">
        <w:rPr>
          <w:sz w:val="26"/>
          <w:szCs w:val="26"/>
        </w:rPr>
        <w:t xml:space="preserve">.  The new </w:t>
      </w:r>
      <w:r w:rsidR="003A0342">
        <w:rPr>
          <w:sz w:val="26"/>
          <w:szCs w:val="26"/>
        </w:rPr>
        <w:t>claims alleged</w:t>
      </w:r>
      <w:r w:rsidR="008515D9">
        <w:rPr>
          <w:sz w:val="26"/>
          <w:szCs w:val="26"/>
        </w:rPr>
        <w:t xml:space="preserve"> violat</w:t>
      </w:r>
      <w:r w:rsidR="003A0342">
        <w:rPr>
          <w:sz w:val="26"/>
          <w:szCs w:val="26"/>
        </w:rPr>
        <w:t>ions of</w:t>
      </w:r>
      <w:r w:rsidR="009929EC">
        <w:rPr>
          <w:sz w:val="26"/>
          <w:szCs w:val="26"/>
        </w:rPr>
        <w:t xml:space="preserve"> section</w:t>
      </w:r>
      <w:r w:rsidR="00D5712B">
        <w:rPr>
          <w:sz w:val="26"/>
          <w:szCs w:val="26"/>
        </w:rPr>
        <w:t>s</w:t>
      </w:r>
      <w:r w:rsidR="009929EC">
        <w:rPr>
          <w:sz w:val="26"/>
          <w:szCs w:val="26"/>
        </w:rPr>
        <w:t xml:space="preserve"> 201</w:t>
      </w:r>
      <w:r w:rsidR="003A0342">
        <w:rPr>
          <w:sz w:val="26"/>
          <w:szCs w:val="26"/>
        </w:rPr>
        <w:t>, 202</w:t>
      </w:r>
      <w:r w:rsidR="00CE53AD">
        <w:rPr>
          <w:sz w:val="26"/>
          <w:szCs w:val="26"/>
        </w:rPr>
        <w:t>,</w:t>
      </w:r>
      <w:r w:rsidR="003A0342">
        <w:rPr>
          <w:sz w:val="26"/>
          <w:szCs w:val="26"/>
        </w:rPr>
        <w:t xml:space="preserve"> and </w:t>
      </w:r>
      <w:r w:rsidR="00B128A2">
        <w:rPr>
          <w:sz w:val="26"/>
          <w:szCs w:val="26"/>
        </w:rPr>
        <w:t>203</w:t>
      </w:r>
      <w:r w:rsidR="006150CE">
        <w:rPr>
          <w:sz w:val="26"/>
          <w:szCs w:val="26"/>
        </w:rPr>
        <w:t xml:space="preserve"> by not paying plaintiff and other aggrieved employees within the statutory time period after terminat</w:t>
      </w:r>
      <w:r w:rsidR="000C5176">
        <w:rPr>
          <w:sz w:val="26"/>
          <w:szCs w:val="26"/>
        </w:rPr>
        <w:t>ing their employment</w:t>
      </w:r>
      <w:r w:rsidR="003B1B6F">
        <w:rPr>
          <w:sz w:val="26"/>
          <w:szCs w:val="26"/>
        </w:rPr>
        <w:t>, and</w:t>
      </w:r>
      <w:r w:rsidR="000C5176">
        <w:rPr>
          <w:sz w:val="26"/>
          <w:szCs w:val="26"/>
        </w:rPr>
        <w:t xml:space="preserve"> </w:t>
      </w:r>
      <w:r w:rsidR="003A0342">
        <w:rPr>
          <w:sz w:val="26"/>
          <w:szCs w:val="26"/>
        </w:rPr>
        <w:t>violations of</w:t>
      </w:r>
      <w:r w:rsidR="00BA3C89">
        <w:rPr>
          <w:sz w:val="26"/>
          <w:szCs w:val="26"/>
        </w:rPr>
        <w:t xml:space="preserve"> </w:t>
      </w:r>
      <w:r w:rsidR="003F68F2">
        <w:rPr>
          <w:sz w:val="26"/>
          <w:szCs w:val="26"/>
        </w:rPr>
        <w:t xml:space="preserve">section 1198 by failing to provide </w:t>
      </w:r>
      <w:r w:rsidR="00C64D68">
        <w:rPr>
          <w:sz w:val="26"/>
          <w:szCs w:val="26"/>
        </w:rPr>
        <w:t xml:space="preserve">meal and </w:t>
      </w:r>
      <w:r w:rsidR="003F68F2">
        <w:rPr>
          <w:sz w:val="26"/>
          <w:szCs w:val="26"/>
        </w:rPr>
        <w:t xml:space="preserve">rest periods, timely </w:t>
      </w:r>
      <w:r w:rsidR="008E101E">
        <w:rPr>
          <w:sz w:val="26"/>
          <w:szCs w:val="26"/>
        </w:rPr>
        <w:t>paid</w:t>
      </w:r>
      <w:r w:rsidR="003F68F2">
        <w:rPr>
          <w:sz w:val="26"/>
          <w:szCs w:val="26"/>
        </w:rPr>
        <w:t xml:space="preserve"> wages, and accurate employment records.  </w:t>
      </w:r>
      <w:r w:rsidR="003B1B6F">
        <w:rPr>
          <w:sz w:val="26"/>
          <w:szCs w:val="26"/>
        </w:rPr>
        <w:t xml:space="preserve">The </w:t>
      </w:r>
      <w:r w:rsidR="003A0342">
        <w:rPr>
          <w:sz w:val="26"/>
          <w:szCs w:val="26"/>
        </w:rPr>
        <w:t>proposed second amended</w:t>
      </w:r>
      <w:r w:rsidR="003B1B6F">
        <w:rPr>
          <w:sz w:val="26"/>
          <w:szCs w:val="26"/>
        </w:rPr>
        <w:t xml:space="preserve"> complaint also</w:t>
      </w:r>
      <w:r w:rsidR="003F68F2">
        <w:rPr>
          <w:sz w:val="26"/>
          <w:szCs w:val="26"/>
        </w:rPr>
        <w:t xml:space="preserve"> sought</w:t>
      </w:r>
      <w:r w:rsidR="005D53B7">
        <w:rPr>
          <w:sz w:val="26"/>
          <w:szCs w:val="26"/>
        </w:rPr>
        <w:t xml:space="preserve"> </w:t>
      </w:r>
      <w:r w:rsidR="003F68F2">
        <w:rPr>
          <w:sz w:val="26"/>
          <w:szCs w:val="26"/>
        </w:rPr>
        <w:t>c</w:t>
      </w:r>
      <w:r w:rsidR="00D5712B">
        <w:rPr>
          <w:sz w:val="26"/>
          <w:szCs w:val="26"/>
        </w:rPr>
        <w:t xml:space="preserve">ivil penalties under </w:t>
      </w:r>
      <w:r w:rsidR="003F68F2">
        <w:rPr>
          <w:sz w:val="26"/>
          <w:szCs w:val="26"/>
        </w:rPr>
        <w:t xml:space="preserve">section 558 </w:t>
      </w:r>
      <w:r w:rsidR="00FA65B4">
        <w:rPr>
          <w:sz w:val="26"/>
          <w:szCs w:val="26"/>
        </w:rPr>
        <w:t xml:space="preserve">for the Labor Code violations.  </w:t>
      </w:r>
      <w:r w:rsidR="009929EC">
        <w:rPr>
          <w:sz w:val="26"/>
          <w:szCs w:val="26"/>
        </w:rPr>
        <w:t xml:space="preserve"> </w:t>
      </w:r>
    </w:p>
    <w:p w:rsidR="004127BF" w:rsidRDefault="00FE39D8" w:rsidP="002A194B">
      <w:pPr>
        <w:ind w:firstLine="720"/>
        <w:rPr>
          <w:sz w:val="26"/>
          <w:szCs w:val="26"/>
        </w:rPr>
      </w:pPr>
      <w:r>
        <w:rPr>
          <w:sz w:val="26"/>
          <w:szCs w:val="26"/>
        </w:rPr>
        <w:t xml:space="preserve">Defendants filed an opposition </w:t>
      </w:r>
      <w:r w:rsidR="003A0342">
        <w:rPr>
          <w:sz w:val="26"/>
          <w:szCs w:val="26"/>
        </w:rPr>
        <w:t>to plaintiff</w:t>
      </w:r>
      <w:r w:rsidR="001037EF">
        <w:rPr>
          <w:sz w:val="26"/>
          <w:szCs w:val="26"/>
        </w:rPr>
        <w:t>’</w:t>
      </w:r>
      <w:r w:rsidR="003A0342">
        <w:rPr>
          <w:sz w:val="26"/>
          <w:szCs w:val="26"/>
        </w:rPr>
        <w:t xml:space="preserve">s motion </w:t>
      </w:r>
      <w:r w:rsidR="00CE7FCE">
        <w:rPr>
          <w:sz w:val="26"/>
          <w:szCs w:val="26"/>
        </w:rPr>
        <w:t>on procedural grounds</w:t>
      </w:r>
      <w:r>
        <w:rPr>
          <w:sz w:val="26"/>
          <w:szCs w:val="26"/>
        </w:rPr>
        <w:t>.</w:t>
      </w:r>
      <w:r w:rsidR="006A0156">
        <w:rPr>
          <w:sz w:val="26"/>
          <w:szCs w:val="26"/>
        </w:rPr>
        <w:t xml:space="preserve"> </w:t>
      </w:r>
      <w:r>
        <w:rPr>
          <w:sz w:val="26"/>
          <w:szCs w:val="26"/>
        </w:rPr>
        <w:t xml:space="preserve"> They argued</w:t>
      </w:r>
      <w:r w:rsidR="002044BA">
        <w:rPr>
          <w:sz w:val="26"/>
          <w:szCs w:val="26"/>
        </w:rPr>
        <w:t xml:space="preserve"> the proper course was to allow plaintiff to dismiss the non-PAGA c</w:t>
      </w:r>
      <w:r w:rsidR="009A414B">
        <w:rPr>
          <w:sz w:val="26"/>
          <w:szCs w:val="26"/>
        </w:rPr>
        <w:t>auses of action</w:t>
      </w:r>
      <w:r w:rsidR="002044BA">
        <w:rPr>
          <w:sz w:val="26"/>
          <w:szCs w:val="26"/>
        </w:rPr>
        <w:t xml:space="preserve"> from </w:t>
      </w:r>
      <w:r w:rsidR="005565EF">
        <w:rPr>
          <w:sz w:val="26"/>
          <w:szCs w:val="26"/>
        </w:rPr>
        <w:t>the first amended complaint</w:t>
      </w:r>
      <w:r w:rsidR="002044BA">
        <w:rPr>
          <w:sz w:val="26"/>
          <w:szCs w:val="26"/>
        </w:rPr>
        <w:t xml:space="preserve"> and lift the stay on the PAGA claim</w:t>
      </w:r>
      <w:r w:rsidR="008E101E">
        <w:rPr>
          <w:sz w:val="26"/>
          <w:szCs w:val="26"/>
        </w:rPr>
        <w:t>s</w:t>
      </w:r>
      <w:r w:rsidR="002044BA">
        <w:rPr>
          <w:sz w:val="26"/>
          <w:szCs w:val="26"/>
        </w:rPr>
        <w:t>.</w:t>
      </w:r>
      <w:r w:rsidR="006A0156">
        <w:rPr>
          <w:sz w:val="26"/>
          <w:szCs w:val="26"/>
        </w:rPr>
        <w:t xml:space="preserve">  Defendant</w:t>
      </w:r>
      <w:r w:rsidR="004127BF">
        <w:rPr>
          <w:sz w:val="26"/>
          <w:szCs w:val="26"/>
        </w:rPr>
        <w:t xml:space="preserve">s did not challenge </w:t>
      </w:r>
      <w:r w:rsidR="00CE7FCE">
        <w:rPr>
          <w:sz w:val="26"/>
          <w:szCs w:val="26"/>
        </w:rPr>
        <w:t>the substance of the proposed second amended complaint</w:t>
      </w:r>
      <w:r w:rsidR="003A0342">
        <w:rPr>
          <w:sz w:val="26"/>
          <w:szCs w:val="26"/>
        </w:rPr>
        <w:t xml:space="preserve"> and</w:t>
      </w:r>
      <w:r w:rsidR="00CE7FCE">
        <w:rPr>
          <w:sz w:val="26"/>
          <w:szCs w:val="26"/>
        </w:rPr>
        <w:t xml:space="preserve"> did not </w:t>
      </w:r>
      <w:r w:rsidR="003A0342">
        <w:rPr>
          <w:sz w:val="26"/>
          <w:szCs w:val="26"/>
        </w:rPr>
        <w:t>argue</w:t>
      </w:r>
      <w:r w:rsidR="00CE7FCE">
        <w:rPr>
          <w:sz w:val="26"/>
          <w:szCs w:val="26"/>
        </w:rPr>
        <w:t xml:space="preserve"> that </w:t>
      </w:r>
      <w:r w:rsidR="004127BF">
        <w:rPr>
          <w:sz w:val="26"/>
          <w:szCs w:val="26"/>
        </w:rPr>
        <w:t>the PAGA claim</w:t>
      </w:r>
      <w:r w:rsidR="008129BB">
        <w:rPr>
          <w:sz w:val="26"/>
          <w:szCs w:val="26"/>
        </w:rPr>
        <w:t>s</w:t>
      </w:r>
      <w:r w:rsidR="004127BF">
        <w:rPr>
          <w:sz w:val="26"/>
          <w:szCs w:val="26"/>
        </w:rPr>
        <w:t xml:space="preserve"> </w:t>
      </w:r>
      <w:r w:rsidR="00CE7FCE">
        <w:rPr>
          <w:sz w:val="26"/>
          <w:szCs w:val="26"/>
        </w:rPr>
        <w:t xml:space="preserve">were </w:t>
      </w:r>
      <w:r w:rsidR="004127BF">
        <w:rPr>
          <w:sz w:val="26"/>
          <w:szCs w:val="26"/>
        </w:rPr>
        <w:t xml:space="preserve">based </w:t>
      </w:r>
      <w:r w:rsidR="00270411">
        <w:rPr>
          <w:sz w:val="26"/>
          <w:szCs w:val="26"/>
        </w:rPr>
        <w:t>on</w:t>
      </w:r>
      <w:r w:rsidR="008E101E">
        <w:rPr>
          <w:sz w:val="26"/>
          <w:szCs w:val="26"/>
        </w:rPr>
        <w:t xml:space="preserve"> inadequate notice </w:t>
      </w:r>
      <w:r w:rsidR="00CE7FCE">
        <w:rPr>
          <w:sz w:val="26"/>
          <w:szCs w:val="26"/>
        </w:rPr>
        <w:t>or time</w:t>
      </w:r>
      <w:r w:rsidR="000E3522">
        <w:rPr>
          <w:sz w:val="26"/>
          <w:szCs w:val="26"/>
        </w:rPr>
        <w:t>-</w:t>
      </w:r>
      <w:r w:rsidR="00CE7FCE">
        <w:rPr>
          <w:sz w:val="26"/>
          <w:szCs w:val="26"/>
        </w:rPr>
        <w:t>barred</w:t>
      </w:r>
      <w:r w:rsidR="006A0156">
        <w:rPr>
          <w:sz w:val="26"/>
          <w:szCs w:val="26"/>
        </w:rPr>
        <w:t xml:space="preserve">.  </w:t>
      </w:r>
    </w:p>
    <w:p w:rsidR="00EE6827" w:rsidRDefault="006A0156" w:rsidP="002A194B">
      <w:pPr>
        <w:ind w:firstLine="720"/>
        <w:rPr>
          <w:sz w:val="26"/>
          <w:szCs w:val="26"/>
        </w:rPr>
      </w:pPr>
      <w:r>
        <w:rPr>
          <w:sz w:val="26"/>
          <w:szCs w:val="26"/>
        </w:rPr>
        <w:t>On October</w:t>
      </w:r>
      <w:r w:rsidR="00FE39D8">
        <w:rPr>
          <w:sz w:val="26"/>
          <w:szCs w:val="26"/>
        </w:rPr>
        <w:t xml:space="preserve"> </w:t>
      </w:r>
      <w:r w:rsidR="004127BF">
        <w:rPr>
          <w:sz w:val="26"/>
          <w:szCs w:val="26"/>
        </w:rPr>
        <w:t>16, 2012, the trial court granted plaintiff</w:t>
      </w:r>
      <w:r w:rsidR="001037EF">
        <w:rPr>
          <w:sz w:val="26"/>
          <w:szCs w:val="26"/>
        </w:rPr>
        <w:t>’</w:t>
      </w:r>
      <w:r w:rsidR="004127BF">
        <w:rPr>
          <w:sz w:val="26"/>
          <w:szCs w:val="26"/>
        </w:rPr>
        <w:t xml:space="preserve">s </w:t>
      </w:r>
      <w:r w:rsidR="005E5D98">
        <w:rPr>
          <w:sz w:val="26"/>
          <w:szCs w:val="26"/>
        </w:rPr>
        <w:t>motion for leave to file the second amended complaint</w:t>
      </w:r>
      <w:r w:rsidR="00EE6827">
        <w:rPr>
          <w:sz w:val="26"/>
          <w:szCs w:val="26"/>
        </w:rPr>
        <w:t xml:space="preserve"> </w:t>
      </w:r>
      <w:r w:rsidR="001037EF">
        <w:rPr>
          <w:sz w:val="26"/>
          <w:szCs w:val="26"/>
        </w:rPr>
        <w:t>“</w:t>
      </w:r>
      <w:r w:rsidR="00EE6827">
        <w:rPr>
          <w:sz w:val="26"/>
          <w:szCs w:val="26"/>
        </w:rPr>
        <w:t>on the grounds that Defendants essentially do not oppose this motion and will not suffer any prejudice by the proposed amendments.</w:t>
      </w:r>
      <w:r w:rsidR="001037EF">
        <w:rPr>
          <w:sz w:val="26"/>
          <w:szCs w:val="26"/>
        </w:rPr>
        <w:t>”</w:t>
      </w:r>
      <w:r w:rsidR="00EE37A4">
        <w:rPr>
          <w:sz w:val="26"/>
          <w:szCs w:val="26"/>
        </w:rPr>
        <w:t xml:space="preserve">  Defendants were ordered to file their answer by November 15, 2012.  </w:t>
      </w:r>
    </w:p>
    <w:p w:rsidR="00A87DC4" w:rsidRDefault="005565EF" w:rsidP="002A194B">
      <w:pPr>
        <w:ind w:firstLine="720"/>
        <w:rPr>
          <w:sz w:val="26"/>
          <w:szCs w:val="26"/>
        </w:rPr>
      </w:pPr>
      <w:r>
        <w:rPr>
          <w:sz w:val="26"/>
          <w:szCs w:val="26"/>
        </w:rPr>
        <w:t>D</w:t>
      </w:r>
      <w:r w:rsidR="00233053">
        <w:rPr>
          <w:sz w:val="26"/>
          <w:szCs w:val="26"/>
        </w:rPr>
        <w:t xml:space="preserve">efendants </w:t>
      </w:r>
      <w:r>
        <w:rPr>
          <w:sz w:val="26"/>
          <w:szCs w:val="26"/>
        </w:rPr>
        <w:t xml:space="preserve">elected instead to </w:t>
      </w:r>
      <w:r w:rsidR="00233053">
        <w:rPr>
          <w:sz w:val="26"/>
          <w:szCs w:val="26"/>
        </w:rPr>
        <w:t>renew their petition to compel arbitration pursuant to Code of Civil Procedure section 1008, subdivision (b)</w:t>
      </w:r>
      <w:r w:rsidR="008B75CC">
        <w:rPr>
          <w:sz w:val="26"/>
          <w:szCs w:val="26"/>
        </w:rPr>
        <w:t xml:space="preserve"> based on new decisions from various California and federal courts</w:t>
      </w:r>
      <w:r w:rsidR="00233053">
        <w:rPr>
          <w:sz w:val="26"/>
          <w:szCs w:val="26"/>
        </w:rPr>
        <w:t xml:space="preserve">.  </w:t>
      </w:r>
      <w:r w:rsidR="008B75CC">
        <w:rPr>
          <w:sz w:val="26"/>
          <w:szCs w:val="26"/>
        </w:rPr>
        <w:t>T</w:t>
      </w:r>
      <w:r w:rsidR="00450EE3">
        <w:rPr>
          <w:sz w:val="26"/>
          <w:szCs w:val="26"/>
        </w:rPr>
        <w:t>he trial court denied the motion</w:t>
      </w:r>
      <w:r w:rsidR="008B75CC">
        <w:rPr>
          <w:sz w:val="26"/>
          <w:szCs w:val="26"/>
        </w:rPr>
        <w:t>,</w:t>
      </w:r>
      <w:r w:rsidR="00450EE3">
        <w:rPr>
          <w:sz w:val="26"/>
          <w:szCs w:val="26"/>
        </w:rPr>
        <w:t xml:space="preserve"> </w:t>
      </w:r>
      <w:r w:rsidR="008B75CC">
        <w:rPr>
          <w:sz w:val="26"/>
          <w:szCs w:val="26"/>
        </w:rPr>
        <w:t>and</w:t>
      </w:r>
      <w:r w:rsidR="007D1E4C">
        <w:rPr>
          <w:sz w:val="26"/>
          <w:szCs w:val="26"/>
        </w:rPr>
        <w:t xml:space="preserve"> we dismissed </w:t>
      </w:r>
      <w:r w:rsidR="00A87DC4">
        <w:rPr>
          <w:sz w:val="26"/>
          <w:szCs w:val="26"/>
        </w:rPr>
        <w:t>defendants</w:t>
      </w:r>
      <w:r w:rsidR="001037EF">
        <w:rPr>
          <w:sz w:val="26"/>
          <w:szCs w:val="26"/>
        </w:rPr>
        <w:t>’</w:t>
      </w:r>
      <w:r w:rsidR="007D1E4C">
        <w:rPr>
          <w:sz w:val="26"/>
          <w:szCs w:val="26"/>
        </w:rPr>
        <w:t xml:space="preserve"> appeal because an order denying a renew</w:t>
      </w:r>
      <w:r w:rsidR="008E101E">
        <w:rPr>
          <w:sz w:val="26"/>
          <w:szCs w:val="26"/>
        </w:rPr>
        <w:t>ed</w:t>
      </w:r>
      <w:r w:rsidR="007D1E4C">
        <w:rPr>
          <w:sz w:val="26"/>
          <w:szCs w:val="26"/>
        </w:rPr>
        <w:t xml:space="preserve"> motion under </w:t>
      </w:r>
      <w:r w:rsidR="008E101E">
        <w:rPr>
          <w:sz w:val="26"/>
          <w:szCs w:val="26"/>
        </w:rPr>
        <w:t xml:space="preserve">Code of Civil Procedure </w:t>
      </w:r>
      <w:r w:rsidR="007D1E4C">
        <w:rPr>
          <w:sz w:val="26"/>
          <w:szCs w:val="26"/>
        </w:rPr>
        <w:t xml:space="preserve">section 1008, subdivision (b) is </w:t>
      </w:r>
      <w:r w:rsidR="00137C5B">
        <w:rPr>
          <w:sz w:val="26"/>
          <w:szCs w:val="26"/>
        </w:rPr>
        <w:t xml:space="preserve">not </w:t>
      </w:r>
      <w:r w:rsidR="007D1E4C">
        <w:rPr>
          <w:sz w:val="26"/>
          <w:szCs w:val="26"/>
        </w:rPr>
        <w:t>appealable.  (</w:t>
      </w:r>
      <w:r w:rsidR="00A87DC4">
        <w:rPr>
          <w:i/>
          <w:sz w:val="26"/>
          <w:szCs w:val="26"/>
        </w:rPr>
        <w:t xml:space="preserve">Brown v. Ralphs Grocery Co. </w:t>
      </w:r>
      <w:r w:rsidR="001A620B">
        <w:rPr>
          <w:sz w:val="26"/>
          <w:szCs w:val="26"/>
        </w:rPr>
        <w:t>(</w:t>
      </w:r>
      <w:r w:rsidR="007D1E4C">
        <w:rPr>
          <w:sz w:val="26"/>
          <w:szCs w:val="26"/>
        </w:rPr>
        <w:t>Mar. 6, 2014</w:t>
      </w:r>
      <w:r w:rsidR="00A87DC4">
        <w:rPr>
          <w:sz w:val="26"/>
          <w:szCs w:val="26"/>
        </w:rPr>
        <w:t>, B247297) [</w:t>
      </w:r>
      <w:proofErr w:type="spellStart"/>
      <w:r w:rsidR="00A87DC4">
        <w:rPr>
          <w:sz w:val="26"/>
          <w:szCs w:val="26"/>
        </w:rPr>
        <w:t>nonpub</w:t>
      </w:r>
      <w:proofErr w:type="spellEnd"/>
      <w:r w:rsidR="00A87DC4">
        <w:rPr>
          <w:sz w:val="26"/>
          <w:szCs w:val="26"/>
        </w:rPr>
        <w:t>. opn.].</w:t>
      </w:r>
      <w:r w:rsidR="007D1E4C">
        <w:rPr>
          <w:sz w:val="26"/>
          <w:szCs w:val="26"/>
        </w:rPr>
        <w:t>)</w:t>
      </w:r>
    </w:p>
    <w:p w:rsidR="001A620B" w:rsidRDefault="00A87DC4" w:rsidP="002A194B">
      <w:pPr>
        <w:ind w:firstLine="720"/>
        <w:rPr>
          <w:sz w:val="26"/>
          <w:szCs w:val="26"/>
        </w:rPr>
      </w:pPr>
      <w:r>
        <w:rPr>
          <w:sz w:val="26"/>
          <w:szCs w:val="26"/>
        </w:rPr>
        <w:t>On</w:t>
      </w:r>
      <w:r w:rsidR="008D071F">
        <w:rPr>
          <w:sz w:val="26"/>
          <w:szCs w:val="26"/>
        </w:rPr>
        <w:t xml:space="preserve"> January 20, 2016, defendants </w:t>
      </w:r>
      <w:r w:rsidR="00A233BB">
        <w:rPr>
          <w:sz w:val="26"/>
          <w:szCs w:val="26"/>
        </w:rPr>
        <w:t>filed a motion</w:t>
      </w:r>
      <w:r w:rsidR="008D071F">
        <w:rPr>
          <w:sz w:val="26"/>
          <w:szCs w:val="26"/>
        </w:rPr>
        <w:t xml:space="preserve"> for judgment on the pleadings</w:t>
      </w:r>
      <w:r w:rsidR="00A233BB">
        <w:rPr>
          <w:sz w:val="26"/>
          <w:szCs w:val="26"/>
        </w:rPr>
        <w:t xml:space="preserve"> challenging the second amended complaint</w:t>
      </w:r>
      <w:r w:rsidR="008D071F">
        <w:rPr>
          <w:sz w:val="26"/>
          <w:szCs w:val="26"/>
        </w:rPr>
        <w:t>.</w:t>
      </w:r>
      <w:r w:rsidR="001A7C46">
        <w:rPr>
          <w:sz w:val="26"/>
          <w:szCs w:val="26"/>
        </w:rPr>
        <w:t xml:space="preserve">  </w:t>
      </w:r>
      <w:r w:rsidR="00A233BB">
        <w:rPr>
          <w:sz w:val="26"/>
          <w:szCs w:val="26"/>
        </w:rPr>
        <w:t>For the first time, defendants argued that</w:t>
      </w:r>
      <w:r w:rsidR="001A7C46">
        <w:rPr>
          <w:sz w:val="26"/>
          <w:szCs w:val="26"/>
        </w:rPr>
        <w:t xml:space="preserve"> </w:t>
      </w:r>
      <w:r w:rsidR="006524BD">
        <w:rPr>
          <w:sz w:val="26"/>
          <w:szCs w:val="26"/>
        </w:rPr>
        <w:t xml:space="preserve">the </w:t>
      </w:r>
      <w:r w:rsidR="008E101E">
        <w:rPr>
          <w:sz w:val="26"/>
          <w:szCs w:val="26"/>
        </w:rPr>
        <w:t xml:space="preserve">2009 Notice </w:t>
      </w:r>
      <w:r w:rsidR="001A7C46">
        <w:rPr>
          <w:sz w:val="26"/>
          <w:szCs w:val="26"/>
        </w:rPr>
        <w:t>w</w:t>
      </w:r>
      <w:r w:rsidR="00A233BB">
        <w:rPr>
          <w:sz w:val="26"/>
          <w:szCs w:val="26"/>
        </w:rPr>
        <w:t>as</w:t>
      </w:r>
      <w:r w:rsidR="001A7C46">
        <w:rPr>
          <w:sz w:val="26"/>
          <w:szCs w:val="26"/>
        </w:rPr>
        <w:t xml:space="preserve"> inadequate.</w:t>
      </w:r>
      <w:r w:rsidR="00A233BB">
        <w:rPr>
          <w:sz w:val="26"/>
          <w:szCs w:val="26"/>
        </w:rPr>
        <w:t xml:space="preserve">  Specifically, defendants asserted</w:t>
      </w:r>
      <w:r w:rsidR="00137C5B">
        <w:rPr>
          <w:sz w:val="26"/>
          <w:szCs w:val="26"/>
        </w:rPr>
        <w:t xml:space="preserve">: </w:t>
      </w:r>
      <w:r w:rsidR="00A233BB">
        <w:rPr>
          <w:sz w:val="26"/>
          <w:szCs w:val="26"/>
        </w:rPr>
        <w:t xml:space="preserve"> (1) the 2009 Notice did not mention violations of sections 201, 202, 203, 558</w:t>
      </w:r>
      <w:r w:rsidR="00951253">
        <w:rPr>
          <w:sz w:val="26"/>
          <w:szCs w:val="26"/>
        </w:rPr>
        <w:t>,</w:t>
      </w:r>
      <w:r w:rsidR="00F54475">
        <w:rPr>
          <w:sz w:val="26"/>
          <w:szCs w:val="26"/>
        </w:rPr>
        <w:t xml:space="preserve"> </w:t>
      </w:r>
      <w:r w:rsidR="00A233BB">
        <w:rPr>
          <w:sz w:val="26"/>
          <w:szCs w:val="26"/>
        </w:rPr>
        <w:t>and 1198, which were alleged in the second amended complaint</w:t>
      </w:r>
      <w:r w:rsidR="00F54475">
        <w:rPr>
          <w:sz w:val="26"/>
          <w:szCs w:val="26"/>
        </w:rPr>
        <w:t xml:space="preserve"> but not the earlier complaints</w:t>
      </w:r>
      <w:r w:rsidR="00A233BB">
        <w:rPr>
          <w:sz w:val="26"/>
          <w:szCs w:val="26"/>
        </w:rPr>
        <w:t xml:space="preserve">, and (2) the 2009 Notice did not sufficiently </w:t>
      </w:r>
      <w:r w:rsidR="009A414B">
        <w:rPr>
          <w:sz w:val="26"/>
          <w:szCs w:val="26"/>
        </w:rPr>
        <w:t>allege</w:t>
      </w:r>
      <w:r w:rsidR="00A233BB">
        <w:rPr>
          <w:sz w:val="26"/>
          <w:szCs w:val="26"/>
        </w:rPr>
        <w:t xml:space="preserve"> the facts and theories supporting the alleged violations of sections</w:t>
      </w:r>
      <w:r w:rsidR="00DF65F0">
        <w:rPr>
          <w:sz w:val="26"/>
          <w:szCs w:val="26"/>
        </w:rPr>
        <w:t xml:space="preserve"> 204, 226</w:t>
      </w:r>
      <w:r w:rsidR="00F54475">
        <w:rPr>
          <w:sz w:val="26"/>
          <w:szCs w:val="26"/>
        </w:rPr>
        <w:t>, subdivision (a)</w:t>
      </w:r>
      <w:r w:rsidR="00DF65F0">
        <w:rPr>
          <w:sz w:val="26"/>
          <w:szCs w:val="26"/>
        </w:rPr>
        <w:t>,</w:t>
      </w:r>
      <w:r w:rsidR="00A233BB">
        <w:rPr>
          <w:sz w:val="26"/>
          <w:szCs w:val="26"/>
        </w:rPr>
        <w:t xml:space="preserve"> </w:t>
      </w:r>
      <w:r w:rsidR="00DF65F0">
        <w:rPr>
          <w:sz w:val="26"/>
          <w:szCs w:val="26"/>
        </w:rPr>
        <w:t xml:space="preserve">226.7, </w:t>
      </w:r>
      <w:r w:rsidR="00F54475">
        <w:rPr>
          <w:sz w:val="26"/>
          <w:szCs w:val="26"/>
        </w:rPr>
        <w:t xml:space="preserve">and </w:t>
      </w:r>
      <w:r w:rsidR="00DF65F0">
        <w:rPr>
          <w:sz w:val="26"/>
          <w:szCs w:val="26"/>
        </w:rPr>
        <w:t xml:space="preserve">512. </w:t>
      </w:r>
      <w:r w:rsidR="001A7C46">
        <w:rPr>
          <w:sz w:val="26"/>
          <w:szCs w:val="26"/>
        </w:rPr>
        <w:t xml:space="preserve"> </w:t>
      </w:r>
      <w:r w:rsidR="00FA3932">
        <w:rPr>
          <w:sz w:val="26"/>
          <w:szCs w:val="26"/>
        </w:rPr>
        <w:t>P</w:t>
      </w:r>
      <w:r w:rsidR="000D4DD3">
        <w:rPr>
          <w:sz w:val="26"/>
          <w:szCs w:val="26"/>
        </w:rPr>
        <w:t xml:space="preserve">laintiff </w:t>
      </w:r>
      <w:r w:rsidR="00FA3932">
        <w:rPr>
          <w:sz w:val="26"/>
          <w:szCs w:val="26"/>
        </w:rPr>
        <w:t>countered that</w:t>
      </w:r>
      <w:r w:rsidR="000D4DD3">
        <w:rPr>
          <w:sz w:val="26"/>
          <w:szCs w:val="26"/>
        </w:rPr>
        <w:t xml:space="preserve"> the 2009 Notice</w:t>
      </w:r>
      <w:r w:rsidR="00FA3932">
        <w:rPr>
          <w:sz w:val="26"/>
          <w:szCs w:val="26"/>
        </w:rPr>
        <w:t xml:space="preserve"> w</w:t>
      </w:r>
      <w:r w:rsidR="00F54475">
        <w:rPr>
          <w:sz w:val="26"/>
          <w:szCs w:val="26"/>
        </w:rPr>
        <w:t>as</w:t>
      </w:r>
      <w:r w:rsidR="00FA3932">
        <w:rPr>
          <w:sz w:val="26"/>
          <w:szCs w:val="26"/>
        </w:rPr>
        <w:t xml:space="preserve"> sufficient, and if it was not, she should be granted leave to amend because equitable tolling and the relation</w:t>
      </w:r>
      <w:r w:rsidR="009A414B">
        <w:rPr>
          <w:sz w:val="26"/>
          <w:szCs w:val="26"/>
        </w:rPr>
        <w:t xml:space="preserve"> </w:t>
      </w:r>
      <w:r w:rsidR="00FA3932">
        <w:rPr>
          <w:sz w:val="26"/>
          <w:szCs w:val="26"/>
        </w:rPr>
        <w:t>back doctrine save</w:t>
      </w:r>
      <w:r w:rsidR="009A414B">
        <w:rPr>
          <w:sz w:val="26"/>
          <w:szCs w:val="26"/>
        </w:rPr>
        <w:t>d</w:t>
      </w:r>
      <w:r w:rsidR="00FA3932">
        <w:rPr>
          <w:sz w:val="26"/>
          <w:szCs w:val="26"/>
        </w:rPr>
        <w:t xml:space="preserve"> her claims from the statute of limitations.</w:t>
      </w:r>
      <w:r w:rsidR="002C0DD9">
        <w:rPr>
          <w:sz w:val="26"/>
          <w:szCs w:val="26"/>
        </w:rPr>
        <w:t xml:space="preserve">  </w:t>
      </w:r>
    </w:p>
    <w:p w:rsidR="001A620B" w:rsidRDefault="00B43164" w:rsidP="002A194B">
      <w:pPr>
        <w:ind w:firstLine="720"/>
        <w:rPr>
          <w:sz w:val="26"/>
          <w:szCs w:val="26"/>
        </w:rPr>
      </w:pPr>
      <w:r>
        <w:rPr>
          <w:sz w:val="26"/>
          <w:szCs w:val="26"/>
        </w:rPr>
        <w:t xml:space="preserve">On March 11, 2016, </w:t>
      </w:r>
      <w:r w:rsidR="00071B86">
        <w:rPr>
          <w:sz w:val="26"/>
          <w:szCs w:val="26"/>
        </w:rPr>
        <w:t>the trial court granted defendants</w:t>
      </w:r>
      <w:r w:rsidR="001037EF">
        <w:rPr>
          <w:sz w:val="26"/>
          <w:szCs w:val="26"/>
        </w:rPr>
        <w:t>’</w:t>
      </w:r>
      <w:r w:rsidR="00071B86">
        <w:rPr>
          <w:sz w:val="26"/>
          <w:szCs w:val="26"/>
        </w:rPr>
        <w:t xml:space="preserve"> motion with leave to amend.</w:t>
      </w:r>
      <w:r w:rsidR="002C0DD9">
        <w:rPr>
          <w:sz w:val="26"/>
          <w:szCs w:val="26"/>
        </w:rPr>
        <w:t xml:space="preserve"> </w:t>
      </w:r>
      <w:r w:rsidR="00071B86">
        <w:rPr>
          <w:sz w:val="26"/>
          <w:szCs w:val="26"/>
        </w:rPr>
        <w:t xml:space="preserve"> The trial court </w:t>
      </w:r>
      <w:r w:rsidR="00F54475">
        <w:rPr>
          <w:sz w:val="26"/>
          <w:szCs w:val="26"/>
        </w:rPr>
        <w:t>held that the 2009 Notice was</w:t>
      </w:r>
      <w:r w:rsidR="00071B86">
        <w:rPr>
          <w:sz w:val="26"/>
          <w:szCs w:val="26"/>
        </w:rPr>
        <w:t xml:space="preserve"> inadequate because </w:t>
      </w:r>
      <w:r w:rsidR="00F54475">
        <w:rPr>
          <w:sz w:val="26"/>
          <w:szCs w:val="26"/>
        </w:rPr>
        <w:t xml:space="preserve">it </w:t>
      </w:r>
      <w:r w:rsidR="00071B86">
        <w:rPr>
          <w:sz w:val="26"/>
          <w:szCs w:val="26"/>
        </w:rPr>
        <w:t xml:space="preserve">did not </w:t>
      </w:r>
      <w:r w:rsidR="00F54475">
        <w:rPr>
          <w:sz w:val="26"/>
          <w:szCs w:val="26"/>
        </w:rPr>
        <w:t>refer</w:t>
      </w:r>
      <w:r w:rsidR="00BA3C89">
        <w:rPr>
          <w:sz w:val="26"/>
          <w:szCs w:val="26"/>
        </w:rPr>
        <w:t xml:space="preserve"> to </w:t>
      </w:r>
      <w:r w:rsidR="00071B86">
        <w:rPr>
          <w:sz w:val="26"/>
          <w:szCs w:val="26"/>
        </w:rPr>
        <w:t>sections 201, 202, 558</w:t>
      </w:r>
      <w:r w:rsidR="00F01B38">
        <w:rPr>
          <w:sz w:val="26"/>
          <w:szCs w:val="26"/>
        </w:rPr>
        <w:t>,</w:t>
      </w:r>
      <w:r w:rsidR="00071B86">
        <w:rPr>
          <w:sz w:val="26"/>
          <w:szCs w:val="26"/>
        </w:rPr>
        <w:t xml:space="preserve"> or 1198</w:t>
      </w:r>
      <w:r w:rsidR="00FD42C7">
        <w:rPr>
          <w:sz w:val="26"/>
          <w:szCs w:val="26"/>
        </w:rPr>
        <w:t xml:space="preserve"> (the trial court did not mention section 203)</w:t>
      </w:r>
      <w:r w:rsidR="002140F8">
        <w:rPr>
          <w:sz w:val="26"/>
          <w:szCs w:val="26"/>
        </w:rPr>
        <w:t>, and the second amended complaint introduced new theories of liability</w:t>
      </w:r>
      <w:r w:rsidR="00F42687">
        <w:rPr>
          <w:sz w:val="26"/>
          <w:szCs w:val="26"/>
        </w:rPr>
        <w:t xml:space="preserve"> such as the</w:t>
      </w:r>
      <w:r w:rsidR="002140F8">
        <w:rPr>
          <w:sz w:val="26"/>
          <w:szCs w:val="26"/>
        </w:rPr>
        <w:t xml:space="preserve"> failure to pay wages at discharge</w:t>
      </w:r>
      <w:r w:rsidR="00071B86">
        <w:rPr>
          <w:sz w:val="26"/>
          <w:szCs w:val="26"/>
        </w:rPr>
        <w:t>.  At the hearing, the trial court</w:t>
      </w:r>
      <w:r w:rsidR="002E037F">
        <w:rPr>
          <w:sz w:val="26"/>
          <w:szCs w:val="26"/>
        </w:rPr>
        <w:t xml:space="preserve"> stated several times that it was allowing the amended complaint without ruling on the arguments raised in defendants</w:t>
      </w:r>
      <w:r w:rsidR="001037EF">
        <w:rPr>
          <w:sz w:val="26"/>
          <w:szCs w:val="26"/>
        </w:rPr>
        <w:t>’</w:t>
      </w:r>
      <w:r w:rsidR="002E037F">
        <w:rPr>
          <w:sz w:val="26"/>
          <w:szCs w:val="26"/>
        </w:rPr>
        <w:t xml:space="preserve"> motion and that defendants could raise those issues after the third amended complaint was on file</w:t>
      </w:r>
      <w:r w:rsidR="00071B86">
        <w:rPr>
          <w:sz w:val="26"/>
          <w:szCs w:val="26"/>
        </w:rPr>
        <w:t>.</w:t>
      </w:r>
      <w:r w:rsidR="002E037F">
        <w:rPr>
          <w:sz w:val="26"/>
          <w:szCs w:val="26"/>
        </w:rPr>
        <w:t xml:space="preserve">  The trial court also allowed plaintiff to amend her 2009 Notice.  </w:t>
      </w:r>
    </w:p>
    <w:p w:rsidR="00357347" w:rsidRDefault="001A620B" w:rsidP="002A194B">
      <w:pPr>
        <w:ind w:firstLine="720"/>
        <w:rPr>
          <w:sz w:val="26"/>
          <w:szCs w:val="26"/>
        </w:rPr>
      </w:pPr>
      <w:r>
        <w:rPr>
          <w:sz w:val="26"/>
          <w:szCs w:val="26"/>
        </w:rPr>
        <w:t>On March 24, 2016, plaintiff</w:t>
      </w:r>
      <w:r w:rsidR="00565648">
        <w:rPr>
          <w:sz w:val="26"/>
          <w:szCs w:val="26"/>
        </w:rPr>
        <w:t xml:space="preserve"> sent two</w:t>
      </w:r>
      <w:r w:rsidR="00133808">
        <w:rPr>
          <w:sz w:val="26"/>
          <w:szCs w:val="26"/>
        </w:rPr>
        <w:t xml:space="preserve"> nine</w:t>
      </w:r>
      <w:r>
        <w:rPr>
          <w:sz w:val="26"/>
          <w:szCs w:val="26"/>
        </w:rPr>
        <w:t>-page letter</w:t>
      </w:r>
      <w:r w:rsidR="00565648">
        <w:rPr>
          <w:sz w:val="26"/>
          <w:szCs w:val="26"/>
        </w:rPr>
        <w:t>s</w:t>
      </w:r>
      <w:r>
        <w:rPr>
          <w:sz w:val="26"/>
          <w:szCs w:val="26"/>
        </w:rPr>
        <w:t xml:space="preserve"> to </w:t>
      </w:r>
      <w:r w:rsidR="00B6025E">
        <w:rPr>
          <w:sz w:val="26"/>
          <w:szCs w:val="26"/>
        </w:rPr>
        <w:t xml:space="preserve">the </w:t>
      </w:r>
      <w:r>
        <w:rPr>
          <w:sz w:val="26"/>
          <w:szCs w:val="26"/>
        </w:rPr>
        <w:t>LWDA and</w:t>
      </w:r>
      <w:r w:rsidR="00565648">
        <w:rPr>
          <w:sz w:val="26"/>
          <w:szCs w:val="26"/>
        </w:rPr>
        <w:t xml:space="preserve"> defendants allegi</w:t>
      </w:r>
      <w:r w:rsidR="00F31C24">
        <w:rPr>
          <w:sz w:val="26"/>
          <w:szCs w:val="26"/>
        </w:rPr>
        <w:t xml:space="preserve">ng </w:t>
      </w:r>
      <w:r w:rsidR="009A414B">
        <w:rPr>
          <w:sz w:val="26"/>
          <w:szCs w:val="26"/>
        </w:rPr>
        <w:t xml:space="preserve">in more detail </w:t>
      </w:r>
      <w:r w:rsidR="00F31C24">
        <w:rPr>
          <w:sz w:val="26"/>
          <w:szCs w:val="26"/>
        </w:rPr>
        <w:t>violations of the Labor Code</w:t>
      </w:r>
      <w:r w:rsidR="00E93E0B">
        <w:rPr>
          <w:sz w:val="26"/>
          <w:szCs w:val="26"/>
        </w:rPr>
        <w:t xml:space="preserve"> (2016 Notice)</w:t>
      </w:r>
      <w:r w:rsidR="00F31C24">
        <w:rPr>
          <w:sz w:val="26"/>
          <w:szCs w:val="26"/>
        </w:rPr>
        <w:t xml:space="preserve">.  </w:t>
      </w:r>
      <w:r w:rsidR="00DD1492">
        <w:rPr>
          <w:sz w:val="26"/>
          <w:szCs w:val="26"/>
        </w:rPr>
        <w:t xml:space="preserve">The </w:t>
      </w:r>
      <w:r w:rsidR="00372E74">
        <w:rPr>
          <w:sz w:val="26"/>
          <w:szCs w:val="26"/>
        </w:rPr>
        <w:t>2016 Notice</w:t>
      </w:r>
      <w:r w:rsidR="00DD1492">
        <w:rPr>
          <w:sz w:val="26"/>
          <w:szCs w:val="26"/>
        </w:rPr>
        <w:t xml:space="preserve"> alleged defendants required aggrieved employees to sign invalid on-duty meal agreements, did not </w:t>
      </w:r>
      <w:r w:rsidR="00F31C24">
        <w:rPr>
          <w:sz w:val="26"/>
          <w:szCs w:val="26"/>
        </w:rPr>
        <w:t xml:space="preserve">permit rest periods, and </w:t>
      </w:r>
      <w:r w:rsidR="000643E4">
        <w:rPr>
          <w:sz w:val="26"/>
          <w:szCs w:val="26"/>
        </w:rPr>
        <w:t>did not</w:t>
      </w:r>
      <w:r w:rsidR="00DD1492">
        <w:rPr>
          <w:sz w:val="26"/>
          <w:szCs w:val="26"/>
        </w:rPr>
        <w:t xml:space="preserve"> pay meal and rest period premiums</w:t>
      </w:r>
      <w:r w:rsidR="00BA3C89">
        <w:rPr>
          <w:sz w:val="26"/>
          <w:szCs w:val="26"/>
        </w:rPr>
        <w:t xml:space="preserve"> in violation of</w:t>
      </w:r>
      <w:r w:rsidR="00F31C24">
        <w:rPr>
          <w:sz w:val="26"/>
          <w:szCs w:val="26"/>
        </w:rPr>
        <w:t xml:space="preserve"> section</w:t>
      </w:r>
      <w:r w:rsidR="00AB5FD3">
        <w:rPr>
          <w:sz w:val="26"/>
          <w:szCs w:val="26"/>
        </w:rPr>
        <w:t>s</w:t>
      </w:r>
      <w:r w:rsidR="00F31C24">
        <w:rPr>
          <w:sz w:val="26"/>
          <w:szCs w:val="26"/>
        </w:rPr>
        <w:t xml:space="preserve"> 226.7 and 512, subdivision (a). </w:t>
      </w:r>
      <w:r w:rsidR="00DD1492">
        <w:rPr>
          <w:sz w:val="26"/>
          <w:szCs w:val="26"/>
        </w:rPr>
        <w:t xml:space="preserve"> Defendants allegedly failed to </w:t>
      </w:r>
      <w:r w:rsidR="000643E4">
        <w:rPr>
          <w:sz w:val="26"/>
          <w:szCs w:val="26"/>
        </w:rPr>
        <w:t>give</w:t>
      </w:r>
      <w:r w:rsidR="00DD1492">
        <w:rPr>
          <w:sz w:val="26"/>
          <w:szCs w:val="26"/>
        </w:rPr>
        <w:t xml:space="preserve"> plaintiff and aggrieved employees properly itemized wage statements</w:t>
      </w:r>
      <w:r w:rsidR="00EC7F82">
        <w:rPr>
          <w:sz w:val="26"/>
          <w:szCs w:val="26"/>
        </w:rPr>
        <w:t xml:space="preserve"> by not </w:t>
      </w:r>
      <w:r w:rsidR="00B97C74">
        <w:rPr>
          <w:sz w:val="26"/>
          <w:szCs w:val="26"/>
        </w:rPr>
        <w:t>list</w:t>
      </w:r>
      <w:r w:rsidR="00EC7F82">
        <w:rPr>
          <w:sz w:val="26"/>
          <w:szCs w:val="26"/>
        </w:rPr>
        <w:t>ing</w:t>
      </w:r>
      <w:r w:rsidR="00B97C74">
        <w:rPr>
          <w:sz w:val="26"/>
          <w:szCs w:val="26"/>
        </w:rPr>
        <w:t xml:space="preserve"> the</w:t>
      </w:r>
      <w:r w:rsidR="00DD1492">
        <w:rPr>
          <w:sz w:val="26"/>
          <w:szCs w:val="26"/>
        </w:rPr>
        <w:t xml:space="preserve"> name and address of the </w:t>
      </w:r>
      <w:r w:rsidR="00B97C74">
        <w:rPr>
          <w:sz w:val="26"/>
          <w:szCs w:val="26"/>
        </w:rPr>
        <w:t>employer</w:t>
      </w:r>
      <w:r w:rsidR="001037EF">
        <w:rPr>
          <w:sz w:val="26"/>
          <w:szCs w:val="26"/>
        </w:rPr>
        <w:t>’</w:t>
      </w:r>
      <w:r w:rsidR="00B97C74">
        <w:rPr>
          <w:sz w:val="26"/>
          <w:szCs w:val="26"/>
        </w:rPr>
        <w:t xml:space="preserve">s </w:t>
      </w:r>
      <w:r w:rsidR="00DD1492">
        <w:rPr>
          <w:sz w:val="26"/>
          <w:szCs w:val="26"/>
        </w:rPr>
        <w:t>legal entity</w:t>
      </w:r>
      <w:r w:rsidR="00B97C74">
        <w:rPr>
          <w:sz w:val="26"/>
          <w:szCs w:val="26"/>
        </w:rPr>
        <w:t xml:space="preserve"> and the net wages earned</w:t>
      </w:r>
      <w:r w:rsidR="008E7B3A">
        <w:rPr>
          <w:sz w:val="26"/>
          <w:szCs w:val="26"/>
        </w:rPr>
        <w:t>,</w:t>
      </w:r>
      <w:r w:rsidR="00F31C24">
        <w:rPr>
          <w:sz w:val="26"/>
          <w:szCs w:val="26"/>
        </w:rPr>
        <w:t xml:space="preserve"> in violation of section 226, subdivision (a)</w:t>
      </w:r>
      <w:r w:rsidR="00DD1492">
        <w:rPr>
          <w:sz w:val="26"/>
          <w:szCs w:val="26"/>
        </w:rPr>
        <w:t>.</w:t>
      </w:r>
      <w:r w:rsidR="00EC7F82">
        <w:rPr>
          <w:sz w:val="26"/>
          <w:szCs w:val="26"/>
        </w:rPr>
        <w:t xml:space="preserve">  </w:t>
      </w:r>
      <w:r w:rsidR="00372E74">
        <w:rPr>
          <w:sz w:val="26"/>
          <w:szCs w:val="26"/>
        </w:rPr>
        <w:t>P</w:t>
      </w:r>
      <w:r w:rsidR="00AB5FD3">
        <w:rPr>
          <w:sz w:val="26"/>
          <w:szCs w:val="26"/>
        </w:rPr>
        <w:t>laintiff alleged defendants</w:t>
      </w:r>
      <w:r w:rsidR="00EC7F82">
        <w:rPr>
          <w:sz w:val="26"/>
          <w:szCs w:val="26"/>
        </w:rPr>
        <w:t xml:space="preserve"> </w:t>
      </w:r>
      <w:r w:rsidR="000643E4">
        <w:rPr>
          <w:sz w:val="26"/>
          <w:szCs w:val="26"/>
        </w:rPr>
        <w:t>did not</w:t>
      </w:r>
      <w:r w:rsidR="00EC7F82">
        <w:rPr>
          <w:sz w:val="26"/>
          <w:szCs w:val="26"/>
        </w:rPr>
        <w:t xml:space="preserve"> </w:t>
      </w:r>
      <w:r w:rsidR="00F31C24">
        <w:rPr>
          <w:sz w:val="26"/>
          <w:szCs w:val="26"/>
        </w:rPr>
        <w:t xml:space="preserve">maintain accurate payroll records in violation of section 1174, subdivision (d), and </w:t>
      </w:r>
      <w:r w:rsidR="008E7B3A">
        <w:rPr>
          <w:sz w:val="26"/>
          <w:szCs w:val="26"/>
        </w:rPr>
        <w:t xml:space="preserve">did not </w:t>
      </w:r>
      <w:r w:rsidR="00EC7F82">
        <w:rPr>
          <w:sz w:val="26"/>
          <w:szCs w:val="26"/>
        </w:rPr>
        <w:t>keep records of meal per</w:t>
      </w:r>
      <w:r w:rsidR="00F31C24">
        <w:rPr>
          <w:sz w:val="26"/>
          <w:szCs w:val="26"/>
        </w:rPr>
        <w:t xml:space="preserve">iods in violation of </w:t>
      </w:r>
      <w:r w:rsidR="00EC7F82">
        <w:rPr>
          <w:sz w:val="26"/>
          <w:szCs w:val="26"/>
        </w:rPr>
        <w:t>section 1198.</w:t>
      </w:r>
      <w:r w:rsidR="00AB5FD3">
        <w:rPr>
          <w:sz w:val="26"/>
          <w:szCs w:val="26"/>
        </w:rPr>
        <w:t xml:space="preserve">  </w:t>
      </w:r>
      <w:r w:rsidR="000643E4">
        <w:rPr>
          <w:sz w:val="26"/>
          <w:szCs w:val="26"/>
        </w:rPr>
        <w:t>D</w:t>
      </w:r>
      <w:r w:rsidR="00410A52">
        <w:rPr>
          <w:sz w:val="26"/>
          <w:szCs w:val="26"/>
        </w:rPr>
        <w:t>efendants</w:t>
      </w:r>
      <w:r w:rsidR="00AB5FD3">
        <w:rPr>
          <w:sz w:val="26"/>
          <w:szCs w:val="26"/>
        </w:rPr>
        <w:t xml:space="preserve"> allegedly</w:t>
      </w:r>
      <w:r w:rsidR="00410A52">
        <w:rPr>
          <w:sz w:val="26"/>
          <w:szCs w:val="26"/>
        </w:rPr>
        <w:t xml:space="preserve"> failed to pay </w:t>
      </w:r>
      <w:r w:rsidR="00AB5FD3">
        <w:rPr>
          <w:sz w:val="26"/>
          <w:szCs w:val="26"/>
        </w:rPr>
        <w:t>all wages due,</w:t>
      </w:r>
      <w:r w:rsidR="00410A52">
        <w:rPr>
          <w:sz w:val="26"/>
          <w:szCs w:val="26"/>
        </w:rPr>
        <w:t xml:space="preserve"> including meal and rest period premium wages</w:t>
      </w:r>
      <w:r w:rsidR="00AB5FD3">
        <w:rPr>
          <w:sz w:val="26"/>
          <w:szCs w:val="26"/>
        </w:rPr>
        <w:t>,</w:t>
      </w:r>
      <w:r w:rsidR="00BA3C89">
        <w:rPr>
          <w:sz w:val="26"/>
          <w:szCs w:val="26"/>
        </w:rPr>
        <w:t xml:space="preserve"> in violation of </w:t>
      </w:r>
      <w:r w:rsidR="00410A52">
        <w:rPr>
          <w:sz w:val="26"/>
          <w:szCs w:val="26"/>
        </w:rPr>
        <w:t xml:space="preserve">section 204. </w:t>
      </w:r>
      <w:r w:rsidR="00AB5FD3">
        <w:rPr>
          <w:sz w:val="26"/>
          <w:szCs w:val="26"/>
        </w:rPr>
        <w:t xml:space="preserve"> Plaintiff also as</w:t>
      </w:r>
      <w:r w:rsidR="00BA3C89">
        <w:rPr>
          <w:sz w:val="26"/>
          <w:szCs w:val="26"/>
        </w:rPr>
        <w:t xml:space="preserve">serted violations of </w:t>
      </w:r>
      <w:r w:rsidR="00AB5FD3">
        <w:rPr>
          <w:sz w:val="26"/>
          <w:szCs w:val="26"/>
        </w:rPr>
        <w:t>sections 201</w:t>
      </w:r>
      <w:r w:rsidR="00372E74">
        <w:rPr>
          <w:sz w:val="26"/>
          <w:szCs w:val="26"/>
        </w:rPr>
        <w:t>, 202</w:t>
      </w:r>
      <w:r w:rsidR="00CE53AD">
        <w:rPr>
          <w:sz w:val="26"/>
          <w:szCs w:val="26"/>
        </w:rPr>
        <w:t>,</w:t>
      </w:r>
      <w:r w:rsidR="00372E74">
        <w:rPr>
          <w:sz w:val="26"/>
          <w:szCs w:val="26"/>
        </w:rPr>
        <w:t xml:space="preserve"> and </w:t>
      </w:r>
      <w:r w:rsidR="00AB5FD3">
        <w:rPr>
          <w:sz w:val="26"/>
          <w:szCs w:val="26"/>
        </w:rPr>
        <w:t>203 for failing to timely pay discharged employees their final wages and to pay former em</w:t>
      </w:r>
      <w:r w:rsidR="005E4012">
        <w:rPr>
          <w:sz w:val="26"/>
          <w:szCs w:val="26"/>
        </w:rPr>
        <w:t>ployees all their earned wages.</w:t>
      </w:r>
      <w:r w:rsidR="000D4DD3">
        <w:rPr>
          <w:sz w:val="26"/>
          <w:szCs w:val="26"/>
        </w:rPr>
        <w:t xml:space="preserve">  </w:t>
      </w:r>
      <w:r w:rsidR="000643E4">
        <w:rPr>
          <w:sz w:val="26"/>
          <w:szCs w:val="26"/>
        </w:rPr>
        <w:t>P</w:t>
      </w:r>
      <w:r w:rsidR="00F31C24">
        <w:rPr>
          <w:sz w:val="26"/>
          <w:szCs w:val="26"/>
        </w:rPr>
        <w:t xml:space="preserve">laintiff sought </w:t>
      </w:r>
      <w:r w:rsidR="00AB5FD3">
        <w:rPr>
          <w:sz w:val="26"/>
          <w:szCs w:val="26"/>
        </w:rPr>
        <w:t>civil penalties under</w:t>
      </w:r>
      <w:r w:rsidR="00F31C24">
        <w:rPr>
          <w:sz w:val="26"/>
          <w:szCs w:val="26"/>
        </w:rPr>
        <w:t xml:space="preserve"> section 558</w:t>
      </w:r>
      <w:r w:rsidR="00AB5FD3">
        <w:rPr>
          <w:sz w:val="26"/>
          <w:szCs w:val="26"/>
        </w:rPr>
        <w:t xml:space="preserve"> for the violations</w:t>
      </w:r>
      <w:r w:rsidR="00F31C24">
        <w:rPr>
          <w:sz w:val="26"/>
          <w:szCs w:val="26"/>
        </w:rPr>
        <w:t xml:space="preserve">.  </w:t>
      </w:r>
    </w:p>
    <w:p w:rsidR="000B731D" w:rsidRDefault="00357347" w:rsidP="002A194B">
      <w:pPr>
        <w:ind w:firstLine="720"/>
        <w:rPr>
          <w:sz w:val="26"/>
          <w:szCs w:val="26"/>
        </w:rPr>
      </w:pPr>
      <w:r>
        <w:rPr>
          <w:sz w:val="26"/>
          <w:szCs w:val="26"/>
        </w:rPr>
        <w:t>On March 25, 2016, plaintiff filed</w:t>
      </w:r>
      <w:r w:rsidR="006F4EB7">
        <w:rPr>
          <w:sz w:val="26"/>
          <w:szCs w:val="26"/>
        </w:rPr>
        <w:t xml:space="preserve"> a third amended complaint. </w:t>
      </w:r>
      <w:r>
        <w:rPr>
          <w:sz w:val="26"/>
          <w:szCs w:val="26"/>
        </w:rPr>
        <w:t xml:space="preserve"> </w:t>
      </w:r>
      <w:r w:rsidR="002C5546">
        <w:rPr>
          <w:sz w:val="26"/>
          <w:szCs w:val="26"/>
        </w:rPr>
        <w:t xml:space="preserve">She </w:t>
      </w:r>
      <w:r w:rsidR="006F4EB7">
        <w:rPr>
          <w:sz w:val="26"/>
          <w:szCs w:val="26"/>
        </w:rPr>
        <w:t>alleged defendants</w:t>
      </w:r>
      <w:r w:rsidR="00EE0BD0">
        <w:rPr>
          <w:sz w:val="26"/>
          <w:szCs w:val="26"/>
        </w:rPr>
        <w:t xml:space="preserve"> did not</w:t>
      </w:r>
      <w:r w:rsidR="006A1194">
        <w:rPr>
          <w:sz w:val="26"/>
          <w:szCs w:val="26"/>
        </w:rPr>
        <w:t>:</w:t>
      </w:r>
      <w:r w:rsidR="006F4EB7">
        <w:rPr>
          <w:sz w:val="26"/>
          <w:szCs w:val="26"/>
        </w:rPr>
        <w:t xml:space="preserve"> provide</w:t>
      </w:r>
      <w:r w:rsidR="006A1194">
        <w:rPr>
          <w:sz w:val="26"/>
          <w:szCs w:val="26"/>
        </w:rPr>
        <w:t xml:space="preserve"> </w:t>
      </w:r>
      <w:r w:rsidR="006F4EB7">
        <w:rPr>
          <w:sz w:val="26"/>
          <w:szCs w:val="26"/>
        </w:rPr>
        <w:t xml:space="preserve">meal </w:t>
      </w:r>
      <w:r w:rsidR="00EE0BD0">
        <w:rPr>
          <w:sz w:val="26"/>
          <w:szCs w:val="26"/>
        </w:rPr>
        <w:t xml:space="preserve">and rest </w:t>
      </w:r>
      <w:r w:rsidR="006F4EB7">
        <w:rPr>
          <w:sz w:val="26"/>
          <w:szCs w:val="26"/>
        </w:rPr>
        <w:t>periods (</w:t>
      </w:r>
      <w:r>
        <w:rPr>
          <w:sz w:val="26"/>
          <w:szCs w:val="26"/>
        </w:rPr>
        <w:t>§§ 226.7, 512, subd. (a), 1198)</w:t>
      </w:r>
      <w:r w:rsidR="000443D8">
        <w:rPr>
          <w:sz w:val="26"/>
          <w:szCs w:val="26"/>
        </w:rPr>
        <w:t>;</w:t>
      </w:r>
      <w:r w:rsidR="006F4EB7">
        <w:rPr>
          <w:sz w:val="26"/>
          <w:szCs w:val="26"/>
        </w:rPr>
        <w:t xml:space="preserve"> provide and maintain comp</w:t>
      </w:r>
      <w:r w:rsidR="00BA3C89">
        <w:rPr>
          <w:sz w:val="26"/>
          <w:szCs w:val="26"/>
        </w:rPr>
        <w:t>liant wage statements (</w:t>
      </w:r>
      <w:r w:rsidR="006F4EB7">
        <w:rPr>
          <w:sz w:val="26"/>
          <w:szCs w:val="26"/>
        </w:rPr>
        <w:t xml:space="preserve">§§ 226, subd. </w:t>
      </w:r>
      <w:r w:rsidR="000443D8">
        <w:rPr>
          <w:sz w:val="26"/>
          <w:szCs w:val="26"/>
        </w:rPr>
        <w:t xml:space="preserve">(a), 1174, subd. (d), 1198); </w:t>
      </w:r>
      <w:r w:rsidR="006F4EB7">
        <w:rPr>
          <w:sz w:val="26"/>
          <w:szCs w:val="26"/>
        </w:rPr>
        <w:t>pay w</w:t>
      </w:r>
      <w:r w:rsidR="00BA3C89">
        <w:rPr>
          <w:sz w:val="26"/>
          <w:szCs w:val="26"/>
        </w:rPr>
        <w:t>ages during employment (</w:t>
      </w:r>
      <w:r w:rsidR="006F4EB7">
        <w:rPr>
          <w:sz w:val="26"/>
          <w:szCs w:val="26"/>
        </w:rPr>
        <w:t>§ 204)</w:t>
      </w:r>
      <w:r w:rsidR="00372E74">
        <w:rPr>
          <w:sz w:val="26"/>
          <w:szCs w:val="26"/>
        </w:rPr>
        <w:t>;</w:t>
      </w:r>
      <w:r w:rsidR="006F4EB7">
        <w:rPr>
          <w:sz w:val="26"/>
          <w:szCs w:val="26"/>
        </w:rPr>
        <w:t xml:space="preserve"> a</w:t>
      </w:r>
      <w:r w:rsidR="00BA3C89">
        <w:rPr>
          <w:sz w:val="26"/>
          <w:szCs w:val="26"/>
        </w:rPr>
        <w:t>nd</w:t>
      </w:r>
      <w:r w:rsidR="00372E74">
        <w:rPr>
          <w:sz w:val="26"/>
          <w:szCs w:val="26"/>
        </w:rPr>
        <w:t xml:space="preserve"> pay</w:t>
      </w:r>
      <w:r w:rsidR="00BA3C89">
        <w:rPr>
          <w:sz w:val="26"/>
          <w:szCs w:val="26"/>
        </w:rPr>
        <w:t xml:space="preserve"> wages upon termination (</w:t>
      </w:r>
      <w:r w:rsidR="006F4EB7">
        <w:rPr>
          <w:sz w:val="26"/>
          <w:szCs w:val="26"/>
        </w:rPr>
        <w:t>§§ 201</w:t>
      </w:r>
      <w:r w:rsidR="00137C5B">
        <w:rPr>
          <w:sz w:val="26"/>
          <w:szCs w:val="26"/>
        </w:rPr>
        <w:t xml:space="preserve">, 202, </w:t>
      </w:r>
      <w:r w:rsidR="006F4EB7">
        <w:rPr>
          <w:sz w:val="26"/>
          <w:szCs w:val="26"/>
        </w:rPr>
        <w:t>203).</w:t>
      </w:r>
      <w:r w:rsidR="00734A75">
        <w:rPr>
          <w:sz w:val="26"/>
          <w:szCs w:val="26"/>
        </w:rPr>
        <w:t xml:space="preserve">  The third amended complaint was the first pleading to reference section 1174, subdivision (d). </w:t>
      </w:r>
      <w:r w:rsidR="000B731D">
        <w:rPr>
          <w:sz w:val="26"/>
          <w:szCs w:val="26"/>
        </w:rPr>
        <w:t xml:space="preserve"> </w:t>
      </w:r>
      <w:r w:rsidR="00DD1492">
        <w:rPr>
          <w:sz w:val="26"/>
          <w:szCs w:val="26"/>
        </w:rPr>
        <w:t>On July 14, 2016, defendants filed a demurrer to the third amended complaint</w:t>
      </w:r>
      <w:r w:rsidR="007B55AB">
        <w:rPr>
          <w:sz w:val="26"/>
          <w:szCs w:val="26"/>
        </w:rPr>
        <w:t>, contending the 2016 Notice was too late and the PAGA claims were time</w:t>
      </w:r>
      <w:r w:rsidR="000E3522">
        <w:rPr>
          <w:sz w:val="26"/>
          <w:szCs w:val="26"/>
        </w:rPr>
        <w:t>-</w:t>
      </w:r>
      <w:r w:rsidR="007B55AB">
        <w:rPr>
          <w:sz w:val="26"/>
          <w:szCs w:val="26"/>
        </w:rPr>
        <w:t>barred</w:t>
      </w:r>
      <w:r w:rsidR="00DD1492">
        <w:rPr>
          <w:sz w:val="26"/>
          <w:szCs w:val="26"/>
        </w:rPr>
        <w:t>.</w:t>
      </w:r>
      <w:r w:rsidR="00CC366D">
        <w:rPr>
          <w:sz w:val="26"/>
          <w:szCs w:val="26"/>
        </w:rPr>
        <w:t xml:space="preserve">  </w:t>
      </w:r>
    </w:p>
    <w:p w:rsidR="00DF4174" w:rsidRDefault="00CC366D" w:rsidP="002A194B">
      <w:pPr>
        <w:ind w:firstLine="720"/>
        <w:rPr>
          <w:sz w:val="26"/>
          <w:szCs w:val="26"/>
        </w:rPr>
      </w:pPr>
      <w:r>
        <w:rPr>
          <w:sz w:val="26"/>
          <w:szCs w:val="26"/>
        </w:rPr>
        <w:t>On August 8, 2016, the trial court</w:t>
      </w:r>
      <w:r w:rsidR="00381242">
        <w:rPr>
          <w:sz w:val="26"/>
          <w:szCs w:val="26"/>
        </w:rPr>
        <w:t xml:space="preserve"> sustained the demurrer without leave to amend.  The trial court </w:t>
      </w:r>
      <w:r w:rsidR="00D26874">
        <w:rPr>
          <w:sz w:val="26"/>
          <w:szCs w:val="26"/>
        </w:rPr>
        <w:t>held the</w:t>
      </w:r>
      <w:r w:rsidR="00B27EA3">
        <w:rPr>
          <w:sz w:val="26"/>
          <w:szCs w:val="26"/>
        </w:rPr>
        <w:t xml:space="preserve"> 2009 N</w:t>
      </w:r>
      <w:r w:rsidR="000B731D">
        <w:rPr>
          <w:sz w:val="26"/>
          <w:szCs w:val="26"/>
        </w:rPr>
        <w:t>otice</w:t>
      </w:r>
      <w:r w:rsidR="00381242">
        <w:rPr>
          <w:sz w:val="26"/>
          <w:szCs w:val="26"/>
        </w:rPr>
        <w:t xml:space="preserve"> </w:t>
      </w:r>
      <w:r w:rsidR="00D81036">
        <w:rPr>
          <w:sz w:val="26"/>
          <w:szCs w:val="26"/>
        </w:rPr>
        <w:t xml:space="preserve">was deficient because </w:t>
      </w:r>
      <w:r w:rsidR="00CE53AD">
        <w:rPr>
          <w:sz w:val="26"/>
          <w:szCs w:val="26"/>
        </w:rPr>
        <w:t xml:space="preserve">it </w:t>
      </w:r>
      <w:r w:rsidR="00B6025E">
        <w:rPr>
          <w:sz w:val="26"/>
          <w:szCs w:val="26"/>
        </w:rPr>
        <w:t xml:space="preserve">did not allege </w:t>
      </w:r>
      <w:r w:rsidR="001037EF">
        <w:rPr>
          <w:sz w:val="26"/>
          <w:szCs w:val="26"/>
        </w:rPr>
        <w:t>“</w:t>
      </w:r>
      <w:r w:rsidR="00381242">
        <w:rPr>
          <w:sz w:val="26"/>
          <w:szCs w:val="26"/>
        </w:rPr>
        <w:t>facts and theories</w:t>
      </w:r>
      <w:r w:rsidR="001037EF">
        <w:rPr>
          <w:sz w:val="26"/>
          <w:szCs w:val="26"/>
        </w:rPr>
        <w:t>”</w:t>
      </w:r>
      <w:r w:rsidR="00381242">
        <w:rPr>
          <w:sz w:val="26"/>
          <w:szCs w:val="26"/>
        </w:rPr>
        <w:t xml:space="preserve"> to support the alleged violations</w:t>
      </w:r>
      <w:r w:rsidR="00BD6019">
        <w:rPr>
          <w:sz w:val="26"/>
          <w:szCs w:val="26"/>
        </w:rPr>
        <w:t xml:space="preserve"> and did not</w:t>
      </w:r>
      <w:r w:rsidR="00381242">
        <w:rPr>
          <w:sz w:val="26"/>
          <w:szCs w:val="26"/>
        </w:rPr>
        <w:t xml:space="preserve"> </w:t>
      </w:r>
      <w:r w:rsidR="00B6025E">
        <w:rPr>
          <w:sz w:val="26"/>
          <w:szCs w:val="26"/>
        </w:rPr>
        <w:t>include</w:t>
      </w:r>
      <w:r w:rsidR="00381242">
        <w:rPr>
          <w:sz w:val="26"/>
          <w:szCs w:val="26"/>
        </w:rPr>
        <w:t xml:space="preserve"> violations </w:t>
      </w:r>
      <w:r w:rsidR="00D81036">
        <w:rPr>
          <w:sz w:val="26"/>
          <w:szCs w:val="26"/>
        </w:rPr>
        <w:t xml:space="preserve">of </w:t>
      </w:r>
      <w:r w:rsidR="00B6025E">
        <w:rPr>
          <w:sz w:val="26"/>
          <w:szCs w:val="26"/>
        </w:rPr>
        <w:t xml:space="preserve">the </w:t>
      </w:r>
      <w:r w:rsidR="00D81036">
        <w:rPr>
          <w:sz w:val="26"/>
          <w:szCs w:val="26"/>
        </w:rPr>
        <w:t xml:space="preserve">Labor Code provisions </w:t>
      </w:r>
      <w:r w:rsidR="00BD6019">
        <w:rPr>
          <w:sz w:val="26"/>
          <w:szCs w:val="26"/>
        </w:rPr>
        <w:t xml:space="preserve">plaintiff </w:t>
      </w:r>
      <w:r w:rsidR="00B6025E">
        <w:rPr>
          <w:sz w:val="26"/>
          <w:szCs w:val="26"/>
        </w:rPr>
        <w:t>had added to later</w:t>
      </w:r>
      <w:r w:rsidR="00BD6019">
        <w:rPr>
          <w:sz w:val="26"/>
          <w:szCs w:val="26"/>
        </w:rPr>
        <w:t xml:space="preserve"> complaint</w:t>
      </w:r>
      <w:r w:rsidR="00B6025E">
        <w:rPr>
          <w:sz w:val="26"/>
          <w:szCs w:val="26"/>
        </w:rPr>
        <w:t>s</w:t>
      </w:r>
      <w:r w:rsidR="00BD6019">
        <w:rPr>
          <w:sz w:val="26"/>
          <w:szCs w:val="26"/>
        </w:rPr>
        <w:t>, such as violations of</w:t>
      </w:r>
      <w:r w:rsidR="00BA3C89">
        <w:rPr>
          <w:sz w:val="26"/>
          <w:szCs w:val="26"/>
        </w:rPr>
        <w:t xml:space="preserve"> </w:t>
      </w:r>
      <w:r w:rsidR="000B731D">
        <w:rPr>
          <w:sz w:val="26"/>
          <w:szCs w:val="26"/>
        </w:rPr>
        <w:t xml:space="preserve">sections 201, 202, 558, </w:t>
      </w:r>
      <w:r w:rsidR="00E93E0B">
        <w:rPr>
          <w:sz w:val="26"/>
          <w:szCs w:val="26"/>
        </w:rPr>
        <w:t xml:space="preserve">and 1198.  </w:t>
      </w:r>
      <w:r w:rsidR="00372E74">
        <w:rPr>
          <w:sz w:val="26"/>
          <w:szCs w:val="26"/>
        </w:rPr>
        <w:t>Although</w:t>
      </w:r>
      <w:r w:rsidR="00E93E0B">
        <w:rPr>
          <w:sz w:val="26"/>
          <w:szCs w:val="26"/>
        </w:rPr>
        <w:t xml:space="preserve"> the</w:t>
      </w:r>
      <w:r w:rsidR="000B731D">
        <w:rPr>
          <w:sz w:val="26"/>
          <w:szCs w:val="26"/>
        </w:rPr>
        <w:t xml:space="preserve"> trial court ruled </w:t>
      </w:r>
      <w:r w:rsidR="00BD6019">
        <w:rPr>
          <w:sz w:val="26"/>
          <w:szCs w:val="26"/>
        </w:rPr>
        <w:t xml:space="preserve">plaintiff could amend </w:t>
      </w:r>
      <w:r w:rsidR="00E93E0B">
        <w:rPr>
          <w:sz w:val="26"/>
          <w:szCs w:val="26"/>
        </w:rPr>
        <w:t xml:space="preserve">the 2009 </w:t>
      </w:r>
      <w:r w:rsidR="00BD6019">
        <w:rPr>
          <w:sz w:val="26"/>
          <w:szCs w:val="26"/>
        </w:rPr>
        <w:t>N</w:t>
      </w:r>
      <w:r w:rsidR="00E93E0B">
        <w:rPr>
          <w:sz w:val="26"/>
          <w:szCs w:val="26"/>
        </w:rPr>
        <w:t>otice</w:t>
      </w:r>
      <w:r w:rsidR="00D81036">
        <w:rPr>
          <w:sz w:val="26"/>
          <w:szCs w:val="26"/>
        </w:rPr>
        <w:t xml:space="preserve"> as she had done with the 2016 Notice</w:t>
      </w:r>
      <w:r w:rsidR="00372E74">
        <w:rPr>
          <w:sz w:val="26"/>
          <w:szCs w:val="26"/>
        </w:rPr>
        <w:t>,</w:t>
      </w:r>
      <w:r w:rsidR="009A129A">
        <w:rPr>
          <w:sz w:val="26"/>
          <w:szCs w:val="26"/>
        </w:rPr>
        <w:t xml:space="preserve"> the court </w:t>
      </w:r>
      <w:r w:rsidR="00BD6019">
        <w:rPr>
          <w:sz w:val="26"/>
          <w:szCs w:val="26"/>
        </w:rPr>
        <w:t>concluded that</w:t>
      </w:r>
      <w:r w:rsidR="009A129A">
        <w:rPr>
          <w:sz w:val="26"/>
          <w:szCs w:val="26"/>
        </w:rPr>
        <w:t xml:space="preserve"> any claim based on the 2016 Notice</w:t>
      </w:r>
      <w:r w:rsidR="00BD6019">
        <w:rPr>
          <w:sz w:val="26"/>
          <w:szCs w:val="26"/>
        </w:rPr>
        <w:t xml:space="preserve"> was</w:t>
      </w:r>
      <w:r w:rsidR="009A129A">
        <w:rPr>
          <w:sz w:val="26"/>
          <w:szCs w:val="26"/>
        </w:rPr>
        <w:t xml:space="preserve"> barred by PAGA</w:t>
      </w:r>
      <w:r w:rsidR="001037EF">
        <w:rPr>
          <w:sz w:val="26"/>
          <w:szCs w:val="26"/>
        </w:rPr>
        <w:t>’</w:t>
      </w:r>
      <w:r w:rsidR="009A129A">
        <w:rPr>
          <w:sz w:val="26"/>
          <w:szCs w:val="26"/>
        </w:rPr>
        <w:t>s one</w:t>
      </w:r>
      <w:r w:rsidR="00BD6019">
        <w:rPr>
          <w:sz w:val="26"/>
          <w:szCs w:val="26"/>
        </w:rPr>
        <w:t>-</w:t>
      </w:r>
      <w:r w:rsidR="009A129A">
        <w:rPr>
          <w:sz w:val="26"/>
          <w:szCs w:val="26"/>
        </w:rPr>
        <w:t xml:space="preserve">year statute of limitations. </w:t>
      </w:r>
      <w:r w:rsidR="00BD6019">
        <w:rPr>
          <w:sz w:val="26"/>
          <w:szCs w:val="26"/>
        </w:rPr>
        <w:t xml:space="preserve"> Because plaintiff</w:t>
      </w:r>
      <w:r w:rsidR="001037EF">
        <w:rPr>
          <w:sz w:val="26"/>
          <w:szCs w:val="26"/>
        </w:rPr>
        <w:t>’</w:t>
      </w:r>
      <w:r w:rsidR="00BD6019">
        <w:rPr>
          <w:sz w:val="26"/>
          <w:szCs w:val="26"/>
        </w:rPr>
        <w:t xml:space="preserve">s last day as an employee was December 10, 2009, plaintiff needed to </w:t>
      </w:r>
      <w:r w:rsidR="00706FC5">
        <w:rPr>
          <w:sz w:val="26"/>
          <w:szCs w:val="26"/>
        </w:rPr>
        <w:t>file</w:t>
      </w:r>
      <w:r w:rsidR="00BD6019">
        <w:rPr>
          <w:sz w:val="26"/>
          <w:szCs w:val="26"/>
        </w:rPr>
        <w:t xml:space="preserve"> her notice by December 10, 2010 at the latest.  The 2016 Notice, </w:t>
      </w:r>
      <w:r w:rsidR="00706FC5">
        <w:rPr>
          <w:sz w:val="26"/>
          <w:szCs w:val="26"/>
        </w:rPr>
        <w:t xml:space="preserve">filed </w:t>
      </w:r>
      <w:r w:rsidR="00BD6019">
        <w:rPr>
          <w:sz w:val="26"/>
          <w:szCs w:val="26"/>
        </w:rPr>
        <w:t>on March</w:t>
      </w:r>
      <w:r w:rsidR="003D27F0">
        <w:rPr>
          <w:sz w:val="26"/>
          <w:szCs w:val="26"/>
        </w:rPr>
        <w:t> </w:t>
      </w:r>
      <w:r w:rsidR="00BD6019">
        <w:rPr>
          <w:sz w:val="26"/>
          <w:szCs w:val="26"/>
        </w:rPr>
        <w:t>4, 2016</w:t>
      </w:r>
      <w:r w:rsidR="00706FC5">
        <w:rPr>
          <w:sz w:val="26"/>
          <w:szCs w:val="26"/>
        </w:rPr>
        <w:t>,</w:t>
      </w:r>
      <w:r w:rsidR="00BD6019">
        <w:rPr>
          <w:sz w:val="26"/>
          <w:szCs w:val="26"/>
        </w:rPr>
        <w:t xml:space="preserve"> was more than five years too late.</w:t>
      </w:r>
      <w:r w:rsidR="009A129A">
        <w:rPr>
          <w:sz w:val="26"/>
          <w:szCs w:val="26"/>
        </w:rPr>
        <w:t xml:space="preserve">  The trial court rejected plaintiff</w:t>
      </w:r>
      <w:r w:rsidR="001037EF">
        <w:rPr>
          <w:sz w:val="26"/>
          <w:szCs w:val="26"/>
        </w:rPr>
        <w:t>’</w:t>
      </w:r>
      <w:r w:rsidR="009A129A">
        <w:rPr>
          <w:sz w:val="26"/>
          <w:szCs w:val="26"/>
        </w:rPr>
        <w:t>s contention that the doctrine of equitable tolling</w:t>
      </w:r>
      <w:r w:rsidR="00BD6019">
        <w:rPr>
          <w:sz w:val="26"/>
          <w:szCs w:val="26"/>
        </w:rPr>
        <w:t xml:space="preserve"> </w:t>
      </w:r>
      <w:r w:rsidR="00137C5B">
        <w:rPr>
          <w:sz w:val="26"/>
          <w:szCs w:val="26"/>
        </w:rPr>
        <w:t xml:space="preserve">applied </w:t>
      </w:r>
      <w:r w:rsidR="00BD6019">
        <w:rPr>
          <w:sz w:val="26"/>
          <w:szCs w:val="26"/>
        </w:rPr>
        <w:t xml:space="preserve">because plaintiff </w:t>
      </w:r>
      <w:r w:rsidR="00137C5B">
        <w:rPr>
          <w:sz w:val="26"/>
          <w:szCs w:val="26"/>
        </w:rPr>
        <w:t xml:space="preserve">had </w:t>
      </w:r>
      <w:r w:rsidR="00BD6019">
        <w:rPr>
          <w:sz w:val="26"/>
          <w:szCs w:val="26"/>
        </w:rPr>
        <w:t>added new factual allegations and Labor Code violations</w:t>
      </w:r>
      <w:r w:rsidR="00E95E2B">
        <w:rPr>
          <w:sz w:val="26"/>
          <w:szCs w:val="26"/>
        </w:rPr>
        <w:t xml:space="preserve"> not referenced in the original complaint and 2009 Notice, and plaintiff failed to demonstrate a lack of prejudice to defendants</w:t>
      </w:r>
      <w:r w:rsidR="009A129A">
        <w:rPr>
          <w:sz w:val="26"/>
          <w:szCs w:val="26"/>
        </w:rPr>
        <w:t>.  The trial court declined to address the relation</w:t>
      </w:r>
      <w:r w:rsidR="009A414B">
        <w:rPr>
          <w:sz w:val="26"/>
          <w:szCs w:val="26"/>
        </w:rPr>
        <w:t xml:space="preserve"> </w:t>
      </w:r>
      <w:r w:rsidR="009A129A">
        <w:rPr>
          <w:sz w:val="26"/>
          <w:szCs w:val="26"/>
        </w:rPr>
        <w:t xml:space="preserve">back </w:t>
      </w:r>
      <w:r w:rsidR="009A414B">
        <w:rPr>
          <w:sz w:val="26"/>
          <w:szCs w:val="26"/>
        </w:rPr>
        <w:t>doctrine</w:t>
      </w:r>
      <w:r w:rsidR="009A129A">
        <w:rPr>
          <w:sz w:val="26"/>
          <w:szCs w:val="26"/>
        </w:rPr>
        <w:t xml:space="preserve"> because it found equitable tolling did not</w:t>
      </w:r>
      <w:r w:rsidR="004B5771">
        <w:rPr>
          <w:sz w:val="26"/>
          <w:szCs w:val="26"/>
        </w:rPr>
        <w:t xml:space="preserve"> apply to expand plaintiff</w:t>
      </w:r>
      <w:r w:rsidR="001037EF">
        <w:rPr>
          <w:sz w:val="26"/>
          <w:szCs w:val="26"/>
        </w:rPr>
        <w:t>’</w:t>
      </w:r>
      <w:r w:rsidR="004B5771">
        <w:rPr>
          <w:sz w:val="26"/>
          <w:szCs w:val="26"/>
        </w:rPr>
        <w:t>s PAGA claim</w:t>
      </w:r>
      <w:r w:rsidR="00236B35">
        <w:rPr>
          <w:sz w:val="26"/>
          <w:szCs w:val="26"/>
        </w:rPr>
        <w:t>s</w:t>
      </w:r>
      <w:r w:rsidR="004B5771">
        <w:rPr>
          <w:sz w:val="26"/>
          <w:szCs w:val="26"/>
        </w:rPr>
        <w:t xml:space="preserve">.  </w:t>
      </w:r>
    </w:p>
    <w:p w:rsidR="00B6025E" w:rsidRDefault="00B6025E" w:rsidP="002A194B">
      <w:pPr>
        <w:ind w:firstLine="720"/>
        <w:rPr>
          <w:sz w:val="26"/>
          <w:szCs w:val="26"/>
        </w:rPr>
      </w:pPr>
      <w:r>
        <w:rPr>
          <w:sz w:val="26"/>
          <w:szCs w:val="26"/>
        </w:rPr>
        <w:t>The trial court thereafter entered judgment in favor of defendants, and plaintiff appealed.</w:t>
      </w:r>
    </w:p>
    <w:p w:rsidR="00E21DC5" w:rsidRDefault="00E21DC5" w:rsidP="002A194B">
      <w:pPr>
        <w:ind w:firstLine="90"/>
        <w:rPr>
          <w:sz w:val="26"/>
          <w:szCs w:val="26"/>
        </w:rPr>
      </w:pPr>
    </w:p>
    <w:p w:rsidR="00EC5E16" w:rsidRPr="0052759D" w:rsidRDefault="00EC5E16" w:rsidP="0052759D">
      <w:pPr>
        <w:pStyle w:val="ListParagraph"/>
        <w:numPr>
          <w:ilvl w:val="0"/>
          <w:numId w:val="7"/>
        </w:numPr>
        <w:jc w:val="center"/>
        <w:rPr>
          <w:b/>
          <w:sz w:val="26"/>
          <w:szCs w:val="26"/>
        </w:rPr>
      </w:pPr>
      <w:r w:rsidRPr="0052759D">
        <w:rPr>
          <w:b/>
          <w:sz w:val="26"/>
          <w:szCs w:val="26"/>
        </w:rPr>
        <w:t>DISCUSSION</w:t>
      </w:r>
    </w:p>
    <w:p w:rsidR="00EC5E16" w:rsidRDefault="00EC5E16" w:rsidP="002A194B">
      <w:pPr>
        <w:pStyle w:val="ListParagraph"/>
        <w:ind w:left="0"/>
        <w:rPr>
          <w:sz w:val="26"/>
          <w:szCs w:val="26"/>
        </w:rPr>
      </w:pPr>
    </w:p>
    <w:p w:rsidR="004B5771" w:rsidRPr="0052759D" w:rsidRDefault="004B5771" w:rsidP="0052759D">
      <w:pPr>
        <w:pStyle w:val="ListParagraph"/>
        <w:numPr>
          <w:ilvl w:val="0"/>
          <w:numId w:val="8"/>
        </w:numPr>
        <w:ind w:hanging="720"/>
        <w:rPr>
          <w:i/>
          <w:sz w:val="26"/>
          <w:szCs w:val="26"/>
        </w:rPr>
      </w:pPr>
      <w:r w:rsidRPr="0052759D">
        <w:rPr>
          <w:i/>
          <w:sz w:val="26"/>
          <w:szCs w:val="26"/>
        </w:rPr>
        <w:t>Standards of Review</w:t>
      </w:r>
    </w:p>
    <w:p w:rsidR="000F7786" w:rsidRDefault="000F7786" w:rsidP="002A194B">
      <w:pPr>
        <w:ind w:firstLine="720"/>
        <w:rPr>
          <w:sz w:val="26"/>
          <w:szCs w:val="26"/>
        </w:rPr>
      </w:pPr>
    </w:p>
    <w:p w:rsidR="006D2A92" w:rsidRDefault="00C8635E" w:rsidP="002A194B">
      <w:pPr>
        <w:ind w:firstLine="720"/>
        <w:rPr>
          <w:sz w:val="26"/>
          <w:szCs w:val="26"/>
        </w:rPr>
      </w:pPr>
      <w:r w:rsidRPr="00C8635E">
        <w:rPr>
          <w:sz w:val="26"/>
          <w:szCs w:val="26"/>
        </w:rPr>
        <w:t>On appeal from a judgment based on an order sustaining a demurrer, we assume all facts alleged in the complaint are true.  (</w:t>
      </w:r>
      <w:r w:rsidRPr="00C8635E">
        <w:rPr>
          <w:i/>
          <w:sz w:val="26"/>
          <w:szCs w:val="26"/>
        </w:rPr>
        <w:t xml:space="preserve">Pineda v. Williams-Sonoma Stores, Inc. </w:t>
      </w:r>
      <w:r w:rsidRPr="00C8635E">
        <w:rPr>
          <w:sz w:val="26"/>
          <w:szCs w:val="26"/>
        </w:rPr>
        <w:t xml:space="preserve">(2011) 51 Cal.4th 524, 528; </w:t>
      </w:r>
      <w:r w:rsidRPr="00C8635E">
        <w:rPr>
          <w:i/>
          <w:sz w:val="26"/>
          <w:szCs w:val="26"/>
        </w:rPr>
        <w:t xml:space="preserve">Sheehan v. San Francisco 49ers, Ltd. </w:t>
      </w:r>
      <w:r w:rsidRPr="00C8635E">
        <w:rPr>
          <w:sz w:val="26"/>
          <w:szCs w:val="26"/>
        </w:rPr>
        <w:t>(2009) 45 Cal.4th 992, 998.)  We accept all properly pleaded material facts but not contentions, deductions</w:t>
      </w:r>
      <w:r w:rsidR="009634C9">
        <w:rPr>
          <w:sz w:val="26"/>
          <w:szCs w:val="26"/>
        </w:rPr>
        <w:t>,</w:t>
      </w:r>
      <w:r w:rsidRPr="00C8635E">
        <w:rPr>
          <w:sz w:val="26"/>
          <w:szCs w:val="26"/>
        </w:rPr>
        <w:t xml:space="preserve"> or conclusions of fact or law.  (</w:t>
      </w:r>
      <w:r w:rsidRPr="00C8635E">
        <w:rPr>
          <w:i/>
          <w:sz w:val="26"/>
          <w:szCs w:val="26"/>
        </w:rPr>
        <w:t xml:space="preserve">Winn v. Pioneer Medical Group, Inc. </w:t>
      </w:r>
      <w:r w:rsidRPr="00C8635E">
        <w:rPr>
          <w:sz w:val="26"/>
          <w:szCs w:val="26"/>
        </w:rPr>
        <w:t>(2016) 63 Cal.4th 148, 152</w:t>
      </w:r>
      <w:r w:rsidR="00B23664">
        <w:rPr>
          <w:sz w:val="26"/>
          <w:szCs w:val="26"/>
        </w:rPr>
        <w:t>.</w:t>
      </w:r>
      <w:r w:rsidRPr="00C8635E">
        <w:rPr>
          <w:sz w:val="26"/>
          <w:szCs w:val="26"/>
        </w:rPr>
        <w:t>)  We read the complaint as a whole and its parts in their context to give the complaint a reasonable interpretation.  (</w:t>
      </w:r>
      <w:r w:rsidR="00B23664" w:rsidRPr="00C8635E">
        <w:rPr>
          <w:i/>
          <w:sz w:val="26"/>
          <w:szCs w:val="26"/>
        </w:rPr>
        <w:t>Evans v. City of Berkeley</w:t>
      </w:r>
      <w:r w:rsidR="00B23664" w:rsidRPr="00C8635E">
        <w:rPr>
          <w:sz w:val="26"/>
          <w:szCs w:val="26"/>
        </w:rPr>
        <w:t xml:space="preserve"> (2006) 38 Cal.4th 1, 6</w:t>
      </w:r>
      <w:r w:rsidRPr="00C8635E">
        <w:rPr>
          <w:sz w:val="26"/>
          <w:szCs w:val="26"/>
        </w:rPr>
        <w:t xml:space="preserve">; </w:t>
      </w:r>
      <w:r w:rsidRPr="00C8635E">
        <w:rPr>
          <w:i/>
          <w:sz w:val="26"/>
          <w:szCs w:val="26"/>
        </w:rPr>
        <w:t xml:space="preserve">Blank v. </w:t>
      </w:r>
      <w:proofErr w:type="spellStart"/>
      <w:r w:rsidRPr="00C8635E">
        <w:rPr>
          <w:i/>
          <w:sz w:val="26"/>
          <w:szCs w:val="26"/>
        </w:rPr>
        <w:t>Kirwan</w:t>
      </w:r>
      <w:proofErr w:type="spellEnd"/>
      <w:r w:rsidRPr="00C8635E">
        <w:rPr>
          <w:i/>
          <w:sz w:val="26"/>
          <w:szCs w:val="26"/>
        </w:rPr>
        <w:t xml:space="preserve"> </w:t>
      </w:r>
      <w:r w:rsidRPr="00C8635E">
        <w:rPr>
          <w:sz w:val="26"/>
          <w:szCs w:val="26"/>
        </w:rPr>
        <w:t>(1985) 39 Cal.3d 311, 318.)</w:t>
      </w:r>
      <w:r>
        <w:rPr>
          <w:sz w:val="26"/>
          <w:szCs w:val="26"/>
        </w:rPr>
        <w:t xml:space="preserve">  </w:t>
      </w:r>
      <w:r w:rsidR="009634C9">
        <w:rPr>
          <w:sz w:val="26"/>
          <w:szCs w:val="26"/>
        </w:rPr>
        <w:t xml:space="preserve">Likewise, we </w:t>
      </w:r>
      <w:r w:rsidR="00405CAC">
        <w:rPr>
          <w:sz w:val="26"/>
          <w:szCs w:val="26"/>
        </w:rPr>
        <w:t>independently review a trial court</w:t>
      </w:r>
      <w:r w:rsidR="001037EF">
        <w:rPr>
          <w:sz w:val="26"/>
          <w:szCs w:val="26"/>
        </w:rPr>
        <w:t>’</w:t>
      </w:r>
      <w:r w:rsidR="00405CAC">
        <w:rPr>
          <w:sz w:val="26"/>
          <w:szCs w:val="26"/>
        </w:rPr>
        <w:t>s order on a motion for judgment on the pleadings.</w:t>
      </w:r>
      <w:r w:rsidR="009A414B" w:rsidRPr="0091378A">
        <w:rPr>
          <w:rStyle w:val="FootnoteReference"/>
          <w:position w:val="8"/>
          <w:sz w:val="20"/>
          <w:szCs w:val="26"/>
          <w:vertAlign w:val="baseline"/>
        </w:rPr>
        <w:footnoteReference w:id="2"/>
      </w:r>
      <w:r w:rsidR="00405CAC">
        <w:rPr>
          <w:sz w:val="26"/>
          <w:szCs w:val="26"/>
        </w:rPr>
        <w:t xml:space="preserve">  (</w:t>
      </w:r>
      <w:r w:rsidR="00405CAC">
        <w:rPr>
          <w:i/>
          <w:sz w:val="26"/>
          <w:szCs w:val="26"/>
        </w:rPr>
        <w:t xml:space="preserve">Jacks v. City of Santa Barbara </w:t>
      </w:r>
      <w:r w:rsidR="00405CAC">
        <w:rPr>
          <w:sz w:val="26"/>
          <w:szCs w:val="26"/>
        </w:rPr>
        <w:t xml:space="preserve">(2017) 3 Cal.5th 248, 273; </w:t>
      </w:r>
      <w:r w:rsidR="00405CAC">
        <w:rPr>
          <w:i/>
          <w:sz w:val="26"/>
          <w:szCs w:val="26"/>
        </w:rPr>
        <w:t>People ex rel. Harris v. Pac</w:t>
      </w:r>
      <w:r w:rsidR="008D7612">
        <w:rPr>
          <w:i/>
          <w:sz w:val="26"/>
          <w:szCs w:val="26"/>
        </w:rPr>
        <w:t xml:space="preserve"> </w:t>
      </w:r>
      <w:r w:rsidR="00405CAC">
        <w:rPr>
          <w:i/>
          <w:sz w:val="26"/>
          <w:szCs w:val="26"/>
        </w:rPr>
        <w:t xml:space="preserve">Anchor Transportation, Inc. </w:t>
      </w:r>
      <w:r w:rsidR="00C44A9D">
        <w:rPr>
          <w:sz w:val="26"/>
          <w:szCs w:val="26"/>
        </w:rPr>
        <w:t>(2014) 59 Cal.4th 772, 777 [</w:t>
      </w:r>
      <w:r w:rsidR="001037EF">
        <w:rPr>
          <w:sz w:val="26"/>
          <w:szCs w:val="26"/>
        </w:rPr>
        <w:t>“</w:t>
      </w:r>
      <w:r w:rsidR="00E2443A">
        <w:rPr>
          <w:sz w:val="26"/>
          <w:szCs w:val="26"/>
        </w:rPr>
        <w:t>‘</w:t>
      </w:r>
      <w:r w:rsidR="00405CAC">
        <w:rPr>
          <w:sz w:val="26"/>
          <w:szCs w:val="26"/>
        </w:rPr>
        <w:t xml:space="preserve">A motion for judgment on the pleadings is equivalent to a demurrer </w:t>
      </w:r>
      <w:r w:rsidR="00941C0B">
        <w:rPr>
          <w:sz w:val="26"/>
          <w:szCs w:val="26"/>
        </w:rPr>
        <w:t xml:space="preserve">and is </w:t>
      </w:r>
      <w:r w:rsidR="00941C0B" w:rsidRPr="005733E8">
        <w:rPr>
          <w:sz w:val="26"/>
          <w:szCs w:val="26"/>
        </w:rPr>
        <w:t>governed by the same de novo standard of review</w:t>
      </w:r>
      <w:r w:rsidR="001037EF">
        <w:rPr>
          <w:sz w:val="26"/>
          <w:szCs w:val="26"/>
        </w:rPr>
        <w:t>’”</w:t>
      </w:r>
      <w:r w:rsidR="00941C0B" w:rsidRPr="005733E8">
        <w:rPr>
          <w:sz w:val="26"/>
          <w:szCs w:val="26"/>
        </w:rPr>
        <w:t>].</w:t>
      </w:r>
      <w:r w:rsidR="00405CAC" w:rsidRPr="005733E8">
        <w:rPr>
          <w:sz w:val="26"/>
          <w:szCs w:val="26"/>
        </w:rPr>
        <w:t>)</w:t>
      </w:r>
    </w:p>
    <w:p w:rsidR="005733E8" w:rsidRPr="005733E8" w:rsidRDefault="005733E8" w:rsidP="002A194B">
      <w:pPr>
        <w:ind w:firstLine="720"/>
        <w:rPr>
          <w:sz w:val="26"/>
          <w:szCs w:val="26"/>
        </w:rPr>
      </w:pPr>
      <w:r>
        <w:rPr>
          <w:sz w:val="26"/>
          <w:szCs w:val="26"/>
        </w:rPr>
        <w:t>The decision to deny leave to amend is reviewed for abuse of discretion.  (</w:t>
      </w:r>
      <w:proofErr w:type="spellStart"/>
      <w:r>
        <w:rPr>
          <w:i/>
          <w:sz w:val="26"/>
          <w:szCs w:val="26"/>
        </w:rPr>
        <w:t>Aubry</w:t>
      </w:r>
      <w:proofErr w:type="spellEnd"/>
      <w:r>
        <w:rPr>
          <w:i/>
          <w:sz w:val="26"/>
          <w:szCs w:val="26"/>
        </w:rPr>
        <w:t xml:space="preserve"> v. Tri-City Hospital Dist. </w:t>
      </w:r>
      <w:r w:rsidR="00DF337E" w:rsidRPr="00DF337E">
        <w:rPr>
          <w:sz w:val="26"/>
          <w:szCs w:val="26"/>
        </w:rPr>
        <w:t>(1992) 2 Cal.</w:t>
      </w:r>
      <w:r w:rsidR="00075AB9">
        <w:rPr>
          <w:sz w:val="26"/>
          <w:szCs w:val="26"/>
        </w:rPr>
        <w:t>4th</w:t>
      </w:r>
      <w:r w:rsidR="00DF337E" w:rsidRPr="00DF337E">
        <w:rPr>
          <w:sz w:val="26"/>
          <w:szCs w:val="26"/>
        </w:rPr>
        <w:t xml:space="preserve"> 962, 967</w:t>
      </w:r>
      <w:r w:rsidR="00075AB9">
        <w:rPr>
          <w:sz w:val="26"/>
          <w:szCs w:val="26"/>
        </w:rPr>
        <w:t>.</w:t>
      </w:r>
      <w:r w:rsidR="00075AB9" w:rsidRPr="00075AB9">
        <w:rPr>
          <w:sz w:val="26"/>
          <w:szCs w:val="26"/>
        </w:rPr>
        <w:t>)</w:t>
      </w:r>
      <w:r w:rsidR="00075AB9">
        <w:rPr>
          <w:sz w:val="26"/>
          <w:szCs w:val="26"/>
        </w:rPr>
        <w:t xml:space="preserve">  </w:t>
      </w:r>
      <w:r w:rsidR="00FD42C7">
        <w:rPr>
          <w:sz w:val="26"/>
          <w:szCs w:val="26"/>
        </w:rPr>
        <w:t>“</w:t>
      </w:r>
      <w:r w:rsidR="00075AB9">
        <w:rPr>
          <w:sz w:val="26"/>
          <w:szCs w:val="26"/>
        </w:rPr>
        <w:t>[</w:t>
      </w:r>
      <w:r w:rsidR="00075AB9">
        <w:rPr>
          <w:rFonts w:cs="Arial"/>
          <w:sz w:val="26"/>
          <w:szCs w:val="26"/>
          <w:shd w:val="clear" w:color="auto" w:fill="FFFFFF"/>
        </w:rPr>
        <w:t>I]</w:t>
      </w:r>
      <w:r w:rsidR="00DF337E" w:rsidRPr="00DF337E">
        <w:rPr>
          <w:rFonts w:cs="Arial"/>
          <w:sz w:val="26"/>
          <w:szCs w:val="26"/>
          <w:shd w:val="clear" w:color="auto" w:fill="FFFFFF"/>
        </w:rPr>
        <w:t>t is an abuse of discretion to sustain a demurrer without leave to amend if the plaintiff shows there is a reasonable possibility any defect identified by the defendant can be cured by amendment.</w:t>
      </w:r>
      <w:r w:rsidR="00FD42C7">
        <w:rPr>
          <w:rFonts w:cs="Arial"/>
          <w:sz w:val="26"/>
          <w:szCs w:val="26"/>
          <w:shd w:val="clear" w:color="auto" w:fill="FFFFFF"/>
        </w:rPr>
        <w:t>”</w:t>
      </w:r>
      <w:r w:rsidR="00075AB9">
        <w:rPr>
          <w:rFonts w:cs="Arial"/>
          <w:sz w:val="26"/>
          <w:szCs w:val="26"/>
          <w:shd w:val="clear" w:color="auto" w:fill="FFFFFF"/>
        </w:rPr>
        <w:t xml:space="preserve">  (</w:t>
      </w:r>
      <w:r w:rsidR="00075AB9">
        <w:rPr>
          <w:rFonts w:cs="Arial"/>
          <w:i/>
          <w:sz w:val="26"/>
          <w:szCs w:val="26"/>
          <w:shd w:val="clear" w:color="auto" w:fill="FFFFFF"/>
        </w:rPr>
        <w:t>Ibid.</w:t>
      </w:r>
      <w:r w:rsidR="00075AB9">
        <w:rPr>
          <w:rFonts w:cs="Arial"/>
          <w:sz w:val="26"/>
          <w:szCs w:val="26"/>
          <w:shd w:val="clear" w:color="auto" w:fill="FFFFFF"/>
        </w:rPr>
        <w:t>)</w:t>
      </w:r>
      <w:r w:rsidRPr="005733E8">
        <w:rPr>
          <w:sz w:val="26"/>
          <w:szCs w:val="26"/>
        </w:rPr>
        <w:t xml:space="preserve"> </w:t>
      </w:r>
    </w:p>
    <w:p w:rsidR="00E21DC5" w:rsidRDefault="00E21DC5" w:rsidP="002A194B">
      <w:pPr>
        <w:rPr>
          <w:sz w:val="26"/>
          <w:szCs w:val="26"/>
        </w:rPr>
      </w:pPr>
    </w:p>
    <w:p w:rsidR="0008648A" w:rsidRDefault="00E21DC5" w:rsidP="002A194B">
      <w:pPr>
        <w:spacing w:line="240" w:lineRule="auto"/>
        <w:ind w:left="720" w:hanging="720"/>
        <w:rPr>
          <w:i/>
          <w:sz w:val="26"/>
          <w:szCs w:val="26"/>
        </w:rPr>
      </w:pPr>
      <w:r w:rsidRPr="00DB232E">
        <w:rPr>
          <w:sz w:val="26"/>
          <w:szCs w:val="26"/>
        </w:rPr>
        <w:t>B.</w:t>
      </w:r>
      <w:r w:rsidR="00C90E6F">
        <w:rPr>
          <w:i/>
          <w:sz w:val="26"/>
          <w:szCs w:val="26"/>
        </w:rPr>
        <w:tab/>
        <w:t xml:space="preserve">The </w:t>
      </w:r>
      <w:r w:rsidR="004B5924">
        <w:rPr>
          <w:i/>
          <w:sz w:val="26"/>
          <w:szCs w:val="26"/>
        </w:rPr>
        <w:t>Notice</w:t>
      </w:r>
      <w:r w:rsidR="00EE5139" w:rsidRPr="00E21DC5">
        <w:rPr>
          <w:i/>
          <w:sz w:val="26"/>
          <w:szCs w:val="26"/>
        </w:rPr>
        <w:t xml:space="preserve"> </w:t>
      </w:r>
      <w:r w:rsidR="004B5771" w:rsidRPr="00E21DC5">
        <w:rPr>
          <w:i/>
          <w:sz w:val="26"/>
          <w:szCs w:val="26"/>
        </w:rPr>
        <w:t xml:space="preserve">Requirements </w:t>
      </w:r>
      <w:r w:rsidR="004B5924">
        <w:rPr>
          <w:i/>
          <w:sz w:val="26"/>
          <w:szCs w:val="26"/>
        </w:rPr>
        <w:t>of Section 2699.3, Subdivision (a)</w:t>
      </w:r>
      <w:r>
        <w:rPr>
          <w:i/>
          <w:sz w:val="26"/>
          <w:szCs w:val="26"/>
        </w:rPr>
        <w:t xml:space="preserve"> </w:t>
      </w:r>
    </w:p>
    <w:p w:rsidR="000F7786" w:rsidRDefault="000F7786" w:rsidP="000F7786">
      <w:pPr>
        <w:rPr>
          <w:rFonts w:cs="Helvetica"/>
          <w:sz w:val="26"/>
          <w:szCs w:val="26"/>
        </w:rPr>
      </w:pPr>
    </w:p>
    <w:p w:rsidR="00B77261" w:rsidRDefault="00A37B13" w:rsidP="002A194B">
      <w:pPr>
        <w:ind w:firstLine="720"/>
        <w:rPr>
          <w:rFonts w:cs="Helvetica"/>
          <w:sz w:val="26"/>
          <w:szCs w:val="26"/>
        </w:rPr>
      </w:pPr>
      <w:r>
        <w:rPr>
          <w:rFonts w:cs="Helvetica"/>
          <w:sz w:val="26"/>
          <w:szCs w:val="26"/>
        </w:rPr>
        <w:t>PAGA was enacted to remedy systemic under</w:t>
      </w:r>
      <w:r w:rsidR="00C0132D">
        <w:rPr>
          <w:rFonts w:cs="Helvetica"/>
          <w:sz w:val="26"/>
          <w:szCs w:val="26"/>
        </w:rPr>
        <w:t>-</w:t>
      </w:r>
      <w:r>
        <w:rPr>
          <w:rFonts w:cs="Helvetica"/>
          <w:sz w:val="26"/>
          <w:szCs w:val="26"/>
        </w:rPr>
        <w:t>enforcement of worker protections.  (</w:t>
      </w:r>
      <w:r>
        <w:rPr>
          <w:rFonts w:cs="Helvetica"/>
          <w:i/>
          <w:sz w:val="26"/>
          <w:szCs w:val="26"/>
        </w:rPr>
        <w:t xml:space="preserve">Williams v. Superior Court </w:t>
      </w:r>
      <w:r>
        <w:rPr>
          <w:rFonts w:cs="Helvetica"/>
          <w:sz w:val="26"/>
          <w:szCs w:val="26"/>
        </w:rPr>
        <w:t>(2017) 3 Cal.5th 531, 54</w:t>
      </w:r>
      <w:r w:rsidR="00CE53AD">
        <w:rPr>
          <w:rFonts w:cs="Helvetica"/>
          <w:sz w:val="26"/>
          <w:szCs w:val="26"/>
        </w:rPr>
        <w:t>5</w:t>
      </w:r>
      <w:r>
        <w:rPr>
          <w:rFonts w:cs="Helvetica"/>
          <w:sz w:val="26"/>
          <w:szCs w:val="26"/>
        </w:rPr>
        <w:t xml:space="preserve"> (</w:t>
      </w:r>
      <w:r w:rsidRPr="00A37B13">
        <w:rPr>
          <w:rFonts w:cs="Helvetica"/>
          <w:i/>
          <w:sz w:val="26"/>
          <w:szCs w:val="26"/>
        </w:rPr>
        <w:t>Williams</w:t>
      </w:r>
      <w:r>
        <w:rPr>
          <w:rFonts w:cs="Helvetica"/>
          <w:sz w:val="26"/>
          <w:szCs w:val="26"/>
        </w:rPr>
        <w:t xml:space="preserve">).)  To address this problem, the </w:t>
      </w:r>
      <w:r w:rsidR="00B8157D">
        <w:rPr>
          <w:rFonts w:cs="Helvetica"/>
          <w:sz w:val="26"/>
          <w:szCs w:val="26"/>
        </w:rPr>
        <w:t xml:space="preserve">Legislature adopted civil penalties for </w:t>
      </w:r>
      <w:r w:rsidR="001037EF">
        <w:rPr>
          <w:rFonts w:cs="Helvetica"/>
          <w:sz w:val="26"/>
          <w:szCs w:val="26"/>
        </w:rPr>
        <w:t>“</w:t>
      </w:r>
      <w:r w:rsidR="00B8157D">
        <w:rPr>
          <w:rFonts w:cs="Helvetica"/>
          <w:sz w:val="26"/>
          <w:szCs w:val="26"/>
        </w:rPr>
        <w:t>provision</w:t>
      </w:r>
      <w:r w:rsidR="00B77261">
        <w:rPr>
          <w:rFonts w:cs="Helvetica"/>
          <w:sz w:val="26"/>
          <w:szCs w:val="26"/>
        </w:rPr>
        <w:t>s that lacked existing noncriminal sanctions</w:t>
      </w:r>
      <w:r w:rsidR="001037EF">
        <w:rPr>
          <w:rFonts w:cs="Helvetica"/>
          <w:sz w:val="26"/>
          <w:szCs w:val="26"/>
        </w:rPr>
        <w:t>”</w:t>
      </w:r>
      <w:r w:rsidR="00B77261">
        <w:rPr>
          <w:rFonts w:cs="Helvetica"/>
          <w:sz w:val="26"/>
          <w:szCs w:val="26"/>
        </w:rPr>
        <w:t xml:space="preserve"> and deputized </w:t>
      </w:r>
      <w:r w:rsidR="001037EF">
        <w:rPr>
          <w:rFonts w:cs="Helvetica"/>
          <w:sz w:val="26"/>
          <w:szCs w:val="26"/>
        </w:rPr>
        <w:t>“</w:t>
      </w:r>
      <w:r w:rsidR="00B77261">
        <w:rPr>
          <w:rFonts w:cs="Helvetica"/>
          <w:sz w:val="26"/>
          <w:szCs w:val="26"/>
        </w:rPr>
        <w:t>employees harmed by labor violations to sue on behalf of the state and collect penalties, to be shared with the state and other affected employees.</w:t>
      </w:r>
      <w:r w:rsidR="001037EF">
        <w:rPr>
          <w:rFonts w:cs="Helvetica"/>
          <w:sz w:val="26"/>
          <w:szCs w:val="26"/>
        </w:rPr>
        <w:t>”</w:t>
      </w:r>
      <w:r w:rsidR="00B77261">
        <w:rPr>
          <w:rFonts w:cs="Helvetica"/>
          <w:sz w:val="26"/>
          <w:szCs w:val="26"/>
        </w:rPr>
        <w:t xml:space="preserve">  (</w:t>
      </w:r>
      <w:r w:rsidR="00B77261">
        <w:rPr>
          <w:rFonts w:cs="Helvetica"/>
          <w:i/>
          <w:sz w:val="26"/>
          <w:szCs w:val="26"/>
        </w:rPr>
        <w:t>I</w:t>
      </w:r>
      <w:r w:rsidR="00CE53AD">
        <w:rPr>
          <w:rFonts w:cs="Helvetica"/>
          <w:i/>
          <w:sz w:val="26"/>
          <w:szCs w:val="26"/>
        </w:rPr>
        <w:t>bi</w:t>
      </w:r>
      <w:r w:rsidR="00B77261">
        <w:rPr>
          <w:rFonts w:cs="Helvetica"/>
          <w:i/>
          <w:sz w:val="26"/>
          <w:szCs w:val="26"/>
        </w:rPr>
        <w:t>d</w:t>
      </w:r>
      <w:r w:rsidR="00B77261" w:rsidRPr="00CE53AD">
        <w:rPr>
          <w:rFonts w:cs="Helvetica"/>
          <w:sz w:val="26"/>
          <w:szCs w:val="26"/>
        </w:rPr>
        <w:t>.</w:t>
      </w:r>
      <w:r w:rsidR="00623C95">
        <w:rPr>
          <w:rFonts w:cs="Helvetica"/>
          <w:sz w:val="26"/>
          <w:szCs w:val="26"/>
        </w:rPr>
        <w:t>)  Of the civil penalties recovered, LDWA receives 75</w:t>
      </w:r>
      <w:r w:rsidR="00607E8C">
        <w:rPr>
          <w:rFonts w:cs="Helvetica"/>
          <w:sz w:val="26"/>
          <w:szCs w:val="26"/>
        </w:rPr>
        <w:t xml:space="preserve"> percent, leaving </w:t>
      </w:r>
      <w:r w:rsidR="00623C95">
        <w:rPr>
          <w:rFonts w:cs="Helvetica"/>
          <w:sz w:val="26"/>
          <w:szCs w:val="26"/>
        </w:rPr>
        <w:t xml:space="preserve">25 percent for </w:t>
      </w:r>
      <w:r w:rsidR="001037EF">
        <w:rPr>
          <w:rFonts w:cs="Helvetica"/>
          <w:sz w:val="26"/>
          <w:szCs w:val="26"/>
        </w:rPr>
        <w:t>“</w:t>
      </w:r>
      <w:r w:rsidR="00623C95">
        <w:rPr>
          <w:rFonts w:cs="Helvetica"/>
          <w:sz w:val="26"/>
          <w:szCs w:val="26"/>
        </w:rPr>
        <w:t>aggrieved employees.</w:t>
      </w:r>
      <w:r w:rsidR="001037EF">
        <w:rPr>
          <w:rFonts w:cs="Helvetica"/>
          <w:sz w:val="26"/>
          <w:szCs w:val="26"/>
        </w:rPr>
        <w:t>”</w:t>
      </w:r>
      <w:r w:rsidR="00623C95">
        <w:rPr>
          <w:rFonts w:cs="Helvetica"/>
          <w:sz w:val="26"/>
          <w:szCs w:val="26"/>
        </w:rPr>
        <w:t xml:space="preserve">  (</w:t>
      </w:r>
      <w:r w:rsidR="00607E8C">
        <w:rPr>
          <w:rFonts w:cs="Helvetica"/>
          <w:sz w:val="26"/>
          <w:szCs w:val="26"/>
        </w:rPr>
        <w:t>§ 2699, subd. (</w:t>
      </w:r>
      <w:proofErr w:type="spellStart"/>
      <w:r w:rsidR="00607E8C">
        <w:rPr>
          <w:rFonts w:cs="Helvetica"/>
          <w:sz w:val="26"/>
          <w:szCs w:val="26"/>
        </w:rPr>
        <w:t>i</w:t>
      </w:r>
      <w:proofErr w:type="spellEnd"/>
      <w:r w:rsidR="00607E8C">
        <w:rPr>
          <w:rFonts w:cs="Helvetica"/>
          <w:sz w:val="26"/>
          <w:szCs w:val="26"/>
        </w:rPr>
        <w:t xml:space="preserve">); </w:t>
      </w:r>
      <w:proofErr w:type="spellStart"/>
      <w:r w:rsidR="00607E8C">
        <w:rPr>
          <w:rFonts w:cs="Helvetica"/>
          <w:i/>
          <w:sz w:val="26"/>
          <w:szCs w:val="26"/>
        </w:rPr>
        <w:t>Iskanian</w:t>
      </w:r>
      <w:proofErr w:type="spellEnd"/>
      <w:r w:rsidR="00607E8C">
        <w:rPr>
          <w:rFonts w:cs="Helvetica"/>
          <w:i/>
          <w:sz w:val="26"/>
          <w:szCs w:val="26"/>
        </w:rPr>
        <w:t xml:space="preserve"> v. CLS Transportation Los Angeles, LLC </w:t>
      </w:r>
      <w:r w:rsidR="00607E8C">
        <w:rPr>
          <w:rFonts w:cs="Helvetica"/>
          <w:sz w:val="26"/>
          <w:szCs w:val="26"/>
        </w:rPr>
        <w:t>(2014) 59 Cal.4th 348, 380.)</w:t>
      </w:r>
      <w:r w:rsidR="00B77261">
        <w:rPr>
          <w:rFonts w:cs="Helvetica"/>
          <w:sz w:val="26"/>
          <w:szCs w:val="26"/>
        </w:rPr>
        <w:t xml:space="preserve"> </w:t>
      </w:r>
      <w:r w:rsidR="00B8157D">
        <w:rPr>
          <w:rFonts w:cs="Helvetica"/>
          <w:sz w:val="26"/>
          <w:szCs w:val="26"/>
        </w:rPr>
        <w:t xml:space="preserve"> </w:t>
      </w:r>
    </w:p>
    <w:p w:rsidR="0008648A" w:rsidRDefault="00CD07F1" w:rsidP="002A194B">
      <w:pPr>
        <w:ind w:firstLine="720"/>
        <w:rPr>
          <w:rFonts w:cs="Helvetica"/>
          <w:sz w:val="26"/>
          <w:szCs w:val="26"/>
        </w:rPr>
      </w:pPr>
      <w:r>
        <w:rPr>
          <w:rFonts w:cs="Helvetica"/>
          <w:sz w:val="26"/>
          <w:szCs w:val="26"/>
        </w:rPr>
        <w:t>An</w:t>
      </w:r>
      <w:r w:rsidR="00BA5F0D">
        <w:rPr>
          <w:rFonts w:cs="Helvetica"/>
          <w:sz w:val="26"/>
          <w:szCs w:val="26"/>
        </w:rPr>
        <w:t xml:space="preserve"> aggrieved employee </w:t>
      </w:r>
      <w:r w:rsidR="00E621D2">
        <w:rPr>
          <w:rFonts w:cs="Helvetica"/>
          <w:sz w:val="26"/>
          <w:szCs w:val="26"/>
        </w:rPr>
        <w:t xml:space="preserve">may bring </w:t>
      </w:r>
      <w:r w:rsidR="00764A4E">
        <w:rPr>
          <w:rFonts w:cs="Helvetica"/>
          <w:sz w:val="26"/>
          <w:szCs w:val="26"/>
        </w:rPr>
        <w:t xml:space="preserve">a representative action for </w:t>
      </w:r>
      <w:r w:rsidR="00351181">
        <w:rPr>
          <w:rFonts w:cs="Helvetica"/>
          <w:sz w:val="26"/>
          <w:szCs w:val="26"/>
        </w:rPr>
        <w:t>wage and hour</w:t>
      </w:r>
      <w:r w:rsidR="00E621D2">
        <w:rPr>
          <w:rFonts w:cs="Helvetica"/>
          <w:sz w:val="26"/>
          <w:szCs w:val="26"/>
        </w:rPr>
        <w:t xml:space="preserve"> violation</w:t>
      </w:r>
      <w:r w:rsidR="00764A4E">
        <w:rPr>
          <w:rFonts w:cs="Helvetica"/>
          <w:sz w:val="26"/>
          <w:szCs w:val="26"/>
        </w:rPr>
        <w:t>s</w:t>
      </w:r>
      <w:r>
        <w:rPr>
          <w:rFonts w:cs="Helvetica"/>
          <w:sz w:val="26"/>
          <w:szCs w:val="26"/>
        </w:rPr>
        <w:t>,</w:t>
      </w:r>
      <w:r w:rsidR="00764A4E">
        <w:rPr>
          <w:rFonts w:cs="Helvetica"/>
          <w:sz w:val="26"/>
          <w:szCs w:val="26"/>
        </w:rPr>
        <w:t xml:space="preserve"> including </w:t>
      </w:r>
      <w:r w:rsidR="006023A2">
        <w:rPr>
          <w:rFonts w:cs="Helvetica"/>
          <w:sz w:val="26"/>
          <w:szCs w:val="26"/>
        </w:rPr>
        <w:t xml:space="preserve">for violations of </w:t>
      </w:r>
      <w:r w:rsidR="00764A4E">
        <w:rPr>
          <w:rFonts w:cs="Helvetica"/>
          <w:sz w:val="26"/>
          <w:szCs w:val="26"/>
        </w:rPr>
        <w:t xml:space="preserve">the </w:t>
      </w:r>
      <w:r w:rsidR="00351181">
        <w:rPr>
          <w:rFonts w:cs="Helvetica"/>
          <w:sz w:val="26"/>
          <w:szCs w:val="26"/>
        </w:rPr>
        <w:t xml:space="preserve">Labor Code </w:t>
      </w:r>
      <w:r w:rsidR="00764A4E">
        <w:rPr>
          <w:rFonts w:cs="Helvetica"/>
          <w:sz w:val="26"/>
          <w:szCs w:val="26"/>
        </w:rPr>
        <w:t>provisions</w:t>
      </w:r>
      <w:r w:rsidR="00E621D2">
        <w:rPr>
          <w:rFonts w:cs="Helvetica"/>
          <w:sz w:val="26"/>
          <w:szCs w:val="26"/>
        </w:rPr>
        <w:t xml:space="preserve"> listed in section 2699.5.</w:t>
      </w:r>
      <w:r w:rsidR="0008648A">
        <w:rPr>
          <w:rFonts w:cs="Helvetica"/>
          <w:sz w:val="26"/>
          <w:szCs w:val="26"/>
        </w:rPr>
        <w:t xml:space="preserve"> </w:t>
      </w:r>
      <w:r w:rsidR="00B55B5C">
        <w:rPr>
          <w:rFonts w:cs="Helvetica"/>
          <w:sz w:val="26"/>
          <w:szCs w:val="26"/>
        </w:rPr>
        <w:t xml:space="preserve"> </w:t>
      </w:r>
      <w:r w:rsidR="00E621D2">
        <w:rPr>
          <w:rFonts w:cs="Helvetica"/>
          <w:sz w:val="26"/>
          <w:szCs w:val="26"/>
        </w:rPr>
        <w:t>(§</w:t>
      </w:r>
      <w:r w:rsidR="00E00A0E">
        <w:rPr>
          <w:rFonts w:cs="Helvetica"/>
          <w:sz w:val="26"/>
          <w:szCs w:val="26"/>
        </w:rPr>
        <w:t>§ 2699, subd. (a)</w:t>
      </w:r>
      <w:r w:rsidR="00B90117">
        <w:rPr>
          <w:rFonts w:cs="Helvetica"/>
          <w:sz w:val="26"/>
          <w:szCs w:val="26"/>
        </w:rPr>
        <w:t xml:space="preserve"> &amp; </w:t>
      </w:r>
      <w:r w:rsidR="00E621D2">
        <w:rPr>
          <w:rFonts w:cs="Helvetica"/>
          <w:sz w:val="26"/>
          <w:szCs w:val="26"/>
        </w:rPr>
        <w:t>2699.3, subd</w:t>
      </w:r>
      <w:r w:rsidR="00351181">
        <w:rPr>
          <w:rFonts w:cs="Helvetica"/>
          <w:sz w:val="26"/>
          <w:szCs w:val="26"/>
        </w:rPr>
        <w:t>. (a)</w:t>
      </w:r>
      <w:r w:rsidR="00B55B5C">
        <w:rPr>
          <w:rFonts w:cs="Helvetica"/>
          <w:sz w:val="26"/>
          <w:szCs w:val="26"/>
        </w:rPr>
        <w:t xml:space="preserve">; </w:t>
      </w:r>
      <w:r w:rsidR="00B55B5C">
        <w:rPr>
          <w:rFonts w:cs="Helvetica"/>
          <w:i/>
          <w:sz w:val="26"/>
          <w:szCs w:val="26"/>
        </w:rPr>
        <w:t xml:space="preserve">Munoz v. Chipotle Mexican Grill, Inc. </w:t>
      </w:r>
      <w:r w:rsidR="00B55B5C">
        <w:rPr>
          <w:rFonts w:cs="Helvetica"/>
          <w:sz w:val="26"/>
          <w:szCs w:val="26"/>
        </w:rPr>
        <w:t>(2015) 238 Cal.App.4th 291, 310</w:t>
      </w:r>
      <w:r w:rsidR="00E621D2">
        <w:rPr>
          <w:rFonts w:cs="Helvetica"/>
          <w:sz w:val="26"/>
          <w:szCs w:val="26"/>
        </w:rPr>
        <w:t xml:space="preserve">.)  </w:t>
      </w:r>
      <w:r w:rsidR="00D31E46">
        <w:rPr>
          <w:rFonts w:cs="Helvetica"/>
          <w:sz w:val="26"/>
          <w:szCs w:val="26"/>
        </w:rPr>
        <w:t>But</w:t>
      </w:r>
      <w:r w:rsidR="00196A9D">
        <w:rPr>
          <w:rFonts w:cs="Helvetica"/>
          <w:sz w:val="26"/>
          <w:szCs w:val="26"/>
        </w:rPr>
        <w:t xml:space="preserve"> </w:t>
      </w:r>
      <w:r w:rsidR="001037EF">
        <w:rPr>
          <w:rFonts w:cs="Helvetica"/>
          <w:sz w:val="26"/>
          <w:szCs w:val="26"/>
        </w:rPr>
        <w:t>“</w:t>
      </w:r>
      <w:r w:rsidR="00D31E46">
        <w:rPr>
          <w:rFonts w:cs="Helvetica"/>
          <w:sz w:val="26"/>
          <w:szCs w:val="26"/>
        </w:rPr>
        <w:t>[b]</w:t>
      </w:r>
      <w:proofErr w:type="spellStart"/>
      <w:r w:rsidR="00C44A9D">
        <w:rPr>
          <w:rFonts w:cs="Helvetica"/>
          <w:sz w:val="26"/>
          <w:szCs w:val="26"/>
        </w:rPr>
        <w:t>efore</w:t>
      </w:r>
      <w:proofErr w:type="spellEnd"/>
      <w:r w:rsidR="00C44A9D">
        <w:rPr>
          <w:rFonts w:cs="Helvetica"/>
          <w:sz w:val="26"/>
          <w:szCs w:val="26"/>
        </w:rPr>
        <w:t xml:space="preserve"> bringing a civil action for statutory penalties, an employee must comply with Labor Code section 2699.3.  (</w:t>
      </w:r>
      <w:r w:rsidR="00CE53AD">
        <w:rPr>
          <w:rFonts w:cs="Helvetica"/>
          <w:sz w:val="26"/>
          <w:szCs w:val="26"/>
        </w:rPr>
        <w:t>[]</w:t>
      </w:r>
      <w:r w:rsidR="00F90495">
        <w:rPr>
          <w:rFonts w:cs="Helvetica"/>
          <w:sz w:val="26"/>
          <w:szCs w:val="26"/>
        </w:rPr>
        <w:t xml:space="preserve"> § 2699, subd. (a).)</w:t>
      </w:r>
      <w:r w:rsidR="001037EF">
        <w:rPr>
          <w:rFonts w:cs="Helvetica"/>
          <w:sz w:val="26"/>
          <w:szCs w:val="26"/>
        </w:rPr>
        <w:t>”</w:t>
      </w:r>
      <w:r w:rsidR="00F90495">
        <w:rPr>
          <w:rFonts w:cs="Helvetica"/>
          <w:sz w:val="26"/>
          <w:szCs w:val="26"/>
        </w:rPr>
        <w:t xml:space="preserve"> </w:t>
      </w:r>
      <w:r w:rsidR="000D0184">
        <w:rPr>
          <w:rFonts w:cs="Helvetica"/>
          <w:sz w:val="26"/>
          <w:szCs w:val="26"/>
        </w:rPr>
        <w:t xml:space="preserve"> (</w:t>
      </w:r>
      <w:r w:rsidR="000D0184">
        <w:rPr>
          <w:rFonts w:cs="Helvetica"/>
          <w:i/>
          <w:sz w:val="26"/>
          <w:szCs w:val="26"/>
        </w:rPr>
        <w:t xml:space="preserve">Arias v. Superior Court </w:t>
      </w:r>
      <w:r w:rsidR="0021470E">
        <w:rPr>
          <w:rFonts w:cs="Helvetica"/>
          <w:sz w:val="26"/>
          <w:szCs w:val="26"/>
        </w:rPr>
        <w:t>(2009) 46 Cal.4th 969, 981</w:t>
      </w:r>
      <w:r w:rsidR="006023A2">
        <w:rPr>
          <w:rFonts w:cs="Helvetica"/>
          <w:sz w:val="26"/>
          <w:szCs w:val="26"/>
        </w:rPr>
        <w:t xml:space="preserve"> (</w:t>
      </w:r>
      <w:r w:rsidR="006023A2">
        <w:rPr>
          <w:rFonts w:cs="Helvetica"/>
          <w:i/>
          <w:sz w:val="26"/>
          <w:szCs w:val="26"/>
        </w:rPr>
        <w:t>Arias</w:t>
      </w:r>
      <w:r w:rsidR="006023A2">
        <w:rPr>
          <w:rFonts w:cs="Helvetica"/>
          <w:sz w:val="26"/>
          <w:szCs w:val="26"/>
        </w:rPr>
        <w:t>)</w:t>
      </w:r>
      <w:r w:rsidR="00CE53AD">
        <w:rPr>
          <w:rFonts w:cs="Helvetica"/>
          <w:sz w:val="26"/>
          <w:szCs w:val="26"/>
        </w:rPr>
        <w:t>;</w:t>
      </w:r>
      <w:r w:rsidR="0021470E">
        <w:rPr>
          <w:rFonts w:cs="Helvetica"/>
          <w:sz w:val="26"/>
          <w:szCs w:val="26"/>
        </w:rPr>
        <w:t xml:space="preserve"> see also §</w:t>
      </w:r>
      <w:r w:rsidR="00E2443A">
        <w:rPr>
          <w:rFonts w:cs="Helvetica"/>
          <w:sz w:val="26"/>
          <w:szCs w:val="26"/>
        </w:rPr>
        <w:t> </w:t>
      </w:r>
      <w:r w:rsidR="0021470E">
        <w:rPr>
          <w:rFonts w:cs="Helvetica"/>
          <w:sz w:val="26"/>
          <w:szCs w:val="26"/>
        </w:rPr>
        <w:t>2699.5 [</w:t>
      </w:r>
      <w:r w:rsidR="0021470E">
        <w:rPr>
          <w:sz w:val="26"/>
          <w:szCs w:val="26"/>
        </w:rPr>
        <w:t>requiring</w:t>
      </w:r>
      <w:r w:rsidR="0008648A">
        <w:rPr>
          <w:sz w:val="26"/>
          <w:szCs w:val="26"/>
        </w:rPr>
        <w:t xml:space="preserve"> compliance with </w:t>
      </w:r>
      <w:r w:rsidR="006A1194">
        <w:rPr>
          <w:sz w:val="26"/>
          <w:szCs w:val="26"/>
        </w:rPr>
        <w:t xml:space="preserve">§ </w:t>
      </w:r>
      <w:r w:rsidR="0008648A">
        <w:rPr>
          <w:sz w:val="26"/>
          <w:szCs w:val="26"/>
        </w:rPr>
        <w:t>2699.3, subd</w:t>
      </w:r>
      <w:r w:rsidR="006A1194">
        <w:rPr>
          <w:sz w:val="26"/>
          <w:szCs w:val="26"/>
        </w:rPr>
        <w:t>.</w:t>
      </w:r>
      <w:r w:rsidR="0008648A">
        <w:rPr>
          <w:sz w:val="26"/>
          <w:szCs w:val="26"/>
        </w:rPr>
        <w:t xml:space="preserve"> (a), for violations of </w:t>
      </w:r>
      <w:r w:rsidR="006A1194">
        <w:rPr>
          <w:sz w:val="26"/>
          <w:szCs w:val="26"/>
        </w:rPr>
        <w:t>§§ </w:t>
      </w:r>
      <w:r w:rsidR="0008648A">
        <w:rPr>
          <w:sz w:val="26"/>
          <w:szCs w:val="26"/>
        </w:rPr>
        <w:t>201, 202, 203, 204, 226, subd</w:t>
      </w:r>
      <w:r w:rsidR="006A1194">
        <w:rPr>
          <w:sz w:val="26"/>
          <w:szCs w:val="26"/>
        </w:rPr>
        <w:t>.</w:t>
      </w:r>
      <w:r w:rsidR="0008648A">
        <w:rPr>
          <w:sz w:val="26"/>
          <w:szCs w:val="26"/>
        </w:rPr>
        <w:t xml:space="preserve"> (a), 226.7, 512, 1174, subd</w:t>
      </w:r>
      <w:r w:rsidR="006A1194">
        <w:rPr>
          <w:sz w:val="26"/>
          <w:szCs w:val="26"/>
        </w:rPr>
        <w:t xml:space="preserve">. </w:t>
      </w:r>
      <w:r w:rsidR="0008648A">
        <w:rPr>
          <w:sz w:val="26"/>
          <w:szCs w:val="26"/>
        </w:rPr>
        <w:t xml:space="preserve">(d), </w:t>
      </w:r>
      <w:r w:rsidR="00CE53AD">
        <w:rPr>
          <w:sz w:val="26"/>
          <w:szCs w:val="26"/>
        </w:rPr>
        <w:t xml:space="preserve">and </w:t>
      </w:r>
      <w:r w:rsidR="0008648A">
        <w:rPr>
          <w:sz w:val="26"/>
          <w:szCs w:val="26"/>
        </w:rPr>
        <w:t>1198,</w:t>
      </w:r>
      <w:r w:rsidR="0021470E">
        <w:rPr>
          <w:sz w:val="26"/>
          <w:szCs w:val="26"/>
        </w:rPr>
        <w:t xml:space="preserve"> among other sections].)</w:t>
      </w:r>
      <w:r w:rsidR="0008648A">
        <w:rPr>
          <w:sz w:val="26"/>
          <w:szCs w:val="26"/>
        </w:rPr>
        <w:t xml:space="preserve"> </w:t>
      </w:r>
    </w:p>
    <w:p w:rsidR="00C44A9D" w:rsidRDefault="006023A2" w:rsidP="002A194B">
      <w:pPr>
        <w:ind w:firstLine="720"/>
        <w:rPr>
          <w:rFonts w:cs="Helvetica"/>
          <w:sz w:val="26"/>
          <w:szCs w:val="26"/>
        </w:rPr>
      </w:pPr>
      <w:r>
        <w:rPr>
          <w:rFonts w:cs="Helvetica"/>
          <w:sz w:val="26"/>
          <w:szCs w:val="26"/>
        </w:rPr>
        <w:t>Section 2699.3, subdivision (a)</w:t>
      </w:r>
      <w:r w:rsidR="001A7892">
        <w:rPr>
          <w:rFonts w:cs="Helvetica"/>
          <w:sz w:val="26"/>
          <w:szCs w:val="26"/>
        </w:rPr>
        <w:t>(1)</w:t>
      </w:r>
      <w:r w:rsidR="00F90495">
        <w:rPr>
          <w:rFonts w:cs="Helvetica"/>
          <w:sz w:val="26"/>
          <w:szCs w:val="26"/>
        </w:rPr>
        <w:t xml:space="preserve"> </w:t>
      </w:r>
      <w:r w:rsidR="001037EF">
        <w:rPr>
          <w:rFonts w:cs="Helvetica"/>
          <w:sz w:val="26"/>
          <w:szCs w:val="26"/>
        </w:rPr>
        <w:t>“</w:t>
      </w:r>
      <w:r w:rsidR="00F90495">
        <w:rPr>
          <w:rFonts w:cs="Helvetica"/>
          <w:sz w:val="26"/>
          <w:szCs w:val="26"/>
        </w:rPr>
        <w:t>requires the employee to give written notice of the alleged Labor Code violation to both the employer and the [LWDA], and the notice must describe facts and theories supporting the violation.</w:t>
      </w:r>
      <w:r w:rsidR="001037EF">
        <w:rPr>
          <w:rFonts w:cs="Helvetica"/>
          <w:sz w:val="26"/>
          <w:szCs w:val="26"/>
        </w:rPr>
        <w:t>”</w:t>
      </w:r>
      <w:r w:rsidR="00F12E84" w:rsidRPr="00742E8E">
        <w:rPr>
          <w:rStyle w:val="FootnoteReference"/>
          <w:rFonts w:cs="Helvetica"/>
          <w:position w:val="8"/>
          <w:sz w:val="20"/>
          <w:szCs w:val="26"/>
          <w:vertAlign w:val="baseline"/>
        </w:rPr>
        <w:footnoteReference w:id="3"/>
      </w:r>
      <w:r w:rsidR="00F12E84">
        <w:rPr>
          <w:rFonts w:cs="Helvetica"/>
          <w:sz w:val="26"/>
          <w:szCs w:val="26"/>
        </w:rPr>
        <w:t xml:space="preserve"> </w:t>
      </w:r>
      <w:r w:rsidR="006A1194">
        <w:rPr>
          <w:rFonts w:cs="Helvetica"/>
          <w:sz w:val="26"/>
          <w:szCs w:val="26"/>
        </w:rPr>
        <w:t xml:space="preserve"> </w:t>
      </w:r>
      <w:r w:rsidR="00F90495" w:rsidRPr="00210C2B">
        <w:rPr>
          <w:rFonts w:cs="Helvetica"/>
          <w:i/>
          <w:sz w:val="26"/>
          <w:szCs w:val="26"/>
        </w:rPr>
        <w:t>(</w:t>
      </w:r>
      <w:r w:rsidR="00210C2B">
        <w:rPr>
          <w:rFonts w:cs="Helvetica"/>
          <w:i/>
          <w:sz w:val="26"/>
          <w:szCs w:val="26"/>
        </w:rPr>
        <w:t>Arias</w:t>
      </w:r>
      <w:r w:rsidR="00210C2B">
        <w:rPr>
          <w:rFonts w:cs="Helvetica"/>
          <w:sz w:val="26"/>
          <w:szCs w:val="26"/>
        </w:rPr>
        <w:t xml:space="preserve">, </w:t>
      </w:r>
      <w:r w:rsidR="00210C2B">
        <w:rPr>
          <w:rFonts w:cs="Helvetica"/>
          <w:i/>
          <w:sz w:val="26"/>
          <w:szCs w:val="26"/>
        </w:rPr>
        <w:t>supra</w:t>
      </w:r>
      <w:r w:rsidR="00210C2B">
        <w:rPr>
          <w:rFonts w:cs="Helvetica"/>
          <w:sz w:val="26"/>
          <w:szCs w:val="26"/>
        </w:rPr>
        <w:t>, 46 Cal.4th at p.</w:t>
      </w:r>
      <w:r w:rsidR="00F03264">
        <w:rPr>
          <w:rFonts w:cs="Helvetica"/>
          <w:sz w:val="26"/>
          <w:szCs w:val="26"/>
        </w:rPr>
        <w:t> </w:t>
      </w:r>
      <w:r w:rsidR="00210C2B">
        <w:rPr>
          <w:rFonts w:cs="Helvetica"/>
          <w:sz w:val="26"/>
          <w:szCs w:val="26"/>
        </w:rPr>
        <w:t>981.</w:t>
      </w:r>
      <w:r w:rsidR="00F90495" w:rsidRPr="00210C2B">
        <w:rPr>
          <w:rFonts w:cs="Helvetica"/>
          <w:i/>
          <w:sz w:val="26"/>
          <w:szCs w:val="26"/>
        </w:rPr>
        <w:t>)</w:t>
      </w:r>
      <w:r w:rsidR="00BA5F0D">
        <w:rPr>
          <w:rFonts w:cs="Helvetica"/>
          <w:sz w:val="26"/>
          <w:szCs w:val="26"/>
        </w:rPr>
        <w:t xml:space="preserve"> </w:t>
      </w:r>
      <w:r w:rsidR="00210C2B">
        <w:rPr>
          <w:rFonts w:cs="Helvetica"/>
          <w:sz w:val="26"/>
          <w:szCs w:val="26"/>
        </w:rPr>
        <w:t xml:space="preserve"> Then, </w:t>
      </w:r>
      <w:r w:rsidR="00002F33">
        <w:rPr>
          <w:rFonts w:cs="Helvetica"/>
          <w:sz w:val="26"/>
          <w:szCs w:val="26"/>
        </w:rPr>
        <w:t>“</w:t>
      </w:r>
      <w:r w:rsidR="00210C2B">
        <w:rPr>
          <w:rFonts w:cs="Helvetica"/>
          <w:sz w:val="26"/>
          <w:szCs w:val="26"/>
        </w:rPr>
        <w:t>[</w:t>
      </w:r>
      <w:proofErr w:type="spellStart"/>
      <w:r w:rsidR="00210C2B">
        <w:rPr>
          <w:rFonts w:cs="Helvetica"/>
          <w:sz w:val="26"/>
          <w:szCs w:val="26"/>
        </w:rPr>
        <w:t>i</w:t>
      </w:r>
      <w:proofErr w:type="spellEnd"/>
      <w:r w:rsidR="00210C2B">
        <w:rPr>
          <w:rFonts w:cs="Helvetica"/>
          <w:sz w:val="26"/>
          <w:szCs w:val="26"/>
        </w:rPr>
        <w:t>]</w:t>
      </w:r>
      <w:r w:rsidR="00BA5F0D">
        <w:rPr>
          <w:rFonts w:cs="Helvetica"/>
          <w:sz w:val="26"/>
          <w:szCs w:val="26"/>
        </w:rPr>
        <w:t>f the agency notifies the employee and the employer that it does not intend to investigate</w:t>
      </w:r>
      <w:r w:rsidR="004F2D91">
        <w:rPr>
          <w:rFonts w:cs="Helvetica"/>
          <w:sz w:val="26"/>
          <w:szCs w:val="26"/>
        </w:rPr>
        <w:t> . . . </w:t>
      </w:r>
      <w:r w:rsidR="00BA5F0D">
        <w:rPr>
          <w:rFonts w:cs="Helvetica"/>
          <w:sz w:val="26"/>
          <w:szCs w:val="26"/>
        </w:rPr>
        <w:t xml:space="preserve">, or if the agency fails to respond within 33 days, the employee may </w:t>
      </w:r>
      <w:r w:rsidR="0022458D">
        <w:rPr>
          <w:rFonts w:cs="Helvetica"/>
          <w:sz w:val="26"/>
          <w:szCs w:val="26"/>
        </w:rPr>
        <w:t xml:space="preserve">then </w:t>
      </w:r>
      <w:r w:rsidR="00BA5F0D">
        <w:rPr>
          <w:rFonts w:cs="Helvetica"/>
          <w:sz w:val="26"/>
          <w:szCs w:val="26"/>
        </w:rPr>
        <w:t>bring a civil action against the employer.</w:t>
      </w:r>
      <w:r w:rsidR="00FD42C7">
        <w:rPr>
          <w:rFonts w:cs="Helvetica"/>
          <w:sz w:val="26"/>
          <w:szCs w:val="26"/>
        </w:rPr>
        <w:t>”</w:t>
      </w:r>
      <w:r w:rsidR="00EE5F81" w:rsidRPr="00E2443A">
        <w:rPr>
          <w:rStyle w:val="FootnoteReference"/>
          <w:rFonts w:cs="Helvetica"/>
          <w:position w:val="8"/>
          <w:sz w:val="20"/>
          <w:szCs w:val="26"/>
          <w:vertAlign w:val="baseline"/>
        </w:rPr>
        <w:footnoteReference w:id="4"/>
      </w:r>
      <w:r w:rsidR="00F90495">
        <w:rPr>
          <w:rFonts w:cs="Helvetica"/>
          <w:sz w:val="26"/>
          <w:szCs w:val="26"/>
        </w:rPr>
        <w:t xml:space="preserve">  (</w:t>
      </w:r>
      <w:r w:rsidR="00EF796D">
        <w:rPr>
          <w:rFonts w:cs="Helvetica"/>
          <w:i/>
          <w:sz w:val="26"/>
          <w:szCs w:val="26"/>
        </w:rPr>
        <w:t>Ibid</w:t>
      </w:r>
      <w:r w:rsidR="00F90495">
        <w:rPr>
          <w:rFonts w:cs="Helvetica"/>
          <w:sz w:val="26"/>
          <w:szCs w:val="26"/>
        </w:rPr>
        <w:t xml:space="preserve">.) </w:t>
      </w:r>
      <w:r w:rsidR="00C44A9D">
        <w:rPr>
          <w:rFonts w:cs="Helvetica"/>
          <w:sz w:val="26"/>
          <w:szCs w:val="26"/>
        </w:rPr>
        <w:t xml:space="preserve"> </w:t>
      </w:r>
      <w:r w:rsidR="00D31E46">
        <w:rPr>
          <w:rFonts w:cs="Helvetica"/>
          <w:sz w:val="26"/>
          <w:szCs w:val="26"/>
        </w:rPr>
        <w:t xml:space="preserve">If the plaintiff has an action pending, the plaintiff </w:t>
      </w:r>
      <w:r w:rsidR="001037EF">
        <w:rPr>
          <w:rFonts w:cs="Helvetica"/>
          <w:sz w:val="26"/>
          <w:szCs w:val="26"/>
        </w:rPr>
        <w:t>“</w:t>
      </w:r>
      <w:r w:rsidR="00D31E46">
        <w:rPr>
          <w:rFonts w:cs="Helvetica"/>
          <w:sz w:val="26"/>
          <w:szCs w:val="26"/>
        </w:rPr>
        <w:t xml:space="preserve">may as a matter of right amend an existing complaint to add a cause of action </w:t>
      </w:r>
      <w:r w:rsidR="0022458D">
        <w:rPr>
          <w:rFonts w:cs="Helvetica"/>
          <w:sz w:val="26"/>
          <w:szCs w:val="26"/>
        </w:rPr>
        <w:t xml:space="preserve">arising </w:t>
      </w:r>
      <w:r w:rsidR="00D31E46">
        <w:rPr>
          <w:rFonts w:cs="Helvetica"/>
          <w:sz w:val="26"/>
          <w:szCs w:val="26"/>
        </w:rPr>
        <w:t>under [PAGA]</w:t>
      </w:r>
      <w:r w:rsidR="001037EF">
        <w:rPr>
          <w:rFonts w:cs="Helvetica"/>
          <w:sz w:val="26"/>
          <w:szCs w:val="26"/>
        </w:rPr>
        <w:t>”</w:t>
      </w:r>
      <w:r w:rsidR="00D31E46">
        <w:rPr>
          <w:rFonts w:cs="Helvetica"/>
          <w:sz w:val="26"/>
          <w:szCs w:val="26"/>
        </w:rPr>
        <w:t xml:space="preserve"> within 60 days.  (§ 2699.3, subd. (a)(2)(C).)</w:t>
      </w:r>
      <w:r w:rsidR="009B206F">
        <w:rPr>
          <w:rFonts w:cs="Helvetica"/>
          <w:sz w:val="26"/>
          <w:szCs w:val="26"/>
        </w:rPr>
        <w:t xml:space="preserve">  The periods specified in section 2699.3 </w:t>
      </w:r>
      <w:r w:rsidR="001037EF">
        <w:rPr>
          <w:rFonts w:cs="Helvetica"/>
          <w:sz w:val="26"/>
          <w:szCs w:val="26"/>
        </w:rPr>
        <w:t>“</w:t>
      </w:r>
      <w:r w:rsidR="009B206F">
        <w:rPr>
          <w:rFonts w:cs="Helvetica"/>
          <w:sz w:val="26"/>
          <w:szCs w:val="26"/>
        </w:rPr>
        <w:t>are not counted as part of the time limited for the commencement of the civil action to recover penalties</w:t>
      </w:r>
      <w:r w:rsidR="001037EF">
        <w:rPr>
          <w:rFonts w:cs="Helvetica"/>
          <w:sz w:val="26"/>
          <w:szCs w:val="26"/>
        </w:rPr>
        <w:t>”</w:t>
      </w:r>
      <w:r w:rsidR="009B206F">
        <w:rPr>
          <w:rFonts w:cs="Helvetica"/>
          <w:sz w:val="26"/>
          <w:szCs w:val="26"/>
        </w:rPr>
        <w:t xml:space="preserve"> under PAGA.  (§ 2699.3, subd. (</w:t>
      </w:r>
      <w:r w:rsidR="00BA4945">
        <w:rPr>
          <w:rFonts w:cs="Helvetica"/>
          <w:sz w:val="26"/>
          <w:szCs w:val="26"/>
        </w:rPr>
        <w:t>d</w:t>
      </w:r>
      <w:r w:rsidR="009B206F">
        <w:rPr>
          <w:rFonts w:cs="Helvetica"/>
          <w:sz w:val="26"/>
          <w:szCs w:val="26"/>
        </w:rPr>
        <w:t>).)</w:t>
      </w:r>
      <w:r w:rsidR="003937CC">
        <w:rPr>
          <w:rFonts w:cs="Helvetica"/>
          <w:sz w:val="26"/>
          <w:szCs w:val="26"/>
        </w:rPr>
        <w:t xml:space="preserve">  </w:t>
      </w:r>
      <w:r w:rsidR="003937CC">
        <w:rPr>
          <w:sz w:val="26"/>
          <w:szCs w:val="26"/>
        </w:rPr>
        <w:t>Proper notice under section 2699.3 is a “condition” of a PAGA lawsuit.  (</w:t>
      </w:r>
      <w:r w:rsidR="003937CC">
        <w:rPr>
          <w:i/>
          <w:sz w:val="26"/>
          <w:szCs w:val="26"/>
        </w:rPr>
        <w:t>Williams</w:t>
      </w:r>
      <w:r w:rsidR="003937CC">
        <w:rPr>
          <w:sz w:val="26"/>
          <w:szCs w:val="26"/>
        </w:rPr>
        <w:t xml:space="preserve">, </w:t>
      </w:r>
      <w:r w:rsidR="003937CC">
        <w:rPr>
          <w:i/>
          <w:sz w:val="26"/>
          <w:szCs w:val="26"/>
        </w:rPr>
        <w:t>supra</w:t>
      </w:r>
      <w:r w:rsidR="003937CC">
        <w:rPr>
          <w:sz w:val="26"/>
          <w:szCs w:val="26"/>
        </w:rPr>
        <w:t xml:space="preserve">, 3 Cal.5th at p. 545; </w:t>
      </w:r>
      <w:r w:rsidR="003937CC">
        <w:rPr>
          <w:i/>
          <w:sz w:val="26"/>
          <w:szCs w:val="26"/>
        </w:rPr>
        <w:t xml:space="preserve">Caliber Bodyworks, Inc. v. Superior Court </w:t>
      </w:r>
      <w:r w:rsidR="003937CC">
        <w:rPr>
          <w:sz w:val="26"/>
          <w:szCs w:val="26"/>
        </w:rPr>
        <w:t>(2005) 134 Cal.App.</w:t>
      </w:r>
      <w:r w:rsidR="0022458D">
        <w:rPr>
          <w:sz w:val="26"/>
          <w:szCs w:val="26"/>
        </w:rPr>
        <w:t>4</w:t>
      </w:r>
      <w:r w:rsidR="003937CC">
        <w:rPr>
          <w:sz w:val="26"/>
          <w:szCs w:val="26"/>
        </w:rPr>
        <w:t xml:space="preserve">th 365, 371, 376 </w:t>
      </w:r>
      <w:r w:rsidR="003937CC" w:rsidRPr="00F52423">
        <w:rPr>
          <w:sz w:val="26"/>
          <w:szCs w:val="26"/>
        </w:rPr>
        <w:t>(</w:t>
      </w:r>
      <w:r w:rsidR="003937CC">
        <w:rPr>
          <w:i/>
          <w:sz w:val="26"/>
          <w:szCs w:val="26"/>
        </w:rPr>
        <w:t>Caliber</w:t>
      </w:r>
      <w:r w:rsidR="003937CC">
        <w:rPr>
          <w:sz w:val="26"/>
          <w:szCs w:val="26"/>
        </w:rPr>
        <w:t xml:space="preserve">).)  </w:t>
      </w:r>
    </w:p>
    <w:p w:rsidR="009C1BAC" w:rsidRDefault="00AD201E" w:rsidP="002A194B">
      <w:pPr>
        <w:ind w:firstLine="720"/>
        <w:rPr>
          <w:rFonts w:cs="Helvetica"/>
          <w:sz w:val="26"/>
          <w:szCs w:val="26"/>
        </w:rPr>
      </w:pPr>
      <w:r>
        <w:rPr>
          <w:rFonts w:cs="Helvetica"/>
          <w:sz w:val="26"/>
          <w:szCs w:val="26"/>
        </w:rPr>
        <w:t>Plaintiff contends that the trial court erroneously concluded that the 2009 Notice was deficient</w:t>
      </w:r>
      <w:r w:rsidR="000F79F5">
        <w:rPr>
          <w:rFonts w:cs="Helvetica"/>
          <w:sz w:val="26"/>
          <w:szCs w:val="26"/>
        </w:rPr>
        <w:t xml:space="preserve"> under section 2699.3, subdivision (a)</w:t>
      </w:r>
      <w:r>
        <w:rPr>
          <w:rFonts w:cs="Helvetica"/>
          <w:sz w:val="26"/>
          <w:szCs w:val="26"/>
        </w:rPr>
        <w:t>.  In its decision granting defendants</w:t>
      </w:r>
      <w:r w:rsidR="001037EF">
        <w:rPr>
          <w:rFonts w:cs="Helvetica"/>
          <w:sz w:val="26"/>
          <w:szCs w:val="26"/>
        </w:rPr>
        <w:t>’</w:t>
      </w:r>
      <w:r>
        <w:rPr>
          <w:rFonts w:cs="Helvetica"/>
          <w:sz w:val="26"/>
          <w:szCs w:val="26"/>
        </w:rPr>
        <w:t xml:space="preserve"> motion for judgment on the pleadings following the second amended complaint and its decision sustaining defendant</w:t>
      </w:r>
      <w:r w:rsidR="001037EF">
        <w:rPr>
          <w:rFonts w:cs="Helvetica"/>
          <w:sz w:val="26"/>
          <w:szCs w:val="26"/>
        </w:rPr>
        <w:t>’</w:t>
      </w:r>
      <w:r>
        <w:rPr>
          <w:rFonts w:cs="Helvetica"/>
          <w:sz w:val="26"/>
          <w:szCs w:val="26"/>
        </w:rPr>
        <w:t xml:space="preserve">s demurrer to the third amended complaint, the trial court found the </w:t>
      </w:r>
      <w:r>
        <w:rPr>
          <w:sz w:val="26"/>
          <w:szCs w:val="26"/>
        </w:rPr>
        <w:t>2009 Notice deficient for two reasons.</w:t>
      </w:r>
      <w:r w:rsidR="007E2D03">
        <w:rPr>
          <w:sz w:val="26"/>
          <w:szCs w:val="26"/>
        </w:rPr>
        <w:t xml:space="preserve">  The trial court concluded</w:t>
      </w:r>
      <w:r>
        <w:rPr>
          <w:sz w:val="26"/>
          <w:szCs w:val="26"/>
        </w:rPr>
        <w:t xml:space="preserve"> the notice </w:t>
      </w:r>
      <w:r w:rsidR="007E2D03">
        <w:rPr>
          <w:sz w:val="26"/>
          <w:szCs w:val="26"/>
        </w:rPr>
        <w:t xml:space="preserve">did not sufficiently allege </w:t>
      </w:r>
      <w:r w:rsidR="001037EF">
        <w:rPr>
          <w:sz w:val="26"/>
          <w:szCs w:val="26"/>
        </w:rPr>
        <w:t>“</w:t>
      </w:r>
      <w:r>
        <w:rPr>
          <w:sz w:val="26"/>
          <w:szCs w:val="26"/>
        </w:rPr>
        <w:t>facts and theories</w:t>
      </w:r>
      <w:r w:rsidR="001037EF">
        <w:rPr>
          <w:sz w:val="26"/>
          <w:szCs w:val="26"/>
        </w:rPr>
        <w:t>”</w:t>
      </w:r>
      <w:r>
        <w:rPr>
          <w:sz w:val="26"/>
          <w:szCs w:val="26"/>
        </w:rPr>
        <w:t xml:space="preserve"> to support the violations </w:t>
      </w:r>
      <w:r w:rsidR="00424534">
        <w:rPr>
          <w:sz w:val="26"/>
          <w:szCs w:val="26"/>
        </w:rPr>
        <w:t>claimed in the first amended complaint (</w:t>
      </w:r>
      <w:r w:rsidR="00424534">
        <w:rPr>
          <w:i/>
          <w:sz w:val="26"/>
          <w:szCs w:val="26"/>
        </w:rPr>
        <w:t>i.e</w:t>
      </w:r>
      <w:r w:rsidR="005432E1">
        <w:rPr>
          <w:i/>
          <w:sz w:val="26"/>
          <w:szCs w:val="26"/>
        </w:rPr>
        <w:t>.</w:t>
      </w:r>
      <w:r w:rsidR="005432E1">
        <w:rPr>
          <w:sz w:val="26"/>
          <w:szCs w:val="26"/>
        </w:rPr>
        <w:t xml:space="preserve">, </w:t>
      </w:r>
      <w:r w:rsidR="001A7892">
        <w:rPr>
          <w:sz w:val="26"/>
          <w:szCs w:val="26"/>
        </w:rPr>
        <w:t xml:space="preserve">violations of </w:t>
      </w:r>
      <w:r w:rsidR="005432E1">
        <w:rPr>
          <w:sz w:val="26"/>
          <w:szCs w:val="26"/>
        </w:rPr>
        <w:t>sections 204, 226, subdivision (a), 226.7</w:t>
      </w:r>
      <w:r w:rsidR="00DB232E">
        <w:rPr>
          <w:sz w:val="26"/>
          <w:szCs w:val="26"/>
        </w:rPr>
        <w:t>,</w:t>
      </w:r>
      <w:r w:rsidR="005432E1">
        <w:rPr>
          <w:sz w:val="26"/>
          <w:szCs w:val="26"/>
        </w:rPr>
        <w:t xml:space="preserve"> </w:t>
      </w:r>
      <w:r w:rsidR="00DB232E">
        <w:rPr>
          <w:sz w:val="26"/>
          <w:szCs w:val="26"/>
        </w:rPr>
        <w:t xml:space="preserve">and </w:t>
      </w:r>
      <w:r w:rsidR="005432E1">
        <w:rPr>
          <w:sz w:val="26"/>
          <w:szCs w:val="26"/>
        </w:rPr>
        <w:t xml:space="preserve">512) </w:t>
      </w:r>
      <w:r>
        <w:rPr>
          <w:sz w:val="26"/>
          <w:szCs w:val="26"/>
        </w:rPr>
        <w:t xml:space="preserve">and did not refer to violations of Labor Code statutes that plaintiff </w:t>
      </w:r>
      <w:r w:rsidR="000E2D28">
        <w:rPr>
          <w:sz w:val="26"/>
          <w:szCs w:val="26"/>
        </w:rPr>
        <w:t xml:space="preserve">later </w:t>
      </w:r>
      <w:r>
        <w:rPr>
          <w:sz w:val="26"/>
          <w:szCs w:val="26"/>
        </w:rPr>
        <w:t>alleged in the second and third amended complaints (</w:t>
      </w:r>
      <w:r>
        <w:rPr>
          <w:i/>
          <w:sz w:val="26"/>
          <w:szCs w:val="26"/>
        </w:rPr>
        <w:t xml:space="preserve">i.e., </w:t>
      </w:r>
      <w:r w:rsidR="001A7892">
        <w:rPr>
          <w:sz w:val="26"/>
          <w:szCs w:val="26"/>
        </w:rPr>
        <w:t xml:space="preserve">violations of </w:t>
      </w:r>
      <w:r>
        <w:rPr>
          <w:sz w:val="26"/>
          <w:szCs w:val="26"/>
        </w:rPr>
        <w:t xml:space="preserve">sections 201, 202, 203, 558, 1174, subdivision (d), </w:t>
      </w:r>
      <w:r w:rsidR="00DB232E">
        <w:rPr>
          <w:sz w:val="26"/>
          <w:szCs w:val="26"/>
        </w:rPr>
        <w:t xml:space="preserve">and </w:t>
      </w:r>
      <w:r>
        <w:rPr>
          <w:sz w:val="26"/>
          <w:szCs w:val="26"/>
        </w:rPr>
        <w:t>1198</w:t>
      </w:r>
      <w:r w:rsidR="00D079A4">
        <w:rPr>
          <w:sz w:val="26"/>
          <w:szCs w:val="26"/>
        </w:rPr>
        <w:t>)</w:t>
      </w:r>
      <w:r>
        <w:rPr>
          <w:sz w:val="26"/>
          <w:szCs w:val="26"/>
        </w:rPr>
        <w:t>.</w:t>
      </w:r>
      <w:r w:rsidR="00D079A4" w:rsidRPr="00E2443A">
        <w:rPr>
          <w:rStyle w:val="FootnoteReference"/>
          <w:position w:val="8"/>
          <w:sz w:val="20"/>
          <w:szCs w:val="26"/>
          <w:vertAlign w:val="baseline"/>
        </w:rPr>
        <w:footnoteReference w:id="5"/>
      </w:r>
      <w:r>
        <w:rPr>
          <w:sz w:val="26"/>
          <w:szCs w:val="26"/>
        </w:rPr>
        <w:t xml:space="preserve">  </w:t>
      </w:r>
      <w:r w:rsidR="00D079A4">
        <w:rPr>
          <w:sz w:val="26"/>
          <w:szCs w:val="26"/>
        </w:rPr>
        <w:t>We agree in part.</w:t>
      </w:r>
      <w:r w:rsidR="006A1194">
        <w:rPr>
          <w:sz w:val="26"/>
          <w:szCs w:val="26"/>
        </w:rPr>
        <w:t xml:space="preserve">  </w:t>
      </w:r>
      <w:r w:rsidR="009D0ABD">
        <w:rPr>
          <w:rFonts w:cs="Helvetica"/>
          <w:sz w:val="26"/>
          <w:szCs w:val="26"/>
        </w:rPr>
        <w:t>After the trial court</w:t>
      </w:r>
      <w:r w:rsidR="001037EF">
        <w:rPr>
          <w:rFonts w:cs="Helvetica"/>
          <w:sz w:val="26"/>
          <w:szCs w:val="26"/>
        </w:rPr>
        <w:t>’</w:t>
      </w:r>
      <w:r w:rsidR="009D0ABD">
        <w:rPr>
          <w:rFonts w:cs="Helvetica"/>
          <w:sz w:val="26"/>
          <w:szCs w:val="26"/>
        </w:rPr>
        <w:t xml:space="preserve">s </w:t>
      </w:r>
      <w:r w:rsidR="001A1CC7">
        <w:rPr>
          <w:rFonts w:cs="Helvetica"/>
          <w:sz w:val="26"/>
          <w:szCs w:val="26"/>
        </w:rPr>
        <w:t>rulings</w:t>
      </w:r>
      <w:r w:rsidR="009D0ABD">
        <w:rPr>
          <w:rFonts w:cs="Helvetica"/>
          <w:sz w:val="26"/>
          <w:szCs w:val="26"/>
        </w:rPr>
        <w:t xml:space="preserve">, our Supreme Court issued its decision in </w:t>
      </w:r>
      <w:r w:rsidR="009D0ABD">
        <w:rPr>
          <w:rFonts w:cs="Helvetica"/>
          <w:i/>
          <w:sz w:val="26"/>
          <w:szCs w:val="26"/>
        </w:rPr>
        <w:t>Williams</w:t>
      </w:r>
      <w:r w:rsidR="009D0ABD">
        <w:rPr>
          <w:rFonts w:cs="Helvetica"/>
          <w:sz w:val="26"/>
          <w:szCs w:val="26"/>
        </w:rPr>
        <w:t xml:space="preserve">.  </w:t>
      </w:r>
      <w:r w:rsidR="009C1BAC">
        <w:rPr>
          <w:rFonts w:cs="Helvetica"/>
          <w:sz w:val="26"/>
          <w:szCs w:val="26"/>
        </w:rPr>
        <w:t xml:space="preserve">The Supreme Court identified “the clear legislative purposes </w:t>
      </w:r>
      <w:r w:rsidR="0097296C">
        <w:rPr>
          <w:rFonts w:cs="Helvetica"/>
          <w:sz w:val="26"/>
          <w:szCs w:val="26"/>
        </w:rPr>
        <w:t>[PAGA]</w:t>
      </w:r>
      <w:r w:rsidR="009C1BAC">
        <w:rPr>
          <w:rFonts w:cs="Helvetica"/>
          <w:sz w:val="26"/>
          <w:szCs w:val="26"/>
        </w:rPr>
        <w:t xml:space="preserve"> was designed to serve,” namely “to advance the </w:t>
      </w:r>
      <w:r w:rsidR="00A232E9">
        <w:rPr>
          <w:rFonts w:cs="Helvetica"/>
          <w:sz w:val="26"/>
          <w:szCs w:val="26"/>
        </w:rPr>
        <w:t xml:space="preserve">state’s </w:t>
      </w:r>
      <w:r w:rsidR="009C1BAC">
        <w:rPr>
          <w:rFonts w:cs="Helvetica"/>
          <w:sz w:val="26"/>
          <w:szCs w:val="26"/>
        </w:rPr>
        <w:t xml:space="preserve">public policy of affording employees workplaces free of Labor Code violations, notwithstanding the inability of state agencies to monitor every employer or industry” and “to remediate present violations and deter future ones.”  (3 Cal.5th at p. 546.)  </w:t>
      </w:r>
    </w:p>
    <w:p w:rsidR="00546EDE" w:rsidRPr="00F23233" w:rsidRDefault="009D0ABD" w:rsidP="002A194B">
      <w:pPr>
        <w:ind w:firstLine="720"/>
        <w:rPr>
          <w:sz w:val="26"/>
          <w:szCs w:val="26"/>
        </w:rPr>
      </w:pPr>
      <w:r>
        <w:rPr>
          <w:rFonts w:cs="Helvetica"/>
          <w:sz w:val="26"/>
          <w:szCs w:val="26"/>
        </w:rPr>
        <w:t xml:space="preserve">In the context of deciding </w:t>
      </w:r>
      <w:r w:rsidR="0097296C">
        <w:rPr>
          <w:rFonts w:cs="Helvetica"/>
          <w:sz w:val="26"/>
          <w:szCs w:val="26"/>
        </w:rPr>
        <w:t>whether a PAGA plaintiff must have “some modicum of substantial proof before proceeding with discovery,”</w:t>
      </w:r>
      <w:r>
        <w:rPr>
          <w:rFonts w:cs="Helvetica"/>
          <w:sz w:val="26"/>
          <w:szCs w:val="26"/>
        </w:rPr>
        <w:t xml:space="preserve"> the Supreme Court addressed the </w:t>
      </w:r>
      <w:r w:rsidR="00A87E32">
        <w:rPr>
          <w:rFonts w:cs="Helvetica"/>
          <w:sz w:val="26"/>
          <w:szCs w:val="26"/>
        </w:rPr>
        <w:t xml:space="preserve">PAGA </w:t>
      </w:r>
      <w:r>
        <w:rPr>
          <w:rFonts w:cs="Helvetica"/>
          <w:sz w:val="26"/>
          <w:szCs w:val="26"/>
        </w:rPr>
        <w:t>notice requirement</w:t>
      </w:r>
      <w:r w:rsidR="00176838">
        <w:rPr>
          <w:rFonts w:cs="Helvetica"/>
          <w:sz w:val="26"/>
          <w:szCs w:val="26"/>
        </w:rPr>
        <w:t>:  “Nothing in</w:t>
      </w:r>
      <w:r w:rsidR="006A1194">
        <w:rPr>
          <w:rFonts w:cs="Helvetica"/>
          <w:sz w:val="26"/>
          <w:szCs w:val="26"/>
        </w:rPr>
        <w:t> . . . </w:t>
      </w:r>
      <w:r>
        <w:rPr>
          <w:rFonts w:cs="Helvetica"/>
          <w:sz w:val="26"/>
          <w:szCs w:val="26"/>
        </w:rPr>
        <w:t>section 2699.3, subdivision</w:t>
      </w:r>
      <w:r w:rsidR="001A7892">
        <w:rPr>
          <w:rFonts w:cs="Helvetica"/>
          <w:sz w:val="26"/>
          <w:szCs w:val="26"/>
        </w:rPr>
        <w:t xml:space="preserve"> </w:t>
      </w:r>
      <w:r>
        <w:rPr>
          <w:rFonts w:cs="Helvetica"/>
          <w:sz w:val="26"/>
          <w:szCs w:val="26"/>
        </w:rPr>
        <w:t>(a)(1)(A)</w:t>
      </w:r>
      <w:r w:rsidR="00176838">
        <w:rPr>
          <w:rFonts w:cs="Helvetica"/>
          <w:sz w:val="26"/>
          <w:szCs w:val="26"/>
        </w:rPr>
        <w:t>, indicates the ‘facts and theories’ provided</w:t>
      </w:r>
      <w:r w:rsidR="0029645E">
        <w:rPr>
          <w:rFonts w:cs="Helvetica"/>
          <w:sz w:val="26"/>
          <w:szCs w:val="26"/>
        </w:rPr>
        <w:t xml:space="preserve"> </w:t>
      </w:r>
      <w:r w:rsidR="00176838">
        <w:rPr>
          <w:rFonts w:cs="Helvetica"/>
          <w:sz w:val="26"/>
          <w:szCs w:val="26"/>
        </w:rPr>
        <w:t>in support of ‘alleged’ violations must satisfy</w:t>
      </w:r>
      <w:r w:rsidR="0029645E">
        <w:rPr>
          <w:rFonts w:cs="Helvetica"/>
          <w:sz w:val="26"/>
          <w:szCs w:val="26"/>
        </w:rPr>
        <w:t xml:space="preserve"> </w:t>
      </w:r>
      <w:r w:rsidR="00F63320">
        <w:rPr>
          <w:rFonts w:cs="Helvetica"/>
          <w:sz w:val="26"/>
          <w:szCs w:val="26"/>
        </w:rPr>
        <w:t xml:space="preserve">a particular threshold of weightiness, beyond the requirements of </w:t>
      </w:r>
      <w:proofErr w:type="spellStart"/>
      <w:r w:rsidR="00F63320">
        <w:rPr>
          <w:rFonts w:cs="Helvetica"/>
          <w:sz w:val="26"/>
          <w:szCs w:val="26"/>
        </w:rPr>
        <w:t>nonfrivolousness</w:t>
      </w:r>
      <w:proofErr w:type="spellEnd"/>
      <w:r w:rsidR="00F63320">
        <w:rPr>
          <w:rFonts w:cs="Helvetica"/>
          <w:sz w:val="26"/>
          <w:szCs w:val="26"/>
        </w:rPr>
        <w:t xml:space="preserve"> generally applicable to any civil filing.  (See Code Civ. Proc., §</w:t>
      </w:r>
      <w:r w:rsidR="00A232E9">
        <w:rPr>
          <w:rFonts w:cs="Helvetica"/>
          <w:sz w:val="26"/>
          <w:szCs w:val="26"/>
        </w:rPr>
        <w:t> </w:t>
      </w:r>
      <w:r w:rsidR="00F63320">
        <w:rPr>
          <w:rFonts w:cs="Helvetica"/>
          <w:sz w:val="26"/>
          <w:szCs w:val="26"/>
        </w:rPr>
        <w:t xml:space="preserve">128.7.)  </w:t>
      </w:r>
      <w:r w:rsidR="006B5F92">
        <w:rPr>
          <w:rFonts w:cs="Helvetica"/>
          <w:sz w:val="26"/>
          <w:szCs w:val="26"/>
        </w:rPr>
        <w:t xml:space="preserve">The </w:t>
      </w:r>
      <w:r w:rsidR="00176838">
        <w:rPr>
          <w:rFonts w:cs="Helvetica"/>
          <w:sz w:val="26"/>
          <w:szCs w:val="26"/>
        </w:rPr>
        <w:t xml:space="preserve">evident </w:t>
      </w:r>
      <w:r w:rsidR="006B5F92">
        <w:rPr>
          <w:rFonts w:cs="Helvetica"/>
          <w:sz w:val="26"/>
          <w:szCs w:val="26"/>
        </w:rPr>
        <w:t xml:space="preserve">purpose of the notice requirement is to afford the </w:t>
      </w:r>
      <w:r w:rsidR="00176838">
        <w:rPr>
          <w:rFonts w:cs="Helvetica"/>
          <w:sz w:val="26"/>
          <w:szCs w:val="26"/>
        </w:rPr>
        <w:t xml:space="preserve">relevant state agency, the </w:t>
      </w:r>
      <w:r w:rsidR="00CE53AD">
        <w:rPr>
          <w:rFonts w:cs="Helvetica"/>
          <w:sz w:val="26"/>
          <w:szCs w:val="26"/>
        </w:rPr>
        <w:t>[</w:t>
      </w:r>
      <w:r w:rsidR="00176838">
        <w:rPr>
          <w:rFonts w:cs="Helvetica"/>
          <w:sz w:val="26"/>
          <w:szCs w:val="26"/>
        </w:rPr>
        <w:t>LWDA</w:t>
      </w:r>
      <w:r w:rsidR="00CE53AD">
        <w:rPr>
          <w:rFonts w:cs="Helvetica"/>
          <w:sz w:val="26"/>
          <w:szCs w:val="26"/>
        </w:rPr>
        <w:t>]</w:t>
      </w:r>
      <w:r w:rsidR="00176838">
        <w:rPr>
          <w:rFonts w:cs="Helvetica"/>
          <w:sz w:val="26"/>
          <w:szCs w:val="26"/>
        </w:rPr>
        <w:t xml:space="preserve">, </w:t>
      </w:r>
      <w:r w:rsidR="006B5F92">
        <w:rPr>
          <w:rFonts w:cs="Helvetica"/>
          <w:sz w:val="26"/>
          <w:szCs w:val="26"/>
        </w:rPr>
        <w:t>the opportunity to decide whether to allocate scarce resources to an investigation</w:t>
      </w:r>
      <w:r w:rsidR="00176838">
        <w:rPr>
          <w:rFonts w:cs="Helvetica"/>
          <w:sz w:val="26"/>
          <w:szCs w:val="26"/>
        </w:rPr>
        <w:t>, a d</w:t>
      </w:r>
      <w:r w:rsidR="0029645E">
        <w:rPr>
          <w:rFonts w:cs="Helvetica"/>
          <w:sz w:val="26"/>
          <w:szCs w:val="26"/>
        </w:rPr>
        <w:t>e</w:t>
      </w:r>
      <w:r w:rsidR="00176838">
        <w:rPr>
          <w:rFonts w:cs="Helvetica"/>
          <w:sz w:val="26"/>
          <w:szCs w:val="26"/>
        </w:rPr>
        <w:t>cision better made with knowledge of the allegations an aggrieved employee is making and any basis for those allegation</w:t>
      </w:r>
      <w:r w:rsidR="00546EDE">
        <w:rPr>
          <w:rFonts w:cs="Helvetica"/>
          <w:sz w:val="26"/>
          <w:szCs w:val="26"/>
        </w:rPr>
        <w:t>s</w:t>
      </w:r>
      <w:r w:rsidR="00176838">
        <w:rPr>
          <w:rFonts w:cs="Helvetica"/>
          <w:sz w:val="26"/>
          <w:szCs w:val="26"/>
        </w:rPr>
        <w:t>.  Notice to the employer serves the purpose of</w:t>
      </w:r>
      <w:r w:rsidR="006B5F92">
        <w:rPr>
          <w:rFonts w:cs="Helvetica"/>
          <w:sz w:val="26"/>
          <w:szCs w:val="26"/>
        </w:rPr>
        <w:t xml:space="preserve"> allow</w:t>
      </w:r>
      <w:r w:rsidR="00176838">
        <w:rPr>
          <w:rFonts w:cs="Helvetica"/>
          <w:sz w:val="26"/>
          <w:szCs w:val="26"/>
        </w:rPr>
        <w:t>ing</w:t>
      </w:r>
      <w:r w:rsidR="006B5F92">
        <w:rPr>
          <w:rFonts w:cs="Helvetica"/>
          <w:sz w:val="26"/>
          <w:szCs w:val="26"/>
        </w:rPr>
        <w:t xml:space="preserve"> the employer to submit a response to the </w:t>
      </w:r>
      <w:r w:rsidR="00176838">
        <w:rPr>
          <w:rFonts w:cs="Helvetica"/>
          <w:sz w:val="26"/>
          <w:szCs w:val="26"/>
        </w:rPr>
        <w:t xml:space="preserve">agency (see </w:t>
      </w:r>
      <w:r w:rsidR="00CE53AD">
        <w:rPr>
          <w:rFonts w:cs="Helvetica"/>
          <w:sz w:val="26"/>
          <w:szCs w:val="26"/>
        </w:rPr>
        <w:t xml:space="preserve">[] </w:t>
      </w:r>
      <w:r w:rsidR="00176838">
        <w:rPr>
          <w:rFonts w:cs="Helvetica"/>
          <w:sz w:val="26"/>
          <w:szCs w:val="26"/>
        </w:rPr>
        <w:t>§</w:t>
      </w:r>
      <w:r w:rsidR="00CE53AD">
        <w:rPr>
          <w:rFonts w:cs="Helvetica"/>
          <w:sz w:val="26"/>
          <w:szCs w:val="26"/>
        </w:rPr>
        <w:t> </w:t>
      </w:r>
      <w:r w:rsidR="00176838">
        <w:rPr>
          <w:rFonts w:cs="Helvetica"/>
          <w:sz w:val="26"/>
          <w:szCs w:val="26"/>
        </w:rPr>
        <w:t>2699.3, subd. (a)(1)(B)), again thereby</w:t>
      </w:r>
      <w:r w:rsidR="0029645E">
        <w:rPr>
          <w:rFonts w:cs="Helvetica"/>
          <w:sz w:val="26"/>
          <w:szCs w:val="26"/>
        </w:rPr>
        <w:t xml:space="preserve"> </w:t>
      </w:r>
      <w:r w:rsidR="00176838">
        <w:rPr>
          <w:rFonts w:cs="Helvetica"/>
          <w:sz w:val="26"/>
          <w:szCs w:val="26"/>
        </w:rPr>
        <w:t>promoting an informed</w:t>
      </w:r>
      <w:r w:rsidR="006B5F92">
        <w:rPr>
          <w:rFonts w:cs="Helvetica"/>
          <w:sz w:val="26"/>
          <w:szCs w:val="26"/>
        </w:rPr>
        <w:t xml:space="preserve"> agency decision</w:t>
      </w:r>
      <w:r w:rsidR="00176838">
        <w:rPr>
          <w:rFonts w:cs="Helvetica"/>
          <w:sz w:val="26"/>
          <w:szCs w:val="26"/>
        </w:rPr>
        <w:t xml:space="preserve"> as to whether to allocate resources toward an investigation.  </w:t>
      </w:r>
      <w:r w:rsidR="006B5F92">
        <w:rPr>
          <w:rFonts w:cs="Helvetica"/>
          <w:sz w:val="26"/>
          <w:szCs w:val="26"/>
        </w:rPr>
        <w:t>Neither purpose depends on requiring employees to submit only allegations that can already be backed by some particular quantum of admissible proof.</w:t>
      </w:r>
      <w:r w:rsidR="001037EF">
        <w:rPr>
          <w:rFonts w:cs="Helvetica"/>
          <w:sz w:val="26"/>
          <w:szCs w:val="26"/>
        </w:rPr>
        <w:t>”</w:t>
      </w:r>
      <w:r w:rsidR="006B5F92">
        <w:rPr>
          <w:rFonts w:cs="Helvetica"/>
          <w:sz w:val="26"/>
          <w:szCs w:val="26"/>
        </w:rPr>
        <w:t xml:space="preserve">  </w:t>
      </w:r>
      <w:r w:rsidR="00176838">
        <w:rPr>
          <w:rFonts w:cs="Helvetica"/>
          <w:sz w:val="26"/>
          <w:szCs w:val="26"/>
        </w:rPr>
        <w:t>(</w:t>
      </w:r>
      <w:r w:rsidR="00176838">
        <w:rPr>
          <w:rFonts w:cs="Helvetica"/>
          <w:i/>
          <w:sz w:val="26"/>
          <w:szCs w:val="26"/>
        </w:rPr>
        <w:t>Williams, supra</w:t>
      </w:r>
      <w:r w:rsidR="00176838" w:rsidRPr="00E9616E">
        <w:rPr>
          <w:rFonts w:cs="Helvetica"/>
          <w:sz w:val="26"/>
          <w:szCs w:val="26"/>
        </w:rPr>
        <w:t xml:space="preserve">, </w:t>
      </w:r>
      <w:r w:rsidR="00F23233">
        <w:rPr>
          <w:rFonts w:cs="Helvetica"/>
          <w:sz w:val="26"/>
          <w:szCs w:val="26"/>
        </w:rPr>
        <w:t>3 Cal.5th at pp.</w:t>
      </w:r>
      <w:r w:rsidR="002A186E">
        <w:rPr>
          <w:rFonts w:cs="Helvetica"/>
          <w:sz w:val="26"/>
          <w:szCs w:val="26"/>
        </w:rPr>
        <w:t> </w:t>
      </w:r>
      <w:r w:rsidR="00F23233">
        <w:rPr>
          <w:rFonts w:cs="Helvetica"/>
          <w:sz w:val="26"/>
          <w:szCs w:val="26"/>
        </w:rPr>
        <w:t xml:space="preserve">545-546; see also </w:t>
      </w:r>
      <w:r w:rsidR="00F23233">
        <w:rPr>
          <w:i/>
          <w:sz w:val="26"/>
          <w:szCs w:val="26"/>
        </w:rPr>
        <w:t>Caliber</w:t>
      </w:r>
      <w:r w:rsidR="003937CC">
        <w:rPr>
          <w:i/>
          <w:sz w:val="26"/>
          <w:szCs w:val="26"/>
        </w:rPr>
        <w:t>, supra</w:t>
      </w:r>
      <w:r w:rsidR="003937CC" w:rsidRPr="002A186E">
        <w:rPr>
          <w:sz w:val="26"/>
          <w:szCs w:val="26"/>
        </w:rPr>
        <w:t>,</w:t>
      </w:r>
      <w:r w:rsidR="00F23233" w:rsidRPr="002A186E">
        <w:rPr>
          <w:sz w:val="26"/>
          <w:szCs w:val="26"/>
        </w:rPr>
        <w:t xml:space="preserve"> </w:t>
      </w:r>
      <w:r w:rsidR="00F23233">
        <w:rPr>
          <w:sz w:val="26"/>
          <w:szCs w:val="26"/>
        </w:rPr>
        <w:t>134 Cal.App.</w:t>
      </w:r>
      <w:r w:rsidR="00A232E9">
        <w:rPr>
          <w:sz w:val="26"/>
          <w:szCs w:val="26"/>
        </w:rPr>
        <w:t>4</w:t>
      </w:r>
      <w:r w:rsidR="00F23233">
        <w:rPr>
          <w:sz w:val="26"/>
          <w:szCs w:val="26"/>
        </w:rPr>
        <w:t xml:space="preserve">th </w:t>
      </w:r>
      <w:r w:rsidR="003937CC">
        <w:rPr>
          <w:sz w:val="26"/>
          <w:szCs w:val="26"/>
        </w:rPr>
        <w:t>at p.</w:t>
      </w:r>
      <w:r w:rsidR="00F23233">
        <w:rPr>
          <w:sz w:val="26"/>
          <w:szCs w:val="26"/>
        </w:rPr>
        <w:t xml:space="preserve"> 375 [notice provision intended to “‘allow[] the [LWDA] to act first on more “serious” violations such as wage and hour violations and give employers an opportunity to cure less serious violations’”].</w:t>
      </w:r>
      <w:r w:rsidR="00176838">
        <w:rPr>
          <w:rFonts w:cs="Helvetica"/>
          <w:sz w:val="26"/>
          <w:szCs w:val="26"/>
        </w:rPr>
        <w:t>)</w:t>
      </w:r>
      <w:r w:rsidR="006B5F92">
        <w:rPr>
          <w:rFonts w:cs="Helvetica"/>
          <w:sz w:val="26"/>
          <w:szCs w:val="26"/>
        </w:rPr>
        <w:t xml:space="preserve">  </w:t>
      </w:r>
    </w:p>
    <w:p w:rsidR="00546EDE" w:rsidRPr="00183FE6" w:rsidRDefault="00CD7376" w:rsidP="002A194B">
      <w:pPr>
        <w:ind w:firstLine="720"/>
        <w:rPr>
          <w:rFonts w:cs="Helvetica"/>
          <w:sz w:val="26"/>
          <w:szCs w:val="26"/>
        </w:rPr>
      </w:pPr>
      <w:r>
        <w:rPr>
          <w:rFonts w:cs="Helvetica"/>
          <w:sz w:val="26"/>
          <w:szCs w:val="26"/>
        </w:rPr>
        <w:t>T</w:t>
      </w:r>
      <w:r w:rsidR="00546EDE">
        <w:rPr>
          <w:rFonts w:cs="Helvetica"/>
          <w:sz w:val="26"/>
          <w:szCs w:val="26"/>
        </w:rPr>
        <w:t xml:space="preserve">he Supreme Court in </w:t>
      </w:r>
      <w:r w:rsidR="00546EDE">
        <w:rPr>
          <w:rFonts w:cs="Helvetica"/>
          <w:i/>
          <w:sz w:val="26"/>
          <w:szCs w:val="26"/>
        </w:rPr>
        <w:t>Williams</w:t>
      </w:r>
      <w:r w:rsidR="00546EDE">
        <w:rPr>
          <w:rFonts w:cs="Helvetica"/>
          <w:sz w:val="26"/>
          <w:szCs w:val="26"/>
        </w:rPr>
        <w:t xml:space="preserve"> recognized the distinction </w:t>
      </w:r>
      <w:r w:rsidR="00143ECF">
        <w:rPr>
          <w:rFonts w:cs="Helvetica"/>
          <w:sz w:val="26"/>
          <w:szCs w:val="26"/>
        </w:rPr>
        <w:t xml:space="preserve">in the notice </w:t>
      </w:r>
      <w:r w:rsidR="002B2AD1">
        <w:rPr>
          <w:rFonts w:cs="Helvetica"/>
          <w:sz w:val="26"/>
          <w:szCs w:val="26"/>
        </w:rPr>
        <w:t>provision</w:t>
      </w:r>
      <w:r w:rsidR="00143ECF">
        <w:rPr>
          <w:rFonts w:cs="Helvetica"/>
          <w:sz w:val="26"/>
          <w:szCs w:val="26"/>
        </w:rPr>
        <w:t xml:space="preserve"> </w:t>
      </w:r>
      <w:r w:rsidR="00546EDE">
        <w:rPr>
          <w:rFonts w:cs="Helvetica"/>
          <w:sz w:val="26"/>
          <w:szCs w:val="26"/>
        </w:rPr>
        <w:t xml:space="preserve">between </w:t>
      </w:r>
      <w:r w:rsidR="00E74E5E">
        <w:rPr>
          <w:rFonts w:cs="Helvetica"/>
          <w:sz w:val="26"/>
          <w:szCs w:val="26"/>
        </w:rPr>
        <w:t xml:space="preserve">the </w:t>
      </w:r>
      <w:r w:rsidR="00143ECF">
        <w:rPr>
          <w:rFonts w:cs="Helvetica"/>
          <w:sz w:val="26"/>
          <w:szCs w:val="26"/>
        </w:rPr>
        <w:t>alleged violation (i.e.,</w:t>
      </w:r>
      <w:r w:rsidR="00A232E9">
        <w:rPr>
          <w:rFonts w:cs="Helvetica"/>
          <w:sz w:val="26"/>
          <w:szCs w:val="26"/>
        </w:rPr>
        <w:t xml:space="preserve"> </w:t>
      </w:r>
      <w:r w:rsidR="00546EDE">
        <w:rPr>
          <w:rFonts w:cs="Helvetica"/>
          <w:sz w:val="26"/>
          <w:szCs w:val="26"/>
        </w:rPr>
        <w:t>“</w:t>
      </w:r>
      <w:r w:rsidR="00143ECF">
        <w:rPr>
          <w:rFonts w:cs="Helvetica"/>
          <w:sz w:val="26"/>
          <w:szCs w:val="26"/>
        </w:rPr>
        <w:t xml:space="preserve">the </w:t>
      </w:r>
      <w:r w:rsidR="00546EDE">
        <w:rPr>
          <w:rFonts w:cs="Helvetica"/>
          <w:sz w:val="26"/>
          <w:szCs w:val="26"/>
        </w:rPr>
        <w:t>allegations an aggrieved employee is making”</w:t>
      </w:r>
      <w:r w:rsidR="00143ECF">
        <w:rPr>
          <w:rFonts w:cs="Helvetica"/>
          <w:sz w:val="26"/>
          <w:szCs w:val="26"/>
        </w:rPr>
        <w:t xml:space="preserve">) and the </w:t>
      </w:r>
      <w:r w:rsidR="00143ECF" w:rsidRPr="009F2D90">
        <w:rPr>
          <w:rFonts w:cs="Lucida Sans Unicode"/>
          <w:sz w:val="26"/>
          <w:szCs w:val="26"/>
        </w:rPr>
        <w:t>facts and theories to support the alleged violation</w:t>
      </w:r>
      <w:r w:rsidR="00143ECF">
        <w:rPr>
          <w:rFonts w:cs="Helvetica"/>
          <w:sz w:val="26"/>
          <w:szCs w:val="26"/>
        </w:rPr>
        <w:t xml:space="preserve"> (i.e.,</w:t>
      </w:r>
      <w:r w:rsidR="00546EDE">
        <w:rPr>
          <w:rFonts w:cs="Helvetica"/>
          <w:sz w:val="26"/>
          <w:szCs w:val="26"/>
        </w:rPr>
        <w:t xml:space="preserve"> “any basis for those allegations”</w:t>
      </w:r>
      <w:r w:rsidR="00143ECF">
        <w:rPr>
          <w:rFonts w:cs="Helvetica"/>
          <w:sz w:val="26"/>
          <w:szCs w:val="26"/>
        </w:rPr>
        <w:t>).</w:t>
      </w:r>
      <w:r w:rsidR="00546EDE">
        <w:rPr>
          <w:rFonts w:cs="Helvetica"/>
          <w:sz w:val="26"/>
          <w:szCs w:val="26"/>
        </w:rPr>
        <w:t xml:space="preserve">  (</w:t>
      </w:r>
      <w:r w:rsidR="00CE53AD">
        <w:rPr>
          <w:rFonts w:cs="Helvetica"/>
          <w:sz w:val="26"/>
          <w:szCs w:val="26"/>
        </w:rPr>
        <w:t xml:space="preserve">3 Cal.5th </w:t>
      </w:r>
      <w:r w:rsidR="00546EDE">
        <w:rPr>
          <w:rFonts w:cs="Helvetica"/>
          <w:sz w:val="26"/>
          <w:szCs w:val="26"/>
        </w:rPr>
        <w:t>at p. 546.)</w:t>
      </w:r>
      <w:r w:rsidR="00143ECF">
        <w:rPr>
          <w:rFonts w:cs="Helvetica"/>
          <w:sz w:val="26"/>
          <w:szCs w:val="26"/>
        </w:rPr>
        <w:t xml:space="preserve"> </w:t>
      </w:r>
      <w:r w:rsidR="00727CB7">
        <w:rPr>
          <w:rFonts w:cs="Helvetica"/>
          <w:sz w:val="26"/>
          <w:szCs w:val="26"/>
        </w:rPr>
        <w:t xml:space="preserve"> </w:t>
      </w:r>
      <w:r w:rsidR="00143ECF">
        <w:rPr>
          <w:rFonts w:cs="Helvetica"/>
          <w:sz w:val="26"/>
          <w:szCs w:val="26"/>
        </w:rPr>
        <w:t>Federal court decision</w:t>
      </w:r>
      <w:r w:rsidR="00CE53AD">
        <w:rPr>
          <w:rFonts w:cs="Helvetica"/>
          <w:sz w:val="26"/>
          <w:szCs w:val="26"/>
        </w:rPr>
        <w:t>s</w:t>
      </w:r>
      <w:r w:rsidR="00143ECF">
        <w:rPr>
          <w:rFonts w:cs="Helvetica"/>
          <w:sz w:val="26"/>
          <w:szCs w:val="26"/>
        </w:rPr>
        <w:t xml:space="preserve"> also recognize that </w:t>
      </w:r>
      <w:r w:rsidR="002B2AD1">
        <w:rPr>
          <w:rFonts w:cs="Helvetica"/>
          <w:sz w:val="26"/>
          <w:szCs w:val="26"/>
        </w:rPr>
        <w:t xml:space="preserve">the notice provision requires something more than </w:t>
      </w:r>
      <w:r w:rsidR="00B75E56">
        <w:rPr>
          <w:rFonts w:cs="Helvetica"/>
          <w:sz w:val="26"/>
          <w:szCs w:val="26"/>
        </w:rPr>
        <w:t xml:space="preserve">bare </w:t>
      </w:r>
      <w:r w:rsidR="002B2AD1">
        <w:rPr>
          <w:rFonts w:cs="Helvetica"/>
          <w:sz w:val="26"/>
          <w:szCs w:val="26"/>
        </w:rPr>
        <w:t xml:space="preserve">allegations of </w:t>
      </w:r>
      <w:r w:rsidR="00E74E5E">
        <w:rPr>
          <w:rFonts w:cs="Helvetica"/>
          <w:sz w:val="26"/>
          <w:szCs w:val="26"/>
        </w:rPr>
        <w:t xml:space="preserve">a </w:t>
      </w:r>
      <w:r w:rsidR="00371BEE">
        <w:rPr>
          <w:rFonts w:cs="Helvetica"/>
          <w:sz w:val="26"/>
          <w:szCs w:val="26"/>
        </w:rPr>
        <w:t xml:space="preserve">Labor Code </w:t>
      </w:r>
      <w:r w:rsidR="002B2AD1">
        <w:rPr>
          <w:rFonts w:cs="Helvetica"/>
          <w:sz w:val="26"/>
          <w:szCs w:val="26"/>
        </w:rPr>
        <w:t xml:space="preserve">violation.  In </w:t>
      </w:r>
      <w:proofErr w:type="spellStart"/>
      <w:r w:rsidR="002B2AD1">
        <w:rPr>
          <w:rFonts w:cs="Helvetica"/>
          <w:i/>
          <w:sz w:val="26"/>
          <w:szCs w:val="26"/>
        </w:rPr>
        <w:t>Alcantar</w:t>
      </w:r>
      <w:proofErr w:type="spellEnd"/>
      <w:r w:rsidR="002B2AD1">
        <w:rPr>
          <w:rFonts w:cs="Helvetica"/>
          <w:i/>
          <w:sz w:val="26"/>
          <w:szCs w:val="26"/>
        </w:rPr>
        <w:t xml:space="preserve"> v. Hobart Service</w:t>
      </w:r>
      <w:r w:rsidR="002B2AD1">
        <w:rPr>
          <w:rFonts w:cs="Helvetica"/>
          <w:sz w:val="26"/>
          <w:szCs w:val="26"/>
        </w:rPr>
        <w:t xml:space="preserve"> (9th Cir. 2015) 800 F.3d 1047</w:t>
      </w:r>
      <w:r w:rsidR="006A1194">
        <w:rPr>
          <w:rFonts w:cs="Helvetica"/>
          <w:sz w:val="26"/>
          <w:szCs w:val="26"/>
        </w:rPr>
        <w:t xml:space="preserve"> (</w:t>
      </w:r>
      <w:proofErr w:type="spellStart"/>
      <w:r w:rsidR="006A1194" w:rsidRPr="006A1194">
        <w:rPr>
          <w:rFonts w:cs="Helvetica"/>
          <w:i/>
          <w:sz w:val="26"/>
          <w:szCs w:val="26"/>
        </w:rPr>
        <w:t>Alcantar</w:t>
      </w:r>
      <w:proofErr w:type="spellEnd"/>
      <w:r w:rsidR="006A1194">
        <w:rPr>
          <w:rFonts w:cs="Helvetica"/>
          <w:sz w:val="26"/>
          <w:szCs w:val="26"/>
        </w:rPr>
        <w:t>)</w:t>
      </w:r>
      <w:r w:rsidR="002B2AD1">
        <w:rPr>
          <w:rFonts w:cs="Helvetica"/>
          <w:sz w:val="26"/>
          <w:szCs w:val="26"/>
        </w:rPr>
        <w:t>, the court held the plaintiff’s notice</w:t>
      </w:r>
      <w:r w:rsidR="00C6648E">
        <w:rPr>
          <w:rFonts w:cs="Helvetica"/>
          <w:sz w:val="26"/>
          <w:szCs w:val="26"/>
        </w:rPr>
        <w:t xml:space="preserve"> </w:t>
      </w:r>
      <w:r w:rsidR="002B2AD1">
        <w:rPr>
          <w:rFonts w:cs="Helvetica"/>
          <w:sz w:val="26"/>
          <w:szCs w:val="26"/>
        </w:rPr>
        <w:t>was “a string of legal conclusions with no factual allegations or theories of liability to support them</w:t>
      </w:r>
      <w:r w:rsidR="00C6648E">
        <w:rPr>
          <w:rFonts w:cs="Helvetica"/>
          <w:sz w:val="26"/>
          <w:szCs w:val="26"/>
        </w:rPr>
        <w:t>.</w:t>
      </w:r>
      <w:r w:rsidR="002B2AD1">
        <w:rPr>
          <w:rFonts w:cs="Helvetica"/>
          <w:sz w:val="26"/>
          <w:szCs w:val="26"/>
        </w:rPr>
        <w:t>”</w:t>
      </w:r>
      <w:r w:rsidR="00C6648E">
        <w:rPr>
          <w:rFonts w:cs="Helvetica"/>
          <w:sz w:val="26"/>
          <w:szCs w:val="26"/>
        </w:rPr>
        <w:t xml:space="preserve">  (</w:t>
      </w:r>
      <w:r w:rsidR="00C6648E">
        <w:rPr>
          <w:rFonts w:cs="Helvetica"/>
          <w:i/>
          <w:sz w:val="26"/>
          <w:szCs w:val="26"/>
        </w:rPr>
        <w:t>Id.</w:t>
      </w:r>
      <w:r w:rsidR="00CB3123">
        <w:rPr>
          <w:rFonts w:cs="Helvetica"/>
          <w:sz w:val="26"/>
          <w:szCs w:val="26"/>
        </w:rPr>
        <w:t xml:space="preserve"> at p.</w:t>
      </w:r>
      <w:r w:rsidR="002A186E">
        <w:rPr>
          <w:rFonts w:cs="Helvetica"/>
          <w:sz w:val="26"/>
          <w:szCs w:val="26"/>
        </w:rPr>
        <w:t> </w:t>
      </w:r>
      <w:r w:rsidR="00CB3123">
        <w:rPr>
          <w:rFonts w:cs="Helvetica"/>
          <w:sz w:val="26"/>
          <w:szCs w:val="26"/>
        </w:rPr>
        <w:t>105</w:t>
      </w:r>
      <w:r w:rsidR="00C6648E">
        <w:rPr>
          <w:rFonts w:cs="Helvetica"/>
          <w:sz w:val="26"/>
          <w:szCs w:val="26"/>
        </w:rPr>
        <w:t>7.)  The notice identified plaintiff’s employer and stated the employer “(1) failed to pay wages for all time worked; (2) failed to pay overtime wages for overtime worked; (3) failed to include the extra compensation required by</w:t>
      </w:r>
      <w:r w:rsidR="00CE53AD">
        <w:rPr>
          <w:rFonts w:cs="Helvetica"/>
          <w:sz w:val="26"/>
          <w:szCs w:val="26"/>
        </w:rPr>
        <w:t> . . . </w:t>
      </w:r>
      <w:r w:rsidR="00C6648E">
        <w:rPr>
          <w:rFonts w:cs="Helvetica"/>
          <w:sz w:val="26"/>
          <w:szCs w:val="26"/>
        </w:rPr>
        <w:t>section 1194 in the regular rate of pay when computing overtime compensation, thereby failing to pay Plaintiff and those who earned additional compensation for all overtime wages due;” and so on.  (</w:t>
      </w:r>
      <w:r w:rsidR="00C6648E">
        <w:rPr>
          <w:rFonts w:cs="Helvetica"/>
          <w:i/>
          <w:sz w:val="26"/>
          <w:szCs w:val="26"/>
        </w:rPr>
        <w:t>Ibid.</w:t>
      </w:r>
      <w:r w:rsidR="00C6648E">
        <w:rPr>
          <w:rFonts w:cs="Helvetica"/>
          <w:sz w:val="26"/>
          <w:szCs w:val="26"/>
        </w:rPr>
        <w:t>)  The court reasoned the</w:t>
      </w:r>
      <w:r w:rsidR="00136360">
        <w:rPr>
          <w:rFonts w:cs="Helvetica"/>
          <w:sz w:val="26"/>
          <w:szCs w:val="26"/>
        </w:rPr>
        <w:t>se</w:t>
      </w:r>
      <w:r w:rsidR="00C6648E">
        <w:rPr>
          <w:rFonts w:cs="Helvetica"/>
          <w:sz w:val="26"/>
          <w:szCs w:val="26"/>
        </w:rPr>
        <w:t xml:space="preserve"> bar</w:t>
      </w:r>
      <w:r w:rsidR="00136360">
        <w:rPr>
          <w:rFonts w:cs="Helvetica"/>
          <w:sz w:val="26"/>
          <w:szCs w:val="26"/>
        </w:rPr>
        <w:t xml:space="preserve">e allegations were insufficient because </w:t>
      </w:r>
      <w:r w:rsidR="00371BEE">
        <w:rPr>
          <w:rFonts w:cs="Helvetica"/>
          <w:sz w:val="26"/>
          <w:szCs w:val="26"/>
        </w:rPr>
        <w:t xml:space="preserve">they </w:t>
      </w:r>
      <w:r>
        <w:rPr>
          <w:rFonts w:cs="Helvetica"/>
          <w:sz w:val="26"/>
          <w:szCs w:val="26"/>
        </w:rPr>
        <w:t>simply paraphrased the allegedly violated statutes.  (</w:t>
      </w:r>
      <w:r>
        <w:rPr>
          <w:rFonts w:cs="Helvetica"/>
          <w:i/>
          <w:sz w:val="26"/>
          <w:szCs w:val="26"/>
        </w:rPr>
        <w:t>Ibid.</w:t>
      </w:r>
      <w:r>
        <w:rPr>
          <w:rFonts w:cs="Helvetica"/>
          <w:sz w:val="26"/>
          <w:szCs w:val="26"/>
        </w:rPr>
        <w:t xml:space="preserve"> [“The only facts or theories that could be read into this letter are those implied by the claimed violations of specific sections of the California Labor Code</w:t>
      </w:r>
      <w:r w:rsidR="00A232E9">
        <w:rPr>
          <w:rFonts w:cs="Helvetica"/>
          <w:sz w:val="26"/>
          <w:szCs w:val="26"/>
        </w:rPr>
        <w:t>”</w:t>
      </w:r>
      <w:r>
        <w:rPr>
          <w:rFonts w:cs="Helvetica"/>
          <w:sz w:val="26"/>
          <w:szCs w:val="26"/>
        </w:rPr>
        <w:t>].)  The notice</w:t>
      </w:r>
      <w:r w:rsidR="00136360">
        <w:rPr>
          <w:rFonts w:cs="Helvetica"/>
          <w:sz w:val="26"/>
          <w:szCs w:val="26"/>
        </w:rPr>
        <w:t xml:space="preserve"> </w:t>
      </w:r>
      <w:r w:rsidR="002B2AD1">
        <w:rPr>
          <w:rFonts w:cs="Helvetica"/>
          <w:sz w:val="26"/>
          <w:szCs w:val="26"/>
        </w:rPr>
        <w:t>did not allow the LWDA “to intelligently assess the seriousness of the alleged violations” or give the employer enough information “to determine what policies or practices are being complained of so as to know whether to fold or fight.”  (</w:t>
      </w:r>
      <w:r w:rsidR="002B2AD1">
        <w:rPr>
          <w:rFonts w:cs="Helvetica"/>
          <w:i/>
          <w:sz w:val="26"/>
          <w:szCs w:val="26"/>
        </w:rPr>
        <w:t>Id.</w:t>
      </w:r>
      <w:r w:rsidR="002B2AD1">
        <w:rPr>
          <w:rFonts w:cs="Helvetica"/>
          <w:sz w:val="26"/>
          <w:szCs w:val="26"/>
        </w:rPr>
        <w:t xml:space="preserve"> at</w:t>
      </w:r>
      <w:r w:rsidR="00CB3123">
        <w:rPr>
          <w:rFonts w:cs="Helvetica"/>
          <w:sz w:val="26"/>
          <w:szCs w:val="26"/>
        </w:rPr>
        <w:t xml:space="preserve"> p. 105</w:t>
      </w:r>
      <w:r w:rsidR="002B2AD1">
        <w:rPr>
          <w:rFonts w:cs="Helvetica"/>
          <w:sz w:val="26"/>
          <w:szCs w:val="26"/>
        </w:rPr>
        <w:t>7</w:t>
      </w:r>
      <w:r w:rsidR="00136360">
        <w:rPr>
          <w:rFonts w:cs="Helvetica"/>
          <w:sz w:val="26"/>
          <w:szCs w:val="26"/>
        </w:rPr>
        <w:t>; see</w:t>
      </w:r>
      <w:r w:rsidR="001F387C">
        <w:rPr>
          <w:rFonts w:cs="Helvetica"/>
          <w:sz w:val="26"/>
          <w:szCs w:val="26"/>
        </w:rPr>
        <w:t>, e.g.,</w:t>
      </w:r>
      <w:r w:rsidR="00136360">
        <w:rPr>
          <w:rFonts w:cs="Helvetica"/>
          <w:sz w:val="26"/>
          <w:szCs w:val="26"/>
        </w:rPr>
        <w:t xml:space="preserve"> </w:t>
      </w:r>
      <w:r w:rsidR="00136360">
        <w:rPr>
          <w:rFonts w:cs="Helvetica"/>
          <w:i/>
          <w:sz w:val="26"/>
          <w:szCs w:val="26"/>
        </w:rPr>
        <w:t>Green v. Bank of America, N.A.</w:t>
      </w:r>
      <w:r w:rsidR="00136360">
        <w:rPr>
          <w:rFonts w:cs="Helvetica"/>
          <w:sz w:val="26"/>
          <w:szCs w:val="26"/>
        </w:rPr>
        <w:t xml:space="preserve"> (9th Cir. 2015) 634 </w:t>
      </w:r>
      <w:proofErr w:type="spellStart"/>
      <w:r w:rsidR="00136360">
        <w:rPr>
          <w:rFonts w:cs="Helvetica"/>
          <w:sz w:val="26"/>
          <w:szCs w:val="26"/>
        </w:rPr>
        <w:t>Fed.Appx</w:t>
      </w:r>
      <w:proofErr w:type="spellEnd"/>
      <w:r w:rsidR="00136360">
        <w:rPr>
          <w:rFonts w:cs="Helvetica"/>
          <w:sz w:val="26"/>
          <w:szCs w:val="26"/>
        </w:rPr>
        <w:t xml:space="preserve">. 188, 191 [notice stating “plaintiffs could use a seat in their position” was sufficient for “simple seating claim”]; </w:t>
      </w:r>
      <w:proofErr w:type="spellStart"/>
      <w:r w:rsidR="00136360">
        <w:rPr>
          <w:rFonts w:cs="Helvetica"/>
          <w:i/>
          <w:sz w:val="26"/>
          <w:szCs w:val="26"/>
        </w:rPr>
        <w:t>Moua</w:t>
      </w:r>
      <w:proofErr w:type="spellEnd"/>
      <w:r w:rsidR="00136360">
        <w:rPr>
          <w:rFonts w:cs="Helvetica"/>
          <w:i/>
          <w:sz w:val="26"/>
          <w:szCs w:val="26"/>
        </w:rPr>
        <w:t xml:space="preserve"> v. International Business Machines Corp</w:t>
      </w:r>
      <w:r w:rsidR="00CE53AD">
        <w:rPr>
          <w:rFonts w:cs="Helvetica"/>
          <w:i/>
          <w:sz w:val="26"/>
          <w:szCs w:val="26"/>
        </w:rPr>
        <w:t>.</w:t>
      </w:r>
      <w:r w:rsidR="00136360">
        <w:rPr>
          <w:rFonts w:cs="Helvetica"/>
          <w:sz w:val="26"/>
          <w:szCs w:val="26"/>
        </w:rPr>
        <w:t xml:space="preserve"> (</w:t>
      </w:r>
      <w:proofErr w:type="spellStart"/>
      <w:r w:rsidR="00136360">
        <w:rPr>
          <w:rFonts w:cs="Helvetica"/>
          <w:sz w:val="26"/>
          <w:szCs w:val="26"/>
        </w:rPr>
        <w:t>N.D.Cal</w:t>
      </w:r>
      <w:proofErr w:type="spellEnd"/>
      <w:r w:rsidR="00136360">
        <w:rPr>
          <w:rFonts w:cs="Helvetica"/>
          <w:sz w:val="26"/>
          <w:szCs w:val="26"/>
        </w:rPr>
        <w:t>. Jan. 31, 2012, No.</w:t>
      </w:r>
      <w:r w:rsidR="002A186E">
        <w:rPr>
          <w:rFonts w:cs="Helvetica"/>
          <w:sz w:val="26"/>
          <w:szCs w:val="26"/>
        </w:rPr>
        <w:t> </w:t>
      </w:r>
      <w:r w:rsidR="00136360">
        <w:rPr>
          <w:rFonts w:cs="Helvetica"/>
          <w:sz w:val="26"/>
          <w:szCs w:val="26"/>
        </w:rPr>
        <w:t xml:space="preserve">5:10-cv-01070 EJD) 2012 WL 370570, at *5 [notice “identifies at least </w:t>
      </w:r>
      <w:r w:rsidR="00136360">
        <w:rPr>
          <w:rFonts w:cs="Helvetica"/>
          <w:i/>
          <w:sz w:val="26"/>
          <w:szCs w:val="26"/>
        </w:rPr>
        <w:t>some</w:t>
      </w:r>
      <w:r w:rsidR="00136360">
        <w:rPr>
          <w:rFonts w:cs="Helvetica"/>
          <w:sz w:val="26"/>
          <w:szCs w:val="26"/>
        </w:rPr>
        <w:t xml:space="preserve"> alleged facts and th</w:t>
      </w:r>
      <w:r w:rsidR="00D926D7">
        <w:rPr>
          <w:rFonts w:cs="Helvetica"/>
          <w:sz w:val="26"/>
          <w:szCs w:val="26"/>
        </w:rPr>
        <w:t>eories”];</w:t>
      </w:r>
      <w:r w:rsidR="00CB3123">
        <w:rPr>
          <w:rFonts w:cs="Helvetica"/>
          <w:sz w:val="26"/>
          <w:szCs w:val="26"/>
        </w:rPr>
        <w:t xml:space="preserve"> </w:t>
      </w:r>
      <w:r w:rsidR="00CB3123">
        <w:rPr>
          <w:rFonts w:cs="Helvetica"/>
          <w:i/>
          <w:sz w:val="26"/>
          <w:szCs w:val="26"/>
        </w:rPr>
        <w:t>Mireles v. Paragon Systems, Inc.</w:t>
      </w:r>
      <w:r w:rsidR="00CB3123">
        <w:rPr>
          <w:rFonts w:cs="Helvetica"/>
          <w:sz w:val="26"/>
          <w:szCs w:val="26"/>
        </w:rPr>
        <w:t xml:space="preserve"> (</w:t>
      </w:r>
      <w:proofErr w:type="spellStart"/>
      <w:r w:rsidR="00CB3123">
        <w:rPr>
          <w:rFonts w:cs="Helvetica"/>
          <w:sz w:val="26"/>
          <w:szCs w:val="26"/>
        </w:rPr>
        <w:t>S.D.Cal</w:t>
      </w:r>
      <w:proofErr w:type="spellEnd"/>
      <w:r w:rsidR="00CB3123">
        <w:rPr>
          <w:rFonts w:cs="Helvetica"/>
          <w:sz w:val="26"/>
          <w:szCs w:val="26"/>
        </w:rPr>
        <w:t xml:space="preserve">. Feb. </w:t>
      </w:r>
      <w:r w:rsidR="00CE53AD">
        <w:rPr>
          <w:rFonts w:cs="Helvetica"/>
          <w:sz w:val="26"/>
          <w:szCs w:val="26"/>
        </w:rPr>
        <w:t>9</w:t>
      </w:r>
      <w:r w:rsidR="00CB3123">
        <w:rPr>
          <w:rFonts w:cs="Helvetica"/>
          <w:sz w:val="26"/>
          <w:szCs w:val="26"/>
        </w:rPr>
        <w:t xml:space="preserve">, 2016, No. 13-cv-00122-L-BGS) 2016 WL 7634439, at *5 [notice reciting elements from the Labor Code and a Wage Order and alleging a violation of </w:t>
      </w:r>
      <w:r w:rsidR="00B47D59">
        <w:rPr>
          <w:sz w:val="26"/>
          <w:szCs w:val="26"/>
        </w:rPr>
        <w:t>§</w:t>
      </w:r>
      <w:r w:rsidR="00CB3123">
        <w:rPr>
          <w:rFonts w:cs="Helvetica"/>
          <w:sz w:val="26"/>
          <w:szCs w:val="26"/>
        </w:rPr>
        <w:t xml:space="preserve"> 226.7 “fails to provide any facts, not implied by reference to the Labor Code or Wage Order, as to how </w:t>
      </w:r>
      <w:r w:rsidR="00B47D59">
        <w:rPr>
          <w:rFonts w:cs="Helvetica"/>
          <w:sz w:val="26"/>
          <w:szCs w:val="26"/>
        </w:rPr>
        <w:t xml:space="preserve">[the] </w:t>
      </w:r>
      <w:r w:rsidR="00CB3123">
        <w:rPr>
          <w:rFonts w:cs="Helvetica"/>
          <w:sz w:val="26"/>
          <w:szCs w:val="26"/>
        </w:rPr>
        <w:t xml:space="preserve">defendant violated </w:t>
      </w:r>
      <w:r w:rsidR="003B6A3D">
        <w:rPr>
          <w:rFonts w:cs="Helvetica"/>
          <w:sz w:val="26"/>
          <w:szCs w:val="26"/>
        </w:rPr>
        <w:t>[</w:t>
      </w:r>
      <w:r w:rsidR="00CE53AD">
        <w:rPr>
          <w:rFonts w:cs="Helvetica"/>
          <w:sz w:val="26"/>
          <w:szCs w:val="26"/>
        </w:rPr>
        <w:t xml:space="preserve">] </w:t>
      </w:r>
      <w:r w:rsidR="00B47D59">
        <w:rPr>
          <w:sz w:val="26"/>
          <w:szCs w:val="26"/>
        </w:rPr>
        <w:t>§ </w:t>
      </w:r>
      <w:r w:rsidR="00CB3123">
        <w:rPr>
          <w:rFonts w:cs="Helvetica"/>
          <w:sz w:val="26"/>
          <w:szCs w:val="26"/>
        </w:rPr>
        <w:t>226.7”]</w:t>
      </w:r>
      <w:r w:rsidR="001F387C">
        <w:rPr>
          <w:rFonts w:cs="Helvetica"/>
          <w:sz w:val="26"/>
          <w:szCs w:val="26"/>
        </w:rPr>
        <w:t xml:space="preserve">; </w:t>
      </w:r>
      <w:r w:rsidR="00183FE6">
        <w:rPr>
          <w:rFonts w:cs="Helvetica"/>
          <w:i/>
          <w:sz w:val="26"/>
          <w:szCs w:val="26"/>
        </w:rPr>
        <w:t>Cardenas v. McLane Foodservices, Inc.</w:t>
      </w:r>
      <w:r w:rsidR="00183FE6">
        <w:rPr>
          <w:rFonts w:cs="Helvetica"/>
          <w:sz w:val="26"/>
          <w:szCs w:val="26"/>
        </w:rPr>
        <w:t xml:space="preserve"> (</w:t>
      </w:r>
      <w:proofErr w:type="spellStart"/>
      <w:r w:rsidR="00183FE6">
        <w:rPr>
          <w:rFonts w:cs="Helvetica"/>
          <w:sz w:val="26"/>
          <w:szCs w:val="26"/>
        </w:rPr>
        <w:t>C.D.Cal</w:t>
      </w:r>
      <w:proofErr w:type="spellEnd"/>
      <w:r w:rsidR="00183FE6">
        <w:rPr>
          <w:rFonts w:cs="Helvetica"/>
          <w:sz w:val="26"/>
          <w:szCs w:val="26"/>
        </w:rPr>
        <w:t xml:space="preserve">. 2011) 796 F.Supp.2d 1246, 1260 [“the plain meaning” of the phrase “facts and theories to support </w:t>
      </w:r>
      <w:r w:rsidR="00E74E5E">
        <w:rPr>
          <w:rFonts w:cs="Helvetica"/>
          <w:sz w:val="26"/>
          <w:szCs w:val="26"/>
        </w:rPr>
        <w:t>the</w:t>
      </w:r>
      <w:r w:rsidR="00183FE6">
        <w:rPr>
          <w:rFonts w:cs="Helvetica"/>
          <w:sz w:val="26"/>
          <w:szCs w:val="26"/>
        </w:rPr>
        <w:t xml:space="preserve"> alleged violation” “suggest</w:t>
      </w:r>
      <w:r w:rsidR="00A232E9">
        <w:rPr>
          <w:rFonts w:cs="Helvetica"/>
          <w:sz w:val="26"/>
          <w:szCs w:val="26"/>
        </w:rPr>
        <w:t>s</w:t>
      </w:r>
      <w:r w:rsidR="00183FE6">
        <w:rPr>
          <w:rFonts w:cs="Helvetica"/>
          <w:sz w:val="26"/>
          <w:szCs w:val="26"/>
        </w:rPr>
        <w:t xml:space="preserve"> that </w:t>
      </w:r>
      <w:r w:rsidR="00B47D59">
        <w:rPr>
          <w:rFonts w:cs="Helvetica"/>
          <w:sz w:val="26"/>
          <w:szCs w:val="26"/>
        </w:rPr>
        <w:t>[the p]</w:t>
      </w:r>
      <w:proofErr w:type="spellStart"/>
      <w:r w:rsidR="00183FE6">
        <w:rPr>
          <w:rFonts w:cs="Helvetica"/>
          <w:sz w:val="26"/>
          <w:szCs w:val="26"/>
        </w:rPr>
        <w:t>laintiffs</w:t>
      </w:r>
      <w:proofErr w:type="spellEnd"/>
      <w:r w:rsidR="00183FE6">
        <w:rPr>
          <w:rFonts w:cs="Helvetica"/>
          <w:sz w:val="26"/>
          <w:szCs w:val="26"/>
        </w:rPr>
        <w:t xml:space="preserve"> were required to put forward sufficient facts to support their claims of labor violations”].)</w:t>
      </w:r>
      <w:r w:rsidR="002A186E">
        <w:rPr>
          <w:rFonts w:cs="Helvetica"/>
          <w:sz w:val="26"/>
          <w:szCs w:val="26"/>
        </w:rPr>
        <w:t xml:space="preserve">  </w:t>
      </w:r>
    </w:p>
    <w:p w:rsidR="00632307" w:rsidRDefault="00DD365C" w:rsidP="002A194B">
      <w:pPr>
        <w:ind w:firstLine="720"/>
        <w:rPr>
          <w:sz w:val="26"/>
          <w:szCs w:val="26"/>
        </w:rPr>
      </w:pPr>
      <w:r w:rsidRPr="006470D8">
        <w:rPr>
          <w:sz w:val="26"/>
          <w:szCs w:val="26"/>
        </w:rPr>
        <w:t>The</w:t>
      </w:r>
      <w:r>
        <w:rPr>
          <w:sz w:val="26"/>
          <w:szCs w:val="26"/>
        </w:rPr>
        <w:t xml:space="preserve"> 2009 Notice </w:t>
      </w:r>
      <w:r w:rsidR="00E74E5E">
        <w:rPr>
          <w:sz w:val="26"/>
          <w:szCs w:val="26"/>
        </w:rPr>
        <w:t xml:space="preserve">suffers from the same defect as in </w:t>
      </w:r>
      <w:proofErr w:type="spellStart"/>
      <w:r w:rsidR="00E74E5E">
        <w:rPr>
          <w:i/>
          <w:sz w:val="26"/>
          <w:szCs w:val="26"/>
        </w:rPr>
        <w:t>Alcantar</w:t>
      </w:r>
      <w:proofErr w:type="spellEnd"/>
      <w:r w:rsidR="00E74E5E">
        <w:rPr>
          <w:sz w:val="26"/>
          <w:szCs w:val="26"/>
        </w:rPr>
        <w:t xml:space="preserve">.  It </w:t>
      </w:r>
      <w:r>
        <w:rPr>
          <w:sz w:val="26"/>
          <w:szCs w:val="26"/>
        </w:rPr>
        <w:t>stated plaintiff was an hourly</w:t>
      </w:r>
      <w:r w:rsidR="00F32DC2">
        <w:rPr>
          <w:sz w:val="26"/>
          <w:szCs w:val="26"/>
        </w:rPr>
        <w:t>-paid</w:t>
      </w:r>
      <w:r>
        <w:rPr>
          <w:sz w:val="26"/>
          <w:szCs w:val="26"/>
        </w:rPr>
        <w:t xml:space="preserve"> security guard employed by </w:t>
      </w:r>
      <w:r w:rsidR="007E2D03">
        <w:rPr>
          <w:sz w:val="26"/>
          <w:szCs w:val="26"/>
        </w:rPr>
        <w:t>defendants</w:t>
      </w:r>
      <w:r>
        <w:rPr>
          <w:sz w:val="26"/>
          <w:szCs w:val="26"/>
        </w:rPr>
        <w:t xml:space="preserve"> at Los Angeles County business locations.  Plaintiff alleged she and other aggrieved employees </w:t>
      </w:r>
      <w:r w:rsidR="001037EF">
        <w:rPr>
          <w:sz w:val="26"/>
          <w:szCs w:val="26"/>
        </w:rPr>
        <w:t>“</w:t>
      </w:r>
      <w:r>
        <w:rPr>
          <w:sz w:val="26"/>
          <w:szCs w:val="26"/>
        </w:rPr>
        <w:t>did not take all meal and rest periods and were not properly compensated for missed meal and rest periods</w:t>
      </w:r>
      <w:r w:rsidR="001037EF">
        <w:rPr>
          <w:sz w:val="26"/>
          <w:szCs w:val="26"/>
        </w:rPr>
        <w:t>”</w:t>
      </w:r>
      <w:r>
        <w:rPr>
          <w:sz w:val="26"/>
          <w:szCs w:val="26"/>
        </w:rPr>
        <w:t xml:space="preserve"> in violation of sections 226.7 and 512.  </w:t>
      </w:r>
      <w:r w:rsidR="00C07E0F">
        <w:rPr>
          <w:sz w:val="26"/>
          <w:szCs w:val="26"/>
        </w:rPr>
        <w:t>S</w:t>
      </w:r>
      <w:r>
        <w:rPr>
          <w:sz w:val="26"/>
          <w:szCs w:val="26"/>
        </w:rPr>
        <w:t xml:space="preserve">he claimed defendants </w:t>
      </w:r>
      <w:r w:rsidR="001037EF">
        <w:rPr>
          <w:sz w:val="26"/>
          <w:szCs w:val="26"/>
        </w:rPr>
        <w:t>“</w:t>
      </w:r>
      <w:r>
        <w:rPr>
          <w:sz w:val="26"/>
          <w:szCs w:val="26"/>
        </w:rPr>
        <w:t>failed to pay [her] and other aggrieved employees all wages due to them within any time period specified by California Labor Code section 204</w:t>
      </w:r>
      <w:r w:rsidR="00497220">
        <w:rPr>
          <w:sz w:val="26"/>
          <w:szCs w:val="26"/>
        </w:rPr>
        <w:t>.</w:t>
      </w:r>
      <w:r w:rsidR="001037EF">
        <w:rPr>
          <w:sz w:val="26"/>
          <w:szCs w:val="26"/>
        </w:rPr>
        <w:t>”</w:t>
      </w:r>
      <w:r w:rsidR="00497220">
        <w:rPr>
          <w:sz w:val="26"/>
          <w:szCs w:val="26"/>
        </w:rPr>
        <w:t xml:space="preserve">  </w:t>
      </w:r>
      <w:r w:rsidR="007D51D6">
        <w:rPr>
          <w:sz w:val="26"/>
          <w:szCs w:val="26"/>
        </w:rPr>
        <w:t>P</w:t>
      </w:r>
      <w:r>
        <w:rPr>
          <w:sz w:val="26"/>
          <w:szCs w:val="26"/>
        </w:rPr>
        <w:t>laintiff alleged</w:t>
      </w:r>
      <w:r w:rsidR="00A86065">
        <w:rPr>
          <w:sz w:val="26"/>
          <w:szCs w:val="26"/>
        </w:rPr>
        <w:t xml:space="preserve"> </w:t>
      </w:r>
      <w:r w:rsidR="00F63BB6">
        <w:rPr>
          <w:sz w:val="26"/>
          <w:szCs w:val="26"/>
        </w:rPr>
        <w:t>that defendants</w:t>
      </w:r>
      <w:r>
        <w:rPr>
          <w:sz w:val="26"/>
          <w:szCs w:val="26"/>
        </w:rPr>
        <w:t xml:space="preserve"> </w:t>
      </w:r>
      <w:r w:rsidR="001037EF">
        <w:rPr>
          <w:sz w:val="26"/>
          <w:szCs w:val="26"/>
        </w:rPr>
        <w:t>“</w:t>
      </w:r>
      <w:r>
        <w:rPr>
          <w:sz w:val="26"/>
          <w:szCs w:val="26"/>
        </w:rPr>
        <w:t>did not provide [her] and other aggrieved employees with proper itemized wage statements</w:t>
      </w:r>
      <w:r w:rsidR="001037EF">
        <w:rPr>
          <w:sz w:val="26"/>
          <w:szCs w:val="26"/>
        </w:rPr>
        <w:t>”</w:t>
      </w:r>
      <w:r w:rsidR="00350F79">
        <w:rPr>
          <w:sz w:val="26"/>
          <w:szCs w:val="26"/>
        </w:rPr>
        <w:t xml:space="preserve"> as required by section 226, subdivision (a), including by failing </w:t>
      </w:r>
      <w:r w:rsidR="001037EF">
        <w:rPr>
          <w:sz w:val="26"/>
          <w:szCs w:val="26"/>
        </w:rPr>
        <w:t>“</w:t>
      </w:r>
      <w:r>
        <w:rPr>
          <w:sz w:val="26"/>
          <w:szCs w:val="26"/>
        </w:rPr>
        <w:t>to include the name and address of the legal entity that is the employer.</w:t>
      </w:r>
      <w:r w:rsidR="001037EF">
        <w:rPr>
          <w:sz w:val="26"/>
          <w:szCs w:val="26"/>
        </w:rPr>
        <w:t>”</w:t>
      </w:r>
      <w:r>
        <w:rPr>
          <w:sz w:val="26"/>
          <w:szCs w:val="26"/>
        </w:rPr>
        <w:t xml:space="preserve">  </w:t>
      </w:r>
      <w:r w:rsidR="00F63BB6">
        <w:rPr>
          <w:sz w:val="26"/>
          <w:szCs w:val="26"/>
        </w:rPr>
        <w:t>These allegations</w:t>
      </w:r>
      <w:r w:rsidR="00350F79">
        <w:rPr>
          <w:sz w:val="26"/>
          <w:szCs w:val="26"/>
        </w:rPr>
        <w:t xml:space="preserve"> identified </w:t>
      </w:r>
      <w:r w:rsidR="001037EF">
        <w:rPr>
          <w:sz w:val="26"/>
          <w:szCs w:val="26"/>
        </w:rPr>
        <w:t>“</w:t>
      </w:r>
      <w:r w:rsidR="00350F79">
        <w:rPr>
          <w:sz w:val="26"/>
          <w:szCs w:val="26"/>
        </w:rPr>
        <w:t>the specific provisions</w:t>
      </w:r>
      <w:r w:rsidR="001037EF">
        <w:rPr>
          <w:sz w:val="26"/>
          <w:szCs w:val="26"/>
        </w:rPr>
        <w:t>”</w:t>
      </w:r>
      <w:r w:rsidR="00350F79">
        <w:rPr>
          <w:sz w:val="26"/>
          <w:szCs w:val="26"/>
        </w:rPr>
        <w:t xml:space="preserve"> of the Labor Code alleged to have been violated, as required by section 2699.3, subdivision (a)(1)(</w:t>
      </w:r>
      <w:r w:rsidR="00A232E9">
        <w:rPr>
          <w:sz w:val="26"/>
          <w:szCs w:val="26"/>
        </w:rPr>
        <w:t>A</w:t>
      </w:r>
      <w:r w:rsidR="00350F79">
        <w:rPr>
          <w:sz w:val="26"/>
          <w:szCs w:val="26"/>
        </w:rPr>
        <w:t xml:space="preserve">).  </w:t>
      </w:r>
      <w:r w:rsidR="00E74E5E">
        <w:rPr>
          <w:sz w:val="26"/>
          <w:szCs w:val="26"/>
        </w:rPr>
        <w:t>But</w:t>
      </w:r>
      <w:r w:rsidR="00632307">
        <w:rPr>
          <w:sz w:val="26"/>
          <w:szCs w:val="26"/>
        </w:rPr>
        <w:t xml:space="preserve"> with one exception,</w:t>
      </w:r>
      <w:r w:rsidR="00E74E5E">
        <w:rPr>
          <w:sz w:val="26"/>
          <w:szCs w:val="26"/>
        </w:rPr>
        <w:t xml:space="preserve"> </w:t>
      </w:r>
      <w:r w:rsidR="001A583C">
        <w:rPr>
          <w:sz w:val="26"/>
          <w:szCs w:val="26"/>
        </w:rPr>
        <w:t>the 2009 Notice</w:t>
      </w:r>
      <w:r w:rsidR="00350F79">
        <w:rPr>
          <w:sz w:val="26"/>
          <w:szCs w:val="26"/>
        </w:rPr>
        <w:t xml:space="preserve"> </w:t>
      </w:r>
      <w:r w:rsidR="00632307">
        <w:rPr>
          <w:sz w:val="26"/>
          <w:szCs w:val="26"/>
        </w:rPr>
        <w:t xml:space="preserve">was a string of legal conclusions that </w:t>
      </w:r>
      <w:r w:rsidR="00427573">
        <w:rPr>
          <w:sz w:val="26"/>
          <w:szCs w:val="26"/>
        </w:rPr>
        <w:t xml:space="preserve">parroted the allegedly violated Labor Code provisions.  It </w:t>
      </w:r>
      <w:r w:rsidR="00E74E5E">
        <w:rPr>
          <w:sz w:val="26"/>
          <w:szCs w:val="26"/>
        </w:rPr>
        <w:t xml:space="preserve">did not </w:t>
      </w:r>
      <w:r w:rsidR="001A583C">
        <w:rPr>
          <w:sz w:val="26"/>
          <w:szCs w:val="26"/>
        </w:rPr>
        <w:t>state</w:t>
      </w:r>
      <w:r w:rsidR="00350F79">
        <w:rPr>
          <w:sz w:val="26"/>
          <w:szCs w:val="26"/>
        </w:rPr>
        <w:t xml:space="preserve"> facts and theories </w:t>
      </w:r>
      <w:r w:rsidR="001A583C">
        <w:rPr>
          <w:sz w:val="26"/>
          <w:szCs w:val="26"/>
        </w:rPr>
        <w:t>supporting</w:t>
      </w:r>
      <w:r w:rsidR="00350F79">
        <w:rPr>
          <w:sz w:val="26"/>
          <w:szCs w:val="26"/>
        </w:rPr>
        <w:t xml:space="preserve"> the </w:t>
      </w:r>
      <w:r w:rsidR="001A583C">
        <w:rPr>
          <w:sz w:val="26"/>
          <w:szCs w:val="26"/>
        </w:rPr>
        <w:t xml:space="preserve">alleged </w:t>
      </w:r>
      <w:r w:rsidR="00350F79">
        <w:rPr>
          <w:sz w:val="26"/>
          <w:szCs w:val="26"/>
        </w:rPr>
        <w:t xml:space="preserve">violations </w:t>
      </w:r>
      <w:r w:rsidR="001A583C">
        <w:rPr>
          <w:rFonts w:cs="Helvetica"/>
          <w:sz w:val="26"/>
          <w:szCs w:val="26"/>
        </w:rPr>
        <w:t>not implied by reference to the Labor Code</w:t>
      </w:r>
      <w:r w:rsidR="000B1CAD">
        <w:rPr>
          <w:rFonts w:cs="Helvetica"/>
          <w:sz w:val="26"/>
          <w:szCs w:val="26"/>
        </w:rPr>
        <w:t>.  The</w:t>
      </w:r>
      <w:r w:rsidR="000558FE">
        <w:rPr>
          <w:rFonts w:cs="Helvetica"/>
          <w:sz w:val="26"/>
          <w:szCs w:val="26"/>
        </w:rPr>
        <w:t xml:space="preserve"> notice</w:t>
      </w:r>
      <w:r w:rsidR="001A583C">
        <w:rPr>
          <w:sz w:val="26"/>
          <w:szCs w:val="26"/>
        </w:rPr>
        <w:t xml:space="preserve"> did not give sufficient information for </w:t>
      </w:r>
      <w:r w:rsidR="00B6025E">
        <w:rPr>
          <w:sz w:val="26"/>
          <w:szCs w:val="26"/>
        </w:rPr>
        <w:t xml:space="preserve">the </w:t>
      </w:r>
      <w:r w:rsidR="001A583C">
        <w:rPr>
          <w:sz w:val="26"/>
          <w:szCs w:val="26"/>
        </w:rPr>
        <w:t>LWDA to</w:t>
      </w:r>
      <w:r w:rsidR="000B1CAD">
        <w:rPr>
          <w:sz w:val="26"/>
          <w:szCs w:val="26"/>
        </w:rPr>
        <w:t xml:space="preserve"> asses</w:t>
      </w:r>
      <w:r w:rsidR="00EA0BEE">
        <w:rPr>
          <w:sz w:val="26"/>
          <w:szCs w:val="26"/>
        </w:rPr>
        <w:t>s the seriousness of the alleged</w:t>
      </w:r>
      <w:r w:rsidR="000B1CAD">
        <w:rPr>
          <w:sz w:val="26"/>
          <w:szCs w:val="26"/>
        </w:rPr>
        <w:t xml:space="preserve"> violations and decide whether to allocate </w:t>
      </w:r>
      <w:r w:rsidR="001A583C">
        <w:rPr>
          <w:sz w:val="26"/>
          <w:szCs w:val="26"/>
        </w:rPr>
        <w:t>scarce resources to an investigation</w:t>
      </w:r>
      <w:r w:rsidR="00EA0BEE">
        <w:rPr>
          <w:sz w:val="26"/>
          <w:szCs w:val="26"/>
        </w:rPr>
        <w:t>,</w:t>
      </w:r>
      <w:r w:rsidR="007E2D03">
        <w:rPr>
          <w:sz w:val="26"/>
          <w:szCs w:val="26"/>
        </w:rPr>
        <w:t xml:space="preserve"> or for defendants</w:t>
      </w:r>
      <w:r w:rsidR="000B1CAD">
        <w:rPr>
          <w:sz w:val="26"/>
          <w:szCs w:val="26"/>
        </w:rPr>
        <w:t xml:space="preserve"> </w:t>
      </w:r>
      <w:r w:rsidR="000B1CAD">
        <w:rPr>
          <w:rFonts w:cs="Helvetica"/>
          <w:sz w:val="26"/>
          <w:szCs w:val="26"/>
        </w:rPr>
        <w:t>to determine what policies or practices were being complained of</w:t>
      </w:r>
      <w:r w:rsidR="00EA0BEE">
        <w:rPr>
          <w:rFonts w:cs="Helvetica"/>
          <w:sz w:val="26"/>
          <w:szCs w:val="26"/>
        </w:rPr>
        <w:t>, have an opportunity to cure the violations,</w:t>
      </w:r>
      <w:r w:rsidR="000B1CAD">
        <w:rPr>
          <w:rFonts w:cs="Helvetica"/>
          <w:sz w:val="26"/>
          <w:szCs w:val="26"/>
        </w:rPr>
        <w:t xml:space="preserve"> and </w:t>
      </w:r>
      <w:r w:rsidR="000B1CAD">
        <w:rPr>
          <w:sz w:val="26"/>
          <w:szCs w:val="26"/>
        </w:rPr>
        <w:t>prepare a meaningful response.</w:t>
      </w:r>
      <w:r w:rsidR="000B1CAD" w:rsidDel="001A583C">
        <w:rPr>
          <w:sz w:val="26"/>
          <w:szCs w:val="26"/>
        </w:rPr>
        <w:t xml:space="preserve"> </w:t>
      </w:r>
      <w:r w:rsidR="003D27F0">
        <w:rPr>
          <w:sz w:val="26"/>
          <w:szCs w:val="26"/>
        </w:rPr>
        <w:t xml:space="preserve"> </w:t>
      </w:r>
    </w:p>
    <w:p w:rsidR="001A583C" w:rsidRDefault="000558FE" w:rsidP="002A194B">
      <w:pPr>
        <w:ind w:firstLine="720"/>
        <w:rPr>
          <w:sz w:val="26"/>
          <w:szCs w:val="26"/>
        </w:rPr>
      </w:pPr>
      <w:r>
        <w:rPr>
          <w:sz w:val="26"/>
          <w:szCs w:val="26"/>
        </w:rPr>
        <w:t>The one exception is the allegation of violations of section 226, subdivision (a),</w:t>
      </w:r>
      <w:r w:rsidR="008C6CEB">
        <w:rPr>
          <w:sz w:val="26"/>
          <w:szCs w:val="26"/>
        </w:rPr>
        <w:t xml:space="preserve"> requiring employers to maintain accurate and complete </w:t>
      </w:r>
      <w:r w:rsidR="00144B51">
        <w:rPr>
          <w:sz w:val="26"/>
          <w:szCs w:val="26"/>
        </w:rPr>
        <w:t>wage statements</w:t>
      </w:r>
      <w:r w:rsidR="00B75E56">
        <w:rPr>
          <w:sz w:val="26"/>
          <w:szCs w:val="26"/>
        </w:rPr>
        <w:t>.  That</w:t>
      </w:r>
      <w:r w:rsidR="008C6CEB">
        <w:rPr>
          <w:sz w:val="26"/>
          <w:szCs w:val="26"/>
        </w:rPr>
        <w:t xml:space="preserve"> allegation adds</w:t>
      </w:r>
      <w:r>
        <w:rPr>
          <w:sz w:val="26"/>
          <w:szCs w:val="26"/>
        </w:rPr>
        <w:t>:  “The violations include, without limitation, the failure to include the name and address of the legal entity that is the employer.”</w:t>
      </w:r>
      <w:r w:rsidR="001F3117">
        <w:rPr>
          <w:sz w:val="26"/>
          <w:szCs w:val="26"/>
        </w:rPr>
        <w:t xml:space="preserve">  This</w:t>
      </w:r>
      <w:r w:rsidR="008C6CEB">
        <w:rPr>
          <w:sz w:val="26"/>
          <w:szCs w:val="26"/>
        </w:rPr>
        <w:t xml:space="preserve"> minimal fact support</w:t>
      </w:r>
      <w:r w:rsidR="001F3117">
        <w:rPr>
          <w:sz w:val="26"/>
          <w:szCs w:val="26"/>
        </w:rPr>
        <w:t>s</w:t>
      </w:r>
      <w:r w:rsidR="008C6CEB">
        <w:rPr>
          <w:sz w:val="26"/>
          <w:szCs w:val="26"/>
        </w:rPr>
        <w:t xml:space="preserve"> the alleged violation</w:t>
      </w:r>
      <w:r w:rsidR="00921857">
        <w:rPr>
          <w:sz w:val="26"/>
          <w:szCs w:val="26"/>
        </w:rPr>
        <w:t>, making the 2009 Notice adequate for the alleged violation of section 226, subdivision (a).</w:t>
      </w:r>
      <w:r w:rsidR="002A186E">
        <w:rPr>
          <w:sz w:val="26"/>
          <w:szCs w:val="26"/>
        </w:rPr>
        <w:t xml:space="preserve">  </w:t>
      </w:r>
    </w:p>
    <w:p w:rsidR="00CF6031" w:rsidRDefault="008C6CEB" w:rsidP="002A194B">
      <w:pPr>
        <w:ind w:firstLine="720"/>
        <w:rPr>
          <w:sz w:val="26"/>
          <w:szCs w:val="26"/>
        </w:rPr>
      </w:pPr>
      <w:r>
        <w:rPr>
          <w:rFonts w:cs="Helvetica"/>
          <w:sz w:val="26"/>
          <w:szCs w:val="26"/>
        </w:rPr>
        <w:t>T</w:t>
      </w:r>
      <w:r w:rsidR="00CF6031">
        <w:rPr>
          <w:rFonts w:cs="Helvetica"/>
          <w:sz w:val="26"/>
          <w:szCs w:val="26"/>
        </w:rPr>
        <w:t xml:space="preserve">he second and third amended complaints </w:t>
      </w:r>
      <w:r w:rsidR="00BC6274">
        <w:rPr>
          <w:rFonts w:cs="Helvetica"/>
          <w:sz w:val="26"/>
          <w:szCs w:val="26"/>
        </w:rPr>
        <w:t xml:space="preserve">also </w:t>
      </w:r>
      <w:r w:rsidR="00CF6031">
        <w:rPr>
          <w:rFonts w:cs="Helvetica"/>
          <w:sz w:val="26"/>
          <w:szCs w:val="26"/>
        </w:rPr>
        <w:t xml:space="preserve">included allegations based on Labor Code </w:t>
      </w:r>
      <w:r w:rsidR="00DB1FB9">
        <w:rPr>
          <w:rFonts w:cs="Helvetica"/>
          <w:sz w:val="26"/>
          <w:szCs w:val="26"/>
        </w:rPr>
        <w:t>provisions</w:t>
      </w:r>
      <w:r w:rsidR="00CF6031">
        <w:rPr>
          <w:rFonts w:cs="Helvetica"/>
          <w:sz w:val="26"/>
          <w:szCs w:val="26"/>
        </w:rPr>
        <w:t xml:space="preserve"> that plaintiff </w:t>
      </w:r>
      <w:r w:rsidR="007D51D6">
        <w:rPr>
          <w:rFonts w:cs="Helvetica"/>
          <w:sz w:val="26"/>
          <w:szCs w:val="26"/>
        </w:rPr>
        <w:t>did not</w:t>
      </w:r>
      <w:r w:rsidR="00CF6031">
        <w:rPr>
          <w:rFonts w:cs="Helvetica"/>
          <w:sz w:val="26"/>
          <w:szCs w:val="26"/>
        </w:rPr>
        <w:t xml:space="preserve"> </w:t>
      </w:r>
      <w:r w:rsidR="008D43E7">
        <w:rPr>
          <w:rFonts w:cs="Helvetica"/>
          <w:sz w:val="26"/>
          <w:szCs w:val="26"/>
        </w:rPr>
        <w:t>specify</w:t>
      </w:r>
      <w:r w:rsidR="00CF6031">
        <w:rPr>
          <w:rFonts w:cs="Helvetica"/>
          <w:sz w:val="26"/>
          <w:szCs w:val="26"/>
        </w:rPr>
        <w:t xml:space="preserve"> in the 2009 Notice</w:t>
      </w:r>
      <w:r w:rsidR="00BC6274">
        <w:rPr>
          <w:rFonts w:cs="Helvetica"/>
          <w:sz w:val="26"/>
          <w:szCs w:val="26"/>
        </w:rPr>
        <w:t xml:space="preserve"> and did not include in the first amended complaint</w:t>
      </w:r>
      <w:r w:rsidR="00455876">
        <w:rPr>
          <w:rFonts w:cs="Helvetica"/>
          <w:sz w:val="26"/>
          <w:szCs w:val="26"/>
        </w:rPr>
        <w:t xml:space="preserve">, namely sections </w:t>
      </w:r>
      <w:r w:rsidR="00455876">
        <w:rPr>
          <w:sz w:val="26"/>
          <w:szCs w:val="26"/>
        </w:rPr>
        <w:t>201, 202, 203, 558, 1174, subdivision (d), and 1198</w:t>
      </w:r>
      <w:r w:rsidR="00474E43">
        <w:rPr>
          <w:sz w:val="26"/>
          <w:szCs w:val="26"/>
        </w:rPr>
        <w:t xml:space="preserve">.  </w:t>
      </w:r>
      <w:r w:rsidR="00DB1FB9">
        <w:rPr>
          <w:sz w:val="26"/>
          <w:szCs w:val="26"/>
        </w:rPr>
        <w:t xml:space="preserve">Section 2699.3, subdivision (a) requires a plaintiff to give notice of </w:t>
      </w:r>
      <w:r w:rsidR="001037EF">
        <w:rPr>
          <w:sz w:val="26"/>
          <w:szCs w:val="26"/>
        </w:rPr>
        <w:t>“</w:t>
      </w:r>
      <w:r w:rsidR="00DB1FB9">
        <w:rPr>
          <w:sz w:val="26"/>
          <w:szCs w:val="26"/>
        </w:rPr>
        <w:t>the specific provisions of this code alleged to have been violated</w:t>
      </w:r>
      <w:r w:rsidR="001037EF">
        <w:rPr>
          <w:sz w:val="26"/>
          <w:szCs w:val="26"/>
        </w:rPr>
        <w:t>”</w:t>
      </w:r>
      <w:r w:rsidR="00622020">
        <w:rPr>
          <w:sz w:val="26"/>
          <w:szCs w:val="26"/>
        </w:rPr>
        <w:t xml:space="preserve"> as a condition </w:t>
      </w:r>
      <w:r w:rsidR="00034980">
        <w:rPr>
          <w:sz w:val="26"/>
          <w:szCs w:val="26"/>
        </w:rPr>
        <w:t>of</w:t>
      </w:r>
      <w:r w:rsidR="00622020">
        <w:rPr>
          <w:sz w:val="26"/>
          <w:szCs w:val="26"/>
        </w:rPr>
        <w:t xml:space="preserve"> filing suit.</w:t>
      </w:r>
      <w:r w:rsidR="00DB1FB9">
        <w:rPr>
          <w:sz w:val="26"/>
          <w:szCs w:val="26"/>
        </w:rPr>
        <w:t xml:space="preserve">  Plaintiff did not do that </w:t>
      </w:r>
      <w:r w:rsidR="002761EF">
        <w:rPr>
          <w:sz w:val="26"/>
          <w:szCs w:val="26"/>
        </w:rPr>
        <w:t xml:space="preserve">in the 2009 Notice </w:t>
      </w:r>
      <w:r w:rsidR="00DB1FB9">
        <w:rPr>
          <w:sz w:val="26"/>
          <w:szCs w:val="26"/>
        </w:rPr>
        <w:t>for the</w:t>
      </w:r>
      <w:r w:rsidR="002761EF">
        <w:rPr>
          <w:sz w:val="26"/>
          <w:szCs w:val="26"/>
        </w:rPr>
        <w:t xml:space="preserve"> alleged</w:t>
      </w:r>
      <w:r w:rsidR="00DB1FB9">
        <w:rPr>
          <w:sz w:val="26"/>
          <w:szCs w:val="26"/>
        </w:rPr>
        <w:t xml:space="preserve"> violations of sections 201, 202, 203, </w:t>
      </w:r>
      <w:r w:rsidR="002761EF">
        <w:rPr>
          <w:sz w:val="26"/>
          <w:szCs w:val="26"/>
        </w:rPr>
        <w:t xml:space="preserve">1174, </w:t>
      </w:r>
      <w:r w:rsidR="00DB1FB9">
        <w:rPr>
          <w:sz w:val="26"/>
          <w:szCs w:val="26"/>
        </w:rPr>
        <w:t>subdivision (d), and 1198</w:t>
      </w:r>
      <w:r w:rsidR="00BC6274">
        <w:rPr>
          <w:sz w:val="26"/>
          <w:szCs w:val="26"/>
        </w:rPr>
        <w:t xml:space="preserve">, making the 2009 Notice deficient as to claims based on </w:t>
      </w:r>
      <w:r w:rsidR="004E1DC1">
        <w:rPr>
          <w:sz w:val="26"/>
          <w:szCs w:val="26"/>
        </w:rPr>
        <w:t xml:space="preserve">those </w:t>
      </w:r>
      <w:r w:rsidR="00BC6274">
        <w:rPr>
          <w:sz w:val="26"/>
          <w:szCs w:val="26"/>
        </w:rPr>
        <w:t>sections.</w:t>
      </w:r>
      <w:r w:rsidR="00DB1FB9">
        <w:rPr>
          <w:sz w:val="26"/>
          <w:szCs w:val="26"/>
        </w:rPr>
        <w:t xml:space="preserve">  </w:t>
      </w:r>
    </w:p>
    <w:p w:rsidR="00CF6031" w:rsidRDefault="00BC6274" w:rsidP="002A194B">
      <w:pPr>
        <w:ind w:firstLine="720"/>
        <w:rPr>
          <w:sz w:val="26"/>
          <w:szCs w:val="26"/>
        </w:rPr>
      </w:pPr>
      <w:r>
        <w:rPr>
          <w:sz w:val="26"/>
          <w:szCs w:val="26"/>
        </w:rPr>
        <w:t xml:space="preserve">Section 558 is different.  That provision sets forth a remedy </w:t>
      </w:r>
      <w:r w:rsidR="00E9616E">
        <w:rPr>
          <w:sz w:val="26"/>
          <w:szCs w:val="26"/>
        </w:rPr>
        <w:t>—</w:t>
      </w:r>
      <w:r>
        <w:rPr>
          <w:sz w:val="26"/>
          <w:szCs w:val="26"/>
        </w:rPr>
        <w:t>a civil penalty</w:t>
      </w:r>
      <w:r w:rsidR="00E9616E">
        <w:rPr>
          <w:sz w:val="26"/>
          <w:szCs w:val="26"/>
        </w:rPr>
        <w:t>—</w:t>
      </w:r>
      <w:r>
        <w:rPr>
          <w:sz w:val="26"/>
          <w:szCs w:val="26"/>
        </w:rPr>
        <w:t>for certain Labor Code violations</w:t>
      </w:r>
      <w:r w:rsidR="00921857">
        <w:rPr>
          <w:sz w:val="26"/>
          <w:szCs w:val="26"/>
        </w:rPr>
        <w:t xml:space="preserve"> and violations of Industrial Welfare Commission</w:t>
      </w:r>
      <w:r w:rsidR="00034980">
        <w:rPr>
          <w:sz w:val="26"/>
          <w:szCs w:val="26"/>
        </w:rPr>
        <w:t xml:space="preserve"> orders</w:t>
      </w:r>
      <w:r>
        <w:rPr>
          <w:sz w:val="26"/>
          <w:szCs w:val="26"/>
        </w:rPr>
        <w:t>.  (§ 558</w:t>
      </w:r>
      <w:r w:rsidR="00951253">
        <w:rPr>
          <w:sz w:val="26"/>
          <w:szCs w:val="26"/>
        </w:rPr>
        <w:t>, subd. (</w:t>
      </w:r>
      <w:r>
        <w:rPr>
          <w:sz w:val="26"/>
          <w:szCs w:val="26"/>
        </w:rPr>
        <w:t>a)</w:t>
      </w:r>
      <w:r w:rsidR="00AD405C">
        <w:rPr>
          <w:sz w:val="26"/>
          <w:szCs w:val="26"/>
        </w:rPr>
        <w:t>;</w:t>
      </w:r>
      <w:r>
        <w:rPr>
          <w:sz w:val="26"/>
          <w:szCs w:val="26"/>
        </w:rPr>
        <w:t xml:space="preserve"> </w:t>
      </w:r>
      <w:r w:rsidR="00DF314F">
        <w:rPr>
          <w:i/>
          <w:sz w:val="26"/>
          <w:szCs w:val="26"/>
        </w:rPr>
        <w:t xml:space="preserve">Thurman v. </w:t>
      </w:r>
      <w:proofErr w:type="spellStart"/>
      <w:r w:rsidR="00DF314F">
        <w:rPr>
          <w:i/>
          <w:sz w:val="26"/>
          <w:szCs w:val="26"/>
        </w:rPr>
        <w:t>Bayshore</w:t>
      </w:r>
      <w:proofErr w:type="spellEnd"/>
      <w:r w:rsidR="00DF314F">
        <w:rPr>
          <w:i/>
          <w:sz w:val="26"/>
          <w:szCs w:val="26"/>
        </w:rPr>
        <w:t xml:space="preserve"> Transit Management, Inc.</w:t>
      </w:r>
      <w:r w:rsidR="00EA11C7">
        <w:rPr>
          <w:sz w:val="26"/>
          <w:szCs w:val="26"/>
        </w:rPr>
        <w:t xml:space="preserve"> (2012) 203 Cal.App.4th 1112, 114</w:t>
      </w:r>
      <w:r w:rsidR="003237FA">
        <w:rPr>
          <w:sz w:val="26"/>
          <w:szCs w:val="26"/>
        </w:rPr>
        <w:t>7</w:t>
      </w:r>
      <w:r w:rsidR="00EA11C7">
        <w:rPr>
          <w:sz w:val="26"/>
          <w:szCs w:val="26"/>
        </w:rPr>
        <w:t xml:space="preserve"> [</w:t>
      </w:r>
      <w:r w:rsidR="006A1194">
        <w:rPr>
          <w:sz w:val="26"/>
          <w:szCs w:val="26"/>
        </w:rPr>
        <w:t xml:space="preserve">§ </w:t>
      </w:r>
      <w:r w:rsidR="00EA11C7">
        <w:rPr>
          <w:sz w:val="26"/>
          <w:szCs w:val="26"/>
        </w:rPr>
        <w:t xml:space="preserve">558 provides a </w:t>
      </w:r>
      <w:r w:rsidR="003237FA">
        <w:rPr>
          <w:sz w:val="26"/>
          <w:szCs w:val="26"/>
        </w:rPr>
        <w:t xml:space="preserve">remedy in the form of a </w:t>
      </w:r>
      <w:r w:rsidR="00EA11C7">
        <w:rPr>
          <w:sz w:val="26"/>
          <w:szCs w:val="26"/>
        </w:rPr>
        <w:t>civil penalty].)</w:t>
      </w:r>
      <w:r w:rsidR="00E9616E">
        <w:rPr>
          <w:sz w:val="26"/>
          <w:szCs w:val="26"/>
        </w:rPr>
        <w:t xml:space="preserve"> </w:t>
      </w:r>
      <w:r w:rsidR="003B5195">
        <w:rPr>
          <w:sz w:val="26"/>
          <w:szCs w:val="26"/>
        </w:rPr>
        <w:t xml:space="preserve"> </w:t>
      </w:r>
      <w:r w:rsidR="00CB06E0">
        <w:rPr>
          <w:sz w:val="26"/>
          <w:szCs w:val="26"/>
        </w:rPr>
        <w:t>An employee wishing to assert a PAGA claim would need to allege a</w:t>
      </w:r>
      <w:r w:rsidR="00921857">
        <w:rPr>
          <w:sz w:val="26"/>
          <w:szCs w:val="26"/>
        </w:rPr>
        <w:t>n underlying</w:t>
      </w:r>
      <w:r w:rsidR="00CB06E0">
        <w:rPr>
          <w:sz w:val="26"/>
          <w:szCs w:val="26"/>
        </w:rPr>
        <w:t xml:space="preserve"> violation for which section 558 provides the remedy.</w:t>
      </w:r>
      <w:r w:rsidR="00E9616E">
        <w:rPr>
          <w:sz w:val="26"/>
          <w:szCs w:val="26"/>
        </w:rPr>
        <w:t xml:space="preserve"> </w:t>
      </w:r>
      <w:r w:rsidR="007D7D61">
        <w:rPr>
          <w:sz w:val="26"/>
          <w:szCs w:val="26"/>
        </w:rPr>
        <w:t xml:space="preserve"> </w:t>
      </w:r>
      <w:r w:rsidR="00CB06E0">
        <w:rPr>
          <w:sz w:val="26"/>
          <w:szCs w:val="26"/>
        </w:rPr>
        <w:t>S</w:t>
      </w:r>
      <w:r w:rsidR="003B5195">
        <w:rPr>
          <w:sz w:val="26"/>
          <w:szCs w:val="26"/>
        </w:rPr>
        <w:t>ection 558</w:t>
      </w:r>
      <w:r w:rsidR="00CB06E0">
        <w:rPr>
          <w:sz w:val="26"/>
          <w:szCs w:val="26"/>
        </w:rPr>
        <w:t>, therefore,</w:t>
      </w:r>
      <w:r w:rsidR="003B5195">
        <w:rPr>
          <w:sz w:val="26"/>
          <w:szCs w:val="26"/>
        </w:rPr>
        <w:t xml:space="preserve"> is not </w:t>
      </w:r>
      <w:r w:rsidR="00D6040C">
        <w:rPr>
          <w:sz w:val="26"/>
          <w:szCs w:val="26"/>
        </w:rPr>
        <w:t>the type of</w:t>
      </w:r>
      <w:r w:rsidR="003B5195">
        <w:rPr>
          <w:sz w:val="26"/>
          <w:szCs w:val="26"/>
        </w:rPr>
        <w:t xml:space="preserve"> provision to </w:t>
      </w:r>
      <w:r w:rsidR="00034980">
        <w:rPr>
          <w:sz w:val="26"/>
          <w:szCs w:val="26"/>
        </w:rPr>
        <w:t xml:space="preserve">be </w:t>
      </w:r>
      <w:r w:rsidR="00455876">
        <w:rPr>
          <w:sz w:val="26"/>
          <w:szCs w:val="26"/>
        </w:rPr>
        <w:t>specif</w:t>
      </w:r>
      <w:r w:rsidR="00034980">
        <w:rPr>
          <w:sz w:val="26"/>
          <w:szCs w:val="26"/>
        </w:rPr>
        <w:t>ied</w:t>
      </w:r>
      <w:r w:rsidR="003B5195">
        <w:rPr>
          <w:sz w:val="26"/>
          <w:szCs w:val="26"/>
        </w:rPr>
        <w:t xml:space="preserve"> in a PAGA notice</w:t>
      </w:r>
      <w:r w:rsidR="00CB06E0">
        <w:rPr>
          <w:sz w:val="26"/>
          <w:szCs w:val="26"/>
        </w:rPr>
        <w:t>.</w:t>
      </w:r>
      <w:r w:rsidR="003B5195">
        <w:rPr>
          <w:sz w:val="26"/>
          <w:szCs w:val="26"/>
        </w:rPr>
        <w:t xml:space="preserve">  This is confirmed by section 2699.5, list</w:t>
      </w:r>
      <w:r w:rsidR="0025134C">
        <w:rPr>
          <w:sz w:val="26"/>
          <w:szCs w:val="26"/>
        </w:rPr>
        <w:t>ing</w:t>
      </w:r>
      <w:r w:rsidR="003B5195">
        <w:rPr>
          <w:sz w:val="26"/>
          <w:szCs w:val="26"/>
        </w:rPr>
        <w:t xml:space="preserve"> the Labor Code provisions </w:t>
      </w:r>
      <w:r w:rsidR="0025134C">
        <w:rPr>
          <w:sz w:val="26"/>
          <w:szCs w:val="26"/>
        </w:rPr>
        <w:t xml:space="preserve">subject </w:t>
      </w:r>
      <w:r w:rsidR="003B5195">
        <w:rPr>
          <w:sz w:val="26"/>
          <w:szCs w:val="26"/>
        </w:rPr>
        <w:t xml:space="preserve">to </w:t>
      </w:r>
      <w:r w:rsidR="0025134C">
        <w:rPr>
          <w:sz w:val="26"/>
          <w:szCs w:val="26"/>
        </w:rPr>
        <w:t>the notice requirement of section 2699.3, subdivision</w:t>
      </w:r>
      <w:r w:rsidR="002A186E">
        <w:rPr>
          <w:sz w:val="26"/>
          <w:szCs w:val="26"/>
        </w:rPr>
        <w:t> </w:t>
      </w:r>
      <w:r w:rsidR="0025134C">
        <w:rPr>
          <w:sz w:val="26"/>
          <w:szCs w:val="26"/>
        </w:rPr>
        <w:t>(a)</w:t>
      </w:r>
      <w:r w:rsidR="003B5195">
        <w:rPr>
          <w:sz w:val="26"/>
          <w:szCs w:val="26"/>
        </w:rPr>
        <w:t>.  (§</w:t>
      </w:r>
      <w:r w:rsidR="00E9616E">
        <w:rPr>
          <w:sz w:val="26"/>
          <w:szCs w:val="26"/>
        </w:rPr>
        <w:t> </w:t>
      </w:r>
      <w:r w:rsidR="003B5195">
        <w:rPr>
          <w:sz w:val="26"/>
          <w:szCs w:val="26"/>
        </w:rPr>
        <w:t>2699.5 [</w:t>
      </w:r>
      <w:r w:rsidR="001037EF">
        <w:rPr>
          <w:sz w:val="26"/>
          <w:szCs w:val="26"/>
        </w:rPr>
        <w:t>“</w:t>
      </w:r>
      <w:r w:rsidR="003B5195">
        <w:rPr>
          <w:sz w:val="26"/>
          <w:szCs w:val="26"/>
        </w:rPr>
        <w:t xml:space="preserve">The provisions of subdivision (a) of </w:t>
      </w:r>
      <w:r w:rsidR="00A232E9">
        <w:rPr>
          <w:sz w:val="26"/>
          <w:szCs w:val="26"/>
        </w:rPr>
        <w:t>[s]</w:t>
      </w:r>
      <w:proofErr w:type="spellStart"/>
      <w:r w:rsidR="003B5195">
        <w:rPr>
          <w:sz w:val="26"/>
          <w:szCs w:val="26"/>
        </w:rPr>
        <w:t>ection</w:t>
      </w:r>
      <w:proofErr w:type="spellEnd"/>
      <w:r w:rsidR="003B5195">
        <w:rPr>
          <w:sz w:val="26"/>
          <w:szCs w:val="26"/>
        </w:rPr>
        <w:t xml:space="preserve"> 2699.3 apply to any alleged violation of the following provisions</w:t>
      </w:r>
      <w:r w:rsidR="001037EF">
        <w:rPr>
          <w:sz w:val="26"/>
          <w:szCs w:val="26"/>
        </w:rPr>
        <w:t>”</w:t>
      </w:r>
      <w:r w:rsidR="003B5195">
        <w:rPr>
          <w:sz w:val="26"/>
          <w:szCs w:val="26"/>
        </w:rPr>
        <w:t xml:space="preserve">].)  The long list of provisions does not include section 558.  </w:t>
      </w:r>
      <w:r w:rsidR="00144B51">
        <w:rPr>
          <w:sz w:val="26"/>
          <w:szCs w:val="26"/>
        </w:rPr>
        <w:t>(</w:t>
      </w:r>
      <w:r w:rsidR="00144B51" w:rsidRPr="00144B51">
        <w:rPr>
          <w:i/>
          <w:sz w:val="26"/>
          <w:szCs w:val="26"/>
        </w:rPr>
        <w:t>Ibid</w:t>
      </w:r>
      <w:r w:rsidR="00144B51">
        <w:rPr>
          <w:sz w:val="26"/>
          <w:szCs w:val="26"/>
        </w:rPr>
        <w:t xml:space="preserve">.)  </w:t>
      </w:r>
      <w:r w:rsidR="0066161D">
        <w:rPr>
          <w:sz w:val="26"/>
          <w:szCs w:val="26"/>
        </w:rPr>
        <w:t xml:space="preserve">And, indeed, the second and third amended complaints do not allege violations of </w:t>
      </w:r>
      <w:r w:rsidR="0025134C">
        <w:rPr>
          <w:sz w:val="26"/>
          <w:szCs w:val="26"/>
        </w:rPr>
        <w:t xml:space="preserve">section </w:t>
      </w:r>
      <w:r w:rsidR="0066161D">
        <w:rPr>
          <w:sz w:val="26"/>
          <w:szCs w:val="26"/>
        </w:rPr>
        <w:t xml:space="preserve">558 but seek penalties under that section for violations of other Labor Code provisions.   </w:t>
      </w:r>
    </w:p>
    <w:p w:rsidR="00BC6274" w:rsidRDefault="003937CC" w:rsidP="002A194B">
      <w:pPr>
        <w:ind w:firstLine="720"/>
        <w:rPr>
          <w:sz w:val="26"/>
          <w:szCs w:val="26"/>
        </w:rPr>
      </w:pPr>
      <w:r>
        <w:rPr>
          <w:sz w:val="26"/>
          <w:szCs w:val="26"/>
        </w:rPr>
        <w:t xml:space="preserve">In sum, </w:t>
      </w:r>
      <w:r w:rsidR="00F23233">
        <w:rPr>
          <w:sz w:val="26"/>
          <w:szCs w:val="26"/>
        </w:rPr>
        <w:t xml:space="preserve">the 2009 Notice adequately alleged </w:t>
      </w:r>
      <w:r w:rsidR="00B75E56">
        <w:rPr>
          <w:sz w:val="26"/>
          <w:szCs w:val="26"/>
        </w:rPr>
        <w:t xml:space="preserve">a </w:t>
      </w:r>
      <w:r w:rsidR="00F23233">
        <w:rPr>
          <w:sz w:val="26"/>
          <w:szCs w:val="26"/>
        </w:rPr>
        <w:t xml:space="preserve">violation of section 226, subdivision (a), but </w:t>
      </w:r>
      <w:r w:rsidR="00D6040C">
        <w:rPr>
          <w:sz w:val="26"/>
          <w:szCs w:val="26"/>
        </w:rPr>
        <w:t>not</w:t>
      </w:r>
      <w:r w:rsidR="00F23233">
        <w:rPr>
          <w:sz w:val="26"/>
          <w:szCs w:val="26"/>
        </w:rPr>
        <w:t xml:space="preserve"> violations of sections 204, 226.7 and 512.  </w:t>
      </w:r>
      <w:r>
        <w:rPr>
          <w:sz w:val="26"/>
          <w:szCs w:val="26"/>
        </w:rPr>
        <w:t>The 2009 Notice cannot serve as notice of alleged violations of sections 201, 202, 203, 1174, subdivision (d), and 1198.  The plaintiff did not need to specify section 558 in her PAGA notice and can proceed with a claim for remedies under that section so long as she gave adequate notice of a violation for which section 558 provides a remedy.</w:t>
      </w:r>
    </w:p>
    <w:p w:rsidR="006A1194" w:rsidRDefault="006A1194" w:rsidP="003D27F0">
      <w:pPr>
        <w:rPr>
          <w:sz w:val="26"/>
          <w:szCs w:val="26"/>
        </w:rPr>
      </w:pPr>
    </w:p>
    <w:p w:rsidR="0008648A" w:rsidRDefault="00D56BCB" w:rsidP="000F7786">
      <w:pPr>
        <w:keepNext/>
        <w:spacing w:line="240" w:lineRule="auto"/>
        <w:ind w:left="720" w:hanging="720"/>
        <w:rPr>
          <w:sz w:val="26"/>
          <w:szCs w:val="26"/>
        </w:rPr>
      </w:pPr>
      <w:r>
        <w:rPr>
          <w:sz w:val="26"/>
          <w:szCs w:val="26"/>
        </w:rPr>
        <w:t>C.</w:t>
      </w:r>
      <w:r>
        <w:rPr>
          <w:sz w:val="26"/>
          <w:szCs w:val="26"/>
        </w:rPr>
        <w:tab/>
      </w:r>
      <w:r w:rsidR="004F38EA">
        <w:rPr>
          <w:i/>
          <w:sz w:val="26"/>
          <w:szCs w:val="26"/>
        </w:rPr>
        <w:t xml:space="preserve">The </w:t>
      </w:r>
      <w:r w:rsidR="00C90E6F">
        <w:rPr>
          <w:i/>
          <w:sz w:val="26"/>
          <w:szCs w:val="26"/>
        </w:rPr>
        <w:t>Statute of Limitations for PAGA Claims</w:t>
      </w:r>
    </w:p>
    <w:p w:rsidR="00BC6274" w:rsidRDefault="00BC6274" w:rsidP="000F7786">
      <w:pPr>
        <w:keepNext/>
        <w:rPr>
          <w:sz w:val="26"/>
          <w:szCs w:val="26"/>
        </w:rPr>
      </w:pPr>
    </w:p>
    <w:p w:rsidR="00BF3B1B" w:rsidRDefault="00D6040C" w:rsidP="000F7786">
      <w:pPr>
        <w:keepNext/>
        <w:ind w:firstLine="720"/>
        <w:rPr>
          <w:sz w:val="26"/>
          <w:szCs w:val="26"/>
        </w:rPr>
      </w:pPr>
      <w:r>
        <w:rPr>
          <w:sz w:val="26"/>
          <w:szCs w:val="26"/>
        </w:rPr>
        <w:t xml:space="preserve">Because the 2009 Notice did not specify violations of sections 201, 202, 203, </w:t>
      </w:r>
      <w:r w:rsidR="00144B51">
        <w:rPr>
          <w:sz w:val="26"/>
          <w:szCs w:val="26"/>
        </w:rPr>
        <w:t xml:space="preserve">1174, subdivision (d), </w:t>
      </w:r>
      <w:r>
        <w:rPr>
          <w:sz w:val="26"/>
          <w:szCs w:val="26"/>
        </w:rPr>
        <w:t xml:space="preserve">and 1198, </w:t>
      </w:r>
      <w:r w:rsidR="003937CC">
        <w:rPr>
          <w:sz w:val="26"/>
          <w:szCs w:val="26"/>
        </w:rPr>
        <w:t>p</w:t>
      </w:r>
      <w:r w:rsidR="00BF3B1B">
        <w:rPr>
          <w:sz w:val="26"/>
          <w:szCs w:val="26"/>
        </w:rPr>
        <w:t xml:space="preserve">laintiff </w:t>
      </w:r>
      <w:r w:rsidR="003937CC">
        <w:rPr>
          <w:sz w:val="26"/>
          <w:szCs w:val="26"/>
        </w:rPr>
        <w:t>filed her second amended complaint adding</w:t>
      </w:r>
      <w:r w:rsidR="00BF3B1B">
        <w:rPr>
          <w:sz w:val="26"/>
          <w:szCs w:val="26"/>
        </w:rPr>
        <w:t xml:space="preserve"> claims </w:t>
      </w:r>
      <w:r>
        <w:rPr>
          <w:sz w:val="26"/>
          <w:szCs w:val="26"/>
        </w:rPr>
        <w:t>under</w:t>
      </w:r>
      <w:r w:rsidR="00BF3B1B">
        <w:rPr>
          <w:sz w:val="26"/>
          <w:szCs w:val="26"/>
        </w:rPr>
        <w:t xml:space="preserve"> </w:t>
      </w:r>
      <w:r>
        <w:rPr>
          <w:sz w:val="26"/>
          <w:szCs w:val="26"/>
        </w:rPr>
        <w:t xml:space="preserve">those </w:t>
      </w:r>
      <w:r w:rsidR="00BF3B1B">
        <w:rPr>
          <w:sz w:val="26"/>
          <w:szCs w:val="26"/>
        </w:rPr>
        <w:t>sections</w:t>
      </w:r>
      <w:r>
        <w:rPr>
          <w:sz w:val="26"/>
          <w:szCs w:val="26"/>
        </w:rPr>
        <w:t xml:space="preserve"> before satisfying the notice condition of section 2699.3, subdivision (a)</w:t>
      </w:r>
      <w:r w:rsidR="00EA6DDA">
        <w:rPr>
          <w:sz w:val="26"/>
          <w:szCs w:val="26"/>
        </w:rPr>
        <w:t>.</w:t>
      </w:r>
      <w:r w:rsidR="00253004">
        <w:rPr>
          <w:sz w:val="26"/>
          <w:szCs w:val="26"/>
        </w:rPr>
        <w:t xml:space="preserve">  Plaintiff contends she remedied that deficiency with her 2016 Notice.</w:t>
      </w:r>
      <w:r w:rsidR="00EA6DDA">
        <w:rPr>
          <w:sz w:val="26"/>
          <w:szCs w:val="26"/>
        </w:rPr>
        <w:t xml:space="preserve">  </w:t>
      </w:r>
      <w:r w:rsidR="004A0ECF">
        <w:rPr>
          <w:sz w:val="26"/>
          <w:szCs w:val="26"/>
        </w:rPr>
        <w:t>Although a plaintiff may seek to amend an existing complaint after complying with the requirements of section 2699.3</w:t>
      </w:r>
      <w:r w:rsidR="00B7548C">
        <w:rPr>
          <w:sz w:val="26"/>
          <w:szCs w:val="26"/>
        </w:rPr>
        <w:t>, subdivision (a)</w:t>
      </w:r>
      <w:r w:rsidR="004A0ECF">
        <w:rPr>
          <w:sz w:val="26"/>
          <w:szCs w:val="26"/>
        </w:rPr>
        <w:t xml:space="preserve"> (</w:t>
      </w:r>
      <w:r w:rsidR="004A0ECF">
        <w:rPr>
          <w:i/>
          <w:sz w:val="26"/>
          <w:szCs w:val="26"/>
        </w:rPr>
        <w:t>Caliber</w:t>
      </w:r>
      <w:r w:rsidR="004A0ECF">
        <w:rPr>
          <w:sz w:val="26"/>
          <w:szCs w:val="26"/>
        </w:rPr>
        <w:t xml:space="preserve">, </w:t>
      </w:r>
      <w:r w:rsidR="004A0ECF">
        <w:rPr>
          <w:i/>
          <w:sz w:val="26"/>
          <w:szCs w:val="26"/>
        </w:rPr>
        <w:t>supra</w:t>
      </w:r>
      <w:r w:rsidR="004A0ECF">
        <w:rPr>
          <w:sz w:val="26"/>
          <w:szCs w:val="26"/>
        </w:rPr>
        <w:t>, 134 Cal.App.</w:t>
      </w:r>
      <w:r w:rsidR="006D0544">
        <w:rPr>
          <w:sz w:val="26"/>
          <w:szCs w:val="26"/>
        </w:rPr>
        <w:t>4</w:t>
      </w:r>
      <w:r w:rsidR="004A0ECF">
        <w:rPr>
          <w:sz w:val="26"/>
          <w:szCs w:val="26"/>
        </w:rPr>
        <w:t>th at p. 385</w:t>
      </w:r>
      <w:r w:rsidR="00E9616E">
        <w:rPr>
          <w:sz w:val="26"/>
          <w:szCs w:val="26"/>
        </w:rPr>
        <w:t>, f</w:t>
      </w:r>
      <w:r w:rsidR="004A0ECF">
        <w:rPr>
          <w:sz w:val="26"/>
          <w:szCs w:val="26"/>
        </w:rPr>
        <w:t>n.</w:t>
      </w:r>
      <w:r w:rsidR="00E9616E">
        <w:rPr>
          <w:sz w:val="26"/>
          <w:szCs w:val="26"/>
        </w:rPr>
        <w:t xml:space="preserve"> </w:t>
      </w:r>
      <w:r w:rsidR="004A0ECF">
        <w:rPr>
          <w:sz w:val="26"/>
          <w:szCs w:val="26"/>
        </w:rPr>
        <w:t>19), b</w:t>
      </w:r>
      <w:r w:rsidR="0068402A">
        <w:rPr>
          <w:sz w:val="26"/>
          <w:szCs w:val="26"/>
        </w:rPr>
        <w:t xml:space="preserve">y the time of the 2016 Notice, it was far too late for plaintiff to give notice of </w:t>
      </w:r>
      <w:r w:rsidR="00CD63CA">
        <w:rPr>
          <w:sz w:val="26"/>
          <w:szCs w:val="26"/>
        </w:rPr>
        <w:t xml:space="preserve">the alleged </w:t>
      </w:r>
      <w:r w:rsidR="0068402A">
        <w:rPr>
          <w:sz w:val="26"/>
          <w:szCs w:val="26"/>
        </w:rPr>
        <w:t>violations</w:t>
      </w:r>
      <w:r w:rsidR="004A0ECF">
        <w:rPr>
          <w:sz w:val="26"/>
          <w:szCs w:val="26"/>
        </w:rPr>
        <w:t xml:space="preserve"> and to amend her complaint</w:t>
      </w:r>
      <w:r w:rsidR="00740820">
        <w:rPr>
          <w:sz w:val="26"/>
          <w:szCs w:val="26"/>
        </w:rPr>
        <w:t xml:space="preserve"> based on th</w:t>
      </w:r>
      <w:r w:rsidR="00CD63CA">
        <w:rPr>
          <w:sz w:val="26"/>
          <w:szCs w:val="26"/>
        </w:rPr>
        <w:t>e</w:t>
      </w:r>
      <w:r w:rsidR="00740820">
        <w:rPr>
          <w:sz w:val="26"/>
          <w:szCs w:val="26"/>
        </w:rPr>
        <w:t xml:space="preserve"> </w:t>
      </w:r>
      <w:r w:rsidR="00CD63CA">
        <w:rPr>
          <w:sz w:val="26"/>
          <w:szCs w:val="26"/>
        </w:rPr>
        <w:t>2016 N</w:t>
      </w:r>
      <w:r w:rsidR="00740820">
        <w:rPr>
          <w:sz w:val="26"/>
          <w:szCs w:val="26"/>
        </w:rPr>
        <w:t>otice</w:t>
      </w:r>
      <w:r w:rsidR="004A0ECF">
        <w:rPr>
          <w:sz w:val="26"/>
          <w:szCs w:val="26"/>
        </w:rPr>
        <w:t>.</w:t>
      </w:r>
      <w:r w:rsidR="007A112F">
        <w:rPr>
          <w:sz w:val="26"/>
          <w:szCs w:val="26"/>
        </w:rPr>
        <w:t xml:space="preserve">  </w:t>
      </w:r>
    </w:p>
    <w:p w:rsidR="002E4FCD" w:rsidRDefault="00E9774B" w:rsidP="002A194B">
      <w:pPr>
        <w:ind w:firstLine="720"/>
        <w:rPr>
          <w:rFonts w:cs="Helvetica"/>
          <w:sz w:val="26"/>
          <w:szCs w:val="26"/>
        </w:rPr>
      </w:pPr>
      <w:r>
        <w:rPr>
          <w:sz w:val="26"/>
          <w:szCs w:val="26"/>
        </w:rPr>
        <w:t xml:space="preserve">The statute of limitations for PAGA claims is </w:t>
      </w:r>
      <w:r w:rsidR="00B80AA6">
        <w:rPr>
          <w:sz w:val="26"/>
          <w:szCs w:val="26"/>
        </w:rPr>
        <w:t xml:space="preserve">one year.  (Code Civ. Proc., § 340, subd. (a).)  </w:t>
      </w:r>
      <w:r w:rsidR="00B914CB">
        <w:rPr>
          <w:sz w:val="26"/>
          <w:szCs w:val="26"/>
        </w:rPr>
        <w:t>At the time of plaintiff</w:t>
      </w:r>
      <w:r w:rsidR="001037EF">
        <w:rPr>
          <w:sz w:val="26"/>
          <w:szCs w:val="26"/>
        </w:rPr>
        <w:t>’</w:t>
      </w:r>
      <w:r w:rsidR="00B914CB">
        <w:rPr>
          <w:sz w:val="26"/>
          <w:szCs w:val="26"/>
        </w:rPr>
        <w:t>s notices, s</w:t>
      </w:r>
      <w:r w:rsidR="002E4FCD">
        <w:rPr>
          <w:sz w:val="26"/>
          <w:szCs w:val="26"/>
        </w:rPr>
        <w:t>ection 2699.3 g</w:t>
      </w:r>
      <w:r w:rsidR="00B914CB">
        <w:rPr>
          <w:sz w:val="26"/>
          <w:szCs w:val="26"/>
        </w:rPr>
        <w:t>ave</w:t>
      </w:r>
      <w:r w:rsidR="002E4FCD">
        <w:rPr>
          <w:sz w:val="26"/>
          <w:szCs w:val="26"/>
        </w:rPr>
        <w:t xml:space="preserve"> the agency 33 days to respond</w:t>
      </w:r>
      <w:r w:rsidR="00E969DC">
        <w:rPr>
          <w:sz w:val="26"/>
          <w:szCs w:val="26"/>
        </w:rPr>
        <w:t xml:space="preserve"> to a notice</w:t>
      </w:r>
      <w:r w:rsidR="00EE5F81">
        <w:rPr>
          <w:sz w:val="26"/>
          <w:szCs w:val="26"/>
        </w:rPr>
        <w:t xml:space="preserve">.  </w:t>
      </w:r>
      <w:r w:rsidR="002E4FCD">
        <w:rPr>
          <w:rFonts w:cs="Helvetica"/>
          <w:sz w:val="26"/>
          <w:szCs w:val="26"/>
        </w:rPr>
        <w:t>(</w:t>
      </w:r>
      <w:r w:rsidR="00144B51">
        <w:rPr>
          <w:rFonts w:cs="Helvetica"/>
          <w:sz w:val="26"/>
          <w:szCs w:val="26"/>
        </w:rPr>
        <w:t xml:space="preserve">Former </w:t>
      </w:r>
      <w:r w:rsidR="002E4FCD">
        <w:rPr>
          <w:rFonts w:cs="Helvetica"/>
          <w:sz w:val="26"/>
          <w:szCs w:val="26"/>
        </w:rPr>
        <w:t>§ 2699.3, subd. (a)(2)(A)</w:t>
      </w:r>
      <w:r w:rsidR="00EE5F81">
        <w:rPr>
          <w:rFonts w:cs="Helvetica"/>
          <w:sz w:val="26"/>
          <w:szCs w:val="26"/>
        </w:rPr>
        <w:t xml:space="preserve">; </w:t>
      </w:r>
      <w:r w:rsidR="002E4FCD">
        <w:rPr>
          <w:rFonts w:cs="Helvetica"/>
          <w:i/>
          <w:sz w:val="26"/>
          <w:szCs w:val="26"/>
        </w:rPr>
        <w:t>Arias</w:t>
      </w:r>
      <w:r w:rsidR="003237FA">
        <w:rPr>
          <w:rFonts w:cs="Helvetica"/>
          <w:i/>
          <w:sz w:val="26"/>
          <w:szCs w:val="26"/>
        </w:rPr>
        <w:t>, supra</w:t>
      </w:r>
      <w:r w:rsidR="003237FA" w:rsidRPr="00E9616E">
        <w:rPr>
          <w:rFonts w:cs="Helvetica"/>
          <w:sz w:val="26"/>
          <w:szCs w:val="26"/>
        </w:rPr>
        <w:t xml:space="preserve">, </w:t>
      </w:r>
      <w:r w:rsidR="002E4FCD">
        <w:rPr>
          <w:rFonts w:cs="Helvetica"/>
          <w:sz w:val="26"/>
          <w:szCs w:val="26"/>
        </w:rPr>
        <w:t xml:space="preserve">46 Cal.4th </w:t>
      </w:r>
      <w:r w:rsidR="00246BF4">
        <w:rPr>
          <w:rFonts w:cs="Helvetica"/>
          <w:sz w:val="26"/>
          <w:szCs w:val="26"/>
        </w:rPr>
        <w:t>at p.</w:t>
      </w:r>
      <w:r w:rsidR="00E9616E">
        <w:rPr>
          <w:rFonts w:cs="Helvetica"/>
          <w:sz w:val="26"/>
          <w:szCs w:val="26"/>
        </w:rPr>
        <w:t> </w:t>
      </w:r>
      <w:r w:rsidR="002E4FCD">
        <w:rPr>
          <w:rFonts w:cs="Helvetica"/>
          <w:sz w:val="26"/>
          <w:szCs w:val="26"/>
        </w:rPr>
        <w:t xml:space="preserve">981.)  </w:t>
      </w:r>
      <w:r w:rsidR="00BA4945">
        <w:rPr>
          <w:rFonts w:cs="Helvetica"/>
          <w:sz w:val="26"/>
          <w:szCs w:val="26"/>
        </w:rPr>
        <w:t xml:space="preserve">Section 2699.3 also allowed </w:t>
      </w:r>
      <w:r w:rsidR="002E4FCD">
        <w:rPr>
          <w:rFonts w:cs="Helvetica"/>
          <w:sz w:val="26"/>
          <w:szCs w:val="26"/>
        </w:rPr>
        <w:t xml:space="preserve">plaintiff </w:t>
      </w:r>
      <w:r w:rsidR="00BA4945">
        <w:rPr>
          <w:rFonts w:cs="Helvetica"/>
          <w:sz w:val="26"/>
          <w:szCs w:val="26"/>
        </w:rPr>
        <w:t xml:space="preserve">to </w:t>
      </w:r>
      <w:r w:rsidR="00EE5F81">
        <w:rPr>
          <w:rFonts w:cs="Helvetica"/>
          <w:sz w:val="26"/>
          <w:szCs w:val="26"/>
        </w:rPr>
        <w:t xml:space="preserve">amend </w:t>
      </w:r>
      <w:r w:rsidR="00BA4945">
        <w:rPr>
          <w:rFonts w:cs="Helvetica"/>
          <w:sz w:val="26"/>
          <w:szCs w:val="26"/>
        </w:rPr>
        <w:t>her</w:t>
      </w:r>
      <w:r w:rsidR="00EE5F81">
        <w:rPr>
          <w:rFonts w:cs="Helvetica"/>
          <w:sz w:val="26"/>
          <w:szCs w:val="26"/>
        </w:rPr>
        <w:t xml:space="preserve"> </w:t>
      </w:r>
      <w:r w:rsidR="002E4FCD">
        <w:rPr>
          <w:rFonts w:cs="Helvetica"/>
          <w:sz w:val="26"/>
          <w:szCs w:val="26"/>
        </w:rPr>
        <w:t xml:space="preserve">existing complaint to add a </w:t>
      </w:r>
      <w:r w:rsidR="00EE5F81">
        <w:rPr>
          <w:rFonts w:cs="Helvetica"/>
          <w:sz w:val="26"/>
          <w:szCs w:val="26"/>
        </w:rPr>
        <w:t xml:space="preserve">PAGA </w:t>
      </w:r>
      <w:r w:rsidR="002E4FCD">
        <w:rPr>
          <w:rFonts w:cs="Helvetica"/>
          <w:sz w:val="26"/>
          <w:szCs w:val="26"/>
        </w:rPr>
        <w:t>cause of action within 60 days</w:t>
      </w:r>
      <w:r w:rsidR="00BA4945">
        <w:rPr>
          <w:rFonts w:cs="Helvetica"/>
          <w:sz w:val="26"/>
          <w:szCs w:val="26"/>
        </w:rPr>
        <w:t xml:space="preserve"> of that 33-day period</w:t>
      </w:r>
      <w:r w:rsidR="002E4FCD">
        <w:rPr>
          <w:rFonts w:cs="Helvetica"/>
          <w:sz w:val="26"/>
          <w:szCs w:val="26"/>
        </w:rPr>
        <w:t xml:space="preserve">.  (§ 2699.3, subd. (a)(2)(C).)  The </w:t>
      </w:r>
      <w:r w:rsidR="00BA4945">
        <w:rPr>
          <w:rFonts w:cs="Helvetica"/>
          <w:sz w:val="26"/>
          <w:szCs w:val="26"/>
        </w:rPr>
        <w:t xml:space="preserve">33-day and 60-day </w:t>
      </w:r>
      <w:r w:rsidR="002E4FCD">
        <w:rPr>
          <w:rFonts w:cs="Helvetica"/>
          <w:sz w:val="26"/>
          <w:szCs w:val="26"/>
        </w:rPr>
        <w:t>periods</w:t>
      </w:r>
      <w:r w:rsidR="005E3831">
        <w:rPr>
          <w:rFonts w:cs="Helvetica"/>
          <w:sz w:val="26"/>
          <w:szCs w:val="26"/>
        </w:rPr>
        <w:t xml:space="preserve"> were in addition to the one-year statute of limitations</w:t>
      </w:r>
      <w:r w:rsidR="002E4FCD">
        <w:rPr>
          <w:rFonts w:cs="Helvetica"/>
          <w:sz w:val="26"/>
          <w:szCs w:val="26"/>
        </w:rPr>
        <w:t xml:space="preserve">.  (§ 2699.3, </w:t>
      </w:r>
      <w:r w:rsidR="00BA4945">
        <w:rPr>
          <w:rFonts w:cs="Helvetica"/>
          <w:sz w:val="26"/>
          <w:szCs w:val="26"/>
        </w:rPr>
        <w:t>subd</w:t>
      </w:r>
      <w:r w:rsidR="00144B51">
        <w:rPr>
          <w:rFonts w:cs="Helvetica"/>
          <w:sz w:val="26"/>
          <w:szCs w:val="26"/>
        </w:rPr>
        <w:t>s</w:t>
      </w:r>
      <w:r w:rsidR="00BA4945">
        <w:rPr>
          <w:rFonts w:cs="Helvetica"/>
          <w:sz w:val="26"/>
          <w:szCs w:val="26"/>
        </w:rPr>
        <w:t>. (a)(2)(C)</w:t>
      </w:r>
      <w:r w:rsidR="005F38EF">
        <w:rPr>
          <w:rFonts w:cs="Helvetica"/>
          <w:sz w:val="26"/>
          <w:szCs w:val="26"/>
        </w:rPr>
        <w:t xml:space="preserve"> &amp;</w:t>
      </w:r>
      <w:r w:rsidR="00BA4945">
        <w:rPr>
          <w:rFonts w:cs="Helvetica"/>
          <w:sz w:val="26"/>
          <w:szCs w:val="26"/>
        </w:rPr>
        <w:t xml:space="preserve"> </w:t>
      </w:r>
      <w:r w:rsidR="002E4FCD">
        <w:rPr>
          <w:rFonts w:cs="Helvetica"/>
          <w:sz w:val="26"/>
          <w:szCs w:val="26"/>
        </w:rPr>
        <w:t>(</w:t>
      </w:r>
      <w:r w:rsidR="00BA4945">
        <w:rPr>
          <w:rFonts w:cs="Helvetica"/>
          <w:sz w:val="26"/>
          <w:szCs w:val="26"/>
        </w:rPr>
        <w:t>d</w:t>
      </w:r>
      <w:r w:rsidR="002E4FCD">
        <w:rPr>
          <w:rFonts w:cs="Helvetica"/>
          <w:sz w:val="26"/>
          <w:szCs w:val="26"/>
        </w:rPr>
        <w:t>).)</w:t>
      </w:r>
      <w:r w:rsidR="00B325AD">
        <w:rPr>
          <w:rFonts w:cs="Helvetica"/>
          <w:sz w:val="26"/>
          <w:szCs w:val="26"/>
        </w:rPr>
        <w:t xml:space="preserve">  </w:t>
      </w:r>
    </w:p>
    <w:p w:rsidR="005E3831" w:rsidRDefault="005E3831" w:rsidP="002A194B">
      <w:pPr>
        <w:ind w:firstLine="720"/>
        <w:rPr>
          <w:sz w:val="26"/>
          <w:szCs w:val="26"/>
        </w:rPr>
      </w:pPr>
      <w:r>
        <w:rPr>
          <w:sz w:val="26"/>
          <w:szCs w:val="26"/>
        </w:rPr>
        <w:t>Because plaintiff</w:t>
      </w:r>
      <w:r w:rsidR="001037EF">
        <w:rPr>
          <w:sz w:val="26"/>
          <w:szCs w:val="26"/>
        </w:rPr>
        <w:t>’</w:t>
      </w:r>
      <w:r>
        <w:rPr>
          <w:sz w:val="26"/>
          <w:szCs w:val="26"/>
        </w:rPr>
        <w:t xml:space="preserve">s employment terminated </w:t>
      </w:r>
      <w:r w:rsidR="007E2D03">
        <w:rPr>
          <w:sz w:val="26"/>
          <w:szCs w:val="26"/>
        </w:rPr>
        <w:t>in</w:t>
      </w:r>
      <w:r>
        <w:rPr>
          <w:sz w:val="26"/>
          <w:szCs w:val="26"/>
        </w:rPr>
        <w:t xml:space="preserve"> December 2009, to timely pursue PAGA claims</w:t>
      </w:r>
      <w:r w:rsidR="00EA2AC0">
        <w:rPr>
          <w:sz w:val="26"/>
          <w:szCs w:val="26"/>
        </w:rPr>
        <w:t xml:space="preserve"> for alleged violations occurring during her employment or upon her discharge</w:t>
      </w:r>
      <w:r>
        <w:rPr>
          <w:sz w:val="26"/>
          <w:szCs w:val="26"/>
        </w:rPr>
        <w:t xml:space="preserve">, plaintiff had until December 2010 to file her PAGA notice.  Section 2699.3 then gave her another 93 days, or until </w:t>
      </w:r>
      <w:r w:rsidR="00EA2AC0">
        <w:rPr>
          <w:sz w:val="26"/>
          <w:szCs w:val="26"/>
        </w:rPr>
        <w:t>March</w:t>
      </w:r>
      <w:r>
        <w:rPr>
          <w:sz w:val="26"/>
          <w:szCs w:val="26"/>
        </w:rPr>
        <w:t xml:space="preserve"> 2011, to amend her complaint to include any PAGA claims.  </w:t>
      </w:r>
      <w:r w:rsidR="00EA2AC0">
        <w:rPr>
          <w:sz w:val="26"/>
          <w:szCs w:val="26"/>
        </w:rPr>
        <w:t>But p</w:t>
      </w:r>
      <w:r>
        <w:rPr>
          <w:sz w:val="26"/>
          <w:szCs w:val="26"/>
        </w:rPr>
        <w:t>laintiff waited until March 2016 to file the 2016 Notice alleging violations of sections 201, 202, 203, 1174, subdivision (d), and 1198</w:t>
      </w:r>
      <w:r w:rsidR="00E969DC">
        <w:rPr>
          <w:sz w:val="26"/>
          <w:szCs w:val="26"/>
        </w:rPr>
        <w:t xml:space="preserve"> and to seek to file the third amended complaint based on the 2016 Notice</w:t>
      </w:r>
      <w:r>
        <w:rPr>
          <w:sz w:val="26"/>
          <w:szCs w:val="26"/>
        </w:rPr>
        <w:t>.</w:t>
      </w:r>
      <w:r w:rsidR="00EA2AC0">
        <w:rPr>
          <w:sz w:val="26"/>
          <w:szCs w:val="26"/>
        </w:rPr>
        <w:t xml:space="preserve">  By then, </w:t>
      </w:r>
      <w:r w:rsidR="00EE1C91">
        <w:rPr>
          <w:sz w:val="26"/>
          <w:szCs w:val="26"/>
        </w:rPr>
        <w:t>the one-year statute of limitations on her PAGA claims for violations of those provisions had long since run.</w:t>
      </w:r>
    </w:p>
    <w:p w:rsidR="00144B51" w:rsidRDefault="00144B51" w:rsidP="002A194B">
      <w:pPr>
        <w:ind w:firstLine="720"/>
        <w:rPr>
          <w:sz w:val="26"/>
          <w:szCs w:val="26"/>
        </w:rPr>
      </w:pPr>
    </w:p>
    <w:p w:rsidR="0008648A" w:rsidRDefault="00F97C21" w:rsidP="00643F86">
      <w:pPr>
        <w:spacing w:line="240" w:lineRule="auto"/>
        <w:ind w:left="720" w:hanging="720"/>
        <w:rPr>
          <w:i/>
          <w:sz w:val="26"/>
          <w:szCs w:val="26"/>
        </w:rPr>
      </w:pPr>
      <w:r>
        <w:rPr>
          <w:sz w:val="26"/>
          <w:szCs w:val="26"/>
        </w:rPr>
        <w:t>D</w:t>
      </w:r>
      <w:r w:rsidR="004F2D91">
        <w:rPr>
          <w:sz w:val="26"/>
          <w:szCs w:val="26"/>
        </w:rPr>
        <w:t>.</w:t>
      </w:r>
      <w:r>
        <w:rPr>
          <w:sz w:val="26"/>
          <w:szCs w:val="26"/>
        </w:rPr>
        <w:tab/>
      </w:r>
      <w:r w:rsidR="008B4C39">
        <w:rPr>
          <w:i/>
          <w:sz w:val="26"/>
          <w:szCs w:val="26"/>
        </w:rPr>
        <w:t>Doctrine</w:t>
      </w:r>
      <w:r w:rsidR="00886306">
        <w:rPr>
          <w:i/>
          <w:sz w:val="26"/>
          <w:szCs w:val="26"/>
        </w:rPr>
        <w:t>s Saving</w:t>
      </w:r>
      <w:r w:rsidR="008B4C39">
        <w:rPr>
          <w:i/>
          <w:sz w:val="26"/>
          <w:szCs w:val="26"/>
        </w:rPr>
        <w:t xml:space="preserve"> </w:t>
      </w:r>
      <w:r w:rsidR="0012755B">
        <w:rPr>
          <w:i/>
          <w:sz w:val="26"/>
          <w:szCs w:val="26"/>
        </w:rPr>
        <w:t>Time-Barred Claims</w:t>
      </w:r>
    </w:p>
    <w:p w:rsidR="00DC1069" w:rsidRPr="00323E98" w:rsidRDefault="00DC1069" w:rsidP="002A194B">
      <w:pPr>
        <w:pStyle w:val="ListParagraph"/>
        <w:ind w:left="0"/>
        <w:rPr>
          <w:sz w:val="26"/>
          <w:szCs w:val="26"/>
        </w:rPr>
      </w:pPr>
    </w:p>
    <w:p w:rsidR="007B0D11" w:rsidRDefault="00EE1C91" w:rsidP="002A194B">
      <w:pPr>
        <w:pStyle w:val="ListParagraph"/>
        <w:ind w:left="0" w:firstLine="720"/>
        <w:rPr>
          <w:sz w:val="26"/>
          <w:szCs w:val="26"/>
        </w:rPr>
      </w:pPr>
      <w:r>
        <w:rPr>
          <w:sz w:val="26"/>
          <w:szCs w:val="26"/>
        </w:rPr>
        <w:t xml:space="preserve">Plaintiff </w:t>
      </w:r>
      <w:r w:rsidR="005F5A94">
        <w:rPr>
          <w:sz w:val="26"/>
          <w:szCs w:val="26"/>
        </w:rPr>
        <w:t>does not explain</w:t>
      </w:r>
      <w:r>
        <w:rPr>
          <w:sz w:val="26"/>
          <w:szCs w:val="26"/>
        </w:rPr>
        <w:t xml:space="preserve"> why she waited so long to file a PAGA notice for violations of sections 201, 202, 203, 1174, subdivision (d), and 1198</w:t>
      </w:r>
      <w:r w:rsidR="002C20A3">
        <w:rPr>
          <w:sz w:val="26"/>
          <w:szCs w:val="26"/>
        </w:rPr>
        <w:t xml:space="preserve">.  </w:t>
      </w:r>
      <w:r w:rsidR="00800905">
        <w:rPr>
          <w:sz w:val="26"/>
          <w:szCs w:val="26"/>
        </w:rPr>
        <w:t>T</w:t>
      </w:r>
      <w:r w:rsidR="007304BB">
        <w:rPr>
          <w:sz w:val="26"/>
          <w:szCs w:val="26"/>
        </w:rPr>
        <w:t xml:space="preserve">he alleged violations of </w:t>
      </w:r>
      <w:r w:rsidR="00A15C38">
        <w:rPr>
          <w:sz w:val="26"/>
          <w:szCs w:val="26"/>
        </w:rPr>
        <w:t>sections 1174, subdivision (</w:t>
      </w:r>
      <w:r w:rsidR="00E82960">
        <w:rPr>
          <w:sz w:val="26"/>
          <w:szCs w:val="26"/>
        </w:rPr>
        <w:t>d) a</w:t>
      </w:r>
      <w:r w:rsidR="009C7465">
        <w:rPr>
          <w:sz w:val="26"/>
          <w:szCs w:val="26"/>
        </w:rPr>
        <w:t>nd 1198</w:t>
      </w:r>
      <w:r w:rsidR="000F36DD">
        <w:rPr>
          <w:sz w:val="26"/>
          <w:szCs w:val="26"/>
        </w:rPr>
        <w:t xml:space="preserve"> </w:t>
      </w:r>
      <w:r w:rsidR="00800905">
        <w:rPr>
          <w:sz w:val="26"/>
          <w:szCs w:val="26"/>
        </w:rPr>
        <w:t xml:space="preserve">concerned conduct while she was employed, namely defendant’s failure to </w:t>
      </w:r>
      <w:r w:rsidR="00A15C38">
        <w:rPr>
          <w:sz w:val="26"/>
          <w:szCs w:val="26"/>
        </w:rPr>
        <w:t>maintain accurate payroll records</w:t>
      </w:r>
      <w:r w:rsidR="00800905">
        <w:rPr>
          <w:sz w:val="26"/>
          <w:szCs w:val="26"/>
        </w:rPr>
        <w:t>,</w:t>
      </w:r>
      <w:r w:rsidR="000A2BD3">
        <w:rPr>
          <w:sz w:val="26"/>
          <w:szCs w:val="26"/>
        </w:rPr>
        <w:t xml:space="preserve"> </w:t>
      </w:r>
      <w:r w:rsidR="000F36DD">
        <w:rPr>
          <w:sz w:val="26"/>
          <w:szCs w:val="26"/>
        </w:rPr>
        <w:t>provid</w:t>
      </w:r>
      <w:r w:rsidR="00800905">
        <w:rPr>
          <w:sz w:val="26"/>
          <w:szCs w:val="26"/>
        </w:rPr>
        <w:t>e</w:t>
      </w:r>
      <w:r w:rsidR="000F36DD">
        <w:rPr>
          <w:sz w:val="26"/>
          <w:szCs w:val="26"/>
        </w:rPr>
        <w:t xml:space="preserve"> meal and rest periods</w:t>
      </w:r>
      <w:r w:rsidR="00800905">
        <w:rPr>
          <w:sz w:val="26"/>
          <w:szCs w:val="26"/>
        </w:rPr>
        <w:t>,</w:t>
      </w:r>
      <w:r w:rsidR="000F36DD">
        <w:rPr>
          <w:sz w:val="26"/>
          <w:szCs w:val="26"/>
        </w:rPr>
        <w:t xml:space="preserve"> </w:t>
      </w:r>
      <w:r w:rsidR="005471ED">
        <w:rPr>
          <w:sz w:val="26"/>
          <w:szCs w:val="26"/>
        </w:rPr>
        <w:t xml:space="preserve">and </w:t>
      </w:r>
      <w:r w:rsidR="000F36DD">
        <w:rPr>
          <w:sz w:val="26"/>
          <w:szCs w:val="26"/>
        </w:rPr>
        <w:t>keep</w:t>
      </w:r>
      <w:r w:rsidR="000A2BD3">
        <w:rPr>
          <w:sz w:val="26"/>
          <w:szCs w:val="26"/>
        </w:rPr>
        <w:t xml:space="preserve"> accurate</w:t>
      </w:r>
      <w:r w:rsidR="000F36DD">
        <w:rPr>
          <w:sz w:val="26"/>
          <w:szCs w:val="26"/>
        </w:rPr>
        <w:t xml:space="preserve"> records of meal periods.</w:t>
      </w:r>
      <w:r w:rsidR="000A2BD3">
        <w:rPr>
          <w:sz w:val="26"/>
          <w:szCs w:val="26"/>
        </w:rPr>
        <w:t xml:space="preserve">  </w:t>
      </w:r>
      <w:r w:rsidR="00800905">
        <w:rPr>
          <w:sz w:val="26"/>
          <w:szCs w:val="26"/>
        </w:rPr>
        <w:t>The alleged</w:t>
      </w:r>
      <w:r w:rsidR="002C20A3">
        <w:rPr>
          <w:sz w:val="26"/>
          <w:szCs w:val="26"/>
        </w:rPr>
        <w:t xml:space="preserve"> violations </w:t>
      </w:r>
      <w:r w:rsidR="007304BB">
        <w:rPr>
          <w:sz w:val="26"/>
          <w:szCs w:val="26"/>
        </w:rPr>
        <w:t xml:space="preserve">of </w:t>
      </w:r>
      <w:r w:rsidR="002C20A3">
        <w:rPr>
          <w:sz w:val="26"/>
          <w:szCs w:val="26"/>
        </w:rPr>
        <w:t>sections 201</w:t>
      </w:r>
      <w:r w:rsidR="007304BB">
        <w:rPr>
          <w:sz w:val="26"/>
          <w:szCs w:val="26"/>
        </w:rPr>
        <w:t xml:space="preserve">, 202, and </w:t>
      </w:r>
      <w:r w:rsidR="002C20A3">
        <w:rPr>
          <w:sz w:val="26"/>
          <w:szCs w:val="26"/>
        </w:rPr>
        <w:t xml:space="preserve">203 </w:t>
      </w:r>
      <w:r w:rsidR="00800905">
        <w:rPr>
          <w:sz w:val="26"/>
          <w:szCs w:val="26"/>
        </w:rPr>
        <w:t>involve the</w:t>
      </w:r>
      <w:r w:rsidR="007304BB">
        <w:rPr>
          <w:sz w:val="26"/>
          <w:szCs w:val="26"/>
        </w:rPr>
        <w:t xml:space="preserve"> </w:t>
      </w:r>
      <w:r w:rsidR="002C20A3">
        <w:rPr>
          <w:sz w:val="26"/>
          <w:szCs w:val="26"/>
        </w:rPr>
        <w:t xml:space="preserve">failure to promptly pay former employees all earned wages, including meal and rest period premiums.  At the time </w:t>
      </w:r>
      <w:r w:rsidR="00800905">
        <w:rPr>
          <w:sz w:val="26"/>
          <w:szCs w:val="26"/>
        </w:rPr>
        <w:t>of</w:t>
      </w:r>
      <w:r w:rsidR="002C20A3">
        <w:rPr>
          <w:sz w:val="26"/>
          <w:szCs w:val="26"/>
        </w:rPr>
        <w:t xml:space="preserve"> the 2009 Notice, </w:t>
      </w:r>
      <w:r w:rsidR="00800905">
        <w:rPr>
          <w:sz w:val="26"/>
          <w:szCs w:val="26"/>
        </w:rPr>
        <w:t>plaintiff</w:t>
      </w:r>
      <w:r w:rsidR="002C20A3">
        <w:rPr>
          <w:sz w:val="26"/>
          <w:szCs w:val="26"/>
        </w:rPr>
        <w:t xml:space="preserve"> was still employed</w:t>
      </w:r>
      <w:r w:rsidR="007304BB">
        <w:rPr>
          <w:sz w:val="26"/>
          <w:szCs w:val="26"/>
        </w:rPr>
        <w:t xml:space="preserve"> and so understandably she did not include violations </w:t>
      </w:r>
      <w:r w:rsidR="007952EC">
        <w:rPr>
          <w:sz w:val="26"/>
          <w:szCs w:val="26"/>
        </w:rPr>
        <w:t>of sections 201, 202, and 203</w:t>
      </w:r>
      <w:r w:rsidR="007304BB">
        <w:rPr>
          <w:sz w:val="26"/>
          <w:szCs w:val="26"/>
        </w:rPr>
        <w:t>.  But she does not explain why she did not file a new notice in the year after her termination.</w:t>
      </w:r>
    </w:p>
    <w:p w:rsidR="00E9616E" w:rsidRDefault="0025124C" w:rsidP="002A194B">
      <w:pPr>
        <w:pStyle w:val="ListParagraph"/>
        <w:ind w:left="0" w:firstLine="720"/>
        <w:rPr>
          <w:sz w:val="26"/>
          <w:szCs w:val="26"/>
        </w:rPr>
      </w:pPr>
      <w:r>
        <w:rPr>
          <w:sz w:val="26"/>
          <w:szCs w:val="26"/>
        </w:rPr>
        <w:t xml:space="preserve">Plaintiff seeks to avoid the consequences of her dilatory 2016 Notice by </w:t>
      </w:r>
      <w:r w:rsidR="00760878">
        <w:rPr>
          <w:sz w:val="26"/>
          <w:szCs w:val="26"/>
        </w:rPr>
        <w:t>arguing that an assortment of doctrines</w:t>
      </w:r>
      <w:r w:rsidR="007A112F">
        <w:rPr>
          <w:sz w:val="26"/>
          <w:szCs w:val="26"/>
        </w:rPr>
        <w:t>—</w:t>
      </w:r>
      <w:r w:rsidR="007E2D03">
        <w:rPr>
          <w:sz w:val="26"/>
          <w:szCs w:val="26"/>
        </w:rPr>
        <w:t>equitable tolling</w:t>
      </w:r>
      <w:r w:rsidR="00760878">
        <w:rPr>
          <w:sz w:val="26"/>
          <w:szCs w:val="26"/>
        </w:rPr>
        <w:t>, relation back</w:t>
      </w:r>
      <w:r w:rsidR="0078437F">
        <w:rPr>
          <w:sz w:val="26"/>
          <w:szCs w:val="26"/>
        </w:rPr>
        <w:t xml:space="preserve">, </w:t>
      </w:r>
      <w:r w:rsidR="00C211B2">
        <w:rPr>
          <w:sz w:val="26"/>
          <w:szCs w:val="26"/>
        </w:rPr>
        <w:t xml:space="preserve">judicial </w:t>
      </w:r>
      <w:r w:rsidR="00DB100D">
        <w:rPr>
          <w:sz w:val="26"/>
          <w:szCs w:val="26"/>
        </w:rPr>
        <w:t xml:space="preserve">estoppel, </w:t>
      </w:r>
      <w:r w:rsidR="0078437F">
        <w:rPr>
          <w:sz w:val="26"/>
          <w:szCs w:val="26"/>
        </w:rPr>
        <w:t>and waiver</w:t>
      </w:r>
      <w:r w:rsidR="007A112F">
        <w:rPr>
          <w:sz w:val="26"/>
          <w:szCs w:val="26"/>
        </w:rPr>
        <w:t>—</w:t>
      </w:r>
      <w:r w:rsidR="00760878">
        <w:rPr>
          <w:sz w:val="26"/>
          <w:szCs w:val="26"/>
        </w:rPr>
        <w:t xml:space="preserve">saves her from the </w:t>
      </w:r>
      <w:r w:rsidR="007E2D03">
        <w:rPr>
          <w:sz w:val="26"/>
          <w:szCs w:val="26"/>
        </w:rPr>
        <w:t xml:space="preserve">PAGA notice deadline and </w:t>
      </w:r>
      <w:r w:rsidR="00760878">
        <w:rPr>
          <w:sz w:val="26"/>
          <w:szCs w:val="26"/>
        </w:rPr>
        <w:t>one-year statute of limitations.</w:t>
      </w:r>
    </w:p>
    <w:p w:rsidR="002C20A3" w:rsidRDefault="002C20A3" w:rsidP="002A194B">
      <w:pPr>
        <w:pStyle w:val="ListParagraph"/>
        <w:ind w:left="0" w:firstLine="720"/>
        <w:rPr>
          <w:sz w:val="26"/>
          <w:szCs w:val="26"/>
        </w:rPr>
      </w:pPr>
    </w:p>
    <w:p w:rsidR="0008648A" w:rsidRDefault="00235E94" w:rsidP="002A194B">
      <w:pPr>
        <w:pStyle w:val="ListParagraph"/>
        <w:numPr>
          <w:ilvl w:val="0"/>
          <w:numId w:val="5"/>
        </w:numPr>
        <w:rPr>
          <w:sz w:val="26"/>
          <w:szCs w:val="26"/>
        </w:rPr>
      </w:pPr>
      <w:r>
        <w:rPr>
          <w:sz w:val="26"/>
          <w:szCs w:val="26"/>
        </w:rPr>
        <w:t>Equitable Tolling</w:t>
      </w:r>
      <w:r w:rsidR="00E9616E">
        <w:rPr>
          <w:sz w:val="26"/>
          <w:szCs w:val="26"/>
        </w:rPr>
        <w:t xml:space="preserve">  </w:t>
      </w:r>
    </w:p>
    <w:p w:rsidR="00643F86" w:rsidRDefault="00643F86" w:rsidP="002A194B">
      <w:pPr>
        <w:pStyle w:val="ListParagraph"/>
        <w:ind w:left="0" w:firstLine="720"/>
        <w:rPr>
          <w:sz w:val="26"/>
          <w:szCs w:val="26"/>
        </w:rPr>
      </w:pPr>
    </w:p>
    <w:p w:rsidR="00276F7A" w:rsidRDefault="005F3A67" w:rsidP="002A194B">
      <w:pPr>
        <w:pStyle w:val="ListParagraph"/>
        <w:ind w:left="0" w:firstLine="720"/>
        <w:rPr>
          <w:sz w:val="26"/>
          <w:szCs w:val="26"/>
        </w:rPr>
      </w:pPr>
      <w:r>
        <w:rPr>
          <w:sz w:val="26"/>
          <w:szCs w:val="26"/>
        </w:rPr>
        <w:t xml:space="preserve">Plaintiff contends </w:t>
      </w:r>
      <w:r w:rsidR="00426E9F">
        <w:rPr>
          <w:sz w:val="26"/>
          <w:szCs w:val="26"/>
        </w:rPr>
        <w:t xml:space="preserve">the time for her to give adequate notice by way of the 2016 Notice and </w:t>
      </w:r>
      <w:r w:rsidR="00674CA0">
        <w:rPr>
          <w:sz w:val="26"/>
          <w:szCs w:val="26"/>
        </w:rPr>
        <w:t xml:space="preserve">to </w:t>
      </w:r>
      <w:r w:rsidR="00426E9F">
        <w:rPr>
          <w:sz w:val="26"/>
          <w:szCs w:val="26"/>
        </w:rPr>
        <w:t xml:space="preserve">add PAGA claims to the second and third amended complaints was </w:t>
      </w:r>
      <w:r>
        <w:rPr>
          <w:sz w:val="26"/>
          <w:szCs w:val="26"/>
        </w:rPr>
        <w:t>equitabl</w:t>
      </w:r>
      <w:r w:rsidR="00426E9F">
        <w:rPr>
          <w:sz w:val="26"/>
          <w:szCs w:val="26"/>
        </w:rPr>
        <w:t>y</w:t>
      </w:r>
      <w:r>
        <w:rPr>
          <w:sz w:val="26"/>
          <w:szCs w:val="26"/>
        </w:rPr>
        <w:t xml:space="preserve"> toll</w:t>
      </w:r>
      <w:r w:rsidR="00426E9F">
        <w:rPr>
          <w:sz w:val="26"/>
          <w:szCs w:val="26"/>
        </w:rPr>
        <w:t xml:space="preserve">ed. </w:t>
      </w:r>
      <w:r>
        <w:rPr>
          <w:sz w:val="26"/>
          <w:szCs w:val="26"/>
        </w:rPr>
        <w:t xml:space="preserve"> </w:t>
      </w:r>
      <w:r w:rsidR="00426E9F">
        <w:rPr>
          <w:sz w:val="26"/>
          <w:szCs w:val="26"/>
        </w:rPr>
        <w:t>She claims equitable tolling preserves all of her PAGA claims</w:t>
      </w:r>
      <w:r w:rsidR="00E05F92">
        <w:rPr>
          <w:sz w:val="26"/>
          <w:szCs w:val="26"/>
        </w:rPr>
        <w:t xml:space="preserve"> </w:t>
      </w:r>
      <w:r>
        <w:rPr>
          <w:sz w:val="26"/>
          <w:szCs w:val="26"/>
        </w:rPr>
        <w:t xml:space="preserve">because she filed the 2009 Notice and original complaint in good faith and had no reason to believe they were </w:t>
      </w:r>
      <w:r w:rsidR="00426E9F">
        <w:rPr>
          <w:sz w:val="26"/>
          <w:szCs w:val="26"/>
        </w:rPr>
        <w:t>deficient</w:t>
      </w:r>
      <w:r>
        <w:rPr>
          <w:sz w:val="26"/>
          <w:szCs w:val="26"/>
        </w:rPr>
        <w:t xml:space="preserve">, and the parties </w:t>
      </w:r>
      <w:r w:rsidR="00810ECC">
        <w:rPr>
          <w:sz w:val="26"/>
          <w:szCs w:val="26"/>
        </w:rPr>
        <w:t xml:space="preserve">then </w:t>
      </w:r>
      <w:r>
        <w:rPr>
          <w:sz w:val="26"/>
          <w:szCs w:val="26"/>
        </w:rPr>
        <w:t xml:space="preserve">litigated for years without objection from defendants.   </w:t>
      </w:r>
    </w:p>
    <w:p w:rsidR="00E05F92" w:rsidRPr="00E05F92" w:rsidRDefault="001037EF" w:rsidP="002A194B">
      <w:pPr>
        <w:pStyle w:val="ListParagraph"/>
        <w:ind w:left="0" w:firstLine="720"/>
        <w:rPr>
          <w:sz w:val="26"/>
          <w:szCs w:val="26"/>
        </w:rPr>
      </w:pPr>
      <w:r>
        <w:rPr>
          <w:sz w:val="26"/>
          <w:szCs w:val="26"/>
        </w:rPr>
        <w:t>“</w:t>
      </w:r>
      <w:r w:rsidR="00C42B18">
        <w:rPr>
          <w:sz w:val="26"/>
          <w:szCs w:val="26"/>
        </w:rPr>
        <w:t>Equitable tolling is not permissible where it is inconsistent with the text of the relevant statute.</w:t>
      </w:r>
      <w:r>
        <w:rPr>
          <w:sz w:val="26"/>
          <w:szCs w:val="26"/>
        </w:rPr>
        <w:t>”</w:t>
      </w:r>
      <w:r w:rsidR="00C42B18">
        <w:rPr>
          <w:sz w:val="26"/>
          <w:szCs w:val="26"/>
        </w:rPr>
        <w:t xml:space="preserve">  (</w:t>
      </w:r>
      <w:r w:rsidR="00C42B18">
        <w:rPr>
          <w:i/>
          <w:sz w:val="26"/>
          <w:szCs w:val="26"/>
        </w:rPr>
        <w:t>U</w:t>
      </w:r>
      <w:r w:rsidR="00862F4D">
        <w:rPr>
          <w:i/>
          <w:sz w:val="26"/>
          <w:szCs w:val="26"/>
        </w:rPr>
        <w:t xml:space="preserve">nited </w:t>
      </w:r>
      <w:r w:rsidR="00C42B18">
        <w:rPr>
          <w:i/>
          <w:sz w:val="26"/>
          <w:szCs w:val="26"/>
        </w:rPr>
        <w:t>S</w:t>
      </w:r>
      <w:r w:rsidR="00862F4D">
        <w:rPr>
          <w:i/>
          <w:sz w:val="26"/>
          <w:szCs w:val="26"/>
        </w:rPr>
        <w:t>tates</w:t>
      </w:r>
      <w:r w:rsidR="00C42B18">
        <w:rPr>
          <w:i/>
          <w:sz w:val="26"/>
          <w:szCs w:val="26"/>
        </w:rPr>
        <w:t xml:space="preserve"> v. </w:t>
      </w:r>
      <w:proofErr w:type="spellStart"/>
      <w:r w:rsidR="00C42B18">
        <w:rPr>
          <w:i/>
          <w:sz w:val="26"/>
          <w:szCs w:val="26"/>
        </w:rPr>
        <w:t>Beggerly</w:t>
      </w:r>
      <w:proofErr w:type="spellEnd"/>
      <w:r w:rsidR="00C42B18">
        <w:rPr>
          <w:sz w:val="26"/>
          <w:szCs w:val="26"/>
        </w:rPr>
        <w:t xml:space="preserve"> (1998) 524 U.S. 38, 48;</w:t>
      </w:r>
      <w:r w:rsidR="00967CB8">
        <w:rPr>
          <w:sz w:val="26"/>
          <w:szCs w:val="26"/>
        </w:rPr>
        <w:t xml:space="preserve"> </w:t>
      </w:r>
      <w:proofErr w:type="spellStart"/>
      <w:r w:rsidR="00967CB8">
        <w:rPr>
          <w:i/>
          <w:sz w:val="26"/>
          <w:szCs w:val="26"/>
        </w:rPr>
        <w:t>Lantzy</w:t>
      </w:r>
      <w:proofErr w:type="spellEnd"/>
      <w:r w:rsidR="00967CB8">
        <w:rPr>
          <w:i/>
          <w:sz w:val="26"/>
          <w:szCs w:val="26"/>
        </w:rPr>
        <w:t xml:space="preserve"> v. Centex Homes </w:t>
      </w:r>
      <w:r w:rsidR="00967CB8">
        <w:rPr>
          <w:sz w:val="26"/>
          <w:szCs w:val="26"/>
        </w:rPr>
        <w:t>(2003) 31 Cal.4th 363,</w:t>
      </w:r>
      <w:r w:rsidR="00967CB8">
        <w:rPr>
          <w:i/>
          <w:sz w:val="26"/>
          <w:szCs w:val="26"/>
        </w:rPr>
        <w:t xml:space="preserve"> </w:t>
      </w:r>
      <w:r w:rsidR="00967CB8">
        <w:rPr>
          <w:sz w:val="26"/>
          <w:szCs w:val="26"/>
        </w:rPr>
        <w:t>371.</w:t>
      </w:r>
      <w:r w:rsidR="00C42B18">
        <w:rPr>
          <w:sz w:val="26"/>
          <w:szCs w:val="26"/>
        </w:rPr>
        <w:t>)</w:t>
      </w:r>
      <w:r w:rsidR="00A14D2B">
        <w:rPr>
          <w:sz w:val="26"/>
          <w:szCs w:val="26"/>
        </w:rPr>
        <w:t xml:space="preserve">  Equitable tolling </w:t>
      </w:r>
      <w:r>
        <w:rPr>
          <w:sz w:val="26"/>
          <w:szCs w:val="26"/>
        </w:rPr>
        <w:t>“</w:t>
      </w:r>
      <w:r w:rsidR="00A14D2B">
        <w:rPr>
          <w:sz w:val="26"/>
          <w:szCs w:val="26"/>
        </w:rPr>
        <w:t>must be applied with sensitivity to the Legislature</w:t>
      </w:r>
      <w:r>
        <w:rPr>
          <w:sz w:val="26"/>
          <w:szCs w:val="26"/>
        </w:rPr>
        <w:t>’</w:t>
      </w:r>
      <w:r w:rsidR="00A14D2B">
        <w:rPr>
          <w:sz w:val="26"/>
          <w:szCs w:val="26"/>
        </w:rPr>
        <w:t>s intentions.</w:t>
      </w:r>
      <w:r>
        <w:rPr>
          <w:sz w:val="26"/>
          <w:szCs w:val="26"/>
        </w:rPr>
        <w:t>”</w:t>
      </w:r>
      <w:r w:rsidR="00A14D2B">
        <w:rPr>
          <w:sz w:val="26"/>
          <w:szCs w:val="26"/>
        </w:rPr>
        <w:t xml:space="preserve">  (</w:t>
      </w:r>
      <w:proofErr w:type="spellStart"/>
      <w:r w:rsidR="00A14D2B">
        <w:rPr>
          <w:i/>
          <w:sz w:val="26"/>
          <w:szCs w:val="26"/>
        </w:rPr>
        <w:t>Bjorndal</w:t>
      </w:r>
      <w:proofErr w:type="spellEnd"/>
      <w:r w:rsidR="00A14D2B">
        <w:rPr>
          <w:i/>
          <w:sz w:val="26"/>
          <w:szCs w:val="26"/>
        </w:rPr>
        <w:t xml:space="preserve"> v. Superior Court</w:t>
      </w:r>
      <w:r w:rsidR="00A14D2B">
        <w:rPr>
          <w:sz w:val="26"/>
          <w:szCs w:val="26"/>
        </w:rPr>
        <w:t xml:space="preserve"> (2012) 211 Cal.App.4th 1100, 111</w:t>
      </w:r>
      <w:r w:rsidR="006D0544">
        <w:rPr>
          <w:sz w:val="26"/>
          <w:szCs w:val="26"/>
        </w:rPr>
        <w:t>1</w:t>
      </w:r>
      <w:r w:rsidR="003D5B3E">
        <w:rPr>
          <w:sz w:val="26"/>
          <w:szCs w:val="26"/>
        </w:rPr>
        <w:t xml:space="preserve"> (</w:t>
      </w:r>
      <w:proofErr w:type="spellStart"/>
      <w:r w:rsidR="003D5B3E" w:rsidRPr="003D5B3E">
        <w:rPr>
          <w:i/>
          <w:sz w:val="26"/>
          <w:szCs w:val="26"/>
        </w:rPr>
        <w:t>Bjorndal</w:t>
      </w:r>
      <w:proofErr w:type="spellEnd"/>
      <w:r w:rsidR="003D5B3E">
        <w:rPr>
          <w:sz w:val="26"/>
          <w:szCs w:val="26"/>
        </w:rPr>
        <w:t>)</w:t>
      </w:r>
      <w:r w:rsidR="00A14D2B">
        <w:rPr>
          <w:sz w:val="26"/>
          <w:szCs w:val="26"/>
        </w:rPr>
        <w:t>.)</w:t>
      </w:r>
      <w:r w:rsidR="006D657F">
        <w:rPr>
          <w:sz w:val="26"/>
          <w:szCs w:val="26"/>
        </w:rPr>
        <w:t xml:space="preserve">  </w:t>
      </w:r>
      <w:r w:rsidR="00E05F92">
        <w:rPr>
          <w:sz w:val="26"/>
          <w:szCs w:val="26"/>
        </w:rPr>
        <w:t xml:space="preserve">The doctrine is not applicable where the statute </w:t>
      </w:r>
      <w:r>
        <w:rPr>
          <w:sz w:val="26"/>
          <w:szCs w:val="26"/>
        </w:rPr>
        <w:t>“</w:t>
      </w:r>
      <w:r w:rsidR="00E05F92">
        <w:rPr>
          <w:sz w:val="26"/>
          <w:szCs w:val="26"/>
        </w:rPr>
        <w:t>demonstrates the Legislature intended the timely filing of a complaint [with the administrative authority] to be a prerequisite to, and to precede, the filing of litigation.</w:t>
      </w:r>
      <w:r>
        <w:rPr>
          <w:sz w:val="26"/>
          <w:szCs w:val="26"/>
        </w:rPr>
        <w:t>”</w:t>
      </w:r>
      <w:r w:rsidR="00E05F92">
        <w:rPr>
          <w:sz w:val="26"/>
          <w:szCs w:val="26"/>
        </w:rPr>
        <w:t xml:space="preserve">  (</w:t>
      </w:r>
      <w:r w:rsidR="00942806" w:rsidRPr="00942806">
        <w:rPr>
          <w:i/>
          <w:sz w:val="26"/>
          <w:szCs w:val="26"/>
        </w:rPr>
        <w:t>Id</w:t>
      </w:r>
      <w:r w:rsidR="00942806">
        <w:rPr>
          <w:sz w:val="26"/>
          <w:szCs w:val="26"/>
        </w:rPr>
        <w:t>.</w:t>
      </w:r>
      <w:r w:rsidR="007A112F" w:rsidRPr="007A112F">
        <w:rPr>
          <w:i/>
          <w:sz w:val="26"/>
          <w:szCs w:val="26"/>
        </w:rPr>
        <w:t xml:space="preserve"> </w:t>
      </w:r>
      <w:r w:rsidR="007A112F">
        <w:rPr>
          <w:sz w:val="26"/>
          <w:szCs w:val="26"/>
        </w:rPr>
        <w:t>at p. 1111</w:t>
      </w:r>
      <w:r w:rsidR="00E05F92">
        <w:rPr>
          <w:i/>
          <w:sz w:val="26"/>
          <w:szCs w:val="26"/>
        </w:rPr>
        <w:t>.</w:t>
      </w:r>
      <w:r w:rsidR="00E05F92">
        <w:rPr>
          <w:sz w:val="26"/>
          <w:szCs w:val="26"/>
        </w:rPr>
        <w:t>)</w:t>
      </w:r>
      <w:r w:rsidR="0016798B">
        <w:rPr>
          <w:sz w:val="26"/>
          <w:szCs w:val="26"/>
        </w:rPr>
        <w:t xml:space="preserve">  </w:t>
      </w:r>
    </w:p>
    <w:p w:rsidR="00C42B18" w:rsidRPr="006D657F" w:rsidRDefault="00942806" w:rsidP="002A194B">
      <w:pPr>
        <w:pStyle w:val="ListParagraph"/>
        <w:ind w:left="0" w:firstLine="720"/>
        <w:rPr>
          <w:sz w:val="26"/>
          <w:szCs w:val="26"/>
        </w:rPr>
      </w:pPr>
      <w:r>
        <w:rPr>
          <w:sz w:val="26"/>
          <w:szCs w:val="26"/>
        </w:rPr>
        <w:t>As discussed, t</w:t>
      </w:r>
      <w:r w:rsidR="00410EBE">
        <w:rPr>
          <w:sz w:val="26"/>
          <w:szCs w:val="26"/>
        </w:rPr>
        <w:t xml:space="preserve">he Supreme Court in </w:t>
      </w:r>
      <w:r w:rsidR="00410EBE">
        <w:rPr>
          <w:i/>
          <w:sz w:val="26"/>
          <w:szCs w:val="26"/>
        </w:rPr>
        <w:t>Williams</w:t>
      </w:r>
      <w:r w:rsidR="00410EBE">
        <w:rPr>
          <w:sz w:val="26"/>
          <w:szCs w:val="26"/>
        </w:rPr>
        <w:t xml:space="preserve"> described the Legislature’s intent in passing PAGA:  “to advance the state’s public policy of affording employees workplaces free of Labor Code violations” and “to remediate present violation</w:t>
      </w:r>
      <w:r w:rsidR="006D0544">
        <w:rPr>
          <w:sz w:val="26"/>
          <w:szCs w:val="26"/>
        </w:rPr>
        <w:t>s</w:t>
      </w:r>
      <w:r w:rsidR="00410EBE">
        <w:rPr>
          <w:sz w:val="26"/>
          <w:szCs w:val="26"/>
        </w:rPr>
        <w:t xml:space="preserve"> and deter future ones.”  (3 Cal.5th at p. 546.)  </w:t>
      </w:r>
      <w:r w:rsidR="0017150E">
        <w:rPr>
          <w:sz w:val="26"/>
          <w:szCs w:val="26"/>
        </w:rPr>
        <w:t>The Supreme Court also addressed the purpose of the notice requirement:  “</w:t>
      </w:r>
      <w:r w:rsidR="0017150E">
        <w:rPr>
          <w:rFonts w:cs="Helvetica"/>
          <w:sz w:val="26"/>
          <w:szCs w:val="26"/>
        </w:rPr>
        <w:t>to afford the [LWDA] the opportunity to decide whether to allocate scarc</w:t>
      </w:r>
      <w:r w:rsidR="002119CB">
        <w:rPr>
          <w:rFonts w:cs="Helvetica"/>
          <w:sz w:val="26"/>
          <w:szCs w:val="26"/>
        </w:rPr>
        <w:t>e resources to an investigation</w:t>
      </w:r>
      <w:r w:rsidR="0017150E">
        <w:rPr>
          <w:rFonts w:cs="Helvetica"/>
          <w:sz w:val="26"/>
          <w:szCs w:val="26"/>
        </w:rPr>
        <w:t>”</w:t>
      </w:r>
      <w:r w:rsidR="002119CB">
        <w:rPr>
          <w:rFonts w:cs="Helvetica"/>
          <w:sz w:val="26"/>
          <w:szCs w:val="26"/>
        </w:rPr>
        <w:t xml:space="preserve"> and</w:t>
      </w:r>
      <w:r w:rsidR="0017150E">
        <w:rPr>
          <w:rFonts w:cs="Helvetica"/>
          <w:sz w:val="26"/>
          <w:szCs w:val="26"/>
        </w:rPr>
        <w:t xml:space="preserve"> “allow[] the employer to submit a response</w:t>
      </w:r>
      <w:r w:rsidR="002119CB">
        <w:rPr>
          <w:rFonts w:cs="Helvetica"/>
          <w:sz w:val="26"/>
          <w:szCs w:val="26"/>
        </w:rPr>
        <w:t>.</w:t>
      </w:r>
      <w:r w:rsidR="0017150E">
        <w:rPr>
          <w:rFonts w:cs="Helvetica"/>
          <w:sz w:val="26"/>
          <w:szCs w:val="26"/>
        </w:rPr>
        <w:t>”  (</w:t>
      </w:r>
      <w:r w:rsidR="00562D90" w:rsidRPr="00562D90">
        <w:rPr>
          <w:rFonts w:cs="Helvetica"/>
          <w:i/>
          <w:sz w:val="26"/>
          <w:szCs w:val="26"/>
        </w:rPr>
        <w:t>I</w:t>
      </w:r>
      <w:r w:rsidR="005F38EF">
        <w:rPr>
          <w:rFonts w:cs="Helvetica"/>
          <w:i/>
          <w:sz w:val="26"/>
          <w:szCs w:val="26"/>
        </w:rPr>
        <w:t>d</w:t>
      </w:r>
      <w:r w:rsidR="00562D90" w:rsidRPr="00562D90">
        <w:rPr>
          <w:rFonts w:cs="Helvetica"/>
          <w:i/>
          <w:sz w:val="26"/>
          <w:szCs w:val="26"/>
        </w:rPr>
        <w:t>.</w:t>
      </w:r>
      <w:r>
        <w:rPr>
          <w:rFonts w:cs="Helvetica"/>
          <w:i/>
          <w:sz w:val="26"/>
          <w:szCs w:val="26"/>
        </w:rPr>
        <w:t xml:space="preserve"> </w:t>
      </w:r>
      <w:r>
        <w:rPr>
          <w:rFonts w:cs="Helvetica"/>
          <w:sz w:val="26"/>
          <w:szCs w:val="26"/>
        </w:rPr>
        <w:t>a</w:t>
      </w:r>
      <w:r w:rsidRPr="00942806">
        <w:rPr>
          <w:rFonts w:cs="Helvetica"/>
          <w:sz w:val="26"/>
          <w:szCs w:val="26"/>
        </w:rPr>
        <w:t>t pp. 545-546</w:t>
      </w:r>
      <w:r>
        <w:rPr>
          <w:rFonts w:cs="Helvetica"/>
          <w:i/>
          <w:sz w:val="26"/>
          <w:szCs w:val="26"/>
        </w:rPr>
        <w:t>.</w:t>
      </w:r>
      <w:r w:rsidR="0017150E">
        <w:rPr>
          <w:rFonts w:cs="Helvetica"/>
          <w:sz w:val="26"/>
          <w:szCs w:val="26"/>
        </w:rPr>
        <w:t xml:space="preserve">)  </w:t>
      </w:r>
      <w:r w:rsidR="006D657F">
        <w:rPr>
          <w:sz w:val="26"/>
          <w:szCs w:val="26"/>
        </w:rPr>
        <w:t>Section 2699.3</w:t>
      </w:r>
      <w:r w:rsidR="001C7DA1">
        <w:rPr>
          <w:sz w:val="26"/>
          <w:szCs w:val="26"/>
        </w:rPr>
        <w:t>, subdivision (a)</w:t>
      </w:r>
      <w:r w:rsidR="006D657F">
        <w:rPr>
          <w:sz w:val="26"/>
          <w:szCs w:val="26"/>
        </w:rPr>
        <w:t xml:space="preserve"> </w:t>
      </w:r>
      <w:r w:rsidR="00410EBE">
        <w:rPr>
          <w:sz w:val="26"/>
          <w:szCs w:val="26"/>
        </w:rPr>
        <w:t xml:space="preserve">evinces the Legislature’s intent for </w:t>
      </w:r>
      <w:r w:rsidR="00BB476B">
        <w:rPr>
          <w:sz w:val="26"/>
          <w:szCs w:val="26"/>
        </w:rPr>
        <w:t>workplace</w:t>
      </w:r>
      <w:r w:rsidR="00410EBE">
        <w:rPr>
          <w:sz w:val="26"/>
          <w:szCs w:val="26"/>
        </w:rPr>
        <w:t xml:space="preserve"> violations to be addressed expeditiously</w:t>
      </w:r>
      <w:r w:rsidR="00BB476B">
        <w:rPr>
          <w:sz w:val="26"/>
          <w:szCs w:val="26"/>
        </w:rPr>
        <w:t xml:space="preserve"> by</w:t>
      </w:r>
      <w:r w:rsidR="00410EBE">
        <w:rPr>
          <w:sz w:val="26"/>
          <w:szCs w:val="26"/>
        </w:rPr>
        <w:t xml:space="preserve"> </w:t>
      </w:r>
      <w:r w:rsidR="006D657F">
        <w:rPr>
          <w:sz w:val="26"/>
          <w:szCs w:val="26"/>
        </w:rPr>
        <w:t>set</w:t>
      </w:r>
      <w:r w:rsidR="00BB476B">
        <w:rPr>
          <w:sz w:val="26"/>
          <w:szCs w:val="26"/>
        </w:rPr>
        <w:t>ting</w:t>
      </w:r>
      <w:r w:rsidR="006D657F">
        <w:rPr>
          <w:sz w:val="26"/>
          <w:szCs w:val="26"/>
        </w:rPr>
        <w:t xml:space="preserve"> a tight timeline for the </w:t>
      </w:r>
      <w:r w:rsidR="002119CB">
        <w:rPr>
          <w:sz w:val="26"/>
          <w:szCs w:val="26"/>
        </w:rPr>
        <w:t>LWDA</w:t>
      </w:r>
      <w:r w:rsidR="006D657F">
        <w:rPr>
          <w:sz w:val="26"/>
          <w:szCs w:val="26"/>
        </w:rPr>
        <w:t xml:space="preserve"> to respond to </w:t>
      </w:r>
      <w:r w:rsidR="00E05F92">
        <w:rPr>
          <w:sz w:val="26"/>
          <w:szCs w:val="26"/>
        </w:rPr>
        <w:t>the</w:t>
      </w:r>
      <w:r w:rsidR="006D657F">
        <w:rPr>
          <w:sz w:val="26"/>
          <w:szCs w:val="26"/>
        </w:rPr>
        <w:t xml:space="preserve"> notice of alleged violations and the plaintiff to thereafter file or amend a compl</w:t>
      </w:r>
      <w:r w:rsidR="002119CB">
        <w:rPr>
          <w:sz w:val="26"/>
          <w:szCs w:val="26"/>
        </w:rPr>
        <w:t>aint.  T</w:t>
      </w:r>
      <w:r w:rsidR="006D657F">
        <w:rPr>
          <w:sz w:val="26"/>
          <w:szCs w:val="26"/>
        </w:rPr>
        <w:t>he concomitant one-year statute of limitations emphasizes the Legislature</w:t>
      </w:r>
      <w:r w:rsidR="001037EF">
        <w:rPr>
          <w:sz w:val="26"/>
          <w:szCs w:val="26"/>
        </w:rPr>
        <w:t>’</w:t>
      </w:r>
      <w:r w:rsidR="006D657F">
        <w:rPr>
          <w:sz w:val="26"/>
          <w:szCs w:val="26"/>
        </w:rPr>
        <w:t xml:space="preserve">s desire for quick action on workplace violations.  </w:t>
      </w:r>
    </w:p>
    <w:p w:rsidR="00093C2D" w:rsidRDefault="00093C2D" w:rsidP="002A194B">
      <w:pPr>
        <w:pStyle w:val="ListParagraph"/>
        <w:ind w:left="0" w:firstLine="720"/>
        <w:rPr>
          <w:sz w:val="26"/>
          <w:szCs w:val="26"/>
        </w:rPr>
      </w:pPr>
      <w:r>
        <w:rPr>
          <w:sz w:val="26"/>
          <w:szCs w:val="26"/>
        </w:rPr>
        <w:t xml:space="preserve">Allowing equitable tolling </w:t>
      </w:r>
      <w:r w:rsidR="00E05F92">
        <w:rPr>
          <w:sz w:val="26"/>
          <w:szCs w:val="26"/>
        </w:rPr>
        <w:t xml:space="preserve">to preserve PAGA claims </w:t>
      </w:r>
      <w:r w:rsidR="00276F7A">
        <w:rPr>
          <w:sz w:val="26"/>
          <w:szCs w:val="26"/>
        </w:rPr>
        <w:t xml:space="preserve">where a plaintiff failed to </w:t>
      </w:r>
      <w:r>
        <w:rPr>
          <w:sz w:val="26"/>
          <w:szCs w:val="26"/>
        </w:rPr>
        <w:t>file a</w:t>
      </w:r>
      <w:r w:rsidR="00BB476B">
        <w:rPr>
          <w:sz w:val="26"/>
          <w:szCs w:val="26"/>
        </w:rPr>
        <w:t>n adequate</w:t>
      </w:r>
      <w:r>
        <w:rPr>
          <w:sz w:val="26"/>
          <w:szCs w:val="26"/>
        </w:rPr>
        <w:t xml:space="preserve"> section 2699.3 notice </w:t>
      </w:r>
      <w:r w:rsidR="00276F7A">
        <w:rPr>
          <w:sz w:val="26"/>
          <w:szCs w:val="26"/>
        </w:rPr>
        <w:t xml:space="preserve">for years </w:t>
      </w:r>
      <w:r w:rsidR="00BB476B">
        <w:rPr>
          <w:sz w:val="26"/>
          <w:szCs w:val="26"/>
        </w:rPr>
        <w:t>is</w:t>
      </w:r>
      <w:r w:rsidR="00437DE4">
        <w:rPr>
          <w:sz w:val="26"/>
          <w:szCs w:val="26"/>
        </w:rPr>
        <w:t xml:space="preserve"> inconsistent with the text </w:t>
      </w:r>
      <w:r w:rsidR="00856DF0">
        <w:rPr>
          <w:sz w:val="26"/>
          <w:szCs w:val="26"/>
        </w:rPr>
        <w:t xml:space="preserve">and purpose </w:t>
      </w:r>
      <w:r w:rsidR="00437DE4">
        <w:rPr>
          <w:sz w:val="26"/>
          <w:szCs w:val="26"/>
        </w:rPr>
        <w:t>of section 2699.3</w:t>
      </w:r>
      <w:r w:rsidR="00410EBE">
        <w:rPr>
          <w:sz w:val="26"/>
          <w:szCs w:val="26"/>
        </w:rPr>
        <w:t>, subdivision (a)</w:t>
      </w:r>
      <w:r w:rsidR="00437DE4">
        <w:rPr>
          <w:sz w:val="26"/>
          <w:szCs w:val="26"/>
        </w:rPr>
        <w:t xml:space="preserve"> and would </w:t>
      </w:r>
      <w:r>
        <w:rPr>
          <w:sz w:val="26"/>
          <w:szCs w:val="26"/>
        </w:rPr>
        <w:t xml:space="preserve">defeat the entire purpose of </w:t>
      </w:r>
      <w:r w:rsidR="005471ED">
        <w:rPr>
          <w:sz w:val="26"/>
          <w:szCs w:val="26"/>
        </w:rPr>
        <w:t>PAGA</w:t>
      </w:r>
      <w:r w:rsidR="005607C8">
        <w:rPr>
          <w:sz w:val="26"/>
          <w:szCs w:val="26"/>
        </w:rPr>
        <w:t>.</w:t>
      </w:r>
      <w:r w:rsidR="00804FEE">
        <w:rPr>
          <w:sz w:val="26"/>
          <w:szCs w:val="26"/>
        </w:rPr>
        <w:t xml:space="preserve">  If a plaintiff could wait many years to assert violations of </w:t>
      </w:r>
      <w:r w:rsidR="00276F7A">
        <w:rPr>
          <w:sz w:val="26"/>
          <w:szCs w:val="26"/>
        </w:rPr>
        <w:t xml:space="preserve">the </w:t>
      </w:r>
      <w:r w:rsidR="00804FEE">
        <w:rPr>
          <w:sz w:val="26"/>
          <w:szCs w:val="26"/>
        </w:rPr>
        <w:t>Labor Code</w:t>
      </w:r>
      <w:r w:rsidR="00307F78">
        <w:rPr>
          <w:sz w:val="26"/>
          <w:szCs w:val="26"/>
        </w:rPr>
        <w:t xml:space="preserve"> or amend deficient notices</w:t>
      </w:r>
      <w:r w:rsidR="00804FEE">
        <w:rPr>
          <w:sz w:val="26"/>
          <w:szCs w:val="26"/>
        </w:rPr>
        <w:t xml:space="preserve">, the LWDA would be hard pressed to </w:t>
      </w:r>
      <w:r w:rsidR="00307F78">
        <w:rPr>
          <w:sz w:val="26"/>
          <w:szCs w:val="26"/>
        </w:rPr>
        <w:t xml:space="preserve">make an informed decision about </w:t>
      </w:r>
      <w:r w:rsidR="00541FEF">
        <w:rPr>
          <w:sz w:val="26"/>
          <w:szCs w:val="26"/>
        </w:rPr>
        <w:t>allocat</w:t>
      </w:r>
      <w:r w:rsidR="00307F78">
        <w:rPr>
          <w:sz w:val="26"/>
          <w:szCs w:val="26"/>
        </w:rPr>
        <w:t>ing scarce</w:t>
      </w:r>
      <w:r w:rsidR="00541FEF">
        <w:rPr>
          <w:sz w:val="26"/>
          <w:szCs w:val="26"/>
        </w:rPr>
        <w:t xml:space="preserve"> resources to </w:t>
      </w:r>
      <w:r w:rsidR="00804FEE">
        <w:rPr>
          <w:sz w:val="26"/>
          <w:szCs w:val="26"/>
        </w:rPr>
        <w:t>old violations</w:t>
      </w:r>
      <w:r w:rsidR="00437DE4">
        <w:rPr>
          <w:sz w:val="26"/>
          <w:szCs w:val="26"/>
        </w:rPr>
        <w:t xml:space="preserve">, </w:t>
      </w:r>
      <w:r w:rsidR="00BB476B">
        <w:rPr>
          <w:sz w:val="26"/>
          <w:szCs w:val="26"/>
        </w:rPr>
        <w:t xml:space="preserve">the employer would be faced with responding </w:t>
      </w:r>
      <w:r w:rsidR="00307F78">
        <w:rPr>
          <w:sz w:val="26"/>
          <w:szCs w:val="26"/>
        </w:rPr>
        <w:t>based on</w:t>
      </w:r>
      <w:r w:rsidR="00BB476B">
        <w:rPr>
          <w:sz w:val="26"/>
          <w:szCs w:val="26"/>
        </w:rPr>
        <w:t xml:space="preserve"> stale </w:t>
      </w:r>
      <w:r w:rsidR="00307F78">
        <w:rPr>
          <w:sz w:val="26"/>
          <w:szCs w:val="26"/>
        </w:rPr>
        <w:t xml:space="preserve">evidence, </w:t>
      </w:r>
      <w:r w:rsidR="00437DE4">
        <w:rPr>
          <w:sz w:val="26"/>
          <w:szCs w:val="26"/>
        </w:rPr>
        <w:t xml:space="preserve">and workplace violations </w:t>
      </w:r>
      <w:r w:rsidR="00810ECC">
        <w:rPr>
          <w:sz w:val="26"/>
          <w:szCs w:val="26"/>
        </w:rPr>
        <w:t>c</w:t>
      </w:r>
      <w:r w:rsidR="00437DE4">
        <w:rPr>
          <w:sz w:val="26"/>
          <w:szCs w:val="26"/>
        </w:rPr>
        <w:t xml:space="preserve">ould continue for years without being remediated or deterred. </w:t>
      </w:r>
      <w:r w:rsidR="0016798B">
        <w:rPr>
          <w:sz w:val="26"/>
          <w:szCs w:val="26"/>
        </w:rPr>
        <w:t xml:space="preserve"> </w:t>
      </w:r>
    </w:p>
    <w:p w:rsidR="00502E34" w:rsidRDefault="00276F7A" w:rsidP="002A194B">
      <w:pPr>
        <w:pStyle w:val="ListParagraph"/>
        <w:ind w:left="0" w:firstLine="720"/>
        <w:rPr>
          <w:sz w:val="26"/>
          <w:szCs w:val="26"/>
        </w:rPr>
      </w:pPr>
      <w:r>
        <w:rPr>
          <w:sz w:val="26"/>
          <w:szCs w:val="26"/>
        </w:rPr>
        <w:t>Further</w:t>
      </w:r>
      <w:r w:rsidR="00502E34">
        <w:rPr>
          <w:sz w:val="26"/>
          <w:szCs w:val="26"/>
        </w:rPr>
        <w:t xml:space="preserve">, plaintiff acknowledges that an element of equitable tolling is </w:t>
      </w:r>
      <w:r w:rsidR="001037EF">
        <w:rPr>
          <w:sz w:val="26"/>
          <w:szCs w:val="26"/>
        </w:rPr>
        <w:t>“</w:t>
      </w:r>
      <w:r w:rsidR="00502E34">
        <w:rPr>
          <w:sz w:val="26"/>
          <w:szCs w:val="26"/>
        </w:rPr>
        <w:t>good faith and reasonable conduct by the plaintiff in filing the second claim.</w:t>
      </w:r>
      <w:r w:rsidR="001037EF">
        <w:rPr>
          <w:sz w:val="26"/>
          <w:szCs w:val="26"/>
        </w:rPr>
        <w:t>”</w:t>
      </w:r>
      <w:r w:rsidR="00502E34">
        <w:rPr>
          <w:sz w:val="26"/>
          <w:szCs w:val="26"/>
        </w:rPr>
        <w:t xml:space="preserve">  (</w:t>
      </w:r>
      <w:r w:rsidR="00502E34">
        <w:rPr>
          <w:i/>
          <w:sz w:val="26"/>
          <w:szCs w:val="26"/>
        </w:rPr>
        <w:t>Collier</w:t>
      </w:r>
      <w:r w:rsidR="00A02C46">
        <w:rPr>
          <w:sz w:val="26"/>
          <w:szCs w:val="26"/>
        </w:rPr>
        <w:t xml:space="preserve"> </w:t>
      </w:r>
      <w:r w:rsidR="00A02C46">
        <w:rPr>
          <w:i/>
          <w:sz w:val="26"/>
          <w:szCs w:val="26"/>
        </w:rPr>
        <w:t xml:space="preserve">v. City of Pasadena </w:t>
      </w:r>
      <w:r w:rsidR="00A02C46">
        <w:rPr>
          <w:sz w:val="26"/>
          <w:szCs w:val="26"/>
        </w:rPr>
        <w:t>(1983) 142 Cal.App.3d 917, 924.)</w:t>
      </w:r>
      <w:r w:rsidR="00165C9A">
        <w:rPr>
          <w:sz w:val="26"/>
          <w:szCs w:val="26"/>
        </w:rPr>
        <w:t xml:space="preserve">  </w:t>
      </w:r>
      <w:r w:rsidR="00810ECC">
        <w:rPr>
          <w:sz w:val="26"/>
          <w:szCs w:val="26"/>
        </w:rPr>
        <w:t>But she does not</w:t>
      </w:r>
      <w:r w:rsidR="00165C9A">
        <w:rPr>
          <w:sz w:val="26"/>
          <w:szCs w:val="26"/>
        </w:rPr>
        <w:t xml:space="preserve"> address</w:t>
      </w:r>
      <w:r>
        <w:rPr>
          <w:sz w:val="26"/>
          <w:szCs w:val="26"/>
        </w:rPr>
        <w:t xml:space="preserve"> her</w:t>
      </w:r>
      <w:r w:rsidR="00165C9A">
        <w:rPr>
          <w:sz w:val="26"/>
          <w:szCs w:val="26"/>
        </w:rPr>
        <w:t xml:space="preserve"> failure to file any notice regarding alleged violations of sections 201, 202, 203, 1174, subdivision (d), and 1198 for more than six years</w:t>
      </w:r>
      <w:r w:rsidR="00810ECC">
        <w:rPr>
          <w:sz w:val="26"/>
          <w:szCs w:val="26"/>
        </w:rPr>
        <w:t xml:space="preserve"> after the 2009 Notice</w:t>
      </w:r>
      <w:r w:rsidR="00165C9A">
        <w:rPr>
          <w:sz w:val="26"/>
          <w:szCs w:val="26"/>
        </w:rPr>
        <w:t xml:space="preserve">.  </w:t>
      </w:r>
      <w:r w:rsidR="00307F78">
        <w:rPr>
          <w:sz w:val="26"/>
          <w:szCs w:val="26"/>
        </w:rPr>
        <w:t>T</w:t>
      </w:r>
      <w:r w:rsidR="00165C9A">
        <w:rPr>
          <w:sz w:val="26"/>
          <w:szCs w:val="26"/>
        </w:rPr>
        <w:t xml:space="preserve">he federal cases she cites </w:t>
      </w:r>
      <w:r w:rsidR="00307F78">
        <w:rPr>
          <w:sz w:val="26"/>
          <w:szCs w:val="26"/>
        </w:rPr>
        <w:t xml:space="preserve">did not </w:t>
      </w:r>
      <w:r w:rsidR="00410EBE">
        <w:rPr>
          <w:sz w:val="26"/>
          <w:szCs w:val="26"/>
        </w:rPr>
        <w:t xml:space="preserve">involve </w:t>
      </w:r>
      <w:r w:rsidR="00165C9A">
        <w:rPr>
          <w:sz w:val="26"/>
          <w:szCs w:val="26"/>
        </w:rPr>
        <w:t xml:space="preserve">that </w:t>
      </w:r>
      <w:r>
        <w:rPr>
          <w:sz w:val="26"/>
          <w:szCs w:val="26"/>
        </w:rPr>
        <w:t xml:space="preserve">kind of </w:t>
      </w:r>
      <w:r w:rsidR="00165C9A">
        <w:rPr>
          <w:sz w:val="26"/>
          <w:szCs w:val="26"/>
        </w:rPr>
        <w:t>delay.</w:t>
      </w:r>
      <w:r w:rsidR="00410EBE">
        <w:rPr>
          <w:sz w:val="26"/>
          <w:szCs w:val="26"/>
        </w:rPr>
        <w:t xml:space="preserve"> </w:t>
      </w:r>
      <w:r w:rsidR="00165C9A">
        <w:rPr>
          <w:sz w:val="26"/>
          <w:szCs w:val="26"/>
        </w:rPr>
        <w:t xml:space="preserve"> In </w:t>
      </w:r>
      <w:r w:rsidR="00165C9A">
        <w:rPr>
          <w:i/>
          <w:sz w:val="26"/>
          <w:szCs w:val="26"/>
        </w:rPr>
        <w:t xml:space="preserve">Ramirez v. </w:t>
      </w:r>
      <w:proofErr w:type="spellStart"/>
      <w:r w:rsidR="00165C9A">
        <w:rPr>
          <w:i/>
          <w:sz w:val="26"/>
          <w:szCs w:val="26"/>
        </w:rPr>
        <w:t>Ghilotti</w:t>
      </w:r>
      <w:proofErr w:type="spellEnd"/>
      <w:r w:rsidR="00165C9A">
        <w:rPr>
          <w:i/>
          <w:sz w:val="26"/>
          <w:szCs w:val="26"/>
        </w:rPr>
        <w:t xml:space="preserve"> Bros. Inc.</w:t>
      </w:r>
      <w:r w:rsidR="00165C9A">
        <w:rPr>
          <w:sz w:val="26"/>
          <w:szCs w:val="26"/>
        </w:rPr>
        <w:t xml:space="preserve"> (N.D. Cal. 2013) 941 F.Supp.2d 1197, the plaintiffs filed two </w:t>
      </w:r>
      <w:r w:rsidR="00165C9A" w:rsidRPr="00410EBE">
        <w:rPr>
          <w:sz w:val="26"/>
          <w:szCs w:val="26"/>
        </w:rPr>
        <w:t xml:space="preserve">timely </w:t>
      </w:r>
      <w:r w:rsidR="00165C9A">
        <w:rPr>
          <w:sz w:val="26"/>
          <w:szCs w:val="26"/>
        </w:rPr>
        <w:t>notices and a timely amended complaint, and the court ruled that the claims in the amended complaint based on the allegations in the second notice would relate back to the original complaint.  (</w:t>
      </w:r>
      <w:r w:rsidR="00725F07" w:rsidRPr="00725F07">
        <w:rPr>
          <w:i/>
          <w:sz w:val="26"/>
          <w:szCs w:val="26"/>
        </w:rPr>
        <w:t>Id</w:t>
      </w:r>
      <w:r w:rsidR="00725F07">
        <w:rPr>
          <w:sz w:val="26"/>
          <w:szCs w:val="26"/>
        </w:rPr>
        <w:t>.</w:t>
      </w:r>
      <w:r w:rsidR="00165C9A">
        <w:rPr>
          <w:sz w:val="26"/>
          <w:szCs w:val="26"/>
        </w:rPr>
        <w:t xml:space="preserve"> at p</w:t>
      </w:r>
      <w:r w:rsidR="00D80F10">
        <w:rPr>
          <w:sz w:val="26"/>
          <w:szCs w:val="26"/>
        </w:rPr>
        <w:t>p</w:t>
      </w:r>
      <w:r w:rsidR="00165C9A">
        <w:rPr>
          <w:sz w:val="26"/>
          <w:szCs w:val="26"/>
        </w:rPr>
        <w:t>. 1209-1210</w:t>
      </w:r>
      <w:r w:rsidR="006A1194">
        <w:rPr>
          <w:sz w:val="26"/>
          <w:szCs w:val="26"/>
        </w:rPr>
        <w:t>.</w:t>
      </w:r>
      <w:r w:rsidR="00165C9A">
        <w:rPr>
          <w:sz w:val="26"/>
          <w:szCs w:val="26"/>
        </w:rPr>
        <w:t xml:space="preserve">)  In </w:t>
      </w:r>
      <w:r w:rsidR="00165C9A">
        <w:rPr>
          <w:i/>
          <w:sz w:val="26"/>
          <w:szCs w:val="26"/>
        </w:rPr>
        <w:t>Williams v</w:t>
      </w:r>
      <w:r w:rsidR="00972A9F">
        <w:rPr>
          <w:i/>
          <w:sz w:val="26"/>
          <w:szCs w:val="26"/>
        </w:rPr>
        <w:t>.</w:t>
      </w:r>
      <w:r w:rsidR="00165C9A">
        <w:rPr>
          <w:i/>
          <w:sz w:val="26"/>
          <w:szCs w:val="26"/>
        </w:rPr>
        <w:t xml:space="preserve"> Veolia Transportation Services, Inc.</w:t>
      </w:r>
      <w:r w:rsidR="00165C9A">
        <w:rPr>
          <w:sz w:val="26"/>
          <w:szCs w:val="26"/>
        </w:rPr>
        <w:t xml:space="preserve"> (</w:t>
      </w:r>
      <w:proofErr w:type="spellStart"/>
      <w:r w:rsidR="00165C9A">
        <w:rPr>
          <w:sz w:val="26"/>
          <w:szCs w:val="26"/>
        </w:rPr>
        <w:t>C.D.Cal</w:t>
      </w:r>
      <w:proofErr w:type="spellEnd"/>
      <w:r w:rsidR="00165C9A">
        <w:rPr>
          <w:sz w:val="26"/>
          <w:szCs w:val="26"/>
        </w:rPr>
        <w:t>. June</w:t>
      </w:r>
      <w:r w:rsidR="003D5B3E">
        <w:rPr>
          <w:sz w:val="26"/>
          <w:szCs w:val="26"/>
        </w:rPr>
        <w:t> </w:t>
      </w:r>
      <w:r w:rsidR="00165C9A">
        <w:rPr>
          <w:sz w:val="26"/>
          <w:szCs w:val="26"/>
        </w:rPr>
        <w:t>28, 2012) 201</w:t>
      </w:r>
      <w:r w:rsidR="00725F07">
        <w:rPr>
          <w:sz w:val="26"/>
          <w:szCs w:val="26"/>
        </w:rPr>
        <w:t>2</w:t>
      </w:r>
      <w:r w:rsidR="00165C9A">
        <w:rPr>
          <w:sz w:val="26"/>
          <w:szCs w:val="26"/>
        </w:rPr>
        <w:t xml:space="preserve"> WL 1</w:t>
      </w:r>
      <w:r w:rsidR="00725F07">
        <w:rPr>
          <w:sz w:val="26"/>
          <w:szCs w:val="26"/>
        </w:rPr>
        <w:t>2960640</w:t>
      </w:r>
      <w:r w:rsidR="00165C9A">
        <w:rPr>
          <w:sz w:val="26"/>
          <w:szCs w:val="26"/>
        </w:rPr>
        <w:t>, when the original notice was defective, the court allowed the plaintiff to file a new notice and held that the plaintiff</w:t>
      </w:r>
      <w:r w:rsidR="001037EF">
        <w:rPr>
          <w:sz w:val="26"/>
          <w:szCs w:val="26"/>
        </w:rPr>
        <w:t>’</w:t>
      </w:r>
      <w:r w:rsidR="00165C9A">
        <w:rPr>
          <w:sz w:val="26"/>
          <w:szCs w:val="26"/>
        </w:rPr>
        <w:t>s claims were preserved by equitable tolling.  (</w:t>
      </w:r>
      <w:r w:rsidR="00165C9A">
        <w:rPr>
          <w:i/>
          <w:sz w:val="26"/>
          <w:szCs w:val="26"/>
        </w:rPr>
        <w:t>Id.</w:t>
      </w:r>
      <w:r w:rsidR="00165C9A">
        <w:rPr>
          <w:sz w:val="26"/>
          <w:szCs w:val="26"/>
        </w:rPr>
        <w:t xml:space="preserve"> at pp. </w:t>
      </w:r>
      <w:r w:rsidR="002119CB">
        <w:rPr>
          <w:sz w:val="26"/>
          <w:szCs w:val="26"/>
        </w:rPr>
        <w:t>*</w:t>
      </w:r>
      <w:r w:rsidR="00165C9A">
        <w:rPr>
          <w:sz w:val="26"/>
          <w:szCs w:val="26"/>
        </w:rPr>
        <w:t>1</w:t>
      </w:r>
      <w:r w:rsidR="00643F86">
        <w:rPr>
          <w:sz w:val="26"/>
          <w:szCs w:val="26"/>
        </w:rPr>
        <w:t>-</w:t>
      </w:r>
      <w:r w:rsidR="00165C9A">
        <w:rPr>
          <w:sz w:val="26"/>
          <w:szCs w:val="26"/>
        </w:rPr>
        <w:t>2.)  Nothing</w:t>
      </w:r>
      <w:r w:rsidR="002119CB">
        <w:rPr>
          <w:sz w:val="26"/>
          <w:szCs w:val="26"/>
        </w:rPr>
        <w:t xml:space="preserve"> in that decision indicates</w:t>
      </w:r>
      <w:r w:rsidR="00165C9A">
        <w:rPr>
          <w:sz w:val="26"/>
          <w:szCs w:val="26"/>
        </w:rPr>
        <w:t xml:space="preserve"> the plaintiff later tried to add new claims based on Labor Code provisions not specified in the original notice.</w:t>
      </w:r>
      <w:r w:rsidR="00307F78">
        <w:rPr>
          <w:sz w:val="26"/>
          <w:szCs w:val="26"/>
        </w:rPr>
        <w:t xml:space="preserve">  Nor did that decision consider the legislative intent </w:t>
      </w:r>
      <w:r w:rsidR="00822732">
        <w:rPr>
          <w:sz w:val="26"/>
          <w:szCs w:val="26"/>
        </w:rPr>
        <w:t>to remedy workplace violations through expeditious</w:t>
      </w:r>
      <w:r w:rsidR="00307F78">
        <w:rPr>
          <w:sz w:val="26"/>
          <w:szCs w:val="26"/>
        </w:rPr>
        <w:t xml:space="preserve"> </w:t>
      </w:r>
      <w:r w:rsidR="00822732">
        <w:rPr>
          <w:sz w:val="26"/>
          <w:szCs w:val="26"/>
        </w:rPr>
        <w:t xml:space="preserve">notice, </w:t>
      </w:r>
      <w:r w:rsidR="00307F78">
        <w:rPr>
          <w:sz w:val="26"/>
          <w:szCs w:val="26"/>
        </w:rPr>
        <w:t>investigation</w:t>
      </w:r>
      <w:r w:rsidR="00822732">
        <w:rPr>
          <w:sz w:val="26"/>
          <w:szCs w:val="26"/>
        </w:rPr>
        <w:t>,</w:t>
      </w:r>
      <w:r w:rsidR="00307F78">
        <w:rPr>
          <w:sz w:val="26"/>
          <w:szCs w:val="26"/>
        </w:rPr>
        <w:t xml:space="preserve"> </w:t>
      </w:r>
      <w:r w:rsidR="00822732">
        <w:rPr>
          <w:sz w:val="26"/>
          <w:szCs w:val="26"/>
        </w:rPr>
        <w:t>and litigation</w:t>
      </w:r>
      <w:r w:rsidR="00307F78">
        <w:rPr>
          <w:sz w:val="26"/>
          <w:szCs w:val="26"/>
        </w:rPr>
        <w:t>, which would be hindered if an untimely new notice could cure a deficient notice filed more than six years earlier as occurred here.</w:t>
      </w:r>
    </w:p>
    <w:p w:rsidR="00E9616E" w:rsidRDefault="00E9616E" w:rsidP="002A194B">
      <w:pPr>
        <w:pStyle w:val="ListParagraph"/>
        <w:ind w:left="0" w:firstLine="720"/>
        <w:rPr>
          <w:sz w:val="26"/>
          <w:szCs w:val="26"/>
        </w:rPr>
      </w:pPr>
    </w:p>
    <w:p w:rsidR="0008648A" w:rsidRDefault="0078437F" w:rsidP="002A194B">
      <w:pPr>
        <w:pStyle w:val="ListParagraph"/>
        <w:numPr>
          <w:ilvl w:val="0"/>
          <w:numId w:val="5"/>
        </w:numPr>
        <w:rPr>
          <w:sz w:val="26"/>
          <w:szCs w:val="26"/>
        </w:rPr>
      </w:pPr>
      <w:r>
        <w:rPr>
          <w:sz w:val="26"/>
          <w:szCs w:val="26"/>
        </w:rPr>
        <w:t>Relation</w:t>
      </w:r>
      <w:r w:rsidR="005D1003">
        <w:rPr>
          <w:sz w:val="26"/>
          <w:szCs w:val="26"/>
        </w:rPr>
        <w:t xml:space="preserve"> </w:t>
      </w:r>
      <w:r>
        <w:rPr>
          <w:sz w:val="26"/>
          <w:szCs w:val="26"/>
        </w:rPr>
        <w:t>Back</w:t>
      </w:r>
    </w:p>
    <w:p w:rsidR="00643F86" w:rsidRDefault="00643F86" w:rsidP="002A194B">
      <w:pPr>
        <w:pStyle w:val="ListParagraph"/>
        <w:ind w:left="0" w:firstLine="720"/>
        <w:rPr>
          <w:sz w:val="26"/>
          <w:szCs w:val="26"/>
        </w:rPr>
      </w:pPr>
    </w:p>
    <w:p w:rsidR="00DC3262" w:rsidRDefault="00A644E0" w:rsidP="002A194B">
      <w:pPr>
        <w:pStyle w:val="ListParagraph"/>
        <w:ind w:left="0" w:firstLine="720"/>
        <w:rPr>
          <w:sz w:val="26"/>
          <w:szCs w:val="26"/>
        </w:rPr>
      </w:pPr>
      <w:r>
        <w:rPr>
          <w:sz w:val="26"/>
          <w:szCs w:val="26"/>
        </w:rPr>
        <w:t xml:space="preserve">Plaintiff </w:t>
      </w:r>
      <w:r w:rsidR="00413F81">
        <w:rPr>
          <w:sz w:val="26"/>
          <w:szCs w:val="26"/>
        </w:rPr>
        <w:t>argues the relation</w:t>
      </w:r>
      <w:r w:rsidR="005D1003">
        <w:rPr>
          <w:sz w:val="26"/>
          <w:szCs w:val="26"/>
        </w:rPr>
        <w:t xml:space="preserve"> </w:t>
      </w:r>
      <w:r w:rsidR="00413F81">
        <w:rPr>
          <w:sz w:val="26"/>
          <w:szCs w:val="26"/>
        </w:rPr>
        <w:t xml:space="preserve">back doctrine permits </w:t>
      </w:r>
      <w:r w:rsidR="00172CF6">
        <w:rPr>
          <w:sz w:val="26"/>
          <w:szCs w:val="26"/>
        </w:rPr>
        <w:t>the</w:t>
      </w:r>
      <w:r w:rsidR="00413F81">
        <w:rPr>
          <w:sz w:val="26"/>
          <w:szCs w:val="26"/>
        </w:rPr>
        <w:t xml:space="preserve"> PAGA</w:t>
      </w:r>
      <w:r w:rsidR="00EE24F7">
        <w:rPr>
          <w:sz w:val="26"/>
          <w:szCs w:val="26"/>
        </w:rPr>
        <w:t xml:space="preserve"> claims added to the 2016 Notice </w:t>
      </w:r>
      <w:r w:rsidR="00731FB2">
        <w:rPr>
          <w:sz w:val="26"/>
          <w:szCs w:val="26"/>
        </w:rPr>
        <w:t xml:space="preserve">and the second and third amended complaints </w:t>
      </w:r>
      <w:r w:rsidR="00EE24F7">
        <w:rPr>
          <w:sz w:val="26"/>
          <w:szCs w:val="26"/>
        </w:rPr>
        <w:t>because</w:t>
      </w:r>
      <w:r w:rsidR="00413F81">
        <w:rPr>
          <w:sz w:val="26"/>
          <w:szCs w:val="26"/>
        </w:rPr>
        <w:t xml:space="preserve"> the</w:t>
      </w:r>
      <w:r w:rsidR="00172CF6">
        <w:rPr>
          <w:sz w:val="26"/>
          <w:szCs w:val="26"/>
        </w:rPr>
        <w:t>y</w:t>
      </w:r>
      <w:r w:rsidR="00413F81">
        <w:rPr>
          <w:sz w:val="26"/>
          <w:szCs w:val="26"/>
        </w:rPr>
        <w:t xml:space="preserve"> arise out of the same set of facts</w:t>
      </w:r>
      <w:r w:rsidR="00172CF6">
        <w:rPr>
          <w:sz w:val="26"/>
          <w:szCs w:val="26"/>
        </w:rPr>
        <w:t xml:space="preserve"> as the claims alleged in the 2009 Notice</w:t>
      </w:r>
      <w:r w:rsidR="00EE24F7">
        <w:rPr>
          <w:sz w:val="26"/>
          <w:szCs w:val="26"/>
        </w:rPr>
        <w:t xml:space="preserve"> and original complaint</w:t>
      </w:r>
      <w:r w:rsidR="00413F81">
        <w:rPr>
          <w:sz w:val="26"/>
          <w:szCs w:val="26"/>
        </w:rPr>
        <w:t xml:space="preserve">. </w:t>
      </w:r>
      <w:r w:rsidR="00F827EF">
        <w:rPr>
          <w:sz w:val="26"/>
          <w:szCs w:val="26"/>
        </w:rPr>
        <w:t xml:space="preserve"> </w:t>
      </w:r>
      <w:r w:rsidR="00413F81">
        <w:rPr>
          <w:sz w:val="26"/>
          <w:szCs w:val="26"/>
        </w:rPr>
        <w:t>Under the</w:t>
      </w:r>
      <w:r w:rsidR="00F848E7">
        <w:rPr>
          <w:sz w:val="26"/>
          <w:szCs w:val="26"/>
        </w:rPr>
        <w:t xml:space="preserve"> relation</w:t>
      </w:r>
      <w:r w:rsidR="009A414B">
        <w:rPr>
          <w:sz w:val="26"/>
          <w:szCs w:val="26"/>
        </w:rPr>
        <w:t xml:space="preserve"> </w:t>
      </w:r>
      <w:r w:rsidR="00F848E7">
        <w:rPr>
          <w:sz w:val="26"/>
          <w:szCs w:val="26"/>
        </w:rPr>
        <w:t>back doctrine, a</w:t>
      </w:r>
      <w:r w:rsidR="002F2D13">
        <w:rPr>
          <w:sz w:val="26"/>
          <w:szCs w:val="26"/>
        </w:rPr>
        <w:t xml:space="preserve">n amended </w:t>
      </w:r>
      <w:r w:rsidR="00C0132D">
        <w:rPr>
          <w:sz w:val="26"/>
          <w:szCs w:val="26"/>
        </w:rPr>
        <w:t>complaint</w:t>
      </w:r>
      <w:r w:rsidR="00F848E7">
        <w:rPr>
          <w:sz w:val="26"/>
          <w:szCs w:val="26"/>
        </w:rPr>
        <w:t xml:space="preserve"> is deemed to have been filed at the time of the earlier complaint if the amended complaint </w:t>
      </w:r>
      <w:r w:rsidR="001037EF">
        <w:rPr>
          <w:sz w:val="26"/>
          <w:szCs w:val="26"/>
        </w:rPr>
        <w:t>“</w:t>
      </w:r>
      <w:r w:rsidR="00F848E7">
        <w:rPr>
          <w:sz w:val="26"/>
          <w:szCs w:val="26"/>
        </w:rPr>
        <w:t>(1) rest</w:t>
      </w:r>
      <w:r w:rsidR="00123A19">
        <w:rPr>
          <w:sz w:val="26"/>
          <w:szCs w:val="26"/>
        </w:rPr>
        <w:t>[s]</w:t>
      </w:r>
      <w:r w:rsidR="00F848E7">
        <w:rPr>
          <w:sz w:val="26"/>
          <w:szCs w:val="26"/>
        </w:rPr>
        <w:t xml:space="preserve"> on the </w:t>
      </w:r>
      <w:r w:rsidR="00F848E7">
        <w:rPr>
          <w:i/>
          <w:sz w:val="26"/>
          <w:szCs w:val="26"/>
        </w:rPr>
        <w:t>same general set of facts</w:t>
      </w:r>
      <w:r w:rsidR="00F848E7">
        <w:rPr>
          <w:sz w:val="26"/>
          <w:szCs w:val="26"/>
        </w:rPr>
        <w:t>, (2) involve</w:t>
      </w:r>
      <w:r w:rsidR="00123A19">
        <w:rPr>
          <w:sz w:val="26"/>
          <w:szCs w:val="26"/>
        </w:rPr>
        <w:t>[s]</w:t>
      </w:r>
      <w:r w:rsidR="00F848E7">
        <w:rPr>
          <w:sz w:val="26"/>
          <w:szCs w:val="26"/>
        </w:rPr>
        <w:t xml:space="preserve"> the </w:t>
      </w:r>
      <w:r w:rsidR="00F848E7">
        <w:rPr>
          <w:i/>
          <w:sz w:val="26"/>
          <w:szCs w:val="26"/>
        </w:rPr>
        <w:t>same injury</w:t>
      </w:r>
      <w:r w:rsidR="00F848E7">
        <w:rPr>
          <w:sz w:val="26"/>
          <w:szCs w:val="26"/>
        </w:rPr>
        <w:t>, and (3) refer</w:t>
      </w:r>
      <w:r w:rsidR="00123A19">
        <w:rPr>
          <w:sz w:val="26"/>
          <w:szCs w:val="26"/>
        </w:rPr>
        <w:t>[s]</w:t>
      </w:r>
      <w:r w:rsidR="00F848E7">
        <w:rPr>
          <w:sz w:val="26"/>
          <w:szCs w:val="26"/>
        </w:rPr>
        <w:t xml:space="preserve"> to the </w:t>
      </w:r>
      <w:r w:rsidR="00F848E7">
        <w:rPr>
          <w:i/>
          <w:sz w:val="26"/>
          <w:szCs w:val="26"/>
        </w:rPr>
        <w:t>same instrumentalit</w:t>
      </w:r>
      <w:r w:rsidR="006C13ED">
        <w:rPr>
          <w:i/>
          <w:sz w:val="26"/>
          <w:szCs w:val="26"/>
        </w:rPr>
        <w:t>y</w:t>
      </w:r>
      <w:r w:rsidR="00725F07">
        <w:rPr>
          <w:i/>
          <w:sz w:val="26"/>
          <w:szCs w:val="26"/>
        </w:rPr>
        <w:t> . . . .</w:t>
      </w:r>
      <w:r w:rsidR="001037EF">
        <w:rPr>
          <w:sz w:val="26"/>
          <w:szCs w:val="26"/>
        </w:rPr>
        <w:t>”</w:t>
      </w:r>
      <w:r w:rsidR="00F848E7">
        <w:rPr>
          <w:sz w:val="26"/>
          <w:szCs w:val="26"/>
        </w:rPr>
        <w:t xml:space="preserve">  (</w:t>
      </w:r>
      <w:proofErr w:type="spellStart"/>
      <w:r w:rsidR="00F848E7">
        <w:rPr>
          <w:i/>
          <w:sz w:val="26"/>
          <w:szCs w:val="26"/>
        </w:rPr>
        <w:t>No</w:t>
      </w:r>
      <w:r w:rsidR="00972A9F">
        <w:rPr>
          <w:i/>
          <w:sz w:val="26"/>
          <w:szCs w:val="26"/>
        </w:rPr>
        <w:t>r</w:t>
      </w:r>
      <w:r w:rsidR="00F848E7">
        <w:rPr>
          <w:i/>
          <w:sz w:val="26"/>
          <w:szCs w:val="26"/>
        </w:rPr>
        <w:t>gart</w:t>
      </w:r>
      <w:proofErr w:type="spellEnd"/>
      <w:r w:rsidR="00F848E7">
        <w:rPr>
          <w:i/>
          <w:sz w:val="26"/>
          <w:szCs w:val="26"/>
        </w:rPr>
        <w:t xml:space="preserve"> v. Upjohn Co. </w:t>
      </w:r>
      <w:r w:rsidR="00F848E7">
        <w:rPr>
          <w:sz w:val="26"/>
          <w:szCs w:val="26"/>
        </w:rPr>
        <w:t>(1999) 21 Cal.4th 383, 409.)</w:t>
      </w:r>
      <w:r w:rsidR="00687168">
        <w:rPr>
          <w:sz w:val="26"/>
          <w:szCs w:val="26"/>
        </w:rPr>
        <w:t xml:space="preserve">  </w:t>
      </w:r>
      <w:r w:rsidR="00DC3262">
        <w:rPr>
          <w:sz w:val="26"/>
          <w:szCs w:val="26"/>
        </w:rPr>
        <w:t>The doctrine cannot be used to frustrate the intent of the Legislature to require compliance with administrative procedures as a condition to filing an action.  (</w:t>
      </w:r>
      <w:proofErr w:type="spellStart"/>
      <w:r w:rsidR="00DC3262">
        <w:rPr>
          <w:i/>
          <w:sz w:val="26"/>
          <w:szCs w:val="26"/>
        </w:rPr>
        <w:t>Bjorndal</w:t>
      </w:r>
      <w:proofErr w:type="spellEnd"/>
      <w:r w:rsidR="00DC3262">
        <w:rPr>
          <w:i/>
          <w:sz w:val="26"/>
          <w:szCs w:val="26"/>
        </w:rPr>
        <w:t>, supra</w:t>
      </w:r>
      <w:r w:rsidR="00DC3262">
        <w:rPr>
          <w:sz w:val="26"/>
          <w:szCs w:val="26"/>
        </w:rPr>
        <w:t xml:space="preserve">, 211 Cal.App.4th at p. 1113.)  </w:t>
      </w:r>
    </w:p>
    <w:p w:rsidR="00AD76A9" w:rsidRPr="00AD76A9" w:rsidRDefault="00AD76A9" w:rsidP="002A194B">
      <w:pPr>
        <w:pStyle w:val="ListParagraph"/>
        <w:ind w:left="0" w:firstLine="720"/>
        <w:rPr>
          <w:sz w:val="26"/>
          <w:szCs w:val="26"/>
        </w:rPr>
      </w:pPr>
      <w:r>
        <w:rPr>
          <w:sz w:val="26"/>
          <w:szCs w:val="26"/>
        </w:rPr>
        <w:t>Because we conclude the 2009 Notice was adequate as to the alleged violations of section 226, subdivision (a), the question remains open whether any of the later-alleged PAGA claims relate back to the claim for violations of section 226, subdivision</w:t>
      </w:r>
      <w:r w:rsidR="002F350F">
        <w:rPr>
          <w:sz w:val="26"/>
          <w:szCs w:val="26"/>
        </w:rPr>
        <w:t xml:space="preserve"> (a)</w:t>
      </w:r>
      <w:r>
        <w:rPr>
          <w:sz w:val="26"/>
          <w:szCs w:val="26"/>
        </w:rPr>
        <w:t xml:space="preserve">.  (Cf. </w:t>
      </w:r>
      <w:proofErr w:type="spellStart"/>
      <w:r>
        <w:rPr>
          <w:i/>
          <w:sz w:val="26"/>
          <w:szCs w:val="26"/>
        </w:rPr>
        <w:t>Soldinger</w:t>
      </w:r>
      <w:proofErr w:type="spellEnd"/>
      <w:r>
        <w:rPr>
          <w:i/>
          <w:sz w:val="26"/>
          <w:szCs w:val="26"/>
        </w:rPr>
        <w:t xml:space="preserve"> v. Northwest Airlines</w:t>
      </w:r>
      <w:r>
        <w:rPr>
          <w:sz w:val="26"/>
          <w:szCs w:val="26"/>
        </w:rPr>
        <w:t xml:space="preserve"> (1996) 51 Cal.App.4th 345, 381 [“Incidents not described in a DFEH charge can be included in the subsequently filed lawsuit if they would necessarily have been discovered by investigation of the charged incidents, i.e., if the allegations in the civil complaint were ‘like or related’ to those specified in the DFEH charge”].)</w:t>
      </w:r>
      <w:r w:rsidR="002F350F">
        <w:rPr>
          <w:sz w:val="26"/>
          <w:szCs w:val="26"/>
        </w:rPr>
        <w:t xml:space="preserve">  On remand, the trial court is to consider whether any </w:t>
      </w:r>
      <w:r w:rsidR="004142B1">
        <w:rPr>
          <w:sz w:val="26"/>
          <w:szCs w:val="26"/>
        </w:rPr>
        <w:t xml:space="preserve">of the </w:t>
      </w:r>
      <w:r w:rsidR="00716941">
        <w:rPr>
          <w:sz w:val="26"/>
          <w:szCs w:val="26"/>
        </w:rPr>
        <w:t>later-added</w:t>
      </w:r>
      <w:r w:rsidR="002F350F">
        <w:rPr>
          <w:sz w:val="26"/>
          <w:szCs w:val="26"/>
        </w:rPr>
        <w:t xml:space="preserve"> PAGA claims in the third amended complaint</w:t>
      </w:r>
      <w:r w:rsidR="00972A9F">
        <w:rPr>
          <w:sz w:val="26"/>
          <w:szCs w:val="26"/>
        </w:rPr>
        <w:t>—</w:t>
      </w:r>
      <w:r w:rsidR="00571353">
        <w:rPr>
          <w:sz w:val="26"/>
          <w:szCs w:val="26"/>
        </w:rPr>
        <w:t>the claims for violations of sections</w:t>
      </w:r>
      <w:r w:rsidR="002F350F">
        <w:rPr>
          <w:sz w:val="26"/>
          <w:szCs w:val="26"/>
        </w:rPr>
        <w:t xml:space="preserve"> </w:t>
      </w:r>
      <w:r w:rsidR="00571353">
        <w:rPr>
          <w:sz w:val="26"/>
          <w:szCs w:val="26"/>
        </w:rPr>
        <w:t>201, 202, 203, 1174, subdivision (d), and 1198</w:t>
      </w:r>
      <w:r w:rsidR="00972A9F">
        <w:rPr>
          <w:sz w:val="26"/>
          <w:szCs w:val="26"/>
        </w:rPr>
        <w:t>—</w:t>
      </w:r>
      <w:r w:rsidR="002F350F">
        <w:rPr>
          <w:sz w:val="26"/>
          <w:szCs w:val="26"/>
        </w:rPr>
        <w:t>relate</w:t>
      </w:r>
      <w:r w:rsidR="008B4C39">
        <w:rPr>
          <w:sz w:val="26"/>
          <w:szCs w:val="26"/>
        </w:rPr>
        <w:t xml:space="preserve"> </w:t>
      </w:r>
      <w:r w:rsidR="002F350F">
        <w:rPr>
          <w:sz w:val="26"/>
          <w:szCs w:val="26"/>
        </w:rPr>
        <w:t xml:space="preserve">back </w:t>
      </w:r>
      <w:r w:rsidR="00C50E78">
        <w:rPr>
          <w:sz w:val="26"/>
          <w:szCs w:val="26"/>
        </w:rPr>
        <w:t xml:space="preserve">solely as </w:t>
      </w:r>
      <w:r w:rsidR="002F350F">
        <w:rPr>
          <w:sz w:val="26"/>
          <w:szCs w:val="26"/>
        </w:rPr>
        <w:t>to the adequately noticed and alleged claim for violations of section 226, subdivision (a).</w:t>
      </w:r>
      <w:r w:rsidR="00B059E0">
        <w:rPr>
          <w:sz w:val="26"/>
          <w:szCs w:val="26"/>
        </w:rPr>
        <w:t xml:space="preserve">  </w:t>
      </w:r>
    </w:p>
    <w:p w:rsidR="00972A9F" w:rsidRDefault="00972A9F" w:rsidP="002A194B">
      <w:pPr>
        <w:pStyle w:val="ListParagraph"/>
        <w:ind w:left="0" w:firstLine="720"/>
        <w:rPr>
          <w:sz w:val="26"/>
          <w:szCs w:val="26"/>
        </w:rPr>
      </w:pPr>
    </w:p>
    <w:p w:rsidR="00DB100D" w:rsidRDefault="000B42E7" w:rsidP="002A194B">
      <w:pPr>
        <w:pStyle w:val="ListParagraph"/>
        <w:numPr>
          <w:ilvl w:val="0"/>
          <w:numId w:val="5"/>
        </w:numPr>
        <w:rPr>
          <w:sz w:val="26"/>
          <w:szCs w:val="26"/>
        </w:rPr>
      </w:pPr>
      <w:r>
        <w:rPr>
          <w:sz w:val="26"/>
          <w:szCs w:val="26"/>
        </w:rPr>
        <w:t xml:space="preserve">Judicial </w:t>
      </w:r>
      <w:r w:rsidR="00DB100D">
        <w:rPr>
          <w:sz w:val="26"/>
          <w:szCs w:val="26"/>
        </w:rPr>
        <w:t>Estoppel</w:t>
      </w:r>
    </w:p>
    <w:p w:rsidR="008036BD" w:rsidRDefault="008036BD" w:rsidP="002A194B">
      <w:pPr>
        <w:pStyle w:val="ListParagraph"/>
        <w:ind w:left="0" w:firstLine="720"/>
        <w:rPr>
          <w:sz w:val="26"/>
          <w:szCs w:val="26"/>
        </w:rPr>
      </w:pPr>
    </w:p>
    <w:p w:rsidR="00762DE5" w:rsidRDefault="003A0133" w:rsidP="002A194B">
      <w:pPr>
        <w:pStyle w:val="ListParagraph"/>
        <w:ind w:left="0" w:firstLine="720"/>
        <w:rPr>
          <w:sz w:val="26"/>
          <w:szCs w:val="26"/>
        </w:rPr>
      </w:pPr>
      <w:r>
        <w:rPr>
          <w:sz w:val="26"/>
          <w:szCs w:val="26"/>
        </w:rPr>
        <w:t xml:space="preserve">Plaintiff </w:t>
      </w:r>
      <w:r w:rsidR="00FA3554">
        <w:rPr>
          <w:sz w:val="26"/>
          <w:szCs w:val="26"/>
        </w:rPr>
        <w:t xml:space="preserve">contends judicial </w:t>
      </w:r>
      <w:r>
        <w:rPr>
          <w:sz w:val="26"/>
          <w:szCs w:val="26"/>
        </w:rPr>
        <w:t>estoppel prevent</w:t>
      </w:r>
      <w:r w:rsidR="00F971AF">
        <w:rPr>
          <w:sz w:val="26"/>
          <w:szCs w:val="26"/>
        </w:rPr>
        <w:t>s</w:t>
      </w:r>
      <w:r>
        <w:rPr>
          <w:sz w:val="26"/>
          <w:szCs w:val="26"/>
        </w:rPr>
        <w:t xml:space="preserve"> defendants from relying on </w:t>
      </w:r>
      <w:r w:rsidR="00D52798">
        <w:rPr>
          <w:sz w:val="26"/>
          <w:szCs w:val="26"/>
        </w:rPr>
        <w:t>a lack of notice or</w:t>
      </w:r>
      <w:r w:rsidR="00F971AF">
        <w:rPr>
          <w:sz w:val="26"/>
          <w:szCs w:val="26"/>
        </w:rPr>
        <w:t xml:space="preserve"> </w:t>
      </w:r>
      <w:r w:rsidR="008061A1">
        <w:rPr>
          <w:sz w:val="26"/>
          <w:szCs w:val="26"/>
        </w:rPr>
        <w:t>statute of limitations defense</w:t>
      </w:r>
      <w:r>
        <w:rPr>
          <w:sz w:val="26"/>
          <w:szCs w:val="26"/>
        </w:rPr>
        <w:t>.</w:t>
      </w:r>
      <w:r w:rsidR="008061A1">
        <w:rPr>
          <w:sz w:val="26"/>
          <w:szCs w:val="26"/>
        </w:rPr>
        <w:t xml:space="preserve">  Judicial estoppel</w:t>
      </w:r>
      <w:r w:rsidR="00DD0513">
        <w:rPr>
          <w:sz w:val="26"/>
          <w:szCs w:val="26"/>
        </w:rPr>
        <w:t xml:space="preserve"> is an equitable doctrine that applies when </w:t>
      </w:r>
      <w:r w:rsidR="001037EF">
        <w:rPr>
          <w:sz w:val="26"/>
          <w:szCs w:val="26"/>
        </w:rPr>
        <w:t>“</w:t>
      </w:r>
      <w:r w:rsidR="005607C8">
        <w:rPr>
          <w:sz w:val="26"/>
          <w:szCs w:val="26"/>
        </w:rPr>
        <w:t>‘</w:t>
      </w:r>
      <w:r w:rsidR="00DD0513">
        <w:rPr>
          <w:sz w:val="26"/>
          <w:szCs w:val="26"/>
        </w:rPr>
        <w:t>(1) the sam</w:t>
      </w:r>
      <w:r w:rsidR="00C1052E">
        <w:rPr>
          <w:sz w:val="26"/>
          <w:szCs w:val="26"/>
        </w:rPr>
        <w:t>e party has taken two positions</w:t>
      </w:r>
      <w:r w:rsidR="00DD0513">
        <w:rPr>
          <w:sz w:val="26"/>
          <w:szCs w:val="26"/>
        </w:rPr>
        <w:t>; (2) the positions were taken in judicial or quasi-judicial administrative proceedings; (3) the party was successful in asserting the first position (i.e., the tribunal adopted the position or accepted it as true); (4) the two positions are totally inconsistent; and (5) the first position was not taken as a result of ignorance, fraud, or mistake.</w:t>
      </w:r>
      <w:r w:rsidR="001037EF">
        <w:rPr>
          <w:sz w:val="26"/>
          <w:szCs w:val="26"/>
        </w:rPr>
        <w:t>’”</w:t>
      </w:r>
      <w:r w:rsidR="00DD0513">
        <w:rPr>
          <w:sz w:val="26"/>
          <w:szCs w:val="26"/>
        </w:rPr>
        <w:t xml:space="preserve">  (</w:t>
      </w:r>
      <w:r w:rsidR="00DD0513">
        <w:rPr>
          <w:i/>
          <w:sz w:val="26"/>
          <w:szCs w:val="26"/>
        </w:rPr>
        <w:t xml:space="preserve">Aguilar v. Lerner </w:t>
      </w:r>
      <w:r w:rsidR="00DD0513">
        <w:rPr>
          <w:sz w:val="26"/>
          <w:szCs w:val="26"/>
        </w:rPr>
        <w:t>(2004)</w:t>
      </w:r>
      <w:r w:rsidR="00907FB4">
        <w:rPr>
          <w:sz w:val="26"/>
          <w:szCs w:val="26"/>
        </w:rPr>
        <w:t xml:space="preserve"> 32 Cal.4th 974, 986-987.)  </w:t>
      </w:r>
      <w:r w:rsidR="00F971AF">
        <w:rPr>
          <w:sz w:val="26"/>
          <w:szCs w:val="26"/>
        </w:rPr>
        <w:t>The application of judicial estoppel, even when all necessary elements are present, is discretionary.</w:t>
      </w:r>
      <w:r w:rsidR="00907FB4">
        <w:rPr>
          <w:sz w:val="26"/>
          <w:szCs w:val="26"/>
        </w:rPr>
        <w:t xml:space="preserve">  (</w:t>
      </w:r>
      <w:r w:rsidR="00907FB4">
        <w:rPr>
          <w:i/>
          <w:sz w:val="26"/>
          <w:szCs w:val="26"/>
        </w:rPr>
        <w:t xml:space="preserve">MW Erectors, Inc. v. </w:t>
      </w:r>
      <w:proofErr w:type="spellStart"/>
      <w:r w:rsidR="00907FB4">
        <w:rPr>
          <w:i/>
          <w:sz w:val="26"/>
          <w:szCs w:val="26"/>
        </w:rPr>
        <w:t>Niederhauser</w:t>
      </w:r>
      <w:proofErr w:type="spellEnd"/>
      <w:r w:rsidR="00907FB4">
        <w:rPr>
          <w:i/>
          <w:sz w:val="26"/>
          <w:szCs w:val="26"/>
        </w:rPr>
        <w:t xml:space="preserve"> Ornamental &amp; Metal Works Co., Inc. </w:t>
      </w:r>
      <w:r w:rsidR="00907FB4">
        <w:rPr>
          <w:sz w:val="26"/>
          <w:szCs w:val="26"/>
        </w:rPr>
        <w:t>(2005) 36 Cal.4th 412, 422.)</w:t>
      </w:r>
      <w:r w:rsidR="00326CA5">
        <w:rPr>
          <w:sz w:val="26"/>
          <w:szCs w:val="26"/>
        </w:rPr>
        <w:t xml:space="preserve">  </w:t>
      </w:r>
    </w:p>
    <w:p w:rsidR="000B42E7" w:rsidRDefault="00762DE5" w:rsidP="002A194B">
      <w:pPr>
        <w:pStyle w:val="ListParagraph"/>
        <w:ind w:left="0" w:firstLine="720"/>
        <w:rPr>
          <w:sz w:val="26"/>
          <w:szCs w:val="26"/>
        </w:rPr>
      </w:pPr>
      <w:r>
        <w:rPr>
          <w:sz w:val="26"/>
          <w:szCs w:val="26"/>
        </w:rPr>
        <w:t xml:space="preserve">Plaintiff </w:t>
      </w:r>
      <w:r w:rsidR="005F7547">
        <w:rPr>
          <w:sz w:val="26"/>
          <w:szCs w:val="26"/>
        </w:rPr>
        <w:t xml:space="preserve">contends </w:t>
      </w:r>
      <w:r>
        <w:rPr>
          <w:sz w:val="26"/>
          <w:szCs w:val="26"/>
        </w:rPr>
        <w:t xml:space="preserve">defendants </w:t>
      </w:r>
      <w:r w:rsidR="000B42E7">
        <w:rPr>
          <w:sz w:val="26"/>
          <w:szCs w:val="26"/>
        </w:rPr>
        <w:t>knew</w:t>
      </w:r>
      <w:r>
        <w:rPr>
          <w:sz w:val="26"/>
          <w:szCs w:val="26"/>
        </w:rPr>
        <w:t xml:space="preserve"> </w:t>
      </w:r>
      <w:r w:rsidR="005F7547">
        <w:rPr>
          <w:sz w:val="26"/>
          <w:szCs w:val="26"/>
        </w:rPr>
        <w:t>about</w:t>
      </w:r>
      <w:r>
        <w:rPr>
          <w:sz w:val="26"/>
          <w:szCs w:val="26"/>
        </w:rPr>
        <w:t xml:space="preserve"> </w:t>
      </w:r>
      <w:r w:rsidR="008834C6">
        <w:rPr>
          <w:sz w:val="26"/>
          <w:szCs w:val="26"/>
        </w:rPr>
        <w:t>her PAGA claims including the later-added</w:t>
      </w:r>
      <w:r>
        <w:rPr>
          <w:sz w:val="26"/>
          <w:szCs w:val="26"/>
        </w:rPr>
        <w:t xml:space="preserve"> PAGA claims in the </w:t>
      </w:r>
      <w:r w:rsidR="008834C6">
        <w:rPr>
          <w:sz w:val="26"/>
          <w:szCs w:val="26"/>
        </w:rPr>
        <w:t xml:space="preserve">2012 </w:t>
      </w:r>
      <w:r>
        <w:rPr>
          <w:sz w:val="26"/>
          <w:szCs w:val="26"/>
        </w:rPr>
        <w:t>second amended complaint</w:t>
      </w:r>
      <w:r w:rsidR="008834C6">
        <w:rPr>
          <w:sz w:val="26"/>
          <w:szCs w:val="26"/>
        </w:rPr>
        <w:t>,</w:t>
      </w:r>
      <w:r w:rsidR="0056375D">
        <w:rPr>
          <w:sz w:val="26"/>
          <w:szCs w:val="26"/>
        </w:rPr>
        <w:t xml:space="preserve"> </w:t>
      </w:r>
      <w:r>
        <w:rPr>
          <w:sz w:val="26"/>
          <w:szCs w:val="26"/>
        </w:rPr>
        <w:t>but did not oppose them</w:t>
      </w:r>
      <w:r w:rsidR="000B42E7">
        <w:rPr>
          <w:sz w:val="26"/>
          <w:szCs w:val="26"/>
        </w:rPr>
        <w:t xml:space="preserve"> or challenge the sufficiency of the notice</w:t>
      </w:r>
      <w:r w:rsidR="0056375D">
        <w:rPr>
          <w:sz w:val="26"/>
          <w:szCs w:val="26"/>
        </w:rPr>
        <w:t xml:space="preserve"> until 2016</w:t>
      </w:r>
      <w:r>
        <w:rPr>
          <w:sz w:val="26"/>
          <w:szCs w:val="26"/>
        </w:rPr>
        <w:t xml:space="preserve">.  </w:t>
      </w:r>
      <w:r w:rsidR="000B42E7">
        <w:rPr>
          <w:sz w:val="26"/>
          <w:szCs w:val="26"/>
        </w:rPr>
        <w:t>But p</w:t>
      </w:r>
      <w:r w:rsidR="00C46459">
        <w:rPr>
          <w:sz w:val="26"/>
          <w:szCs w:val="26"/>
        </w:rPr>
        <w:t xml:space="preserve">laintiff </w:t>
      </w:r>
      <w:r w:rsidR="000B42E7">
        <w:rPr>
          <w:sz w:val="26"/>
          <w:szCs w:val="26"/>
        </w:rPr>
        <w:t xml:space="preserve">does not identify any position defendants successfully asserted, which the trial court adopted or accepted as true, that was later totally inconsistent with another position of defendants.  The case law speaks of a party successfully </w:t>
      </w:r>
      <w:r w:rsidR="001037EF">
        <w:rPr>
          <w:sz w:val="26"/>
          <w:szCs w:val="26"/>
        </w:rPr>
        <w:t>“</w:t>
      </w:r>
      <w:r w:rsidR="000B42E7">
        <w:rPr>
          <w:sz w:val="26"/>
          <w:szCs w:val="26"/>
        </w:rPr>
        <w:t>asserting the first position</w:t>
      </w:r>
      <w:r w:rsidR="001037EF">
        <w:rPr>
          <w:sz w:val="26"/>
          <w:szCs w:val="26"/>
        </w:rPr>
        <w:t>”</w:t>
      </w:r>
      <w:r w:rsidR="000B42E7">
        <w:rPr>
          <w:sz w:val="26"/>
          <w:szCs w:val="26"/>
        </w:rPr>
        <w:t xml:space="preserve"> (</w:t>
      </w:r>
      <w:r w:rsidR="000B42E7">
        <w:rPr>
          <w:i/>
          <w:sz w:val="26"/>
          <w:szCs w:val="26"/>
        </w:rPr>
        <w:t>Aguilar v. Lerner, supra</w:t>
      </w:r>
      <w:r w:rsidR="000B42E7" w:rsidRPr="00E9616E">
        <w:rPr>
          <w:sz w:val="26"/>
          <w:szCs w:val="26"/>
        </w:rPr>
        <w:t>,</w:t>
      </w:r>
      <w:r w:rsidR="000B42E7">
        <w:rPr>
          <w:sz w:val="26"/>
          <w:szCs w:val="26"/>
        </w:rPr>
        <w:t xml:space="preserve"> 32 Cal.4th at pp</w:t>
      </w:r>
      <w:r w:rsidR="00972A9F">
        <w:rPr>
          <w:sz w:val="26"/>
          <w:szCs w:val="26"/>
        </w:rPr>
        <w:t>.</w:t>
      </w:r>
      <w:r w:rsidR="000B42E7">
        <w:rPr>
          <w:sz w:val="26"/>
          <w:szCs w:val="26"/>
        </w:rPr>
        <w:t xml:space="preserve"> 986-987), indicat</w:t>
      </w:r>
      <w:r w:rsidR="008834C6">
        <w:rPr>
          <w:sz w:val="26"/>
          <w:szCs w:val="26"/>
        </w:rPr>
        <w:t>ing</w:t>
      </w:r>
      <w:r w:rsidR="000B42E7">
        <w:rPr>
          <w:sz w:val="26"/>
          <w:szCs w:val="26"/>
        </w:rPr>
        <w:t xml:space="preserve"> judicial estoppel does not occur absent an affirmative assertion.  In other words, </w:t>
      </w:r>
      <w:r w:rsidR="00864843">
        <w:rPr>
          <w:sz w:val="26"/>
          <w:szCs w:val="26"/>
        </w:rPr>
        <w:t>silence</w:t>
      </w:r>
      <w:r w:rsidR="000B42E7">
        <w:rPr>
          <w:sz w:val="26"/>
          <w:szCs w:val="26"/>
        </w:rPr>
        <w:t xml:space="preserve"> and </w:t>
      </w:r>
      <w:r w:rsidR="00864843">
        <w:rPr>
          <w:sz w:val="26"/>
          <w:szCs w:val="26"/>
        </w:rPr>
        <w:t>lack of</w:t>
      </w:r>
      <w:r w:rsidR="000B42E7">
        <w:rPr>
          <w:sz w:val="26"/>
          <w:szCs w:val="26"/>
        </w:rPr>
        <w:t xml:space="preserve"> objection d</w:t>
      </w:r>
      <w:r w:rsidR="00476EB3">
        <w:rPr>
          <w:sz w:val="26"/>
          <w:szCs w:val="26"/>
        </w:rPr>
        <w:t>oes</w:t>
      </w:r>
      <w:r w:rsidR="000B42E7">
        <w:rPr>
          <w:sz w:val="26"/>
          <w:szCs w:val="26"/>
        </w:rPr>
        <w:t xml:space="preserve"> not result in judicial estoppel.</w:t>
      </w:r>
    </w:p>
    <w:p w:rsidR="00E9616E" w:rsidRDefault="00E9616E" w:rsidP="002A194B">
      <w:pPr>
        <w:pStyle w:val="ListParagraph"/>
        <w:ind w:left="0" w:firstLine="720"/>
        <w:rPr>
          <w:sz w:val="26"/>
          <w:szCs w:val="26"/>
        </w:rPr>
      </w:pPr>
    </w:p>
    <w:p w:rsidR="000B42E7" w:rsidRDefault="005B4F48" w:rsidP="002A194B">
      <w:pPr>
        <w:pStyle w:val="ListParagraph"/>
        <w:numPr>
          <w:ilvl w:val="0"/>
          <w:numId w:val="5"/>
        </w:numPr>
        <w:rPr>
          <w:sz w:val="26"/>
          <w:szCs w:val="26"/>
        </w:rPr>
      </w:pPr>
      <w:r>
        <w:rPr>
          <w:sz w:val="26"/>
          <w:szCs w:val="26"/>
        </w:rPr>
        <w:t>Waiver</w:t>
      </w:r>
    </w:p>
    <w:p w:rsidR="008036BD" w:rsidRDefault="008036BD" w:rsidP="002A194B">
      <w:pPr>
        <w:ind w:firstLine="720"/>
        <w:rPr>
          <w:sz w:val="26"/>
          <w:szCs w:val="26"/>
        </w:rPr>
      </w:pPr>
    </w:p>
    <w:p w:rsidR="00CF27BA" w:rsidRDefault="00BA6F33" w:rsidP="002A194B">
      <w:pPr>
        <w:ind w:firstLine="720"/>
        <w:rPr>
          <w:sz w:val="26"/>
          <w:szCs w:val="26"/>
        </w:rPr>
      </w:pPr>
      <w:r w:rsidRPr="00BA6F33">
        <w:rPr>
          <w:sz w:val="26"/>
          <w:szCs w:val="26"/>
        </w:rPr>
        <w:t xml:space="preserve">Plaintiff </w:t>
      </w:r>
      <w:r w:rsidR="00DC4165">
        <w:rPr>
          <w:sz w:val="26"/>
          <w:szCs w:val="26"/>
        </w:rPr>
        <w:t xml:space="preserve">next </w:t>
      </w:r>
      <w:r w:rsidRPr="00BA6F33">
        <w:rPr>
          <w:sz w:val="26"/>
          <w:szCs w:val="26"/>
        </w:rPr>
        <w:t xml:space="preserve">argues defendants </w:t>
      </w:r>
      <w:r w:rsidR="005B4F48">
        <w:rPr>
          <w:sz w:val="26"/>
          <w:szCs w:val="26"/>
        </w:rPr>
        <w:t>waived</w:t>
      </w:r>
      <w:r w:rsidR="00C5787F">
        <w:rPr>
          <w:sz w:val="26"/>
          <w:szCs w:val="26"/>
        </w:rPr>
        <w:t xml:space="preserve"> </w:t>
      </w:r>
      <w:r w:rsidRPr="00BA6F33">
        <w:rPr>
          <w:sz w:val="26"/>
          <w:szCs w:val="26"/>
        </w:rPr>
        <w:t xml:space="preserve">their statute of limitations </w:t>
      </w:r>
      <w:r w:rsidR="00EF55F4">
        <w:rPr>
          <w:sz w:val="26"/>
          <w:szCs w:val="26"/>
        </w:rPr>
        <w:t xml:space="preserve">and </w:t>
      </w:r>
      <w:r w:rsidR="006F75E3">
        <w:rPr>
          <w:sz w:val="26"/>
          <w:szCs w:val="26"/>
        </w:rPr>
        <w:t xml:space="preserve">lack of </w:t>
      </w:r>
      <w:r w:rsidR="00EF55F4">
        <w:rPr>
          <w:sz w:val="26"/>
          <w:szCs w:val="26"/>
        </w:rPr>
        <w:t xml:space="preserve">notice </w:t>
      </w:r>
      <w:r w:rsidRPr="00BA6F33">
        <w:rPr>
          <w:sz w:val="26"/>
          <w:szCs w:val="26"/>
        </w:rPr>
        <w:t>defenses</w:t>
      </w:r>
      <w:r w:rsidR="00C5787F">
        <w:rPr>
          <w:sz w:val="26"/>
          <w:szCs w:val="26"/>
        </w:rPr>
        <w:t xml:space="preserve"> by not asserting them</w:t>
      </w:r>
      <w:r w:rsidR="00950AD4">
        <w:rPr>
          <w:sz w:val="26"/>
          <w:szCs w:val="26"/>
        </w:rPr>
        <w:t xml:space="preserve"> when plaintiff first moved for leave to file the second amended complaint in 2012</w:t>
      </w:r>
      <w:r>
        <w:rPr>
          <w:sz w:val="26"/>
          <w:szCs w:val="26"/>
        </w:rPr>
        <w:t xml:space="preserve">. </w:t>
      </w:r>
      <w:r w:rsidR="00EB12B6">
        <w:rPr>
          <w:sz w:val="26"/>
          <w:szCs w:val="26"/>
        </w:rPr>
        <w:t xml:space="preserve"> </w:t>
      </w:r>
      <w:r w:rsidR="006F75E3">
        <w:rPr>
          <w:sz w:val="26"/>
          <w:szCs w:val="26"/>
        </w:rPr>
        <w:t>D</w:t>
      </w:r>
      <w:r w:rsidR="004F6F3D">
        <w:rPr>
          <w:sz w:val="26"/>
          <w:szCs w:val="26"/>
        </w:rPr>
        <w:t xml:space="preserve">efendants </w:t>
      </w:r>
      <w:r w:rsidR="006F75E3">
        <w:rPr>
          <w:sz w:val="26"/>
          <w:szCs w:val="26"/>
        </w:rPr>
        <w:t xml:space="preserve">instead </w:t>
      </w:r>
      <w:r w:rsidR="004F6F3D">
        <w:rPr>
          <w:sz w:val="26"/>
          <w:szCs w:val="26"/>
        </w:rPr>
        <w:t>argued plaintiff should simply dismiss the non-PAGA c</w:t>
      </w:r>
      <w:r w:rsidR="00E13F3D">
        <w:rPr>
          <w:sz w:val="26"/>
          <w:szCs w:val="26"/>
        </w:rPr>
        <w:t>auses of action</w:t>
      </w:r>
      <w:r w:rsidR="004F6F3D">
        <w:rPr>
          <w:sz w:val="26"/>
          <w:szCs w:val="26"/>
        </w:rPr>
        <w:t>.</w:t>
      </w:r>
      <w:r w:rsidR="00B059E0">
        <w:rPr>
          <w:sz w:val="26"/>
          <w:szCs w:val="26"/>
        </w:rPr>
        <w:t xml:space="preserve">  </w:t>
      </w:r>
    </w:p>
    <w:p w:rsidR="00280C36" w:rsidRDefault="005E4F39" w:rsidP="002A194B">
      <w:pPr>
        <w:ind w:firstLine="720"/>
        <w:rPr>
          <w:rFonts w:cs="Helvetica"/>
          <w:sz w:val="26"/>
          <w:szCs w:val="26"/>
        </w:rPr>
      </w:pPr>
      <w:r>
        <w:rPr>
          <w:sz w:val="26"/>
          <w:szCs w:val="26"/>
        </w:rPr>
        <w:t xml:space="preserve">Generally, a defendant must plead defenses in an answer or demurrer, or risk waiver.  (Code Civ. Proc., </w:t>
      </w:r>
      <w:r w:rsidR="00A91C71">
        <w:rPr>
          <w:sz w:val="26"/>
          <w:szCs w:val="26"/>
        </w:rPr>
        <w:t>§ 430.80, subd. (a)</w:t>
      </w:r>
      <w:r>
        <w:rPr>
          <w:sz w:val="26"/>
          <w:szCs w:val="26"/>
        </w:rPr>
        <w:t>.)</w:t>
      </w:r>
      <w:r w:rsidR="0047722C">
        <w:rPr>
          <w:sz w:val="26"/>
          <w:szCs w:val="26"/>
        </w:rPr>
        <w:t xml:space="preserve">  A def</w:t>
      </w:r>
      <w:r w:rsidR="00F1660C">
        <w:rPr>
          <w:rFonts w:cs="Helvetica"/>
          <w:sz w:val="26"/>
          <w:szCs w:val="26"/>
        </w:rPr>
        <w:t xml:space="preserve">endant waives </w:t>
      </w:r>
      <w:r w:rsidR="00266316">
        <w:rPr>
          <w:rFonts w:cs="Helvetica"/>
          <w:sz w:val="26"/>
          <w:szCs w:val="26"/>
        </w:rPr>
        <w:t>a</w:t>
      </w:r>
      <w:r w:rsidR="00F1660C">
        <w:rPr>
          <w:rFonts w:cs="Helvetica"/>
          <w:sz w:val="26"/>
          <w:szCs w:val="26"/>
        </w:rPr>
        <w:t xml:space="preserve"> statute of limitations defense by failing to plead </w:t>
      </w:r>
      <w:r w:rsidR="00266316">
        <w:rPr>
          <w:rFonts w:cs="Helvetica"/>
          <w:sz w:val="26"/>
          <w:szCs w:val="26"/>
        </w:rPr>
        <w:t>it</w:t>
      </w:r>
      <w:r w:rsidR="00F1660C">
        <w:rPr>
          <w:rFonts w:cs="Helvetica"/>
          <w:sz w:val="26"/>
          <w:szCs w:val="26"/>
        </w:rPr>
        <w:t xml:space="preserve"> in </w:t>
      </w:r>
      <w:r w:rsidR="00266316">
        <w:rPr>
          <w:rFonts w:cs="Helvetica"/>
          <w:sz w:val="26"/>
          <w:szCs w:val="26"/>
        </w:rPr>
        <w:t>an</w:t>
      </w:r>
      <w:r w:rsidR="00F1660C">
        <w:rPr>
          <w:rFonts w:cs="Helvetica"/>
          <w:sz w:val="26"/>
          <w:szCs w:val="26"/>
        </w:rPr>
        <w:t xml:space="preserve"> answer or rais</w:t>
      </w:r>
      <w:r w:rsidR="00266316">
        <w:rPr>
          <w:rFonts w:cs="Helvetica"/>
          <w:sz w:val="26"/>
          <w:szCs w:val="26"/>
        </w:rPr>
        <w:t>e it</w:t>
      </w:r>
      <w:r w:rsidR="00F1660C">
        <w:rPr>
          <w:rFonts w:cs="Helvetica"/>
          <w:sz w:val="26"/>
          <w:szCs w:val="26"/>
        </w:rPr>
        <w:t xml:space="preserve"> as a ground of </w:t>
      </w:r>
      <w:r w:rsidR="00266316">
        <w:rPr>
          <w:rFonts w:cs="Helvetica"/>
          <w:sz w:val="26"/>
          <w:szCs w:val="26"/>
        </w:rPr>
        <w:t>a</w:t>
      </w:r>
      <w:r w:rsidR="00F1660C">
        <w:rPr>
          <w:rFonts w:cs="Helvetica"/>
          <w:sz w:val="26"/>
          <w:szCs w:val="26"/>
        </w:rPr>
        <w:t xml:space="preserve"> general demurrer.  (</w:t>
      </w:r>
      <w:r w:rsidR="00F1660C">
        <w:rPr>
          <w:rFonts w:cs="Helvetica"/>
          <w:i/>
          <w:sz w:val="26"/>
          <w:szCs w:val="26"/>
        </w:rPr>
        <w:t xml:space="preserve">Minton v. </w:t>
      </w:r>
      <w:proofErr w:type="spellStart"/>
      <w:r w:rsidR="00C756F2">
        <w:rPr>
          <w:rFonts w:cs="Helvetica"/>
          <w:i/>
          <w:sz w:val="26"/>
          <w:szCs w:val="26"/>
        </w:rPr>
        <w:t>Cavaney</w:t>
      </w:r>
      <w:proofErr w:type="spellEnd"/>
      <w:r w:rsidR="00C756F2">
        <w:rPr>
          <w:rFonts w:cs="Helvetica"/>
          <w:i/>
          <w:sz w:val="26"/>
          <w:szCs w:val="26"/>
        </w:rPr>
        <w:t xml:space="preserve"> </w:t>
      </w:r>
      <w:r w:rsidR="00C756F2">
        <w:rPr>
          <w:rFonts w:cs="Helvetica"/>
          <w:sz w:val="26"/>
          <w:szCs w:val="26"/>
        </w:rPr>
        <w:t xml:space="preserve">(1961) 56 Cal.2d 576, 581; accord, </w:t>
      </w:r>
      <w:r w:rsidR="00C756F2">
        <w:rPr>
          <w:rFonts w:cs="Helvetica"/>
          <w:i/>
          <w:sz w:val="26"/>
          <w:szCs w:val="26"/>
        </w:rPr>
        <w:t xml:space="preserve">Adams v. Paul </w:t>
      </w:r>
      <w:r w:rsidR="00C756F2">
        <w:rPr>
          <w:rFonts w:cs="Helvetica"/>
          <w:sz w:val="26"/>
          <w:szCs w:val="26"/>
        </w:rPr>
        <w:t xml:space="preserve">(1995) 11 Cal.4th 583, 597.)  Here, defendants </w:t>
      </w:r>
      <w:r w:rsidR="00EF55F4">
        <w:rPr>
          <w:rFonts w:cs="Helvetica"/>
          <w:sz w:val="26"/>
          <w:szCs w:val="26"/>
        </w:rPr>
        <w:t>never</w:t>
      </w:r>
      <w:r w:rsidR="00C756F2">
        <w:rPr>
          <w:rFonts w:cs="Helvetica"/>
          <w:sz w:val="26"/>
          <w:szCs w:val="26"/>
        </w:rPr>
        <w:t xml:space="preserve"> answer</w:t>
      </w:r>
      <w:r w:rsidR="00EF55F4">
        <w:rPr>
          <w:rFonts w:cs="Helvetica"/>
          <w:sz w:val="26"/>
          <w:szCs w:val="26"/>
        </w:rPr>
        <w:t>ed</w:t>
      </w:r>
      <w:r w:rsidR="00C756F2">
        <w:rPr>
          <w:rFonts w:cs="Helvetica"/>
          <w:sz w:val="26"/>
          <w:szCs w:val="26"/>
        </w:rPr>
        <w:t xml:space="preserve"> the complaints. </w:t>
      </w:r>
      <w:r w:rsidR="00571C6B">
        <w:rPr>
          <w:rFonts w:cs="Helvetica"/>
          <w:sz w:val="26"/>
          <w:szCs w:val="26"/>
        </w:rPr>
        <w:t xml:space="preserve"> </w:t>
      </w:r>
      <w:r>
        <w:rPr>
          <w:rFonts w:cs="Helvetica"/>
          <w:sz w:val="26"/>
          <w:szCs w:val="26"/>
        </w:rPr>
        <w:t>But</w:t>
      </w:r>
      <w:r w:rsidR="00571C6B">
        <w:rPr>
          <w:rFonts w:cs="Helvetica"/>
          <w:sz w:val="26"/>
          <w:szCs w:val="26"/>
        </w:rPr>
        <w:t xml:space="preserve"> they </w:t>
      </w:r>
      <w:r>
        <w:rPr>
          <w:rFonts w:cs="Helvetica"/>
          <w:sz w:val="26"/>
          <w:szCs w:val="26"/>
        </w:rPr>
        <w:t xml:space="preserve">did </w:t>
      </w:r>
      <w:r w:rsidR="00571C6B">
        <w:rPr>
          <w:rFonts w:cs="Helvetica"/>
          <w:sz w:val="26"/>
          <w:szCs w:val="26"/>
        </w:rPr>
        <w:t xml:space="preserve">assert </w:t>
      </w:r>
      <w:r w:rsidR="00C756F2">
        <w:rPr>
          <w:rFonts w:cs="Helvetica"/>
          <w:sz w:val="26"/>
          <w:szCs w:val="26"/>
        </w:rPr>
        <w:t>the defense</w:t>
      </w:r>
      <w:r w:rsidR="00933933">
        <w:rPr>
          <w:rFonts w:cs="Helvetica"/>
          <w:sz w:val="26"/>
          <w:szCs w:val="26"/>
        </w:rPr>
        <w:t>s</w:t>
      </w:r>
      <w:r w:rsidR="00C756F2">
        <w:rPr>
          <w:rFonts w:cs="Helvetica"/>
          <w:sz w:val="26"/>
          <w:szCs w:val="26"/>
        </w:rPr>
        <w:t xml:space="preserve"> in the</w:t>
      </w:r>
      <w:r w:rsidR="00450284">
        <w:rPr>
          <w:rFonts w:cs="Helvetica"/>
          <w:sz w:val="26"/>
          <w:szCs w:val="26"/>
        </w:rPr>
        <w:t>ir</w:t>
      </w:r>
      <w:r w:rsidR="00C756F2">
        <w:rPr>
          <w:rFonts w:cs="Helvetica"/>
          <w:sz w:val="26"/>
          <w:szCs w:val="26"/>
        </w:rPr>
        <w:t xml:space="preserve"> </w:t>
      </w:r>
      <w:r w:rsidR="00EF55F4">
        <w:rPr>
          <w:rFonts w:cs="Helvetica"/>
          <w:sz w:val="26"/>
          <w:szCs w:val="26"/>
        </w:rPr>
        <w:t>motion for judgment on the pleading</w:t>
      </w:r>
      <w:r w:rsidR="00725F07">
        <w:rPr>
          <w:rFonts w:cs="Helvetica"/>
          <w:sz w:val="26"/>
          <w:szCs w:val="26"/>
        </w:rPr>
        <w:t>s</w:t>
      </w:r>
      <w:r w:rsidR="00EF55F4">
        <w:rPr>
          <w:rFonts w:cs="Helvetica"/>
          <w:sz w:val="26"/>
          <w:szCs w:val="26"/>
        </w:rPr>
        <w:t xml:space="preserve"> and their </w:t>
      </w:r>
      <w:r w:rsidR="00C756F2">
        <w:rPr>
          <w:rFonts w:cs="Helvetica"/>
          <w:sz w:val="26"/>
          <w:szCs w:val="26"/>
        </w:rPr>
        <w:t xml:space="preserve">demurrer to the </w:t>
      </w:r>
      <w:r w:rsidR="005D2DAB">
        <w:rPr>
          <w:rFonts w:cs="Helvetica"/>
          <w:sz w:val="26"/>
          <w:szCs w:val="26"/>
        </w:rPr>
        <w:t xml:space="preserve">operative </w:t>
      </w:r>
      <w:r w:rsidR="00C756F2">
        <w:rPr>
          <w:rFonts w:cs="Helvetica"/>
          <w:sz w:val="26"/>
          <w:szCs w:val="26"/>
        </w:rPr>
        <w:t>third amended complain</w:t>
      </w:r>
      <w:r w:rsidR="00FB1B92">
        <w:rPr>
          <w:rFonts w:cs="Helvetica"/>
          <w:sz w:val="26"/>
          <w:szCs w:val="26"/>
        </w:rPr>
        <w:t xml:space="preserve">t and thus have preserved </w:t>
      </w:r>
      <w:r w:rsidR="0047722C">
        <w:rPr>
          <w:rFonts w:cs="Helvetica"/>
          <w:sz w:val="26"/>
          <w:szCs w:val="26"/>
        </w:rPr>
        <w:t>th</w:t>
      </w:r>
      <w:r>
        <w:rPr>
          <w:rFonts w:cs="Helvetica"/>
          <w:sz w:val="26"/>
          <w:szCs w:val="26"/>
        </w:rPr>
        <w:t>e defenses</w:t>
      </w:r>
      <w:r w:rsidR="005D2DAB">
        <w:rPr>
          <w:rFonts w:cs="Helvetica"/>
          <w:sz w:val="26"/>
          <w:szCs w:val="26"/>
        </w:rPr>
        <w:t>.</w:t>
      </w:r>
      <w:r w:rsidR="00C756F2">
        <w:rPr>
          <w:rFonts w:cs="Helvetica"/>
          <w:sz w:val="26"/>
          <w:szCs w:val="26"/>
        </w:rPr>
        <w:t xml:space="preserve"> </w:t>
      </w:r>
      <w:r w:rsidR="00F1660C">
        <w:rPr>
          <w:rFonts w:cs="Helvetica"/>
          <w:sz w:val="26"/>
          <w:szCs w:val="26"/>
        </w:rPr>
        <w:t xml:space="preserve"> </w:t>
      </w:r>
    </w:p>
    <w:p w:rsidR="00EF55F4" w:rsidRPr="003F7D26" w:rsidRDefault="00EF55F4" w:rsidP="002A194B">
      <w:pPr>
        <w:ind w:firstLine="720"/>
        <w:rPr>
          <w:rFonts w:cs="Helvetica"/>
          <w:sz w:val="26"/>
          <w:szCs w:val="26"/>
          <w:u w:val="single"/>
        </w:rPr>
      </w:pPr>
      <w:r>
        <w:rPr>
          <w:rFonts w:cs="Helvetica"/>
          <w:sz w:val="26"/>
          <w:szCs w:val="26"/>
        </w:rPr>
        <w:t>Plaintiff</w:t>
      </w:r>
      <w:r w:rsidR="001037EF">
        <w:rPr>
          <w:rFonts w:cs="Helvetica"/>
          <w:sz w:val="26"/>
          <w:szCs w:val="26"/>
        </w:rPr>
        <w:t>’</w:t>
      </w:r>
      <w:r>
        <w:rPr>
          <w:rFonts w:cs="Helvetica"/>
          <w:sz w:val="26"/>
          <w:szCs w:val="26"/>
        </w:rPr>
        <w:t>s argument that defendants waived the defenses by not raising them in their opposition to plaintiff</w:t>
      </w:r>
      <w:r w:rsidR="001037EF">
        <w:rPr>
          <w:rFonts w:cs="Helvetica"/>
          <w:sz w:val="26"/>
          <w:szCs w:val="26"/>
        </w:rPr>
        <w:t>’</w:t>
      </w:r>
      <w:r>
        <w:rPr>
          <w:rFonts w:cs="Helvetica"/>
          <w:sz w:val="26"/>
          <w:szCs w:val="26"/>
        </w:rPr>
        <w:t xml:space="preserve">s motion for leave to file the second amended complaint is not well-taken.  </w:t>
      </w:r>
      <w:r w:rsidR="003F7D26">
        <w:rPr>
          <w:rFonts w:cs="Helvetica"/>
          <w:sz w:val="26"/>
          <w:szCs w:val="26"/>
        </w:rPr>
        <w:t xml:space="preserve">The </w:t>
      </w:r>
      <w:r w:rsidR="001037EF">
        <w:rPr>
          <w:rFonts w:cs="Helvetica"/>
          <w:sz w:val="26"/>
          <w:szCs w:val="26"/>
        </w:rPr>
        <w:t>“</w:t>
      </w:r>
      <w:r w:rsidR="003F7D26">
        <w:rPr>
          <w:rFonts w:cs="Helvetica"/>
          <w:sz w:val="26"/>
          <w:szCs w:val="26"/>
        </w:rPr>
        <w:t>better course of action</w:t>
      </w:r>
      <w:r w:rsidR="001037EF">
        <w:rPr>
          <w:rFonts w:cs="Helvetica"/>
          <w:sz w:val="26"/>
          <w:szCs w:val="26"/>
        </w:rPr>
        <w:t>”</w:t>
      </w:r>
      <w:r w:rsidR="003F7D26">
        <w:rPr>
          <w:rFonts w:cs="Helvetica"/>
          <w:sz w:val="26"/>
          <w:szCs w:val="26"/>
        </w:rPr>
        <w:t xml:space="preserve"> is to allow a plaintiff to amend the complaint </w:t>
      </w:r>
      <w:r w:rsidR="001037EF">
        <w:rPr>
          <w:rFonts w:cs="Helvetica"/>
          <w:sz w:val="26"/>
          <w:szCs w:val="26"/>
        </w:rPr>
        <w:t>“</w:t>
      </w:r>
      <w:r w:rsidR="003F7D26">
        <w:rPr>
          <w:rFonts w:cs="Helvetica"/>
          <w:sz w:val="26"/>
          <w:szCs w:val="26"/>
        </w:rPr>
        <w:t>and then let the parties test its legal sufficiency in other appropriate proceedings.</w:t>
      </w:r>
      <w:r w:rsidR="001037EF">
        <w:rPr>
          <w:rFonts w:cs="Helvetica"/>
          <w:sz w:val="26"/>
          <w:szCs w:val="26"/>
        </w:rPr>
        <w:t>”</w:t>
      </w:r>
      <w:r w:rsidR="003F7D26">
        <w:rPr>
          <w:rFonts w:cs="Helvetica"/>
          <w:sz w:val="26"/>
          <w:szCs w:val="26"/>
        </w:rPr>
        <w:t xml:space="preserve">  (</w:t>
      </w:r>
      <w:r w:rsidR="003F7D26">
        <w:rPr>
          <w:rFonts w:cs="Helvetica"/>
          <w:i/>
          <w:sz w:val="26"/>
          <w:szCs w:val="26"/>
        </w:rPr>
        <w:t>Atkinson v. Elk Corp</w:t>
      </w:r>
      <w:r w:rsidR="003F7D26" w:rsidRPr="00761AB2">
        <w:rPr>
          <w:rFonts w:cs="Helvetica"/>
          <w:i/>
          <w:sz w:val="26"/>
          <w:szCs w:val="26"/>
        </w:rPr>
        <w:t>.</w:t>
      </w:r>
      <w:r w:rsidR="003F7D26" w:rsidRPr="00761AB2">
        <w:rPr>
          <w:rFonts w:cs="Helvetica"/>
          <w:sz w:val="26"/>
          <w:szCs w:val="26"/>
        </w:rPr>
        <w:t xml:space="preserve"> (2003) 109 Cal.App.4th 739, 760.)  Thus, a defendant is not required to </w:t>
      </w:r>
      <w:r w:rsidR="005E4F39" w:rsidRPr="00761AB2">
        <w:rPr>
          <w:rFonts w:cs="Helvetica"/>
          <w:sz w:val="26"/>
          <w:szCs w:val="26"/>
        </w:rPr>
        <w:t xml:space="preserve">make its arguments about the sufficiency of the pleading in an opposition to </w:t>
      </w:r>
      <w:r w:rsidR="005607C8">
        <w:rPr>
          <w:rFonts w:cs="Helvetica"/>
          <w:sz w:val="26"/>
          <w:szCs w:val="26"/>
        </w:rPr>
        <w:t xml:space="preserve">a </w:t>
      </w:r>
      <w:r w:rsidR="005E4F39" w:rsidRPr="00761AB2">
        <w:rPr>
          <w:rFonts w:cs="Helvetica"/>
          <w:sz w:val="26"/>
          <w:szCs w:val="26"/>
        </w:rPr>
        <w:t>motion for leave to amend.</w:t>
      </w:r>
      <w:r w:rsidR="005E4F39">
        <w:rPr>
          <w:rFonts w:cs="Helvetica"/>
          <w:sz w:val="26"/>
          <w:szCs w:val="26"/>
          <w:u w:val="single"/>
        </w:rPr>
        <w:t xml:space="preserve">  </w:t>
      </w:r>
    </w:p>
    <w:p w:rsidR="00972A9F" w:rsidRDefault="00972A9F" w:rsidP="002A194B">
      <w:pPr>
        <w:pStyle w:val="ListParagraph"/>
        <w:ind w:left="0"/>
        <w:rPr>
          <w:sz w:val="26"/>
          <w:szCs w:val="26"/>
        </w:rPr>
      </w:pPr>
    </w:p>
    <w:p w:rsidR="003F134F" w:rsidRDefault="000837D8" w:rsidP="002A194B">
      <w:pPr>
        <w:rPr>
          <w:sz w:val="26"/>
          <w:szCs w:val="26"/>
        </w:rPr>
      </w:pPr>
      <w:r>
        <w:rPr>
          <w:sz w:val="26"/>
          <w:szCs w:val="26"/>
        </w:rPr>
        <w:t>E</w:t>
      </w:r>
      <w:r w:rsidR="006E3F5A">
        <w:rPr>
          <w:sz w:val="26"/>
          <w:szCs w:val="26"/>
        </w:rPr>
        <w:t>.</w:t>
      </w:r>
      <w:r w:rsidR="00BE379A">
        <w:rPr>
          <w:sz w:val="26"/>
          <w:szCs w:val="26"/>
        </w:rPr>
        <w:tab/>
      </w:r>
      <w:r w:rsidR="003F134F" w:rsidRPr="006E3F5A">
        <w:rPr>
          <w:i/>
          <w:sz w:val="26"/>
          <w:szCs w:val="26"/>
        </w:rPr>
        <w:t>Denial of Leave to Amend</w:t>
      </w:r>
    </w:p>
    <w:p w:rsidR="008036BD" w:rsidRDefault="008036BD" w:rsidP="008036BD">
      <w:pPr>
        <w:rPr>
          <w:sz w:val="26"/>
        </w:rPr>
      </w:pPr>
    </w:p>
    <w:p w:rsidR="00BC6674" w:rsidRPr="00BC6674" w:rsidRDefault="00BC6674" w:rsidP="002A194B">
      <w:pPr>
        <w:ind w:firstLine="720"/>
        <w:rPr>
          <w:sz w:val="26"/>
        </w:rPr>
      </w:pPr>
      <w:r>
        <w:rPr>
          <w:sz w:val="26"/>
        </w:rPr>
        <w:t xml:space="preserve">Plaintiff contends she should be given leave to amend her </w:t>
      </w:r>
      <w:r w:rsidR="008834C6">
        <w:rPr>
          <w:sz w:val="26"/>
        </w:rPr>
        <w:t xml:space="preserve">third amended </w:t>
      </w:r>
      <w:r>
        <w:rPr>
          <w:sz w:val="26"/>
        </w:rPr>
        <w:t xml:space="preserve">complaint.  </w:t>
      </w:r>
      <w:r w:rsidRPr="00BC6674">
        <w:rPr>
          <w:sz w:val="26"/>
        </w:rPr>
        <w:t xml:space="preserve">We review the denial of leave to amend </w:t>
      </w:r>
      <w:r w:rsidR="00761AB2">
        <w:rPr>
          <w:sz w:val="26"/>
        </w:rPr>
        <w:t>a</w:t>
      </w:r>
      <w:r w:rsidRPr="00BC6674">
        <w:rPr>
          <w:sz w:val="26"/>
        </w:rPr>
        <w:t xml:space="preserve"> complaint</w:t>
      </w:r>
      <w:r w:rsidR="00761AB2">
        <w:rPr>
          <w:sz w:val="26"/>
        </w:rPr>
        <w:t xml:space="preserve"> </w:t>
      </w:r>
      <w:r w:rsidR="00761AB2" w:rsidRPr="00BC6674">
        <w:rPr>
          <w:sz w:val="26"/>
        </w:rPr>
        <w:t>for an abuse of discretion</w:t>
      </w:r>
      <w:r w:rsidRPr="00BC6674">
        <w:rPr>
          <w:sz w:val="26"/>
        </w:rPr>
        <w:t>.  (</w:t>
      </w:r>
      <w:r w:rsidRPr="00BC6674">
        <w:rPr>
          <w:i/>
          <w:sz w:val="26"/>
          <w:szCs w:val="26"/>
        </w:rPr>
        <w:t xml:space="preserve">City of Dinuba v. County of Tulare </w:t>
      </w:r>
      <w:r w:rsidRPr="00BC6674">
        <w:rPr>
          <w:sz w:val="26"/>
          <w:szCs w:val="26"/>
        </w:rPr>
        <w:t xml:space="preserve">(2007) 41 Cal.4th 859, 865.)  </w:t>
      </w:r>
      <w:r w:rsidR="001037EF">
        <w:rPr>
          <w:sz w:val="26"/>
        </w:rPr>
        <w:t>“</w:t>
      </w:r>
      <w:r w:rsidRPr="00BC6674">
        <w:rPr>
          <w:sz w:val="26"/>
        </w:rPr>
        <w:t xml:space="preserve">If the court sustained the demurrer without leave to amend . . . we must decide whether there is a reasonable possibility the plaintiff could cure the defect with an amendment.  [Citation.]  If we find that an amendment </w:t>
      </w:r>
      <w:r w:rsidR="00725F07">
        <w:rPr>
          <w:sz w:val="26"/>
        </w:rPr>
        <w:t>c</w:t>
      </w:r>
      <w:r w:rsidRPr="00BC6674">
        <w:rPr>
          <w:sz w:val="26"/>
        </w:rPr>
        <w:t>ould cure the defect, we conclude that the trial court abused its discretion and we reverse; if not, no abuse of discretion has occurred.  [Citation.]  The plaintiff has the burden of proving that an amendment would cure the defect.</w:t>
      </w:r>
      <w:r w:rsidR="001037EF">
        <w:rPr>
          <w:sz w:val="26"/>
        </w:rPr>
        <w:t>”</w:t>
      </w:r>
      <w:r w:rsidRPr="00BC6674">
        <w:rPr>
          <w:sz w:val="26"/>
        </w:rPr>
        <w:t xml:space="preserve">  (</w:t>
      </w:r>
      <w:proofErr w:type="spellStart"/>
      <w:r w:rsidRPr="00BC6674">
        <w:rPr>
          <w:i/>
          <w:sz w:val="26"/>
        </w:rPr>
        <w:t>Schifando</w:t>
      </w:r>
      <w:proofErr w:type="spellEnd"/>
      <w:r w:rsidRPr="00BC6674">
        <w:rPr>
          <w:i/>
          <w:sz w:val="26"/>
        </w:rPr>
        <w:t xml:space="preserve"> v. City of Los Angeles</w:t>
      </w:r>
      <w:r w:rsidRPr="00BC6674">
        <w:rPr>
          <w:sz w:val="26"/>
        </w:rPr>
        <w:t xml:space="preserve"> (2003) 31 Cal.4th 1074, 1081.) </w:t>
      </w:r>
      <w:r w:rsidR="0016798B">
        <w:rPr>
          <w:sz w:val="26"/>
        </w:rPr>
        <w:t xml:space="preserve"> </w:t>
      </w:r>
    </w:p>
    <w:p w:rsidR="00F95553" w:rsidRDefault="00BC6674" w:rsidP="002A194B">
      <w:pPr>
        <w:rPr>
          <w:sz w:val="26"/>
          <w:szCs w:val="26"/>
        </w:rPr>
      </w:pPr>
      <w:r>
        <w:rPr>
          <w:rFonts w:cs="Helvetica"/>
          <w:b/>
          <w:sz w:val="26"/>
          <w:szCs w:val="26"/>
        </w:rPr>
        <w:tab/>
      </w:r>
      <w:r w:rsidR="000140C4">
        <w:rPr>
          <w:rFonts w:cs="Helvetica"/>
          <w:sz w:val="26"/>
          <w:szCs w:val="26"/>
        </w:rPr>
        <w:t>Plaintiff</w:t>
      </w:r>
      <w:r w:rsidR="009D7912">
        <w:rPr>
          <w:rFonts w:cs="Helvetica"/>
          <w:sz w:val="26"/>
          <w:szCs w:val="26"/>
        </w:rPr>
        <w:t xml:space="preserve"> </w:t>
      </w:r>
      <w:r w:rsidR="000837D8">
        <w:rPr>
          <w:rFonts w:cs="Helvetica"/>
          <w:sz w:val="26"/>
          <w:szCs w:val="26"/>
        </w:rPr>
        <w:t>has not specified</w:t>
      </w:r>
      <w:r w:rsidR="009D7912">
        <w:rPr>
          <w:rFonts w:cs="Helvetica"/>
          <w:sz w:val="26"/>
          <w:szCs w:val="26"/>
        </w:rPr>
        <w:t xml:space="preserve"> how she can </w:t>
      </w:r>
      <w:r w:rsidR="006002F5">
        <w:rPr>
          <w:rFonts w:cs="Helvetica"/>
          <w:sz w:val="26"/>
          <w:szCs w:val="26"/>
        </w:rPr>
        <w:t xml:space="preserve">amend the </w:t>
      </w:r>
      <w:r w:rsidR="008834C6">
        <w:rPr>
          <w:rFonts w:cs="Helvetica"/>
          <w:sz w:val="26"/>
          <w:szCs w:val="26"/>
        </w:rPr>
        <w:t xml:space="preserve">third amended </w:t>
      </w:r>
      <w:r w:rsidR="006002F5">
        <w:rPr>
          <w:rFonts w:cs="Helvetica"/>
          <w:sz w:val="26"/>
          <w:szCs w:val="26"/>
        </w:rPr>
        <w:t xml:space="preserve">complaint to </w:t>
      </w:r>
      <w:r w:rsidR="009D7912">
        <w:rPr>
          <w:rFonts w:cs="Helvetica"/>
          <w:sz w:val="26"/>
          <w:szCs w:val="26"/>
        </w:rPr>
        <w:t xml:space="preserve">cure </w:t>
      </w:r>
      <w:r w:rsidR="00627B6F">
        <w:rPr>
          <w:rFonts w:cs="Helvetica"/>
          <w:sz w:val="26"/>
          <w:szCs w:val="26"/>
        </w:rPr>
        <w:t>the deficient</w:t>
      </w:r>
      <w:r w:rsidR="008834C6">
        <w:rPr>
          <w:rFonts w:cs="Helvetica"/>
          <w:sz w:val="26"/>
          <w:szCs w:val="26"/>
        </w:rPr>
        <w:t xml:space="preserve"> notice of the alleged violations of sections 204, 226.7, and 512, and </w:t>
      </w:r>
      <w:r w:rsidR="009D7912">
        <w:rPr>
          <w:rFonts w:cs="Helvetica"/>
          <w:sz w:val="26"/>
          <w:szCs w:val="26"/>
        </w:rPr>
        <w:t xml:space="preserve">to </w:t>
      </w:r>
      <w:r w:rsidR="00761AB2">
        <w:rPr>
          <w:rFonts w:cs="Helvetica"/>
          <w:sz w:val="26"/>
          <w:szCs w:val="26"/>
        </w:rPr>
        <w:t xml:space="preserve">timely </w:t>
      </w:r>
      <w:r w:rsidR="008834C6">
        <w:rPr>
          <w:rFonts w:cs="Helvetica"/>
          <w:sz w:val="26"/>
          <w:szCs w:val="26"/>
        </w:rPr>
        <w:t>give notice of the</w:t>
      </w:r>
      <w:r w:rsidR="006002F5">
        <w:rPr>
          <w:rFonts w:cs="Helvetica"/>
          <w:sz w:val="26"/>
          <w:szCs w:val="26"/>
        </w:rPr>
        <w:t xml:space="preserve"> </w:t>
      </w:r>
      <w:r w:rsidR="000837D8">
        <w:rPr>
          <w:rFonts w:cs="Helvetica"/>
          <w:sz w:val="26"/>
          <w:szCs w:val="26"/>
        </w:rPr>
        <w:t xml:space="preserve">alleged violations of </w:t>
      </w:r>
      <w:r w:rsidR="006002F5">
        <w:rPr>
          <w:sz w:val="26"/>
          <w:szCs w:val="26"/>
        </w:rPr>
        <w:t>sections 20</w:t>
      </w:r>
      <w:r w:rsidR="00761AB2">
        <w:rPr>
          <w:sz w:val="26"/>
          <w:szCs w:val="26"/>
        </w:rPr>
        <w:t xml:space="preserve">1, 202, </w:t>
      </w:r>
      <w:r w:rsidR="006002F5">
        <w:rPr>
          <w:sz w:val="26"/>
          <w:szCs w:val="26"/>
        </w:rPr>
        <w:t>203, 1174, subdivision (d)</w:t>
      </w:r>
      <w:r w:rsidR="000837D8">
        <w:rPr>
          <w:sz w:val="26"/>
          <w:szCs w:val="26"/>
        </w:rPr>
        <w:t>,</w:t>
      </w:r>
      <w:r w:rsidR="006002F5">
        <w:rPr>
          <w:sz w:val="26"/>
          <w:szCs w:val="26"/>
        </w:rPr>
        <w:t xml:space="preserve"> and 1198</w:t>
      </w:r>
      <w:r w:rsidR="009D7912">
        <w:rPr>
          <w:rFonts w:cs="Helvetica"/>
          <w:sz w:val="26"/>
          <w:szCs w:val="26"/>
        </w:rPr>
        <w:t>.</w:t>
      </w:r>
      <w:r w:rsidR="00F95553">
        <w:rPr>
          <w:rFonts w:cs="Helvetica"/>
          <w:sz w:val="26"/>
          <w:szCs w:val="26"/>
        </w:rPr>
        <w:t xml:space="preserve">  </w:t>
      </w:r>
      <w:r w:rsidR="00DC6C4E">
        <w:rPr>
          <w:rFonts w:cs="Helvetica"/>
          <w:sz w:val="26"/>
          <w:szCs w:val="26"/>
        </w:rPr>
        <w:t xml:space="preserve">Nothing </w:t>
      </w:r>
      <w:r w:rsidR="008834C6">
        <w:rPr>
          <w:rFonts w:cs="Helvetica"/>
          <w:sz w:val="26"/>
          <w:szCs w:val="26"/>
        </w:rPr>
        <w:t>can now</w:t>
      </w:r>
      <w:r w:rsidR="00DC6C4E">
        <w:rPr>
          <w:rFonts w:cs="Helvetica"/>
          <w:sz w:val="26"/>
          <w:szCs w:val="26"/>
        </w:rPr>
        <w:t xml:space="preserve"> remedy</w:t>
      </w:r>
      <w:r w:rsidR="00F95553">
        <w:rPr>
          <w:rFonts w:cs="Helvetica"/>
          <w:sz w:val="26"/>
          <w:szCs w:val="26"/>
        </w:rPr>
        <w:t xml:space="preserve"> the </w:t>
      </w:r>
      <w:r w:rsidR="00E13F3D">
        <w:rPr>
          <w:rFonts w:cs="Helvetica"/>
          <w:sz w:val="26"/>
          <w:szCs w:val="26"/>
        </w:rPr>
        <w:t>deficiency of the 2</w:t>
      </w:r>
      <w:r w:rsidR="008834C6">
        <w:rPr>
          <w:rFonts w:cs="Helvetica"/>
          <w:sz w:val="26"/>
          <w:szCs w:val="26"/>
        </w:rPr>
        <w:t>00</w:t>
      </w:r>
      <w:r w:rsidR="00E13F3D">
        <w:rPr>
          <w:rFonts w:cs="Helvetica"/>
          <w:sz w:val="26"/>
          <w:szCs w:val="26"/>
        </w:rPr>
        <w:t>9</w:t>
      </w:r>
      <w:r w:rsidR="008834C6">
        <w:rPr>
          <w:rFonts w:cs="Helvetica"/>
          <w:sz w:val="26"/>
          <w:szCs w:val="26"/>
        </w:rPr>
        <w:t xml:space="preserve"> Notice or </w:t>
      </w:r>
      <w:r w:rsidR="00F95553">
        <w:rPr>
          <w:rFonts w:cs="Helvetica"/>
          <w:sz w:val="26"/>
          <w:szCs w:val="26"/>
        </w:rPr>
        <w:t>lateness of the 2016 Notice.  Therefore, amendment would be futile, and the trial court did not abuse its discretion in denying leave to amend.</w:t>
      </w:r>
    </w:p>
    <w:p w:rsidR="00F95553" w:rsidRDefault="00F95553" w:rsidP="002A194B">
      <w:pPr>
        <w:rPr>
          <w:sz w:val="26"/>
          <w:szCs w:val="26"/>
        </w:rPr>
      </w:pPr>
      <w:r>
        <w:rPr>
          <w:sz w:val="26"/>
          <w:szCs w:val="26"/>
        </w:rPr>
        <w:tab/>
      </w:r>
      <w:r w:rsidR="00FE2CF4">
        <w:rPr>
          <w:sz w:val="26"/>
          <w:szCs w:val="26"/>
        </w:rPr>
        <w:t>A</w:t>
      </w:r>
      <w:r>
        <w:rPr>
          <w:sz w:val="26"/>
          <w:szCs w:val="26"/>
        </w:rPr>
        <w:t>s we explained above, the 2009 Notice was sufficient as to plaintiff</w:t>
      </w:r>
      <w:r w:rsidR="001037EF">
        <w:rPr>
          <w:sz w:val="26"/>
          <w:szCs w:val="26"/>
        </w:rPr>
        <w:t>’</w:t>
      </w:r>
      <w:r>
        <w:rPr>
          <w:sz w:val="26"/>
          <w:szCs w:val="26"/>
        </w:rPr>
        <w:t>s PAGA claims for alleged violations of section</w:t>
      </w:r>
      <w:r w:rsidR="00D06D24">
        <w:rPr>
          <w:sz w:val="26"/>
          <w:szCs w:val="26"/>
        </w:rPr>
        <w:t xml:space="preserve"> 226, subdivision (a).  No statute of limitations or </w:t>
      </w:r>
      <w:r w:rsidR="00FE2CF4">
        <w:rPr>
          <w:sz w:val="26"/>
          <w:szCs w:val="26"/>
        </w:rPr>
        <w:t xml:space="preserve">notice </w:t>
      </w:r>
      <w:r w:rsidR="00D06D24">
        <w:rPr>
          <w:sz w:val="26"/>
          <w:szCs w:val="26"/>
        </w:rPr>
        <w:t>requirement prevents plaintiff</w:t>
      </w:r>
      <w:r w:rsidR="001037EF">
        <w:rPr>
          <w:sz w:val="26"/>
          <w:szCs w:val="26"/>
        </w:rPr>
        <w:t>’</w:t>
      </w:r>
      <w:r w:rsidR="00D06D24">
        <w:rPr>
          <w:sz w:val="26"/>
          <w:szCs w:val="26"/>
        </w:rPr>
        <w:t>s claim</w:t>
      </w:r>
      <w:r w:rsidR="00016423">
        <w:rPr>
          <w:sz w:val="26"/>
          <w:szCs w:val="26"/>
        </w:rPr>
        <w:t xml:space="preserve"> for </w:t>
      </w:r>
      <w:r w:rsidR="00C50E78">
        <w:rPr>
          <w:sz w:val="26"/>
          <w:szCs w:val="26"/>
        </w:rPr>
        <w:t xml:space="preserve">a </w:t>
      </w:r>
      <w:r w:rsidR="00016423">
        <w:rPr>
          <w:sz w:val="26"/>
          <w:szCs w:val="26"/>
        </w:rPr>
        <w:t>violation of th</w:t>
      </w:r>
      <w:r w:rsidR="00FE2CF4">
        <w:rPr>
          <w:sz w:val="26"/>
          <w:szCs w:val="26"/>
        </w:rPr>
        <w:t>at</w:t>
      </w:r>
      <w:r w:rsidR="00D06D24">
        <w:rPr>
          <w:sz w:val="26"/>
          <w:szCs w:val="26"/>
        </w:rPr>
        <w:t xml:space="preserve"> section to go forward.  But </w:t>
      </w:r>
      <w:r w:rsidR="004E2918">
        <w:rPr>
          <w:sz w:val="26"/>
          <w:szCs w:val="26"/>
        </w:rPr>
        <w:t>the third amended complaint alleges</w:t>
      </w:r>
      <w:r w:rsidR="00016423">
        <w:rPr>
          <w:sz w:val="26"/>
          <w:szCs w:val="26"/>
        </w:rPr>
        <w:t xml:space="preserve"> </w:t>
      </w:r>
      <w:r w:rsidR="00627B6F">
        <w:rPr>
          <w:sz w:val="26"/>
          <w:szCs w:val="26"/>
        </w:rPr>
        <w:t xml:space="preserve">a </w:t>
      </w:r>
      <w:r w:rsidR="00016423">
        <w:rPr>
          <w:sz w:val="26"/>
          <w:szCs w:val="26"/>
        </w:rPr>
        <w:t>claim under th</w:t>
      </w:r>
      <w:r w:rsidR="00FE2CF4">
        <w:rPr>
          <w:sz w:val="26"/>
          <w:szCs w:val="26"/>
        </w:rPr>
        <w:t>at</w:t>
      </w:r>
      <w:r w:rsidR="00D06D24">
        <w:rPr>
          <w:sz w:val="26"/>
          <w:szCs w:val="26"/>
        </w:rPr>
        <w:t xml:space="preserve"> section </w:t>
      </w:r>
      <w:r w:rsidR="004E2918">
        <w:rPr>
          <w:sz w:val="26"/>
          <w:szCs w:val="26"/>
        </w:rPr>
        <w:t xml:space="preserve">in the same cause of action as claims under the other sections for which plaintiff failed to give timely </w:t>
      </w:r>
      <w:r w:rsidR="00FE2CF4">
        <w:rPr>
          <w:sz w:val="26"/>
          <w:szCs w:val="26"/>
        </w:rPr>
        <w:t xml:space="preserve">and adequate </w:t>
      </w:r>
      <w:r w:rsidR="004E2918">
        <w:rPr>
          <w:sz w:val="26"/>
          <w:szCs w:val="26"/>
        </w:rPr>
        <w:t xml:space="preserve">notice.  </w:t>
      </w:r>
      <w:r w:rsidR="001037EF">
        <w:rPr>
          <w:sz w:val="26"/>
          <w:szCs w:val="26"/>
        </w:rPr>
        <w:t>“</w:t>
      </w:r>
      <w:r w:rsidR="004E2918">
        <w:rPr>
          <w:sz w:val="26"/>
          <w:szCs w:val="26"/>
        </w:rPr>
        <w:t>The appropriate procedural device for challenging a portion of a cause of action seeking an improper remedy is a motion to strike.</w:t>
      </w:r>
      <w:r w:rsidR="001037EF">
        <w:rPr>
          <w:sz w:val="26"/>
          <w:szCs w:val="26"/>
        </w:rPr>
        <w:t>”</w:t>
      </w:r>
      <w:r w:rsidR="004E2918">
        <w:rPr>
          <w:sz w:val="26"/>
          <w:szCs w:val="26"/>
        </w:rPr>
        <w:t xml:space="preserve">  (</w:t>
      </w:r>
      <w:r w:rsidR="004E2918">
        <w:rPr>
          <w:i/>
          <w:sz w:val="26"/>
          <w:szCs w:val="26"/>
        </w:rPr>
        <w:t>Caliber</w:t>
      </w:r>
      <w:r w:rsidR="004E2918">
        <w:rPr>
          <w:sz w:val="26"/>
          <w:szCs w:val="26"/>
        </w:rPr>
        <w:t xml:space="preserve">, </w:t>
      </w:r>
      <w:r w:rsidR="004E2918">
        <w:rPr>
          <w:i/>
          <w:sz w:val="26"/>
          <w:szCs w:val="26"/>
        </w:rPr>
        <w:t>supra</w:t>
      </w:r>
      <w:r w:rsidR="004E2918">
        <w:rPr>
          <w:sz w:val="26"/>
          <w:szCs w:val="26"/>
        </w:rPr>
        <w:t>, 134 Cal.App.4th at p. 385.)</w:t>
      </w:r>
      <w:r w:rsidR="00AA012A">
        <w:rPr>
          <w:sz w:val="26"/>
          <w:szCs w:val="26"/>
        </w:rPr>
        <w:t xml:space="preserve">  Although defendants did not bring a motion to strike as an alternative to their demurrer, </w:t>
      </w:r>
      <w:r w:rsidR="001037EF">
        <w:rPr>
          <w:sz w:val="26"/>
          <w:szCs w:val="26"/>
        </w:rPr>
        <w:t>“</w:t>
      </w:r>
      <w:r w:rsidR="00AA012A">
        <w:rPr>
          <w:sz w:val="26"/>
          <w:szCs w:val="26"/>
        </w:rPr>
        <w:t xml:space="preserve">a court may </w:t>
      </w:r>
      <w:r w:rsidR="001037EF">
        <w:rPr>
          <w:sz w:val="26"/>
          <w:szCs w:val="26"/>
        </w:rPr>
        <w:t>‘</w:t>
      </w:r>
      <w:r w:rsidR="00AA012A">
        <w:rPr>
          <w:sz w:val="26"/>
          <w:szCs w:val="26"/>
        </w:rPr>
        <w:t>at any time in its discretion, and upon terms it deems</w:t>
      </w:r>
      <w:r w:rsidR="00725F07">
        <w:rPr>
          <w:sz w:val="26"/>
          <w:szCs w:val="26"/>
        </w:rPr>
        <w:t xml:space="preserve"> proper</w:t>
      </w:r>
      <w:r w:rsidR="00AA012A">
        <w:rPr>
          <w:sz w:val="26"/>
          <w:szCs w:val="26"/>
        </w:rPr>
        <w:t>[,]</w:t>
      </w:r>
      <w:r w:rsidR="001037EF">
        <w:rPr>
          <w:sz w:val="26"/>
          <w:szCs w:val="26"/>
        </w:rPr>
        <w:t>’</w:t>
      </w:r>
      <w:r w:rsidR="00AA012A">
        <w:rPr>
          <w:sz w:val="26"/>
          <w:szCs w:val="26"/>
        </w:rPr>
        <w:t xml:space="preserve"> </w:t>
      </w:r>
      <w:r w:rsidR="001037EF">
        <w:rPr>
          <w:sz w:val="26"/>
          <w:szCs w:val="26"/>
        </w:rPr>
        <w:t>‘</w:t>
      </w:r>
      <w:r w:rsidR="00AA012A">
        <w:rPr>
          <w:sz w:val="26"/>
          <w:szCs w:val="26"/>
        </w:rPr>
        <w:t>[s]trike out all or any part of any pleading not drawn or filed in conformity with the laws of this state</w:t>
      </w:r>
      <w:r w:rsidR="00BE5B82">
        <w:rPr>
          <w:sz w:val="26"/>
          <w:szCs w:val="26"/>
        </w:rPr>
        <w:t>. . . .</w:t>
      </w:r>
      <w:r w:rsidR="001037EF">
        <w:rPr>
          <w:sz w:val="26"/>
          <w:szCs w:val="26"/>
        </w:rPr>
        <w:t>’”</w:t>
      </w:r>
      <w:r w:rsidR="00AA012A">
        <w:rPr>
          <w:sz w:val="26"/>
          <w:szCs w:val="26"/>
        </w:rPr>
        <w:t xml:space="preserve">  (</w:t>
      </w:r>
      <w:r w:rsidR="00AA012A">
        <w:rPr>
          <w:i/>
          <w:sz w:val="26"/>
          <w:szCs w:val="26"/>
        </w:rPr>
        <w:t>Ibid.</w:t>
      </w:r>
      <w:r w:rsidR="00AA012A">
        <w:rPr>
          <w:sz w:val="26"/>
          <w:szCs w:val="26"/>
        </w:rPr>
        <w:t>)</w:t>
      </w:r>
      <w:r w:rsidR="004E2918">
        <w:rPr>
          <w:sz w:val="26"/>
          <w:szCs w:val="26"/>
        </w:rPr>
        <w:t xml:space="preserve">  </w:t>
      </w:r>
      <w:r w:rsidR="0024288E">
        <w:rPr>
          <w:sz w:val="26"/>
          <w:szCs w:val="26"/>
        </w:rPr>
        <w:t xml:space="preserve">Accordingly, the trial court </w:t>
      </w:r>
      <w:r w:rsidR="00C50E78">
        <w:rPr>
          <w:sz w:val="26"/>
          <w:szCs w:val="26"/>
        </w:rPr>
        <w:t>may</w:t>
      </w:r>
      <w:r w:rsidR="0024288E">
        <w:rPr>
          <w:sz w:val="26"/>
          <w:szCs w:val="26"/>
        </w:rPr>
        <w:t xml:space="preserve"> strike </w:t>
      </w:r>
      <w:r w:rsidR="00C50E78">
        <w:rPr>
          <w:sz w:val="26"/>
          <w:szCs w:val="26"/>
        </w:rPr>
        <w:t xml:space="preserve">portions of </w:t>
      </w:r>
      <w:r w:rsidR="0024288E">
        <w:rPr>
          <w:sz w:val="26"/>
          <w:szCs w:val="26"/>
        </w:rPr>
        <w:t>plaintiff</w:t>
      </w:r>
      <w:r w:rsidR="001037EF">
        <w:rPr>
          <w:sz w:val="26"/>
          <w:szCs w:val="26"/>
        </w:rPr>
        <w:t>’</w:t>
      </w:r>
      <w:r w:rsidR="0024288E">
        <w:rPr>
          <w:sz w:val="26"/>
          <w:szCs w:val="26"/>
        </w:rPr>
        <w:t xml:space="preserve">s </w:t>
      </w:r>
      <w:r w:rsidR="00C50E78">
        <w:rPr>
          <w:sz w:val="26"/>
          <w:szCs w:val="26"/>
        </w:rPr>
        <w:t>cause of action</w:t>
      </w:r>
      <w:r w:rsidR="0024288E">
        <w:rPr>
          <w:sz w:val="26"/>
          <w:szCs w:val="26"/>
        </w:rPr>
        <w:t xml:space="preserve"> for violations of </w:t>
      </w:r>
      <w:r w:rsidR="0073652A">
        <w:rPr>
          <w:sz w:val="26"/>
          <w:szCs w:val="26"/>
        </w:rPr>
        <w:t xml:space="preserve">Labor Code </w:t>
      </w:r>
      <w:r w:rsidR="0024288E">
        <w:rPr>
          <w:sz w:val="26"/>
          <w:szCs w:val="26"/>
        </w:rPr>
        <w:t xml:space="preserve">sections </w:t>
      </w:r>
      <w:r w:rsidR="0073652A">
        <w:rPr>
          <w:sz w:val="26"/>
          <w:szCs w:val="26"/>
        </w:rPr>
        <w:t>other than section 226, subdivision (a), which it determines do not relate back to that section.</w:t>
      </w:r>
      <w:r w:rsidR="00B059E0">
        <w:rPr>
          <w:sz w:val="26"/>
          <w:szCs w:val="26"/>
        </w:rPr>
        <w:t xml:space="preserve">  </w:t>
      </w:r>
    </w:p>
    <w:p w:rsidR="006A1194" w:rsidRDefault="006A1194">
      <w:pPr>
        <w:spacing w:line="480" w:lineRule="auto"/>
        <w:rPr>
          <w:sz w:val="26"/>
          <w:szCs w:val="26"/>
        </w:rPr>
      </w:pPr>
      <w:r>
        <w:rPr>
          <w:sz w:val="26"/>
          <w:szCs w:val="26"/>
        </w:rPr>
        <w:br w:type="page"/>
      </w:r>
    </w:p>
    <w:p w:rsidR="00EC5E16" w:rsidRPr="008036BD" w:rsidRDefault="00EC5E16" w:rsidP="008036BD">
      <w:pPr>
        <w:pStyle w:val="ListParagraph"/>
        <w:numPr>
          <w:ilvl w:val="0"/>
          <w:numId w:val="7"/>
        </w:numPr>
        <w:jc w:val="center"/>
        <w:rPr>
          <w:b/>
          <w:sz w:val="26"/>
          <w:szCs w:val="26"/>
        </w:rPr>
      </w:pPr>
      <w:r w:rsidRPr="008036BD">
        <w:rPr>
          <w:b/>
          <w:sz w:val="26"/>
          <w:szCs w:val="26"/>
        </w:rPr>
        <w:t>DISPOSITION</w:t>
      </w:r>
    </w:p>
    <w:p w:rsidR="006E3F5A" w:rsidRPr="006E3F5A" w:rsidRDefault="006E3F5A" w:rsidP="002A194B">
      <w:pPr>
        <w:rPr>
          <w:sz w:val="26"/>
          <w:szCs w:val="26"/>
        </w:rPr>
      </w:pPr>
    </w:p>
    <w:p w:rsidR="0016798B" w:rsidRDefault="00AF740D" w:rsidP="0073652A">
      <w:pPr>
        <w:rPr>
          <w:sz w:val="26"/>
          <w:szCs w:val="26"/>
        </w:rPr>
      </w:pPr>
      <w:r>
        <w:rPr>
          <w:sz w:val="26"/>
          <w:szCs w:val="26"/>
        </w:rPr>
        <w:tab/>
      </w:r>
      <w:r w:rsidR="00375CF8">
        <w:rPr>
          <w:sz w:val="26"/>
          <w:szCs w:val="26"/>
        </w:rPr>
        <w:t xml:space="preserve">The judgment is </w:t>
      </w:r>
      <w:r w:rsidR="006C3063">
        <w:rPr>
          <w:sz w:val="26"/>
          <w:szCs w:val="26"/>
        </w:rPr>
        <w:t>reversed</w:t>
      </w:r>
      <w:r w:rsidR="0073652A">
        <w:rPr>
          <w:sz w:val="26"/>
          <w:szCs w:val="26"/>
        </w:rPr>
        <w:t xml:space="preserve"> and the matter is remanded for further proceedings consistent with this opinion</w:t>
      </w:r>
      <w:r w:rsidR="00375CF8">
        <w:rPr>
          <w:sz w:val="26"/>
          <w:szCs w:val="26"/>
        </w:rPr>
        <w:t>.</w:t>
      </w:r>
      <w:r w:rsidR="000140C4">
        <w:rPr>
          <w:sz w:val="26"/>
          <w:szCs w:val="26"/>
        </w:rPr>
        <w:t xml:space="preserve"> </w:t>
      </w:r>
      <w:r>
        <w:rPr>
          <w:sz w:val="26"/>
          <w:szCs w:val="26"/>
        </w:rPr>
        <w:t xml:space="preserve"> </w:t>
      </w:r>
      <w:r w:rsidR="0073652A">
        <w:rPr>
          <w:sz w:val="26"/>
          <w:szCs w:val="26"/>
        </w:rPr>
        <w:t>Specifically, t</w:t>
      </w:r>
      <w:r w:rsidR="00CD681A">
        <w:rPr>
          <w:sz w:val="26"/>
          <w:szCs w:val="26"/>
        </w:rPr>
        <w:t xml:space="preserve">he trial court is directed </w:t>
      </w:r>
      <w:r w:rsidR="00B65EFA">
        <w:rPr>
          <w:sz w:val="26"/>
          <w:szCs w:val="26"/>
        </w:rPr>
        <w:t xml:space="preserve">to </w:t>
      </w:r>
      <w:r w:rsidR="0073652A">
        <w:rPr>
          <w:sz w:val="26"/>
          <w:szCs w:val="26"/>
        </w:rPr>
        <w:t xml:space="preserve">overrule defendant’s demurrer as to </w:t>
      </w:r>
      <w:r w:rsidR="006C3063">
        <w:rPr>
          <w:sz w:val="26"/>
          <w:szCs w:val="26"/>
        </w:rPr>
        <w:t>plaintiff’s section</w:t>
      </w:r>
      <w:r w:rsidR="00B65EFA">
        <w:rPr>
          <w:sz w:val="26"/>
          <w:szCs w:val="26"/>
        </w:rPr>
        <w:t xml:space="preserve"> 226, subdivision (a)</w:t>
      </w:r>
      <w:r w:rsidR="0073652A">
        <w:rPr>
          <w:sz w:val="26"/>
          <w:szCs w:val="26"/>
        </w:rPr>
        <w:t xml:space="preserve"> claim and to sustain the demurrer as to plaintiff’s remaining claims, not including the demand for relief </w:t>
      </w:r>
      <w:r w:rsidR="00762230">
        <w:rPr>
          <w:sz w:val="26"/>
          <w:szCs w:val="26"/>
        </w:rPr>
        <w:t>under section 558</w:t>
      </w:r>
      <w:r w:rsidR="004511C5">
        <w:rPr>
          <w:sz w:val="26"/>
          <w:szCs w:val="26"/>
        </w:rPr>
        <w:t xml:space="preserve">, </w:t>
      </w:r>
      <w:r w:rsidR="0073652A">
        <w:rPr>
          <w:sz w:val="26"/>
          <w:szCs w:val="26"/>
        </w:rPr>
        <w:t xml:space="preserve">except to the extent the trial court concludes the relation back doctrine—solely as to the section 226, subdivision (a) claim—permits plaintiff to maintain </w:t>
      </w:r>
    </w:p>
    <w:p w:rsidR="00B65EFA" w:rsidRDefault="0073652A" w:rsidP="0073652A">
      <w:pPr>
        <w:rPr>
          <w:sz w:val="26"/>
          <w:szCs w:val="26"/>
        </w:rPr>
      </w:pPr>
      <w:r>
        <w:rPr>
          <w:sz w:val="26"/>
          <w:szCs w:val="26"/>
        </w:rPr>
        <w:t>one or more of those remaining claims</w:t>
      </w:r>
      <w:r w:rsidR="004511C5">
        <w:rPr>
          <w:sz w:val="26"/>
          <w:szCs w:val="26"/>
        </w:rPr>
        <w:t xml:space="preserve">.  </w:t>
      </w:r>
    </w:p>
    <w:p w:rsidR="006E3F5A" w:rsidRDefault="00BE5B82" w:rsidP="002A194B">
      <w:pPr>
        <w:rPr>
          <w:sz w:val="26"/>
          <w:szCs w:val="26"/>
        </w:rPr>
      </w:pPr>
      <w:r>
        <w:rPr>
          <w:sz w:val="26"/>
          <w:szCs w:val="26"/>
        </w:rPr>
        <w:tab/>
      </w:r>
      <w:r w:rsidR="000140C4">
        <w:rPr>
          <w:sz w:val="26"/>
          <w:szCs w:val="26"/>
        </w:rPr>
        <w:t>The parties are to bear their own appeal costs.</w:t>
      </w:r>
    </w:p>
    <w:p w:rsidR="0016798B" w:rsidRDefault="0016798B" w:rsidP="002A194B">
      <w:pPr>
        <w:rPr>
          <w:sz w:val="26"/>
          <w:szCs w:val="26"/>
        </w:rPr>
      </w:pPr>
    </w:p>
    <w:p w:rsidR="0016798B" w:rsidRDefault="0016798B" w:rsidP="002A194B">
      <w:pPr>
        <w:rPr>
          <w:sz w:val="26"/>
          <w:szCs w:val="26"/>
        </w:rPr>
      </w:pPr>
    </w:p>
    <w:p w:rsidR="006E3F5A" w:rsidRDefault="006E3F5A" w:rsidP="002A194B">
      <w:pPr>
        <w:rPr>
          <w:position w:val="8"/>
          <w:sz w:val="20"/>
        </w:rPr>
      </w:pPr>
      <w:r>
        <w:rPr>
          <w:sz w:val="26"/>
        </w:rPr>
        <w:tab/>
      </w:r>
      <w:r>
        <w:rPr>
          <w:sz w:val="26"/>
        </w:rPr>
        <w:tab/>
      </w:r>
      <w:r>
        <w:rPr>
          <w:sz w:val="26"/>
        </w:rPr>
        <w:tab/>
      </w:r>
      <w:r>
        <w:rPr>
          <w:sz w:val="26"/>
        </w:rPr>
        <w:tab/>
      </w:r>
      <w:r>
        <w:rPr>
          <w:sz w:val="26"/>
        </w:rPr>
        <w:tab/>
      </w:r>
      <w:r>
        <w:rPr>
          <w:sz w:val="26"/>
        </w:rPr>
        <w:tab/>
      </w:r>
      <w:r>
        <w:rPr>
          <w:sz w:val="26"/>
        </w:rPr>
        <w:tab/>
      </w:r>
      <w:r w:rsidR="00FA300D">
        <w:rPr>
          <w:sz w:val="26"/>
        </w:rPr>
        <w:t>SEIGLE</w:t>
      </w:r>
      <w:r w:rsidRPr="00A46161">
        <w:rPr>
          <w:sz w:val="26"/>
        </w:rPr>
        <w:t>, J.</w:t>
      </w:r>
      <w:r w:rsidRPr="006E3F5A">
        <w:rPr>
          <w:rStyle w:val="FootnoteReference"/>
          <w:position w:val="8"/>
          <w:sz w:val="20"/>
          <w:vertAlign w:val="baseline"/>
        </w:rPr>
        <w:footnoteReference w:customMarkFollows="1" w:id="6"/>
        <w:sym w:font="Symbol" w:char="F02A"/>
      </w:r>
    </w:p>
    <w:p w:rsidR="00FA300D" w:rsidRDefault="00FA300D" w:rsidP="002A194B">
      <w:pPr>
        <w:rPr>
          <w:sz w:val="26"/>
        </w:rPr>
      </w:pPr>
    </w:p>
    <w:p w:rsidR="0016798B" w:rsidRDefault="0016798B" w:rsidP="002A194B">
      <w:pPr>
        <w:rPr>
          <w:sz w:val="26"/>
        </w:rPr>
      </w:pPr>
    </w:p>
    <w:p w:rsidR="006E3F5A" w:rsidRPr="00A46161" w:rsidRDefault="006E3F5A" w:rsidP="002A194B">
      <w:pPr>
        <w:rPr>
          <w:sz w:val="26"/>
        </w:rPr>
      </w:pPr>
      <w:r w:rsidRPr="00A46161">
        <w:rPr>
          <w:sz w:val="26"/>
        </w:rPr>
        <w:tab/>
        <w:t>We concur:</w:t>
      </w:r>
    </w:p>
    <w:p w:rsidR="006E3F5A" w:rsidRDefault="006E3F5A" w:rsidP="002A194B">
      <w:pPr>
        <w:rPr>
          <w:sz w:val="26"/>
        </w:rPr>
      </w:pPr>
    </w:p>
    <w:p w:rsidR="00C50E78" w:rsidRPr="00A46161" w:rsidRDefault="00C50E78" w:rsidP="002A194B">
      <w:pPr>
        <w:rPr>
          <w:sz w:val="26"/>
        </w:rPr>
      </w:pPr>
    </w:p>
    <w:p w:rsidR="0016798B" w:rsidRDefault="006E3F5A" w:rsidP="002A194B">
      <w:pPr>
        <w:rPr>
          <w:sz w:val="26"/>
        </w:rPr>
      </w:pPr>
      <w:r>
        <w:rPr>
          <w:sz w:val="26"/>
        </w:rPr>
        <w:tab/>
        <w:t>BAKER, Acting P.J.</w:t>
      </w:r>
      <w:bookmarkStart w:id="0" w:name="_GoBack"/>
      <w:bookmarkEnd w:id="0"/>
    </w:p>
    <w:p w:rsidR="0016798B" w:rsidRDefault="0016798B" w:rsidP="002A194B">
      <w:pPr>
        <w:rPr>
          <w:sz w:val="26"/>
        </w:rPr>
      </w:pPr>
    </w:p>
    <w:p w:rsidR="0016798B" w:rsidRDefault="0016798B" w:rsidP="002A194B">
      <w:pPr>
        <w:rPr>
          <w:sz w:val="26"/>
        </w:rPr>
      </w:pPr>
    </w:p>
    <w:p w:rsidR="006E3F5A" w:rsidRPr="00792D8D" w:rsidRDefault="006E3F5A" w:rsidP="002A194B">
      <w:pPr>
        <w:rPr>
          <w:sz w:val="26"/>
        </w:rPr>
      </w:pPr>
      <w:r>
        <w:rPr>
          <w:sz w:val="26"/>
        </w:rPr>
        <w:tab/>
        <w:t>MOOR</w:t>
      </w:r>
      <w:r w:rsidRPr="00A46161">
        <w:rPr>
          <w:sz w:val="26"/>
        </w:rPr>
        <w:t>, J.</w:t>
      </w:r>
    </w:p>
    <w:sectPr w:rsidR="006E3F5A" w:rsidRPr="00792D8D" w:rsidSect="00DC2060">
      <w:headerReference w:type="even" r:id="rId8"/>
      <w:headerReference w:type="default" r:id="rId9"/>
      <w:footerReference w:type="even" r:id="rId10"/>
      <w:footerReference w:type="default" r:id="rId11"/>
      <w:headerReference w:type="first" r:id="rId12"/>
      <w:footerReference w:type="first" r:id="rId13"/>
      <w:pgSz w:w="12240" w:h="15840"/>
      <w:pgMar w:top="2160" w:right="2160" w:bottom="2160" w:left="216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98" w:rsidRDefault="00195898" w:rsidP="00B476D8">
      <w:pPr>
        <w:spacing w:line="240" w:lineRule="auto"/>
      </w:pPr>
      <w:r>
        <w:separator/>
      </w:r>
    </w:p>
  </w:endnote>
  <w:endnote w:type="continuationSeparator" w:id="0">
    <w:p w:rsidR="00195898" w:rsidRDefault="00195898" w:rsidP="00B47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8D" w:rsidRDefault="000A5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35"/>
      <w:docPartObj>
        <w:docPartGallery w:val="Page Numbers (Bottom of Page)"/>
        <w:docPartUnique/>
      </w:docPartObj>
    </w:sdtPr>
    <w:sdtEndPr/>
    <w:sdtContent>
      <w:p w:rsidR="00BB60F8" w:rsidRDefault="006848CA">
        <w:pPr>
          <w:pStyle w:val="Footer"/>
          <w:jc w:val="center"/>
        </w:pPr>
        <w:r>
          <w:rPr>
            <w:noProof/>
          </w:rPr>
          <w:fldChar w:fldCharType="begin"/>
        </w:r>
        <w:r w:rsidR="00BB60F8">
          <w:rPr>
            <w:noProof/>
          </w:rPr>
          <w:instrText xml:space="preserve"> PAGE   \* MERGEFORMAT </w:instrText>
        </w:r>
        <w:r>
          <w:rPr>
            <w:noProof/>
          </w:rPr>
          <w:fldChar w:fldCharType="separate"/>
        </w:r>
        <w:r w:rsidR="0066786A">
          <w:rPr>
            <w:noProof/>
          </w:rPr>
          <w:t>27</w:t>
        </w:r>
        <w:r>
          <w:rPr>
            <w:noProof/>
          </w:rPr>
          <w:fldChar w:fldCharType="end"/>
        </w:r>
      </w:p>
    </w:sdtContent>
  </w:sdt>
  <w:p w:rsidR="00BB60F8" w:rsidRDefault="00BB6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8D" w:rsidRDefault="000A5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98" w:rsidRDefault="00195898" w:rsidP="00B476D8">
      <w:pPr>
        <w:spacing w:line="240" w:lineRule="auto"/>
      </w:pPr>
      <w:r>
        <w:separator/>
      </w:r>
    </w:p>
  </w:footnote>
  <w:footnote w:type="continuationSeparator" w:id="0">
    <w:p w:rsidR="00195898" w:rsidRDefault="00195898" w:rsidP="00B476D8">
      <w:pPr>
        <w:spacing w:line="240" w:lineRule="auto"/>
      </w:pPr>
      <w:r>
        <w:continuationSeparator/>
      </w:r>
    </w:p>
  </w:footnote>
  <w:footnote w:id="1">
    <w:p w:rsidR="00BB60F8" w:rsidRDefault="00BB60F8">
      <w:pPr>
        <w:pStyle w:val="FootnoteText"/>
        <w:rPr>
          <w:sz w:val="26"/>
          <w:szCs w:val="26"/>
        </w:rPr>
      </w:pPr>
      <w:r w:rsidRPr="00E21DC5">
        <w:rPr>
          <w:rStyle w:val="FootnoteReference"/>
          <w:position w:val="8"/>
          <w:szCs w:val="26"/>
          <w:vertAlign w:val="baseline"/>
        </w:rPr>
        <w:footnoteRef/>
      </w:r>
      <w:r w:rsidRPr="006F1218">
        <w:rPr>
          <w:sz w:val="26"/>
          <w:szCs w:val="26"/>
        </w:rPr>
        <w:t xml:space="preserve"> </w:t>
      </w:r>
      <w:r>
        <w:rPr>
          <w:sz w:val="26"/>
          <w:szCs w:val="26"/>
        </w:rPr>
        <w:tab/>
        <w:t>Further statutory references are to the Labor Code unless otherwise indicated.</w:t>
      </w:r>
    </w:p>
    <w:p w:rsidR="000F7786" w:rsidRPr="006F1218" w:rsidRDefault="000F7786">
      <w:pPr>
        <w:pStyle w:val="FootnoteText"/>
        <w:rPr>
          <w:sz w:val="26"/>
          <w:szCs w:val="26"/>
        </w:rPr>
      </w:pPr>
    </w:p>
  </w:footnote>
  <w:footnote w:id="2">
    <w:p w:rsidR="00BB60F8" w:rsidRPr="009A414B" w:rsidRDefault="00BB60F8">
      <w:pPr>
        <w:pStyle w:val="FootnoteText"/>
        <w:rPr>
          <w:sz w:val="26"/>
          <w:szCs w:val="26"/>
        </w:rPr>
      </w:pPr>
      <w:r w:rsidRPr="0091378A">
        <w:rPr>
          <w:rStyle w:val="FootnoteReference"/>
          <w:position w:val="8"/>
          <w:szCs w:val="26"/>
          <w:vertAlign w:val="baseline"/>
        </w:rPr>
        <w:footnoteRef/>
      </w:r>
      <w:r w:rsidRPr="00F168FB">
        <w:rPr>
          <w:sz w:val="26"/>
          <w:szCs w:val="26"/>
        </w:rPr>
        <w:t xml:space="preserve"> </w:t>
      </w:r>
      <w:r>
        <w:rPr>
          <w:sz w:val="26"/>
          <w:szCs w:val="26"/>
        </w:rPr>
        <w:tab/>
        <w:t xml:space="preserve">Plaintiff contends the trial court’s demurrer ruling was a “continuation” of its ruling on the motion for judgment on the pleadings.  </w:t>
      </w:r>
    </w:p>
  </w:footnote>
  <w:footnote w:id="3">
    <w:p w:rsidR="00BB60F8" w:rsidRDefault="00BB60F8">
      <w:pPr>
        <w:pStyle w:val="FootnoteText"/>
        <w:rPr>
          <w:rFonts w:cs="Lucida Sans Unicode"/>
          <w:sz w:val="26"/>
          <w:szCs w:val="26"/>
        </w:rPr>
      </w:pPr>
      <w:r w:rsidRPr="0052759D">
        <w:rPr>
          <w:rStyle w:val="FootnoteReference"/>
          <w:position w:val="8"/>
          <w:szCs w:val="26"/>
          <w:vertAlign w:val="baseline"/>
        </w:rPr>
        <w:footnoteRef/>
      </w:r>
      <w:r w:rsidRPr="0052759D">
        <w:rPr>
          <w:position w:val="8"/>
          <w:szCs w:val="26"/>
        </w:rPr>
        <w:t xml:space="preserve"> </w:t>
      </w:r>
      <w:r>
        <w:rPr>
          <w:sz w:val="26"/>
          <w:szCs w:val="26"/>
        </w:rPr>
        <w:tab/>
        <w:t xml:space="preserve">Section 2699.3, subdivision (a)(1)(A) currently </w:t>
      </w:r>
      <w:r w:rsidRPr="009F2D90">
        <w:rPr>
          <w:sz w:val="26"/>
          <w:szCs w:val="26"/>
        </w:rPr>
        <w:t>states:  “</w:t>
      </w:r>
      <w:r w:rsidRPr="00F168FB">
        <w:rPr>
          <w:rFonts w:cs="Lucida Sans Unicode"/>
          <w:sz w:val="26"/>
          <w:szCs w:val="26"/>
        </w:rPr>
        <w:t xml:space="preserve">The aggrieved employee or representative shall give written notice by </w:t>
      </w:r>
      <w:r w:rsidRPr="00F168FB">
        <w:rPr>
          <w:rStyle w:val="added-material"/>
          <w:rFonts w:cs="Lucida Sans Unicode"/>
          <w:sz w:val="26"/>
          <w:szCs w:val="26"/>
        </w:rPr>
        <w:t>online filing with</w:t>
      </w:r>
      <w:r w:rsidRPr="00F168FB">
        <w:rPr>
          <w:rFonts w:cs="Lucida Sans Unicode"/>
          <w:sz w:val="26"/>
          <w:szCs w:val="26"/>
        </w:rPr>
        <w:t xml:space="preserve"> the Labor and Workforce Development Agency and </w:t>
      </w:r>
      <w:r w:rsidRPr="00F168FB">
        <w:rPr>
          <w:rStyle w:val="added-material"/>
          <w:rFonts w:cs="Lucida Sans Unicode"/>
          <w:sz w:val="26"/>
          <w:szCs w:val="26"/>
        </w:rPr>
        <w:t>by certified mail to</w:t>
      </w:r>
      <w:r w:rsidRPr="00F168FB">
        <w:rPr>
          <w:rFonts w:cs="Lucida Sans Unicode"/>
          <w:sz w:val="26"/>
          <w:szCs w:val="26"/>
        </w:rPr>
        <w:t xml:space="preserve"> the employer of the specific provisions of this code alleged to have been violated, including the facts and theories to support the alleged violation</w:t>
      </w:r>
      <w:r>
        <w:rPr>
          <w:rFonts w:cs="Lucida Sans Unicode"/>
          <w:sz w:val="26"/>
          <w:szCs w:val="26"/>
        </w:rPr>
        <w:t>.”  The prior version of this subdivision in effect when plaintiff gave notice did not require online filing and was differently numbered but otherwise identical.</w:t>
      </w:r>
    </w:p>
    <w:p w:rsidR="00BB60F8" w:rsidRPr="009F2D90" w:rsidRDefault="00BB60F8">
      <w:pPr>
        <w:pStyle w:val="FootnoteText"/>
        <w:rPr>
          <w:sz w:val="26"/>
          <w:szCs w:val="26"/>
        </w:rPr>
      </w:pPr>
    </w:p>
  </w:footnote>
  <w:footnote w:id="4">
    <w:p w:rsidR="00BB60F8" w:rsidRPr="005268C1" w:rsidRDefault="00BB60F8">
      <w:pPr>
        <w:pStyle w:val="FootnoteText"/>
        <w:rPr>
          <w:sz w:val="26"/>
          <w:szCs w:val="26"/>
        </w:rPr>
      </w:pPr>
      <w:r w:rsidRPr="00E2443A">
        <w:rPr>
          <w:rStyle w:val="FootnoteReference"/>
          <w:position w:val="8"/>
          <w:szCs w:val="26"/>
          <w:vertAlign w:val="baseline"/>
        </w:rPr>
        <w:footnoteRef/>
      </w:r>
      <w:r w:rsidRPr="00DF337E">
        <w:rPr>
          <w:sz w:val="26"/>
          <w:szCs w:val="26"/>
        </w:rPr>
        <w:t xml:space="preserve"> </w:t>
      </w:r>
      <w:r>
        <w:rPr>
          <w:sz w:val="26"/>
          <w:szCs w:val="26"/>
        </w:rPr>
        <w:tab/>
        <w:t>After the time period relevant here, the section was revised so that a</w:t>
      </w:r>
      <w:r w:rsidRPr="00DF337E">
        <w:rPr>
          <w:sz w:val="26"/>
          <w:szCs w:val="26"/>
        </w:rPr>
        <w:t>fter June 26, 2016, the agency has 60 days to respond to a notice, and the plaintiff may commence a civil action if the agency does not respond within 65 days.  (</w:t>
      </w:r>
      <w:r w:rsidRPr="005268C1">
        <w:rPr>
          <w:rFonts w:cs="Helvetica"/>
          <w:sz w:val="26"/>
          <w:szCs w:val="26"/>
        </w:rPr>
        <w:t>§ 2699.3, subd. (a)(2)(A).)</w:t>
      </w:r>
    </w:p>
  </w:footnote>
  <w:footnote w:id="5">
    <w:p w:rsidR="00BB60F8" w:rsidRDefault="00BB60F8">
      <w:pPr>
        <w:pStyle w:val="FootnoteText"/>
      </w:pPr>
      <w:r w:rsidRPr="00E2443A">
        <w:rPr>
          <w:rStyle w:val="FootnoteReference"/>
          <w:position w:val="8"/>
          <w:vertAlign w:val="baseline"/>
        </w:rPr>
        <w:footnoteRef/>
      </w:r>
      <w:r>
        <w:rPr>
          <w:position w:val="8"/>
        </w:rPr>
        <w:t xml:space="preserve"> </w:t>
      </w:r>
      <w:r w:rsidRPr="00E9616E">
        <w:rPr>
          <w:rFonts w:cs="Helvetica"/>
          <w:sz w:val="26"/>
          <w:szCs w:val="26"/>
        </w:rPr>
        <w:tab/>
      </w:r>
      <w:r>
        <w:rPr>
          <w:rFonts w:cs="Helvetica"/>
          <w:sz w:val="26"/>
          <w:szCs w:val="26"/>
        </w:rPr>
        <w:t>The trial court also held that the 2009 Notice was deficient because plaintiff did not identify the other “aggrieved employees.”  PAGA defines “aggrieved employee” as “any person who was employed by the alleged violator and against whom one or more of the alleged violations was committed.”  (</w:t>
      </w:r>
      <w:r w:rsidRPr="00A37B13">
        <w:rPr>
          <w:rFonts w:cs="Helvetica"/>
          <w:sz w:val="26"/>
          <w:szCs w:val="26"/>
        </w:rPr>
        <w:t>§</w:t>
      </w:r>
      <w:r>
        <w:rPr>
          <w:rFonts w:cs="Helvetica"/>
          <w:sz w:val="26"/>
          <w:szCs w:val="26"/>
        </w:rPr>
        <w:t xml:space="preserve"> 2699, subd. (c).)  We can infer from the 2009 Notice that the other “aggrieved employees” are non-exempted, hourly-paid workers employed by defendants and against whom defendants committed the alleged Labor Code violations.  We conclude the 2009 Notice sufficiently identified the other aggrieved employees.</w:t>
      </w:r>
    </w:p>
  </w:footnote>
  <w:footnote w:id="6">
    <w:p w:rsidR="00BB60F8" w:rsidRPr="00AD5F43" w:rsidRDefault="00BB60F8" w:rsidP="006E3F5A">
      <w:pPr>
        <w:pStyle w:val="FootnoteText"/>
        <w:rPr>
          <w:sz w:val="26"/>
          <w:szCs w:val="26"/>
        </w:rPr>
      </w:pPr>
      <w:r w:rsidRPr="006E3F5A">
        <w:rPr>
          <w:rStyle w:val="FootnoteReference"/>
          <w:position w:val="8"/>
          <w:szCs w:val="26"/>
          <w:vertAlign w:val="baseline"/>
        </w:rPr>
        <w:sym w:font="Symbol" w:char="F02A"/>
      </w:r>
      <w:r w:rsidRPr="006E3F5A">
        <w:rPr>
          <w:position w:val="8"/>
          <w:sz w:val="26"/>
          <w:szCs w:val="26"/>
        </w:rPr>
        <w:t xml:space="preserve"> </w:t>
      </w:r>
      <w:r>
        <w:rPr>
          <w:sz w:val="26"/>
          <w:szCs w:val="26"/>
        </w:rPr>
        <w:tab/>
      </w:r>
      <w:r w:rsidRPr="00AD5F43">
        <w:rPr>
          <w:sz w:val="26"/>
          <w:szCs w:val="26"/>
        </w:rPr>
        <w:t>Judge of the Los Angeles Superior Court,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8D" w:rsidRDefault="000A5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8D" w:rsidRDefault="000A5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8D" w:rsidRDefault="000A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B4C"/>
    <w:multiLevelType w:val="hybridMultilevel"/>
    <w:tmpl w:val="C834EB0C"/>
    <w:lvl w:ilvl="0" w:tplc="A0B85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64855"/>
    <w:multiLevelType w:val="hybridMultilevel"/>
    <w:tmpl w:val="49CED832"/>
    <w:lvl w:ilvl="0" w:tplc="AEBE42CC">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
    <w:nsid w:val="113A1F06"/>
    <w:multiLevelType w:val="hybridMultilevel"/>
    <w:tmpl w:val="DE7E383A"/>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DA449C0"/>
    <w:multiLevelType w:val="hybridMultilevel"/>
    <w:tmpl w:val="266E9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305A0"/>
    <w:multiLevelType w:val="hybridMultilevel"/>
    <w:tmpl w:val="6A4C7B9A"/>
    <w:lvl w:ilvl="0" w:tplc="5AD0502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A76F1D"/>
    <w:multiLevelType w:val="hybridMultilevel"/>
    <w:tmpl w:val="4A22512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D530AF8"/>
    <w:multiLevelType w:val="hybridMultilevel"/>
    <w:tmpl w:val="23D64814"/>
    <w:lvl w:ilvl="0" w:tplc="317815A4">
      <w:start w:val="1"/>
      <w:numFmt w:val="upperRoman"/>
      <w:lvlText w:val="%1."/>
      <w:lvlJc w:val="left"/>
      <w:pPr>
        <w:ind w:left="64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677AB"/>
    <w:multiLevelType w:val="hybridMultilevel"/>
    <w:tmpl w:val="7C7AE54E"/>
    <w:lvl w:ilvl="0" w:tplc="5E30DF0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Seigle">
    <w15:presenceInfo w15:providerId="Windows Live" w15:userId="9bbe870dc449d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16"/>
    <w:rsid w:val="00002F33"/>
    <w:rsid w:val="000075D1"/>
    <w:rsid w:val="00010806"/>
    <w:rsid w:val="000140C4"/>
    <w:rsid w:val="00016423"/>
    <w:rsid w:val="0001717F"/>
    <w:rsid w:val="00020854"/>
    <w:rsid w:val="00024823"/>
    <w:rsid w:val="00026C2A"/>
    <w:rsid w:val="00031FB4"/>
    <w:rsid w:val="000341EF"/>
    <w:rsid w:val="00034980"/>
    <w:rsid w:val="0003549D"/>
    <w:rsid w:val="00035B1B"/>
    <w:rsid w:val="00040A04"/>
    <w:rsid w:val="000443D8"/>
    <w:rsid w:val="000558FE"/>
    <w:rsid w:val="00055A8E"/>
    <w:rsid w:val="0006337D"/>
    <w:rsid w:val="00063B04"/>
    <w:rsid w:val="00063E30"/>
    <w:rsid w:val="000643E4"/>
    <w:rsid w:val="00065AEB"/>
    <w:rsid w:val="00071802"/>
    <w:rsid w:val="00071B86"/>
    <w:rsid w:val="00075AB9"/>
    <w:rsid w:val="00076344"/>
    <w:rsid w:val="000807D6"/>
    <w:rsid w:val="000837D8"/>
    <w:rsid w:val="0008648A"/>
    <w:rsid w:val="00093C2D"/>
    <w:rsid w:val="00095890"/>
    <w:rsid w:val="00096B43"/>
    <w:rsid w:val="000A010D"/>
    <w:rsid w:val="000A2BD3"/>
    <w:rsid w:val="000A568D"/>
    <w:rsid w:val="000B1CAD"/>
    <w:rsid w:val="000B2D0D"/>
    <w:rsid w:val="000B42E7"/>
    <w:rsid w:val="000B50BC"/>
    <w:rsid w:val="000B731D"/>
    <w:rsid w:val="000C3F2D"/>
    <w:rsid w:val="000C5176"/>
    <w:rsid w:val="000C56EB"/>
    <w:rsid w:val="000D0184"/>
    <w:rsid w:val="000D105A"/>
    <w:rsid w:val="000D2478"/>
    <w:rsid w:val="000D48D0"/>
    <w:rsid w:val="000D4DD3"/>
    <w:rsid w:val="000E2D28"/>
    <w:rsid w:val="000E3522"/>
    <w:rsid w:val="000E3D5F"/>
    <w:rsid w:val="000E5C6A"/>
    <w:rsid w:val="000E67FE"/>
    <w:rsid w:val="000F36DD"/>
    <w:rsid w:val="000F7786"/>
    <w:rsid w:val="000F79F5"/>
    <w:rsid w:val="001001F4"/>
    <w:rsid w:val="001037EF"/>
    <w:rsid w:val="001143AA"/>
    <w:rsid w:val="001203E3"/>
    <w:rsid w:val="001236D1"/>
    <w:rsid w:val="00123A19"/>
    <w:rsid w:val="0012755B"/>
    <w:rsid w:val="00133808"/>
    <w:rsid w:val="001356D6"/>
    <w:rsid w:val="00136360"/>
    <w:rsid w:val="00137C5B"/>
    <w:rsid w:val="00140AB6"/>
    <w:rsid w:val="001419F0"/>
    <w:rsid w:val="00143ECF"/>
    <w:rsid w:val="00144B51"/>
    <w:rsid w:val="00151440"/>
    <w:rsid w:val="001607BE"/>
    <w:rsid w:val="00160DD3"/>
    <w:rsid w:val="00165C9A"/>
    <w:rsid w:val="00166A18"/>
    <w:rsid w:val="0016798B"/>
    <w:rsid w:val="0017150E"/>
    <w:rsid w:val="00172CF6"/>
    <w:rsid w:val="001750B5"/>
    <w:rsid w:val="001765B5"/>
    <w:rsid w:val="00176838"/>
    <w:rsid w:val="00183FE6"/>
    <w:rsid w:val="00193969"/>
    <w:rsid w:val="00195898"/>
    <w:rsid w:val="00196A9D"/>
    <w:rsid w:val="001A1CC7"/>
    <w:rsid w:val="001A583C"/>
    <w:rsid w:val="001A620B"/>
    <w:rsid w:val="001A7892"/>
    <w:rsid w:val="001A7C46"/>
    <w:rsid w:val="001B5B7A"/>
    <w:rsid w:val="001C01FB"/>
    <w:rsid w:val="001C178E"/>
    <w:rsid w:val="001C7DA1"/>
    <w:rsid w:val="001D5F57"/>
    <w:rsid w:val="001E5641"/>
    <w:rsid w:val="001E5CFB"/>
    <w:rsid w:val="001E626B"/>
    <w:rsid w:val="001F3117"/>
    <w:rsid w:val="001F387C"/>
    <w:rsid w:val="001F67AB"/>
    <w:rsid w:val="0020246A"/>
    <w:rsid w:val="00203586"/>
    <w:rsid w:val="00204074"/>
    <w:rsid w:val="002044BA"/>
    <w:rsid w:val="00207CBB"/>
    <w:rsid w:val="00210C2B"/>
    <w:rsid w:val="002119CB"/>
    <w:rsid w:val="002140F8"/>
    <w:rsid w:val="0021470E"/>
    <w:rsid w:val="00214C7C"/>
    <w:rsid w:val="00220EEF"/>
    <w:rsid w:val="00221CD8"/>
    <w:rsid w:val="0022458D"/>
    <w:rsid w:val="00233053"/>
    <w:rsid w:val="00233F8D"/>
    <w:rsid w:val="00235E94"/>
    <w:rsid w:val="00236B35"/>
    <w:rsid w:val="0023776E"/>
    <w:rsid w:val="00240FA2"/>
    <w:rsid w:val="0024288E"/>
    <w:rsid w:val="0024447D"/>
    <w:rsid w:val="00246BF4"/>
    <w:rsid w:val="002505B2"/>
    <w:rsid w:val="0025124C"/>
    <w:rsid w:val="0025134C"/>
    <w:rsid w:val="00251FE5"/>
    <w:rsid w:val="00252C67"/>
    <w:rsid w:val="00253004"/>
    <w:rsid w:val="00257E4D"/>
    <w:rsid w:val="00264983"/>
    <w:rsid w:val="00265ACB"/>
    <w:rsid w:val="00266316"/>
    <w:rsid w:val="00270411"/>
    <w:rsid w:val="0027438E"/>
    <w:rsid w:val="002761EF"/>
    <w:rsid w:val="00276F7A"/>
    <w:rsid w:val="002776B2"/>
    <w:rsid w:val="00280C36"/>
    <w:rsid w:val="00282BDC"/>
    <w:rsid w:val="00290F0A"/>
    <w:rsid w:val="0029645E"/>
    <w:rsid w:val="00296A20"/>
    <w:rsid w:val="002A186E"/>
    <w:rsid w:val="002A194B"/>
    <w:rsid w:val="002A290A"/>
    <w:rsid w:val="002B03C1"/>
    <w:rsid w:val="002B249B"/>
    <w:rsid w:val="002B2AD1"/>
    <w:rsid w:val="002B5B59"/>
    <w:rsid w:val="002B660E"/>
    <w:rsid w:val="002C0DD9"/>
    <w:rsid w:val="002C20A3"/>
    <w:rsid w:val="002C5546"/>
    <w:rsid w:val="002D22B8"/>
    <w:rsid w:val="002D3497"/>
    <w:rsid w:val="002D3727"/>
    <w:rsid w:val="002D603D"/>
    <w:rsid w:val="002E037F"/>
    <w:rsid w:val="002E3335"/>
    <w:rsid w:val="002E4A60"/>
    <w:rsid w:val="002E4FCD"/>
    <w:rsid w:val="002E4FE7"/>
    <w:rsid w:val="002E78E7"/>
    <w:rsid w:val="002F2D13"/>
    <w:rsid w:val="002F350F"/>
    <w:rsid w:val="00303C46"/>
    <w:rsid w:val="00306017"/>
    <w:rsid w:val="0030655B"/>
    <w:rsid w:val="003066C6"/>
    <w:rsid w:val="00307F78"/>
    <w:rsid w:val="00312AA5"/>
    <w:rsid w:val="003206E7"/>
    <w:rsid w:val="00322B92"/>
    <w:rsid w:val="003237FA"/>
    <w:rsid w:val="00323E98"/>
    <w:rsid w:val="003252B4"/>
    <w:rsid w:val="00326CA5"/>
    <w:rsid w:val="003315E6"/>
    <w:rsid w:val="00331886"/>
    <w:rsid w:val="00350F79"/>
    <w:rsid w:val="00351181"/>
    <w:rsid w:val="003549E1"/>
    <w:rsid w:val="00357347"/>
    <w:rsid w:val="003606D8"/>
    <w:rsid w:val="00362991"/>
    <w:rsid w:val="00370B7A"/>
    <w:rsid w:val="00371BEE"/>
    <w:rsid w:val="00372E74"/>
    <w:rsid w:val="00375CF8"/>
    <w:rsid w:val="00376680"/>
    <w:rsid w:val="00381242"/>
    <w:rsid w:val="00381FB4"/>
    <w:rsid w:val="00383D4F"/>
    <w:rsid w:val="00383FBA"/>
    <w:rsid w:val="00385AA1"/>
    <w:rsid w:val="003937CC"/>
    <w:rsid w:val="00393FB4"/>
    <w:rsid w:val="00394BF3"/>
    <w:rsid w:val="003A0133"/>
    <w:rsid w:val="003A0342"/>
    <w:rsid w:val="003A26A2"/>
    <w:rsid w:val="003A3FEB"/>
    <w:rsid w:val="003B1B6F"/>
    <w:rsid w:val="003B4555"/>
    <w:rsid w:val="003B5038"/>
    <w:rsid w:val="003B5195"/>
    <w:rsid w:val="003B6A3D"/>
    <w:rsid w:val="003B7888"/>
    <w:rsid w:val="003C1DB2"/>
    <w:rsid w:val="003D27F0"/>
    <w:rsid w:val="003D2943"/>
    <w:rsid w:val="003D444C"/>
    <w:rsid w:val="003D5B3E"/>
    <w:rsid w:val="003E0DE1"/>
    <w:rsid w:val="003E6267"/>
    <w:rsid w:val="003F03DC"/>
    <w:rsid w:val="003F134F"/>
    <w:rsid w:val="003F2448"/>
    <w:rsid w:val="003F5A8D"/>
    <w:rsid w:val="003F68F2"/>
    <w:rsid w:val="003F747C"/>
    <w:rsid w:val="003F7D26"/>
    <w:rsid w:val="004010E6"/>
    <w:rsid w:val="00405AA5"/>
    <w:rsid w:val="00405CAC"/>
    <w:rsid w:val="00410A52"/>
    <w:rsid w:val="00410A84"/>
    <w:rsid w:val="00410EBE"/>
    <w:rsid w:val="004112B4"/>
    <w:rsid w:val="004127BF"/>
    <w:rsid w:val="004138CD"/>
    <w:rsid w:val="00413F81"/>
    <w:rsid w:val="004142B1"/>
    <w:rsid w:val="00414FB5"/>
    <w:rsid w:val="004165D6"/>
    <w:rsid w:val="00421B22"/>
    <w:rsid w:val="00424534"/>
    <w:rsid w:val="0042626D"/>
    <w:rsid w:val="00426E9F"/>
    <w:rsid w:val="00427573"/>
    <w:rsid w:val="004307AC"/>
    <w:rsid w:val="004308B6"/>
    <w:rsid w:val="00437DE4"/>
    <w:rsid w:val="00440A54"/>
    <w:rsid w:val="0044655A"/>
    <w:rsid w:val="00446B86"/>
    <w:rsid w:val="00450284"/>
    <w:rsid w:val="00450EE3"/>
    <w:rsid w:val="004511C5"/>
    <w:rsid w:val="0045175D"/>
    <w:rsid w:val="0045397C"/>
    <w:rsid w:val="00455876"/>
    <w:rsid w:val="004707A7"/>
    <w:rsid w:val="00474E06"/>
    <w:rsid w:val="00474E43"/>
    <w:rsid w:val="00475562"/>
    <w:rsid w:val="00476EB3"/>
    <w:rsid w:val="0047722C"/>
    <w:rsid w:val="004903A8"/>
    <w:rsid w:val="00497220"/>
    <w:rsid w:val="004A0ECF"/>
    <w:rsid w:val="004A2521"/>
    <w:rsid w:val="004A26C8"/>
    <w:rsid w:val="004B31AE"/>
    <w:rsid w:val="004B3364"/>
    <w:rsid w:val="004B5771"/>
    <w:rsid w:val="004B5924"/>
    <w:rsid w:val="004B7A84"/>
    <w:rsid w:val="004C21A1"/>
    <w:rsid w:val="004D078C"/>
    <w:rsid w:val="004D0CE6"/>
    <w:rsid w:val="004E1DC1"/>
    <w:rsid w:val="004E2918"/>
    <w:rsid w:val="004E52F7"/>
    <w:rsid w:val="004E6D0F"/>
    <w:rsid w:val="004F2D91"/>
    <w:rsid w:val="004F38EA"/>
    <w:rsid w:val="004F6F3D"/>
    <w:rsid w:val="00502E34"/>
    <w:rsid w:val="00502E54"/>
    <w:rsid w:val="00502FF6"/>
    <w:rsid w:val="00506A60"/>
    <w:rsid w:val="00511D17"/>
    <w:rsid w:val="005124AD"/>
    <w:rsid w:val="00515026"/>
    <w:rsid w:val="00516A12"/>
    <w:rsid w:val="0051739D"/>
    <w:rsid w:val="005268C1"/>
    <w:rsid w:val="0052759D"/>
    <w:rsid w:val="00533C9A"/>
    <w:rsid w:val="005359B9"/>
    <w:rsid w:val="00535E98"/>
    <w:rsid w:val="00541478"/>
    <w:rsid w:val="00541FEF"/>
    <w:rsid w:val="005432E1"/>
    <w:rsid w:val="00543824"/>
    <w:rsid w:val="00546EDE"/>
    <w:rsid w:val="005471ED"/>
    <w:rsid w:val="00550706"/>
    <w:rsid w:val="00551D2E"/>
    <w:rsid w:val="00552283"/>
    <w:rsid w:val="005548D7"/>
    <w:rsid w:val="00555870"/>
    <w:rsid w:val="005565EF"/>
    <w:rsid w:val="005577BA"/>
    <w:rsid w:val="00560063"/>
    <w:rsid w:val="005607C8"/>
    <w:rsid w:val="00562D90"/>
    <w:rsid w:val="0056319B"/>
    <w:rsid w:val="0056375D"/>
    <w:rsid w:val="00564395"/>
    <w:rsid w:val="00565616"/>
    <w:rsid w:val="00565648"/>
    <w:rsid w:val="00571353"/>
    <w:rsid w:val="00571C6B"/>
    <w:rsid w:val="005733E8"/>
    <w:rsid w:val="00580FF5"/>
    <w:rsid w:val="00583D2D"/>
    <w:rsid w:val="005843BE"/>
    <w:rsid w:val="00590D6D"/>
    <w:rsid w:val="00593368"/>
    <w:rsid w:val="00595A2C"/>
    <w:rsid w:val="00595A45"/>
    <w:rsid w:val="005966C5"/>
    <w:rsid w:val="005A09AC"/>
    <w:rsid w:val="005A1BE0"/>
    <w:rsid w:val="005A660E"/>
    <w:rsid w:val="005B277B"/>
    <w:rsid w:val="005B4F48"/>
    <w:rsid w:val="005B7199"/>
    <w:rsid w:val="005C1DE9"/>
    <w:rsid w:val="005C4538"/>
    <w:rsid w:val="005C6068"/>
    <w:rsid w:val="005D1003"/>
    <w:rsid w:val="005D22FF"/>
    <w:rsid w:val="005D2DAB"/>
    <w:rsid w:val="005D38EF"/>
    <w:rsid w:val="005D53B7"/>
    <w:rsid w:val="005D6226"/>
    <w:rsid w:val="005D773A"/>
    <w:rsid w:val="005E3831"/>
    <w:rsid w:val="005E4012"/>
    <w:rsid w:val="005E4F39"/>
    <w:rsid w:val="005E5D98"/>
    <w:rsid w:val="005E77F2"/>
    <w:rsid w:val="005F30BE"/>
    <w:rsid w:val="005F38EF"/>
    <w:rsid w:val="005F3A67"/>
    <w:rsid w:val="005F5A94"/>
    <w:rsid w:val="005F7547"/>
    <w:rsid w:val="006002F5"/>
    <w:rsid w:val="006016B5"/>
    <w:rsid w:val="00601BA6"/>
    <w:rsid w:val="006023A2"/>
    <w:rsid w:val="00607E8C"/>
    <w:rsid w:val="006131C0"/>
    <w:rsid w:val="006132F5"/>
    <w:rsid w:val="00613DF2"/>
    <w:rsid w:val="006150CE"/>
    <w:rsid w:val="00622020"/>
    <w:rsid w:val="00622F1B"/>
    <w:rsid w:val="0062323A"/>
    <w:rsid w:val="006238B8"/>
    <w:rsid w:val="00623C95"/>
    <w:rsid w:val="0062629F"/>
    <w:rsid w:val="00627B6F"/>
    <w:rsid w:val="00632307"/>
    <w:rsid w:val="0063405D"/>
    <w:rsid w:val="00635267"/>
    <w:rsid w:val="006376C7"/>
    <w:rsid w:val="006435CB"/>
    <w:rsid w:val="00643F86"/>
    <w:rsid w:val="006470D8"/>
    <w:rsid w:val="006519EE"/>
    <w:rsid w:val="006524BD"/>
    <w:rsid w:val="0065291E"/>
    <w:rsid w:val="006605C7"/>
    <w:rsid w:val="0066161D"/>
    <w:rsid w:val="00663823"/>
    <w:rsid w:val="00665CDB"/>
    <w:rsid w:val="0066786A"/>
    <w:rsid w:val="00674CA0"/>
    <w:rsid w:val="006825D6"/>
    <w:rsid w:val="0068402A"/>
    <w:rsid w:val="006848CA"/>
    <w:rsid w:val="00685627"/>
    <w:rsid w:val="0068594F"/>
    <w:rsid w:val="00686B41"/>
    <w:rsid w:val="00687168"/>
    <w:rsid w:val="006920F7"/>
    <w:rsid w:val="00695931"/>
    <w:rsid w:val="006A0156"/>
    <w:rsid w:val="006A1194"/>
    <w:rsid w:val="006B2216"/>
    <w:rsid w:val="006B2C38"/>
    <w:rsid w:val="006B3AE2"/>
    <w:rsid w:val="006B5F92"/>
    <w:rsid w:val="006B7A40"/>
    <w:rsid w:val="006C12C8"/>
    <w:rsid w:val="006C13ED"/>
    <w:rsid w:val="006C3063"/>
    <w:rsid w:val="006C333A"/>
    <w:rsid w:val="006C5364"/>
    <w:rsid w:val="006D0544"/>
    <w:rsid w:val="006D2A92"/>
    <w:rsid w:val="006D657F"/>
    <w:rsid w:val="006D6CDD"/>
    <w:rsid w:val="006E1DED"/>
    <w:rsid w:val="006E3C10"/>
    <w:rsid w:val="006E3F5A"/>
    <w:rsid w:val="006F1218"/>
    <w:rsid w:val="006F4EB7"/>
    <w:rsid w:val="006F75E3"/>
    <w:rsid w:val="00706FC5"/>
    <w:rsid w:val="00712D82"/>
    <w:rsid w:val="00716941"/>
    <w:rsid w:val="00722B48"/>
    <w:rsid w:val="00724EF3"/>
    <w:rsid w:val="00725F07"/>
    <w:rsid w:val="00727CB7"/>
    <w:rsid w:val="007304BB"/>
    <w:rsid w:val="00731FB2"/>
    <w:rsid w:val="00734A75"/>
    <w:rsid w:val="0073652A"/>
    <w:rsid w:val="00740820"/>
    <w:rsid w:val="007419CB"/>
    <w:rsid w:val="00742E8E"/>
    <w:rsid w:val="00744BCE"/>
    <w:rsid w:val="00760878"/>
    <w:rsid w:val="00761AB2"/>
    <w:rsid w:val="00762230"/>
    <w:rsid w:val="00762DE5"/>
    <w:rsid w:val="00764A4E"/>
    <w:rsid w:val="007716B0"/>
    <w:rsid w:val="00773D26"/>
    <w:rsid w:val="00777088"/>
    <w:rsid w:val="00780E58"/>
    <w:rsid w:val="007817CA"/>
    <w:rsid w:val="007830F3"/>
    <w:rsid w:val="0078437F"/>
    <w:rsid w:val="00791878"/>
    <w:rsid w:val="007952EC"/>
    <w:rsid w:val="00795851"/>
    <w:rsid w:val="007A112F"/>
    <w:rsid w:val="007A65E6"/>
    <w:rsid w:val="007B0D11"/>
    <w:rsid w:val="007B4EAC"/>
    <w:rsid w:val="007B55AB"/>
    <w:rsid w:val="007C03D7"/>
    <w:rsid w:val="007C064C"/>
    <w:rsid w:val="007C0723"/>
    <w:rsid w:val="007C1D30"/>
    <w:rsid w:val="007C25DC"/>
    <w:rsid w:val="007C6E15"/>
    <w:rsid w:val="007D1E4C"/>
    <w:rsid w:val="007D2BFD"/>
    <w:rsid w:val="007D3115"/>
    <w:rsid w:val="007D41B1"/>
    <w:rsid w:val="007D51D6"/>
    <w:rsid w:val="007D6929"/>
    <w:rsid w:val="007D7D61"/>
    <w:rsid w:val="007E0210"/>
    <w:rsid w:val="007E0ABE"/>
    <w:rsid w:val="007E2D03"/>
    <w:rsid w:val="007E4C1D"/>
    <w:rsid w:val="007F01A2"/>
    <w:rsid w:val="00800905"/>
    <w:rsid w:val="008036BD"/>
    <w:rsid w:val="00804FEE"/>
    <w:rsid w:val="008061A1"/>
    <w:rsid w:val="008064BA"/>
    <w:rsid w:val="00810ECC"/>
    <w:rsid w:val="008129BB"/>
    <w:rsid w:val="00822732"/>
    <w:rsid w:val="00832C87"/>
    <w:rsid w:val="00845A55"/>
    <w:rsid w:val="008471C1"/>
    <w:rsid w:val="00850643"/>
    <w:rsid w:val="008515D9"/>
    <w:rsid w:val="008544BA"/>
    <w:rsid w:val="00856DF0"/>
    <w:rsid w:val="008622CD"/>
    <w:rsid w:val="00862E83"/>
    <w:rsid w:val="00862F4D"/>
    <w:rsid w:val="00864843"/>
    <w:rsid w:val="0086539A"/>
    <w:rsid w:val="00866E3D"/>
    <w:rsid w:val="00871730"/>
    <w:rsid w:val="00871BF7"/>
    <w:rsid w:val="00871F8C"/>
    <w:rsid w:val="00872DF5"/>
    <w:rsid w:val="0088131F"/>
    <w:rsid w:val="008834C6"/>
    <w:rsid w:val="00886306"/>
    <w:rsid w:val="00886B92"/>
    <w:rsid w:val="00896441"/>
    <w:rsid w:val="008A0AE5"/>
    <w:rsid w:val="008A34F5"/>
    <w:rsid w:val="008A3CC1"/>
    <w:rsid w:val="008A4B15"/>
    <w:rsid w:val="008A5130"/>
    <w:rsid w:val="008A576D"/>
    <w:rsid w:val="008B0900"/>
    <w:rsid w:val="008B4C39"/>
    <w:rsid w:val="008B5860"/>
    <w:rsid w:val="008B61C5"/>
    <w:rsid w:val="008B75CC"/>
    <w:rsid w:val="008C6CEB"/>
    <w:rsid w:val="008C790E"/>
    <w:rsid w:val="008D071F"/>
    <w:rsid w:val="008D43E7"/>
    <w:rsid w:val="008D4C42"/>
    <w:rsid w:val="008D590A"/>
    <w:rsid w:val="008D59A5"/>
    <w:rsid w:val="008D7612"/>
    <w:rsid w:val="008E0571"/>
    <w:rsid w:val="008E101E"/>
    <w:rsid w:val="008E36F7"/>
    <w:rsid w:val="008E76E0"/>
    <w:rsid w:val="008E7B3A"/>
    <w:rsid w:val="008F05F8"/>
    <w:rsid w:val="00905BEB"/>
    <w:rsid w:val="00907FB4"/>
    <w:rsid w:val="00912E94"/>
    <w:rsid w:val="009134D5"/>
    <w:rsid w:val="0091378A"/>
    <w:rsid w:val="00921857"/>
    <w:rsid w:val="009233E2"/>
    <w:rsid w:val="00923535"/>
    <w:rsid w:val="0093257D"/>
    <w:rsid w:val="00933933"/>
    <w:rsid w:val="00937FD2"/>
    <w:rsid w:val="00941C0B"/>
    <w:rsid w:val="00942806"/>
    <w:rsid w:val="00943384"/>
    <w:rsid w:val="00950AD4"/>
    <w:rsid w:val="00951253"/>
    <w:rsid w:val="00951BC2"/>
    <w:rsid w:val="00956F71"/>
    <w:rsid w:val="009634C9"/>
    <w:rsid w:val="009647E4"/>
    <w:rsid w:val="0096480B"/>
    <w:rsid w:val="00966521"/>
    <w:rsid w:val="00967185"/>
    <w:rsid w:val="00967CB8"/>
    <w:rsid w:val="0097296C"/>
    <w:rsid w:val="00972A9F"/>
    <w:rsid w:val="00975034"/>
    <w:rsid w:val="009926D3"/>
    <w:rsid w:val="009929EC"/>
    <w:rsid w:val="009A0D4C"/>
    <w:rsid w:val="009A129A"/>
    <w:rsid w:val="009A201F"/>
    <w:rsid w:val="009A414B"/>
    <w:rsid w:val="009A4BBF"/>
    <w:rsid w:val="009A78F3"/>
    <w:rsid w:val="009B206F"/>
    <w:rsid w:val="009B2143"/>
    <w:rsid w:val="009B2720"/>
    <w:rsid w:val="009B3723"/>
    <w:rsid w:val="009B5B6C"/>
    <w:rsid w:val="009C09C5"/>
    <w:rsid w:val="009C1BAC"/>
    <w:rsid w:val="009C7465"/>
    <w:rsid w:val="009D0640"/>
    <w:rsid w:val="009D0ABD"/>
    <w:rsid w:val="009D431B"/>
    <w:rsid w:val="009D6F76"/>
    <w:rsid w:val="009D766A"/>
    <w:rsid w:val="009D7912"/>
    <w:rsid w:val="009E02EA"/>
    <w:rsid w:val="009E4C31"/>
    <w:rsid w:val="009E4F15"/>
    <w:rsid w:val="009F2D90"/>
    <w:rsid w:val="009F426E"/>
    <w:rsid w:val="009F4EE9"/>
    <w:rsid w:val="009F716B"/>
    <w:rsid w:val="00A02C46"/>
    <w:rsid w:val="00A07C6E"/>
    <w:rsid w:val="00A13B4E"/>
    <w:rsid w:val="00A14D2B"/>
    <w:rsid w:val="00A15C38"/>
    <w:rsid w:val="00A232E9"/>
    <w:rsid w:val="00A233BB"/>
    <w:rsid w:val="00A260D8"/>
    <w:rsid w:val="00A32A08"/>
    <w:rsid w:val="00A33EF6"/>
    <w:rsid w:val="00A37B13"/>
    <w:rsid w:val="00A43F49"/>
    <w:rsid w:val="00A468E4"/>
    <w:rsid w:val="00A47AB0"/>
    <w:rsid w:val="00A568A8"/>
    <w:rsid w:val="00A5720B"/>
    <w:rsid w:val="00A644E0"/>
    <w:rsid w:val="00A651B5"/>
    <w:rsid w:val="00A71135"/>
    <w:rsid w:val="00A752EC"/>
    <w:rsid w:val="00A76595"/>
    <w:rsid w:val="00A77945"/>
    <w:rsid w:val="00A80423"/>
    <w:rsid w:val="00A8073A"/>
    <w:rsid w:val="00A835E2"/>
    <w:rsid w:val="00A859DF"/>
    <w:rsid w:val="00A86065"/>
    <w:rsid w:val="00A87DC4"/>
    <w:rsid w:val="00A87E32"/>
    <w:rsid w:val="00A905C3"/>
    <w:rsid w:val="00A91C71"/>
    <w:rsid w:val="00A92815"/>
    <w:rsid w:val="00A92A89"/>
    <w:rsid w:val="00A9380A"/>
    <w:rsid w:val="00A963AF"/>
    <w:rsid w:val="00A97520"/>
    <w:rsid w:val="00AA012A"/>
    <w:rsid w:val="00AA1DC5"/>
    <w:rsid w:val="00AA5564"/>
    <w:rsid w:val="00AA7C76"/>
    <w:rsid w:val="00AB10C0"/>
    <w:rsid w:val="00AB4AF9"/>
    <w:rsid w:val="00AB5FD3"/>
    <w:rsid w:val="00AB7083"/>
    <w:rsid w:val="00AB772A"/>
    <w:rsid w:val="00AC6030"/>
    <w:rsid w:val="00AC678A"/>
    <w:rsid w:val="00AD17B2"/>
    <w:rsid w:val="00AD201E"/>
    <w:rsid w:val="00AD405C"/>
    <w:rsid w:val="00AD4CAE"/>
    <w:rsid w:val="00AD4CB4"/>
    <w:rsid w:val="00AD4FD8"/>
    <w:rsid w:val="00AD76A9"/>
    <w:rsid w:val="00AD7BCF"/>
    <w:rsid w:val="00AE44AC"/>
    <w:rsid w:val="00AF740D"/>
    <w:rsid w:val="00B0151F"/>
    <w:rsid w:val="00B059E0"/>
    <w:rsid w:val="00B128A2"/>
    <w:rsid w:val="00B14F2C"/>
    <w:rsid w:val="00B227B3"/>
    <w:rsid w:val="00B23664"/>
    <w:rsid w:val="00B26B74"/>
    <w:rsid w:val="00B26FB0"/>
    <w:rsid w:val="00B27DE5"/>
    <w:rsid w:val="00B27EA3"/>
    <w:rsid w:val="00B325AD"/>
    <w:rsid w:val="00B33074"/>
    <w:rsid w:val="00B3672C"/>
    <w:rsid w:val="00B36C2F"/>
    <w:rsid w:val="00B37325"/>
    <w:rsid w:val="00B40ADF"/>
    <w:rsid w:val="00B43164"/>
    <w:rsid w:val="00B43BA8"/>
    <w:rsid w:val="00B44B11"/>
    <w:rsid w:val="00B454EE"/>
    <w:rsid w:val="00B47259"/>
    <w:rsid w:val="00B476D8"/>
    <w:rsid w:val="00B47D59"/>
    <w:rsid w:val="00B54413"/>
    <w:rsid w:val="00B55914"/>
    <w:rsid w:val="00B55B5C"/>
    <w:rsid w:val="00B560B7"/>
    <w:rsid w:val="00B56B01"/>
    <w:rsid w:val="00B6025E"/>
    <w:rsid w:val="00B65EFA"/>
    <w:rsid w:val="00B662BA"/>
    <w:rsid w:val="00B71075"/>
    <w:rsid w:val="00B7465F"/>
    <w:rsid w:val="00B7548C"/>
    <w:rsid w:val="00B75DA7"/>
    <w:rsid w:val="00B75E56"/>
    <w:rsid w:val="00B77261"/>
    <w:rsid w:val="00B80AA6"/>
    <w:rsid w:val="00B8157D"/>
    <w:rsid w:val="00B90117"/>
    <w:rsid w:val="00B91373"/>
    <w:rsid w:val="00B914CB"/>
    <w:rsid w:val="00B9419D"/>
    <w:rsid w:val="00B97C74"/>
    <w:rsid w:val="00BA1344"/>
    <w:rsid w:val="00BA3C89"/>
    <w:rsid w:val="00BA4580"/>
    <w:rsid w:val="00BA4945"/>
    <w:rsid w:val="00BA5F0D"/>
    <w:rsid w:val="00BA6F33"/>
    <w:rsid w:val="00BB476B"/>
    <w:rsid w:val="00BB57D0"/>
    <w:rsid w:val="00BB60F8"/>
    <w:rsid w:val="00BC0712"/>
    <w:rsid w:val="00BC6274"/>
    <w:rsid w:val="00BC6674"/>
    <w:rsid w:val="00BD0258"/>
    <w:rsid w:val="00BD1C11"/>
    <w:rsid w:val="00BD6019"/>
    <w:rsid w:val="00BE379A"/>
    <w:rsid w:val="00BE5600"/>
    <w:rsid w:val="00BE5B82"/>
    <w:rsid w:val="00BF002E"/>
    <w:rsid w:val="00BF3B1B"/>
    <w:rsid w:val="00C0132D"/>
    <w:rsid w:val="00C014CD"/>
    <w:rsid w:val="00C01ADB"/>
    <w:rsid w:val="00C04E63"/>
    <w:rsid w:val="00C07E0F"/>
    <w:rsid w:val="00C1052E"/>
    <w:rsid w:val="00C168F4"/>
    <w:rsid w:val="00C211B2"/>
    <w:rsid w:val="00C2127F"/>
    <w:rsid w:val="00C23D62"/>
    <w:rsid w:val="00C42B18"/>
    <w:rsid w:val="00C44A9D"/>
    <w:rsid w:val="00C46459"/>
    <w:rsid w:val="00C50E78"/>
    <w:rsid w:val="00C5787F"/>
    <w:rsid w:val="00C63017"/>
    <w:rsid w:val="00C64D68"/>
    <w:rsid w:val="00C65A4A"/>
    <w:rsid w:val="00C6648E"/>
    <w:rsid w:val="00C678E2"/>
    <w:rsid w:val="00C756F2"/>
    <w:rsid w:val="00C75970"/>
    <w:rsid w:val="00C80FD3"/>
    <w:rsid w:val="00C823C8"/>
    <w:rsid w:val="00C84081"/>
    <w:rsid w:val="00C846E3"/>
    <w:rsid w:val="00C84DC9"/>
    <w:rsid w:val="00C85F81"/>
    <w:rsid w:val="00C8635E"/>
    <w:rsid w:val="00C90E6F"/>
    <w:rsid w:val="00C91C34"/>
    <w:rsid w:val="00C93AF4"/>
    <w:rsid w:val="00C9780A"/>
    <w:rsid w:val="00CA607B"/>
    <w:rsid w:val="00CB06E0"/>
    <w:rsid w:val="00CB3123"/>
    <w:rsid w:val="00CB4CFE"/>
    <w:rsid w:val="00CB5586"/>
    <w:rsid w:val="00CB640B"/>
    <w:rsid w:val="00CC18E9"/>
    <w:rsid w:val="00CC366D"/>
    <w:rsid w:val="00CC3AC2"/>
    <w:rsid w:val="00CD07F1"/>
    <w:rsid w:val="00CD152B"/>
    <w:rsid w:val="00CD1FE1"/>
    <w:rsid w:val="00CD63CA"/>
    <w:rsid w:val="00CD681A"/>
    <w:rsid w:val="00CD7376"/>
    <w:rsid w:val="00CD769D"/>
    <w:rsid w:val="00CE4FA5"/>
    <w:rsid w:val="00CE53AD"/>
    <w:rsid w:val="00CE73F9"/>
    <w:rsid w:val="00CE7767"/>
    <w:rsid w:val="00CE7FCE"/>
    <w:rsid w:val="00CF27BA"/>
    <w:rsid w:val="00CF2CEA"/>
    <w:rsid w:val="00CF6031"/>
    <w:rsid w:val="00D00079"/>
    <w:rsid w:val="00D02C7F"/>
    <w:rsid w:val="00D061F9"/>
    <w:rsid w:val="00D06D24"/>
    <w:rsid w:val="00D079A4"/>
    <w:rsid w:val="00D1208C"/>
    <w:rsid w:val="00D15E71"/>
    <w:rsid w:val="00D16932"/>
    <w:rsid w:val="00D16FC4"/>
    <w:rsid w:val="00D20C5A"/>
    <w:rsid w:val="00D26874"/>
    <w:rsid w:val="00D27316"/>
    <w:rsid w:val="00D31E46"/>
    <w:rsid w:val="00D3279E"/>
    <w:rsid w:val="00D361E2"/>
    <w:rsid w:val="00D379BF"/>
    <w:rsid w:val="00D42D4B"/>
    <w:rsid w:val="00D52798"/>
    <w:rsid w:val="00D5410F"/>
    <w:rsid w:val="00D56BCB"/>
    <w:rsid w:val="00D570D4"/>
    <w:rsid w:val="00D5712B"/>
    <w:rsid w:val="00D6040C"/>
    <w:rsid w:val="00D61B6C"/>
    <w:rsid w:val="00D6542D"/>
    <w:rsid w:val="00D65B00"/>
    <w:rsid w:val="00D71232"/>
    <w:rsid w:val="00D72C40"/>
    <w:rsid w:val="00D77C61"/>
    <w:rsid w:val="00D80F10"/>
    <w:rsid w:val="00D81036"/>
    <w:rsid w:val="00D85730"/>
    <w:rsid w:val="00D926D7"/>
    <w:rsid w:val="00D960D8"/>
    <w:rsid w:val="00DA1CB0"/>
    <w:rsid w:val="00DB0D12"/>
    <w:rsid w:val="00DB100D"/>
    <w:rsid w:val="00DB1FB9"/>
    <w:rsid w:val="00DB232E"/>
    <w:rsid w:val="00DB339C"/>
    <w:rsid w:val="00DB7184"/>
    <w:rsid w:val="00DC1069"/>
    <w:rsid w:val="00DC17C3"/>
    <w:rsid w:val="00DC1FF9"/>
    <w:rsid w:val="00DC2060"/>
    <w:rsid w:val="00DC3262"/>
    <w:rsid w:val="00DC3857"/>
    <w:rsid w:val="00DC4165"/>
    <w:rsid w:val="00DC6C4E"/>
    <w:rsid w:val="00DC6FA2"/>
    <w:rsid w:val="00DD0513"/>
    <w:rsid w:val="00DD1492"/>
    <w:rsid w:val="00DD365C"/>
    <w:rsid w:val="00DE17DA"/>
    <w:rsid w:val="00DE1AB0"/>
    <w:rsid w:val="00DE1FAD"/>
    <w:rsid w:val="00DE4300"/>
    <w:rsid w:val="00DE69EB"/>
    <w:rsid w:val="00DF314F"/>
    <w:rsid w:val="00DF337E"/>
    <w:rsid w:val="00DF4174"/>
    <w:rsid w:val="00DF65F0"/>
    <w:rsid w:val="00E00A0E"/>
    <w:rsid w:val="00E00A53"/>
    <w:rsid w:val="00E034FE"/>
    <w:rsid w:val="00E0527D"/>
    <w:rsid w:val="00E059B7"/>
    <w:rsid w:val="00E05F92"/>
    <w:rsid w:val="00E13F3D"/>
    <w:rsid w:val="00E21DC5"/>
    <w:rsid w:val="00E2443A"/>
    <w:rsid w:val="00E30CAD"/>
    <w:rsid w:val="00E3112F"/>
    <w:rsid w:val="00E32092"/>
    <w:rsid w:val="00E32EEC"/>
    <w:rsid w:val="00E37238"/>
    <w:rsid w:val="00E403D1"/>
    <w:rsid w:val="00E552D7"/>
    <w:rsid w:val="00E621D2"/>
    <w:rsid w:val="00E64A4D"/>
    <w:rsid w:val="00E72E04"/>
    <w:rsid w:val="00E74E5E"/>
    <w:rsid w:val="00E7638E"/>
    <w:rsid w:val="00E82960"/>
    <w:rsid w:val="00E85EF7"/>
    <w:rsid w:val="00E8631B"/>
    <w:rsid w:val="00E92780"/>
    <w:rsid w:val="00E939AB"/>
    <w:rsid w:val="00E93E0B"/>
    <w:rsid w:val="00E95E2B"/>
    <w:rsid w:val="00E9616E"/>
    <w:rsid w:val="00E969DC"/>
    <w:rsid w:val="00E9774B"/>
    <w:rsid w:val="00EA0BEE"/>
    <w:rsid w:val="00EA11C7"/>
    <w:rsid w:val="00EA2AC0"/>
    <w:rsid w:val="00EA3A04"/>
    <w:rsid w:val="00EA6DDA"/>
    <w:rsid w:val="00EB12B6"/>
    <w:rsid w:val="00EB4ED1"/>
    <w:rsid w:val="00EB6F6A"/>
    <w:rsid w:val="00EC3793"/>
    <w:rsid w:val="00EC5E16"/>
    <w:rsid w:val="00EC7F82"/>
    <w:rsid w:val="00ED261C"/>
    <w:rsid w:val="00ED4356"/>
    <w:rsid w:val="00ED5BAF"/>
    <w:rsid w:val="00EE0BD0"/>
    <w:rsid w:val="00EE1C91"/>
    <w:rsid w:val="00EE24F7"/>
    <w:rsid w:val="00EE37A4"/>
    <w:rsid w:val="00EE5139"/>
    <w:rsid w:val="00EE5F81"/>
    <w:rsid w:val="00EE6827"/>
    <w:rsid w:val="00EE715D"/>
    <w:rsid w:val="00EF05B1"/>
    <w:rsid w:val="00EF55F4"/>
    <w:rsid w:val="00EF796D"/>
    <w:rsid w:val="00F01B38"/>
    <w:rsid w:val="00F024EB"/>
    <w:rsid w:val="00F03264"/>
    <w:rsid w:val="00F11E8A"/>
    <w:rsid w:val="00F12E84"/>
    <w:rsid w:val="00F13D9B"/>
    <w:rsid w:val="00F1660C"/>
    <w:rsid w:val="00F168FB"/>
    <w:rsid w:val="00F23233"/>
    <w:rsid w:val="00F235B0"/>
    <w:rsid w:val="00F26BF6"/>
    <w:rsid w:val="00F31C24"/>
    <w:rsid w:val="00F32DC2"/>
    <w:rsid w:val="00F346FF"/>
    <w:rsid w:val="00F42687"/>
    <w:rsid w:val="00F43F0D"/>
    <w:rsid w:val="00F44989"/>
    <w:rsid w:val="00F51D66"/>
    <w:rsid w:val="00F52423"/>
    <w:rsid w:val="00F53F31"/>
    <w:rsid w:val="00F54475"/>
    <w:rsid w:val="00F61EA0"/>
    <w:rsid w:val="00F63320"/>
    <w:rsid w:val="00F63BB6"/>
    <w:rsid w:val="00F64756"/>
    <w:rsid w:val="00F751AC"/>
    <w:rsid w:val="00F827EF"/>
    <w:rsid w:val="00F848E7"/>
    <w:rsid w:val="00F8573B"/>
    <w:rsid w:val="00F85E39"/>
    <w:rsid w:val="00F90495"/>
    <w:rsid w:val="00F948F6"/>
    <w:rsid w:val="00F95553"/>
    <w:rsid w:val="00F971AF"/>
    <w:rsid w:val="00F97C21"/>
    <w:rsid w:val="00F97DCB"/>
    <w:rsid w:val="00FA300D"/>
    <w:rsid w:val="00FA3554"/>
    <w:rsid w:val="00FA3932"/>
    <w:rsid w:val="00FA65B4"/>
    <w:rsid w:val="00FB1B92"/>
    <w:rsid w:val="00FC5344"/>
    <w:rsid w:val="00FC6FB2"/>
    <w:rsid w:val="00FC7CDE"/>
    <w:rsid w:val="00FD1CA5"/>
    <w:rsid w:val="00FD2A2C"/>
    <w:rsid w:val="00FD3055"/>
    <w:rsid w:val="00FD42C7"/>
    <w:rsid w:val="00FD53E6"/>
    <w:rsid w:val="00FE2CF4"/>
    <w:rsid w:val="00FE39D8"/>
    <w:rsid w:val="00FE3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imes New Roman"/>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1F"/>
    <w:pPr>
      <w:spacing w:line="288"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16"/>
    <w:pPr>
      <w:ind w:left="720"/>
      <w:contextualSpacing/>
    </w:pPr>
  </w:style>
  <w:style w:type="paragraph" w:styleId="Header">
    <w:name w:val="header"/>
    <w:basedOn w:val="Normal"/>
    <w:link w:val="HeaderChar"/>
    <w:uiPriority w:val="99"/>
    <w:unhideWhenUsed/>
    <w:rsid w:val="00B476D8"/>
    <w:pPr>
      <w:tabs>
        <w:tab w:val="center" w:pos="4680"/>
        <w:tab w:val="right" w:pos="9360"/>
      </w:tabs>
      <w:spacing w:line="240" w:lineRule="auto"/>
    </w:pPr>
  </w:style>
  <w:style w:type="character" w:customStyle="1" w:styleId="HeaderChar">
    <w:name w:val="Header Char"/>
    <w:basedOn w:val="DefaultParagraphFont"/>
    <w:link w:val="Header"/>
    <w:uiPriority w:val="99"/>
    <w:rsid w:val="00B476D8"/>
    <w:rPr>
      <w:sz w:val="28"/>
    </w:rPr>
  </w:style>
  <w:style w:type="paragraph" w:styleId="Footer">
    <w:name w:val="footer"/>
    <w:basedOn w:val="Normal"/>
    <w:link w:val="FooterChar"/>
    <w:uiPriority w:val="99"/>
    <w:unhideWhenUsed/>
    <w:rsid w:val="00B476D8"/>
    <w:pPr>
      <w:tabs>
        <w:tab w:val="center" w:pos="4680"/>
        <w:tab w:val="right" w:pos="9360"/>
      </w:tabs>
      <w:spacing w:line="240" w:lineRule="auto"/>
    </w:pPr>
  </w:style>
  <w:style w:type="character" w:customStyle="1" w:styleId="FooterChar">
    <w:name w:val="Footer Char"/>
    <w:basedOn w:val="DefaultParagraphFont"/>
    <w:link w:val="Footer"/>
    <w:uiPriority w:val="99"/>
    <w:rsid w:val="00B476D8"/>
    <w:rPr>
      <w:sz w:val="28"/>
    </w:rPr>
  </w:style>
  <w:style w:type="paragraph" w:styleId="FootnoteText">
    <w:name w:val="footnote text"/>
    <w:basedOn w:val="Normal"/>
    <w:link w:val="FootnoteTextChar"/>
    <w:uiPriority w:val="99"/>
    <w:unhideWhenUsed/>
    <w:rsid w:val="00B27EA3"/>
    <w:pPr>
      <w:spacing w:line="240" w:lineRule="auto"/>
    </w:pPr>
    <w:rPr>
      <w:sz w:val="20"/>
      <w:szCs w:val="20"/>
    </w:rPr>
  </w:style>
  <w:style w:type="character" w:customStyle="1" w:styleId="FootnoteTextChar">
    <w:name w:val="Footnote Text Char"/>
    <w:basedOn w:val="DefaultParagraphFont"/>
    <w:link w:val="FootnoteText"/>
    <w:uiPriority w:val="99"/>
    <w:rsid w:val="00B27EA3"/>
    <w:rPr>
      <w:sz w:val="20"/>
      <w:szCs w:val="20"/>
    </w:rPr>
  </w:style>
  <w:style w:type="character" w:styleId="FootnoteReference">
    <w:name w:val="footnote reference"/>
    <w:basedOn w:val="DefaultParagraphFont"/>
    <w:uiPriority w:val="99"/>
    <w:semiHidden/>
    <w:unhideWhenUsed/>
    <w:rsid w:val="00B27EA3"/>
    <w:rPr>
      <w:vertAlign w:val="superscript"/>
    </w:rPr>
  </w:style>
  <w:style w:type="character" w:styleId="PlaceholderText">
    <w:name w:val="Placeholder Text"/>
    <w:basedOn w:val="DefaultParagraphFont"/>
    <w:uiPriority w:val="99"/>
    <w:semiHidden/>
    <w:rsid w:val="001203E3"/>
    <w:rPr>
      <w:color w:val="808080"/>
    </w:rPr>
  </w:style>
  <w:style w:type="paragraph" w:styleId="BalloonText">
    <w:name w:val="Balloon Text"/>
    <w:basedOn w:val="Normal"/>
    <w:link w:val="BalloonTextChar"/>
    <w:uiPriority w:val="99"/>
    <w:semiHidden/>
    <w:unhideWhenUsed/>
    <w:rsid w:val="00120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E3"/>
    <w:rPr>
      <w:rFonts w:ascii="Tahoma" w:hAnsi="Tahoma" w:cs="Tahoma"/>
      <w:sz w:val="16"/>
      <w:szCs w:val="16"/>
    </w:rPr>
  </w:style>
  <w:style w:type="paragraph" w:styleId="Revision">
    <w:name w:val="Revision"/>
    <w:hidden/>
    <w:uiPriority w:val="99"/>
    <w:semiHidden/>
    <w:rsid w:val="00DF314F"/>
    <w:pPr>
      <w:spacing w:line="240" w:lineRule="auto"/>
    </w:pPr>
    <w:rPr>
      <w:sz w:val="28"/>
    </w:rPr>
  </w:style>
  <w:style w:type="character" w:customStyle="1" w:styleId="added-material">
    <w:name w:val="added-material"/>
    <w:basedOn w:val="DefaultParagraphFont"/>
    <w:rsid w:val="009F2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imes New Roman"/>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1F"/>
    <w:pPr>
      <w:spacing w:line="288"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16"/>
    <w:pPr>
      <w:ind w:left="720"/>
      <w:contextualSpacing/>
    </w:pPr>
  </w:style>
  <w:style w:type="paragraph" w:styleId="Header">
    <w:name w:val="header"/>
    <w:basedOn w:val="Normal"/>
    <w:link w:val="HeaderChar"/>
    <w:uiPriority w:val="99"/>
    <w:unhideWhenUsed/>
    <w:rsid w:val="00B476D8"/>
    <w:pPr>
      <w:tabs>
        <w:tab w:val="center" w:pos="4680"/>
        <w:tab w:val="right" w:pos="9360"/>
      </w:tabs>
      <w:spacing w:line="240" w:lineRule="auto"/>
    </w:pPr>
  </w:style>
  <w:style w:type="character" w:customStyle="1" w:styleId="HeaderChar">
    <w:name w:val="Header Char"/>
    <w:basedOn w:val="DefaultParagraphFont"/>
    <w:link w:val="Header"/>
    <w:uiPriority w:val="99"/>
    <w:rsid w:val="00B476D8"/>
    <w:rPr>
      <w:sz w:val="28"/>
    </w:rPr>
  </w:style>
  <w:style w:type="paragraph" w:styleId="Footer">
    <w:name w:val="footer"/>
    <w:basedOn w:val="Normal"/>
    <w:link w:val="FooterChar"/>
    <w:uiPriority w:val="99"/>
    <w:unhideWhenUsed/>
    <w:rsid w:val="00B476D8"/>
    <w:pPr>
      <w:tabs>
        <w:tab w:val="center" w:pos="4680"/>
        <w:tab w:val="right" w:pos="9360"/>
      </w:tabs>
      <w:spacing w:line="240" w:lineRule="auto"/>
    </w:pPr>
  </w:style>
  <w:style w:type="character" w:customStyle="1" w:styleId="FooterChar">
    <w:name w:val="Footer Char"/>
    <w:basedOn w:val="DefaultParagraphFont"/>
    <w:link w:val="Footer"/>
    <w:uiPriority w:val="99"/>
    <w:rsid w:val="00B476D8"/>
    <w:rPr>
      <w:sz w:val="28"/>
    </w:rPr>
  </w:style>
  <w:style w:type="paragraph" w:styleId="FootnoteText">
    <w:name w:val="footnote text"/>
    <w:basedOn w:val="Normal"/>
    <w:link w:val="FootnoteTextChar"/>
    <w:uiPriority w:val="99"/>
    <w:unhideWhenUsed/>
    <w:rsid w:val="00B27EA3"/>
    <w:pPr>
      <w:spacing w:line="240" w:lineRule="auto"/>
    </w:pPr>
    <w:rPr>
      <w:sz w:val="20"/>
      <w:szCs w:val="20"/>
    </w:rPr>
  </w:style>
  <w:style w:type="character" w:customStyle="1" w:styleId="FootnoteTextChar">
    <w:name w:val="Footnote Text Char"/>
    <w:basedOn w:val="DefaultParagraphFont"/>
    <w:link w:val="FootnoteText"/>
    <w:uiPriority w:val="99"/>
    <w:rsid w:val="00B27EA3"/>
    <w:rPr>
      <w:sz w:val="20"/>
      <w:szCs w:val="20"/>
    </w:rPr>
  </w:style>
  <w:style w:type="character" w:styleId="FootnoteReference">
    <w:name w:val="footnote reference"/>
    <w:basedOn w:val="DefaultParagraphFont"/>
    <w:uiPriority w:val="99"/>
    <w:semiHidden/>
    <w:unhideWhenUsed/>
    <w:rsid w:val="00B27EA3"/>
    <w:rPr>
      <w:vertAlign w:val="superscript"/>
    </w:rPr>
  </w:style>
  <w:style w:type="character" w:styleId="PlaceholderText">
    <w:name w:val="Placeholder Text"/>
    <w:basedOn w:val="DefaultParagraphFont"/>
    <w:uiPriority w:val="99"/>
    <w:semiHidden/>
    <w:rsid w:val="001203E3"/>
    <w:rPr>
      <w:color w:val="808080"/>
    </w:rPr>
  </w:style>
  <w:style w:type="paragraph" w:styleId="BalloonText">
    <w:name w:val="Balloon Text"/>
    <w:basedOn w:val="Normal"/>
    <w:link w:val="BalloonTextChar"/>
    <w:uiPriority w:val="99"/>
    <w:semiHidden/>
    <w:unhideWhenUsed/>
    <w:rsid w:val="001203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E3"/>
    <w:rPr>
      <w:rFonts w:ascii="Tahoma" w:hAnsi="Tahoma" w:cs="Tahoma"/>
      <w:sz w:val="16"/>
      <w:szCs w:val="16"/>
    </w:rPr>
  </w:style>
  <w:style w:type="paragraph" w:styleId="Revision">
    <w:name w:val="Revision"/>
    <w:hidden/>
    <w:uiPriority w:val="99"/>
    <w:semiHidden/>
    <w:rsid w:val="00DF314F"/>
    <w:pPr>
      <w:spacing w:line="240" w:lineRule="auto"/>
    </w:pPr>
    <w:rPr>
      <w:sz w:val="28"/>
    </w:rPr>
  </w:style>
  <w:style w:type="character" w:customStyle="1" w:styleId="added-material">
    <w:name w:val="added-material"/>
    <w:basedOn w:val="DefaultParagraphFont"/>
    <w:rsid w:val="009F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51163">
      <w:bodyDiv w:val="1"/>
      <w:marLeft w:val="0"/>
      <w:marRight w:val="0"/>
      <w:marTop w:val="0"/>
      <w:marBottom w:val="0"/>
      <w:divBdr>
        <w:top w:val="single" w:sz="12" w:space="0" w:color="767575"/>
        <w:left w:val="none" w:sz="0" w:space="0" w:color="auto"/>
        <w:bottom w:val="none" w:sz="0" w:space="0" w:color="auto"/>
        <w:right w:val="none" w:sz="0" w:space="0" w:color="auto"/>
      </w:divBdr>
      <w:divsChild>
        <w:div w:id="816923607">
          <w:marLeft w:val="0"/>
          <w:marRight w:val="0"/>
          <w:marTop w:val="0"/>
          <w:marBottom w:val="0"/>
          <w:divBdr>
            <w:top w:val="none" w:sz="0" w:space="0" w:color="auto"/>
            <w:left w:val="none" w:sz="0" w:space="0" w:color="auto"/>
            <w:bottom w:val="none" w:sz="0" w:space="0" w:color="auto"/>
            <w:right w:val="none" w:sz="0" w:space="0" w:color="auto"/>
          </w:divBdr>
          <w:divsChild>
            <w:div w:id="66853667">
              <w:marLeft w:val="0"/>
              <w:marRight w:val="0"/>
              <w:marTop w:val="0"/>
              <w:marBottom w:val="0"/>
              <w:divBdr>
                <w:top w:val="none" w:sz="0" w:space="0" w:color="auto"/>
                <w:left w:val="none" w:sz="0" w:space="0" w:color="auto"/>
                <w:bottom w:val="none" w:sz="0" w:space="0" w:color="auto"/>
                <w:right w:val="none" w:sz="0" w:space="0" w:color="auto"/>
              </w:divBdr>
              <w:divsChild>
                <w:div w:id="1819452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23224164">
                      <w:marLeft w:val="300"/>
                      <w:marRight w:val="0"/>
                      <w:marTop w:val="0"/>
                      <w:marBottom w:val="0"/>
                      <w:divBdr>
                        <w:top w:val="none" w:sz="0" w:space="0" w:color="auto"/>
                        <w:left w:val="none" w:sz="0" w:space="0" w:color="auto"/>
                        <w:bottom w:val="none" w:sz="0" w:space="0" w:color="auto"/>
                        <w:right w:val="none" w:sz="0" w:space="0" w:color="auto"/>
                      </w:divBdr>
                      <w:divsChild>
                        <w:div w:id="1740665710">
                          <w:marLeft w:val="0"/>
                          <w:marRight w:val="0"/>
                          <w:marTop w:val="0"/>
                          <w:marBottom w:val="0"/>
                          <w:divBdr>
                            <w:top w:val="none" w:sz="0" w:space="0" w:color="auto"/>
                            <w:left w:val="none" w:sz="0" w:space="0" w:color="auto"/>
                            <w:bottom w:val="none" w:sz="0" w:space="0" w:color="auto"/>
                            <w:right w:val="none" w:sz="0" w:space="0" w:color="auto"/>
                          </w:divBdr>
                          <w:divsChild>
                            <w:div w:id="5320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013581">
      <w:bodyDiv w:val="1"/>
      <w:marLeft w:val="0"/>
      <w:marRight w:val="0"/>
      <w:marTop w:val="0"/>
      <w:marBottom w:val="0"/>
      <w:divBdr>
        <w:top w:val="single" w:sz="12" w:space="0" w:color="767575"/>
        <w:left w:val="none" w:sz="0" w:space="0" w:color="auto"/>
        <w:bottom w:val="none" w:sz="0" w:space="0" w:color="auto"/>
        <w:right w:val="none" w:sz="0" w:space="0" w:color="auto"/>
      </w:divBdr>
      <w:divsChild>
        <w:div w:id="131755816">
          <w:marLeft w:val="0"/>
          <w:marRight w:val="0"/>
          <w:marTop w:val="0"/>
          <w:marBottom w:val="0"/>
          <w:divBdr>
            <w:top w:val="none" w:sz="0" w:space="0" w:color="auto"/>
            <w:left w:val="none" w:sz="0" w:space="0" w:color="auto"/>
            <w:bottom w:val="none" w:sz="0" w:space="0" w:color="auto"/>
            <w:right w:val="none" w:sz="0" w:space="0" w:color="auto"/>
          </w:divBdr>
          <w:divsChild>
            <w:div w:id="267006079">
              <w:marLeft w:val="0"/>
              <w:marRight w:val="0"/>
              <w:marTop w:val="0"/>
              <w:marBottom w:val="0"/>
              <w:divBdr>
                <w:top w:val="none" w:sz="0" w:space="0" w:color="auto"/>
                <w:left w:val="none" w:sz="0" w:space="0" w:color="auto"/>
                <w:bottom w:val="none" w:sz="0" w:space="0" w:color="auto"/>
                <w:right w:val="none" w:sz="0" w:space="0" w:color="auto"/>
              </w:divBdr>
              <w:divsChild>
                <w:div w:id="59267070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25378899">
                      <w:marLeft w:val="300"/>
                      <w:marRight w:val="0"/>
                      <w:marTop w:val="0"/>
                      <w:marBottom w:val="0"/>
                      <w:divBdr>
                        <w:top w:val="none" w:sz="0" w:space="0" w:color="auto"/>
                        <w:left w:val="none" w:sz="0" w:space="0" w:color="auto"/>
                        <w:bottom w:val="none" w:sz="0" w:space="0" w:color="auto"/>
                        <w:right w:val="none" w:sz="0" w:space="0" w:color="auto"/>
                      </w:divBdr>
                      <w:divsChild>
                        <w:div w:id="956913110">
                          <w:marLeft w:val="0"/>
                          <w:marRight w:val="0"/>
                          <w:marTop w:val="0"/>
                          <w:marBottom w:val="0"/>
                          <w:divBdr>
                            <w:top w:val="none" w:sz="0" w:space="0" w:color="auto"/>
                            <w:left w:val="none" w:sz="0" w:space="0" w:color="auto"/>
                            <w:bottom w:val="none" w:sz="0" w:space="0" w:color="auto"/>
                            <w:right w:val="none" w:sz="0" w:space="0" w:color="auto"/>
                          </w:divBdr>
                          <w:divsChild>
                            <w:div w:id="5178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6673</Words>
  <Characters>35569</Characters>
  <Application>Microsoft Office Word</Application>
  <DocSecurity>0</DocSecurity>
  <Lines>658</Lines>
  <Paragraphs>191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2018-10-31T18:49:00Z</cp:lastPrinted>
  <dcterms:created xsi:type="dcterms:W3CDTF">2018-10-31T18:52:00Z</dcterms:created>
  <dcterms:modified xsi:type="dcterms:W3CDTF">2018-10-31T18:52:00Z</dcterms:modified>
</cp:coreProperties>
</file>