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7F5" w:rsidRPr="00FC30D9" w:rsidRDefault="000A17F5" w:rsidP="000A17F5">
      <w:pPr>
        <w:spacing w:line="240" w:lineRule="auto"/>
        <w:rPr>
          <w:rFonts w:ascii="Century Schoolbook" w:hAnsi="Century Schoolbook"/>
          <w:sz w:val="20"/>
          <w:szCs w:val="20"/>
        </w:rPr>
      </w:pPr>
      <w:r w:rsidRPr="00FC30D9">
        <w:rPr>
          <w:rFonts w:ascii="Century Schoolbook" w:hAnsi="Century Schoolbook"/>
          <w:sz w:val="20"/>
          <w:szCs w:val="20"/>
        </w:rPr>
        <w:t>Filed 1/24/19</w:t>
      </w:r>
      <w:r>
        <w:rPr>
          <w:rFonts w:ascii="Century Schoolbook" w:hAnsi="Century Schoolbook"/>
          <w:sz w:val="20"/>
          <w:szCs w:val="20"/>
        </w:rPr>
        <w:t xml:space="preserve"> (unmodified opn. attached)</w:t>
      </w:r>
    </w:p>
    <w:p w:rsidR="000A17F5" w:rsidRPr="00C20D0B" w:rsidRDefault="000A17F5" w:rsidP="000A17F5">
      <w:pPr>
        <w:spacing w:line="240" w:lineRule="auto"/>
        <w:jc w:val="center"/>
        <w:rPr>
          <w:rFonts w:ascii="Century Schoolbook" w:hAnsi="Century Schoolbook"/>
          <w:b/>
          <w:szCs w:val="26"/>
        </w:rPr>
      </w:pPr>
      <w:r w:rsidRPr="00C20D0B">
        <w:rPr>
          <w:rFonts w:ascii="Century Schoolbook" w:hAnsi="Century Schoolbook"/>
          <w:b/>
          <w:szCs w:val="26"/>
        </w:rPr>
        <w:t>CERTIFIED FOR PUBLICATION</w:t>
      </w:r>
    </w:p>
    <w:p w:rsidR="000A17F5" w:rsidRPr="00C20D0B" w:rsidRDefault="000A17F5" w:rsidP="000A17F5">
      <w:pPr>
        <w:spacing w:line="240" w:lineRule="auto"/>
        <w:jc w:val="center"/>
        <w:rPr>
          <w:rFonts w:ascii="Century Schoolbook" w:hAnsi="Century Schoolbook"/>
          <w:szCs w:val="26"/>
        </w:rPr>
      </w:pPr>
    </w:p>
    <w:p w:rsidR="000A17F5" w:rsidRPr="00C20D0B" w:rsidRDefault="000A17F5" w:rsidP="000A17F5">
      <w:pPr>
        <w:spacing w:line="240" w:lineRule="auto"/>
        <w:jc w:val="center"/>
        <w:rPr>
          <w:rFonts w:ascii="Century Schoolbook" w:hAnsi="Century Schoolbook"/>
          <w:szCs w:val="26"/>
        </w:rPr>
      </w:pPr>
      <w:r w:rsidRPr="00C20D0B">
        <w:rPr>
          <w:rFonts w:ascii="Century Schoolbook" w:hAnsi="Century Schoolbook"/>
          <w:szCs w:val="26"/>
        </w:rPr>
        <w:t>IN THE COURT OF APPEAL OF THE STATE OF CALIFORNIA</w:t>
      </w:r>
    </w:p>
    <w:p w:rsidR="000A17F5" w:rsidRPr="00C20D0B" w:rsidRDefault="000A17F5" w:rsidP="000A17F5">
      <w:pPr>
        <w:spacing w:line="240" w:lineRule="auto"/>
        <w:jc w:val="center"/>
        <w:rPr>
          <w:rFonts w:ascii="Century Schoolbook" w:hAnsi="Century Schoolbook"/>
          <w:szCs w:val="26"/>
        </w:rPr>
      </w:pPr>
    </w:p>
    <w:p w:rsidR="000A17F5" w:rsidRPr="00C20D0B" w:rsidRDefault="000A17F5" w:rsidP="000A17F5">
      <w:pPr>
        <w:spacing w:line="240" w:lineRule="auto"/>
        <w:jc w:val="center"/>
        <w:rPr>
          <w:rFonts w:ascii="Century Schoolbook" w:hAnsi="Century Schoolbook"/>
          <w:szCs w:val="26"/>
        </w:rPr>
      </w:pPr>
      <w:r w:rsidRPr="00C20D0B">
        <w:rPr>
          <w:rFonts w:ascii="Century Schoolbook" w:hAnsi="Century Schoolbook"/>
          <w:szCs w:val="26"/>
        </w:rPr>
        <w:t>SECOND APPELLATE DISTRICT</w:t>
      </w:r>
    </w:p>
    <w:p w:rsidR="000A17F5" w:rsidRPr="00C20D0B" w:rsidRDefault="000A17F5" w:rsidP="000A17F5">
      <w:pPr>
        <w:spacing w:line="240" w:lineRule="auto"/>
        <w:jc w:val="center"/>
        <w:rPr>
          <w:rFonts w:ascii="Century Schoolbook" w:hAnsi="Century Schoolbook"/>
          <w:szCs w:val="26"/>
        </w:rPr>
      </w:pPr>
    </w:p>
    <w:p w:rsidR="000A17F5" w:rsidRPr="00C20D0B" w:rsidRDefault="000A17F5" w:rsidP="000A17F5">
      <w:pPr>
        <w:spacing w:line="240" w:lineRule="auto"/>
        <w:jc w:val="center"/>
        <w:rPr>
          <w:rFonts w:ascii="Century Schoolbook" w:hAnsi="Century Schoolbook"/>
          <w:szCs w:val="26"/>
        </w:rPr>
      </w:pPr>
      <w:r w:rsidRPr="00C20D0B">
        <w:rPr>
          <w:rFonts w:ascii="Century Schoolbook" w:hAnsi="Century Schoolbook"/>
          <w:szCs w:val="26"/>
        </w:rPr>
        <w:t>DIVISION TWO</w:t>
      </w:r>
    </w:p>
    <w:p w:rsidR="000A17F5" w:rsidRPr="00C20D0B" w:rsidRDefault="000A17F5" w:rsidP="000A17F5">
      <w:pPr>
        <w:spacing w:line="240" w:lineRule="auto"/>
        <w:jc w:val="center"/>
        <w:rPr>
          <w:rFonts w:ascii="Century Schoolbook" w:hAnsi="Century Schoolbook"/>
          <w:szCs w:val="26"/>
        </w:rPr>
      </w:pPr>
    </w:p>
    <w:p w:rsidR="000A17F5" w:rsidRPr="00C20D0B" w:rsidRDefault="000A17F5" w:rsidP="000A17F5">
      <w:pPr>
        <w:spacing w:line="240" w:lineRule="auto"/>
        <w:jc w:val="center"/>
        <w:rPr>
          <w:rFonts w:ascii="Century Schoolbook" w:hAnsi="Century Schoolbook"/>
          <w:szCs w:val="26"/>
        </w:rPr>
      </w:pPr>
    </w:p>
    <w:tbl>
      <w:tblPr>
        <w:tblW w:w="9576" w:type="dxa"/>
        <w:tblLayout w:type="fixed"/>
        <w:tblLook w:val="0000" w:firstRow="0" w:lastRow="0" w:firstColumn="0" w:lastColumn="0" w:noHBand="0" w:noVBand="0"/>
      </w:tblPr>
      <w:tblGrid>
        <w:gridCol w:w="4788"/>
        <w:gridCol w:w="4788"/>
      </w:tblGrid>
      <w:tr w:rsidR="000A17F5" w:rsidTr="000A0DD2">
        <w:tc>
          <w:tcPr>
            <w:tcW w:w="4788" w:type="dxa"/>
            <w:tcBorders>
              <w:bottom w:val="single" w:sz="4" w:space="0" w:color="auto"/>
              <w:right w:val="single" w:sz="4" w:space="0" w:color="auto"/>
            </w:tcBorders>
            <w:shd w:val="clear" w:color="auto" w:fill="auto"/>
          </w:tcPr>
          <w:p w:rsidR="000A17F5" w:rsidRPr="00C20D0B" w:rsidRDefault="000A17F5" w:rsidP="000A0DD2">
            <w:pPr>
              <w:spacing w:line="240" w:lineRule="auto"/>
              <w:rPr>
                <w:rFonts w:ascii="Century Schoolbook" w:hAnsi="Century Schoolbook"/>
                <w:szCs w:val="26"/>
              </w:rPr>
            </w:pPr>
            <w:r>
              <w:rPr>
                <w:rFonts w:ascii="Century Schoolbook" w:hAnsi="Century Schoolbook"/>
                <w:szCs w:val="26"/>
              </w:rPr>
              <w:t>DIONNE LICUDINE</w:t>
            </w:r>
            <w:r w:rsidRPr="00C20D0B">
              <w:rPr>
                <w:rFonts w:ascii="Century Schoolbook" w:hAnsi="Century Schoolbook"/>
                <w:szCs w:val="26"/>
              </w:rPr>
              <w:t>,</w:t>
            </w:r>
          </w:p>
          <w:p w:rsidR="000A17F5" w:rsidRPr="00C20D0B" w:rsidRDefault="000A17F5" w:rsidP="000A0DD2">
            <w:pPr>
              <w:spacing w:line="240" w:lineRule="auto"/>
              <w:rPr>
                <w:rFonts w:ascii="Century Schoolbook" w:hAnsi="Century Schoolbook"/>
                <w:szCs w:val="26"/>
              </w:rPr>
            </w:pPr>
          </w:p>
          <w:p w:rsidR="000A17F5" w:rsidRPr="00C20D0B" w:rsidRDefault="000A17F5" w:rsidP="000A0DD2">
            <w:pPr>
              <w:spacing w:line="240" w:lineRule="auto"/>
              <w:rPr>
                <w:rFonts w:ascii="Century Schoolbook" w:hAnsi="Century Schoolbook"/>
                <w:szCs w:val="26"/>
              </w:rPr>
            </w:pPr>
            <w:r w:rsidRPr="00C20D0B">
              <w:rPr>
                <w:rFonts w:ascii="Century Schoolbook" w:hAnsi="Century Schoolbook"/>
                <w:szCs w:val="26"/>
              </w:rPr>
              <w:tab/>
              <w:t xml:space="preserve">Plaintiff and </w:t>
            </w:r>
            <w:r>
              <w:rPr>
                <w:rFonts w:ascii="Century Schoolbook" w:hAnsi="Century Schoolbook"/>
                <w:szCs w:val="26"/>
              </w:rPr>
              <w:t>Appellant</w:t>
            </w:r>
            <w:r w:rsidRPr="00C20D0B">
              <w:rPr>
                <w:rFonts w:ascii="Century Schoolbook" w:hAnsi="Century Schoolbook"/>
                <w:szCs w:val="26"/>
              </w:rPr>
              <w:t>,</w:t>
            </w:r>
          </w:p>
          <w:p w:rsidR="000A17F5" w:rsidRPr="00C20D0B" w:rsidRDefault="000A17F5" w:rsidP="000A0DD2">
            <w:pPr>
              <w:spacing w:line="240" w:lineRule="auto"/>
              <w:rPr>
                <w:rFonts w:ascii="Century Schoolbook" w:hAnsi="Century Schoolbook"/>
                <w:szCs w:val="26"/>
              </w:rPr>
            </w:pPr>
          </w:p>
          <w:p w:rsidR="000A17F5" w:rsidRPr="00C20D0B" w:rsidRDefault="000A17F5" w:rsidP="000A0DD2">
            <w:pPr>
              <w:spacing w:line="240" w:lineRule="auto"/>
              <w:rPr>
                <w:rFonts w:ascii="Century Schoolbook" w:hAnsi="Century Schoolbook"/>
                <w:szCs w:val="26"/>
              </w:rPr>
            </w:pPr>
            <w:r w:rsidRPr="00C20D0B">
              <w:rPr>
                <w:rFonts w:ascii="Century Schoolbook" w:hAnsi="Century Schoolbook"/>
                <w:szCs w:val="26"/>
              </w:rPr>
              <w:tab/>
              <w:t>v.</w:t>
            </w:r>
          </w:p>
          <w:p w:rsidR="000A17F5" w:rsidRPr="00C20D0B" w:rsidRDefault="000A17F5" w:rsidP="000A0DD2">
            <w:pPr>
              <w:spacing w:line="240" w:lineRule="auto"/>
              <w:rPr>
                <w:rFonts w:ascii="Century Schoolbook" w:hAnsi="Century Schoolbook"/>
                <w:szCs w:val="26"/>
              </w:rPr>
            </w:pPr>
          </w:p>
          <w:p w:rsidR="000A17F5" w:rsidRPr="00C20D0B" w:rsidRDefault="000A17F5" w:rsidP="000A0DD2">
            <w:pPr>
              <w:spacing w:line="240" w:lineRule="auto"/>
              <w:rPr>
                <w:rFonts w:ascii="Century Schoolbook" w:hAnsi="Century Schoolbook"/>
                <w:szCs w:val="26"/>
              </w:rPr>
            </w:pPr>
            <w:r>
              <w:rPr>
                <w:rFonts w:ascii="Century Schoolbook" w:hAnsi="Century Schoolbook"/>
                <w:szCs w:val="26"/>
              </w:rPr>
              <w:t>CEDARS-SINAI MEDICAL CENTER et al.,</w:t>
            </w:r>
          </w:p>
          <w:p w:rsidR="000A17F5" w:rsidRPr="00C20D0B" w:rsidRDefault="000A17F5" w:rsidP="000A0DD2">
            <w:pPr>
              <w:spacing w:line="240" w:lineRule="auto"/>
              <w:rPr>
                <w:rFonts w:ascii="Century Schoolbook" w:hAnsi="Century Schoolbook"/>
                <w:szCs w:val="26"/>
              </w:rPr>
            </w:pPr>
          </w:p>
          <w:p w:rsidR="000A17F5" w:rsidRPr="00C20D0B" w:rsidRDefault="000A17F5" w:rsidP="000A0DD2">
            <w:pPr>
              <w:spacing w:line="240" w:lineRule="auto"/>
              <w:rPr>
                <w:rFonts w:ascii="Century Schoolbook" w:hAnsi="Century Schoolbook"/>
                <w:szCs w:val="26"/>
              </w:rPr>
            </w:pPr>
            <w:r w:rsidRPr="00C20D0B">
              <w:rPr>
                <w:rFonts w:ascii="Century Schoolbook" w:hAnsi="Century Schoolbook"/>
                <w:szCs w:val="26"/>
              </w:rPr>
              <w:tab/>
              <w:t>Defendant</w:t>
            </w:r>
            <w:r>
              <w:rPr>
                <w:rFonts w:ascii="Century Schoolbook" w:hAnsi="Century Schoolbook"/>
                <w:szCs w:val="26"/>
              </w:rPr>
              <w:t>s</w:t>
            </w:r>
            <w:r w:rsidRPr="00C20D0B">
              <w:rPr>
                <w:rFonts w:ascii="Century Schoolbook" w:hAnsi="Century Schoolbook"/>
                <w:szCs w:val="26"/>
              </w:rPr>
              <w:t xml:space="preserve"> and </w:t>
            </w:r>
            <w:r>
              <w:rPr>
                <w:rFonts w:ascii="Century Schoolbook" w:hAnsi="Century Schoolbook"/>
                <w:szCs w:val="26"/>
              </w:rPr>
              <w:t>Respondents</w:t>
            </w:r>
            <w:r w:rsidRPr="00C20D0B">
              <w:rPr>
                <w:rFonts w:ascii="Century Schoolbook" w:hAnsi="Century Schoolbook"/>
                <w:szCs w:val="26"/>
              </w:rPr>
              <w:t>.</w:t>
            </w:r>
          </w:p>
          <w:p w:rsidR="000A17F5" w:rsidRPr="00C20D0B" w:rsidRDefault="000A17F5" w:rsidP="000A0DD2">
            <w:pPr>
              <w:spacing w:line="240" w:lineRule="auto"/>
              <w:rPr>
                <w:rFonts w:ascii="Century Schoolbook" w:hAnsi="Century Schoolbook"/>
                <w:szCs w:val="26"/>
              </w:rPr>
            </w:pPr>
          </w:p>
        </w:tc>
        <w:tc>
          <w:tcPr>
            <w:tcW w:w="4788" w:type="dxa"/>
            <w:tcBorders>
              <w:left w:val="single" w:sz="4" w:space="0" w:color="auto"/>
            </w:tcBorders>
            <w:shd w:val="clear" w:color="auto" w:fill="auto"/>
          </w:tcPr>
          <w:p w:rsidR="000A17F5" w:rsidRPr="00C20D0B" w:rsidRDefault="000A17F5" w:rsidP="000A0DD2">
            <w:pPr>
              <w:spacing w:line="240" w:lineRule="auto"/>
              <w:rPr>
                <w:rFonts w:ascii="Century Schoolbook" w:hAnsi="Century Schoolbook"/>
                <w:szCs w:val="26"/>
              </w:rPr>
            </w:pPr>
            <w:r w:rsidRPr="00C20D0B">
              <w:rPr>
                <w:rFonts w:ascii="Century Schoolbook" w:hAnsi="Century Schoolbook"/>
                <w:szCs w:val="26"/>
              </w:rPr>
              <w:t xml:space="preserve">      B28</w:t>
            </w:r>
            <w:r>
              <w:rPr>
                <w:rFonts w:ascii="Century Schoolbook" w:hAnsi="Century Schoolbook"/>
                <w:szCs w:val="26"/>
              </w:rPr>
              <w:t>6350</w:t>
            </w:r>
          </w:p>
          <w:p w:rsidR="000A17F5" w:rsidRPr="00C20D0B" w:rsidRDefault="000A17F5" w:rsidP="000A0DD2">
            <w:pPr>
              <w:spacing w:line="240" w:lineRule="auto"/>
              <w:ind w:firstLine="720"/>
              <w:rPr>
                <w:rFonts w:ascii="Century Schoolbook" w:hAnsi="Century Schoolbook"/>
                <w:szCs w:val="26"/>
              </w:rPr>
            </w:pPr>
          </w:p>
          <w:p w:rsidR="000A17F5" w:rsidRPr="00C20D0B" w:rsidRDefault="000A17F5" w:rsidP="000A0DD2">
            <w:pPr>
              <w:spacing w:line="240" w:lineRule="auto"/>
              <w:rPr>
                <w:rFonts w:ascii="Century Schoolbook" w:hAnsi="Century Schoolbook"/>
                <w:szCs w:val="26"/>
              </w:rPr>
            </w:pPr>
            <w:r w:rsidRPr="00C20D0B">
              <w:rPr>
                <w:rFonts w:ascii="Century Schoolbook" w:hAnsi="Century Schoolbook"/>
                <w:szCs w:val="26"/>
              </w:rPr>
              <w:t xml:space="preserve">      (Los Angeles County</w:t>
            </w:r>
          </w:p>
          <w:p w:rsidR="000A17F5" w:rsidRPr="00C20D0B" w:rsidRDefault="000A17F5" w:rsidP="000A0DD2">
            <w:pPr>
              <w:spacing w:line="240" w:lineRule="auto"/>
              <w:rPr>
                <w:rFonts w:ascii="Century Schoolbook" w:hAnsi="Century Schoolbook"/>
                <w:szCs w:val="26"/>
              </w:rPr>
            </w:pPr>
            <w:r w:rsidRPr="00C20D0B">
              <w:rPr>
                <w:rFonts w:ascii="Century Schoolbook" w:hAnsi="Century Schoolbook"/>
                <w:szCs w:val="26"/>
              </w:rPr>
              <w:t xml:space="preserve">      Super. Ct. No. </w:t>
            </w:r>
            <w:r>
              <w:rPr>
                <w:rFonts w:ascii="Century Schoolbook" w:hAnsi="Century Schoolbook"/>
                <w:szCs w:val="26"/>
              </w:rPr>
              <w:t>BC499153</w:t>
            </w:r>
            <w:r w:rsidRPr="00C20D0B">
              <w:rPr>
                <w:rFonts w:ascii="Century Schoolbook" w:hAnsi="Century Schoolbook"/>
                <w:szCs w:val="26"/>
              </w:rPr>
              <w:t>)</w:t>
            </w:r>
          </w:p>
          <w:p w:rsidR="000A17F5" w:rsidRDefault="000A17F5" w:rsidP="000A0DD2">
            <w:pPr>
              <w:spacing w:line="240" w:lineRule="auto"/>
              <w:rPr>
                <w:rFonts w:ascii="Century Schoolbook" w:hAnsi="Century Schoolbook"/>
              </w:rPr>
            </w:pPr>
          </w:p>
          <w:p w:rsidR="000A17F5" w:rsidRPr="002007DF" w:rsidRDefault="000A17F5" w:rsidP="000A0DD2">
            <w:pPr>
              <w:spacing w:line="240" w:lineRule="auto"/>
              <w:rPr>
                <w:rFonts w:ascii="Century Schoolbook" w:hAnsi="Century Schoolbook"/>
                <w:b/>
              </w:rPr>
            </w:pPr>
            <w:r w:rsidRPr="002007DF">
              <w:rPr>
                <w:rFonts w:ascii="Century Schoolbook" w:hAnsi="Century Schoolbook"/>
                <w:b/>
              </w:rPr>
              <w:t xml:space="preserve">  </w:t>
            </w:r>
            <w:r>
              <w:rPr>
                <w:rFonts w:ascii="Century Schoolbook" w:hAnsi="Century Schoolbook"/>
                <w:b/>
              </w:rPr>
              <w:t xml:space="preserve">  </w:t>
            </w:r>
            <w:r w:rsidRPr="002007DF">
              <w:rPr>
                <w:rFonts w:ascii="Century Schoolbook" w:hAnsi="Century Schoolbook"/>
                <w:b/>
              </w:rPr>
              <w:t>ORDER MODIFYING OPINION</w:t>
            </w:r>
          </w:p>
          <w:p w:rsidR="000A17F5" w:rsidRPr="002007DF" w:rsidRDefault="000A17F5" w:rsidP="000A0DD2">
            <w:pPr>
              <w:spacing w:line="240" w:lineRule="auto"/>
              <w:rPr>
                <w:rFonts w:ascii="Century Schoolbook" w:hAnsi="Century Schoolbook"/>
                <w:b/>
                <w:caps/>
              </w:rPr>
            </w:pPr>
            <w:r w:rsidRPr="002007DF">
              <w:rPr>
                <w:rFonts w:ascii="Century Schoolbook" w:hAnsi="Century Schoolbook"/>
                <w:b/>
                <w:caps/>
              </w:rPr>
              <w:t xml:space="preserve">    AND DENYING PETITION FOR </w:t>
            </w:r>
          </w:p>
          <w:p w:rsidR="000A17F5" w:rsidRPr="002007DF" w:rsidRDefault="000A17F5" w:rsidP="000A0DD2">
            <w:pPr>
              <w:spacing w:line="240" w:lineRule="auto"/>
              <w:ind w:left="331"/>
              <w:rPr>
                <w:rFonts w:ascii="Century Schoolbook" w:hAnsi="Century Schoolbook"/>
                <w:b/>
              </w:rPr>
            </w:pPr>
            <w:r w:rsidRPr="002007DF">
              <w:rPr>
                <w:rFonts w:ascii="Century Schoolbook" w:hAnsi="Century Schoolbook"/>
                <w:b/>
                <w:caps/>
              </w:rPr>
              <w:t>REHEARING</w:t>
            </w:r>
            <w:r>
              <w:rPr>
                <w:rFonts w:ascii="Century Schoolbook" w:hAnsi="Century Schoolbook"/>
                <w:b/>
                <w:caps/>
              </w:rPr>
              <w:t xml:space="preserve"> </w:t>
            </w:r>
          </w:p>
          <w:p w:rsidR="000A17F5" w:rsidRPr="002007DF" w:rsidRDefault="000A17F5" w:rsidP="000A0DD2">
            <w:pPr>
              <w:spacing w:line="240" w:lineRule="auto"/>
              <w:rPr>
                <w:rFonts w:ascii="Century Schoolbook" w:hAnsi="Century Schoolbook"/>
                <w:b/>
              </w:rPr>
            </w:pPr>
          </w:p>
          <w:p w:rsidR="000A17F5" w:rsidRPr="00C20D0B" w:rsidRDefault="000A17F5" w:rsidP="000A0DD2">
            <w:pPr>
              <w:spacing w:line="240" w:lineRule="auto"/>
              <w:rPr>
                <w:rFonts w:ascii="Century Schoolbook" w:hAnsi="Century Schoolbook"/>
                <w:szCs w:val="26"/>
              </w:rPr>
            </w:pPr>
            <w:r w:rsidRPr="002007DF">
              <w:rPr>
                <w:rFonts w:ascii="Century Schoolbook" w:hAnsi="Century Schoolbook"/>
                <w:b/>
              </w:rPr>
              <w:t xml:space="preserve">    [NO CHANGE IN JUDGMENT]</w:t>
            </w:r>
          </w:p>
        </w:tc>
      </w:tr>
    </w:tbl>
    <w:p w:rsidR="000A17F5" w:rsidRPr="002007DF" w:rsidRDefault="000A17F5" w:rsidP="000A17F5">
      <w:pPr>
        <w:spacing w:line="288" w:lineRule="auto"/>
        <w:rPr>
          <w:rStyle w:val="FootnoteReference"/>
          <w:rFonts w:ascii="Century Schoolbook" w:hAnsi="Century Schoolbook"/>
        </w:rPr>
      </w:pPr>
      <w:r w:rsidRPr="002007DF">
        <w:rPr>
          <w:rFonts w:ascii="Century Schoolbook" w:hAnsi="Century Schoolbook"/>
        </w:rPr>
        <w:t>THE COURT:</w:t>
      </w:r>
    </w:p>
    <w:p w:rsidR="000A17F5" w:rsidRPr="002007DF" w:rsidRDefault="000A17F5" w:rsidP="000A17F5">
      <w:pPr>
        <w:spacing w:line="288" w:lineRule="auto"/>
        <w:rPr>
          <w:rStyle w:val="FootnoteReference"/>
          <w:rFonts w:ascii="Century Schoolbook" w:hAnsi="Century Schoolbook"/>
        </w:rPr>
      </w:pPr>
    </w:p>
    <w:p w:rsidR="000A17F5" w:rsidRDefault="000A17F5" w:rsidP="000A17F5">
      <w:pPr>
        <w:tabs>
          <w:tab w:val="left" w:pos="90"/>
        </w:tabs>
        <w:spacing w:line="288" w:lineRule="auto"/>
        <w:rPr>
          <w:rFonts w:ascii="Century Schoolbook" w:hAnsi="Century Schoolbook"/>
        </w:rPr>
      </w:pPr>
      <w:r w:rsidRPr="002007DF">
        <w:rPr>
          <w:rFonts w:ascii="Century Schoolbook" w:hAnsi="Century Schoolbook"/>
        </w:rPr>
        <w:tab/>
      </w:r>
      <w:r w:rsidRPr="002007DF">
        <w:rPr>
          <w:rFonts w:ascii="Century Schoolbook" w:hAnsi="Century Schoolbook"/>
        </w:rPr>
        <w:tab/>
        <w:t xml:space="preserve">It is ordered that the opinion filed herein on January </w:t>
      </w:r>
      <w:r>
        <w:rPr>
          <w:rFonts w:ascii="Century Schoolbook" w:hAnsi="Century Schoolbook"/>
        </w:rPr>
        <w:t>3</w:t>
      </w:r>
      <w:r w:rsidRPr="002007DF">
        <w:rPr>
          <w:rFonts w:ascii="Century Schoolbook" w:hAnsi="Century Schoolbook"/>
        </w:rPr>
        <w:t>, 201</w:t>
      </w:r>
      <w:r>
        <w:rPr>
          <w:rFonts w:ascii="Century Schoolbook" w:hAnsi="Century Schoolbook"/>
        </w:rPr>
        <w:t>9</w:t>
      </w:r>
      <w:r w:rsidRPr="002007DF">
        <w:rPr>
          <w:rFonts w:ascii="Century Schoolbook" w:hAnsi="Century Schoolbook"/>
        </w:rPr>
        <w:t>, be modified as follows:</w:t>
      </w:r>
    </w:p>
    <w:p w:rsidR="000A17F5" w:rsidRPr="002007DF" w:rsidRDefault="000A17F5" w:rsidP="000A17F5">
      <w:pPr>
        <w:tabs>
          <w:tab w:val="left" w:pos="90"/>
        </w:tabs>
        <w:spacing w:line="288" w:lineRule="auto"/>
        <w:rPr>
          <w:rFonts w:ascii="Century Schoolbook" w:hAnsi="Century Schoolbook"/>
        </w:rPr>
      </w:pPr>
    </w:p>
    <w:p w:rsidR="000A17F5" w:rsidRDefault="000A17F5" w:rsidP="000A17F5">
      <w:pPr>
        <w:pStyle w:val="ListParagraph"/>
        <w:numPr>
          <w:ilvl w:val="0"/>
          <w:numId w:val="1"/>
        </w:numPr>
        <w:spacing w:line="288" w:lineRule="auto"/>
        <w:ind w:left="0" w:firstLine="360"/>
        <w:rPr>
          <w:rFonts w:ascii="Century Schoolbook" w:hAnsi="Century Schoolbook"/>
          <w:position w:val="8"/>
          <w:szCs w:val="26"/>
        </w:rPr>
      </w:pPr>
      <w:r>
        <w:rPr>
          <w:rFonts w:ascii="Century Schoolbook" w:hAnsi="Century Schoolbook"/>
          <w:position w:val="8"/>
          <w:szCs w:val="26"/>
        </w:rPr>
        <w:t>On page 12, at the top of the page in bullet point (1), after the language “stating that her doctors’ negligence was “self-evident,” add the following:</w:t>
      </w:r>
    </w:p>
    <w:p w:rsidR="000A17F5" w:rsidRDefault="000A17F5" w:rsidP="000A17F5">
      <w:pPr>
        <w:spacing w:line="288" w:lineRule="auto"/>
        <w:ind w:left="720"/>
        <w:rPr>
          <w:rFonts w:ascii="Century Schoolbook" w:hAnsi="Century Schoolbook"/>
          <w:position w:val="8"/>
          <w:szCs w:val="26"/>
        </w:rPr>
      </w:pPr>
      <w:r>
        <w:rPr>
          <w:rFonts w:ascii="Century Schoolbook" w:hAnsi="Century Schoolbook"/>
          <w:position w:val="8"/>
          <w:szCs w:val="26"/>
        </w:rPr>
        <w:t xml:space="preserve">that Dr. Gupta had “informed the family that he penetrated so far because [plaintiff] was ‘too skinny . . . .’” </w:t>
      </w:r>
    </w:p>
    <w:p w:rsidR="000A17F5" w:rsidRDefault="000A17F5" w:rsidP="000A17F5">
      <w:pPr>
        <w:spacing w:line="288" w:lineRule="auto"/>
        <w:ind w:left="720"/>
        <w:rPr>
          <w:rFonts w:ascii="Century Schoolbook" w:hAnsi="Century Schoolbook"/>
          <w:position w:val="8"/>
          <w:szCs w:val="26"/>
        </w:rPr>
      </w:pPr>
    </w:p>
    <w:p w:rsidR="000A17F5" w:rsidRDefault="000A17F5" w:rsidP="000A17F5">
      <w:pPr>
        <w:pStyle w:val="ListParagraph"/>
        <w:numPr>
          <w:ilvl w:val="0"/>
          <w:numId w:val="1"/>
        </w:numPr>
        <w:spacing w:line="288" w:lineRule="auto"/>
        <w:ind w:left="0" w:firstLine="360"/>
        <w:rPr>
          <w:rFonts w:ascii="Century Schoolbook" w:hAnsi="Century Schoolbook"/>
          <w:position w:val="8"/>
          <w:szCs w:val="26"/>
        </w:rPr>
      </w:pPr>
      <w:r>
        <w:rPr>
          <w:rFonts w:ascii="Century Schoolbook" w:hAnsi="Century Schoolbook"/>
          <w:position w:val="8"/>
          <w:szCs w:val="26"/>
        </w:rPr>
        <w:t>On page 13, the first full paragraph, second sentence, after the language “On the question of liability,” add the following:</w:t>
      </w:r>
    </w:p>
    <w:p w:rsidR="000A17F5" w:rsidRDefault="000A17F5" w:rsidP="000A17F5">
      <w:pPr>
        <w:spacing w:line="288" w:lineRule="auto"/>
        <w:ind w:left="720"/>
        <w:rPr>
          <w:rFonts w:ascii="Century Schoolbook" w:hAnsi="Century Schoolbook"/>
          <w:position w:val="8"/>
          <w:szCs w:val="26"/>
        </w:rPr>
      </w:pPr>
      <w:r>
        <w:rPr>
          <w:rFonts w:ascii="Century Schoolbook" w:hAnsi="Century Schoolbook"/>
          <w:position w:val="8"/>
          <w:szCs w:val="26"/>
        </w:rPr>
        <w:lastRenderedPageBreak/>
        <w:t xml:space="preserve">Dr. Gupta may have admitted to holding the instrument that nicked plaintiff’s vein but . . . . </w:t>
      </w:r>
    </w:p>
    <w:p w:rsidR="000A17F5" w:rsidRDefault="000A17F5" w:rsidP="000A17F5">
      <w:pPr>
        <w:spacing w:line="288" w:lineRule="auto"/>
        <w:ind w:left="720"/>
        <w:rPr>
          <w:rFonts w:ascii="Century Schoolbook" w:hAnsi="Century Schoolbook"/>
          <w:position w:val="8"/>
          <w:szCs w:val="26"/>
        </w:rPr>
      </w:pPr>
    </w:p>
    <w:p w:rsidR="000A17F5" w:rsidRPr="000D0C6A" w:rsidRDefault="000A17F5" w:rsidP="000A17F5">
      <w:pPr>
        <w:pStyle w:val="ListParagraph"/>
        <w:numPr>
          <w:ilvl w:val="0"/>
          <w:numId w:val="1"/>
        </w:numPr>
        <w:spacing w:line="288" w:lineRule="auto"/>
        <w:ind w:left="0" w:firstLine="360"/>
        <w:rPr>
          <w:rFonts w:ascii="Century Schoolbook" w:hAnsi="Century Schoolbook"/>
          <w:position w:val="8"/>
          <w:szCs w:val="26"/>
        </w:rPr>
      </w:pPr>
      <w:r>
        <w:rPr>
          <w:rFonts w:ascii="Century Schoolbook" w:hAnsi="Century Schoolbook"/>
          <w:position w:val="8"/>
          <w:szCs w:val="26"/>
        </w:rPr>
        <w:t xml:space="preserve">On page 16, the first full paragraph, first sentence, delete “a general” in front of “objection” and add “an” so that the text reads “an objection . . . .” </w:t>
      </w:r>
    </w:p>
    <w:p w:rsidR="000A17F5" w:rsidRDefault="000A17F5" w:rsidP="000A17F5">
      <w:pPr>
        <w:spacing w:line="288" w:lineRule="auto"/>
        <w:ind w:firstLine="720"/>
        <w:rPr>
          <w:rFonts w:ascii="Century Schoolbook" w:hAnsi="Century Schoolbook"/>
          <w:position w:val="8"/>
          <w:szCs w:val="26"/>
        </w:rPr>
      </w:pPr>
    </w:p>
    <w:p w:rsidR="000A17F5" w:rsidRPr="002007DF" w:rsidRDefault="000A17F5" w:rsidP="000A17F5">
      <w:pPr>
        <w:spacing w:line="288" w:lineRule="auto"/>
        <w:ind w:firstLine="720"/>
        <w:rPr>
          <w:rFonts w:ascii="Century Schoolbook" w:hAnsi="Century Schoolbook"/>
          <w:position w:val="8"/>
          <w:szCs w:val="26"/>
        </w:rPr>
      </w:pPr>
      <w:r w:rsidRPr="002007DF">
        <w:rPr>
          <w:rFonts w:ascii="Century Schoolbook" w:hAnsi="Century Schoolbook"/>
          <w:position w:val="8"/>
          <w:szCs w:val="26"/>
        </w:rPr>
        <w:t>There is no change in the judgment.</w:t>
      </w:r>
    </w:p>
    <w:p w:rsidR="000A17F5" w:rsidRPr="002007DF" w:rsidRDefault="000A17F5" w:rsidP="000A17F5">
      <w:pPr>
        <w:spacing w:line="288" w:lineRule="auto"/>
        <w:rPr>
          <w:rFonts w:ascii="Century Schoolbook" w:hAnsi="Century Schoolbook"/>
        </w:rPr>
      </w:pPr>
    </w:p>
    <w:p w:rsidR="000A17F5" w:rsidRPr="002007DF" w:rsidRDefault="000A17F5" w:rsidP="000A17F5">
      <w:pPr>
        <w:spacing w:line="288" w:lineRule="auto"/>
        <w:rPr>
          <w:rFonts w:ascii="Century Schoolbook" w:hAnsi="Century Schoolbook"/>
        </w:rPr>
      </w:pPr>
      <w:r w:rsidRPr="002007DF">
        <w:rPr>
          <w:rFonts w:ascii="Century Schoolbook" w:hAnsi="Century Schoolbook"/>
        </w:rPr>
        <w:tab/>
        <w:t>Appellant’s petition for rehearing is denied.</w:t>
      </w: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p>
    <w:p w:rsidR="000A17F5" w:rsidRDefault="000A17F5" w:rsidP="000A17F5">
      <w:pPr>
        <w:spacing w:line="240" w:lineRule="auto"/>
        <w:rPr>
          <w:rFonts w:ascii="Century Schoolbook" w:eastAsia="Century Schoolbook" w:hAnsi="Century Schoolbook" w:cs="Century Schoolbook"/>
          <w:szCs w:val="26"/>
        </w:rPr>
      </w:pPr>
      <w:r>
        <w:rPr>
          <w:rFonts w:ascii="Century Schoolbook" w:eastAsia="Century Schoolbook" w:hAnsi="Century Schoolbook" w:cs="Century Schoolbook"/>
          <w:szCs w:val="26"/>
        </w:rPr>
        <w:t>____________________________________________________________</w:t>
      </w:r>
    </w:p>
    <w:p w:rsidR="000A17F5" w:rsidRPr="00AA0586" w:rsidRDefault="000A17F5" w:rsidP="000A17F5">
      <w:pPr>
        <w:spacing w:line="240" w:lineRule="auto"/>
        <w:rPr>
          <w:rFonts w:ascii="Century Schoolbook" w:eastAsia="Century Schoolbook" w:hAnsi="Century Schoolbook" w:cs="Century Schoolbook"/>
          <w:sz w:val="24"/>
          <w:szCs w:val="24"/>
        </w:rPr>
      </w:pPr>
      <w:r w:rsidRPr="00AA0586">
        <w:rPr>
          <w:rStyle w:val="FootnoteReference"/>
          <w:rFonts w:ascii="Century Schoolbook" w:hAnsi="Century Schoolbook"/>
          <w:sz w:val="24"/>
          <w:szCs w:val="24"/>
        </w:rPr>
        <w:t>*</w:t>
      </w:r>
      <w:r w:rsidRPr="00AA0586">
        <w:rPr>
          <w:rFonts w:ascii="Century Schoolbook" w:hAnsi="Century Schoolbook"/>
          <w:sz w:val="24"/>
          <w:szCs w:val="24"/>
        </w:rPr>
        <w:t xml:space="preserve"> </w:t>
      </w:r>
      <w:r w:rsidRPr="00AA0586">
        <w:rPr>
          <w:rFonts w:ascii="Century Schoolbook" w:hAnsi="Century Schoolbook"/>
          <w:caps/>
          <w:sz w:val="24"/>
          <w:szCs w:val="24"/>
        </w:rPr>
        <w:t>Ashmann-Gerst</w:t>
      </w:r>
      <w:r w:rsidRPr="00AA0586">
        <w:rPr>
          <w:rFonts w:ascii="Century Schoolbook" w:hAnsi="Century Schoolbook"/>
          <w:sz w:val="24"/>
          <w:szCs w:val="24"/>
        </w:rPr>
        <w:t xml:space="preserve">, Acting P.J.,  CHAVEZ, J.,  </w:t>
      </w:r>
      <w:r w:rsidRPr="00AA0586">
        <w:rPr>
          <w:rFonts w:ascii="Century Schoolbook" w:hAnsi="Century Schoolbook"/>
          <w:caps/>
          <w:sz w:val="24"/>
          <w:szCs w:val="24"/>
        </w:rPr>
        <w:t>HOFFSTADT</w:t>
      </w:r>
      <w:r w:rsidRPr="00AA0586">
        <w:rPr>
          <w:rFonts w:ascii="Century Schoolbook" w:hAnsi="Century Schoolbook"/>
          <w:sz w:val="24"/>
          <w:szCs w:val="24"/>
        </w:rPr>
        <w:t>, J.</w:t>
      </w:r>
    </w:p>
    <w:p w:rsidR="000A17F5" w:rsidRDefault="000A17F5" w:rsidP="00F505F1">
      <w:pPr>
        <w:spacing w:line="240" w:lineRule="auto"/>
        <w:rPr>
          <w:rFonts w:ascii="Century Schoolbook" w:hAnsi="Century Schoolbook"/>
          <w:sz w:val="20"/>
          <w:szCs w:val="20"/>
        </w:rPr>
        <w:sectPr w:rsidR="000A17F5" w:rsidSect="00C20D0B">
          <w:footerReference w:type="even" r:id="rId7"/>
          <w:footerReference w:type="default" r:id="rId8"/>
          <w:pgSz w:w="12240" w:h="15840"/>
          <w:pgMar w:top="2160" w:right="2160" w:bottom="2160" w:left="2160" w:header="720" w:footer="720" w:gutter="0"/>
          <w:cols w:space="720"/>
          <w:titlePg/>
          <w:docGrid w:linePitch="360"/>
        </w:sectPr>
      </w:pPr>
    </w:p>
    <w:p w:rsidR="00F505F1" w:rsidRPr="00F505F1" w:rsidRDefault="00E40CD8" w:rsidP="00F505F1">
      <w:pPr>
        <w:spacing w:line="240" w:lineRule="auto"/>
        <w:rPr>
          <w:rFonts w:ascii="Century Schoolbook" w:hAnsi="Century Schoolbook"/>
          <w:sz w:val="20"/>
          <w:szCs w:val="20"/>
        </w:rPr>
      </w:pPr>
      <w:r>
        <w:rPr>
          <w:rFonts w:ascii="Century Schoolbook" w:hAnsi="Century Schoolbook"/>
          <w:sz w:val="20"/>
          <w:szCs w:val="20"/>
        </w:rPr>
        <w:lastRenderedPageBreak/>
        <w:t>Filed 1/3/19</w:t>
      </w:r>
      <w:r w:rsidR="000A17F5">
        <w:rPr>
          <w:rFonts w:ascii="Century Schoolbook" w:hAnsi="Century Schoolbook"/>
          <w:sz w:val="20"/>
          <w:szCs w:val="20"/>
        </w:rPr>
        <w:t xml:space="preserve"> (unmodified version)</w:t>
      </w:r>
    </w:p>
    <w:p w:rsidR="00786C6D" w:rsidRPr="00C20D0B" w:rsidRDefault="00E40CD8" w:rsidP="008E2006">
      <w:pPr>
        <w:spacing w:line="240" w:lineRule="auto"/>
        <w:jc w:val="center"/>
        <w:rPr>
          <w:rFonts w:ascii="Century Schoolbook" w:hAnsi="Century Schoolbook"/>
          <w:b/>
          <w:szCs w:val="26"/>
        </w:rPr>
      </w:pPr>
      <w:r w:rsidRPr="00C20D0B">
        <w:rPr>
          <w:rFonts w:ascii="Century Schoolbook" w:hAnsi="Century Schoolbook"/>
          <w:b/>
          <w:szCs w:val="26"/>
        </w:rPr>
        <w:t>CERTIFIED FOR PUBLICATION</w:t>
      </w:r>
    </w:p>
    <w:p w:rsidR="00786C6D" w:rsidRPr="00C20D0B" w:rsidRDefault="00E40CD8" w:rsidP="008E2006">
      <w:pPr>
        <w:spacing w:line="240" w:lineRule="auto"/>
        <w:jc w:val="center"/>
        <w:rPr>
          <w:rFonts w:ascii="Century Schoolbook" w:hAnsi="Century Schoolbook"/>
          <w:szCs w:val="26"/>
        </w:rPr>
      </w:pPr>
    </w:p>
    <w:p w:rsidR="00786C6D" w:rsidRPr="00C20D0B" w:rsidRDefault="00E40CD8" w:rsidP="008E2006">
      <w:pPr>
        <w:spacing w:line="240" w:lineRule="auto"/>
        <w:jc w:val="center"/>
        <w:rPr>
          <w:rFonts w:ascii="Century Schoolbook" w:hAnsi="Century Schoolbook"/>
          <w:szCs w:val="26"/>
        </w:rPr>
      </w:pPr>
      <w:r w:rsidRPr="00C20D0B">
        <w:rPr>
          <w:rFonts w:ascii="Century Schoolbook" w:hAnsi="Century Schoolbook"/>
          <w:szCs w:val="26"/>
        </w:rPr>
        <w:t>IN THE COURT OF APPEAL OF THE STATE OF CALIFORNIA</w:t>
      </w:r>
    </w:p>
    <w:p w:rsidR="00786C6D" w:rsidRPr="00C20D0B" w:rsidRDefault="00E40CD8" w:rsidP="008E2006">
      <w:pPr>
        <w:spacing w:line="240" w:lineRule="auto"/>
        <w:jc w:val="center"/>
        <w:rPr>
          <w:rFonts w:ascii="Century Schoolbook" w:hAnsi="Century Schoolbook"/>
          <w:szCs w:val="26"/>
        </w:rPr>
      </w:pPr>
    </w:p>
    <w:p w:rsidR="00786C6D" w:rsidRPr="00C20D0B" w:rsidRDefault="00E40CD8" w:rsidP="008E2006">
      <w:pPr>
        <w:spacing w:line="240" w:lineRule="auto"/>
        <w:jc w:val="center"/>
        <w:rPr>
          <w:rFonts w:ascii="Century Schoolbook" w:hAnsi="Century Schoolbook"/>
          <w:szCs w:val="26"/>
        </w:rPr>
      </w:pPr>
      <w:r w:rsidRPr="00C20D0B">
        <w:rPr>
          <w:rFonts w:ascii="Century Schoolbook" w:hAnsi="Century Schoolbook"/>
          <w:szCs w:val="26"/>
        </w:rPr>
        <w:t>SECOND APPELLATE DISTRICT</w:t>
      </w:r>
    </w:p>
    <w:p w:rsidR="00786C6D" w:rsidRPr="00C20D0B" w:rsidRDefault="00E40CD8" w:rsidP="008E2006">
      <w:pPr>
        <w:spacing w:line="240" w:lineRule="auto"/>
        <w:jc w:val="center"/>
        <w:rPr>
          <w:rFonts w:ascii="Century Schoolbook" w:hAnsi="Century Schoolbook"/>
          <w:szCs w:val="26"/>
        </w:rPr>
      </w:pPr>
    </w:p>
    <w:p w:rsidR="00786C6D" w:rsidRPr="00C20D0B" w:rsidRDefault="00E40CD8" w:rsidP="008E2006">
      <w:pPr>
        <w:spacing w:line="240" w:lineRule="auto"/>
        <w:jc w:val="center"/>
        <w:rPr>
          <w:rFonts w:ascii="Century Schoolbook" w:hAnsi="Century Schoolbook"/>
          <w:szCs w:val="26"/>
        </w:rPr>
      </w:pPr>
      <w:r w:rsidRPr="00C20D0B">
        <w:rPr>
          <w:rFonts w:ascii="Century Schoolbook" w:hAnsi="Century Schoolbook"/>
          <w:szCs w:val="26"/>
        </w:rPr>
        <w:t>DIVISION TWO</w:t>
      </w:r>
    </w:p>
    <w:p w:rsidR="00786C6D" w:rsidRPr="00C20D0B" w:rsidRDefault="00E40CD8" w:rsidP="008E2006">
      <w:pPr>
        <w:spacing w:line="240" w:lineRule="auto"/>
        <w:jc w:val="center"/>
        <w:rPr>
          <w:rFonts w:ascii="Century Schoolbook" w:hAnsi="Century Schoolbook"/>
          <w:szCs w:val="26"/>
        </w:rPr>
      </w:pPr>
    </w:p>
    <w:p w:rsidR="00786C6D" w:rsidRPr="00C20D0B" w:rsidRDefault="00E40CD8" w:rsidP="008E2006">
      <w:pPr>
        <w:spacing w:line="240" w:lineRule="auto"/>
        <w:jc w:val="center"/>
        <w:rPr>
          <w:rFonts w:ascii="Century Schoolbook" w:hAnsi="Century Schoolbook"/>
          <w:szCs w:val="26"/>
        </w:rPr>
      </w:pPr>
    </w:p>
    <w:tbl>
      <w:tblPr>
        <w:tblW w:w="0" w:type="auto"/>
        <w:tblLayout w:type="fixed"/>
        <w:tblLook w:val="0000" w:firstRow="0" w:lastRow="0" w:firstColumn="0" w:lastColumn="0" w:noHBand="0" w:noVBand="0"/>
      </w:tblPr>
      <w:tblGrid>
        <w:gridCol w:w="4788"/>
        <w:gridCol w:w="4788"/>
      </w:tblGrid>
      <w:tr w:rsidR="001606FE" w:rsidTr="00786C6D">
        <w:tc>
          <w:tcPr>
            <w:tcW w:w="4788" w:type="dxa"/>
            <w:tcBorders>
              <w:bottom w:val="single" w:sz="4" w:space="0" w:color="auto"/>
              <w:right w:val="single" w:sz="4" w:space="0" w:color="auto"/>
            </w:tcBorders>
            <w:shd w:val="clear" w:color="auto" w:fill="auto"/>
          </w:tcPr>
          <w:p w:rsidR="00786C6D" w:rsidRPr="00C20D0B" w:rsidRDefault="00E40CD8" w:rsidP="008E2006">
            <w:pPr>
              <w:spacing w:line="240" w:lineRule="auto"/>
              <w:rPr>
                <w:rFonts w:ascii="Century Schoolbook" w:hAnsi="Century Schoolbook"/>
                <w:szCs w:val="26"/>
              </w:rPr>
            </w:pPr>
            <w:r>
              <w:rPr>
                <w:rFonts w:ascii="Century Schoolbook" w:hAnsi="Century Schoolbook"/>
                <w:szCs w:val="26"/>
              </w:rPr>
              <w:t>DIONNE LICUDINE</w:t>
            </w:r>
            <w:r w:rsidRPr="00C20D0B">
              <w:rPr>
                <w:rFonts w:ascii="Century Schoolbook" w:hAnsi="Century Schoolbook"/>
                <w:szCs w:val="26"/>
              </w:rPr>
              <w:t>,</w:t>
            </w:r>
          </w:p>
          <w:p w:rsidR="00786C6D" w:rsidRPr="00C20D0B" w:rsidRDefault="00E40CD8" w:rsidP="008E2006">
            <w:pPr>
              <w:spacing w:line="240" w:lineRule="auto"/>
              <w:rPr>
                <w:rFonts w:ascii="Century Schoolbook" w:hAnsi="Century Schoolbook"/>
                <w:szCs w:val="26"/>
              </w:rPr>
            </w:pPr>
          </w:p>
          <w:p w:rsidR="00786C6D" w:rsidRPr="00C20D0B" w:rsidRDefault="00E40CD8" w:rsidP="008E2006">
            <w:pPr>
              <w:spacing w:line="240" w:lineRule="auto"/>
              <w:rPr>
                <w:rFonts w:ascii="Century Schoolbook" w:hAnsi="Century Schoolbook"/>
                <w:szCs w:val="26"/>
              </w:rPr>
            </w:pPr>
            <w:r w:rsidRPr="00C20D0B">
              <w:rPr>
                <w:rFonts w:ascii="Century Schoolbook" w:hAnsi="Century Schoolbook"/>
                <w:szCs w:val="26"/>
              </w:rPr>
              <w:tab/>
              <w:t xml:space="preserve">Plaintiff and </w:t>
            </w:r>
            <w:r>
              <w:rPr>
                <w:rFonts w:ascii="Century Schoolbook" w:hAnsi="Century Schoolbook"/>
                <w:szCs w:val="26"/>
              </w:rPr>
              <w:t>Appellant</w:t>
            </w:r>
            <w:r w:rsidRPr="00C20D0B">
              <w:rPr>
                <w:rFonts w:ascii="Century Schoolbook" w:hAnsi="Century Schoolbook"/>
                <w:szCs w:val="26"/>
              </w:rPr>
              <w:t>,</w:t>
            </w:r>
          </w:p>
          <w:p w:rsidR="00786C6D" w:rsidRPr="00C20D0B" w:rsidRDefault="00E40CD8" w:rsidP="008E2006">
            <w:pPr>
              <w:spacing w:line="240" w:lineRule="auto"/>
              <w:rPr>
                <w:rFonts w:ascii="Century Schoolbook" w:hAnsi="Century Schoolbook"/>
                <w:szCs w:val="26"/>
              </w:rPr>
            </w:pPr>
          </w:p>
          <w:p w:rsidR="00786C6D" w:rsidRPr="00C20D0B" w:rsidRDefault="00E40CD8" w:rsidP="008E2006">
            <w:pPr>
              <w:spacing w:line="240" w:lineRule="auto"/>
              <w:rPr>
                <w:rFonts w:ascii="Century Schoolbook" w:hAnsi="Century Schoolbook"/>
                <w:szCs w:val="26"/>
              </w:rPr>
            </w:pPr>
            <w:r w:rsidRPr="00C20D0B">
              <w:rPr>
                <w:rFonts w:ascii="Century Schoolbook" w:hAnsi="Century Schoolbook"/>
                <w:szCs w:val="26"/>
              </w:rPr>
              <w:tab/>
              <w:t>v.</w:t>
            </w:r>
          </w:p>
          <w:p w:rsidR="00786C6D" w:rsidRPr="00C20D0B" w:rsidRDefault="00E40CD8" w:rsidP="008E2006">
            <w:pPr>
              <w:spacing w:line="240" w:lineRule="auto"/>
              <w:rPr>
                <w:rFonts w:ascii="Century Schoolbook" w:hAnsi="Century Schoolbook"/>
                <w:szCs w:val="26"/>
              </w:rPr>
            </w:pPr>
          </w:p>
          <w:p w:rsidR="00786C6D" w:rsidRPr="00C20D0B" w:rsidRDefault="00E40CD8" w:rsidP="008E2006">
            <w:pPr>
              <w:spacing w:line="240" w:lineRule="auto"/>
              <w:rPr>
                <w:rFonts w:ascii="Century Schoolbook" w:hAnsi="Century Schoolbook"/>
                <w:szCs w:val="26"/>
              </w:rPr>
            </w:pPr>
            <w:r>
              <w:rPr>
                <w:rFonts w:ascii="Century Schoolbook" w:hAnsi="Century Schoolbook"/>
                <w:szCs w:val="26"/>
              </w:rPr>
              <w:t>CEDARS-SINAI MEDICAL CENTER et al.,</w:t>
            </w:r>
          </w:p>
          <w:p w:rsidR="00786C6D" w:rsidRPr="00C20D0B" w:rsidRDefault="00E40CD8" w:rsidP="008E2006">
            <w:pPr>
              <w:spacing w:line="240" w:lineRule="auto"/>
              <w:rPr>
                <w:rFonts w:ascii="Century Schoolbook" w:hAnsi="Century Schoolbook"/>
                <w:szCs w:val="26"/>
              </w:rPr>
            </w:pPr>
          </w:p>
          <w:p w:rsidR="00786C6D" w:rsidRPr="00C20D0B" w:rsidRDefault="00E40CD8" w:rsidP="008E2006">
            <w:pPr>
              <w:spacing w:line="240" w:lineRule="auto"/>
              <w:rPr>
                <w:rFonts w:ascii="Century Schoolbook" w:hAnsi="Century Schoolbook"/>
                <w:szCs w:val="26"/>
              </w:rPr>
            </w:pPr>
            <w:r w:rsidRPr="00C20D0B">
              <w:rPr>
                <w:rFonts w:ascii="Century Schoolbook" w:hAnsi="Century Schoolbook"/>
                <w:szCs w:val="26"/>
              </w:rPr>
              <w:tab/>
              <w:t>Defendant</w:t>
            </w:r>
            <w:r>
              <w:rPr>
                <w:rFonts w:ascii="Century Schoolbook" w:hAnsi="Century Schoolbook"/>
                <w:szCs w:val="26"/>
              </w:rPr>
              <w:t>s</w:t>
            </w:r>
            <w:r w:rsidRPr="00C20D0B">
              <w:rPr>
                <w:rFonts w:ascii="Century Schoolbook" w:hAnsi="Century Schoolbook"/>
                <w:szCs w:val="26"/>
              </w:rPr>
              <w:t xml:space="preserve"> and </w:t>
            </w:r>
            <w:r>
              <w:rPr>
                <w:rFonts w:ascii="Century Schoolbook" w:hAnsi="Century Schoolbook"/>
                <w:szCs w:val="26"/>
              </w:rPr>
              <w:t>Respondents</w:t>
            </w:r>
            <w:r w:rsidRPr="00C20D0B">
              <w:rPr>
                <w:rFonts w:ascii="Century Schoolbook" w:hAnsi="Century Schoolbook"/>
                <w:szCs w:val="26"/>
              </w:rPr>
              <w:t>.</w:t>
            </w:r>
          </w:p>
          <w:p w:rsidR="00786C6D" w:rsidRPr="00C20D0B" w:rsidRDefault="00E40CD8" w:rsidP="008E2006">
            <w:pPr>
              <w:spacing w:line="240" w:lineRule="auto"/>
              <w:rPr>
                <w:rFonts w:ascii="Century Schoolbook" w:hAnsi="Century Schoolbook"/>
                <w:szCs w:val="26"/>
              </w:rPr>
            </w:pPr>
          </w:p>
        </w:tc>
        <w:tc>
          <w:tcPr>
            <w:tcW w:w="4788" w:type="dxa"/>
            <w:tcBorders>
              <w:left w:val="single" w:sz="4" w:space="0" w:color="auto"/>
            </w:tcBorders>
            <w:shd w:val="clear" w:color="auto" w:fill="auto"/>
          </w:tcPr>
          <w:p w:rsidR="00786C6D" w:rsidRPr="00C20D0B" w:rsidRDefault="00E40CD8" w:rsidP="008E2006">
            <w:pPr>
              <w:spacing w:line="240" w:lineRule="auto"/>
              <w:rPr>
                <w:rFonts w:ascii="Century Schoolbook" w:hAnsi="Century Schoolbook"/>
                <w:szCs w:val="26"/>
              </w:rPr>
            </w:pPr>
            <w:r w:rsidRPr="00C20D0B">
              <w:rPr>
                <w:rFonts w:ascii="Century Schoolbook" w:hAnsi="Century Schoolbook"/>
                <w:szCs w:val="26"/>
              </w:rPr>
              <w:t xml:space="preserve">      B28</w:t>
            </w:r>
            <w:r>
              <w:rPr>
                <w:rFonts w:ascii="Century Schoolbook" w:hAnsi="Century Schoolbook"/>
                <w:szCs w:val="26"/>
              </w:rPr>
              <w:t>6350</w:t>
            </w:r>
          </w:p>
          <w:p w:rsidR="00786C6D" w:rsidRPr="00C20D0B" w:rsidRDefault="00E40CD8" w:rsidP="003D6599">
            <w:pPr>
              <w:spacing w:line="240" w:lineRule="auto"/>
              <w:ind w:firstLine="720"/>
              <w:rPr>
                <w:rFonts w:ascii="Century Schoolbook" w:hAnsi="Century Schoolbook"/>
                <w:szCs w:val="26"/>
              </w:rPr>
            </w:pPr>
          </w:p>
          <w:p w:rsidR="00786C6D" w:rsidRPr="00C20D0B" w:rsidRDefault="00E40CD8" w:rsidP="008E2006">
            <w:pPr>
              <w:spacing w:line="240" w:lineRule="auto"/>
              <w:rPr>
                <w:rFonts w:ascii="Century Schoolbook" w:hAnsi="Century Schoolbook"/>
                <w:szCs w:val="26"/>
              </w:rPr>
            </w:pPr>
            <w:r w:rsidRPr="00C20D0B">
              <w:rPr>
                <w:rFonts w:ascii="Century Schoolbook" w:hAnsi="Century Schoolbook"/>
                <w:szCs w:val="26"/>
              </w:rPr>
              <w:t xml:space="preserve">      (Los Angeles County</w:t>
            </w:r>
          </w:p>
          <w:p w:rsidR="00786C6D" w:rsidRPr="00C20D0B" w:rsidRDefault="00E40CD8" w:rsidP="008E2006">
            <w:pPr>
              <w:spacing w:line="240" w:lineRule="auto"/>
              <w:rPr>
                <w:rFonts w:ascii="Century Schoolbook" w:hAnsi="Century Schoolbook"/>
                <w:szCs w:val="26"/>
              </w:rPr>
            </w:pPr>
            <w:r w:rsidRPr="00C20D0B">
              <w:rPr>
                <w:rFonts w:ascii="Century Schoolbook" w:hAnsi="Century Schoolbook"/>
                <w:szCs w:val="26"/>
              </w:rPr>
              <w:t xml:space="preserve">      Super. Ct. No. </w:t>
            </w:r>
            <w:r>
              <w:rPr>
                <w:rFonts w:ascii="Century Schoolbook" w:hAnsi="Century Schoolbook"/>
                <w:szCs w:val="26"/>
              </w:rPr>
              <w:t>BC499153</w:t>
            </w:r>
            <w:r w:rsidRPr="00C20D0B">
              <w:rPr>
                <w:rFonts w:ascii="Century Schoolbook" w:hAnsi="Century Schoolbook"/>
                <w:szCs w:val="26"/>
              </w:rPr>
              <w:t>)</w:t>
            </w:r>
          </w:p>
          <w:p w:rsidR="00786C6D" w:rsidRPr="00C20D0B" w:rsidRDefault="00E40CD8" w:rsidP="008E2006">
            <w:pPr>
              <w:spacing w:line="240" w:lineRule="auto"/>
              <w:rPr>
                <w:rFonts w:ascii="Century Schoolbook" w:hAnsi="Century Schoolbook"/>
                <w:szCs w:val="26"/>
              </w:rPr>
            </w:pPr>
          </w:p>
        </w:tc>
      </w:tr>
    </w:tbl>
    <w:p w:rsidR="00786C6D" w:rsidRPr="00C20D0B" w:rsidRDefault="00E40CD8" w:rsidP="008E2006">
      <w:pPr>
        <w:spacing w:line="240" w:lineRule="auto"/>
        <w:rPr>
          <w:rFonts w:ascii="Century Schoolbook" w:hAnsi="Century Schoolbook"/>
          <w:szCs w:val="26"/>
        </w:rPr>
      </w:pPr>
    </w:p>
    <w:p w:rsidR="003D6599" w:rsidRPr="003D6599" w:rsidRDefault="00E40CD8" w:rsidP="00507F15">
      <w:pPr>
        <w:pStyle w:val="Normal1"/>
        <w:widowControl w:val="0"/>
        <w:rPr>
          <w:rFonts w:ascii="Century Schoolbook" w:eastAsia="Century Schoolbook" w:hAnsi="Century Schoolbook" w:cs="Century Schoolbook"/>
          <w:sz w:val="26"/>
          <w:szCs w:val="26"/>
        </w:rPr>
      </w:pPr>
      <w:r w:rsidRPr="00C20D0B">
        <w:rPr>
          <w:rFonts w:ascii="Century Schoolbook" w:eastAsia="Century Schoolbook" w:hAnsi="Century Schoolbook" w:cs="Century Schoolbook"/>
          <w:sz w:val="26"/>
          <w:szCs w:val="26"/>
        </w:rPr>
        <w:tab/>
      </w:r>
      <w:r w:rsidRPr="003D6599">
        <w:rPr>
          <w:rFonts w:ascii="Century Schoolbook" w:eastAsia="Century Schoolbook" w:hAnsi="Century Schoolbook" w:cs="Century Schoolbook"/>
          <w:sz w:val="26"/>
          <w:szCs w:val="26"/>
        </w:rPr>
        <w:t>APPEAL from an order of the Superior Court of Los Angeles County.  David S. Cunningham, Judge.</w:t>
      </w:r>
      <w:r>
        <w:rPr>
          <w:rFonts w:ascii="Century Schoolbook" w:eastAsia="Century Schoolbook" w:hAnsi="Century Schoolbook" w:cs="Century Schoolbook"/>
          <w:sz w:val="26"/>
          <w:szCs w:val="26"/>
        </w:rPr>
        <w:t xml:space="preserve">  Affirmed.</w:t>
      </w:r>
    </w:p>
    <w:p w:rsidR="003D6599" w:rsidRPr="003D6599" w:rsidRDefault="00E40CD8" w:rsidP="003D6599">
      <w:pPr>
        <w:pStyle w:val="Normal1"/>
        <w:widowControl w:val="0"/>
        <w:rPr>
          <w:rFonts w:ascii="Century Schoolbook" w:eastAsia="Century Schoolbook" w:hAnsi="Century Schoolbook" w:cs="Century Schoolbook"/>
          <w:sz w:val="26"/>
          <w:szCs w:val="26"/>
        </w:rPr>
      </w:pPr>
    </w:p>
    <w:p w:rsidR="003D6599" w:rsidRPr="003D6599" w:rsidRDefault="00E40CD8" w:rsidP="003D6599">
      <w:pPr>
        <w:pStyle w:val="Normal1"/>
        <w:widowControl w:val="0"/>
        <w:ind w:firstLine="720"/>
        <w:rPr>
          <w:rFonts w:ascii="Century Schoolbook" w:eastAsia="Century Schoolbook" w:hAnsi="Century Schoolbook" w:cs="Century Schoolbook"/>
          <w:sz w:val="26"/>
          <w:szCs w:val="26"/>
        </w:rPr>
      </w:pPr>
      <w:r w:rsidRPr="003D6599">
        <w:rPr>
          <w:rFonts w:ascii="Century Schoolbook" w:eastAsia="Century Schoolbook" w:hAnsi="Century Schoolbook" w:cs="Century Schoolbook"/>
          <w:sz w:val="26"/>
          <w:szCs w:val="26"/>
        </w:rPr>
        <w:t>Howard A. Kapp, Los Angeles, for Plaintiff and Appellant.</w:t>
      </w:r>
    </w:p>
    <w:p w:rsidR="003D6599" w:rsidRPr="003D6599" w:rsidRDefault="00E40CD8" w:rsidP="003D6599">
      <w:pPr>
        <w:pStyle w:val="Normal1"/>
        <w:widowControl w:val="0"/>
        <w:rPr>
          <w:rFonts w:ascii="Century Schoolbook" w:eastAsia="Century Schoolbook" w:hAnsi="Century Schoolbook" w:cs="Century Schoolbook"/>
          <w:sz w:val="26"/>
          <w:szCs w:val="26"/>
        </w:rPr>
      </w:pPr>
    </w:p>
    <w:p w:rsidR="003D6599" w:rsidRPr="003D6599" w:rsidRDefault="00E40CD8" w:rsidP="003D6599">
      <w:pPr>
        <w:pStyle w:val="Normal1"/>
        <w:widowControl w:val="0"/>
        <w:ind w:firstLine="720"/>
        <w:rPr>
          <w:rFonts w:ascii="Century Schoolbook" w:eastAsia="Century Schoolbook" w:hAnsi="Century Schoolbook" w:cs="Century Schoolbook"/>
          <w:sz w:val="26"/>
          <w:szCs w:val="26"/>
        </w:rPr>
      </w:pPr>
      <w:r w:rsidRPr="003D6599">
        <w:rPr>
          <w:rFonts w:ascii="Century Schoolbook" w:eastAsia="Century Schoolbook" w:hAnsi="Century Schoolbook" w:cs="Century Schoolbook"/>
          <w:sz w:val="26"/>
          <w:szCs w:val="26"/>
        </w:rPr>
        <w:t xml:space="preserve">Horvitz &amp; Levy LLP, S. Thomas Todd, and Emily V. Cuatto, </w:t>
      </w:r>
      <w:r>
        <w:rPr>
          <w:rFonts w:ascii="Century Schoolbook" w:eastAsia="Century Schoolbook" w:hAnsi="Century Schoolbook" w:cs="Century Schoolbook"/>
          <w:sz w:val="26"/>
          <w:szCs w:val="26"/>
        </w:rPr>
        <w:t>Burbank</w:t>
      </w:r>
      <w:r w:rsidRPr="003D6599">
        <w:rPr>
          <w:rFonts w:ascii="Century Schoolbook" w:eastAsia="Century Schoolbook" w:hAnsi="Century Schoolbook" w:cs="Century Schoolbook"/>
          <w:sz w:val="26"/>
          <w:szCs w:val="26"/>
        </w:rPr>
        <w:t>, for Defendant and Respondent.</w:t>
      </w:r>
    </w:p>
    <w:p w:rsidR="00786C6D" w:rsidRPr="00C20D0B" w:rsidRDefault="00E40CD8" w:rsidP="003D6599">
      <w:pPr>
        <w:pStyle w:val="Normal1"/>
        <w:widowControl w:val="0"/>
        <w:rPr>
          <w:rFonts w:ascii="Century Schoolbook" w:eastAsia="Century Schoolbook" w:hAnsi="Century Schoolbook" w:cs="Century Schoolbook"/>
          <w:sz w:val="26"/>
          <w:szCs w:val="26"/>
        </w:rPr>
      </w:pPr>
    </w:p>
    <w:p w:rsidR="00885634" w:rsidRDefault="00E40CD8" w:rsidP="00C20D0B">
      <w:pPr>
        <w:pStyle w:val="Normal1"/>
        <w:widowControl w:val="0"/>
        <w:spacing w:line="288" w:lineRule="auto"/>
        <w:jc w:val="center"/>
        <w:rPr>
          <w:rFonts w:ascii="Century Schoolbook" w:eastAsia="Century Schoolbook" w:hAnsi="Century Schoolbook" w:cs="Century Schoolbook"/>
          <w:sz w:val="26"/>
          <w:szCs w:val="26"/>
        </w:rPr>
      </w:pPr>
    </w:p>
    <w:p w:rsidR="00F412E5" w:rsidRDefault="00E40CD8" w:rsidP="00F412E5">
      <w:pPr>
        <w:spacing w:line="240" w:lineRule="auto"/>
        <w:jc w:val="center"/>
      </w:pPr>
      <w:r>
        <w:t>* * * * * *</w:t>
      </w:r>
    </w:p>
    <w:p w:rsidR="00507F15" w:rsidRDefault="00E40CD8" w:rsidP="00C20D0B">
      <w:pPr>
        <w:pStyle w:val="Normal1"/>
        <w:widowControl w:val="0"/>
        <w:spacing w:line="288" w:lineRule="auto"/>
        <w:jc w:val="center"/>
        <w:rPr>
          <w:rFonts w:ascii="Century Schoolbook" w:eastAsia="Century Schoolbook" w:hAnsi="Century Schoolbook" w:cs="Century Schoolbook"/>
          <w:sz w:val="26"/>
          <w:szCs w:val="26"/>
        </w:rPr>
      </w:pPr>
    </w:p>
    <w:p w:rsidR="00566982" w:rsidRDefault="00E40CD8" w:rsidP="00C20D0B">
      <w:pPr>
        <w:pStyle w:val="Normal1"/>
        <w:widowControl w:val="0"/>
        <w:spacing w:line="288" w:lineRule="auto"/>
        <w:jc w:val="center"/>
        <w:rPr>
          <w:rFonts w:ascii="Century Schoolbook" w:eastAsia="Century Schoolbook" w:hAnsi="Century Schoolbook" w:cs="Century Schoolbook"/>
          <w:sz w:val="26"/>
          <w:szCs w:val="26"/>
        </w:rPr>
      </w:pPr>
    </w:p>
    <w:p w:rsidR="00566982" w:rsidRDefault="00E40CD8" w:rsidP="00C20D0B">
      <w:pPr>
        <w:pStyle w:val="Normal1"/>
        <w:widowControl w:val="0"/>
        <w:spacing w:line="288" w:lineRule="auto"/>
        <w:jc w:val="center"/>
        <w:rPr>
          <w:rFonts w:ascii="Century Schoolbook" w:eastAsia="Century Schoolbook" w:hAnsi="Century Schoolbook" w:cs="Century Schoolbook"/>
          <w:sz w:val="26"/>
          <w:szCs w:val="26"/>
        </w:rPr>
      </w:pPr>
    </w:p>
    <w:p w:rsidR="00566982" w:rsidRDefault="00E40CD8" w:rsidP="00C20D0B">
      <w:pPr>
        <w:pStyle w:val="Normal1"/>
        <w:widowControl w:val="0"/>
        <w:spacing w:line="288" w:lineRule="auto"/>
        <w:jc w:val="center"/>
        <w:rPr>
          <w:rFonts w:ascii="Century Schoolbook" w:eastAsia="Century Schoolbook" w:hAnsi="Century Schoolbook" w:cs="Century Schoolbook"/>
          <w:sz w:val="26"/>
          <w:szCs w:val="26"/>
        </w:rPr>
      </w:pPr>
    </w:p>
    <w:p w:rsidR="00FC5FA9" w:rsidRDefault="00E40CD8" w:rsidP="0061478F">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lastRenderedPageBreak/>
        <w:tab/>
        <w:t xml:space="preserve">A plaintiff who sues and prevails at trial is statutorily entitled to prejudgment interest starting from the date she makes a settlement </w:t>
      </w:r>
      <w:r>
        <w:rPr>
          <w:rFonts w:ascii="Century Schoolbook" w:eastAsia="Century Schoolbook" w:hAnsi="Century Schoolbook" w:cs="Century Schoolbook"/>
          <w:sz w:val="26"/>
          <w:szCs w:val="26"/>
        </w:rPr>
        <w:t>offer under Code of Civil Procedure section 998 (a so-called “998 offer”)</w:t>
      </w:r>
      <w:r>
        <w:rPr>
          <w:rStyle w:val="FootnoteReference"/>
          <w:rFonts w:ascii="Century Schoolbook" w:eastAsia="Century Schoolbook" w:hAnsi="Century Schoolbook" w:cs="Century Schoolbook"/>
          <w:b/>
          <w:sz w:val="26"/>
          <w:szCs w:val="26"/>
        </w:rPr>
        <w:footnoteReference w:id="1"/>
      </w:r>
      <w:r>
        <w:rPr>
          <w:rFonts w:ascii="Century Schoolbook" w:eastAsia="Century Schoolbook" w:hAnsi="Century Schoolbook" w:cs="Century Schoolbook"/>
          <w:sz w:val="26"/>
          <w:szCs w:val="26"/>
        </w:rPr>
        <w:t xml:space="preserve"> as long as that offer is “valid,” and the subsequent verdict is “more favorable” than the rejected 998 offer.  (Civ. Code, § 3291; </w:t>
      </w:r>
      <w:r>
        <w:rPr>
          <w:rFonts w:ascii="Century Schoolbook" w:eastAsia="Century Schoolbook" w:hAnsi="Century Schoolbook" w:cs="Century Schoolbook"/>
          <w:i/>
          <w:sz w:val="26"/>
          <w:szCs w:val="26"/>
        </w:rPr>
        <w:t>Elrod v. Oregon Cummins Diesel, Inc.</w:t>
      </w:r>
      <w:r>
        <w:rPr>
          <w:rFonts w:ascii="Century Schoolbook" w:eastAsia="Century Schoolbook" w:hAnsi="Century Schoolbook" w:cs="Century Schoolbook"/>
          <w:sz w:val="26"/>
          <w:szCs w:val="26"/>
        </w:rPr>
        <w:t xml:space="preserve"> (1987) 195 Ca</w:t>
      </w:r>
      <w:r>
        <w:rPr>
          <w:rFonts w:ascii="Century Schoolbook" w:eastAsia="Century Schoolbook" w:hAnsi="Century Schoolbook" w:cs="Century Schoolbook"/>
          <w:sz w:val="26"/>
          <w:szCs w:val="26"/>
        </w:rPr>
        <w:t>l.App.3d 692, 698 (</w:t>
      </w:r>
      <w:r>
        <w:rPr>
          <w:rFonts w:ascii="Century Schoolbook" w:eastAsia="Century Schoolbook" w:hAnsi="Century Schoolbook" w:cs="Century Schoolbook"/>
          <w:i/>
          <w:sz w:val="26"/>
          <w:szCs w:val="26"/>
        </w:rPr>
        <w:t>Elrod</w:t>
      </w:r>
      <w:r>
        <w:rPr>
          <w:rFonts w:ascii="Century Schoolbook" w:eastAsia="Century Schoolbook" w:hAnsi="Century Schoolbook" w:cs="Century Schoolbook"/>
          <w:sz w:val="26"/>
          <w:szCs w:val="26"/>
        </w:rPr>
        <w:t>).)  A 998 offer is valid only if, among other things, the offeror knew that the offeree had reasonable access to the facts necessary to “intelligently evaluate the offer.”  (</w:t>
      </w:r>
      <w:r>
        <w:rPr>
          <w:rFonts w:ascii="Century Schoolbook" w:eastAsia="Century Schoolbook" w:hAnsi="Century Schoolbook" w:cs="Century Schoolbook"/>
          <w:i/>
          <w:sz w:val="26"/>
          <w:szCs w:val="26"/>
        </w:rPr>
        <w:t>Id.</w:t>
      </w:r>
      <w:r>
        <w:rPr>
          <w:rFonts w:ascii="Century Schoolbook" w:eastAsia="Century Schoolbook" w:hAnsi="Century Schoolbook" w:cs="Century Schoolbook"/>
          <w:sz w:val="26"/>
          <w:szCs w:val="26"/>
        </w:rPr>
        <w:t xml:space="preserve"> at pp. 699-700; </w:t>
      </w:r>
      <w:r>
        <w:rPr>
          <w:rFonts w:ascii="Century Schoolbook" w:eastAsia="Century Schoolbook" w:hAnsi="Century Schoolbook" w:cs="Century Schoolbook"/>
          <w:i/>
          <w:sz w:val="26"/>
          <w:szCs w:val="26"/>
        </w:rPr>
        <w:t>Najera v. Huerta</w:t>
      </w:r>
      <w:r>
        <w:rPr>
          <w:rFonts w:ascii="Century Schoolbook" w:eastAsia="Century Schoolbook" w:hAnsi="Century Schoolbook" w:cs="Century Schoolbook"/>
          <w:sz w:val="26"/>
          <w:szCs w:val="26"/>
        </w:rPr>
        <w:t xml:space="preserve"> (2011) 191 Cal.App.4</w:t>
      </w:r>
      <w:r>
        <w:rPr>
          <w:rFonts w:ascii="Century Schoolbook" w:eastAsia="Century Schoolbook" w:hAnsi="Century Schoolbook" w:cs="Century Schoolbook"/>
          <w:sz w:val="26"/>
          <w:szCs w:val="26"/>
        </w:rPr>
        <w:t>th 872, 878 (</w:t>
      </w:r>
      <w:r>
        <w:rPr>
          <w:rFonts w:ascii="Century Schoolbook" w:eastAsia="Century Schoolbook" w:hAnsi="Century Schoolbook" w:cs="Century Schoolbook"/>
          <w:i/>
          <w:sz w:val="26"/>
          <w:szCs w:val="26"/>
        </w:rPr>
        <w:t>Najera</w:t>
      </w:r>
      <w:r>
        <w:rPr>
          <w:rFonts w:ascii="Century Schoolbook" w:eastAsia="Century Schoolbook" w:hAnsi="Century Schoolbook" w:cs="Century Schoolbook"/>
          <w:sz w:val="26"/>
          <w:szCs w:val="26"/>
        </w:rPr>
        <w:t>).)  What factors are relevant in deciding whether the offeree had enough facts to evaluate the offer?  Although courts should evaluate the totality of the facts (</w:t>
      </w:r>
      <w:r>
        <w:rPr>
          <w:rFonts w:ascii="Century Schoolbook" w:eastAsia="Century Schoolbook" w:hAnsi="Century Schoolbook" w:cs="Century Schoolbook"/>
          <w:i/>
          <w:sz w:val="26"/>
          <w:szCs w:val="26"/>
        </w:rPr>
        <w:t>Arno v. Helient Corp.</w:t>
      </w:r>
      <w:r>
        <w:rPr>
          <w:rFonts w:ascii="Century Schoolbook" w:eastAsia="Century Schoolbook" w:hAnsi="Century Schoolbook" w:cs="Century Schoolbook"/>
          <w:sz w:val="26"/>
          <w:szCs w:val="26"/>
        </w:rPr>
        <w:t xml:space="preserve"> (2005) 130 Cal.App.4th 1019, 1026 (</w:t>
      </w:r>
      <w:r>
        <w:rPr>
          <w:rFonts w:ascii="Century Schoolbook" w:eastAsia="Century Schoolbook" w:hAnsi="Century Schoolbook" w:cs="Century Schoolbook"/>
          <w:i/>
          <w:sz w:val="26"/>
          <w:szCs w:val="26"/>
        </w:rPr>
        <w:t>Arno</w:t>
      </w:r>
      <w:r>
        <w:rPr>
          <w:rFonts w:ascii="Century Schoolbook" w:eastAsia="Century Schoolbook" w:hAnsi="Century Schoolbook" w:cs="Century Schoolbook"/>
          <w:sz w:val="26"/>
          <w:szCs w:val="26"/>
        </w:rPr>
        <w:t xml:space="preserve">)), we </w:t>
      </w:r>
      <w:r>
        <w:rPr>
          <w:rFonts w:ascii="Century Schoolbook" w:eastAsia="Century Schoolbook" w:hAnsi="Century Schoolbook" w:cs="Century Schoolbook"/>
          <w:sz w:val="26"/>
          <w:szCs w:val="26"/>
        </w:rPr>
        <w:t>conclude that three factors are especially pertinent:  (1) how far into the litigation the 998 offer was made; (2) the information available to the offeree prior to the 998 offer’s expiration; and (3) whether the offeree let the offeror know it lacked suff</w:t>
      </w:r>
      <w:r>
        <w:rPr>
          <w:rFonts w:ascii="Century Schoolbook" w:eastAsia="Century Schoolbook" w:hAnsi="Century Schoolbook" w:cs="Century Schoolbook"/>
          <w:sz w:val="26"/>
          <w:szCs w:val="26"/>
        </w:rPr>
        <w:t>icient information to evaluate the offer, and how the offeror responded.  Applying these factors in this case, we conclude that the trial court did not abuse its discretion in finding that the plaintiff’s 998 offer was not made in good faith.  We according</w:t>
      </w:r>
      <w:r>
        <w:rPr>
          <w:rFonts w:ascii="Century Schoolbook" w:eastAsia="Century Schoolbook" w:hAnsi="Century Schoolbook" w:cs="Century Schoolbook"/>
          <w:sz w:val="26"/>
          <w:szCs w:val="26"/>
        </w:rPr>
        <w:t>ly affirm the order denying plaintiff prejudgment interest.</w:t>
      </w:r>
    </w:p>
    <w:p w:rsidR="00507F15" w:rsidRDefault="00E40CD8" w:rsidP="0061478F">
      <w:pPr>
        <w:pStyle w:val="Normal1"/>
        <w:widowControl w:val="0"/>
        <w:spacing w:line="288" w:lineRule="auto"/>
        <w:rPr>
          <w:rFonts w:ascii="Century Schoolbook" w:eastAsia="Century Schoolbook" w:hAnsi="Century Schoolbook" w:cs="Century Schoolbook"/>
          <w:sz w:val="26"/>
          <w:szCs w:val="26"/>
        </w:rPr>
      </w:pPr>
    </w:p>
    <w:p w:rsidR="00507F15" w:rsidRDefault="00E40CD8" w:rsidP="0061478F">
      <w:pPr>
        <w:pStyle w:val="Normal1"/>
        <w:widowControl w:val="0"/>
        <w:spacing w:line="288" w:lineRule="auto"/>
        <w:rPr>
          <w:rFonts w:ascii="Century Schoolbook" w:eastAsia="Century Schoolbook" w:hAnsi="Century Schoolbook" w:cs="Century Schoolbook"/>
          <w:sz w:val="26"/>
          <w:szCs w:val="26"/>
        </w:rPr>
      </w:pPr>
    </w:p>
    <w:p w:rsidR="00507F15" w:rsidRDefault="00E40CD8" w:rsidP="0061478F">
      <w:pPr>
        <w:pStyle w:val="Normal1"/>
        <w:widowControl w:val="0"/>
        <w:spacing w:line="288" w:lineRule="auto"/>
        <w:rPr>
          <w:rFonts w:ascii="Century Schoolbook" w:eastAsia="Century Schoolbook" w:hAnsi="Century Schoolbook" w:cs="Century Schoolbook"/>
          <w:sz w:val="26"/>
          <w:szCs w:val="26"/>
        </w:rPr>
      </w:pPr>
    </w:p>
    <w:p w:rsidR="00507F15" w:rsidRDefault="00E40CD8" w:rsidP="0061478F">
      <w:pPr>
        <w:pStyle w:val="Normal1"/>
        <w:widowControl w:val="0"/>
        <w:spacing w:line="288" w:lineRule="auto"/>
        <w:rPr>
          <w:rFonts w:ascii="Century Schoolbook" w:eastAsia="Century Schoolbook" w:hAnsi="Century Schoolbook" w:cs="Century Schoolbook"/>
          <w:sz w:val="26"/>
          <w:szCs w:val="26"/>
        </w:rPr>
      </w:pPr>
    </w:p>
    <w:p w:rsidR="00507F15" w:rsidRDefault="00E40CD8" w:rsidP="0061478F">
      <w:pPr>
        <w:pStyle w:val="Normal1"/>
        <w:widowControl w:val="0"/>
        <w:spacing w:line="288" w:lineRule="auto"/>
        <w:rPr>
          <w:rFonts w:ascii="Century Schoolbook" w:eastAsia="Century Schoolbook" w:hAnsi="Century Schoolbook" w:cs="Century Schoolbook"/>
          <w:sz w:val="26"/>
          <w:szCs w:val="26"/>
        </w:rPr>
      </w:pPr>
    </w:p>
    <w:p w:rsidR="005C0FB9" w:rsidRPr="005C0FB9" w:rsidRDefault="00E40CD8" w:rsidP="005C0FB9">
      <w:pPr>
        <w:pStyle w:val="Normal1"/>
        <w:widowControl w:val="0"/>
        <w:spacing w:line="288" w:lineRule="auto"/>
        <w:jc w:val="center"/>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lastRenderedPageBreak/>
        <w:t>FACTS AND PROCEDURAL BACKGROUND</w:t>
      </w:r>
    </w:p>
    <w:p w:rsidR="00FC5FA9" w:rsidRPr="005C0FB9" w:rsidRDefault="00E40CD8" w:rsidP="00C20D0B">
      <w:pPr>
        <w:pStyle w:val="Normal1"/>
        <w:widowControl w:val="0"/>
        <w:spacing w:line="288" w:lineRule="auto"/>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t>I.</w:t>
      </w:r>
      <w:r>
        <w:rPr>
          <w:rFonts w:ascii="Century Schoolbook" w:eastAsia="Century Schoolbook" w:hAnsi="Century Schoolbook" w:cs="Century Schoolbook"/>
          <w:b/>
          <w:sz w:val="26"/>
          <w:szCs w:val="26"/>
        </w:rPr>
        <w:tab/>
        <w:t>Facts</w:t>
      </w:r>
      <w:r>
        <w:rPr>
          <w:rStyle w:val="FootnoteReference"/>
          <w:rFonts w:ascii="Century Schoolbook" w:eastAsia="Century Schoolbook" w:hAnsi="Century Schoolbook" w:cs="Century Schoolbook"/>
          <w:b/>
          <w:sz w:val="26"/>
          <w:szCs w:val="26"/>
        </w:rPr>
        <w:footnoteReference w:id="2"/>
      </w:r>
    </w:p>
    <w:p w:rsidR="005C0FB9" w:rsidRPr="005C0FB9" w:rsidRDefault="00E40CD8" w:rsidP="00C20D0B">
      <w:pPr>
        <w:pStyle w:val="Normal1"/>
        <w:widowControl w:val="0"/>
        <w:spacing w:line="288" w:lineRule="auto"/>
        <w:rPr>
          <w:rFonts w:ascii="Century Schoolbook" w:eastAsia="Century Schoolbook" w:hAnsi="Century Schoolbook" w:cs="Century Schoolbook"/>
          <w:i/>
          <w:sz w:val="26"/>
          <w:szCs w:val="26"/>
        </w:rPr>
      </w:pPr>
      <w:r>
        <w:rPr>
          <w:rFonts w:ascii="Century Schoolbook" w:eastAsia="Century Schoolbook" w:hAnsi="Century Schoolbook" w:cs="Century Schoolbook"/>
          <w:sz w:val="26"/>
          <w:szCs w:val="26"/>
        </w:rPr>
        <w:tab/>
        <w:t>In February 2012, Dionne Licudine (plaintiff) underwent gallbladder removal surgery.  The surgery was performed by Dr. Ankur Gupta under the supervi</w:t>
      </w:r>
      <w:r>
        <w:rPr>
          <w:rFonts w:ascii="Century Schoolbook" w:eastAsia="Century Schoolbook" w:hAnsi="Century Schoolbook" w:cs="Century Schoolbook"/>
          <w:sz w:val="26"/>
          <w:szCs w:val="26"/>
        </w:rPr>
        <w:t>sion of Dr. Brenden Carroll at defendant Cedars-Sinai Medical Center (Cedars).  The surgery was intended to be minimally invasive, but Dr. Gupta nicked a vein inside the abdominal cavity and caused substantial internal bleeding.  This necessitated a more i</w:t>
      </w:r>
      <w:r>
        <w:rPr>
          <w:rFonts w:ascii="Century Schoolbook" w:eastAsia="Century Schoolbook" w:hAnsi="Century Schoolbook" w:cs="Century Schoolbook"/>
          <w:sz w:val="26"/>
          <w:szCs w:val="26"/>
        </w:rPr>
        <w:t xml:space="preserve">nvasive surgery that left plaintiff with a large scar, a month-long hospitalization and a chronic abdominal condition. </w:t>
      </w:r>
    </w:p>
    <w:p w:rsidR="005C0FB9" w:rsidRPr="005C0FB9" w:rsidRDefault="00E40CD8" w:rsidP="00C20D0B">
      <w:pPr>
        <w:pStyle w:val="Normal1"/>
        <w:widowControl w:val="0"/>
        <w:spacing w:line="288" w:lineRule="auto"/>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t>II.</w:t>
      </w:r>
      <w:r>
        <w:rPr>
          <w:rFonts w:ascii="Century Schoolbook" w:eastAsia="Century Schoolbook" w:hAnsi="Century Schoolbook" w:cs="Century Schoolbook"/>
          <w:b/>
          <w:sz w:val="26"/>
          <w:szCs w:val="26"/>
        </w:rPr>
        <w:tab/>
        <w:t>Procedural Background</w:t>
      </w:r>
    </w:p>
    <w:p w:rsidR="005C0FB9" w:rsidRPr="005C0FB9" w:rsidRDefault="00E40CD8" w:rsidP="00C20D0B">
      <w:pPr>
        <w:pStyle w:val="Normal1"/>
        <w:widowControl w:val="0"/>
        <w:spacing w:line="288" w:lineRule="auto"/>
        <w:rPr>
          <w:rFonts w:ascii="Century Schoolbook" w:eastAsia="Century Schoolbook" w:hAnsi="Century Schoolbook" w:cs="Century Schoolbook"/>
          <w:b/>
          <w:i/>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b/>
          <w:sz w:val="26"/>
          <w:szCs w:val="26"/>
        </w:rPr>
        <w:t>A.</w:t>
      </w:r>
      <w:r>
        <w:rPr>
          <w:rFonts w:ascii="Century Schoolbook" w:eastAsia="Century Schoolbook" w:hAnsi="Century Schoolbook" w:cs="Century Schoolbook"/>
          <w:b/>
          <w:sz w:val="26"/>
          <w:szCs w:val="26"/>
        </w:rPr>
        <w:tab/>
      </w:r>
      <w:r>
        <w:rPr>
          <w:rFonts w:ascii="Century Schoolbook" w:eastAsia="Century Schoolbook" w:hAnsi="Century Schoolbook" w:cs="Century Schoolbook"/>
          <w:b/>
          <w:i/>
          <w:sz w:val="26"/>
          <w:szCs w:val="26"/>
        </w:rPr>
        <w:t>Complaint</w:t>
      </w:r>
    </w:p>
    <w:p w:rsidR="005C0FB9"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On January 15, 2013, plaintiff filed a medical malpractice lawsuit against Cedars, Dr. Gupta, D</w:t>
      </w:r>
      <w:r>
        <w:rPr>
          <w:rFonts w:ascii="Century Schoolbook" w:eastAsia="Century Schoolbook" w:hAnsi="Century Schoolbook" w:cs="Century Schoolbook"/>
          <w:sz w:val="26"/>
          <w:szCs w:val="26"/>
        </w:rPr>
        <w:t xml:space="preserve">r. Carroll and the Regents of the University of California (collectively, defendants).  The complaint was three pages long.  With respect to liability, plaintiff alleged that the defendants’ provision of medical services was “below the standard of care.”  </w:t>
      </w:r>
      <w:r>
        <w:rPr>
          <w:rFonts w:ascii="Century Schoolbook" w:eastAsia="Century Schoolbook" w:hAnsi="Century Schoolbook" w:cs="Century Schoolbook"/>
          <w:sz w:val="26"/>
          <w:szCs w:val="26"/>
        </w:rPr>
        <w:t>With respect to damages, plaintiff alleged only that she (1) had suffered “personal injuries and related emotional distress,” (2) had incurred “medical, nursing, health care, hospital and medical expenses,” (3) had suffered a “loss of wages, profits, and e</w:t>
      </w:r>
      <w:r>
        <w:rPr>
          <w:rFonts w:ascii="Century Schoolbook" w:eastAsia="Century Schoolbook" w:hAnsi="Century Schoolbook" w:cs="Century Schoolbook"/>
          <w:sz w:val="26"/>
          <w:szCs w:val="26"/>
        </w:rPr>
        <w:t xml:space="preserve">arning capacity,” and (4) incurred “other damages and injuries to be proven but which at this time are unknown.”  She prayed “for damages within the jurisdiction of the Court.” </w:t>
      </w:r>
    </w:p>
    <w:p w:rsidR="004F6F39"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lastRenderedPageBreak/>
        <w:tab/>
      </w:r>
      <w:r>
        <w:rPr>
          <w:rFonts w:ascii="Century Schoolbook" w:eastAsia="Century Schoolbook" w:hAnsi="Century Schoolbook" w:cs="Century Schoolbook"/>
          <w:sz w:val="26"/>
          <w:szCs w:val="26"/>
        </w:rPr>
        <w:t xml:space="preserve">It was not until May 23, 2013 that plaintiff served her complaint on Cedars.  Cedars filed its answer on June 6, 2013, along with a demand for written discovery and for a statement of damages. </w:t>
      </w:r>
    </w:p>
    <w:p w:rsidR="004F6F39" w:rsidRPr="004F6F39" w:rsidRDefault="00E40CD8" w:rsidP="00C20D0B">
      <w:pPr>
        <w:pStyle w:val="Normal1"/>
        <w:widowControl w:val="0"/>
        <w:spacing w:line="288" w:lineRule="auto"/>
        <w:rPr>
          <w:rFonts w:ascii="Century Schoolbook" w:eastAsia="Century Schoolbook" w:hAnsi="Century Schoolbook" w:cs="Century Schoolbook"/>
          <w:b/>
          <w:i/>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b/>
          <w:sz w:val="26"/>
          <w:szCs w:val="26"/>
        </w:rPr>
        <w:t>B.</w:t>
      </w:r>
      <w:r>
        <w:rPr>
          <w:rFonts w:ascii="Century Schoolbook" w:eastAsia="Century Schoolbook" w:hAnsi="Century Schoolbook" w:cs="Century Schoolbook"/>
          <w:b/>
          <w:sz w:val="26"/>
          <w:szCs w:val="26"/>
        </w:rPr>
        <w:tab/>
      </w:r>
      <w:r>
        <w:rPr>
          <w:rFonts w:ascii="Century Schoolbook" w:eastAsia="Century Schoolbook" w:hAnsi="Century Schoolbook" w:cs="Century Schoolbook"/>
          <w:b/>
          <w:i/>
          <w:sz w:val="26"/>
          <w:szCs w:val="26"/>
        </w:rPr>
        <w:t>Section 998 offer</w:t>
      </w:r>
    </w:p>
    <w:p w:rsidR="004F6F39" w:rsidRPr="004F6F39"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On June 11, 2013, plaintiff mailed Ceda</w:t>
      </w:r>
      <w:r>
        <w:rPr>
          <w:rFonts w:ascii="Century Schoolbook" w:eastAsia="Century Schoolbook" w:hAnsi="Century Schoolbook" w:cs="Century Schoolbook"/>
          <w:sz w:val="26"/>
          <w:szCs w:val="26"/>
        </w:rPr>
        <w:t xml:space="preserve">rs an “Offer to Compromise” pursuant to section 998.  Specifically, she “offer[ed] to allow judgment to be taken against Cedars and in favor of the plaintiff in the amount of $249,999.99, plus legal costs.” </w:t>
      </w:r>
    </w:p>
    <w:p w:rsidR="00EC5ECF"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On June 27, 2013, Cedars sent plaintiff a writt</w:t>
      </w:r>
      <w:r>
        <w:rPr>
          <w:rFonts w:ascii="Century Schoolbook" w:eastAsia="Century Schoolbook" w:hAnsi="Century Schoolbook" w:cs="Century Schoolbook"/>
          <w:sz w:val="26"/>
          <w:szCs w:val="26"/>
        </w:rPr>
        <w:t>en “Objection” to the 998 offer.  In its objection, Cedars noted that plaintiff made her 998 offer only five days after Cedars had filed its answer.  As Cedars explained, this was “too soon for it to make any determination as to whether plaintiff’s [998 of</w:t>
      </w:r>
      <w:r>
        <w:rPr>
          <w:rFonts w:ascii="Century Schoolbook" w:eastAsia="Century Schoolbook" w:hAnsi="Century Schoolbook" w:cs="Century Schoolbook"/>
          <w:sz w:val="26"/>
          <w:szCs w:val="26"/>
        </w:rPr>
        <w:t xml:space="preserve">fer] was reasonable” because Cedars had “not had an opportunity to fully investigate this action.” </w:t>
      </w:r>
    </w:p>
    <w:p w:rsidR="00EC5ECF"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The offer expired on July 16, 2013.  (§§ 998, subd. (b)(2) [offer expires 30 days after it is made], 1013, subd. (a) [five additional days added for mailed</w:t>
      </w:r>
      <w:r>
        <w:rPr>
          <w:rFonts w:ascii="Century Schoolbook" w:eastAsia="Century Schoolbook" w:hAnsi="Century Schoolbook" w:cs="Century Schoolbook"/>
          <w:sz w:val="26"/>
          <w:szCs w:val="26"/>
        </w:rPr>
        <w:t xml:space="preserve"> offers].)  Cedars did not accept the offer prior to its expiration.</w:t>
      </w:r>
    </w:p>
    <w:p w:rsidR="00EC5ECF" w:rsidRPr="00EC5ECF" w:rsidRDefault="00E40CD8" w:rsidP="00C20D0B">
      <w:pPr>
        <w:pStyle w:val="Normal1"/>
        <w:widowControl w:val="0"/>
        <w:spacing w:line="288" w:lineRule="auto"/>
        <w:rPr>
          <w:rFonts w:ascii="Century Schoolbook" w:eastAsia="Century Schoolbook" w:hAnsi="Century Schoolbook" w:cs="Century Schoolbook"/>
          <w:b/>
          <w:i/>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b/>
          <w:sz w:val="26"/>
          <w:szCs w:val="26"/>
        </w:rPr>
        <w:t>C.</w:t>
      </w:r>
      <w:r>
        <w:rPr>
          <w:rFonts w:ascii="Century Schoolbook" w:eastAsia="Century Schoolbook" w:hAnsi="Century Schoolbook" w:cs="Century Schoolbook"/>
          <w:b/>
          <w:sz w:val="26"/>
          <w:szCs w:val="26"/>
        </w:rPr>
        <w:tab/>
      </w:r>
      <w:r>
        <w:rPr>
          <w:rFonts w:ascii="Century Schoolbook" w:eastAsia="Century Schoolbook" w:hAnsi="Century Schoolbook" w:cs="Century Schoolbook"/>
          <w:b/>
          <w:i/>
          <w:sz w:val="26"/>
          <w:szCs w:val="26"/>
        </w:rPr>
        <w:t>First trial and appeal</w:t>
      </w:r>
    </w:p>
    <w:p w:rsidR="00EC5ECF"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 xml:space="preserve">The matter proceeded to trial.  A jury found Cedars liable for malpractice and awarded plaintiff $1,045,000 in damages.  Both Cedars and plaintiff moved for a </w:t>
      </w:r>
      <w:r>
        <w:rPr>
          <w:rFonts w:ascii="Century Schoolbook" w:eastAsia="Century Schoolbook" w:hAnsi="Century Schoolbook" w:cs="Century Schoolbook"/>
          <w:sz w:val="26"/>
          <w:szCs w:val="26"/>
        </w:rPr>
        <w:t>new trial on damages, and the trial court granted both motions and set the matter for a new damages trial.  We affirmed the trial court’s orders.  (</w:t>
      </w:r>
      <w:r>
        <w:rPr>
          <w:rFonts w:ascii="Century Schoolbook" w:eastAsia="Century Schoolbook" w:hAnsi="Century Schoolbook" w:cs="Century Schoolbook"/>
          <w:i/>
          <w:sz w:val="26"/>
          <w:szCs w:val="26"/>
        </w:rPr>
        <w:t>Licudine I</w:t>
      </w:r>
      <w:r w:rsidRPr="00A00DA3">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sidRPr="003C2146">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sz w:val="26"/>
          <w:szCs w:val="26"/>
        </w:rPr>
        <w:t>3 Cal.App.5th 881.)</w:t>
      </w:r>
    </w:p>
    <w:p w:rsidR="00EC5ECF" w:rsidRPr="00EC5ECF" w:rsidRDefault="00E40CD8" w:rsidP="00C20D0B">
      <w:pPr>
        <w:pStyle w:val="Normal1"/>
        <w:widowControl w:val="0"/>
        <w:spacing w:line="288" w:lineRule="auto"/>
        <w:rPr>
          <w:rFonts w:ascii="Century Schoolbook" w:eastAsia="Century Schoolbook" w:hAnsi="Century Schoolbook" w:cs="Century Schoolbook"/>
          <w:b/>
          <w:i/>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b/>
          <w:sz w:val="26"/>
          <w:szCs w:val="26"/>
        </w:rPr>
        <w:t>D.</w:t>
      </w:r>
      <w:r>
        <w:rPr>
          <w:rFonts w:ascii="Century Schoolbook" w:eastAsia="Century Schoolbook" w:hAnsi="Century Schoolbook" w:cs="Century Schoolbook"/>
          <w:b/>
          <w:sz w:val="26"/>
          <w:szCs w:val="26"/>
        </w:rPr>
        <w:tab/>
      </w:r>
      <w:r>
        <w:rPr>
          <w:rFonts w:ascii="Century Schoolbook" w:eastAsia="Century Schoolbook" w:hAnsi="Century Schoolbook" w:cs="Century Schoolbook"/>
          <w:b/>
          <w:i/>
          <w:sz w:val="26"/>
          <w:szCs w:val="26"/>
        </w:rPr>
        <w:t>Damages retrial</w:t>
      </w:r>
    </w:p>
    <w:p w:rsidR="00EC5ECF"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A jury returned a total damages award of $7,619,</w:t>
      </w:r>
      <w:r>
        <w:rPr>
          <w:rFonts w:ascii="Century Schoolbook" w:eastAsia="Century Schoolbook" w:hAnsi="Century Schoolbook" w:cs="Century Schoolbook"/>
          <w:sz w:val="26"/>
          <w:szCs w:val="26"/>
        </w:rPr>
        <w:t>457,</w:t>
      </w:r>
      <w:r>
        <w:rPr>
          <w:rFonts w:ascii="Century Schoolbook" w:eastAsia="Century Schoolbook" w:hAnsi="Century Schoolbook" w:cs="Century Schoolbook"/>
          <w:b/>
          <w:sz w:val="26"/>
          <w:szCs w:val="26"/>
        </w:rPr>
        <w:t xml:space="preserve"> </w:t>
      </w:r>
      <w:r>
        <w:rPr>
          <w:rFonts w:ascii="Century Schoolbook" w:eastAsia="Century Schoolbook" w:hAnsi="Century Schoolbook" w:cs="Century Schoolbook"/>
          <w:sz w:val="26"/>
          <w:szCs w:val="26"/>
        </w:rPr>
        <w:t xml:space="preserve">comprised of $5,344,557 in economic damages and $2,274,900 in </w:t>
      </w:r>
      <w:r>
        <w:rPr>
          <w:rFonts w:ascii="Century Schoolbook" w:eastAsia="Century Schoolbook" w:hAnsi="Century Schoolbook" w:cs="Century Schoolbook"/>
          <w:sz w:val="26"/>
          <w:szCs w:val="26"/>
        </w:rPr>
        <w:lastRenderedPageBreak/>
        <w:t>noneconomic damages.</w:t>
      </w:r>
      <w:r>
        <w:rPr>
          <w:rStyle w:val="FootnoteReference"/>
          <w:rFonts w:ascii="Century Schoolbook" w:eastAsia="Century Schoolbook" w:hAnsi="Century Schoolbook" w:cs="Century Schoolbook"/>
          <w:b/>
          <w:sz w:val="26"/>
          <w:szCs w:val="26"/>
        </w:rPr>
        <w:footnoteReference w:id="3"/>
      </w:r>
      <w:r>
        <w:rPr>
          <w:rFonts w:ascii="Century Schoolbook" w:eastAsia="Century Schoolbook" w:hAnsi="Century Schoolbook" w:cs="Century Schoolbook"/>
          <w:sz w:val="26"/>
          <w:szCs w:val="26"/>
        </w:rPr>
        <w:t xml:space="preserve">  Pursuant to the statutory cap on noneconomic damages applicable in medical malpractice cases (Civ. Code, § 3333.2), the trial court reduced the noneconomic damages verdict to $250,000, yielding a total verdict of $5,594,557. </w:t>
      </w:r>
    </w:p>
    <w:p w:rsidR="00C20080" w:rsidRPr="00C20080" w:rsidRDefault="00E40CD8" w:rsidP="00C20D0B">
      <w:pPr>
        <w:pStyle w:val="Normal1"/>
        <w:widowControl w:val="0"/>
        <w:spacing w:line="288" w:lineRule="auto"/>
        <w:rPr>
          <w:rFonts w:ascii="Century Schoolbook" w:eastAsia="Century Schoolbook" w:hAnsi="Century Schoolbook" w:cs="Century Schoolbook"/>
          <w:b/>
          <w:i/>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b/>
          <w:sz w:val="26"/>
          <w:szCs w:val="26"/>
        </w:rPr>
        <w:t>E.</w:t>
      </w:r>
      <w:r>
        <w:rPr>
          <w:rFonts w:ascii="Century Schoolbook" w:eastAsia="Century Schoolbook" w:hAnsi="Century Schoolbook" w:cs="Century Schoolbook"/>
          <w:b/>
          <w:sz w:val="26"/>
          <w:szCs w:val="26"/>
        </w:rPr>
        <w:tab/>
      </w:r>
      <w:r>
        <w:rPr>
          <w:rFonts w:ascii="Century Schoolbook" w:eastAsia="Century Schoolbook" w:hAnsi="Century Schoolbook" w:cs="Century Schoolbook"/>
          <w:b/>
          <w:i/>
          <w:sz w:val="26"/>
          <w:szCs w:val="26"/>
        </w:rPr>
        <w:t xml:space="preserve">Request for prejudgment </w:t>
      </w:r>
      <w:r>
        <w:rPr>
          <w:rFonts w:ascii="Century Schoolbook" w:eastAsia="Century Schoolbook" w:hAnsi="Century Schoolbook" w:cs="Century Schoolbook"/>
          <w:b/>
          <w:i/>
          <w:sz w:val="26"/>
          <w:szCs w:val="26"/>
        </w:rPr>
        <w:t>interest</w:t>
      </w:r>
    </w:p>
    <w:p w:rsidR="0064548B"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Plaintiff filed a memorandum of costs seeking, among other things, $2,335,929.20 in prejudgment interest from the date of her 998 offer to the date of judgment.</w:t>
      </w:r>
      <w:r>
        <w:rPr>
          <w:rStyle w:val="FootnoteReference"/>
          <w:rFonts w:ascii="Century Schoolbook" w:eastAsia="Century Schoolbook" w:hAnsi="Century Schoolbook" w:cs="Century Schoolbook"/>
          <w:b/>
          <w:sz w:val="26"/>
          <w:szCs w:val="26"/>
        </w:rPr>
        <w:footnoteReference w:id="4"/>
      </w:r>
      <w:r>
        <w:rPr>
          <w:rFonts w:ascii="Century Schoolbook" w:eastAsia="Century Schoolbook" w:hAnsi="Century Schoolbook" w:cs="Century Schoolbook"/>
          <w:sz w:val="26"/>
          <w:szCs w:val="26"/>
        </w:rPr>
        <w:t xml:space="preserve">  Cedars filed a motion to strike plaintiff’s prejudgment interest request, arguing that her 998 offer was “invalid” because it was “made so early in the proceedings that [Cedars] did not have a fair opportunity to intelligently evaluate it.”  Following fu</w:t>
      </w:r>
      <w:r>
        <w:rPr>
          <w:rFonts w:ascii="Century Schoolbook" w:eastAsia="Century Schoolbook" w:hAnsi="Century Schoolbook" w:cs="Century Schoolbook"/>
          <w:sz w:val="26"/>
          <w:szCs w:val="26"/>
        </w:rPr>
        <w:t xml:space="preserve">ll briefing, the court held a hearing.  Toward the end of the hearing, plaintiff sought to supplement her briefing, but the trial court denied her request. </w:t>
      </w:r>
      <w:bookmarkStart w:id="0" w:name="_GoBack"/>
      <w:bookmarkEnd w:id="0"/>
      <w:r>
        <w:rPr>
          <w:rFonts w:ascii="Century Schoolbook" w:eastAsia="Century Schoolbook" w:hAnsi="Century Schoolbook" w:cs="Century Schoolbook"/>
          <w:sz w:val="26"/>
          <w:szCs w:val="26"/>
        </w:rPr>
        <w:t>After further argument, the court struck plaintiff’s request for prejudgment interest</w:t>
      </w:r>
      <w:r>
        <w:rPr>
          <w:rFonts w:ascii="Century Schoolbook" w:eastAsia="Century Schoolbook" w:hAnsi="Century Schoolbook" w:cs="Century Schoolbook"/>
          <w:sz w:val="26"/>
          <w:szCs w:val="26"/>
        </w:rPr>
        <w:t xml:space="preserve">.  In so ruling, the court found that plaintiff’s 998 offer had been “premature” because Cedars had not “ha[d] an adequate opportunity to evaluate the damages in this case at the time of the 998 offer.” </w:t>
      </w:r>
    </w:p>
    <w:p w:rsidR="00C20080" w:rsidRPr="00C20080" w:rsidRDefault="00E40CD8" w:rsidP="00C20D0B">
      <w:pPr>
        <w:pStyle w:val="Normal1"/>
        <w:widowControl w:val="0"/>
        <w:spacing w:line="288" w:lineRule="auto"/>
        <w:rPr>
          <w:rFonts w:ascii="Century Schoolbook" w:eastAsia="Century Schoolbook" w:hAnsi="Century Schoolbook" w:cs="Century Schoolbook"/>
          <w:b/>
          <w:i/>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b/>
          <w:sz w:val="26"/>
          <w:szCs w:val="26"/>
        </w:rPr>
        <w:t>F.</w:t>
      </w:r>
      <w:r>
        <w:rPr>
          <w:rFonts w:ascii="Century Schoolbook" w:eastAsia="Century Schoolbook" w:hAnsi="Century Schoolbook" w:cs="Century Schoolbook"/>
          <w:b/>
          <w:sz w:val="26"/>
          <w:szCs w:val="26"/>
        </w:rPr>
        <w:tab/>
      </w:r>
      <w:r>
        <w:rPr>
          <w:rFonts w:ascii="Century Schoolbook" w:eastAsia="Century Schoolbook" w:hAnsi="Century Schoolbook" w:cs="Century Schoolbook"/>
          <w:b/>
          <w:i/>
          <w:sz w:val="26"/>
          <w:szCs w:val="26"/>
        </w:rPr>
        <w:t>Appeal</w:t>
      </w:r>
    </w:p>
    <w:p w:rsidR="00C20080"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 xml:space="preserve">Plaintiff filed this timely appeal. </w:t>
      </w:r>
    </w:p>
    <w:p w:rsidR="00B20B25" w:rsidRDefault="00E40CD8" w:rsidP="00C20D0B">
      <w:pPr>
        <w:pStyle w:val="Normal1"/>
        <w:widowControl w:val="0"/>
        <w:spacing w:line="288" w:lineRule="auto"/>
        <w:rPr>
          <w:rFonts w:ascii="Century Schoolbook" w:eastAsia="Century Schoolbook" w:hAnsi="Century Schoolbook" w:cs="Century Schoolbook"/>
          <w:sz w:val="26"/>
          <w:szCs w:val="26"/>
        </w:rPr>
      </w:pPr>
    </w:p>
    <w:p w:rsidR="00B20B25" w:rsidRDefault="00E40CD8" w:rsidP="00C20D0B">
      <w:pPr>
        <w:pStyle w:val="Normal1"/>
        <w:widowControl w:val="0"/>
        <w:spacing w:line="288" w:lineRule="auto"/>
        <w:rPr>
          <w:rFonts w:ascii="Century Schoolbook" w:eastAsia="Century Schoolbook" w:hAnsi="Century Schoolbook" w:cs="Century Schoolbook"/>
          <w:sz w:val="26"/>
          <w:szCs w:val="26"/>
        </w:rPr>
      </w:pPr>
    </w:p>
    <w:p w:rsidR="00C20080" w:rsidRPr="00C20080" w:rsidRDefault="00E40CD8" w:rsidP="00C20080">
      <w:pPr>
        <w:pStyle w:val="Normal1"/>
        <w:widowControl w:val="0"/>
        <w:spacing w:line="288" w:lineRule="auto"/>
        <w:jc w:val="center"/>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lastRenderedPageBreak/>
        <w:t>D</w:t>
      </w:r>
      <w:r>
        <w:rPr>
          <w:rFonts w:ascii="Century Schoolbook" w:eastAsia="Century Schoolbook" w:hAnsi="Century Schoolbook" w:cs="Century Schoolbook"/>
          <w:b/>
          <w:sz w:val="26"/>
          <w:szCs w:val="26"/>
        </w:rPr>
        <w:t>ISCUSSION</w:t>
      </w:r>
    </w:p>
    <w:p w:rsidR="00C20080"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If a plaintiff makes an offer to settle a lawsuit pursuant to section 998 that the defendant does not accept, and if the plaintiff ultimately obtains a “more favorable judgment,” she is entitled to have the defendant pay (1) the costs of her exp</w:t>
      </w:r>
      <w:r>
        <w:rPr>
          <w:rFonts w:ascii="Century Schoolbook" w:eastAsia="Century Schoolbook" w:hAnsi="Century Schoolbook" w:cs="Century Schoolbook"/>
          <w:sz w:val="26"/>
          <w:szCs w:val="26"/>
        </w:rPr>
        <w:t xml:space="preserve">ert witnesses incurred after the 998 offer was made (§ 998, subds. (b) &amp; (d)), and (2) prejudgment interest at the rate of 10 percent starting from the date of the 998 offer (Civ. Code, § 3291; </w:t>
      </w:r>
      <w:r>
        <w:rPr>
          <w:rFonts w:ascii="Century Schoolbook" w:eastAsia="Century Schoolbook" w:hAnsi="Century Schoolbook" w:cs="Century Schoolbook"/>
          <w:i/>
          <w:sz w:val="26"/>
          <w:szCs w:val="26"/>
        </w:rPr>
        <w:t>Wilson v. Wal-Mart Stores, Inc.</w:t>
      </w:r>
      <w:r>
        <w:rPr>
          <w:rFonts w:ascii="Century Schoolbook" w:eastAsia="Century Schoolbook" w:hAnsi="Century Schoolbook" w:cs="Century Schoolbook"/>
          <w:sz w:val="26"/>
          <w:szCs w:val="26"/>
        </w:rPr>
        <w:t xml:space="preserve"> (1999) 72 Cal.App.4th 382, 392</w:t>
      </w:r>
      <w:r>
        <w:rPr>
          <w:rFonts w:ascii="Century Schoolbook" w:eastAsia="Century Schoolbook" w:hAnsi="Century Schoolbook" w:cs="Century Schoolbook"/>
          <w:sz w:val="26"/>
          <w:szCs w:val="26"/>
        </w:rPr>
        <w:t>-393).  However, a plaintiff is entitled to this additional recovery only if her 998 offer is “valid.”  (</w:t>
      </w:r>
      <w:r>
        <w:rPr>
          <w:rFonts w:ascii="Century Schoolbook" w:eastAsia="Century Schoolbook" w:hAnsi="Century Schoolbook" w:cs="Century Schoolbook"/>
          <w:i/>
          <w:sz w:val="26"/>
          <w:szCs w:val="26"/>
        </w:rPr>
        <w:t>Barella v. Exchange Bank</w:t>
      </w:r>
      <w:r>
        <w:rPr>
          <w:rFonts w:ascii="Century Schoolbook" w:eastAsia="Century Schoolbook" w:hAnsi="Century Schoolbook" w:cs="Century Schoolbook"/>
          <w:sz w:val="26"/>
          <w:szCs w:val="26"/>
        </w:rPr>
        <w:t xml:space="preserve"> (2000) 84 Cal.App.4th 793, 799 (</w:t>
      </w:r>
      <w:r>
        <w:rPr>
          <w:rFonts w:ascii="Century Schoolbook" w:eastAsia="Century Schoolbook" w:hAnsi="Century Schoolbook" w:cs="Century Schoolbook"/>
          <w:i/>
          <w:sz w:val="26"/>
          <w:szCs w:val="26"/>
        </w:rPr>
        <w:t>Barella</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Chen v. Interinsurance Exchange of the Automobile Club</w:t>
      </w:r>
      <w:r>
        <w:rPr>
          <w:rFonts w:ascii="Century Schoolbook" w:eastAsia="Century Schoolbook" w:hAnsi="Century Schoolbook" w:cs="Century Schoolbook"/>
          <w:sz w:val="26"/>
          <w:szCs w:val="26"/>
        </w:rPr>
        <w:t xml:space="preserve"> (2008) 164 Cal.App.4th 117, 1</w:t>
      </w:r>
      <w:r>
        <w:rPr>
          <w:rFonts w:ascii="Century Schoolbook" w:eastAsia="Century Schoolbook" w:hAnsi="Century Schoolbook" w:cs="Century Schoolbook"/>
          <w:sz w:val="26"/>
          <w:szCs w:val="26"/>
        </w:rPr>
        <w:t>21.)  Plaintiff argues that the trial court erred in ruling that her 998 offer was not valid.  Where, as here, the underlying facts are disputed, we review the trial court’s ruling solely for an abuse of discretion.  (</w:t>
      </w:r>
      <w:r>
        <w:rPr>
          <w:rFonts w:ascii="Century Schoolbook" w:eastAsia="Century Schoolbook" w:hAnsi="Century Schoolbook" w:cs="Century Schoolbook"/>
          <w:i/>
          <w:sz w:val="26"/>
          <w:szCs w:val="26"/>
        </w:rPr>
        <w:t>Timed Out LLC v. 13359 Corp.</w:t>
      </w:r>
      <w:r>
        <w:rPr>
          <w:rFonts w:ascii="Century Schoolbook" w:eastAsia="Century Schoolbook" w:hAnsi="Century Schoolbook" w:cs="Century Schoolbook"/>
          <w:sz w:val="26"/>
          <w:szCs w:val="26"/>
        </w:rPr>
        <w:t xml:space="preserve"> (2018) 21</w:t>
      </w:r>
      <w:r>
        <w:rPr>
          <w:rFonts w:ascii="Century Schoolbook" w:eastAsia="Century Schoolbook" w:hAnsi="Century Schoolbook" w:cs="Century Schoolbook"/>
          <w:sz w:val="26"/>
          <w:szCs w:val="26"/>
        </w:rPr>
        <w:t xml:space="preserve"> Cal.App.5th 933, 942 (</w:t>
      </w:r>
      <w:r>
        <w:rPr>
          <w:rFonts w:ascii="Century Schoolbook" w:eastAsia="Century Schoolbook" w:hAnsi="Century Schoolbook" w:cs="Century Schoolbook"/>
          <w:i/>
          <w:sz w:val="26"/>
          <w:szCs w:val="26"/>
        </w:rPr>
        <w:t>Timed Out</w:t>
      </w:r>
      <w:r>
        <w:rPr>
          <w:rFonts w:ascii="Century Schoolbook" w:eastAsia="Century Schoolbook" w:hAnsi="Century Schoolbook" w:cs="Century Schoolbook"/>
          <w:sz w:val="26"/>
          <w:szCs w:val="26"/>
        </w:rPr>
        <w:t>).)  As the appellant, plaintiff bears the burden of proving that the trial court abused its discretion.  (</w:t>
      </w:r>
      <w:r>
        <w:rPr>
          <w:rFonts w:ascii="Century Schoolbook" w:eastAsia="Century Schoolbook" w:hAnsi="Century Schoolbook" w:cs="Century Schoolbook"/>
          <w:i/>
          <w:sz w:val="26"/>
          <w:szCs w:val="26"/>
        </w:rPr>
        <w:t>Najera</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191 Cal.App.4th at p. 877.)</w:t>
      </w:r>
    </w:p>
    <w:p w:rsidR="00F0281D" w:rsidRPr="00F0281D" w:rsidRDefault="00E40CD8" w:rsidP="00C20D0B">
      <w:pPr>
        <w:pStyle w:val="Normal1"/>
        <w:widowControl w:val="0"/>
        <w:spacing w:line="288" w:lineRule="auto"/>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t>I.</w:t>
      </w:r>
      <w:r>
        <w:rPr>
          <w:rFonts w:ascii="Century Schoolbook" w:eastAsia="Century Schoolbook" w:hAnsi="Century Schoolbook" w:cs="Century Schoolbook"/>
          <w:b/>
          <w:sz w:val="26"/>
          <w:szCs w:val="26"/>
        </w:rPr>
        <w:tab/>
        <w:t>The Pertinent Law on the Validity of 998 Offers</w:t>
      </w:r>
    </w:p>
    <w:p w:rsidR="00F86132" w:rsidRDefault="00E40CD8" w:rsidP="00C20D0B">
      <w:pPr>
        <w:pStyle w:val="Normal1"/>
        <w:widowControl w:val="0"/>
        <w:spacing w:line="288" w:lineRule="auto"/>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t xml:space="preserve">A 998 offer is valid </w:t>
      </w:r>
      <w:r>
        <w:rPr>
          <w:rFonts w:ascii="Century Schoolbook" w:eastAsia="Century Schoolbook" w:hAnsi="Century Schoolbook" w:cs="Century Schoolbook"/>
          <w:sz w:val="26"/>
          <w:szCs w:val="26"/>
        </w:rPr>
        <w:t>only if it is made in “good faith.”  (</w:t>
      </w:r>
      <w:r>
        <w:rPr>
          <w:rFonts w:ascii="Century Schoolbook" w:eastAsia="Century Schoolbook" w:hAnsi="Century Schoolbook" w:cs="Century Schoolbook"/>
          <w:i/>
          <w:sz w:val="26"/>
          <w:szCs w:val="26"/>
        </w:rPr>
        <w:t>Elrod</w:t>
      </w:r>
      <w:r w:rsidRPr="006165D8">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195 Cal.App.3d at p. 698; </w:t>
      </w:r>
      <w:r>
        <w:rPr>
          <w:rFonts w:ascii="Century Schoolbook" w:eastAsia="Century Schoolbook" w:hAnsi="Century Schoolbook" w:cs="Century Schoolbook"/>
          <w:i/>
          <w:sz w:val="26"/>
          <w:szCs w:val="26"/>
        </w:rPr>
        <w:t>Wear v. Calderon</w:t>
      </w:r>
      <w:r>
        <w:rPr>
          <w:rFonts w:ascii="Century Schoolbook" w:eastAsia="Century Schoolbook" w:hAnsi="Century Schoolbook" w:cs="Century Schoolbook"/>
          <w:sz w:val="26"/>
          <w:szCs w:val="26"/>
        </w:rPr>
        <w:t xml:space="preserve"> (1981) 121 Cal.App.3d 818, 821 (</w:t>
      </w:r>
      <w:r>
        <w:rPr>
          <w:rFonts w:ascii="Century Schoolbook" w:eastAsia="Century Schoolbook" w:hAnsi="Century Schoolbook" w:cs="Century Schoolbook"/>
          <w:i/>
          <w:sz w:val="26"/>
          <w:szCs w:val="26"/>
        </w:rPr>
        <w:t>Wear</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Regency Outdoor Advertising, Inc. v. City of Los Angeles</w:t>
      </w:r>
      <w:r>
        <w:rPr>
          <w:rFonts w:ascii="Century Schoolbook" w:eastAsia="Century Schoolbook" w:hAnsi="Century Schoolbook" w:cs="Century Schoolbook"/>
          <w:sz w:val="26"/>
          <w:szCs w:val="26"/>
        </w:rPr>
        <w:t xml:space="preserve"> (2006) 39 Cal.4th 507, 531 (</w:t>
      </w:r>
      <w:r w:rsidRPr="00A00DA3">
        <w:rPr>
          <w:rFonts w:ascii="Century Schoolbook" w:eastAsia="Century Schoolbook" w:hAnsi="Century Schoolbook" w:cs="Century Schoolbook"/>
          <w:i/>
          <w:sz w:val="26"/>
          <w:szCs w:val="26"/>
        </w:rPr>
        <w:t>Regency</w:t>
      </w:r>
      <w:r>
        <w:rPr>
          <w:rFonts w:ascii="Century Schoolbook" w:eastAsia="Century Schoolbook" w:hAnsi="Century Schoolbook" w:cs="Century Schoolbook"/>
          <w:sz w:val="26"/>
          <w:szCs w:val="26"/>
        </w:rPr>
        <w:t>) [assuming “good faith” is re</w:t>
      </w:r>
      <w:r>
        <w:rPr>
          <w:rFonts w:ascii="Century Schoolbook" w:eastAsia="Century Schoolbook" w:hAnsi="Century Schoolbook" w:cs="Century Schoolbook"/>
          <w:sz w:val="26"/>
          <w:szCs w:val="26"/>
        </w:rPr>
        <w:t>quired].)  A 998 offer is made in good faith only if the offer is “‘realistically reasonable under the circumstances of the particular case’” (</w:t>
      </w:r>
      <w:r>
        <w:rPr>
          <w:rFonts w:ascii="Century Schoolbook" w:eastAsia="Century Schoolbook" w:hAnsi="Century Schoolbook" w:cs="Century Schoolbook"/>
          <w:i/>
          <w:sz w:val="26"/>
          <w:szCs w:val="26"/>
        </w:rPr>
        <w:t>Elrod</w:t>
      </w:r>
      <w:r>
        <w:rPr>
          <w:rFonts w:ascii="Century Schoolbook" w:eastAsia="Century Schoolbook" w:hAnsi="Century Schoolbook" w:cs="Century Schoolbook"/>
          <w:sz w:val="26"/>
          <w:szCs w:val="26"/>
        </w:rPr>
        <w:t xml:space="preserve">, at p. 698, quoting </w:t>
      </w:r>
      <w:r>
        <w:rPr>
          <w:rFonts w:ascii="Century Schoolbook" w:eastAsia="Century Schoolbook" w:hAnsi="Century Schoolbook" w:cs="Century Schoolbook"/>
          <w:i/>
          <w:sz w:val="26"/>
          <w:szCs w:val="26"/>
        </w:rPr>
        <w:t>Wear</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w:t>
      </w:r>
      <w:r>
        <w:rPr>
          <w:rFonts w:ascii="Century Schoolbook" w:eastAsia="Century Schoolbook" w:hAnsi="Century Schoolbook" w:cs="Century Schoolbook"/>
          <w:sz w:val="26"/>
          <w:szCs w:val="26"/>
        </w:rPr>
        <w:t>at p. 821)—that is, if the offer “carr[ies] with it some reasonable prospect of a</w:t>
      </w:r>
      <w:r>
        <w:rPr>
          <w:rFonts w:ascii="Century Schoolbook" w:eastAsia="Century Schoolbook" w:hAnsi="Century Schoolbook" w:cs="Century Schoolbook"/>
          <w:sz w:val="26"/>
          <w:szCs w:val="26"/>
        </w:rPr>
        <w:t>cceptance” (</w:t>
      </w:r>
      <w:r w:rsidRPr="00A00DA3">
        <w:rPr>
          <w:rFonts w:ascii="Century Schoolbook" w:eastAsia="Century Schoolbook" w:hAnsi="Century Schoolbook" w:cs="Century Schoolbook"/>
          <w:i/>
          <w:sz w:val="26"/>
          <w:szCs w:val="26"/>
        </w:rPr>
        <w:t>Regency</w:t>
      </w:r>
      <w:r>
        <w:rPr>
          <w:rFonts w:ascii="Century Schoolbook" w:eastAsia="Century Schoolbook" w:hAnsi="Century Schoolbook" w:cs="Century Schoolbook"/>
          <w:sz w:val="26"/>
          <w:szCs w:val="26"/>
        </w:rPr>
        <w:t xml:space="preserve">, at p. 531).  </w:t>
      </w:r>
    </w:p>
    <w:p w:rsidR="00F86132" w:rsidRDefault="00E40CD8" w:rsidP="00F86132">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lastRenderedPageBreak/>
        <w:t>Although section 998’s text does not itself condition validity upon an offeror’s good faith, such a requirement is necessarily implied by the statute’s purpose:  Section 998 is meant “to encourage the settlement of lawsui</w:t>
      </w:r>
      <w:r>
        <w:rPr>
          <w:rFonts w:ascii="Century Schoolbook" w:eastAsia="Century Schoolbook" w:hAnsi="Century Schoolbook" w:cs="Century Schoolbook"/>
          <w:sz w:val="26"/>
          <w:szCs w:val="26"/>
        </w:rPr>
        <w:t>ts prior to trial” (</w:t>
      </w:r>
      <w:r>
        <w:rPr>
          <w:rFonts w:ascii="Century Schoolbook" w:eastAsia="Century Schoolbook" w:hAnsi="Century Schoolbook" w:cs="Century Schoolbook"/>
          <w:i/>
          <w:sz w:val="26"/>
          <w:szCs w:val="26"/>
        </w:rPr>
        <w:t>T.M. Cobb v. Superior Court</w:t>
      </w:r>
      <w:r>
        <w:rPr>
          <w:rFonts w:ascii="Century Schoolbook" w:eastAsia="Century Schoolbook" w:hAnsi="Century Schoolbook" w:cs="Century Schoolbook"/>
          <w:sz w:val="26"/>
          <w:szCs w:val="26"/>
        </w:rPr>
        <w:t xml:space="preserve"> (1984) 36 Cal.3d 273, 280; </w:t>
      </w:r>
      <w:r>
        <w:rPr>
          <w:rFonts w:ascii="Century Schoolbook" w:eastAsia="Century Schoolbook" w:hAnsi="Century Schoolbook" w:cs="Century Schoolbook"/>
          <w:i/>
          <w:sz w:val="26"/>
          <w:szCs w:val="26"/>
        </w:rPr>
        <w:t>Poster v. Southern California Rapid Transit Dist.</w:t>
      </w:r>
      <w:r>
        <w:rPr>
          <w:rFonts w:ascii="Century Schoolbook" w:eastAsia="Century Schoolbook" w:hAnsi="Century Schoolbook" w:cs="Century Schoolbook"/>
          <w:sz w:val="26"/>
          <w:szCs w:val="26"/>
        </w:rPr>
        <w:t xml:space="preserve"> (1990) 52 Cal.3d 266, 270), and it uses the proverbial “stick” to do so:  “Accept this offer </w:t>
      </w:r>
      <w:r w:rsidRPr="00B45D17">
        <w:rPr>
          <w:rFonts w:ascii="Century Schoolbook" w:eastAsia="Century Schoolbook" w:hAnsi="Century Schoolbook" w:cs="Century Schoolbook"/>
          <w:sz w:val="26"/>
          <w:szCs w:val="26"/>
        </w:rPr>
        <w:t>or</w:t>
      </w:r>
      <w:r>
        <w:rPr>
          <w:rFonts w:ascii="Century Schoolbook" w:eastAsia="Century Schoolbook" w:hAnsi="Century Schoolbook" w:cs="Century Schoolbook"/>
          <w:sz w:val="26"/>
          <w:szCs w:val="26"/>
        </w:rPr>
        <w:t xml:space="preserve"> you will face additional financial </w:t>
      </w:r>
      <w:r>
        <w:rPr>
          <w:rFonts w:ascii="Century Schoolbook" w:eastAsia="Century Schoolbook" w:hAnsi="Century Schoolbook" w:cs="Century Schoolbook"/>
          <w:sz w:val="26"/>
          <w:szCs w:val="26"/>
        </w:rPr>
        <w:t>consequences for rejecting it.”  (</w:t>
      </w:r>
      <w:r>
        <w:rPr>
          <w:rFonts w:ascii="Century Schoolbook" w:eastAsia="Century Schoolbook" w:hAnsi="Century Schoolbook" w:cs="Century Schoolbook"/>
          <w:i/>
          <w:sz w:val="26"/>
          <w:szCs w:val="26"/>
        </w:rPr>
        <w:t>Elrod</w:t>
      </w:r>
      <w:r w:rsidRPr="00A00DA3">
        <w:rPr>
          <w:rFonts w:ascii="Century Schoolbook" w:eastAsia="Century Schoolbook" w:hAnsi="Century Schoolbook" w:cs="Century Schoolbook"/>
          <w:sz w:val="26"/>
          <w:szCs w:val="26"/>
        </w:rPr>
        <w:t>,</w:t>
      </w:r>
      <w:r w:rsidRPr="003A58EA">
        <w:rPr>
          <w:rFonts w:ascii="Century Schoolbook" w:eastAsia="Century Schoolbook" w:hAnsi="Century Schoolbook" w:cs="Century Schoolbook"/>
          <w:sz w:val="26"/>
          <w:szCs w:val="26"/>
        </w:rPr>
        <w:t xml:space="preserve"> </w:t>
      </w:r>
      <w:r w:rsidRPr="00A00DA3">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195 Cal.App.3d at p. 699 [“Section 998 achieves its aim by punishing a party who fails to accept a </w:t>
      </w:r>
      <w:r w:rsidRPr="00A00DA3">
        <w:rPr>
          <w:rFonts w:ascii="Century Schoolbook" w:eastAsia="Century Schoolbook" w:hAnsi="Century Schoolbook" w:cs="Century Schoolbook"/>
          <w:i/>
          <w:sz w:val="26"/>
          <w:szCs w:val="26"/>
        </w:rPr>
        <w:t>reasonable</w:t>
      </w:r>
      <w:r>
        <w:rPr>
          <w:rFonts w:ascii="Century Schoolbook" w:eastAsia="Century Schoolbook" w:hAnsi="Century Schoolbook" w:cs="Century Schoolbook"/>
          <w:sz w:val="26"/>
          <w:szCs w:val="26"/>
        </w:rPr>
        <w:t xml:space="preserve"> offer from the other party”].)  If a section 998 offer has no “reasonable prospect of acceptance,” an offeree will reject the offer no matter what and applying section 998’s punitive “stick” will do nothing to encourage settlement.  (</w:t>
      </w:r>
      <w:r>
        <w:rPr>
          <w:rFonts w:ascii="Century Schoolbook" w:eastAsia="Century Schoolbook" w:hAnsi="Century Schoolbook" w:cs="Century Schoolbook"/>
          <w:i/>
          <w:sz w:val="26"/>
          <w:szCs w:val="26"/>
        </w:rPr>
        <w:t xml:space="preserve">Elrod, </w:t>
      </w:r>
      <w:r>
        <w:rPr>
          <w:rFonts w:ascii="Century Schoolbook" w:eastAsia="Century Schoolbook" w:hAnsi="Century Schoolbook" w:cs="Century Schoolbook"/>
          <w:sz w:val="26"/>
          <w:szCs w:val="26"/>
        </w:rPr>
        <w:t>at p. 699.)  A</w:t>
      </w:r>
      <w:r>
        <w:rPr>
          <w:rFonts w:ascii="Century Schoolbook" w:eastAsia="Century Schoolbook" w:hAnsi="Century Schoolbook" w:cs="Century Schoolbook"/>
          <w:sz w:val="26"/>
          <w:szCs w:val="26"/>
        </w:rPr>
        <w:t>pplying the “stick” in such instances would instead encourage litigants to “game the system by making . . . offers they can reasonably expect the [offeree] will refuse,” allowing them “to benefit from a no-risk offer made for the sole purpose of later reco</w:t>
      </w:r>
      <w:r>
        <w:rPr>
          <w:rFonts w:ascii="Century Schoolbook" w:eastAsia="Century Schoolbook" w:hAnsi="Century Schoolbook" w:cs="Century Schoolbook"/>
          <w:sz w:val="26"/>
          <w:szCs w:val="26"/>
        </w:rPr>
        <w:t>vering large expert witness fees” and, if they are plaintiffs, prejudgment interest.  (</w:t>
      </w:r>
      <w:r>
        <w:rPr>
          <w:rFonts w:ascii="Century Schoolbook" w:eastAsia="Century Schoolbook" w:hAnsi="Century Schoolbook" w:cs="Century Schoolbook"/>
          <w:i/>
          <w:sz w:val="26"/>
          <w:szCs w:val="26"/>
        </w:rPr>
        <w:t xml:space="preserve">Vick v. DaCorsi </w:t>
      </w:r>
      <w:r>
        <w:rPr>
          <w:rFonts w:ascii="Century Schoolbook" w:eastAsia="Century Schoolbook" w:hAnsi="Century Schoolbook" w:cs="Century Schoolbook"/>
          <w:sz w:val="26"/>
          <w:szCs w:val="26"/>
        </w:rPr>
        <w:t xml:space="preserve">(2003) 110 Cal.App.4th 206, 211; </w:t>
      </w:r>
      <w:r>
        <w:rPr>
          <w:rFonts w:ascii="Century Schoolbook" w:eastAsia="Century Schoolbook" w:hAnsi="Century Schoolbook" w:cs="Century Schoolbook"/>
          <w:i/>
          <w:sz w:val="26"/>
          <w:szCs w:val="26"/>
        </w:rPr>
        <w:t>Jones v. Dumrichob</w:t>
      </w:r>
      <w:r>
        <w:rPr>
          <w:rFonts w:ascii="Century Schoolbook" w:eastAsia="Century Schoolbook" w:hAnsi="Century Schoolbook" w:cs="Century Schoolbook"/>
          <w:sz w:val="26"/>
          <w:szCs w:val="26"/>
        </w:rPr>
        <w:t xml:space="preserve"> (1998) 63 Cal.App.4th 1258, 1262-1263; </w:t>
      </w:r>
      <w:r>
        <w:rPr>
          <w:rFonts w:ascii="Century Schoolbook" w:eastAsia="Century Schoolbook" w:hAnsi="Century Schoolbook" w:cs="Century Schoolbook"/>
          <w:i/>
          <w:sz w:val="26"/>
          <w:szCs w:val="26"/>
        </w:rPr>
        <w:t>Elrod</w:t>
      </w:r>
      <w:r>
        <w:rPr>
          <w:rFonts w:ascii="Century Schoolbook" w:eastAsia="Century Schoolbook" w:hAnsi="Century Schoolbook" w:cs="Century Schoolbook"/>
          <w:sz w:val="26"/>
          <w:szCs w:val="26"/>
        </w:rPr>
        <w:t>, at p. 699.)  The good faith requirement prevents this p</w:t>
      </w:r>
      <w:r>
        <w:rPr>
          <w:rFonts w:ascii="Century Schoolbook" w:eastAsia="Century Schoolbook" w:hAnsi="Century Schoolbook" w:cs="Century Schoolbook"/>
          <w:sz w:val="26"/>
          <w:szCs w:val="26"/>
        </w:rPr>
        <w:t>erversion of section 998.  (</w:t>
      </w:r>
      <w:r>
        <w:rPr>
          <w:rFonts w:ascii="Century Schoolbook" w:eastAsia="Century Schoolbook" w:hAnsi="Century Schoolbook" w:cs="Century Schoolbook"/>
          <w:i/>
          <w:sz w:val="26"/>
          <w:szCs w:val="26"/>
        </w:rPr>
        <w:t>Menees v. Andrews</w:t>
      </w:r>
      <w:r>
        <w:rPr>
          <w:rFonts w:ascii="Century Schoolbook" w:eastAsia="Century Schoolbook" w:hAnsi="Century Schoolbook" w:cs="Century Schoolbook"/>
          <w:sz w:val="26"/>
          <w:szCs w:val="26"/>
        </w:rPr>
        <w:t xml:space="preserve"> (2004) 122 Cal.App.4th 1540, 1544 [“The courts have uniformly rejected an interpretation of section 998 which would allow offering parties to . . . ‘game the system.’”]; </w:t>
      </w:r>
      <w:r>
        <w:rPr>
          <w:rFonts w:ascii="Century Schoolbook" w:eastAsia="Century Schoolbook" w:hAnsi="Century Schoolbook" w:cs="Century Schoolbook"/>
          <w:i/>
          <w:sz w:val="26"/>
          <w:szCs w:val="26"/>
        </w:rPr>
        <w:t>Westamerica Bank v. MBG Industries, Inc.</w:t>
      </w:r>
      <w:r>
        <w:rPr>
          <w:rFonts w:ascii="Century Schoolbook" w:eastAsia="Century Schoolbook" w:hAnsi="Century Schoolbook" w:cs="Century Schoolbook"/>
          <w:sz w:val="26"/>
          <w:szCs w:val="26"/>
        </w:rPr>
        <w:t xml:space="preserve"> (2007) 158 Cal.App.4th 109, 129 [same].)</w:t>
      </w:r>
    </w:p>
    <w:p w:rsidR="00554AEE" w:rsidRDefault="00E40CD8" w:rsidP="00B7702E">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Whether a section 998 offer has a reasonable prospect of acceptance is a function of two considerations, both to be evaluated in light of the circumstances “at the time</w:t>
      </w:r>
      <w:r w:rsidRPr="00B7702E">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sz w:val="26"/>
          <w:szCs w:val="26"/>
        </w:rPr>
        <w:t xml:space="preserve">of the offer” </w:t>
      </w:r>
      <w:r>
        <w:rPr>
          <w:rFonts w:ascii="Century Schoolbook" w:eastAsia="Century Schoolbook" w:hAnsi="Century Schoolbook" w:cs="Century Schoolbook"/>
          <w:sz w:val="26"/>
          <w:szCs w:val="26"/>
        </w:rPr>
        <w:lastRenderedPageBreak/>
        <w:t>and “not by virtue of hindsight</w:t>
      </w:r>
      <w:r>
        <w:rPr>
          <w:rFonts w:ascii="Century Schoolbook" w:eastAsia="Century Schoolbook" w:hAnsi="Century Schoolbook" w:cs="Century Schoolbook"/>
          <w:sz w:val="26"/>
          <w:szCs w:val="26"/>
        </w:rPr>
        <w:t>.”  (</w:t>
      </w:r>
      <w:r>
        <w:rPr>
          <w:rFonts w:ascii="Century Schoolbook" w:eastAsia="Century Schoolbook" w:hAnsi="Century Schoolbook" w:cs="Century Schoolbook"/>
          <w:i/>
          <w:sz w:val="26"/>
          <w:szCs w:val="26"/>
        </w:rPr>
        <w:t>Burch v. Children’s Hospital of Orange County Thrift Stores, Inc.</w:t>
      </w:r>
      <w:r>
        <w:rPr>
          <w:rFonts w:ascii="Century Schoolbook" w:eastAsia="Century Schoolbook" w:hAnsi="Century Schoolbook" w:cs="Century Schoolbook"/>
          <w:sz w:val="26"/>
          <w:szCs w:val="26"/>
        </w:rPr>
        <w:t xml:space="preserve"> (2003) 109 Cal.App.4th 537, 548; </w:t>
      </w:r>
      <w:r>
        <w:rPr>
          <w:rFonts w:ascii="Century Schoolbook" w:eastAsia="Century Schoolbook" w:hAnsi="Century Schoolbook" w:cs="Century Schoolbook"/>
          <w:i/>
          <w:sz w:val="26"/>
          <w:szCs w:val="26"/>
        </w:rPr>
        <w:t>Fortman v. Hemco</w:t>
      </w:r>
      <w:r>
        <w:rPr>
          <w:rFonts w:ascii="Century Schoolbook" w:eastAsia="Century Schoolbook" w:hAnsi="Century Schoolbook" w:cs="Century Schoolbook"/>
          <w:sz w:val="26"/>
          <w:szCs w:val="26"/>
        </w:rPr>
        <w:t xml:space="preserve"> (1989) 211 Cal.App.3d 241, 264; </w:t>
      </w:r>
      <w:r>
        <w:rPr>
          <w:rFonts w:ascii="Century Schoolbook" w:eastAsia="Century Schoolbook" w:hAnsi="Century Schoolbook" w:cs="Century Schoolbook"/>
          <w:i/>
          <w:sz w:val="26"/>
          <w:szCs w:val="26"/>
        </w:rPr>
        <w:t>Elrod</w:t>
      </w:r>
      <w:r>
        <w:rPr>
          <w:rFonts w:ascii="Century Schoolbook" w:eastAsia="Century Schoolbook" w:hAnsi="Century Schoolbook" w:cs="Century Schoolbook"/>
          <w:sz w:val="26"/>
          <w:szCs w:val="26"/>
        </w:rPr>
        <w:t xml:space="preserve">, </w:t>
      </w:r>
      <w:r w:rsidRPr="00A00DA3">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195 Cal.App.3d at p. 699.)  First, was the 998 offer within the “range of reasonably poss</w:t>
      </w:r>
      <w:r>
        <w:rPr>
          <w:rFonts w:ascii="Century Schoolbook" w:eastAsia="Century Schoolbook" w:hAnsi="Century Schoolbook" w:cs="Century Schoolbook"/>
          <w:sz w:val="26"/>
          <w:szCs w:val="26"/>
        </w:rPr>
        <w:t>ible results” at trial, considering all of the information the offeror knew or reasonably should have known?  (</w:t>
      </w:r>
      <w:r>
        <w:rPr>
          <w:rFonts w:ascii="Century Schoolbook" w:eastAsia="Century Schoolbook" w:hAnsi="Century Schoolbook" w:cs="Century Schoolbook"/>
          <w:i/>
          <w:sz w:val="26"/>
          <w:szCs w:val="26"/>
        </w:rPr>
        <w:t>Elrod</w:t>
      </w:r>
      <w:r w:rsidRPr="00A00DA3">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sz w:val="26"/>
          <w:szCs w:val="26"/>
        </w:rPr>
        <w:t>at pp. 699-700.)  Second, did the offeror know that the offeree had sufficient information, based on what the offeree knew or reasonably s</w:t>
      </w:r>
      <w:r>
        <w:rPr>
          <w:rFonts w:ascii="Century Schoolbook" w:eastAsia="Century Schoolbook" w:hAnsi="Century Schoolbook" w:cs="Century Schoolbook"/>
          <w:sz w:val="26"/>
          <w:szCs w:val="26"/>
        </w:rPr>
        <w:t>hould have known, to assess whether the “offer [was] a reasonable one</w:t>
      </w:r>
      <w:r w:rsidRPr="00A00DA3">
        <w:rPr>
          <w:rFonts w:ascii="Century Schoolbook" w:eastAsia="Century Schoolbook" w:hAnsi="Century Schoolbook" w:cs="Century Schoolbook"/>
          <w:i/>
          <w:sz w:val="26"/>
          <w:szCs w:val="26"/>
        </w:rPr>
        <w:t>,</w:t>
      </w:r>
      <w:r>
        <w:rPr>
          <w:rFonts w:ascii="Century Schoolbook" w:eastAsia="Century Schoolbook" w:hAnsi="Century Schoolbook" w:cs="Century Schoolbook"/>
          <w:sz w:val="26"/>
          <w:szCs w:val="26"/>
        </w:rPr>
        <w:t>” such that the offeree had a “fair opportunity to intelligently evaluate the offer”?  (</w:t>
      </w:r>
      <w:r>
        <w:rPr>
          <w:rFonts w:ascii="Century Schoolbook" w:eastAsia="Century Schoolbook" w:hAnsi="Century Schoolbook" w:cs="Century Schoolbook"/>
          <w:i/>
          <w:sz w:val="26"/>
          <w:szCs w:val="26"/>
        </w:rPr>
        <w:t>Id.</w:t>
      </w:r>
      <w:r>
        <w:rPr>
          <w:rFonts w:ascii="Century Schoolbook" w:eastAsia="Century Schoolbook" w:hAnsi="Century Schoolbook" w:cs="Century Schoolbook"/>
          <w:sz w:val="26"/>
          <w:szCs w:val="26"/>
        </w:rPr>
        <w:t xml:space="preserve"> at p. 699; </w:t>
      </w:r>
      <w:r>
        <w:rPr>
          <w:rFonts w:ascii="Century Schoolbook" w:eastAsia="Century Schoolbook" w:hAnsi="Century Schoolbook" w:cs="Century Schoolbook"/>
          <w:i/>
          <w:sz w:val="26"/>
          <w:szCs w:val="26"/>
        </w:rPr>
        <w:t>Najera</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191 Cal.App.4th at p. 878.)  These two considerations assess whether</w:t>
      </w:r>
      <w:r>
        <w:rPr>
          <w:rFonts w:ascii="Century Schoolbook" w:eastAsia="Century Schoolbook" w:hAnsi="Century Schoolbook" w:cs="Century Schoolbook"/>
          <w:sz w:val="26"/>
          <w:szCs w:val="26"/>
        </w:rPr>
        <w:t xml:space="preserve"> the offeror knew that the 998 offer was reasonable, first, from the offeror’s perspective and, second, from the offeree’s perspective.  In light of this focus on the reasonableness of the </w:t>
      </w:r>
      <w:r>
        <w:rPr>
          <w:rFonts w:ascii="Century Schoolbook" w:eastAsia="Century Schoolbook" w:hAnsi="Century Schoolbook" w:cs="Century Schoolbook"/>
          <w:i/>
          <w:sz w:val="26"/>
          <w:szCs w:val="26"/>
        </w:rPr>
        <w:t>offeror’</w:t>
      </w:r>
      <w:r>
        <w:rPr>
          <w:rFonts w:ascii="Century Schoolbook" w:eastAsia="Century Schoolbook" w:hAnsi="Century Schoolbook" w:cs="Century Schoolbook"/>
          <w:sz w:val="26"/>
          <w:szCs w:val="26"/>
        </w:rPr>
        <w:t xml:space="preserve">s conduct in </w:t>
      </w:r>
      <w:r w:rsidRPr="00A15BA9">
        <w:rPr>
          <w:rFonts w:ascii="Century Schoolbook" w:eastAsia="Century Schoolbook" w:hAnsi="Century Schoolbook" w:cs="Century Schoolbook"/>
          <w:i/>
          <w:sz w:val="26"/>
          <w:szCs w:val="26"/>
        </w:rPr>
        <w:t>making</w:t>
      </w:r>
      <w:r>
        <w:rPr>
          <w:rFonts w:ascii="Century Schoolbook" w:eastAsia="Century Schoolbook" w:hAnsi="Century Schoolbook" w:cs="Century Schoolbook"/>
          <w:sz w:val="26"/>
          <w:szCs w:val="26"/>
        </w:rPr>
        <w:t xml:space="preserve"> the 998 offer (which makes sense becaus</w:t>
      </w:r>
      <w:r>
        <w:rPr>
          <w:rFonts w:ascii="Century Schoolbook" w:eastAsia="Century Schoolbook" w:hAnsi="Century Schoolbook" w:cs="Century Schoolbook"/>
          <w:sz w:val="26"/>
          <w:szCs w:val="26"/>
        </w:rPr>
        <w:t xml:space="preserve">e the issue is the validity of the offer in the first place), whether the </w:t>
      </w:r>
      <w:r>
        <w:rPr>
          <w:rFonts w:ascii="Century Schoolbook" w:eastAsia="Century Schoolbook" w:hAnsi="Century Schoolbook" w:cs="Century Schoolbook"/>
          <w:i/>
          <w:sz w:val="26"/>
          <w:szCs w:val="26"/>
        </w:rPr>
        <w:t>offeree</w:t>
      </w:r>
      <w:r>
        <w:rPr>
          <w:rFonts w:ascii="Century Schoolbook" w:eastAsia="Century Schoolbook" w:hAnsi="Century Schoolbook" w:cs="Century Schoolbook"/>
          <w:sz w:val="26"/>
          <w:szCs w:val="26"/>
        </w:rPr>
        <w:t xml:space="preserve"> acted reasonably in </w:t>
      </w:r>
      <w:r>
        <w:rPr>
          <w:rFonts w:ascii="Century Schoolbook" w:eastAsia="Century Schoolbook" w:hAnsi="Century Schoolbook" w:cs="Century Schoolbook"/>
          <w:i/>
          <w:sz w:val="26"/>
          <w:szCs w:val="26"/>
        </w:rPr>
        <w:t>rejecting</w:t>
      </w:r>
      <w:r>
        <w:rPr>
          <w:rFonts w:ascii="Century Schoolbook" w:eastAsia="Century Schoolbook" w:hAnsi="Century Schoolbook" w:cs="Century Schoolbook"/>
          <w:sz w:val="26"/>
          <w:szCs w:val="26"/>
        </w:rPr>
        <w:t xml:space="preserve"> that offer is irrelevant.  (</w:t>
      </w:r>
      <w:r>
        <w:rPr>
          <w:rFonts w:ascii="Century Schoolbook" w:eastAsia="Century Schoolbook" w:hAnsi="Century Schoolbook" w:cs="Century Schoolbook"/>
          <w:i/>
          <w:sz w:val="26"/>
          <w:szCs w:val="26"/>
        </w:rPr>
        <w:t>Arno</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xml:space="preserve">, 130 Cal.App.4th at p. 1027; </w:t>
      </w:r>
      <w:r>
        <w:rPr>
          <w:rFonts w:ascii="Century Schoolbook" w:eastAsia="Century Schoolbook" w:hAnsi="Century Schoolbook" w:cs="Century Schoolbook"/>
          <w:i/>
          <w:sz w:val="26"/>
          <w:szCs w:val="26"/>
        </w:rPr>
        <w:t>People ex rel. Lockyer v. Freemont General Corp., Inc.</w:t>
      </w:r>
      <w:r>
        <w:rPr>
          <w:rFonts w:ascii="Century Schoolbook" w:eastAsia="Century Schoolbook" w:hAnsi="Century Schoolbook" w:cs="Century Schoolbook"/>
          <w:sz w:val="26"/>
          <w:szCs w:val="26"/>
        </w:rPr>
        <w:t xml:space="preserve"> (2001) 89 Cal.App.4th 1260, 1270-1271.)</w:t>
      </w:r>
    </w:p>
    <w:p w:rsidR="00260A35" w:rsidRDefault="00E40CD8" w:rsidP="00F86132">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In assessing whether the 998 offeror knew that the offeree had sufficient information to evaluate the offer (the second consideration), the offeree needs information bearing on the issue of liability as well as on t</w:t>
      </w:r>
      <w:r>
        <w:rPr>
          <w:rFonts w:ascii="Century Schoolbook" w:eastAsia="Century Schoolbook" w:hAnsi="Century Schoolbook" w:cs="Century Schoolbook"/>
          <w:sz w:val="26"/>
          <w:szCs w:val="26"/>
        </w:rPr>
        <w:t>he amount of damages because these are the issues upon which a verdict would rest and because the 998 offer, if accepted, would be in lieu of that verdict.  (</w:t>
      </w:r>
      <w:r>
        <w:rPr>
          <w:rFonts w:ascii="Century Schoolbook" w:eastAsia="Century Schoolbook" w:hAnsi="Century Schoolbook" w:cs="Century Schoolbook"/>
          <w:i/>
          <w:sz w:val="26"/>
          <w:szCs w:val="26"/>
        </w:rPr>
        <w:t>Nelson v. Anderson</w:t>
      </w:r>
      <w:r>
        <w:rPr>
          <w:rFonts w:ascii="Century Schoolbook" w:eastAsia="Century Schoolbook" w:hAnsi="Century Schoolbook" w:cs="Century Schoolbook"/>
          <w:sz w:val="26"/>
          <w:szCs w:val="26"/>
        </w:rPr>
        <w:t xml:space="preserve"> (1999) 72 Cal.App.4th 111, 135 (</w:t>
      </w:r>
      <w:r>
        <w:rPr>
          <w:rFonts w:ascii="Century Schoolbook" w:eastAsia="Century Schoolbook" w:hAnsi="Century Schoolbook" w:cs="Century Schoolbook"/>
          <w:i/>
          <w:sz w:val="26"/>
          <w:szCs w:val="26"/>
        </w:rPr>
        <w:t>Nelson</w:t>
      </w:r>
      <w:r>
        <w:rPr>
          <w:rFonts w:ascii="Century Schoolbook" w:eastAsia="Century Schoolbook" w:hAnsi="Century Schoolbook" w:cs="Century Schoolbook"/>
          <w:sz w:val="26"/>
          <w:szCs w:val="26"/>
        </w:rPr>
        <w:t xml:space="preserve">) [liability relevant]; </w:t>
      </w:r>
      <w:r>
        <w:rPr>
          <w:rFonts w:ascii="Century Schoolbook" w:eastAsia="Century Schoolbook" w:hAnsi="Century Schoolbook" w:cs="Century Schoolbook"/>
          <w:i/>
          <w:sz w:val="26"/>
          <w:szCs w:val="26"/>
        </w:rPr>
        <w:t>Barba v. Perez</w:t>
      </w:r>
      <w:r>
        <w:rPr>
          <w:rFonts w:ascii="Century Schoolbook" w:eastAsia="Century Schoolbook" w:hAnsi="Century Schoolbook" w:cs="Century Schoolbook"/>
          <w:sz w:val="26"/>
          <w:szCs w:val="26"/>
        </w:rPr>
        <w:t xml:space="preserve"> (2</w:t>
      </w:r>
      <w:r>
        <w:rPr>
          <w:rFonts w:ascii="Century Schoolbook" w:eastAsia="Century Schoolbook" w:hAnsi="Century Schoolbook" w:cs="Century Schoolbook"/>
          <w:sz w:val="26"/>
          <w:szCs w:val="26"/>
        </w:rPr>
        <w:t>008) 166 Cal.App.4th 444, 450-451 (</w:t>
      </w:r>
      <w:r w:rsidRPr="00A00DA3">
        <w:rPr>
          <w:rFonts w:ascii="Century Schoolbook" w:eastAsia="Century Schoolbook" w:hAnsi="Century Schoolbook" w:cs="Century Schoolbook"/>
          <w:i/>
          <w:sz w:val="26"/>
          <w:szCs w:val="26"/>
        </w:rPr>
        <w:t>Barba</w:t>
      </w:r>
      <w:r>
        <w:rPr>
          <w:rFonts w:ascii="Century Schoolbook" w:eastAsia="Century Schoolbook" w:hAnsi="Century Schoolbook" w:cs="Century Schoolbook"/>
          <w:sz w:val="26"/>
          <w:szCs w:val="26"/>
        </w:rPr>
        <w:t xml:space="preserve">) [damages relevant]; see generally </w:t>
      </w:r>
      <w:r>
        <w:rPr>
          <w:rFonts w:ascii="Century Schoolbook" w:eastAsia="Century Schoolbook" w:hAnsi="Century Schoolbook" w:cs="Century Schoolbook"/>
          <w:i/>
          <w:sz w:val="26"/>
          <w:szCs w:val="26"/>
        </w:rPr>
        <w:t>Aynes v. Winans</w:t>
      </w:r>
      <w:r>
        <w:rPr>
          <w:rFonts w:ascii="Century Schoolbook" w:eastAsia="Century Schoolbook" w:hAnsi="Century Schoolbook" w:cs="Century Schoolbook"/>
          <w:sz w:val="26"/>
          <w:szCs w:val="26"/>
        </w:rPr>
        <w:t xml:space="preserve"> (1948) </w:t>
      </w:r>
      <w:r>
        <w:rPr>
          <w:rFonts w:ascii="Century Schoolbook" w:eastAsia="Century Schoolbook" w:hAnsi="Century Schoolbook" w:cs="Century Schoolbook"/>
          <w:sz w:val="26"/>
          <w:szCs w:val="26"/>
        </w:rPr>
        <w:lastRenderedPageBreak/>
        <w:t xml:space="preserve">33 Cal.2d 206, 211 (dis. opn. of Carter, J.) [“The </w:t>
      </w:r>
      <w:r>
        <w:rPr>
          <w:rFonts w:ascii="Century Schoolbook" w:eastAsia="Century Schoolbook" w:hAnsi="Century Schoolbook" w:cs="Century Schoolbook"/>
          <w:i/>
          <w:sz w:val="26"/>
          <w:szCs w:val="26"/>
        </w:rPr>
        <w:t>essential issues</w:t>
      </w:r>
      <w:r>
        <w:rPr>
          <w:rFonts w:ascii="Century Schoolbook" w:eastAsia="Century Schoolbook" w:hAnsi="Century Schoolbook" w:cs="Century Schoolbook"/>
          <w:sz w:val="26"/>
          <w:szCs w:val="26"/>
        </w:rPr>
        <w:t xml:space="preserve"> for the jury [are] liability and amount of damages . . .”].)  In assessing the informatio</w:t>
      </w:r>
      <w:r>
        <w:rPr>
          <w:rFonts w:ascii="Century Schoolbook" w:eastAsia="Century Schoolbook" w:hAnsi="Century Schoolbook" w:cs="Century Schoolbook"/>
          <w:sz w:val="26"/>
          <w:szCs w:val="26"/>
        </w:rPr>
        <w:t>n available to the offeree, courts are to look to all of the relevant circumstances.  (</w:t>
      </w:r>
      <w:r>
        <w:rPr>
          <w:rFonts w:ascii="Century Schoolbook" w:eastAsia="Century Schoolbook" w:hAnsi="Century Schoolbook" w:cs="Century Schoolbook"/>
          <w:i/>
          <w:sz w:val="26"/>
          <w:szCs w:val="26"/>
        </w:rPr>
        <w:t>Arno</w:t>
      </w:r>
      <w:r w:rsidRPr="00A00DA3">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130 Cal.App.4th at p. 1026.)  The pertinent cases have nevertheless identified a number of specific circumstances to be examined. </w:t>
      </w:r>
    </w:p>
    <w:p w:rsidR="00B7702E" w:rsidRPr="00260A35" w:rsidRDefault="00E40CD8" w:rsidP="00260A35">
      <w:pPr>
        <w:pStyle w:val="Normal1"/>
        <w:widowControl w:val="0"/>
        <w:spacing w:line="288" w:lineRule="auto"/>
        <w:ind w:firstLine="720"/>
        <w:rPr>
          <w:rFonts w:eastAsia="Century Schoolbook"/>
        </w:rPr>
      </w:pPr>
      <w:r>
        <w:rPr>
          <w:rFonts w:ascii="Century Schoolbook" w:eastAsia="Century Schoolbook" w:hAnsi="Century Schoolbook" w:cs="Century Schoolbook"/>
          <w:sz w:val="26"/>
          <w:szCs w:val="26"/>
        </w:rPr>
        <w:t>First, how far into the l</w:t>
      </w:r>
      <w:r>
        <w:rPr>
          <w:rFonts w:ascii="Century Schoolbook" w:eastAsia="Century Schoolbook" w:hAnsi="Century Schoolbook" w:cs="Century Schoolbook"/>
          <w:sz w:val="26"/>
          <w:szCs w:val="26"/>
        </w:rPr>
        <w:t>itigation was the 998 offer made?  Although section 998 fixes no “</w:t>
      </w:r>
      <w:r>
        <w:rPr>
          <w:rFonts w:ascii="Century Schoolbook" w:eastAsia="Century Schoolbook" w:hAnsi="Century Schoolbook" w:cs="Century Schoolbook"/>
          <w:i/>
          <w:sz w:val="26"/>
          <w:szCs w:val="26"/>
        </w:rPr>
        <w:t>minimum</w:t>
      </w:r>
      <w:r>
        <w:rPr>
          <w:rFonts w:ascii="Century Schoolbook" w:eastAsia="Century Schoolbook" w:hAnsi="Century Schoolbook" w:cs="Century Schoolbook"/>
          <w:sz w:val="26"/>
          <w:szCs w:val="26"/>
        </w:rPr>
        <w:t xml:space="preserve"> period that must elapse following commencement of suit for service of a valid 998 offer” (</w:t>
      </w:r>
      <w:r>
        <w:rPr>
          <w:rFonts w:ascii="Century Schoolbook" w:eastAsia="Century Schoolbook" w:hAnsi="Century Schoolbook" w:cs="Century Schoolbook"/>
          <w:i/>
          <w:sz w:val="26"/>
          <w:szCs w:val="26"/>
        </w:rPr>
        <w:t>Barba</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166 Cal.App.4th at p. 452),</w:t>
      </w:r>
      <w:r>
        <w:rPr>
          <w:rStyle w:val="FootnoteReference"/>
          <w:rFonts w:ascii="Century Schoolbook" w:eastAsia="Century Schoolbook" w:hAnsi="Century Schoolbook" w:cs="Century Schoolbook"/>
          <w:b/>
          <w:sz w:val="26"/>
          <w:szCs w:val="26"/>
        </w:rPr>
        <w:footnoteReference w:id="5"/>
      </w:r>
      <w:r w:rsidRPr="00A00DA3">
        <w:rPr>
          <w:rFonts w:ascii="Century Schoolbook" w:eastAsia="Century Schoolbook" w:hAnsi="Century Schoolbook" w:cs="Century Schoolbook"/>
          <w:b/>
          <w:sz w:val="26"/>
          <w:szCs w:val="26"/>
        </w:rPr>
        <w:t xml:space="preserve"> </w:t>
      </w:r>
      <w:r>
        <w:rPr>
          <w:rFonts w:ascii="Century Schoolbook" w:eastAsia="Century Schoolbook" w:hAnsi="Century Schoolbook" w:cs="Century Schoolbook"/>
          <w:sz w:val="26"/>
          <w:szCs w:val="26"/>
        </w:rPr>
        <w:t>a litigant receiving a 998 offer at the time a la</w:t>
      </w:r>
      <w:r>
        <w:rPr>
          <w:rFonts w:ascii="Century Schoolbook" w:eastAsia="Century Schoolbook" w:hAnsi="Century Schoolbook" w:cs="Century Schoolbook"/>
          <w:sz w:val="26"/>
          <w:szCs w:val="26"/>
        </w:rPr>
        <w:t xml:space="preserve">wsuit is filed or soon thereafter is, as a general matter, less likely to have sufficient information upon which to evaluate that offer.  (E.g., </w:t>
      </w:r>
      <w:r>
        <w:rPr>
          <w:rFonts w:ascii="Century Schoolbook" w:eastAsia="Century Schoolbook" w:hAnsi="Century Schoolbook" w:cs="Century Schoolbook"/>
          <w:i/>
          <w:sz w:val="26"/>
          <w:szCs w:val="26"/>
        </w:rPr>
        <w:t>Najera</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xml:space="preserve">, 191 Cal.App.4th at p. 875 [receiving offer at same time complaint is served]; cf. </w:t>
      </w:r>
      <w:r>
        <w:rPr>
          <w:rFonts w:ascii="Century Schoolbook" w:eastAsia="Century Schoolbook" w:hAnsi="Century Schoolbook" w:cs="Century Schoolbook"/>
          <w:i/>
          <w:sz w:val="26"/>
          <w:szCs w:val="26"/>
        </w:rPr>
        <w:t>Whatley-Miller</w:t>
      </w:r>
      <w:r>
        <w:rPr>
          <w:rFonts w:ascii="Century Schoolbook" w:eastAsia="Century Schoolbook" w:hAnsi="Century Schoolbook" w:cs="Century Schoolbook"/>
          <w:i/>
          <w:sz w:val="26"/>
          <w:szCs w:val="26"/>
        </w:rPr>
        <w:t xml:space="preserve"> v. Cooper </w:t>
      </w:r>
      <w:r>
        <w:rPr>
          <w:rFonts w:ascii="Century Schoolbook" w:eastAsia="Century Schoolbook" w:hAnsi="Century Schoolbook" w:cs="Century Schoolbook"/>
          <w:sz w:val="26"/>
          <w:szCs w:val="26"/>
        </w:rPr>
        <w:t>(2013) 212 Cal.App.4th 1103, 1113 (</w:t>
      </w:r>
      <w:r>
        <w:rPr>
          <w:rFonts w:ascii="Century Schoolbook" w:eastAsia="Century Schoolbook" w:hAnsi="Century Schoolbook" w:cs="Century Schoolbook"/>
          <w:i/>
          <w:sz w:val="26"/>
          <w:szCs w:val="26"/>
        </w:rPr>
        <w:t>Whatley-Miller</w:t>
      </w:r>
      <w:r>
        <w:rPr>
          <w:rFonts w:ascii="Century Schoolbook" w:eastAsia="Century Schoolbook" w:hAnsi="Century Schoolbook" w:cs="Century Schoolbook"/>
          <w:sz w:val="26"/>
          <w:szCs w:val="26"/>
        </w:rPr>
        <w:t>) [receiving offer two months after complaint was served].)</w:t>
      </w:r>
    </w:p>
    <w:p w:rsidR="009979EC" w:rsidRDefault="00E40CD8" w:rsidP="00F86132">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Second, what information bearing on the reasonableness of the 998 offer was available to the offeree prior to the offer’s expiration?  I</w:t>
      </w:r>
      <w:r>
        <w:rPr>
          <w:rFonts w:ascii="Century Schoolbook" w:eastAsia="Century Schoolbook" w:hAnsi="Century Schoolbook" w:cs="Century Schoolbook"/>
          <w:sz w:val="26"/>
          <w:szCs w:val="26"/>
        </w:rPr>
        <w:t>nformation may be obtained (1) by virtue of prior litigation between the parties (</w:t>
      </w:r>
      <w:r>
        <w:rPr>
          <w:rFonts w:ascii="Century Schoolbook" w:eastAsia="Century Schoolbook" w:hAnsi="Century Schoolbook" w:cs="Century Schoolbook"/>
          <w:i/>
          <w:sz w:val="26"/>
          <w:szCs w:val="26"/>
        </w:rPr>
        <w:t>Bender v. City of Los Angeles</w:t>
      </w:r>
      <w:r>
        <w:rPr>
          <w:rFonts w:ascii="Century Schoolbook" w:eastAsia="Century Schoolbook" w:hAnsi="Century Schoolbook" w:cs="Century Schoolbook"/>
          <w:sz w:val="26"/>
          <w:szCs w:val="26"/>
        </w:rPr>
        <w:t xml:space="preserve"> (2013) 217 Cal.App.4th 968, 989 [civil lawsuit against police followed criminal prosecution of plaintiff resulting in acquittal]); (2) through p</w:t>
      </w:r>
      <w:r>
        <w:rPr>
          <w:rFonts w:ascii="Century Schoolbook" w:eastAsia="Century Schoolbook" w:hAnsi="Century Schoolbook" w:cs="Century Schoolbook"/>
          <w:sz w:val="26"/>
          <w:szCs w:val="26"/>
        </w:rPr>
        <w:t>re-litigation exchanges between the parties (</w:t>
      </w:r>
      <w:r>
        <w:rPr>
          <w:rFonts w:ascii="Century Schoolbook" w:eastAsia="Century Schoolbook" w:hAnsi="Century Schoolbook" w:cs="Century Schoolbook"/>
          <w:i/>
          <w:sz w:val="26"/>
          <w:szCs w:val="26"/>
        </w:rPr>
        <w:t>Barba</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xml:space="preserve">, 166 Cal.App.4th at pp. 450-451 [pre-litigation letter </w:t>
      </w:r>
      <w:r>
        <w:rPr>
          <w:rFonts w:ascii="Century Schoolbook" w:eastAsia="Century Schoolbook" w:hAnsi="Century Schoolbook" w:cs="Century Schoolbook"/>
          <w:sz w:val="26"/>
          <w:szCs w:val="26"/>
        </w:rPr>
        <w:lastRenderedPageBreak/>
        <w:t xml:space="preserve">explaining offeror’s medical expenses]; </w:t>
      </w:r>
      <w:r>
        <w:rPr>
          <w:rFonts w:ascii="Century Schoolbook" w:eastAsia="Century Schoolbook" w:hAnsi="Century Schoolbook" w:cs="Century Schoolbook"/>
          <w:i/>
          <w:sz w:val="26"/>
          <w:szCs w:val="26"/>
        </w:rPr>
        <w:t>Aguilar v. Gostischef</w:t>
      </w:r>
      <w:r>
        <w:rPr>
          <w:rFonts w:ascii="Century Schoolbook" w:eastAsia="Century Schoolbook" w:hAnsi="Century Schoolbook" w:cs="Century Schoolbook"/>
          <w:sz w:val="26"/>
          <w:szCs w:val="26"/>
        </w:rPr>
        <w:t xml:space="preserve"> (2013) 220 Cal.App.4th 475, 482 [same]); (3) through post-complaint discovery in the case (</w:t>
      </w:r>
      <w:r>
        <w:rPr>
          <w:rFonts w:ascii="Century Schoolbook" w:eastAsia="Century Schoolbook" w:hAnsi="Century Schoolbook" w:cs="Century Schoolbook"/>
          <w:i/>
          <w:sz w:val="26"/>
          <w:szCs w:val="26"/>
        </w:rPr>
        <w:t>Whatley-Miller</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212 Cal.App.4th at p. 1113); or (4) by virtue of a pre-existing relationship between the parties that yields a “free flow of information” (</w:t>
      </w:r>
      <w:r>
        <w:rPr>
          <w:rFonts w:ascii="Century Schoolbook" w:eastAsia="Century Schoolbook" w:hAnsi="Century Schoolbook" w:cs="Century Schoolbook"/>
          <w:i/>
          <w:sz w:val="26"/>
          <w:szCs w:val="26"/>
        </w:rPr>
        <w:t>Ba</w:t>
      </w:r>
      <w:r>
        <w:rPr>
          <w:rFonts w:ascii="Century Schoolbook" w:eastAsia="Century Schoolbook" w:hAnsi="Century Schoolbook" w:cs="Century Schoolbook"/>
          <w:i/>
          <w:sz w:val="26"/>
          <w:szCs w:val="26"/>
        </w:rPr>
        <w:t>rba</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166 Cal.App.4th at p. 450 [parties had “close, semi-familial relationship”]).</w:t>
      </w:r>
    </w:p>
    <w:p w:rsidR="00D110B8" w:rsidRDefault="00E40CD8" w:rsidP="00750CD6">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Third, did the party receiving the 998 offer alert the offeror that it lacked sufficient information to evaluate the offer and, if so, how did the offeror respond?  A</w:t>
      </w:r>
      <w:r>
        <w:rPr>
          <w:rFonts w:ascii="Century Schoolbook" w:eastAsia="Century Schoolbook" w:hAnsi="Century Schoolbook" w:cs="Century Schoolbook"/>
          <w:sz w:val="26"/>
          <w:szCs w:val="26"/>
        </w:rPr>
        <w:t>n offeree may alert the offeror by (1) requesting discovery, either formally or informally (</w:t>
      </w:r>
      <w:r>
        <w:rPr>
          <w:rFonts w:ascii="Century Schoolbook" w:eastAsia="Century Schoolbook" w:hAnsi="Century Schoolbook" w:cs="Century Schoolbook"/>
          <w:i/>
          <w:sz w:val="26"/>
          <w:szCs w:val="26"/>
        </w:rPr>
        <w:t>Barba</w:t>
      </w:r>
      <w:r w:rsidRPr="00A00DA3">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166 Cal.App.4th at pp. 450-451); (2) asking for an extension of the 998 offer’s deadline (cf. </w:t>
      </w:r>
      <w:r>
        <w:rPr>
          <w:rFonts w:ascii="Century Schoolbook" w:eastAsia="Century Schoolbook" w:hAnsi="Century Schoolbook" w:cs="Century Schoolbook"/>
          <w:i/>
          <w:sz w:val="26"/>
          <w:szCs w:val="26"/>
        </w:rPr>
        <w:t>Whatley-Mille</w:t>
      </w:r>
      <w:r w:rsidRPr="00575E22">
        <w:rPr>
          <w:rFonts w:ascii="Century Schoolbook" w:eastAsia="Century Schoolbook" w:hAnsi="Century Schoolbook" w:cs="Century Schoolbook"/>
          <w:i/>
          <w:sz w:val="26"/>
          <w:szCs w:val="26"/>
        </w:rPr>
        <w:t>r</w:t>
      </w:r>
      <w:r w:rsidRPr="00A00DA3">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212 Cal.App.4th at p. 1107, 1114)</w:t>
      </w:r>
      <w:r>
        <w:rPr>
          <w:rFonts w:ascii="Century Schoolbook" w:eastAsia="Century Schoolbook" w:hAnsi="Century Schoolbook" w:cs="Century Schoolbook"/>
          <w:sz w:val="26"/>
          <w:szCs w:val="26"/>
        </w:rPr>
        <w:t>; or (3) otherwise objecting to the offer (</w:t>
      </w:r>
      <w:r>
        <w:rPr>
          <w:rFonts w:ascii="Century Schoolbook" w:eastAsia="Century Schoolbook" w:hAnsi="Century Schoolbook" w:cs="Century Schoolbook"/>
          <w:i/>
          <w:sz w:val="26"/>
          <w:szCs w:val="26"/>
        </w:rPr>
        <w:t>Najera</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191 Cal.App.4th at p. 875).  If, after hearing the offeree’s concerns, the offeror’s response is less than forthcoming, “such obstinacy” is “potent evidence that [the] offer was neither reasonable n</w:t>
      </w:r>
      <w:r>
        <w:rPr>
          <w:rFonts w:ascii="Century Schoolbook" w:eastAsia="Century Schoolbook" w:hAnsi="Century Schoolbook" w:cs="Century Schoolbook"/>
          <w:sz w:val="26"/>
          <w:szCs w:val="26"/>
        </w:rPr>
        <w:t>or made in good faith.”  (</w:t>
      </w:r>
      <w:r>
        <w:rPr>
          <w:rFonts w:ascii="Century Schoolbook" w:eastAsia="Century Schoolbook" w:hAnsi="Century Schoolbook" w:cs="Century Schoolbook"/>
          <w:i/>
          <w:sz w:val="26"/>
          <w:szCs w:val="26"/>
        </w:rPr>
        <w:t>Barba</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xml:space="preserve">, 166 Cal.App.4th at p. 451; </w:t>
      </w:r>
      <w:r>
        <w:rPr>
          <w:rFonts w:ascii="Century Schoolbook" w:eastAsia="Century Schoolbook" w:hAnsi="Century Schoolbook" w:cs="Century Schoolbook"/>
          <w:i/>
          <w:sz w:val="26"/>
          <w:szCs w:val="26"/>
        </w:rPr>
        <w:t>Najera</w:t>
      </w:r>
      <w:r w:rsidRPr="00A00DA3">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191 Cal.App.4th at p. 878.)</w:t>
      </w:r>
    </w:p>
    <w:p w:rsidR="00004A9C" w:rsidRDefault="00E40CD8" w:rsidP="00F86132">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Although the party making a 998 offer generally has the burden of showing that her offer is valid (</w:t>
      </w:r>
      <w:r>
        <w:rPr>
          <w:rFonts w:ascii="Century Schoolbook" w:eastAsia="Century Schoolbook" w:hAnsi="Century Schoolbook" w:cs="Century Schoolbook"/>
          <w:i/>
          <w:sz w:val="26"/>
          <w:szCs w:val="26"/>
        </w:rPr>
        <w:t>Timed Out</w:t>
      </w:r>
      <w:r w:rsidRPr="00A00DA3">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21 Cal.App.5th at p. 942; </w:t>
      </w:r>
      <w:r>
        <w:rPr>
          <w:rFonts w:ascii="Century Schoolbook" w:eastAsia="Century Schoolbook" w:hAnsi="Century Schoolbook" w:cs="Century Schoolbook"/>
          <w:i/>
          <w:sz w:val="26"/>
          <w:szCs w:val="26"/>
        </w:rPr>
        <w:t>Bar</w:t>
      </w:r>
      <w:r>
        <w:rPr>
          <w:rFonts w:ascii="Century Schoolbook" w:eastAsia="Century Schoolbook" w:hAnsi="Century Schoolbook" w:cs="Century Schoolbook"/>
          <w:i/>
          <w:sz w:val="26"/>
          <w:szCs w:val="26"/>
        </w:rPr>
        <w:t>ella</w:t>
      </w:r>
      <w:r w:rsidRPr="00A00DA3">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84 Cal.App.4th at p. 799), it is the 998 offeree who bears the burden of showing that an otherwise valid 998 offer was not made in good faith.  (</w:t>
      </w:r>
      <w:r>
        <w:rPr>
          <w:rFonts w:ascii="Century Schoolbook" w:eastAsia="Century Schoolbook" w:hAnsi="Century Schoolbook" w:cs="Century Schoolbook"/>
          <w:i/>
          <w:sz w:val="26"/>
          <w:szCs w:val="26"/>
        </w:rPr>
        <w:t>Elrod</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84 Cal.App.4th at p. 700; </w:t>
      </w:r>
      <w:r>
        <w:rPr>
          <w:rFonts w:ascii="Century Schoolbook" w:eastAsia="Century Schoolbook" w:hAnsi="Century Schoolbook" w:cs="Century Schoolbook"/>
          <w:i/>
          <w:sz w:val="26"/>
          <w:szCs w:val="26"/>
        </w:rPr>
        <w:t>Nelson v. Anderson</w:t>
      </w:r>
      <w:r>
        <w:rPr>
          <w:rFonts w:ascii="Century Schoolbook" w:eastAsia="Century Schoolbook" w:hAnsi="Century Schoolbook" w:cs="Century Schoolbook"/>
          <w:sz w:val="26"/>
          <w:szCs w:val="26"/>
        </w:rPr>
        <w:t xml:space="preserve"> (1999) 72 Cal.App.4th 111, 134 (</w:t>
      </w:r>
      <w:r>
        <w:rPr>
          <w:rFonts w:ascii="Century Schoolbook" w:eastAsia="Century Schoolbook" w:hAnsi="Century Schoolbook" w:cs="Century Schoolbook"/>
          <w:i/>
          <w:sz w:val="26"/>
          <w:szCs w:val="26"/>
        </w:rPr>
        <w:t>Nelson</w:t>
      </w:r>
      <w:r>
        <w:rPr>
          <w:rFonts w:ascii="Century Schoolbook" w:eastAsia="Century Schoolbook" w:hAnsi="Century Schoolbook" w:cs="Century Schoolbook"/>
          <w:sz w:val="26"/>
          <w:szCs w:val="26"/>
        </w:rPr>
        <w:t>)</w:t>
      </w:r>
      <w:r>
        <w:rPr>
          <w:rFonts w:ascii="Century Schoolbook" w:eastAsia="Century Schoolbook" w:hAnsi="Century Schoolbook" w:cs="Century Schoolbook"/>
          <w:sz w:val="26"/>
          <w:szCs w:val="26"/>
        </w:rPr>
        <w:t>.)</w:t>
      </w:r>
    </w:p>
    <w:p w:rsidR="00F164C6" w:rsidRDefault="00E40CD8" w:rsidP="00F86132">
      <w:pPr>
        <w:pStyle w:val="Normal1"/>
        <w:widowControl w:val="0"/>
        <w:spacing w:line="288" w:lineRule="auto"/>
        <w:ind w:firstLine="720"/>
        <w:rPr>
          <w:rFonts w:ascii="Century Schoolbook" w:eastAsia="Century Schoolbook" w:hAnsi="Century Schoolbook" w:cs="Century Schoolbook"/>
          <w:sz w:val="26"/>
          <w:szCs w:val="26"/>
        </w:rPr>
      </w:pPr>
    </w:p>
    <w:p w:rsidR="00F164C6" w:rsidRDefault="00E40CD8" w:rsidP="00F86132">
      <w:pPr>
        <w:pStyle w:val="Normal1"/>
        <w:widowControl w:val="0"/>
        <w:spacing w:line="288" w:lineRule="auto"/>
        <w:ind w:firstLine="720"/>
        <w:rPr>
          <w:rFonts w:ascii="Century Schoolbook" w:eastAsia="Century Schoolbook" w:hAnsi="Century Schoolbook" w:cs="Century Schoolbook"/>
          <w:sz w:val="26"/>
          <w:szCs w:val="26"/>
        </w:rPr>
      </w:pPr>
    </w:p>
    <w:p w:rsidR="00F164C6" w:rsidRDefault="00E40CD8" w:rsidP="00F86132">
      <w:pPr>
        <w:pStyle w:val="Normal1"/>
        <w:widowControl w:val="0"/>
        <w:spacing w:line="288" w:lineRule="auto"/>
        <w:ind w:firstLine="720"/>
        <w:rPr>
          <w:rFonts w:ascii="Century Schoolbook" w:eastAsia="Century Schoolbook" w:hAnsi="Century Schoolbook" w:cs="Century Schoolbook"/>
          <w:sz w:val="26"/>
          <w:szCs w:val="26"/>
        </w:rPr>
      </w:pPr>
    </w:p>
    <w:p w:rsidR="00A15BA9" w:rsidRPr="00FC5A5B" w:rsidRDefault="00E40CD8" w:rsidP="00A00DA3">
      <w:pPr>
        <w:pStyle w:val="Normal1"/>
        <w:widowControl w:val="0"/>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lastRenderedPageBreak/>
        <w:t>II.</w:t>
      </w:r>
      <w:r>
        <w:rPr>
          <w:rFonts w:ascii="Century Schoolbook" w:eastAsia="Century Schoolbook" w:hAnsi="Century Schoolbook" w:cs="Century Schoolbook"/>
          <w:b/>
          <w:sz w:val="26"/>
          <w:szCs w:val="26"/>
        </w:rPr>
        <w:tab/>
        <w:t>The Trial Court Did Not Abuse Its Discretion In Finding That Plaintiff’s 998 Offer Was Not Made In Good Faith</w:t>
      </w:r>
    </w:p>
    <w:p w:rsidR="00750CD6" w:rsidRPr="00750CD6" w:rsidRDefault="00E40CD8" w:rsidP="00FC5A5B">
      <w:pPr>
        <w:pStyle w:val="Normal1"/>
        <w:widowControl w:val="0"/>
        <w:spacing w:line="288" w:lineRule="auto"/>
        <w:ind w:firstLine="720"/>
        <w:rPr>
          <w:rFonts w:ascii="Century Schoolbook" w:eastAsia="Century Schoolbook" w:hAnsi="Century Schoolbook" w:cs="Century Schoolbook"/>
          <w:b/>
          <w:i/>
          <w:sz w:val="26"/>
          <w:szCs w:val="26"/>
        </w:rPr>
      </w:pPr>
      <w:r>
        <w:rPr>
          <w:rFonts w:ascii="Century Schoolbook" w:eastAsia="Century Schoolbook" w:hAnsi="Century Schoolbook" w:cs="Century Schoolbook"/>
          <w:b/>
          <w:sz w:val="26"/>
          <w:szCs w:val="26"/>
        </w:rPr>
        <w:t>A.</w:t>
      </w:r>
      <w:r>
        <w:rPr>
          <w:rFonts w:ascii="Century Schoolbook" w:eastAsia="Century Schoolbook" w:hAnsi="Century Schoolbook" w:cs="Century Schoolbook"/>
          <w:b/>
          <w:sz w:val="26"/>
          <w:szCs w:val="26"/>
        </w:rPr>
        <w:tab/>
      </w:r>
      <w:r>
        <w:rPr>
          <w:rFonts w:ascii="Century Schoolbook" w:eastAsia="Century Schoolbook" w:hAnsi="Century Schoolbook" w:cs="Century Schoolbook"/>
          <w:b/>
          <w:i/>
          <w:sz w:val="26"/>
          <w:szCs w:val="26"/>
        </w:rPr>
        <w:t>Application of pertinent factors</w:t>
      </w:r>
    </w:p>
    <w:p w:rsidR="00884DCF" w:rsidRDefault="00E40CD8" w:rsidP="00FC5A5B">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Plaintiff’s 998 offer to settle for $249,999.99 was undoubtedly within the “range of reasonably </w:t>
      </w:r>
      <w:r>
        <w:rPr>
          <w:rFonts w:ascii="Century Schoolbook" w:eastAsia="Century Schoolbook" w:hAnsi="Century Schoolbook" w:cs="Century Schoolbook"/>
          <w:sz w:val="26"/>
          <w:szCs w:val="26"/>
        </w:rPr>
        <w:t>possible results” at trial.  The jury’s $5,594,557 verdict constitutes prima facie evidence of such (</w:t>
      </w:r>
      <w:r>
        <w:rPr>
          <w:rFonts w:ascii="Century Schoolbook" w:eastAsia="Century Schoolbook" w:hAnsi="Century Schoolbook" w:cs="Century Schoolbook"/>
          <w:i/>
          <w:sz w:val="26"/>
          <w:szCs w:val="26"/>
        </w:rPr>
        <w:t>Elrod</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xml:space="preserve">, 195 Cal.App.3d at p. 700), and Cedars has offered no evidence to the contrary.  </w:t>
      </w:r>
    </w:p>
    <w:p w:rsidR="000331EE" w:rsidRDefault="00E40CD8" w:rsidP="00FC5A5B">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Consequently, and as the trial court properly recognized, wh</w:t>
      </w:r>
      <w:r>
        <w:rPr>
          <w:rFonts w:ascii="Century Schoolbook" w:eastAsia="Century Schoolbook" w:hAnsi="Century Schoolbook" w:cs="Century Schoolbook"/>
          <w:sz w:val="26"/>
          <w:szCs w:val="26"/>
        </w:rPr>
        <w:t>ether plaintiff’s 998 offer in this case was made in good faith turns entirely on the second consideration bearing on good faith—that is, on whether Cedars had sufficient information to assess whether plaintiff’s $249,999.99 offer was a reasonable one.  Th</w:t>
      </w:r>
      <w:r>
        <w:rPr>
          <w:rFonts w:ascii="Century Schoolbook" w:eastAsia="Century Schoolbook" w:hAnsi="Century Schoolbook" w:cs="Century Schoolbook"/>
          <w:sz w:val="26"/>
          <w:szCs w:val="26"/>
        </w:rPr>
        <w:t>e trial court did not abuse its discretion in concluding that Cedars lacked sufficient information.  Each of the factors identified in the case law support the trial court’s determination.</w:t>
      </w:r>
    </w:p>
    <w:p w:rsidR="000331EE" w:rsidRDefault="00E40CD8" w:rsidP="00FC5A5B">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As to timing, plaintiff made her 998 offer just 19 days after servi</w:t>
      </w:r>
      <w:r>
        <w:rPr>
          <w:rFonts w:ascii="Century Schoolbook" w:eastAsia="Century Schoolbook" w:hAnsi="Century Schoolbook" w:cs="Century Schoolbook"/>
          <w:sz w:val="26"/>
          <w:szCs w:val="26"/>
        </w:rPr>
        <w:t>ng Cedars with her complaint and just five days after Cedars filed its answer.</w:t>
      </w:r>
    </w:p>
    <w:p w:rsidR="002B7716" w:rsidRDefault="00E40CD8" w:rsidP="00FC5A5B">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As to the availability of information, Cedars had very little information available to it on the issues of liability and the amount of damages prior to the date plaintiff’s 998 </w:t>
      </w:r>
      <w:r>
        <w:rPr>
          <w:rFonts w:ascii="Century Schoolbook" w:eastAsia="Century Schoolbook" w:hAnsi="Century Schoolbook" w:cs="Century Schoolbook"/>
          <w:sz w:val="26"/>
          <w:szCs w:val="26"/>
        </w:rPr>
        <w:t xml:space="preserve">offer expired.  Plaintiff’s three-page complaint was “bare bones,” as it listed no specifics as to the injuries she suffered or the amount of damages she sought.  Nor was this skeletal complaint fleshed out by the pre-litigation notice required by section </w:t>
      </w:r>
      <w:r>
        <w:rPr>
          <w:rFonts w:ascii="Century Schoolbook" w:eastAsia="Century Schoolbook" w:hAnsi="Century Schoolbook" w:cs="Century Schoolbook"/>
          <w:sz w:val="26"/>
          <w:szCs w:val="26"/>
        </w:rPr>
        <w:t xml:space="preserve">364, which would have set forth the “legal basis of [her] claim and the type of loss sustained, including [the] specific . . . nature of injuries suffered” (§ 364, subds. (a) &amp; (b)), because plaintiff never filed such a </w:t>
      </w:r>
      <w:r>
        <w:rPr>
          <w:rFonts w:ascii="Century Schoolbook" w:eastAsia="Century Schoolbook" w:hAnsi="Century Schoolbook" w:cs="Century Schoolbook"/>
          <w:sz w:val="26"/>
          <w:szCs w:val="26"/>
        </w:rPr>
        <w:lastRenderedPageBreak/>
        <w:t>notice.</w:t>
      </w:r>
      <w:r>
        <w:rPr>
          <w:rStyle w:val="FootnoteReference"/>
          <w:rFonts w:ascii="Century Schoolbook" w:eastAsia="Century Schoolbook" w:hAnsi="Century Schoolbook" w:cs="Century Schoolbook"/>
          <w:b/>
          <w:sz w:val="26"/>
          <w:szCs w:val="26"/>
        </w:rPr>
        <w:footnoteReference w:id="6"/>
      </w:r>
      <w:r>
        <w:rPr>
          <w:rFonts w:ascii="Century Schoolbook" w:eastAsia="Century Schoolbook" w:hAnsi="Century Schoolbook" w:cs="Century Schoolbook"/>
          <w:sz w:val="26"/>
          <w:szCs w:val="26"/>
        </w:rPr>
        <w:t xml:space="preserve">  No depositions had been ta</w:t>
      </w:r>
      <w:r>
        <w:rPr>
          <w:rFonts w:ascii="Century Schoolbook" w:eastAsia="Century Schoolbook" w:hAnsi="Century Schoolbook" w:cs="Century Schoolbook"/>
          <w:sz w:val="26"/>
          <w:szCs w:val="26"/>
        </w:rPr>
        <w:t>ken.  But Cedars was not entirely bereft of information.  Plaintiff had sent Cedars a letter the day before she made her 998 offer (1) stating that her doctors’ negligence was “self-evident” and that her “injuries are well documented and far exceed the” $2</w:t>
      </w:r>
      <w:r>
        <w:rPr>
          <w:rFonts w:ascii="Century Schoolbook" w:eastAsia="Century Schoolbook" w:hAnsi="Century Schoolbook" w:cs="Century Schoolbook"/>
          <w:sz w:val="26"/>
          <w:szCs w:val="26"/>
        </w:rPr>
        <w:t>50,000 cap on noneconomic damages, and (2) attaching photographs of plaintiff before and after the surgery.  Plaintiff also provided some written discovery to Cedars prior to her offer’s expiration—namely, (1) she forwarded to Cedars her answers to the gen</w:t>
      </w:r>
      <w:r>
        <w:rPr>
          <w:rFonts w:ascii="Century Schoolbook" w:eastAsia="Century Schoolbook" w:hAnsi="Century Schoolbook" w:cs="Century Schoolbook"/>
          <w:sz w:val="26"/>
          <w:szCs w:val="26"/>
        </w:rPr>
        <w:t xml:space="preserve">eral interrogatories propounded by Dr. Carroll, but submitted to the trial court only the cover sheet for those answers and not the answers themselves, and (2) she responded to Cedars’s request for documents on the day before her 998 offer expired.  Those </w:t>
      </w:r>
      <w:r>
        <w:rPr>
          <w:rFonts w:ascii="Century Schoolbook" w:eastAsia="Century Schoolbook" w:hAnsi="Century Schoolbook" w:cs="Century Schoolbook"/>
          <w:sz w:val="26"/>
          <w:szCs w:val="26"/>
        </w:rPr>
        <w:t>responses contained no details on the issues of liability and the amount of damages except (1) to indicate that plaintiff was not making a claim for “lost earnings” and that plaintiff’s “earning capacity may be affected as [she] has had to delay starting l</w:t>
      </w:r>
      <w:r>
        <w:rPr>
          <w:rFonts w:ascii="Century Schoolbook" w:eastAsia="Century Schoolbook" w:hAnsi="Century Schoolbook" w:cs="Century Schoolbook"/>
          <w:sz w:val="26"/>
          <w:szCs w:val="26"/>
        </w:rPr>
        <w:t>aw school for at least two years,” (2) to tell Cedars to contact plaintiff’s insurance carrier to obtain her medical bills, and (3) to tell Cedars to look at its own records.  And Cedars also had in its possession plaintiff’s 9,662-page medical chart, whic</w:t>
      </w:r>
      <w:r>
        <w:rPr>
          <w:rFonts w:ascii="Century Schoolbook" w:eastAsia="Century Schoolbook" w:hAnsi="Century Schoolbook" w:cs="Century Schoolbook"/>
          <w:sz w:val="26"/>
          <w:szCs w:val="26"/>
        </w:rPr>
        <w:t xml:space="preserve">h included (1) the operation report noting the nicked vein and internal bleeding, and (2) the records indicating her extended stay and care at the hospital. </w:t>
      </w:r>
    </w:p>
    <w:p w:rsidR="00FF206E" w:rsidRDefault="00E40CD8" w:rsidP="00FF206E">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The trial court did not abuse its discretion in concluding that this information, considered in it</w:t>
      </w:r>
      <w:r>
        <w:rPr>
          <w:rFonts w:ascii="Century Schoolbook" w:eastAsia="Century Schoolbook" w:hAnsi="Century Schoolbook" w:cs="Century Schoolbook"/>
          <w:sz w:val="26"/>
          <w:szCs w:val="26"/>
        </w:rPr>
        <w:t xml:space="preserve">s totality, did not provide Cedars with sufficient information with which to evaluate the </w:t>
      </w:r>
      <w:r>
        <w:rPr>
          <w:rFonts w:ascii="Century Schoolbook" w:eastAsia="Century Schoolbook" w:hAnsi="Century Schoolbook" w:cs="Century Schoolbook"/>
          <w:sz w:val="26"/>
          <w:szCs w:val="26"/>
        </w:rPr>
        <w:lastRenderedPageBreak/>
        <w:t>reasonableness of plaintiff’s section 998 offer.  On the question of liability, this information did not indicate which doctor (Dr. Gupta or Dr. Carroll) was responsi</w:t>
      </w:r>
      <w:r>
        <w:rPr>
          <w:rFonts w:ascii="Century Schoolbook" w:eastAsia="Century Schoolbook" w:hAnsi="Century Schoolbook" w:cs="Century Schoolbook"/>
          <w:sz w:val="26"/>
          <w:szCs w:val="26"/>
        </w:rPr>
        <w:t>ble for any negligence or the extent to which plaintiff’s injuries were related to or exacerbated by any pre-existing medical conditions she might have.  On the question of the amount of damages, this information did not speak at all to plaintiff’s pain an</w:t>
      </w:r>
      <w:r>
        <w:rPr>
          <w:rFonts w:ascii="Century Schoolbook" w:eastAsia="Century Schoolbook" w:hAnsi="Century Schoolbook" w:cs="Century Schoolbook"/>
          <w:sz w:val="26"/>
          <w:szCs w:val="26"/>
        </w:rPr>
        <w:t xml:space="preserve">d suffering, to the amount of her medical expenses (including any offset due to insurance), or to any possible loss in her earning capacity.  Indeed, plaintiff’s response to Cedars’s request for documents indicated she was unsure whether she would suffer </w:t>
      </w:r>
      <w:r w:rsidRPr="00884DCF">
        <w:rPr>
          <w:rFonts w:ascii="Century Schoolbook" w:eastAsia="Century Schoolbook" w:hAnsi="Century Schoolbook" w:cs="Century Schoolbook"/>
          <w:i/>
          <w:sz w:val="26"/>
          <w:szCs w:val="26"/>
        </w:rPr>
        <w:t>a</w:t>
      </w:r>
      <w:r w:rsidRPr="00884DCF">
        <w:rPr>
          <w:rFonts w:ascii="Century Schoolbook" w:eastAsia="Century Schoolbook" w:hAnsi="Century Schoolbook" w:cs="Century Schoolbook"/>
          <w:i/>
          <w:sz w:val="26"/>
          <w:szCs w:val="26"/>
        </w:rPr>
        <w:t>ny</w:t>
      </w:r>
      <w:r>
        <w:rPr>
          <w:rFonts w:ascii="Century Schoolbook" w:eastAsia="Century Schoolbook" w:hAnsi="Century Schoolbook" w:cs="Century Schoolbook"/>
          <w:sz w:val="26"/>
          <w:szCs w:val="26"/>
        </w:rPr>
        <w:t xml:space="preserve"> loss of earning capacity.</w:t>
      </w:r>
    </w:p>
    <w:p w:rsidR="00FF206E" w:rsidRDefault="00E40CD8" w:rsidP="00FF206E">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As to providing notice of the lack of sufficient information and any response to that notice, Cedars alerted plaintiff to its concern that it was “too soon for it to make any determination as to whether” her 998 offer was reasonable, and plaintiff never re</w:t>
      </w:r>
      <w:r>
        <w:rPr>
          <w:rFonts w:ascii="Century Schoolbook" w:eastAsia="Century Schoolbook" w:hAnsi="Century Schoolbook" w:cs="Century Schoolbook"/>
          <w:sz w:val="26"/>
          <w:szCs w:val="26"/>
        </w:rPr>
        <w:t xml:space="preserve">sponded. </w:t>
      </w:r>
    </w:p>
    <w:p w:rsidR="00A34DFF" w:rsidRDefault="00E40CD8" w:rsidP="00FF206E">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Plaintiff responds that Cedars had sufficient information to evaluate her section 998 offer.  </w:t>
      </w:r>
    </w:p>
    <w:p w:rsidR="004F1EE9" w:rsidRDefault="00E40CD8" w:rsidP="00FF206E">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As a threshold matter, she argues that any absence of information regarding her </w:t>
      </w:r>
      <w:r>
        <w:rPr>
          <w:rFonts w:ascii="Century Schoolbook" w:eastAsia="Century Schoolbook" w:hAnsi="Century Schoolbook" w:cs="Century Schoolbook"/>
          <w:i/>
          <w:sz w:val="26"/>
          <w:szCs w:val="26"/>
        </w:rPr>
        <w:t>economic</w:t>
      </w:r>
      <w:r>
        <w:rPr>
          <w:rFonts w:ascii="Century Schoolbook" w:eastAsia="Century Schoolbook" w:hAnsi="Century Schoolbook" w:cs="Century Schoolbook"/>
          <w:sz w:val="26"/>
          <w:szCs w:val="26"/>
        </w:rPr>
        <w:t xml:space="preserve"> damages is of no consequence because her 998 offer was an offe</w:t>
      </w:r>
      <w:r>
        <w:rPr>
          <w:rFonts w:ascii="Century Schoolbook" w:eastAsia="Century Schoolbook" w:hAnsi="Century Schoolbook" w:cs="Century Schoolbook"/>
          <w:sz w:val="26"/>
          <w:szCs w:val="26"/>
        </w:rPr>
        <w:t xml:space="preserve">r only to settle the </w:t>
      </w:r>
      <w:r>
        <w:rPr>
          <w:rFonts w:ascii="Century Schoolbook" w:eastAsia="Century Schoolbook" w:hAnsi="Century Schoolbook" w:cs="Century Schoolbook"/>
          <w:i/>
          <w:sz w:val="26"/>
          <w:szCs w:val="26"/>
        </w:rPr>
        <w:t>noneconomic</w:t>
      </w:r>
      <w:r>
        <w:rPr>
          <w:rFonts w:ascii="Century Schoolbook" w:eastAsia="Century Schoolbook" w:hAnsi="Century Schoolbook" w:cs="Century Schoolbook"/>
          <w:sz w:val="26"/>
          <w:szCs w:val="26"/>
        </w:rPr>
        <w:t xml:space="preserve"> damages portion of her case for $249,999.99, which is just below the statutory cap for noneconomic damages in medical malpractice cases.  We reject this argument because it contradicts the plain language of the 998 offer it</w:t>
      </w:r>
      <w:r>
        <w:rPr>
          <w:rFonts w:ascii="Century Schoolbook" w:eastAsia="Century Schoolbook" w:hAnsi="Century Schoolbook" w:cs="Century Schoolbook"/>
          <w:sz w:val="26"/>
          <w:szCs w:val="26"/>
        </w:rPr>
        <w:t>self, which offers to “allow judgment to be taken against [Cedars] . . . in the amount of $249,999.99” without any hint that the offer would settle only part of the case.  Even if we were to accept plaintiff’s invitation to retroactively rewrite her 998 of</w:t>
      </w:r>
      <w:r>
        <w:rPr>
          <w:rFonts w:ascii="Century Schoolbook" w:eastAsia="Century Schoolbook" w:hAnsi="Century Schoolbook" w:cs="Century Schoolbook"/>
          <w:sz w:val="26"/>
          <w:szCs w:val="26"/>
        </w:rPr>
        <w:t xml:space="preserve">fer, Cedars still lacked sufficient information to make an intelligent </w:t>
      </w:r>
      <w:r>
        <w:rPr>
          <w:rFonts w:ascii="Century Schoolbook" w:eastAsia="Century Schoolbook" w:hAnsi="Century Schoolbook" w:cs="Century Schoolbook"/>
          <w:sz w:val="26"/>
          <w:szCs w:val="26"/>
        </w:rPr>
        <w:lastRenderedPageBreak/>
        <w:t xml:space="preserve">determination as to a reasonable amount of noneconomic damages for the reasons described above.  What is more, plaintiff’s conduct in making an offer as to noneconomic damages that, in </w:t>
      </w:r>
      <w:r>
        <w:rPr>
          <w:rFonts w:ascii="Century Schoolbook" w:eastAsia="Century Schoolbook" w:hAnsi="Century Schoolbook" w:cs="Century Schoolbook"/>
          <w:sz w:val="26"/>
          <w:szCs w:val="26"/>
        </w:rPr>
        <w:t xml:space="preserve">her counsel’s own words, was “one penny below” the statutory cap for such damages mere weeks after serving Cedars raises more than a specter of gamesmanship, which, as noted above, is antithetical to the legitimate operation of section 998. </w:t>
      </w:r>
    </w:p>
    <w:p w:rsidR="00A34DFF" w:rsidRDefault="00E40CD8" w:rsidP="004F1EE9">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Even if we rej</w:t>
      </w:r>
      <w:r>
        <w:rPr>
          <w:rFonts w:ascii="Century Schoolbook" w:eastAsia="Century Schoolbook" w:hAnsi="Century Schoolbook" w:cs="Century Schoolbook"/>
          <w:sz w:val="26"/>
          <w:szCs w:val="26"/>
        </w:rPr>
        <w:t>ect her retroactively narrowed reading of her 998 offer, plaintiff continues, Cedars still had enough information to evaluate a global settlement offer because (1) Cedars had access to her 9,662-page medical chart, (2) Cedars conducted a peer review of the</w:t>
      </w:r>
      <w:r>
        <w:rPr>
          <w:rFonts w:ascii="Century Schoolbook" w:eastAsia="Century Schoolbook" w:hAnsi="Century Schoolbook" w:cs="Century Schoolbook"/>
          <w:sz w:val="26"/>
          <w:szCs w:val="26"/>
        </w:rPr>
        <w:t xml:space="preserve"> operation that provided greater information, (3) Cedars had the answers to Dr. Carroll’s form interrogatories, and (4) any shortfall of information regarding damages could not in any event invalidate her 998 offer because Cedars’s objection never used the</w:t>
      </w:r>
      <w:r>
        <w:rPr>
          <w:rFonts w:ascii="Century Schoolbook" w:eastAsia="Century Schoolbook" w:hAnsi="Century Schoolbook" w:cs="Century Schoolbook"/>
          <w:sz w:val="26"/>
          <w:szCs w:val="26"/>
        </w:rPr>
        <w:t xml:space="preserve"> word “damages.”  </w:t>
      </w:r>
    </w:p>
    <w:p w:rsidR="00E36A45" w:rsidRDefault="00E40CD8" w:rsidP="004F1EE9">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However, none of these sources provided Cedars with sufficient information to evaluate plaintiff’s offer.  </w:t>
      </w:r>
    </w:p>
    <w:p w:rsidR="00A34DFF" w:rsidRDefault="00E40CD8" w:rsidP="00A34DFF">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Plaintiff’s medical chart, as noted above, supplied some information regarding liability.  But it left several issues unaddressed</w:t>
      </w:r>
      <w:r>
        <w:rPr>
          <w:rFonts w:ascii="Century Schoolbook" w:eastAsia="Century Schoolbook" w:hAnsi="Century Schoolbook" w:cs="Century Schoolbook"/>
          <w:sz w:val="26"/>
          <w:szCs w:val="26"/>
        </w:rPr>
        <w:t xml:space="preserve">, including plaintiff’s loss of earning capacity and her pain and suffering.  </w:t>
      </w:r>
    </w:p>
    <w:p w:rsidR="00E36A45" w:rsidRDefault="00E40CD8" w:rsidP="00A34DFF">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Plaintiff provided no evidence that Cedars ever conducted a peer review regarding the operation.  All she offers is her counsel’s assertion that “of course” Cedars did.</w:t>
      </w:r>
      <w:r>
        <w:rPr>
          <w:rStyle w:val="FootnoteReference"/>
          <w:rFonts w:ascii="Century Schoolbook" w:eastAsia="Century Schoolbook" w:hAnsi="Century Schoolbook" w:cs="Century Schoolbook"/>
          <w:b/>
          <w:sz w:val="26"/>
          <w:szCs w:val="26"/>
        </w:rPr>
        <w:footnoteReference w:id="7"/>
      </w:r>
      <w:r>
        <w:rPr>
          <w:rFonts w:ascii="Century Schoolbook" w:eastAsia="Century Schoolbook" w:hAnsi="Century Schoolbook" w:cs="Century Schoolbook"/>
          <w:sz w:val="26"/>
          <w:szCs w:val="26"/>
        </w:rPr>
        <w:t xml:space="preserve"> </w:t>
      </w:r>
    </w:p>
    <w:p w:rsidR="00B62193" w:rsidRDefault="00E40CD8" w:rsidP="00A34DFF">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We can</w:t>
      </w:r>
      <w:r>
        <w:rPr>
          <w:rFonts w:ascii="Century Schoolbook" w:eastAsia="Century Schoolbook" w:hAnsi="Century Schoolbook" w:cs="Century Schoolbook"/>
          <w:sz w:val="26"/>
          <w:szCs w:val="26"/>
        </w:rPr>
        <w:t xml:space="preserve">not evaluate whether plaintiff’s answers to Dr. Carroll’s form interrogatories provided Cedars with sufficient </w:t>
      </w:r>
      <w:r>
        <w:rPr>
          <w:rFonts w:ascii="Century Schoolbook" w:eastAsia="Century Schoolbook" w:hAnsi="Century Schoolbook" w:cs="Century Schoolbook"/>
          <w:sz w:val="26"/>
          <w:szCs w:val="26"/>
        </w:rPr>
        <w:lastRenderedPageBreak/>
        <w:t>information because those answers were never made part of the record in this case.  Plaintiff asserts that she tried to make them a part of the r</w:t>
      </w:r>
      <w:r>
        <w:rPr>
          <w:rFonts w:ascii="Century Schoolbook" w:eastAsia="Century Schoolbook" w:hAnsi="Century Schoolbook" w:cs="Century Schoolbook"/>
          <w:sz w:val="26"/>
          <w:szCs w:val="26"/>
        </w:rPr>
        <w:t xml:space="preserve">ecord and that the trial court was wrong to deny her request to supplement her briefing with the interrogatory answers.  Plaintiff’s request to supplement was, in effect, a motion to amend her pleading; as such, it was governed by section 473, subdivision </w:t>
      </w:r>
      <w:r>
        <w:rPr>
          <w:rFonts w:ascii="Century Schoolbook" w:eastAsia="Century Schoolbook" w:hAnsi="Century Schoolbook" w:cs="Century Schoolbook"/>
          <w:sz w:val="26"/>
          <w:szCs w:val="26"/>
        </w:rPr>
        <w:t>(b).  (</w:t>
      </w:r>
      <w:r>
        <w:rPr>
          <w:rFonts w:ascii="Century Schoolbook" w:eastAsia="Century Schoolbook" w:hAnsi="Century Schoolbook" w:cs="Century Schoolbook"/>
          <w:i/>
          <w:sz w:val="26"/>
          <w:szCs w:val="26"/>
        </w:rPr>
        <w:t>Garcia v. Hejmadi</w:t>
      </w:r>
      <w:r>
        <w:rPr>
          <w:rFonts w:ascii="Century Schoolbook" w:eastAsia="Century Schoolbook" w:hAnsi="Century Schoolbook" w:cs="Century Schoolbook"/>
          <w:sz w:val="26"/>
          <w:szCs w:val="26"/>
        </w:rPr>
        <w:t xml:space="preserve"> (1997) 58 Cal.App.4th 674, 683-684 [request to supplement pleading so governed]; </w:t>
      </w:r>
      <w:r>
        <w:rPr>
          <w:rFonts w:ascii="Century Schoolbook" w:eastAsia="Century Schoolbook" w:hAnsi="Century Schoolbook" w:cs="Century Schoolbook"/>
          <w:i/>
          <w:sz w:val="26"/>
          <w:szCs w:val="26"/>
        </w:rPr>
        <w:t>Puppo v. Larosa</w:t>
      </w:r>
      <w:r>
        <w:rPr>
          <w:rFonts w:ascii="Century Schoolbook" w:eastAsia="Century Schoolbook" w:hAnsi="Century Schoolbook" w:cs="Century Schoolbook"/>
          <w:sz w:val="26"/>
          <w:szCs w:val="26"/>
        </w:rPr>
        <w:t xml:space="preserve"> (1924) 194 Cal. 721, 724 [same, as to motion to tax costs].)  The discretionary relief portion of this statute applicable here only pe</w:t>
      </w:r>
      <w:r>
        <w:rPr>
          <w:rFonts w:ascii="Century Schoolbook" w:eastAsia="Century Schoolbook" w:hAnsi="Century Schoolbook" w:cs="Century Schoolbook"/>
          <w:sz w:val="26"/>
          <w:szCs w:val="26"/>
        </w:rPr>
        <w:t>rmits a trial court to allow an amendment necessitated by an attorney’s mistake or inadvertence if it is an error that “‘anyone could have made’”; put differently, errors due to an attorney’s failure to “meet the professional standard of care, such as fail</w:t>
      </w:r>
      <w:r>
        <w:rPr>
          <w:rFonts w:ascii="Century Schoolbook" w:eastAsia="Century Schoolbook" w:hAnsi="Century Schoolbook" w:cs="Century Schoolbook"/>
          <w:sz w:val="26"/>
          <w:szCs w:val="26"/>
        </w:rPr>
        <w:t>ure . . . to properly advance an argument” provide no basis to amend.  (</w:t>
      </w:r>
      <w:r>
        <w:rPr>
          <w:rFonts w:ascii="Century Schoolbook" w:eastAsia="Century Schoolbook" w:hAnsi="Century Schoolbook" w:cs="Century Schoolbook"/>
          <w:i/>
          <w:sz w:val="26"/>
          <w:szCs w:val="26"/>
        </w:rPr>
        <w:t>Zamora v. Clayborn Contracting Group, Inc.</w:t>
      </w:r>
      <w:r>
        <w:rPr>
          <w:rFonts w:ascii="Century Schoolbook" w:eastAsia="Century Schoolbook" w:hAnsi="Century Schoolbook" w:cs="Century Schoolbook"/>
          <w:sz w:val="26"/>
          <w:szCs w:val="26"/>
        </w:rPr>
        <w:t xml:space="preserve"> (2002) 28 Cal.4th 249, 258.)  In this case, plaintiff’s attorney told the trial court that he “didn’t see [the actual discovery responses for</w:t>
      </w:r>
      <w:r>
        <w:rPr>
          <w:rFonts w:ascii="Century Schoolbook" w:eastAsia="Century Schoolbook" w:hAnsi="Century Schoolbook" w:cs="Century Schoolbook"/>
          <w:sz w:val="26"/>
          <w:szCs w:val="26"/>
        </w:rPr>
        <w:t xml:space="preserve">warded to Cedars] as necessary,” and this statement confirms that the attorney’s decision to include the cover letter accompanying the responses but to omit the responses themselves was strategic and tactical rather than a mistake any layperson could have </w:t>
      </w:r>
      <w:r>
        <w:rPr>
          <w:rFonts w:ascii="Century Schoolbook" w:eastAsia="Century Schoolbook" w:hAnsi="Century Schoolbook" w:cs="Century Schoolbook"/>
          <w:sz w:val="26"/>
          <w:szCs w:val="26"/>
        </w:rPr>
        <w:t xml:space="preserve">made.  </w:t>
      </w:r>
    </w:p>
    <w:p w:rsidR="00EE110A" w:rsidRDefault="00E40CD8" w:rsidP="00767678">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Plaintiff’s criticism of Cedars’s objection lacks merit because the plain language of that document registered a general objection to the timing of plaintiff’s 998 offer that applied with equal force to the issues of liability and to the amount of </w:t>
      </w:r>
      <w:r>
        <w:rPr>
          <w:rFonts w:ascii="Century Schoolbook" w:eastAsia="Century Schoolbook" w:hAnsi="Century Schoolbook" w:cs="Century Schoolbook"/>
          <w:sz w:val="26"/>
          <w:szCs w:val="26"/>
        </w:rPr>
        <w:t>damages.  Cedars’s purported failure to use the words “liability” or “damages” did not somehow narrow the scope of its otherwise inclusive objection.</w:t>
      </w:r>
    </w:p>
    <w:p w:rsidR="00767678" w:rsidRPr="00750CD6" w:rsidRDefault="00E40CD8" w:rsidP="00767678">
      <w:pPr>
        <w:pStyle w:val="Normal1"/>
        <w:widowControl w:val="0"/>
        <w:spacing w:line="288" w:lineRule="auto"/>
        <w:ind w:firstLine="720"/>
        <w:rPr>
          <w:rFonts w:ascii="Century Schoolbook" w:eastAsia="Century Schoolbook" w:hAnsi="Century Schoolbook" w:cs="Century Schoolbook"/>
          <w:b/>
          <w:i/>
          <w:sz w:val="26"/>
          <w:szCs w:val="26"/>
        </w:rPr>
      </w:pPr>
      <w:r>
        <w:rPr>
          <w:rFonts w:ascii="Century Schoolbook" w:eastAsia="Century Schoolbook" w:hAnsi="Century Schoolbook" w:cs="Century Schoolbook"/>
          <w:b/>
          <w:sz w:val="26"/>
          <w:szCs w:val="26"/>
        </w:rPr>
        <w:lastRenderedPageBreak/>
        <w:t>B.</w:t>
      </w:r>
      <w:r>
        <w:rPr>
          <w:rFonts w:ascii="Century Schoolbook" w:eastAsia="Century Schoolbook" w:hAnsi="Century Schoolbook" w:cs="Century Schoolbook"/>
          <w:b/>
          <w:sz w:val="26"/>
          <w:szCs w:val="26"/>
        </w:rPr>
        <w:tab/>
      </w:r>
      <w:r>
        <w:rPr>
          <w:rFonts w:ascii="Century Schoolbook" w:eastAsia="Century Schoolbook" w:hAnsi="Century Schoolbook" w:cs="Century Schoolbook"/>
          <w:b/>
          <w:i/>
          <w:sz w:val="26"/>
          <w:szCs w:val="26"/>
        </w:rPr>
        <w:t>Plaintiff’s further arguments</w:t>
      </w:r>
    </w:p>
    <w:p w:rsidR="00767678" w:rsidRDefault="00E40CD8" w:rsidP="005B6F8E">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Plaintiff makes what boils down to three further categories of arguments </w:t>
      </w:r>
      <w:r>
        <w:rPr>
          <w:rFonts w:ascii="Century Schoolbook" w:eastAsia="Century Schoolbook" w:hAnsi="Century Schoolbook" w:cs="Century Schoolbook"/>
          <w:sz w:val="26"/>
          <w:szCs w:val="26"/>
        </w:rPr>
        <w:t>for reversal.</w:t>
      </w:r>
    </w:p>
    <w:p w:rsidR="005B6F8E" w:rsidRDefault="00E40CD8" w:rsidP="005B6F8E">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She contends that Cedars effectively waived any right to object to the lack of information because it never asked her to extend the deadline of her section 998 offer.  We reject this contention.  Although a request for a continuance is </w:t>
      </w:r>
      <w:r>
        <w:rPr>
          <w:rFonts w:ascii="Century Schoolbook" w:eastAsia="Century Schoolbook" w:hAnsi="Century Schoolbook" w:cs="Century Schoolbook"/>
          <w:i/>
          <w:sz w:val="26"/>
          <w:szCs w:val="26"/>
        </w:rPr>
        <w:t>one</w:t>
      </w:r>
      <w:r>
        <w:rPr>
          <w:rFonts w:ascii="Century Schoolbook" w:eastAsia="Century Schoolbook" w:hAnsi="Century Schoolbook" w:cs="Century Schoolbook"/>
          <w:sz w:val="26"/>
          <w:szCs w:val="26"/>
        </w:rPr>
        <w:t xml:space="preserve"> me</w:t>
      </w:r>
      <w:r>
        <w:rPr>
          <w:rFonts w:ascii="Century Schoolbook" w:eastAsia="Century Schoolbook" w:hAnsi="Century Schoolbook" w:cs="Century Schoolbook"/>
          <w:sz w:val="26"/>
          <w:szCs w:val="26"/>
        </w:rPr>
        <w:t xml:space="preserve">thod by which a section 998 offeree may put the offeror on notice that it lacks sufficient information to evaluate the offer, it is not the </w:t>
      </w:r>
      <w:r>
        <w:rPr>
          <w:rFonts w:ascii="Century Schoolbook" w:eastAsia="Century Schoolbook" w:hAnsi="Century Schoolbook" w:cs="Century Schoolbook"/>
          <w:i/>
          <w:sz w:val="26"/>
          <w:szCs w:val="26"/>
        </w:rPr>
        <w:t>only</w:t>
      </w:r>
      <w:r>
        <w:rPr>
          <w:rFonts w:ascii="Century Schoolbook" w:eastAsia="Century Schoolbook" w:hAnsi="Century Schoolbook" w:cs="Century Schoolbook"/>
          <w:sz w:val="26"/>
          <w:szCs w:val="26"/>
        </w:rPr>
        <w:t xml:space="preserve"> method of doing so; Cedars’s objection sufficed.</w:t>
      </w:r>
    </w:p>
    <w:p w:rsidR="00E70059" w:rsidRDefault="00E40CD8" w:rsidP="005B6F8E">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She asserts that the trial court erred in refusing to consider</w:t>
      </w:r>
      <w:r>
        <w:rPr>
          <w:rFonts w:ascii="Century Schoolbook" w:eastAsia="Century Schoolbook" w:hAnsi="Century Schoolbook" w:cs="Century Schoolbook"/>
          <w:sz w:val="26"/>
          <w:szCs w:val="26"/>
        </w:rPr>
        <w:t xml:space="preserve"> evidence that (1) Cedars’s attorney had a practice of making “boilerplate prematur[ity] claim[s]” to section 998 offers in other cases, and (2) Cedars would have rejected plaintiff’s 998 offer even if Cedars had possessed sufficient information to evaluat</w:t>
      </w:r>
      <w:r>
        <w:rPr>
          <w:rFonts w:ascii="Century Schoolbook" w:eastAsia="Century Schoolbook" w:hAnsi="Century Schoolbook" w:cs="Century Schoolbook"/>
          <w:sz w:val="26"/>
          <w:szCs w:val="26"/>
        </w:rPr>
        <w:t>e it.  We reject each assertion.  Cedars’s position regarding the timing of section 998 offers in other cases (and, relatedly, whether plaintiff was electing to disregard Cedars’s objection in this case in light of its position in the other cases) is neith</w:t>
      </w:r>
      <w:r>
        <w:rPr>
          <w:rFonts w:ascii="Century Schoolbook" w:eastAsia="Century Schoolbook" w:hAnsi="Century Schoolbook" w:cs="Century Schoolbook"/>
          <w:sz w:val="26"/>
          <w:szCs w:val="26"/>
        </w:rPr>
        <w:t>er here nor there because whether a party’s 998 offer is made in good faith turns on the particular circumstances of each case.  (</w:t>
      </w:r>
      <w:r>
        <w:rPr>
          <w:rFonts w:ascii="Century Schoolbook" w:eastAsia="Century Schoolbook" w:hAnsi="Century Schoolbook" w:cs="Century Schoolbook"/>
          <w:i/>
          <w:sz w:val="26"/>
          <w:szCs w:val="26"/>
        </w:rPr>
        <w:t>Arno</w:t>
      </w:r>
      <w:r w:rsidRPr="00A00DA3">
        <w:rPr>
          <w:rFonts w:ascii="Century Schoolbook" w:eastAsia="Century Schoolbook" w:hAnsi="Century Schoolbook" w:cs="Century Schoolbook"/>
          <w:sz w:val="26"/>
          <w:szCs w:val="26"/>
        </w:rPr>
        <w:t>,</w:t>
      </w:r>
      <w:r>
        <w:rPr>
          <w:rFonts w:ascii="Century Schoolbook" w:eastAsia="Century Schoolbook" w:hAnsi="Century Schoolbook" w:cs="Century Schoolbook"/>
          <w:i/>
          <w:sz w:val="26"/>
          <w:szCs w:val="26"/>
        </w:rPr>
        <w:t xml:space="preserve"> supra</w:t>
      </w:r>
      <w:r>
        <w:rPr>
          <w:rFonts w:ascii="Century Schoolbook" w:eastAsia="Century Schoolbook" w:hAnsi="Century Schoolbook" w:cs="Century Schoolbook"/>
          <w:sz w:val="26"/>
          <w:szCs w:val="26"/>
        </w:rPr>
        <w:t xml:space="preserve">, 130 Cal.App.4th at p. 1024.)  Further, what Cedars might or might not have done had plaintiff’s offer been valid </w:t>
      </w:r>
      <w:r>
        <w:rPr>
          <w:rFonts w:ascii="Century Schoolbook" w:eastAsia="Century Schoolbook" w:hAnsi="Century Schoolbook" w:cs="Century Schoolbook"/>
          <w:sz w:val="26"/>
          <w:szCs w:val="26"/>
        </w:rPr>
        <w:t>does not affect whether the offer was valid in the first place; here, it was not.</w:t>
      </w:r>
    </w:p>
    <w:p w:rsidR="00D84A18" w:rsidRDefault="00E40CD8" w:rsidP="00D84A18">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 xml:space="preserve">And plaintiff posits that the trial court impermissibly required her to prove her good faith rather than requiring Cedars to prove its absence.  As noted above, the law squarely places the burden on Cedars.  (E.g., </w:t>
      </w:r>
      <w:r>
        <w:rPr>
          <w:rFonts w:ascii="Century Schoolbook" w:eastAsia="Century Schoolbook" w:hAnsi="Century Schoolbook" w:cs="Century Schoolbook"/>
          <w:i/>
          <w:sz w:val="26"/>
          <w:szCs w:val="26"/>
        </w:rPr>
        <w:t>Elrod</w:t>
      </w:r>
      <w:r>
        <w:rPr>
          <w:rFonts w:ascii="Century Schoolbook" w:eastAsia="Century Schoolbook" w:hAnsi="Century Schoolbook" w:cs="Century Schoolbook"/>
          <w:sz w:val="26"/>
          <w:szCs w:val="26"/>
        </w:rPr>
        <w:t xml:space="preserve">, </w:t>
      </w:r>
      <w:r>
        <w:rPr>
          <w:rFonts w:ascii="Century Schoolbook" w:eastAsia="Century Schoolbook" w:hAnsi="Century Schoolbook" w:cs="Century Schoolbook"/>
          <w:i/>
          <w:sz w:val="26"/>
          <w:szCs w:val="26"/>
        </w:rPr>
        <w:t>supra</w:t>
      </w:r>
      <w:r>
        <w:rPr>
          <w:rFonts w:ascii="Century Schoolbook" w:eastAsia="Century Schoolbook" w:hAnsi="Century Schoolbook" w:cs="Century Schoolbook"/>
          <w:sz w:val="26"/>
          <w:szCs w:val="26"/>
        </w:rPr>
        <w:t xml:space="preserve">, 84 Cal.App.4th at p. 700.) </w:t>
      </w:r>
      <w:r>
        <w:rPr>
          <w:rFonts w:ascii="Century Schoolbook" w:eastAsia="Century Schoolbook" w:hAnsi="Century Schoolbook" w:cs="Century Schoolbook"/>
          <w:sz w:val="26"/>
          <w:szCs w:val="26"/>
        </w:rPr>
        <w:t xml:space="preserve"> However, plaintiff’s position that the trial court shifted that burden is not supported by the record.  At no point did the trial </w:t>
      </w:r>
      <w:r>
        <w:rPr>
          <w:rFonts w:ascii="Century Schoolbook" w:eastAsia="Century Schoolbook" w:hAnsi="Century Schoolbook" w:cs="Century Schoolbook"/>
          <w:sz w:val="26"/>
          <w:szCs w:val="26"/>
        </w:rPr>
        <w:lastRenderedPageBreak/>
        <w:t>court indicate that the burden rested with plaintiff, and the questions the court posed to plaintiff during the hearing sough</w:t>
      </w:r>
      <w:r>
        <w:rPr>
          <w:rFonts w:ascii="Century Schoolbook" w:eastAsia="Century Schoolbook" w:hAnsi="Century Schoolbook" w:cs="Century Schoolbook"/>
          <w:sz w:val="26"/>
          <w:szCs w:val="26"/>
        </w:rPr>
        <w:t xml:space="preserve">t plaintiff’s input on how to refute the points Cedars had already made in support of its motion. </w:t>
      </w:r>
    </w:p>
    <w:p w:rsidR="00D84A18" w:rsidRPr="00D84A18" w:rsidRDefault="00E40CD8" w:rsidP="00D84A18">
      <w:pPr>
        <w:pStyle w:val="Normal1"/>
        <w:widowControl w:val="0"/>
        <w:spacing w:line="288" w:lineRule="auto"/>
        <w:jc w:val="center"/>
        <w:rPr>
          <w:rFonts w:ascii="Century Schoolbook" w:eastAsia="Century Schoolbook" w:hAnsi="Century Schoolbook" w:cs="Century Schoolbook"/>
          <w:b/>
          <w:sz w:val="26"/>
          <w:szCs w:val="26"/>
        </w:rPr>
      </w:pPr>
      <w:r>
        <w:rPr>
          <w:rFonts w:ascii="Century Schoolbook" w:eastAsia="Century Schoolbook" w:hAnsi="Century Schoolbook" w:cs="Century Schoolbook"/>
          <w:b/>
          <w:sz w:val="26"/>
          <w:szCs w:val="26"/>
        </w:rPr>
        <w:t>DISPOSITION</w:t>
      </w:r>
    </w:p>
    <w:p w:rsidR="00D84A18" w:rsidRDefault="00E40CD8" w:rsidP="00D84A18">
      <w:pPr>
        <w:pStyle w:val="Normal1"/>
        <w:widowControl w:val="0"/>
        <w:spacing w:line="288" w:lineRule="auto"/>
        <w:ind w:firstLine="72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The order striking plaintiff’s request for prejudgment interest is affirmed.  Cedars is entitled to its costs on appeal.</w:t>
      </w:r>
    </w:p>
    <w:p w:rsidR="00705C66" w:rsidRPr="00705C66" w:rsidRDefault="00E40CD8" w:rsidP="00555290">
      <w:pPr>
        <w:pStyle w:val="Normal1"/>
        <w:widowControl w:val="0"/>
        <w:jc w:val="center"/>
        <w:rPr>
          <w:rFonts w:ascii="Century Schoolbook" w:eastAsia="Century Schoolbook" w:hAnsi="Century Schoolbook" w:cs="Century Schoolbook"/>
          <w:b/>
          <w:sz w:val="26"/>
          <w:szCs w:val="26"/>
        </w:rPr>
      </w:pPr>
      <w:r w:rsidRPr="00705C66">
        <w:rPr>
          <w:rFonts w:ascii="Century Schoolbook" w:eastAsia="Century Schoolbook" w:hAnsi="Century Schoolbook" w:cs="Century Schoolbook"/>
          <w:b/>
          <w:sz w:val="26"/>
          <w:szCs w:val="26"/>
          <w:u w:val="single"/>
        </w:rPr>
        <w:t xml:space="preserve">CERTIFIED FOR </w:t>
      </w:r>
      <w:r w:rsidRPr="00705C66">
        <w:rPr>
          <w:rFonts w:ascii="Century Schoolbook" w:eastAsia="Century Schoolbook" w:hAnsi="Century Schoolbook" w:cs="Century Schoolbook"/>
          <w:b/>
          <w:sz w:val="26"/>
          <w:szCs w:val="26"/>
          <w:u w:val="single"/>
        </w:rPr>
        <w:t>PUBLICATION.</w:t>
      </w:r>
    </w:p>
    <w:p w:rsidR="00705C66" w:rsidRDefault="00E40CD8" w:rsidP="00705C66">
      <w:pPr>
        <w:pStyle w:val="Normal1"/>
        <w:widowControl w:val="0"/>
        <w:rPr>
          <w:rFonts w:ascii="Century Schoolbook" w:eastAsia="Century Schoolbook" w:hAnsi="Century Schoolbook" w:cs="Century Schoolbook"/>
          <w:sz w:val="26"/>
          <w:szCs w:val="26"/>
        </w:rPr>
      </w:pPr>
    </w:p>
    <w:p w:rsidR="00032DCA" w:rsidRPr="00705C66" w:rsidRDefault="00E40CD8" w:rsidP="00705C66">
      <w:pPr>
        <w:pStyle w:val="Normal1"/>
        <w:widowControl w:val="0"/>
        <w:rPr>
          <w:rFonts w:ascii="Century Schoolbook" w:eastAsia="Century Schoolbook" w:hAnsi="Century Schoolbook" w:cs="Century Schoolbook"/>
          <w:sz w:val="26"/>
          <w:szCs w:val="26"/>
        </w:rPr>
      </w:pPr>
      <w:r>
        <w:rPr>
          <w:rFonts w:ascii="Century Schoolbook" w:eastAsia="Century Schoolbook" w:hAnsi="Century Schoolbook" w:cs="Century Schoolbook"/>
          <w:sz w:val="26"/>
          <w:szCs w:val="26"/>
        </w:rPr>
        <w:tab/>
      </w:r>
      <w:r>
        <w:rPr>
          <w:rFonts w:ascii="Century Schoolbook" w:eastAsia="Century Schoolbook" w:hAnsi="Century Schoolbook" w:cs="Century Schoolbook"/>
          <w:sz w:val="26"/>
          <w:szCs w:val="26"/>
        </w:rPr>
        <w:tab/>
      </w:r>
      <w:r>
        <w:rPr>
          <w:rFonts w:ascii="Century Schoolbook" w:eastAsia="Century Schoolbook" w:hAnsi="Century Schoolbook" w:cs="Century Schoolbook"/>
          <w:sz w:val="26"/>
          <w:szCs w:val="26"/>
        </w:rPr>
        <w:tab/>
      </w:r>
      <w:r>
        <w:rPr>
          <w:rFonts w:ascii="Century Schoolbook" w:eastAsia="Century Schoolbook" w:hAnsi="Century Schoolbook" w:cs="Century Schoolbook"/>
          <w:sz w:val="26"/>
          <w:szCs w:val="26"/>
        </w:rPr>
        <w:tab/>
      </w:r>
      <w:r>
        <w:rPr>
          <w:rFonts w:ascii="Century Schoolbook" w:eastAsia="Century Schoolbook" w:hAnsi="Century Schoolbook" w:cs="Century Schoolbook"/>
          <w:sz w:val="26"/>
          <w:szCs w:val="26"/>
        </w:rPr>
        <w:tab/>
      </w:r>
      <w:r>
        <w:rPr>
          <w:rFonts w:ascii="Century Schoolbook" w:eastAsia="Century Schoolbook" w:hAnsi="Century Schoolbook" w:cs="Century Schoolbook"/>
          <w:sz w:val="26"/>
          <w:szCs w:val="26"/>
        </w:rPr>
        <w:tab/>
      </w:r>
      <w:r>
        <w:rPr>
          <w:rFonts w:ascii="Century Schoolbook" w:eastAsia="Century Schoolbook" w:hAnsi="Century Schoolbook" w:cs="Century Schoolbook"/>
          <w:sz w:val="26"/>
          <w:szCs w:val="26"/>
        </w:rPr>
        <w:tab/>
      </w:r>
      <w:r>
        <w:rPr>
          <w:rFonts w:ascii="Century Schoolbook" w:eastAsia="Century Schoolbook" w:hAnsi="Century Schoolbook" w:cs="Century Schoolbook"/>
          <w:sz w:val="26"/>
          <w:szCs w:val="26"/>
        </w:rPr>
        <w:tab/>
      </w:r>
      <w:r>
        <w:rPr>
          <w:rFonts w:ascii="Century Schoolbook" w:eastAsia="Century Schoolbook" w:hAnsi="Century Schoolbook" w:cs="Century Schoolbook"/>
          <w:sz w:val="26"/>
          <w:szCs w:val="26"/>
        </w:rPr>
        <w:tab/>
      </w:r>
      <w:r>
        <w:rPr>
          <w:rFonts w:ascii="Century Schoolbook" w:eastAsia="Century Schoolbook" w:hAnsi="Century Schoolbook" w:cs="Century Schoolbook"/>
          <w:sz w:val="26"/>
          <w:szCs w:val="26"/>
        </w:rPr>
        <w:tab/>
      </w:r>
    </w:p>
    <w:p w:rsidR="00705C66" w:rsidRDefault="00E40CD8" w:rsidP="00705C66">
      <w:pPr>
        <w:pStyle w:val="Normal1"/>
        <w:widowControl w:val="0"/>
        <w:rPr>
          <w:rFonts w:ascii="Century Schoolbook" w:eastAsia="Century Schoolbook" w:hAnsi="Century Schoolbook" w:cs="Century Schoolbook"/>
          <w:sz w:val="26"/>
          <w:szCs w:val="26"/>
        </w:rPr>
      </w:pPr>
      <w:r w:rsidRPr="00705C66">
        <w:rPr>
          <w:rFonts w:ascii="Century Schoolbook" w:eastAsia="Century Schoolbook" w:hAnsi="Century Schoolbook" w:cs="Century Schoolbook"/>
          <w:sz w:val="26"/>
          <w:szCs w:val="26"/>
        </w:rPr>
        <w:tab/>
      </w:r>
    </w:p>
    <w:p w:rsidR="00004A9C" w:rsidRPr="00370CB8" w:rsidRDefault="00E40CD8" w:rsidP="00004A9C">
      <w:pPr>
        <w:spacing w:line="240" w:lineRule="auto"/>
        <w:rPr>
          <w:szCs w:val="26"/>
        </w:rPr>
      </w:pPr>
      <w:r w:rsidRPr="00370CB8">
        <w:rPr>
          <w:szCs w:val="26"/>
        </w:rPr>
        <w:tab/>
      </w:r>
      <w:r w:rsidRPr="00370CB8">
        <w:rPr>
          <w:szCs w:val="26"/>
        </w:rPr>
        <w:tab/>
      </w:r>
      <w:r w:rsidRPr="00370CB8">
        <w:rPr>
          <w:szCs w:val="26"/>
        </w:rPr>
        <w:tab/>
      </w:r>
      <w:r w:rsidRPr="00370CB8">
        <w:rPr>
          <w:szCs w:val="26"/>
        </w:rPr>
        <w:tab/>
      </w:r>
      <w:r w:rsidRPr="00370CB8">
        <w:rPr>
          <w:szCs w:val="26"/>
        </w:rPr>
        <w:tab/>
      </w:r>
      <w:r w:rsidRPr="00370CB8">
        <w:rPr>
          <w:szCs w:val="26"/>
        </w:rPr>
        <w:tab/>
        <w:t>______________________, J.</w:t>
      </w:r>
    </w:p>
    <w:p w:rsidR="00004A9C" w:rsidRPr="00370CB8" w:rsidRDefault="00E40CD8" w:rsidP="00004A9C">
      <w:pPr>
        <w:spacing w:line="240" w:lineRule="auto"/>
        <w:rPr>
          <w:szCs w:val="26"/>
        </w:rPr>
      </w:pPr>
      <w:r w:rsidRPr="00370CB8">
        <w:rPr>
          <w:szCs w:val="26"/>
        </w:rPr>
        <w:tab/>
      </w:r>
      <w:r w:rsidRPr="00370CB8">
        <w:rPr>
          <w:szCs w:val="26"/>
        </w:rPr>
        <w:tab/>
      </w:r>
      <w:r w:rsidRPr="00370CB8">
        <w:rPr>
          <w:szCs w:val="26"/>
        </w:rPr>
        <w:tab/>
      </w:r>
      <w:r w:rsidRPr="00370CB8">
        <w:rPr>
          <w:szCs w:val="26"/>
        </w:rPr>
        <w:tab/>
      </w:r>
      <w:r w:rsidRPr="00370CB8">
        <w:rPr>
          <w:szCs w:val="26"/>
        </w:rPr>
        <w:tab/>
      </w:r>
      <w:r w:rsidRPr="00370CB8">
        <w:rPr>
          <w:szCs w:val="26"/>
        </w:rPr>
        <w:tab/>
        <w:t>HOFFSTADT</w:t>
      </w:r>
    </w:p>
    <w:p w:rsidR="00004A9C" w:rsidRDefault="00E40CD8" w:rsidP="00004A9C">
      <w:pPr>
        <w:spacing w:line="240" w:lineRule="auto"/>
        <w:rPr>
          <w:szCs w:val="26"/>
        </w:rPr>
      </w:pPr>
      <w:r w:rsidRPr="00370CB8">
        <w:rPr>
          <w:szCs w:val="26"/>
        </w:rPr>
        <w:t>We concur:</w:t>
      </w:r>
    </w:p>
    <w:p w:rsidR="00004A9C" w:rsidRDefault="00E40CD8" w:rsidP="00004A9C">
      <w:pPr>
        <w:spacing w:line="240" w:lineRule="auto"/>
        <w:rPr>
          <w:szCs w:val="26"/>
        </w:rPr>
      </w:pPr>
    </w:p>
    <w:p w:rsidR="00004A9C" w:rsidRPr="00370CB8" w:rsidRDefault="00E40CD8" w:rsidP="00004A9C">
      <w:pPr>
        <w:spacing w:line="240" w:lineRule="auto"/>
        <w:rPr>
          <w:szCs w:val="26"/>
        </w:rPr>
      </w:pPr>
    </w:p>
    <w:p w:rsidR="00004A9C" w:rsidRPr="00370CB8" w:rsidRDefault="00E40CD8" w:rsidP="00004A9C">
      <w:pPr>
        <w:spacing w:line="240" w:lineRule="auto"/>
        <w:rPr>
          <w:szCs w:val="26"/>
        </w:rPr>
      </w:pPr>
      <w:r w:rsidRPr="00370CB8">
        <w:rPr>
          <w:szCs w:val="26"/>
        </w:rPr>
        <w:t>_________________________, Acting P. J.</w:t>
      </w:r>
    </w:p>
    <w:p w:rsidR="00004A9C" w:rsidRDefault="00E40CD8" w:rsidP="00004A9C">
      <w:pPr>
        <w:spacing w:line="240" w:lineRule="auto"/>
        <w:rPr>
          <w:szCs w:val="26"/>
        </w:rPr>
      </w:pPr>
      <w:r w:rsidRPr="00370CB8">
        <w:rPr>
          <w:szCs w:val="26"/>
        </w:rPr>
        <w:t>ASHMANN-GERST</w:t>
      </w:r>
    </w:p>
    <w:p w:rsidR="00004A9C" w:rsidRDefault="00E40CD8" w:rsidP="00004A9C">
      <w:pPr>
        <w:spacing w:line="240" w:lineRule="auto"/>
        <w:rPr>
          <w:szCs w:val="26"/>
        </w:rPr>
      </w:pPr>
    </w:p>
    <w:p w:rsidR="00004A9C" w:rsidRPr="00370CB8" w:rsidRDefault="00E40CD8" w:rsidP="00004A9C">
      <w:pPr>
        <w:spacing w:line="240" w:lineRule="auto"/>
        <w:rPr>
          <w:szCs w:val="26"/>
        </w:rPr>
      </w:pPr>
    </w:p>
    <w:p w:rsidR="00004A9C" w:rsidRPr="00370CB8" w:rsidRDefault="00E40CD8" w:rsidP="00004A9C">
      <w:pPr>
        <w:spacing w:line="240" w:lineRule="auto"/>
        <w:rPr>
          <w:szCs w:val="26"/>
        </w:rPr>
      </w:pPr>
      <w:r w:rsidRPr="00370CB8">
        <w:rPr>
          <w:szCs w:val="26"/>
        </w:rPr>
        <w:t>_________________________, J.</w:t>
      </w:r>
    </w:p>
    <w:p w:rsidR="00004A9C" w:rsidRPr="000B5508" w:rsidRDefault="00E40CD8" w:rsidP="00004A9C">
      <w:pPr>
        <w:spacing w:line="240" w:lineRule="auto"/>
        <w:rPr>
          <w:szCs w:val="26"/>
        </w:rPr>
      </w:pPr>
      <w:r w:rsidRPr="00370CB8">
        <w:rPr>
          <w:szCs w:val="26"/>
        </w:rPr>
        <w:t>CHAVEZ</w:t>
      </w:r>
    </w:p>
    <w:p w:rsidR="00004A9C" w:rsidRPr="00705C66" w:rsidRDefault="00E40CD8" w:rsidP="00705C66">
      <w:pPr>
        <w:pStyle w:val="Normal1"/>
        <w:widowControl w:val="0"/>
        <w:rPr>
          <w:rFonts w:ascii="Century Schoolbook" w:eastAsia="Century Schoolbook" w:hAnsi="Century Schoolbook" w:cs="Century Schoolbook"/>
          <w:sz w:val="26"/>
          <w:szCs w:val="26"/>
        </w:rPr>
      </w:pPr>
    </w:p>
    <w:sectPr w:rsidR="00004A9C" w:rsidRPr="00705C66" w:rsidSect="000A17F5">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40CD8">
      <w:pPr>
        <w:spacing w:line="240" w:lineRule="auto"/>
      </w:pPr>
      <w:r>
        <w:separator/>
      </w:r>
    </w:p>
  </w:endnote>
  <w:endnote w:type="continuationSeparator" w:id="0">
    <w:p w:rsidR="00000000" w:rsidRDefault="00E40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88" w:rsidRDefault="00E40CD8" w:rsidP="00DA51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688" w:rsidRDefault="00E40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688" w:rsidRPr="009E780E" w:rsidRDefault="00E40CD8" w:rsidP="00DA51C7">
    <w:pPr>
      <w:pStyle w:val="Footer"/>
      <w:framePr w:wrap="around" w:vAnchor="text" w:hAnchor="margin" w:xAlign="center" w:y="1"/>
      <w:rPr>
        <w:rStyle w:val="PageNumber"/>
        <w:rFonts w:ascii="Century Schoolbook" w:hAnsi="Century Schoolbook"/>
      </w:rPr>
    </w:pPr>
    <w:r w:rsidRPr="009E780E">
      <w:rPr>
        <w:rStyle w:val="PageNumber"/>
        <w:rFonts w:ascii="Century Schoolbook" w:hAnsi="Century Schoolbook"/>
      </w:rPr>
      <w:fldChar w:fldCharType="begin"/>
    </w:r>
    <w:r w:rsidRPr="009E780E">
      <w:rPr>
        <w:rStyle w:val="PageNumber"/>
        <w:rFonts w:ascii="Century Schoolbook" w:hAnsi="Century Schoolbook"/>
      </w:rPr>
      <w:instrText xml:space="preserve">PAGE  </w:instrText>
    </w:r>
    <w:r w:rsidRPr="009E780E">
      <w:rPr>
        <w:rStyle w:val="PageNumber"/>
        <w:rFonts w:ascii="Century Schoolbook" w:hAnsi="Century Schoolbook"/>
      </w:rPr>
      <w:fldChar w:fldCharType="separate"/>
    </w:r>
    <w:r>
      <w:rPr>
        <w:rStyle w:val="PageNumber"/>
        <w:rFonts w:ascii="Century Schoolbook" w:hAnsi="Century Schoolbook"/>
        <w:noProof/>
      </w:rPr>
      <w:t>6</w:t>
    </w:r>
    <w:r w:rsidRPr="009E780E">
      <w:rPr>
        <w:rStyle w:val="PageNumber"/>
        <w:rFonts w:ascii="Century Schoolbook" w:hAnsi="Century Schoolbook"/>
      </w:rPr>
      <w:fldChar w:fldCharType="end"/>
    </w:r>
  </w:p>
  <w:p w:rsidR="00212688" w:rsidRPr="009E780E" w:rsidRDefault="00E40CD8">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4FE" w:rsidRPr="00A928F9" w:rsidRDefault="00E40CD8" w:rsidP="00A928F9">
      <w:pPr>
        <w:spacing w:line="240" w:lineRule="auto"/>
        <w:rPr>
          <w:rFonts w:ascii="Century Schoolbook" w:hAnsi="Century Schoolbook"/>
          <w:szCs w:val="26"/>
        </w:rPr>
      </w:pPr>
      <w:r w:rsidRPr="00632885">
        <w:rPr>
          <w:rFonts w:ascii="Century Schoolbook" w:hAnsi="Century Schoolbook"/>
          <w:szCs w:val="26"/>
        </w:rPr>
        <w:continuationSeparator/>
      </w:r>
    </w:p>
  </w:footnote>
  <w:footnote w:type="continuationSeparator" w:id="0">
    <w:p w:rsidR="000974FE" w:rsidRDefault="00E40CD8" w:rsidP="00786C6D">
      <w:pPr>
        <w:spacing w:line="240" w:lineRule="auto"/>
      </w:pPr>
      <w:r>
        <w:continuationSeparator/>
      </w:r>
    </w:p>
  </w:footnote>
  <w:footnote w:id="1">
    <w:p w:rsidR="00212688" w:rsidRPr="00F94C46" w:rsidRDefault="00E40CD8">
      <w:pPr>
        <w:pStyle w:val="FootnoteText"/>
        <w:rPr>
          <w:rFonts w:ascii="Century Schoolbook" w:hAnsi="Century Schoolbook"/>
          <w:sz w:val="26"/>
          <w:szCs w:val="26"/>
        </w:rPr>
      </w:pPr>
      <w:r w:rsidRPr="0064548B">
        <w:rPr>
          <w:rStyle w:val="FootnoteReference"/>
          <w:rFonts w:ascii="Century Schoolbook" w:hAnsi="Century Schoolbook"/>
          <w:b/>
          <w:vertAlign w:val="baseline"/>
        </w:rPr>
        <w:footnoteRef/>
      </w:r>
      <w:r w:rsidRPr="0064548B">
        <w:rPr>
          <w:rFonts w:ascii="Century Schoolbook" w:hAnsi="Century Schoolbook"/>
          <w:b/>
        </w:rPr>
        <w:t xml:space="preserve"> </w:t>
      </w:r>
      <w:r>
        <w:tab/>
      </w:r>
      <w:r w:rsidRPr="00F94C46">
        <w:rPr>
          <w:rFonts w:ascii="Century Schoolbook" w:hAnsi="Century Schoolbook"/>
          <w:sz w:val="26"/>
          <w:szCs w:val="26"/>
        </w:rPr>
        <w:t>All further statutory references are to the Code of Civil Procedure unless otherwise indicated.</w:t>
      </w:r>
    </w:p>
  </w:footnote>
  <w:footnote w:id="2">
    <w:p w:rsidR="0064548B" w:rsidRDefault="00E40CD8">
      <w:pPr>
        <w:pStyle w:val="FootnoteText"/>
        <w:rPr>
          <w:rFonts w:ascii="Century Schoolbook" w:hAnsi="Century Schoolbook"/>
          <w:b/>
        </w:rPr>
      </w:pPr>
    </w:p>
    <w:p w:rsidR="00212688" w:rsidRPr="005C0FB9" w:rsidRDefault="00E40CD8">
      <w:pPr>
        <w:pStyle w:val="FootnoteText"/>
        <w:rPr>
          <w:rFonts w:ascii="Century Schoolbook" w:hAnsi="Century Schoolbook"/>
          <w:sz w:val="26"/>
          <w:szCs w:val="26"/>
        </w:rPr>
      </w:pPr>
      <w:r w:rsidRPr="0064548B">
        <w:rPr>
          <w:rStyle w:val="FootnoteReference"/>
          <w:rFonts w:ascii="Century Schoolbook" w:hAnsi="Century Schoolbook"/>
          <w:b/>
          <w:vertAlign w:val="baseline"/>
        </w:rPr>
        <w:footnoteRef/>
      </w:r>
      <w:r w:rsidRPr="0064548B">
        <w:rPr>
          <w:rFonts w:ascii="Century Schoolbook" w:hAnsi="Century Schoolbook"/>
          <w:b/>
        </w:rPr>
        <w:t xml:space="preserve"> </w:t>
      </w:r>
      <w:r>
        <w:tab/>
      </w:r>
      <w:r w:rsidRPr="005C0FB9">
        <w:rPr>
          <w:rFonts w:ascii="Century Schoolbook" w:hAnsi="Century Schoolbook"/>
          <w:sz w:val="26"/>
          <w:szCs w:val="26"/>
        </w:rPr>
        <w:t xml:space="preserve">We draw these facts largely from our prior published opinion in </w:t>
      </w:r>
      <w:r w:rsidRPr="005C0FB9">
        <w:rPr>
          <w:rFonts w:ascii="Century Schoolbook" w:hAnsi="Century Schoolbook"/>
          <w:i/>
          <w:sz w:val="26"/>
          <w:szCs w:val="26"/>
        </w:rPr>
        <w:t xml:space="preserve">Licudine v. Cedars-Sinai Medical Center </w:t>
      </w:r>
      <w:r w:rsidRPr="005C0FB9">
        <w:rPr>
          <w:rFonts w:ascii="Century Schoolbook" w:hAnsi="Century Schoolbook"/>
          <w:sz w:val="26"/>
          <w:szCs w:val="26"/>
        </w:rPr>
        <w:t xml:space="preserve">(2016) 3 Cal.App.5th </w:t>
      </w:r>
      <w:r w:rsidRPr="005C0FB9">
        <w:rPr>
          <w:rFonts w:ascii="Century Schoolbook" w:hAnsi="Century Schoolbook"/>
          <w:sz w:val="26"/>
          <w:szCs w:val="26"/>
        </w:rPr>
        <w:t>881 (</w:t>
      </w:r>
      <w:r w:rsidRPr="005C0FB9">
        <w:rPr>
          <w:rFonts w:ascii="Century Schoolbook" w:hAnsi="Century Schoolbook"/>
          <w:i/>
          <w:sz w:val="26"/>
          <w:szCs w:val="26"/>
        </w:rPr>
        <w:t>Licudine I</w:t>
      </w:r>
      <w:r w:rsidRPr="005C0FB9">
        <w:rPr>
          <w:rFonts w:ascii="Century Schoolbook" w:hAnsi="Century Schoolbook"/>
          <w:sz w:val="26"/>
          <w:szCs w:val="26"/>
        </w:rPr>
        <w:t>).</w:t>
      </w:r>
    </w:p>
  </w:footnote>
  <w:footnote w:id="3">
    <w:p w:rsidR="00FA0D58" w:rsidRDefault="00E40CD8">
      <w:pPr>
        <w:pStyle w:val="FootnoteText"/>
        <w:rPr>
          <w:rFonts w:ascii="Century Schoolbook" w:hAnsi="Century Schoolbook"/>
          <w:sz w:val="26"/>
          <w:szCs w:val="26"/>
        </w:rPr>
      </w:pPr>
      <w:r w:rsidRPr="0064548B">
        <w:rPr>
          <w:rStyle w:val="FootnoteReference"/>
          <w:rFonts w:ascii="Century Schoolbook" w:hAnsi="Century Schoolbook"/>
          <w:b/>
          <w:vertAlign w:val="baseline"/>
        </w:rPr>
        <w:footnoteRef/>
      </w:r>
      <w:r w:rsidRPr="0064548B">
        <w:rPr>
          <w:rFonts w:ascii="Century Schoolbook" w:hAnsi="Century Schoolbook"/>
          <w:b/>
        </w:rPr>
        <w:t xml:space="preserve"> </w:t>
      </w:r>
      <w:r w:rsidRPr="00A00DA3">
        <w:rPr>
          <w:rFonts w:ascii="Century Schoolbook" w:hAnsi="Century Schoolbook"/>
          <w:sz w:val="26"/>
          <w:szCs w:val="26"/>
        </w:rPr>
        <w:tab/>
        <w:t xml:space="preserve">While the trial court miscalculated the </w:t>
      </w:r>
      <w:r>
        <w:rPr>
          <w:rFonts w:ascii="Century Schoolbook" w:hAnsi="Century Schoolbook"/>
          <w:sz w:val="26"/>
          <w:szCs w:val="26"/>
        </w:rPr>
        <w:t xml:space="preserve">total </w:t>
      </w:r>
      <w:r w:rsidRPr="00555290">
        <w:rPr>
          <w:rFonts w:ascii="Century Schoolbook" w:hAnsi="Century Schoolbook"/>
          <w:i/>
          <w:sz w:val="26"/>
          <w:szCs w:val="26"/>
        </w:rPr>
        <w:t>unreduced</w:t>
      </w:r>
      <w:r>
        <w:rPr>
          <w:rFonts w:ascii="Century Schoolbook" w:hAnsi="Century Schoolbook"/>
          <w:sz w:val="26"/>
          <w:szCs w:val="26"/>
        </w:rPr>
        <w:t xml:space="preserve"> damages </w:t>
      </w:r>
      <w:r w:rsidRPr="00A00DA3">
        <w:rPr>
          <w:rFonts w:ascii="Century Schoolbook" w:hAnsi="Century Schoolbook"/>
          <w:sz w:val="26"/>
          <w:szCs w:val="26"/>
        </w:rPr>
        <w:t xml:space="preserve">award as $7,619,257, </w:t>
      </w:r>
      <w:r>
        <w:rPr>
          <w:rFonts w:ascii="Century Schoolbook" w:hAnsi="Century Schoolbook"/>
          <w:sz w:val="26"/>
          <w:szCs w:val="26"/>
        </w:rPr>
        <w:t>this miscalculation is of no consequence.  The court correctly calculated the total reduced damages award.</w:t>
      </w:r>
      <w:r w:rsidRPr="00A00DA3">
        <w:rPr>
          <w:rFonts w:ascii="Century Schoolbook" w:hAnsi="Century Schoolbook"/>
          <w:sz w:val="26"/>
          <w:szCs w:val="26"/>
        </w:rPr>
        <w:t xml:space="preserve"> </w:t>
      </w:r>
    </w:p>
    <w:p w:rsidR="00657F14" w:rsidRPr="00A00DA3" w:rsidRDefault="00E40CD8">
      <w:pPr>
        <w:pStyle w:val="FootnoteText"/>
        <w:rPr>
          <w:rFonts w:ascii="Century Schoolbook" w:hAnsi="Century Schoolbook"/>
          <w:sz w:val="26"/>
          <w:szCs w:val="26"/>
        </w:rPr>
      </w:pPr>
    </w:p>
  </w:footnote>
  <w:footnote w:id="4">
    <w:p w:rsidR="00212688" w:rsidRPr="00C20080" w:rsidRDefault="00E40CD8">
      <w:pPr>
        <w:pStyle w:val="FootnoteText"/>
        <w:rPr>
          <w:rFonts w:ascii="Century Schoolbook" w:hAnsi="Century Schoolbook"/>
          <w:sz w:val="26"/>
          <w:szCs w:val="26"/>
        </w:rPr>
      </w:pPr>
      <w:r w:rsidRPr="0064548B">
        <w:rPr>
          <w:rStyle w:val="FootnoteReference"/>
          <w:rFonts w:ascii="Century Schoolbook" w:hAnsi="Century Schoolbook"/>
          <w:b/>
          <w:vertAlign w:val="baseline"/>
        </w:rPr>
        <w:footnoteRef/>
      </w:r>
      <w:r w:rsidRPr="0064548B">
        <w:rPr>
          <w:b/>
        </w:rPr>
        <w:t xml:space="preserve"> </w:t>
      </w:r>
      <w:r>
        <w:tab/>
      </w:r>
      <w:r w:rsidRPr="00C20080">
        <w:rPr>
          <w:rFonts w:ascii="Century Schoolbook" w:hAnsi="Century Schoolbook"/>
          <w:sz w:val="26"/>
          <w:szCs w:val="26"/>
        </w:rPr>
        <w:t>The parties do not dispute plaintiff’s</w:t>
      </w:r>
      <w:r w:rsidRPr="00C20080">
        <w:rPr>
          <w:rFonts w:ascii="Century Schoolbook" w:hAnsi="Century Schoolbook"/>
          <w:sz w:val="26"/>
          <w:szCs w:val="26"/>
        </w:rPr>
        <w:t xml:space="preserve"> calculation of the amount of prejudgment interest. </w:t>
      </w:r>
    </w:p>
  </w:footnote>
  <w:footnote w:id="5">
    <w:p w:rsidR="00212688" w:rsidRDefault="00E40CD8">
      <w:pPr>
        <w:pStyle w:val="FootnoteText"/>
      </w:pPr>
      <w:r w:rsidRPr="000A753D">
        <w:rPr>
          <w:rStyle w:val="FootnoteReference"/>
          <w:rFonts w:ascii="Century Schoolbook" w:hAnsi="Century Schoolbook"/>
          <w:b/>
          <w:vertAlign w:val="baseline"/>
        </w:rPr>
        <w:footnoteRef/>
      </w:r>
      <w:r w:rsidRPr="000A753D">
        <w:rPr>
          <w:rFonts w:ascii="Century Schoolbook" w:hAnsi="Century Schoolbook"/>
          <w:b/>
        </w:rPr>
        <w:t xml:space="preserve"> </w:t>
      </w:r>
      <w:r>
        <w:tab/>
      </w:r>
      <w:r w:rsidRPr="00260A35">
        <w:rPr>
          <w:rFonts w:ascii="Century Schoolbook" w:hAnsi="Century Schoolbook"/>
          <w:sz w:val="26"/>
          <w:szCs w:val="26"/>
        </w:rPr>
        <w:t>For this reason, we decline Cedars’</w:t>
      </w:r>
      <w:r>
        <w:rPr>
          <w:rFonts w:ascii="Century Schoolbook" w:hAnsi="Century Schoolbook"/>
          <w:sz w:val="26"/>
          <w:szCs w:val="26"/>
        </w:rPr>
        <w:t>s</w:t>
      </w:r>
      <w:r w:rsidRPr="00260A35">
        <w:rPr>
          <w:rFonts w:ascii="Century Schoolbook" w:hAnsi="Century Schoolbook"/>
          <w:sz w:val="26"/>
          <w:szCs w:val="26"/>
        </w:rPr>
        <w:t xml:space="preserve"> invitation to erect either a rule or a presumption that any 998 offer in a malpractice lawsuit is invalid if not served at least 90 days after a pre-litigation dem</w:t>
      </w:r>
      <w:r w:rsidRPr="00260A35">
        <w:rPr>
          <w:rFonts w:ascii="Century Schoolbook" w:hAnsi="Century Schoolbook"/>
          <w:sz w:val="26"/>
          <w:szCs w:val="26"/>
        </w:rPr>
        <w:t xml:space="preserve">and pursuant to </w:t>
      </w:r>
      <w:r>
        <w:rPr>
          <w:rFonts w:ascii="Century Schoolbook" w:hAnsi="Century Schoolbook"/>
          <w:sz w:val="26"/>
          <w:szCs w:val="26"/>
        </w:rPr>
        <w:t>s</w:t>
      </w:r>
      <w:r w:rsidRPr="00260A35">
        <w:rPr>
          <w:rFonts w:ascii="Century Schoolbook" w:hAnsi="Century Schoolbook"/>
          <w:sz w:val="26"/>
          <w:szCs w:val="26"/>
        </w:rPr>
        <w:t>ection 364</w:t>
      </w:r>
      <w:r>
        <w:rPr>
          <w:rFonts w:ascii="Century Schoolbook" w:hAnsi="Century Schoolbook"/>
          <w:sz w:val="26"/>
          <w:szCs w:val="26"/>
        </w:rPr>
        <w:t xml:space="preserve"> or, absent such a demand, at least 90 days after the complaint was served.</w:t>
      </w:r>
    </w:p>
  </w:footnote>
  <w:footnote w:id="6">
    <w:p w:rsidR="00884DCF" w:rsidRPr="00B2514A" w:rsidRDefault="00E40CD8" w:rsidP="00884DCF">
      <w:pPr>
        <w:pStyle w:val="FootnoteText"/>
        <w:rPr>
          <w:rFonts w:ascii="Century Schoolbook" w:hAnsi="Century Schoolbook"/>
          <w:sz w:val="26"/>
          <w:szCs w:val="26"/>
        </w:rPr>
      </w:pPr>
      <w:r w:rsidRPr="0064548B">
        <w:rPr>
          <w:rStyle w:val="FootnoteReference"/>
          <w:rFonts w:ascii="Century Schoolbook" w:hAnsi="Century Schoolbook"/>
          <w:b/>
          <w:vertAlign w:val="baseline"/>
        </w:rPr>
        <w:footnoteRef/>
      </w:r>
      <w:r w:rsidRPr="0064548B">
        <w:rPr>
          <w:rFonts w:ascii="Century Schoolbook" w:hAnsi="Century Schoolbook"/>
          <w:b/>
        </w:rPr>
        <w:t xml:space="preserve"> </w:t>
      </w:r>
      <w:r>
        <w:tab/>
      </w:r>
      <w:r w:rsidRPr="00B2514A">
        <w:rPr>
          <w:rFonts w:ascii="Century Schoolbook" w:hAnsi="Century Schoolbook"/>
          <w:sz w:val="26"/>
          <w:szCs w:val="26"/>
        </w:rPr>
        <w:t xml:space="preserve">What is more, plaintiff’s attorney misrepresented to the trial court in a sworn affidavit that he </w:t>
      </w:r>
      <w:r w:rsidRPr="00B2514A">
        <w:rPr>
          <w:rFonts w:ascii="Century Schoolbook" w:hAnsi="Century Schoolbook"/>
          <w:i/>
          <w:sz w:val="26"/>
          <w:szCs w:val="26"/>
        </w:rPr>
        <w:t>had</w:t>
      </w:r>
      <w:r w:rsidRPr="00B2514A">
        <w:rPr>
          <w:rFonts w:ascii="Century Schoolbook" w:hAnsi="Century Schoolbook"/>
          <w:sz w:val="26"/>
          <w:szCs w:val="26"/>
        </w:rPr>
        <w:t xml:space="preserve"> filed a </w:t>
      </w:r>
      <w:r>
        <w:rPr>
          <w:rFonts w:ascii="Century Schoolbook" w:hAnsi="Century Schoolbook"/>
          <w:sz w:val="26"/>
          <w:szCs w:val="26"/>
        </w:rPr>
        <w:t>s</w:t>
      </w:r>
      <w:r w:rsidRPr="00B2514A">
        <w:rPr>
          <w:rFonts w:ascii="Century Schoolbook" w:hAnsi="Century Schoolbook"/>
          <w:sz w:val="26"/>
          <w:szCs w:val="26"/>
        </w:rPr>
        <w:t xml:space="preserve">ection 364 notice after certifying to </w:t>
      </w:r>
      <w:r w:rsidRPr="00B2514A">
        <w:rPr>
          <w:rFonts w:ascii="Century Schoolbook" w:hAnsi="Century Schoolbook"/>
          <w:sz w:val="26"/>
          <w:szCs w:val="26"/>
        </w:rPr>
        <w:t>Cedars that he had not</w:t>
      </w:r>
      <w:r>
        <w:rPr>
          <w:rFonts w:ascii="Century Schoolbook" w:hAnsi="Century Schoolbook"/>
          <w:sz w:val="26"/>
          <w:szCs w:val="26"/>
        </w:rPr>
        <w:t>.</w:t>
      </w:r>
      <w:r w:rsidRPr="00B2514A">
        <w:rPr>
          <w:rFonts w:ascii="Century Schoolbook" w:hAnsi="Century Schoolbook"/>
          <w:sz w:val="26"/>
          <w:szCs w:val="26"/>
        </w:rPr>
        <w:t xml:space="preserve"> </w:t>
      </w:r>
    </w:p>
  </w:footnote>
  <w:footnote w:id="7">
    <w:p w:rsidR="00212688" w:rsidRPr="007A32B4" w:rsidRDefault="00E40CD8">
      <w:pPr>
        <w:pStyle w:val="FootnoteText"/>
        <w:rPr>
          <w:rFonts w:ascii="Century Schoolbook" w:hAnsi="Century Schoolbook"/>
          <w:sz w:val="26"/>
          <w:szCs w:val="26"/>
        </w:rPr>
      </w:pPr>
      <w:r w:rsidRPr="00A15A78">
        <w:rPr>
          <w:rStyle w:val="FootnoteReference"/>
          <w:rFonts w:ascii="Century Schoolbook" w:hAnsi="Century Schoolbook"/>
          <w:b/>
          <w:vertAlign w:val="baseline"/>
        </w:rPr>
        <w:footnoteRef/>
      </w:r>
      <w:r w:rsidRPr="00A15A78">
        <w:rPr>
          <w:rFonts w:ascii="Century Schoolbook" w:hAnsi="Century Schoolbook"/>
          <w:b/>
        </w:rPr>
        <w:t xml:space="preserve"> </w:t>
      </w:r>
      <w:r>
        <w:tab/>
      </w:r>
      <w:r w:rsidRPr="007A32B4">
        <w:rPr>
          <w:rFonts w:ascii="Century Schoolbook" w:hAnsi="Century Schoolbook"/>
          <w:sz w:val="26"/>
          <w:szCs w:val="26"/>
        </w:rPr>
        <w:t xml:space="preserve">Thus, the parties’ debate regarding the applicability of Evidence Code section 1157, the evidentiary privilege applicable to such peer reviews, is irrelevant.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F1409"/>
    <w:multiLevelType w:val="hybridMultilevel"/>
    <w:tmpl w:val="6A74506A"/>
    <w:lvl w:ilvl="0" w:tplc="819479D4">
      <w:start w:val="1"/>
      <w:numFmt w:val="decimal"/>
      <w:lvlText w:val="%1."/>
      <w:lvlJc w:val="left"/>
      <w:pPr>
        <w:ind w:left="720" w:hanging="360"/>
      </w:pPr>
    </w:lvl>
    <w:lvl w:ilvl="1" w:tplc="56D2182A">
      <w:start w:val="1"/>
      <w:numFmt w:val="lowerLetter"/>
      <w:lvlText w:val="%2."/>
      <w:lvlJc w:val="left"/>
      <w:pPr>
        <w:ind w:left="1440" w:hanging="360"/>
      </w:pPr>
    </w:lvl>
    <w:lvl w:ilvl="2" w:tplc="782A4EEC" w:tentative="1">
      <w:start w:val="1"/>
      <w:numFmt w:val="lowerRoman"/>
      <w:lvlText w:val="%3."/>
      <w:lvlJc w:val="right"/>
      <w:pPr>
        <w:ind w:left="2160" w:hanging="180"/>
      </w:pPr>
    </w:lvl>
    <w:lvl w:ilvl="3" w:tplc="370E6CDA" w:tentative="1">
      <w:start w:val="1"/>
      <w:numFmt w:val="decimal"/>
      <w:lvlText w:val="%4."/>
      <w:lvlJc w:val="left"/>
      <w:pPr>
        <w:ind w:left="2880" w:hanging="360"/>
      </w:pPr>
    </w:lvl>
    <w:lvl w:ilvl="4" w:tplc="548E4516" w:tentative="1">
      <w:start w:val="1"/>
      <w:numFmt w:val="lowerLetter"/>
      <w:lvlText w:val="%5."/>
      <w:lvlJc w:val="left"/>
      <w:pPr>
        <w:ind w:left="3600" w:hanging="360"/>
      </w:pPr>
    </w:lvl>
    <w:lvl w:ilvl="5" w:tplc="B9F8E7CA" w:tentative="1">
      <w:start w:val="1"/>
      <w:numFmt w:val="lowerRoman"/>
      <w:lvlText w:val="%6."/>
      <w:lvlJc w:val="right"/>
      <w:pPr>
        <w:ind w:left="4320" w:hanging="180"/>
      </w:pPr>
    </w:lvl>
    <w:lvl w:ilvl="6" w:tplc="CC4AD08E" w:tentative="1">
      <w:start w:val="1"/>
      <w:numFmt w:val="decimal"/>
      <w:lvlText w:val="%7."/>
      <w:lvlJc w:val="left"/>
      <w:pPr>
        <w:ind w:left="5040" w:hanging="360"/>
      </w:pPr>
    </w:lvl>
    <w:lvl w:ilvl="7" w:tplc="9118D308" w:tentative="1">
      <w:start w:val="1"/>
      <w:numFmt w:val="lowerLetter"/>
      <w:lvlText w:val="%8."/>
      <w:lvlJc w:val="left"/>
      <w:pPr>
        <w:ind w:left="5760" w:hanging="360"/>
      </w:pPr>
    </w:lvl>
    <w:lvl w:ilvl="8" w:tplc="5F62CBC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FE"/>
    <w:rsid w:val="000A17F5"/>
    <w:rsid w:val="001606FE"/>
    <w:rsid w:val="00E40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B8E"/>
    <w:pPr>
      <w:spacing w:after="0" w:line="360" w:lineRule="auto"/>
    </w:pPr>
    <w:rPr>
      <w:rFonts w:ascii="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6D"/>
    <w:pPr>
      <w:tabs>
        <w:tab w:val="center" w:pos="4680"/>
        <w:tab w:val="right" w:pos="9360"/>
      </w:tabs>
    </w:pPr>
  </w:style>
  <w:style w:type="character" w:customStyle="1" w:styleId="HeaderChar">
    <w:name w:val="Header Char"/>
    <w:basedOn w:val="DefaultParagraphFont"/>
    <w:link w:val="Header"/>
    <w:uiPriority w:val="99"/>
    <w:rsid w:val="00786C6D"/>
    <w:rPr>
      <w:rFonts w:ascii="Times New Roman" w:hAnsi="Times New Roman" w:cs="Times New Roman"/>
      <w:sz w:val="26"/>
    </w:rPr>
  </w:style>
  <w:style w:type="paragraph" w:styleId="Footer">
    <w:name w:val="footer"/>
    <w:basedOn w:val="Normal"/>
    <w:link w:val="FooterChar"/>
    <w:uiPriority w:val="99"/>
    <w:unhideWhenUsed/>
    <w:rsid w:val="00786C6D"/>
    <w:pPr>
      <w:tabs>
        <w:tab w:val="center" w:pos="4680"/>
        <w:tab w:val="right" w:pos="9360"/>
      </w:tabs>
    </w:pPr>
  </w:style>
  <w:style w:type="character" w:customStyle="1" w:styleId="FooterChar">
    <w:name w:val="Footer Char"/>
    <w:basedOn w:val="DefaultParagraphFont"/>
    <w:link w:val="Footer"/>
    <w:uiPriority w:val="99"/>
    <w:rsid w:val="00786C6D"/>
    <w:rPr>
      <w:rFonts w:ascii="Times New Roman" w:hAnsi="Times New Roman" w:cs="Times New Roman"/>
      <w:sz w:val="26"/>
    </w:rPr>
  </w:style>
  <w:style w:type="character" w:styleId="PageNumber">
    <w:name w:val="page number"/>
    <w:basedOn w:val="DefaultParagraphFont"/>
    <w:uiPriority w:val="99"/>
    <w:semiHidden/>
    <w:unhideWhenUsed/>
    <w:rsid w:val="00786C6D"/>
  </w:style>
  <w:style w:type="paragraph" w:customStyle="1" w:styleId="Normal1">
    <w:name w:val="Normal1"/>
    <w:rsid w:val="00786C6D"/>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786C6D"/>
    <w:pPr>
      <w:pBdr>
        <w:top w:val="nil"/>
        <w:left w:val="nil"/>
        <w:bottom w:val="nil"/>
        <w:right w:val="nil"/>
        <w:between w:val="nil"/>
      </w:pBdr>
      <w:spacing w:line="240" w:lineRule="auto"/>
    </w:pPr>
    <w:rPr>
      <w:rFonts w:eastAsia="Times New Roman"/>
      <w:color w:val="000000"/>
      <w:sz w:val="20"/>
      <w:szCs w:val="20"/>
    </w:rPr>
  </w:style>
  <w:style w:type="character" w:customStyle="1" w:styleId="FootnoteTextChar">
    <w:name w:val="Footnote Text Char"/>
    <w:basedOn w:val="DefaultParagraphFont"/>
    <w:link w:val="FootnoteText"/>
    <w:uiPriority w:val="99"/>
    <w:semiHidden/>
    <w:rsid w:val="00786C6D"/>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86C6D"/>
    <w:rPr>
      <w:vertAlign w:val="superscript"/>
    </w:rPr>
  </w:style>
  <w:style w:type="character" w:styleId="PlaceholderText">
    <w:name w:val="Placeholder Text"/>
    <w:basedOn w:val="DefaultParagraphFont"/>
    <w:uiPriority w:val="99"/>
    <w:semiHidden/>
    <w:rsid w:val="00CB69E1"/>
    <w:rPr>
      <w:color w:val="808080"/>
    </w:rPr>
  </w:style>
  <w:style w:type="paragraph" w:styleId="BalloonText">
    <w:name w:val="Balloon Text"/>
    <w:basedOn w:val="Normal"/>
    <w:link w:val="BalloonTextChar"/>
    <w:uiPriority w:val="99"/>
    <w:semiHidden/>
    <w:unhideWhenUsed/>
    <w:rsid w:val="00F936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613"/>
    <w:rPr>
      <w:rFonts w:ascii="Tahoma" w:hAnsi="Tahoma" w:cs="Tahoma"/>
      <w:sz w:val="16"/>
      <w:szCs w:val="16"/>
    </w:rPr>
  </w:style>
  <w:style w:type="paragraph" w:styleId="ListParagraph">
    <w:name w:val="List Paragraph"/>
    <w:basedOn w:val="Normal"/>
    <w:uiPriority w:val="34"/>
    <w:qFormat/>
    <w:rsid w:val="000A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4359</Words>
  <Characters>22845</Characters>
  <Application>Microsoft Office Word</Application>
  <DocSecurity>0</DocSecurity>
  <Lines>568</Lines>
  <Paragraphs>107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2019-01-24T20:12:00Z</dcterms:created>
  <dcterms:modified xsi:type="dcterms:W3CDTF">2019-01-24T20:12:00Z</dcterms:modified>
  <cp:category/>
</cp:coreProperties>
</file>