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61B4C" w14:textId="47152306" w:rsidR="00DA326D" w:rsidRPr="00CC211F" w:rsidRDefault="00B24AFB" w:rsidP="00CC211F">
      <w:pPr>
        <w:rPr>
          <w:sz w:val="20"/>
          <w:szCs w:val="20"/>
        </w:rPr>
      </w:pPr>
      <w:r w:rsidRPr="00CC211F">
        <w:rPr>
          <w:sz w:val="20"/>
          <w:szCs w:val="20"/>
        </w:rPr>
        <w:t>Filed 11/1</w:t>
      </w:r>
      <w:r w:rsidRPr="00CC211F">
        <w:rPr>
          <w:sz w:val="20"/>
          <w:szCs w:val="20"/>
        </w:rPr>
        <w:t>9</w:t>
      </w:r>
      <w:r w:rsidRPr="00CC211F">
        <w:rPr>
          <w:sz w:val="20"/>
          <w:szCs w:val="20"/>
        </w:rPr>
        <w:t>/20</w:t>
      </w:r>
    </w:p>
    <w:p w14:paraId="3971D3BA" w14:textId="77777777" w:rsidR="00DA326D" w:rsidRPr="00CC211F" w:rsidRDefault="00B24AFB" w:rsidP="00CC211F"/>
    <w:p w14:paraId="5ED46B5A" w14:textId="77777777" w:rsidR="00956AB0" w:rsidRPr="00956AB0" w:rsidRDefault="00B24AFB" w:rsidP="00CC211F">
      <w:pPr>
        <w:jc w:val="center"/>
      </w:pPr>
      <w:r w:rsidRPr="00956AB0">
        <w:t>CERTIFIED FOR PUBLICATION</w:t>
      </w:r>
    </w:p>
    <w:p w14:paraId="162731F1" w14:textId="77777777" w:rsidR="00956AB0" w:rsidRPr="00956AB0" w:rsidRDefault="00B24AFB" w:rsidP="00956AB0">
      <w:pPr>
        <w:pStyle w:val="paragraph"/>
        <w:spacing w:before="0" w:beforeAutospacing="0" w:after="0" w:afterAutospacing="0" w:line="288" w:lineRule="auto"/>
        <w:contextualSpacing/>
        <w:jc w:val="center"/>
        <w:textAlignment w:val="baseline"/>
        <w:rPr>
          <w:rStyle w:val="normaltextrun"/>
          <w:rFonts w:ascii="Century Schoolbook" w:hAnsi="Century Schoolbook"/>
          <w:caps/>
          <w:sz w:val="26"/>
          <w:szCs w:val="26"/>
        </w:rPr>
      </w:pPr>
    </w:p>
    <w:p w14:paraId="78B3A0A5" w14:textId="77777777" w:rsidR="00DA326D" w:rsidRPr="00956AB0" w:rsidRDefault="00B24AFB" w:rsidP="00956AB0">
      <w:pPr>
        <w:pStyle w:val="paragraph"/>
        <w:spacing w:before="0" w:beforeAutospacing="0" w:after="0" w:afterAutospacing="0" w:line="288" w:lineRule="auto"/>
        <w:contextualSpacing/>
        <w:jc w:val="center"/>
        <w:textAlignment w:val="baseline"/>
        <w:rPr>
          <w:rStyle w:val="normaltextrun"/>
          <w:rFonts w:ascii="Century Schoolbook" w:hAnsi="Century Schoolbook"/>
          <w:caps/>
          <w:sz w:val="26"/>
          <w:szCs w:val="26"/>
        </w:rPr>
      </w:pPr>
      <w:r w:rsidRPr="00956AB0">
        <w:rPr>
          <w:rStyle w:val="normaltextrun"/>
          <w:rFonts w:ascii="Century Schoolbook" w:hAnsi="Century Schoolbook"/>
          <w:caps/>
          <w:sz w:val="26"/>
          <w:szCs w:val="26"/>
        </w:rPr>
        <w:t>IN THE COURT OF APPEAL OF THE STATE OF CALIFORNIA</w:t>
      </w:r>
    </w:p>
    <w:p w14:paraId="1E26DFB1" w14:textId="77777777" w:rsidR="00493AB4" w:rsidRPr="00956AB0" w:rsidRDefault="00B24AFB" w:rsidP="00956AB0">
      <w:pPr>
        <w:pStyle w:val="paragraph"/>
        <w:spacing w:before="0" w:beforeAutospacing="0" w:after="0" w:afterAutospacing="0" w:line="288" w:lineRule="auto"/>
        <w:contextualSpacing/>
        <w:jc w:val="center"/>
        <w:textAlignment w:val="baseline"/>
        <w:rPr>
          <w:rFonts w:ascii="Century Schoolbook" w:hAnsi="Century Schoolbook" w:cs="Segoe UI"/>
          <w:sz w:val="26"/>
          <w:szCs w:val="26"/>
        </w:rPr>
      </w:pPr>
    </w:p>
    <w:p w14:paraId="5460459E" w14:textId="77777777" w:rsidR="00DA326D" w:rsidRPr="00956AB0" w:rsidRDefault="00B24AFB" w:rsidP="00956AB0">
      <w:pPr>
        <w:pStyle w:val="paragraph"/>
        <w:spacing w:before="0" w:beforeAutospacing="0" w:after="0" w:afterAutospacing="0" w:line="288" w:lineRule="auto"/>
        <w:contextualSpacing/>
        <w:jc w:val="center"/>
        <w:textAlignment w:val="baseline"/>
        <w:rPr>
          <w:rStyle w:val="eop"/>
          <w:rFonts w:ascii="Century Schoolbook" w:eastAsia="Calibri" w:hAnsi="Century Schoolbook" w:cs="Segoe UI"/>
          <w:sz w:val="26"/>
          <w:szCs w:val="26"/>
        </w:rPr>
      </w:pPr>
      <w:r w:rsidRPr="00956AB0">
        <w:rPr>
          <w:rStyle w:val="normaltextrun"/>
          <w:rFonts w:ascii="Century Schoolbook" w:hAnsi="Century Schoolbook"/>
          <w:caps/>
          <w:sz w:val="26"/>
          <w:szCs w:val="26"/>
        </w:rPr>
        <w:t>SECOND APPELLATE DISTRICT</w:t>
      </w:r>
      <w:r w:rsidRPr="00956AB0">
        <w:rPr>
          <w:rStyle w:val="eop"/>
          <w:rFonts w:ascii="Century Schoolbook" w:eastAsia="Calibri" w:hAnsi="Century Schoolbook" w:cs="Segoe UI"/>
          <w:sz w:val="26"/>
          <w:szCs w:val="26"/>
        </w:rPr>
        <w:t> </w:t>
      </w:r>
    </w:p>
    <w:p w14:paraId="0C5BA0B5" w14:textId="77777777" w:rsidR="00493AB4" w:rsidRPr="00956AB0" w:rsidRDefault="00B24AFB" w:rsidP="00956AB0">
      <w:pPr>
        <w:pStyle w:val="paragraph"/>
        <w:spacing w:before="0" w:beforeAutospacing="0" w:after="0" w:afterAutospacing="0" w:line="288" w:lineRule="auto"/>
        <w:contextualSpacing/>
        <w:jc w:val="center"/>
        <w:textAlignment w:val="baseline"/>
        <w:rPr>
          <w:rFonts w:ascii="Century Schoolbook" w:hAnsi="Century Schoolbook" w:cs="Segoe UI"/>
          <w:sz w:val="26"/>
          <w:szCs w:val="26"/>
        </w:rPr>
      </w:pPr>
    </w:p>
    <w:p w14:paraId="3230FF38" w14:textId="77777777" w:rsidR="00DA326D" w:rsidRPr="00956AB0" w:rsidRDefault="00B24AFB" w:rsidP="00956AB0">
      <w:pPr>
        <w:pStyle w:val="paragraph"/>
        <w:spacing w:before="0" w:beforeAutospacing="0" w:after="0" w:afterAutospacing="0" w:line="288" w:lineRule="auto"/>
        <w:contextualSpacing/>
        <w:jc w:val="center"/>
        <w:textAlignment w:val="baseline"/>
        <w:rPr>
          <w:rFonts w:ascii="Century Schoolbook" w:hAnsi="Century Schoolbook" w:cs="Segoe UI"/>
          <w:sz w:val="26"/>
          <w:szCs w:val="26"/>
        </w:rPr>
      </w:pPr>
      <w:r w:rsidRPr="00956AB0">
        <w:rPr>
          <w:rStyle w:val="normaltextrun"/>
          <w:rFonts w:ascii="Century Schoolbook" w:hAnsi="Century Schoolbook"/>
          <w:caps/>
          <w:sz w:val="26"/>
          <w:szCs w:val="26"/>
        </w:rPr>
        <w:t>DIVISION FOUR</w:t>
      </w:r>
      <w:r w:rsidRPr="00956AB0">
        <w:rPr>
          <w:rStyle w:val="eop"/>
          <w:rFonts w:ascii="Century Schoolbook" w:eastAsia="Calibri" w:hAnsi="Century Schoolbook" w:cs="Segoe UI"/>
          <w:sz w:val="26"/>
          <w:szCs w:val="26"/>
        </w:rPr>
        <w:t> </w:t>
      </w:r>
    </w:p>
    <w:p w14:paraId="1CBBDB6A" w14:textId="77777777" w:rsidR="00E74404" w:rsidRPr="00956AB0" w:rsidRDefault="00B24AFB" w:rsidP="00D759B0">
      <w:pPr>
        <w:jc w:val="center"/>
        <w:rPr>
          <w:rFonts w:cs="Calibri"/>
          <w:b/>
          <w:bCs/>
          <w:szCs w:val="26"/>
          <w:u w:val="single"/>
        </w:rPr>
      </w:pPr>
    </w:p>
    <w:tbl>
      <w:tblP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8"/>
        <w:gridCol w:w="3472"/>
      </w:tblGrid>
      <w:tr w:rsidR="00B74A3F" w14:paraId="681235B2" w14:textId="77777777" w:rsidTr="00E74404">
        <w:trPr>
          <w:trHeight w:val="5295"/>
        </w:trPr>
        <w:tc>
          <w:tcPr>
            <w:tcW w:w="2955" w:type="pct"/>
            <w:tcBorders>
              <w:top w:val="nil"/>
              <w:left w:val="nil"/>
            </w:tcBorders>
          </w:tcPr>
          <w:p w14:paraId="6DDD43B4" w14:textId="33205356" w:rsidR="0010129C" w:rsidRPr="00956AB0" w:rsidRDefault="00B24AFB" w:rsidP="0010129C">
            <w:pPr>
              <w:tabs>
                <w:tab w:val="left" w:pos="547"/>
              </w:tabs>
              <w:spacing w:before="120" w:after="240" w:line="320" w:lineRule="exact"/>
              <w:rPr>
                <w:rFonts w:eastAsia="Times New Roman"/>
                <w:kern w:val="2"/>
                <w:szCs w:val="26"/>
              </w:rPr>
            </w:pPr>
            <w:r w:rsidRPr="00956AB0">
              <w:rPr>
                <w:rFonts w:eastAsia="Times New Roman"/>
                <w:kern w:val="2"/>
                <w:szCs w:val="26"/>
              </w:rPr>
              <w:t>THE PEOPLE</w:t>
            </w:r>
            <w:r w:rsidRPr="00956AB0">
              <w:rPr>
                <w:rFonts w:eastAsia="Times New Roman"/>
                <w:kern w:val="2"/>
                <w:szCs w:val="26"/>
              </w:rPr>
              <w:t>,</w:t>
            </w:r>
          </w:p>
          <w:p w14:paraId="5C7B3432" w14:textId="77777777" w:rsidR="0010129C" w:rsidRPr="00956AB0" w:rsidRDefault="00B24AFB" w:rsidP="0010129C">
            <w:pPr>
              <w:tabs>
                <w:tab w:val="left" w:pos="547"/>
              </w:tabs>
              <w:spacing w:after="240" w:line="320" w:lineRule="exact"/>
              <w:rPr>
                <w:rFonts w:eastAsia="Times New Roman"/>
                <w:kern w:val="2"/>
                <w:szCs w:val="26"/>
              </w:rPr>
            </w:pPr>
            <w:r w:rsidRPr="00956AB0">
              <w:rPr>
                <w:rFonts w:eastAsia="Times New Roman"/>
                <w:kern w:val="2"/>
                <w:szCs w:val="26"/>
              </w:rPr>
              <w:tab/>
            </w:r>
            <w:r w:rsidRPr="00956AB0">
              <w:rPr>
                <w:rFonts w:eastAsia="Times New Roman"/>
                <w:kern w:val="2"/>
                <w:szCs w:val="26"/>
              </w:rPr>
              <w:t>Petitioner</w:t>
            </w:r>
            <w:r w:rsidRPr="00956AB0">
              <w:rPr>
                <w:rFonts w:eastAsia="Times New Roman"/>
                <w:kern w:val="2"/>
                <w:szCs w:val="26"/>
              </w:rPr>
              <w:t>,</w:t>
            </w:r>
          </w:p>
          <w:p w14:paraId="7D8E39E7" w14:textId="77777777" w:rsidR="0010129C" w:rsidRPr="00956AB0" w:rsidRDefault="00B24AFB" w:rsidP="0010129C">
            <w:pPr>
              <w:tabs>
                <w:tab w:val="left" w:pos="547"/>
              </w:tabs>
              <w:spacing w:after="240" w:line="320" w:lineRule="exact"/>
              <w:rPr>
                <w:rFonts w:eastAsia="Times New Roman"/>
                <w:kern w:val="2"/>
                <w:szCs w:val="26"/>
              </w:rPr>
            </w:pPr>
            <w:r w:rsidRPr="00956AB0">
              <w:rPr>
                <w:rFonts w:eastAsia="Times New Roman"/>
                <w:kern w:val="2"/>
                <w:szCs w:val="26"/>
              </w:rPr>
              <w:tab/>
              <w:t>v.</w:t>
            </w:r>
          </w:p>
          <w:p w14:paraId="545047A8" w14:textId="273E63A0" w:rsidR="0010129C" w:rsidRPr="00956AB0" w:rsidRDefault="003467D7" w:rsidP="0010129C">
            <w:pPr>
              <w:tabs>
                <w:tab w:val="left" w:pos="547"/>
              </w:tabs>
              <w:spacing w:after="240" w:line="320" w:lineRule="exact"/>
              <w:rPr>
                <w:rFonts w:eastAsia="Times New Roman"/>
                <w:kern w:val="2"/>
                <w:szCs w:val="26"/>
              </w:rPr>
            </w:pPr>
            <w:r>
              <w:rPr>
                <w:rFonts w:eastAsia="Times New Roman"/>
                <w:kern w:val="2"/>
                <w:szCs w:val="26"/>
              </w:rPr>
              <w:t xml:space="preserve">THE </w:t>
            </w:r>
            <w:r w:rsidR="00B24AFB" w:rsidRPr="00956AB0">
              <w:rPr>
                <w:rFonts w:eastAsia="Times New Roman"/>
                <w:kern w:val="2"/>
                <w:szCs w:val="26"/>
              </w:rPr>
              <w:t>SUPERIOR COURT OF LOS ANGELES COUNTY,</w:t>
            </w:r>
          </w:p>
          <w:p w14:paraId="26D9D1DF" w14:textId="27D25B9E" w:rsidR="0010129C" w:rsidRPr="00956AB0" w:rsidRDefault="00B24AFB" w:rsidP="0010129C">
            <w:pPr>
              <w:tabs>
                <w:tab w:val="left" w:pos="547"/>
              </w:tabs>
              <w:spacing w:after="240" w:line="320" w:lineRule="exact"/>
              <w:rPr>
                <w:rFonts w:eastAsia="Times New Roman"/>
                <w:kern w:val="2"/>
                <w:szCs w:val="26"/>
              </w:rPr>
            </w:pPr>
            <w:r w:rsidRPr="00956AB0">
              <w:rPr>
                <w:rFonts w:eastAsia="Times New Roman"/>
                <w:kern w:val="2"/>
                <w:szCs w:val="26"/>
              </w:rPr>
              <w:tab/>
            </w:r>
            <w:r w:rsidRPr="00956AB0">
              <w:rPr>
                <w:rFonts w:eastAsia="Times New Roman"/>
                <w:kern w:val="2"/>
                <w:szCs w:val="26"/>
              </w:rPr>
              <w:t>Respondent</w:t>
            </w:r>
            <w:r w:rsidR="003467D7">
              <w:rPr>
                <w:rFonts w:eastAsia="Times New Roman"/>
                <w:kern w:val="2"/>
                <w:szCs w:val="26"/>
              </w:rPr>
              <w:t>;</w:t>
            </w:r>
          </w:p>
          <w:p w14:paraId="0D5529B0" w14:textId="18B19445" w:rsidR="00B42C6C" w:rsidRPr="00956AB0" w:rsidRDefault="00B24AFB" w:rsidP="0010129C">
            <w:pPr>
              <w:tabs>
                <w:tab w:val="left" w:pos="547"/>
              </w:tabs>
              <w:spacing w:after="240" w:line="320" w:lineRule="exact"/>
              <w:rPr>
                <w:rFonts w:eastAsia="Times New Roman"/>
                <w:kern w:val="2"/>
                <w:szCs w:val="26"/>
              </w:rPr>
            </w:pPr>
            <w:r w:rsidRPr="00956AB0">
              <w:rPr>
                <w:rFonts w:eastAsia="Times New Roman"/>
                <w:kern w:val="2"/>
                <w:szCs w:val="26"/>
              </w:rPr>
              <w:t>CAL CARTAGE</w:t>
            </w:r>
            <w:r w:rsidRPr="00956AB0">
              <w:rPr>
                <w:rFonts w:eastAsia="Times New Roman"/>
                <w:kern w:val="2"/>
                <w:szCs w:val="26"/>
              </w:rPr>
              <w:t xml:space="preserve"> </w:t>
            </w:r>
            <w:r w:rsidRPr="00956AB0">
              <w:rPr>
                <w:rFonts w:eastAsia="Times New Roman"/>
                <w:kern w:val="2"/>
                <w:szCs w:val="26"/>
              </w:rPr>
              <w:t>TRANSPORTATION EXPRESS</w:t>
            </w:r>
            <w:r w:rsidR="003467D7">
              <w:rPr>
                <w:rFonts w:eastAsia="Times New Roman"/>
                <w:kern w:val="2"/>
                <w:szCs w:val="26"/>
              </w:rPr>
              <w:t>,</w:t>
            </w:r>
            <w:r w:rsidRPr="00956AB0">
              <w:rPr>
                <w:rFonts w:eastAsia="Times New Roman"/>
                <w:kern w:val="2"/>
                <w:szCs w:val="26"/>
              </w:rPr>
              <w:t xml:space="preserve"> LLC</w:t>
            </w:r>
            <w:r w:rsidRPr="00956AB0">
              <w:rPr>
                <w:rFonts w:eastAsia="Times New Roman"/>
                <w:kern w:val="2"/>
                <w:szCs w:val="26"/>
              </w:rPr>
              <w:t>,</w:t>
            </w:r>
            <w:r w:rsidRPr="00956AB0">
              <w:rPr>
                <w:rFonts w:eastAsia="Times New Roman"/>
                <w:kern w:val="2"/>
                <w:szCs w:val="26"/>
              </w:rPr>
              <w:t xml:space="preserve"> et al.,</w:t>
            </w:r>
          </w:p>
          <w:p w14:paraId="172CF7F7" w14:textId="77777777" w:rsidR="00B42C6C" w:rsidRPr="00956AB0" w:rsidRDefault="00B24AFB" w:rsidP="00B42C6C">
            <w:pPr>
              <w:tabs>
                <w:tab w:val="left" w:pos="547"/>
              </w:tabs>
              <w:spacing w:after="240" w:line="320" w:lineRule="exact"/>
              <w:ind w:left="615"/>
              <w:rPr>
                <w:rFonts w:eastAsia="Times New Roman"/>
                <w:kern w:val="2"/>
                <w:szCs w:val="26"/>
              </w:rPr>
            </w:pPr>
            <w:r w:rsidRPr="00956AB0">
              <w:rPr>
                <w:rFonts w:eastAsia="Times New Roman"/>
                <w:kern w:val="2"/>
                <w:szCs w:val="26"/>
              </w:rPr>
              <w:t>Real Parties in Interest.</w:t>
            </w:r>
          </w:p>
        </w:tc>
        <w:tc>
          <w:tcPr>
            <w:tcW w:w="2045" w:type="pct"/>
            <w:tcBorders>
              <w:top w:val="nil"/>
              <w:bottom w:val="nil"/>
              <w:right w:val="nil"/>
            </w:tcBorders>
          </w:tcPr>
          <w:p w14:paraId="33318CF5" w14:textId="77777777" w:rsidR="0010129C" w:rsidRPr="00956AB0" w:rsidRDefault="00B24AFB" w:rsidP="0010129C">
            <w:pPr>
              <w:tabs>
                <w:tab w:val="left" w:pos="1962"/>
              </w:tabs>
              <w:spacing w:before="120" w:after="240" w:line="320" w:lineRule="exact"/>
              <w:ind w:left="346"/>
              <w:rPr>
                <w:rFonts w:eastAsia="Times New Roman"/>
                <w:kern w:val="2"/>
                <w:szCs w:val="26"/>
              </w:rPr>
            </w:pPr>
            <w:r w:rsidRPr="00956AB0">
              <w:rPr>
                <w:rFonts w:eastAsia="Times New Roman"/>
                <w:kern w:val="2"/>
                <w:szCs w:val="26"/>
              </w:rPr>
              <w:t>B</w:t>
            </w:r>
            <w:r w:rsidRPr="00956AB0">
              <w:rPr>
                <w:rFonts w:eastAsia="Times New Roman"/>
                <w:kern w:val="2"/>
                <w:szCs w:val="26"/>
              </w:rPr>
              <w:t>304240</w:t>
            </w:r>
          </w:p>
          <w:p w14:paraId="0EF95EC2" w14:textId="77777777" w:rsidR="0010129C" w:rsidRPr="00956AB0" w:rsidRDefault="00B24AFB" w:rsidP="0010129C">
            <w:pPr>
              <w:tabs>
                <w:tab w:val="left" w:pos="1962"/>
              </w:tabs>
              <w:spacing w:line="320" w:lineRule="exact"/>
              <w:ind w:left="342"/>
              <w:rPr>
                <w:rFonts w:eastAsia="Times New Roman"/>
                <w:kern w:val="2"/>
                <w:szCs w:val="26"/>
              </w:rPr>
            </w:pPr>
            <w:r w:rsidRPr="00956AB0">
              <w:rPr>
                <w:rFonts w:eastAsia="Times New Roman"/>
                <w:kern w:val="2"/>
                <w:szCs w:val="26"/>
              </w:rPr>
              <w:t>(Los Angeles County</w:t>
            </w:r>
          </w:p>
          <w:p w14:paraId="0FB50475" w14:textId="77777777" w:rsidR="0010129C" w:rsidRPr="00956AB0" w:rsidRDefault="00B24AFB" w:rsidP="0010129C">
            <w:pPr>
              <w:tabs>
                <w:tab w:val="left" w:pos="1962"/>
              </w:tabs>
              <w:spacing w:after="240" w:line="320" w:lineRule="exact"/>
              <w:ind w:left="346"/>
              <w:rPr>
                <w:rFonts w:eastAsia="Times New Roman"/>
                <w:kern w:val="2"/>
                <w:szCs w:val="26"/>
              </w:rPr>
            </w:pPr>
            <w:r w:rsidRPr="00956AB0">
              <w:rPr>
                <w:rFonts w:eastAsia="Times New Roman"/>
                <w:kern w:val="2"/>
                <w:szCs w:val="26"/>
              </w:rPr>
              <w:t>Super. Ct. No</w:t>
            </w:r>
            <w:r w:rsidRPr="00956AB0">
              <w:rPr>
                <w:rFonts w:eastAsia="Times New Roman"/>
                <w:kern w:val="2"/>
                <w:szCs w:val="26"/>
              </w:rPr>
              <w:t>s</w:t>
            </w:r>
            <w:r w:rsidRPr="00956AB0">
              <w:rPr>
                <w:rFonts w:eastAsia="Times New Roman"/>
                <w:kern w:val="2"/>
                <w:szCs w:val="26"/>
              </w:rPr>
              <w:t xml:space="preserve">. </w:t>
            </w:r>
            <w:r w:rsidRPr="00956AB0">
              <w:rPr>
                <w:rFonts w:eastAsia="Times New Roman"/>
                <w:kern w:val="2"/>
                <w:szCs w:val="26"/>
              </w:rPr>
              <w:t>B</w:t>
            </w:r>
            <w:r w:rsidRPr="00956AB0">
              <w:rPr>
                <w:rFonts w:eastAsia="Times New Roman"/>
                <w:kern w:val="2"/>
                <w:szCs w:val="26"/>
              </w:rPr>
              <w:t>C689320, BC689321, BC689322</w:t>
            </w:r>
            <w:r w:rsidRPr="00956AB0">
              <w:rPr>
                <w:rFonts w:eastAsia="Times New Roman"/>
                <w:kern w:val="2"/>
                <w:szCs w:val="26"/>
              </w:rPr>
              <w:t>)</w:t>
            </w:r>
          </w:p>
          <w:p w14:paraId="2E78B706" w14:textId="77777777" w:rsidR="0010129C" w:rsidRPr="00956AB0" w:rsidRDefault="00B24AFB" w:rsidP="0010129C">
            <w:pPr>
              <w:tabs>
                <w:tab w:val="left" w:pos="1962"/>
              </w:tabs>
              <w:spacing w:before="360" w:after="240" w:line="320" w:lineRule="exact"/>
              <w:ind w:left="346"/>
              <w:rPr>
                <w:rFonts w:eastAsia="Times New Roman"/>
                <w:b/>
                <w:kern w:val="2"/>
                <w:szCs w:val="26"/>
              </w:rPr>
            </w:pPr>
          </w:p>
        </w:tc>
      </w:tr>
    </w:tbl>
    <w:p w14:paraId="1DA2E9AC" w14:textId="77777777" w:rsidR="00F8606C" w:rsidRPr="00956AB0" w:rsidRDefault="00B24AFB" w:rsidP="00E74404">
      <w:pPr>
        <w:spacing w:before="480"/>
        <w:ind w:firstLine="720"/>
        <w:rPr>
          <w:rFonts w:eastAsia="Times New Roman"/>
          <w:kern w:val="2"/>
          <w:szCs w:val="26"/>
        </w:rPr>
      </w:pPr>
      <w:r w:rsidRPr="00956AB0">
        <w:rPr>
          <w:rFonts w:eastAsia="Times New Roman"/>
          <w:kern w:val="2"/>
          <w:szCs w:val="26"/>
        </w:rPr>
        <w:t>ORIGINAL PROCEEDINGS; petition for writ of mandate. William F. Highberger</w:t>
      </w:r>
      <w:r w:rsidRPr="00956AB0">
        <w:rPr>
          <w:rFonts w:eastAsia="Times New Roman"/>
          <w:kern w:val="2"/>
          <w:szCs w:val="26"/>
        </w:rPr>
        <w:t xml:space="preserve">, Judge. </w:t>
      </w:r>
      <w:r w:rsidRPr="00956AB0">
        <w:rPr>
          <w:rFonts w:eastAsia="Times New Roman"/>
          <w:kern w:val="2"/>
          <w:szCs w:val="26"/>
        </w:rPr>
        <w:t>Petition granted.</w:t>
      </w:r>
    </w:p>
    <w:p w14:paraId="0DEB3691" w14:textId="77777777" w:rsidR="00330919" w:rsidRPr="00956AB0" w:rsidRDefault="00B24AFB" w:rsidP="00995882">
      <w:pPr>
        <w:ind w:firstLine="720"/>
        <w:rPr>
          <w:rFonts w:eastAsia="Times New Roman"/>
          <w:kern w:val="2"/>
          <w:szCs w:val="26"/>
        </w:rPr>
      </w:pPr>
      <w:r w:rsidRPr="00956AB0">
        <w:rPr>
          <w:rFonts w:eastAsia="Times New Roman"/>
          <w:kern w:val="2"/>
          <w:szCs w:val="26"/>
        </w:rPr>
        <w:t>Office of the Los Angeles City Attorney, Michael N. Feuer, Kathleen A. Kenealy, Michael J. Bostrom, Danie</w:t>
      </w:r>
      <w:r w:rsidRPr="00956AB0">
        <w:rPr>
          <w:rFonts w:eastAsia="Times New Roman"/>
          <w:kern w:val="2"/>
          <w:szCs w:val="26"/>
        </w:rPr>
        <w:t>lle</w:t>
      </w:r>
      <w:r w:rsidRPr="00956AB0">
        <w:rPr>
          <w:rFonts w:eastAsia="Times New Roman"/>
          <w:kern w:val="2"/>
          <w:szCs w:val="26"/>
        </w:rPr>
        <w:t xml:space="preserve"> L. Goldstein, </w:t>
      </w:r>
      <w:r w:rsidRPr="00956AB0">
        <w:rPr>
          <w:rFonts w:eastAsia="Times New Roman"/>
          <w:kern w:val="2"/>
          <w:szCs w:val="26"/>
        </w:rPr>
        <w:t xml:space="preserve">and </w:t>
      </w:r>
      <w:r w:rsidRPr="00956AB0">
        <w:rPr>
          <w:rFonts w:eastAsia="Times New Roman"/>
          <w:kern w:val="2"/>
          <w:szCs w:val="26"/>
        </w:rPr>
        <w:t>Christopher S. Munsey</w:t>
      </w:r>
      <w:r w:rsidRPr="00956AB0">
        <w:rPr>
          <w:rFonts w:eastAsia="Times New Roman"/>
          <w:kern w:val="2"/>
          <w:szCs w:val="26"/>
        </w:rPr>
        <w:t xml:space="preserve"> </w:t>
      </w:r>
      <w:r w:rsidRPr="00956AB0">
        <w:rPr>
          <w:rFonts w:eastAsia="Times New Roman"/>
          <w:kern w:val="2"/>
          <w:szCs w:val="26"/>
        </w:rPr>
        <w:t>for Petitioner.</w:t>
      </w:r>
    </w:p>
    <w:p w14:paraId="13990C4E" w14:textId="77777777" w:rsidR="00227A05" w:rsidRPr="00956AB0" w:rsidRDefault="00B24AFB" w:rsidP="00995882">
      <w:pPr>
        <w:ind w:firstLine="720"/>
        <w:rPr>
          <w:rFonts w:eastAsia="Times New Roman"/>
          <w:kern w:val="2"/>
          <w:szCs w:val="26"/>
        </w:rPr>
      </w:pPr>
      <w:r w:rsidRPr="00956AB0">
        <w:rPr>
          <w:rFonts w:eastAsia="Times New Roman"/>
          <w:kern w:val="2"/>
          <w:szCs w:val="26"/>
        </w:rPr>
        <w:t>Gibson, Dunn &amp; Crutcher, Joshua S. Lipshutz, Christopher D. Dusseault, Mi</w:t>
      </w:r>
      <w:r w:rsidRPr="00956AB0">
        <w:rPr>
          <w:rFonts w:eastAsia="Times New Roman"/>
          <w:kern w:val="2"/>
          <w:szCs w:val="26"/>
        </w:rPr>
        <w:t>chele L. Maryott, Dhananjay S. Manthripragada for Cal Cartage Transportation Express, LLC, K&amp;R Transportation California, LLC, and CMI Transportation, LLC.</w:t>
      </w:r>
    </w:p>
    <w:p w14:paraId="7179C594" w14:textId="77777777" w:rsidR="000C2DED" w:rsidRPr="00956AB0" w:rsidRDefault="00B24AFB" w:rsidP="00995882">
      <w:pPr>
        <w:ind w:firstLine="720"/>
        <w:rPr>
          <w:rFonts w:eastAsia="Times New Roman"/>
          <w:kern w:val="2"/>
          <w:szCs w:val="26"/>
        </w:rPr>
      </w:pPr>
      <w:r w:rsidRPr="00956AB0">
        <w:rPr>
          <w:rFonts w:eastAsia="Times New Roman"/>
          <w:kern w:val="2"/>
          <w:szCs w:val="26"/>
        </w:rPr>
        <w:lastRenderedPageBreak/>
        <w:t>Scopelitis, Garvin, Light, Hanson &amp; Feary, Christopher C. McNatt, Jr. for CCX2931, LLC, CM2931, LLC,</w:t>
      </w:r>
      <w:r w:rsidRPr="00956AB0">
        <w:rPr>
          <w:rFonts w:eastAsia="Times New Roman"/>
          <w:kern w:val="2"/>
          <w:szCs w:val="26"/>
        </w:rPr>
        <w:t xml:space="preserve"> and KRT2931, LLC.</w:t>
      </w:r>
    </w:p>
    <w:p w14:paraId="679DB646" w14:textId="77777777" w:rsidR="00CB22BD" w:rsidRPr="00956AB0" w:rsidRDefault="00B24AFB" w:rsidP="00995882">
      <w:pPr>
        <w:ind w:firstLine="720"/>
        <w:rPr>
          <w:rFonts w:eastAsia="Times New Roman"/>
          <w:kern w:val="2"/>
          <w:szCs w:val="26"/>
        </w:rPr>
      </w:pPr>
      <w:r w:rsidRPr="00956AB0">
        <w:rPr>
          <w:rFonts w:eastAsia="Times New Roman"/>
          <w:kern w:val="2"/>
          <w:szCs w:val="26"/>
        </w:rPr>
        <w:t>Altshuler Berzon, Stacey Leyton and Andrew Kushner for International Brotherhood of Teamsters as Amicus Curiae on behalf of Petitioner.</w:t>
      </w:r>
    </w:p>
    <w:p w14:paraId="286690D8" w14:textId="77777777" w:rsidR="00252E1B" w:rsidRPr="00956AB0" w:rsidRDefault="00B24AFB" w:rsidP="00995882">
      <w:pPr>
        <w:ind w:firstLine="720"/>
        <w:rPr>
          <w:rFonts w:eastAsia="Times New Roman"/>
          <w:kern w:val="2"/>
          <w:szCs w:val="26"/>
        </w:rPr>
      </w:pPr>
      <w:r w:rsidRPr="00956AB0">
        <w:rPr>
          <w:rFonts w:eastAsia="Times New Roman"/>
          <w:kern w:val="2"/>
          <w:szCs w:val="26"/>
        </w:rPr>
        <w:t>Xavier Becerra, Attorney General, Thomas S. Patterson Senior Assistant Attorney General, Tamar Pachte</w:t>
      </w:r>
      <w:r w:rsidRPr="00956AB0">
        <w:rPr>
          <w:rFonts w:eastAsia="Times New Roman"/>
          <w:kern w:val="2"/>
          <w:szCs w:val="26"/>
        </w:rPr>
        <w:t>r, and Jose A. Zelidon-Zepeda, Deputy Attorney</w:t>
      </w:r>
      <w:r w:rsidRPr="00956AB0">
        <w:rPr>
          <w:rFonts w:eastAsia="Times New Roman"/>
          <w:kern w:val="2"/>
          <w:szCs w:val="26"/>
        </w:rPr>
        <w:t>s</w:t>
      </w:r>
      <w:r w:rsidRPr="00956AB0">
        <w:rPr>
          <w:rFonts w:eastAsia="Times New Roman"/>
          <w:kern w:val="2"/>
          <w:szCs w:val="26"/>
        </w:rPr>
        <w:t xml:space="preserve"> General for the Attorney General of California as Amicus Curiae</w:t>
      </w:r>
      <w:r w:rsidRPr="00956AB0">
        <w:rPr>
          <w:rFonts w:eastAsia="Times New Roman"/>
          <w:kern w:val="2"/>
          <w:szCs w:val="26"/>
        </w:rPr>
        <w:t xml:space="preserve"> on behalf of Petitioner</w:t>
      </w:r>
      <w:r w:rsidRPr="00956AB0">
        <w:rPr>
          <w:rFonts w:eastAsia="Times New Roman"/>
          <w:kern w:val="2"/>
          <w:szCs w:val="26"/>
        </w:rPr>
        <w:t>.</w:t>
      </w:r>
    </w:p>
    <w:p w14:paraId="01CF7A27" w14:textId="77777777" w:rsidR="00252E1B" w:rsidRPr="00956AB0" w:rsidRDefault="00B24AFB" w:rsidP="00995882">
      <w:pPr>
        <w:ind w:firstLine="720"/>
        <w:rPr>
          <w:rFonts w:eastAsia="Times New Roman"/>
          <w:kern w:val="2"/>
          <w:szCs w:val="26"/>
        </w:rPr>
      </w:pPr>
      <w:r w:rsidRPr="00956AB0">
        <w:rPr>
          <w:rFonts w:eastAsia="Times New Roman"/>
          <w:kern w:val="2"/>
          <w:szCs w:val="26"/>
        </w:rPr>
        <w:t>Barbara J. Parker, Oakland City Attorney, Maria Bee, Erin Bernstein, Malia McPherson, and Nicholas DeFiesta for City of</w:t>
      </w:r>
      <w:r w:rsidRPr="00956AB0">
        <w:rPr>
          <w:rFonts w:eastAsia="Times New Roman"/>
          <w:kern w:val="2"/>
          <w:szCs w:val="26"/>
        </w:rPr>
        <w:t xml:space="preserve"> Oakland as Amicus Curiae on behalf of Petitioner.</w:t>
      </w:r>
    </w:p>
    <w:p w14:paraId="0F8DC8D1" w14:textId="77777777" w:rsidR="00491F8B" w:rsidRPr="00956AB0" w:rsidRDefault="00B24AFB" w:rsidP="00995882">
      <w:pPr>
        <w:ind w:firstLine="720"/>
        <w:rPr>
          <w:rFonts w:eastAsia="Times New Roman"/>
          <w:kern w:val="2"/>
          <w:szCs w:val="26"/>
        </w:rPr>
      </w:pPr>
      <w:r w:rsidRPr="00956AB0">
        <w:rPr>
          <w:rFonts w:eastAsia="Times New Roman"/>
          <w:kern w:val="2"/>
          <w:szCs w:val="26"/>
        </w:rPr>
        <w:t xml:space="preserve">Dennis J. Herrera, San Francisco City Attorney, Yvonne Meré, and Molly Alarcon for City and County of San Francisco as Amicus Curiae on behalf of Petitioner. </w:t>
      </w:r>
    </w:p>
    <w:p w14:paraId="4D5DB891" w14:textId="77777777" w:rsidR="00491F8B" w:rsidRPr="00956AB0" w:rsidRDefault="00B24AFB" w:rsidP="00995882">
      <w:pPr>
        <w:ind w:firstLine="720"/>
        <w:rPr>
          <w:rFonts w:eastAsia="Times New Roman"/>
          <w:kern w:val="2"/>
          <w:szCs w:val="26"/>
        </w:rPr>
      </w:pPr>
      <w:r w:rsidRPr="00956AB0">
        <w:rPr>
          <w:rFonts w:eastAsia="Times New Roman"/>
          <w:kern w:val="2"/>
          <w:szCs w:val="26"/>
        </w:rPr>
        <w:t>Horvitz &amp; Levy, Jeremy B. Rosen for The Chambe</w:t>
      </w:r>
      <w:r w:rsidRPr="00956AB0">
        <w:rPr>
          <w:rFonts w:eastAsia="Times New Roman"/>
          <w:kern w:val="2"/>
          <w:szCs w:val="26"/>
        </w:rPr>
        <w:t>r of Commerce of the United States of America as Amicus Curiae on behalf of Real Parties in Interest.</w:t>
      </w:r>
    </w:p>
    <w:p w14:paraId="1F7E7DD3" w14:textId="77777777" w:rsidR="00491F8B" w:rsidRPr="00956AB0" w:rsidRDefault="00B24AFB" w:rsidP="00995882">
      <w:pPr>
        <w:ind w:firstLine="720"/>
        <w:rPr>
          <w:rFonts w:eastAsia="Times New Roman"/>
          <w:kern w:val="2"/>
          <w:szCs w:val="26"/>
        </w:rPr>
      </w:pPr>
      <w:r w:rsidRPr="00956AB0">
        <w:rPr>
          <w:rFonts w:eastAsia="Times New Roman"/>
          <w:kern w:val="2"/>
          <w:szCs w:val="26"/>
        </w:rPr>
        <w:t>Ellison, Whalen &amp; Blackburn, Patrick J. Whalen for Western States Trucking Association as Amicus Curiae on behalf of Real Parties in Interest.</w:t>
      </w:r>
    </w:p>
    <w:p w14:paraId="52ADD7C0" w14:textId="77777777" w:rsidR="00AB0105" w:rsidRPr="00956AB0" w:rsidRDefault="00B24AFB" w:rsidP="00995882">
      <w:pPr>
        <w:ind w:firstLine="720"/>
        <w:rPr>
          <w:rFonts w:eastAsia="Times New Roman"/>
          <w:kern w:val="2"/>
          <w:szCs w:val="26"/>
        </w:rPr>
      </w:pPr>
      <w:r w:rsidRPr="00956AB0">
        <w:rPr>
          <w:rFonts w:eastAsia="Times New Roman"/>
          <w:kern w:val="2"/>
          <w:szCs w:val="26"/>
        </w:rPr>
        <w:t>Littler Men</w:t>
      </w:r>
      <w:r w:rsidRPr="00956AB0">
        <w:rPr>
          <w:rFonts w:eastAsia="Times New Roman"/>
          <w:kern w:val="2"/>
          <w:szCs w:val="26"/>
        </w:rPr>
        <w:t xml:space="preserve">delson, Richard H. Rahm for American Trucking Associations, Inc. and California Trucking Association as Amicus Curiae on behalf of Real Parties in Interest. </w:t>
      </w:r>
    </w:p>
    <w:p w14:paraId="723AC141" w14:textId="77777777" w:rsidR="00826E57" w:rsidRPr="00956AB0" w:rsidRDefault="00B24AFB" w:rsidP="009530E4">
      <w:pPr>
        <w:spacing w:line="480" w:lineRule="auto"/>
        <w:jc w:val="center"/>
        <w:rPr>
          <w:rFonts w:eastAsia="Times New Roman"/>
          <w:kern w:val="2"/>
          <w:szCs w:val="26"/>
        </w:rPr>
      </w:pPr>
    </w:p>
    <w:p w14:paraId="5314D904" w14:textId="77777777" w:rsidR="00826E57" w:rsidRPr="00956AB0" w:rsidRDefault="00B24AFB" w:rsidP="009530E4">
      <w:pPr>
        <w:spacing w:line="480" w:lineRule="auto"/>
        <w:jc w:val="center"/>
        <w:rPr>
          <w:rFonts w:eastAsia="Times New Roman"/>
          <w:kern w:val="2"/>
          <w:szCs w:val="26"/>
        </w:rPr>
      </w:pPr>
    </w:p>
    <w:p w14:paraId="61D658C6" w14:textId="77777777" w:rsidR="00DF2B6E" w:rsidRPr="00956AB0" w:rsidRDefault="00B24AFB">
      <w:pPr>
        <w:spacing w:line="240" w:lineRule="auto"/>
        <w:rPr>
          <w:szCs w:val="26"/>
        </w:rPr>
      </w:pPr>
      <w:r w:rsidRPr="00956AB0">
        <w:rPr>
          <w:szCs w:val="26"/>
        </w:rPr>
        <w:br w:type="page"/>
      </w:r>
    </w:p>
    <w:p w14:paraId="77189A77" w14:textId="77777777" w:rsidR="003D4C1A" w:rsidRPr="00956AB0" w:rsidRDefault="00B24AFB" w:rsidP="00DF2B6E">
      <w:pPr>
        <w:jc w:val="center"/>
        <w:rPr>
          <w:b/>
          <w:bCs/>
          <w:szCs w:val="26"/>
        </w:rPr>
      </w:pPr>
      <w:r w:rsidRPr="00956AB0">
        <w:rPr>
          <w:b/>
          <w:bCs/>
          <w:szCs w:val="26"/>
        </w:rPr>
        <w:lastRenderedPageBreak/>
        <w:t>INTRODUCTION</w:t>
      </w:r>
    </w:p>
    <w:p w14:paraId="05EAAEB6" w14:textId="77777777" w:rsidR="00DF2B6E" w:rsidRPr="00956AB0" w:rsidRDefault="00B24AFB" w:rsidP="00DF2B6E">
      <w:pPr>
        <w:jc w:val="center"/>
        <w:rPr>
          <w:b/>
          <w:bCs/>
          <w:szCs w:val="26"/>
        </w:rPr>
      </w:pPr>
    </w:p>
    <w:p w14:paraId="173D29C0" w14:textId="77777777" w:rsidR="004643D6" w:rsidRPr="00956AB0" w:rsidRDefault="00B24AFB" w:rsidP="0014721A">
      <w:pPr>
        <w:ind w:firstLine="720"/>
        <w:rPr>
          <w:rFonts w:eastAsia="Times New Roman"/>
          <w:kern w:val="2"/>
          <w:szCs w:val="26"/>
        </w:rPr>
      </w:pPr>
      <w:r w:rsidRPr="00956AB0">
        <w:rPr>
          <w:rFonts w:eastAsia="Times New Roman"/>
          <w:kern w:val="2"/>
          <w:szCs w:val="26"/>
        </w:rPr>
        <w:t xml:space="preserve">Does </w:t>
      </w:r>
      <w:r w:rsidRPr="00956AB0">
        <w:rPr>
          <w:rFonts w:eastAsia="Times New Roman"/>
          <w:kern w:val="2"/>
          <w:szCs w:val="26"/>
        </w:rPr>
        <w:t xml:space="preserve">the Federal Aviation Administration </w:t>
      </w:r>
      <w:r w:rsidRPr="00956AB0">
        <w:rPr>
          <w:rFonts w:eastAsia="Times New Roman"/>
          <w:kern w:val="2"/>
          <w:szCs w:val="26"/>
        </w:rPr>
        <w:t xml:space="preserve">Authorization </w:t>
      </w:r>
      <w:r w:rsidRPr="00956AB0">
        <w:rPr>
          <w:rFonts w:eastAsia="Times New Roman"/>
          <w:kern w:val="2"/>
          <w:szCs w:val="26"/>
        </w:rPr>
        <w:t xml:space="preserve">Act of 1994 </w:t>
      </w:r>
      <w:r w:rsidRPr="00956AB0">
        <w:rPr>
          <w:rFonts w:eastAsia="Times New Roman"/>
          <w:kern w:val="2"/>
          <w:szCs w:val="26"/>
        </w:rPr>
        <w:t>(FAAAA) preempt</w:t>
      </w:r>
      <w:r w:rsidRPr="00956AB0">
        <w:rPr>
          <w:rFonts w:eastAsia="Times New Roman"/>
          <w:kern w:val="2"/>
          <w:szCs w:val="26"/>
        </w:rPr>
        <w:t xml:space="preserve"> application of</w:t>
      </w:r>
      <w:r w:rsidRPr="00956AB0">
        <w:rPr>
          <w:rFonts w:eastAsia="Times New Roman"/>
          <w:kern w:val="2"/>
          <w:szCs w:val="26"/>
        </w:rPr>
        <w:t xml:space="preserve"> California’s “ABC</w:t>
      </w:r>
      <w:r w:rsidRPr="00956AB0">
        <w:rPr>
          <w:rFonts w:eastAsia="Times New Roman"/>
          <w:kern w:val="2"/>
          <w:szCs w:val="26"/>
        </w:rPr>
        <w:t>”</w:t>
      </w:r>
      <w:r w:rsidRPr="00956AB0">
        <w:rPr>
          <w:rFonts w:eastAsia="Times New Roman"/>
          <w:kern w:val="2"/>
          <w:szCs w:val="26"/>
        </w:rPr>
        <w:t xml:space="preserve"> </w:t>
      </w:r>
      <w:r w:rsidRPr="00956AB0">
        <w:rPr>
          <w:rFonts w:eastAsia="Times New Roman"/>
          <w:kern w:val="2"/>
          <w:szCs w:val="26"/>
        </w:rPr>
        <w:t>t</w:t>
      </w:r>
      <w:r w:rsidRPr="00956AB0">
        <w:rPr>
          <w:rFonts w:eastAsia="Times New Roman"/>
          <w:kern w:val="2"/>
          <w:szCs w:val="26"/>
        </w:rPr>
        <w:t xml:space="preserve">est, </w:t>
      </w:r>
      <w:r w:rsidRPr="00956AB0">
        <w:rPr>
          <w:rFonts w:eastAsia="Times New Roman"/>
          <w:kern w:val="2"/>
          <w:szCs w:val="26"/>
        </w:rPr>
        <w:t xml:space="preserve">originally </w:t>
      </w:r>
      <w:r w:rsidRPr="00956AB0">
        <w:rPr>
          <w:rFonts w:eastAsia="Times New Roman"/>
          <w:kern w:val="2"/>
          <w:szCs w:val="26"/>
        </w:rPr>
        <w:t xml:space="preserve">set forth in </w:t>
      </w:r>
      <w:r w:rsidRPr="00956AB0">
        <w:rPr>
          <w:rFonts w:eastAsia="Times New Roman"/>
          <w:i/>
          <w:iCs/>
          <w:kern w:val="2"/>
          <w:szCs w:val="26"/>
        </w:rPr>
        <w:t>Dynamex Operations W</w:t>
      </w:r>
      <w:r w:rsidRPr="00956AB0">
        <w:rPr>
          <w:rFonts w:eastAsia="Times New Roman"/>
          <w:i/>
          <w:iCs/>
          <w:kern w:val="2"/>
          <w:szCs w:val="26"/>
        </w:rPr>
        <w:t>.</w:t>
      </w:r>
      <w:r w:rsidRPr="00956AB0">
        <w:rPr>
          <w:rFonts w:eastAsia="Times New Roman"/>
          <w:i/>
          <w:iCs/>
          <w:kern w:val="2"/>
          <w:szCs w:val="26"/>
        </w:rPr>
        <w:t xml:space="preserve"> v. Superior Court</w:t>
      </w:r>
      <w:r w:rsidRPr="00956AB0">
        <w:rPr>
          <w:rFonts w:eastAsia="Times New Roman"/>
          <w:kern w:val="2"/>
          <w:szCs w:val="26"/>
        </w:rPr>
        <w:t xml:space="preserve"> (2018) 4 Cal.</w:t>
      </w:r>
      <w:r w:rsidRPr="00956AB0">
        <w:rPr>
          <w:rFonts w:eastAsia="Times New Roman"/>
          <w:kern w:val="2"/>
          <w:szCs w:val="26"/>
        </w:rPr>
        <w:t>5</w:t>
      </w:r>
      <w:r w:rsidRPr="00956AB0">
        <w:rPr>
          <w:rFonts w:eastAsia="Times New Roman"/>
          <w:kern w:val="2"/>
          <w:szCs w:val="26"/>
        </w:rPr>
        <w:t>th 903 (</w:t>
      </w:r>
      <w:r w:rsidRPr="00956AB0">
        <w:rPr>
          <w:rFonts w:eastAsia="Times New Roman"/>
          <w:i/>
          <w:iCs/>
          <w:kern w:val="2"/>
          <w:szCs w:val="26"/>
        </w:rPr>
        <w:t>Dynamex</w:t>
      </w:r>
      <w:r w:rsidRPr="00956AB0">
        <w:rPr>
          <w:rFonts w:eastAsia="Times New Roman"/>
          <w:kern w:val="2"/>
          <w:szCs w:val="26"/>
        </w:rPr>
        <w:t xml:space="preserve">) and </w:t>
      </w:r>
      <w:r w:rsidRPr="00956AB0">
        <w:rPr>
          <w:rFonts w:eastAsia="Times New Roman"/>
          <w:kern w:val="2"/>
          <w:szCs w:val="26"/>
        </w:rPr>
        <w:t xml:space="preserve">eventually </w:t>
      </w:r>
      <w:r w:rsidRPr="00956AB0">
        <w:rPr>
          <w:rFonts w:eastAsia="Times New Roman"/>
          <w:kern w:val="2"/>
          <w:szCs w:val="26"/>
        </w:rPr>
        <w:t xml:space="preserve">codified by </w:t>
      </w:r>
      <w:r w:rsidRPr="00956AB0">
        <w:rPr>
          <w:rFonts w:eastAsia="Times New Roman"/>
          <w:kern w:val="2"/>
          <w:szCs w:val="26"/>
        </w:rPr>
        <w:t>Assembly Bill 2257 (AB 2257)</w:t>
      </w:r>
      <w:r w:rsidRPr="00956AB0">
        <w:rPr>
          <w:rFonts w:eastAsia="Times New Roman"/>
          <w:kern w:val="2"/>
          <w:szCs w:val="26"/>
        </w:rPr>
        <w:t>,</w:t>
      </w:r>
      <w:r w:rsidRPr="00956AB0">
        <w:rPr>
          <w:rFonts w:eastAsia="Times New Roman"/>
          <w:kern w:val="2"/>
          <w:szCs w:val="26"/>
        </w:rPr>
        <w:t xml:space="preserve"> to determine whether a </w:t>
      </w:r>
      <w:r w:rsidRPr="00956AB0">
        <w:rPr>
          <w:rFonts w:eastAsia="Times New Roman"/>
          <w:kern w:val="2"/>
          <w:szCs w:val="26"/>
        </w:rPr>
        <w:t xml:space="preserve">federally licensed interstate </w:t>
      </w:r>
      <w:r w:rsidRPr="00956AB0">
        <w:rPr>
          <w:rFonts w:eastAsia="Times New Roman"/>
          <w:kern w:val="2"/>
          <w:szCs w:val="26"/>
        </w:rPr>
        <w:t xml:space="preserve">motor carrier has correctly classified its </w:t>
      </w:r>
      <w:r w:rsidRPr="00956AB0">
        <w:rPr>
          <w:rFonts w:eastAsia="Times New Roman"/>
          <w:kern w:val="2"/>
          <w:szCs w:val="26"/>
        </w:rPr>
        <w:t xml:space="preserve">truck </w:t>
      </w:r>
      <w:r w:rsidRPr="00956AB0">
        <w:rPr>
          <w:rFonts w:eastAsia="Times New Roman"/>
          <w:kern w:val="2"/>
          <w:szCs w:val="26"/>
        </w:rPr>
        <w:t>drivers as independent contractors</w:t>
      </w:r>
      <w:r w:rsidRPr="00956AB0">
        <w:rPr>
          <w:rFonts w:eastAsia="Times New Roman"/>
          <w:kern w:val="2"/>
          <w:szCs w:val="26"/>
        </w:rPr>
        <w:t>?</w:t>
      </w:r>
      <w:r w:rsidRPr="00956AB0">
        <w:rPr>
          <w:rFonts w:eastAsia="Times New Roman"/>
          <w:kern w:val="2"/>
          <w:szCs w:val="26"/>
        </w:rPr>
        <w:t xml:space="preserve"> </w:t>
      </w:r>
      <w:r w:rsidRPr="00956AB0">
        <w:rPr>
          <w:rFonts w:eastAsia="Times New Roman"/>
          <w:kern w:val="2"/>
          <w:szCs w:val="26"/>
        </w:rPr>
        <w:t>The FAAAA pr</w:t>
      </w:r>
      <w:r w:rsidRPr="00956AB0">
        <w:rPr>
          <w:rFonts w:eastAsia="Times New Roman"/>
          <w:kern w:val="2"/>
          <w:szCs w:val="26"/>
        </w:rPr>
        <w:t>e</w:t>
      </w:r>
      <w:r w:rsidRPr="00956AB0">
        <w:rPr>
          <w:rFonts w:eastAsia="Times New Roman"/>
          <w:kern w:val="2"/>
          <w:szCs w:val="26"/>
        </w:rPr>
        <w:t>empts state laws “related to a price, route, or service of any motor carrier</w:t>
      </w:r>
      <w:r w:rsidRPr="00956AB0">
        <w:rPr>
          <w:rFonts w:eastAsia="Times New Roman"/>
          <w:kern w:val="2"/>
          <w:szCs w:val="26"/>
        </w:rPr>
        <w:t> </w:t>
      </w:r>
      <w:r w:rsidRPr="00956AB0">
        <w:rPr>
          <w:rFonts w:eastAsia="Times New Roman"/>
          <w:kern w:val="2"/>
          <w:szCs w:val="26"/>
        </w:rPr>
        <w:t>.</w:t>
      </w:r>
      <w:r w:rsidRPr="00956AB0">
        <w:rPr>
          <w:rFonts w:eastAsia="Times New Roman"/>
          <w:kern w:val="2"/>
          <w:szCs w:val="26"/>
        </w:rPr>
        <w:t> </w:t>
      </w:r>
      <w:r w:rsidRPr="00956AB0">
        <w:rPr>
          <w:rFonts w:eastAsia="Times New Roman"/>
          <w:kern w:val="2"/>
          <w:szCs w:val="26"/>
        </w:rPr>
        <w:t>.</w:t>
      </w:r>
      <w:r w:rsidRPr="00956AB0">
        <w:rPr>
          <w:rFonts w:eastAsia="Times New Roman"/>
          <w:kern w:val="2"/>
          <w:szCs w:val="26"/>
        </w:rPr>
        <w:t> </w:t>
      </w:r>
      <w:r w:rsidRPr="00956AB0">
        <w:rPr>
          <w:rFonts w:eastAsia="Times New Roman"/>
          <w:kern w:val="2"/>
          <w:szCs w:val="26"/>
        </w:rPr>
        <w:t>.</w:t>
      </w:r>
      <w:r w:rsidRPr="00956AB0">
        <w:rPr>
          <w:rFonts w:eastAsia="Times New Roman"/>
          <w:kern w:val="2"/>
          <w:szCs w:val="26"/>
        </w:rPr>
        <w:t> </w:t>
      </w:r>
      <w:r w:rsidRPr="00956AB0">
        <w:rPr>
          <w:rFonts w:eastAsia="Times New Roman"/>
          <w:kern w:val="2"/>
          <w:szCs w:val="26"/>
        </w:rPr>
        <w:t>with respect to the transportation of propert</w:t>
      </w:r>
      <w:r w:rsidRPr="00956AB0">
        <w:rPr>
          <w:rFonts w:eastAsia="Times New Roman"/>
          <w:kern w:val="2"/>
          <w:szCs w:val="26"/>
        </w:rPr>
        <w:t>y.” (49</w:t>
      </w:r>
      <w:r w:rsidRPr="00956AB0">
        <w:rPr>
          <w:rFonts w:eastAsia="Times New Roman"/>
          <w:kern w:val="2"/>
          <w:szCs w:val="26"/>
        </w:rPr>
        <w:t> </w:t>
      </w:r>
      <w:r w:rsidRPr="00956AB0">
        <w:rPr>
          <w:rFonts w:eastAsia="Times New Roman"/>
          <w:kern w:val="2"/>
          <w:szCs w:val="26"/>
        </w:rPr>
        <w:t>U.S.C. §</w:t>
      </w:r>
      <w:r w:rsidRPr="00956AB0">
        <w:rPr>
          <w:rFonts w:eastAsia="Times New Roman"/>
          <w:kern w:val="2"/>
          <w:szCs w:val="26"/>
        </w:rPr>
        <w:t> </w:t>
      </w:r>
      <w:r w:rsidRPr="00956AB0">
        <w:rPr>
          <w:rFonts w:eastAsia="Times New Roman"/>
          <w:kern w:val="2"/>
          <w:szCs w:val="26"/>
        </w:rPr>
        <w:t>14501 (c)(1)</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 xml:space="preserve"> After surveying the FAAAA’s legislative history and relevant federal caselaw, o</w:t>
      </w:r>
      <w:r w:rsidRPr="00956AB0">
        <w:rPr>
          <w:rFonts w:eastAsia="Times New Roman"/>
          <w:kern w:val="2"/>
          <w:szCs w:val="26"/>
        </w:rPr>
        <w:t>ur Supreme Court held the FAAA</w:t>
      </w:r>
      <w:r w:rsidRPr="00956AB0">
        <w:rPr>
          <w:rFonts w:eastAsia="Times New Roman"/>
          <w:kern w:val="2"/>
          <w:szCs w:val="26"/>
        </w:rPr>
        <w:t>A</w:t>
      </w:r>
      <w:r w:rsidRPr="00956AB0">
        <w:rPr>
          <w:rFonts w:eastAsia="Times New Roman"/>
          <w:kern w:val="2"/>
          <w:szCs w:val="26"/>
        </w:rPr>
        <w:t xml:space="preserve"> does not preempt </w:t>
      </w:r>
      <w:r w:rsidRPr="00956AB0">
        <w:rPr>
          <w:rFonts w:eastAsia="Times New Roman"/>
          <w:kern w:val="2"/>
          <w:szCs w:val="26"/>
        </w:rPr>
        <w:t xml:space="preserve">generally applicable </w:t>
      </w:r>
      <w:r w:rsidRPr="00956AB0">
        <w:rPr>
          <w:rFonts w:eastAsia="Times New Roman"/>
          <w:kern w:val="2"/>
          <w:szCs w:val="26"/>
        </w:rPr>
        <w:t>worker</w:t>
      </w:r>
      <w:r w:rsidRPr="00956AB0">
        <w:rPr>
          <w:rFonts w:eastAsia="Times New Roman"/>
          <w:kern w:val="2"/>
          <w:szCs w:val="26"/>
        </w:rPr>
        <w:t>-</w:t>
      </w:r>
      <w:r w:rsidRPr="00956AB0">
        <w:rPr>
          <w:rFonts w:eastAsia="Times New Roman"/>
          <w:kern w:val="2"/>
          <w:szCs w:val="26"/>
        </w:rPr>
        <w:t xml:space="preserve">classification laws </w:t>
      </w:r>
      <w:r w:rsidRPr="00956AB0">
        <w:rPr>
          <w:rFonts w:eastAsia="Times New Roman"/>
          <w:kern w:val="2"/>
          <w:szCs w:val="26"/>
        </w:rPr>
        <w:t>that</w:t>
      </w:r>
      <w:r w:rsidRPr="00956AB0">
        <w:rPr>
          <w:rFonts w:eastAsia="Times New Roman"/>
          <w:kern w:val="2"/>
          <w:szCs w:val="26"/>
        </w:rPr>
        <w:t xml:space="preserve"> do not prohibit the use of independent contractors. (</w:t>
      </w:r>
      <w:r w:rsidRPr="00956AB0">
        <w:rPr>
          <w:rFonts w:eastAsia="Times New Roman"/>
          <w:i/>
          <w:iCs/>
          <w:kern w:val="2"/>
          <w:szCs w:val="26"/>
        </w:rPr>
        <w:t>People ex rel. Harris v. Pac Anchor Transp</w:t>
      </w:r>
      <w:r w:rsidRPr="00956AB0">
        <w:rPr>
          <w:rFonts w:eastAsia="Times New Roman"/>
          <w:i/>
          <w:iCs/>
          <w:kern w:val="2"/>
          <w:szCs w:val="26"/>
        </w:rPr>
        <w:t>ortation</w:t>
      </w:r>
      <w:r w:rsidRPr="00956AB0">
        <w:rPr>
          <w:rFonts w:eastAsia="Times New Roman"/>
          <w:i/>
          <w:iCs/>
          <w:kern w:val="2"/>
          <w:szCs w:val="26"/>
        </w:rPr>
        <w:t>, Inc</w:t>
      </w:r>
      <w:r w:rsidRPr="00956AB0">
        <w:rPr>
          <w:rFonts w:eastAsia="Times New Roman"/>
          <w:kern w:val="2"/>
          <w:szCs w:val="26"/>
        </w:rPr>
        <w:t xml:space="preserve">. (2014) 59 Cal.4th 772, </w:t>
      </w:r>
      <w:r w:rsidRPr="00956AB0">
        <w:rPr>
          <w:rFonts w:eastAsia="Times New Roman"/>
          <w:kern w:val="2"/>
          <w:szCs w:val="26"/>
        </w:rPr>
        <w:t>785-8</w:t>
      </w:r>
      <w:r w:rsidRPr="00956AB0">
        <w:rPr>
          <w:rFonts w:eastAsia="Times New Roman"/>
          <w:kern w:val="2"/>
          <w:szCs w:val="26"/>
        </w:rPr>
        <w:t>7</w:t>
      </w:r>
      <w:r w:rsidRPr="00956AB0">
        <w:rPr>
          <w:rFonts w:eastAsia="Times New Roman"/>
          <w:kern w:val="2"/>
          <w:szCs w:val="26"/>
        </w:rPr>
        <w:t xml:space="preserve"> (</w:t>
      </w:r>
      <w:r w:rsidRPr="00956AB0">
        <w:rPr>
          <w:rFonts w:eastAsia="Times New Roman"/>
          <w:i/>
          <w:iCs/>
          <w:kern w:val="2"/>
          <w:szCs w:val="26"/>
        </w:rPr>
        <w:t>Pac Anchor</w:t>
      </w:r>
      <w:r w:rsidRPr="00956AB0">
        <w:rPr>
          <w:rFonts w:eastAsia="Times New Roman"/>
          <w:kern w:val="2"/>
          <w:szCs w:val="26"/>
        </w:rPr>
        <w:t>)</w:t>
      </w:r>
      <w:r w:rsidRPr="00956AB0">
        <w:rPr>
          <w:rFonts w:eastAsia="Times New Roman"/>
          <w:kern w:val="2"/>
          <w:szCs w:val="26"/>
        </w:rPr>
        <w:t xml:space="preserve">.) We hold </w:t>
      </w:r>
      <w:r w:rsidRPr="00956AB0">
        <w:rPr>
          <w:rFonts w:eastAsia="Times New Roman"/>
          <w:kern w:val="2"/>
          <w:szCs w:val="26"/>
        </w:rPr>
        <w:t>the ABC test, as codified by AB 2257,</w:t>
      </w:r>
      <w:r w:rsidRPr="00956AB0">
        <w:rPr>
          <w:rFonts w:eastAsia="Times New Roman"/>
          <w:kern w:val="2"/>
          <w:szCs w:val="26"/>
        </w:rPr>
        <w:t xml:space="preserve"> </w:t>
      </w:r>
      <w:r w:rsidRPr="00956AB0">
        <w:rPr>
          <w:rFonts w:eastAsia="Times New Roman"/>
          <w:kern w:val="2"/>
          <w:szCs w:val="26"/>
        </w:rPr>
        <w:t>is</w:t>
      </w:r>
      <w:r w:rsidRPr="00956AB0">
        <w:rPr>
          <w:rFonts w:eastAsia="Times New Roman"/>
          <w:kern w:val="2"/>
          <w:szCs w:val="26"/>
        </w:rPr>
        <w:t xml:space="preserve"> such a law</w:t>
      </w:r>
      <w:r w:rsidRPr="00956AB0">
        <w:rPr>
          <w:rFonts w:eastAsia="Times New Roman"/>
          <w:kern w:val="2"/>
          <w:szCs w:val="26"/>
        </w:rPr>
        <w:t>, and therefore is not preempted by the F</w:t>
      </w:r>
      <w:r w:rsidRPr="00956AB0">
        <w:rPr>
          <w:rFonts w:eastAsia="Times New Roman"/>
          <w:kern w:val="2"/>
          <w:szCs w:val="26"/>
        </w:rPr>
        <w:t xml:space="preserve">AAAA. </w:t>
      </w:r>
    </w:p>
    <w:p w14:paraId="207775FB" w14:textId="77777777" w:rsidR="004643D6" w:rsidRPr="00956AB0" w:rsidRDefault="00B24AFB" w:rsidP="004D5DD1">
      <w:pPr>
        <w:ind w:firstLine="720"/>
        <w:rPr>
          <w:rFonts w:eastAsia="Times New Roman"/>
          <w:kern w:val="2"/>
          <w:szCs w:val="26"/>
        </w:rPr>
      </w:pPr>
    </w:p>
    <w:p w14:paraId="21F5DFBF" w14:textId="77777777" w:rsidR="005B3766" w:rsidRPr="00956AB0" w:rsidRDefault="00B24AFB" w:rsidP="003F04C8">
      <w:pPr>
        <w:jc w:val="center"/>
        <w:rPr>
          <w:rFonts w:eastAsia="Times New Roman"/>
          <w:b/>
          <w:kern w:val="2"/>
          <w:szCs w:val="26"/>
        </w:rPr>
      </w:pPr>
      <w:r w:rsidRPr="00956AB0">
        <w:rPr>
          <w:rFonts w:eastAsia="Times New Roman"/>
          <w:b/>
          <w:kern w:val="2"/>
          <w:szCs w:val="26"/>
        </w:rPr>
        <w:t>FACTUAL</w:t>
      </w:r>
      <w:r w:rsidRPr="00956AB0">
        <w:rPr>
          <w:rFonts w:eastAsia="Times New Roman"/>
          <w:b/>
          <w:kern w:val="2"/>
          <w:szCs w:val="26"/>
        </w:rPr>
        <w:t xml:space="preserve"> AND PROCEDURAL</w:t>
      </w:r>
      <w:r w:rsidRPr="00956AB0">
        <w:rPr>
          <w:rFonts w:eastAsia="Times New Roman"/>
          <w:b/>
          <w:kern w:val="2"/>
          <w:szCs w:val="26"/>
        </w:rPr>
        <w:t xml:space="preserve"> BACKGROUND</w:t>
      </w:r>
      <w:r>
        <w:rPr>
          <w:rStyle w:val="FootnoteReference"/>
          <w:rFonts w:eastAsia="Times New Roman"/>
          <w:b w:val="0"/>
          <w:kern w:val="2"/>
          <w:sz w:val="26"/>
          <w:szCs w:val="26"/>
        </w:rPr>
        <w:footnoteReference w:id="1"/>
      </w:r>
    </w:p>
    <w:p w14:paraId="709579C0" w14:textId="77777777" w:rsidR="003154B8" w:rsidRPr="00956AB0" w:rsidRDefault="00B24AFB" w:rsidP="00E547B0">
      <w:pPr>
        <w:ind w:firstLine="720"/>
        <w:rPr>
          <w:rFonts w:eastAsia="Times New Roman"/>
          <w:kern w:val="2"/>
          <w:szCs w:val="26"/>
        </w:rPr>
      </w:pPr>
    </w:p>
    <w:p w14:paraId="316CB303" w14:textId="77777777" w:rsidR="00C50994" w:rsidRPr="00956AB0" w:rsidRDefault="00B24AFB" w:rsidP="00DF14C7">
      <w:pPr>
        <w:ind w:firstLine="720"/>
        <w:rPr>
          <w:rFonts w:eastAsia="Times New Roman"/>
          <w:kern w:val="2"/>
          <w:szCs w:val="26"/>
        </w:rPr>
      </w:pPr>
      <w:r w:rsidRPr="00956AB0">
        <w:rPr>
          <w:rFonts w:eastAsia="Times New Roman"/>
          <w:kern w:val="2"/>
          <w:szCs w:val="26"/>
        </w:rPr>
        <w:t>Defendants</w:t>
      </w:r>
      <w:r>
        <w:rPr>
          <w:rStyle w:val="FootnoteReference"/>
          <w:rFonts w:eastAsia="Times New Roman"/>
          <w:b w:val="0"/>
          <w:bCs/>
          <w:kern w:val="2"/>
          <w:sz w:val="26"/>
          <w:szCs w:val="26"/>
        </w:rPr>
        <w:footnoteReference w:id="2"/>
      </w:r>
      <w:r w:rsidRPr="00956AB0">
        <w:rPr>
          <w:rFonts w:eastAsia="Times New Roman"/>
          <w:kern w:val="2"/>
          <w:szCs w:val="26"/>
        </w:rPr>
        <w:t xml:space="preserve"> are </w:t>
      </w:r>
      <w:r w:rsidRPr="00956AB0">
        <w:rPr>
          <w:rFonts w:eastAsia="Times New Roman"/>
          <w:kern w:val="2"/>
          <w:szCs w:val="26"/>
        </w:rPr>
        <w:t xml:space="preserve">federally licensed </w:t>
      </w:r>
      <w:r w:rsidRPr="00956AB0">
        <w:rPr>
          <w:rFonts w:eastAsia="Times New Roman"/>
          <w:kern w:val="2"/>
          <w:szCs w:val="26"/>
        </w:rPr>
        <w:t>motor carriers that operate or have operated “</w:t>
      </w:r>
      <w:r w:rsidRPr="00956AB0">
        <w:rPr>
          <w:rFonts w:eastAsia="Times New Roman"/>
          <w:kern w:val="2"/>
          <w:szCs w:val="26"/>
        </w:rPr>
        <w:t>‘</w:t>
      </w:r>
      <w:r w:rsidRPr="00956AB0">
        <w:rPr>
          <w:rFonts w:eastAsia="Times New Roman"/>
          <w:kern w:val="2"/>
          <w:szCs w:val="26"/>
        </w:rPr>
        <w:t>trucking and drayage compan[ies]</w:t>
      </w:r>
      <w:r w:rsidRPr="00956AB0">
        <w:rPr>
          <w:rFonts w:eastAsia="Times New Roman"/>
          <w:kern w:val="2"/>
          <w:szCs w:val="26"/>
        </w:rPr>
        <w:t> </w:t>
      </w:r>
      <w:r w:rsidRPr="00956AB0">
        <w:rPr>
          <w:rFonts w:eastAsia="Times New Roman"/>
          <w:kern w:val="2"/>
          <w:szCs w:val="26"/>
        </w:rPr>
        <w:t>.</w:t>
      </w:r>
      <w:r w:rsidRPr="00956AB0">
        <w:rPr>
          <w:rFonts w:eastAsia="Times New Roman"/>
          <w:kern w:val="2"/>
          <w:szCs w:val="26"/>
        </w:rPr>
        <w:t> </w:t>
      </w:r>
      <w:r w:rsidRPr="00956AB0">
        <w:rPr>
          <w:rFonts w:eastAsia="Times New Roman"/>
          <w:kern w:val="2"/>
          <w:szCs w:val="26"/>
        </w:rPr>
        <w:t>.</w:t>
      </w:r>
      <w:r w:rsidRPr="00956AB0">
        <w:rPr>
          <w:rFonts w:eastAsia="Times New Roman"/>
          <w:kern w:val="2"/>
          <w:szCs w:val="26"/>
        </w:rPr>
        <w:t> </w:t>
      </w:r>
      <w:r w:rsidRPr="00956AB0">
        <w:rPr>
          <w:rFonts w:eastAsia="Times New Roman"/>
          <w:kern w:val="2"/>
          <w:szCs w:val="26"/>
        </w:rPr>
        <w:t>.</w:t>
      </w:r>
      <w:r w:rsidRPr="00956AB0">
        <w:rPr>
          <w:rFonts w:eastAsia="Times New Roman"/>
          <w:kern w:val="2"/>
          <w:szCs w:val="26"/>
        </w:rPr>
        <w:t> </w:t>
      </w:r>
      <w:r w:rsidRPr="00956AB0">
        <w:rPr>
          <w:rFonts w:eastAsia="Times New Roman"/>
          <w:kern w:val="2"/>
          <w:szCs w:val="26"/>
        </w:rPr>
        <w:t>in and around the Ports of Los Angeles and Long Beach.</w:t>
      </w:r>
      <w:r w:rsidRPr="00956AB0">
        <w:rPr>
          <w:rFonts w:eastAsia="Times New Roman"/>
          <w:kern w:val="2"/>
          <w:szCs w:val="26"/>
        </w:rPr>
        <w:t>’</w:t>
      </w:r>
      <w:r w:rsidRPr="00956AB0">
        <w:rPr>
          <w:rFonts w:eastAsia="Times New Roman"/>
          <w:kern w:val="2"/>
          <w:szCs w:val="26"/>
        </w:rPr>
        <w:t xml:space="preserve">” </w:t>
      </w:r>
      <w:r w:rsidRPr="00956AB0">
        <w:rPr>
          <w:rFonts w:eastAsia="Times New Roman"/>
          <w:kern w:val="2"/>
          <w:szCs w:val="26"/>
        </w:rPr>
        <w:t xml:space="preserve">Defendants utilize the </w:t>
      </w:r>
      <w:r w:rsidRPr="00956AB0">
        <w:rPr>
          <w:rFonts w:eastAsia="Times New Roman"/>
          <w:kern w:val="2"/>
          <w:szCs w:val="26"/>
        </w:rPr>
        <w:t>services of independent owner-operator truck drivers</w:t>
      </w:r>
      <w:r w:rsidRPr="00956AB0">
        <w:rPr>
          <w:rFonts w:eastAsia="Times New Roman"/>
          <w:kern w:val="2"/>
          <w:szCs w:val="26"/>
        </w:rPr>
        <w:t xml:space="preserve"> </w:t>
      </w:r>
      <w:r>
        <w:rPr>
          <w:rFonts w:eastAsia="Times New Roman"/>
          <w:kern w:val="2"/>
          <w:szCs w:val="26"/>
        </w:rPr>
        <w:t>—</w:t>
      </w:r>
      <w:r w:rsidRPr="00956AB0">
        <w:rPr>
          <w:rFonts w:eastAsia="Times New Roman"/>
          <w:kern w:val="2"/>
          <w:szCs w:val="26"/>
        </w:rPr>
        <w:t xml:space="preserve"> </w:t>
      </w:r>
      <w:bookmarkStart w:id="0" w:name="_Hlk54354904"/>
      <w:r w:rsidRPr="00956AB0">
        <w:rPr>
          <w:rFonts w:eastAsia="Times New Roman"/>
          <w:kern w:val="2"/>
          <w:szCs w:val="26"/>
        </w:rPr>
        <w:t>independent</w:t>
      </w:r>
      <w:r w:rsidRPr="00956AB0">
        <w:rPr>
          <w:rFonts w:eastAsia="Times New Roman"/>
          <w:kern w:val="2"/>
          <w:szCs w:val="26"/>
        </w:rPr>
        <w:t xml:space="preserve"> truckers </w:t>
      </w:r>
      <w:bookmarkEnd w:id="0"/>
      <w:r w:rsidRPr="00956AB0">
        <w:rPr>
          <w:rFonts w:eastAsia="Times New Roman"/>
          <w:kern w:val="2"/>
          <w:szCs w:val="26"/>
        </w:rPr>
        <w:t xml:space="preserve">who lease their </w:t>
      </w:r>
      <w:r w:rsidRPr="00956AB0">
        <w:rPr>
          <w:rFonts w:eastAsia="Times New Roman"/>
          <w:kern w:val="2"/>
          <w:szCs w:val="26"/>
        </w:rPr>
        <w:lastRenderedPageBreak/>
        <w:t>vehicles and services to a licensed motor carrier to move freight under the motor carrier’s operating authority</w:t>
      </w:r>
      <w:r w:rsidRPr="00956AB0">
        <w:rPr>
          <w:rFonts w:eastAsia="Times New Roman"/>
          <w:kern w:val="2"/>
          <w:szCs w:val="26"/>
        </w:rPr>
        <w:t xml:space="preserve"> </w:t>
      </w:r>
      <w:r>
        <w:rPr>
          <w:rFonts w:eastAsia="Times New Roman"/>
          <w:kern w:val="2"/>
          <w:szCs w:val="26"/>
        </w:rPr>
        <w:t>—</w:t>
      </w:r>
      <w:r w:rsidRPr="00956AB0">
        <w:rPr>
          <w:rFonts w:eastAsia="Times New Roman"/>
          <w:kern w:val="2"/>
          <w:szCs w:val="26"/>
        </w:rPr>
        <w:t xml:space="preserve"> to </w:t>
      </w:r>
      <w:r w:rsidRPr="00956AB0">
        <w:rPr>
          <w:rFonts w:eastAsia="Times New Roman"/>
          <w:kern w:val="2"/>
          <w:szCs w:val="26"/>
        </w:rPr>
        <w:t>perform drayage</w:t>
      </w:r>
      <w:r w:rsidRPr="00956AB0">
        <w:rPr>
          <w:rFonts w:eastAsia="Times New Roman"/>
          <w:kern w:val="2"/>
          <w:szCs w:val="26"/>
        </w:rPr>
        <w:t xml:space="preserve"> (</w:t>
      </w:r>
      <w:r w:rsidRPr="00956AB0">
        <w:rPr>
          <w:rFonts w:eastAsia="Times New Roman"/>
          <w:kern w:val="2"/>
          <w:szCs w:val="26"/>
        </w:rPr>
        <w:t>defined in the</w:t>
      </w:r>
      <w:r w:rsidRPr="00956AB0">
        <w:rPr>
          <w:rFonts w:eastAsia="Times New Roman"/>
          <w:kern w:val="2"/>
          <w:szCs w:val="26"/>
        </w:rPr>
        <w:t xml:space="preserve"> </w:t>
      </w:r>
      <w:r w:rsidRPr="00956AB0">
        <w:rPr>
          <w:rFonts w:eastAsia="Times New Roman"/>
          <w:kern w:val="2"/>
          <w:szCs w:val="26"/>
        </w:rPr>
        <w:t xml:space="preserve">complaints as </w:t>
      </w:r>
      <w:r w:rsidRPr="00956AB0">
        <w:rPr>
          <w:rFonts w:eastAsia="Times New Roman"/>
          <w:kern w:val="2"/>
          <w:szCs w:val="26"/>
        </w:rPr>
        <w:t>“</w:t>
      </w:r>
      <w:r w:rsidRPr="00956AB0">
        <w:rPr>
          <w:rFonts w:eastAsia="Times New Roman"/>
          <w:kern w:val="2"/>
          <w:szCs w:val="26"/>
        </w:rPr>
        <w:t>the short distance transportation of cargo by truck to and from the ports</w:t>
      </w:r>
      <w:r w:rsidRPr="00956AB0">
        <w:rPr>
          <w:rFonts w:eastAsia="Times New Roman"/>
          <w:kern w:val="2"/>
          <w:szCs w:val="26"/>
        </w:rPr>
        <w:t>”).</w:t>
      </w:r>
      <w:r w:rsidRPr="00956AB0">
        <w:rPr>
          <w:rFonts w:eastAsia="Times New Roman"/>
          <w:kern w:val="2"/>
          <w:szCs w:val="26"/>
        </w:rPr>
        <w:t xml:space="preserve"> </w:t>
      </w:r>
    </w:p>
    <w:p w14:paraId="321C4219" w14:textId="77777777" w:rsidR="00BC5574" w:rsidRPr="00956AB0" w:rsidRDefault="00B24AFB" w:rsidP="00DF14C7">
      <w:pPr>
        <w:ind w:firstLine="720"/>
        <w:rPr>
          <w:rFonts w:eastAsia="Times New Roman"/>
          <w:kern w:val="2"/>
          <w:szCs w:val="26"/>
        </w:rPr>
      </w:pPr>
      <w:r w:rsidRPr="00956AB0">
        <w:rPr>
          <w:rFonts w:eastAsia="Times New Roman"/>
          <w:kern w:val="2"/>
          <w:szCs w:val="26"/>
        </w:rPr>
        <w:t xml:space="preserve">In </w:t>
      </w:r>
      <w:r w:rsidRPr="00956AB0">
        <w:rPr>
          <w:rFonts w:eastAsia="Times New Roman"/>
          <w:kern w:val="2"/>
          <w:szCs w:val="26"/>
        </w:rPr>
        <w:t>2018, in connection with Senate Bill No. 1402,</w:t>
      </w:r>
      <w:r>
        <w:rPr>
          <w:rStyle w:val="FootnoteReference"/>
          <w:rFonts w:eastAsia="Times New Roman"/>
          <w:b w:val="0"/>
          <w:bCs/>
          <w:kern w:val="2"/>
          <w:sz w:val="26"/>
          <w:szCs w:val="26"/>
        </w:rPr>
        <w:footnoteReference w:id="3"/>
      </w:r>
      <w:r w:rsidRPr="00956AB0">
        <w:rPr>
          <w:rFonts w:eastAsia="Times New Roman"/>
          <w:kern w:val="2"/>
          <w:szCs w:val="26"/>
        </w:rPr>
        <w:t xml:space="preserve"> the California Legislature found “California’s port drayage drivers are the last American sharecroppers, held i</w:t>
      </w:r>
      <w:r w:rsidRPr="00956AB0">
        <w:rPr>
          <w:rFonts w:eastAsia="Times New Roman"/>
          <w:kern w:val="2"/>
          <w:szCs w:val="26"/>
        </w:rPr>
        <w:t xml:space="preserve">n debt servitude and working dangerously long hours for little pay.” </w:t>
      </w:r>
      <w:bookmarkStart w:id="1" w:name="_Hlk52368435"/>
      <w:r w:rsidRPr="00956AB0">
        <w:rPr>
          <w:rFonts w:eastAsia="Times New Roman"/>
          <w:kern w:val="2"/>
          <w:szCs w:val="26"/>
        </w:rPr>
        <w:t>(Senate Bill No.</w:t>
      </w:r>
      <w:r>
        <w:rPr>
          <w:rFonts w:eastAsia="Times New Roman"/>
          <w:kern w:val="2"/>
          <w:szCs w:val="26"/>
        </w:rPr>
        <w:t> </w:t>
      </w:r>
      <w:r w:rsidRPr="00956AB0">
        <w:rPr>
          <w:rFonts w:eastAsia="Times New Roman"/>
          <w:kern w:val="2"/>
          <w:szCs w:val="26"/>
        </w:rPr>
        <w:t xml:space="preserve">1402 (2017-2018 Reg. Sess.) § 1(b).) </w:t>
      </w:r>
      <w:bookmarkEnd w:id="1"/>
      <w:r w:rsidRPr="00956AB0">
        <w:rPr>
          <w:rFonts w:eastAsia="Times New Roman"/>
          <w:kern w:val="2"/>
          <w:szCs w:val="26"/>
        </w:rPr>
        <w:t xml:space="preserve">It </w:t>
      </w:r>
      <w:r w:rsidRPr="00956AB0">
        <w:rPr>
          <w:rFonts w:eastAsia="Times New Roman"/>
          <w:kern w:val="2"/>
          <w:szCs w:val="26"/>
        </w:rPr>
        <w:t xml:space="preserve">cited an investigative report finding “‘port trucking companies in Southern California have spent the past decade forcing drivers </w:t>
      </w:r>
      <w:r w:rsidRPr="00956AB0">
        <w:rPr>
          <w:rFonts w:eastAsia="Times New Roman"/>
          <w:kern w:val="2"/>
          <w:szCs w:val="26"/>
        </w:rPr>
        <w:t>to finance their own trucks by taking on debt they could not afford.’ The investigation found instances where drivers ‘end up owing money to their employers – essentially working for free.’” (</w:t>
      </w:r>
      <w:r w:rsidRPr="00956AB0">
        <w:rPr>
          <w:rFonts w:eastAsia="Times New Roman"/>
          <w:i/>
          <w:iCs/>
          <w:kern w:val="2"/>
          <w:szCs w:val="26"/>
        </w:rPr>
        <w:t>Id</w:t>
      </w:r>
      <w:r w:rsidRPr="00956AB0">
        <w:rPr>
          <w:rFonts w:eastAsia="Times New Roman"/>
          <w:kern w:val="2"/>
          <w:szCs w:val="26"/>
        </w:rPr>
        <w:t>.,</w:t>
      </w:r>
      <w:r w:rsidRPr="00956AB0">
        <w:rPr>
          <w:rFonts w:eastAsia="Times New Roman"/>
          <w:kern w:val="2"/>
          <w:szCs w:val="26"/>
        </w:rPr>
        <w:t> </w:t>
      </w:r>
      <w:r w:rsidRPr="00956AB0">
        <w:rPr>
          <w:rFonts w:eastAsia="Times New Roman"/>
          <w:kern w:val="2"/>
          <w:szCs w:val="26"/>
        </w:rPr>
        <w:t>§</w:t>
      </w:r>
      <w:r w:rsidRPr="00956AB0">
        <w:rPr>
          <w:rFonts w:eastAsia="Times New Roman"/>
          <w:kern w:val="2"/>
          <w:szCs w:val="26"/>
        </w:rPr>
        <w:t> </w:t>
      </w:r>
      <w:r w:rsidRPr="00956AB0">
        <w:rPr>
          <w:rFonts w:eastAsia="Times New Roman"/>
          <w:kern w:val="2"/>
          <w:szCs w:val="26"/>
        </w:rPr>
        <w:t xml:space="preserve">1(c).) </w:t>
      </w:r>
      <w:r w:rsidRPr="00956AB0">
        <w:rPr>
          <w:rFonts w:eastAsia="Times New Roman"/>
          <w:kern w:val="2"/>
          <w:szCs w:val="26"/>
        </w:rPr>
        <w:t xml:space="preserve">The Legislature </w:t>
      </w:r>
      <w:r w:rsidRPr="00956AB0">
        <w:rPr>
          <w:rFonts w:eastAsia="Times New Roman"/>
          <w:kern w:val="2"/>
          <w:szCs w:val="26"/>
        </w:rPr>
        <w:t>further found “[d]rayage drivers a</w:t>
      </w:r>
      <w:r w:rsidRPr="00956AB0">
        <w:rPr>
          <w:rFonts w:eastAsia="Times New Roman"/>
          <w:kern w:val="2"/>
          <w:szCs w:val="26"/>
        </w:rPr>
        <w:t xml:space="preserve">t California ports are routinely misclassified as independent contractors when they in fact work as employees under California </w:t>
      </w:r>
      <w:r w:rsidRPr="00956AB0">
        <w:rPr>
          <w:rFonts w:eastAsia="Times New Roman"/>
          <w:kern w:val="2"/>
          <w:szCs w:val="26"/>
        </w:rPr>
        <w:t xml:space="preserve">and </w:t>
      </w:r>
      <w:r w:rsidRPr="00956AB0">
        <w:rPr>
          <w:rFonts w:eastAsia="Times New Roman"/>
          <w:kern w:val="2"/>
          <w:szCs w:val="26"/>
        </w:rPr>
        <w:t>federal labor laws. A recent report finds that two-thirds of California port drayage drivers fall under this category, and ra</w:t>
      </w:r>
      <w:r w:rsidRPr="00956AB0">
        <w:rPr>
          <w:rFonts w:eastAsia="Times New Roman"/>
          <w:kern w:val="2"/>
          <w:szCs w:val="26"/>
        </w:rPr>
        <w:t>mpant misclassification of drivers contributes to wage theft and leaves drivers in a cycle of poverty.” (</w:t>
      </w:r>
      <w:r w:rsidRPr="00956AB0">
        <w:rPr>
          <w:rFonts w:eastAsia="Times New Roman"/>
          <w:i/>
          <w:iCs/>
          <w:kern w:val="2"/>
          <w:szCs w:val="26"/>
        </w:rPr>
        <w:t>Id</w:t>
      </w:r>
      <w:r w:rsidRPr="00956AB0">
        <w:rPr>
          <w:rFonts w:eastAsia="Times New Roman"/>
          <w:kern w:val="2"/>
          <w:szCs w:val="26"/>
        </w:rPr>
        <w:t>., § 1(f).)</w:t>
      </w:r>
    </w:p>
    <w:p w14:paraId="012081EB" w14:textId="77777777" w:rsidR="00942F30" w:rsidRPr="00956AB0" w:rsidRDefault="00B24AFB" w:rsidP="00AE6FC0">
      <w:pPr>
        <w:ind w:firstLine="720"/>
        <w:rPr>
          <w:rFonts w:eastAsia="Times New Roman"/>
          <w:kern w:val="2"/>
          <w:szCs w:val="26"/>
        </w:rPr>
      </w:pPr>
      <w:r w:rsidRPr="00956AB0">
        <w:rPr>
          <w:rFonts w:eastAsia="Times New Roman"/>
          <w:kern w:val="2"/>
          <w:szCs w:val="26"/>
        </w:rPr>
        <w:t xml:space="preserve">On January 8, 2018, the </w:t>
      </w:r>
      <w:r w:rsidRPr="00956AB0">
        <w:rPr>
          <w:rFonts w:eastAsia="Times New Roman"/>
          <w:kern w:val="2"/>
          <w:szCs w:val="26"/>
        </w:rPr>
        <w:t xml:space="preserve">Los Angeles City Attorney, acting on behalf of the </w:t>
      </w:r>
      <w:r w:rsidRPr="00956AB0">
        <w:rPr>
          <w:rFonts w:eastAsia="Times New Roman"/>
          <w:kern w:val="2"/>
          <w:szCs w:val="26"/>
        </w:rPr>
        <w:t xml:space="preserve">People </w:t>
      </w:r>
      <w:r w:rsidRPr="00956AB0">
        <w:rPr>
          <w:rFonts w:eastAsia="Times New Roman"/>
          <w:kern w:val="2"/>
          <w:szCs w:val="26"/>
        </w:rPr>
        <w:t xml:space="preserve">of the State of California, </w:t>
      </w:r>
      <w:r w:rsidRPr="00956AB0">
        <w:rPr>
          <w:rFonts w:eastAsia="Times New Roman"/>
          <w:kern w:val="2"/>
          <w:szCs w:val="26"/>
        </w:rPr>
        <w:t xml:space="preserve">filed complaints </w:t>
      </w:r>
      <w:r w:rsidRPr="00956AB0">
        <w:rPr>
          <w:rFonts w:eastAsia="Times New Roman"/>
          <w:kern w:val="2"/>
          <w:szCs w:val="26"/>
        </w:rPr>
        <w:t xml:space="preserve">against </w:t>
      </w:r>
      <w:r w:rsidRPr="00956AB0">
        <w:rPr>
          <w:rFonts w:eastAsia="Times New Roman"/>
          <w:kern w:val="2"/>
          <w:szCs w:val="26"/>
        </w:rPr>
        <w:t xml:space="preserve">the </w:t>
      </w:r>
      <w:r w:rsidRPr="00956AB0">
        <w:rPr>
          <w:rFonts w:eastAsia="Times New Roman"/>
          <w:kern w:val="2"/>
          <w:szCs w:val="26"/>
        </w:rPr>
        <w:t xml:space="preserve">defendants </w:t>
      </w:r>
      <w:r w:rsidRPr="00956AB0">
        <w:rPr>
          <w:rFonts w:eastAsia="Times New Roman"/>
          <w:kern w:val="2"/>
          <w:szCs w:val="26"/>
        </w:rPr>
        <w:t>in three related cases,</w:t>
      </w:r>
      <w:r>
        <w:rPr>
          <w:rStyle w:val="FootnoteReference"/>
          <w:rFonts w:eastAsia="Times New Roman"/>
          <w:b w:val="0"/>
          <w:bCs/>
          <w:kern w:val="2"/>
          <w:sz w:val="26"/>
          <w:szCs w:val="26"/>
        </w:rPr>
        <w:footnoteReference w:id="4"/>
      </w:r>
      <w:r w:rsidRPr="00956AB0">
        <w:rPr>
          <w:rFonts w:eastAsia="Times New Roman"/>
          <w:kern w:val="2"/>
          <w:szCs w:val="26"/>
        </w:rPr>
        <w:t xml:space="preserve"> alleging</w:t>
      </w:r>
      <w:r w:rsidRPr="00956AB0">
        <w:rPr>
          <w:rFonts w:eastAsia="Times New Roman"/>
          <w:kern w:val="2"/>
          <w:szCs w:val="26"/>
        </w:rPr>
        <w:t xml:space="preserve"> two </w:t>
      </w:r>
      <w:r w:rsidRPr="00956AB0">
        <w:rPr>
          <w:rFonts w:eastAsia="Times New Roman"/>
          <w:kern w:val="2"/>
          <w:szCs w:val="26"/>
        </w:rPr>
        <w:lastRenderedPageBreak/>
        <w:t>causes of action under the Unfair Competition Law (UCL), Cal. Bus. &amp; Prof. Code § 17200, et seq. The first cause of action is predicated on defendant</w:t>
      </w:r>
      <w:r w:rsidRPr="00956AB0">
        <w:rPr>
          <w:rFonts w:eastAsia="Times New Roman"/>
          <w:kern w:val="2"/>
          <w:szCs w:val="26"/>
        </w:rPr>
        <w:t xml:space="preserve">s’ alleged misclassification of truck drivers as independent contractors, and the second on defendants’ alleged violations of the federal Truth-in-Leasing Regulations, 49 C.F.R. § 376.1, et seq. The complaints allege </w:t>
      </w:r>
      <w:r w:rsidRPr="00956AB0">
        <w:rPr>
          <w:rFonts w:eastAsia="Times New Roman"/>
          <w:kern w:val="2"/>
          <w:szCs w:val="26"/>
        </w:rPr>
        <w:t xml:space="preserve">defendants misclassified truck drivers </w:t>
      </w:r>
      <w:r w:rsidRPr="00956AB0">
        <w:rPr>
          <w:rFonts w:eastAsia="Times New Roman"/>
          <w:kern w:val="2"/>
          <w:szCs w:val="26"/>
        </w:rPr>
        <w:t xml:space="preserve">as independent contractors </w:t>
      </w:r>
      <w:r w:rsidRPr="00956AB0">
        <w:rPr>
          <w:rFonts w:eastAsia="Times New Roman"/>
          <w:kern w:val="2"/>
          <w:szCs w:val="26"/>
        </w:rPr>
        <w:t>and therefore engaged in unfair competition by failing to:</w:t>
      </w:r>
      <w:r w:rsidRPr="00956AB0">
        <w:rPr>
          <w:rFonts w:eastAsia="Times New Roman"/>
          <w:kern w:val="2"/>
          <w:szCs w:val="26"/>
        </w:rPr>
        <w:t xml:space="preserve"> </w:t>
      </w:r>
      <w:r w:rsidRPr="00956AB0">
        <w:rPr>
          <w:rFonts w:eastAsia="Times New Roman"/>
          <w:kern w:val="2"/>
          <w:szCs w:val="26"/>
        </w:rPr>
        <w:t xml:space="preserve">(1) pay unemployment insurance taxes (Unemp. Ins. Code, </w:t>
      </w:r>
      <w:bookmarkStart w:id="2" w:name="_Hlk52265674"/>
      <w:r w:rsidRPr="00956AB0">
        <w:rPr>
          <w:rFonts w:eastAsia="Times New Roman"/>
          <w:kern w:val="2"/>
          <w:szCs w:val="26"/>
        </w:rPr>
        <w:t>§ 976</w:t>
      </w:r>
      <w:bookmarkEnd w:id="2"/>
      <w:r w:rsidRPr="00956AB0">
        <w:rPr>
          <w:rFonts w:eastAsia="Times New Roman"/>
          <w:kern w:val="2"/>
          <w:szCs w:val="26"/>
        </w:rPr>
        <w:t>); (2) pay employment training fund taxes (</w:t>
      </w:r>
      <w:r w:rsidRPr="00956AB0">
        <w:rPr>
          <w:rFonts w:eastAsia="Times New Roman"/>
          <w:i/>
          <w:iCs/>
          <w:kern w:val="2"/>
          <w:szCs w:val="26"/>
        </w:rPr>
        <w:t>id</w:t>
      </w:r>
      <w:r w:rsidRPr="00956AB0">
        <w:rPr>
          <w:rFonts w:eastAsia="Times New Roman"/>
          <w:kern w:val="2"/>
          <w:szCs w:val="26"/>
        </w:rPr>
        <w:t>.,</w:t>
      </w:r>
      <w:r w:rsidRPr="00956AB0">
        <w:rPr>
          <w:rFonts w:eastAsia="Times New Roman"/>
          <w:kern w:val="2"/>
          <w:szCs w:val="26"/>
        </w:rPr>
        <w:t xml:space="preserve"> </w:t>
      </w:r>
      <w:bookmarkStart w:id="3" w:name="_Hlk52265804"/>
      <w:r w:rsidRPr="00956AB0">
        <w:rPr>
          <w:rFonts w:eastAsia="Times New Roman"/>
          <w:kern w:val="2"/>
          <w:szCs w:val="26"/>
        </w:rPr>
        <w:t>§</w:t>
      </w:r>
      <w:bookmarkEnd w:id="3"/>
      <w:r w:rsidRPr="00956AB0">
        <w:rPr>
          <w:rFonts w:eastAsia="Times New Roman"/>
          <w:kern w:val="2"/>
          <w:szCs w:val="26"/>
        </w:rPr>
        <w:t xml:space="preserve"> 976.6)</w:t>
      </w:r>
      <w:r w:rsidRPr="00956AB0">
        <w:rPr>
          <w:rFonts w:eastAsia="Times New Roman"/>
          <w:kern w:val="2"/>
          <w:szCs w:val="26"/>
        </w:rPr>
        <w:t>; (3) withhold state disability insurance taxes (</w:t>
      </w:r>
      <w:r w:rsidRPr="00956AB0">
        <w:rPr>
          <w:rFonts w:eastAsia="Times New Roman"/>
          <w:i/>
          <w:iCs/>
          <w:kern w:val="2"/>
          <w:szCs w:val="26"/>
        </w:rPr>
        <w:t>id</w:t>
      </w:r>
      <w:r w:rsidRPr="00956AB0">
        <w:rPr>
          <w:rFonts w:eastAsia="Times New Roman"/>
          <w:kern w:val="2"/>
          <w:szCs w:val="26"/>
        </w:rPr>
        <w:t>.,</w:t>
      </w:r>
      <w:r w:rsidRPr="00956AB0">
        <w:rPr>
          <w:rFonts w:eastAsia="Times New Roman"/>
          <w:kern w:val="2"/>
          <w:szCs w:val="26"/>
        </w:rPr>
        <w:t xml:space="preserve"> § 984); (4) withhold state income taxes (</w:t>
      </w:r>
      <w:r w:rsidRPr="00956AB0">
        <w:rPr>
          <w:rFonts w:eastAsia="Times New Roman"/>
          <w:i/>
          <w:iCs/>
          <w:kern w:val="2"/>
          <w:szCs w:val="26"/>
        </w:rPr>
        <w:t>id</w:t>
      </w:r>
      <w:r w:rsidRPr="00956AB0">
        <w:rPr>
          <w:rFonts w:eastAsia="Times New Roman"/>
          <w:kern w:val="2"/>
          <w:szCs w:val="26"/>
        </w:rPr>
        <w:t>., § 13020); (5) provide workers’ compensation (Lab. Code, § 3700</w:t>
      </w:r>
      <w:r>
        <w:rPr>
          <w:rFonts w:eastAsia="Times New Roman"/>
          <w:kern w:val="2"/>
          <w:szCs w:val="26"/>
        </w:rPr>
        <w:t>)</w:t>
      </w:r>
      <w:r w:rsidRPr="00956AB0">
        <w:rPr>
          <w:rFonts w:eastAsia="Times New Roman"/>
          <w:kern w:val="2"/>
          <w:szCs w:val="26"/>
        </w:rPr>
        <w:t>; (6) provide employees with itemized written wage statement</w:t>
      </w:r>
      <w:r>
        <w:rPr>
          <w:rFonts w:eastAsia="Times New Roman"/>
          <w:kern w:val="2"/>
          <w:szCs w:val="26"/>
        </w:rPr>
        <w:t>s</w:t>
      </w:r>
      <w:r w:rsidRPr="00956AB0">
        <w:rPr>
          <w:rFonts w:eastAsia="Times New Roman"/>
          <w:kern w:val="2"/>
          <w:szCs w:val="26"/>
        </w:rPr>
        <w:t xml:space="preserve"> (</w:t>
      </w:r>
      <w:r w:rsidRPr="00956AB0">
        <w:rPr>
          <w:rFonts w:eastAsia="Times New Roman"/>
          <w:i/>
          <w:iCs/>
          <w:kern w:val="2"/>
          <w:szCs w:val="26"/>
        </w:rPr>
        <w:t>id.</w:t>
      </w:r>
      <w:r w:rsidRPr="00956AB0">
        <w:rPr>
          <w:rFonts w:eastAsia="Times New Roman"/>
          <w:kern w:val="2"/>
          <w:szCs w:val="26"/>
        </w:rPr>
        <w:t xml:space="preserve">, § 226) and to maintain and provide employees with records in </w:t>
      </w:r>
      <w:r w:rsidRPr="00956AB0">
        <w:rPr>
          <w:rFonts w:eastAsia="Times New Roman"/>
          <w:kern w:val="2"/>
          <w:szCs w:val="26"/>
        </w:rPr>
        <w:t>violation California’s Industrial Welfare Commission wage order No. 9-2001, section 7</w:t>
      </w:r>
      <w:r w:rsidRPr="00956AB0">
        <w:rPr>
          <w:rFonts w:eastAsia="Times New Roman"/>
          <w:kern w:val="2"/>
          <w:szCs w:val="26"/>
        </w:rPr>
        <w:t xml:space="preserve"> (I</w:t>
      </w:r>
      <w:r w:rsidRPr="00956AB0">
        <w:rPr>
          <w:rFonts w:eastAsia="Times New Roman"/>
          <w:kern w:val="2"/>
          <w:szCs w:val="26"/>
        </w:rPr>
        <w:t xml:space="preserve">ndustrial </w:t>
      </w:r>
      <w:r w:rsidRPr="00956AB0">
        <w:rPr>
          <w:rFonts w:eastAsia="Times New Roman"/>
          <w:kern w:val="2"/>
          <w:szCs w:val="26"/>
        </w:rPr>
        <w:t>W</w:t>
      </w:r>
      <w:r w:rsidRPr="00956AB0">
        <w:rPr>
          <w:rFonts w:eastAsia="Times New Roman"/>
          <w:kern w:val="2"/>
          <w:szCs w:val="26"/>
        </w:rPr>
        <w:t xml:space="preserve">elfare </w:t>
      </w:r>
      <w:r w:rsidRPr="00956AB0">
        <w:rPr>
          <w:rFonts w:eastAsia="Times New Roman"/>
          <w:kern w:val="2"/>
          <w:szCs w:val="26"/>
        </w:rPr>
        <w:t>C</w:t>
      </w:r>
      <w:r w:rsidRPr="00956AB0">
        <w:rPr>
          <w:rFonts w:eastAsia="Times New Roman"/>
          <w:kern w:val="2"/>
          <w:szCs w:val="26"/>
        </w:rPr>
        <w:t>ommission</w:t>
      </w:r>
      <w:r w:rsidRPr="00956AB0">
        <w:rPr>
          <w:rFonts w:eastAsia="Times New Roman"/>
          <w:kern w:val="2"/>
          <w:szCs w:val="26"/>
        </w:rPr>
        <w:t xml:space="preserve"> Wage Order No. 9)</w:t>
      </w:r>
      <w:r w:rsidRPr="00956AB0">
        <w:rPr>
          <w:rFonts w:eastAsia="Times New Roman"/>
          <w:kern w:val="2"/>
          <w:szCs w:val="26"/>
        </w:rPr>
        <w:t>; (7) reimburse employees for business expenses and losses (Lab. Code, § 2802); and (8) ensure payment of the minimum wage</w:t>
      </w:r>
      <w:r w:rsidRPr="00956AB0">
        <w:rPr>
          <w:rFonts w:eastAsia="Times New Roman"/>
          <w:kern w:val="2"/>
          <w:szCs w:val="26"/>
        </w:rPr>
        <w:t xml:space="preserve"> at all times</w:t>
      </w:r>
      <w:r w:rsidRPr="00956AB0">
        <w:rPr>
          <w:rFonts w:eastAsia="Times New Roman"/>
          <w:kern w:val="2"/>
          <w:szCs w:val="26"/>
        </w:rPr>
        <w:t xml:space="preserve"> (Lab. Code, </w:t>
      </w:r>
      <w:bookmarkStart w:id="4" w:name="_Hlk52268690"/>
      <w:r w:rsidRPr="00956AB0">
        <w:rPr>
          <w:rFonts w:eastAsia="Times New Roman"/>
          <w:kern w:val="2"/>
          <w:szCs w:val="26"/>
        </w:rPr>
        <w:t>§</w:t>
      </w:r>
      <w:bookmarkEnd w:id="4"/>
      <w:r w:rsidRPr="00956AB0">
        <w:rPr>
          <w:rFonts w:eastAsia="Times New Roman"/>
          <w:kern w:val="2"/>
          <w:szCs w:val="26"/>
        </w:rPr>
        <w:t> </w:t>
      </w:r>
      <w:r w:rsidRPr="00956AB0">
        <w:rPr>
          <w:rFonts w:eastAsia="Times New Roman"/>
          <w:kern w:val="2"/>
          <w:szCs w:val="26"/>
        </w:rPr>
        <w:t>1194, I</w:t>
      </w:r>
      <w:r w:rsidRPr="00956AB0">
        <w:rPr>
          <w:rFonts w:eastAsia="Times New Roman"/>
          <w:kern w:val="2"/>
          <w:szCs w:val="26"/>
        </w:rPr>
        <w:t xml:space="preserve">ndustrial </w:t>
      </w:r>
      <w:r w:rsidRPr="00956AB0">
        <w:rPr>
          <w:rFonts w:eastAsia="Times New Roman"/>
          <w:kern w:val="2"/>
          <w:szCs w:val="26"/>
        </w:rPr>
        <w:t>W</w:t>
      </w:r>
      <w:r w:rsidRPr="00956AB0">
        <w:rPr>
          <w:rFonts w:eastAsia="Times New Roman"/>
          <w:kern w:val="2"/>
          <w:szCs w:val="26"/>
        </w:rPr>
        <w:t xml:space="preserve">elfare </w:t>
      </w:r>
      <w:r w:rsidRPr="00956AB0">
        <w:rPr>
          <w:rFonts w:eastAsia="Times New Roman"/>
          <w:kern w:val="2"/>
          <w:szCs w:val="26"/>
        </w:rPr>
        <w:t>C</w:t>
      </w:r>
      <w:r w:rsidRPr="00956AB0">
        <w:rPr>
          <w:rFonts w:eastAsia="Times New Roman"/>
          <w:kern w:val="2"/>
          <w:szCs w:val="26"/>
        </w:rPr>
        <w:t>ommission</w:t>
      </w:r>
      <w:r w:rsidRPr="00956AB0">
        <w:rPr>
          <w:rFonts w:eastAsia="Times New Roman"/>
          <w:kern w:val="2"/>
          <w:szCs w:val="26"/>
        </w:rPr>
        <w:t xml:space="preserve"> Wage Order No. 9, § 4</w:t>
      </w:r>
      <w:r w:rsidRPr="00956AB0">
        <w:rPr>
          <w:rFonts w:eastAsia="Times New Roman"/>
          <w:kern w:val="2"/>
          <w:szCs w:val="26"/>
        </w:rPr>
        <w:t xml:space="preserve">). </w:t>
      </w:r>
      <w:r w:rsidRPr="00956AB0">
        <w:rPr>
          <w:rFonts w:eastAsia="Times New Roman"/>
          <w:kern w:val="2"/>
          <w:szCs w:val="26"/>
        </w:rPr>
        <w:t>Specifically, t</w:t>
      </w:r>
      <w:r w:rsidRPr="00956AB0">
        <w:rPr>
          <w:rFonts w:eastAsia="Times New Roman"/>
          <w:kern w:val="2"/>
          <w:szCs w:val="26"/>
        </w:rPr>
        <w:t>he People allege defendants deduct from drivers’ pay, or fail to reimburse for, work-related expenses including fuel, truck insurance, parking, and routi</w:t>
      </w:r>
      <w:r w:rsidRPr="00956AB0">
        <w:rPr>
          <w:rFonts w:eastAsia="Times New Roman"/>
          <w:kern w:val="2"/>
          <w:szCs w:val="26"/>
        </w:rPr>
        <w:t xml:space="preserve">ne maintenance costs, amounting to tens of thousands of dollars </w:t>
      </w:r>
      <w:r w:rsidRPr="00956AB0">
        <w:rPr>
          <w:rFonts w:eastAsia="Times New Roman"/>
          <w:kern w:val="2"/>
          <w:szCs w:val="26"/>
        </w:rPr>
        <w:t>per</w:t>
      </w:r>
      <w:r w:rsidRPr="00956AB0">
        <w:rPr>
          <w:rFonts w:eastAsia="Times New Roman"/>
          <w:kern w:val="2"/>
          <w:szCs w:val="26"/>
        </w:rPr>
        <w:t xml:space="preserve"> year. </w:t>
      </w:r>
    </w:p>
    <w:p w14:paraId="5724B6C3" w14:textId="77777777" w:rsidR="00942F30" w:rsidRPr="00956AB0" w:rsidRDefault="00B24AFB" w:rsidP="00DF14C7">
      <w:pPr>
        <w:ind w:firstLine="720"/>
        <w:rPr>
          <w:rFonts w:eastAsia="Times New Roman"/>
          <w:kern w:val="2"/>
          <w:szCs w:val="26"/>
        </w:rPr>
      </w:pPr>
      <w:r w:rsidRPr="00956AB0">
        <w:rPr>
          <w:rFonts w:eastAsia="Times New Roman"/>
          <w:kern w:val="2"/>
          <w:szCs w:val="26"/>
        </w:rPr>
        <w:t xml:space="preserve">When the People filed their complaints, the test for worker classification in California was governed by </w:t>
      </w:r>
      <w:r w:rsidRPr="00956AB0">
        <w:rPr>
          <w:rFonts w:eastAsia="Times New Roman"/>
          <w:i/>
          <w:iCs/>
          <w:kern w:val="2"/>
          <w:szCs w:val="26"/>
        </w:rPr>
        <w:t>S.G. Borello &amp; Sons v. Department of Industrial Relations</w:t>
      </w:r>
      <w:r w:rsidRPr="00956AB0">
        <w:rPr>
          <w:rFonts w:eastAsia="Times New Roman"/>
          <w:kern w:val="2"/>
          <w:szCs w:val="26"/>
        </w:rPr>
        <w:t xml:space="preserve"> (1989) 48 Cal.3d 3</w:t>
      </w:r>
      <w:r w:rsidRPr="00956AB0">
        <w:rPr>
          <w:rFonts w:eastAsia="Times New Roman"/>
          <w:kern w:val="2"/>
          <w:szCs w:val="26"/>
        </w:rPr>
        <w:t>41 (</w:t>
      </w:r>
      <w:r w:rsidRPr="00956AB0">
        <w:rPr>
          <w:rFonts w:eastAsia="Times New Roman"/>
          <w:i/>
          <w:iCs/>
          <w:kern w:val="2"/>
          <w:szCs w:val="26"/>
        </w:rPr>
        <w:t>Borello</w:t>
      </w:r>
      <w:r w:rsidRPr="00956AB0">
        <w:rPr>
          <w:rFonts w:eastAsia="Times New Roman"/>
          <w:kern w:val="2"/>
          <w:szCs w:val="26"/>
        </w:rPr>
        <w:t>).</w:t>
      </w:r>
      <w:r>
        <w:rPr>
          <w:rStyle w:val="FootnoteReference"/>
          <w:rFonts w:eastAsia="Times New Roman"/>
          <w:b w:val="0"/>
          <w:bCs/>
          <w:kern w:val="2"/>
          <w:sz w:val="26"/>
          <w:szCs w:val="26"/>
        </w:rPr>
        <w:footnoteReference w:id="5"/>
      </w:r>
      <w:r w:rsidRPr="003D1F9A">
        <w:rPr>
          <w:rFonts w:eastAsia="Times New Roman"/>
          <w:b/>
          <w:bCs/>
          <w:kern w:val="2"/>
          <w:szCs w:val="26"/>
        </w:rPr>
        <w:t xml:space="preserve"> </w:t>
      </w:r>
      <w:r w:rsidRPr="00956AB0">
        <w:rPr>
          <w:rFonts w:eastAsia="Times New Roman"/>
          <w:kern w:val="2"/>
          <w:szCs w:val="26"/>
        </w:rPr>
        <w:t xml:space="preserve">In April 2018, our Supreme Court decided </w:t>
      </w:r>
      <w:r w:rsidRPr="00956AB0">
        <w:rPr>
          <w:rFonts w:eastAsia="Times New Roman"/>
          <w:i/>
          <w:iCs/>
          <w:kern w:val="2"/>
          <w:szCs w:val="26"/>
        </w:rPr>
        <w:t>Dynamex</w:t>
      </w:r>
      <w:r w:rsidRPr="00956AB0">
        <w:rPr>
          <w:rFonts w:eastAsia="Times New Roman"/>
          <w:kern w:val="2"/>
          <w:szCs w:val="26"/>
        </w:rPr>
        <w:t>, replac</w:t>
      </w:r>
      <w:r w:rsidRPr="00956AB0">
        <w:rPr>
          <w:rFonts w:eastAsia="Times New Roman"/>
          <w:kern w:val="2"/>
          <w:szCs w:val="26"/>
        </w:rPr>
        <w:t>ing</w:t>
      </w:r>
      <w:r w:rsidRPr="00956AB0">
        <w:rPr>
          <w:rFonts w:eastAsia="Times New Roman"/>
          <w:kern w:val="2"/>
          <w:szCs w:val="26"/>
        </w:rPr>
        <w:t xml:space="preserve"> the </w:t>
      </w:r>
      <w:r w:rsidRPr="00956AB0">
        <w:rPr>
          <w:rFonts w:eastAsia="Times New Roman"/>
          <w:i/>
          <w:iCs/>
          <w:kern w:val="2"/>
          <w:szCs w:val="26"/>
        </w:rPr>
        <w:t>Borello</w:t>
      </w:r>
      <w:r w:rsidRPr="00956AB0">
        <w:rPr>
          <w:rFonts w:eastAsia="Times New Roman"/>
          <w:kern w:val="2"/>
          <w:szCs w:val="26"/>
        </w:rPr>
        <w:t xml:space="preserve"> </w:t>
      </w:r>
      <w:r w:rsidRPr="00956AB0">
        <w:rPr>
          <w:rFonts w:eastAsia="Times New Roman"/>
          <w:kern w:val="2"/>
          <w:szCs w:val="26"/>
        </w:rPr>
        <w:t>standard</w:t>
      </w:r>
      <w:r w:rsidRPr="00956AB0">
        <w:rPr>
          <w:rFonts w:eastAsia="Times New Roman"/>
          <w:kern w:val="2"/>
          <w:szCs w:val="26"/>
        </w:rPr>
        <w:t xml:space="preserve"> with the “ABC</w:t>
      </w:r>
      <w:r w:rsidRPr="00956AB0">
        <w:rPr>
          <w:rFonts w:eastAsia="Times New Roman"/>
          <w:kern w:val="2"/>
          <w:szCs w:val="26"/>
        </w:rPr>
        <w:t>”</w:t>
      </w:r>
      <w:r w:rsidRPr="00956AB0">
        <w:rPr>
          <w:rFonts w:eastAsia="Times New Roman"/>
          <w:kern w:val="2"/>
          <w:szCs w:val="26"/>
        </w:rPr>
        <w:t xml:space="preserve"> test for claims brought under California’s Wage Orders.</w:t>
      </w:r>
      <w:r w:rsidRPr="00956AB0">
        <w:rPr>
          <w:rFonts w:eastAsia="Times New Roman"/>
          <w:kern w:val="2"/>
          <w:szCs w:val="26"/>
        </w:rPr>
        <w:t xml:space="preserve"> </w:t>
      </w:r>
      <w:r w:rsidRPr="00956AB0">
        <w:rPr>
          <w:rFonts w:eastAsia="Times New Roman"/>
          <w:kern w:val="2"/>
          <w:szCs w:val="26"/>
        </w:rPr>
        <w:t xml:space="preserve">The ABC test requires a </w:t>
      </w:r>
      <w:r w:rsidRPr="00956AB0">
        <w:rPr>
          <w:rFonts w:eastAsia="Times New Roman"/>
          <w:kern w:val="2"/>
          <w:szCs w:val="26"/>
        </w:rPr>
        <w:lastRenderedPageBreak/>
        <w:t>worker be classified as an employee unless:</w:t>
      </w:r>
      <w:r w:rsidRPr="00956AB0">
        <w:rPr>
          <w:rFonts w:eastAsia="Times New Roman"/>
          <w:kern w:val="2"/>
          <w:szCs w:val="26"/>
        </w:rPr>
        <w:t xml:space="preserve"> </w:t>
      </w:r>
      <w:r w:rsidRPr="00956AB0">
        <w:rPr>
          <w:rFonts w:eastAsia="Times New Roman"/>
          <w:kern w:val="2"/>
          <w:szCs w:val="26"/>
        </w:rPr>
        <w:t xml:space="preserve">(A) </w:t>
      </w:r>
      <w:r w:rsidRPr="00956AB0">
        <w:rPr>
          <w:rFonts w:eastAsia="Times New Roman"/>
          <w:kern w:val="2"/>
          <w:szCs w:val="26"/>
        </w:rPr>
        <w:t>“</w:t>
      </w:r>
      <w:r w:rsidRPr="00956AB0">
        <w:rPr>
          <w:rFonts w:eastAsia="Times New Roman"/>
          <w:kern w:val="2"/>
          <w:szCs w:val="26"/>
        </w:rPr>
        <w:t xml:space="preserve">the worker is free </w:t>
      </w:r>
      <w:r w:rsidRPr="00956AB0">
        <w:rPr>
          <w:rFonts w:eastAsia="Times New Roman"/>
          <w:kern w:val="2"/>
          <w:szCs w:val="26"/>
        </w:rPr>
        <w:t>from the</w:t>
      </w:r>
      <w:r w:rsidRPr="00956AB0">
        <w:rPr>
          <w:rFonts w:eastAsia="Times New Roman"/>
          <w:kern w:val="2"/>
          <w:szCs w:val="26"/>
        </w:rPr>
        <w:t xml:space="preserve"> control and direction of the hiring entity in connection with the performance of the work, both under the contract for the performance of the work and in fact</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 xml:space="preserve"> (B) </w:t>
      </w:r>
      <w:r w:rsidRPr="00956AB0">
        <w:rPr>
          <w:rFonts w:eastAsia="Times New Roman"/>
          <w:kern w:val="2"/>
          <w:szCs w:val="26"/>
        </w:rPr>
        <w:t>“</w:t>
      </w:r>
      <w:r w:rsidRPr="00956AB0">
        <w:rPr>
          <w:rFonts w:eastAsia="Times New Roman"/>
          <w:kern w:val="2"/>
          <w:szCs w:val="26"/>
        </w:rPr>
        <w:t>the worker performs work that is outside the usual course of</w:t>
      </w:r>
      <w:r w:rsidRPr="00956AB0">
        <w:rPr>
          <w:rFonts w:eastAsia="Times New Roman"/>
          <w:kern w:val="2"/>
          <w:szCs w:val="26"/>
        </w:rPr>
        <w:t xml:space="preserve"> the hiring entity’s business</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 xml:space="preserve"> and</w:t>
      </w:r>
      <w:r w:rsidRPr="00956AB0">
        <w:rPr>
          <w:rFonts w:eastAsia="Times New Roman"/>
          <w:kern w:val="2"/>
          <w:szCs w:val="26"/>
        </w:rPr>
        <w:t>”</w:t>
      </w:r>
      <w:r w:rsidRPr="00956AB0">
        <w:rPr>
          <w:rFonts w:eastAsia="Times New Roman"/>
          <w:kern w:val="2"/>
          <w:szCs w:val="26"/>
        </w:rPr>
        <w:t xml:space="preserve"> (C) </w:t>
      </w:r>
      <w:r w:rsidRPr="00956AB0">
        <w:rPr>
          <w:rFonts w:eastAsia="Times New Roman"/>
          <w:kern w:val="2"/>
          <w:szCs w:val="26"/>
        </w:rPr>
        <w:t>“</w:t>
      </w:r>
      <w:r w:rsidRPr="00956AB0">
        <w:rPr>
          <w:rFonts w:eastAsia="Times New Roman"/>
          <w:kern w:val="2"/>
          <w:szCs w:val="26"/>
        </w:rPr>
        <w:t>the worker is customarily engaged in an independently established trade, occupation, or business</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 xml:space="preserve"> (</w:t>
      </w:r>
      <w:r w:rsidRPr="00956AB0">
        <w:rPr>
          <w:rFonts w:eastAsia="Times New Roman"/>
          <w:i/>
          <w:iCs/>
          <w:kern w:val="2"/>
          <w:szCs w:val="26"/>
        </w:rPr>
        <w:t>Dynamex, supra</w:t>
      </w:r>
      <w:r w:rsidRPr="00956AB0">
        <w:rPr>
          <w:rFonts w:eastAsia="Times New Roman"/>
          <w:kern w:val="2"/>
          <w:szCs w:val="26"/>
        </w:rPr>
        <w:t>, 4 Cal.5th at p. 964.)</w:t>
      </w:r>
    </w:p>
    <w:p w14:paraId="36843EFE" w14:textId="77777777" w:rsidR="00D14421" w:rsidRPr="00956AB0" w:rsidRDefault="00B24AFB" w:rsidP="00DF14C7">
      <w:pPr>
        <w:ind w:firstLine="720"/>
        <w:rPr>
          <w:rFonts w:eastAsia="Times New Roman"/>
          <w:kern w:val="2"/>
          <w:szCs w:val="26"/>
        </w:rPr>
      </w:pPr>
      <w:r w:rsidRPr="00956AB0">
        <w:rPr>
          <w:rFonts w:eastAsia="Times New Roman"/>
          <w:kern w:val="2"/>
          <w:szCs w:val="26"/>
        </w:rPr>
        <w:t>In 2019</w:t>
      </w:r>
      <w:r w:rsidRPr="00956AB0">
        <w:rPr>
          <w:rFonts w:eastAsia="Times New Roman"/>
          <w:kern w:val="2"/>
          <w:szCs w:val="26"/>
        </w:rPr>
        <w:t xml:space="preserve">, the </w:t>
      </w:r>
      <w:r w:rsidRPr="00956AB0">
        <w:rPr>
          <w:rFonts w:eastAsia="Times New Roman"/>
          <w:kern w:val="2"/>
          <w:szCs w:val="26"/>
        </w:rPr>
        <w:t xml:space="preserve">Legislature </w:t>
      </w:r>
      <w:r w:rsidRPr="00956AB0">
        <w:rPr>
          <w:rFonts w:eastAsia="Times New Roman"/>
          <w:kern w:val="2"/>
          <w:szCs w:val="26"/>
        </w:rPr>
        <w:t>passed and the Governor signed into law</w:t>
      </w:r>
      <w:r w:rsidRPr="00956AB0">
        <w:rPr>
          <w:rFonts w:eastAsia="Times New Roman"/>
          <w:kern w:val="2"/>
          <w:szCs w:val="26"/>
        </w:rPr>
        <w:t xml:space="preserve"> </w:t>
      </w:r>
      <w:r w:rsidRPr="00956AB0">
        <w:rPr>
          <w:rFonts w:eastAsia="Times New Roman"/>
          <w:kern w:val="2"/>
          <w:szCs w:val="26"/>
        </w:rPr>
        <w:t>Assembly Bill 5 (</w:t>
      </w:r>
      <w:r w:rsidRPr="00956AB0">
        <w:rPr>
          <w:rFonts w:eastAsia="Times New Roman"/>
          <w:kern w:val="2"/>
          <w:szCs w:val="26"/>
        </w:rPr>
        <w:t>AB 5</w:t>
      </w:r>
      <w:r w:rsidRPr="00956AB0">
        <w:rPr>
          <w:rFonts w:eastAsia="Times New Roman"/>
          <w:kern w:val="2"/>
          <w:szCs w:val="26"/>
        </w:rPr>
        <w:t>)</w:t>
      </w:r>
      <w:r w:rsidRPr="00956AB0">
        <w:rPr>
          <w:rFonts w:eastAsia="Times New Roman"/>
          <w:kern w:val="2"/>
          <w:szCs w:val="26"/>
        </w:rPr>
        <w:t xml:space="preserve">. </w:t>
      </w:r>
      <w:r w:rsidRPr="00956AB0">
        <w:rPr>
          <w:rFonts w:eastAsia="Times New Roman"/>
          <w:kern w:val="2"/>
          <w:szCs w:val="26"/>
        </w:rPr>
        <w:t>E</w:t>
      </w:r>
      <w:r w:rsidRPr="00956AB0">
        <w:rPr>
          <w:szCs w:val="26"/>
        </w:rPr>
        <w:t xml:space="preserve">ffective January 1, 2020, </w:t>
      </w:r>
      <w:r w:rsidRPr="00956AB0">
        <w:rPr>
          <w:rFonts w:eastAsia="Times New Roman"/>
          <w:kern w:val="2"/>
          <w:szCs w:val="26"/>
        </w:rPr>
        <w:t xml:space="preserve">AB 5 codified </w:t>
      </w:r>
      <w:r w:rsidRPr="00956AB0">
        <w:rPr>
          <w:rFonts w:eastAsia="Times New Roman"/>
          <w:kern w:val="2"/>
          <w:szCs w:val="26"/>
        </w:rPr>
        <w:t>(</w:t>
      </w:r>
      <w:r w:rsidRPr="00956AB0">
        <w:rPr>
          <w:szCs w:val="26"/>
        </w:rPr>
        <w:t xml:space="preserve">as Labor Code section 2750.3) </w:t>
      </w:r>
      <w:r w:rsidRPr="00956AB0">
        <w:rPr>
          <w:rFonts w:eastAsia="Times New Roman"/>
          <w:kern w:val="2"/>
          <w:szCs w:val="26"/>
        </w:rPr>
        <w:t xml:space="preserve">the ABC test and expanded </w:t>
      </w:r>
      <w:r w:rsidRPr="00956AB0">
        <w:rPr>
          <w:rFonts w:eastAsia="Times New Roman"/>
          <w:kern w:val="2"/>
          <w:szCs w:val="26"/>
        </w:rPr>
        <w:t>its reach</w:t>
      </w:r>
      <w:r w:rsidRPr="00956AB0">
        <w:rPr>
          <w:rFonts w:eastAsia="Times New Roman"/>
          <w:kern w:val="2"/>
          <w:szCs w:val="26"/>
        </w:rPr>
        <w:t xml:space="preserve"> to apply to all claims under the Labor Code and the Unemployment Insurance Code. </w:t>
      </w:r>
      <w:r w:rsidRPr="00956AB0">
        <w:rPr>
          <w:szCs w:val="26"/>
        </w:rPr>
        <w:t>(Stats. 2019, ch. 296, §</w:t>
      </w:r>
      <w:r w:rsidRPr="00956AB0">
        <w:rPr>
          <w:szCs w:val="26"/>
        </w:rPr>
        <w:t> </w:t>
      </w:r>
      <w:r w:rsidRPr="00956AB0">
        <w:rPr>
          <w:szCs w:val="26"/>
        </w:rPr>
        <w:t xml:space="preserve">2.) </w:t>
      </w:r>
      <w:r w:rsidRPr="00956AB0">
        <w:rPr>
          <w:rFonts w:eastAsia="Times New Roman"/>
          <w:kern w:val="2"/>
          <w:szCs w:val="26"/>
        </w:rPr>
        <w:t>AB 5 also incl</w:t>
      </w:r>
      <w:r w:rsidRPr="00956AB0">
        <w:rPr>
          <w:rFonts w:eastAsia="Times New Roman"/>
          <w:kern w:val="2"/>
          <w:szCs w:val="26"/>
        </w:rPr>
        <w:t xml:space="preserve">uded exemptions that were not part of the </w:t>
      </w:r>
      <w:r w:rsidRPr="00956AB0">
        <w:rPr>
          <w:rFonts w:eastAsia="Times New Roman"/>
          <w:i/>
          <w:iCs/>
          <w:kern w:val="2"/>
          <w:szCs w:val="26"/>
        </w:rPr>
        <w:t>Dynamex</w:t>
      </w:r>
      <w:r w:rsidRPr="00956AB0">
        <w:rPr>
          <w:rFonts w:eastAsia="Times New Roman"/>
          <w:kern w:val="2"/>
          <w:szCs w:val="26"/>
        </w:rPr>
        <w:t xml:space="preserve"> test, including an </w:t>
      </w:r>
      <w:r w:rsidRPr="00956AB0">
        <w:rPr>
          <w:rFonts w:eastAsia="Times New Roman"/>
          <w:kern w:val="2"/>
          <w:szCs w:val="26"/>
        </w:rPr>
        <w:t xml:space="preserve">exemption </w:t>
      </w:r>
      <w:r w:rsidRPr="00956AB0">
        <w:rPr>
          <w:rFonts w:eastAsia="Times New Roman"/>
          <w:kern w:val="2"/>
          <w:szCs w:val="26"/>
        </w:rPr>
        <w:t>for “business-to</w:t>
      </w:r>
      <w:r w:rsidRPr="00956AB0">
        <w:rPr>
          <w:rFonts w:eastAsia="Times New Roman"/>
          <w:kern w:val="2"/>
          <w:szCs w:val="26"/>
        </w:rPr>
        <w:t>-</w:t>
      </w:r>
      <w:r w:rsidRPr="00956AB0">
        <w:rPr>
          <w:rFonts w:eastAsia="Times New Roman"/>
          <w:kern w:val="2"/>
          <w:szCs w:val="26"/>
        </w:rPr>
        <w:t xml:space="preserve">business contracting relationship[s].” </w:t>
      </w:r>
    </w:p>
    <w:p w14:paraId="0A7167A6" w14:textId="77777777" w:rsidR="00942F30" w:rsidRPr="00956AB0" w:rsidRDefault="00B24AFB" w:rsidP="00D21CA4">
      <w:pPr>
        <w:ind w:firstLine="720"/>
        <w:rPr>
          <w:rFonts w:eastAsia="Times New Roman"/>
          <w:kern w:val="2"/>
          <w:szCs w:val="26"/>
        </w:rPr>
      </w:pPr>
      <w:r w:rsidRPr="00956AB0">
        <w:rPr>
          <w:rFonts w:eastAsia="Times New Roman"/>
          <w:kern w:val="2"/>
          <w:szCs w:val="26"/>
        </w:rPr>
        <w:t xml:space="preserve">On September 4, 2020, </w:t>
      </w:r>
      <w:r w:rsidRPr="00956AB0">
        <w:rPr>
          <w:rFonts w:eastAsia="Times New Roman"/>
          <w:kern w:val="2"/>
          <w:szCs w:val="26"/>
        </w:rPr>
        <w:t xml:space="preserve">however, after the petition in these related cases was filed, </w:t>
      </w:r>
      <w:r w:rsidRPr="00956AB0">
        <w:rPr>
          <w:rFonts w:eastAsia="Times New Roman"/>
          <w:kern w:val="2"/>
          <w:szCs w:val="26"/>
        </w:rPr>
        <w:t xml:space="preserve">the </w:t>
      </w:r>
      <w:r w:rsidRPr="00956AB0">
        <w:rPr>
          <w:rFonts w:eastAsia="Times New Roman"/>
          <w:kern w:val="2"/>
          <w:szCs w:val="26"/>
        </w:rPr>
        <w:t xml:space="preserve">Legislature passed and the </w:t>
      </w:r>
      <w:r w:rsidRPr="00956AB0">
        <w:rPr>
          <w:rFonts w:eastAsia="Times New Roman"/>
          <w:kern w:val="2"/>
          <w:szCs w:val="26"/>
        </w:rPr>
        <w:t xml:space="preserve">Governor </w:t>
      </w:r>
      <w:r w:rsidRPr="00956AB0">
        <w:rPr>
          <w:rFonts w:eastAsia="Times New Roman"/>
          <w:kern w:val="2"/>
          <w:szCs w:val="26"/>
        </w:rPr>
        <w:t xml:space="preserve">signed </w:t>
      </w:r>
      <w:r w:rsidRPr="00956AB0">
        <w:rPr>
          <w:rFonts w:eastAsia="Times New Roman"/>
          <w:kern w:val="2"/>
          <w:szCs w:val="26"/>
        </w:rPr>
        <w:t>AB 2257</w:t>
      </w:r>
      <w:r w:rsidRPr="00956AB0">
        <w:rPr>
          <w:rFonts w:eastAsia="Times New Roman"/>
          <w:kern w:val="2"/>
          <w:szCs w:val="26"/>
        </w:rPr>
        <w:t xml:space="preserve">, </w:t>
      </w:r>
      <w:r w:rsidRPr="00956AB0">
        <w:rPr>
          <w:szCs w:val="26"/>
        </w:rPr>
        <w:t xml:space="preserve">which repealed and replaced the statutory changes </w:t>
      </w:r>
      <w:r w:rsidRPr="00956AB0">
        <w:rPr>
          <w:szCs w:val="26"/>
        </w:rPr>
        <w:t xml:space="preserve">enacted </w:t>
      </w:r>
      <w:r w:rsidRPr="00956AB0">
        <w:rPr>
          <w:szCs w:val="26"/>
        </w:rPr>
        <w:t>by AB 5. (Stats. 2020, ch. 38, § 2.)</w:t>
      </w:r>
      <w:r w:rsidRPr="00956AB0">
        <w:rPr>
          <w:rFonts w:eastAsia="Times New Roman"/>
          <w:kern w:val="2"/>
          <w:szCs w:val="26"/>
        </w:rPr>
        <w:t xml:space="preserve"> </w:t>
      </w:r>
      <w:r w:rsidRPr="00956AB0">
        <w:rPr>
          <w:rFonts w:eastAsia="Times New Roman"/>
          <w:kern w:val="2"/>
          <w:szCs w:val="26"/>
        </w:rPr>
        <w:t xml:space="preserve">AB 2257 </w:t>
      </w:r>
      <w:r w:rsidRPr="00956AB0">
        <w:rPr>
          <w:rFonts w:eastAsia="Times New Roman"/>
          <w:kern w:val="2"/>
          <w:szCs w:val="26"/>
        </w:rPr>
        <w:t>revised certain exemptions to the A</w:t>
      </w:r>
      <w:r w:rsidRPr="00956AB0">
        <w:rPr>
          <w:rFonts w:eastAsia="Times New Roman"/>
          <w:kern w:val="2"/>
          <w:szCs w:val="26"/>
        </w:rPr>
        <w:t>BC test, including the business-to-business ex</w:t>
      </w:r>
      <w:r w:rsidRPr="00956AB0">
        <w:rPr>
          <w:rFonts w:eastAsia="Times New Roman"/>
          <w:kern w:val="2"/>
          <w:szCs w:val="26"/>
        </w:rPr>
        <w:t>emp</w:t>
      </w:r>
      <w:r w:rsidRPr="00956AB0">
        <w:rPr>
          <w:rFonts w:eastAsia="Times New Roman"/>
          <w:kern w:val="2"/>
          <w:szCs w:val="26"/>
        </w:rPr>
        <w:t>tion, and created additional exemptions. (Lab. Code § 2775, et seq.)</w:t>
      </w:r>
      <w:r w:rsidRPr="00956AB0">
        <w:rPr>
          <w:rFonts w:eastAsia="Times New Roman"/>
          <w:kern w:val="2"/>
          <w:szCs w:val="26"/>
        </w:rPr>
        <w:t xml:space="preserve"> Under Labor Code section</w:t>
      </w:r>
      <w:r>
        <w:rPr>
          <w:rFonts w:eastAsia="Times New Roman"/>
          <w:kern w:val="2"/>
          <w:szCs w:val="26"/>
        </w:rPr>
        <w:t> </w:t>
      </w:r>
      <w:r w:rsidRPr="00956AB0">
        <w:rPr>
          <w:rFonts w:eastAsia="Times New Roman"/>
          <w:kern w:val="2"/>
          <w:szCs w:val="26"/>
        </w:rPr>
        <w:t xml:space="preserve">2775, subdivision (a)(3), “[i]f a court of law rules that the [ABC] test . . . cannot be applied to a particular </w:t>
      </w:r>
      <w:r w:rsidRPr="00956AB0">
        <w:rPr>
          <w:rFonts w:eastAsia="Times New Roman"/>
          <w:kern w:val="2"/>
          <w:szCs w:val="26"/>
        </w:rPr>
        <w:t>context . . . then the determination of employee or independent contractor status in that context shall instead be governed by [</w:t>
      </w:r>
      <w:r w:rsidRPr="00956AB0">
        <w:rPr>
          <w:rFonts w:eastAsia="Times New Roman"/>
          <w:i/>
          <w:iCs/>
          <w:kern w:val="2"/>
          <w:szCs w:val="26"/>
        </w:rPr>
        <w:t>Borello</w:t>
      </w:r>
      <w:r w:rsidRPr="00956AB0">
        <w:rPr>
          <w:rFonts w:eastAsia="Times New Roman"/>
          <w:kern w:val="2"/>
          <w:szCs w:val="26"/>
        </w:rPr>
        <w:t>].”</w:t>
      </w:r>
      <w:r>
        <w:rPr>
          <w:rStyle w:val="FootnoteReference"/>
          <w:rFonts w:eastAsia="Times New Roman"/>
          <w:b w:val="0"/>
          <w:bCs/>
          <w:kern w:val="2"/>
          <w:sz w:val="26"/>
          <w:szCs w:val="26"/>
        </w:rPr>
        <w:footnoteReference w:id="6"/>
      </w:r>
      <w:r w:rsidRPr="00956AB0">
        <w:rPr>
          <w:rFonts w:eastAsia="Times New Roman"/>
          <w:kern w:val="2"/>
          <w:szCs w:val="26"/>
        </w:rPr>
        <w:t xml:space="preserve"> </w:t>
      </w:r>
      <w:r w:rsidRPr="00956AB0">
        <w:rPr>
          <w:rFonts w:eastAsia="Times New Roman"/>
          <w:kern w:val="2"/>
          <w:szCs w:val="26"/>
        </w:rPr>
        <w:t>Because t</w:t>
      </w:r>
      <w:r w:rsidRPr="00956AB0">
        <w:rPr>
          <w:rFonts w:eastAsia="Times New Roman"/>
          <w:kern w:val="2"/>
          <w:szCs w:val="26"/>
        </w:rPr>
        <w:t>he parties disagree</w:t>
      </w:r>
      <w:r w:rsidRPr="00956AB0">
        <w:rPr>
          <w:rFonts w:eastAsia="Times New Roman"/>
          <w:kern w:val="2"/>
          <w:szCs w:val="26"/>
        </w:rPr>
        <w:t>d</w:t>
      </w:r>
      <w:r w:rsidRPr="00956AB0">
        <w:rPr>
          <w:rFonts w:eastAsia="Times New Roman"/>
          <w:kern w:val="2"/>
          <w:szCs w:val="26"/>
        </w:rPr>
        <w:t xml:space="preserve"> whether the ABC test or the </w:t>
      </w:r>
      <w:r w:rsidRPr="00956AB0">
        <w:rPr>
          <w:rFonts w:eastAsia="Times New Roman"/>
          <w:i/>
          <w:iCs/>
          <w:kern w:val="2"/>
          <w:szCs w:val="26"/>
        </w:rPr>
        <w:t>Borello</w:t>
      </w:r>
      <w:r w:rsidRPr="00956AB0">
        <w:rPr>
          <w:rFonts w:eastAsia="Times New Roman"/>
          <w:kern w:val="2"/>
          <w:szCs w:val="26"/>
        </w:rPr>
        <w:t xml:space="preserve"> </w:t>
      </w:r>
      <w:r w:rsidRPr="00956AB0">
        <w:rPr>
          <w:rFonts w:eastAsia="Times New Roman"/>
          <w:kern w:val="2"/>
          <w:szCs w:val="26"/>
        </w:rPr>
        <w:lastRenderedPageBreak/>
        <w:t>standard</w:t>
      </w:r>
      <w:r w:rsidRPr="00956AB0">
        <w:rPr>
          <w:rFonts w:eastAsia="Times New Roman"/>
          <w:kern w:val="2"/>
          <w:szCs w:val="26"/>
        </w:rPr>
        <w:t xml:space="preserve"> applies to the People’s misclassificatio</w:t>
      </w:r>
      <w:r w:rsidRPr="00956AB0">
        <w:rPr>
          <w:rFonts w:eastAsia="Times New Roman"/>
          <w:kern w:val="2"/>
          <w:szCs w:val="26"/>
        </w:rPr>
        <w:t>n-based UCL claims</w:t>
      </w:r>
      <w:r w:rsidRPr="00956AB0">
        <w:rPr>
          <w:rFonts w:eastAsia="Times New Roman"/>
          <w:kern w:val="2"/>
          <w:szCs w:val="26"/>
        </w:rPr>
        <w:t>,</w:t>
      </w:r>
      <w:r w:rsidRPr="00956AB0">
        <w:rPr>
          <w:rFonts w:eastAsia="Times New Roman"/>
          <w:kern w:val="2"/>
          <w:szCs w:val="26"/>
        </w:rPr>
        <w:t xml:space="preserve"> </w:t>
      </w:r>
      <w:r w:rsidRPr="00956AB0">
        <w:rPr>
          <w:rFonts w:eastAsia="Times New Roman"/>
          <w:kern w:val="2"/>
          <w:szCs w:val="26"/>
        </w:rPr>
        <w:t>t</w:t>
      </w:r>
      <w:r w:rsidRPr="00956AB0">
        <w:rPr>
          <w:rFonts w:eastAsia="Times New Roman"/>
          <w:kern w:val="2"/>
          <w:szCs w:val="26"/>
        </w:rPr>
        <w:t>he trial</w:t>
      </w:r>
      <w:r w:rsidRPr="00956AB0">
        <w:rPr>
          <w:rFonts w:eastAsia="Times New Roman"/>
          <w:kern w:val="2"/>
          <w:szCs w:val="26"/>
        </w:rPr>
        <w:t xml:space="preserve"> court permitted defendants to submit a motion in limine</w:t>
      </w:r>
      <w:r w:rsidRPr="00956AB0">
        <w:rPr>
          <w:rFonts w:eastAsia="Times New Roman"/>
          <w:kern w:val="2"/>
          <w:szCs w:val="26"/>
        </w:rPr>
        <w:t>, before substantial discovery or filing of dispositive motions,</w:t>
      </w:r>
      <w:r w:rsidRPr="00956AB0">
        <w:rPr>
          <w:rFonts w:eastAsia="Times New Roman"/>
          <w:kern w:val="2"/>
          <w:szCs w:val="26"/>
        </w:rPr>
        <w:t xml:space="preserve"> addressing</w:t>
      </w:r>
      <w:r w:rsidRPr="00956AB0">
        <w:rPr>
          <w:rFonts w:eastAsia="Times New Roman"/>
          <w:kern w:val="2"/>
          <w:szCs w:val="26"/>
        </w:rPr>
        <w:t xml:space="preserve"> </w:t>
      </w:r>
      <w:r w:rsidRPr="00956AB0">
        <w:rPr>
          <w:rFonts w:eastAsia="Times New Roman"/>
          <w:kern w:val="2"/>
          <w:szCs w:val="26"/>
        </w:rPr>
        <w:t xml:space="preserve">(1) whether </w:t>
      </w:r>
      <w:r w:rsidRPr="00956AB0">
        <w:rPr>
          <w:rFonts w:eastAsia="Times New Roman"/>
          <w:i/>
          <w:iCs/>
          <w:kern w:val="2"/>
          <w:szCs w:val="26"/>
        </w:rPr>
        <w:t>Dynamex</w:t>
      </w:r>
      <w:r w:rsidRPr="00956AB0">
        <w:rPr>
          <w:rFonts w:eastAsia="Times New Roman"/>
          <w:kern w:val="2"/>
          <w:szCs w:val="26"/>
        </w:rPr>
        <w:t xml:space="preserve"> is preempted by federal law; and (2) whether </w:t>
      </w:r>
      <w:r w:rsidRPr="00956AB0">
        <w:rPr>
          <w:rFonts w:eastAsia="Times New Roman"/>
          <w:i/>
          <w:iCs/>
          <w:kern w:val="2"/>
          <w:szCs w:val="26"/>
        </w:rPr>
        <w:t>Dynamex</w:t>
      </w:r>
      <w:r w:rsidRPr="00956AB0">
        <w:rPr>
          <w:rFonts w:eastAsia="Times New Roman"/>
          <w:kern w:val="2"/>
          <w:szCs w:val="26"/>
        </w:rPr>
        <w:t xml:space="preserve"> can be applied retroactively.</w:t>
      </w:r>
      <w:r>
        <w:rPr>
          <w:rStyle w:val="FootnoteReference"/>
          <w:rFonts w:eastAsia="Times New Roman"/>
          <w:b w:val="0"/>
          <w:bCs/>
          <w:kern w:val="2"/>
          <w:sz w:val="26"/>
          <w:szCs w:val="26"/>
        </w:rPr>
        <w:footnoteReference w:id="7"/>
      </w:r>
      <w:r w:rsidRPr="00957D14">
        <w:rPr>
          <w:rFonts w:eastAsia="Times New Roman"/>
          <w:b/>
          <w:bCs/>
          <w:kern w:val="2"/>
          <w:szCs w:val="26"/>
        </w:rPr>
        <w:t xml:space="preserve"> </w:t>
      </w:r>
      <w:r w:rsidRPr="00956AB0">
        <w:rPr>
          <w:rFonts w:eastAsia="Times New Roman"/>
          <w:kern w:val="2"/>
          <w:szCs w:val="26"/>
        </w:rPr>
        <w:t>Following two rounds of briefing and two hearings, the trial court directed both parties to lodge proposed orders. A</w:t>
      </w:r>
      <w:r w:rsidRPr="00956AB0">
        <w:rPr>
          <w:rFonts w:eastAsia="Times New Roman"/>
          <w:kern w:val="2"/>
          <w:szCs w:val="26"/>
        </w:rPr>
        <w:t>fter argument at</w:t>
      </w:r>
      <w:r w:rsidRPr="00956AB0">
        <w:rPr>
          <w:rFonts w:eastAsia="Times New Roman"/>
          <w:kern w:val="2"/>
          <w:szCs w:val="26"/>
        </w:rPr>
        <w:t xml:space="preserve"> the second hearing, the </w:t>
      </w:r>
      <w:r w:rsidRPr="00956AB0">
        <w:rPr>
          <w:rFonts w:eastAsia="Times New Roman"/>
          <w:kern w:val="2"/>
          <w:szCs w:val="26"/>
        </w:rPr>
        <w:t>trial judge</w:t>
      </w:r>
      <w:r w:rsidRPr="00956AB0">
        <w:rPr>
          <w:rFonts w:eastAsia="Times New Roman"/>
          <w:kern w:val="2"/>
          <w:szCs w:val="26"/>
        </w:rPr>
        <w:t xml:space="preserve"> </w:t>
      </w:r>
      <w:r w:rsidRPr="00956AB0">
        <w:rPr>
          <w:rFonts w:eastAsia="Times New Roman"/>
          <w:kern w:val="2"/>
          <w:szCs w:val="26"/>
        </w:rPr>
        <w:t>n</w:t>
      </w:r>
      <w:r w:rsidRPr="00956AB0">
        <w:rPr>
          <w:rFonts w:eastAsia="Times New Roman"/>
          <w:kern w:val="2"/>
          <w:szCs w:val="26"/>
        </w:rPr>
        <w:t>oted he</w:t>
      </w:r>
      <w:r w:rsidRPr="00956AB0">
        <w:rPr>
          <w:rFonts w:eastAsia="Times New Roman"/>
          <w:kern w:val="2"/>
          <w:szCs w:val="26"/>
        </w:rPr>
        <w:t xml:space="preserve"> was “tending away from</w:t>
      </w:r>
      <w:r w:rsidRPr="00956AB0">
        <w:rPr>
          <w:rFonts w:eastAsia="Times New Roman"/>
          <w:kern w:val="2"/>
          <w:szCs w:val="26"/>
        </w:rPr>
        <w:t xml:space="preserve"> finding</w:t>
      </w:r>
      <w:r w:rsidRPr="00956AB0">
        <w:rPr>
          <w:rFonts w:eastAsia="Times New Roman"/>
          <w:kern w:val="2"/>
          <w:szCs w:val="26"/>
        </w:rPr>
        <w:t xml:space="preserve"> preemption</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 xml:space="preserve">” but that his </w:t>
      </w:r>
      <w:r w:rsidRPr="00956AB0">
        <w:rPr>
          <w:rFonts w:eastAsia="Times New Roman"/>
          <w:kern w:val="2"/>
          <w:szCs w:val="26"/>
        </w:rPr>
        <w:t xml:space="preserve">indecision </w:t>
      </w:r>
      <w:r w:rsidRPr="00956AB0">
        <w:rPr>
          <w:rFonts w:eastAsia="Times New Roman"/>
          <w:kern w:val="2"/>
          <w:szCs w:val="26"/>
        </w:rPr>
        <w:t xml:space="preserve">“would tend to indicate why it’s a very suitable matter for appeal.” Ultimately, the court </w:t>
      </w:r>
      <w:r w:rsidRPr="00956AB0">
        <w:rPr>
          <w:rFonts w:eastAsia="Times New Roman"/>
          <w:kern w:val="2"/>
          <w:szCs w:val="26"/>
        </w:rPr>
        <w:t>adopted defendants’ proposed order without significant modification,</w:t>
      </w:r>
      <w:r w:rsidRPr="00956AB0">
        <w:rPr>
          <w:rFonts w:eastAsia="Times New Roman"/>
          <w:kern w:val="2"/>
          <w:szCs w:val="26"/>
        </w:rPr>
        <w:t xml:space="preserve"> </w:t>
      </w:r>
      <w:r w:rsidRPr="00956AB0">
        <w:rPr>
          <w:rFonts w:eastAsia="Times New Roman"/>
          <w:kern w:val="2"/>
          <w:szCs w:val="26"/>
        </w:rPr>
        <w:t>granting</w:t>
      </w:r>
      <w:r w:rsidRPr="00956AB0">
        <w:rPr>
          <w:rFonts w:eastAsia="Times New Roman"/>
          <w:kern w:val="2"/>
          <w:szCs w:val="26"/>
        </w:rPr>
        <w:t xml:space="preserve"> in part defendants’ motion in limine</w:t>
      </w:r>
      <w:r w:rsidRPr="00956AB0">
        <w:rPr>
          <w:rFonts w:eastAsia="Times New Roman"/>
          <w:kern w:val="2"/>
          <w:szCs w:val="26"/>
        </w:rPr>
        <w:t>.</w:t>
      </w:r>
      <w:r w:rsidRPr="00956AB0">
        <w:rPr>
          <w:rFonts w:eastAsia="Times New Roman"/>
          <w:kern w:val="2"/>
          <w:szCs w:val="26"/>
        </w:rPr>
        <w:t xml:space="preserve"> It held “[b]ecause Prong B of the ABC Test under both </w:t>
      </w:r>
      <w:r w:rsidRPr="00956AB0">
        <w:rPr>
          <w:rFonts w:eastAsia="Times New Roman"/>
          <w:i/>
          <w:iCs/>
          <w:kern w:val="2"/>
          <w:szCs w:val="26"/>
        </w:rPr>
        <w:t>Dynamex</w:t>
      </w:r>
      <w:r w:rsidRPr="00956AB0">
        <w:rPr>
          <w:rFonts w:eastAsia="Times New Roman"/>
          <w:kern w:val="2"/>
          <w:szCs w:val="26"/>
        </w:rPr>
        <w:t xml:space="preserve"> and AB 5 prohibits motor carriers from using independent contractors to provide transportation services, the ABC Test has an impermissible effect on motor </w:t>
      </w:r>
      <w:r w:rsidRPr="00956AB0">
        <w:rPr>
          <w:rFonts w:eastAsia="Times New Roman"/>
          <w:kern w:val="2"/>
          <w:szCs w:val="26"/>
        </w:rPr>
        <w:t>carriers’ ‘price[s], route[s], [and] service[s]</w:t>
      </w:r>
      <w:r w:rsidRPr="00956AB0">
        <w:rPr>
          <w:rFonts w:eastAsia="Times New Roman"/>
          <w:kern w:val="2"/>
          <w:szCs w:val="26"/>
        </w:rPr>
        <w:t>’</w:t>
      </w:r>
      <w:r w:rsidRPr="00956AB0">
        <w:rPr>
          <w:rFonts w:eastAsia="Times New Roman"/>
          <w:kern w:val="2"/>
          <w:szCs w:val="26"/>
        </w:rPr>
        <w:t xml:space="preserve"> and is preempted by the FAAAA.” </w:t>
      </w:r>
      <w:r w:rsidRPr="00956AB0">
        <w:rPr>
          <w:rFonts w:eastAsia="Times New Roman"/>
          <w:kern w:val="2"/>
          <w:szCs w:val="26"/>
        </w:rPr>
        <w:t xml:space="preserve">It </w:t>
      </w:r>
      <w:r w:rsidRPr="00956AB0">
        <w:rPr>
          <w:rFonts w:eastAsia="Times New Roman"/>
          <w:kern w:val="2"/>
          <w:szCs w:val="26"/>
        </w:rPr>
        <w:t xml:space="preserve">certified its ruling for writ review pursuant to Code of Civil Procedure section 166.1. </w:t>
      </w:r>
    </w:p>
    <w:p w14:paraId="3BA208D2" w14:textId="77777777" w:rsidR="00BC5574" w:rsidRPr="00956AB0" w:rsidRDefault="00B24AFB" w:rsidP="004643D6">
      <w:pPr>
        <w:ind w:firstLine="720"/>
        <w:rPr>
          <w:rFonts w:eastAsia="Times New Roman"/>
          <w:kern w:val="2"/>
          <w:szCs w:val="26"/>
        </w:rPr>
      </w:pPr>
      <w:r w:rsidRPr="00956AB0">
        <w:rPr>
          <w:rFonts w:eastAsia="Times New Roman"/>
          <w:kern w:val="2"/>
          <w:szCs w:val="26"/>
        </w:rPr>
        <w:t>The People petitioned this court for a writ of mandate directing respondent court t</w:t>
      </w:r>
      <w:r w:rsidRPr="00956AB0">
        <w:rPr>
          <w:rFonts w:eastAsia="Times New Roman"/>
          <w:kern w:val="2"/>
          <w:szCs w:val="26"/>
        </w:rPr>
        <w:t xml:space="preserve">o vacate its order or, at a minimum, to issue an alternative writ or order to show cause directing </w:t>
      </w:r>
      <w:r w:rsidRPr="00956AB0">
        <w:rPr>
          <w:rFonts w:eastAsia="Times New Roman"/>
          <w:kern w:val="2"/>
          <w:szCs w:val="26"/>
        </w:rPr>
        <w:t xml:space="preserve">the real parties in interest </w:t>
      </w:r>
      <w:r w:rsidRPr="00956AB0">
        <w:rPr>
          <w:rFonts w:eastAsia="Times New Roman"/>
          <w:kern w:val="2"/>
          <w:szCs w:val="26"/>
        </w:rPr>
        <w:t>to show cause why the writ should not issue. We summarily denied the petition. The California Supreme Court granted the People’s</w:t>
      </w:r>
      <w:r w:rsidRPr="00956AB0">
        <w:rPr>
          <w:rFonts w:eastAsia="Times New Roman"/>
          <w:kern w:val="2"/>
          <w:szCs w:val="26"/>
        </w:rPr>
        <w:t xml:space="preserve"> petition for review and transferred the matter back to this court with directions to vacate </w:t>
      </w:r>
      <w:r w:rsidRPr="00956AB0">
        <w:rPr>
          <w:rFonts w:eastAsia="Times New Roman"/>
          <w:kern w:val="2"/>
          <w:szCs w:val="26"/>
        </w:rPr>
        <w:t>our</w:t>
      </w:r>
      <w:r w:rsidRPr="00956AB0">
        <w:rPr>
          <w:rFonts w:eastAsia="Times New Roman"/>
          <w:kern w:val="2"/>
          <w:szCs w:val="26"/>
        </w:rPr>
        <w:t xml:space="preserve"> order </w:t>
      </w:r>
      <w:r w:rsidRPr="00956AB0">
        <w:rPr>
          <w:rFonts w:eastAsia="Times New Roman"/>
          <w:kern w:val="2"/>
          <w:szCs w:val="26"/>
        </w:rPr>
        <w:lastRenderedPageBreak/>
        <w:t>denying mandate and to issue an order directing respondent superior court to show cause why the relief sought in the petition should not be granted.</w:t>
      </w:r>
      <w:r w:rsidRPr="00956AB0">
        <w:rPr>
          <w:rFonts w:eastAsia="Times New Roman"/>
          <w:kern w:val="2"/>
          <w:szCs w:val="26"/>
        </w:rPr>
        <w:t xml:space="preserve"> </w:t>
      </w:r>
      <w:r w:rsidRPr="00956AB0">
        <w:rPr>
          <w:rFonts w:eastAsia="Times New Roman"/>
          <w:kern w:val="2"/>
          <w:szCs w:val="26"/>
        </w:rPr>
        <w:t xml:space="preserve">We </w:t>
      </w:r>
      <w:r w:rsidRPr="00956AB0">
        <w:rPr>
          <w:rFonts w:eastAsia="Times New Roman"/>
          <w:kern w:val="2"/>
          <w:szCs w:val="26"/>
        </w:rPr>
        <w:t>c</w:t>
      </w:r>
      <w:r w:rsidRPr="00956AB0">
        <w:rPr>
          <w:rFonts w:eastAsia="Times New Roman"/>
          <w:kern w:val="2"/>
          <w:szCs w:val="26"/>
        </w:rPr>
        <w:t xml:space="preserve">omplied, </w:t>
      </w:r>
      <w:r w:rsidRPr="00956AB0">
        <w:rPr>
          <w:rFonts w:eastAsia="Times New Roman"/>
          <w:kern w:val="2"/>
          <w:szCs w:val="26"/>
        </w:rPr>
        <w:t>issu</w:t>
      </w:r>
      <w:r w:rsidRPr="00956AB0">
        <w:rPr>
          <w:rFonts w:eastAsia="Times New Roman"/>
          <w:kern w:val="2"/>
          <w:szCs w:val="26"/>
        </w:rPr>
        <w:t>ing</w:t>
      </w:r>
      <w:r w:rsidRPr="00956AB0">
        <w:rPr>
          <w:rFonts w:eastAsia="Times New Roman"/>
          <w:kern w:val="2"/>
          <w:szCs w:val="26"/>
        </w:rPr>
        <w:t xml:space="preserve"> an order to show cause on July 10, 2020. Real parties in interest filed a return, and the People filed a reply.</w:t>
      </w:r>
      <w:r w:rsidRPr="00956AB0">
        <w:rPr>
          <w:rFonts w:eastAsia="Times New Roman"/>
          <w:kern w:val="2"/>
          <w:szCs w:val="26"/>
        </w:rPr>
        <w:t xml:space="preserve"> </w:t>
      </w:r>
      <w:r w:rsidRPr="00956AB0">
        <w:rPr>
          <w:rFonts w:eastAsia="Times New Roman"/>
          <w:kern w:val="2"/>
          <w:szCs w:val="26"/>
        </w:rPr>
        <w:t xml:space="preserve">We also granted the applications of </w:t>
      </w:r>
      <w:r w:rsidRPr="00956AB0">
        <w:rPr>
          <w:rFonts w:eastAsia="Times New Roman"/>
          <w:kern w:val="2"/>
          <w:szCs w:val="26"/>
        </w:rPr>
        <w:t xml:space="preserve">the </w:t>
      </w:r>
      <w:bookmarkStart w:id="5" w:name="_Hlk54253948"/>
      <w:r w:rsidRPr="00956AB0">
        <w:rPr>
          <w:rFonts w:eastAsia="Times New Roman"/>
          <w:kern w:val="2"/>
          <w:szCs w:val="26"/>
        </w:rPr>
        <w:t>International Brotherhood of Teamsters, the California Attorney General, the City of Oa</w:t>
      </w:r>
      <w:r w:rsidRPr="00956AB0">
        <w:rPr>
          <w:rFonts w:eastAsia="Times New Roman"/>
          <w:kern w:val="2"/>
          <w:szCs w:val="26"/>
        </w:rPr>
        <w:t>kland</w:t>
      </w:r>
      <w:r w:rsidRPr="00956AB0">
        <w:rPr>
          <w:rFonts w:eastAsia="Times New Roman"/>
          <w:kern w:val="2"/>
          <w:szCs w:val="26"/>
        </w:rPr>
        <w:t>, and</w:t>
      </w:r>
      <w:r w:rsidRPr="00956AB0">
        <w:rPr>
          <w:rFonts w:eastAsia="Times New Roman"/>
          <w:kern w:val="2"/>
          <w:szCs w:val="26"/>
        </w:rPr>
        <w:t xml:space="preserve"> the City and County of San Francisco </w:t>
      </w:r>
      <w:r w:rsidRPr="00956AB0">
        <w:rPr>
          <w:rFonts w:eastAsia="Times New Roman"/>
          <w:kern w:val="2"/>
          <w:szCs w:val="26"/>
        </w:rPr>
        <w:t>to file amicus briefs in support of</w:t>
      </w:r>
      <w:r w:rsidRPr="00956AB0">
        <w:rPr>
          <w:rFonts w:eastAsia="Times New Roman"/>
          <w:kern w:val="2"/>
          <w:szCs w:val="26"/>
        </w:rPr>
        <w:t xml:space="preserve"> the People,</w:t>
      </w:r>
      <w:r w:rsidRPr="00956AB0">
        <w:rPr>
          <w:rFonts w:eastAsia="Times New Roman"/>
          <w:kern w:val="2"/>
          <w:szCs w:val="26"/>
        </w:rPr>
        <w:t xml:space="preserve"> and </w:t>
      </w:r>
      <w:r w:rsidRPr="00956AB0">
        <w:rPr>
          <w:rFonts w:eastAsia="Times New Roman"/>
          <w:kern w:val="2"/>
          <w:szCs w:val="26"/>
        </w:rPr>
        <w:t>The Chamber of Commerce of the United State</w:t>
      </w:r>
      <w:r w:rsidRPr="00956AB0">
        <w:rPr>
          <w:rFonts w:eastAsia="Times New Roman"/>
          <w:kern w:val="2"/>
          <w:szCs w:val="26"/>
        </w:rPr>
        <w:t>s</w:t>
      </w:r>
      <w:r w:rsidRPr="00956AB0">
        <w:rPr>
          <w:rFonts w:eastAsia="Times New Roman"/>
          <w:kern w:val="2"/>
          <w:szCs w:val="26"/>
        </w:rPr>
        <w:t xml:space="preserve"> of America, America</w:t>
      </w:r>
      <w:r w:rsidRPr="00956AB0">
        <w:rPr>
          <w:rFonts w:eastAsia="Times New Roman"/>
          <w:kern w:val="2"/>
          <w:szCs w:val="26"/>
        </w:rPr>
        <w:t>n</w:t>
      </w:r>
      <w:r w:rsidRPr="00956AB0">
        <w:rPr>
          <w:rFonts w:eastAsia="Times New Roman"/>
          <w:kern w:val="2"/>
          <w:szCs w:val="26"/>
        </w:rPr>
        <w:t xml:space="preserve"> </w:t>
      </w:r>
      <w:r w:rsidRPr="00956AB0">
        <w:rPr>
          <w:rFonts w:eastAsia="Times New Roman"/>
          <w:kern w:val="2"/>
          <w:szCs w:val="26"/>
        </w:rPr>
        <w:t>Trucking Associations, Inc. and California Trucking Association, and Western State</w:t>
      </w:r>
      <w:r w:rsidRPr="00956AB0">
        <w:rPr>
          <w:rFonts w:eastAsia="Times New Roman"/>
          <w:kern w:val="2"/>
          <w:szCs w:val="26"/>
        </w:rPr>
        <w:t>s</w:t>
      </w:r>
      <w:r w:rsidRPr="00956AB0">
        <w:rPr>
          <w:rFonts w:eastAsia="Times New Roman"/>
          <w:kern w:val="2"/>
          <w:szCs w:val="26"/>
        </w:rPr>
        <w:t xml:space="preserve"> Trucking Association</w:t>
      </w:r>
      <w:r w:rsidRPr="00956AB0">
        <w:rPr>
          <w:rFonts w:eastAsia="Times New Roman"/>
          <w:kern w:val="2"/>
          <w:szCs w:val="26"/>
        </w:rPr>
        <w:t xml:space="preserve"> to file amicus briefs in support of</w:t>
      </w:r>
      <w:r w:rsidRPr="00956AB0">
        <w:rPr>
          <w:rFonts w:eastAsia="Times New Roman"/>
          <w:kern w:val="2"/>
          <w:szCs w:val="26"/>
        </w:rPr>
        <w:t xml:space="preserve"> defendants</w:t>
      </w:r>
      <w:r w:rsidRPr="00956AB0">
        <w:rPr>
          <w:rFonts w:eastAsia="Times New Roman"/>
          <w:kern w:val="2"/>
          <w:szCs w:val="26"/>
        </w:rPr>
        <w:t>.</w:t>
      </w:r>
    </w:p>
    <w:bookmarkEnd w:id="5"/>
    <w:p w14:paraId="52393EFF" w14:textId="77777777" w:rsidR="00DF2B6E" w:rsidRPr="00956AB0" w:rsidRDefault="00B24AFB" w:rsidP="00DF2B6E">
      <w:pPr>
        <w:jc w:val="center"/>
        <w:rPr>
          <w:szCs w:val="26"/>
        </w:rPr>
      </w:pPr>
    </w:p>
    <w:p w14:paraId="7932AD40" w14:textId="77777777" w:rsidR="000F672E" w:rsidRPr="00956AB0" w:rsidRDefault="00B24AFB" w:rsidP="00DF2B6E">
      <w:pPr>
        <w:jc w:val="center"/>
        <w:rPr>
          <w:b/>
          <w:bCs/>
          <w:szCs w:val="26"/>
        </w:rPr>
      </w:pPr>
      <w:r w:rsidRPr="00956AB0">
        <w:rPr>
          <w:b/>
          <w:bCs/>
          <w:szCs w:val="26"/>
        </w:rPr>
        <w:t>DISCUSSION</w:t>
      </w:r>
    </w:p>
    <w:p w14:paraId="282D70AE" w14:textId="77777777" w:rsidR="00DF2B6E" w:rsidRPr="00956AB0" w:rsidRDefault="00B24AFB" w:rsidP="00DF2B6E">
      <w:pPr>
        <w:jc w:val="center"/>
        <w:rPr>
          <w:b/>
          <w:bCs/>
          <w:szCs w:val="26"/>
        </w:rPr>
      </w:pPr>
    </w:p>
    <w:p w14:paraId="72488392" w14:textId="77777777" w:rsidR="00551B5E" w:rsidRPr="00956AB0" w:rsidRDefault="00B24AFB" w:rsidP="003F04C8">
      <w:pPr>
        <w:pStyle w:val="ListParagraph"/>
        <w:numPr>
          <w:ilvl w:val="0"/>
          <w:numId w:val="16"/>
        </w:numPr>
        <w:ind w:left="810" w:hanging="450"/>
        <w:rPr>
          <w:rFonts w:eastAsia="Times New Roman"/>
          <w:b/>
          <w:bCs/>
          <w:kern w:val="2"/>
          <w:szCs w:val="26"/>
        </w:rPr>
      </w:pPr>
      <w:r w:rsidRPr="00956AB0">
        <w:rPr>
          <w:rFonts w:eastAsia="Times New Roman"/>
          <w:b/>
          <w:bCs/>
          <w:kern w:val="2"/>
          <w:szCs w:val="26"/>
        </w:rPr>
        <w:t>Standard of Review</w:t>
      </w:r>
      <w:r w:rsidRPr="00956AB0">
        <w:rPr>
          <w:rFonts w:eastAsia="Times New Roman"/>
          <w:b/>
          <w:bCs/>
          <w:kern w:val="2"/>
          <w:szCs w:val="26"/>
        </w:rPr>
        <w:t xml:space="preserve"> and Federal Preemption Principles</w:t>
      </w:r>
    </w:p>
    <w:p w14:paraId="62EC795D" w14:textId="77777777" w:rsidR="00551B5E" w:rsidRPr="00956AB0" w:rsidRDefault="00B24AFB" w:rsidP="00551B5E">
      <w:pPr>
        <w:ind w:left="360"/>
        <w:rPr>
          <w:rFonts w:eastAsia="Times New Roman"/>
          <w:kern w:val="2"/>
          <w:szCs w:val="26"/>
        </w:rPr>
      </w:pPr>
    </w:p>
    <w:p w14:paraId="24F8D268" w14:textId="77777777" w:rsidR="00551B5E" w:rsidRPr="00956AB0" w:rsidRDefault="00B24AFB" w:rsidP="009928F7">
      <w:pPr>
        <w:ind w:firstLine="720"/>
        <w:rPr>
          <w:rFonts w:eastAsia="Times New Roman"/>
          <w:kern w:val="2"/>
          <w:szCs w:val="26"/>
        </w:rPr>
      </w:pPr>
      <w:r w:rsidRPr="00956AB0">
        <w:rPr>
          <w:rFonts w:eastAsia="Times New Roman"/>
          <w:kern w:val="2"/>
          <w:szCs w:val="26"/>
        </w:rPr>
        <w:t>We review de novo a trial court’s decision</w:t>
      </w:r>
      <w:r w:rsidRPr="00956AB0">
        <w:rPr>
          <w:rFonts w:eastAsia="Times New Roman"/>
          <w:kern w:val="2"/>
          <w:szCs w:val="26"/>
        </w:rPr>
        <w:t>s</w:t>
      </w:r>
      <w:r w:rsidRPr="00956AB0">
        <w:rPr>
          <w:rFonts w:eastAsia="Times New Roman"/>
          <w:kern w:val="2"/>
          <w:szCs w:val="26"/>
        </w:rPr>
        <w:t xml:space="preserve"> regarding preemption and statutory construction. (</w:t>
      </w:r>
      <w:r w:rsidRPr="003D1F9A">
        <w:rPr>
          <w:rFonts w:eastAsia="Times New Roman"/>
          <w:iCs/>
          <w:kern w:val="2"/>
          <w:szCs w:val="26"/>
        </w:rPr>
        <w:t>See</w:t>
      </w:r>
      <w:r>
        <w:rPr>
          <w:rFonts w:eastAsia="Times New Roman"/>
          <w:iCs/>
          <w:kern w:val="2"/>
          <w:szCs w:val="26"/>
        </w:rPr>
        <w:t>,</w:t>
      </w:r>
      <w:r w:rsidRPr="00956AB0">
        <w:rPr>
          <w:rFonts w:eastAsia="Times New Roman"/>
          <w:i/>
          <w:iCs/>
          <w:kern w:val="2"/>
          <w:szCs w:val="26"/>
        </w:rPr>
        <w:t xml:space="preserve"> </w:t>
      </w:r>
      <w:r w:rsidRPr="003D1F9A">
        <w:rPr>
          <w:rFonts w:eastAsia="Times New Roman"/>
          <w:iCs/>
          <w:kern w:val="2"/>
          <w:szCs w:val="26"/>
        </w:rPr>
        <w:t>e.g</w:t>
      </w:r>
      <w:r w:rsidRPr="00956AB0">
        <w:rPr>
          <w:rFonts w:eastAsia="Times New Roman"/>
          <w:i/>
          <w:iCs/>
          <w:kern w:val="2"/>
          <w:szCs w:val="26"/>
        </w:rPr>
        <w:t>.</w:t>
      </w:r>
      <w:r>
        <w:rPr>
          <w:rFonts w:eastAsia="Times New Roman"/>
          <w:iCs/>
          <w:kern w:val="2"/>
          <w:szCs w:val="26"/>
        </w:rPr>
        <w:t>,</w:t>
      </w:r>
      <w:r w:rsidRPr="00956AB0">
        <w:rPr>
          <w:rFonts w:eastAsia="Times New Roman"/>
          <w:i/>
          <w:iCs/>
          <w:kern w:val="2"/>
          <w:szCs w:val="26"/>
        </w:rPr>
        <w:t xml:space="preserve"> Roberts v. United Healthcare Services, Inc</w:t>
      </w:r>
      <w:r w:rsidRPr="00956AB0">
        <w:rPr>
          <w:rFonts w:eastAsia="Times New Roman"/>
          <w:kern w:val="2"/>
          <w:szCs w:val="26"/>
        </w:rPr>
        <w:t xml:space="preserve">. (2016) 2 Cal.App.5th 132, 142 [“Where, as here, preemption turns on questions of law such as the meaning of a preemption clause or the </w:t>
      </w:r>
      <w:r w:rsidRPr="00956AB0">
        <w:rPr>
          <w:rFonts w:eastAsia="Times New Roman"/>
          <w:kern w:val="2"/>
          <w:szCs w:val="26"/>
        </w:rPr>
        <w:t>ascertainment of congressional intent, our review is de novo</w:t>
      </w:r>
      <w:r w:rsidRPr="00956AB0">
        <w:rPr>
          <w:rFonts w:eastAsia="Times New Roman"/>
          <w:kern w:val="2"/>
          <w:szCs w:val="26"/>
        </w:rPr>
        <w:t>. [Citations.]</w:t>
      </w:r>
      <w:r w:rsidRPr="00956AB0">
        <w:rPr>
          <w:rFonts w:eastAsia="Times New Roman"/>
          <w:kern w:val="2"/>
          <w:szCs w:val="26"/>
        </w:rPr>
        <w:t xml:space="preserve">”]; </w:t>
      </w:r>
      <w:r w:rsidRPr="00956AB0">
        <w:rPr>
          <w:rFonts w:eastAsia="Times New Roman"/>
          <w:i/>
          <w:iCs/>
          <w:kern w:val="2"/>
          <w:szCs w:val="26"/>
        </w:rPr>
        <w:t>Farm Raised Salmon Cases</w:t>
      </w:r>
      <w:r w:rsidRPr="00956AB0">
        <w:rPr>
          <w:rFonts w:eastAsia="Times New Roman"/>
          <w:kern w:val="2"/>
          <w:szCs w:val="26"/>
        </w:rPr>
        <w:t xml:space="preserve"> (2008) 42 Cal.</w:t>
      </w:r>
      <w:r w:rsidRPr="00956AB0">
        <w:rPr>
          <w:rFonts w:eastAsia="Times New Roman"/>
          <w:kern w:val="2"/>
          <w:szCs w:val="26"/>
        </w:rPr>
        <w:t>4th</w:t>
      </w:r>
      <w:r w:rsidRPr="00956AB0">
        <w:rPr>
          <w:rFonts w:eastAsia="Times New Roman"/>
          <w:kern w:val="2"/>
          <w:szCs w:val="26"/>
        </w:rPr>
        <w:t xml:space="preserve"> 1077, 1089, fn. 10</w:t>
      </w:r>
      <w:r w:rsidRPr="00956AB0">
        <w:rPr>
          <w:rFonts w:eastAsia="Times New Roman"/>
          <w:kern w:val="2"/>
          <w:szCs w:val="26"/>
        </w:rPr>
        <w:t xml:space="preserve"> [“federal preemption presents a pure question of law</w:t>
      </w:r>
      <w:r w:rsidRPr="00956AB0">
        <w:rPr>
          <w:rFonts w:eastAsia="Times New Roman"/>
          <w:kern w:val="2"/>
          <w:szCs w:val="26"/>
        </w:rPr>
        <w:t>. [Citation.]</w:t>
      </w:r>
      <w:r w:rsidRPr="00956AB0">
        <w:rPr>
          <w:rFonts w:eastAsia="Times New Roman"/>
          <w:kern w:val="2"/>
          <w:szCs w:val="26"/>
        </w:rPr>
        <w:t>”].)</w:t>
      </w:r>
      <w:r w:rsidRPr="00956AB0">
        <w:rPr>
          <w:rFonts w:eastAsia="Times New Roman"/>
          <w:kern w:val="2"/>
          <w:szCs w:val="26"/>
        </w:rPr>
        <w:t xml:space="preserve"> </w:t>
      </w:r>
      <w:r w:rsidRPr="00956AB0">
        <w:rPr>
          <w:rFonts w:eastAsia="Times New Roman"/>
          <w:kern w:val="2"/>
          <w:szCs w:val="26"/>
        </w:rPr>
        <w:t>Also, “[w]</w:t>
      </w:r>
      <w:r w:rsidRPr="00956AB0">
        <w:rPr>
          <w:rFonts w:cs="Arial"/>
          <w:color w:val="000000" w:themeColor="text1"/>
          <w:szCs w:val="26"/>
          <w:shd w:val="clear" w:color="auto" w:fill="FFFFFF"/>
        </w:rPr>
        <w:t>hen a motion in limine ‘results in t</w:t>
      </w:r>
      <w:r w:rsidRPr="00956AB0">
        <w:rPr>
          <w:rFonts w:cs="Arial"/>
          <w:color w:val="000000" w:themeColor="text1"/>
          <w:szCs w:val="26"/>
          <w:shd w:val="clear" w:color="auto" w:fill="FFFFFF"/>
        </w:rPr>
        <w:t>he entire elimination of a cause of action or a defense, we treat it as a demurrer to the evidence and review the motion de novo</w:t>
      </w:r>
      <w:r w:rsidRPr="00956AB0">
        <w:rPr>
          <w:rFonts w:cs="Arial"/>
          <w:color w:val="000000" w:themeColor="text1"/>
          <w:szCs w:val="26"/>
          <w:shd w:val="clear" w:color="auto" w:fill="FFFFFF"/>
        </w:rPr>
        <w:t> . . .</w:t>
      </w:r>
      <w:r w:rsidRPr="00956AB0">
        <w:rPr>
          <w:rFonts w:cs="Arial"/>
          <w:color w:val="000000" w:themeColor="text1"/>
          <w:szCs w:val="26"/>
          <w:shd w:val="clear" w:color="auto" w:fill="FFFFFF"/>
        </w:rPr>
        <w:t> .</w:t>
      </w:r>
      <w:r w:rsidRPr="00956AB0">
        <w:rPr>
          <w:rFonts w:cs="Arial"/>
          <w:color w:val="000000" w:themeColor="text1"/>
          <w:szCs w:val="26"/>
          <w:shd w:val="clear" w:color="auto" w:fill="FFFFFF"/>
        </w:rPr>
        <w:t>’</w:t>
      </w:r>
      <w:r w:rsidRPr="00956AB0">
        <w:rPr>
          <w:rFonts w:cs="Arial"/>
          <w:color w:val="000000" w:themeColor="text1"/>
          <w:szCs w:val="26"/>
          <w:shd w:val="clear" w:color="auto" w:fill="FFFFFF"/>
        </w:rPr>
        <w:t> </w:t>
      </w:r>
      <w:r w:rsidRPr="00956AB0">
        <w:rPr>
          <w:rFonts w:cs="Arial"/>
          <w:color w:val="000000" w:themeColor="text1"/>
          <w:szCs w:val="26"/>
          <w:shd w:val="clear" w:color="auto" w:fill="FFFFFF"/>
        </w:rPr>
        <w:t>[Citation.]</w:t>
      </w:r>
      <w:r w:rsidRPr="00956AB0">
        <w:rPr>
          <w:rFonts w:cs="Arial"/>
          <w:color w:val="000000" w:themeColor="text1"/>
          <w:szCs w:val="26"/>
          <w:shd w:val="clear" w:color="auto" w:fill="FFFFFF"/>
        </w:rPr>
        <w:t>” </w:t>
      </w:r>
      <w:r w:rsidRPr="00956AB0">
        <w:rPr>
          <w:rFonts w:cs="Arial"/>
          <w:color w:val="000000" w:themeColor="text1"/>
          <w:szCs w:val="26"/>
          <w:shd w:val="clear" w:color="auto" w:fill="FFFFFF"/>
        </w:rPr>
        <w:t>(</w:t>
      </w:r>
      <w:r w:rsidRPr="00956AB0">
        <w:rPr>
          <w:rFonts w:cs="Arial"/>
          <w:i/>
          <w:color w:val="000000" w:themeColor="text1"/>
          <w:szCs w:val="26"/>
          <w:shd w:val="clear" w:color="auto" w:fill="FFFFFF"/>
        </w:rPr>
        <w:t>Legendary Investors Group No. 1, LLC v. Niemann</w:t>
      </w:r>
      <w:r w:rsidRPr="00956AB0">
        <w:rPr>
          <w:rFonts w:cs="Arial"/>
          <w:color w:val="000000" w:themeColor="text1"/>
          <w:szCs w:val="26"/>
          <w:shd w:val="clear" w:color="auto" w:fill="FFFFFF"/>
        </w:rPr>
        <w:t xml:space="preserve"> (2014) 224 Cal.App.</w:t>
      </w:r>
      <w:r w:rsidRPr="00956AB0">
        <w:rPr>
          <w:rFonts w:cs="Arial"/>
          <w:color w:val="000000" w:themeColor="text1"/>
          <w:szCs w:val="26"/>
          <w:shd w:val="clear" w:color="auto" w:fill="FFFFFF"/>
        </w:rPr>
        <w:t>4th</w:t>
      </w:r>
      <w:r w:rsidRPr="00956AB0">
        <w:rPr>
          <w:rFonts w:cs="Arial"/>
          <w:color w:val="000000" w:themeColor="text1"/>
          <w:szCs w:val="26"/>
          <w:shd w:val="clear" w:color="auto" w:fill="FFFFFF"/>
        </w:rPr>
        <w:t xml:space="preserve"> 1407, 1411)</w:t>
      </w:r>
    </w:p>
    <w:p w14:paraId="78ACAFA7" w14:textId="77777777" w:rsidR="00095C2C" w:rsidRPr="00956AB0" w:rsidRDefault="00B24AFB" w:rsidP="00095C2C">
      <w:pPr>
        <w:ind w:firstLine="630"/>
        <w:rPr>
          <w:rFonts w:eastAsia="Times New Roman"/>
          <w:kern w:val="2"/>
          <w:szCs w:val="26"/>
        </w:rPr>
      </w:pPr>
      <w:r w:rsidRPr="00956AB0">
        <w:rPr>
          <w:rFonts w:eastAsia="Times New Roman"/>
          <w:kern w:val="2"/>
          <w:szCs w:val="26"/>
        </w:rPr>
        <w:t xml:space="preserve">“The United </w:t>
      </w:r>
      <w:r w:rsidRPr="00956AB0">
        <w:rPr>
          <w:rFonts w:eastAsia="Times New Roman"/>
          <w:kern w:val="2"/>
          <w:szCs w:val="26"/>
        </w:rPr>
        <w:t xml:space="preserve">States Supreme Court has identified ‘two cornerstones’ of federal preemption analysis. [Citation.] First, the question of preemption ‘“fundamentally is a question of </w:t>
      </w:r>
      <w:r w:rsidRPr="00956AB0">
        <w:rPr>
          <w:rFonts w:eastAsia="Times New Roman"/>
          <w:kern w:val="2"/>
          <w:szCs w:val="26"/>
        </w:rPr>
        <w:lastRenderedPageBreak/>
        <w:t>congressional intent.”’ [Citations.] If a statute ‘contains an express pre-emption clause,</w:t>
      </w:r>
      <w:r w:rsidRPr="00956AB0">
        <w:rPr>
          <w:rFonts w:eastAsia="Times New Roman"/>
          <w:kern w:val="2"/>
          <w:szCs w:val="26"/>
        </w:rPr>
        <w:t xml:space="preserve"> our “task of statutory construction must in the first instance focus on the plain wording of the clause, which necessarily contains the best evidence of Congress’ pre-emptive intent.”’ [Citations.] ‘“Also relevant, however, is the ‘structure and purpose o</w:t>
      </w:r>
      <w:r w:rsidRPr="00956AB0">
        <w:rPr>
          <w:rFonts w:eastAsia="Times New Roman"/>
          <w:kern w:val="2"/>
          <w:szCs w:val="26"/>
        </w:rPr>
        <w:t xml:space="preserve">f the statute as a whole,’ [citation] as revealed not only in the text, but through the reviewing court’s reasoned understanding of the way in which Congress intended the statute and its surrounding regulatory scheme to affect business, consumers, and the </w:t>
      </w:r>
      <w:r w:rsidRPr="00956AB0">
        <w:rPr>
          <w:rFonts w:eastAsia="Times New Roman"/>
          <w:kern w:val="2"/>
          <w:szCs w:val="26"/>
        </w:rPr>
        <w:t>law.”’ [Citation</w:t>
      </w:r>
      <w:r w:rsidRPr="00956AB0">
        <w:rPr>
          <w:rFonts w:eastAsia="Times New Roman"/>
          <w:kern w:val="2"/>
          <w:szCs w:val="26"/>
        </w:rPr>
        <w:t>s</w:t>
      </w:r>
      <w:r w:rsidRPr="00956AB0">
        <w:rPr>
          <w:rFonts w:eastAsia="Times New Roman"/>
          <w:kern w:val="2"/>
          <w:szCs w:val="26"/>
        </w:rPr>
        <w:t>.]” (</w:t>
      </w:r>
      <w:r w:rsidRPr="00956AB0">
        <w:rPr>
          <w:rFonts w:eastAsia="Times New Roman"/>
          <w:i/>
          <w:iCs/>
          <w:kern w:val="2"/>
          <w:szCs w:val="26"/>
        </w:rPr>
        <w:t>Brown v. Mortensen</w:t>
      </w:r>
      <w:r w:rsidRPr="00956AB0">
        <w:rPr>
          <w:rFonts w:eastAsia="Times New Roman"/>
          <w:kern w:val="2"/>
          <w:szCs w:val="26"/>
        </w:rPr>
        <w:t xml:space="preserve"> (2011) 51 Cal.4th 1052, 1059-1060.)</w:t>
      </w:r>
    </w:p>
    <w:p w14:paraId="13DB8BA3" w14:textId="77777777" w:rsidR="00D97AA0" w:rsidRPr="00956AB0" w:rsidRDefault="00B24AFB" w:rsidP="00D97AA0">
      <w:pPr>
        <w:rPr>
          <w:rFonts w:eastAsia="Times New Roman"/>
          <w:kern w:val="2"/>
          <w:szCs w:val="26"/>
        </w:rPr>
      </w:pPr>
    </w:p>
    <w:p w14:paraId="6888AA54" w14:textId="77777777" w:rsidR="005C4796" w:rsidRPr="00956AB0" w:rsidRDefault="00B24AFB" w:rsidP="003F04C8">
      <w:pPr>
        <w:pStyle w:val="ListParagraph"/>
        <w:numPr>
          <w:ilvl w:val="0"/>
          <w:numId w:val="16"/>
        </w:numPr>
        <w:ind w:left="990" w:hanging="630"/>
        <w:rPr>
          <w:rFonts w:eastAsia="Times New Roman"/>
          <w:b/>
          <w:bCs/>
          <w:kern w:val="2"/>
          <w:szCs w:val="26"/>
        </w:rPr>
      </w:pPr>
      <w:r w:rsidRPr="00956AB0">
        <w:rPr>
          <w:rFonts w:eastAsia="Times New Roman"/>
          <w:b/>
          <w:bCs/>
          <w:kern w:val="2"/>
          <w:szCs w:val="26"/>
        </w:rPr>
        <w:t>The FAAAA</w:t>
      </w:r>
    </w:p>
    <w:p w14:paraId="5DFB489B" w14:textId="77777777" w:rsidR="002C216C" w:rsidRPr="00956AB0" w:rsidRDefault="00B24AFB" w:rsidP="002C216C">
      <w:pPr>
        <w:rPr>
          <w:rFonts w:eastAsia="Times New Roman"/>
          <w:b/>
          <w:bCs/>
          <w:kern w:val="2"/>
          <w:szCs w:val="26"/>
        </w:rPr>
      </w:pPr>
    </w:p>
    <w:p w14:paraId="0C1D5853" w14:textId="77777777" w:rsidR="00DB7C63" w:rsidRPr="00956AB0" w:rsidRDefault="00B24AFB" w:rsidP="00DB7C63">
      <w:pPr>
        <w:rPr>
          <w:rFonts w:eastAsia="Times New Roman"/>
          <w:kern w:val="2"/>
          <w:szCs w:val="26"/>
        </w:rPr>
      </w:pPr>
      <w:r w:rsidRPr="00956AB0">
        <w:rPr>
          <w:rFonts w:eastAsia="Times New Roman"/>
          <w:kern w:val="2"/>
          <w:szCs w:val="26"/>
        </w:rPr>
        <w:tab/>
        <w:t>Our Supreme Court explained the history and purpose of the FAAAA</w:t>
      </w:r>
      <w:r w:rsidRPr="00956AB0">
        <w:rPr>
          <w:rFonts w:eastAsia="Times New Roman"/>
          <w:kern w:val="2"/>
          <w:szCs w:val="26"/>
        </w:rPr>
        <w:t xml:space="preserve"> in </w:t>
      </w:r>
      <w:r w:rsidRPr="00956AB0">
        <w:rPr>
          <w:rFonts w:eastAsia="Times New Roman"/>
          <w:i/>
          <w:iCs/>
          <w:kern w:val="2"/>
          <w:szCs w:val="26"/>
        </w:rPr>
        <w:t>Pac Anchor, supra</w:t>
      </w:r>
      <w:r w:rsidRPr="00956AB0">
        <w:rPr>
          <w:rFonts w:eastAsia="Times New Roman"/>
          <w:kern w:val="2"/>
          <w:szCs w:val="26"/>
        </w:rPr>
        <w:t>, 59 Cal.4th at p. 779</w:t>
      </w:r>
      <w:r w:rsidRPr="00956AB0">
        <w:rPr>
          <w:rFonts w:eastAsia="Times New Roman"/>
          <w:kern w:val="2"/>
          <w:szCs w:val="26"/>
        </w:rPr>
        <w:t>-</w:t>
      </w:r>
      <w:r w:rsidRPr="00956AB0">
        <w:rPr>
          <w:rFonts w:eastAsia="Times New Roman"/>
          <w:kern w:val="2"/>
          <w:szCs w:val="26"/>
        </w:rPr>
        <w:t>782</w:t>
      </w:r>
      <w:r w:rsidRPr="00956AB0">
        <w:rPr>
          <w:rFonts w:eastAsia="Times New Roman"/>
          <w:kern w:val="2"/>
          <w:szCs w:val="26"/>
        </w:rPr>
        <w:t xml:space="preserve">. </w:t>
      </w:r>
      <w:r w:rsidRPr="00956AB0">
        <w:rPr>
          <w:rFonts w:eastAsia="Times New Roman"/>
          <w:kern w:val="2"/>
          <w:szCs w:val="26"/>
        </w:rPr>
        <w:t xml:space="preserve">“‘In 1978, Congress </w:t>
      </w:r>
      <w:r w:rsidRPr="00956AB0">
        <w:rPr>
          <w:rFonts w:eastAsia="Times New Roman"/>
          <w:kern w:val="2"/>
          <w:szCs w:val="26"/>
        </w:rPr>
        <w:t>“</w:t>
      </w:r>
      <w:r w:rsidRPr="00956AB0">
        <w:rPr>
          <w:rFonts w:eastAsia="Times New Roman"/>
          <w:kern w:val="2"/>
          <w:szCs w:val="26"/>
        </w:rPr>
        <w:t>determine</w:t>
      </w:r>
      <w:r w:rsidRPr="00956AB0">
        <w:rPr>
          <w:rFonts w:eastAsia="Times New Roman"/>
          <w:kern w:val="2"/>
          <w:szCs w:val="26"/>
        </w:rPr>
        <w:t>[</w:t>
      </w:r>
      <w:r w:rsidRPr="00956AB0">
        <w:rPr>
          <w:rFonts w:eastAsia="Times New Roman"/>
          <w:kern w:val="2"/>
          <w:szCs w:val="26"/>
        </w:rPr>
        <w:t>d</w:t>
      </w:r>
      <w:r w:rsidRPr="00956AB0">
        <w:rPr>
          <w:rFonts w:eastAsia="Times New Roman"/>
          <w:kern w:val="2"/>
          <w:szCs w:val="26"/>
        </w:rPr>
        <w:t>]</w:t>
      </w:r>
      <w:r w:rsidRPr="00956AB0">
        <w:rPr>
          <w:rFonts w:eastAsia="Times New Roman"/>
          <w:kern w:val="2"/>
          <w:szCs w:val="26"/>
        </w:rPr>
        <w:t xml:space="preserve"> that </w:t>
      </w:r>
      <w:r w:rsidRPr="00956AB0">
        <w:rPr>
          <w:rFonts w:eastAsia="Times New Roman"/>
          <w:kern w:val="2"/>
          <w:szCs w:val="26"/>
        </w:rPr>
        <w:t>‘</w:t>
      </w:r>
      <w:r w:rsidRPr="00956AB0">
        <w:rPr>
          <w:rFonts w:eastAsia="Times New Roman"/>
          <w:kern w:val="2"/>
          <w:szCs w:val="26"/>
        </w:rPr>
        <w:t>maximum reliance on competitive market forces</w:t>
      </w:r>
      <w:r w:rsidRPr="00956AB0">
        <w:rPr>
          <w:rFonts w:eastAsia="Times New Roman"/>
          <w:kern w:val="2"/>
          <w:szCs w:val="26"/>
        </w:rPr>
        <w:t>’”</w:t>
      </w:r>
      <w:r w:rsidRPr="00956AB0">
        <w:rPr>
          <w:rFonts w:eastAsia="Times New Roman"/>
          <w:kern w:val="2"/>
          <w:szCs w:val="26"/>
        </w:rPr>
        <w:t xml:space="preserve"> would favor lower airline fares and better airline service, and it enacted the [Airline Deregulation Act</w:t>
      </w:r>
      <w:r w:rsidRPr="00956AB0">
        <w:rPr>
          <w:rFonts w:eastAsia="Times New Roman"/>
          <w:kern w:val="2"/>
          <w:szCs w:val="26"/>
        </w:rPr>
        <w:t xml:space="preserve"> (ADA)</w:t>
      </w:r>
      <w:r w:rsidRPr="00956AB0">
        <w:rPr>
          <w:rFonts w:eastAsia="Times New Roman"/>
          <w:kern w:val="2"/>
          <w:szCs w:val="26"/>
        </w:rPr>
        <w:t xml:space="preserve">].’ [Citation.] ‘In order to ensure that the States would not undo federal deregulation with </w:t>
      </w:r>
      <w:r w:rsidRPr="00956AB0">
        <w:rPr>
          <w:rFonts w:eastAsia="Times New Roman"/>
          <w:kern w:val="2"/>
          <w:szCs w:val="26"/>
        </w:rPr>
        <w:t>regul</w:t>
      </w:r>
      <w:r w:rsidRPr="00956AB0">
        <w:rPr>
          <w:rFonts w:eastAsia="Times New Roman"/>
          <w:kern w:val="2"/>
          <w:szCs w:val="26"/>
        </w:rPr>
        <w:t>ation</w:t>
      </w:r>
      <w:r w:rsidRPr="00956AB0">
        <w:rPr>
          <w:rFonts w:eastAsia="Times New Roman"/>
          <w:kern w:val="2"/>
          <w:szCs w:val="26"/>
        </w:rPr>
        <w:t xml:space="preserve"> of their own,</w:t>
      </w:r>
      <w:r w:rsidRPr="00956AB0">
        <w:rPr>
          <w:rFonts w:eastAsia="Times New Roman"/>
          <w:kern w:val="2"/>
          <w:szCs w:val="26"/>
        </w:rPr>
        <w:t>”</w:t>
      </w:r>
      <w:r w:rsidRPr="00956AB0">
        <w:rPr>
          <w:rFonts w:eastAsia="Times New Roman"/>
          <w:kern w:val="2"/>
          <w:szCs w:val="26"/>
        </w:rPr>
        <w:t xml:space="preserve"> that Act </w:t>
      </w:r>
      <w:r w:rsidRPr="00956AB0">
        <w:rPr>
          <w:rFonts w:eastAsia="Times New Roman"/>
          <w:kern w:val="2"/>
          <w:szCs w:val="26"/>
        </w:rPr>
        <w:t>“</w:t>
      </w:r>
      <w:r w:rsidRPr="00956AB0">
        <w:rPr>
          <w:rFonts w:eastAsia="Times New Roman"/>
          <w:kern w:val="2"/>
          <w:szCs w:val="26"/>
        </w:rPr>
        <w:t>included a pre-emption provision</w:t>
      </w:r>
      <w:r w:rsidRPr="00956AB0">
        <w:rPr>
          <w:rFonts w:eastAsia="Times New Roman"/>
          <w:kern w:val="2"/>
          <w:szCs w:val="26"/>
        </w:rPr>
        <w:t>”</w:t>
      </w:r>
      <w:r w:rsidRPr="00956AB0">
        <w:rPr>
          <w:rFonts w:eastAsia="Times New Roman"/>
          <w:kern w:val="2"/>
          <w:szCs w:val="26"/>
        </w:rPr>
        <w:t xml:space="preserve"> that said </w:t>
      </w:r>
      <w:r w:rsidRPr="00956AB0">
        <w:rPr>
          <w:rFonts w:eastAsia="Times New Roman"/>
          <w:kern w:val="2"/>
          <w:szCs w:val="26"/>
        </w:rPr>
        <w:t>“</w:t>
      </w:r>
      <w:r w:rsidRPr="00956AB0">
        <w:rPr>
          <w:rFonts w:eastAsia="Times New Roman"/>
          <w:kern w:val="2"/>
          <w:szCs w:val="26"/>
        </w:rPr>
        <w:t>no State</w:t>
      </w:r>
      <w:r>
        <w:rPr>
          <w:rFonts w:eastAsia="Times New Roman"/>
          <w:kern w:val="2"/>
          <w:szCs w:val="26"/>
        </w:rPr>
        <w:t> </w:t>
      </w:r>
      <w:r w:rsidRPr="00956AB0">
        <w:rPr>
          <w:rFonts w:eastAsia="Times New Roman"/>
          <w:kern w:val="2"/>
          <w:szCs w:val="26"/>
        </w:rPr>
        <w:t>.</w:t>
      </w:r>
      <w:r>
        <w:rPr>
          <w:rFonts w:eastAsia="Times New Roman"/>
          <w:kern w:val="2"/>
          <w:szCs w:val="26"/>
        </w:rPr>
        <w:t> </w:t>
      </w:r>
      <w:r w:rsidRPr="00956AB0">
        <w:rPr>
          <w:rFonts w:eastAsia="Times New Roman"/>
          <w:kern w:val="2"/>
          <w:szCs w:val="26"/>
        </w:rPr>
        <w:t>.</w:t>
      </w:r>
      <w:r>
        <w:rPr>
          <w:rFonts w:eastAsia="Times New Roman"/>
          <w:kern w:val="2"/>
          <w:szCs w:val="26"/>
        </w:rPr>
        <w:t> </w:t>
      </w:r>
      <w:r w:rsidRPr="00956AB0">
        <w:rPr>
          <w:rFonts w:eastAsia="Times New Roman"/>
          <w:kern w:val="2"/>
          <w:szCs w:val="26"/>
        </w:rPr>
        <w:t>.</w:t>
      </w:r>
      <w:r>
        <w:rPr>
          <w:rFonts w:eastAsia="Times New Roman"/>
          <w:kern w:val="2"/>
          <w:szCs w:val="26"/>
        </w:rPr>
        <w:t> </w:t>
      </w:r>
      <w:r w:rsidRPr="00956AB0">
        <w:rPr>
          <w:rFonts w:eastAsia="Times New Roman"/>
          <w:kern w:val="2"/>
          <w:szCs w:val="26"/>
        </w:rPr>
        <w:t>shall enact or enforce any law . .</w:t>
      </w:r>
      <w:r w:rsidRPr="00956AB0">
        <w:rPr>
          <w:rFonts w:eastAsia="Times New Roman"/>
          <w:kern w:val="2"/>
          <w:szCs w:val="26"/>
        </w:rPr>
        <w:t> </w:t>
      </w:r>
      <w:r w:rsidRPr="00956AB0">
        <w:rPr>
          <w:rFonts w:eastAsia="Times New Roman"/>
          <w:kern w:val="2"/>
          <w:szCs w:val="26"/>
        </w:rPr>
        <w:t>. relating to rates, routes, or services of any air carrier.”</w:t>
      </w:r>
      <w:r w:rsidRPr="00956AB0">
        <w:rPr>
          <w:rFonts w:eastAsia="Times New Roman"/>
          <w:kern w:val="2"/>
          <w:szCs w:val="26"/>
        </w:rPr>
        <w:t>’</w:t>
      </w:r>
      <w:r w:rsidRPr="00956AB0">
        <w:rPr>
          <w:rFonts w:eastAsia="Times New Roman"/>
          <w:kern w:val="2"/>
          <w:szCs w:val="26"/>
        </w:rPr>
        <w:t xml:space="preserve"> [Citation.]” (</w:t>
      </w:r>
      <w:r w:rsidRPr="00956AB0">
        <w:rPr>
          <w:rFonts w:eastAsia="Times New Roman"/>
          <w:i/>
          <w:kern w:val="2"/>
          <w:szCs w:val="26"/>
        </w:rPr>
        <w:t>Id</w:t>
      </w:r>
      <w:r w:rsidRPr="00956AB0">
        <w:rPr>
          <w:rFonts w:eastAsia="Times New Roman"/>
          <w:kern w:val="2"/>
          <w:szCs w:val="26"/>
        </w:rPr>
        <w:t>.</w:t>
      </w:r>
      <w:r w:rsidRPr="00956AB0">
        <w:rPr>
          <w:rFonts w:eastAsia="Times New Roman"/>
          <w:kern w:val="2"/>
          <w:szCs w:val="26"/>
        </w:rPr>
        <w:t xml:space="preserve"> at p. 779</w:t>
      </w:r>
      <w:r>
        <w:rPr>
          <w:rFonts w:eastAsia="Times New Roman"/>
          <w:kern w:val="2"/>
          <w:szCs w:val="26"/>
        </w:rPr>
        <w:t>.</w:t>
      </w:r>
      <w:r w:rsidRPr="00956AB0">
        <w:rPr>
          <w:rFonts w:eastAsia="Times New Roman"/>
          <w:kern w:val="2"/>
          <w:szCs w:val="26"/>
        </w:rPr>
        <w:t xml:space="preserve">) </w:t>
      </w:r>
    </w:p>
    <w:p w14:paraId="5CD21ED9" w14:textId="77777777" w:rsidR="007F314B" w:rsidRPr="00956AB0" w:rsidRDefault="00B24AFB" w:rsidP="00F324A8">
      <w:pPr>
        <w:rPr>
          <w:rFonts w:eastAsia="Times New Roman"/>
          <w:kern w:val="2"/>
          <w:szCs w:val="26"/>
        </w:rPr>
      </w:pPr>
      <w:r w:rsidRPr="00956AB0">
        <w:rPr>
          <w:rFonts w:eastAsia="Times New Roman"/>
          <w:kern w:val="2"/>
          <w:szCs w:val="26"/>
        </w:rPr>
        <w:tab/>
      </w:r>
      <w:r w:rsidRPr="00956AB0">
        <w:rPr>
          <w:rFonts w:eastAsia="Times New Roman"/>
          <w:kern w:val="2"/>
          <w:szCs w:val="26"/>
        </w:rPr>
        <w:t xml:space="preserve">In 1980, Congress deregulated trucking </w:t>
      </w:r>
      <w:r w:rsidRPr="00956AB0">
        <w:rPr>
          <w:rFonts w:eastAsia="Times New Roman"/>
          <w:kern w:val="2"/>
          <w:szCs w:val="26"/>
        </w:rPr>
        <w:t>with the adoption of the Motor Carrier Act of 1980 (Pub</w:t>
      </w:r>
      <w:r w:rsidRPr="00956AB0">
        <w:rPr>
          <w:rFonts w:eastAsia="Times New Roman"/>
          <w:kern w:val="2"/>
          <w:szCs w:val="26"/>
        </w:rPr>
        <w:t>. L. No. 96-296 (July</w:t>
      </w:r>
      <w:r>
        <w:rPr>
          <w:rFonts w:eastAsia="Times New Roman"/>
          <w:kern w:val="2"/>
          <w:szCs w:val="26"/>
        </w:rPr>
        <w:t> </w:t>
      </w:r>
      <w:r w:rsidRPr="00956AB0">
        <w:rPr>
          <w:rFonts w:eastAsia="Times New Roman"/>
          <w:kern w:val="2"/>
          <w:szCs w:val="26"/>
        </w:rPr>
        <w:t>1,</w:t>
      </w:r>
      <w:r>
        <w:rPr>
          <w:rFonts w:eastAsia="Times New Roman"/>
          <w:kern w:val="2"/>
          <w:szCs w:val="26"/>
        </w:rPr>
        <w:t> </w:t>
      </w:r>
      <w:r w:rsidRPr="00956AB0">
        <w:rPr>
          <w:rFonts w:eastAsia="Times New Roman"/>
          <w:kern w:val="2"/>
          <w:szCs w:val="26"/>
        </w:rPr>
        <w:t xml:space="preserve">1980) 94 Stat. 793.) </w:t>
      </w:r>
      <w:r w:rsidRPr="00956AB0">
        <w:rPr>
          <w:rFonts w:eastAsia="Times New Roman"/>
          <w:kern w:val="2"/>
          <w:szCs w:val="26"/>
        </w:rPr>
        <w:t>“‘</w:t>
      </w:r>
      <w:r w:rsidRPr="00956AB0">
        <w:rPr>
          <w:rFonts w:eastAsia="Times New Roman"/>
          <w:kern w:val="2"/>
          <w:szCs w:val="26"/>
        </w:rPr>
        <w:t>I</w:t>
      </w:r>
      <w:r w:rsidRPr="00956AB0">
        <w:rPr>
          <w:rFonts w:eastAsia="Times New Roman"/>
          <w:kern w:val="2"/>
          <w:szCs w:val="26"/>
        </w:rPr>
        <w:t>n 1994, Congress similarly sought to pre-empt state trucking regulation</w:t>
      </w:r>
      <w:r w:rsidRPr="00956AB0">
        <w:rPr>
          <w:rFonts w:eastAsia="Times New Roman"/>
          <w:kern w:val="2"/>
          <w:szCs w:val="26"/>
        </w:rPr>
        <w:t>[]’ [citation]”</w:t>
      </w:r>
      <w:r w:rsidRPr="00956AB0">
        <w:rPr>
          <w:rFonts w:eastAsia="Times New Roman"/>
          <w:kern w:val="2"/>
          <w:szCs w:val="26"/>
        </w:rPr>
        <w:t xml:space="preserve"> with the adoption of the F</w:t>
      </w:r>
      <w:r w:rsidRPr="00956AB0">
        <w:rPr>
          <w:rFonts w:eastAsia="Times New Roman"/>
          <w:kern w:val="2"/>
          <w:szCs w:val="26"/>
        </w:rPr>
        <w:t xml:space="preserve">AAAA. </w:t>
      </w:r>
      <w:r w:rsidRPr="00956AB0">
        <w:rPr>
          <w:rFonts w:eastAsia="Times New Roman"/>
          <w:kern w:val="2"/>
          <w:szCs w:val="26"/>
        </w:rPr>
        <w:t>(</w:t>
      </w:r>
      <w:r w:rsidRPr="00956AB0">
        <w:rPr>
          <w:rFonts w:eastAsia="Times New Roman"/>
          <w:i/>
          <w:iCs/>
          <w:kern w:val="2"/>
          <w:szCs w:val="26"/>
        </w:rPr>
        <w:t>Pac Anchor, supra</w:t>
      </w:r>
      <w:r w:rsidRPr="00956AB0">
        <w:rPr>
          <w:rFonts w:eastAsia="Times New Roman"/>
          <w:kern w:val="2"/>
          <w:szCs w:val="26"/>
        </w:rPr>
        <w:t xml:space="preserve">, </w:t>
      </w:r>
      <w:bookmarkStart w:id="6" w:name="_Hlk55221990"/>
      <w:r w:rsidRPr="00956AB0">
        <w:rPr>
          <w:rFonts w:eastAsia="Times New Roman"/>
          <w:kern w:val="2"/>
          <w:szCs w:val="26"/>
        </w:rPr>
        <w:t xml:space="preserve">59 Cal.4th at p. </w:t>
      </w:r>
      <w:bookmarkEnd w:id="6"/>
      <w:r w:rsidRPr="00956AB0">
        <w:rPr>
          <w:rFonts w:eastAsia="Times New Roman"/>
          <w:kern w:val="2"/>
          <w:szCs w:val="26"/>
        </w:rPr>
        <w:t>779.)</w:t>
      </w:r>
      <w:r w:rsidRPr="00956AB0">
        <w:rPr>
          <w:rFonts w:eastAsia="Times New Roman"/>
          <w:kern w:val="2"/>
          <w:szCs w:val="26"/>
        </w:rPr>
        <w:t xml:space="preserve"> </w:t>
      </w:r>
      <w:r w:rsidRPr="00956AB0">
        <w:rPr>
          <w:rFonts w:eastAsia="Times New Roman"/>
          <w:kern w:val="2"/>
          <w:szCs w:val="26"/>
        </w:rPr>
        <w:t>In doing so, it borrowed language from the ADA and included the following express preemption clause:</w:t>
      </w:r>
      <w:r w:rsidRPr="00956AB0">
        <w:rPr>
          <w:rFonts w:eastAsia="Times New Roman"/>
          <w:kern w:val="2"/>
          <w:szCs w:val="26"/>
        </w:rPr>
        <w:t xml:space="preserve"> “Except as provided in paragraphs (2) and (3), a State, political subdivision of a State, or political authority of 2 or more States may not enact or enforce a law, regulation, or other provision having the force and effect of </w:t>
      </w:r>
      <w:r w:rsidRPr="00956AB0">
        <w:rPr>
          <w:rFonts w:eastAsia="Times New Roman"/>
          <w:kern w:val="2"/>
          <w:szCs w:val="26"/>
        </w:rPr>
        <w:lastRenderedPageBreak/>
        <w:t>law related to a price, rout</w:t>
      </w:r>
      <w:r w:rsidRPr="00956AB0">
        <w:rPr>
          <w:rFonts w:eastAsia="Times New Roman"/>
          <w:kern w:val="2"/>
          <w:szCs w:val="26"/>
        </w:rPr>
        <w:t>e, or service of any motor carrier</w:t>
      </w:r>
      <w:r w:rsidRPr="00956AB0">
        <w:rPr>
          <w:rFonts w:eastAsia="Times New Roman"/>
          <w:kern w:val="2"/>
          <w:szCs w:val="26"/>
        </w:rPr>
        <w:t> </w:t>
      </w:r>
      <w:r w:rsidRPr="00956AB0">
        <w:rPr>
          <w:rFonts w:eastAsia="Times New Roman"/>
          <w:kern w:val="2"/>
          <w:szCs w:val="26"/>
        </w:rPr>
        <w:t>.</w:t>
      </w:r>
      <w:r w:rsidRPr="00956AB0">
        <w:rPr>
          <w:rFonts w:eastAsia="Times New Roman"/>
          <w:kern w:val="2"/>
          <w:szCs w:val="26"/>
        </w:rPr>
        <w:t> </w:t>
      </w:r>
      <w:r w:rsidRPr="00956AB0">
        <w:rPr>
          <w:rFonts w:eastAsia="Times New Roman"/>
          <w:kern w:val="2"/>
          <w:szCs w:val="26"/>
        </w:rPr>
        <w:t>.</w:t>
      </w:r>
      <w:r w:rsidRPr="00956AB0">
        <w:rPr>
          <w:rFonts w:eastAsia="Times New Roman"/>
          <w:kern w:val="2"/>
          <w:szCs w:val="26"/>
        </w:rPr>
        <w:t> </w:t>
      </w:r>
      <w:r w:rsidRPr="00956AB0">
        <w:rPr>
          <w:rFonts w:eastAsia="Times New Roman"/>
          <w:kern w:val="2"/>
          <w:szCs w:val="26"/>
        </w:rPr>
        <w:t>.</w:t>
      </w:r>
      <w:r w:rsidRPr="00956AB0">
        <w:rPr>
          <w:rFonts w:eastAsia="Times New Roman"/>
          <w:kern w:val="2"/>
          <w:szCs w:val="26"/>
        </w:rPr>
        <w:t> </w:t>
      </w:r>
      <w:r w:rsidRPr="00956AB0">
        <w:rPr>
          <w:rFonts w:eastAsia="Times New Roman"/>
          <w:kern w:val="2"/>
          <w:szCs w:val="26"/>
        </w:rPr>
        <w:t>with respect to the transportation of property.” (49</w:t>
      </w:r>
      <w:r>
        <w:rPr>
          <w:rFonts w:eastAsia="Times New Roman"/>
          <w:kern w:val="2"/>
          <w:szCs w:val="26"/>
        </w:rPr>
        <w:t> </w:t>
      </w:r>
      <w:r w:rsidRPr="00956AB0">
        <w:rPr>
          <w:rFonts w:eastAsia="Times New Roman"/>
          <w:kern w:val="2"/>
          <w:szCs w:val="26"/>
        </w:rPr>
        <w:t>U.S.C. §</w:t>
      </w:r>
      <w:r w:rsidRPr="00956AB0">
        <w:rPr>
          <w:rFonts w:eastAsia="Times New Roman"/>
          <w:kern w:val="2"/>
          <w:szCs w:val="26"/>
        </w:rPr>
        <w:t> </w:t>
      </w:r>
      <w:r w:rsidRPr="00956AB0">
        <w:rPr>
          <w:rFonts w:eastAsia="Times New Roman"/>
          <w:kern w:val="2"/>
          <w:szCs w:val="26"/>
        </w:rPr>
        <w:t>14501(c)(1).)</w:t>
      </w:r>
      <w:r w:rsidRPr="00956AB0">
        <w:rPr>
          <w:rFonts w:eastAsia="Times New Roman"/>
          <w:kern w:val="2"/>
          <w:szCs w:val="26"/>
        </w:rPr>
        <w:t xml:space="preserve"> “Specifically, </w:t>
      </w:r>
      <w:r w:rsidRPr="00956AB0">
        <w:rPr>
          <w:rFonts w:eastAsia="Times New Roman"/>
          <w:kern w:val="2"/>
          <w:szCs w:val="26"/>
        </w:rPr>
        <w:t>the FAAAA was intended to prevent state regulatory practices including ‘entry controls, tariff filing and pric</w:t>
      </w:r>
      <w:r w:rsidRPr="00956AB0">
        <w:rPr>
          <w:rFonts w:eastAsia="Times New Roman"/>
          <w:kern w:val="2"/>
          <w:szCs w:val="26"/>
        </w:rPr>
        <w:t>e</w:t>
      </w:r>
      <w:r w:rsidRPr="00956AB0">
        <w:rPr>
          <w:rFonts w:eastAsia="Times New Roman"/>
          <w:kern w:val="2"/>
          <w:szCs w:val="26"/>
        </w:rPr>
        <w:t xml:space="preserve"> regulation, </w:t>
      </w:r>
      <w:r w:rsidRPr="00956AB0">
        <w:rPr>
          <w:rFonts w:eastAsia="Times New Roman"/>
          <w:kern w:val="2"/>
          <w:szCs w:val="26"/>
        </w:rPr>
        <w:t>and [regulation of] types of commodities carried.</w:t>
      </w:r>
      <w:r w:rsidRPr="00956AB0">
        <w:rPr>
          <w:rFonts w:eastAsia="Times New Roman"/>
          <w:kern w:val="2"/>
          <w:szCs w:val="26"/>
        </w:rPr>
        <w:t>’</w:t>
      </w:r>
      <w:r w:rsidRPr="00956AB0">
        <w:rPr>
          <w:rFonts w:eastAsia="Times New Roman"/>
          <w:kern w:val="2"/>
          <w:szCs w:val="26"/>
        </w:rPr>
        <w:t xml:space="preserve"> (H.R. Rep. No. 103-677, 2d Sess., p. 86</w:t>
      </w:r>
      <w:r>
        <w:rPr>
          <w:rFonts w:eastAsia="Times New Roman"/>
          <w:kern w:val="2"/>
          <w:szCs w:val="26"/>
        </w:rPr>
        <w:t> </w:t>
      </w:r>
      <w:r w:rsidRPr="00956AB0">
        <w:rPr>
          <w:rFonts w:eastAsia="Times New Roman"/>
          <w:kern w:val="2"/>
          <w:szCs w:val="26"/>
        </w:rPr>
        <w:t>(1994), reprinted in 1994 U.S. Code Cong. &amp; Admin. News, p.</w:t>
      </w:r>
      <w:r>
        <w:rPr>
          <w:rFonts w:eastAsia="Times New Roman"/>
          <w:kern w:val="2"/>
          <w:szCs w:val="26"/>
        </w:rPr>
        <w:t> </w:t>
      </w:r>
      <w:r w:rsidRPr="00956AB0">
        <w:rPr>
          <w:rFonts w:eastAsia="Times New Roman"/>
          <w:kern w:val="2"/>
          <w:szCs w:val="26"/>
        </w:rPr>
        <w:t>1758).” (</w:t>
      </w:r>
      <w:r w:rsidRPr="00956AB0">
        <w:rPr>
          <w:rFonts w:eastAsia="Times New Roman"/>
          <w:i/>
          <w:iCs/>
          <w:kern w:val="2"/>
          <w:szCs w:val="26"/>
        </w:rPr>
        <w:t>Pac Anchor, supra</w:t>
      </w:r>
      <w:r w:rsidRPr="00956AB0">
        <w:rPr>
          <w:rFonts w:eastAsia="Times New Roman"/>
          <w:kern w:val="2"/>
          <w:szCs w:val="26"/>
        </w:rPr>
        <w:t xml:space="preserve">, 59 Cal.4th at pp. 779-780.) </w:t>
      </w:r>
      <w:r w:rsidRPr="00956AB0">
        <w:rPr>
          <w:rFonts w:eastAsia="Times New Roman"/>
          <w:kern w:val="2"/>
          <w:szCs w:val="26"/>
        </w:rPr>
        <w:t xml:space="preserve">“The phrase ‘related to,” </w:t>
      </w:r>
      <w:r w:rsidRPr="00956AB0">
        <w:rPr>
          <w:rFonts w:eastAsia="Times New Roman"/>
          <w:kern w:val="2"/>
          <w:szCs w:val="26"/>
        </w:rPr>
        <w:t>[in the FAAAA’s preempt</w:t>
      </w:r>
      <w:r w:rsidRPr="00956AB0">
        <w:rPr>
          <w:rFonts w:eastAsia="Times New Roman"/>
          <w:kern w:val="2"/>
          <w:szCs w:val="26"/>
        </w:rPr>
        <w:t>ion clause]</w:t>
      </w:r>
      <w:r>
        <w:rPr>
          <w:rFonts w:eastAsia="Times New Roman"/>
          <w:kern w:val="2"/>
          <w:szCs w:val="26"/>
        </w:rPr>
        <w:t> </w:t>
      </w:r>
      <w:r w:rsidRPr="00956AB0">
        <w:rPr>
          <w:rFonts w:eastAsia="Times New Roman"/>
          <w:kern w:val="2"/>
          <w:szCs w:val="26"/>
        </w:rPr>
        <w:t>.</w:t>
      </w:r>
      <w:r>
        <w:rPr>
          <w:rFonts w:eastAsia="Times New Roman"/>
          <w:kern w:val="2"/>
          <w:szCs w:val="26"/>
        </w:rPr>
        <w:t> </w:t>
      </w:r>
      <w:r w:rsidRPr="00956AB0">
        <w:rPr>
          <w:rFonts w:eastAsia="Times New Roman"/>
          <w:kern w:val="2"/>
          <w:szCs w:val="26"/>
        </w:rPr>
        <w:t>.</w:t>
      </w:r>
      <w:r>
        <w:rPr>
          <w:rFonts w:eastAsia="Times New Roman"/>
          <w:kern w:val="2"/>
          <w:szCs w:val="26"/>
        </w:rPr>
        <w:t> </w:t>
      </w:r>
      <w:r w:rsidRPr="00956AB0">
        <w:rPr>
          <w:rFonts w:eastAsia="Times New Roman"/>
          <w:kern w:val="2"/>
          <w:szCs w:val="26"/>
        </w:rPr>
        <w:t>.</w:t>
      </w:r>
      <w:r>
        <w:rPr>
          <w:rFonts w:eastAsia="Times New Roman"/>
          <w:kern w:val="2"/>
          <w:szCs w:val="26"/>
        </w:rPr>
        <w:t> </w:t>
      </w:r>
      <w:r w:rsidRPr="00956AB0">
        <w:rPr>
          <w:rFonts w:eastAsia="Times New Roman"/>
          <w:kern w:val="2"/>
          <w:szCs w:val="26"/>
        </w:rPr>
        <w:t>embraces state laws ‘having a connection with or reference to’ carrier ‘“rates, routes, or services,”’ whether directly or indirectly.</w:t>
      </w:r>
      <w:r w:rsidRPr="00956AB0">
        <w:rPr>
          <w:rFonts w:eastAsia="Times New Roman"/>
          <w:kern w:val="2"/>
          <w:szCs w:val="26"/>
        </w:rPr>
        <w:t xml:space="preserve"> [Citations.]</w:t>
      </w:r>
      <w:r w:rsidRPr="00956AB0">
        <w:rPr>
          <w:rFonts w:eastAsia="Times New Roman"/>
          <w:kern w:val="2"/>
          <w:szCs w:val="26"/>
        </w:rPr>
        <w:t>” (</w:t>
      </w:r>
      <w:r w:rsidRPr="00956AB0">
        <w:rPr>
          <w:rFonts w:eastAsia="Times New Roman"/>
          <w:i/>
          <w:iCs/>
          <w:kern w:val="2"/>
          <w:szCs w:val="26"/>
        </w:rPr>
        <w:t xml:space="preserve">Dan’s City </w:t>
      </w:r>
      <w:r w:rsidRPr="00956AB0">
        <w:rPr>
          <w:rFonts w:eastAsia="Times New Roman"/>
          <w:i/>
          <w:iCs/>
          <w:kern w:val="2"/>
          <w:szCs w:val="26"/>
        </w:rPr>
        <w:t>U</w:t>
      </w:r>
      <w:r w:rsidRPr="00956AB0">
        <w:rPr>
          <w:rFonts w:eastAsia="Times New Roman"/>
          <w:i/>
          <w:iCs/>
          <w:kern w:val="2"/>
          <w:szCs w:val="26"/>
        </w:rPr>
        <w:t>sed Cars, Inc. v. Pelkey</w:t>
      </w:r>
      <w:r w:rsidRPr="00956AB0">
        <w:rPr>
          <w:rFonts w:eastAsia="Times New Roman"/>
          <w:kern w:val="2"/>
          <w:szCs w:val="26"/>
        </w:rPr>
        <w:t xml:space="preserve"> (2013) </w:t>
      </w:r>
      <w:bookmarkStart w:id="7" w:name="_Hlk52279643"/>
      <w:r w:rsidRPr="00956AB0">
        <w:rPr>
          <w:rFonts w:eastAsia="Times New Roman"/>
          <w:kern w:val="2"/>
          <w:szCs w:val="26"/>
        </w:rPr>
        <w:t>569 U.S. 251</w:t>
      </w:r>
      <w:bookmarkEnd w:id="7"/>
      <w:r w:rsidRPr="00956AB0">
        <w:rPr>
          <w:rFonts w:eastAsia="Times New Roman"/>
          <w:kern w:val="2"/>
          <w:szCs w:val="26"/>
        </w:rPr>
        <w:t>, 260</w:t>
      </w:r>
      <w:r w:rsidRPr="00956AB0">
        <w:rPr>
          <w:rFonts w:eastAsia="Times New Roman"/>
          <w:kern w:val="2"/>
          <w:szCs w:val="26"/>
        </w:rPr>
        <w:t xml:space="preserve"> </w:t>
      </w:r>
      <w:r w:rsidRPr="00956AB0">
        <w:rPr>
          <w:rFonts w:eastAsia="Times New Roman"/>
          <w:kern w:val="2"/>
          <w:szCs w:val="26"/>
        </w:rPr>
        <w:t>[</w:t>
      </w:r>
      <w:r w:rsidRPr="00956AB0">
        <w:rPr>
          <w:rFonts w:eastAsia="Times New Roman"/>
          <w:kern w:val="2"/>
          <w:szCs w:val="26"/>
        </w:rPr>
        <w:t>133 S.Ct. 179</w:t>
      </w:r>
      <w:r w:rsidRPr="00956AB0">
        <w:rPr>
          <w:rFonts w:eastAsia="Times New Roman"/>
          <w:kern w:val="2"/>
          <w:szCs w:val="26"/>
        </w:rPr>
        <w:t xml:space="preserve">, 185 </w:t>
      </w:r>
      <w:r w:rsidRPr="00956AB0">
        <w:rPr>
          <w:rFonts w:eastAsia="Times New Roman"/>
          <w:kern w:val="2"/>
          <w:szCs w:val="26"/>
        </w:rPr>
        <w:t>L.Ed. 2d 909</w:t>
      </w:r>
      <w:r w:rsidRPr="00956AB0">
        <w:rPr>
          <w:rFonts w:eastAsia="Times New Roman"/>
          <w:kern w:val="2"/>
          <w:szCs w:val="26"/>
        </w:rPr>
        <w:t>]</w:t>
      </w:r>
      <w:r w:rsidRPr="00956AB0">
        <w:rPr>
          <w:rFonts w:eastAsia="Times New Roman"/>
          <w:kern w:val="2"/>
          <w:szCs w:val="26"/>
        </w:rPr>
        <w:t xml:space="preserve"> </w:t>
      </w:r>
      <w:r w:rsidRPr="00956AB0">
        <w:rPr>
          <w:rFonts w:eastAsia="Times New Roman"/>
          <w:kern w:val="2"/>
          <w:szCs w:val="26"/>
        </w:rPr>
        <w:t>(</w:t>
      </w:r>
      <w:r w:rsidRPr="00956AB0">
        <w:rPr>
          <w:rFonts w:eastAsia="Times New Roman"/>
          <w:i/>
          <w:iCs/>
          <w:kern w:val="2"/>
          <w:szCs w:val="26"/>
        </w:rPr>
        <w:t>Dan City</w:t>
      </w:r>
      <w:r w:rsidRPr="00956AB0">
        <w:rPr>
          <w:rFonts w:eastAsia="Times New Roman"/>
          <w:kern w:val="2"/>
          <w:szCs w:val="26"/>
        </w:rPr>
        <w:t>)</w:t>
      </w:r>
      <w:r w:rsidRPr="00956AB0">
        <w:rPr>
          <w:rFonts w:eastAsia="Times New Roman"/>
          <w:kern w:val="2"/>
          <w:szCs w:val="26"/>
        </w:rPr>
        <w:t>.) The FAAAA, however, does not “preempt state laws affecting carrier prices, routes, or services ‘in only a “tenuous, remote, or peripheral . . . manner.”’</w:t>
      </w:r>
      <w:r w:rsidRPr="00956AB0">
        <w:rPr>
          <w:rFonts w:eastAsia="Times New Roman"/>
          <w:kern w:val="2"/>
          <w:szCs w:val="26"/>
        </w:rPr>
        <w:t xml:space="preserve"> [Citations.]</w:t>
      </w:r>
      <w:r w:rsidRPr="00956AB0">
        <w:rPr>
          <w:rFonts w:eastAsia="Times New Roman"/>
          <w:kern w:val="2"/>
          <w:szCs w:val="26"/>
        </w:rPr>
        <w:t xml:space="preserve"> (</w:t>
      </w:r>
      <w:r w:rsidRPr="00956AB0">
        <w:rPr>
          <w:rFonts w:eastAsia="Times New Roman"/>
          <w:i/>
          <w:iCs/>
          <w:kern w:val="2"/>
          <w:szCs w:val="26"/>
        </w:rPr>
        <w:t>Id</w:t>
      </w:r>
      <w:r w:rsidRPr="00956AB0">
        <w:rPr>
          <w:rFonts w:eastAsia="Times New Roman"/>
          <w:kern w:val="2"/>
          <w:szCs w:val="26"/>
        </w:rPr>
        <w:t>.</w:t>
      </w:r>
      <w:r w:rsidRPr="00956AB0">
        <w:rPr>
          <w:rFonts w:eastAsia="Times New Roman"/>
          <w:kern w:val="2"/>
          <w:szCs w:val="26"/>
        </w:rPr>
        <w:t xml:space="preserve"> at p. 261</w:t>
      </w:r>
      <w:r w:rsidRPr="00956AB0">
        <w:rPr>
          <w:rFonts w:eastAsia="Times New Roman"/>
          <w:kern w:val="2"/>
          <w:szCs w:val="26"/>
        </w:rPr>
        <w:t xml:space="preserve"> (alteration in original).)</w:t>
      </w:r>
    </w:p>
    <w:p w14:paraId="03F65B9A" w14:textId="77777777" w:rsidR="005C4796" w:rsidRPr="00956AB0" w:rsidRDefault="00B24AFB" w:rsidP="000E5B2C">
      <w:pPr>
        <w:rPr>
          <w:rFonts w:eastAsia="Times New Roman"/>
          <w:kern w:val="2"/>
          <w:szCs w:val="26"/>
        </w:rPr>
      </w:pPr>
      <w:r w:rsidRPr="00956AB0">
        <w:rPr>
          <w:rFonts w:eastAsia="Times New Roman"/>
          <w:kern w:val="2"/>
          <w:szCs w:val="26"/>
        </w:rPr>
        <w:tab/>
        <w:t>The defendants offered no evidence, and the trial court made no factual findings, concerning the impact, if any, of application of the ABC test on motor carriers’ prices, routes, and services.</w:t>
      </w:r>
      <w:r>
        <w:rPr>
          <w:rStyle w:val="FootnoteReference"/>
          <w:rFonts w:eastAsia="Times New Roman"/>
          <w:b w:val="0"/>
          <w:bCs/>
          <w:kern w:val="2"/>
          <w:sz w:val="26"/>
          <w:szCs w:val="26"/>
        </w:rPr>
        <w:footnoteReference w:id="8"/>
      </w:r>
      <w:r w:rsidRPr="00956AB0">
        <w:rPr>
          <w:rFonts w:eastAsia="Times New Roman"/>
          <w:kern w:val="2"/>
          <w:szCs w:val="26"/>
        </w:rPr>
        <w:t xml:space="preserve"> To the extent they had a burden </w:t>
      </w:r>
      <w:r w:rsidRPr="00956AB0">
        <w:rPr>
          <w:rFonts w:eastAsia="Times New Roman"/>
          <w:kern w:val="2"/>
          <w:szCs w:val="26"/>
        </w:rPr>
        <w:t xml:space="preserve">to </w:t>
      </w:r>
      <w:r w:rsidRPr="00956AB0">
        <w:rPr>
          <w:rFonts w:eastAsia="Times New Roman"/>
          <w:kern w:val="2"/>
          <w:szCs w:val="26"/>
        </w:rPr>
        <w:t xml:space="preserve">prove </w:t>
      </w:r>
      <w:r w:rsidRPr="00956AB0">
        <w:rPr>
          <w:rFonts w:eastAsia="Times New Roman"/>
          <w:kern w:val="2"/>
          <w:szCs w:val="26"/>
        </w:rPr>
        <w:t xml:space="preserve">more than a tenuous or peripheral </w:t>
      </w:r>
      <w:r w:rsidRPr="00956AB0">
        <w:rPr>
          <w:rFonts w:eastAsia="Times New Roman"/>
          <w:kern w:val="2"/>
          <w:szCs w:val="26"/>
        </w:rPr>
        <w:t xml:space="preserve">impact, rather than simply make arguments, </w:t>
      </w:r>
      <w:r w:rsidRPr="00956AB0">
        <w:rPr>
          <w:rFonts w:eastAsia="Times New Roman"/>
          <w:kern w:val="2"/>
          <w:szCs w:val="26"/>
        </w:rPr>
        <w:t>the defendants</w:t>
      </w:r>
      <w:r w:rsidRPr="00956AB0">
        <w:rPr>
          <w:rFonts w:eastAsia="Times New Roman"/>
          <w:kern w:val="2"/>
          <w:szCs w:val="26"/>
        </w:rPr>
        <w:t xml:space="preserve"> did not carry it.</w:t>
      </w:r>
      <w:r w:rsidRPr="00956AB0">
        <w:rPr>
          <w:rFonts w:eastAsia="Times New Roman"/>
          <w:kern w:val="2"/>
          <w:szCs w:val="26"/>
        </w:rPr>
        <w:t xml:space="preserve"> </w:t>
      </w:r>
      <w:r w:rsidRPr="00956AB0">
        <w:rPr>
          <w:rFonts w:eastAsia="Times New Roman"/>
          <w:kern w:val="2"/>
          <w:szCs w:val="26"/>
        </w:rPr>
        <w:t xml:space="preserve">If we were writing on a clean slate, that would end our inquiry and </w:t>
      </w:r>
      <w:r w:rsidRPr="00956AB0">
        <w:rPr>
          <w:rFonts w:eastAsia="Times New Roman"/>
          <w:kern w:val="2"/>
          <w:szCs w:val="26"/>
        </w:rPr>
        <w:t>we would conclude defendants failed to demonstrate that application o</w:t>
      </w:r>
      <w:r w:rsidRPr="00956AB0">
        <w:rPr>
          <w:rFonts w:eastAsia="Times New Roman"/>
          <w:kern w:val="2"/>
          <w:szCs w:val="26"/>
        </w:rPr>
        <w:t xml:space="preserve">f the ABC test actually would impact prices, routes, or services. </w:t>
      </w:r>
      <w:r w:rsidRPr="00956AB0">
        <w:rPr>
          <w:rFonts w:eastAsia="Times New Roman"/>
          <w:kern w:val="2"/>
          <w:szCs w:val="26"/>
        </w:rPr>
        <w:t xml:space="preserve">But we are not. </w:t>
      </w:r>
      <w:r w:rsidRPr="00956AB0">
        <w:rPr>
          <w:rFonts w:eastAsia="Times New Roman"/>
          <w:kern w:val="2"/>
          <w:szCs w:val="26"/>
        </w:rPr>
        <w:lastRenderedPageBreak/>
        <w:t xml:space="preserve">Instead, </w:t>
      </w:r>
      <w:r w:rsidRPr="00956AB0">
        <w:rPr>
          <w:rFonts w:eastAsia="Times New Roman"/>
          <w:kern w:val="2"/>
          <w:szCs w:val="26"/>
        </w:rPr>
        <w:t xml:space="preserve">courts have taken to deciding similar issues on their own, based on something other than facts or expert opinion. </w:t>
      </w:r>
      <w:r w:rsidRPr="00956AB0">
        <w:rPr>
          <w:rFonts w:eastAsia="Times New Roman"/>
          <w:kern w:val="2"/>
          <w:szCs w:val="26"/>
        </w:rPr>
        <w:t xml:space="preserve">For example, in </w:t>
      </w:r>
      <w:bookmarkStart w:id="8" w:name="_Hlk55222027"/>
      <w:r w:rsidRPr="00956AB0">
        <w:rPr>
          <w:rFonts w:eastAsia="Times New Roman"/>
          <w:i/>
          <w:iCs/>
          <w:kern w:val="2"/>
          <w:szCs w:val="26"/>
        </w:rPr>
        <w:t>Pac Anchor</w:t>
      </w:r>
      <w:r w:rsidRPr="00956AB0">
        <w:rPr>
          <w:rFonts w:eastAsia="Times New Roman"/>
          <w:kern w:val="2"/>
          <w:szCs w:val="26"/>
        </w:rPr>
        <w:t xml:space="preserve"> </w:t>
      </w:r>
      <w:bookmarkEnd w:id="8"/>
      <w:r w:rsidRPr="00956AB0">
        <w:rPr>
          <w:rFonts w:eastAsia="Times New Roman"/>
          <w:kern w:val="2"/>
          <w:szCs w:val="26"/>
        </w:rPr>
        <w:t>our Supreme Court decide</w:t>
      </w:r>
      <w:r w:rsidRPr="00956AB0">
        <w:rPr>
          <w:rFonts w:eastAsia="Times New Roman"/>
          <w:kern w:val="2"/>
          <w:szCs w:val="26"/>
        </w:rPr>
        <w:t xml:space="preserve">d whether an action under </w:t>
      </w:r>
      <w:r w:rsidRPr="00956AB0">
        <w:rPr>
          <w:rFonts w:eastAsia="Times New Roman"/>
          <w:kern w:val="2"/>
          <w:szCs w:val="26"/>
        </w:rPr>
        <w:t>California’s</w:t>
      </w:r>
      <w:r w:rsidRPr="00956AB0">
        <w:rPr>
          <w:rFonts w:eastAsia="Times New Roman"/>
          <w:kern w:val="2"/>
          <w:szCs w:val="26"/>
        </w:rPr>
        <w:t xml:space="preserve"> </w:t>
      </w:r>
      <w:r>
        <w:rPr>
          <w:rFonts w:eastAsia="Times New Roman"/>
          <w:kern w:val="2"/>
          <w:szCs w:val="26"/>
        </w:rPr>
        <w:t>U</w:t>
      </w:r>
      <w:r w:rsidRPr="00956AB0">
        <w:rPr>
          <w:rFonts w:eastAsia="Times New Roman"/>
          <w:kern w:val="2"/>
          <w:szCs w:val="26"/>
        </w:rPr>
        <w:t xml:space="preserve">nfair </w:t>
      </w:r>
      <w:r>
        <w:rPr>
          <w:rFonts w:eastAsia="Times New Roman"/>
          <w:kern w:val="2"/>
          <w:szCs w:val="26"/>
        </w:rPr>
        <w:t>C</w:t>
      </w:r>
      <w:r w:rsidRPr="00956AB0">
        <w:rPr>
          <w:rFonts w:eastAsia="Times New Roman"/>
          <w:kern w:val="2"/>
          <w:szCs w:val="26"/>
        </w:rPr>
        <w:t xml:space="preserve">ompetition </w:t>
      </w:r>
      <w:r>
        <w:rPr>
          <w:rFonts w:eastAsia="Times New Roman"/>
          <w:kern w:val="2"/>
          <w:szCs w:val="26"/>
        </w:rPr>
        <w:t>L</w:t>
      </w:r>
      <w:r w:rsidRPr="00956AB0">
        <w:rPr>
          <w:rFonts w:eastAsia="Times New Roman"/>
          <w:kern w:val="2"/>
          <w:szCs w:val="26"/>
        </w:rPr>
        <w:t xml:space="preserve">aw was preempted by the FAAAA without a developed factual record </w:t>
      </w:r>
      <w:r w:rsidRPr="00956AB0">
        <w:rPr>
          <w:rFonts w:eastAsia="Times New Roman"/>
          <w:kern w:val="2"/>
          <w:szCs w:val="26"/>
        </w:rPr>
        <w:t xml:space="preserve">(the </w:t>
      </w:r>
      <w:r w:rsidRPr="00956AB0">
        <w:rPr>
          <w:rFonts w:eastAsia="Times New Roman"/>
          <w:kern w:val="2"/>
          <w:szCs w:val="26"/>
        </w:rPr>
        <w:t>defendants</w:t>
      </w:r>
      <w:r w:rsidRPr="00956AB0">
        <w:rPr>
          <w:rFonts w:eastAsia="Times New Roman"/>
          <w:kern w:val="2"/>
          <w:szCs w:val="26"/>
        </w:rPr>
        <w:t xml:space="preserve"> presented the </w:t>
      </w:r>
      <w:r w:rsidRPr="00956AB0">
        <w:rPr>
          <w:rFonts w:eastAsia="Times New Roman"/>
          <w:kern w:val="2"/>
          <w:szCs w:val="26"/>
        </w:rPr>
        <w:t xml:space="preserve">issue in the </w:t>
      </w:r>
      <w:r w:rsidRPr="00956AB0">
        <w:rPr>
          <w:rFonts w:eastAsia="Times New Roman"/>
          <w:kern w:val="2"/>
          <w:szCs w:val="26"/>
        </w:rPr>
        <w:t>context of a motion for judgment on the pleadings</w:t>
      </w:r>
      <w:r w:rsidRPr="00956AB0">
        <w:rPr>
          <w:rFonts w:eastAsia="Times New Roman"/>
          <w:kern w:val="2"/>
          <w:szCs w:val="26"/>
        </w:rPr>
        <w:t>)</w:t>
      </w:r>
      <w:r w:rsidRPr="00956AB0">
        <w:rPr>
          <w:rFonts w:eastAsia="Times New Roman"/>
          <w:kern w:val="2"/>
          <w:szCs w:val="26"/>
        </w:rPr>
        <w:t>.</w:t>
      </w:r>
      <w:r w:rsidRPr="00956AB0">
        <w:rPr>
          <w:rFonts w:eastAsia="Times New Roman"/>
          <w:i/>
          <w:iCs/>
          <w:kern w:val="2"/>
          <w:szCs w:val="26"/>
        </w:rPr>
        <w:t xml:space="preserve"> </w:t>
      </w:r>
      <w:r w:rsidRPr="00956AB0">
        <w:rPr>
          <w:rFonts w:eastAsia="Times New Roman"/>
          <w:kern w:val="2"/>
          <w:szCs w:val="26"/>
        </w:rPr>
        <w:t>(</w:t>
      </w:r>
      <w:r w:rsidRPr="00956AB0">
        <w:rPr>
          <w:rFonts w:eastAsia="Times New Roman"/>
          <w:i/>
          <w:iCs/>
          <w:kern w:val="2"/>
          <w:szCs w:val="26"/>
        </w:rPr>
        <w:t>Pac Anchor</w:t>
      </w:r>
      <w:r w:rsidRPr="00956AB0">
        <w:rPr>
          <w:rFonts w:eastAsia="Times New Roman"/>
          <w:kern w:val="2"/>
          <w:szCs w:val="26"/>
        </w:rPr>
        <w:t xml:space="preserve">, </w:t>
      </w:r>
      <w:r w:rsidRPr="003D1F9A">
        <w:rPr>
          <w:rFonts w:eastAsia="Times New Roman"/>
          <w:i/>
          <w:kern w:val="2"/>
          <w:szCs w:val="26"/>
        </w:rPr>
        <w:t>supra</w:t>
      </w:r>
      <w:r w:rsidRPr="00956AB0">
        <w:rPr>
          <w:rFonts w:eastAsia="Times New Roman"/>
          <w:kern w:val="2"/>
          <w:szCs w:val="26"/>
        </w:rPr>
        <w:t xml:space="preserve">, 59 Cal.4th at </w:t>
      </w:r>
      <w:r w:rsidRPr="00956AB0">
        <w:rPr>
          <w:rFonts w:eastAsia="Times New Roman"/>
          <w:kern w:val="2"/>
          <w:szCs w:val="26"/>
        </w:rPr>
        <w:t>pp. 775-77</w:t>
      </w:r>
      <w:r w:rsidRPr="00956AB0">
        <w:rPr>
          <w:rFonts w:eastAsia="Times New Roman"/>
          <w:kern w:val="2"/>
          <w:szCs w:val="26"/>
        </w:rPr>
        <w:t>7</w:t>
      </w:r>
      <w:r w:rsidRPr="00956AB0">
        <w:rPr>
          <w:rFonts w:eastAsia="Times New Roman"/>
          <w:kern w:val="2"/>
          <w:szCs w:val="26"/>
        </w:rPr>
        <w:t>.)</w:t>
      </w:r>
      <w:r>
        <w:rPr>
          <w:rStyle w:val="FootnoteReference"/>
          <w:rFonts w:eastAsia="Times New Roman"/>
          <w:b w:val="0"/>
          <w:bCs/>
          <w:kern w:val="2"/>
          <w:sz w:val="26"/>
          <w:szCs w:val="26"/>
        </w:rPr>
        <w:footnoteReference w:id="9"/>
      </w:r>
      <w:r w:rsidRPr="00956AB0">
        <w:rPr>
          <w:rFonts w:eastAsia="Times New Roman"/>
          <w:kern w:val="2"/>
          <w:szCs w:val="26"/>
        </w:rPr>
        <w:t xml:space="preserve"> </w:t>
      </w:r>
      <w:r w:rsidRPr="00956AB0">
        <w:rPr>
          <w:rFonts w:eastAsia="Times New Roman"/>
          <w:kern w:val="2"/>
          <w:szCs w:val="26"/>
        </w:rPr>
        <w:t>And so, we turn to the central issue: does the FAAAA pre</w:t>
      </w:r>
      <w:r w:rsidRPr="00956AB0">
        <w:rPr>
          <w:rFonts w:eastAsia="Times New Roman"/>
          <w:kern w:val="2"/>
          <w:szCs w:val="26"/>
        </w:rPr>
        <w:t>e</w:t>
      </w:r>
      <w:r w:rsidRPr="00956AB0">
        <w:rPr>
          <w:rFonts w:eastAsia="Times New Roman"/>
          <w:kern w:val="2"/>
          <w:szCs w:val="26"/>
        </w:rPr>
        <w:t>mpt application of the ABC test?</w:t>
      </w:r>
      <w:r>
        <w:rPr>
          <w:rStyle w:val="FootnoteReference"/>
          <w:rFonts w:eastAsia="Times New Roman"/>
          <w:b w:val="0"/>
          <w:bCs/>
          <w:kern w:val="2"/>
          <w:sz w:val="26"/>
          <w:szCs w:val="26"/>
        </w:rPr>
        <w:footnoteReference w:id="10"/>
      </w:r>
    </w:p>
    <w:p w14:paraId="1D24E496" w14:textId="77777777" w:rsidR="00DF2B6E" w:rsidRPr="00956AB0" w:rsidRDefault="00B24AFB" w:rsidP="000E5B2C">
      <w:pPr>
        <w:rPr>
          <w:rFonts w:eastAsia="Times New Roman"/>
          <w:kern w:val="2"/>
          <w:szCs w:val="26"/>
        </w:rPr>
      </w:pPr>
    </w:p>
    <w:p w14:paraId="2B620677" w14:textId="77777777" w:rsidR="005C4796" w:rsidRPr="00956AB0" w:rsidRDefault="00B24AFB" w:rsidP="003F04C8">
      <w:pPr>
        <w:pStyle w:val="ListParagraph"/>
        <w:numPr>
          <w:ilvl w:val="0"/>
          <w:numId w:val="16"/>
        </w:numPr>
        <w:ind w:left="900" w:hanging="540"/>
        <w:rPr>
          <w:rFonts w:eastAsia="Times New Roman"/>
          <w:b/>
          <w:bCs/>
          <w:kern w:val="2"/>
          <w:szCs w:val="26"/>
        </w:rPr>
      </w:pPr>
      <w:r w:rsidRPr="00956AB0">
        <w:rPr>
          <w:rFonts w:eastAsia="Times New Roman"/>
          <w:b/>
          <w:bCs/>
          <w:kern w:val="2"/>
          <w:szCs w:val="26"/>
        </w:rPr>
        <w:lastRenderedPageBreak/>
        <w:t xml:space="preserve">The FAAAA Does Not </w:t>
      </w:r>
      <w:r w:rsidRPr="00956AB0">
        <w:rPr>
          <w:rFonts w:eastAsia="Times New Roman"/>
          <w:b/>
          <w:bCs/>
          <w:kern w:val="2"/>
          <w:szCs w:val="26"/>
        </w:rPr>
        <w:t>Preempt the ABC Test</w:t>
      </w:r>
    </w:p>
    <w:p w14:paraId="6A9ED101" w14:textId="77777777" w:rsidR="00942F30" w:rsidRPr="00956AB0" w:rsidRDefault="00B24AFB" w:rsidP="00942F30">
      <w:pPr>
        <w:ind w:left="360"/>
        <w:rPr>
          <w:rFonts w:eastAsia="Times New Roman"/>
          <w:kern w:val="2"/>
          <w:szCs w:val="26"/>
        </w:rPr>
      </w:pPr>
    </w:p>
    <w:p w14:paraId="69C50208" w14:textId="77777777" w:rsidR="00E142B4" w:rsidRPr="00956AB0" w:rsidRDefault="00B24AFB" w:rsidP="00F519A4">
      <w:pPr>
        <w:ind w:firstLine="720"/>
        <w:rPr>
          <w:rFonts w:eastAsia="Times New Roman"/>
          <w:kern w:val="2"/>
          <w:szCs w:val="26"/>
        </w:rPr>
      </w:pPr>
      <w:r w:rsidRPr="00956AB0">
        <w:rPr>
          <w:rFonts w:eastAsia="Times New Roman"/>
          <w:kern w:val="2"/>
          <w:szCs w:val="26"/>
        </w:rPr>
        <w:t>Defendants contend</w:t>
      </w:r>
      <w:r w:rsidRPr="00956AB0">
        <w:rPr>
          <w:rFonts w:eastAsia="Times New Roman"/>
          <w:kern w:val="2"/>
          <w:szCs w:val="26"/>
        </w:rPr>
        <w:t xml:space="preserve"> prong B of the ABC test makes it impossible for a motor carrier to contract with an owner-operator as an independent contractor, and thus the ABC test is preempted by the FAAAA under the clear terms of </w:t>
      </w:r>
      <w:r w:rsidRPr="00956AB0">
        <w:rPr>
          <w:rFonts w:eastAsia="Times New Roman"/>
          <w:i/>
          <w:iCs/>
          <w:kern w:val="2"/>
          <w:szCs w:val="26"/>
        </w:rPr>
        <w:t>Pac Anchor</w:t>
      </w:r>
      <w:r w:rsidRPr="00956AB0">
        <w:rPr>
          <w:rFonts w:eastAsia="Times New Roman"/>
          <w:kern w:val="2"/>
          <w:szCs w:val="26"/>
        </w:rPr>
        <w:t xml:space="preserve">. The People counter </w:t>
      </w:r>
      <w:r w:rsidRPr="00956AB0">
        <w:rPr>
          <w:rFonts w:eastAsia="Times New Roman"/>
          <w:kern w:val="2"/>
          <w:szCs w:val="26"/>
        </w:rPr>
        <w:t>the ABC test is not pr</w:t>
      </w:r>
      <w:r w:rsidRPr="00956AB0">
        <w:rPr>
          <w:rFonts w:eastAsia="Times New Roman"/>
          <w:kern w:val="2"/>
          <w:szCs w:val="26"/>
        </w:rPr>
        <w:t>eempted because it is a generally applicable employment law that does not prohibit the use of independent contractors</w:t>
      </w:r>
      <w:r w:rsidRPr="00956AB0">
        <w:rPr>
          <w:rFonts w:eastAsia="Times New Roman"/>
          <w:kern w:val="2"/>
          <w:szCs w:val="26"/>
        </w:rPr>
        <w:t>, and therefore does not have an impermissible effect on prices, routes, or services</w:t>
      </w:r>
      <w:r w:rsidRPr="00956AB0">
        <w:rPr>
          <w:rFonts w:eastAsia="Times New Roman"/>
          <w:kern w:val="2"/>
          <w:szCs w:val="26"/>
        </w:rPr>
        <w:t xml:space="preserve">. We agree with the People. </w:t>
      </w:r>
      <w:r w:rsidRPr="00956AB0">
        <w:rPr>
          <w:rFonts w:eastAsia="Times New Roman"/>
          <w:kern w:val="2"/>
          <w:szCs w:val="26"/>
        </w:rPr>
        <w:t>Our conclusion</w:t>
      </w:r>
      <w:r w:rsidRPr="00956AB0">
        <w:rPr>
          <w:rFonts w:eastAsia="Times New Roman"/>
          <w:kern w:val="2"/>
          <w:szCs w:val="26"/>
        </w:rPr>
        <w:t xml:space="preserve"> is</w:t>
      </w:r>
      <w:r w:rsidRPr="00956AB0">
        <w:rPr>
          <w:rFonts w:eastAsia="Times New Roman"/>
          <w:kern w:val="2"/>
          <w:szCs w:val="26"/>
        </w:rPr>
        <w:t xml:space="preserve"> </w:t>
      </w:r>
      <w:r w:rsidRPr="00956AB0">
        <w:rPr>
          <w:rFonts w:eastAsia="Times New Roman"/>
          <w:kern w:val="2"/>
          <w:szCs w:val="26"/>
        </w:rPr>
        <w:t>compelled</w:t>
      </w:r>
      <w:r w:rsidRPr="00956AB0">
        <w:rPr>
          <w:rFonts w:eastAsia="Times New Roman"/>
          <w:kern w:val="2"/>
          <w:szCs w:val="26"/>
        </w:rPr>
        <w:t xml:space="preserve"> </w:t>
      </w:r>
      <w:r w:rsidRPr="00956AB0">
        <w:rPr>
          <w:rFonts w:eastAsia="Times New Roman"/>
          <w:kern w:val="2"/>
          <w:szCs w:val="26"/>
        </w:rPr>
        <w:t>by the California Supreme Court</w:t>
      </w:r>
      <w:r w:rsidRPr="00956AB0">
        <w:rPr>
          <w:rFonts w:eastAsia="Times New Roman"/>
          <w:kern w:val="2"/>
          <w:szCs w:val="26"/>
        </w:rPr>
        <w:t xml:space="preserve">’s decision in </w:t>
      </w:r>
      <w:r w:rsidRPr="00956AB0">
        <w:rPr>
          <w:rFonts w:eastAsia="Times New Roman"/>
          <w:i/>
          <w:iCs/>
          <w:kern w:val="2"/>
          <w:szCs w:val="26"/>
        </w:rPr>
        <w:t>Pac Anchor</w:t>
      </w:r>
      <w:r w:rsidRPr="00956AB0">
        <w:rPr>
          <w:rFonts w:eastAsia="Times New Roman"/>
          <w:kern w:val="2"/>
          <w:szCs w:val="26"/>
        </w:rPr>
        <w:t xml:space="preserve">, </w:t>
      </w:r>
      <w:r w:rsidRPr="00956AB0">
        <w:rPr>
          <w:rFonts w:eastAsia="Times New Roman"/>
          <w:kern w:val="2"/>
          <w:szCs w:val="26"/>
        </w:rPr>
        <w:t>and the FAAAA’s legislative history</w:t>
      </w:r>
      <w:r w:rsidRPr="00956AB0">
        <w:rPr>
          <w:rFonts w:eastAsia="Times New Roman"/>
          <w:kern w:val="2"/>
          <w:szCs w:val="26"/>
        </w:rPr>
        <w:t>, as discussed below</w:t>
      </w:r>
      <w:r w:rsidRPr="00956AB0">
        <w:rPr>
          <w:rFonts w:eastAsia="Times New Roman"/>
          <w:kern w:val="2"/>
          <w:szCs w:val="26"/>
        </w:rPr>
        <w:t xml:space="preserve">. </w:t>
      </w:r>
    </w:p>
    <w:p w14:paraId="45EBD19C" w14:textId="77777777" w:rsidR="00E85C0C" w:rsidRPr="00956AB0" w:rsidRDefault="00B24AFB" w:rsidP="00D97AA0">
      <w:pPr>
        <w:rPr>
          <w:rFonts w:eastAsia="Times New Roman"/>
          <w:kern w:val="2"/>
          <w:szCs w:val="26"/>
        </w:rPr>
      </w:pPr>
      <w:r w:rsidRPr="00956AB0">
        <w:rPr>
          <w:rFonts w:eastAsia="Times New Roman"/>
          <w:kern w:val="2"/>
          <w:szCs w:val="26"/>
        </w:rPr>
        <w:tab/>
        <w:t xml:space="preserve">In </w:t>
      </w:r>
      <w:r w:rsidRPr="00956AB0">
        <w:rPr>
          <w:rFonts w:eastAsia="Times New Roman"/>
          <w:i/>
          <w:iCs/>
          <w:kern w:val="2"/>
          <w:szCs w:val="26"/>
        </w:rPr>
        <w:t>Pac Anchor</w:t>
      </w:r>
      <w:r w:rsidRPr="00956AB0">
        <w:rPr>
          <w:rFonts w:eastAsia="Times New Roman"/>
          <w:kern w:val="2"/>
          <w:szCs w:val="26"/>
        </w:rPr>
        <w:t xml:space="preserve">, the California Supreme Court </w:t>
      </w:r>
      <w:r w:rsidRPr="00956AB0">
        <w:rPr>
          <w:rFonts w:eastAsia="Times New Roman"/>
          <w:kern w:val="2"/>
          <w:szCs w:val="26"/>
        </w:rPr>
        <w:t>held the FAAAA did not preempt a claim under the UCL premised on</w:t>
      </w:r>
      <w:r w:rsidRPr="00956AB0">
        <w:rPr>
          <w:rFonts w:eastAsia="Times New Roman"/>
          <w:kern w:val="2"/>
          <w:szCs w:val="26"/>
        </w:rPr>
        <w:t xml:space="preserve"> truck</w:t>
      </w:r>
      <w:r w:rsidRPr="00956AB0">
        <w:rPr>
          <w:rFonts w:eastAsia="Times New Roman"/>
          <w:kern w:val="2"/>
          <w:szCs w:val="26"/>
        </w:rPr>
        <w:t xml:space="preserve"> drivers being misclassified as independent contractors.</w:t>
      </w:r>
      <w:r>
        <w:rPr>
          <w:rStyle w:val="FootnoteReference"/>
          <w:rFonts w:eastAsia="Times New Roman"/>
          <w:b w:val="0"/>
          <w:bCs/>
          <w:kern w:val="2"/>
          <w:sz w:val="26"/>
          <w:szCs w:val="26"/>
        </w:rPr>
        <w:footnoteReference w:id="11"/>
      </w:r>
      <w:r w:rsidRPr="00BE2259">
        <w:rPr>
          <w:rFonts w:eastAsia="Times New Roman"/>
          <w:b/>
          <w:bCs/>
          <w:kern w:val="2"/>
          <w:szCs w:val="26"/>
        </w:rPr>
        <w:t xml:space="preserve"> </w:t>
      </w:r>
      <w:r w:rsidRPr="00956AB0">
        <w:rPr>
          <w:rFonts w:eastAsia="Times New Roman"/>
          <w:kern w:val="2"/>
          <w:szCs w:val="26"/>
        </w:rPr>
        <w:t xml:space="preserve">The </w:t>
      </w:r>
      <w:r w:rsidRPr="00956AB0">
        <w:rPr>
          <w:rFonts w:eastAsia="Times New Roman"/>
          <w:kern w:val="2"/>
          <w:szCs w:val="26"/>
        </w:rPr>
        <w:t>defendants</w:t>
      </w:r>
      <w:r w:rsidRPr="00956AB0">
        <w:rPr>
          <w:rFonts w:eastAsia="Times New Roman"/>
          <w:kern w:val="2"/>
          <w:szCs w:val="26"/>
        </w:rPr>
        <w:t xml:space="preserve"> argued the “People’s UCL claim will significantly affect motor carrier prices, routes, and services because its application will prevent their using independent contractors, potentia</w:t>
      </w:r>
      <w:r w:rsidRPr="00956AB0">
        <w:rPr>
          <w:rFonts w:eastAsia="Times New Roman"/>
          <w:kern w:val="2"/>
          <w:szCs w:val="26"/>
        </w:rPr>
        <w:t>lly affecting their prices and services.” (</w:t>
      </w:r>
      <w:r w:rsidRPr="00956AB0">
        <w:rPr>
          <w:rFonts w:eastAsia="Times New Roman"/>
          <w:i/>
          <w:iCs/>
          <w:kern w:val="2"/>
          <w:szCs w:val="26"/>
        </w:rPr>
        <w:t>Pac Anchor, supra</w:t>
      </w:r>
      <w:r w:rsidRPr="00956AB0">
        <w:rPr>
          <w:rFonts w:eastAsia="Times New Roman"/>
          <w:kern w:val="2"/>
          <w:szCs w:val="26"/>
        </w:rPr>
        <w:t xml:space="preserve">, 59 Cal.4th at p. 785.) </w:t>
      </w:r>
      <w:r w:rsidRPr="00956AB0">
        <w:rPr>
          <w:rFonts w:eastAsia="Times New Roman"/>
          <w:kern w:val="2"/>
          <w:szCs w:val="26"/>
        </w:rPr>
        <w:t>They</w:t>
      </w:r>
      <w:r w:rsidRPr="00956AB0">
        <w:rPr>
          <w:rFonts w:eastAsia="Times New Roman"/>
          <w:kern w:val="2"/>
          <w:szCs w:val="26"/>
        </w:rPr>
        <w:t xml:space="preserve"> also </w:t>
      </w:r>
      <w:r w:rsidRPr="00956AB0">
        <w:rPr>
          <w:rFonts w:eastAsia="Times New Roman"/>
          <w:kern w:val="2"/>
          <w:szCs w:val="26"/>
        </w:rPr>
        <w:t>contended</w:t>
      </w:r>
      <w:r w:rsidRPr="00956AB0">
        <w:rPr>
          <w:rFonts w:eastAsia="Times New Roman"/>
          <w:kern w:val="2"/>
          <w:szCs w:val="26"/>
        </w:rPr>
        <w:t xml:space="preserve"> “if the People’s UCL action is successful, they will have to reclassify their drivers as employees, driving up their cost of doing business and thereby</w:t>
      </w:r>
      <w:r w:rsidRPr="00956AB0">
        <w:rPr>
          <w:rFonts w:eastAsia="Times New Roman"/>
          <w:kern w:val="2"/>
          <w:szCs w:val="26"/>
        </w:rPr>
        <w:t xml:space="preserve"> affecting market forces.” (</w:t>
      </w:r>
      <w:r w:rsidRPr="00956AB0">
        <w:rPr>
          <w:rFonts w:eastAsia="Times New Roman"/>
          <w:i/>
          <w:iCs/>
          <w:kern w:val="2"/>
          <w:szCs w:val="26"/>
        </w:rPr>
        <w:t>Ibid</w:t>
      </w:r>
      <w:r w:rsidRPr="00956AB0">
        <w:rPr>
          <w:rFonts w:eastAsia="Times New Roman"/>
          <w:kern w:val="2"/>
          <w:szCs w:val="26"/>
        </w:rPr>
        <w:t xml:space="preserve">.) </w:t>
      </w:r>
      <w:r w:rsidRPr="00956AB0">
        <w:rPr>
          <w:rFonts w:eastAsia="Times New Roman"/>
          <w:kern w:val="2"/>
          <w:szCs w:val="26"/>
        </w:rPr>
        <w:t xml:space="preserve">After analyzing the legislative history of the FAAAA and </w:t>
      </w:r>
      <w:r w:rsidRPr="00956AB0">
        <w:rPr>
          <w:rFonts w:eastAsia="Times New Roman"/>
          <w:kern w:val="2"/>
          <w:szCs w:val="26"/>
        </w:rPr>
        <w:t xml:space="preserve">relevant </w:t>
      </w:r>
      <w:r w:rsidRPr="00956AB0">
        <w:rPr>
          <w:rFonts w:eastAsia="Times New Roman"/>
          <w:kern w:val="2"/>
          <w:szCs w:val="26"/>
        </w:rPr>
        <w:t xml:space="preserve">United </w:t>
      </w:r>
      <w:r w:rsidRPr="00956AB0">
        <w:rPr>
          <w:rFonts w:eastAsia="Times New Roman"/>
          <w:kern w:val="2"/>
          <w:szCs w:val="26"/>
        </w:rPr>
        <w:t xml:space="preserve">States </w:t>
      </w:r>
      <w:r w:rsidRPr="00956AB0">
        <w:rPr>
          <w:rFonts w:eastAsia="Times New Roman"/>
          <w:kern w:val="2"/>
          <w:szCs w:val="26"/>
        </w:rPr>
        <w:t>Supreme Court</w:t>
      </w:r>
      <w:r w:rsidRPr="00956AB0">
        <w:rPr>
          <w:rFonts w:eastAsia="Times New Roman"/>
          <w:kern w:val="2"/>
          <w:szCs w:val="26"/>
        </w:rPr>
        <w:t xml:space="preserve">, Ninth Circuit, and other </w:t>
      </w:r>
      <w:r w:rsidRPr="00956AB0">
        <w:rPr>
          <w:rFonts w:eastAsia="Times New Roman"/>
          <w:kern w:val="2"/>
          <w:szCs w:val="26"/>
        </w:rPr>
        <w:t xml:space="preserve">precedent, the </w:t>
      </w:r>
      <w:r w:rsidRPr="00956AB0">
        <w:rPr>
          <w:rFonts w:eastAsia="Times New Roman"/>
          <w:i/>
          <w:iCs/>
          <w:kern w:val="2"/>
          <w:szCs w:val="26"/>
        </w:rPr>
        <w:t>Pac Anchor</w:t>
      </w:r>
      <w:r w:rsidRPr="00956AB0">
        <w:rPr>
          <w:rFonts w:eastAsia="Times New Roman"/>
          <w:kern w:val="2"/>
          <w:szCs w:val="26"/>
        </w:rPr>
        <w:t xml:space="preserve"> court </w:t>
      </w:r>
      <w:r w:rsidRPr="00956AB0">
        <w:rPr>
          <w:rFonts w:eastAsia="Times New Roman"/>
          <w:kern w:val="2"/>
          <w:szCs w:val="26"/>
        </w:rPr>
        <w:t xml:space="preserve">rejected </w:t>
      </w:r>
      <w:r w:rsidRPr="00956AB0">
        <w:rPr>
          <w:rFonts w:eastAsia="Times New Roman"/>
          <w:kern w:val="2"/>
          <w:szCs w:val="26"/>
        </w:rPr>
        <w:t xml:space="preserve">the </w:t>
      </w:r>
      <w:r w:rsidRPr="00956AB0">
        <w:rPr>
          <w:rFonts w:eastAsia="Times New Roman"/>
          <w:kern w:val="2"/>
          <w:szCs w:val="26"/>
        </w:rPr>
        <w:t>defendan</w:t>
      </w:r>
      <w:r w:rsidRPr="00956AB0">
        <w:rPr>
          <w:rFonts w:eastAsia="Times New Roman"/>
          <w:kern w:val="2"/>
          <w:szCs w:val="26"/>
        </w:rPr>
        <w:t>ts’</w:t>
      </w:r>
      <w:r w:rsidRPr="00956AB0">
        <w:rPr>
          <w:rFonts w:eastAsia="Times New Roman"/>
          <w:kern w:val="2"/>
          <w:szCs w:val="26"/>
        </w:rPr>
        <w:t xml:space="preserve"> arguments</w:t>
      </w:r>
      <w:r w:rsidRPr="00956AB0">
        <w:rPr>
          <w:rFonts w:eastAsia="Times New Roman"/>
          <w:kern w:val="2"/>
          <w:szCs w:val="26"/>
        </w:rPr>
        <w:t xml:space="preserve">. </w:t>
      </w:r>
      <w:r w:rsidRPr="00956AB0">
        <w:rPr>
          <w:rFonts w:eastAsia="Times New Roman"/>
          <w:kern w:val="2"/>
          <w:szCs w:val="26"/>
        </w:rPr>
        <w:t>(</w:t>
      </w:r>
      <w:r>
        <w:rPr>
          <w:rFonts w:eastAsia="Times New Roman"/>
          <w:i/>
          <w:iCs/>
          <w:kern w:val="2"/>
          <w:szCs w:val="26"/>
        </w:rPr>
        <w:t xml:space="preserve">Id. </w:t>
      </w:r>
      <w:r w:rsidRPr="00956AB0">
        <w:rPr>
          <w:rFonts w:eastAsia="Times New Roman"/>
          <w:kern w:val="2"/>
          <w:szCs w:val="26"/>
        </w:rPr>
        <w:t xml:space="preserve"> at p</w:t>
      </w:r>
      <w:r>
        <w:rPr>
          <w:rFonts w:eastAsia="Times New Roman"/>
          <w:kern w:val="2"/>
          <w:szCs w:val="26"/>
        </w:rPr>
        <w:t>p</w:t>
      </w:r>
      <w:r w:rsidRPr="00956AB0">
        <w:rPr>
          <w:rFonts w:eastAsia="Times New Roman"/>
          <w:kern w:val="2"/>
          <w:szCs w:val="26"/>
        </w:rPr>
        <w:t xml:space="preserve">. 782-784.) </w:t>
      </w:r>
      <w:r w:rsidRPr="00956AB0">
        <w:rPr>
          <w:rFonts w:eastAsia="Times New Roman"/>
          <w:kern w:val="2"/>
          <w:szCs w:val="26"/>
        </w:rPr>
        <w:t xml:space="preserve">The </w:t>
      </w:r>
      <w:r w:rsidRPr="00956AB0">
        <w:rPr>
          <w:rFonts w:eastAsia="Times New Roman"/>
          <w:kern w:val="2"/>
          <w:szCs w:val="26"/>
        </w:rPr>
        <w:lastRenderedPageBreak/>
        <w:t xml:space="preserve">court reasoned that a “UCL action that is based on an alleged general violation of labor and employment laws does not implicate [Congress’s] concerns” about </w:t>
      </w:r>
      <w:r w:rsidRPr="00956AB0">
        <w:rPr>
          <w:rFonts w:eastAsia="Times New Roman"/>
          <w:kern w:val="2"/>
          <w:szCs w:val="26"/>
        </w:rPr>
        <w:t>“</w:t>
      </w:r>
      <w:r w:rsidRPr="00956AB0">
        <w:rPr>
          <w:rFonts w:eastAsia="Times New Roman"/>
          <w:kern w:val="2"/>
          <w:szCs w:val="26"/>
        </w:rPr>
        <w:t>regulation of motor carriers with respect to the transportation of property</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 (</w:t>
      </w:r>
      <w:r w:rsidRPr="00956AB0">
        <w:rPr>
          <w:rFonts w:eastAsia="Times New Roman"/>
          <w:i/>
          <w:iCs/>
          <w:kern w:val="2"/>
          <w:szCs w:val="26"/>
        </w:rPr>
        <w:t>I</w:t>
      </w:r>
      <w:r w:rsidRPr="00956AB0">
        <w:rPr>
          <w:rFonts w:eastAsia="Times New Roman"/>
          <w:i/>
          <w:iCs/>
          <w:kern w:val="2"/>
          <w:szCs w:val="26"/>
        </w:rPr>
        <w:t xml:space="preserve">d. </w:t>
      </w:r>
      <w:r w:rsidRPr="00956AB0">
        <w:rPr>
          <w:rFonts w:eastAsia="Times New Roman"/>
          <w:kern w:val="2"/>
          <w:szCs w:val="26"/>
        </w:rPr>
        <w:t xml:space="preserve">at p. 783.) It further explained: </w:t>
      </w:r>
      <w:r w:rsidRPr="00956AB0">
        <w:rPr>
          <w:rFonts w:eastAsia="Times New Roman"/>
          <w:kern w:val="2"/>
          <w:szCs w:val="26"/>
        </w:rPr>
        <w:t>“Defendants</w:t>
      </w:r>
      <w:r>
        <w:rPr>
          <w:rFonts w:eastAsia="Times New Roman"/>
          <w:kern w:val="2"/>
          <w:szCs w:val="26"/>
        </w:rPr>
        <w:t>’</w:t>
      </w:r>
      <w:r w:rsidRPr="00956AB0">
        <w:rPr>
          <w:rFonts w:eastAsia="Times New Roman"/>
          <w:kern w:val="2"/>
          <w:szCs w:val="26"/>
        </w:rPr>
        <w:t xml:space="preserve"> assertion that the People may not prevent them from using independent contractors is correct, but its characterization of the People</w:t>
      </w:r>
      <w:r>
        <w:rPr>
          <w:rFonts w:eastAsia="Times New Roman"/>
          <w:kern w:val="2"/>
          <w:szCs w:val="26"/>
        </w:rPr>
        <w:t>’</w:t>
      </w:r>
      <w:r w:rsidRPr="00956AB0">
        <w:rPr>
          <w:rFonts w:eastAsia="Times New Roman"/>
          <w:kern w:val="2"/>
          <w:szCs w:val="26"/>
        </w:rPr>
        <w:t>s UCL claim is not. Nothing in the People</w:t>
      </w:r>
      <w:r>
        <w:rPr>
          <w:rFonts w:eastAsia="Times New Roman"/>
          <w:kern w:val="2"/>
          <w:szCs w:val="26"/>
        </w:rPr>
        <w:t>’</w:t>
      </w:r>
      <w:r w:rsidRPr="00956AB0">
        <w:rPr>
          <w:rFonts w:eastAsia="Times New Roman"/>
          <w:kern w:val="2"/>
          <w:szCs w:val="26"/>
        </w:rPr>
        <w:t>s UCL action would prevent defe</w:t>
      </w:r>
      <w:r w:rsidRPr="00956AB0">
        <w:rPr>
          <w:rFonts w:eastAsia="Times New Roman"/>
          <w:kern w:val="2"/>
          <w:szCs w:val="26"/>
        </w:rPr>
        <w:t>ndants from using independent contractors. The People merely contend that if defendants pay individuals to drive their trucks, they must classify these drivers appropriately and comply with generally applicable labor and employment laws.”</w:t>
      </w:r>
      <w:r w:rsidRPr="00956AB0">
        <w:rPr>
          <w:rFonts w:eastAsia="Times New Roman"/>
          <w:kern w:val="2"/>
          <w:szCs w:val="26"/>
        </w:rPr>
        <w:t xml:space="preserve"> (</w:t>
      </w:r>
      <w:r w:rsidRPr="00956AB0">
        <w:rPr>
          <w:rFonts w:eastAsia="Times New Roman"/>
          <w:i/>
          <w:iCs/>
          <w:kern w:val="2"/>
          <w:szCs w:val="26"/>
        </w:rPr>
        <w:t>Id</w:t>
      </w:r>
      <w:r w:rsidRPr="00956AB0">
        <w:rPr>
          <w:rFonts w:eastAsia="Times New Roman"/>
          <w:kern w:val="2"/>
          <w:szCs w:val="26"/>
        </w:rPr>
        <w:t>.</w:t>
      </w:r>
      <w:r w:rsidRPr="00956AB0">
        <w:rPr>
          <w:rFonts w:eastAsia="Times New Roman"/>
          <w:kern w:val="2"/>
          <w:szCs w:val="26"/>
        </w:rPr>
        <w:t xml:space="preserve"> at p.</w:t>
      </w:r>
      <w:r>
        <w:rPr>
          <w:rFonts w:eastAsia="Times New Roman"/>
          <w:kern w:val="2"/>
          <w:szCs w:val="26"/>
        </w:rPr>
        <w:t> </w:t>
      </w:r>
      <w:r w:rsidRPr="00956AB0">
        <w:rPr>
          <w:rFonts w:eastAsia="Times New Roman"/>
          <w:kern w:val="2"/>
          <w:szCs w:val="26"/>
        </w:rPr>
        <w:t>785</w:t>
      </w:r>
      <w:r w:rsidRPr="00956AB0">
        <w:rPr>
          <w:rFonts w:eastAsia="Times New Roman"/>
          <w:kern w:val="2"/>
          <w:szCs w:val="26"/>
        </w:rPr>
        <w:t xml:space="preserve">) </w:t>
      </w:r>
      <w:r w:rsidRPr="00956AB0">
        <w:rPr>
          <w:rFonts w:eastAsia="Times New Roman"/>
          <w:kern w:val="2"/>
          <w:szCs w:val="26"/>
        </w:rPr>
        <w:t>T</w:t>
      </w:r>
      <w:r w:rsidRPr="00956AB0">
        <w:rPr>
          <w:rFonts w:eastAsia="Times New Roman"/>
          <w:kern w:val="2"/>
          <w:szCs w:val="26"/>
        </w:rPr>
        <w:t xml:space="preserve">he court also rejected </w:t>
      </w:r>
      <w:r w:rsidRPr="00956AB0">
        <w:rPr>
          <w:rFonts w:eastAsia="Times New Roman"/>
          <w:kern w:val="2"/>
          <w:szCs w:val="26"/>
        </w:rPr>
        <w:t>defendant</w:t>
      </w:r>
      <w:r w:rsidRPr="00956AB0">
        <w:rPr>
          <w:rFonts w:eastAsia="Times New Roman"/>
          <w:kern w:val="2"/>
          <w:szCs w:val="26"/>
        </w:rPr>
        <w:t>s</w:t>
      </w:r>
      <w:r w:rsidRPr="00956AB0">
        <w:rPr>
          <w:rFonts w:eastAsia="Times New Roman"/>
          <w:kern w:val="2"/>
          <w:szCs w:val="26"/>
        </w:rPr>
        <w:t>’</w:t>
      </w:r>
      <w:r w:rsidRPr="00956AB0">
        <w:rPr>
          <w:rFonts w:eastAsia="Times New Roman"/>
          <w:kern w:val="2"/>
          <w:szCs w:val="26"/>
        </w:rPr>
        <w:t xml:space="preserve"> argument that enforcement of California’s general employment laws was contrary to the FAAAA’s “deregulatory purpose.” (</w:t>
      </w:r>
      <w:r w:rsidRPr="00956AB0">
        <w:rPr>
          <w:rFonts w:eastAsia="Times New Roman"/>
          <w:i/>
          <w:iCs/>
          <w:kern w:val="2"/>
          <w:szCs w:val="26"/>
        </w:rPr>
        <w:t>Id</w:t>
      </w:r>
      <w:r w:rsidRPr="00956AB0">
        <w:rPr>
          <w:rFonts w:eastAsia="Times New Roman"/>
          <w:kern w:val="2"/>
          <w:szCs w:val="26"/>
        </w:rPr>
        <w:t xml:space="preserve">. at p. 786.) </w:t>
      </w:r>
      <w:r w:rsidRPr="00956AB0">
        <w:rPr>
          <w:rFonts w:eastAsia="Times New Roman"/>
          <w:kern w:val="2"/>
          <w:szCs w:val="26"/>
        </w:rPr>
        <w:t>The court</w:t>
      </w:r>
      <w:r w:rsidRPr="00956AB0">
        <w:rPr>
          <w:rFonts w:eastAsia="Times New Roman"/>
          <w:kern w:val="2"/>
          <w:szCs w:val="26"/>
        </w:rPr>
        <w:t xml:space="preserve"> explained that while “Congress passed the FAAAA in order to end a patchwork of state regulations[,] . . . noth</w:t>
      </w:r>
      <w:r w:rsidRPr="00956AB0">
        <w:rPr>
          <w:rFonts w:eastAsia="Times New Roman"/>
          <w:kern w:val="2"/>
          <w:szCs w:val="26"/>
        </w:rPr>
        <w:t>ing in the congressional record establishes that Congress intended to preempt states’ ability to tax motor carriers, to enforce labor and wage standards, or to exempt motor carriers from generally applicable insurance laws.</w:t>
      </w:r>
      <w:r w:rsidRPr="00956AB0">
        <w:rPr>
          <w:rFonts w:eastAsia="Times New Roman"/>
          <w:kern w:val="2"/>
          <w:szCs w:val="26"/>
        </w:rPr>
        <w:t xml:space="preserve"> [Citations.]</w:t>
      </w:r>
      <w:r w:rsidRPr="00956AB0">
        <w:rPr>
          <w:rFonts w:eastAsia="Times New Roman"/>
          <w:kern w:val="2"/>
          <w:szCs w:val="26"/>
        </w:rPr>
        <w:t>” (</w:t>
      </w:r>
      <w:r w:rsidRPr="00956AB0">
        <w:rPr>
          <w:rFonts w:eastAsia="Times New Roman"/>
          <w:i/>
          <w:iCs/>
          <w:kern w:val="2"/>
          <w:szCs w:val="26"/>
        </w:rPr>
        <w:t>Ibid</w:t>
      </w:r>
      <w:r w:rsidRPr="00956AB0">
        <w:rPr>
          <w:rFonts w:eastAsia="Times New Roman"/>
          <w:kern w:val="2"/>
          <w:szCs w:val="26"/>
        </w:rPr>
        <w:t>.)</w:t>
      </w:r>
    </w:p>
    <w:p w14:paraId="02D52C4F" w14:textId="77777777" w:rsidR="00C92B49" w:rsidRPr="00956AB0" w:rsidRDefault="00B24AFB" w:rsidP="00D97AA0">
      <w:pPr>
        <w:rPr>
          <w:rFonts w:eastAsia="Times New Roman"/>
          <w:kern w:val="2"/>
          <w:szCs w:val="26"/>
        </w:rPr>
      </w:pPr>
      <w:r w:rsidRPr="00956AB0">
        <w:rPr>
          <w:rFonts w:eastAsia="Times New Roman"/>
          <w:kern w:val="2"/>
          <w:szCs w:val="26"/>
        </w:rPr>
        <w:tab/>
      </w:r>
      <w:r w:rsidRPr="00956AB0">
        <w:rPr>
          <w:rFonts w:eastAsia="Times New Roman"/>
          <w:i/>
          <w:iCs/>
          <w:kern w:val="2"/>
          <w:szCs w:val="26"/>
        </w:rPr>
        <w:t>Pac Ancho</w:t>
      </w:r>
      <w:r w:rsidRPr="00956AB0">
        <w:rPr>
          <w:rFonts w:eastAsia="Times New Roman"/>
          <w:i/>
          <w:iCs/>
          <w:kern w:val="2"/>
          <w:szCs w:val="26"/>
        </w:rPr>
        <w:t>r</w:t>
      </w:r>
      <w:r w:rsidRPr="00956AB0">
        <w:rPr>
          <w:rFonts w:eastAsia="Times New Roman"/>
          <w:kern w:val="2"/>
          <w:szCs w:val="26"/>
        </w:rPr>
        <w:t xml:space="preserve"> is dispositive. </w:t>
      </w:r>
      <w:r w:rsidRPr="00956AB0">
        <w:rPr>
          <w:rFonts w:eastAsia="Times New Roman"/>
          <w:kern w:val="2"/>
          <w:szCs w:val="26"/>
        </w:rPr>
        <w:t xml:space="preserve">Like the </w:t>
      </w:r>
      <w:r w:rsidRPr="00956AB0">
        <w:rPr>
          <w:rFonts w:eastAsia="Times New Roman"/>
          <w:kern w:val="2"/>
          <w:szCs w:val="26"/>
        </w:rPr>
        <w:t>labor laws examined in that case</w:t>
      </w:r>
      <w:r w:rsidRPr="00956AB0">
        <w:rPr>
          <w:rFonts w:eastAsia="Times New Roman"/>
          <w:kern w:val="2"/>
          <w:szCs w:val="26"/>
        </w:rPr>
        <w:t>, the ABC test is a law of general application.</w:t>
      </w:r>
      <w:r>
        <w:rPr>
          <w:rStyle w:val="FootnoteReference"/>
          <w:rFonts w:eastAsia="Times New Roman"/>
          <w:b w:val="0"/>
          <w:bCs/>
          <w:kern w:val="2"/>
          <w:sz w:val="26"/>
          <w:szCs w:val="26"/>
        </w:rPr>
        <w:footnoteReference w:id="12"/>
      </w:r>
      <w:r w:rsidRPr="0088668B">
        <w:rPr>
          <w:rFonts w:eastAsia="Times New Roman"/>
          <w:b/>
          <w:bCs/>
          <w:kern w:val="2"/>
          <w:szCs w:val="26"/>
        </w:rPr>
        <w:t xml:space="preserve"> </w:t>
      </w:r>
      <w:r w:rsidRPr="00956AB0">
        <w:rPr>
          <w:rFonts w:eastAsia="Times New Roman"/>
          <w:kern w:val="2"/>
          <w:szCs w:val="26"/>
        </w:rPr>
        <w:t>The A</w:t>
      </w:r>
      <w:r w:rsidRPr="00956AB0">
        <w:rPr>
          <w:rFonts w:eastAsia="Times New Roman"/>
          <w:kern w:val="2"/>
          <w:szCs w:val="26"/>
        </w:rPr>
        <w:t>B</w:t>
      </w:r>
      <w:r w:rsidRPr="00956AB0">
        <w:rPr>
          <w:rFonts w:eastAsia="Times New Roman"/>
          <w:kern w:val="2"/>
          <w:szCs w:val="26"/>
        </w:rPr>
        <w:t xml:space="preserve">C </w:t>
      </w:r>
      <w:r w:rsidRPr="00956AB0">
        <w:rPr>
          <w:rFonts w:eastAsia="Times New Roman"/>
          <w:kern w:val="2"/>
          <w:szCs w:val="26"/>
        </w:rPr>
        <w:lastRenderedPageBreak/>
        <w:t xml:space="preserve">test does not mandate the use of employees for any business or hiring entity. Instead, </w:t>
      </w:r>
      <w:r w:rsidRPr="00956AB0">
        <w:rPr>
          <w:rFonts w:eastAsia="Times New Roman"/>
          <w:kern w:val="2"/>
          <w:szCs w:val="26"/>
        </w:rPr>
        <w:t>the ABC test</w:t>
      </w:r>
      <w:r w:rsidRPr="00956AB0">
        <w:rPr>
          <w:rFonts w:eastAsia="Times New Roman"/>
          <w:kern w:val="2"/>
          <w:szCs w:val="26"/>
        </w:rPr>
        <w:t xml:space="preserve"> is a worker-classification test that</w:t>
      </w:r>
      <w:r w:rsidRPr="00956AB0">
        <w:rPr>
          <w:rFonts w:eastAsia="Times New Roman"/>
          <w:kern w:val="2"/>
          <w:szCs w:val="26"/>
        </w:rPr>
        <w:t xml:space="preserve"> states a</w:t>
      </w:r>
      <w:r w:rsidRPr="00956AB0">
        <w:rPr>
          <w:rFonts w:eastAsia="Times New Roman"/>
          <w:kern w:val="2"/>
          <w:szCs w:val="26"/>
        </w:rPr>
        <w:t xml:space="preserve"> general and rebuttable presumption that a worker is an employee</w:t>
      </w:r>
      <w:r w:rsidRPr="00956AB0">
        <w:rPr>
          <w:rFonts w:eastAsia="Times New Roman"/>
          <w:kern w:val="2"/>
          <w:szCs w:val="26"/>
        </w:rPr>
        <w:t xml:space="preserve"> unless the hiring entity demonstrates certain conditions. That independent owner-operator truck drivers, as </w:t>
      </w:r>
      <w:r w:rsidRPr="00956AB0">
        <w:rPr>
          <w:rFonts w:eastAsia="Times New Roman"/>
          <w:kern w:val="2"/>
          <w:szCs w:val="26"/>
        </w:rPr>
        <w:t>defendants currently use them</w:t>
      </w:r>
      <w:r w:rsidRPr="00956AB0">
        <w:rPr>
          <w:rFonts w:eastAsia="Times New Roman"/>
          <w:kern w:val="2"/>
          <w:szCs w:val="26"/>
        </w:rPr>
        <w:t>, may be incorrectly classified</w:t>
      </w:r>
      <w:r w:rsidRPr="00956AB0">
        <w:rPr>
          <w:rFonts w:eastAsia="Times New Roman"/>
          <w:kern w:val="2"/>
          <w:szCs w:val="26"/>
        </w:rPr>
        <w:t>,</w:t>
      </w:r>
      <w:r w:rsidRPr="00956AB0">
        <w:rPr>
          <w:rFonts w:eastAsia="Times New Roman"/>
          <w:kern w:val="2"/>
          <w:szCs w:val="26"/>
        </w:rPr>
        <w:t xml:space="preserve"> does </w:t>
      </w:r>
      <w:r w:rsidRPr="00956AB0">
        <w:rPr>
          <w:rFonts w:eastAsia="Times New Roman"/>
          <w:kern w:val="2"/>
          <w:szCs w:val="26"/>
        </w:rPr>
        <w:t>not mea</w:t>
      </w:r>
      <w:r w:rsidRPr="00956AB0">
        <w:rPr>
          <w:rFonts w:eastAsia="Times New Roman"/>
          <w:kern w:val="2"/>
          <w:szCs w:val="26"/>
        </w:rPr>
        <w:t>n</w:t>
      </w:r>
      <w:r w:rsidRPr="00956AB0">
        <w:rPr>
          <w:rFonts w:eastAsia="Times New Roman"/>
          <w:kern w:val="2"/>
          <w:szCs w:val="26"/>
        </w:rPr>
        <w:t xml:space="preserve"> the ABC test </w:t>
      </w:r>
      <w:r w:rsidRPr="00956AB0">
        <w:rPr>
          <w:rFonts w:eastAsia="Times New Roman"/>
          <w:kern w:val="2"/>
          <w:szCs w:val="26"/>
        </w:rPr>
        <w:t>prohibits</w:t>
      </w:r>
      <w:r w:rsidRPr="00956AB0">
        <w:rPr>
          <w:rFonts w:eastAsia="Times New Roman"/>
          <w:kern w:val="2"/>
          <w:szCs w:val="26"/>
        </w:rPr>
        <w:t xml:space="preserve"> motor carriers from using independent contractors.</w:t>
      </w:r>
      <w:r w:rsidRPr="00956AB0">
        <w:rPr>
          <w:rFonts w:eastAsia="Times New Roman"/>
          <w:kern w:val="2"/>
          <w:szCs w:val="26"/>
        </w:rPr>
        <w:t xml:space="preserve"> </w:t>
      </w:r>
      <w:r w:rsidRPr="00956AB0">
        <w:rPr>
          <w:rFonts w:eastAsia="Times New Roman"/>
          <w:kern w:val="2"/>
          <w:szCs w:val="26"/>
        </w:rPr>
        <w:t xml:space="preserve">The ABC test, therefore, is </w:t>
      </w:r>
      <w:r w:rsidRPr="00956AB0">
        <w:rPr>
          <w:rFonts w:eastAsia="Times New Roman"/>
          <w:kern w:val="2"/>
          <w:szCs w:val="26"/>
        </w:rPr>
        <w:t xml:space="preserve">not the type of law Congress intended </w:t>
      </w:r>
      <w:r w:rsidRPr="00956AB0">
        <w:rPr>
          <w:rFonts w:eastAsia="Times New Roman"/>
          <w:kern w:val="2"/>
          <w:szCs w:val="26"/>
        </w:rPr>
        <w:t xml:space="preserve">to </w:t>
      </w:r>
      <w:r w:rsidRPr="00956AB0">
        <w:rPr>
          <w:rFonts w:eastAsia="Times New Roman"/>
          <w:kern w:val="2"/>
          <w:szCs w:val="26"/>
        </w:rPr>
        <w:t xml:space="preserve">preempt. (See </w:t>
      </w:r>
      <w:r w:rsidRPr="00956AB0">
        <w:rPr>
          <w:rFonts w:eastAsia="Times New Roman"/>
          <w:i/>
          <w:iCs/>
          <w:kern w:val="2"/>
          <w:szCs w:val="26"/>
        </w:rPr>
        <w:t>Pac Anchor, supra</w:t>
      </w:r>
      <w:r w:rsidRPr="00956AB0">
        <w:rPr>
          <w:rFonts w:eastAsia="Times New Roman"/>
          <w:kern w:val="2"/>
          <w:szCs w:val="26"/>
        </w:rPr>
        <w:t>, 59</w:t>
      </w:r>
      <w:r>
        <w:rPr>
          <w:rFonts w:eastAsia="Times New Roman"/>
          <w:kern w:val="2"/>
          <w:szCs w:val="26"/>
        </w:rPr>
        <w:t> </w:t>
      </w:r>
      <w:r w:rsidRPr="00956AB0">
        <w:rPr>
          <w:rFonts w:eastAsia="Times New Roman"/>
          <w:kern w:val="2"/>
          <w:szCs w:val="26"/>
        </w:rPr>
        <w:t xml:space="preserve">Cal.4th at p. 787 [noting the congressional record showed </w:t>
      </w:r>
      <w:r w:rsidRPr="00956AB0">
        <w:rPr>
          <w:rFonts w:eastAsia="Times New Roman"/>
          <w:kern w:val="2"/>
          <w:szCs w:val="26"/>
        </w:rPr>
        <w:t>“</w:t>
      </w:r>
      <w:r w:rsidRPr="00956AB0">
        <w:rPr>
          <w:rFonts w:eastAsia="Times New Roman"/>
          <w:kern w:val="2"/>
          <w:szCs w:val="26"/>
        </w:rPr>
        <w:t>Congress disappr</w:t>
      </w:r>
      <w:r w:rsidRPr="00956AB0">
        <w:rPr>
          <w:rFonts w:eastAsia="Times New Roman"/>
          <w:kern w:val="2"/>
          <w:szCs w:val="26"/>
        </w:rPr>
        <w:t>oved of a California law that denied advantageous regulatory exemptions to motor carriers who used a large proportion of independent contractors</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 xml:space="preserve"> but unlike that law, “the People’s UCL action does not encourage employers to use employee drivers rather t</w:t>
      </w:r>
      <w:r w:rsidRPr="00956AB0">
        <w:rPr>
          <w:rFonts w:eastAsia="Times New Roman"/>
          <w:kern w:val="2"/>
          <w:szCs w:val="26"/>
        </w:rPr>
        <w:t>han independent contractors. Defendants are free to use independent contractors as long as they are properly classified</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 xml:space="preserve">  </w:t>
      </w:r>
    </w:p>
    <w:p w14:paraId="471195FC" w14:textId="77777777" w:rsidR="00C0353D" w:rsidRPr="00956AB0" w:rsidRDefault="00B24AFB" w:rsidP="00D97AA0">
      <w:pPr>
        <w:rPr>
          <w:rFonts w:eastAsia="Times New Roman"/>
          <w:kern w:val="2"/>
          <w:szCs w:val="26"/>
        </w:rPr>
      </w:pPr>
      <w:r w:rsidRPr="00956AB0">
        <w:rPr>
          <w:rFonts w:eastAsia="Times New Roman"/>
          <w:kern w:val="2"/>
          <w:szCs w:val="26"/>
        </w:rPr>
        <w:tab/>
      </w:r>
      <w:r w:rsidRPr="00956AB0">
        <w:rPr>
          <w:rFonts w:eastAsia="Times New Roman"/>
          <w:i/>
          <w:iCs/>
          <w:kern w:val="2"/>
          <w:szCs w:val="26"/>
        </w:rPr>
        <w:t>Pac Anchor</w:t>
      </w:r>
      <w:r w:rsidRPr="00956AB0">
        <w:rPr>
          <w:rFonts w:eastAsia="Times New Roman"/>
          <w:kern w:val="2"/>
          <w:szCs w:val="26"/>
        </w:rPr>
        <w:t xml:space="preserve"> also relied on </w:t>
      </w:r>
      <w:r w:rsidRPr="00956AB0">
        <w:rPr>
          <w:rFonts w:eastAsia="Times New Roman"/>
          <w:kern w:val="2"/>
          <w:szCs w:val="26"/>
        </w:rPr>
        <w:t xml:space="preserve">the </w:t>
      </w:r>
      <w:r w:rsidRPr="00956AB0">
        <w:rPr>
          <w:rFonts w:eastAsia="Times New Roman"/>
          <w:kern w:val="2"/>
          <w:szCs w:val="26"/>
        </w:rPr>
        <w:t>Ninth Circuit’s</w:t>
      </w:r>
      <w:r w:rsidRPr="00956AB0">
        <w:rPr>
          <w:rFonts w:eastAsia="Times New Roman"/>
          <w:kern w:val="2"/>
          <w:szCs w:val="26"/>
        </w:rPr>
        <w:t xml:space="preserve"> discussion</w:t>
      </w:r>
      <w:r w:rsidRPr="00956AB0">
        <w:rPr>
          <w:rFonts w:eastAsia="Times New Roman"/>
          <w:kern w:val="2"/>
          <w:szCs w:val="26"/>
        </w:rPr>
        <w:t xml:space="preserve"> in </w:t>
      </w:r>
      <w:r w:rsidRPr="00956AB0">
        <w:rPr>
          <w:rFonts w:eastAsia="Times New Roman"/>
          <w:i/>
          <w:iCs/>
          <w:kern w:val="2"/>
          <w:szCs w:val="26"/>
        </w:rPr>
        <w:t xml:space="preserve">Californians for Safe </w:t>
      </w:r>
      <w:r w:rsidRPr="00956AB0">
        <w:rPr>
          <w:rFonts w:eastAsia="Times New Roman"/>
          <w:i/>
          <w:iCs/>
          <w:kern w:val="2"/>
          <w:szCs w:val="26"/>
        </w:rPr>
        <w:t xml:space="preserve">&amp; </w:t>
      </w:r>
      <w:r w:rsidRPr="00956AB0">
        <w:rPr>
          <w:rFonts w:eastAsia="Times New Roman"/>
          <w:i/>
          <w:iCs/>
          <w:kern w:val="2"/>
          <w:szCs w:val="26"/>
        </w:rPr>
        <w:t xml:space="preserve">Competitive </w:t>
      </w:r>
      <w:r w:rsidRPr="00956AB0">
        <w:rPr>
          <w:rFonts w:eastAsia="Times New Roman"/>
          <w:i/>
          <w:iCs/>
          <w:kern w:val="2"/>
          <w:szCs w:val="26"/>
        </w:rPr>
        <w:t>Dump Truck Transp</w:t>
      </w:r>
      <w:r w:rsidRPr="00956AB0">
        <w:rPr>
          <w:rFonts w:eastAsia="Times New Roman"/>
          <w:i/>
          <w:iCs/>
          <w:kern w:val="2"/>
          <w:szCs w:val="26"/>
        </w:rPr>
        <w:t>.</w:t>
      </w:r>
      <w:r w:rsidRPr="00956AB0">
        <w:rPr>
          <w:rFonts w:eastAsia="Times New Roman"/>
          <w:i/>
          <w:iCs/>
          <w:kern w:val="2"/>
          <w:szCs w:val="26"/>
        </w:rPr>
        <w:t xml:space="preserve"> v.</w:t>
      </w:r>
      <w:r w:rsidRPr="00956AB0">
        <w:rPr>
          <w:rFonts w:eastAsia="Times New Roman"/>
          <w:kern w:val="2"/>
          <w:szCs w:val="26"/>
        </w:rPr>
        <w:t xml:space="preserve"> </w:t>
      </w:r>
      <w:r w:rsidRPr="00956AB0">
        <w:rPr>
          <w:rFonts w:eastAsia="Times New Roman"/>
          <w:i/>
          <w:iCs/>
          <w:kern w:val="2"/>
          <w:szCs w:val="26"/>
        </w:rPr>
        <w:t>Mendonca</w:t>
      </w:r>
      <w:r w:rsidRPr="00956AB0">
        <w:rPr>
          <w:rFonts w:eastAsia="Times New Roman"/>
          <w:kern w:val="2"/>
          <w:szCs w:val="26"/>
        </w:rPr>
        <w:t xml:space="preserve"> (9th Cir. 1998) 152 F.3d 1184 (</w:t>
      </w:r>
      <w:r w:rsidRPr="00956AB0">
        <w:rPr>
          <w:rFonts w:eastAsia="Times New Roman"/>
          <w:i/>
          <w:iCs/>
          <w:kern w:val="2"/>
          <w:szCs w:val="26"/>
        </w:rPr>
        <w:t>Mendonca</w:t>
      </w:r>
      <w:r w:rsidRPr="00956AB0">
        <w:rPr>
          <w:rFonts w:eastAsia="Times New Roman"/>
          <w:kern w:val="2"/>
          <w:szCs w:val="26"/>
        </w:rPr>
        <w:t>)</w:t>
      </w:r>
      <w:r w:rsidRPr="00956AB0">
        <w:rPr>
          <w:rFonts w:eastAsia="Times New Roman"/>
          <w:kern w:val="2"/>
          <w:szCs w:val="26"/>
        </w:rPr>
        <w:t xml:space="preserve"> of indirect evidence of Congress’</w:t>
      </w:r>
      <w:r w:rsidRPr="00956AB0">
        <w:rPr>
          <w:rFonts w:eastAsia="Times New Roman"/>
          <w:kern w:val="2"/>
          <w:szCs w:val="26"/>
        </w:rPr>
        <w:t>s</w:t>
      </w:r>
      <w:r w:rsidRPr="00956AB0">
        <w:rPr>
          <w:rFonts w:eastAsia="Times New Roman"/>
          <w:kern w:val="2"/>
          <w:szCs w:val="26"/>
        </w:rPr>
        <w:t xml:space="preserve"> intent</w:t>
      </w:r>
      <w:r w:rsidRPr="00956AB0">
        <w:rPr>
          <w:rFonts w:eastAsia="Times New Roman"/>
          <w:kern w:val="2"/>
          <w:szCs w:val="26"/>
        </w:rPr>
        <w:t xml:space="preserve"> when it enacted the FAAAA</w:t>
      </w:r>
      <w:r w:rsidRPr="00956AB0">
        <w:rPr>
          <w:rFonts w:eastAsia="Times New Roman"/>
          <w:kern w:val="2"/>
          <w:szCs w:val="26"/>
        </w:rPr>
        <w:t xml:space="preserve">. In </w:t>
      </w:r>
      <w:r w:rsidRPr="00956AB0">
        <w:rPr>
          <w:rFonts w:eastAsia="Times New Roman"/>
          <w:i/>
          <w:iCs/>
          <w:kern w:val="2"/>
          <w:szCs w:val="26"/>
        </w:rPr>
        <w:t>Mendonca</w:t>
      </w:r>
      <w:r w:rsidRPr="00956AB0">
        <w:rPr>
          <w:rFonts w:eastAsia="Times New Roman"/>
          <w:kern w:val="2"/>
          <w:szCs w:val="26"/>
        </w:rPr>
        <w:t>, the court held California’s generally applicable prevailing wage laws were not preempted by the FAAAA in part because severa</w:t>
      </w:r>
      <w:r w:rsidRPr="00956AB0">
        <w:rPr>
          <w:rFonts w:eastAsia="Times New Roman"/>
          <w:kern w:val="2"/>
          <w:szCs w:val="26"/>
        </w:rPr>
        <w:t xml:space="preserve">l states Congress identified as not having laws regulating interstate trucking had prevailing wage laws in place </w:t>
      </w:r>
      <w:r w:rsidRPr="00956AB0">
        <w:rPr>
          <w:rFonts w:eastAsia="Times New Roman"/>
          <w:kern w:val="2"/>
          <w:szCs w:val="26"/>
        </w:rPr>
        <w:t>at</w:t>
      </w:r>
      <w:r w:rsidRPr="00956AB0">
        <w:rPr>
          <w:rFonts w:eastAsia="Times New Roman"/>
          <w:kern w:val="2"/>
          <w:szCs w:val="26"/>
        </w:rPr>
        <w:t xml:space="preserve"> the time the FAAAA was enacted. </w:t>
      </w:r>
      <w:r w:rsidRPr="00956AB0">
        <w:rPr>
          <w:rFonts w:eastAsia="Times New Roman"/>
          <w:kern w:val="2"/>
          <w:szCs w:val="26"/>
        </w:rPr>
        <w:t>(</w:t>
      </w:r>
      <w:r w:rsidRPr="00956AB0">
        <w:rPr>
          <w:rFonts w:eastAsia="Times New Roman"/>
          <w:i/>
          <w:iCs/>
          <w:kern w:val="2"/>
          <w:szCs w:val="26"/>
        </w:rPr>
        <w:t>Pac Anchor, supra</w:t>
      </w:r>
      <w:r w:rsidRPr="00956AB0">
        <w:rPr>
          <w:rFonts w:eastAsia="Times New Roman"/>
          <w:kern w:val="2"/>
          <w:szCs w:val="26"/>
        </w:rPr>
        <w:t xml:space="preserve">, 59 Cal.4th at p. 786.) </w:t>
      </w:r>
      <w:r w:rsidRPr="00956AB0">
        <w:rPr>
          <w:rFonts w:eastAsia="Times New Roman"/>
          <w:i/>
          <w:iCs/>
          <w:kern w:val="2"/>
          <w:szCs w:val="26"/>
        </w:rPr>
        <w:t>Pac Anchor</w:t>
      </w:r>
      <w:r w:rsidRPr="00956AB0">
        <w:rPr>
          <w:rFonts w:eastAsia="Times New Roman"/>
          <w:kern w:val="2"/>
          <w:szCs w:val="26"/>
        </w:rPr>
        <w:t xml:space="preserve"> noted “[s]imilarly, eight out of the 10 jurisdictions identified in </w:t>
      </w:r>
      <w:r w:rsidRPr="00956AB0">
        <w:rPr>
          <w:rFonts w:eastAsia="Times New Roman"/>
          <w:i/>
          <w:iCs/>
          <w:kern w:val="2"/>
          <w:szCs w:val="26"/>
        </w:rPr>
        <w:t>Mendonca</w:t>
      </w:r>
      <w:r w:rsidRPr="00956AB0">
        <w:rPr>
          <w:rFonts w:eastAsia="Times New Roman"/>
          <w:kern w:val="2"/>
          <w:szCs w:val="26"/>
        </w:rPr>
        <w:t xml:space="preserve"> had generally applicable laws governing when a worker is an independent contractor (or the equivalent) and when a worker is an employee. [Citations.] Thus, even though the People</w:t>
      </w:r>
      <w:r w:rsidRPr="00956AB0">
        <w:rPr>
          <w:rFonts w:eastAsia="Times New Roman"/>
          <w:kern w:val="2"/>
          <w:szCs w:val="26"/>
        </w:rPr>
        <w:t>’s UCL action may have some indirect effect on defendants’ prices or services, that effect is ‘“too tenuous, remote [and] peripheral . . . to have pre-emptive effect.</w:t>
      </w:r>
      <w:r w:rsidRPr="00956AB0">
        <w:rPr>
          <w:rFonts w:eastAsia="Times New Roman"/>
          <w:kern w:val="2"/>
          <w:szCs w:val="26"/>
        </w:rPr>
        <w:t>”</w:t>
      </w:r>
      <w:r w:rsidRPr="00956AB0">
        <w:rPr>
          <w:rFonts w:eastAsia="Times New Roman"/>
          <w:kern w:val="2"/>
          <w:szCs w:val="26"/>
        </w:rPr>
        <w:t>’</w:t>
      </w:r>
      <w:r w:rsidRPr="00956AB0">
        <w:rPr>
          <w:rFonts w:eastAsia="Times New Roman"/>
          <w:kern w:val="2"/>
          <w:szCs w:val="26"/>
        </w:rPr>
        <w:t xml:space="preserve"> [Citation.]</w:t>
      </w:r>
      <w:r w:rsidRPr="00956AB0">
        <w:rPr>
          <w:rFonts w:eastAsia="Times New Roman"/>
          <w:kern w:val="2"/>
          <w:szCs w:val="26"/>
        </w:rPr>
        <w:t>” (</w:t>
      </w:r>
      <w:r w:rsidRPr="00956AB0">
        <w:rPr>
          <w:rFonts w:eastAsia="Times New Roman"/>
          <w:i/>
          <w:iCs/>
          <w:kern w:val="2"/>
          <w:szCs w:val="26"/>
        </w:rPr>
        <w:t>Ibid</w:t>
      </w:r>
      <w:r w:rsidRPr="00956AB0">
        <w:rPr>
          <w:rFonts w:eastAsia="Times New Roman"/>
          <w:kern w:val="2"/>
          <w:szCs w:val="26"/>
        </w:rPr>
        <w:t>.) Notably, o</w:t>
      </w:r>
      <w:r w:rsidRPr="00956AB0">
        <w:rPr>
          <w:rFonts w:eastAsia="Times New Roman"/>
          <w:kern w:val="2"/>
          <w:szCs w:val="26"/>
        </w:rPr>
        <w:t xml:space="preserve">ne of the statutes </w:t>
      </w:r>
      <w:r w:rsidRPr="00956AB0">
        <w:rPr>
          <w:rFonts w:eastAsia="Times New Roman"/>
          <w:i/>
          <w:iCs/>
          <w:kern w:val="2"/>
          <w:szCs w:val="26"/>
        </w:rPr>
        <w:t>Pac Anchor</w:t>
      </w:r>
      <w:r w:rsidRPr="00956AB0">
        <w:rPr>
          <w:rFonts w:eastAsia="Times New Roman"/>
          <w:kern w:val="2"/>
          <w:szCs w:val="26"/>
        </w:rPr>
        <w:t xml:space="preserve"> </w:t>
      </w:r>
      <w:r w:rsidRPr="00956AB0">
        <w:rPr>
          <w:rFonts w:eastAsia="Times New Roman"/>
          <w:kern w:val="2"/>
          <w:szCs w:val="26"/>
        </w:rPr>
        <w:lastRenderedPageBreak/>
        <w:t xml:space="preserve">identified, </w:t>
      </w:r>
      <w:bookmarkStart w:id="9" w:name="_Hlk52365613"/>
      <w:r w:rsidRPr="00956AB0">
        <w:rPr>
          <w:rFonts w:eastAsia="Times New Roman"/>
          <w:kern w:val="2"/>
          <w:szCs w:val="26"/>
        </w:rPr>
        <w:t xml:space="preserve">Wis. Stat. </w:t>
      </w:r>
      <w:r w:rsidRPr="00956AB0">
        <w:rPr>
          <w:rFonts w:eastAsia="Times New Roman"/>
          <w:kern w:val="2"/>
          <w:szCs w:val="26"/>
        </w:rPr>
        <w:t>§</w:t>
      </w:r>
      <w:r w:rsidRPr="00956AB0">
        <w:rPr>
          <w:rFonts w:eastAsia="Times New Roman"/>
          <w:kern w:val="2"/>
          <w:szCs w:val="26"/>
        </w:rPr>
        <w:t> </w:t>
      </w:r>
      <w:r w:rsidRPr="00956AB0">
        <w:rPr>
          <w:rFonts w:eastAsia="Times New Roman"/>
          <w:kern w:val="2"/>
          <w:szCs w:val="26"/>
        </w:rPr>
        <w:t>1</w:t>
      </w:r>
      <w:r w:rsidRPr="00956AB0">
        <w:rPr>
          <w:rFonts w:eastAsia="Times New Roman"/>
          <w:kern w:val="2"/>
          <w:szCs w:val="26"/>
        </w:rPr>
        <w:t>02.07</w:t>
      </w:r>
      <w:bookmarkEnd w:id="9"/>
      <w:r w:rsidRPr="00956AB0">
        <w:rPr>
          <w:rFonts w:eastAsia="Times New Roman"/>
          <w:kern w:val="2"/>
          <w:szCs w:val="26"/>
        </w:rPr>
        <w:t xml:space="preserve">, contains </w:t>
      </w:r>
      <w:r w:rsidRPr="00956AB0">
        <w:rPr>
          <w:rFonts w:eastAsia="Times New Roman"/>
          <w:kern w:val="2"/>
          <w:szCs w:val="26"/>
        </w:rPr>
        <w:t>similar</w:t>
      </w:r>
      <w:r w:rsidRPr="00956AB0">
        <w:rPr>
          <w:rFonts w:eastAsia="Times New Roman"/>
          <w:kern w:val="2"/>
          <w:szCs w:val="26"/>
        </w:rPr>
        <w:t xml:space="preserve"> language to </w:t>
      </w:r>
      <w:r w:rsidRPr="00956AB0">
        <w:rPr>
          <w:rFonts w:eastAsia="Times New Roman"/>
          <w:kern w:val="2"/>
          <w:szCs w:val="26"/>
        </w:rPr>
        <w:t xml:space="preserve">prong B of </w:t>
      </w:r>
      <w:r w:rsidRPr="00956AB0">
        <w:rPr>
          <w:rFonts w:eastAsia="Times New Roman"/>
          <w:kern w:val="2"/>
          <w:szCs w:val="26"/>
        </w:rPr>
        <w:t>California’s ABC test. (Compare Wis. Stat. §</w:t>
      </w:r>
      <w:r w:rsidRPr="00956AB0">
        <w:rPr>
          <w:rFonts w:eastAsia="Times New Roman"/>
          <w:kern w:val="2"/>
          <w:szCs w:val="26"/>
        </w:rPr>
        <w:t> </w:t>
      </w:r>
      <w:r w:rsidRPr="00956AB0">
        <w:rPr>
          <w:rFonts w:eastAsia="Times New Roman"/>
          <w:kern w:val="2"/>
          <w:szCs w:val="26"/>
        </w:rPr>
        <w:t>102.07, subd.</w:t>
      </w:r>
      <w:r>
        <w:rPr>
          <w:rFonts w:eastAsia="Times New Roman"/>
          <w:kern w:val="2"/>
          <w:szCs w:val="26"/>
        </w:rPr>
        <w:t> </w:t>
      </w:r>
      <w:r w:rsidRPr="00956AB0">
        <w:rPr>
          <w:rFonts w:eastAsia="Times New Roman"/>
          <w:kern w:val="2"/>
          <w:szCs w:val="26"/>
        </w:rPr>
        <w:t>(8)(a)</w:t>
      </w:r>
      <w:r w:rsidRPr="00956AB0">
        <w:rPr>
          <w:rFonts w:eastAsia="Times New Roman"/>
          <w:kern w:val="2"/>
          <w:szCs w:val="26"/>
        </w:rPr>
        <w:t xml:space="preserve"> (1994)</w:t>
      </w:r>
      <w:r w:rsidRPr="00956AB0">
        <w:rPr>
          <w:rFonts w:eastAsia="Times New Roman"/>
          <w:kern w:val="2"/>
          <w:szCs w:val="26"/>
        </w:rPr>
        <w:t xml:space="preserve"> [“Except as provided in par. (b)</w:t>
      </w:r>
      <w:r w:rsidRPr="00956AB0">
        <w:rPr>
          <w:rFonts w:eastAsia="Times New Roman"/>
          <w:kern w:val="2"/>
          <w:szCs w:val="26"/>
        </w:rPr>
        <w:t xml:space="preserve"> and (bm)</w:t>
      </w:r>
      <w:r w:rsidRPr="00956AB0">
        <w:rPr>
          <w:rFonts w:eastAsia="Times New Roman"/>
          <w:kern w:val="2"/>
          <w:szCs w:val="26"/>
        </w:rPr>
        <w:t>, every independent contractor i</w:t>
      </w:r>
      <w:r w:rsidRPr="00956AB0">
        <w:rPr>
          <w:rFonts w:eastAsia="Times New Roman"/>
          <w:kern w:val="2"/>
          <w:szCs w:val="26"/>
        </w:rPr>
        <w:t>s</w:t>
      </w:r>
      <w:r w:rsidRPr="00956AB0">
        <w:rPr>
          <w:rFonts w:eastAsia="Times New Roman"/>
          <w:kern w:val="2"/>
          <w:szCs w:val="26"/>
        </w:rPr>
        <w:t>, for the purpose of this chapter, an employee of any employer</w:t>
      </w:r>
      <w:r w:rsidRPr="00956AB0">
        <w:rPr>
          <w:rFonts w:eastAsia="Times New Roman"/>
          <w:kern w:val="2"/>
          <w:szCs w:val="26"/>
        </w:rPr>
        <w:t xml:space="preserve"> under this chapter for whom he or she is performing service in the course of the trade, business, profession or occupation of such employer at the time of the injury”] and Lab. Code, § 2775</w:t>
      </w:r>
      <w:r w:rsidRPr="00956AB0">
        <w:rPr>
          <w:rFonts w:eastAsia="Times New Roman"/>
          <w:kern w:val="2"/>
          <w:szCs w:val="26"/>
        </w:rPr>
        <w:t>, subd. (b)(1)(B) [a worker is an employee unless the hiring entit</w:t>
      </w:r>
      <w:r w:rsidRPr="00956AB0">
        <w:rPr>
          <w:rFonts w:eastAsia="Times New Roman"/>
          <w:kern w:val="2"/>
          <w:szCs w:val="26"/>
        </w:rPr>
        <w:t>y can demonstrate “[t]he person performs work that is outside the usual course of the hiring entity’s business.”].)</w:t>
      </w:r>
      <w:r w:rsidRPr="00956AB0">
        <w:rPr>
          <w:rFonts w:eastAsia="Times New Roman"/>
          <w:kern w:val="2"/>
          <w:szCs w:val="26"/>
        </w:rPr>
        <w:t xml:space="preserve"> </w:t>
      </w:r>
      <w:r w:rsidRPr="00956AB0">
        <w:rPr>
          <w:rFonts w:eastAsia="Times New Roman"/>
          <w:kern w:val="2"/>
          <w:szCs w:val="26"/>
        </w:rPr>
        <w:t xml:space="preserve">As </w:t>
      </w:r>
      <w:r w:rsidRPr="00956AB0">
        <w:rPr>
          <w:rFonts w:eastAsia="Times New Roman"/>
          <w:kern w:val="2"/>
          <w:szCs w:val="26"/>
        </w:rPr>
        <w:t xml:space="preserve">noted </w:t>
      </w:r>
      <w:r w:rsidRPr="00956AB0">
        <w:rPr>
          <w:rFonts w:eastAsia="Times New Roman"/>
          <w:kern w:val="2"/>
          <w:szCs w:val="26"/>
        </w:rPr>
        <w:t xml:space="preserve">in </w:t>
      </w:r>
      <w:r w:rsidRPr="00956AB0">
        <w:rPr>
          <w:rFonts w:eastAsia="Times New Roman"/>
          <w:i/>
          <w:iCs/>
          <w:kern w:val="2"/>
          <w:szCs w:val="26"/>
        </w:rPr>
        <w:t>Pac Anchor</w:t>
      </w:r>
      <w:r w:rsidRPr="00956AB0">
        <w:rPr>
          <w:rFonts w:eastAsia="Times New Roman"/>
          <w:kern w:val="2"/>
          <w:szCs w:val="26"/>
        </w:rPr>
        <w:t xml:space="preserve">, this </w:t>
      </w:r>
      <w:r w:rsidRPr="00956AB0">
        <w:rPr>
          <w:rFonts w:eastAsia="Times New Roman"/>
          <w:kern w:val="2"/>
          <w:szCs w:val="26"/>
        </w:rPr>
        <w:t xml:space="preserve">legislative history </w:t>
      </w:r>
      <w:r w:rsidRPr="00956AB0">
        <w:rPr>
          <w:rFonts w:eastAsia="Times New Roman"/>
          <w:kern w:val="2"/>
          <w:szCs w:val="26"/>
        </w:rPr>
        <w:t>suggests Congress did not intend to preempt</w:t>
      </w:r>
      <w:r w:rsidRPr="00956AB0">
        <w:rPr>
          <w:rFonts w:eastAsia="Times New Roman"/>
          <w:kern w:val="2"/>
          <w:szCs w:val="26"/>
        </w:rPr>
        <w:t xml:space="preserve"> worker-classification</w:t>
      </w:r>
      <w:r w:rsidRPr="00956AB0">
        <w:rPr>
          <w:rFonts w:eastAsia="Times New Roman"/>
          <w:kern w:val="2"/>
          <w:szCs w:val="26"/>
        </w:rPr>
        <w:t xml:space="preserve"> </w:t>
      </w:r>
      <w:r w:rsidRPr="00956AB0">
        <w:rPr>
          <w:rFonts w:eastAsia="Times New Roman"/>
          <w:kern w:val="2"/>
          <w:szCs w:val="26"/>
        </w:rPr>
        <w:t xml:space="preserve">laws like </w:t>
      </w:r>
      <w:r w:rsidRPr="00956AB0">
        <w:rPr>
          <w:rFonts w:eastAsia="Times New Roman"/>
          <w:kern w:val="2"/>
          <w:szCs w:val="26"/>
        </w:rPr>
        <w:t xml:space="preserve">the </w:t>
      </w:r>
      <w:r w:rsidRPr="00956AB0">
        <w:rPr>
          <w:rFonts w:eastAsia="Times New Roman"/>
          <w:kern w:val="2"/>
          <w:szCs w:val="26"/>
        </w:rPr>
        <w:t xml:space="preserve">ABC </w:t>
      </w:r>
      <w:r w:rsidRPr="00956AB0">
        <w:rPr>
          <w:rFonts w:eastAsia="Times New Roman"/>
          <w:kern w:val="2"/>
          <w:szCs w:val="26"/>
        </w:rPr>
        <w:t>test</w:t>
      </w:r>
      <w:r w:rsidRPr="00956AB0">
        <w:rPr>
          <w:rFonts w:eastAsia="Times New Roman"/>
          <w:kern w:val="2"/>
          <w:szCs w:val="26"/>
        </w:rPr>
        <w:t>.</w:t>
      </w:r>
    </w:p>
    <w:p w14:paraId="08B3C2BD" w14:textId="77777777" w:rsidR="00182F13" w:rsidRPr="00956AB0" w:rsidRDefault="00B24AFB" w:rsidP="00C92B49">
      <w:pPr>
        <w:rPr>
          <w:rFonts w:eastAsia="Times New Roman"/>
          <w:kern w:val="2"/>
          <w:szCs w:val="26"/>
        </w:rPr>
      </w:pPr>
      <w:r w:rsidRPr="00956AB0">
        <w:rPr>
          <w:rFonts w:eastAsia="Times New Roman"/>
          <w:kern w:val="2"/>
          <w:szCs w:val="26"/>
        </w:rPr>
        <w:tab/>
        <w:t xml:space="preserve">Moreover, </w:t>
      </w:r>
      <w:r w:rsidRPr="00956AB0">
        <w:rPr>
          <w:rFonts w:eastAsia="Times New Roman"/>
          <w:kern w:val="2"/>
          <w:szCs w:val="26"/>
        </w:rPr>
        <w:t xml:space="preserve">that </w:t>
      </w:r>
      <w:r w:rsidRPr="00956AB0">
        <w:rPr>
          <w:rFonts w:eastAsia="Times New Roman"/>
          <w:kern w:val="2"/>
          <w:szCs w:val="26"/>
        </w:rPr>
        <w:t xml:space="preserve">the statutory scheme codified by </w:t>
      </w:r>
      <w:r w:rsidRPr="00956AB0">
        <w:rPr>
          <w:rFonts w:eastAsia="Times New Roman"/>
          <w:kern w:val="2"/>
          <w:szCs w:val="26"/>
        </w:rPr>
        <w:t xml:space="preserve">AB 2257 is not </w:t>
      </w:r>
      <w:r w:rsidRPr="00956AB0">
        <w:rPr>
          <w:rFonts w:eastAsia="Times New Roman"/>
          <w:kern w:val="2"/>
          <w:szCs w:val="26"/>
        </w:rPr>
        <w:t>one that prohibits</w:t>
      </w:r>
      <w:r w:rsidRPr="00956AB0">
        <w:rPr>
          <w:rFonts w:eastAsia="Times New Roman"/>
          <w:kern w:val="2"/>
          <w:szCs w:val="26"/>
        </w:rPr>
        <w:t xml:space="preserve"> motor carriers from using independent contractors</w:t>
      </w:r>
      <w:r w:rsidRPr="00956AB0">
        <w:rPr>
          <w:rFonts w:eastAsia="Times New Roman"/>
          <w:kern w:val="2"/>
          <w:szCs w:val="26"/>
        </w:rPr>
        <w:t xml:space="preserve"> (and therefore, does not have an impermissible effect on prices, routes, or services)</w:t>
      </w:r>
      <w:r w:rsidRPr="00956AB0">
        <w:rPr>
          <w:rFonts w:eastAsia="Times New Roman"/>
          <w:kern w:val="2"/>
          <w:szCs w:val="26"/>
        </w:rPr>
        <w:t xml:space="preserve"> is further supported by the bus</w:t>
      </w:r>
      <w:r w:rsidRPr="00956AB0">
        <w:rPr>
          <w:rFonts w:eastAsia="Times New Roman"/>
          <w:kern w:val="2"/>
          <w:szCs w:val="26"/>
        </w:rPr>
        <w:t xml:space="preserve">iness-to-business </w:t>
      </w:r>
      <w:r w:rsidRPr="00956AB0">
        <w:rPr>
          <w:rFonts w:eastAsia="Times New Roman"/>
          <w:kern w:val="2"/>
          <w:szCs w:val="26"/>
        </w:rPr>
        <w:t>exemption</w:t>
      </w:r>
      <w:r w:rsidRPr="00956AB0">
        <w:rPr>
          <w:rFonts w:eastAsia="Times New Roman"/>
          <w:kern w:val="2"/>
          <w:szCs w:val="26"/>
        </w:rPr>
        <w:t xml:space="preserve"> in Labor Code section </w:t>
      </w:r>
      <w:r w:rsidRPr="00956AB0">
        <w:rPr>
          <w:rFonts w:eastAsia="Times New Roman"/>
          <w:kern w:val="2"/>
          <w:szCs w:val="26"/>
        </w:rPr>
        <w:t xml:space="preserve">2776. </w:t>
      </w:r>
      <w:r w:rsidRPr="00956AB0">
        <w:rPr>
          <w:rFonts w:eastAsia="Times New Roman"/>
          <w:kern w:val="2"/>
          <w:szCs w:val="26"/>
        </w:rPr>
        <w:t>Under that</w:t>
      </w:r>
      <w:r w:rsidRPr="00956AB0">
        <w:rPr>
          <w:rFonts w:eastAsia="Times New Roman"/>
          <w:kern w:val="2"/>
          <w:szCs w:val="26"/>
        </w:rPr>
        <w:t xml:space="preserve"> </w:t>
      </w:r>
      <w:r w:rsidRPr="00956AB0">
        <w:rPr>
          <w:rFonts w:eastAsia="Times New Roman"/>
          <w:kern w:val="2"/>
          <w:szCs w:val="26"/>
        </w:rPr>
        <w:t>exemption,</w:t>
      </w:r>
      <w:r w:rsidRPr="00956AB0">
        <w:rPr>
          <w:rFonts w:eastAsia="Times New Roman"/>
          <w:kern w:val="2"/>
          <w:szCs w:val="26"/>
        </w:rPr>
        <w:t xml:space="preserve"> the ABC test does not apply to</w:t>
      </w:r>
      <w:r w:rsidRPr="00956AB0">
        <w:rPr>
          <w:rFonts w:eastAsia="Times New Roman"/>
          <w:kern w:val="2"/>
          <w:szCs w:val="26"/>
        </w:rPr>
        <w:t xml:space="preserve"> </w:t>
      </w:r>
      <w:r w:rsidRPr="00956AB0">
        <w:rPr>
          <w:rFonts w:eastAsia="Times New Roman"/>
          <w:kern w:val="2"/>
          <w:szCs w:val="26"/>
        </w:rPr>
        <w:t>a</w:t>
      </w:r>
      <w:r w:rsidRPr="00956AB0">
        <w:rPr>
          <w:rFonts w:eastAsia="Times New Roman"/>
          <w:kern w:val="2"/>
          <w:szCs w:val="26"/>
        </w:rPr>
        <w:t xml:space="preserve"> business-to-business contracting relationship,</w:t>
      </w:r>
      <w:r w:rsidRPr="00956AB0">
        <w:rPr>
          <w:rFonts w:eastAsia="Times New Roman"/>
          <w:kern w:val="2"/>
          <w:szCs w:val="26"/>
        </w:rPr>
        <w:t xml:space="preserve"> </w:t>
      </w:r>
      <w:r w:rsidRPr="00956AB0">
        <w:rPr>
          <w:szCs w:val="26"/>
        </w:rPr>
        <w:t>including contracts between licensed motor carriers and independent owner</w:t>
      </w:r>
      <w:r>
        <w:rPr>
          <w:szCs w:val="26"/>
        </w:rPr>
        <w:t>-</w:t>
      </w:r>
      <w:r w:rsidRPr="00956AB0">
        <w:rPr>
          <w:szCs w:val="26"/>
        </w:rPr>
        <w:t>operators who may operat</w:t>
      </w:r>
      <w:r w:rsidRPr="00956AB0">
        <w:rPr>
          <w:szCs w:val="26"/>
        </w:rPr>
        <w:t>e as sole proprietorships, LLC’s, or other business entities</w:t>
      </w:r>
      <w:r w:rsidRPr="00956AB0">
        <w:rPr>
          <w:rFonts w:eastAsia="Times New Roman"/>
          <w:kern w:val="2"/>
          <w:szCs w:val="26"/>
        </w:rPr>
        <w:t xml:space="preserve">, </w:t>
      </w:r>
      <w:r w:rsidRPr="00956AB0">
        <w:rPr>
          <w:rFonts w:eastAsia="Times New Roman"/>
          <w:kern w:val="2"/>
          <w:szCs w:val="26"/>
        </w:rPr>
        <w:t>if the hiring entity demonstrates a list of criteria is satisfied. (Lab. Code, § 2776, subd. (a).) If a</w:t>
      </w:r>
      <w:r w:rsidRPr="00956AB0">
        <w:rPr>
          <w:rFonts w:eastAsia="Times New Roman"/>
          <w:kern w:val="2"/>
          <w:szCs w:val="26"/>
        </w:rPr>
        <w:t>n individual or entity</w:t>
      </w:r>
      <w:r w:rsidRPr="00956AB0">
        <w:rPr>
          <w:rFonts w:eastAsia="Times New Roman"/>
          <w:kern w:val="2"/>
          <w:szCs w:val="26"/>
        </w:rPr>
        <w:t xml:space="preserve"> qualifies for the exemption, </w:t>
      </w:r>
      <w:r w:rsidRPr="00956AB0">
        <w:rPr>
          <w:rFonts w:eastAsia="Times New Roman"/>
          <w:kern w:val="2"/>
          <w:szCs w:val="26"/>
        </w:rPr>
        <w:t>“</w:t>
      </w:r>
      <w:r w:rsidRPr="00956AB0">
        <w:rPr>
          <w:rFonts w:eastAsia="Times New Roman"/>
          <w:kern w:val="2"/>
          <w:szCs w:val="26"/>
        </w:rPr>
        <w:t xml:space="preserve">the determination of employee or independent contractor status </w:t>
      </w:r>
      <w:r w:rsidRPr="00956AB0">
        <w:rPr>
          <w:rFonts w:eastAsia="Times New Roman"/>
          <w:kern w:val="2"/>
          <w:szCs w:val="26"/>
        </w:rPr>
        <w:t>[</w:t>
      </w:r>
      <w:r w:rsidRPr="00956AB0">
        <w:rPr>
          <w:rFonts w:eastAsia="Times New Roman"/>
          <w:kern w:val="2"/>
          <w:szCs w:val="26"/>
        </w:rPr>
        <w:t>of the</w:t>
      </w:r>
      <w:r w:rsidRPr="00956AB0">
        <w:rPr>
          <w:rFonts w:eastAsia="Times New Roman"/>
          <w:kern w:val="2"/>
          <w:szCs w:val="26"/>
        </w:rPr>
        <w:t xml:space="preserve"> individual doing the work</w:t>
      </w:r>
      <w:r w:rsidRPr="00956AB0">
        <w:rPr>
          <w:rFonts w:eastAsia="Times New Roman"/>
          <w:kern w:val="2"/>
          <w:szCs w:val="26"/>
        </w:rPr>
        <w:t>]</w:t>
      </w:r>
      <w:r w:rsidRPr="00956AB0">
        <w:rPr>
          <w:rFonts w:eastAsia="Times New Roman"/>
          <w:kern w:val="2"/>
          <w:szCs w:val="26"/>
        </w:rPr>
        <w:t xml:space="preserve"> shall </w:t>
      </w:r>
      <w:r w:rsidRPr="00956AB0">
        <w:rPr>
          <w:rFonts w:eastAsia="Times New Roman"/>
          <w:kern w:val="2"/>
          <w:szCs w:val="26"/>
        </w:rPr>
        <w:t xml:space="preserve">[ ] </w:t>
      </w:r>
      <w:r w:rsidRPr="00956AB0">
        <w:rPr>
          <w:rFonts w:eastAsia="Times New Roman"/>
          <w:kern w:val="2"/>
          <w:szCs w:val="26"/>
        </w:rPr>
        <w:t xml:space="preserve">be governed by [the </w:t>
      </w:r>
      <w:r w:rsidRPr="00956AB0">
        <w:rPr>
          <w:rFonts w:eastAsia="Times New Roman"/>
          <w:i/>
          <w:iCs/>
          <w:kern w:val="2"/>
          <w:szCs w:val="26"/>
        </w:rPr>
        <w:t>Borello</w:t>
      </w:r>
      <w:r w:rsidRPr="00956AB0">
        <w:rPr>
          <w:rFonts w:eastAsia="Times New Roman"/>
          <w:kern w:val="2"/>
          <w:szCs w:val="26"/>
        </w:rPr>
        <w:t xml:space="preserve"> standard]</w:t>
      </w:r>
      <w:r w:rsidRPr="00956AB0">
        <w:rPr>
          <w:rFonts w:eastAsia="Times New Roman"/>
          <w:kern w:val="2"/>
          <w:szCs w:val="26"/>
        </w:rPr>
        <w:t>.</w:t>
      </w:r>
      <w:r w:rsidRPr="00956AB0">
        <w:rPr>
          <w:rFonts w:eastAsia="Times New Roman"/>
          <w:kern w:val="2"/>
          <w:szCs w:val="26"/>
        </w:rPr>
        <w:t>”</w:t>
      </w:r>
      <w:r>
        <w:rPr>
          <w:rStyle w:val="FootnoteReference"/>
          <w:rFonts w:eastAsia="Times New Roman"/>
          <w:b w:val="0"/>
          <w:bCs/>
          <w:kern w:val="2"/>
          <w:sz w:val="26"/>
          <w:szCs w:val="26"/>
        </w:rPr>
        <w:footnoteReference w:id="13"/>
      </w:r>
      <w:r w:rsidRPr="00956AB0">
        <w:rPr>
          <w:rFonts w:eastAsia="Times New Roman"/>
          <w:b/>
          <w:bCs/>
          <w:kern w:val="2"/>
          <w:szCs w:val="26"/>
        </w:rPr>
        <w:t xml:space="preserve"> </w:t>
      </w:r>
      <w:bookmarkStart w:id="11" w:name="_Hlk52442694"/>
      <w:r w:rsidRPr="00956AB0">
        <w:rPr>
          <w:rFonts w:eastAsia="Times New Roman"/>
          <w:kern w:val="2"/>
          <w:szCs w:val="26"/>
        </w:rPr>
        <w:t>(</w:t>
      </w:r>
      <w:r w:rsidRPr="00956AB0">
        <w:rPr>
          <w:rFonts w:eastAsia="Times New Roman"/>
          <w:i/>
          <w:iCs/>
          <w:kern w:val="2"/>
          <w:szCs w:val="26"/>
        </w:rPr>
        <w:t>Ibid</w:t>
      </w:r>
      <w:r w:rsidRPr="00956AB0">
        <w:rPr>
          <w:rFonts w:eastAsia="Times New Roman"/>
          <w:kern w:val="2"/>
          <w:szCs w:val="26"/>
        </w:rPr>
        <w:t>.</w:t>
      </w:r>
      <w:r w:rsidRPr="00956AB0">
        <w:rPr>
          <w:rFonts w:eastAsia="Times New Roman"/>
          <w:kern w:val="2"/>
          <w:szCs w:val="26"/>
        </w:rPr>
        <w:t xml:space="preserve">) </w:t>
      </w:r>
      <w:bookmarkEnd w:id="11"/>
      <w:r w:rsidRPr="00956AB0">
        <w:rPr>
          <w:rFonts w:eastAsia="Times New Roman"/>
          <w:kern w:val="2"/>
          <w:szCs w:val="26"/>
        </w:rPr>
        <w:lastRenderedPageBreak/>
        <w:t xml:space="preserve">Defendants argue independent owner-operators can never </w:t>
      </w:r>
      <w:bookmarkStart w:id="12" w:name="_Hlk54354272"/>
      <w:r w:rsidRPr="00956AB0">
        <w:rPr>
          <w:rFonts w:eastAsia="Times New Roman"/>
          <w:kern w:val="2"/>
          <w:szCs w:val="26"/>
        </w:rPr>
        <w:t>meet several of the requirements in the bus</w:t>
      </w:r>
      <w:r w:rsidRPr="00956AB0">
        <w:rPr>
          <w:rFonts w:eastAsia="Times New Roman"/>
          <w:kern w:val="2"/>
          <w:szCs w:val="26"/>
        </w:rPr>
        <w:t>iness-to-business exemption</w:t>
      </w:r>
      <w:bookmarkEnd w:id="12"/>
      <w:r w:rsidRPr="00956AB0">
        <w:rPr>
          <w:rFonts w:eastAsia="Times New Roman"/>
          <w:kern w:val="2"/>
          <w:szCs w:val="26"/>
        </w:rPr>
        <w:t>, and thus, the exemption does not save</w:t>
      </w:r>
      <w:r w:rsidRPr="00956AB0">
        <w:rPr>
          <w:rFonts w:eastAsia="Times New Roman"/>
          <w:kern w:val="2"/>
          <w:szCs w:val="26"/>
        </w:rPr>
        <w:t xml:space="preserve"> the statutes codified by</w:t>
      </w:r>
      <w:r w:rsidRPr="00956AB0">
        <w:rPr>
          <w:rFonts w:eastAsia="Times New Roman"/>
          <w:kern w:val="2"/>
          <w:szCs w:val="26"/>
        </w:rPr>
        <w:t xml:space="preserve"> AB 2257 from preemption</w:t>
      </w:r>
      <w:r w:rsidRPr="00956AB0">
        <w:rPr>
          <w:rFonts w:eastAsia="Times New Roman"/>
          <w:kern w:val="2"/>
          <w:szCs w:val="26"/>
        </w:rPr>
        <w:t xml:space="preserve">. </w:t>
      </w:r>
      <w:r w:rsidRPr="00956AB0">
        <w:rPr>
          <w:rFonts w:eastAsia="Times New Roman"/>
          <w:kern w:val="2"/>
          <w:szCs w:val="26"/>
        </w:rPr>
        <w:t xml:space="preserve">We are unpersuaded. </w:t>
      </w:r>
    </w:p>
    <w:p w14:paraId="73427D23" w14:textId="77777777" w:rsidR="00C92B49" w:rsidRPr="00956AB0" w:rsidRDefault="00B24AFB" w:rsidP="00C92B49">
      <w:pPr>
        <w:rPr>
          <w:rFonts w:eastAsia="Times New Roman"/>
          <w:kern w:val="2"/>
          <w:szCs w:val="26"/>
        </w:rPr>
      </w:pPr>
      <w:r w:rsidRPr="00956AB0">
        <w:rPr>
          <w:rFonts w:eastAsia="Times New Roman"/>
          <w:kern w:val="2"/>
          <w:szCs w:val="26"/>
        </w:rPr>
        <w:tab/>
      </w:r>
      <w:r w:rsidRPr="00956AB0">
        <w:rPr>
          <w:rFonts w:eastAsia="Times New Roman"/>
          <w:kern w:val="2"/>
          <w:szCs w:val="26"/>
        </w:rPr>
        <w:t xml:space="preserve">First, defendants argue the licensing requirement of the exemption makes it impossible for independent </w:t>
      </w:r>
      <w:r w:rsidRPr="00956AB0">
        <w:rPr>
          <w:rFonts w:eastAsia="Times New Roman"/>
          <w:kern w:val="2"/>
          <w:szCs w:val="26"/>
        </w:rPr>
        <w:t>owner-operators to qualify for the exemption: “If the work is performed in a jurisdiction that requires the business service provider to have a busines</w:t>
      </w:r>
      <w:r w:rsidRPr="00956AB0">
        <w:rPr>
          <w:rFonts w:eastAsia="Times New Roman"/>
          <w:kern w:val="2"/>
          <w:szCs w:val="26"/>
        </w:rPr>
        <w:t>s</w:t>
      </w:r>
      <w:r w:rsidRPr="00956AB0">
        <w:rPr>
          <w:rFonts w:eastAsia="Times New Roman"/>
          <w:kern w:val="2"/>
          <w:szCs w:val="26"/>
        </w:rPr>
        <w:t xml:space="preserve"> license or business tax registration, the business service provider has the required business license o</w:t>
      </w:r>
      <w:r w:rsidRPr="00956AB0">
        <w:rPr>
          <w:rFonts w:eastAsia="Times New Roman"/>
          <w:kern w:val="2"/>
          <w:szCs w:val="26"/>
        </w:rPr>
        <w:t>r business tax registration.” (Lab. Code, § 2776</w:t>
      </w:r>
      <w:r w:rsidRPr="00956AB0">
        <w:rPr>
          <w:rFonts w:eastAsia="Times New Roman"/>
          <w:kern w:val="2"/>
          <w:szCs w:val="26"/>
        </w:rPr>
        <w:t xml:space="preserve">, subd. </w:t>
      </w:r>
      <w:r w:rsidRPr="00956AB0">
        <w:rPr>
          <w:rFonts w:eastAsia="Times New Roman"/>
          <w:kern w:val="2"/>
          <w:szCs w:val="26"/>
        </w:rPr>
        <w:t>(a)(4).)</w:t>
      </w:r>
      <w:r w:rsidRPr="00956AB0">
        <w:rPr>
          <w:rFonts w:eastAsia="Times New Roman"/>
          <w:kern w:val="2"/>
          <w:szCs w:val="26"/>
        </w:rPr>
        <w:t xml:space="preserve"> Defendants claim this provision requires truck drivers to have a federal motor carrier operating license, but “[i]ndependent owner-operator truck drivers, by definition </w:t>
      </w:r>
      <w:r w:rsidRPr="00956AB0">
        <w:rPr>
          <w:rFonts w:eastAsia="Times New Roman"/>
          <w:i/>
          <w:iCs/>
          <w:kern w:val="2"/>
          <w:szCs w:val="26"/>
        </w:rPr>
        <w:t>lack</w:t>
      </w:r>
      <w:r w:rsidRPr="00956AB0">
        <w:rPr>
          <w:rFonts w:eastAsia="Times New Roman"/>
          <w:kern w:val="2"/>
          <w:szCs w:val="26"/>
        </w:rPr>
        <w:t xml:space="preserve"> motor carrier lic</w:t>
      </w:r>
      <w:r w:rsidRPr="00956AB0">
        <w:rPr>
          <w:rFonts w:eastAsia="Times New Roman"/>
          <w:kern w:val="2"/>
          <w:szCs w:val="26"/>
        </w:rPr>
        <w:t xml:space="preserve">enses and thus cannot meet this requirement.” We </w:t>
      </w:r>
      <w:r w:rsidRPr="00956AB0">
        <w:rPr>
          <w:rFonts w:eastAsia="Times New Roman"/>
          <w:kern w:val="2"/>
          <w:szCs w:val="26"/>
        </w:rPr>
        <w:t xml:space="preserve">agree with the People, however, that the more natural construction of a “business license” </w:t>
      </w:r>
      <w:r w:rsidRPr="00956AB0">
        <w:rPr>
          <w:rFonts w:eastAsia="Times New Roman"/>
          <w:kern w:val="2"/>
          <w:szCs w:val="26"/>
        </w:rPr>
        <w:t xml:space="preserve">is that the phrase </w:t>
      </w:r>
      <w:r w:rsidRPr="00956AB0">
        <w:rPr>
          <w:rFonts w:eastAsia="Times New Roman"/>
          <w:kern w:val="2"/>
          <w:szCs w:val="26"/>
        </w:rPr>
        <w:t>refers to the licenses issued by local governments (“jurisdictions” within the State of Californi</w:t>
      </w:r>
      <w:r w:rsidRPr="00956AB0">
        <w:rPr>
          <w:rFonts w:eastAsia="Times New Roman"/>
          <w:kern w:val="2"/>
          <w:szCs w:val="26"/>
        </w:rPr>
        <w:t>a) for health and safety regulation and tax purposes. Indeed, other subdivisions of AB 2257 distinguish between “business license[s]” and other permits and licenses. (See</w:t>
      </w:r>
      <w:r>
        <w:rPr>
          <w:rFonts w:eastAsia="Times New Roman"/>
          <w:kern w:val="2"/>
          <w:szCs w:val="26"/>
        </w:rPr>
        <w:t>,</w:t>
      </w:r>
      <w:r w:rsidRPr="00956AB0">
        <w:rPr>
          <w:rFonts w:eastAsia="Times New Roman"/>
          <w:kern w:val="2"/>
          <w:szCs w:val="26"/>
        </w:rPr>
        <w:t xml:space="preserve"> e.g.</w:t>
      </w:r>
      <w:r>
        <w:rPr>
          <w:rFonts w:eastAsia="Times New Roman"/>
          <w:kern w:val="2"/>
          <w:szCs w:val="26"/>
        </w:rPr>
        <w:t>,</w:t>
      </w:r>
      <w:r w:rsidRPr="00956AB0">
        <w:rPr>
          <w:rFonts w:eastAsia="Times New Roman"/>
          <w:kern w:val="2"/>
          <w:szCs w:val="26"/>
        </w:rPr>
        <w:t xml:space="preserve"> Lab. Code, § 27</w:t>
      </w:r>
      <w:r w:rsidRPr="00956AB0">
        <w:rPr>
          <w:rFonts w:eastAsia="Times New Roman"/>
          <w:kern w:val="2"/>
          <w:szCs w:val="26"/>
        </w:rPr>
        <w:t>81, subd</w:t>
      </w:r>
      <w:r>
        <w:rPr>
          <w:rFonts w:eastAsia="Times New Roman"/>
          <w:kern w:val="2"/>
          <w:szCs w:val="26"/>
        </w:rPr>
        <w:t>s</w:t>
      </w:r>
      <w:r w:rsidRPr="00956AB0">
        <w:rPr>
          <w:rFonts w:eastAsia="Times New Roman"/>
          <w:kern w:val="2"/>
          <w:szCs w:val="26"/>
        </w:rPr>
        <w:t>. (</w:t>
      </w:r>
      <w:r w:rsidRPr="00956AB0">
        <w:rPr>
          <w:rFonts w:eastAsia="Times New Roman"/>
          <w:kern w:val="2"/>
          <w:szCs w:val="26"/>
        </w:rPr>
        <w:t>c</w:t>
      </w:r>
      <w:r w:rsidRPr="00956AB0">
        <w:rPr>
          <w:rFonts w:eastAsia="Times New Roman"/>
          <w:kern w:val="2"/>
          <w:szCs w:val="26"/>
        </w:rPr>
        <w:t>) &amp; (h)(1)(C) [for the construction industry exemp</w:t>
      </w:r>
      <w:r w:rsidRPr="00956AB0">
        <w:rPr>
          <w:rFonts w:eastAsia="Times New Roman"/>
          <w:kern w:val="2"/>
          <w:szCs w:val="26"/>
        </w:rPr>
        <w:t xml:space="preserve">tion, the contractor must demonstrate, among other requirements, </w:t>
      </w:r>
      <w:r w:rsidRPr="00956AB0">
        <w:rPr>
          <w:rFonts w:eastAsia="Times New Roman"/>
          <w:kern w:val="2"/>
          <w:szCs w:val="26"/>
        </w:rPr>
        <w:lastRenderedPageBreak/>
        <w:t>that the “subcontractor has the required business license or business tax registration” and</w:t>
      </w:r>
      <w:r>
        <w:rPr>
          <w:rFonts w:eastAsia="Times New Roman"/>
          <w:kern w:val="2"/>
          <w:szCs w:val="26"/>
        </w:rPr>
        <w:t xml:space="preserve"> the</w:t>
      </w:r>
      <w:r w:rsidRPr="00956AB0">
        <w:rPr>
          <w:rFonts w:eastAsia="Times New Roman"/>
          <w:kern w:val="2"/>
          <w:szCs w:val="26"/>
        </w:rPr>
        <w:t xml:space="preserve"> “subcontractor utilizes its own employees to perform the construction trucking services, unless</w:t>
      </w:r>
      <w:r w:rsidRPr="00956AB0">
        <w:rPr>
          <w:rFonts w:eastAsia="Times New Roman"/>
          <w:kern w:val="2"/>
          <w:szCs w:val="26"/>
        </w:rPr>
        <w:t xml:space="preserve"> the subcontractor is a sole proprietor who operates their own truck to perform the entire subcontract and holds a valid motor carrier permit issued by the Department of Motor Vehicles.”].) </w:t>
      </w:r>
    </w:p>
    <w:p w14:paraId="58C7958F" w14:textId="77777777" w:rsidR="00AB3CD2" w:rsidRPr="00956AB0" w:rsidRDefault="00B24AFB" w:rsidP="00092E8F">
      <w:pPr>
        <w:rPr>
          <w:rFonts w:eastAsia="Times New Roman"/>
          <w:kern w:val="2"/>
          <w:szCs w:val="26"/>
        </w:rPr>
      </w:pPr>
      <w:r w:rsidRPr="00956AB0">
        <w:rPr>
          <w:rFonts w:eastAsia="Times New Roman"/>
          <w:kern w:val="2"/>
          <w:szCs w:val="26"/>
        </w:rPr>
        <w:tab/>
        <w:t xml:space="preserve">Second, </w:t>
      </w:r>
      <w:r w:rsidRPr="00956AB0">
        <w:rPr>
          <w:rFonts w:eastAsia="Times New Roman"/>
          <w:kern w:val="2"/>
          <w:szCs w:val="26"/>
        </w:rPr>
        <w:t xml:space="preserve">the business-to-business exemption </w:t>
      </w:r>
      <w:r w:rsidRPr="00956AB0">
        <w:rPr>
          <w:rFonts w:eastAsia="Times New Roman"/>
          <w:kern w:val="2"/>
          <w:szCs w:val="26"/>
        </w:rPr>
        <w:t xml:space="preserve">applies </w:t>
      </w:r>
      <w:r w:rsidRPr="00956AB0">
        <w:rPr>
          <w:rFonts w:eastAsia="Times New Roman"/>
          <w:kern w:val="2"/>
          <w:szCs w:val="26"/>
        </w:rPr>
        <w:t xml:space="preserve">only </w:t>
      </w:r>
      <w:r w:rsidRPr="00956AB0">
        <w:rPr>
          <w:rFonts w:eastAsia="Times New Roman"/>
          <w:kern w:val="2"/>
          <w:szCs w:val="26"/>
        </w:rPr>
        <w:t>if</w:t>
      </w:r>
      <w:r w:rsidRPr="00956AB0">
        <w:rPr>
          <w:rFonts w:eastAsia="Times New Roman"/>
          <w:kern w:val="2"/>
          <w:szCs w:val="26"/>
        </w:rPr>
        <w:t xml:space="preserve"> the owner-operator </w:t>
      </w:r>
      <w:r w:rsidRPr="00956AB0">
        <w:rPr>
          <w:rFonts w:eastAsia="Times New Roman"/>
          <w:kern w:val="2"/>
          <w:szCs w:val="26"/>
        </w:rPr>
        <w:t>is</w:t>
      </w:r>
      <w:r w:rsidRPr="00956AB0">
        <w:rPr>
          <w:rFonts w:eastAsia="Times New Roman"/>
          <w:kern w:val="2"/>
          <w:szCs w:val="26"/>
        </w:rPr>
        <w:t xml:space="preserve"> “providing services directly to the [motor carrier] rather than to customers of the [motor carrier].” </w:t>
      </w:r>
      <w:bookmarkStart w:id="13" w:name="_Hlk56073400"/>
      <w:r w:rsidRPr="00956AB0">
        <w:rPr>
          <w:rFonts w:eastAsia="Times New Roman"/>
          <w:kern w:val="2"/>
          <w:szCs w:val="26"/>
        </w:rPr>
        <w:t>(Lab. Code, § 2776, subd. (a)(2).)</w:t>
      </w:r>
      <w:bookmarkEnd w:id="13"/>
      <w:r w:rsidRPr="00956AB0">
        <w:rPr>
          <w:rFonts w:eastAsia="Times New Roman"/>
          <w:kern w:val="2"/>
          <w:szCs w:val="26"/>
        </w:rPr>
        <w:t xml:space="preserve"> </w:t>
      </w:r>
      <w:r w:rsidRPr="00956AB0">
        <w:rPr>
          <w:rFonts w:eastAsia="Times New Roman"/>
          <w:kern w:val="2"/>
          <w:szCs w:val="26"/>
        </w:rPr>
        <w:t>Defendants contend this condition is impossible for an owner-operator to meet because an owner-o</w:t>
      </w:r>
      <w:r w:rsidRPr="00956AB0">
        <w:rPr>
          <w:rFonts w:eastAsia="Times New Roman"/>
          <w:kern w:val="2"/>
          <w:szCs w:val="26"/>
        </w:rPr>
        <w:t xml:space="preserve">perator contracting with a motor carrier necessarily is providing services to the motor carrier’s customers by moving the customer’s goods at the customer’s direction. </w:t>
      </w:r>
      <w:r w:rsidRPr="00956AB0">
        <w:rPr>
          <w:rFonts w:eastAsia="Times New Roman"/>
          <w:kern w:val="2"/>
          <w:szCs w:val="26"/>
        </w:rPr>
        <w:t>But defendants provide no support for the</w:t>
      </w:r>
      <w:r w:rsidRPr="00956AB0">
        <w:rPr>
          <w:rFonts w:eastAsia="Times New Roman"/>
          <w:kern w:val="2"/>
          <w:szCs w:val="26"/>
        </w:rPr>
        <w:t>ir</w:t>
      </w:r>
      <w:r w:rsidRPr="00956AB0">
        <w:rPr>
          <w:rFonts w:eastAsia="Times New Roman"/>
          <w:kern w:val="2"/>
          <w:szCs w:val="26"/>
        </w:rPr>
        <w:t xml:space="preserve"> strained reading of this provision</w:t>
      </w:r>
      <w:r w:rsidRPr="00956AB0">
        <w:rPr>
          <w:rFonts w:eastAsia="Times New Roman"/>
          <w:kern w:val="2"/>
          <w:szCs w:val="26"/>
        </w:rPr>
        <w:t>. Motor ca</w:t>
      </w:r>
      <w:r w:rsidRPr="00956AB0">
        <w:rPr>
          <w:rFonts w:eastAsia="Times New Roman"/>
          <w:kern w:val="2"/>
          <w:szCs w:val="26"/>
        </w:rPr>
        <w:t xml:space="preserve">rriers </w:t>
      </w:r>
      <w:r w:rsidRPr="00956AB0">
        <w:rPr>
          <w:rFonts w:eastAsia="Times New Roman"/>
          <w:kern w:val="2"/>
          <w:szCs w:val="26"/>
        </w:rPr>
        <w:t xml:space="preserve">— not the motor carriers’ customers — </w:t>
      </w:r>
      <w:r w:rsidRPr="00956AB0">
        <w:rPr>
          <w:rFonts w:eastAsia="Times New Roman"/>
          <w:kern w:val="2"/>
          <w:szCs w:val="26"/>
        </w:rPr>
        <w:t xml:space="preserve">could </w:t>
      </w:r>
      <w:r w:rsidRPr="00956AB0">
        <w:rPr>
          <w:rFonts w:eastAsia="Times New Roman"/>
          <w:kern w:val="2"/>
          <w:szCs w:val="26"/>
        </w:rPr>
        <w:t>contract with owner-operators</w:t>
      </w:r>
      <w:r w:rsidRPr="00956AB0">
        <w:rPr>
          <w:rFonts w:eastAsia="Times New Roman"/>
          <w:kern w:val="2"/>
          <w:szCs w:val="26"/>
        </w:rPr>
        <w:t xml:space="preserve"> (or other business entities meeting the requirements of the business-to-business exe</w:t>
      </w:r>
      <w:r w:rsidRPr="00956AB0">
        <w:rPr>
          <w:rFonts w:eastAsia="Times New Roman"/>
          <w:kern w:val="2"/>
          <w:szCs w:val="26"/>
        </w:rPr>
        <w:t>m</w:t>
      </w:r>
      <w:r w:rsidRPr="00956AB0">
        <w:rPr>
          <w:rFonts w:eastAsia="Times New Roman"/>
          <w:kern w:val="2"/>
          <w:szCs w:val="26"/>
        </w:rPr>
        <w:t>ption</w:t>
      </w:r>
      <w:r w:rsidRPr="00956AB0">
        <w:rPr>
          <w:rFonts w:eastAsia="Times New Roman"/>
          <w:kern w:val="2"/>
          <w:szCs w:val="26"/>
        </w:rPr>
        <w:t>)</w:t>
      </w:r>
      <w:r w:rsidRPr="00956AB0">
        <w:rPr>
          <w:rFonts w:eastAsia="Times New Roman"/>
          <w:kern w:val="2"/>
          <w:szCs w:val="26"/>
        </w:rPr>
        <w:t xml:space="preserve">, </w:t>
      </w:r>
      <w:r w:rsidRPr="00956AB0">
        <w:rPr>
          <w:rFonts w:eastAsia="Times New Roman"/>
          <w:kern w:val="2"/>
          <w:szCs w:val="26"/>
        </w:rPr>
        <w:t xml:space="preserve">direct their actions, and pay them. </w:t>
      </w:r>
      <w:r w:rsidRPr="00956AB0">
        <w:rPr>
          <w:rFonts w:eastAsia="Times New Roman"/>
          <w:kern w:val="2"/>
          <w:szCs w:val="26"/>
        </w:rPr>
        <w:t>Services would be provided by the owner-operat</w:t>
      </w:r>
      <w:r w:rsidRPr="00956AB0">
        <w:rPr>
          <w:rFonts w:eastAsia="Times New Roman"/>
          <w:kern w:val="2"/>
          <w:szCs w:val="26"/>
        </w:rPr>
        <w:t>ors directly to the motor carriers, notwithstanding that those services would include moving freight belonging to the motor carrier’s customers.</w:t>
      </w:r>
    </w:p>
    <w:p w14:paraId="7BC173E0" w14:textId="77777777" w:rsidR="00225519" w:rsidRPr="00956AB0" w:rsidRDefault="00B24AFB" w:rsidP="00092E8F">
      <w:pPr>
        <w:rPr>
          <w:rFonts w:eastAsia="Times New Roman"/>
          <w:kern w:val="2"/>
          <w:szCs w:val="26"/>
        </w:rPr>
      </w:pPr>
      <w:r w:rsidRPr="00956AB0">
        <w:rPr>
          <w:rFonts w:eastAsia="Times New Roman"/>
          <w:kern w:val="2"/>
          <w:szCs w:val="26"/>
        </w:rPr>
        <w:tab/>
        <w:t xml:space="preserve">Moreover, defendants offered no evidence demonstrating it would be impossible to meet the requirements </w:t>
      </w:r>
      <w:r w:rsidRPr="00956AB0">
        <w:rPr>
          <w:rFonts w:eastAsia="Times New Roman"/>
          <w:kern w:val="2"/>
          <w:szCs w:val="26"/>
        </w:rPr>
        <w:t>of</w:t>
      </w:r>
      <w:r w:rsidRPr="00956AB0">
        <w:rPr>
          <w:rFonts w:eastAsia="Times New Roman"/>
          <w:kern w:val="2"/>
          <w:szCs w:val="26"/>
        </w:rPr>
        <w:t xml:space="preserve"> the </w:t>
      </w:r>
      <w:r w:rsidRPr="00956AB0">
        <w:rPr>
          <w:rFonts w:eastAsia="Times New Roman"/>
          <w:kern w:val="2"/>
          <w:szCs w:val="26"/>
        </w:rPr>
        <w:t xml:space="preserve">business-to-business exemption. Indeed, the only evidence submitted in the trial court (attached to the People’s counsel’s declaration in support of their opposition to defendants’ motion in limine) indicates at least one defendant </w:t>
      </w:r>
      <w:r w:rsidRPr="00956AB0">
        <w:rPr>
          <w:rFonts w:eastAsia="Times New Roman"/>
          <w:kern w:val="2"/>
          <w:szCs w:val="26"/>
        </w:rPr>
        <w:t xml:space="preserve">does not operate any of </w:t>
      </w:r>
      <w:r w:rsidRPr="00956AB0">
        <w:rPr>
          <w:rFonts w:eastAsia="Times New Roman"/>
          <w:kern w:val="2"/>
          <w:szCs w:val="26"/>
        </w:rPr>
        <w:t xml:space="preserve">its own trucks, and instead </w:t>
      </w:r>
      <w:r w:rsidRPr="00956AB0">
        <w:rPr>
          <w:rFonts w:eastAsia="Times New Roman"/>
          <w:kern w:val="2"/>
          <w:szCs w:val="26"/>
        </w:rPr>
        <w:t xml:space="preserve">contracts not only with independent truckers, but also </w:t>
      </w:r>
      <w:r w:rsidRPr="00956AB0">
        <w:rPr>
          <w:rFonts w:eastAsia="Times New Roman"/>
          <w:kern w:val="2"/>
          <w:szCs w:val="26"/>
        </w:rPr>
        <w:t xml:space="preserve">with trucking companies. Those trucking companies, referred to as “outside carriers” or “outside brokers,” </w:t>
      </w:r>
      <w:r w:rsidRPr="00956AB0">
        <w:rPr>
          <w:rFonts w:eastAsia="Times New Roman"/>
          <w:kern w:val="2"/>
          <w:szCs w:val="26"/>
        </w:rPr>
        <w:t xml:space="preserve">are legally organized business entities and appear to be </w:t>
      </w:r>
      <w:r w:rsidRPr="00956AB0">
        <w:rPr>
          <w:rFonts w:eastAsia="Times New Roman"/>
          <w:kern w:val="2"/>
          <w:szCs w:val="26"/>
        </w:rPr>
        <w:t xml:space="preserve">among </w:t>
      </w:r>
      <w:r w:rsidRPr="00956AB0">
        <w:rPr>
          <w:rFonts w:eastAsia="Times New Roman"/>
          <w:kern w:val="2"/>
          <w:szCs w:val="26"/>
        </w:rPr>
        <w:t>the</w:t>
      </w:r>
      <w:r w:rsidRPr="00956AB0">
        <w:rPr>
          <w:rFonts w:eastAsia="Times New Roman"/>
          <w:kern w:val="2"/>
          <w:szCs w:val="26"/>
        </w:rPr>
        <w:t xml:space="preserve"> kinds of businesses contemplated by the business-to</w:t>
      </w:r>
      <w:r w:rsidRPr="00956AB0">
        <w:rPr>
          <w:rFonts w:eastAsia="Times New Roman"/>
          <w:kern w:val="2"/>
          <w:szCs w:val="26"/>
        </w:rPr>
        <w:t>-</w:t>
      </w:r>
      <w:r w:rsidRPr="00956AB0">
        <w:rPr>
          <w:rFonts w:eastAsia="Times New Roman"/>
          <w:kern w:val="2"/>
          <w:szCs w:val="26"/>
        </w:rPr>
        <w:t>business exe</w:t>
      </w:r>
      <w:r>
        <w:rPr>
          <w:rFonts w:eastAsia="Times New Roman"/>
          <w:kern w:val="2"/>
          <w:szCs w:val="26"/>
        </w:rPr>
        <w:t>m</w:t>
      </w:r>
      <w:r w:rsidRPr="00956AB0">
        <w:rPr>
          <w:rFonts w:eastAsia="Times New Roman"/>
          <w:kern w:val="2"/>
          <w:szCs w:val="26"/>
        </w:rPr>
        <w:t>ption</w:t>
      </w:r>
      <w:r w:rsidRPr="00956AB0">
        <w:rPr>
          <w:rFonts w:eastAsia="Times New Roman"/>
          <w:kern w:val="2"/>
          <w:szCs w:val="26"/>
        </w:rPr>
        <w:t xml:space="preserve">. </w:t>
      </w:r>
    </w:p>
    <w:p w14:paraId="47874BEA" w14:textId="77777777" w:rsidR="00501D47" w:rsidRPr="00956AB0" w:rsidRDefault="00B24AFB" w:rsidP="00AB3CD2">
      <w:pPr>
        <w:ind w:firstLine="720"/>
        <w:rPr>
          <w:rFonts w:eastAsia="Times New Roman"/>
          <w:kern w:val="2"/>
          <w:szCs w:val="26"/>
        </w:rPr>
      </w:pPr>
      <w:r w:rsidRPr="00956AB0">
        <w:rPr>
          <w:rFonts w:eastAsia="Times New Roman"/>
          <w:kern w:val="2"/>
          <w:szCs w:val="26"/>
        </w:rPr>
        <w:lastRenderedPageBreak/>
        <w:t>We therefore conclude</w:t>
      </w:r>
      <w:r w:rsidRPr="00956AB0">
        <w:rPr>
          <w:rFonts w:eastAsia="Times New Roman"/>
          <w:kern w:val="2"/>
          <w:szCs w:val="26"/>
        </w:rPr>
        <w:t xml:space="preserve"> defendants </w:t>
      </w:r>
      <w:r w:rsidRPr="00956AB0">
        <w:rPr>
          <w:rFonts w:eastAsia="Times New Roman"/>
          <w:kern w:val="2"/>
          <w:szCs w:val="26"/>
        </w:rPr>
        <w:t xml:space="preserve">have not </w:t>
      </w:r>
      <w:r w:rsidRPr="00956AB0">
        <w:rPr>
          <w:rFonts w:eastAsia="Times New Roman"/>
          <w:kern w:val="2"/>
          <w:szCs w:val="26"/>
        </w:rPr>
        <w:t>demonstrate</w:t>
      </w:r>
      <w:r w:rsidRPr="00956AB0">
        <w:rPr>
          <w:rFonts w:eastAsia="Times New Roman"/>
          <w:kern w:val="2"/>
          <w:szCs w:val="26"/>
        </w:rPr>
        <w:t>d</w:t>
      </w:r>
      <w:r w:rsidRPr="00956AB0">
        <w:rPr>
          <w:rFonts w:eastAsia="Times New Roman"/>
          <w:kern w:val="2"/>
          <w:szCs w:val="26"/>
        </w:rPr>
        <w:t xml:space="preserve">, as they must under </w:t>
      </w:r>
      <w:r w:rsidRPr="00956AB0">
        <w:rPr>
          <w:rFonts w:eastAsia="Times New Roman"/>
          <w:i/>
          <w:iCs/>
          <w:kern w:val="2"/>
          <w:szCs w:val="26"/>
        </w:rPr>
        <w:t>Pac Anchor</w:t>
      </w:r>
      <w:r w:rsidRPr="00956AB0">
        <w:rPr>
          <w:rFonts w:eastAsia="Times New Roman"/>
          <w:kern w:val="2"/>
          <w:szCs w:val="26"/>
        </w:rPr>
        <w:t xml:space="preserve">, that </w:t>
      </w:r>
      <w:r w:rsidRPr="00956AB0">
        <w:rPr>
          <w:rFonts w:eastAsia="Times New Roman"/>
          <w:kern w:val="2"/>
          <w:szCs w:val="26"/>
        </w:rPr>
        <w:t xml:space="preserve">application of </w:t>
      </w:r>
      <w:r w:rsidRPr="00956AB0">
        <w:rPr>
          <w:rFonts w:eastAsia="Times New Roman"/>
          <w:kern w:val="2"/>
          <w:szCs w:val="26"/>
        </w:rPr>
        <w:t xml:space="preserve">the ABC test </w:t>
      </w:r>
      <w:r w:rsidRPr="00956AB0">
        <w:rPr>
          <w:rFonts w:eastAsia="Times New Roman"/>
          <w:kern w:val="2"/>
          <w:szCs w:val="26"/>
        </w:rPr>
        <w:t xml:space="preserve">prohibits motor carriers from using independent contractors or otherwise directly affects motor carriers’ prices, routes, or services. </w:t>
      </w:r>
      <w:r w:rsidRPr="00956AB0">
        <w:rPr>
          <w:rFonts w:eastAsia="Times New Roman"/>
          <w:kern w:val="2"/>
          <w:szCs w:val="26"/>
        </w:rPr>
        <w:t xml:space="preserve">Nothing in </w:t>
      </w:r>
      <w:r w:rsidRPr="00956AB0">
        <w:rPr>
          <w:rFonts w:eastAsia="Times New Roman"/>
          <w:i/>
          <w:iCs/>
          <w:kern w:val="2"/>
          <w:szCs w:val="26"/>
        </w:rPr>
        <w:t>Pac Anchor</w:t>
      </w:r>
      <w:r w:rsidRPr="00956AB0">
        <w:rPr>
          <w:rFonts w:eastAsia="Times New Roman"/>
          <w:kern w:val="2"/>
          <w:szCs w:val="26"/>
        </w:rPr>
        <w:t xml:space="preserve"> nor the </w:t>
      </w:r>
      <w:r w:rsidRPr="00956AB0">
        <w:rPr>
          <w:rFonts w:eastAsia="Times New Roman"/>
          <w:kern w:val="2"/>
          <w:szCs w:val="26"/>
        </w:rPr>
        <w:t>FAAA</w:t>
      </w:r>
      <w:r w:rsidRPr="00956AB0">
        <w:rPr>
          <w:rFonts w:eastAsia="Times New Roman"/>
          <w:kern w:val="2"/>
          <w:szCs w:val="26"/>
        </w:rPr>
        <w:t>A</w:t>
      </w:r>
      <w:r w:rsidRPr="00956AB0">
        <w:rPr>
          <w:rFonts w:eastAsia="Times New Roman"/>
          <w:kern w:val="2"/>
          <w:szCs w:val="26"/>
        </w:rPr>
        <w:t xml:space="preserve">’s </w:t>
      </w:r>
      <w:r w:rsidRPr="00956AB0">
        <w:rPr>
          <w:rFonts w:eastAsia="Times New Roman"/>
          <w:kern w:val="2"/>
          <w:szCs w:val="26"/>
        </w:rPr>
        <w:t xml:space="preserve">legislative history suggests </w:t>
      </w:r>
      <w:r w:rsidRPr="00956AB0">
        <w:rPr>
          <w:rFonts w:eastAsia="Times New Roman"/>
          <w:kern w:val="2"/>
          <w:szCs w:val="26"/>
        </w:rPr>
        <w:t xml:space="preserve">Congress intended </w:t>
      </w:r>
      <w:r w:rsidRPr="00956AB0">
        <w:rPr>
          <w:rFonts w:eastAsia="Times New Roman"/>
          <w:kern w:val="2"/>
          <w:szCs w:val="26"/>
        </w:rPr>
        <w:t>to preempt a worker-classification t</w:t>
      </w:r>
      <w:r w:rsidRPr="00956AB0">
        <w:rPr>
          <w:rFonts w:eastAsia="Times New Roman"/>
          <w:kern w:val="2"/>
          <w:szCs w:val="26"/>
        </w:rPr>
        <w:t>est applicable to all employers in the state.</w:t>
      </w:r>
      <w:r w:rsidRPr="00956AB0">
        <w:rPr>
          <w:rFonts w:eastAsia="Times New Roman"/>
          <w:kern w:val="2"/>
          <w:szCs w:val="26"/>
        </w:rPr>
        <w:t xml:space="preserve"> </w:t>
      </w:r>
    </w:p>
    <w:p w14:paraId="2C782D72" w14:textId="77777777" w:rsidR="008A1928" w:rsidRPr="00956AB0" w:rsidRDefault="00B24AFB" w:rsidP="00C34735">
      <w:pPr>
        <w:rPr>
          <w:rFonts w:eastAsia="Times New Roman"/>
          <w:kern w:val="2"/>
          <w:szCs w:val="26"/>
        </w:rPr>
      </w:pPr>
      <w:r w:rsidRPr="00956AB0">
        <w:rPr>
          <w:rFonts w:eastAsia="Times New Roman"/>
          <w:kern w:val="2"/>
          <w:szCs w:val="26"/>
        </w:rPr>
        <w:tab/>
      </w:r>
    </w:p>
    <w:p w14:paraId="1974354D" w14:textId="77777777" w:rsidR="00356E56" w:rsidRPr="00956AB0" w:rsidRDefault="00B24AFB">
      <w:pPr>
        <w:spacing w:line="240" w:lineRule="auto"/>
        <w:rPr>
          <w:b/>
          <w:szCs w:val="26"/>
        </w:rPr>
      </w:pPr>
      <w:r w:rsidRPr="00956AB0">
        <w:rPr>
          <w:b/>
          <w:szCs w:val="26"/>
        </w:rPr>
        <w:br w:type="page"/>
      </w:r>
    </w:p>
    <w:p w14:paraId="1A2D7802" w14:textId="77777777" w:rsidR="00454B70" w:rsidRPr="00956AB0" w:rsidRDefault="00B24AFB" w:rsidP="00784173">
      <w:pPr>
        <w:pStyle w:val="ListParagraph"/>
        <w:ind w:left="0"/>
        <w:jc w:val="center"/>
        <w:rPr>
          <w:b/>
          <w:szCs w:val="26"/>
        </w:rPr>
      </w:pPr>
      <w:r w:rsidRPr="00956AB0">
        <w:rPr>
          <w:b/>
          <w:szCs w:val="26"/>
        </w:rPr>
        <w:lastRenderedPageBreak/>
        <w:t>DISPOSITION</w:t>
      </w:r>
    </w:p>
    <w:p w14:paraId="5D619E92" w14:textId="77777777" w:rsidR="00A3151A" w:rsidRPr="00956AB0" w:rsidRDefault="00B24AFB" w:rsidP="00A3151A">
      <w:pPr>
        <w:pStyle w:val="ListParagraph"/>
        <w:ind w:left="0"/>
        <w:jc w:val="center"/>
        <w:rPr>
          <w:b/>
          <w:szCs w:val="26"/>
        </w:rPr>
      </w:pPr>
    </w:p>
    <w:p w14:paraId="050D2993" w14:textId="77777777" w:rsidR="00515658" w:rsidRPr="00956AB0" w:rsidRDefault="00B24AFB" w:rsidP="008540DB">
      <w:pPr>
        <w:ind w:firstLine="720"/>
        <w:rPr>
          <w:szCs w:val="26"/>
        </w:rPr>
      </w:pPr>
      <w:r w:rsidRPr="00956AB0">
        <w:rPr>
          <w:szCs w:val="26"/>
        </w:rPr>
        <w:t xml:space="preserve">Let a peremptory writ of mandate issue directing respondent court to vacate its January 8, 2020 order granting in part defendants’ motion in limine, and enter a new order </w:t>
      </w:r>
      <w:r w:rsidRPr="00956AB0">
        <w:rPr>
          <w:szCs w:val="26"/>
        </w:rPr>
        <w:t xml:space="preserve">denying that motion because </w:t>
      </w:r>
      <w:r w:rsidRPr="00956AB0">
        <w:rPr>
          <w:szCs w:val="26"/>
        </w:rPr>
        <w:t xml:space="preserve">the statutory amendments </w:t>
      </w:r>
      <w:r w:rsidRPr="00956AB0">
        <w:rPr>
          <w:szCs w:val="26"/>
        </w:rPr>
        <w:t xml:space="preserve">implemented </w:t>
      </w:r>
      <w:r w:rsidRPr="00956AB0">
        <w:rPr>
          <w:szCs w:val="26"/>
        </w:rPr>
        <w:t xml:space="preserve">by AB 2257 are </w:t>
      </w:r>
      <w:r w:rsidRPr="00956AB0">
        <w:rPr>
          <w:szCs w:val="26"/>
        </w:rPr>
        <w:t>not p</w:t>
      </w:r>
      <w:r w:rsidRPr="00956AB0">
        <w:rPr>
          <w:szCs w:val="26"/>
        </w:rPr>
        <w:t>reempted by the FAAA</w:t>
      </w:r>
      <w:r w:rsidRPr="00956AB0">
        <w:rPr>
          <w:szCs w:val="26"/>
        </w:rPr>
        <w:t>A</w:t>
      </w:r>
      <w:r w:rsidRPr="00956AB0">
        <w:rPr>
          <w:szCs w:val="26"/>
        </w:rPr>
        <w:t xml:space="preserve">. We express no view on the two </w:t>
      </w:r>
      <w:r w:rsidRPr="00956AB0">
        <w:rPr>
          <w:szCs w:val="26"/>
        </w:rPr>
        <w:t>alternative arguments</w:t>
      </w:r>
      <w:r w:rsidRPr="00956AB0">
        <w:rPr>
          <w:szCs w:val="26"/>
        </w:rPr>
        <w:t xml:space="preserve"> raised in defendants’ motion in limine, which respondent court denied without prejudice, </w:t>
      </w:r>
      <w:r w:rsidRPr="00956AB0">
        <w:rPr>
          <w:i/>
          <w:szCs w:val="26"/>
        </w:rPr>
        <w:t>i.e</w:t>
      </w:r>
      <w:r w:rsidRPr="00956AB0">
        <w:rPr>
          <w:szCs w:val="26"/>
        </w:rPr>
        <w:t>., whether the ABC test violates the Dormant Commerce Clause or that it may not be applie</w:t>
      </w:r>
      <w:r w:rsidRPr="00956AB0">
        <w:rPr>
          <w:szCs w:val="26"/>
        </w:rPr>
        <w:t>d retroactively.</w:t>
      </w:r>
      <w:r>
        <w:rPr>
          <w:szCs w:val="26"/>
        </w:rPr>
        <w:t xml:space="preserve"> </w:t>
      </w:r>
      <w:r w:rsidRPr="002F0E12">
        <w:rPr>
          <w:szCs w:val="26"/>
        </w:rPr>
        <w:t>The People are awarded their costs in this original proceeding.</w:t>
      </w:r>
    </w:p>
    <w:p w14:paraId="65009A68" w14:textId="77777777" w:rsidR="00356E56" w:rsidRPr="00784173" w:rsidRDefault="00B24AFB" w:rsidP="00784173">
      <w:pPr>
        <w:ind w:firstLine="720"/>
        <w:jc w:val="center"/>
        <w:rPr>
          <w:rFonts w:eastAsia="Times New Roman"/>
          <w:b/>
          <w:bCs/>
          <w:kern w:val="2"/>
          <w:szCs w:val="26"/>
        </w:rPr>
      </w:pPr>
    </w:p>
    <w:p w14:paraId="633075D9" w14:textId="77777777" w:rsidR="00784173" w:rsidRPr="00784173" w:rsidRDefault="00B24AFB" w:rsidP="00784173">
      <w:pPr>
        <w:ind w:firstLine="720"/>
        <w:jc w:val="center"/>
        <w:rPr>
          <w:rFonts w:eastAsia="Times New Roman"/>
          <w:b/>
          <w:bCs/>
          <w:kern w:val="2"/>
          <w:szCs w:val="26"/>
        </w:rPr>
      </w:pPr>
      <w:r w:rsidRPr="00784173">
        <w:rPr>
          <w:rFonts w:eastAsia="Times New Roman"/>
          <w:b/>
          <w:bCs/>
          <w:kern w:val="2"/>
          <w:szCs w:val="26"/>
        </w:rPr>
        <w:t>CERTIFIED FOR PUBLICATION</w:t>
      </w:r>
    </w:p>
    <w:p w14:paraId="5525FF84" w14:textId="77777777" w:rsidR="00356E56" w:rsidRPr="00956AB0" w:rsidRDefault="00B24AFB" w:rsidP="00356E56">
      <w:pPr>
        <w:ind w:firstLine="720"/>
        <w:rPr>
          <w:rFonts w:eastAsia="Times New Roman"/>
          <w:kern w:val="2"/>
          <w:szCs w:val="26"/>
        </w:rPr>
      </w:pPr>
    </w:p>
    <w:p w14:paraId="2DC84432" w14:textId="77777777" w:rsidR="00356E56" w:rsidRDefault="00B24AFB" w:rsidP="00356E56">
      <w:pPr>
        <w:ind w:firstLine="720"/>
        <w:rPr>
          <w:rFonts w:eastAsia="Times New Roman"/>
          <w:kern w:val="2"/>
          <w:szCs w:val="26"/>
        </w:rPr>
      </w:pPr>
    </w:p>
    <w:p w14:paraId="76ECF273" w14:textId="77777777" w:rsidR="00784173" w:rsidRPr="00356E56" w:rsidRDefault="00B24AFB" w:rsidP="00356E56">
      <w:pPr>
        <w:ind w:firstLine="720"/>
        <w:rPr>
          <w:rFonts w:eastAsia="Times New Roman"/>
          <w:kern w:val="2"/>
          <w:szCs w:val="26"/>
        </w:rPr>
      </w:pPr>
    </w:p>
    <w:p w14:paraId="7B1E2022" w14:textId="77777777" w:rsidR="00356E56" w:rsidRPr="00356E56" w:rsidRDefault="00B24AFB" w:rsidP="00356E56">
      <w:pPr>
        <w:ind w:firstLine="720"/>
        <w:rPr>
          <w:rFonts w:eastAsia="Times New Roman"/>
          <w:kern w:val="2"/>
          <w:szCs w:val="26"/>
        </w:rPr>
      </w:pPr>
      <w:r w:rsidRPr="00356E56">
        <w:rPr>
          <w:rFonts w:eastAsia="Times New Roman"/>
          <w:kern w:val="2"/>
          <w:szCs w:val="26"/>
        </w:rPr>
        <w:t xml:space="preserve">CURREY, J.  </w:t>
      </w:r>
    </w:p>
    <w:p w14:paraId="4DC3AA04" w14:textId="77777777" w:rsidR="00356E56" w:rsidRPr="00356E56" w:rsidRDefault="00B24AFB" w:rsidP="00356E56">
      <w:pPr>
        <w:ind w:firstLine="720"/>
        <w:rPr>
          <w:rFonts w:eastAsia="Times New Roman"/>
          <w:kern w:val="2"/>
          <w:szCs w:val="26"/>
        </w:rPr>
      </w:pPr>
    </w:p>
    <w:p w14:paraId="665E4A6B" w14:textId="77777777" w:rsidR="00356E56" w:rsidRPr="00356E56" w:rsidRDefault="00B24AFB" w:rsidP="00356E56">
      <w:pPr>
        <w:ind w:firstLine="720"/>
        <w:rPr>
          <w:rFonts w:eastAsia="Times New Roman"/>
          <w:kern w:val="2"/>
          <w:szCs w:val="26"/>
        </w:rPr>
      </w:pPr>
    </w:p>
    <w:p w14:paraId="4A59EB73" w14:textId="77777777" w:rsidR="00356E56" w:rsidRPr="00356E56" w:rsidRDefault="00B24AFB" w:rsidP="00356E56">
      <w:pPr>
        <w:ind w:firstLine="720"/>
        <w:rPr>
          <w:rFonts w:eastAsia="Times New Roman"/>
          <w:kern w:val="2"/>
          <w:szCs w:val="26"/>
        </w:rPr>
      </w:pPr>
      <w:r w:rsidRPr="00356E56">
        <w:rPr>
          <w:rFonts w:eastAsia="Times New Roman"/>
          <w:kern w:val="2"/>
          <w:szCs w:val="26"/>
        </w:rPr>
        <w:t xml:space="preserve">We concur:   </w:t>
      </w:r>
    </w:p>
    <w:p w14:paraId="76AA68ED" w14:textId="77777777" w:rsidR="00356E56" w:rsidRPr="00356E56" w:rsidRDefault="00B24AFB" w:rsidP="00356E56">
      <w:pPr>
        <w:ind w:firstLine="720"/>
        <w:rPr>
          <w:rFonts w:eastAsia="Times New Roman"/>
          <w:kern w:val="2"/>
          <w:szCs w:val="26"/>
        </w:rPr>
      </w:pPr>
    </w:p>
    <w:p w14:paraId="02883740" w14:textId="77777777" w:rsidR="00356E56" w:rsidRPr="00356E56" w:rsidRDefault="00B24AFB" w:rsidP="00356E56">
      <w:pPr>
        <w:ind w:firstLine="720"/>
        <w:rPr>
          <w:rFonts w:eastAsia="Times New Roman"/>
          <w:kern w:val="2"/>
          <w:szCs w:val="26"/>
        </w:rPr>
      </w:pPr>
    </w:p>
    <w:p w14:paraId="3EBC3C23" w14:textId="77777777" w:rsidR="00356E56" w:rsidRPr="00356E56" w:rsidRDefault="00B24AFB" w:rsidP="00356E56">
      <w:pPr>
        <w:ind w:firstLine="720"/>
        <w:rPr>
          <w:rFonts w:eastAsia="Times New Roman"/>
          <w:kern w:val="2"/>
          <w:szCs w:val="26"/>
        </w:rPr>
      </w:pPr>
    </w:p>
    <w:p w14:paraId="565BD2CC" w14:textId="77777777" w:rsidR="00356E56" w:rsidRPr="00356E56" w:rsidRDefault="00B24AFB" w:rsidP="00356E56">
      <w:pPr>
        <w:ind w:firstLine="720"/>
        <w:rPr>
          <w:rFonts w:eastAsia="Times New Roman"/>
          <w:kern w:val="2"/>
          <w:szCs w:val="26"/>
        </w:rPr>
      </w:pPr>
      <w:r w:rsidRPr="00956AB0">
        <w:rPr>
          <w:rFonts w:eastAsia="Times New Roman"/>
          <w:kern w:val="2"/>
          <w:szCs w:val="26"/>
        </w:rPr>
        <w:t>MANELLA</w:t>
      </w:r>
      <w:r w:rsidRPr="00356E56">
        <w:rPr>
          <w:rFonts w:eastAsia="Times New Roman"/>
          <w:kern w:val="2"/>
          <w:szCs w:val="26"/>
        </w:rPr>
        <w:t xml:space="preserve">, P.J. </w:t>
      </w:r>
    </w:p>
    <w:p w14:paraId="1BB2C2EA" w14:textId="77777777" w:rsidR="00356E56" w:rsidRPr="00356E56" w:rsidRDefault="00B24AFB" w:rsidP="00356E56">
      <w:pPr>
        <w:ind w:firstLine="720"/>
        <w:rPr>
          <w:rFonts w:eastAsia="Times New Roman"/>
          <w:kern w:val="2"/>
          <w:szCs w:val="26"/>
        </w:rPr>
      </w:pPr>
    </w:p>
    <w:p w14:paraId="33EC4694" w14:textId="77777777" w:rsidR="00356E56" w:rsidRPr="00956AB0" w:rsidRDefault="00B24AFB" w:rsidP="00356E56">
      <w:pPr>
        <w:ind w:firstLine="720"/>
        <w:rPr>
          <w:rFonts w:eastAsia="Times New Roman"/>
          <w:kern w:val="2"/>
          <w:szCs w:val="26"/>
        </w:rPr>
      </w:pPr>
    </w:p>
    <w:p w14:paraId="0A5C5EC1" w14:textId="77777777" w:rsidR="00356E56" w:rsidRPr="00356E56" w:rsidRDefault="00B24AFB" w:rsidP="00356E56">
      <w:pPr>
        <w:ind w:firstLine="720"/>
        <w:rPr>
          <w:rFonts w:eastAsia="Times New Roman"/>
          <w:kern w:val="2"/>
          <w:szCs w:val="26"/>
        </w:rPr>
      </w:pPr>
    </w:p>
    <w:p w14:paraId="14ABD46E" w14:textId="77777777" w:rsidR="00AD1D79" w:rsidRPr="00956AB0" w:rsidRDefault="00B24AFB" w:rsidP="00356E56">
      <w:pPr>
        <w:ind w:firstLine="720"/>
        <w:rPr>
          <w:szCs w:val="26"/>
        </w:rPr>
      </w:pPr>
      <w:r w:rsidRPr="00356E56">
        <w:rPr>
          <w:rFonts w:eastAsia="Times New Roman"/>
          <w:kern w:val="2"/>
          <w:szCs w:val="26"/>
        </w:rPr>
        <w:t>COLLINS, J.</w:t>
      </w:r>
    </w:p>
    <w:sectPr w:rsidR="00AD1D79" w:rsidRPr="00956AB0" w:rsidSect="00C32FFB">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68559" w14:textId="77777777" w:rsidR="00000000" w:rsidRDefault="00B24AFB">
      <w:pPr>
        <w:spacing w:line="240" w:lineRule="auto"/>
      </w:pPr>
      <w:r>
        <w:separator/>
      </w:r>
    </w:p>
  </w:endnote>
  <w:endnote w:type="continuationSeparator" w:id="0">
    <w:p w14:paraId="04E72476" w14:textId="77777777" w:rsidR="00000000" w:rsidRDefault="00B24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189E" w14:textId="77777777" w:rsidR="005565D7" w:rsidRDefault="00B24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C82A" w14:textId="77777777" w:rsidR="001241BA" w:rsidRDefault="00B24AFB">
    <w:pPr>
      <w:pStyle w:val="Footer"/>
      <w:jc w:val="center"/>
    </w:pPr>
    <w:r>
      <w:fldChar w:fldCharType="begin"/>
    </w:r>
    <w:r>
      <w:instrText xml:space="preserve"> PAGE   \* MERGEFORMAT </w:instrText>
    </w:r>
    <w:r>
      <w:fldChar w:fldCharType="separate"/>
    </w:r>
    <w:r>
      <w:rPr>
        <w:noProof/>
      </w:rPr>
      <w:t>18</w:t>
    </w:r>
    <w:r>
      <w:rPr>
        <w:noProof/>
      </w:rPr>
      <w:fldChar w:fldCharType="end"/>
    </w:r>
  </w:p>
  <w:p w14:paraId="2470D8CA" w14:textId="77777777" w:rsidR="001241BA" w:rsidRDefault="00B24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05CF3" w14:textId="77777777" w:rsidR="005565D7" w:rsidRDefault="00B24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129EC" w14:textId="77777777" w:rsidR="00B544FD" w:rsidRDefault="00B24AFB" w:rsidP="009530E4">
      <w:pPr>
        <w:spacing w:line="240" w:lineRule="auto"/>
      </w:pPr>
      <w:r>
        <w:separator/>
      </w:r>
    </w:p>
  </w:footnote>
  <w:footnote w:type="continuationSeparator" w:id="0">
    <w:p w14:paraId="6C6117B2" w14:textId="77777777" w:rsidR="00B544FD" w:rsidRDefault="00B24AFB" w:rsidP="009530E4">
      <w:pPr>
        <w:spacing w:line="240" w:lineRule="auto"/>
      </w:pPr>
      <w:r>
        <w:continuationSeparator/>
      </w:r>
    </w:p>
  </w:footnote>
  <w:footnote w:id="1">
    <w:p w14:paraId="6FEA27D1" w14:textId="77777777" w:rsidR="00E142B4" w:rsidRPr="00BF12C9" w:rsidRDefault="00B24AFB" w:rsidP="00E142B4">
      <w:pPr>
        <w:pStyle w:val="FootnoteText"/>
        <w:spacing w:line="240" w:lineRule="auto"/>
        <w:rPr>
          <w:sz w:val="26"/>
          <w:szCs w:val="26"/>
        </w:rPr>
      </w:pPr>
      <w:r w:rsidRPr="00810764">
        <w:rPr>
          <w:rStyle w:val="FootnoteReference"/>
          <w:b w:val="0"/>
          <w:bCs/>
          <w:sz w:val="26"/>
          <w:szCs w:val="26"/>
          <w:vertAlign w:val="baseline"/>
        </w:rPr>
        <w:footnoteRef/>
      </w:r>
      <w:r w:rsidRPr="00810764">
        <w:rPr>
          <w:b/>
          <w:bCs/>
          <w:sz w:val="26"/>
          <w:szCs w:val="26"/>
        </w:rPr>
        <w:t xml:space="preserve"> </w:t>
      </w:r>
      <w:r w:rsidRPr="00BF12C9">
        <w:rPr>
          <w:sz w:val="26"/>
          <w:szCs w:val="26"/>
        </w:rPr>
        <w:tab/>
        <w:t xml:space="preserve">The </w:t>
      </w:r>
      <w:r w:rsidRPr="00BF12C9">
        <w:rPr>
          <w:sz w:val="26"/>
          <w:szCs w:val="26"/>
        </w:rPr>
        <w:t xml:space="preserve">factual statements </w:t>
      </w:r>
      <w:r w:rsidRPr="00BF12C9">
        <w:rPr>
          <w:sz w:val="26"/>
          <w:szCs w:val="26"/>
        </w:rPr>
        <w:t>in this section are</w:t>
      </w:r>
      <w:r w:rsidRPr="00BF12C9">
        <w:rPr>
          <w:sz w:val="26"/>
          <w:szCs w:val="26"/>
        </w:rPr>
        <w:t xml:space="preserve"> largely</w:t>
      </w:r>
      <w:r w:rsidRPr="00BF12C9">
        <w:rPr>
          <w:sz w:val="26"/>
          <w:szCs w:val="26"/>
        </w:rPr>
        <w:t xml:space="preserve"> taken</w:t>
      </w:r>
      <w:r w:rsidRPr="00BF12C9">
        <w:rPr>
          <w:sz w:val="26"/>
          <w:szCs w:val="26"/>
        </w:rPr>
        <w:t xml:space="preserve"> </w:t>
      </w:r>
      <w:r w:rsidRPr="00BF12C9">
        <w:rPr>
          <w:sz w:val="26"/>
          <w:szCs w:val="26"/>
        </w:rPr>
        <w:t xml:space="preserve">from the </w:t>
      </w:r>
      <w:r w:rsidRPr="00BF12C9">
        <w:rPr>
          <w:sz w:val="26"/>
          <w:szCs w:val="26"/>
        </w:rPr>
        <w:t xml:space="preserve">allegations in the </w:t>
      </w:r>
      <w:r w:rsidRPr="00BF12C9">
        <w:rPr>
          <w:sz w:val="26"/>
          <w:szCs w:val="26"/>
        </w:rPr>
        <w:t>People’s complaints and the trial court’s January 8, 2020 order.</w:t>
      </w:r>
    </w:p>
    <w:p w14:paraId="050665E7" w14:textId="77777777" w:rsidR="00E142B4" w:rsidRPr="00BF12C9" w:rsidRDefault="00B24AFB" w:rsidP="00E142B4">
      <w:pPr>
        <w:pStyle w:val="FootnoteText"/>
        <w:spacing w:line="240" w:lineRule="auto"/>
        <w:rPr>
          <w:sz w:val="26"/>
          <w:szCs w:val="26"/>
        </w:rPr>
      </w:pPr>
    </w:p>
  </w:footnote>
  <w:footnote w:id="2">
    <w:p w14:paraId="618014D3" w14:textId="77777777" w:rsidR="00CD51E1" w:rsidRPr="00BF12C9" w:rsidRDefault="00B24AFB" w:rsidP="00E547B0">
      <w:pPr>
        <w:pStyle w:val="FootnoteText"/>
        <w:spacing w:line="240" w:lineRule="auto"/>
        <w:rPr>
          <w:sz w:val="26"/>
          <w:szCs w:val="26"/>
        </w:rPr>
      </w:pPr>
      <w:r w:rsidRPr="00810764">
        <w:rPr>
          <w:rStyle w:val="FootnoteReference"/>
          <w:b w:val="0"/>
          <w:bCs/>
          <w:sz w:val="26"/>
          <w:szCs w:val="26"/>
          <w:vertAlign w:val="baseline"/>
        </w:rPr>
        <w:footnoteRef/>
      </w:r>
      <w:r w:rsidRPr="00810764">
        <w:rPr>
          <w:b/>
          <w:bCs/>
          <w:sz w:val="26"/>
          <w:szCs w:val="26"/>
        </w:rPr>
        <w:t xml:space="preserve"> </w:t>
      </w:r>
      <w:r w:rsidRPr="00BF12C9">
        <w:rPr>
          <w:sz w:val="26"/>
          <w:szCs w:val="26"/>
        </w:rPr>
        <w:tab/>
        <w:t>Defendants are Cal Cartage Transportation Express, LLC, CMI Transportation, LLC, K&amp;R Transportation Califo</w:t>
      </w:r>
      <w:r w:rsidRPr="00BF12C9">
        <w:rPr>
          <w:sz w:val="26"/>
          <w:szCs w:val="26"/>
        </w:rPr>
        <w:t xml:space="preserve">rnia, LLC, CCX2931, LLC, CM2931, LLC, and KRT2931, LLC. </w:t>
      </w:r>
    </w:p>
  </w:footnote>
  <w:footnote w:id="3">
    <w:p w14:paraId="09ABCE8D" w14:textId="77777777" w:rsidR="0095119D" w:rsidRPr="00BF12C9" w:rsidRDefault="00B24AFB" w:rsidP="0095119D">
      <w:pPr>
        <w:pStyle w:val="FootnoteText"/>
        <w:spacing w:line="240" w:lineRule="auto"/>
        <w:rPr>
          <w:sz w:val="26"/>
          <w:szCs w:val="26"/>
        </w:rPr>
      </w:pPr>
      <w:r w:rsidRPr="00810764">
        <w:rPr>
          <w:rStyle w:val="FootnoteReference"/>
          <w:b w:val="0"/>
          <w:bCs/>
          <w:sz w:val="26"/>
          <w:szCs w:val="26"/>
          <w:vertAlign w:val="baseline"/>
        </w:rPr>
        <w:footnoteRef/>
      </w:r>
      <w:r w:rsidRPr="00810764">
        <w:rPr>
          <w:b/>
          <w:bCs/>
          <w:sz w:val="26"/>
          <w:szCs w:val="26"/>
        </w:rPr>
        <w:t xml:space="preserve"> </w:t>
      </w:r>
      <w:r w:rsidRPr="00BF12C9">
        <w:rPr>
          <w:sz w:val="26"/>
          <w:szCs w:val="26"/>
        </w:rPr>
        <w:tab/>
        <w:t>Senate Bill No. 1402 amended the California Labor Code to, among other things, require the Division of Labor Standards Enforcement to publicly post the identities of drayage companies with unsatis</w:t>
      </w:r>
      <w:r w:rsidRPr="00BF12C9">
        <w:rPr>
          <w:sz w:val="26"/>
          <w:szCs w:val="26"/>
        </w:rPr>
        <w:t>fied misclassification judgments against them.</w:t>
      </w:r>
      <w:r w:rsidRPr="00BF12C9">
        <w:rPr>
          <w:rFonts w:eastAsia="Times New Roman"/>
          <w:kern w:val="2"/>
          <w:sz w:val="26"/>
          <w:szCs w:val="26"/>
        </w:rPr>
        <w:t xml:space="preserve"> </w:t>
      </w:r>
      <w:r w:rsidRPr="00BF12C9">
        <w:rPr>
          <w:sz w:val="26"/>
          <w:szCs w:val="26"/>
        </w:rPr>
        <w:t>(Senate Bill No. 1402 (2017-2018 Reg. Sess.) § 2.)</w:t>
      </w:r>
    </w:p>
    <w:p w14:paraId="1F1FC048" w14:textId="77777777" w:rsidR="0095119D" w:rsidRPr="00BF12C9" w:rsidRDefault="00B24AFB" w:rsidP="0095119D">
      <w:pPr>
        <w:pStyle w:val="FootnoteText"/>
        <w:spacing w:line="240" w:lineRule="auto"/>
        <w:rPr>
          <w:sz w:val="26"/>
          <w:szCs w:val="26"/>
        </w:rPr>
      </w:pPr>
    </w:p>
  </w:footnote>
  <w:footnote w:id="4">
    <w:p w14:paraId="20204175" w14:textId="77777777" w:rsidR="00DC01A3" w:rsidRPr="00BF12C9" w:rsidRDefault="00B24AFB" w:rsidP="002316C2">
      <w:pPr>
        <w:pStyle w:val="FootnoteText"/>
        <w:spacing w:line="240" w:lineRule="auto"/>
        <w:rPr>
          <w:sz w:val="26"/>
          <w:szCs w:val="26"/>
        </w:rPr>
      </w:pPr>
      <w:r w:rsidRPr="00810764">
        <w:rPr>
          <w:rStyle w:val="FootnoteReference"/>
          <w:b w:val="0"/>
          <w:bCs/>
          <w:sz w:val="26"/>
          <w:szCs w:val="26"/>
          <w:vertAlign w:val="baseline"/>
        </w:rPr>
        <w:footnoteRef/>
      </w:r>
      <w:r w:rsidRPr="00810764">
        <w:rPr>
          <w:b/>
          <w:bCs/>
          <w:sz w:val="26"/>
          <w:szCs w:val="26"/>
        </w:rPr>
        <w:t xml:space="preserve"> </w:t>
      </w:r>
      <w:r w:rsidRPr="00BF12C9">
        <w:rPr>
          <w:sz w:val="26"/>
          <w:szCs w:val="26"/>
        </w:rPr>
        <w:tab/>
        <w:t xml:space="preserve">The three related cases are: </w:t>
      </w:r>
      <w:r w:rsidRPr="00BF12C9">
        <w:rPr>
          <w:i/>
          <w:iCs/>
          <w:sz w:val="26"/>
          <w:szCs w:val="26"/>
        </w:rPr>
        <w:t>People v. Cal Cartage Transportation Express LLC, et al</w:t>
      </w:r>
      <w:r w:rsidRPr="00BF12C9">
        <w:rPr>
          <w:sz w:val="26"/>
          <w:szCs w:val="26"/>
        </w:rPr>
        <w:t xml:space="preserve">. (Case No. BC689320); </w:t>
      </w:r>
      <w:r w:rsidRPr="00BF12C9">
        <w:rPr>
          <w:i/>
          <w:iCs/>
          <w:sz w:val="26"/>
          <w:szCs w:val="26"/>
        </w:rPr>
        <w:t>People v. CMI Transportation LLC, et al</w:t>
      </w:r>
      <w:r w:rsidRPr="00BF12C9">
        <w:rPr>
          <w:sz w:val="26"/>
          <w:szCs w:val="26"/>
        </w:rPr>
        <w:t xml:space="preserve">. (Case No. BC689321); and </w:t>
      </w:r>
      <w:r w:rsidRPr="00BF12C9">
        <w:rPr>
          <w:i/>
          <w:iCs/>
          <w:sz w:val="26"/>
          <w:szCs w:val="26"/>
        </w:rPr>
        <w:t>People v. K&amp;R Transportation California LLC, et al</w:t>
      </w:r>
      <w:r w:rsidRPr="00BF12C9">
        <w:rPr>
          <w:sz w:val="26"/>
          <w:szCs w:val="26"/>
        </w:rPr>
        <w:t>. (Case No. BC689322).</w:t>
      </w:r>
    </w:p>
  </w:footnote>
  <w:footnote w:id="5">
    <w:p w14:paraId="107BDAEE" w14:textId="77777777" w:rsidR="00D86A80" w:rsidRPr="00BF12C9" w:rsidRDefault="00B24AFB" w:rsidP="00FA39C4">
      <w:pPr>
        <w:pStyle w:val="FootnoteText"/>
        <w:spacing w:line="240" w:lineRule="auto"/>
        <w:rPr>
          <w:sz w:val="26"/>
          <w:szCs w:val="26"/>
        </w:rPr>
      </w:pPr>
      <w:r w:rsidRPr="00810764">
        <w:rPr>
          <w:rStyle w:val="FootnoteReference"/>
          <w:b w:val="0"/>
          <w:bCs/>
          <w:sz w:val="26"/>
          <w:szCs w:val="26"/>
          <w:vertAlign w:val="baseline"/>
        </w:rPr>
        <w:footnoteRef/>
      </w:r>
      <w:r w:rsidRPr="00810764">
        <w:rPr>
          <w:b/>
          <w:bCs/>
          <w:sz w:val="26"/>
          <w:szCs w:val="26"/>
        </w:rPr>
        <w:t xml:space="preserve"> </w:t>
      </w:r>
      <w:r w:rsidRPr="00BF12C9">
        <w:rPr>
          <w:sz w:val="26"/>
          <w:szCs w:val="26"/>
        </w:rPr>
        <w:tab/>
      </w:r>
      <w:r w:rsidRPr="00BF12C9">
        <w:rPr>
          <w:sz w:val="26"/>
          <w:szCs w:val="26"/>
        </w:rPr>
        <w:t xml:space="preserve">The </w:t>
      </w:r>
      <w:r w:rsidRPr="00BF12C9">
        <w:rPr>
          <w:i/>
          <w:iCs/>
          <w:sz w:val="26"/>
          <w:szCs w:val="26"/>
        </w:rPr>
        <w:t>Borello</w:t>
      </w:r>
      <w:r w:rsidRPr="00BF12C9">
        <w:rPr>
          <w:sz w:val="26"/>
          <w:szCs w:val="26"/>
        </w:rPr>
        <w:t xml:space="preserve"> standard </w:t>
      </w:r>
      <w:r w:rsidRPr="00BF12C9">
        <w:rPr>
          <w:sz w:val="26"/>
          <w:szCs w:val="26"/>
        </w:rPr>
        <w:t>is a multi-factor test, not to be “</w:t>
      </w:r>
      <w:r w:rsidRPr="00BF12C9">
        <w:rPr>
          <w:sz w:val="26"/>
          <w:szCs w:val="26"/>
        </w:rPr>
        <w:t>.</w:t>
      </w:r>
      <w:r>
        <w:rPr>
          <w:sz w:val="26"/>
          <w:szCs w:val="26"/>
        </w:rPr>
        <w:t> </w:t>
      </w:r>
      <w:r w:rsidRPr="00BF12C9">
        <w:rPr>
          <w:sz w:val="26"/>
          <w:szCs w:val="26"/>
        </w:rPr>
        <w:t>.</w:t>
      </w:r>
      <w:r>
        <w:rPr>
          <w:sz w:val="26"/>
          <w:szCs w:val="26"/>
        </w:rPr>
        <w:t> </w:t>
      </w:r>
      <w:r w:rsidRPr="00BF12C9">
        <w:rPr>
          <w:sz w:val="26"/>
          <w:szCs w:val="26"/>
        </w:rPr>
        <w:t>.</w:t>
      </w:r>
      <w:r>
        <w:rPr>
          <w:sz w:val="26"/>
          <w:szCs w:val="26"/>
        </w:rPr>
        <w:t> </w:t>
      </w:r>
      <w:r w:rsidRPr="00BF12C9">
        <w:rPr>
          <w:sz w:val="26"/>
          <w:szCs w:val="26"/>
        </w:rPr>
        <w:t>‘</w:t>
      </w:r>
      <w:r w:rsidRPr="00BF12C9">
        <w:rPr>
          <w:sz w:val="26"/>
          <w:szCs w:val="26"/>
        </w:rPr>
        <w:t>applied mechanically as separate tests</w:t>
      </w:r>
      <w:r w:rsidRPr="00BF12C9">
        <w:rPr>
          <w:sz w:val="26"/>
          <w:szCs w:val="26"/>
        </w:rPr>
        <w:t>[</w:t>
      </w:r>
      <w:r w:rsidRPr="00BF12C9">
        <w:rPr>
          <w:sz w:val="26"/>
          <w:szCs w:val="26"/>
        </w:rPr>
        <w:t>,</w:t>
      </w:r>
      <w:r w:rsidRPr="00BF12C9">
        <w:rPr>
          <w:sz w:val="26"/>
          <w:szCs w:val="26"/>
        </w:rPr>
        <w:t>]</w:t>
      </w:r>
      <w:r w:rsidRPr="00BF12C9">
        <w:rPr>
          <w:sz w:val="26"/>
          <w:szCs w:val="26"/>
        </w:rPr>
        <w:t>’</w:t>
      </w:r>
      <w:r w:rsidRPr="00BF12C9">
        <w:rPr>
          <w:sz w:val="26"/>
          <w:szCs w:val="26"/>
        </w:rPr>
        <w:t>”</w:t>
      </w:r>
      <w:r w:rsidRPr="00BF12C9">
        <w:rPr>
          <w:sz w:val="26"/>
          <w:szCs w:val="26"/>
        </w:rPr>
        <w:t xml:space="preserve"> to determine </w:t>
      </w:r>
      <w:r w:rsidRPr="00BF12C9">
        <w:rPr>
          <w:sz w:val="26"/>
          <w:szCs w:val="26"/>
        </w:rPr>
        <w:t xml:space="preserve">whether a worker is an </w:t>
      </w:r>
      <w:r w:rsidRPr="00BF12C9">
        <w:rPr>
          <w:sz w:val="26"/>
          <w:szCs w:val="26"/>
        </w:rPr>
        <w:t>employee or an independent contractor</w:t>
      </w:r>
      <w:r w:rsidRPr="00BF12C9">
        <w:rPr>
          <w:sz w:val="26"/>
          <w:szCs w:val="26"/>
        </w:rPr>
        <w:t>. (</w:t>
      </w:r>
      <w:r w:rsidRPr="00BF12C9">
        <w:rPr>
          <w:i/>
          <w:iCs/>
          <w:sz w:val="26"/>
          <w:szCs w:val="26"/>
        </w:rPr>
        <w:t>Borello, supra</w:t>
      </w:r>
      <w:r w:rsidRPr="00BF12C9">
        <w:rPr>
          <w:sz w:val="26"/>
          <w:szCs w:val="26"/>
        </w:rPr>
        <w:t>, 48 Cal.3d at p. 351.)</w:t>
      </w:r>
    </w:p>
  </w:footnote>
  <w:footnote w:id="6">
    <w:p w14:paraId="7A8AA37D" w14:textId="77777777" w:rsidR="00063D45" w:rsidRPr="00BF12C9" w:rsidRDefault="00B24AFB" w:rsidP="00F30127">
      <w:pPr>
        <w:spacing w:line="240" w:lineRule="auto"/>
      </w:pPr>
      <w:r w:rsidRPr="00810764">
        <w:rPr>
          <w:rStyle w:val="FootnoteReference"/>
          <w:b w:val="0"/>
          <w:bCs/>
          <w:sz w:val="26"/>
          <w:szCs w:val="26"/>
          <w:vertAlign w:val="baseline"/>
        </w:rPr>
        <w:footnoteRef/>
      </w:r>
      <w:r w:rsidRPr="00810764">
        <w:rPr>
          <w:b/>
          <w:bCs/>
        </w:rPr>
        <w:t xml:space="preserve"> </w:t>
      </w:r>
      <w:r w:rsidRPr="00BF12C9">
        <w:tab/>
      </w:r>
      <w:r w:rsidRPr="00BF12C9">
        <w:t>On September 16, 2020, we requested supplemental briefing from the parties to address the significance, if any, of the revisions to the statutes put in place by AB 2257. We re</w:t>
      </w:r>
      <w:r w:rsidRPr="00BF12C9">
        <w:t xml:space="preserve">viewed the supplemental briefs, and, in this opinion, address whether the relevant statutes, as modified by AB 2257, are preempted by the FAAAA. </w:t>
      </w:r>
    </w:p>
  </w:footnote>
  <w:footnote w:id="7">
    <w:p w14:paraId="33AEFA1B" w14:textId="77777777" w:rsidR="002A2913" w:rsidRPr="00BF12C9" w:rsidRDefault="00B24AFB" w:rsidP="002E4E49">
      <w:pPr>
        <w:pStyle w:val="FootnoteText"/>
        <w:spacing w:line="240" w:lineRule="auto"/>
        <w:rPr>
          <w:sz w:val="26"/>
          <w:szCs w:val="26"/>
        </w:rPr>
      </w:pPr>
      <w:r w:rsidRPr="00810764">
        <w:rPr>
          <w:rStyle w:val="FootnoteReference"/>
          <w:b w:val="0"/>
          <w:bCs/>
          <w:sz w:val="26"/>
          <w:szCs w:val="26"/>
          <w:vertAlign w:val="baseline"/>
        </w:rPr>
        <w:footnoteRef/>
      </w:r>
      <w:r w:rsidRPr="00810764">
        <w:rPr>
          <w:b/>
          <w:bCs/>
          <w:sz w:val="26"/>
          <w:szCs w:val="26"/>
        </w:rPr>
        <w:t xml:space="preserve"> </w:t>
      </w:r>
      <w:r w:rsidRPr="00BF12C9">
        <w:tab/>
      </w:r>
      <w:r w:rsidRPr="00BF12C9">
        <w:rPr>
          <w:sz w:val="26"/>
          <w:szCs w:val="26"/>
        </w:rPr>
        <w:t xml:space="preserve">Although used most often to resolve questions of admissibility of evidence, use of a motion </w:t>
      </w:r>
      <w:r w:rsidRPr="00BF12C9">
        <w:rPr>
          <w:iCs/>
          <w:sz w:val="26"/>
          <w:szCs w:val="26"/>
        </w:rPr>
        <w:t>in limine</w:t>
      </w:r>
      <w:r w:rsidRPr="00BF12C9">
        <w:rPr>
          <w:sz w:val="26"/>
          <w:szCs w:val="26"/>
        </w:rPr>
        <w:t xml:space="preserve"> to se</w:t>
      </w:r>
      <w:r w:rsidRPr="00BF12C9">
        <w:rPr>
          <w:sz w:val="26"/>
          <w:szCs w:val="26"/>
        </w:rPr>
        <w:t>cure an early ruling on a potentially dispositive legal issue can be a useful tool in the management of complex litigation.</w:t>
      </w:r>
      <w:r w:rsidRPr="00BF12C9">
        <w:rPr>
          <w:sz w:val="26"/>
          <w:szCs w:val="26"/>
        </w:rPr>
        <w:t xml:space="preserve"> </w:t>
      </w:r>
      <w:r w:rsidRPr="00BF12C9">
        <w:rPr>
          <w:sz w:val="26"/>
          <w:szCs w:val="26"/>
        </w:rPr>
        <w:t>Trial courts have inherent powers to employ motions in limine to dispose of claims</w:t>
      </w:r>
      <w:r w:rsidRPr="00BF12C9">
        <w:rPr>
          <w:sz w:val="26"/>
          <w:szCs w:val="26"/>
        </w:rPr>
        <w:t xml:space="preserve"> in appropriate circumstances</w:t>
      </w:r>
      <w:r w:rsidRPr="00BF12C9">
        <w:rPr>
          <w:sz w:val="26"/>
          <w:szCs w:val="26"/>
        </w:rPr>
        <w:t xml:space="preserve">. </w:t>
      </w:r>
      <w:r w:rsidRPr="00BF12C9">
        <w:rPr>
          <w:sz w:val="26"/>
          <w:szCs w:val="26"/>
        </w:rPr>
        <w:t>(</w:t>
      </w:r>
      <w:r w:rsidRPr="00BF12C9">
        <w:rPr>
          <w:i/>
          <w:sz w:val="26"/>
          <w:szCs w:val="26"/>
        </w:rPr>
        <w:t xml:space="preserve">Amtower v. </w:t>
      </w:r>
      <w:r w:rsidRPr="00BF12C9">
        <w:rPr>
          <w:i/>
          <w:sz w:val="26"/>
          <w:szCs w:val="26"/>
        </w:rPr>
        <w:t>Photon Dynamics, Inc.</w:t>
      </w:r>
      <w:r w:rsidRPr="00BF12C9">
        <w:rPr>
          <w:sz w:val="26"/>
          <w:szCs w:val="26"/>
        </w:rPr>
        <w:t xml:space="preserve"> </w:t>
      </w:r>
      <w:r w:rsidRPr="00BF12C9">
        <w:rPr>
          <w:sz w:val="26"/>
          <w:szCs w:val="26"/>
        </w:rPr>
        <w:t>(2008) 158 Cal.App.</w:t>
      </w:r>
      <w:r w:rsidRPr="00BF12C9">
        <w:rPr>
          <w:sz w:val="26"/>
          <w:szCs w:val="26"/>
        </w:rPr>
        <w:t>4th</w:t>
      </w:r>
      <w:r w:rsidRPr="00BF12C9">
        <w:rPr>
          <w:sz w:val="26"/>
          <w:szCs w:val="26"/>
        </w:rPr>
        <w:t xml:space="preserve"> 1582, 1595; </w:t>
      </w:r>
      <w:r w:rsidRPr="00BF12C9">
        <w:rPr>
          <w:i/>
          <w:sz w:val="26"/>
          <w:szCs w:val="26"/>
        </w:rPr>
        <w:t>Blank</w:t>
      </w:r>
      <w:r w:rsidRPr="00BF12C9">
        <w:rPr>
          <w:i/>
          <w:sz w:val="26"/>
          <w:szCs w:val="26"/>
        </w:rPr>
        <w:t>s</w:t>
      </w:r>
      <w:r w:rsidRPr="00BF12C9">
        <w:rPr>
          <w:i/>
          <w:sz w:val="26"/>
          <w:szCs w:val="26"/>
        </w:rPr>
        <w:t xml:space="preserve"> v. Seyfarth Shaw LLP</w:t>
      </w:r>
      <w:r w:rsidRPr="00BF12C9">
        <w:rPr>
          <w:sz w:val="26"/>
          <w:szCs w:val="26"/>
        </w:rPr>
        <w:t xml:space="preserve"> (2009) 171 Cal.App.</w:t>
      </w:r>
      <w:r w:rsidRPr="00BF12C9">
        <w:rPr>
          <w:sz w:val="26"/>
          <w:szCs w:val="26"/>
        </w:rPr>
        <w:t>4th</w:t>
      </w:r>
      <w:r w:rsidRPr="00BF12C9">
        <w:rPr>
          <w:sz w:val="26"/>
          <w:szCs w:val="26"/>
        </w:rPr>
        <w:t xml:space="preserve"> 336, 375-376</w:t>
      </w:r>
      <w:r w:rsidRPr="00BF12C9">
        <w:rPr>
          <w:sz w:val="26"/>
          <w:szCs w:val="26"/>
        </w:rPr>
        <w:t>.)</w:t>
      </w:r>
      <w:r w:rsidRPr="00BF12C9">
        <w:rPr>
          <w:sz w:val="26"/>
          <w:szCs w:val="26"/>
        </w:rPr>
        <w:t xml:space="preserve"> </w:t>
      </w:r>
    </w:p>
  </w:footnote>
  <w:footnote w:id="8">
    <w:p w14:paraId="5ABDB5D9" w14:textId="77777777" w:rsidR="00D64700" w:rsidRPr="00BF12C9" w:rsidRDefault="00B24AFB" w:rsidP="00D31033">
      <w:pPr>
        <w:pStyle w:val="FootnoteText"/>
        <w:spacing w:line="240" w:lineRule="auto"/>
        <w:rPr>
          <w:sz w:val="26"/>
          <w:szCs w:val="26"/>
        </w:rPr>
      </w:pPr>
      <w:r w:rsidRPr="00810764">
        <w:rPr>
          <w:rStyle w:val="FootnoteReference"/>
          <w:b w:val="0"/>
          <w:bCs/>
          <w:sz w:val="26"/>
          <w:szCs w:val="26"/>
          <w:vertAlign w:val="baseline"/>
        </w:rPr>
        <w:footnoteRef/>
      </w:r>
      <w:r w:rsidRPr="00810764">
        <w:rPr>
          <w:sz w:val="26"/>
          <w:szCs w:val="26"/>
        </w:rPr>
        <w:t xml:space="preserve"> </w:t>
      </w:r>
      <w:r w:rsidRPr="00BF12C9">
        <w:tab/>
      </w:r>
      <w:r w:rsidRPr="00BF12C9">
        <w:rPr>
          <w:sz w:val="26"/>
          <w:szCs w:val="26"/>
        </w:rPr>
        <w:t>The trial court made only one factual finding</w:t>
      </w:r>
      <w:r w:rsidRPr="00BF12C9">
        <w:rPr>
          <w:sz w:val="26"/>
          <w:szCs w:val="26"/>
        </w:rPr>
        <w:t xml:space="preserve">, </w:t>
      </w:r>
      <w:r w:rsidRPr="00BF12C9">
        <w:rPr>
          <w:sz w:val="26"/>
          <w:szCs w:val="26"/>
        </w:rPr>
        <w:t xml:space="preserve">stating that in circumstances where defendants </w:t>
      </w:r>
      <w:r w:rsidRPr="00BF12C9">
        <w:rPr>
          <w:sz w:val="26"/>
          <w:szCs w:val="26"/>
        </w:rPr>
        <w:t>“</w:t>
      </w:r>
      <w:r w:rsidRPr="00BF12C9">
        <w:rPr>
          <w:sz w:val="26"/>
          <w:szCs w:val="26"/>
        </w:rPr>
        <w:t>contracted with licensed motor-car</w:t>
      </w:r>
      <w:r w:rsidRPr="00BF12C9">
        <w:rPr>
          <w:sz w:val="26"/>
          <w:szCs w:val="26"/>
        </w:rPr>
        <w:t xml:space="preserve">riers to transport loads, the cost of such transport was nearly triple the cost of using independent owner-operators for the same route.” But </w:t>
      </w:r>
      <w:r w:rsidRPr="00BF12C9">
        <w:rPr>
          <w:sz w:val="26"/>
          <w:szCs w:val="26"/>
        </w:rPr>
        <w:t>that finding is irrelevant to our inquiry. T</w:t>
      </w:r>
      <w:r w:rsidRPr="00BF12C9">
        <w:rPr>
          <w:sz w:val="26"/>
          <w:szCs w:val="26"/>
        </w:rPr>
        <w:t xml:space="preserve">here is no evidence in the record </w:t>
      </w:r>
      <w:r w:rsidRPr="00BF12C9">
        <w:rPr>
          <w:sz w:val="26"/>
          <w:szCs w:val="26"/>
        </w:rPr>
        <w:t>of the pricing impact</w:t>
      </w:r>
      <w:r w:rsidRPr="00BF12C9">
        <w:rPr>
          <w:sz w:val="26"/>
          <w:szCs w:val="26"/>
        </w:rPr>
        <w:t>, if any,</w:t>
      </w:r>
      <w:r w:rsidRPr="00BF12C9">
        <w:rPr>
          <w:sz w:val="26"/>
          <w:szCs w:val="26"/>
        </w:rPr>
        <w:t xml:space="preserve"> of</w:t>
      </w:r>
      <w:r w:rsidRPr="00BF12C9">
        <w:rPr>
          <w:sz w:val="26"/>
          <w:szCs w:val="26"/>
        </w:rPr>
        <w:t xml:space="preserve"> </w:t>
      </w:r>
      <w:r w:rsidRPr="00BF12C9">
        <w:rPr>
          <w:sz w:val="26"/>
          <w:szCs w:val="26"/>
        </w:rPr>
        <w:t>de</w:t>
      </w:r>
      <w:r w:rsidRPr="00BF12C9">
        <w:rPr>
          <w:sz w:val="26"/>
          <w:szCs w:val="26"/>
        </w:rPr>
        <w:t xml:space="preserve">fendants using employees rather than independent contractors, nor of </w:t>
      </w:r>
      <w:r w:rsidRPr="00BF12C9">
        <w:rPr>
          <w:sz w:val="26"/>
          <w:szCs w:val="26"/>
        </w:rPr>
        <w:t>contracting with</w:t>
      </w:r>
      <w:r w:rsidRPr="00BF12C9">
        <w:rPr>
          <w:sz w:val="26"/>
          <w:szCs w:val="26"/>
        </w:rPr>
        <w:t xml:space="preserve"> business</w:t>
      </w:r>
      <w:r w:rsidRPr="00BF12C9">
        <w:rPr>
          <w:sz w:val="26"/>
          <w:szCs w:val="26"/>
        </w:rPr>
        <w:t>es</w:t>
      </w:r>
      <w:r w:rsidRPr="00BF12C9">
        <w:rPr>
          <w:sz w:val="26"/>
          <w:szCs w:val="26"/>
        </w:rPr>
        <w:t xml:space="preserve"> other than a licensed motor carrier </w:t>
      </w:r>
      <w:r w:rsidRPr="00BF12C9">
        <w:rPr>
          <w:sz w:val="26"/>
          <w:szCs w:val="26"/>
        </w:rPr>
        <w:t>to transport loads.</w:t>
      </w:r>
    </w:p>
  </w:footnote>
  <w:footnote w:id="9">
    <w:p w14:paraId="3AF63015" w14:textId="77777777" w:rsidR="00761244" w:rsidRPr="00BF12C9" w:rsidRDefault="00B24AFB" w:rsidP="00761244">
      <w:pPr>
        <w:pStyle w:val="FootnoteText"/>
        <w:spacing w:line="240" w:lineRule="auto"/>
        <w:rPr>
          <w:sz w:val="26"/>
          <w:szCs w:val="26"/>
        </w:rPr>
      </w:pPr>
      <w:r w:rsidRPr="00BF12C9">
        <w:rPr>
          <w:rStyle w:val="FootnoteReference"/>
          <w:b w:val="0"/>
          <w:bCs/>
          <w:sz w:val="26"/>
          <w:szCs w:val="26"/>
          <w:vertAlign w:val="baseline"/>
        </w:rPr>
        <w:footnoteRef/>
      </w:r>
      <w:r w:rsidRPr="00BF12C9">
        <w:rPr>
          <w:b/>
          <w:bCs/>
          <w:sz w:val="26"/>
          <w:szCs w:val="26"/>
        </w:rPr>
        <w:t xml:space="preserve"> </w:t>
      </w:r>
      <w:r w:rsidRPr="00BF12C9">
        <w:tab/>
      </w:r>
      <w:r w:rsidRPr="00BF12C9">
        <w:rPr>
          <w:sz w:val="26"/>
          <w:szCs w:val="26"/>
        </w:rPr>
        <w:t xml:space="preserve">See also </w:t>
      </w:r>
      <w:r w:rsidRPr="00BF12C9">
        <w:rPr>
          <w:i/>
          <w:iCs/>
          <w:sz w:val="26"/>
          <w:szCs w:val="26"/>
        </w:rPr>
        <w:t xml:space="preserve">Schwann v. FedEx Ground Package Sys. </w:t>
      </w:r>
      <w:r w:rsidRPr="00BF12C9">
        <w:rPr>
          <w:sz w:val="26"/>
          <w:szCs w:val="26"/>
        </w:rPr>
        <w:t>(1st Cir.</w:t>
      </w:r>
      <w:r>
        <w:rPr>
          <w:sz w:val="26"/>
          <w:szCs w:val="26"/>
        </w:rPr>
        <w:t> </w:t>
      </w:r>
      <w:r w:rsidRPr="00BF12C9">
        <w:rPr>
          <w:sz w:val="26"/>
          <w:szCs w:val="26"/>
        </w:rPr>
        <w:t xml:space="preserve">2016) 813 F.3d 429, 437, quoting </w:t>
      </w:r>
      <w:r w:rsidRPr="00BF12C9">
        <w:rPr>
          <w:i/>
          <w:iCs/>
          <w:sz w:val="26"/>
          <w:szCs w:val="26"/>
        </w:rPr>
        <w:t>Mass. Delivery Ass’n v. Coakley</w:t>
      </w:r>
      <w:r w:rsidRPr="00BF12C9">
        <w:rPr>
          <w:sz w:val="26"/>
          <w:szCs w:val="26"/>
        </w:rPr>
        <w:t xml:space="preserve"> (1st Cir. 2014) 769 F.3d 11, 21</w:t>
      </w:r>
      <w:r w:rsidRPr="00BF12C9">
        <w:rPr>
          <w:sz w:val="26"/>
          <w:szCs w:val="26"/>
        </w:rPr>
        <w:t xml:space="preserve"> (</w:t>
      </w:r>
      <w:r w:rsidRPr="00BF12C9">
        <w:rPr>
          <w:i/>
          <w:iCs/>
          <w:sz w:val="26"/>
          <w:szCs w:val="26"/>
        </w:rPr>
        <w:t>Schwann</w:t>
      </w:r>
      <w:r w:rsidRPr="00BF12C9">
        <w:rPr>
          <w:sz w:val="26"/>
          <w:szCs w:val="26"/>
        </w:rPr>
        <w:t>)</w:t>
      </w:r>
      <w:r w:rsidRPr="00BF12C9">
        <w:rPr>
          <w:sz w:val="26"/>
          <w:szCs w:val="26"/>
        </w:rPr>
        <w:t xml:space="preserve"> (“‘[A] statute’s “potential” impact on carriers’ prices, routes, and services’ need not be proven by empirical evidence; rather, courts may ‘look[ ] </w:t>
      </w:r>
      <w:r w:rsidRPr="00BF12C9">
        <w:rPr>
          <w:sz w:val="26"/>
          <w:szCs w:val="26"/>
        </w:rPr>
        <w:t>to the logical effect that a particular scheme has on the delivery of services.’ [Citations.]”)</w:t>
      </w:r>
    </w:p>
    <w:p w14:paraId="119F5ED6" w14:textId="77777777" w:rsidR="00761244" w:rsidRPr="00BF12C9" w:rsidRDefault="00B24AFB" w:rsidP="00761244">
      <w:pPr>
        <w:pStyle w:val="FootnoteText"/>
        <w:spacing w:line="240" w:lineRule="auto"/>
        <w:rPr>
          <w:sz w:val="26"/>
          <w:szCs w:val="26"/>
        </w:rPr>
      </w:pPr>
    </w:p>
  </w:footnote>
  <w:footnote w:id="10">
    <w:p w14:paraId="2A05FCFA" w14:textId="77777777" w:rsidR="00A17EE0" w:rsidRPr="00BF12C9" w:rsidRDefault="00B24AFB" w:rsidP="0096447B">
      <w:pPr>
        <w:pStyle w:val="FootnoteText"/>
        <w:spacing w:line="240" w:lineRule="auto"/>
        <w:rPr>
          <w:sz w:val="26"/>
          <w:szCs w:val="26"/>
        </w:rPr>
      </w:pPr>
      <w:r w:rsidRPr="00BF12C9">
        <w:rPr>
          <w:rStyle w:val="FootnoteReference"/>
          <w:b w:val="0"/>
          <w:bCs/>
          <w:sz w:val="26"/>
          <w:szCs w:val="26"/>
          <w:vertAlign w:val="baseline"/>
        </w:rPr>
        <w:footnoteRef/>
      </w:r>
      <w:r w:rsidRPr="00BF12C9">
        <w:rPr>
          <w:b/>
          <w:bCs/>
          <w:sz w:val="26"/>
          <w:szCs w:val="26"/>
        </w:rPr>
        <w:t xml:space="preserve"> </w:t>
      </w:r>
      <w:r w:rsidRPr="00BF12C9">
        <w:rPr>
          <w:sz w:val="26"/>
          <w:szCs w:val="26"/>
        </w:rPr>
        <w:tab/>
        <w:t xml:space="preserve">The </w:t>
      </w:r>
      <w:r w:rsidRPr="00BF12C9">
        <w:rPr>
          <w:sz w:val="26"/>
          <w:szCs w:val="26"/>
        </w:rPr>
        <w:t xml:space="preserve">same issue is pending in the </w:t>
      </w:r>
      <w:r w:rsidRPr="00BF12C9">
        <w:rPr>
          <w:sz w:val="26"/>
          <w:szCs w:val="26"/>
        </w:rPr>
        <w:t xml:space="preserve">Ninth Circuit in </w:t>
      </w:r>
      <w:r w:rsidRPr="00BF12C9">
        <w:rPr>
          <w:i/>
          <w:iCs/>
          <w:sz w:val="26"/>
          <w:szCs w:val="26"/>
        </w:rPr>
        <w:t>C</w:t>
      </w:r>
      <w:r w:rsidRPr="00BF12C9">
        <w:rPr>
          <w:i/>
          <w:iCs/>
          <w:sz w:val="26"/>
          <w:szCs w:val="26"/>
        </w:rPr>
        <w:t>al</w:t>
      </w:r>
      <w:r w:rsidRPr="00BF12C9">
        <w:rPr>
          <w:i/>
          <w:iCs/>
          <w:sz w:val="26"/>
          <w:szCs w:val="26"/>
        </w:rPr>
        <w:t>ifornia</w:t>
      </w:r>
      <w:r w:rsidRPr="00BF12C9">
        <w:rPr>
          <w:i/>
          <w:iCs/>
          <w:sz w:val="26"/>
          <w:szCs w:val="26"/>
        </w:rPr>
        <w:t xml:space="preserve"> Trucking Ass’n</w:t>
      </w:r>
      <w:r w:rsidRPr="00BF12C9">
        <w:rPr>
          <w:i/>
          <w:iCs/>
          <w:sz w:val="26"/>
          <w:szCs w:val="26"/>
        </w:rPr>
        <w:t xml:space="preserve">, et al. </w:t>
      </w:r>
      <w:r w:rsidRPr="00BF12C9">
        <w:rPr>
          <w:i/>
          <w:iCs/>
          <w:sz w:val="26"/>
          <w:szCs w:val="26"/>
        </w:rPr>
        <w:t>v. Becerra</w:t>
      </w:r>
      <w:r w:rsidRPr="00BF12C9">
        <w:rPr>
          <w:i/>
          <w:iCs/>
          <w:sz w:val="26"/>
          <w:szCs w:val="26"/>
        </w:rPr>
        <w:t>, et al</w:t>
      </w:r>
      <w:r w:rsidRPr="00BF12C9">
        <w:rPr>
          <w:sz w:val="26"/>
          <w:szCs w:val="26"/>
        </w:rPr>
        <w:t>., case Nos.</w:t>
      </w:r>
      <w:r w:rsidRPr="00BF12C9">
        <w:rPr>
          <w:sz w:val="26"/>
          <w:szCs w:val="26"/>
        </w:rPr>
        <w:t xml:space="preserve"> </w:t>
      </w:r>
      <w:r w:rsidRPr="00BF12C9">
        <w:rPr>
          <w:sz w:val="26"/>
          <w:szCs w:val="26"/>
        </w:rPr>
        <w:t>20-</w:t>
      </w:r>
      <w:r w:rsidRPr="00BF12C9">
        <w:rPr>
          <w:sz w:val="26"/>
          <w:szCs w:val="26"/>
        </w:rPr>
        <w:t>55106</w:t>
      </w:r>
      <w:r w:rsidRPr="00BF12C9">
        <w:rPr>
          <w:sz w:val="26"/>
          <w:szCs w:val="26"/>
        </w:rPr>
        <w:t xml:space="preserve"> and 20-55107.</w:t>
      </w:r>
      <w:r w:rsidRPr="00BF12C9">
        <w:rPr>
          <w:sz w:val="26"/>
          <w:szCs w:val="26"/>
        </w:rPr>
        <w:t xml:space="preserve"> The case was argued</w:t>
      </w:r>
      <w:r w:rsidRPr="00BF12C9">
        <w:rPr>
          <w:sz w:val="26"/>
          <w:szCs w:val="26"/>
        </w:rPr>
        <w:t xml:space="preserve"> and, as of the date of this opinion,</w:t>
      </w:r>
      <w:r w:rsidRPr="00BF12C9">
        <w:rPr>
          <w:sz w:val="26"/>
          <w:szCs w:val="26"/>
        </w:rPr>
        <w:t xml:space="preserve"> is under submission.</w:t>
      </w:r>
      <w:r w:rsidRPr="00BF12C9">
        <w:rPr>
          <w:sz w:val="26"/>
          <w:szCs w:val="26"/>
        </w:rPr>
        <w:t xml:space="preserve"> The First Circuit held prong B of Massachusetts’ ABC test (which contains the same language as California’s ABC test) is preempted by the FAAAA. (</w:t>
      </w:r>
      <w:r w:rsidRPr="00BF12C9">
        <w:rPr>
          <w:i/>
          <w:iCs/>
          <w:sz w:val="26"/>
          <w:szCs w:val="26"/>
        </w:rPr>
        <w:t>Schwann</w:t>
      </w:r>
      <w:r w:rsidRPr="00BF12C9">
        <w:rPr>
          <w:sz w:val="26"/>
          <w:szCs w:val="26"/>
        </w:rPr>
        <w:t xml:space="preserve">, </w:t>
      </w:r>
      <w:r w:rsidRPr="00BF12C9">
        <w:rPr>
          <w:i/>
          <w:iCs/>
          <w:sz w:val="26"/>
          <w:szCs w:val="26"/>
        </w:rPr>
        <w:t>supra</w:t>
      </w:r>
      <w:r w:rsidRPr="00BF12C9">
        <w:rPr>
          <w:sz w:val="26"/>
          <w:szCs w:val="26"/>
        </w:rPr>
        <w:t xml:space="preserve">, 813 F.3d at p. </w:t>
      </w:r>
      <w:r w:rsidRPr="00BF12C9">
        <w:rPr>
          <w:sz w:val="26"/>
          <w:szCs w:val="26"/>
        </w:rPr>
        <w:t>4</w:t>
      </w:r>
      <w:r w:rsidRPr="00BF12C9">
        <w:rPr>
          <w:sz w:val="26"/>
          <w:szCs w:val="26"/>
        </w:rPr>
        <w:t>40</w:t>
      </w:r>
      <w:r w:rsidRPr="00BF12C9">
        <w:rPr>
          <w:sz w:val="26"/>
          <w:szCs w:val="26"/>
        </w:rPr>
        <w:t xml:space="preserve">.) </w:t>
      </w:r>
      <w:r w:rsidRPr="00BF12C9">
        <w:rPr>
          <w:sz w:val="26"/>
          <w:szCs w:val="26"/>
        </w:rPr>
        <w:t>The federal district courts are split on the issue. (See</w:t>
      </w:r>
      <w:r>
        <w:rPr>
          <w:sz w:val="26"/>
          <w:szCs w:val="26"/>
        </w:rPr>
        <w:t>,</w:t>
      </w:r>
      <w:r w:rsidRPr="00BF12C9">
        <w:rPr>
          <w:sz w:val="26"/>
          <w:szCs w:val="26"/>
        </w:rPr>
        <w:t xml:space="preserve"> e.g.</w:t>
      </w:r>
      <w:r>
        <w:rPr>
          <w:sz w:val="26"/>
          <w:szCs w:val="26"/>
        </w:rPr>
        <w:t>,</w:t>
      </w:r>
      <w:r w:rsidRPr="00BF12C9">
        <w:rPr>
          <w:sz w:val="26"/>
          <w:szCs w:val="26"/>
        </w:rPr>
        <w:t xml:space="preserve"> </w:t>
      </w:r>
      <w:r w:rsidRPr="00BF12C9">
        <w:rPr>
          <w:i/>
          <w:iCs/>
          <w:sz w:val="26"/>
          <w:szCs w:val="26"/>
        </w:rPr>
        <w:t>Henry v. Cent. Freight Lines, Inc.</w:t>
      </w:r>
      <w:r w:rsidRPr="00BF12C9">
        <w:rPr>
          <w:sz w:val="26"/>
          <w:szCs w:val="26"/>
        </w:rPr>
        <w:t xml:space="preserve"> (E.D. Cal. June 13, 2019) 2019 U.S. Dist. LEXIS 99594, at </w:t>
      </w:r>
      <w:r w:rsidRPr="00BF12C9">
        <w:rPr>
          <w:sz w:val="26"/>
          <w:szCs w:val="26"/>
        </w:rPr>
        <w:t>p.</w:t>
      </w:r>
      <w:r>
        <w:rPr>
          <w:sz w:val="26"/>
          <w:szCs w:val="26"/>
        </w:rPr>
        <w:t xml:space="preserve"> </w:t>
      </w:r>
      <w:r w:rsidRPr="00BF12C9">
        <w:rPr>
          <w:sz w:val="26"/>
          <w:szCs w:val="26"/>
        </w:rPr>
        <w:t>19 [holding the FAAAA does not preempt application of the ABC test because the “ABC test i</w:t>
      </w:r>
      <w:r w:rsidRPr="00BF12C9">
        <w:rPr>
          <w:sz w:val="26"/>
          <w:szCs w:val="26"/>
        </w:rPr>
        <w:t xml:space="preserve">s a general classification test that does not apply to motor carriers specifically and does not, by its terms, compel a carrier to use an employee or an independent contractor”]; </w:t>
      </w:r>
      <w:r w:rsidRPr="00BF12C9">
        <w:rPr>
          <w:i/>
          <w:iCs/>
          <w:sz w:val="26"/>
          <w:szCs w:val="26"/>
        </w:rPr>
        <w:t>Western States Trucking Ass’n v. Schoorl</w:t>
      </w:r>
      <w:r w:rsidRPr="00BF12C9">
        <w:rPr>
          <w:sz w:val="26"/>
          <w:szCs w:val="26"/>
        </w:rPr>
        <w:t xml:space="preserve"> (E.D. Cal.  2019) 377</w:t>
      </w:r>
      <w:r>
        <w:rPr>
          <w:sz w:val="26"/>
          <w:szCs w:val="26"/>
        </w:rPr>
        <w:t> </w:t>
      </w:r>
      <w:r w:rsidRPr="00BF12C9">
        <w:rPr>
          <w:sz w:val="26"/>
          <w:szCs w:val="26"/>
        </w:rPr>
        <w:t>F.Supp.3d 1056</w:t>
      </w:r>
      <w:r w:rsidRPr="00BF12C9">
        <w:rPr>
          <w:sz w:val="26"/>
          <w:szCs w:val="26"/>
        </w:rPr>
        <w:t>, 1072</w:t>
      </w:r>
      <w:r w:rsidRPr="00BF12C9">
        <w:rPr>
          <w:sz w:val="26"/>
          <w:szCs w:val="26"/>
        </w:rPr>
        <w:t>-1073</w:t>
      </w:r>
      <w:r w:rsidRPr="00BF12C9">
        <w:rPr>
          <w:sz w:val="26"/>
          <w:szCs w:val="26"/>
        </w:rPr>
        <w:t xml:space="preserve"> [same]; </w:t>
      </w:r>
      <w:r w:rsidRPr="00BF12C9">
        <w:rPr>
          <w:i/>
          <w:iCs/>
          <w:sz w:val="26"/>
          <w:szCs w:val="26"/>
        </w:rPr>
        <w:t>Alvarez v. XPO Logistics Cartage LLC</w:t>
      </w:r>
      <w:r w:rsidRPr="00BF12C9">
        <w:rPr>
          <w:sz w:val="26"/>
          <w:szCs w:val="26"/>
        </w:rPr>
        <w:t xml:space="preserve"> (C.D. Cal. Nov. 15, 2018) 2018 U.S. Dist. LEXIS 208110, at </w:t>
      </w:r>
      <w:r w:rsidRPr="00BF12C9">
        <w:rPr>
          <w:sz w:val="26"/>
          <w:szCs w:val="26"/>
        </w:rPr>
        <w:t>p.</w:t>
      </w:r>
      <w:r>
        <w:rPr>
          <w:sz w:val="26"/>
          <w:szCs w:val="26"/>
        </w:rPr>
        <w:t xml:space="preserve"> </w:t>
      </w:r>
      <w:r w:rsidRPr="00BF12C9">
        <w:rPr>
          <w:sz w:val="26"/>
          <w:szCs w:val="26"/>
        </w:rPr>
        <w:t xml:space="preserve">15 [finding the FAAAA preempts the ABC test]; </w:t>
      </w:r>
      <w:r w:rsidRPr="00BF12C9">
        <w:rPr>
          <w:i/>
          <w:iCs/>
          <w:sz w:val="26"/>
          <w:szCs w:val="26"/>
        </w:rPr>
        <w:t>Valdez v. CSX Intermodal Terminals, Inc</w:t>
      </w:r>
      <w:r w:rsidRPr="00BF12C9">
        <w:rPr>
          <w:sz w:val="26"/>
          <w:szCs w:val="26"/>
        </w:rPr>
        <w:t xml:space="preserve">. (N.D. Cal. Mar. 15, 2019) 2019 U.S. Dist. LEXIS 77258, at </w:t>
      </w:r>
      <w:r w:rsidRPr="00BF12C9">
        <w:rPr>
          <w:sz w:val="26"/>
          <w:szCs w:val="26"/>
        </w:rPr>
        <w:t>p</w:t>
      </w:r>
      <w:r>
        <w:rPr>
          <w:sz w:val="26"/>
          <w:szCs w:val="26"/>
        </w:rPr>
        <w:t>p</w:t>
      </w:r>
      <w:r w:rsidRPr="00BF12C9">
        <w:rPr>
          <w:sz w:val="26"/>
          <w:szCs w:val="26"/>
        </w:rPr>
        <w:t xml:space="preserve">. </w:t>
      </w:r>
      <w:r w:rsidRPr="00BF12C9">
        <w:rPr>
          <w:sz w:val="26"/>
          <w:szCs w:val="26"/>
        </w:rPr>
        <w:t>24</w:t>
      </w:r>
      <w:r w:rsidRPr="00BF12C9">
        <w:rPr>
          <w:sz w:val="26"/>
          <w:szCs w:val="26"/>
        </w:rPr>
        <w:t>-28</w:t>
      </w:r>
      <w:r w:rsidRPr="00BF12C9">
        <w:rPr>
          <w:sz w:val="26"/>
          <w:szCs w:val="26"/>
        </w:rPr>
        <w:t xml:space="preserve"> [finding the FAAAA preempts part B of the ABC test].)</w:t>
      </w:r>
    </w:p>
  </w:footnote>
  <w:footnote w:id="11">
    <w:p w14:paraId="42C6D65E" w14:textId="77777777" w:rsidR="000869A4" w:rsidRPr="00BF12C9" w:rsidRDefault="00B24AFB" w:rsidP="00573C84">
      <w:pPr>
        <w:pStyle w:val="FootnoteText"/>
        <w:spacing w:line="240" w:lineRule="auto"/>
        <w:rPr>
          <w:sz w:val="26"/>
          <w:szCs w:val="26"/>
        </w:rPr>
      </w:pPr>
      <w:r w:rsidRPr="00BF12C9">
        <w:rPr>
          <w:rStyle w:val="FootnoteReference"/>
          <w:b w:val="0"/>
          <w:bCs/>
          <w:sz w:val="26"/>
          <w:szCs w:val="26"/>
          <w:vertAlign w:val="baseline"/>
        </w:rPr>
        <w:footnoteRef/>
      </w:r>
      <w:r w:rsidRPr="00BF12C9">
        <w:rPr>
          <w:sz w:val="26"/>
          <w:szCs w:val="26"/>
        </w:rPr>
        <w:t xml:space="preserve"> </w:t>
      </w:r>
      <w:r w:rsidRPr="00BF12C9">
        <w:tab/>
      </w:r>
      <w:r w:rsidRPr="00BF12C9">
        <w:rPr>
          <w:sz w:val="26"/>
          <w:szCs w:val="26"/>
        </w:rPr>
        <w:t xml:space="preserve">The </w:t>
      </w:r>
      <w:r w:rsidRPr="00BF12C9">
        <w:rPr>
          <w:sz w:val="26"/>
          <w:szCs w:val="26"/>
        </w:rPr>
        <w:t xml:space="preserve">People’s </w:t>
      </w:r>
      <w:r w:rsidRPr="00BF12C9">
        <w:rPr>
          <w:sz w:val="26"/>
          <w:szCs w:val="26"/>
        </w:rPr>
        <w:t xml:space="preserve">UCL claim </w:t>
      </w:r>
      <w:r w:rsidRPr="00BF12C9">
        <w:rPr>
          <w:sz w:val="26"/>
          <w:szCs w:val="26"/>
        </w:rPr>
        <w:t xml:space="preserve">here is essentially identical to that </w:t>
      </w:r>
      <w:r w:rsidRPr="00BF12C9">
        <w:rPr>
          <w:sz w:val="26"/>
          <w:szCs w:val="26"/>
        </w:rPr>
        <w:t xml:space="preserve">in </w:t>
      </w:r>
      <w:r w:rsidRPr="00BF12C9">
        <w:rPr>
          <w:i/>
          <w:iCs/>
          <w:sz w:val="26"/>
          <w:szCs w:val="26"/>
        </w:rPr>
        <w:t>Pac Anchor</w:t>
      </w:r>
      <w:r w:rsidRPr="00BF12C9">
        <w:rPr>
          <w:i/>
          <w:iCs/>
          <w:sz w:val="26"/>
          <w:szCs w:val="26"/>
        </w:rPr>
        <w:t>.</w:t>
      </w:r>
      <w:r w:rsidRPr="00BF12C9">
        <w:rPr>
          <w:sz w:val="26"/>
          <w:szCs w:val="26"/>
        </w:rPr>
        <w:t xml:space="preserve"> </w:t>
      </w:r>
      <w:r w:rsidRPr="00BF12C9">
        <w:rPr>
          <w:sz w:val="26"/>
          <w:szCs w:val="26"/>
        </w:rPr>
        <w:t xml:space="preserve"> Both are</w:t>
      </w:r>
      <w:r w:rsidRPr="00BF12C9">
        <w:rPr>
          <w:sz w:val="26"/>
          <w:szCs w:val="26"/>
        </w:rPr>
        <w:t xml:space="preserve"> premised on </w:t>
      </w:r>
      <w:r w:rsidRPr="00BF12C9">
        <w:rPr>
          <w:sz w:val="26"/>
          <w:szCs w:val="26"/>
        </w:rPr>
        <w:t xml:space="preserve">an alleged </w:t>
      </w:r>
      <w:r w:rsidRPr="00BF12C9">
        <w:rPr>
          <w:sz w:val="26"/>
          <w:szCs w:val="26"/>
        </w:rPr>
        <w:t>misclassification</w:t>
      </w:r>
      <w:r w:rsidRPr="00BF12C9">
        <w:rPr>
          <w:sz w:val="26"/>
          <w:szCs w:val="26"/>
        </w:rPr>
        <w:t xml:space="preserve"> of</w:t>
      </w:r>
      <w:r w:rsidRPr="00BF12C9">
        <w:rPr>
          <w:sz w:val="26"/>
          <w:szCs w:val="26"/>
        </w:rPr>
        <w:t xml:space="preserve"> truck drivers as independent contractors rather than employees</w:t>
      </w:r>
      <w:r w:rsidRPr="00BF12C9">
        <w:rPr>
          <w:sz w:val="26"/>
          <w:szCs w:val="26"/>
        </w:rPr>
        <w:t>.</w:t>
      </w:r>
      <w:r w:rsidRPr="00BF12C9">
        <w:rPr>
          <w:sz w:val="26"/>
          <w:szCs w:val="26"/>
        </w:rPr>
        <w:t xml:space="preserve"> (See </w:t>
      </w:r>
      <w:r w:rsidRPr="00BF12C9">
        <w:rPr>
          <w:i/>
          <w:iCs/>
          <w:sz w:val="26"/>
          <w:szCs w:val="26"/>
        </w:rPr>
        <w:t>Pac Anchor, supra</w:t>
      </w:r>
      <w:r w:rsidRPr="00BF12C9">
        <w:rPr>
          <w:sz w:val="26"/>
          <w:szCs w:val="26"/>
        </w:rPr>
        <w:t xml:space="preserve">, 59 Cal.4th </w:t>
      </w:r>
      <w:r w:rsidRPr="00BF12C9">
        <w:rPr>
          <w:sz w:val="26"/>
          <w:szCs w:val="26"/>
        </w:rPr>
        <w:t>at p.</w:t>
      </w:r>
      <w:r w:rsidRPr="00BF12C9">
        <w:rPr>
          <w:sz w:val="26"/>
          <w:szCs w:val="26"/>
        </w:rPr>
        <w:t xml:space="preserve"> 776.) </w:t>
      </w:r>
      <w:r w:rsidRPr="00BF12C9">
        <w:rPr>
          <w:sz w:val="26"/>
          <w:szCs w:val="26"/>
        </w:rPr>
        <w:t>At the second hearing in the trial court, t</w:t>
      </w:r>
      <w:r w:rsidRPr="00BF12C9">
        <w:rPr>
          <w:sz w:val="26"/>
          <w:szCs w:val="26"/>
        </w:rPr>
        <w:t xml:space="preserve">he People’s counsel noted he used the complaint in </w:t>
      </w:r>
      <w:r w:rsidRPr="00BF12C9">
        <w:rPr>
          <w:i/>
          <w:iCs/>
          <w:sz w:val="26"/>
          <w:szCs w:val="26"/>
        </w:rPr>
        <w:t>Pac Anchor</w:t>
      </w:r>
      <w:r w:rsidRPr="00BF12C9">
        <w:rPr>
          <w:sz w:val="26"/>
          <w:szCs w:val="26"/>
        </w:rPr>
        <w:t xml:space="preserve"> “as a model</w:t>
      </w:r>
      <w:r w:rsidRPr="00BF12C9">
        <w:rPr>
          <w:sz w:val="26"/>
          <w:szCs w:val="26"/>
        </w:rPr>
        <w:t>”</w:t>
      </w:r>
      <w:r w:rsidRPr="00BF12C9">
        <w:rPr>
          <w:sz w:val="26"/>
          <w:szCs w:val="26"/>
        </w:rPr>
        <w:t xml:space="preserve"> when draft</w:t>
      </w:r>
      <w:r w:rsidRPr="00BF12C9">
        <w:rPr>
          <w:sz w:val="26"/>
          <w:szCs w:val="26"/>
        </w:rPr>
        <w:t xml:space="preserve">ing one of the </w:t>
      </w:r>
      <w:r w:rsidRPr="00BF12C9">
        <w:rPr>
          <w:sz w:val="26"/>
          <w:szCs w:val="26"/>
        </w:rPr>
        <w:t>complaint</w:t>
      </w:r>
      <w:r w:rsidRPr="00BF12C9">
        <w:rPr>
          <w:sz w:val="26"/>
          <w:szCs w:val="26"/>
        </w:rPr>
        <w:t>s in this action</w:t>
      </w:r>
      <w:r w:rsidRPr="00BF12C9">
        <w:rPr>
          <w:sz w:val="26"/>
          <w:szCs w:val="26"/>
        </w:rPr>
        <w:t xml:space="preserve">. </w:t>
      </w:r>
    </w:p>
  </w:footnote>
  <w:footnote w:id="12">
    <w:p w14:paraId="611A9BEE" w14:textId="77777777" w:rsidR="00182F13" w:rsidRPr="00BF12C9" w:rsidRDefault="00B24AFB" w:rsidP="00182F13">
      <w:pPr>
        <w:pStyle w:val="FootnoteText"/>
        <w:spacing w:line="240" w:lineRule="auto"/>
        <w:rPr>
          <w:sz w:val="26"/>
          <w:szCs w:val="26"/>
        </w:rPr>
      </w:pPr>
      <w:r w:rsidRPr="00BF12C9">
        <w:rPr>
          <w:rStyle w:val="FootnoteReference"/>
          <w:b w:val="0"/>
          <w:bCs/>
          <w:sz w:val="26"/>
          <w:szCs w:val="26"/>
          <w:vertAlign w:val="baseline"/>
        </w:rPr>
        <w:footnoteRef/>
      </w:r>
      <w:r w:rsidRPr="00BF12C9">
        <w:rPr>
          <w:b/>
          <w:bCs/>
          <w:sz w:val="26"/>
          <w:szCs w:val="26"/>
        </w:rPr>
        <w:t xml:space="preserve"> </w:t>
      </w:r>
      <w:r w:rsidRPr="00BF12C9">
        <w:rPr>
          <w:sz w:val="26"/>
          <w:szCs w:val="26"/>
        </w:rPr>
        <w:tab/>
        <w:t>We reject defendants’ contention that the ABC test, as codified in AB 2257, is not a law of general application because the l</w:t>
      </w:r>
      <w:r w:rsidRPr="00BF12C9">
        <w:rPr>
          <w:sz w:val="26"/>
          <w:szCs w:val="26"/>
        </w:rPr>
        <w:t xml:space="preserve">aw includes exemptions for several occupations and industries. </w:t>
      </w:r>
      <w:r w:rsidRPr="00BF12C9">
        <w:rPr>
          <w:sz w:val="26"/>
          <w:szCs w:val="26"/>
        </w:rPr>
        <w:t>(</w:t>
      </w:r>
      <w:r w:rsidRPr="00BF12C9">
        <w:rPr>
          <w:sz w:val="26"/>
          <w:szCs w:val="26"/>
        </w:rPr>
        <w:t>See</w:t>
      </w:r>
      <w:r>
        <w:rPr>
          <w:sz w:val="26"/>
          <w:szCs w:val="26"/>
        </w:rPr>
        <w:t>,</w:t>
      </w:r>
      <w:r w:rsidRPr="00BF12C9">
        <w:rPr>
          <w:sz w:val="26"/>
          <w:szCs w:val="26"/>
        </w:rPr>
        <w:t xml:space="preserve"> </w:t>
      </w:r>
      <w:r w:rsidRPr="00BF12C9">
        <w:rPr>
          <w:sz w:val="26"/>
          <w:szCs w:val="26"/>
        </w:rPr>
        <w:t>e.g.</w:t>
      </w:r>
      <w:r>
        <w:rPr>
          <w:sz w:val="26"/>
          <w:szCs w:val="26"/>
        </w:rPr>
        <w:t>,</w:t>
      </w:r>
      <w:r w:rsidRPr="00BF12C9">
        <w:rPr>
          <w:sz w:val="26"/>
          <w:szCs w:val="26"/>
        </w:rPr>
        <w:t xml:space="preserve"> </w:t>
      </w:r>
      <w:r w:rsidRPr="00BF12C9">
        <w:rPr>
          <w:i/>
          <w:iCs/>
          <w:sz w:val="26"/>
          <w:szCs w:val="26"/>
        </w:rPr>
        <w:t>Godfrey</w:t>
      </w:r>
      <w:r w:rsidRPr="00BF12C9">
        <w:rPr>
          <w:i/>
          <w:iCs/>
          <w:sz w:val="26"/>
          <w:szCs w:val="26"/>
        </w:rPr>
        <w:t xml:space="preserve"> v. Oakland Port Serv</w:t>
      </w:r>
      <w:r w:rsidRPr="00BF12C9">
        <w:rPr>
          <w:i/>
          <w:iCs/>
          <w:sz w:val="26"/>
          <w:szCs w:val="26"/>
        </w:rPr>
        <w:t>ice</w:t>
      </w:r>
      <w:r w:rsidRPr="00BF12C9">
        <w:rPr>
          <w:i/>
          <w:iCs/>
          <w:sz w:val="26"/>
          <w:szCs w:val="26"/>
        </w:rPr>
        <w:t>s Corp</w:t>
      </w:r>
      <w:r w:rsidRPr="00BF12C9">
        <w:rPr>
          <w:sz w:val="26"/>
          <w:szCs w:val="26"/>
        </w:rPr>
        <w:t>. (2014) 230 Cal.App.4th 1267, 128</w:t>
      </w:r>
      <w:r w:rsidRPr="00BF12C9">
        <w:rPr>
          <w:sz w:val="26"/>
          <w:szCs w:val="26"/>
        </w:rPr>
        <w:t>0</w:t>
      </w:r>
      <w:r w:rsidRPr="00BF12C9">
        <w:rPr>
          <w:sz w:val="26"/>
          <w:szCs w:val="26"/>
        </w:rPr>
        <w:t xml:space="preserve"> [finding California’s meal and rest break laws to be generally applicable – and not preempted by the FAAAA – despite those laws’ legislative exemptions].) </w:t>
      </w:r>
      <w:r w:rsidRPr="00BF12C9">
        <w:rPr>
          <w:sz w:val="26"/>
          <w:szCs w:val="26"/>
        </w:rPr>
        <w:t xml:space="preserve">But we recognize, </w:t>
      </w:r>
      <w:r w:rsidRPr="00BF12C9">
        <w:rPr>
          <w:sz w:val="26"/>
          <w:szCs w:val="26"/>
        </w:rPr>
        <w:t xml:space="preserve">as </w:t>
      </w:r>
      <w:r w:rsidRPr="00BF12C9">
        <w:rPr>
          <w:sz w:val="26"/>
          <w:szCs w:val="26"/>
        </w:rPr>
        <w:t>did our Supreme Court in</w:t>
      </w:r>
      <w:r w:rsidRPr="00BF12C9">
        <w:rPr>
          <w:sz w:val="26"/>
          <w:szCs w:val="26"/>
        </w:rPr>
        <w:t xml:space="preserve"> </w:t>
      </w:r>
      <w:r w:rsidRPr="00BF12C9">
        <w:rPr>
          <w:i/>
          <w:sz w:val="26"/>
          <w:szCs w:val="26"/>
        </w:rPr>
        <w:t>Pac Anchor</w:t>
      </w:r>
      <w:r w:rsidRPr="00BF12C9">
        <w:rPr>
          <w:sz w:val="26"/>
          <w:szCs w:val="26"/>
        </w:rPr>
        <w:t>, that even law</w:t>
      </w:r>
      <w:r w:rsidRPr="00BF12C9">
        <w:rPr>
          <w:sz w:val="26"/>
          <w:szCs w:val="26"/>
        </w:rPr>
        <w:t>s</w:t>
      </w:r>
      <w:r w:rsidRPr="00BF12C9">
        <w:rPr>
          <w:sz w:val="26"/>
          <w:szCs w:val="26"/>
        </w:rPr>
        <w:t xml:space="preserve"> of general applicability ca</w:t>
      </w:r>
      <w:r w:rsidRPr="00BF12C9">
        <w:rPr>
          <w:sz w:val="26"/>
          <w:szCs w:val="26"/>
        </w:rPr>
        <w:t>n be preempted if they have a direct effect on carriers’ prices, routes, or services. (</w:t>
      </w:r>
      <w:r w:rsidRPr="00BF12C9">
        <w:rPr>
          <w:i/>
          <w:sz w:val="26"/>
          <w:szCs w:val="26"/>
        </w:rPr>
        <w:t xml:space="preserve">Pac Anchor, supra, </w:t>
      </w:r>
      <w:r w:rsidRPr="00BF12C9">
        <w:rPr>
          <w:sz w:val="26"/>
          <w:szCs w:val="26"/>
        </w:rPr>
        <w:t>59 Cal.</w:t>
      </w:r>
      <w:r w:rsidRPr="00BF12C9">
        <w:rPr>
          <w:sz w:val="26"/>
          <w:szCs w:val="26"/>
        </w:rPr>
        <w:t>4th</w:t>
      </w:r>
      <w:r w:rsidRPr="00BF12C9">
        <w:rPr>
          <w:sz w:val="26"/>
          <w:szCs w:val="26"/>
        </w:rPr>
        <w:t xml:space="preserve"> at </w:t>
      </w:r>
      <w:r w:rsidRPr="00BF12C9">
        <w:rPr>
          <w:sz w:val="26"/>
          <w:szCs w:val="26"/>
        </w:rPr>
        <w:t xml:space="preserve">pp. </w:t>
      </w:r>
      <w:r w:rsidRPr="00BF12C9">
        <w:rPr>
          <w:sz w:val="26"/>
          <w:szCs w:val="26"/>
        </w:rPr>
        <w:t xml:space="preserve">784-785; </w:t>
      </w:r>
      <w:r w:rsidRPr="00BF12C9">
        <w:rPr>
          <w:i/>
          <w:sz w:val="26"/>
          <w:szCs w:val="26"/>
        </w:rPr>
        <w:t>see also</w:t>
      </w:r>
      <w:r w:rsidRPr="00BF12C9">
        <w:rPr>
          <w:sz w:val="26"/>
          <w:szCs w:val="26"/>
        </w:rPr>
        <w:t xml:space="preserve"> </w:t>
      </w:r>
      <w:r w:rsidRPr="00BF12C9">
        <w:rPr>
          <w:i/>
          <w:sz w:val="26"/>
          <w:szCs w:val="26"/>
        </w:rPr>
        <w:t>Morales</w:t>
      </w:r>
      <w:r w:rsidRPr="00BF12C9">
        <w:rPr>
          <w:i/>
          <w:sz w:val="26"/>
          <w:szCs w:val="26"/>
        </w:rPr>
        <w:t xml:space="preserve"> v. TWA </w:t>
      </w:r>
      <w:r w:rsidRPr="00BF12C9">
        <w:rPr>
          <w:sz w:val="26"/>
          <w:szCs w:val="26"/>
        </w:rPr>
        <w:t>(1992) 504 U.S. 374, 386</w:t>
      </w:r>
      <w:r w:rsidRPr="00BF12C9">
        <w:rPr>
          <w:sz w:val="26"/>
          <w:szCs w:val="26"/>
        </w:rPr>
        <w:t xml:space="preserve"> [</w:t>
      </w:r>
      <w:r w:rsidRPr="00BF12C9">
        <w:rPr>
          <w:sz w:val="26"/>
          <w:szCs w:val="26"/>
        </w:rPr>
        <w:t>112 S.Ct. 2031</w:t>
      </w:r>
      <w:r w:rsidRPr="00BF12C9">
        <w:rPr>
          <w:sz w:val="26"/>
          <w:szCs w:val="26"/>
        </w:rPr>
        <w:t xml:space="preserve">, 119 L.Ed.2d </w:t>
      </w:r>
      <w:r w:rsidRPr="00BF12C9">
        <w:rPr>
          <w:sz w:val="26"/>
          <w:szCs w:val="26"/>
        </w:rPr>
        <w:t>157]</w:t>
      </w:r>
      <w:r w:rsidRPr="00BF12C9">
        <w:rPr>
          <w:sz w:val="26"/>
          <w:szCs w:val="26"/>
        </w:rPr>
        <w:t>.</w:t>
      </w:r>
      <w:r w:rsidRPr="00BF12C9">
        <w:rPr>
          <w:sz w:val="26"/>
          <w:szCs w:val="26"/>
        </w:rPr>
        <w:t>)</w:t>
      </w:r>
    </w:p>
  </w:footnote>
  <w:footnote w:id="13">
    <w:p w14:paraId="54DCD3C0" w14:textId="77777777" w:rsidR="00227EF1" w:rsidRDefault="00B24AFB" w:rsidP="001B6C55">
      <w:pPr>
        <w:pStyle w:val="FootnoteText"/>
        <w:spacing w:line="240" w:lineRule="auto"/>
      </w:pPr>
      <w:r w:rsidRPr="00BF12C9">
        <w:rPr>
          <w:rStyle w:val="FootnoteReference"/>
          <w:b w:val="0"/>
          <w:bCs/>
          <w:sz w:val="26"/>
          <w:szCs w:val="26"/>
          <w:vertAlign w:val="baseline"/>
        </w:rPr>
        <w:footnoteRef/>
      </w:r>
      <w:r w:rsidRPr="00BF12C9">
        <w:rPr>
          <w:b/>
          <w:bCs/>
          <w:sz w:val="26"/>
          <w:szCs w:val="26"/>
        </w:rPr>
        <w:t xml:space="preserve"> </w:t>
      </w:r>
      <w:r w:rsidRPr="00BF12C9">
        <w:tab/>
      </w:r>
      <w:r w:rsidRPr="00BF12C9">
        <w:rPr>
          <w:sz w:val="26"/>
          <w:szCs w:val="26"/>
        </w:rPr>
        <w:t xml:space="preserve">The full text of the business-to-business exemption states: </w:t>
      </w:r>
      <w:r w:rsidRPr="00BF12C9">
        <w:rPr>
          <w:sz w:val="26"/>
          <w:szCs w:val="26"/>
        </w:rPr>
        <w:t>“</w:t>
      </w:r>
      <w:r w:rsidRPr="00BF12C9">
        <w:rPr>
          <w:sz w:val="26"/>
          <w:szCs w:val="26"/>
        </w:rPr>
        <w:t xml:space="preserve">Section 2775 and the holding in Dynamex do not apply to a bona fide business-to-business contracting relationship, as defined below, under the following conditions: </w:t>
      </w:r>
      <w:bookmarkStart w:id="10" w:name="_Hlk54355302"/>
      <w:r w:rsidRPr="00BF12C9">
        <w:rPr>
          <w:sz w:val="26"/>
          <w:szCs w:val="26"/>
        </w:rPr>
        <w:t>[¶</w:t>
      </w:r>
      <w:bookmarkEnd w:id="10"/>
      <w:r w:rsidRPr="00BF12C9">
        <w:rPr>
          <w:sz w:val="26"/>
          <w:szCs w:val="26"/>
        </w:rPr>
        <w:t>] (a) If an individual actin</w:t>
      </w:r>
      <w:r w:rsidRPr="00BF12C9">
        <w:rPr>
          <w:sz w:val="26"/>
          <w:szCs w:val="26"/>
        </w:rPr>
        <w:t>g as a sole proprietor, or a business entity formed as a partnership, limited liability company, limited liability partnership, or corporation (</w:t>
      </w:r>
      <w:r>
        <w:rPr>
          <w:sz w:val="26"/>
          <w:szCs w:val="26"/>
        </w:rPr>
        <w:t>‘</w:t>
      </w:r>
      <w:r w:rsidRPr="00BF12C9">
        <w:rPr>
          <w:sz w:val="26"/>
          <w:szCs w:val="26"/>
        </w:rPr>
        <w:t>business service provider</w:t>
      </w:r>
      <w:r>
        <w:rPr>
          <w:sz w:val="26"/>
          <w:szCs w:val="26"/>
        </w:rPr>
        <w:t>’</w:t>
      </w:r>
      <w:r w:rsidRPr="00BF12C9">
        <w:rPr>
          <w:sz w:val="26"/>
          <w:szCs w:val="26"/>
        </w:rPr>
        <w:t>) contracts to provide services to another such business or to a public agency or qua</w:t>
      </w:r>
      <w:r w:rsidRPr="00BF12C9">
        <w:rPr>
          <w:sz w:val="26"/>
          <w:szCs w:val="26"/>
        </w:rPr>
        <w:t>si-public corporation (</w:t>
      </w:r>
      <w:r>
        <w:rPr>
          <w:sz w:val="26"/>
          <w:szCs w:val="26"/>
        </w:rPr>
        <w:t>‘</w:t>
      </w:r>
      <w:r w:rsidRPr="00BF12C9">
        <w:rPr>
          <w:sz w:val="26"/>
          <w:szCs w:val="26"/>
        </w:rPr>
        <w:t>contracting business</w:t>
      </w:r>
      <w:r>
        <w:rPr>
          <w:sz w:val="26"/>
          <w:szCs w:val="26"/>
        </w:rPr>
        <w:t>’</w:t>
      </w:r>
      <w:r w:rsidRPr="00BF12C9">
        <w:rPr>
          <w:sz w:val="26"/>
          <w:szCs w:val="26"/>
        </w:rPr>
        <w:t>), the determination of employee or independent contractor status of the business services provider shall be governed by Borello, if the contracting business demonstrates that all of the following criteria are s</w:t>
      </w:r>
      <w:r w:rsidRPr="00BF12C9">
        <w:rPr>
          <w:sz w:val="26"/>
          <w:szCs w:val="26"/>
        </w:rPr>
        <w:t>atisfied: [¶] (1) The business service provider is free from the control and direction of the contracting business entity in connection with the performance of the work, both under the contract for the performance of the work and in fact. [¶] (2) The busin</w:t>
      </w:r>
      <w:r w:rsidRPr="00BF12C9">
        <w:rPr>
          <w:sz w:val="26"/>
          <w:szCs w:val="26"/>
        </w:rPr>
        <w:t>ess service provider is providing services directly to the contracting business rather than to customers of the contracting business. This subparagraph does not apply if the business service provider’s employees are solely performing the services under the</w:t>
      </w:r>
      <w:r w:rsidRPr="00BF12C9">
        <w:rPr>
          <w:sz w:val="26"/>
          <w:szCs w:val="26"/>
        </w:rPr>
        <w:t xml:space="preserve"> contract under the name of the business service provider and the business service provider regularly contracts with other businesses. [¶] (3) The contract with the business service provider is in writing and specifies the payment amount, including any app</w:t>
      </w:r>
      <w:r w:rsidRPr="00BF12C9">
        <w:rPr>
          <w:sz w:val="26"/>
          <w:szCs w:val="26"/>
        </w:rPr>
        <w:t>licable rate of pay, for services to be performed, as well as the due date of payment for such services. [¶] (4) If the work is performed in a jurisdiction that requires the business service provider to have a business license or business tax registration,</w:t>
      </w:r>
      <w:r w:rsidRPr="00BF12C9">
        <w:rPr>
          <w:sz w:val="26"/>
          <w:szCs w:val="26"/>
        </w:rPr>
        <w:t xml:space="preserve"> the business service provider has the required business license or business tax registration. [¶] (5) The business service provider maintains a business location, which may include the business service provider’s residence, that is separate from the busin</w:t>
      </w:r>
      <w:r w:rsidRPr="00BF12C9">
        <w:rPr>
          <w:sz w:val="26"/>
          <w:szCs w:val="26"/>
        </w:rPr>
        <w:t>ess or work location of the contracting business. [¶] (6) The business service provider is customarily engaged in an independently established business of the same nature as that involved in the work performed. [¶] (7) The business service provider can con</w:t>
      </w:r>
      <w:r w:rsidRPr="00BF12C9">
        <w:rPr>
          <w:sz w:val="26"/>
          <w:szCs w:val="26"/>
        </w:rPr>
        <w:t>tract with other businesses to provide the same or similar services and maintain a clientele without restrictions from the hiring entity. [¶] (8) The business service provider advertises and holds itself out to the public as available to provide the same o</w:t>
      </w:r>
      <w:r w:rsidRPr="00BF12C9">
        <w:rPr>
          <w:sz w:val="26"/>
          <w:szCs w:val="26"/>
        </w:rPr>
        <w:t>r similar services. [¶] (9) Consistent with the nature of the work, the business service provider provides its own tools, vehicles, and equipment to perform the services, not including any proprietary materials that may be necessary to perform the services</w:t>
      </w:r>
      <w:r w:rsidRPr="00BF12C9">
        <w:rPr>
          <w:sz w:val="26"/>
          <w:szCs w:val="26"/>
        </w:rPr>
        <w:t xml:space="preserve"> under the contract. [¶] (10) The business service provider can negotiate its own rates. [¶] (11) Consistent with the nature of the work, the business service provider can set its own hours and location of work. [¶] (12) The business service provider is no</w:t>
      </w:r>
      <w:r w:rsidRPr="00BF12C9">
        <w:rPr>
          <w:sz w:val="26"/>
          <w:szCs w:val="26"/>
        </w:rPr>
        <w:t>t performing the type of work for which a license from the Contractors’ State License Board is required, pursuant to Chapter 9 (commencing with Section 7000) of Division 3 of the Business and Professions Code. [¶] (b) When two bona fide businesses are cont</w:t>
      </w:r>
      <w:r w:rsidRPr="00BF12C9">
        <w:rPr>
          <w:sz w:val="26"/>
          <w:szCs w:val="26"/>
        </w:rPr>
        <w:t>racting with one another under the conditions set forth in subdivision (a), the determination of whether an individual worker who is not acting as a sole proprietor or formed as a business entity, is an employee or independent contractor of the business se</w:t>
      </w:r>
      <w:r w:rsidRPr="00BF12C9">
        <w:rPr>
          <w:sz w:val="26"/>
          <w:szCs w:val="26"/>
        </w:rPr>
        <w:t>rvice provider or contracting business is governed by Section 2775. [¶] (c) This section does not alter or supersede any existing rights under Section 2810.3.</w:t>
      </w:r>
      <w:r w:rsidRPr="00BF12C9">
        <w:rPr>
          <w:sz w:val="26"/>
          <w:szCs w:val="26"/>
        </w:rPr>
        <w:t>” (Lab</w:t>
      </w:r>
      <w:r w:rsidRPr="00BF12C9">
        <w:rPr>
          <w:sz w:val="26"/>
          <w:szCs w:val="26"/>
        </w:rPr>
        <w:t>.</w:t>
      </w:r>
      <w:r w:rsidRPr="00BF12C9">
        <w:rPr>
          <w:sz w:val="26"/>
          <w:szCs w:val="26"/>
        </w:rPr>
        <w:t xml:space="preserve"> Code, § 2776.)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54C7" w14:textId="77777777" w:rsidR="005565D7" w:rsidRDefault="00B24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9C5A" w14:textId="77777777" w:rsidR="005565D7" w:rsidRDefault="00B24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37150" w14:textId="77777777" w:rsidR="005565D7" w:rsidRDefault="00B24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C70"/>
    <w:multiLevelType w:val="hybridMultilevel"/>
    <w:tmpl w:val="5F2A5958"/>
    <w:lvl w:ilvl="0" w:tplc="51F8310A">
      <w:start w:val="1"/>
      <w:numFmt w:val="upperLetter"/>
      <w:lvlText w:val="%1."/>
      <w:lvlJc w:val="left"/>
      <w:pPr>
        <w:ind w:left="1080" w:hanging="360"/>
      </w:pPr>
      <w:rPr>
        <w:rFonts w:hint="default"/>
        <w:b/>
      </w:rPr>
    </w:lvl>
    <w:lvl w:ilvl="1" w:tplc="969663FE" w:tentative="1">
      <w:start w:val="1"/>
      <w:numFmt w:val="lowerLetter"/>
      <w:lvlText w:val="%2."/>
      <w:lvlJc w:val="left"/>
      <w:pPr>
        <w:ind w:left="1800" w:hanging="360"/>
      </w:pPr>
    </w:lvl>
    <w:lvl w:ilvl="2" w:tplc="8C949854" w:tentative="1">
      <w:start w:val="1"/>
      <w:numFmt w:val="lowerRoman"/>
      <w:lvlText w:val="%3."/>
      <w:lvlJc w:val="right"/>
      <w:pPr>
        <w:ind w:left="2520" w:hanging="180"/>
      </w:pPr>
    </w:lvl>
    <w:lvl w:ilvl="3" w:tplc="3336F114" w:tentative="1">
      <w:start w:val="1"/>
      <w:numFmt w:val="decimal"/>
      <w:lvlText w:val="%4."/>
      <w:lvlJc w:val="left"/>
      <w:pPr>
        <w:ind w:left="3240" w:hanging="360"/>
      </w:pPr>
    </w:lvl>
    <w:lvl w:ilvl="4" w:tplc="1024918E" w:tentative="1">
      <w:start w:val="1"/>
      <w:numFmt w:val="lowerLetter"/>
      <w:lvlText w:val="%5."/>
      <w:lvlJc w:val="left"/>
      <w:pPr>
        <w:ind w:left="3960" w:hanging="360"/>
      </w:pPr>
    </w:lvl>
    <w:lvl w:ilvl="5" w:tplc="7E701C3A" w:tentative="1">
      <w:start w:val="1"/>
      <w:numFmt w:val="lowerRoman"/>
      <w:lvlText w:val="%6."/>
      <w:lvlJc w:val="right"/>
      <w:pPr>
        <w:ind w:left="4680" w:hanging="180"/>
      </w:pPr>
    </w:lvl>
    <w:lvl w:ilvl="6" w:tplc="67A4647A" w:tentative="1">
      <w:start w:val="1"/>
      <w:numFmt w:val="decimal"/>
      <w:lvlText w:val="%7."/>
      <w:lvlJc w:val="left"/>
      <w:pPr>
        <w:ind w:left="5400" w:hanging="360"/>
      </w:pPr>
    </w:lvl>
    <w:lvl w:ilvl="7" w:tplc="1B66679C" w:tentative="1">
      <w:start w:val="1"/>
      <w:numFmt w:val="lowerLetter"/>
      <w:lvlText w:val="%8."/>
      <w:lvlJc w:val="left"/>
      <w:pPr>
        <w:ind w:left="6120" w:hanging="360"/>
      </w:pPr>
    </w:lvl>
    <w:lvl w:ilvl="8" w:tplc="59744172" w:tentative="1">
      <w:start w:val="1"/>
      <w:numFmt w:val="lowerRoman"/>
      <w:lvlText w:val="%9."/>
      <w:lvlJc w:val="right"/>
      <w:pPr>
        <w:ind w:left="6840" w:hanging="180"/>
      </w:pPr>
    </w:lvl>
  </w:abstractNum>
  <w:abstractNum w:abstractNumId="1" w15:restartNumberingAfterBreak="0">
    <w:nsid w:val="0F555AC0"/>
    <w:multiLevelType w:val="hybridMultilevel"/>
    <w:tmpl w:val="2AF42BAA"/>
    <w:lvl w:ilvl="0" w:tplc="9C26CE70">
      <w:start w:val="110"/>
      <w:numFmt w:val="bullet"/>
      <w:lvlText w:val=""/>
      <w:lvlJc w:val="left"/>
      <w:pPr>
        <w:ind w:left="720" w:hanging="360"/>
      </w:pPr>
      <w:rPr>
        <w:rFonts w:ascii="Wingdings" w:eastAsia="Times New Roman" w:hAnsi="Wingdings" w:cs="Times New Roman" w:hint="default"/>
      </w:rPr>
    </w:lvl>
    <w:lvl w:ilvl="1" w:tplc="306E4052" w:tentative="1">
      <w:start w:val="1"/>
      <w:numFmt w:val="bullet"/>
      <w:lvlText w:val="o"/>
      <w:lvlJc w:val="left"/>
      <w:pPr>
        <w:ind w:left="1440" w:hanging="360"/>
      </w:pPr>
      <w:rPr>
        <w:rFonts w:ascii="Courier New" w:hAnsi="Courier New" w:cs="Courier New" w:hint="default"/>
      </w:rPr>
    </w:lvl>
    <w:lvl w:ilvl="2" w:tplc="F0603B74" w:tentative="1">
      <w:start w:val="1"/>
      <w:numFmt w:val="bullet"/>
      <w:lvlText w:val=""/>
      <w:lvlJc w:val="left"/>
      <w:pPr>
        <w:ind w:left="2160" w:hanging="360"/>
      </w:pPr>
      <w:rPr>
        <w:rFonts w:ascii="Wingdings" w:hAnsi="Wingdings" w:hint="default"/>
      </w:rPr>
    </w:lvl>
    <w:lvl w:ilvl="3" w:tplc="4B30D2AA" w:tentative="1">
      <w:start w:val="1"/>
      <w:numFmt w:val="bullet"/>
      <w:lvlText w:val=""/>
      <w:lvlJc w:val="left"/>
      <w:pPr>
        <w:ind w:left="2880" w:hanging="360"/>
      </w:pPr>
      <w:rPr>
        <w:rFonts w:ascii="Symbol" w:hAnsi="Symbol" w:hint="default"/>
      </w:rPr>
    </w:lvl>
    <w:lvl w:ilvl="4" w:tplc="77963762" w:tentative="1">
      <w:start w:val="1"/>
      <w:numFmt w:val="bullet"/>
      <w:lvlText w:val="o"/>
      <w:lvlJc w:val="left"/>
      <w:pPr>
        <w:ind w:left="3600" w:hanging="360"/>
      </w:pPr>
      <w:rPr>
        <w:rFonts w:ascii="Courier New" w:hAnsi="Courier New" w:cs="Courier New" w:hint="default"/>
      </w:rPr>
    </w:lvl>
    <w:lvl w:ilvl="5" w:tplc="3DEE570C" w:tentative="1">
      <w:start w:val="1"/>
      <w:numFmt w:val="bullet"/>
      <w:lvlText w:val=""/>
      <w:lvlJc w:val="left"/>
      <w:pPr>
        <w:ind w:left="4320" w:hanging="360"/>
      </w:pPr>
      <w:rPr>
        <w:rFonts w:ascii="Wingdings" w:hAnsi="Wingdings" w:hint="default"/>
      </w:rPr>
    </w:lvl>
    <w:lvl w:ilvl="6" w:tplc="EF5C4398" w:tentative="1">
      <w:start w:val="1"/>
      <w:numFmt w:val="bullet"/>
      <w:lvlText w:val=""/>
      <w:lvlJc w:val="left"/>
      <w:pPr>
        <w:ind w:left="5040" w:hanging="360"/>
      </w:pPr>
      <w:rPr>
        <w:rFonts w:ascii="Symbol" w:hAnsi="Symbol" w:hint="default"/>
      </w:rPr>
    </w:lvl>
    <w:lvl w:ilvl="7" w:tplc="8AD0CB24" w:tentative="1">
      <w:start w:val="1"/>
      <w:numFmt w:val="bullet"/>
      <w:lvlText w:val="o"/>
      <w:lvlJc w:val="left"/>
      <w:pPr>
        <w:ind w:left="5760" w:hanging="360"/>
      </w:pPr>
      <w:rPr>
        <w:rFonts w:ascii="Courier New" w:hAnsi="Courier New" w:cs="Courier New" w:hint="default"/>
      </w:rPr>
    </w:lvl>
    <w:lvl w:ilvl="8" w:tplc="B548125E" w:tentative="1">
      <w:start w:val="1"/>
      <w:numFmt w:val="bullet"/>
      <w:lvlText w:val=""/>
      <w:lvlJc w:val="left"/>
      <w:pPr>
        <w:ind w:left="6480" w:hanging="360"/>
      </w:pPr>
      <w:rPr>
        <w:rFonts w:ascii="Wingdings" w:hAnsi="Wingdings" w:hint="default"/>
      </w:rPr>
    </w:lvl>
  </w:abstractNum>
  <w:abstractNum w:abstractNumId="2" w15:restartNumberingAfterBreak="0">
    <w:nsid w:val="16E50253"/>
    <w:multiLevelType w:val="hybridMultilevel"/>
    <w:tmpl w:val="FD08E326"/>
    <w:lvl w:ilvl="0" w:tplc="F8020C54">
      <w:start w:val="1"/>
      <w:numFmt w:val="lowerRoman"/>
      <w:lvlText w:val="%1."/>
      <w:lvlJc w:val="left"/>
      <w:pPr>
        <w:ind w:left="1440" w:hanging="720"/>
      </w:pPr>
      <w:rPr>
        <w:rFonts w:hint="default"/>
      </w:rPr>
    </w:lvl>
    <w:lvl w:ilvl="1" w:tplc="6144E362" w:tentative="1">
      <w:start w:val="1"/>
      <w:numFmt w:val="lowerLetter"/>
      <w:lvlText w:val="%2."/>
      <w:lvlJc w:val="left"/>
      <w:pPr>
        <w:ind w:left="1800" w:hanging="360"/>
      </w:pPr>
    </w:lvl>
    <w:lvl w:ilvl="2" w:tplc="BBDEC596" w:tentative="1">
      <w:start w:val="1"/>
      <w:numFmt w:val="lowerRoman"/>
      <w:lvlText w:val="%3."/>
      <w:lvlJc w:val="right"/>
      <w:pPr>
        <w:ind w:left="2520" w:hanging="180"/>
      </w:pPr>
    </w:lvl>
    <w:lvl w:ilvl="3" w:tplc="9D845178" w:tentative="1">
      <w:start w:val="1"/>
      <w:numFmt w:val="decimal"/>
      <w:lvlText w:val="%4."/>
      <w:lvlJc w:val="left"/>
      <w:pPr>
        <w:ind w:left="3240" w:hanging="360"/>
      </w:pPr>
    </w:lvl>
    <w:lvl w:ilvl="4" w:tplc="EBA22AB6" w:tentative="1">
      <w:start w:val="1"/>
      <w:numFmt w:val="lowerLetter"/>
      <w:lvlText w:val="%5."/>
      <w:lvlJc w:val="left"/>
      <w:pPr>
        <w:ind w:left="3960" w:hanging="360"/>
      </w:pPr>
    </w:lvl>
    <w:lvl w:ilvl="5" w:tplc="13B2113A" w:tentative="1">
      <w:start w:val="1"/>
      <w:numFmt w:val="lowerRoman"/>
      <w:lvlText w:val="%6."/>
      <w:lvlJc w:val="right"/>
      <w:pPr>
        <w:ind w:left="4680" w:hanging="180"/>
      </w:pPr>
    </w:lvl>
    <w:lvl w:ilvl="6" w:tplc="322295F6" w:tentative="1">
      <w:start w:val="1"/>
      <w:numFmt w:val="decimal"/>
      <w:lvlText w:val="%7."/>
      <w:lvlJc w:val="left"/>
      <w:pPr>
        <w:ind w:left="5400" w:hanging="360"/>
      </w:pPr>
    </w:lvl>
    <w:lvl w:ilvl="7" w:tplc="81B8D902" w:tentative="1">
      <w:start w:val="1"/>
      <w:numFmt w:val="lowerLetter"/>
      <w:lvlText w:val="%8."/>
      <w:lvlJc w:val="left"/>
      <w:pPr>
        <w:ind w:left="6120" w:hanging="360"/>
      </w:pPr>
    </w:lvl>
    <w:lvl w:ilvl="8" w:tplc="E3A23FB4" w:tentative="1">
      <w:start w:val="1"/>
      <w:numFmt w:val="lowerRoman"/>
      <w:lvlText w:val="%9."/>
      <w:lvlJc w:val="right"/>
      <w:pPr>
        <w:ind w:left="6840" w:hanging="180"/>
      </w:pPr>
    </w:lvl>
  </w:abstractNum>
  <w:abstractNum w:abstractNumId="3" w15:restartNumberingAfterBreak="0">
    <w:nsid w:val="1D7E1E75"/>
    <w:multiLevelType w:val="hybridMultilevel"/>
    <w:tmpl w:val="BDDA05B0"/>
    <w:lvl w:ilvl="0" w:tplc="5538A2D4">
      <w:start w:val="1"/>
      <w:numFmt w:val="upperRoman"/>
      <w:lvlText w:val="%1."/>
      <w:lvlJc w:val="left"/>
      <w:pPr>
        <w:ind w:left="1080" w:hanging="720"/>
      </w:pPr>
      <w:rPr>
        <w:rFonts w:hint="default"/>
      </w:rPr>
    </w:lvl>
    <w:lvl w:ilvl="1" w:tplc="0FD83B4E">
      <w:start w:val="1"/>
      <w:numFmt w:val="lowerLetter"/>
      <w:lvlText w:val="%2."/>
      <w:lvlJc w:val="left"/>
      <w:pPr>
        <w:ind w:left="1440" w:hanging="360"/>
      </w:pPr>
    </w:lvl>
    <w:lvl w:ilvl="2" w:tplc="73867336" w:tentative="1">
      <w:start w:val="1"/>
      <w:numFmt w:val="lowerRoman"/>
      <w:lvlText w:val="%3."/>
      <w:lvlJc w:val="right"/>
      <w:pPr>
        <w:ind w:left="2160" w:hanging="180"/>
      </w:pPr>
    </w:lvl>
    <w:lvl w:ilvl="3" w:tplc="43C2B5FA" w:tentative="1">
      <w:start w:val="1"/>
      <w:numFmt w:val="decimal"/>
      <w:lvlText w:val="%4."/>
      <w:lvlJc w:val="left"/>
      <w:pPr>
        <w:ind w:left="2880" w:hanging="360"/>
      </w:pPr>
    </w:lvl>
    <w:lvl w:ilvl="4" w:tplc="EBD0452C" w:tentative="1">
      <w:start w:val="1"/>
      <w:numFmt w:val="lowerLetter"/>
      <w:lvlText w:val="%5."/>
      <w:lvlJc w:val="left"/>
      <w:pPr>
        <w:ind w:left="3600" w:hanging="360"/>
      </w:pPr>
    </w:lvl>
    <w:lvl w:ilvl="5" w:tplc="011CE162" w:tentative="1">
      <w:start w:val="1"/>
      <w:numFmt w:val="lowerRoman"/>
      <w:lvlText w:val="%6."/>
      <w:lvlJc w:val="right"/>
      <w:pPr>
        <w:ind w:left="4320" w:hanging="180"/>
      </w:pPr>
    </w:lvl>
    <w:lvl w:ilvl="6" w:tplc="04326E58" w:tentative="1">
      <w:start w:val="1"/>
      <w:numFmt w:val="decimal"/>
      <w:lvlText w:val="%7."/>
      <w:lvlJc w:val="left"/>
      <w:pPr>
        <w:ind w:left="5040" w:hanging="360"/>
      </w:pPr>
    </w:lvl>
    <w:lvl w:ilvl="7" w:tplc="B33A5F44" w:tentative="1">
      <w:start w:val="1"/>
      <w:numFmt w:val="lowerLetter"/>
      <w:lvlText w:val="%8."/>
      <w:lvlJc w:val="left"/>
      <w:pPr>
        <w:ind w:left="5760" w:hanging="360"/>
      </w:pPr>
    </w:lvl>
    <w:lvl w:ilvl="8" w:tplc="164A6FBA" w:tentative="1">
      <w:start w:val="1"/>
      <w:numFmt w:val="lowerRoman"/>
      <w:lvlText w:val="%9."/>
      <w:lvlJc w:val="right"/>
      <w:pPr>
        <w:ind w:left="6480" w:hanging="180"/>
      </w:pPr>
    </w:lvl>
  </w:abstractNum>
  <w:abstractNum w:abstractNumId="4" w15:restartNumberingAfterBreak="0">
    <w:nsid w:val="3293636D"/>
    <w:multiLevelType w:val="hybridMultilevel"/>
    <w:tmpl w:val="F95A73CC"/>
    <w:lvl w:ilvl="0" w:tplc="E5BAD02C">
      <w:start w:val="1"/>
      <w:numFmt w:val="upperLetter"/>
      <w:lvlText w:val="%1."/>
      <w:lvlJc w:val="left"/>
      <w:pPr>
        <w:ind w:left="720" w:hanging="360"/>
      </w:pPr>
      <w:rPr>
        <w:rFonts w:hint="default"/>
      </w:rPr>
    </w:lvl>
    <w:lvl w:ilvl="1" w:tplc="AF468B26" w:tentative="1">
      <w:start w:val="1"/>
      <w:numFmt w:val="lowerLetter"/>
      <w:lvlText w:val="%2."/>
      <w:lvlJc w:val="left"/>
      <w:pPr>
        <w:ind w:left="1440" w:hanging="360"/>
      </w:pPr>
    </w:lvl>
    <w:lvl w:ilvl="2" w:tplc="B59A8200" w:tentative="1">
      <w:start w:val="1"/>
      <w:numFmt w:val="lowerRoman"/>
      <w:lvlText w:val="%3."/>
      <w:lvlJc w:val="right"/>
      <w:pPr>
        <w:ind w:left="2160" w:hanging="180"/>
      </w:pPr>
    </w:lvl>
    <w:lvl w:ilvl="3" w:tplc="CEECD168" w:tentative="1">
      <w:start w:val="1"/>
      <w:numFmt w:val="decimal"/>
      <w:lvlText w:val="%4."/>
      <w:lvlJc w:val="left"/>
      <w:pPr>
        <w:ind w:left="2880" w:hanging="360"/>
      </w:pPr>
    </w:lvl>
    <w:lvl w:ilvl="4" w:tplc="FC3882BE" w:tentative="1">
      <w:start w:val="1"/>
      <w:numFmt w:val="lowerLetter"/>
      <w:lvlText w:val="%5."/>
      <w:lvlJc w:val="left"/>
      <w:pPr>
        <w:ind w:left="3600" w:hanging="360"/>
      </w:pPr>
    </w:lvl>
    <w:lvl w:ilvl="5" w:tplc="30B276C0" w:tentative="1">
      <w:start w:val="1"/>
      <w:numFmt w:val="lowerRoman"/>
      <w:lvlText w:val="%6."/>
      <w:lvlJc w:val="right"/>
      <w:pPr>
        <w:ind w:left="4320" w:hanging="180"/>
      </w:pPr>
    </w:lvl>
    <w:lvl w:ilvl="6" w:tplc="49DE6236" w:tentative="1">
      <w:start w:val="1"/>
      <w:numFmt w:val="decimal"/>
      <w:lvlText w:val="%7."/>
      <w:lvlJc w:val="left"/>
      <w:pPr>
        <w:ind w:left="5040" w:hanging="360"/>
      </w:pPr>
    </w:lvl>
    <w:lvl w:ilvl="7" w:tplc="4D866880" w:tentative="1">
      <w:start w:val="1"/>
      <w:numFmt w:val="lowerLetter"/>
      <w:lvlText w:val="%8."/>
      <w:lvlJc w:val="left"/>
      <w:pPr>
        <w:ind w:left="5760" w:hanging="360"/>
      </w:pPr>
    </w:lvl>
    <w:lvl w:ilvl="8" w:tplc="938A8452" w:tentative="1">
      <w:start w:val="1"/>
      <w:numFmt w:val="lowerRoman"/>
      <w:lvlText w:val="%9."/>
      <w:lvlJc w:val="right"/>
      <w:pPr>
        <w:ind w:left="6480" w:hanging="180"/>
      </w:pPr>
    </w:lvl>
  </w:abstractNum>
  <w:abstractNum w:abstractNumId="5" w15:restartNumberingAfterBreak="0">
    <w:nsid w:val="4A5158C0"/>
    <w:multiLevelType w:val="hybridMultilevel"/>
    <w:tmpl w:val="B5C022FC"/>
    <w:lvl w:ilvl="0" w:tplc="E59AE4D2">
      <w:start w:val="1"/>
      <w:numFmt w:val="upperLetter"/>
      <w:lvlText w:val="%1."/>
      <w:lvlJc w:val="left"/>
      <w:pPr>
        <w:ind w:left="1440" w:hanging="360"/>
      </w:pPr>
      <w:rPr>
        <w:rFonts w:hint="default"/>
      </w:rPr>
    </w:lvl>
    <w:lvl w:ilvl="1" w:tplc="0046BF80">
      <w:start w:val="1"/>
      <w:numFmt w:val="lowerLetter"/>
      <w:lvlText w:val="%2."/>
      <w:lvlJc w:val="left"/>
      <w:pPr>
        <w:ind w:left="2160" w:hanging="360"/>
      </w:pPr>
    </w:lvl>
    <w:lvl w:ilvl="2" w:tplc="0B368F3C" w:tentative="1">
      <w:start w:val="1"/>
      <w:numFmt w:val="lowerRoman"/>
      <w:lvlText w:val="%3."/>
      <w:lvlJc w:val="right"/>
      <w:pPr>
        <w:ind w:left="2880" w:hanging="180"/>
      </w:pPr>
    </w:lvl>
    <w:lvl w:ilvl="3" w:tplc="763C8170" w:tentative="1">
      <w:start w:val="1"/>
      <w:numFmt w:val="decimal"/>
      <w:lvlText w:val="%4."/>
      <w:lvlJc w:val="left"/>
      <w:pPr>
        <w:ind w:left="3600" w:hanging="360"/>
      </w:pPr>
    </w:lvl>
    <w:lvl w:ilvl="4" w:tplc="28383DF0" w:tentative="1">
      <w:start w:val="1"/>
      <w:numFmt w:val="lowerLetter"/>
      <w:lvlText w:val="%5."/>
      <w:lvlJc w:val="left"/>
      <w:pPr>
        <w:ind w:left="4320" w:hanging="360"/>
      </w:pPr>
    </w:lvl>
    <w:lvl w:ilvl="5" w:tplc="8C8A0296" w:tentative="1">
      <w:start w:val="1"/>
      <w:numFmt w:val="lowerRoman"/>
      <w:lvlText w:val="%6."/>
      <w:lvlJc w:val="right"/>
      <w:pPr>
        <w:ind w:left="5040" w:hanging="180"/>
      </w:pPr>
    </w:lvl>
    <w:lvl w:ilvl="6" w:tplc="9F0AF002" w:tentative="1">
      <w:start w:val="1"/>
      <w:numFmt w:val="decimal"/>
      <w:lvlText w:val="%7."/>
      <w:lvlJc w:val="left"/>
      <w:pPr>
        <w:ind w:left="5760" w:hanging="360"/>
      </w:pPr>
    </w:lvl>
    <w:lvl w:ilvl="7" w:tplc="FB904632" w:tentative="1">
      <w:start w:val="1"/>
      <w:numFmt w:val="lowerLetter"/>
      <w:lvlText w:val="%8."/>
      <w:lvlJc w:val="left"/>
      <w:pPr>
        <w:ind w:left="6480" w:hanging="360"/>
      </w:pPr>
    </w:lvl>
    <w:lvl w:ilvl="8" w:tplc="78249AB0" w:tentative="1">
      <w:start w:val="1"/>
      <w:numFmt w:val="lowerRoman"/>
      <w:lvlText w:val="%9."/>
      <w:lvlJc w:val="right"/>
      <w:pPr>
        <w:ind w:left="7200" w:hanging="180"/>
      </w:pPr>
    </w:lvl>
  </w:abstractNum>
  <w:abstractNum w:abstractNumId="6" w15:restartNumberingAfterBreak="0">
    <w:nsid w:val="4EB65FB3"/>
    <w:multiLevelType w:val="hybridMultilevel"/>
    <w:tmpl w:val="B0F8BE96"/>
    <w:lvl w:ilvl="0" w:tplc="06A42516">
      <w:start w:val="1"/>
      <w:numFmt w:val="upperRoman"/>
      <w:lvlText w:val="%1."/>
      <w:lvlJc w:val="left"/>
      <w:pPr>
        <w:ind w:left="1440" w:hanging="720"/>
      </w:pPr>
      <w:rPr>
        <w:rFonts w:hint="default"/>
      </w:rPr>
    </w:lvl>
    <w:lvl w:ilvl="1" w:tplc="1D243BBE" w:tentative="1">
      <w:start w:val="1"/>
      <w:numFmt w:val="lowerLetter"/>
      <w:lvlText w:val="%2."/>
      <w:lvlJc w:val="left"/>
      <w:pPr>
        <w:ind w:left="1800" w:hanging="360"/>
      </w:pPr>
    </w:lvl>
    <w:lvl w:ilvl="2" w:tplc="73BA0992" w:tentative="1">
      <w:start w:val="1"/>
      <w:numFmt w:val="lowerRoman"/>
      <w:lvlText w:val="%3."/>
      <w:lvlJc w:val="right"/>
      <w:pPr>
        <w:ind w:left="2520" w:hanging="180"/>
      </w:pPr>
    </w:lvl>
    <w:lvl w:ilvl="3" w:tplc="A8A2C5EE" w:tentative="1">
      <w:start w:val="1"/>
      <w:numFmt w:val="decimal"/>
      <w:lvlText w:val="%4."/>
      <w:lvlJc w:val="left"/>
      <w:pPr>
        <w:ind w:left="3240" w:hanging="360"/>
      </w:pPr>
    </w:lvl>
    <w:lvl w:ilvl="4" w:tplc="AF641B44" w:tentative="1">
      <w:start w:val="1"/>
      <w:numFmt w:val="lowerLetter"/>
      <w:lvlText w:val="%5."/>
      <w:lvlJc w:val="left"/>
      <w:pPr>
        <w:ind w:left="3960" w:hanging="360"/>
      </w:pPr>
    </w:lvl>
    <w:lvl w:ilvl="5" w:tplc="71A4FD82" w:tentative="1">
      <w:start w:val="1"/>
      <w:numFmt w:val="lowerRoman"/>
      <w:lvlText w:val="%6."/>
      <w:lvlJc w:val="right"/>
      <w:pPr>
        <w:ind w:left="4680" w:hanging="180"/>
      </w:pPr>
    </w:lvl>
    <w:lvl w:ilvl="6" w:tplc="1DFCCBDC" w:tentative="1">
      <w:start w:val="1"/>
      <w:numFmt w:val="decimal"/>
      <w:lvlText w:val="%7."/>
      <w:lvlJc w:val="left"/>
      <w:pPr>
        <w:ind w:left="5400" w:hanging="360"/>
      </w:pPr>
    </w:lvl>
    <w:lvl w:ilvl="7" w:tplc="692E6788" w:tentative="1">
      <w:start w:val="1"/>
      <w:numFmt w:val="lowerLetter"/>
      <w:lvlText w:val="%8."/>
      <w:lvlJc w:val="left"/>
      <w:pPr>
        <w:ind w:left="6120" w:hanging="360"/>
      </w:pPr>
    </w:lvl>
    <w:lvl w:ilvl="8" w:tplc="41EEC86C" w:tentative="1">
      <w:start w:val="1"/>
      <w:numFmt w:val="lowerRoman"/>
      <w:lvlText w:val="%9."/>
      <w:lvlJc w:val="right"/>
      <w:pPr>
        <w:ind w:left="6840" w:hanging="180"/>
      </w:pPr>
    </w:lvl>
  </w:abstractNum>
  <w:abstractNum w:abstractNumId="7" w15:restartNumberingAfterBreak="0">
    <w:nsid w:val="54480A55"/>
    <w:multiLevelType w:val="hybridMultilevel"/>
    <w:tmpl w:val="A4FE52AA"/>
    <w:lvl w:ilvl="0" w:tplc="E9D06FE0">
      <w:start w:val="1"/>
      <w:numFmt w:val="decimal"/>
      <w:lvlText w:val="%1."/>
      <w:lvlJc w:val="left"/>
      <w:pPr>
        <w:ind w:left="1800" w:hanging="360"/>
      </w:pPr>
      <w:rPr>
        <w:rFonts w:hint="default"/>
      </w:rPr>
    </w:lvl>
    <w:lvl w:ilvl="1" w:tplc="4CE8BCB8" w:tentative="1">
      <w:start w:val="1"/>
      <w:numFmt w:val="lowerLetter"/>
      <w:lvlText w:val="%2."/>
      <w:lvlJc w:val="left"/>
      <w:pPr>
        <w:ind w:left="2520" w:hanging="360"/>
      </w:pPr>
    </w:lvl>
    <w:lvl w:ilvl="2" w:tplc="5DE0C16E" w:tentative="1">
      <w:start w:val="1"/>
      <w:numFmt w:val="lowerRoman"/>
      <w:lvlText w:val="%3."/>
      <w:lvlJc w:val="right"/>
      <w:pPr>
        <w:ind w:left="3240" w:hanging="180"/>
      </w:pPr>
    </w:lvl>
    <w:lvl w:ilvl="3" w:tplc="4972023C" w:tentative="1">
      <w:start w:val="1"/>
      <w:numFmt w:val="decimal"/>
      <w:lvlText w:val="%4."/>
      <w:lvlJc w:val="left"/>
      <w:pPr>
        <w:ind w:left="3960" w:hanging="360"/>
      </w:pPr>
    </w:lvl>
    <w:lvl w:ilvl="4" w:tplc="2990E226" w:tentative="1">
      <w:start w:val="1"/>
      <w:numFmt w:val="lowerLetter"/>
      <w:lvlText w:val="%5."/>
      <w:lvlJc w:val="left"/>
      <w:pPr>
        <w:ind w:left="4680" w:hanging="360"/>
      </w:pPr>
    </w:lvl>
    <w:lvl w:ilvl="5" w:tplc="8BA01494" w:tentative="1">
      <w:start w:val="1"/>
      <w:numFmt w:val="lowerRoman"/>
      <w:lvlText w:val="%6."/>
      <w:lvlJc w:val="right"/>
      <w:pPr>
        <w:ind w:left="5400" w:hanging="180"/>
      </w:pPr>
    </w:lvl>
    <w:lvl w:ilvl="6" w:tplc="BEE860D6" w:tentative="1">
      <w:start w:val="1"/>
      <w:numFmt w:val="decimal"/>
      <w:lvlText w:val="%7."/>
      <w:lvlJc w:val="left"/>
      <w:pPr>
        <w:ind w:left="6120" w:hanging="360"/>
      </w:pPr>
    </w:lvl>
    <w:lvl w:ilvl="7" w:tplc="567AF03E" w:tentative="1">
      <w:start w:val="1"/>
      <w:numFmt w:val="lowerLetter"/>
      <w:lvlText w:val="%8."/>
      <w:lvlJc w:val="left"/>
      <w:pPr>
        <w:ind w:left="6840" w:hanging="360"/>
      </w:pPr>
    </w:lvl>
    <w:lvl w:ilvl="8" w:tplc="3F02A98E" w:tentative="1">
      <w:start w:val="1"/>
      <w:numFmt w:val="lowerRoman"/>
      <w:lvlText w:val="%9."/>
      <w:lvlJc w:val="right"/>
      <w:pPr>
        <w:ind w:left="7560" w:hanging="180"/>
      </w:pPr>
    </w:lvl>
  </w:abstractNum>
  <w:abstractNum w:abstractNumId="8" w15:restartNumberingAfterBreak="0">
    <w:nsid w:val="5648606B"/>
    <w:multiLevelType w:val="multilevel"/>
    <w:tmpl w:val="C4D0E18C"/>
    <w:lvl w:ilvl="0">
      <w:start w:val="1"/>
      <w:numFmt w:val="decimal"/>
      <w:pStyle w:val="Heading21"/>
      <w:lvlText w:val="%1."/>
      <w:lvlJc w:val="left"/>
      <w:pPr>
        <w:ind w:left="2160" w:hanging="720"/>
      </w:pPr>
      <w:rPr>
        <w:rFonts w:ascii="Century Schoolbook" w:hAnsi="Century Schoolbook" w:hint="default"/>
        <w:b/>
        <w:i w:val="0"/>
        <w:sz w:val="26"/>
      </w:rPr>
    </w:lvl>
    <w:lvl w:ilvl="1">
      <w:start w:val="1"/>
      <w:numFmt w:val="decimal"/>
      <w:pStyle w:val="Heading3"/>
      <w:lvlText w:val="%1.%2."/>
      <w:lvlJc w:val="left"/>
      <w:pPr>
        <w:tabs>
          <w:tab w:val="num" w:pos="2880"/>
        </w:tabs>
        <w:ind w:left="2880" w:hanging="720"/>
      </w:pPr>
      <w:rPr>
        <w:rFonts w:ascii="Century Schoolbook" w:hAnsi="Century Schoolbook" w:hint="default"/>
        <w:b/>
        <w:i w:val="0"/>
        <w:kern w:val="20"/>
        <w:sz w:val="26"/>
      </w:rPr>
    </w:lvl>
    <w:lvl w:ilvl="2">
      <w:start w:val="1"/>
      <w:numFmt w:val="decimal"/>
      <w:pStyle w:val="Heading4"/>
      <w:lvlText w:val="%1.%2.%3."/>
      <w:lvlJc w:val="left"/>
      <w:pPr>
        <w:tabs>
          <w:tab w:val="num" w:pos="3067"/>
        </w:tabs>
        <w:ind w:left="3067" w:hanging="907"/>
      </w:pPr>
      <w:rPr>
        <w:rFonts w:ascii="Century Schoolbook" w:hAnsi="Century Schoolbook" w:hint="default"/>
        <w:b/>
        <w:i w:val="0"/>
        <w:sz w:val="26"/>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9" w15:restartNumberingAfterBreak="0">
    <w:nsid w:val="56D15934"/>
    <w:multiLevelType w:val="hybridMultilevel"/>
    <w:tmpl w:val="6BA4DAC4"/>
    <w:lvl w:ilvl="0" w:tplc="978083EE">
      <w:start w:val="1"/>
      <w:numFmt w:val="upperRoman"/>
      <w:lvlText w:val="%1."/>
      <w:lvlJc w:val="left"/>
      <w:pPr>
        <w:ind w:left="1080" w:hanging="720"/>
      </w:pPr>
      <w:rPr>
        <w:rFonts w:hint="default"/>
      </w:rPr>
    </w:lvl>
    <w:lvl w:ilvl="1" w:tplc="A25C1A5A" w:tentative="1">
      <w:start w:val="1"/>
      <w:numFmt w:val="lowerLetter"/>
      <w:lvlText w:val="%2."/>
      <w:lvlJc w:val="left"/>
      <w:pPr>
        <w:ind w:left="1440" w:hanging="360"/>
      </w:pPr>
    </w:lvl>
    <w:lvl w:ilvl="2" w:tplc="4D3C717A" w:tentative="1">
      <w:start w:val="1"/>
      <w:numFmt w:val="lowerRoman"/>
      <w:lvlText w:val="%3."/>
      <w:lvlJc w:val="right"/>
      <w:pPr>
        <w:ind w:left="2160" w:hanging="180"/>
      </w:pPr>
    </w:lvl>
    <w:lvl w:ilvl="3" w:tplc="FA24E6CA" w:tentative="1">
      <w:start w:val="1"/>
      <w:numFmt w:val="decimal"/>
      <w:lvlText w:val="%4."/>
      <w:lvlJc w:val="left"/>
      <w:pPr>
        <w:ind w:left="2880" w:hanging="360"/>
      </w:pPr>
    </w:lvl>
    <w:lvl w:ilvl="4" w:tplc="5218F002" w:tentative="1">
      <w:start w:val="1"/>
      <w:numFmt w:val="lowerLetter"/>
      <w:lvlText w:val="%5."/>
      <w:lvlJc w:val="left"/>
      <w:pPr>
        <w:ind w:left="3600" w:hanging="360"/>
      </w:pPr>
    </w:lvl>
    <w:lvl w:ilvl="5" w:tplc="392EF4D8" w:tentative="1">
      <w:start w:val="1"/>
      <w:numFmt w:val="lowerRoman"/>
      <w:lvlText w:val="%6."/>
      <w:lvlJc w:val="right"/>
      <w:pPr>
        <w:ind w:left="4320" w:hanging="180"/>
      </w:pPr>
    </w:lvl>
    <w:lvl w:ilvl="6" w:tplc="A8DEEBC0" w:tentative="1">
      <w:start w:val="1"/>
      <w:numFmt w:val="decimal"/>
      <w:lvlText w:val="%7."/>
      <w:lvlJc w:val="left"/>
      <w:pPr>
        <w:ind w:left="5040" w:hanging="360"/>
      </w:pPr>
    </w:lvl>
    <w:lvl w:ilvl="7" w:tplc="EE1C71CE" w:tentative="1">
      <w:start w:val="1"/>
      <w:numFmt w:val="lowerLetter"/>
      <w:lvlText w:val="%8."/>
      <w:lvlJc w:val="left"/>
      <w:pPr>
        <w:ind w:left="5760" w:hanging="360"/>
      </w:pPr>
    </w:lvl>
    <w:lvl w:ilvl="8" w:tplc="5292F9F4" w:tentative="1">
      <w:start w:val="1"/>
      <w:numFmt w:val="lowerRoman"/>
      <w:lvlText w:val="%9."/>
      <w:lvlJc w:val="right"/>
      <w:pPr>
        <w:ind w:left="6480" w:hanging="180"/>
      </w:pPr>
    </w:lvl>
  </w:abstractNum>
  <w:abstractNum w:abstractNumId="10" w15:restartNumberingAfterBreak="0">
    <w:nsid w:val="573E408E"/>
    <w:multiLevelType w:val="hybridMultilevel"/>
    <w:tmpl w:val="0F9AC4AE"/>
    <w:lvl w:ilvl="0" w:tplc="4906F2DA">
      <w:start w:val="1"/>
      <w:numFmt w:val="upperRoman"/>
      <w:lvlText w:val="%1."/>
      <w:lvlJc w:val="left"/>
      <w:pPr>
        <w:ind w:left="1080" w:hanging="720"/>
      </w:pPr>
      <w:rPr>
        <w:rFonts w:hint="default"/>
      </w:rPr>
    </w:lvl>
    <w:lvl w:ilvl="1" w:tplc="50ECC968" w:tentative="1">
      <w:start w:val="1"/>
      <w:numFmt w:val="lowerLetter"/>
      <w:lvlText w:val="%2."/>
      <w:lvlJc w:val="left"/>
      <w:pPr>
        <w:ind w:left="1440" w:hanging="360"/>
      </w:pPr>
    </w:lvl>
    <w:lvl w:ilvl="2" w:tplc="1B40A634" w:tentative="1">
      <w:start w:val="1"/>
      <w:numFmt w:val="lowerRoman"/>
      <w:lvlText w:val="%3."/>
      <w:lvlJc w:val="right"/>
      <w:pPr>
        <w:ind w:left="2160" w:hanging="180"/>
      </w:pPr>
    </w:lvl>
    <w:lvl w:ilvl="3" w:tplc="89D077F2" w:tentative="1">
      <w:start w:val="1"/>
      <w:numFmt w:val="decimal"/>
      <w:lvlText w:val="%4."/>
      <w:lvlJc w:val="left"/>
      <w:pPr>
        <w:ind w:left="2880" w:hanging="360"/>
      </w:pPr>
    </w:lvl>
    <w:lvl w:ilvl="4" w:tplc="E62822B0" w:tentative="1">
      <w:start w:val="1"/>
      <w:numFmt w:val="lowerLetter"/>
      <w:lvlText w:val="%5."/>
      <w:lvlJc w:val="left"/>
      <w:pPr>
        <w:ind w:left="3600" w:hanging="360"/>
      </w:pPr>
    </w:lvl>
    <w:lvl w:ilvl="5" w:tplc="1B80488C" w:tentative="1">
      <w:start w:val="1"/>
      <w:numFmt w:val="lowerRoman"/>
      <w:lvlText w:val="%6."/>
      <w:lvlJc w:val="right"/>
      <w:pPr>
        <w:ind w:left="4320" w:hanging="180"/>
      </w:pPr>
    </w:lvl>
    <w:lvl w:ilvl="6" w:tplc="8D1A9B3C" w:tentative="1">
      <w:start w:val="1"/>
      <w:numFmt w:val="decimal"/>
      <w:lvlText w:val="%7."/>
      <w:lvlJc w:val="left"/>
      <w:pPr>
        <w:ind w:left="5040" w:hanging="360"/>
      </w:pPr>
    </w:lvl>
    <w:lvl w:ilvl="7" w:tplc="BAE44CE2" w:tentative="1">
      <w:start w:val="1"/>
      <w:numFmt w:val="lowerLetter"/>
      <w:lvlText w:val="%8."/>
      <w:lvlJc w:val="left"/>
      <w:pPr>
        <w:ind w:left="5760" w:hanging="360"/>
      </w:pPr>
    </w:lvl>
    <w:lvl w:ilvl="8" w:tplc="06F43BCC" w:tentative="1">
      <w:start w:val="1"/>
      <w:numFmt w:val="lowerRoman"/>
      <w:lvlText w:val="%9."/>
      <w:lvlJc w:val="right"/>
      <w:pPr>
        <w:ind w:left="6480" w:hanging="180"/>
      </w:pPr>
    </w:lvl>
  </w:abstractNum>
  <w:abstractNum w:abstractNumId="11" w15:restartNumberingAfterBreak="0">
    <w:nsid w:val="677F5368"/>
    <w:multiLevelType w:val="hybridMultilevel"/>
    <w:tmpl w:val="89B6812C"/>
    <w:lvl w:ilvl="0" w:tplc="0EA05A80">
      <w:start w:val="1"/>
      <w:numFmt w:val="upperLetter"/>
      <w:lvlText w:val="%1."/>
      <w:lvlJc w:val="left"/>
      <w:pPr>
        <w:ind w:left="1080" w:hanging="360"/>
      </w:pPr>
      <w:rPr>
        <w:rFonts w:hint="default"/>
      </w:rPr>
    </w:lvl>
    <w:lvl w:ilvl="1" w:tplc="7CA2D47E" w:tentative="1">
      <w:start w:val="1"/>
      <w:numFmt w:val="lowerLetter"/>
      <w:lvlText w:val="%2."/>
      <w:lvlJc w:val="left"/>
      <w:pPr>
        <w:ind w:left="1800" w:hanging="360"/>
      </w:pPr>
    </w:lvl>
    <w:lvl w:ilvl="2" w:tplc="7538816A" w:tentative="1">
      <w:start w:val="1"/>
      <w:numFmt w:val="lowerRoman"/>
      <w:lvlText w:val="%3."/>
      <w:lvlJc w:val="right"/>
      <w:pPr>
        <w:ind w:left="2520" w:hanging="180"/>
      </w:pPr>
    </w:lvl>
    <w:lvl w:ilvl="3" w:tplc="5C243FFC" w:tentative="1">
      <w:start w:val="1"/>
      <w:numFmt w:val="decimal"/>
      <w:lvlText w:val="%4."/>
      <w:lvlJc w:val="left"/>
      <w:pPr>
        <w:ind w:left="3240" w:hanging="360"/>
      </w:pPr>
    </w:lvl>
    <w:lvl w:ilvl="4" w:tplc="0C6610FE" w:tentative="1">
      <w:start w:val="1"/>
      <w:numFmt w:val="lowerLetter"/>
      <w:lvlText w:val="%5."/>
      <w:lvlJc w:val="left"/>
      <w:pPr>
        <w:ind w:left="3960" w:hanging="360"/>
      </w:pPr>
    </w:lvl>
    <w:lvl w:ilvl="5" w:tplc="1F76374A" w:tentative="1">
      <w:start w:val="1"/>
      <w:numFmt w:val="lowerRoman"/>
      <w:lvlText w:val="%6."/>
      <w:lvlJc w:val="right"/>
      <w:pPr>
        <w:ind w:left="4680" w:hanging="180"/>
      </w:pPr>
    </w:lvl>
    <w:lvl w:ilvl="6" w:tplc="7C94C662" w:tentative="1">
      <w:start w:val="1"/>
      <w:numFmt w:val="decimal"/>
      <w:lvlText w:val="%7."/>
      <w:lvlJc w:val="left"/>
      <w:pPr>
        <w:ind w:left="5400" w:hanging="360"/>
      </w:pPr>
    </w:lvl>
    <w:lvl w:ilvl="7" w:tplc="5B30C4A0" w:tentative="1">
      <w:start w:val="1"/>
      <w:numFmt w:val="lowerLetter"/>
      <w:lvlText w:val="%8."/>
      <w:lvlJc w:val="left"/>
      <w:pPr>
        <w:ind w:left="6120" w:hanging="360"/>
      </w:pPr>
    </w:lvl>
    <w:lvl w:ilvl="8" w:tplc="A8EACB58" w:tentative="1">
      <w:start w:val="1"/>
      <w:numFmt w:val="lowerRoman"/>
      <w:lvlText w:val="%9."/>
      <w:lvlJc w:val="right"/>
      <w:pPr>
        <w:ind w:left="6840" w:hanging="180"/>
      </w:pPr>
    </w:lvl>
  </w:abstractNum>
  <w:abstractNum w:abstractNumId="12" w15:restartNumberingAfterBreak="0">
    <w:nsid w:val="6CC76C19"/>
    <w:multiLevelType w:val="hybridMultilevel"/>
    <w:tmpl w:val="6E0670B8"/>
    <w:lvl w:ilvl="0" w:tplc="FC668C1C">
      <w:start w:val="1"/>
      <w:numFmt w:val="upperRoman"/>
      <w:lvlText w:val="%1."/>
      <w:lvlJc w:val="left"/>
      <w:pPr>
        <w:ind w:left="1080" w:hanging="720"/>
      </w:pPr>
      <w:rPr>
        <w:rFonts w:hint="default"/>
      </w:rPr>
    </w:lvl>
    <w:lvl w:ilvl="1" w:tplc="70C25EE4" w:tentative="1">
      <w:start w:val="1"/>
      <w:numFmt w:val="lowerLetter"/>
      <w:lvlText w:val="%2."/>
      <w:lvlJc w:val="left"/>
      <w:pPr>
        <w:ind w:left="1440" w:hanging="360"/>
      </w:pPr>
    </w:lvl>
    <w:lvl w:ilvl="2" w:tplc="D32CDF90" w:tentative="1">
      <w:start w:val="1"/>
      <w:numFmt w:val="lowerRoman"/>
      <w:lvlText w:val="%3."/>
      <w:lvlJc w:val="right"/>
      <w:pPr>
        <w:ind w:left="2160" w:hanging="180"/>
      </w:pPr>
    </w:lvl>
    <w:lvl w:ilvl="3" w:tplc="3EE64E1A" w:tentative="1">
      <w:start w:val="1"/>
      <w:numFmt w:val="decimal"/>
      <w:lvlText w:val="%4."/>
      <w:lvlJc w:val="left"/>
      <w:pPr>
        <w:ind w:left="2880" w:hanging="360"/>
      </w:pPr>
    </w:lvl>
    <w:lvl w:ilvl="4" w:tplc="CE623118" w:tentative="1">
      <w:start w:val="1"/>
      <w:numFmt w:val="lowerLetter"/>
      <w:lvlText w:val="%5."/>
      <w:lvlJc w:val="left"/>
      <w:pPr>
        <w:ind w:left="3600" w:hanging="360"/>
      </w:pPr>
    </w:lvl>
    <w:lvl w:ilvl="5" w:tplc="EFCCF4D0" w:tentative="1">
      <w:start w:val="1"/>
      <w:numFmt w:val="lowerRoman"/>
      <w:lvlText w:val="%6."/>
      <w:lvlJc w:val="right"/>
      <w:pPr>
        <w:ind w:left="4320" w:hanging="180"/>
      </w:pPr>
    </w:lvl>
    <w:lvl w:ilvl="6" w:tplc="8BCC9FD8" w:tentative="1">
      <w:start w:val="1"/>
      <w:numFmt w:val="decimal"/>
      <w:lvlText w:val="%7."/>
      <w:lvlJc w:val="left"/>
      <w:pPr>
        <w:ind w:left="5040" w:hanging="360"/>
      </w:pPr>
    </w:lvl>
    <w:lvl w:ilvl="7" w:tplc="CB122236" w:tentative="1">
      <w:start w:val="1"/>
      <w:numFmt w:val="lowerLetter"/>
      <w:lvlText w:val="%8."/>
      <w:lvlJc w:val="left"/>
      <w:pPr>
        <w:ind w:left="5760" w:hanging="360"/>
      </w:pPr>
    </w:lvl>
    <w:lvl w:ilvl="8" w:tplc="C3C63318" w:tentative="1">
      <w:start w:val="1"/>
      <w:numFmt w:val="lowerRoman"/>
      <w:lvlText w:val="%9."/>
      <w:lvlJc w:val="right"/>
      <w:pPr>
        <w:ind w:left="6480" w:hanging="180"/>
      </w:pPr>
    </w:lvl>
  </w:abstractNum>
  <w:abstractNum w:abstractNumId="13" w15:restartNumberingAfterBreak="0">
    <w:nsid w:val="7456578E"/>
    <w:multiLevelType w:val="hybridMultilevel"/>
    <w:tmpl w:val="48ECF166"/>
    <w:lvl w:ilvl="0" w:tplc="C590D3A4">
      <w:start w:val="1"/>
      <w:numFmt w:val="upperLetter"/>
      <w:lvlText w:val="%1."/>
      <w:lvlJc w:val="left"/>
      <w:pPr>
        <w:ind w:left="720" w:hanging="360"/>
      </w:pPr>
      <w:rPr>
        <w:rFonts w:hint="default"/>
      </w:rPr>
    </w:lvl>
    <w:lvl w:ilvl="1" w:tplc="B1708A3E" w:tentative="1">
      <w:start w:val="1"/>
      <w:numFmt w:val="lowerLetter"/>
      <w:lvlText w:val="%2."/>
      <w:lvlJc w:val="left"/>
      <w:pPr>
        <w:ind w:left="1440" w:hanging="360"/>
      </w:pPr>
    </w:lvl>
    <w:lvl w:ilvl="2" w:tplc="F3C223BA" w:tentative="1">
      <w:start w:val="1"/>
      <w:numFmt w:val="lowerRoman"/>
      <w:lvlText w:val="%3."/>
      <w:lvlJc w:val="right"/>
      <w:pPr>
        <w:ind w:left="2160" w:hanging="180"/>
      </w:pPr>
    </w:lvl>
    <w:lvl w:ilvl="3" w:tplc="DB88AB32" w:tentative="1">
      <w:start w:val="1"/>
      <w:numFmt w:val="decimal"/>
      <w:lvlText w:val="%4."/>
      <w:lvlJc w:val="left"/>
      <w:pPr>
        <w:ind w:left="2880" w:hanging="360"/>
      </w:pPr>
    </w:lvl>
    <w:lvl w:ilvl="4" w:tplc="0F7A1DE0" w:tentative="1">
      <w:start w:val="1"/>
      <w:numFmt w:val="lowerLetter"/>
      <w:lvlText w:val="%5."/>
      <w:lvlJc w:val="left"/>
      <w:pPr>
        <w:ind w:left="3600" w:hanging="360"/>
      </w:pPr>
    </w:lvl>
    <w:lvl w:ilvl="5" w:tplc="92FA1CD6" w:tentative="1">
      <w:start w:val="1"/>
      <w:numFmt w:val="lowerRoman"/>
      <w:lvlText w:val="%6."/>
      <w:lvlJc w:val="right"/>
      <w:pPr>
        <w:ind w:left="4320" w:hanging="180"/>
      </w:pPr>
    </w:lvl>
    <w:lvl w:ilvl="6" w:tplc="B8BCA05C" w:tentative="1">
      <w:start w:val="1"/>
      <w:numFmt w:val="decimal"/>
      <w:lvlText w:val="%7."/>
      <w:lvlJc w:val="left"/>
      <w:pPr>
        <w:ind w:left="5040" w:hanging="360"/>
      </w:pPr>
    </w:lvl>
    <w:lvl w:ilvl="7" w:tplc="92040F0E" w:tentative="1">
      <w:start w:val="1"/>
      <w:numFmt w:val="lowerLetter"/>
      <w:lvlText w:val="%8."/>
      <w:lvlJc w:val="left"/>
      <w:pPr>
        <w:ind w:left="5760" w:hanging="360"/>
      </w:pPr>
    </w:lvl>
    <w:lvl w:ilvl="8" w:tplc="F7BA2A3C" w:tentative="1">
      <w:start w:val="1"/>
      <w:numFmt w:val="lowerRoman"/>
      <w:lvlText w:val="%9."/>
      <w:lvlJc w:val="right"/>
      <w:pPr>
        <w:ind w:left="6480" w:hanging="180"/>
      </w:pPr>
    </w:lvl>
  </w:abstractNum>
  <w:abstractNum w:abstractNumId="14" w15:restartNumberingAfterBreak="0">
    <w:nsid w:val="7FCE558F"/>
    <w:multiLevelType w:val="hybridMultilevel"/>
    <w:tmpl w:val="38B01224"/>
    <w:lvl w:ilvl="0" w:tplc="D2823DF0">
      <w:start w:val="1"/>
      <w:numFmt w:val="upperLetter"/>
      <w:lvlText w:val="%1."/>
      <w:lvlJc w:val="left"/>
      <w:pPr>
        <w:ind w:left="1080" w:hanging="360"/>
      </w:pPr>
      <w:rPr>
        <w:rFonts w:hint="default"/>
      </w:rPr>
    </w:lvl>
    <w:lvl w:ilvl="1" w:tplc="8280F75E">
      <w:start w:val="1"/>
      <w:numFmt w:val="lowerLetter"/>
      <w:lvlText w:val="%2."/>
      <w:lvlJc w:val="left"/>
      <w:pPr>
        <w:ind w:left="1800" w:hanging="360"/>
      </w:pPr>
    </w:lvl>
    <w:lvl w:ilvl="2" w:tplc="8A50A43C" w:tentative="1">
      <w:start w:val="1"/>
      <w:numFmt w:val="lowerRoman"/>
      <w:lvlText w:val="%3."/>
      <w:lvlJc w:val="right"/>
      <w:pPr>
        <w:ind w:left="2520" w:hanging="180"/>
      </w:pPr>
    </w:lvl>
    <w:lvl w:ilvl="3" w:tplc="04463756" w:tentative="1">
      <w:start w:val="1"/>
      <w:numFmt w:val="decimal"/>
      <w:lvlText w:val="%4."/>
      <w:lvlJc w:val="left"/>
      <w:pPr>
        <w:ind w:left="3240" w:hanging="360"/>
      </w:pPr>
    </w:lvl>
    <w:lvl w:ilvl="4" w:tplc="6BD649D6" w:tentative="1">
      <w:start w:val="1"/>
      <w:numFmt w:val="lowerLetter"/>
      <w:lvlText w:val="%5."/>
      <w:lvlJc w:val="left"/>
      <w:pPr>
        <w:ind w:left="3960" w:hanging="360"/>
      </w:pPr>
    </w:lvl>
    <w:lvl w:ilvl="5" w:tplc="FC528D4A" w:tentative="1">
      <w:start w:val="1"/>
      <w:numFmt w:val="lowerRoman"/>
      <w:lvlText w:val="%6."/>
      <w:lvlJc w:val="right"/>
      <w:pPr>
        <w:ind w:left="4680" w:hanging="180"/>
      </w:pPr>
    </w:lvl>
    <w:lvl w:ilvl="6" w:tplc="C588809C" w:tentative="1">
      <w:start w:val="1"/>
      <w:numFmt w:val="decimal"/>
      <w:lvlText w:val="%7."/>
      <w:lvlJc w:val="left"/>
      <w:pPr>
        <w:ind w:left="5400" w:hanging="360"/>
      </w:pPr>
    </w:lvl>
    <w:lvl w:ilvl="7" w:tplc="5AAABAF4" w:tentative="1">
      <w:start w:val="1"/>
      <w:numFmt w:val="lowerLetter"/>
      <w:lvlText w:val="%8."/>
      <w:lvlJc w:val="left"/>
      <w:pPr>
        <w:ind w:left="6120" w:hanging="360"/>
      </w:pPr>
    </w:lvl>
    <w:lvl w:ilvl="8" w:tplc="A2541FF8" w:tentative="1">
      <w:start w:val="1"/>
      <w:numFmt w:val="lowerRoman"/>
      <w:lvlText w:val="%9."/>
      <w:lvlJc w:val="right"/>
      <w:pPr>
        <w:ind w:left="684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4"/>
  </w:num>
  <w:num w:numId="7">
    <w:abstractNumId w:val="14"/>
  </w:num>
  <w:num w:numId="8">
    <w:abstractNumId w:val="0"/>
  </w:num>
  <w:num w:numId="9">
    <w:abstractNumId w:val="9"/>
  </w:num>
  <w:num w:numId="10">
    <w:abstractNumId w:val="10"/>
  </w:num>
  <w:num w:numId="11">
    <w:abstractNumId w:val="12"/>
  </w:num>
  <w:num w:numId="12">
    <w:abstractNumId w:val="1"/>
  </w:num>
  <w:num w:numId="13">
    <w:abstractNumId w:val="11"/>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A3F"/>
    <w:rsid w:val="003467D7"/>
    <w:rsid w:val="00B24AFB"/>
    <w:rsid w:val="00B74A3F"/>
    <w:rsid w:val="00E7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Century Schoolbook" w:hAnsi="Century Schoolbook"/>
      <w:sz w:val="26"/>
      <w:szCs w:val="22"/>
    </w:rPr>
  </w:style>
  <w:style w:type="paragraph" w:styleId="Heading1">
    <w:name w:val="heading 1"/>
    <w:basedOn w:val="Normal"/>
    <w:next w:val="Normal"/>
    <w:link w:val="Heading1Char"/>
    <w:uiPriority w:val="9"/>
    <w:qFormat/>
    <w:rsid w:val="009530E4"/>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9530E4"/>
    <w:pPr>
      <w:keepNext/>
      <w:spacing w:before="240" w:after="60"/>
      <w:outlineLvl w:val="1"/>
    </w:pPr>
    <w:rPr>
      <w:rFonts w:ascii="Calibri Light" w:eastAsia="Times New Roman" w:hAnsi="Calibri Light"/>
      <w:b/>
      <w:bCs/>
      <w:i/>
      <w:iCs/>
      <w:sz w:val="28"/>
      <w:szCs w:val="28"/>
    </w:rPr>
  </w:style>
  <w:style w:type="paragraph" w:styleId="Heading3">
    <w:name w:val="heading 3"/>
    <w:basedOn w:val="Heading2"/>
    <w:next w:val="Normal"/>
    <w:link w:val="Heading3Char"/>
    <w:uiPriority w:val="9"/>
    <w:unhideWhenUsed/>
    <w:qFormat/>
    <w:rsid w:val="009530E4"/>
    <w:pPr>
      <w:keepLines/>
      <w:numPr>
        <w:ilvl w:val="1"/>
        <w:numId w:val="1"/>
      </w:numPr>
      <w:tabs>
        <w:tab w:val="left" w:pos="720"/>
      </w:tabs>
      <w:suppressAutoHyphens/>
      <w:spacing w:before="120" w:after="120"/>
      <w:outlineLvl w:val="2"/>
    </w:pPr>
    <w:rPr>
      <w:rFonts w:ascii="Century Schoolbook" w:eastAsia="Calibri" w:hAnsi="Century Schoolbook"/>
      <w:bCs w:val="0"/>
      <w:i w:val="0"/>
      <w:iCs w:val="0"/>
      <w:kern w:val="2"/>
      <w:sz w:val="25"/>
      <w:szCs w:val="26"/>
    </w:rPr>
  </w:style>
  <w:style w:type="paragraph" w:styleId="Heading4">
    <w:name w:val="heading 4"/>
    <w:basedOn w:val="Heading3"/>
    <w:next w:val="Normal"/>
    <w:link w:val="Heading4Char"/>
    <w:uiPriority w:val="9"/>
    <w:unhideWhenUsed/>
    <w:qFormat/>
    <w:rsid w:val="009530E4"/>
    <w:pPr>
      <w:numPr>
        <w:ilvl w:val="2"/>
      </w:num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30E4"/>
    <w:rPr>
      <w:sz w:val="20"/>
      <w:szCs w:val="20"/>
    </w:rPr>
  </w:style>
  <w:style w:type="character" w:customStyle="1" w:styleId="FootnoteTextChar">
    <w:name w:val="Footnote Text Char"/>
    <w:link w:val="FootnoteText"/>
    <w:uiPriority w:val="99"/>
    <w:semiHidden/>
    <w:rsid w:val="009530E4"/>
    <w:rPr>
      <w:rFonts w:ascii="Century Schoolbook" w:hAnsi="Century Schoolbook"/>
    </w:rPr>
  </w:style>
  <w:style w:type="paragraph" w:customStyle="1" w:styleId="Heading21">
    <w:name w:val="Heading 21"/>
    <w:basedOn w:val="Heading1"/>
    <w:next w:val="Normal"/>
    <w:uiPriority w:val="9"/>
    <w:unhideWhenUsed/>
    <w:qFormat/>
    <w:rsid w:val="009530E4"/>
    <w:pPr>
      <w:keepLines/>
      <w:numPr>
        <w:numId w:val="1"/>
      </w:numPr>
      <w:tabs>
        <w:tab w:val="num" w:pos="360"/>
        <w:tab w:val="left" w:pos="720"/>
      </w:tabs>
      <w:suppressAutoHyphens/>
      <w:spacing w:before="120" w:after="120"/>
      <w:ind w:left="0" w:firstLine="0"/>
      <w:outlineLvl w:val="1"/>
    </w:pPr>
    <w:rPr>
      <w:rFonts w:ascii="Century Schoolbook" w:eastAsia="Calibri" w:hAnsi="Century Schoolbook"/>
      <w:bCs w:val="0"/>
      <w:kern w:val="16"/>
      <w:sz w:val="25"/>
      <w:szCs w:val="26"/>
    </w:rPr>
  </w:style>
  <w:style w:type="character" w:customStyle="1" w:styleId="Heading3Char">
    <w:name w:val="Heading 3 Char"/>
    <w:link w:val="Heading3"/>
    <w:uiPriority w:val="9"/>
    <w:rsid w:val="009530E4"/>
    <w:rPr>
      <w:rFonts w:ascii="Century Schoolbook" w:hAnsi="Century Schoolbook"/>
      <w:b/>
      <w:kern w:val="2"/>
      <w:sz w:val="25"/>
      <w:szCs w:val="26"/>
    </w:rPr>
  </w:style>
  <w:style w:type="character" w:customStyle="1" w:styleId="Heading4Char">
    <w:name w:val="Heading 4 Char"/>
    <w:link w:val="Heading4"/>
    <w:uiPriority w:val="9"/>
    <w:rsid w:val="009530E4"/>
    <w:rPr>
      <w:rFonts w:ascii="Century Schoolbook" w:hAnsi="Century Schoolbook"/>
      <w:b/>
      <w:bCs/>
      <w:kern w:val="2"/>
      <w:sz w:val="25"/>
      <w:szCs w:val="26"/>
    </w:rPr>
  </w:style>
  <w:style w:type="character" w:styleId="FootnoteReference">
    <w:name w:val="footnote reference"/>
    <w:unhideWhenUsed/>
    <w:qFormat/>
    <w:rsid w:val="009530E4"/>
    <w:rPr>
      <w:rFonts w:ascii="Century Schoolbook" w:hAnsi="Century Schoolbook"/>
      <w:b/>
      <w:sz w:val="24"/>
      <w:vertAlign w:val="superscript"/>
    </w:rPr>
  </w:style>
  <w:style w:type="table" w:customStyle="1" w:styleId="TableGrid1">
    <w:name w:val="Table Grid1"/>
    <w:basedOn w:val="TableNormal"/>
    <w:next w:val="TableGrid"/>
    <w:uiPriority w:val="59"/>
    <w:rsid w:val="009530E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9530E4"/>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9530E4"/>
    <w:rPr>
      <w:rFonts w:ascii="Calibri Light" w:eastAsia="Times New Roman" w:hAnsi="Calibri Light" w:cs="Times New Roman"/>
      <w:b/>
      <w:bCs/>
      <w:i/>
      <w:iCs/>
      <w:sz w:val="28"/>
      <w:szCs w:val="28"/>
    </w:rPr>
  </w:style>
  <w:style w:type="table" w:styleId="TableGrid">
    <w:name w:val="Table Grid"/>
    <w:basedOn w:val="TableNormal"/>
    <w:uiPriority w:val="39"/>
    <w:rsid w:val="0095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141BB"/>
    <w:rPr>
      <w:color w:val="0563C1"/>
      <w:u w:val="single"/>
    </w:rPr>
  </w:style>
  <w:style w:type="paragraph" w:styleId="ListParagraph">
    <w:name w:val="List Paragraph"/>
    <w:basedOn w:val="Normal"/>
    <w:uiPriority w:val="34"/>
    <w:qFormat/>
    <w:rsid w:val="002622C4"/>
    <w:pPr>
      <w:ind w:left="720"/>
    </w:pPr>
  </w:style>
  <w:style w:type="paragraph" w:styleId="Header">
    <w:name w:val="header"/>
    <w:basedOn w:val="Normal"/>
    <w:link w:val="HeaderChar"/>
    <w:uiPriority w:val="99"/>
    <w:unhideWhenUsed/>
    <w:rsid w:val="002622C4"/>
    <w:pPr>
      <w:tabs>
        <w:tab w:val="center" w:pos="4680"/>
        <w:tab w:val="right" w:pos="9360"/>
      </w:tabs>
    </w:pPr>
  </w:style>
  <w:style w:type="character" w:customStyle="1" w:styleId="HeaderChar">
    <w:name w:val="Header Char"/>
    <w:link w:val="Header"/>
    <w:uiPriority w:val="99"/>
    <w:rsid w:val="002622C4"/>
    <w:rPr>
      <w:rFonts w:ascii="Century Schoolbook" w:hAnsi="Century Schoolbook"/>
      <w:sz w:val="26"/>
      <w:szCs w:val="22"/>
    </w:rPr>
  </w:style>
  <w:style w:type="paragraph" w:styleId="Footer">
    <w:name w:val="footer"/>
    <w:basedOn w:val="Normal"/>
    <w:link w:val="FooterChar"/>
    <w:uiPriority w:val="99"/>
    <w:unhideWhenUsed/>
    <w:rsid w:val="002622C4"/>
    <w:pPr>
      <w:tabs>
        <w:tab w:val="center" w:pos="4680"/>
        <w:tab w:val="right" w:pos="9360"/>
      </w:tabs>
    </w:pPr>
  </w:style>
  <w:style w:type="character" w:customStyle="1" w:styleId="FooterChar">
    <w:name w:val="Footer Char"/>
    <w:link w:val="Footer"/>
    <w:uiPriority w:val="99"/>
    <w:rsid w:val="002622C4"/>
    <w:rPr>
      <w:rFonts w:ascii="Century Schoolbook" w:hAnsi="Century Schoolbook"/>
      <w:sz w:val="26"/>
      <w:szCs w:val="22"/>
    </w:rPr>
  </w:style>
  <w:style w:type="paragraph" w:styleId="BalloonText">
    <w:name w:val="Balloon Text"/>
    <w:basedOn w:val="Normal"/>
    <w:link w:val="BalloonTextChar"/>
    <w:uiPriority w:val="99"/>
    <w:semiHidden/>
    <w:unhideWhenUsed/>
    <w:rsid w:val="0046763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67639"/>
    <w:rPr>
      <w:rFonts w:ascii="Segoe UI" w:hAnsi="Segoe UI" w:cs="Segoe UI"/>
      <w:sz w:val="18"/>
      <w:szCs w:val="18"/>
    </w:rPr>
  </w:style>
  <w:style w:type="character" w:styleId="CommentReference">
    <w:name w:val="annotation reference"/>
    <w:uiPriority w:val="99"/>
    <w:semiHidden/>
    <w:unhideWhenUsed/>
    <w:rsid w:val="001B62FB"/>
    <w:rPr>
      <w:sz w:val="16"/>
      <w:szCs w:val="16"/>
    </w:rPr>
  </w:style>
  <w:style w:type="paragraph" w:styleId="CommentText">
    <w:name w:val="annotation text"/>
    <w:basedOn w:val="Normal"/>
    <w:link w:val="CommentTextChar"/>
    <w:uiPriority w:val="99"/>
    <w:semiHidden/>
    <w:unhideWhenUsed/>
    <w:rsid w:val="001B62FB"/>
    <w:rPr>
      <w:sz w:val="20"/>
      <w:szCs w:val="20"/>
    </w:rPr>
  </w:style>
  <w:style w:type="character" w:customStyle="1" w:styleId="CommentTextChar">
    <w:name w:val="Comment Text Char"/>
    <w:link w:val="CommentText"/>
    <w:uiPriority w:val="99"/>
    <w:semiHidden/>
    <w:rsid w:val="001B62FB"/>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1B62FB"/>
    <w:rPr>
      <w:b/>
      <w:bCs/>
    </w:rPr>
  </w:style>
  <w:style w:type="character" w:customStyle="1" w:styleId="CommentSubjectChar">
    <w:name w:val="Comment Subject Char"/>
    <w:link w:val="CommentSubject"/>
    <w:uiPriority w:val="99"/>
    <w:semiHidden/>
    <w:rsid w:val="001B62FB"/>
    <w:rPr>
      <w:rFonts w:ascii="Century Schoolbook" w:hAnsi="Century Schoolbook"/>
      <w:b/>
      <w:bCs/>
    </w:rPr>
  </w:style>
  <w:style w:type="character" w:customStyle="1" w:styleId="UnresolvedMention1">
    <w:name w:val="Unresolved Mention1"/>
    <w:uiPriority w:val="99"/>
    <w:semiHidden/>
    <w:unhideWhenUsed/>
    <w:rsid w:val="00D20C00"/>
    <w:rPr>
      <w:color w:val="605E5C"/>
      <w:shd w:val="clear" w:color="auto" w:fill="E1DFDD"/>
    </w:rPr>
  </w:style>
  <w:style w:type="character" w:styleId="FollowedHyperlink">
    <w:name w:val="FollowedHyperlink"/>
    <w:basedOn w:val="DefaultParagraphFont"/>
    <w:uiPriority w:val="99"/>
    <w:semiHidden/>
    <w:unhideWhenUsed/>
    <w:rsid w:val="001F4C49"/>
    <w:rPr>
      <w:color w:val="954F72" w:themeColor="followedHyperlink"/>
      <w:u w:val="single"/>
    </w:rPr>
  </w:style>
  <w:style w:type="character" w:customStyle="1" w:styleId="UnresolvedMention2">
    <w:name w:val="Unresolved Mention2"/>
    <w:basedOn w:val="DefaultParagraphFont"/>
    <w:uiPriority w:val="99"/>
    <w:semiHidden/>
    <w:unhideWhenUsed/>
    <w:rsid w:val="00E85C0C"/>
    <w:rPr>
      <w:color w:val="605E5C"/>
      <w:shd w:val="clear" w:color="auto" w:fill="E1DFDD"/>
    </w:rPr>
  </w:style>
  <w:style w:type="paragraph" w:customStyle="1" w:styleId="Noindent">
    <w:name w:val="No indent"/>
    <w:basedOn w:val="Normal"/>
    <w:qFormat/>
    <w:rsid w:val="00DA326D"/>
    <w:rPr>
      <w:rFonts w:eastAsia="Times New Roman"/>
      <w:kern w:val="2"/>
      <w:szCs w:val="26"/>
    </w:rPr>
  </w:style>
  <w:style w:type="paragraph" w:customStyle="1" w:styleId="paragraph">
    <w:name w:val="paragraph"/>
    <w:basedOn w:val="Normal"/>
    <w:rsid w:val="00DA326D"/>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DA326D"/>
  </w:style>
  <w:style w:type="character" w:customStyle="1" w:styleId="eop">
    <w:name w:val="eop"/>
    <w:rsid w:val="00DA3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4196</Words>
  <Characters>23063</Characters>
  <Application>Microsoft Office Word</Application>
  <DocSecurity>0</DocSecurity>
  <Lines>506</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2020-11-19T20:46:00Z</dcterms:created>
  <dcterms:modified xsi:type="dcterms:W3CDTF">2020-11-19T20:46:00Z</dcterms:modified>
  <cp:category/>
</cp:coreProperties>
</file>