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8E0A" w14:textId="6072F7F5" w:rsidR="00782EC9" w:rsidRPr="00FB52ED" w:rsidRDefault="0028508A" w:rsidP="00782EC9">
      <w:pPr>
        <w:pStyle w:val="Header"/>
        <w:tabs>
          <w:tab w:val="clear" w:pos="4680"/>
          <w:tab w:val="clear" w:pos="9360"/>
        </w:tabs>
        <w:rPr>
          <w:bCs/>
          <w:sz w:val="20"/>
          <w:szCs w:val="20"/>
        </w:rPr>
      </w:pPr>
      <w:r w:rsidRPr="00FB52ED">
        <w:rPr>
          <w:bCs/>
          <w:sz w:val="20"/>
          <w:szCs w:val="20"/>
        </w:rPr>
        <w:t>Filed 4/21/</w:t>
      </w:r>
      <w:r w:rsidRPr="00FB52ED">
        <w:rPr>
          <w:bCs/>
          <w:sz w:val="20"/>
          <w:szCs w:val="20"/>
        </w:rPr>
        <w:t>22</w:t>
      </w:r>
    </w:p>
    <w:p w14:paraId="17FC0162" w14:textId="77777777" w:rsidR="00782EC9" w:rsidRPr="00782EC9" w:rsidRDefault="0028508A" w:rsidP="00782EC9">
      <w:pPr>
        <w:spacing w:line="240" w:lineRule="auto"/>
        <w:jc w:val="center"/>
        <w:outlineLvl w:val="0"/>
        <w:rPr>
          <w:b/>
          <w:bCs/>
          <w:szCs w:val="26"/>
        </w:rPr>
      </w:pPr>
      <w:r w:rsidRPr="00325D07">
        <w:rPr>
          <w:b/>
          <w:bCs/>
          <w:szCs w:val="26"/>
        </w:rPr>
        <w:t>CERTIFIED FOR PUBLICATION</w:t>
      </w:r>
    </w:p>
    <w:p w14:paraId="39CDC7DF" w14:textId="77777777" w:rsidR="00782EC9" w:rsidRPr="00782EC9" w:rsidRDefault="0028508A" w:rsidP="00782EC9">
      <w:pPr>
        <w:spacing w:line="240" w:lineRule="auto"/>
        <w:jc w:val="center"/>
        <w:rPr>
          <w:bCs/>
          <w:szCs w:val="26"/>
        </w:rPr>
      </w:pPr>
    </w:p>
    <w:p w14:paraId="2679837D" w14:textId="77777777" w:rsidR="00782EC9" w:rsidRPr="00782EC9" w:rsidRDefault="0028508A" w:rsidP="00782EC9">
      <w:pPr>
        <w:spacing w:line="240" w:lineRule="auto"/>
        <w:jc w:val="center"/>
        <w:rPr>
          <w:b/>
          <w:szCs w:val="26"/>
        </w:rPr>
      </w:pPr>
      <w:r w:rsidRPr="00782EC9">
        <w:rPr>
          <w:szCs w:val="26"/>
        </w:rPr>
        <w:t>IN THE COURT OF APPEAL OF THE STATE OF CALIFORNIA</w:t>
      </w:r>
    </w:p>
    <w:p w14:paraId="1EB62535" w14:textId="77777777" w:rsidR="00782EC9" w:rsidRPr="00782EC9" w:rsidRDefault="0028508A" w:rsidP="00782EC9">
      <w:pPr>
        <w:spacing w:line="240" w:lineRule="auto"/>
        <w:jc w:val="center"/>
        <w:rPr>
          <w:bCs/>
          <w:szCs w:val="26"/>
        </w:rPr>
      </w:pPr>
    </w:p>
    <w:p w14:paraId="4CBE3114" w14:textId="77777777" w:rsidR="00782EC9" w:rsidRPr="00782EC9" w:rsidRDefault="0028508A" w:rsidP="00782EC9">
      <w:pPr>
        <w:spacing w:line="240" w:lineRule="auto"/>
        <w:jc w:val="center"/>
        <w:rPr>
          <w:b/>
          <w:szCs w:val="26"/>
        </w:rPr>
      </w:pPr>
      <w:r w:rsidRPr="00782EC9">
        <w:rPr>
          <w:szCs w:val="26"/>
        </w:rPr>
        <w:t>SECOND APPELLATE DISTRICT</w:t>
      </w:r>
    </w:p>
    <w:p w14:paraId="376DA967" w14:textId="77777777" w:rsidR="00782EC9" w:rsidRPr="00782EC9" w:rsidRDefault="0028508A" w:rsidP="00782EC9">
      <w:pPr>
        <w:spacing w:line="240" w:lineRule="auto"/>
        <w:jc w:val="center"/>
        <w:rPr>
          <w:bCs/>
          <w:szCs w:val="26"/>
        </w:rPr>
      </w:pPr>
    </w:p>
    <w:p w14:paraId="0508A5CB" w14:textId="77777777" w:rsidR="00782EC9" w:rsidRPr="00782EC9" w:rsidRDefault="0028508A" w:rsidP="00782EC9">
      <w:pPr>
        <w:spacing w:line="240" w:lineRule="auto"/>
        <w:jc w:val="center"/>
        <w:rPr>
          <w:b/>
          <w:szCs w:val="26"/>
        </w:rPr>
      </w:pPr>
      <w:r w:rsidRPr="00782EC9">
        <w:rPr>
          <w:szCs w:val="26"/>
        </w:rPr>
        <w:t>DIVISION ONE</w:t>
      </w:r>
    </w:p>
    <w:p w14:paraId="37CD1A43" w14:textId="77777777" w:rsidR="00782EC9" w:rsidRPr="00782EC9" w:rsidRDefault="0028508A" w:rsidP="00782EC9">
      <w:pPr>
        <w:spacing w:line="240" w:lineRule="auto"/>
        <w:jc w:val="center"/>
        <w:rPr>
          <w:bCs/>
          <w:szCs w:val="26"/>
        </w:rPr>
      </w:pPr>
    </w:p>
    <w:p w14:paraId="52755B0C" w14:textId="77777777" w:rsidR="00782EC9" w:rsidRPr="00782EC9" w:rsidRDefault="0028508A" w:rsidP="00782EC9">
      <w:pPr>
        <w:spacing w:line="240" w:lineRule="auto"/>
        <w:jc w:val="center"/>
        <w:rPr>
          <w:bCs/>
          <w:szCs w:val="26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410"/>
        <w:gridCol w:w="4518"/>
      </w:tblGrid>
      <w:tr w:rsidR="0004317F" w14:paraId="219729E7" w14:textId="77777777" w:rsidTr="008E157F"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CBF9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>
              <w:rPr>
                <w:szCs w:val="26"/>
              </w:rPr>
              <w:t>MUSSO &amp; FRANK GRILL CO., INC.</w:t>
            </w:r>
            <w:r w:rsidRPr="00782EC9">
              <w:rPr>
                <w:szCs w:val="26"/>
              </w:rPr>
              <w:t>,</w:t>
            </w:r>
          </w:p>
          <w:p w14:paraId="66C80FE2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</w:p>
          <w:p w14:paraId="241637D5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  <w:r w:rsidRPr="00782EC9">
              <w:rPr>
                <w:szCs w:val="26"/>
              </w:rPr>
              <w:tab/>
              <w:t>Plaintiff and Appellant,</w:t>
            </w:r>
          </w:p>
          <w:p w14:paraId="03689AFC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</w:p>
          <w:p w14:paraId="5F0E564A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 w:rsidRPr="00782EC9">
              <w:rPr>
                <w:szCs w:val="26"/>
              </w:rPr>
              <w:tab/>
              <w:t>v.</w:t>
            </w:r>
          </w:p>
          <w:p w14:paraId="44113D2F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</w:p>
          <w:p w14:paraId="646507EB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>
              <w:rPr>
                <w:szCs w:val="26"/>
              </w:rPr>
              <w:t>MITSUI SUMITOMO INSURANCE USA INC.</w:t>
            </w:r>
            <w:r w:rsidRPr="00782EC9">
              <w:rPr>
                <w:szCs w:val="26"/>
              </w:rPr>
              <w:t>,</w:t>
            </w:r>
          </w:p>
          <w:p w14:paraId="12EDA607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</w:p>
          <w:p w14:paraId="42072459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 w:rsidRPr="00782EC9">
              <w:rPr>
                <w:szCs w:val="26"/>
              </w:rPr>
              <w:tab/>
            </w:r>
            <w:r w:rsidRPr="00782EC9">
              <w:rPr>
                <w:szCs w:val="26"/>
              </w:rPr>
              <w:t>Defendant and Respondent.</w:t>
            </w:r>
          </w:p>
          <w:p w14:paraId="270A40F3" w14:textId="77777777" w:rsidR="00782EC9" w:rsidRPr="00782EC9" w:rsidRDefault="0028508A" w:rsidP="000E364A">
            <w:pPr>
              <w:spacing w:line="240" w:lineRule="auto"/>
              <w:rPr>
                <w:b/>
                <w:szCs w:val="26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auto"/>
          </w:tcPr>
          <w:p w14:paraId="4F6A8337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 w:rsidRPr="00782EC9">
              <w:rPr>
                <w:szCs w:val="26"/>
              </w:rPr>
              <w:t xml:space="preserve">      </w:t>
            </w:r>
            <w:r>
              <w:rPr>
                <w:szCs w:val="26"/>
              </w:rPr>
              <w:t>B310499</w:t>
            </w:r>
          </w:p>
          <w:p w14:paraId="4438C61F" w14:textId="77777777" w:rsidR="00782EC9" w:rsidRPr="00782EC9" w:rsidRDefault="0028508A" w:rsidP="000E364A">
            <w:pPr>
              <w:pStyle w:val="Header"/>
              <w:tabs>
                <w:tab w:val="clear" w:pos="4680"/>
                <w:tab w:val="clear" w:pos="9360"/>
              </w:tabs>
              <w:rPr>
                <w:bCs/>
                <w:szCs w:val="26"/>
              </w:rPr>
            </w:pPr>
          </w:p>
          <w:p w14:paraId="511577BD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 w:rsidRPr="00782EC9">
              <w:rPr>
                <w:szCs w:val="26"/>
              </w:rPr>
              <w:t xml:space="preserve">      (Los Angeles County</w:t>
            </w:r>
          </w:p>
          <w:p w14:paraId="3F9F7DC1" w14:textId="77777777" w:rsidR="00782EC9" w:rsidRPr="00782EC9" w:rsidRDefault="0028508A" w:rsidP="000E364A">
            <w:pPr>
              <w:spacing w:line="240" w:lineRule="auto"/>
              <w:rPr>
                <w:bCs/>
                <w:szCs w:val="26"/>
              </w:rPr>
            </w:pPr>
            <w:r w:rsidRPr="00782EC9">
              <w:rPr>
                <w:szCs w:val="26"/>
              </w:rPr>
              <w:t xml:space="preserve">      Super. Ct. No. </w:t>
            </w:r>
            <w:r>
              <w:t>20STCV16681</w:t>
            </w:r>
            <w:r w:rsidRPr="00782EC9">
              <w:rPr>
                <w:szCs w:val="26"/>
              </w:rPr>
              <w:t>)</w:t>
            </w:r>
          </w:p>
          <w:p w14:paraId="64A824C3" w14:textId="77777777" w:rsidR="00782EC9" w:rsidRPr="00782EC9" w:rsidRDefault="0028508A" w:rsidP="000E364A">
            <w:pPr>
              <w:spacing w:line="240" w:lineRule="auto"/>
              <w:rPr>
                <w:b/>
                <w:szCs w:val="26"/>
              </w:rPr>
            </w:pPr>
          </w:p>
        </w:tc>
      </w:tr>
    </w:tbl>
    <w:p w14:paraId="3F2F4D52" w14:textId="77777777" w:rsidR="00782EC9" w:rsidRDefault="0028508A" w:rsidP="00782EC9">
      <w:pPr>
        <w:rPr>
          <w:bCs/>
          <w:szCs w:val="26"/>
        </w:rPr>
      </w:pPr>
    </w:p>
    <w:p w14:paraId="14B62ACB" w14:textId="77777777" w:rsidR="006B403E" w:rsidRPr="00782EC9" w:rsidRDefault="0028508A" w:rsidP="00782EC9">
      <w:pPr>
        <w:rPr>
          <w:bCs/>
          <w:szCs w:val="26"/>
        </w:rPr>
      </w:pPr>
    </w:p>
    <w:p w14:paraId="2B9465B8" w14:textId="77777777" w:rsidR="00782EC9" w:rsidRPr="00782EC9" w:rsidRDefault="0028508A" w:rsidP="00782EC9">
      <w:pPr>
        <w:jc w:val="both"/>
        <w:rPr>
          <w:bCs/>
          <w:szCs w:val="26"/>
        </w:rPr>
      </w:pPr>
      <w:r w:rsidRPr="00782EC9">
        <w:rPr>
          <w:szCs w:val="26"/>
        </w:rPr>
        <w:tab/>
        <w:t xml:space="preserve">APPEAL from a judgment of the Superior Court of Los Angeles County, </w:t>
      </w:r>
      <w:r>
        <w:rPr>
          <w:szCs w:val="26"/>
        </w:rPr>
        <w:t>Monica Bachner</w:t>
      </w:r>
      <w:r w:rsidRPr="00782EC9">
        <w:rPr>
          <w:szCs w:val="26"/>
        </w:rPr>
        <w:t>, Judge.  Affirmed.</w:t>
      </w:r>
    </w:p>
    <w:p w14:paraId="770F119E" w14:textId="77777777" w:rsidR="00782EC9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>
        <w:t xml:space="preserve">Shernoff Bidart Echeverria, Michael J. Bidart, </w:t>
      </w:r>
      <w:r>
        <w:t xml:space="preserve">Ricardo Echeverria, Steven M. Schuetze, Danica Crittenden; </w:t>
      </w:r>
      <w:r>
        <w:rPr>
          <w:szCs w:val="26"/>
        </w:rPr>
        <w:t xml:space="preserve">The Ehrlich Law Firm, </w:t>
      </w:r>
      <w:r>
        <w:t>Jeffrey I. Ehrlich and Reid M. Ehrlich</w:t>
      </w:r>
      <w:r>
        <w:rPr>
          <w:rFonts w:ascii="Times New Roman" w:hAnsi="Times New Roman" w:cs="Times New Roman"/>
        </w:rPr>
        <w:t>‐</w:t>
      </w:r>
      <w:r>
        <w:t>Quinn</w:t>
      </w:r>
      <w:r w:rsidRPr="00782EC9">
        <w:rPr>
          <w:szCs w:val="26"/>
        </w:rPr>
        <w:t xml:space="preserve"> for Plaintiff and Appellant.</w:t>
      </w:r>
    </w:p>
    <w:p w14:paraId="1823C912" w14:textId="77777777" w:rsidR="00782EC9" w:rsidRPr="00782EC9" w:rsidRDefault="0028508A" w:rsidP="00782EC9">
      <w:pPr>
        <w:pStyle w:val="BodyText"/>
        <w:spacing w:line="288" w:lineRule="auto"/>
        <w:rPr>
          <w:bCs/>
        </w:rPr>
      </w:pPr>
      <w:r w:rsidRPr="00782EC9">
        <w:tab/>
      </w:r>
      <w:r>
        <w:t>Hinshaw &amp; Culbertson, Kent R. Keller; Riker Danzig Sc</w:t>
      </w:r>
      <w:r>
        <w:t>herer Hyland &amp; Perretti, Brian E. O’Donnell, Maura C. Smith, Jeffrey M. Beyer, and Cara C. Vecchione</w:t>
      </w:r>
      <w:r w:rsidRPr="00782EC9">
        <w:t xml:space="preserve"> for Defendant and Respondent.</w:t>
      </w:r>
    </w:p>
    <w:p w14:paraId="2FE575F5" w14:textId="77777777" w:rsidR="00782EC9" w:rsidRPr="00782EC9" w:rsidRDefault="0028508A" w:rsidP="00782EC9">
      <w:pPr>
        <w:jc w:val="center"/>
        <w:rPr>
          <w:bCs/>
          <w:szCs w:val="26"/>
        </w:rPr>
      </w:pPr>
      <w:r w:rsidRPr="00782EC9">
        <w:rPr>
          <w:szCs w:val="26"/>
        </w:rPr>
        <w:t>________________________</w:t>
      </w:r>
    </w:p>
    <w:p w14:paraId="10EAF73F" w14:textId="77777777" w:rsidR="00782EC9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br w:type="page"/>
      </w:r>
    </w:p>
    <w:p w14:paraId="211BEB0E" w14:textId="77777777" w:rsidR="008618EA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lastRenderedPageBreak/>
        <w:tab/>
        <w:t>Musso &amp; Frank Grill Co., Inc.</w:t>
      </w:r>
      <w:r w:rsidRPr="00782EC9">
        <w:rPr>
          <w:szCs w:val="26"/>
        </w:rPr>
        <w:t>, an iconic Hollywood restaurant,</w:t>
      </w:r>
      <w:r w:rsidRPr="00782EC9">
        <w:rPr>
          <w:szCs w:val="26"/>
        </w:rPr>
        <w:t xml:space="preserve"> ha</w:t>
      </w:r>
      <w:r w:rsidRPr="00782EC9">
        <w:rPr>
          <w:szCs w:val="26"/>
        </w:rPr>
        <w:t>d</w:t>
      </w:r>
      <w:r w:rsidRPr="00782EC9">
        <w:rPr>
          <w:szCs w:val="26"/>
        </w:rPr>
        <w:t xml:space="preserve"> a business interruption insura</w:t>
      </w:r>
      <w:r w:rsidRPr="00782EC9">
        <w:rPr>
          <w:szCs w:val="26"/>
        </w:rPr>
        <w:t xml:space="preserve">nce policy issued by Mitsui Sumitomo Insurance USA, Inc. (MSI). </w:t>
      </w:r>
      <w:r w:rsidRPr="00782EC9">
        <w:rPr>
          <w:szCs w:val="26"/>
        </w:rPr>
        <w:t xml:space="preserve"> Due to COVID</w:t>
      </w:r>
      <w:r>
        <w:rPr>
          <w:szCs w:val="26"/>
        </w:rPr>
        <w:t>-</w:t>
      </w:r>
      <w:r w:rsidRPr="00782EC9">
        <w:rPr>
          <w:szCs w:val="26"/>
        </w:rPr>
        <w:t>19</w:t>
      </w:r>
      <w:r w:rsidRPr="00782EC9">
        <w:rPr>
          <w:szCs w:val="26"/>
        </w:rPr>
        <w:t xml:space="preserve"> and </w:t>
      </w:r>
      <w:r w:rsidRPr="00782EC9">
        <w:rPr>
          <w:szCs w:val="26"/>
        </w:rPr>
        <w:t>notices</w:t>
      </w:r>
      <w:r w:rsidRPr="00782EC9">
        <w:rPr>
          <w:szCs w:val="26"/>
        </w:rPr>
        <w:t xml:space="preserve"> from the </w:t>
      </w:r>
      <w:r w:rsidRPr="00782EC9">
        <w:rPr>
          <w:szCs w:val="26"/>
        </w:rPr>
        <w:t xml:space="preserve">Governor, the Mayor of Los Angeles, and several </w:t>
      </w:r>
      <w:r w:rsidRPr="00782EC9">
        <w:rPr>
          <w:szCs w:val="26"/>
        </w:rPr>
        <w:t>public</w:t>
      </w:r>
      <w:r w:rsidRPr="00782EC9">
        <w:rPr>
          <w:szCs w:val="26"/>
        </w:rPr>
        <w:t xml:space="preserve"> health</w:t>
      </w:r>
      <w:r w:rsidRPr="00782EC9">
        <w:rPr>
          <w:szCs w:val="26"/>
        </w:rPr>
        <w:t xml:space="preserve"> agencies</w:t>
      </w:r>
      <w:r w:rsidRPr="00782EC9">
        <w:rPr>
          <w:szCs w:val="26"/>
        </w:rPr>
        <w:t>,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Musso &amp; Frank was ordered to close its restaurant in March 2020, resulting in</w:t>
      </w:r>
      <w:r w:rsidRPr="00782EC9">
        <w:rPr>
          <w:szCs w:val="26"/>
        </w:rPr>
        <w:t xml:space="preserve"> the </w:t>
      </w:r>
      <w:r w:rsidRPr="00782EC9">
        <w:rPr>
          <w:szCs w:val="26"/>
        </w:rPr>
        <w:t>loss of all its business</w:t>
      </w:r>
      <w:r w:rsidRPr="00782EC9">
        <w:rPr>
          <w:szCs w:val="26"/>
        </w:rPr>
        <w:t>.  Musso &amp; Frank filed a claim with MSI, which was denied on the grounds that the policy covered only “direct physical loss of or damage to” the property, and expressly excluded coverag</w:t>
      </w:r>
      <w:r w:rsidRPr="00C22725">
        <w:rPr>
          <w:szCs w:val="26"/>
        </w:rPr>
        <w:t>e</w:t>
      </w:r>
      <w:r w:rsidRPr="00C22725">
        <w:rPr>
          <w:szCs w:val="26"/>
        </w:rPr>
        <w:t xml:space="preserve"> </w:t>
      </w:r>
      <w:r w:rsidRPr="00325D07">
        <w:rPr>
          <w:szCs w:val="26"/>
        </w:rPr>
        <w:t>for</w:t>
      </w:r>
      <w:r w:rsidRPr="00C22725">
        <w:rPr>
          <w:szCs w:val="26"/>
        </w:rPr>
        <w:t xml:space="preserve"> loss</w:t>
      </w:r>
      <w:r w:rsidRPr="00C22725">
        <w:rPr>
          <w:szCs w:val="26"/>
        </w:rPr>
        <w:t>es</w:t>
      </w:r>
      <w:r w:rsidRPr="004B750F">
        <w:rPr>
          <w:szCs w:val="26"/>
        </w:rPr>
        <w:t xml:space="preserve"> re</w:t>
      </w:r>
      <w:r w:rsidRPr="00782EC9">
        <w:rPr>
          <w:szCs w:val="26"/>
        </w:rPr>
        <w:t xml:space="preserve">sulting from a government order and </w:t>
      </w:r>
      <w:r w:rsidRPr="00782EC9">
        <w:rPr>
          <w:szCs w:val="26"/>
        </w:rPr>
        <w:t>loss</w:t>
      </w:r>
      <w:r w:rsidRPr="00782EC9">
        <w:rPr>
          <w:szCs w:val="26"/>
        </w:rPr>
        <w:t>es</w:t>
      </w:r>
      <w:r w:rsidRPr="00782EC9">
        <w:rPr>
          <w:szCs w:val="26"/>
        </w:rPr>
        <w:t xml:space="preserve"> caused by or resulting from a virus.  When Musso &amp; Frank sued MSI, MSI’s demurrer was sustained without leave to amend.  Musso &amp; Frank appeals.  We </w:t>
      </w:r>
      <w:r w:rsidRPr="00782EC9">
        <w:rPr>
          <w:szCs w:val="26"/>
        </w:rPr>
        <w:t>affirm</w:t>
      </w:r>
      <w:r w:rsidRPr="00782EC9">
        <w:rPr>
          <w:szCs w:val="26"/>
        </w:rPr>
        <w:t>.</w:t>
      </w:r>
    </w:p>
    <w:p w14:paraId="47153048" w14:textId="77777777" w:rsidR="00E334AB" w:rsidRPr="00782EC9" w:rsidRDefault="0028508A" w:rsidP="00782EC9">
      <w:pPr>
        <w:jc w:val="both"/>
        <w:rPr>
          <w:szCs w:val="26"/>
        </w:rPr>
      </w:pPr>
    </w:p>
    <w:p w14:paraId="12EA1CD7" w14:textId="77777777" w:rsidR="00E334AB" w:rsidRPr="00782EC9" w:rsidRDefault="0028508A" w:rsidP="00782EC9">
      <w:pPr>
        <w:jc w:val="center"/>
        <w:rPr>
          <w:b/>
          <w:bCs/>
          <w:szCs w:val="26"/>
        </w:rPr>
      </w:pPr>
      <w:r w:rsidRPr="00782EC9">
        <w:rPr>
          <w:b/>
          <w:bCs/>
          <w:szCs w:val="26"/>
        </w:rPr>
        <w:t>FACTS</w:t>
      </w:r>
    </w:p>
    <w:p w14:paraId="3A61200C" w14:textId="77777777" w:rsidR="00E334AB" w:rsidRPr="00782EC9" w:rsidRDefault="0028508A" w:rsidP="00782EC9">
      <w:pPr>
        <w:jc w:val="both"/>
        <w:rPr>
          <w:szCs w:val="26"/>
        </w:rPr>
      </w:pPr>
    </w:p>
    <w:p w14:paraId="3B175230" w14:textId="77777777" w:rsidR="00E334AB" w:rsidRPr="00782EC9" w:rsidRDefault="0028508A" w:rsidP="62D51C62">
      <w:pPr>
        <w:jc w:val="both"/>
      </w:pPr>
      <w:r w:rsidRPr="00782EC9">
        <w:rPr>
          <w:szCs w:val="26"/>
        </w:rPr>
        <w:tab/>
      </w:r>
      <w:r w:rsidRPr="62D51C62">
        <w:t xml:space="preserve">Musso &amp; Frank’s MSI policy was </w:t>
      </w:r>
      <w:r w:rsidRPr="62D51C62">
        <w:t>effective from June 30, 2019 to June 30, 2020.  Under the heading “Coverage,” the policy promised to pay for “the actual loss of Business Income [Musso &amp; Frank] sustain</w:t>
      </w:r>
      <w:r>
        <w:rPr>
          <w:szCs w:val="26"/>
        </w:rPr>
        <w:t>[</w:t>
      </w:r>
      <w:r w:rsidRPr="62D51C62">
        <w:t>ed</w:t>
      </w:r>
      <w:r>
        <w:rPr>
          <w:szCs w:val="26"/>
        </w:rPr>
        <w:t>]</w:t>
      </w:r>
      <w:r w:rsidRPr="62D51C62">
        <w:t xml:space="preserve"> due to the</w:t>
      </w:r>
      <w:r w:rsidRPr="00782EC9">
        <w:rPr>
          <w:szCs w:val="26"/>
        </w:rPr>
        <w:t xml:space="preserve"> </w:t>
      </w:r>
      <w:r w:rsidRPr="62D51C62">
        <w:t xml:space="preserve">necessary </w:t>
      </w:r>
      <w:r w:rsidRPr="62D51C62">
        <w:t>‘suspension’ of [its] ‘operations</w:t>
      </w:r>
      <w:r>
        <w:rPr>
          <w:szCs w:val="26"/>
        </w:rPr>
        <w:t>’</w:t>
      </w:r>
      <w:r w:rsidRPr="62D51C62">
        <w:t xml:space="preserve"> during the </w:t>
      </w:r>
      <w:r>
        <w:rPr>
          <w:szCs w:val="26"/>
        </w:rPr>
        <w:t>‘</w:t>
      </w:r>
      <w:r w:rsidRPr="62D51C62">
        <w:t>period of resto</w:t>
      </w:r>
      <w:r w:rsidRPr="62D51C62">
        <w:t>ration.</w:t>
      </w:r>
      <w:r>
        <w:rPr>
          <w:szCs w:val="26"/>
        </w:rPr>
        <w:t>’</w:t>
      </w:r>
      <w:r>
        <w:rPr>
          <w:szCs w:val="26"/>
        </w:rPr>
        <w:t xml:space="preserve"> </w:t>
      </w:r>
      <w:r w:rsidRPr="62D51C62">
        <w:t xml:space="preserve"> The </w:t>
      </w:r>
      <w:r>
        <w:rPr>
          <w:szCs w:val="26"/>
        </w:rPr>
        <w:t>‘</w:t>
      </w:r>
      <w:r w:rsidRPr="62D51C62">
        <w:t>suspension</w:t>
      </w:r>
      <w:r>
        <w:rPr>
          <w:szCs w:val="26"/>
        </w:rPr>
        <w:t>’</w:t>
      </w:r>
      <w:r w:rsidRPr="00782EC9">
        <w:rPr>
          <w:szCs w:val="26"/>
        </w:rPr>
        <w:t xml:space="preserve"> </w:t>
      </w:r>
      <w:r>
        <w:rPr>
          <w:szCs w:val="26"/>
        </w:rPr>
        <w:t>[</w:t>
      </w:r>
      <w:r w:rsidRPr="62D51C62">
        <w:t>had to</w:t>
      </w:r>
      <w:r>
        <w:rPr>
          <w:szCs w:val="26"/>
        </w:rPr>
        <w:t>]</w:t>
      </w:r>
      <w:r w:rsidRPr="62D51C62">
        <w:t xml:space="preserve"> be caused by </w:t>
      </w:r>
      <w:r w:rsidRPr="62D51C62">
        <w:rPr>
          <w:i/>
          <w:iCs/>
        </w:rPr>
        <w:t>direct physical loss of or damage to property at</w:t>
      </w:r>
      <w:r w:rsidRPr="62D51C62">
        <w:rPr>
          <w:i/>
          <w:iCs/>
        </w:rPr>
        <w:t xml:space="preserve"> </w:t>
      </w:r>
      <w:r w:rsidRPr="62D51C62">
        <w:rPr>
          <w:i/>
          <w:iCs/>
        </w:rPr>
        <w:t>[</w:t>
      </w:r>
      <w:r w:rsidRPr="62D51C62">
        <w:rPr>
          <w:i/>
          <w:iCs/>
        </w:rPr>
        <w:t>the covered</w:t>
      </w:r>
      <w:r w:rsidRPr="62D51C62">
        <w:rPr>
          <w:i/>
          <w:iCs/>
        </w:rPr>
        <w:t>]</w:t>
      </w:r>
      <w:r w:rsidRPr="62D51C62">
        <w:rPr>
          <w:i/>
          <w:iCs/>
        </w:rPr>
        <w:t xml:space="preserve"> premises.</w:t>
      </w:r>
      <w:r w:rsidRPr="62D51C62">
        <w:rPr>
          <w:i/>
          <w:iCs/>
        </w:rPr>
        <w:t> . . .</w:t>
      </w:r>
      <w:r w:rsidRPr="62D51C62">
        <w:rPr>
          <w:i/>
          <w:iCs/>
        </w:rPr>
        <w:t xml:space="preserve">  The loss or damage must be caused by or result from a Covered Cause of Loss.</w:t>
      </w:r>
      <w:r w:rsidRPr="00782EC9">
        <w:rPr>
          <w:szCs w:val="26"/>
        </w:rPr>
        <w:t xml:space="preserve">” </w:t>
      </w:r>
      <w:r w:rsidRPr="00782EC9">
        <w:rPr>
          <w:szCs w:val="26"/>
        </w:rPr>
        <w:t xml:space="preserve"> (</w:t>
      </w:r>
      <w:r w:rsidRPr="62D51C62">
        <w:t>Italics</w:t>
      </w:r>
      <w:r w:rsidRPr="00782EC9">
        <w:rPr>
          <w:szCs w:val="26"/>
        </w:rPr>
        <w:t xml:space="preserve"> </w:t>
      </w:r>
      <w:r w:rsidRPr="62D51C62">
        <w:t>added.)</w:t>
      </w:r>
    </w:p>
    <w:p w14:paraId="08B8CF83" w14:textId="77777777" w:rsidR="002B1613" w:rsidRPr="00782EC9" w:rsidRDefault="0028508A" w:rsidP="00782EC9">
      <w:pPr>
        <w:jc w:val="both"/>
        <w:rPr>
          <w:szCs w:val="26"/>
        </w:rPr>
      </w:pPr>
    </w:p>
    <w:p w14:paraId="34FD806D" w14:textId="77777777" w:rsidR="002B1613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Under the heading “Exclusion of Loss Due to Virus or Bacteria,” the policy </w:t>
      </w:r>
      <w:r w:rsidRPr="00782EC9">
        <w:rPr>
          <w:szCs w:val="26"/>
        </w:rPr>
        <w:t>included</w:t>
      </w:r>
      <w:r w:rsidRPr="00782EC9">
        <w:rPr>
          <w:szCs w:val="26"/>
        </w:rPr>
        <w:t xml:space="preserve"> two relevant exclusions, one for losses arising from governm</w:t>
      </w:r>
      <w:r w:rsidRPr="00C22725">
        <w:rPr>
          <w:szCs w:val="26"/>
        </w:rPr>
        <w:t>ent</w:t>
      </w:r>
      <w:r w:rsidRPr="00325D07">
        <w:rPr>
          <w:szCs w:val="26"/>
        </w:rPr>
        <w:t>al</w:t>
      </w:r>
      <w:r w:rsidRPr="00C22725">
        <w:rPr>
          <w:szCs w:val="26"/>
        </w:rPr>
        <w:t xml:space="preserve"> acti</w:t>
      </w:r>
      <w:r w:rsidRPr="00782EC9">
        <w:rPr>
          <w:szCs w:val="26"/>
        </w:rPr>
        <w:t>on</w:t>
      </w:r>
      <w:r w:rsidRPr="00782EC9">
        <w:rPr>
          <w:szCs w:val="26"/>
        </w:rPr>
        <w:t>, the other for losses sustained by reason of a virus or bacteria.  The exclusion for “Government</w:t>
      </w:r>
      <w:r>
        <w:rPr>
          <w:szCs w:val="26"/>
        </w:rPr>
        <w:t>al</w:t>
      </w:r>
      <w:r w:rsidRPr="00782EC9">
        <w:rPr>
          <w:szCs w:val="26"/>
        </w:rPr>
        <w:t xml:space="preserve"> Action” is defined as the “Seizure or destruction of property by order of government</w:t>
      </w:r>
      <w:r>
        <w:rPr>
          <w:szCs w:val="26"/>
        </w:rPr>
        <w:t>al</w:t>
      </w:r>
      <w:r w:rsidRPr="00782EC9">
        <w:rPr>
          <w:szCs w:val="26"/>
        </w:rPr>
        <w:t xml:space="preserve"> authority.”  The virus exclusion provided:  </w:t>
      </w:r>
      <w:r w:rsidRPr="00782EC9">
        <w:rPr>
          <w:szCs w:val="26"/>
        </w:rPr>
        <w:t>“We will not pay for loss</w:t>
      </w:r>
      <w:r w:rsidRPr="00782EC9">
        <w:rPr>
          <w:szCs w:val="26"/>
        </w:rPr>
        <w:t xml:space="preserve"> or damage caused by or resulting from any virus, bacterium or other micro-organism that includes or is capable of inducing physical distress</w:t>
      </w:r>
      <w:r>
        <w:rPr>
          <w:szCs w:val="26"/>
        </w:rPr>
        <w:t>,</w:t>
      </w:r>
      <w:r w:rsidRPr="00782EC9">
        <w:rPr>
          <w:szCs w:val="26"/>
        </w:rPr>
        <w:t xml:space="preserve"> illness or disease.”</w:t>
      </w:r>
    </w:p>
    <w:p w14:paraId="7C349309" w14:textId="77777777" w:rsidR="001153E3" w:rsidRPr="00782EC9" w:rsidRDefault="0028508A" w:rsidP="00782EC9">
      <w:pPr>
        <w:jc w:val="both"/>
        <w:rPr>
          <w:szCs w:val="26"/>
        </w:rPr>
      </w:pPr>
    </w:p>
    <w:p w14:paraId="07F9BE61" w14:textId="77777777" w:rsidR="001153E3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lastRenderedPageBreak/>
        <w:tab/>
      </w:r>
      <w:r w:rsidRPr="00782EC9">
        <w:rPr>
          <w:szCs w:val="26"/>
        </w:rPr>
        <w:t>On March 15, 2020, i</w:t>
      </w:r>
      <w:r w:rsidRPr="00782EC9">
        <w:rPr>
          <w:szCs w:val="26"/>
        </w:rPr>
        <w:t>n response to the</w:t>
      </w:r>
      <w:r>
        <w:rPr>
          <w:szCs w:val="26"/>
        </w:rPr>
        <w:t xml:space="preserve"> COVID-19</w:t>
      </w:r>
      <w:r w:rsidRPr="00782EC9">
        <w:rPr>
          <w:szCs w:val="26"/>
        </w:rPr>
        <w:t xml:space="preserve"> pandemic, the Mayor of the City of Los Angeles issued an order mandating that all the </w:t>
      </w:r>
      <w:r>
        <w:rPr>
          <w:szCs w:val="26"/>
        </w:rPr>
        <w:t>c</w:t>
      </w:r>
      <w:r w:rsidRPr="00782EC9">
        <w:rPr>
          <w:szCs w:val="26"/>
        </w:rPr>
        <w:t>ity’s restaurants and retail food facilities close by midnight that day, the only exception being take-out food</w:t>
      </w:r>
      <w:r w:rsidRPr="00782EC9">
        <w:rPr>
          <w:szCs w:val="26"/>
        </w:rPr>
        <w:t xml:space="preserve"> (picked up or delivered)</w:t>
      </w:r>
      <w:r w:rsidRPr="00782EC9">
        <w:rPr>
          <w:szCs w:val="26"/>
        </w:rPr>
        <w:t xml:space="preserve">.  A few days later, the </w:t>
      </w:r>
      <w:r>
        <w:rPr>
          <w:szCs w:val="26"/>
        </w:rPr>
        <w:t>m</w:t>
      </w:r>
      <w:r w:rsidRPr="00782EC9">
        <w:rPr>
          <w:szCs w:val="26"/>
        </w:rPr>
        <w:t>ayor i</w:t>
      </w:r>
      <w:r w:rsidRPr="00782EC9">
        <w:rPr>
          <w:szCs w:val="26"/>
        </w:rPr>
        <w:t>ssued an order requiring residents to remain in their homes except for “essential activities or infrast</w:t>
      </w:r>
      <w:r w:rsidRPr="00782EC9">
        <w:rPr>
          <w:szCs w:val="26"/>
        </w:rPr>
        <w:t>ructur</w:t>
      </w:r>
      <w:r w:rsidRPr="00782EC9">
        <w:rPr>
          <w:szCs w:val="26"/>
        </w:rPr>
        <w:t xml:space="preserve">e,” and prohibiting public and private gatherings.  Because Musso &amp; Frank never offered food for pick up or delivery, the closure orders forced it </w:t>
      </w:r>
      <w:r w:rsidRPr="00782EC9">
        <w:rPr>
          <w:szCs w:val="26"/>
        </w:rPr>
        <w:t>to shut down completely.</w:t>
      </w:r>
    </w:p>
    <w:p w14:paraId="13093754" w14:textId="77777777" w:rsidR="001153E3" w:rsidRPr="00782EC9" w:rsidRDefault="0028508A" w:rsidP="00782EC9">
      <w:pPr>
        <w:jc w:val="both"/>
        <w:rPr>
          <w:szCs w:val="26"/>
        </w:rPr>
      </w:pPr>
    </w:p>
    <w:p w14:paraId="639C4BCF" w14:textId="77777777" w:rsidR="001153E3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>On March 19,</w:t>
      </w:r>
      <w:r>
        <w:rPr>
          <w:szCs w:val="26"/>
        </w:rPr>
        <w:t xml:space="preserve"> 2020</w:t>
      </w:r>
      <w:r>
        <w:rPr>
          <w:szCs w:val="26"/>
        </w:rPr>
        <w:t>,</w:t>
      </w:r>
      <w:r w:rsidRPr="00782EC9">
        <w:rPr>
          <w:szCs w:val="26"/>
        </w:rPr>
        <w:t xml:space="preserve"> Musso &amp; Frank submitted a property loss notice to MS</w:t>
      </w:r>
      <w:r w:rsidRPr="00C22725">
        <w:rPr>
          <w:szCs w:val="26"/>
        </w:rPr>
        <w:t xml:space="preserve">I.  </w:t>
      </w:r>
      <w:r w:rsidRPr="00C22725">
        <w:rPr>
          <w:szCs w:val="26"/>
        </w:rPr>
        <w:t xml:space="preserve">On </w:t>
      </w:r>
      <w:r w:rsidRPr="00C22725">
        <w:rPr>
          <w:szCs w:val="26"/>
        </w:rPr>
        <w:t xml:space="preserve">April 1, 2020, </w:t>
      </w:r>
      <w:r w:rsidRPr="004B750F">
        <w:rPr>
          <w:szCs w:val="26"/>
        </w:rPr>
        <w:t>Jeff Kinkead of MSI</w:t>
      </w:r>
      <w:r w:rsidRPr="00782EC9">
        <w:rPr>
          <w:szCs w:val="26"/>
        </w:rPr>
        <w:t xml:space="preserve"> </w:t>
      </w:r>
      <w:r w:rsidRPr="00325D07">
        <w:rPr>
          <w:szCs w:val="26"/>
        </w:rPr>
        <w:t>wrote to</w:t>
      </w:r>
      <w:r w:rsidRPr="00C22725">
        <w:rPr>
          <w:szCs w:val="26"/>
        </w:rPr>
        <w:t xml:space="preserve"> Musso &amp; Frank</w:t>
      </w:r>
      <w:r w:rsidRPr="00C22725">
        <w:rPr>
          <w:szCs w:val="26"/>
        </w:rPr>
        <w:t>,</w:t>
      </w:r>
      <w:r w:rsidRPr="004B750F">
        <w:rPr>
          <w:szCs w:val="26"/>
        </w:rPr>
        <w:t xml:space="preserve"> </w:t>
      </w:r>
      <w:r w:rsidRPr="004B750F">
        <w:rPr>
          <w:szCs w:val="26"/>
        </w:rPr>
        <w:t>rejecting its claim</w:t>
      </w:r>
      <w:r w:rsidRPr="00C22725">
        <w:rPr>
          <w:szCs w:val="26"/>
        </w:rPr>
        <w:t xml:space="preserve"> </w:t>
      </w:r>
      <w:r w:rsidRPr="00C22725">
        <w:rPr>
          <w:szCs w:val="26"/>
        </w:rPr>
        <w:t>because it had not suffered</w:t>
      </w:r>
      <w:r w:rsidRPr="00782EC9">
        <w:rPr>
          <w:szCs w:val="26"/>
        </w:rPr>
        <w:t xml:space="preserve"> a “direct physical loss </w:t>
      </w:r>
      <w:r>
        <w:rPr>
          <w:szCs w:val="26"/>
        </w:rPr>
        <w:t xml:space="preserve">of </w:t>
      </w:r>
      <w:r w:rsidRPr="00782EC9">
        <w:rPr>
          <w:szCs w:val="26"/>
        </w:rPr>
        <w:t>or damage to prop</w:t>
      </w:r>
      <w:r w:rsidRPr="00782EC9">
        <w:rPr>
          <w:szCs w:val="26"/>
        </w:rPr>
        <w:t>erty</w:t>
      </w:r>
      <w:r w:rsidRPr="00782EC9">
        <w:rPr>
          <w:szCs w:val="26"/>
        </w:rPr>
        <w:t>,</w:t>
      </w:r>
      <w:r w:rsidRPr="00782EC9">
        <w:rPr>
          <w:szCs w:val="26"/>
        </w:rPr>
        <w:t>” and because of the</w:t>
      </w:r>
      <w:r w:rsidRPr="00782EC9">
        <w:rPr>
          <w:szCs w:val="26"/>
        </w:rPr>
        <w:t xml:space="preserve"> virus and</w:t>
      </w:r>
      <w:r w:rsidRPr="00782EC9">
        <w:rPr>
          <w:szCs w:val="26"/>
        </w:rPr>
        <w:t xml:space="preserve"> government action exclusion</w:t>
      </w:r>
      <w:r w:rsidRPr="00782EC9">
        <w:rPr>
          <w:szCs w:val="26"/>
        </w:rPr>
        <w:t>s</w:t>
      </w:r>
      <w:r w:rsidRPr="00782EC9">
        <w:rPr>
          <w:szCs w:val="26"/>
        </w:rPr>
        <w:t>.</w:t>
      </w:r>
    </w:p>
    <w:p w14:paraId="7E152A2C" w14:textId="77777777" w:rsidR="009C7A72" w:rsidRPr="00782EC9" w:rsidRDefault="0028508A" w:rsidP="00782EC9">
      <w:pPr>
        <w:jc w:val="both"/>
        <w:rPr>
          <w:szCs w:val="26"/>
        </w:rPr>
      </w:pPr>
    </w:p>
    <w:p w14:paraId="0CFFE25B" w14:textId="77777777" w:rsidR="009C7A72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On May 1, 2020, Musso &amp; Frank sued MSI for breach of contract, breach of the implied covenant of good faith and fair dealing, and negligence.  MSI responded by way of demurrer, </w:t>
      </w:r>
      <w:r w:rsidRPr="00782EC9">
        <w:rPr>
          <w:szCs w:val="26"/>
        </w:rPr>
        <w:t>asserting that</w:t>
      </w:r>
      <w:r w:rsidRPr="00782EC9">
        <w:rPr>
          <w:szCs w:val="26"/>
        </w:rPr>
        <w:t>,</w:t>
      </w:r>
      <w:r w:rsidRPr="00782EC9">
        <w:rPr>
          <w:szCs w:val="26"/>
        </w:rPr>
        <w:t xml:space="preserve"> as a matter of law</w:t>
      </w:r>
      <w:r w:rsidRPr="00782EC9">
        <w:rPr>
          <w:szCs w:val="26"/>
        </w:rPr>
        <w:t>,</w:t>
      </w:r>
      <w:r w:rsidRPr="00782EC9">
        <w:rPr>
          <w:szCs w:val="26"/>
        </w:rPr>
        <w:t xml:space="preserve"> there was no coverage because there was no property loss or damage and that, in addition, the virus and government action exclusions barred coverage.  Over Musso &amp; Frank’s opposition, the demurrer was sustained without l</w:t>
      </w:r>
      <w:r w:rsidRPr="00782EC9">
        <w:rPr>
          <w:szCs w:val="26"/>
        </w:rPr>
        <w:t xml:space="preserve">eave to amend and a judgment of dismissal was entered.  </w:t>
      </w:r>
      <w:r w:rsidRPr="00782EC9">
        <w:rPr>
          <w:szCs w:val="26"/>
        </w:rPr>
        <w:t>Musso &amp; Frank appeals.</w:t>
      </w:r>
    </w:p>
    <w:p w14:paraId="4F9B8703" w14:textId="77777777" w:rsidR="009C7A72" w:rsidRPr="00782EC9" w:rsidRDefault="0028508A" w:rsidP="00782EC9">
      <w:pPr>
        <w:jc w:val="both"/>
        <w:rPr>
          <w:szCs w:val="26"/>
        </w:rPr>
      </w:pPr>
    </w:p>
    <w:p w14:paraId="1C9762A5" w14:textId="77777777" w:rsidR="009C7A72" w:rsidRPr="00782EC9" w:rsidRDefault="0028508A" w:rsidP="00782EC9">
      <w:pPr>
        <w:jc w:val="center"/>
        <w:rPr>
          <w:szCs w:val="26"/>
        </w:rPr>
      </w:pPr>
      <w:r w:rsidRPr="00782EC9">
        <w:rPr>
          <w:b/>
          <w:bCs/>
          <w:szCs w:val="26"/>
        </w:rPr>
        <w:t>LEGAL DISCUSSION</w:t>
      </w:r>
    </w:p>
    <w:p w14:paraId="76B024A3" w14:textId="77777777" w:rsidR="009C7A72" w:rsidRPr="00782EC9" w:rsidRDefault="0028508A" w:rsidP="00782EC9">
      <w:pPr>
        <w:jc w:val="both"/>
        <w:rPr>
          <w:szCs w:val="26"/>
        </w:rPr>
      </w:pPr>
    </w:p>
    <w:p w14:paraId="5E7A731B" w14:textId="77777777" w:rsidR="009C7A72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 w:rsidRPr="00782EC9">
        <w:rPr>
          <w:szCs w:val="26"/>
        </w:rPr>
        <w:t>A.</w:t>
      </w:r>
      <w:r w:rsidRPr="00782EC9">
        <w:rPr>
          <w:szCs w:val="26"/>
        </w:rPr>
        <w:tab/>
      </w:r>
      <w:r w:rsidRPr="00782EC9">
        <w:rPr>
          <w:b/>
          <w:bCs/>
          <w:szCs w:val="26"/>
        </w:rPr>
        <w:t>Standard of review.</w:t>
      </w:r>
    </w:p>
    <w:p w14:paraId="1A9EB03F" w14:textId="77777777" w:rsidR="0036271D" w:rsidRPr="00782EC9" w:rsidRDefault="0028508A" w:rsidP="00782EC9">
      <w:pPr>
        <w:jc w:val="both"/>
        <w:rPr>
          <w:szCs w:val="26"/>
        </w:rPr>
      </w:pPr>
    </w:p>
    <w:p w14:paraId="54DC27C5" w14:textId="77777777" w:rsidR="0036271D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>The parties agree that on appeal from an order sustaining a demurrer without leave to amend, we assume the truth of all properly ple</w:t>
      </w:r>
      <w:r w:rsidRPr="00782EC9">
        <w:rPr>
          <w:szCs w:val="26"/>
        </w:rPr>
        <w:t>aded and reasonably implied allegations.  (</w:t>
      </w:r>
      <w:r w:rsidRPr="00782EC9">
        <w:rPr>
          <w:i/>
          <w:iCs/>
          <w:szCs w:val="26"/>
        </w:rPr>
        <w:t xml:space="preserve">Schifando v. City of Los Angeles </w:t>
      </w:r>
      <w:r w:rsidRPr="00782EC9">
        <w:rPr>
          <w:szCs w:val="26"/>
        </w:rPr>
        <w:t>(2003) 31</w:t>
      </w:r>
      <w:r>
        <w:rPr>
          <w:szCs w:val="26"/>
        </w:rPr>
        <w:t xml:space="preserve"> </w:t>
      </w:r>
      <w:r w:rsidRPr="00782EC9">
        <w:rPr>
          <w:szCs w:val="26"/>
        </w:rPr>
        <w:t>Cal.4th 1074, 1081;</w:t>
      </w:r>
      <w:r w:rsidRPr="00782EC9">
        <w:rPr>
          <w:i/>
          <w:iCs/>
          <w:szCs w:val="26"/>
        </w:rPr>
        <w:t xml:space="preserve"> City of Atascadero v. Merrill Lynch, Pierce, Fenner &amp; Smith, Inc. </w:t>
      </w:r>
      <w:r w:rsidRPr="00782EC9">
        <w:rPr>
          <w:szCs w:val="26"/>
        </w:rPr>
        <w:t>(1998) 68 Cal.App.4th 445, 459</w:t>
      </w:r>
      <w:r>
        <w:rPr>
          <w:szCs w:val="26"/>
        </w:rPr>
        <w:t>.</w:t>
      </w:r>
      <w:r w:rsidRPr="00782EC9">
        <w:rPr>
          <w:szCs w:val="26"/>
        </w:rPr>
        <w:t>)</w:t>
      </w:r>
      <w:r>
        <w:rPr>
          <w:szCs w:val="26"/>
        </w:rPr>
        <w:t xml:space="preserve"> 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lastRenderedPageBreak/>
        <w:t xml:space="preserve">Because a demurrer tests the legal sufficiency of </w:t>
      </w:r>
      <w:r w:rsidRPr="00782EC9">
        <w:rPr>
          <w:szCs w:val="26"/>
        </w:rPr>
        <w:t>a pleading, our review is de novo.  (</w:t>
      </w:r>
      <w:r w:rsidRPr="00782EC9">
        <w:rPr>
          <w:i/>
          <w:iCs/>
          <w:szCs w:val="26"/>
        </w:rPr>
        <w:t xml:space="preserve">Moreno v. Sanchez </w:t>
      </w:r>
      <w:r w:rsidRPr="00782EC9">
        <w:rPr>
          <w:szCs w:val="26"/>
        </w:rPr>
        <w:t>(2003) 106 Cal.App.4th 1415, 1423.)</w:t>
      </w:r>
    </w:p>
    <w:p w14:paraId="1CEE83F7" w14:textId="77777777" w:rsidR="004040F8" w:rsidRPr="00782EC9" w:rsidRDefault="0028508A" w:rsidP="00782EC9">
      <w:pPr>
        <w:jc w:val="both"/>
        <w:rPr>
          <w:szCs w:val="26"/>
        </w:rPr>
      </w:pPr>
    </w:p>
    <w:p w14:paraId="05495494" w14:textId="77777777" w:rsidR="004040F8" w:rsidRPr="00782EC9" w:rsidRDefault="0028508A" w:rsidP="00B5731D">
      <w:pPr>
        <w:spacing w:line="240" w:lineRule="auto"/>
        <w:rPr>
          <w:szCs w:val="26"/>
        </w:rPr>
      </w:pPr>
      <w:r w:rsidRPr="00782EC9">
        <w:rPr>
          <w:szCs w:val="26"/>
        </w:rPr>
        <w:tab/>
      </w:r>
      <w:r w:rsidRPr="00782EC9">
        <w:rPr>
          <w:b/>
          <w:bCs/>
          <w:szCs w:val="26"/>
        </w:rPr>
        <w:t>B.</w:t>
      </w:r>
      <w:r w:rsidRPr="00782EC9">
        <w:rPr>
          <w:b/>
          <w:bCs/>
          <w:szCs w:val="26"/>
        </w:rPr>
        <w:tab/>
        <w:t>Musso &amp; Frank contend</w:t>
      </w:r>
      <w:r w:rsidRPr="00782EC9">
        <w:rPr>
          <w:b/>
          <w:bCs/>
          <w:szCs w:val="26"/>
        </w:rPr>
        <w:t>s</w:t>
      </w:r>
      <w:r w:rsidRPr="00782EC9">
        <w:rPr>
          <w:b/>
          <w:bCs/>
          <w:szCs w:val="26"/>
        </w:rPr>
        <w:t xml:space="preserve"> “direct physical</w:t>
      </w:r>
      <w:r>
        <w:rPr>
          <w:b/>
          <w:bCs/>
          <w:szCs w:val="26"/>
        </w:rPr>
        <w:br/>
      </w:r>
      <w:r w:rsidRPr="00782EC9">
        <w:rPr>
          <w:b/>
          <w:bCs/>
          <w:szCs w:val="26"/>
        </w:rPr>
        <w:tab/>
      </w:r>
      <w:r w:rsidRPr="00782EC9">
        <w:rPr>
          <w:b/>
          <w:bCs/>
          <w:szCs w:val="26"/>
        </w:rPr>
        <w:tab/>
        <w:t>loss of or damage</w:t>
      </w:r>
      <w:r w:rsidRPr="00782EC9">
        <w:rPr>
          <w:b/>
          <w:bCs/>
          <w:szCs w:val="26"/>
        </w:rPr>
        <w:t>”</w:t>
      </w:r>
      <w:r w:rsidRPr="00782EC9">
        <w:rPr>
          <w:b/>
          <w:bCs/>
          <w:szCs w:val="26"/>
        </w:rPr>
        <w:t xml:space="preserve"> to the property is subject to a </w:t>
      </w:r>
      <w:r w:rsidRPr="00782EC9">
        <w:rPr>
          <w:b/>
          <w:bCs/>
          <w:szCs w:val="26"/>
        </w:rPr>
        <w:br/>
      </w:r>
      <w:r w:rsidRPr="00782EC9">
        <w:rPr>
          <w:b/>
          <w:bCs/>
          <w:szCs w:val="26"/>
        </w:rPr>
        <w:tab/>
      </w:r>
      <w:r w:rsidRPr="00782EC9">
        <w:rPr>
          <w:b/>
          <w:bCs/>
          <w:szCs w:val="26"/>
        </w:rPr>
        <w:tab/>
        <w:t>reasonable construction that supports coverage.</w:t>
      </w:r>
    </w:p>
    <w:p w14:paraId="693E6DEE" w14:textId="77777777" w:rsidR="004040F8" w:rsidRPr="00782EC9" w:rsidRDefault="0028508A" w:rsidP="00782EC9">
      <w:pPr>
        <w:jc w:val="both"/>
        <w:rPr>
          <w:szCs w:val="26"/>
        </w:rPr>
      </w:pPr>
    </w:p>
    <w:p w14:paraId="1B0C3E32" w14:textId="77777777" w:rsidR="004040F8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Musso &amp; Frank </w:t>
      </w:r>
      <w:r w:rsidRPr="00782EC9">
        <w:rPr>
          <w:szCs w:val="26"/>
        </w:rPr>
        <w:t>con</w:t>
      </w:r>
      <w:r w:rsidRPr="00782EC9">
        <w:rPr>
          <w:szCs w:val="26"/>
        </w:rPr>
        <w:t>cedes</w:t>
      </w:r>
      <w:r w:rsidRPr="00782EC9">
        <w:rPr>
          <w:szCs w:val="26"/>
        </w:rPr>
        <w:t xml:space="preserve"> that, as the </w:t>
      </w:r>
      <w:r w:rsidRPr="00782EC9">
        <w:rPr>
          <w:szCs w:val="26"/>
        </w:rPr>
        <w:t>policyholder</w:t>
      </w:r>
      <w:r w:rsidRPr="00782EC9">
        <w:rPr>
          <w:szCs w:val="26"/>
        </w:rPr>
        <w:t>, it has the burden to prove its claim falls within the scope of the policy’s insuring clause (</w:t>
      </w:r>
      <w:r w:rsidRPr="00782EC9">
        <w:rPr>
          <w:i/>
          <w:iCs/>
          <w:szCs w:val="26"/>
        </w:rPr>
        <w:t>Aydin Corp. v. First State Ins. Co.</w:t>
      </w:r>
      <w:r w:rsidRPr="00782EC9">
        <w:rPr>
          <w:szCs w:val="26"/>
        </w:rPr>
        <w:t xml:space="preserve"> (1998) 18 Cal.4th 1183, 1188)</w:t>
      </w:r>
      <w:r>
        <w:rPr>
          <w:szCs w:val="26"/>
        </w:rPr>
        <w:t>,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 xml:space="preserve">but </w:t>
      </w:r>
      <w:r w:rsidRPr="00782EC9">
        <w:rPr>
          <w:szCs w:val="26"/>
        </w:rPr>
        <w:t>i</w:t>
      </w:r>
      <w:r w:rsidRPr="00782EC9">
        <w:rPr>
          <w:szCs w:val="26"/>
        </w:rPr>
        <w:t>nsists that</w:t>
      </w:r>
      <w:r w:rsidRPr="00782EC9">
        <w:rPr>
          <w:szCs w:val="26"/>
        </w:rPr>
        <w:t>,</w:t>
      </w:r>
      <w:r w:rsidRPr="00782EC9">
        <w:rPr>
          <w:szCs w:val="26"/>
        </w:rPr>
        <w:t xml:space="preserve"> because MSI sought dismissal by way of demurrer, it has the burden to establish conclusively that the insuring clause unambiguously negates the construction claimed by Musso </w:t>
      </w:r>
      <w:r>
        <w:rPr>
          <w:szCs w:val="26"/>
        </w:rPr>
        <w:t>&amp;</w:t>
      </w:r>
      <w:r w:rsidRPr="00782EC9">
        <w:rPr>
          <w:szCs w:val="26"/>
        </w:rPr>
        <w:t xml:space="preserve"> Frank.  (</w:t>
      </w:r>
      <w:r w:rsidRPr="00782EC9">
        <w:rPr>
          <w:i/>
          <w:iCs/>
          <w:szCs w:val="26"/>
        </w:rPr>
        <w:t xml:space="preserve">Palacin v. Allstate Ins. Co. </w:t>
      </w:r>
      <w:r w:rsidRPr="00782EC9">
        <w:rPr>
          <w:szCs w:val="26"/>
        </w:rPr>
        <w:t>(2004) 119 Cal.App.4th 855, 862.)  To tha</w:t>
      </w:r>
      <w:r w:rsidRPr="00782EC9">
        <w:rPr>
          <w:szCs w:val="26"/>
        </w:rPr>
        <w:t>t end, Musso &amp; Frank insists the coverage provision must be interpreted broadly to afford the insured the greatest possible protection.  (</w:t>
      </w:r>
      <w:r w:rsidRPr="00782EC9">
        <w:rPr>
          <w:i/>
          <w:iCs/>
          <w:szCs w:val="26"/>
        </w:rPr>
        <w:t xml:space="preserve">Energy Ins. Mutual Limited v. Ace American Ins. Co. </w:t>
      </w:r>
      <w:r w:rsidRPr="00782EC9">
        <w:rPr>
          <w:szCs w:val="26"/>
        </w:rPr>
        <w:t>(2017)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14 Cal.App.5th 281, 291.)</w:t>
      </w:r>
      <w:r w:rsidRPr="00782EC9">
        <w:rPr>
          <w:szCs w:val="26"/>
        </w:rPr>
        <w:t xml:space="preserve">  Without regard to which party ha</w:t>
      </w:r>
      <w:r w:rsidRPr="00782EC9">
        <w:rPr>
          <w:szCs w:val="26"/>
        </w:rPr>
        <w:t xml:space="preserve">s the burden, our result would be the same </w:t>
      </w:r>
      <w:r>
        <w:rPr>
          <w:szCs w:val="26"/>
        </w:rPr>
        <w:t>—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Musso &amp; Frank’s loss is not covered.</w:t>
      </w:r>
    </w:p>
    <w:p w14:paraId="3FBACBDF" w14:textId="77777777" w:rsidR="00166534" w:rsidRPr="00782EC9" w:rsidRDefault="0028508A" w:rsidP="00782EC9">
      <w:pPr>
        <w:jc w:val="both"/>
        <w:rPr>
          <w:szCs w:val="26"/>
        </w:rPr>
      </w:pPr>
    </w:p>
    <w:p w14:paraId="7C2BFD54" w14:textId="77777777" w:rsidR="00166534" w:rsidRPr="00782EC9" w:rsidRDefault="0028508A" w:rsidP="00782EC9">
      <w:pPr>
        <w:jc w:val="both"/>
      </w:pPr>
      <w:r w:rsidRPr="00782EC9">
        <w:rPr>
          <w:szCs w:val="26"/>
        </w:rPr>
        <w:tab/>
      </w:r>
      <w:r w:rsidRPr="674D62E7">
        <w:t xml:space="preserve">The question is whether the insuring clause’s requirement of “direct physical loss of or damage to [the insured] property” can reasonably be construed to cover the closure </w:t>
      </w:r>
      <w:r w:rsidRPr="674D62E7">
        <w:t>resulting from the pandemic.</w:t>
      </w:r>
      <w:r w:rsidRPr="00782EC9">
        <w:rPr>
          <w:szCs w:val="26"/>
        </w:rPr>
        <w:t xml:space="preserve"> </w:t>
      </w:r>
      <w:r>
        <w:rPr>
          <w:szCs w:val="26"/>
        </w:rPr>
        <w:t xml:space="preserve"> </w:t>
      </w:r>
      <w:r w:rsidRPr="674D62E7">
        <w:t>Musso &amp; Frank</w:t>
      </w:r>
      <w:r w:rsidRPr="00782EC9">
        <w:rPr>
          <w:szCs w:val="26"/>
        </w:rPr>
        <w:t xml:space="preserve"> </w:t>
      </w:r>
      <w:r w:rsidRPr="674D62E7">
        <w:t>contends that, under California law, the interpretation of an undefined policy term require</w:t>
      </w:r>
      <w:r w:rsidRPr="674D62E7">
        <w:t>s</w:t>
      </w:r>
      <w:r w:rsidRPr="674D62E7">
        <w:t xml:space="preserve"> a three-step analysis </w:t>
      </w:r>
      <w:r>
        <w:rPr>
          <w:szCs w:val="26"/>
        </w:rPr>
        <w:t>—</w:t>
      </w:r>
      <w:r w:rsidRPr="00782EC9">
        <w:rPr>
          <w:szCs w:val="26"/>
        </w:rPr>
        <w:t xml:space="preserve"> (</w:t>
      </w:r>
      <w:r w:rsidRPr="674D62E7">
        <w:t>i</w:t>
      </w:r>
      <w:r w:rsidRPr="00782EC9">
        <w:rPr>
          <w:szCs w:val="26"/>
        </w:rPr>
        <w:t>)</w:t>
      </w:r>
      <w:r>
        <w:rPr>
          <w:szCs w:val="26"/>
        </w:rPr>
        <w:t xml:space="preserve"> </w:t>
      </w:r>
      <w:r w:rsidRPr="674D62E7">
        <w:t xml:space="preserve">an examination of the </w:t>
      </w:r>
      <w:r>
        <w:t>“</w:t>
      </w:r>
      <w:r w:rsidRPr="674D62E7">
        <w:t>plain mean</w:t>
      </w:r>
      <w:r w:rsidRPr="674D62E7">
        <w:t>ing</w:t>
      </w:r>
      <w:r w:rsidRPr="674D62E7">
        <w:t>” o</w:t>
      </w:r>
      <w:r w:rsidRPr="674D62E7">
        <w:t>f</w:t>
      </w:r>
      <w:r w:rsidRPr="674D62E7">
        <w:t xml:space="preserve"> the term in the context of the policy as a whole, </w:t>
      </w:r>
      <w:r w:rsidRPr="674D62E7">
        <w:t>(ii)</w:t>
      </w:r>
      <w:r>
        <w:rPr>
          <w:szCs w:val="26"/>
        </w:rPr>
        <w:t xml:space="preserve"> </w:t>
      </w:r>
      <w:r w:rsidRPr="674D62E7">
        <w:t>consideration of the “objectively reasonable expectations of the insured,” and (iii) the resolution of an</w:t>
      </w:r>
      <w:r w:rsidRPr="674D62E7">
        <w:t>y</w:t>
      </w:r>
      <w:r w:rsidRPr="674D62E7">
        <w:t xml:space="preserve"> ambiguities or uncertainties against the insurer.  (</w:t>
      </w:r>
      <w:r w:rsidRPr="674D62E7">
        <w:rPr>
          <w:i/>
          <w:iCs/>
        </w:rPr>
        <w:t xml:space="preserve">AIU Ins. Co. v. </w:t>
      </w:r>
      <w:r w:rsidRPr="674D62E7">
        <w:rPr>
          <w:i/>
          <w:iCs/>
        </w:rPr>
        <w:t>Superior</w:t>
      </w:r>
      <w:r w:rsidRPr="674D62E7">
        <w:rPr>
          <w:i/>
          <w:iCs/>
        </w:rPr>
        <w:t xml:space="preserve"> Court </w:t>
      </w:r>
      <w:r w:rsidRPr="674D62E7">
        <w:t>(1990) 51 Cal.3d 807, 821-822</w:t>
      </w:r>
      <w:r>
        <w:rPr>
          <w:szCs w:val="26"/>
        </w:rPr>
        <w:t xml:space="preserve"> (</w:t>
      </w:r>
      <w:r w:rsidRPr="674D62E7">
        <w:rPr>
          <w:i/>
          <w:iCs/>
        </w:rPr>
        <w:t>AIU</w:t>
      </w:r>
      <w:r>
        <w:rPr>
          <w:szCs w:val="26"/>
        </w:rPr>
        <w:t>)</w:t>
      </w:r>
      <w:r w:rsidRPr="00782EC9">
        <w:rPr>
          <w:szCs w:val="26"/>
        </w:rPr>
        <w:t xml:space="preserve">; </w:t>
      </w:r>
      <w:r w:rsidRPr="674D62E7">
        <w:rPr>
          <w:i/>
          <w:iCs/>
        </w:rPr>
        <w:t xml:space="preserve">Windsor Food Quality Co., Ltd. v. Underwriters of Lloyds of London </w:t>
      </w:r>
      <w:r w:rsidRPr="674D62E7">
        <w:t>(201</w:t>
      </w:r>
      <w:r w:rsidRPr="674D62E7">
        <w:t>5</w:t>
      </w:r>
      <w:r w:rsidRPr="674D62E7">
        <w:t>) 234</w:t>
      </w:r>
      <w:r>
        <w:rPr>
          <w:szCs w:val="26"/>
        </w:rPr>
        <w:t xml:space="preserve"> </w:t>
      </w:r>
      <w:r w:rsidRPr="674D62E7">
        <w:t>Cal.App.4th 1178, 1185;</w:t>
      </w:r>
      <w:r w:rsidRPr="00782EC9">
        <w:rPr>
          <w:szCs w:val="26"/>
        </w:rPr>
        <w:t xml:space="preserve"> </w:t>
      </w:r>
      <w:r w:rsidRPr="674D62E7">
        <w:t>and see Croskey et al., Cal</w:t>
      </w:r>
      <w:r w:rsidRPr="00B215B9">
        <w:rPr>
          <w:szCs w:val="26"/>
        </w:rPr>
        <w:t>.</w:t>
      </w:r>
      <w:r w:rsidRPr="674D62E7">
        <w:t xml:space="preserve"> Practice Guide</w:t>
      </w:r>
      <w:r w:rsidRPr="00B215B9">
        <w:rPr>
          <w:szCs w:val="26"/>
        </w:rPr>
        <w:t>:</w:t>
      </w:r>
      <w:r w:rsidRPr="674D62E7">
        <w:t xml:space="preserve"> Insurance Litigation</w:t>
      </w:r>
      <w:r w:rsidRPr="674D62E7">
        <w:rPr>
          <w:i/>
          <w:iCs/>
        </w:rPr>
        <w:t xml:space="preserve"> </w:t>
      </w:r>
      <w:r w:rsidRPr="00782EC9">
        <w:rPr>
          <w:szCs w:val="26"/>
        </w:rPr>
        <w:t>(</w:t>
      </w:r>
      <w:r w:rsidRPr="674D62E7">
        <w:t xml:space="preserve">The </w:t>
      </w:r>
      <w:r w:rsidRPr="674D62E7">
        <w:t>Rutter</w:t>
      </w:r>
      <w:r w:rsidRPr="674D62E7">
        <w:t xml:space="preserve"> Group</w:t>
      </w:r>
      <w:r w:rsidRPr="674D62E7">
        <w:t xml:space="preserve"> 2021) § 4:5.)</w:t>
      </w:r>
    </w:p>
    <w:p w14:paraId="3EA27F1E" w14:textId="77777777" w:rsidR="674D62E7" w:rsidRDefault="0028508A" w:rsidP="674D62E7">
      <w:pPr>
        <w:jc w:val="both"/>
        <w:rPr>
          <w:rFonts w:eastAsia="Calibri"/>
          <w:szCs w:val="26"/>
        </w:rPr>
      </w:pPr>
    </w:p>
    <w:p w14:paraId="7AF3889F" w14:textId="77777777" w:rsidR="00E2582C" w:rsidRPr="00782EC9" w:rsidRDefault="0028508A" w:rsidP="00B5731D">
      <w:pPr>
        <w:keepNext/>
        <w:spacing w:line="240" w:lineRule="auto"/>
      </w:pPr>
      <w:r w:rsidRPr="00782EC9">
        <w:rPr>
          <w:szCs w:val="26"/>
        </w:rPr>
        <w:lastRenderedPageBreak/>
        <w:tab/>
      </w:r>
      <w:r w:rsidRPr="00782EC9">
        <w:rPr>
          <w:szCs w:val="26"/>
        </w:rPr>
        <w:tab/>
      </w:r>
      <w:r w:rsidRPr="674D62E7">
        <w:rPr>
          <w:b/>
          <w:bCs/>
        </w:rPr>
        <w:t>1.</w:t>
      </w:r>
      <w:r w:rsidRPr="00782EC9">
        <w:rPr>
          <w:b/>
          <w:bCs/>
          <w:szCs w:val="26"/>
        </w:rPr>
        <w:tab/>
      </w:r>
      <w:r w:rsidRPr="674D62E7">
        <w:rPr>
          <w:b/>
          <w:bCs/>
          <w:i/>
          <w:iCs/>
        </w:rPr>
        <w:t xml:space="preserve">Musso </w:t>
      </w:r>
      <w:r w:rsidRPr="674D62E7">
        <w:rPr>
          <w:b/>
          <w:bCs/>
          <w:i/>
          <w:iCs/>
        </w:rPr>
        <w:t xml:space="preserve">&amp; </w:t>
      </w:r>
      <w:r w:rsidRPr="674D62E7">
        <w:rPr>
          <w:b/>
          <w:bCs/>
          <w:i/>
          <w:iCs/>
        </w:rPr>
        <w:t>Frank contends that because</w:t>
      </w:r>
      <w:r>
        <w:br/>
      </w:r>
      <w:r>
        <w:tab/>
      </w:r>
      <w:r>
        <w:tab/>
      </w:r>
      <w:r>
        <w:tab/>
      </w:r>
      <w:r w:rsidRPr="000E221E">
        <w:rPr>
          <w:b/>
          <w:bCs/>
          <w:i/>
          <w:iCs/>
          <w:szCs w:val="26"/>
        </w:rPr>
        <w:t>“</w:t>
      </w:r>
      <w:r w:rsidRPr="008E157F">
        <w:rPr>
          <w:b/>
          <w:bCs/>
          <w:i/>
          <w:iCs/>
        </w:rPr>
        <w:t>physical loss” and “damage” are used</w:t>
      </w:r>
      <w:r w:rsidRPr="00C62166">
        <w:rPr>
          <w:b/>
          <w:bCs/>
          <w:i/>
          <w:iCs/>
        </w:rPr>
        <w:br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 w:rsidRPr="674D62E7">
        <w:rPr>
          <w:b/>
          <w:bCs/>
          <w:i/>
          <w:iCs/>
        </w:rPr>
        <w:t xml:space="preserve">disjunctively, </w:t>
      </w:r>
      <w:r w:rsidRPr="674D62E7">
        <w:rPr>
          <w:b/>
          <w:bCs/>
          <w:i/>
          <w:iCs/>
        </w:rPr>
        <w:t>“</w:t>
      </w:r>
      <w:r w:rsidRPr="674D62E7">
        <w:rPr>
          <w:b/>
          <w:bCs/>
          <w:i/>
          <w:iCs/>
        </w:rPr>
        <w:t>loss of</w:t>
      </w:r>
      <w:r w:rsidRPr="674D62E7">
        <w:rPr>
          <w:b/>
          <w:bCs/>
          <w:i/>
          <w:iCs/>
        </w:rPr>
        <w:t>”</w:t>
      </w:r>
      <w:r w:rsidRPr="674D62E7">
        <w:rPr>
          <w:b/>
          <w:bCs/>
          <w:i/>
          <w:iCs/>
        </w:rPr>
        <w:t xml:space="preserve"> and </w:t>
      </w:r>
      <w:r w:rsidRPr="674D62E7">
        <w:rPr>
          <w:b/>
          <w:bCs/>
          <w:i/>
          <w:iCs/>
        </w:rPr>
        <w:t>“</w:t>
      </w:r>
      <w:r w:rsidRPr="674D62E7">
        <w:rPr>
          <w:b/>
          <w:bCs/>
          <w:i/>
          <w:iCs/>
        </w:rPr>
        <w:t>damage</w:t>
      </w:r>
      <w:r w:rsidRPr="674D62E7">
        <w:rPr>
          <w:b/>
          <w:bCs/>
          <w:i/>
          <w:iCs/>
        </w:rPr>
        <w:t>”</w:t>
      </w:r>
      <w:r w:rsidRPr="674D62E7">
        <w:rPr>
          <w:b/>
          <w:bCs/>
          <w:i/>
          <w:iCs/>
        </w:rPr>
        <w:t xml:space="preserve"> must</w:t>
      </w:r>
      <w:r>
        <w:br/>
      </w:r>
      <w:r>
        <w:tab/>
      </w:r>
      <w:r>
        <w:tab/>
      </w:r>
      <w:r>
        <w:tab/>
      </w:r>
      <w:r w:rsidRPr="674D62E7">
        <w:rPr>
          <w:b/>
          <w:bCs/>
          <w:i/>
          <w:iCs/>
        </w:rPr>
        <w:t xml:space="preserve">be given separate </w:t>
      </w:r>
      <w:r w:rsidRPr="674D62E7">
        <w:rPr>
          <w:b/>
          <w:bCs/>
          <w:i/>
          <w:iCs/>
        </w:rPr>
        <w:t>definitions</w:t>
      </w:r>
      <w:r w:rsidRPr="674D62E7">
        <w:rPr>
          <w:b/>
          <w:bCs/>
          <w:i/>
          <w:iCs/>
        </w:rPr>
        <w:t>.</w:t>
      </w:r>
    </w:p>
    <w:p w14:paraId="6BCD3D16" w14:textId="77777777" w:rsidR="00E2582C" w:rsidRPr="00782EC9" w:rsidRDefault="0028508A" w:rsidP="001117BA">
      <w:pPr>
        <w:keepNext/>
        <w:jc w:val="both"/>
        <w:rPr>
          <w:szCs w:val="26"/>
        </w:rPr>
      </w:pPr>
    </w:p>
    <w:p w14:paraId="3BAD629D" w14:textId="77777777" w:rsidR="00E2582C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>According to Musso &amp; Frank, it suffered a “loss of” its property within the meaning of the in</w:t>
      </w:r>
      <w:r w:rsidRPr="00782EC9">
        <w:rPr>
          <w:szCs w:val="26"/>
        </w:rPr>
        <w:t>s</w:t>
      </w:r>
      <w:r w:rsidRPr="00782EC9">
        <w:rPr>
          <w:szCs w:val="26"/>
        </w:rPr>
        <w:t>uring cla</w:t>
      </w:r>
      <w:r w:rsidRPr="00782EC9">
        <w:rPr>
          <w:szCs w:val="26"/>
        </w:rPr>
        <w:t>u</w:t>
      </w:r>
      <w:r w:rsidRPr="00782EC9">
        <w:rPr>
          <w:szCs w:val="26"/>
        </w:rPr>
        <w:t>se.  (</w:t>
      </w:r>
      <w:r w:rsidRPr="00782EC9">
        <w:rPr>
          <w:i/>
          <w:iCs/>
          <w:szCs w:val="26"/>
        </w:rPr>
        <w:t xml:space="preserve">In re Tobacco Cases I </w:t>
      </w:r>
      <w:r w:rsidRPr="00782EC9">
        <w:rPr>
          <w:szCs w:val="26"/>
        </w:rPr>
        <w:t>(2010</w:t>
      </w:r>
      <w:r w:rsidRPr="00782EC9">
        <w:rPr>
          <w:szCs w:val="26"/>
        </w:rPr>
        <w:t>) 186</w:t>
      </w:r>
      <w:r>
        <w:rPr>
          <w:szCs w:val="26"/>
        </w:rPr>
        <w:t xml:space="preserve"> </w:t>
      </w:r>
      <w:r w:rsidRPr="00782EC9">
        <w:rPr>
          <w:szCs w:val="26"/>
        </w:rPr>
        <w:t>Cal.App.4th 42, 49 [courts must give effect to ever</w:t>
      </w:r>
      <w:r w:rsidRPr="00782EC9">
        <w:rPr>
          <w:szCs w:val="26"/>
        </w:rPr>
        <w:t>y</w:t>
      </w:r>
      <w:r w:rsidRPr="00782EC9">
        <w:rPr>
          <w:szCs w:val="26"/>
        </w:rPr>
        <w:t xml:space="preserve"> word of a contract and, when possible, avoid an interpretation that renders a wor</w:t>
      </w:r>
      <w:r w:rsidRPr="00782EC9">
        <w:rPr>
          <w:szCs w:val="26"/>
        </w:rPr>
        <w:t>d</w:t>
      </w:r>
      <w:r w:rsidRPr="00782EC9">
        <w:rPr>
          <w:szCs w:val="26"/>
        </w:rPr>
        <w:t xml:space="preserve"> surplusage]; see also </w:t>
      </w:r>
      <w:r w:rsidRPr="00782EC9">
        <w:rPr>
          <w:i/>
          <w:iCs/>
          <w:szCs w:val="26"/>
        </w:rPr>
        <w:t xml:space="preserve">Farmers Ins. Exchange v. Knopp </w:t>
      </w:r>
      <w:r w:rsidRPr="00782EC9">
        <w:rPr>
          <w:szCs w:val="26"/>
        </w:rPr>
        <w:t>(1996) 50</w:t>
      </w:r>
      <w:r>
        <w:rPr>
          <w:szCs w:val="26"/>
        </w:rPr>
        <w:t> </w:t>
      </w:r>
      <w:r w:rsidRPr="00782EC9">
        <w:rPr>
          <w:szCs w:val="26"/>
        </w:rPr>
        <w:t>Cal.App.</w:t>
      </w:r>
      <w:r w:rsidRPr="00782EC9">
        <w:rPr>
          <w:szCs w:val="26"/>
        </w:rPr>
        <w:t>4th</w:t>
      </w:r>
      <w:r w:rsidRPr="00782EC9">
        <w:rPr>
          <w:szCs w:val="26"/>
        </w:rPr>
        <w:t xml:space="preserve"> 1415, 1421.)  We disagree</w:t>
      </w:r>
      <w:r w:rsidRPr="00782EC9">
        <w:rPr>
          <w:szCs w:val="26"/>
        </w:rPr>
        <w:t xml:space="preserve"> with Musso &amp; </w:t>
      </w:r>
      <w:r w:rsidRPr="00782EC9">
        <w:rPr>
          <w:szCs w:val="26"/>
        </w:rPr>
        <w:t>Frank’s application of that rule to the MSI policy</w:t>
      </w:r>
      <w:r w:rsidRPr="00782EC9">
        <w:rPr>
          <w:szCs w:val="26"/>
        </w:rPr>
        <w:t>.</w:t>
      </w:r>
      <w:r>
        <w:rPr>
          <w:rStyle w:val="FootnoteReference"/>
          <w:b/>
          <w:position w:val="8"/>
          <w:sz w:val="20"/>
          <w:szCs w:val="26"/>
          <w:vertAlign w:val="baseline"/>
        </w:rPr>
        <w:footnoteReference w:id="2"/>
      </w:r>
    </w:p>
    <w:p w14:paraId="05ACF0FD" w14:textId="77777777" w:rsidR="0017749F" w:rsidRPr="00782EC9" w:rsidRDefault="0028508A" w:rsidP="00782EC9">
      <w:pPr>
        <w:jc w:val="both"/>
        <w:rPr>
          <w:szCs w:val="26"/>
        </w:rPr>
      </w:pPr>
    </w:p>
    <w:p w14:paraId="56A5C61E" w14:textId="77777777" w:rsidR="0017749F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The </w:t>
      </w:r>
      <w:r w:rsidRPr="00782EC9">
        <w:rPr>
          <w:szCs w:val="26"/>
        </w:rPr>
        <w:t xml:space="preserve">first published case to </w:t>
      </w:r>
      <w:r w:rsidRPr="00782EC9">
        <w:rPr>
          <w:szCs w:val="26"/>
        </w:rPr>
        <w:t>address</w:t>
      </w:r>
      <w:r w:rsidRPr="00782EC9">
        <w:rPr>
          <w:szCs w:val="26"/>
        </w:rPr>
        <w:t xml:space="preserve"> this issue</w:t>
      </w:r>
      <w:r w:rsidRPr="00782EC9">
        <w:rPr>
          <w:szCs w:val="26"/>
        </w:rPr>
        <w:t xml:space="preserve"> in the context of the COVID-19 </w:t>
      </w:r>
      <w:r w:rsidRPr="00782EC9">
        <w:rPr>
          <w:szCs w:val="26"/>
        </w:rPr>
        <w:t>pandemic</w:t>
      </w:r>
      <w:r w:rsidRPr="00782EC9">
        <w:rPr>
          <w:szCs w:val="26"/>
        </w:rPr>
        <w:t xml:space="preserve"> vis-a-vis a business interruption policy</w:t>
      </w:r>
      <w:r w:rsidRPr="00782EC9">
        <w:rPr>
          <w:szCs w:val="26"/>
        </w:rPr>
        <w:t xml:space="preserve"> was</w:t>
      </w:r>
      <w:r w:rsidRPr="00782EC9">
        <w:rPr>
          <w:szCs w:val="26"/>
        </w:rPr>
        <w:t xml:space="preserve"> </w:t>
      </w:r>
      <w:r w:rsidRPr="00782EC9">
        <w:rPr>
          <w:i/>
          <w:iCs/>
          <w:szCs w:val="26"/>
        </w:rPr>
        <w:t>Oral Surgeons, P.C. v. Cincinnati Insurance Co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</w:t>
      </w:r>
      <w:r w:rsidRPr="00782EC9">
        <w:rPr>
          <w:szCs w:val="26"/>
        </w:rPr>
        <w:t xml:space="preserve">(8th Cir. 2021) 2 </w:t>
      </w:r>
      <w:r w:rsidRPr="00782EC9">
        <w:rPr>
          <w:szCs w:val="26"/>
        </w:rPr>
        <w:t>F.4th 1141 (</w:t>
      </w:r>
      <w:r w:rsidRPr="00782EC9">
        <w:rPr>
          <w:i/>
          <w:iCs/>
          <w:szCs w:val="26"/>
        </w:rPr>
        <w:t>Oral Surgeons</w:t>
      </w:r>
      <w:r w:rsidRPr="00782EC9">
        <w:rPr>
          <w:szCs w:val="26"/>
        </w:rPr>
        <w:t xml:space="preserve">).  Although the </w:t>
      </w:r>
      <w:r>
        <w:rPr>
          <w:szCs w:val="26"/>
        </w:rPr>
        <w:t>Eighth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 xml:space="preserve">Circuit case is based on Iowa law, not </w:t>
      </w:r>
      <w:r w:rsidRPr="00782EC9">
        <w:rPr>
          <w:szCs w:val="26"/>
        </w:rPr>
        <w:t>California</w:t>
      </w:r>
      <w:r w:rsidRPr="00782EC9">
        <w:rPr>
          <w:szCs w:val="26"/>
        </w:rPr>
        <w:t xml:space="preserve"> law, its facts and analysis of the</w:t>
      </w:r>
      <w:r w:rsidRPr="00782EC9">
        <w:rPr>
          <w:szCs w:val="26"/>
        </w:rPr>
        <w:t xml:space="preserve"> issue</w:t>
      </w:r>
      <w:r w:rsidRPr="00782EC9">
        <w:rPr>
          <w:szCs w:val="26"/>
        </w:rPr>
        <w:t xml:space="preserve"> are strikingly similar to the facts of this case and</w:t>
      </w:r>
      <w:r>
        <w:rPr>
          <w:szCs w:val="26"/>
        </w:rPr>
        <w:t xml:space="preserve"> </w:t>
      </w:r>
      <w:r w:rsidRPr="00325D07">
        <w:rPr>
          <w:szCs w:val="26"/>
        </w:rPr>
        <w:t>to</w:t>
      </w:r>
      <w:r w:rsidRPr="00C22725">
        <w:rPr>
          <w:szCs w:val="26"/>
        </w:rPr>
        <w:t xml:space="preserve"> th</w:t>
      </w:r>
      <w:r w:rsidRPr="00782EC9">
        <w:rPr>
          <w:szCs w:val="26"/>
        </w:rPr>
        <w:t>e law of California as outlined by Musso &amp; Frank.</w:t>
      </w:r>
    </w:p>
    <w:p w14:paraId="30AE4D2F" w14:textId="77777777" w:rsidR="0017749F" w:rsidRPr="00782EC9" w:rsidRDefault="0028508A" w:rsidP="00782EC9">
      <w:pPr>
        <w:jc w:val="both"/>
        <w:rPr>
          <w:szCs w:val="26"/>
        </w:rPr>
      </w:pPr>
    </w:p>
    <w:p w14:paraId="29D3C736" w14:textId="77777777" w:rsidR="0017749F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>Oral S</w:t>
      </w:r>
      <w:r w:rsidRPr="00782EC9">
        <w:rPr>
          <w:szCs w:val="26"/>
        </w:rPr>
        <w:t>urgeon</w:t>
      </w:r>
      <w:r w:rsidRPr="00782EC9">
        <w:rPr>
          <w:szCs w:val="26"/>
        </w:rPr>
        <w:t>s, P.C.</w:t>
      </w:r>
      <w:r w:rsidRPr="00782EC9">
        <w:rPr>
          <w:szCs w:val="26"/>
        </w:rPr>
        <w:t xml:space="preserve"> stopped performing non</w:t>
      </w:r>
      <w:r w:rsidRPr="00782EC9">
        <w:rPr>
          <w:szCs w:val="26"/>
        </w:rPr>
        <w:t>-</w:t>
      </w:r>
      <w:r w:rsidRPr="00782EC9">
        <w:rPr>
          <w:szCs w:val="26"/>
        </w:rPr>
        <w:t xml:space="preserve">emergency </w:t>
      </w:r>
      <w:r w:rsidRPr="00782EC9">
        <w:rPr>
          <w:szCs w:val="26"/>
        </w:rPr>
        <w:t xml:space="preserve">dental </w:t>
      </w:r>
      <w:r w:rsidRPr="00782EC9">
        <w:rPr>
          <w:szCs w:val="26"/>
        </w:rPr>
        <w:t>procedures in March 2020</w:t>
      </w:r>
      <w:r w:rsidRPr="00782EC9">
        <w:rPr>
          <w:szCs w:val="26"/>
        </w:rPr>
        <w:t xml:space="preserve">, after the </w:t>
      </w:r>
      <w:r w:rsidRPr="00782EC9">
        <w:rPr>
          <w:szCs w:val="26"/>
        </w:rPr>
        <w:t>G</w:t>
      </w:r>
      <w:r w:rsidRPr="00782EC9">
        <w:rPr>
          <w:szCs w:val="26"/>
        </w:rPr>
        <w:t>overnor of Iowa declared a state of emergency and imposed restrictions on dental practices because of the COVID-19 pandemic.  (</w:t>
      </w:r>
      <w:r w:rsidRPr="00782EC9">
        <w:rPr>
          <w:i/>
          <w:iCs/>
          <w:szCs w:val="26"/>
        </w:rPr>
        <w:t>Oral Surgeons</w:t>
      </w:r>
      <w:r w:rsidRPr="0095665E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 xml:space="preserve">, 2 F.4th at p. 1143.)  Oral Surgeons had a </w:t>
      </w:r>
      <w:r w:rsidRPr="00782EC9">
        <w:rPr>
          <w:szCs w:val="26"/>
        </w:rPr>
        <w:t>business</w:t>
      </w:r>
      <w:r w:rsidRPr="00782EC9">
        <w:rPr>
          <w:szCs w:val="26"/>
        </w:rPr>
        <w:t xml:space="preserve"> interruption policy issued by The Cincinnati Insurance Company (Cincinnati) and submitted a claim for its losses.  </w:t>
      </w:r>
      <w:r w:rsidRPr="00782EC9">
        <w:rPr>
          <w:szCs w:val="26"/>
        </w:rPr>
        <w:lastRenderedPageBreak/>
        <w:t xml:space="preserve">The </w:t>
      </w:r>
      <w:r w:rsidRPr="00782EC9">
        <w:rPr>
          <w:szCs w:val="26"/>
        </w:rPr>
        <w:t>Cincinnati</w:t>
      </w:r>
      <w:r w:rsidRPr="00782EC9">
        <w:rPr>
          <w:szCs w:val="26"/>
        </w:rPr>
        <w:t xml:space="preserve"> policy covered losses sustained due to the suspension of operations “</w:t>
      </w:r>
      <w:r>
        <w:rPr>
          <w:szCs w:val="26"/>
        </w:rPr>
        <w:t xml:space="preserve"> ‘</w:t>
      </w:r>
      <w:r w:rsidRPr="00782EC9">
        <w:rPr>
          <w:szCs w:val="26"/>
        </w:rPr>
        <w:t>ca</w:t>
      </w:r>
      <w:r w:rsidRPr="00782EC9">
        <w:rPr>
          <w:szCs w:val="26"/>
        </w:rPr>
        <w:t>used by direct “loss” to property,’</w:t>
      </w:r>
      <w:r>
        <w:rPr>
          <w:szCs w:val="26"/>
        </w:rPr>
        <w:t xml:space="preserve"> </w:t>
      </w:r>
      <w:r w:rsidRPr="00782EC9">
        <w:rPr>
          <w:szCs w:val="26"/>
        </w:rPr>
        <w:t xml:space="preserve">” and defined </w:t>
      </w:r>
      <w:r>
        <w:rPr>
          <w:szCs w:val="26"/>
        </w:rPr>
        <w:t>“</w:t>
      </w:r>
      <w:r>
        <w:rPr>
          <w:szCs w:val="26"/>
        </w:rPr>
        <w:t xml:space="preserve"> </w:t>
      </w:r>
      <w:r>
        <w:rPr>
          <w:szCs w:val="26"/>
        </w:rPr>
        <w:t>‘</w:t>
      </w:r>
      <w:r w:rsidRPr="00782EC9">
        <w:rPr>
          <w:szCs w:val="26"/>
        </w:rPr>
        <w:t>loss’</w:t>
      </w:r>
      <w:r>
        <w:rPr>
          <w:szCs w:val="26"/>
        </w:rPr>
        <w:t xml:space="preserve"> </w:t>
      </w:r>
      <w:r w:rsidRPr="00782EC9">
        <w:rPr>
          <w:szCs w:val="26"/>
        </w:rPr>
        <w:t>” as “</w:t>
      </w:r>
      <w:r>
        <w:rPr>
          <w:szCs w:val="26"/>
        </w:rPr>
        <w:t> </w:t>
      </w:r>
      <w:r>
        <w:rPr>
          <w:szCs w:val="26"/>
        </w:rPr>
        <w:t>‘</w:t>
      </w:r>
      <w:r w:rsidRPr="00782EC9">
        <w:rPr>
          <w:szCs w:val="26"/>
        </w:rPr>
        <w:t>accidental physical loss or accidental physical damage</w:t>
      </w:r>
      <w:r>
        <w:rPr>
          <w:szCs w:val="26"/>
        </w:rPr>
        <w:t>’</w:t>
      </w:r>
      <w:r>
        <w:rPr>
          <w:szCs w:val="26"/>
        </w:rPr>
        <w:t xml:space="preserve"> </w:t>
      </w:r>
      <w:r w:rsidRPr="00782EC9">
        <w:rPr>
          <w:szCs w:val="26"/>
        </w:rPr>
        <w:t>” to the insured property.  (</w:t>
      </w:r>
      <w:r w:rsidRPr="00782EC9">
        <w:rPr>
          <w:i/>
          <w:iCs/>
          <w:szCs w:val="26"/>
        </w:rPr>
        <w:t>Ibid.</w:t>
      </w:r>
      <w:r w:rsidRPr="00782EC9">
        <w:rPr>
          <w:szCs w:val="26"/>
        </w:rPr>
        <w:t>)  Based on the absence of loss or physical damage, Cincinnati denied coverage.  Oral Surgeons sued</w:t>
      </w:r>
      <w:r w:rsidRPr="00782EC9">
        <w:rPr>
          <w:szCs w:val="26"/>
        </w:rPr>
        <w:t xml:space="preserve"> but </w:t>
      </w:r>
      <w:r>
        <w:rPr>
          <w:szCs w:val="26"/>
        </w:rPr>
        <w:t>its</w:t>
      </w:r>
      <w:r w:rsidRPr="00782EC9">
        <w:rPr>
          <w:szCs w:val="26"/>
        </w:rPr>
        <w:t xml:space="preserve"> case was dismissed, and the </w:t>
      </w:r>
      <w:r>
        <w:rPr>
          <w:szCs w:val="26"/>
        </w:rPr>
        <w:t>Eighth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Circuit affirmed.  (</w:t>
      </w:r>
      <w:r w:rsidRPr="00782EC9">
        <w:rPr>
          <w:i/>
          <w:iCs/>
          <w:szCs w:val="26"/>
        </w:rPr>
        <w:t>Ibid</w:t>
      </w:r>
      <w:r w:rsidRPr="00C22725">
        <w:rPr>
          <w:szCs w:val="26"/>
        </w:rPr>
        <w:t>.)</w:t>
      </w:r>
    </w:p>
    <w:p w14:paraId="3C8E32DE" w14:textId="77777777" w:rsidR="009613C8" w:rsidRDefault="0028508A" w:rsidP="00782EC9">
      <w:pPr>
        <w:jc w:val="both"/>
        <w:rPr>
          <w:szCs w:val="26"/>
        </w:rPr>
      </w:pPr>
    </w:p>
    <w:p w14:paraId="364236BB" w14:textId="77777777" w:rsidR="00F1011E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Although Oral Surgeons insisted there was coverage, the </w:t>
      </w:r>
      <w:r>
        <w:rPr>
          <w:szCs w:val="26"/>
        </w:rPr>
        <w:t>Eighth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Circuit</w:t>
      </w:r>
      <w:r w:rsidRPr="00782EC9">
        <w:rPr>
          <w:szCs w:val="26"/>
        </w:rPr>
        <w:t xml:space="preserve"> rejected</w:t>
      </w:r>
      <w:r w:rsidRPr="00782EC9">
        <w:rPr>
          <w:szCs w:val="26"/>
        </w:rPr>
        <w:t xml:space="preserve"> its</w:t>
      </w:r>
      <w:r w:rsidRPr="00782EC9">
        <w:rPr>
          <w:szCs w:val="26"/>
        </w:rPr>
        <w:t xml:space="preserve"> claim </w:t>
      </w:r>
      <w:r w:rsidRPr="00782EC9">
        <w:rPr>
          <w:szCs w:val="26"/>
        </w:rPr>
        <w:t>that</w:t>
      </w:r>
      <w:r w:rsidRPr="00782EC9">
        <w:rPr>
          <w:szCs w:val="26"/>
        </w:rPr>
        <w:t xml:space="preserve"> the policy’s “disjunctive definition of </w:t>
      </w:r>
      <w:r>
        <w:rPr>
          <w:szCs w:val="26"/>
        </w:rPr>
        <w:t>‘</w:t>
      </w:r>
      <w:r w:rsidRPr="00782EC9">
        <w:rPr>
          <w:szCs w:val="26"/>
        </w:rPr>
        <w:t>loss</w:t>
      </w:r>
      <w:r>
        <w:rPr>
          <w:szCs w:val="26"/>
        </w:rPr>
        <w:t>’</w:t>
      </w:r>
      <w:r w:rsidRPr="00782EC9">
        <w:rPr>
          <w:szCs w:val="26"/>
        </w:rPr>
        <w:t xml:space="preserve"> as </w:t>
      </w:r>
      <w:r>
        <w:rPr>
          <w:szCs w:val="26"/>
        </w:rPr>
        <w:t>‘</w:t>
      </w:r>
      <w:r w:rsidRPr="00782EC9">
        <w:rPr>
          <w:szCs w:val="26"/>
        </w:rPr>
        <w:t>p</w:t>
      </w:r>
      <w:r w:rsidRPr="00782EC9">
        <w:rPr>
          <w:szCs w:val="26"/>
        </w:rPr>
        <w:t>hysical loss</w:t>
      </w:r>
      <w:r>
        <w:rPr>
          <w:szCs w:val="26"/>
        </w:rPr>
        <w:t>’</w:t>
      </w:r>
      <w:r w:rsidRPr="00782EC9">
        <w:rPr>
          <w:szCs w:val="26"/>
        </w:rPr>
        <w:t xml:space="preserve"> or </w:t>
      </w:r>
      <w:r>
        <w:rPr>
          <w:szCs w:val="26"/>
        </w:rPr>
        <w:t>‘</w:t>
      </w:r>
      <w:r w:rsidRPr="00782EC9">
        <w:rPr>
          <w:szCs w:val="26"/>
        </w:rPr>
        <w:t xml:space="preserve">physical </w:t>
      </w:r>
      <w:r w:rsidRPr="00782EC9">
        <w:rPr>
          <w:szCs w:val="26"/>
        </w:rPr>
        <w:t>damage</w:t>
      </w:r>
      <w:r>
        <w:rPr>
          <w:szCs w:val="26"/>
        </w:rPr>
        <w:t>’</w:t>
      </w:r>
      <w:r w:rsidRPr="00782EC9">
        <w:rPr>
          <w:szCs w:val="26"/>
        </w:rPr>
        <w:t xml:space="preserve"> creat</w:t>
      </w:r>
      <w:r>
        <w:rPr>
          <w:szCs w:val="26"/>
        </w:rPr>
        <w:t>[</w:t>
      </w:r>
      <w:r w:rsidRPr="00782EC9">
        <w:rPr>
          <w:szCs w:val="26"/>
        </w:rPr>
        <w:t>ed</w:t>
      </w:r>
      <w:r>
        <w:rPr>
          <w:szCs w:val="26"/>
        </w:rPr>
        <w:t>]</w:t>
      </w:r>
      <w:r w:rsidRPr="00782EC9">
        <w:rPr>
          <w:szCs w:val="26"/>
        </w:rPr>
        <w:t xml:space="preserve"> an ambiguity that </w:t>
      </w:r>
      <w:r>
        <w:rPr>
          <w:szCs w:val="26"/>
        </w:rPr>
        <w:t>[</w:t>
      </w:r>
      <w:r w:rsidRPr="00782EC9">
        <w:rPr>
          <w:szCs w:val="26"/>
        </w:rPr>
        <w:t>had to</w:t>
      </w:r>
      <w:r>
        <w:rPr>
          <w:szCs w:val="26"/>
        </w:rPr>
        <w:t>]</w:t>
      </w:r>
      <w:r w:rsidRPr="00782EC9">
        <w:rPr>
          <w:szCs w:val="26"/>
        </w:rPr>
        <w:t xml:space="preserve"> be construe</w:t>
      </w:r>
      <w:r w:rsidRPr="00782EC9">
        <w:rPr>
          <w:szCs w:val="26"/>
        </w:rPr>
        <w:t>d</w:t>
      </w:r>
      <w:r w:rsidRPr="00782EC9">
        <w:rPr>
          <w:szCs w:val="26"/>
        </w:rPr>
        <w:t xml:space="preserve"> against Cincinnati.</w:t>
      </w:r>
      <w:r>
        <w:rPr>
          <w:szCs w:val="26"/>
        </w:rPr>
        <w:t>”</w:t>
      </w:r>
      <w:r w:rsidRPr="00782EC9">
        <w:rPr>
          <w:szCs w:val="26"/>
        </w:rPr>
        <w:t xml:space="preserve">  (</w:t>
      </w:r>
      <w:r w:rsidRPr="00782EC9">
        <w:rPr>
          <w:i/>
          <w:iCs/>
          <w:szCs w:val="26"/>
        </w:rPr>
        <w:t>Oral Surgeons</w:t>
      </w:r>
      <w:r w:rsidRPr="0095665E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>, 2 F.4th at p.</w:t>
      </w:r>
      <w:r>
        <w:rPr>
          <w:szCs w:val="26"/>
        </w:rPr>
        <w:t> </w:t>
      </w:r>
      <w:r w:rsidRPr="00782EC9">
        <w:rPr>
          <w:szCs w:val="26"/>
        </w:rPr>
        <w:t>1143.)  To give the terms separate meanings, Oral Surgeons suggested defining physical loss to include “</w:t>
      </w:r>
      <w:r>
        <w:rPr>
          <w:szCs w:val="26"/>
        </w:rPr>
        <w:t xml:space="preserve"> ‘</w:t>
      </w:r>
      <w:r w:rsidRPr="00782EC9">
        <w:rPr>
          <w:szCs w:val="26"/>
        </w:rPr>
        <w:t>lost operations or inability to u</w:t>
      </w:r>
      <w:r w:rsidRPr="00782EC9">
        <w:rPr>
          <w:szCs w:val="26"/>
        </w:rPr>
        <w:t>se the business</w:t>
      </w:r>
      <w:r w:rsidRPr="00782EC9">
        <w:rPr>
          <w:szCs w:val="26"/>
        </w:rPr>
        <w:t>,</w:t>
      </w:r>
      <w:r w:rsidRPr="00782EC9">
        <w:rPr>
          <w:szCs w:val="26"/>
        </w:rPr>
        <w:t>’</w:t>
      </w:r>
      <w:r>
        <w:rPr>
          <w:szCs w:val="26"/>
        </w:rPr>
        <w:t xml:space="preserve"> </w:t>
      </w:r>
      <w:r w:rsidRPr="00782EC9">
        <w:rPr>
          <w:szCs w:val="26"/>
        </w:rPr>
        <w:t>” and to define physical damage as a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physical alteration of the property.  (</w:t>
      </w:r>
      <w:r w:rsidRPr="00782EC9">
        <w:rPr>
          <w:i/>
          <w:iCs/>
          <w:szCs w:val="26"/>
        </w:rPr>
        <w:t>Ibid.</w:t>
      </w:r>
      <w:r w:rsidRPr="00782EC9">
        <w:rPr>
          <w:szCs w:val="26"/>
        </w:rPr>
        <w:t xml:space="preserve">)  The </w:t>
      </w:r>
      <w:r>
        <w:rPr>
          <w:szCs w:val="26"/>
        </w:rPr>
        <w:t>Eighth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Circuit disagreed, noting that it was r</w:t>
      </w:r>
      <w:r w:rsidRPr="00782EC9">
        <w:rPr>
          <w:szCs w:val="26"/>
        </w:rPr>
        <w:t>e</w:t>
      </w:r>
      <w:r w:rsidRPr="00782EC9">
        <w:rPr>
          <w:szCs w:val="26"/>
        </w:rPr>
        <w:t>quired to construe the policy to give effect to the parties’ intent, and noting that ambiguity exists o</w:t>
      </w:r>
      <w:r w:rsidRPr="00782EC9">
        <w:rPr>
          <w:szCs w:val="26"/>
        </w:rPr>
        <w:t xml:space="preserve">nly when the policy language is subject to two reasonable </w:t>
      </w:r>
      <w:r w:rsidRPr="00782EC9">
        <w:rPr>
          <w:szCs w:val="26"/>
        </w:rPr>
        <w:t>interpretations</w:t>
      </w:r>
      <w:r w:rsidRPr="00782EC9">
        <w:rPr>
          <w:szCs w:val="26"/>
        </w:rPr>
        <w:t>.  Generally speaking, the plain meaning of the insurance contract prevails.  (</w:t>
      </w:r>
      <w:r w:rsidRPr="00782EC9">
        <w:rPr>
          <w:i/>
          <w:iCs/>
          <w:szCs w:val="26"/>
        </w:rPr>
        <w:t>Ibid.</w:t>
      </w:r>
      <w:r w:rsidRPr="00782EC9">
        <w:rPr>
          <w:szCs w:val="26"/>
        </w:rPr>
        <w:t>)</w:t>
      </w:r>
    </w:p>
    <w:p w14:paraId="253A73BC" w14:textId="77777777" w:rsidR="009613C8" w:rsidRDefault="0028508A" w:rsidP="00782EC9">
      <w:pPr>
        <w:jc w:val="both"/>
        <w:rPr>
          <w:szCs w:val="26"/>
        </w:rPr>
      </w:pPr>
    </w:p>
    <w:p w14:paraId="4E76B7EE" w14:textId="77777777" w:rsidR="00F1011E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In </w:t>
      </w:r>
      <w:r w:rsidRPr="00782EC9">
        <w:rPr>
          <w:i/>
          <w:iCs/>
          <w:szCs w:val="26"/>
        </w:rPr>
        <w:t>Oral Surgeons</w:t>
      </w:r>
      <w:r w:rsidRPr="00782EC9">
        <w:rPr>
          <w:szCs w:val="26"/>
        </w:rPr>
        <w:t>,</w:t>
      </w:r>
      <w:r w:rsidRPr="00782EC9">
        <w:rPr>
          <w:i/>
          <w:iCs/>
          <w:szCs w:val="26"/>
        </w:rPr>
        <w:t xml:space="preserve"> </w:t>
      </w:r>
      <w:r w:rsidRPr="00782EC9">
        <w:rPr>
          <w:szCs w:val="26"/>
        </w:rPr>
        <w:t>as here, the policy required direct “</w:t>
      </w:r>
      <w:r>
        <w:rPr>
          <w:szCs w:val="26"/>
        </w:rPr>
        <w:t xml:space="preserve"> </w:t>
      </w:r>
      <w:r>
        <w:rPr>
          <w:szCs w:val="26"/>
        </w:rPr>
        <w:t>‘</w:t>
      </w:r>
      <w:r w:rsidRPr="00782EC9">
        <w:rPr>
          <w:szCs w:val="26"/>
        </w:rPr>
        <w:t>physical loss</w:t>
      </w:r>
      <w:r>
        <w:rPr>
          <w:szCs w:val="26"/>
        </w:rPr>
        <w:t>’</w:t>
      </w:r>
      <w:r>
        <w:rPr>
          <w:szCs w:val="26"/>
        </w:rPr>
        <w:t xml:space="preserve"> </w:t>
      </w:r>
      <w:r w:rsidRPr="00782EC9">
        <w:rPr>
          <w:szCs w:val="26"/>
        </w:rPr>
        <w:t>” or “</w:t>
      </w:r>
      <w:r>
        <w:rPr>
          <w:szCs w:val="26"/>
        </w:rPr>
        <w:t xml:space="preserve"> </w:t>
      </w:r>
      <w:r>
        <w:rPr>
          <w:szCs w:val="26"/>
        </w:rPr>
        <w:t>‘</w:t>
      </w:r>
      <w:r w:rsidRPr="00782EC9">
        <w:rPr>
          <w:szCs w:val="26"/>
        </w:rPr>
        <w:t>physical damage</w:t>
      </w:r>
      <w:r>
        <w:rPr>
          <w:szCs w:val="26"/>
        </w:rPr>
        <w:t>’</w:t>
      </w:r>
      <w:r>
        <w:rPr>
          <w:szCs w:val="26"/>
        </w:rPr>
        <w:t xml:space="preserve"> </w:t>
      </w:r>
      <w:r w:rsidRPr="00782EC9">
        <w:rPr>
          <w:szCs w:val="26"/>
        </w:rPr>
        <w:t>” to trigger the business interruptio</w:t>
      </w:r>
      <w:r w:rsidRPr="00782EC9">
        <w:rPr>
          <w:szCs w:val="26"/>
        </w:rPr>
        <w:t>n</w:t>
      </w:r>
      <w:r w:rsidRPr="00782EC9">
        <w:rPr>
          <w:szCs w:val="26"/>
        </w:rPr>
        <w:t xml:space="preserve"> policy.  (</w:t>
      </w:r>
      <w:r w:rsidRPr="00782EC9">
        <w:rPr>
          <w:i/>
          <w:iCs/>
          <w:szCs w:val="26"/>
        </w:rPr>
        <w:t>Oral Surgeons</w:t>
      </w:r>
      <w:r w:rsidRPr="0095665E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 xml:space="preserve">, 2 F.4th at p. 1144.)  “Accordingly, there must be some physicality to the loss or damage of property </w:t>
      </w:r>
      <w:r>
        <w:rPr>
          <w:szCs w:val="26"/>
        </w:rPr>
        <w:t>—</w:t>
      </w:r>
      <w:r w:rsidRPr="00782EC9">
        <w:rPr>
          <w:szCs w:val="26"/>
        </w:rPr>
        <w:t xml:space="preserve"> </w:t>
      </w:r>
      <w:r w:rsidRPr="00B705A0">
        <w:rPr>
          <w:i/>
          <w:iCs/>
          <w:szCs w:val="26"/>
        </w:rPr>
        <w:t>e.g</w:t>
      </w:r>
      <w:r w:rsidRPr="00782EC9">
        <w:rPr>
          <w:szCs w:val="26"/>
        </w:rPr>
        <w:t>., a physical alteration, physical contamination</w:t>
      </w:r>
      <w:r>
        <w:rPr>
          <w:szCs w:val="26"/>
        </w:rPr>
        <w:t>,</w:t>
      </w:r>
      <w:r w:rsidRPr="00782EC9">
        <w:rPr>
          <w:szCs w:val="26"/>
        </w:rPr>
        <w:t xml:space="preserve"> or physical </w:t>
      </w:r>
      <w:r w:rsidRPr="00782EC9">
        <w:rPr>
          <w:szCs w:val="26"/>
        </w:rPr>
        <w:t>destruction.”  (</w:t>
      </w:r>
      <w:r w:rsidRPr="00782EC9">
        <w:rPr>
          <w:i/>
          <w:iCs/>
          <w:szCs w:val="26"/>
        </w:rPr>
        <w:t>Ibid</w:t>
      </w:r>
      <w:r w:rsidRPr="005813DB">
        <w:rPr>
          <w:szCs w:val="26"/>
        </w:rPr>
        <w:t>.</w:t>
      </w:r>
      <w:r w:rsidRPr="005813DB">
        <w:rPr>
          <w:szCs w:val="26"/>
        </w:rPr>
        <w:t>;</w:t>
      </w:r>
      <w:r w:rsidRPr="004F67C3">
        <w:rPr>
          <w:szCs w:val="26"/>
        </w:rPr>
        <w:t xml:space="preserve"> and see </w:t>
      </w:r>
      <w:r w:rsidRPr="004F67C3">
        <w:rPr>
          <w:i/>
          <w:iCs/>
          <w:szCs w:val="26"/>
        </w:rPr>
        <w:t>Sandy Point Dental, P.C. v. Cincinnati Ins. Co.</w:t>
      </w:r>
      <w:r w:rsidRPr="004F67C3">
        <w:rPr>
          <w:szCs w:val="26"/>
        </w:rPr>
        <w:t xml:space="preserve"> (7th Cir. 2021) 20</w:t>
      </w:r>
      <w:r>
        <w:rPr>
          <w:szCs w:val="26"/>
        </w:rPr>
        <w:t> </w:t>
      </w:r>
      <w:r w:rsidRPr="004F67C3">
        <w:rPr>
          <w:szCs w:val="26"/>
        </w:rPr>
        <w:t xml:space="preserve">F.4th 327; </w:t>
      </w:r>
      <w:r w:rsidRPr="004F67C3">
        <w:rPr>
          <w:i/>
          <w:iCs/>
          <w:szCs w:val="26"/>
        </w:rPr>
        <w:t xml:space="preserve">Terry Black’s Barbecue, L.L.C. v. State Automobile Mutual Insurance Company </w:t>
      </w:r>
      <w:r w:rsidRPr="004F67C3">
        <w:rPr>
          <w:szCs w:val="26"/>
        </w:rPr>
        <w:t>(5th Cir. 2022) 22 F.4th 450</w:t>
      </w:r>
      <w:r>
        <w:rPr>
          <w:szCs w:val="26"/>
        </w:rPr>
        <w:t>.</w:t>
      </w:r>
      <w:r w:rsidRPr="00782EC9">
        <w:rPr>
          <w:szCs w:val="26"/>
        </w:rPr>
        <w:t>)</w:t>
      </w:r>
    </w:p>
    <w:p w14:paraId="3B7B0DFD" w14:textId="77777777" w:rsidR="009613C8" w:rsidRDefault="0028508A" w:rsidP="00782EC9">
      <w:pPr>
        <w:jc w:val="both"/>
        <w:rPr>
          <w:szCs w:val="26"/>
        </w:rPr>
      </w:pPr>
    </w:p>
    <w:p w14:paraId="7AD4654B" w14:textId="77777777" w:rsidR="00B21CFE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 w:rsidRPr="00325D07">
        <w:rPr>
          <w:szCs w:val="26"/>
        </w:rPr>
        <w:t>In</w:t>
      </w:r>
      <w:r w:rsidRPr="00C22725">
        <w:rPr>
          <w:szCs w:val="26"/>
        </w:rPr>
        <w:t xml:space="preserve"> </w:t>
      </w:r>
      <w:r w:rsidRPr="00C22725">
        <w:rPr>
          <w:i/>
          <w:iCs/>
          <w:szCs w:val="26"/>
        </w:rPr>
        <w:t>Mudpie, Inc. v. Travelers C</w:t>
      </w:r>
      <w:r w:rsidRPr="00A71CFA">
        <w:rPr>
          <w:i/>
          <w:iCs/>
          <w:szCs w:val="26"/>
        </w:rPr>
        <w:t xml:space="preserve">asualty </w:t>
      </w:r>
      <w:r w:rsidRPr="00A71CFA">
        <w:rPr>
          <w:i/>
          <w:iCs/>
          <w:szCs w:val="26"/>
        </w:rPr>
        <w:t>Ins</w:t>
      </w:r>
      <w:r w:rsidRPr="004B750F">
        <w:rPr>
          <w:i/>
          <w:iCs/>
          <w:szCs w:val="26"/>
        </w:rPr>
        <w:t>.</w:t>
      </w:r>
      <w:r w:rsidRPr="004B750F">
        <w:rPr>
          <w:i/>
          <w:iCs/>
          <w:szCs w:val="26"/>
        </w:rPr>
        <w:t xml:space="preserve"> Co</w:t>
      </w:r>
      <w:r w:rsidRPr="0030541B">
        <w:rPr>
          <w:i/>
          <w:iCs/>
          <w:szCs w:val="26"/>
        </w:rPr>
        <w:t>.</w:t>
      </w:r>
      <w:r w:rsidRPr="00C22725">
        <w:rPr>
          <w:i/>
          <w:iCs/>
          <w:szCs w:val="26"/>
        </w:rPr>
        <w:t xml:space="preserve"> </w:t>
      </w:r>
      <w:r w:rsidRPr="00C22725">
        <w:rPr>
          <w:szCs w:val="26"/>
        </w:rPr>
        <w:t>(</w:t>
      </w:r>
      <w:r w:rsidRPr="00C22725">
        <w:rPr>
          <w:szCs w:val="26"/>
        </w:rPr>
        <w:t xml:space="preserve">9th Cir. </w:t>
      </w:r>
      <w:r w:rsidRPr="00C22725">
        <w:rPr>
          <w:szCs w:val="26"/>
        </w:rPr>
        <w:t>2021) 15</w:t>
      </w:r>
      <w:r w:rsidRPr="00C22725">
        <w:rPr>
          <w:szCs w:val="26"/>
        </w:rPr>
        <w:t> </w:t>
      </w:r>
      <w:r w:rsidRPr="00C22725">
        <w:rPr>
          <w:szCs w:val="26"/>
        </w:rPr>
        <w:t>F.4th 885 (</w:t>
      </w:r>
      <w:r w:rsidRPr="00C22725">
        <w:rPr>
          <w:i/>
          <w:iCs/>
          <w:szCs w:val="26"/>
        </w:rPr>
        <w:t>Mudpie</w:t>
      </w:r>
      <w:r w:rsidRPr="00C22725">
        <w:rPr>
          <w:szCs w:val="26"/>
        </w:rPr>
        <w:t>)</w:t>
      </w:r>
      <w:r w:rsidRPr="00325D07">
        <w:rPr>
          <w:szCs w:val="26"/>
        </w:rPr>
        <w:t>, the Ninth Circuit, applying California law, agreed with the Eighth Circuit.</w:t>
      </w:r>
      <w:r w:rsidRPr="00C22725">
        <w:rPr>
          <w:szCs w:val="26"/>
        </w:rPr>
        <w:t xml:space="preserve">  </w:t>
      </w:r>
      <w:r w:rsidRPr="00A71CFA">
        <w:rPr>
          <w:szCs w:val="26"/>
        </w:rPr>
        <w:t>In</w:t>
      </w:r>
      <w:r w:rsidRPr="00782EC9">
        <w:rPr>
          <w:szCs w:val="26"/>
        </w:rPr>
        <w:t xml:space="preserve"> </w:t>
      </w:r>
      <w:r w:rsidRPr="00782EC9">
        <w:rPr>
          <w:i/>
          <w:iCs/>
          <w:szCs w:val="26"/>
        </w:rPr>
        <w:t>Mudpie,</w:t>
      </w:r>
      <w:r w:rsidRPr="00782EC9">
        <w:rPr>
          <w:szCs w:val="26"/>
        </w:rPr>
        <w:t xml:space="preserve"> a store in the business of selling children’s clothing was forced to close </w:t>
      </w:r>
      <w:r w:rsidRPr="00782EC9">
        <w:rPr>
          <w:szCs w:val="26"/>
        </w:rPr>
        <w:t xml:space="preserve">under </w:t>
      </w:r>
      <w:r w:rsidRPr="00782EC9">
        <w:rPr>
          <w:szCs w:val="26"/>
        </w:rPr>
        <w:t xml:space="preserve">orders from Governor </w:t>
      </w:r>
      <w:r>
        <w:rPr>
          <w:szCs w:val="26"/>
        </w:rPr>
        <w:t xml:space="preserve">Gavin </w:t>
      </w:r>
      <w:r w:rsidRPr="00782EC9">
        <w:rPr>
          <w:szCs w:val="26"/>
        </w:rPr>
        <w:t xml:space="preserve">Newsom and local public health officials.  Mudpie sought coverage </w:t>
      </w:r>
      <w:r w:rsidRPr="00782EC9">
        <w:rPr>
          <w:szCs w:val="26"/>
        </w:rPr>
        <w:lastRenderedPageBreak/>
        <w:t>from Travelers, its i</w:t>
      </w:r>
      <w:r w:rsidRPr="00782EC9">
        <w:rPr>
          <w:szCs w:val="26"/>
        </w:rPr>
        <w:t>nsurer</w:t>
      </w:r>
      <w:r w:rsidRPr="00782EC9">
        <w:rPr>
          <w:szCs w:val="26"/>
        </w:rPr>
        <w:t>, but that request was denied</w:t>
      </w:r>
      <w:r w:rsidRPr="00782EC9">
        <w:rPr>
          <w:szCs w:val="26"/>
        </w:rPr>
        <w:t xml:space="preserve"> based on the policy’s ex</w:t>
      </w:r>
      <w:r w:rsidRPr="00782EC9">
        <w:rPr>
          <w:szCs w:val="26"/>
        </w:rPr>
        <w:t>c</w:t>
      </w:r>
      <w:r w:rsidRPr="00782EC9">
        <w:rPr>
          <w:szCs w:val="26"/>
        </w:rPr>
        <w:t>l</w:t>
      </w:r>
      <w:r w:rsidRPr="00782EC9">
        <w:rPr>
          <w:szCs w:val="26"/>
        </w:rPr>
        <w:t>usion for losses sustained by reason of a Governmental Order rather than a direct physical loss or damage to property</w:t>
      </w:r>
      <w:r w:rsidRPr="00782EC9">
        <w:rPr>
          <w:szCs w:val="26"/>
        </w:rPr>
        <w:t>.  (</w:t>
      </w:r>
      <w:r w:rsidRPr="00782EC9">
        <w:rPr>
          <w:i/>
          <w:iCs/>
          <w:szCs w:val="26"/>
        </w:rPr>
        <w:t xml:space="preserve">Id. </w:t>
      </w:r>
      <w:r w:rsidRPr="00782EC9">
        <w:rPr>
          <w:szCs w:val="26"/>
        </w:rPr>
        <w:t>at pp. 887-888.)  Mudpie then filed a putative class action, alleg</w:t>
      </w:r>
      <w:r w:rsidRPr="00782EC9">
        <w:rPr>
          <w:szCs w:val="26"/>
        </w:rPr>
        <w:t>ing</w:t>
      </w:r>
      <w:r w:rsidRPr="00782EC9">
        <w:rPr>
          <w:szCs w:val="26"/>
        </w:rPr>
        <w:t xml:space="preserve"> claims for declaratory relief, breach of contract, and brea</w:t>
      </w:r>
      <w:r w:rsidRPr="00782EC9">
        <w:rPr>
          <w:szCs w:val="26"/>
        </w:rPr>
        <w:t xml:space="preserve">ch of the implied covenant of good faith and fair </w:t>
      </w:r>
      <w:r w:rsidRPr="00782EC9">
        <w:rPr>
          <w:szCs w:val="26"/>
        </w:rPr>
        <w:t>dealing</w:t>
      </w:r>
      <w:r w:rsidRPr="00782EC9">
        <w:rPr>
          <w:szCs w:val="26"/>
        </w:rPr>
        <w:t xml:space="preserve">.  The </w:t>
      </w:r>
      <w:r>
        <w:rPr>
          <w:szCs w:val="26"/>
        </w:rPr>
        <w:t>d</w:t>
      </w:r>
      <w:r w:rsidRPr="00782EC9">
        <w:rPr>
          <w:szCs w:val="26"/>
        </w:rPr>
        <w:t xml:space="preserve">istrict </w:t>
      </w:r>
      <w:r>
        <w:rPr>
          <w:szCs w:val="26"/>
        </w:rPr>
        <w:t>c</w:t>
      </w:r>
      <w:r w:rsidRPr="00782EC9">
        <w:rPr>
          <w:szCs w:val="26"/>
        </w:rPr>
        <w:t>ourt granted</w:t>
      </w:r>
      <w:r w:rsidRPr="00782EC9">
        <w:rPr>
          <w:szCs w:val="26"/>
        </w:rPr>
        <w:t xml:space="preserve"> Traveler’s motion to dismiss and Mudpie appeal</w:t>
      </w:r>
      <w:r w:rsidRPr="00782EC9">
        <w:rPr>
          <w:szCs w:val="26"/>
        </w:rPr>
        <w:t>ed</w:t>
      </w:r>
      <w:r w:rsidRPr="00782EC9">
        <w:rPr>
          <w:szCs w:val="26"/>
        </w:rPr>
        <w:t>.  (</w:t>
      </w:r>
      <w:r w:rsidRPr="00782EC9">
        <w:rPr>
          <w:i/>
          <w:iCs/>
          <w:szCs w:val="26"/>
        </w:rPr>
        <w:t xml:space="preserve">Id. </w:t>
      </w:r>
      <w:r w:rsidRPr="00782EC9">
        <w:rPr>
          <w:szCs w:val="26"/>
        </w:rPr>
        <w:t xml:space="preserve">at </w:t>
      </w:r>
      <w:r>
        <w:rPr>
          <w:szCs w:val="26"/>
        </w:rPr>
        <w:t>p</w:t>
      </w:r>
      <w:r w:rsidRPr="00782EC9">
        <w:rPr>
          <w:szCs w:val="26"/>
        </w:rPr>
        <w:t>p. 888</w:t>
      </w:r>
      <w:r>
        <w:rPr>
          <w:szCs w:val="26"/>
        </w:rPr>
        <w:t>-889</w:t>
      </w:r>
      <w:r w:rsidRPr="00782EC9">
        <w:rPr>
          <w:szCs w:val="26"/>
        </w:rPr>
        <w:t>.)</w:t>
      </w:r>
    </w:p>
    <w:p w14:paraId="413EEBE7" w14:textId="77777777" w:rsidR="009613C8" w:rsidRDefault="0028508A" w:rsidP="00782EC9">
      <w:pPr>
        <w:jc w:val="both"/>
        <w:rPr>
          <w:szCs w:val="26"/>
        </w:rPr>
      </w:pPr>
    </w:p>
    <w:p w14:paraId="25ECC7EC" w14:textId="77777777" w:rsidR="005E69A8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The Ninth </w:t>
      </w:r>
      <w:r w:rsidRPr="00782EC9">
        <w:rPr>
          <w:szCs w:val="26"/>
        </w:rPr>
        <w:t>Circuit</w:t>
      </w:r>
      <w:r w:rsidRPr="00782EC9">
        <w:rPr>
          <w:szCs w:val="26"/>
        </w:rPr>
        <w:t xml:space="preserve"> affirmed on the basis of California law, explaining that Travelers had </w:t>
      </w:r>
      <w:r w:rsidRPr="00782EC9">
        <w:rPr>
          <w:szCs w:val="26"/>
        </w:rPr>
        <w:t>insured</w:t>
      </w:r>
      <w:r w:rsidRPr="00782EC9">
        <w:rPr>
          <w:szCs w:val="26"/>
        </w:rPr>
        <w:t xml:space="preserve"> for the loss of business income during a suspension of operations “during </w:t>
      </w:r>
      <w:r>
        <w:rPr>
          <w:szCs w:val="26"/>
        </w:rPr>
        <w:t>the</w:t>
      </w:r>
      <w:r w:rsidRPr="00782EC9">
        <w:rPr>
          <w:szCs w:val="26"/>
        </w:rPr>
        <w:t xml:space="preserve"> </w:t>
      </w:r>
      <w:r>
        <w:rPr>
          <w:szCs w:val="26"/>
        </w:rPr>
        <w:t>‘</w:t>
      </w:r>
      <w:r w:rsidRPr="00782EC9">
        <w:rPr>
          <w:szCs w:val="26"/>
        </w:rPr>
        <w:t>period of restoration</w:t>
      </w:r>
      <w:r>
        <w:rPr>
          <w:szCs w:val="26"/>
        </w:rPr>
        <w:t xml:space="preserve">’ </w:t>
      </w:r>
      <w:r w:rsidRPr="00782EC9">
        <w:rPr>
          <w:szCs w:val="26"/>
        </w:rPr>
        <w:t xml:space="preserve">” </w:t>
      </w:r>
      <w:r>
        <w:rPr>
          <w:szCs w:val="26"/>
        </w:rPr>
        <w:t>—</w:t>
      </w:r>
      <w:r w:rsidRPr="00782EC9">
        <w:rPr>
          <w:szCs w:val="26"/>
        </w:rPr>
        <w:t xml:space="preserve"> and that the “</w:t>
      </w:r>
      <w:r>
        <w:rPr>
          <w:szCs w:val="26"/>
        </w:rPr>
        <w:t xml:space="preserve"> </w:t>
      </w:r>
      <w:r>
        <w:rPr>
          <w:szCs w:val="26"/>
        </w:rPr>
        <w:t>‘</w:t>
      </w:r>
      <w:r w:rsidRPr="00782EC9">
        <w:rPr>
          <w:szCs w:val="26"/>
        </w:rPr>
        <w:t>suspe</w:t>
      </w:r>
      <w:r w:rsidRPr="00782EC9">
        <w:rPr>
          <w:szCs w:val="26"/>
        </w:rPr>
        <w:t>nsion</w:t>
      </w:r>
      <w:r>
        <w:rPr>
          <w:szCs w:val="26"/>
        </w:rPr>
        <w:t>’</w:t>
      </w:r>
      <w:r w:rsidRPr="00782EC9">
        <w:rPr>
          <w:szCs w:val="26"/>
        </w:rPr>
        <w:t xml:space="preserve"> </w:t>
      </w:r>
      <w:r>
        <w:rPr>
          <w:szCs w:val="26"/>
        </w:rPr>
        <w:t>[</w:t>
      </w:r>
      <w:r w:rsidRPr="00782EC9">
        <w:rPr>
          <w:szCs w:val="26"/>
        </w:rPr>
        <w:t>had to</w:t>
      </w:r>
      <w:r>
        <w:rPr>
          <w:szCs w:val="26"/>
        </w:rPr>
        <w:t>]</w:t>
      </w:r>
      <w:r w:rsidRPr="00782EC9">
        <w:rPr>
          <w:szCs w:val="26"/>
        </w:rPr>
        <w:t xml:space="preserve"> be caused by </w:t>
      </w:r>
      <w:r w:rsidRPr="00782EC9">
        <w:rPr>
          <w:szCs w:val="26"/>
        </w:rPr>
        <w:t>d</w:t>
      </w:r>
      <w:r w:rsidRPr="00782EC9">
        <w:rPr>
          <w:szCs w:val="26"/>
        </w:rPr>
        <w:t>irect physical loss</w:t>
      </w:r>
      <w:r w:rsidRPr="00782EC9">
        <w:rPr>
          <w:szCs w:val="26"/>
        </w:rPr>
        <w:t xml:space="preserve"> of or damage to property.”  (</w:t>
      </w:r>
      <w:r w:rsidRPr="00782EC9">
        <w:rPr>
          <w:i/>
          <w:iCs/>
          <w:szCs w:val="26"/>
        </w:rPr>
        <w:t>Mudpie</w:t>
      </w:r>
      <w:r w:rsidRPr="002C059A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>, 15 F.4th at</w:t>
      </w:r>
      <w:r w:rsidRPr="00782EC9">
        <w:rPr>
          <w:szCs w:val="26"/>
        </w:rPr>
        <w:t xml:space="preserve"> pp. 889-890.)</w:t>
      </w:r>
    </w:p>
    <w:p w14:paraId="07BE7BC2" w14:textId="77777777" w:rsidR="009613C8" w:rsidRDefault="0028508A" w:rsidP="00782EC9">
      <w:pPr>
        <w:jc w:val="both"/>
        <w:rPr>
          <w:szCs w:val="26"/>
        </w:rPr>
      </w:pPr>
    </w:p>
    <w:p w14:paraId="319E7ED8" w14:textId="77777777" w:rsidR="00D42226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 w:rsidRPr="00782EC9">
        <w:rPr>
          <w:i/>
          <w:iCs/>
          <w:szCs w:val="26"/>
        </w:rPr>
        <w:t>Mudpie</w:t>
      </w:r>
      <w:r w:rsidRPr="00782EC9">
        <w:rPr>
          <w:szCs w:val="26"/>
        </w:rPr>
        <w:t xml:space="preserve"> explained that, under California law, the burden is on the insured to </w:t>
      </w:r>
      <w:r w:rsidRPr="00782EC9">
        <w:rPr>
          <w:szCs w:val="26"/>
        </w:rPr>
        <w:t>establish</w:t>
      </w:r>
      <w:r w:rsidRPr="00782EC9">
        <w:rPr>
          <w:szCs w:val="26"/>
        </w:rPr>
        <w:t xml:space="preserve"> that a claimed loss is within the basic scope of coverage.  Once the insured makes that showing,</w:t>
      </w:r>
      <w:r w:rsidRPr="00782EC9">
        <w:rPr>
          <w:szCs w:val="26"/>
        </w:rPr>
        <w:t xml:space="preserve"> the burden is on the insurer to prove the claim is specifically excluded.  “Where, as here, a policy covers ‘direct </w:t>
      </w:r>
      <w:r w:rsidRPr="00782EC9">
        <w:rPr>
          <w:szCs w:val="26"/>
        </w:rPr>
        <w:t>physical</w:t>
      </w:r>
      <w:r w:rsidRPr="00782EC9">
        <w:rPr>
          <w:szCs w:val="26"/>
        </w:rPr>
        <w:t xml:space="preserve"> loss of or damage to’ property, the</w:t>
      </w:r>
      <w:r>
        <w:rPr>
          <w:szCs w:val="26"/>
        </w:rPr>
        <w:t xml:space="preserve"> ‘</w:t>
      </w:r>
      <w:r w:rsidRPr="00782EC9">
        <w:rPr>
          <w:szCs w:val="26"/>
        </w:rPr>
        <w:t>direct physical loss requirement is part of the policy’s insuring clause and accordingly fall</w:t>
      </w:r>
      <w:r w:rsidRPr="00782EC9">
        <w:rPr>
          <w:szCs w:val="26"/>
        </w:rPr>
        <w:t xml:space="preserve">s within </w:t>
      </w:r>
      <w:r>
        <w:rPr>
          <w:szCs w:val="26"/>
        </w:rPr>
        <w:t>[</w:t>
      </w:r>
      <w:r w:rsidRPr="00782EC9">
        <w:rPr>
          <w:szCs w:val="26"/>
        </w:rPr>
        <w:t>the insured’s</w:t>
      </w:r>
      <w:r>
        <w:rPr>
          <w:szCs w:val="26"/>
        </w:rPr>
        <w:t>]</w:t>
      </w:r>
      <w:r w:rsidRPr="00782EC9">
        <w:rPr>
          <w:szCs w:val="26"/>
        </w:rPr>
        <w:t xml:space="preserve"> burden of proof.</w:t>
      </w:r>
      <w:r>
        <w:rPr>
          <w:szCs w:val="26"/>
        </w:rPr>
        <w:t>’</w:t>
      </w:r>
      <w:r>
        <w:rPr>
          <w:szCs w:val="26"/>
        </w:rPr>
        <w:t xml:space="preserve"> </w:t>
      </w:r>
      <w:r>
        <w:rPr>
          <w:szCs w:val="26"/>
        </w:rPr>
        <w:t>”</w:t>
      </w:r>
      <w:r w:rsidRPr="00782EC9">
        <w:rPr>
          <w:szCs w:val="26"/>
        </w:rPr>
        <w:t xml:space="preserve">  (</w:t>
      </w:r>
      <w:r w:rsidRPr="00782EC9">
        <w:rPr>
          <w:i/>
          <w:iCs/>
          <w:szCs w:val="26"/>
        </w:rPr>
        <w:t>Mudpie</w:t>
      </w:r>
      <w:r w:rsidRPr="002C059A">
        <w:rPr>
          <w:szCs w:val="26"/>
        </w:rPr>
        <w:t>,</w:t>
      </w:r>
      <w:r w:rsidRPr="002C059A">
        <w:rPr>
          <w:szCs w:val="26"/>
        </w:rPr>
        <w:t xml:space="preserve"> </w:t>
      </w:r>
      <w:r w:rsidRPr="00782EC9">
        <w:rPr>
          <w:i/>
          <w:iCs/>
          <w:szCs w:val="26"/>
        </w:rPr>
        <w:t>supra</w:t>
      </w:r>
      <w:r w:rsidRPr="002C059A">
        <w:rPr>
          <w:szCs w:val="26"/>
        </w:rPr>
        <w:t>,</w:t>
      </w:r>
      <w:r w:rsidRPr="002C059A">
        <w:rPr>
          <w:szCs w:val="26"/>
        </w:rPr>
        <w:t xml:space="preserve"> </w:t>
      </w:r>
      <w:r w:rsidRPr="00782EC9">
        <w:rPr>
          <w:szCs w:val="26"/>
        </w:rPr>
        <w:t xml:space="preserve">15 </w:t>
      </w:r>
      <w:r w:rsidRPr="00782EC9">
        <w:rPr>
          <w:szCs w:val="26"/>
        </w:rPr>
        <w:t>F</w:t>
      </w:r>
      <w:r w:rsidRPr="00782EC9">
        <w:rPr>
          <w:szCs w:val="26"/>
        </w:rPr>
        <w:t xml:space="preserve">.4th at p. 890, citing </w:t>
      </w:r>
      <w:r w:rsidRPr="00782EC9">
        <w:rPr>
          <w:i/>
          <w:iCs/>
          <w:szCs w:val="26"/>
        </w:rPr>
        <w:t>MRI Healthcare C</w:t>
      </w:r>
      <w:r w:rsidRPr="00782EC9">
        <w:rPr>
          <w:i/>
          <w:iCs/>
          <w:szCs w:val="26"/>
        </w:rPr>
        <w:t>enter</w:t>
      </w:r>
      <w:r w:rsidRPr="00782EC9">
        <w:rPr>
          <w:i/>
          <w:iCs/>
          <w:szCs w:val="26"/>
        </w:rPr>
        <w:t xml:space="preserve"> of Glendale, Inc. v. State Farm Gen</w:t>
      </w:r>
      <w:r w:rsidRPr="00782EC9">
        <w:rPr>
          <w:i/>
          <w:iCs/>
          <w:szCs w:val="26"/>
        </w:rPr>
        <w:t>eral</w:t>
      </w:r>
      <w:r w:rsidRPr="00782EC9">
        <w:rPr>
          <w:i/>
          <w:iCs/>
          <w:szCs w:val="26"/>
        </w:rPr>
        <w:t xml:space="preserve"> </w:t>
      </w:r>
      <w:r w:rsidRPr="00782EC9">
        <w:rPr>
          <w:i/>
          <w:iCs/>
          <w:szCs w:val="26"/>
        </w:rPr>
        <w:t>Ins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Co. </w:t>
      </w:r>
      <w:r w:rsidRPr="00782EC9">
        <w:rPr>
          <w:szCs w:val="26"/>
        </w:rPr>
        <w:t>(2010) 187</w:t>
      </w:r>
      <w:r>
        <w:rPr>
          <w:szCs w:val="26"/>
        </w:rPr>
        <w:t xml:space="preserve"> </w:t>
      </w:r>
      <w:r w:rsidRPr="00782EC9">
        <w:rPr>
          <w:szCs w:val="26"/>
        </w:rPr>
        <w:t>Cal.App.4th 766</w:t>
      </w:r>
      <w:r w:rsidRPr="00782EC9">
        <w:rPr>
          <w:szCs w:val="26"/>
        </w:rPr>
        <w:t xml:space="preserve">, </w:t>
      </w:r>
      <w:r w:rsidRPr="00782EC9">
        <w:rPr>
          <w:szCs w:val="26"/>
        </w:rPr>
        <w:t>77</w:t>
      </w:r>
      <w:r>
        <w:rPr>
          <w:szCs w:val="26"/>
        </w:rPr>
        <w:t>8</w:t>
      </w:r>
      <w:r w:rsidRPr="00782EC9">
        <w:rPr>
          <w:szCs w:val="26"/>
        </w:rPr>
        <w:t>-780</w:t>
      </w:r>
      <w:r w:rsidRPr="00782EC9">
        <w:rPr>
          <w:szCs w:val="26"/>
        </w:rPr>
        <w:t>.)</w:t>
      </w:r>
      <w:r>
        <w:rPr>
          <w:szCs w:val="26"/>
        </w:rPr>
        <w:t xml:space="preserve">  </w:t>
      </w:r>
      <w:r w:rsidRPr="00782EC9">
        <w:rPr>
          <w:i/>
          <w:iCs/>
          <w:szCs w:val="26"/>
        </w:rPr>
        <w:t xml:space="preserve">Mudpie </w:t>
      </w:r>
      <w:r w:rsidRPr="00782EC9">
        <w:rPr>
          <w:szCs w:val="26"/>
        </w:rPr>
        <w:t xml:space="preserve">explains that California’s courts compel an interpretation of an insurance policy </w:t>
      </w:r>
      <w:r>
        <w:rPr>
          <w:szCs w:val="26"/>
        </w:rPr>
        <w:t>“</w:t>
      </w:r>
      <w:r w:rsidRPr="00782EC9">
        <w:rPr>
          <w:szCs w:val="26"/>
        </w:rPr>
        <w:t xml:space="preserve">according </w:t>
      </w:r>
      <w:r>
        <w:rPr>
          <w:szCs w:val="26"/>
        </w:rPr>
        <w:t xml:space="preserve">to </w:t>
      </w:r>
      <w:r w:rsidRPr="00782EC9">
        <w:rPr>
          <w:szCs w:val="26"/>
        </w:rPr>
        <w:t xml:space="preserve">the </w:t>
      </w:r>
      <w:r>
        <w:rPr>
          <w:szCs w:val="26"/>
        </w:rPr>
        <w:t>‘</w:t>
      </w:r>
      <w:r w:rsidRPr="00782EC9">
        <w:rPr>
          <w:szCs w:val="26"/>
        </w:rPr>
        <w:t>clear and explicit</w:t>
      </w:r>
      <w:r>
        <w:rPr>
          <w:szCs w:val="26"/>
        </w:rPr>
        <w:t>’</w:t>
      </w:r>
      <w:r w:rsidRPr="00782EC9">
        <w:rPr>
          <w:szCs w:val="26"/>
        </w:rPr>
        <w:t xml:space="preserve"> meaning of the terms </w:t>
      </w:r>
      <w:r>
        <w:rPr>
          <w:szCs w:val="26"/>
        </w:rPr>
        <w:t xml:space="preserve">. . . </w:t>
      </w:r>
      <w:r w:rsidRPr="00782EC9">
        <w:rPr>
          <w:szCs w:val="26"/>
        </w:rPr>
        <w:t>used in their ordinary and popular sense.</w:t>
      </w:r>
      <w:r>
        <w:rPr>
          <w:szCs w:val="26"/>
        </w:rPr>
        <w:t>’</w:t>
      </w:r>
      <w:r>
        <w:rPr>
          <w:szCs w:val="26"/>
        </w:rPr>
        <w:t xml:space="preserve"> </w:t>
      </w:r>
      <w:r>
        <w:rPr>
          <w:szCs w:val="26"/>
        </w:rPr>
        <w:t>”</w:t>
      </w:r>
      <w:r w:rsidRPr="00782EC9">
        <w:rPr>
          <w:szCs w:val="26"/>
        </w:rPr>
        <w:t xml:space="preserve">  (</w:t>
      </w:r>
      <w:r>
        <w:rPr>
          <w:i/>
          <w:iCs/>
          <w:szCs w:val="26"/>
        </w:rPr>
        <w:t xml:space="preserve">Id. </w:t>
      </w:r>
      <w:r w:rsidRPr="00782EC9">
        <w:rPr>
          <w:szCs w:val="26"/>
        </w:rPr>
        <w:t xml:space="preserve">at p. 890; </w:t>
      </w:r>
      <w:r w:rsidRPr="00782EC9">
        <w:rPr>
          <w:szCs w:val="26"/>
        </w:rPr>
        <w:t xml:space="preserve">and see </w:t>
      </w:r>
      <w:r w:rsidRPr="00782EC9">
        <w:rPr>
          <w:i/>
          <w:iCs/>
          <w:szCs w:val="26"/>
        </w:rPr>
        <w:t>AIU</w:t>
      </w:r>
      <w:r w:rsidRPr="00782EC9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>,</w:t>
      </w:r>
      <w:r w:rsidRPr="00782EC9">
        <w:rPr>
          <w:szCs w:val="26"/>
        </w:rPr>
        <w:t xml:space="preserve"> 51 Cal.3d </w:t>
      </w:r>
      <w:r w:rsidRPr="00782EC9">
        <w:rPr>
          <w:szCs w:val="26"/>
        </w:rPr>
        <w:t xml:space="preserve">at pp. </w:t>
      </w:r>
      <w:r w:rsidRPr="00782EC9">
        <w:rPr>
          <w:szCs w:val="26"/>
        </w:rPr>
        <w:t>843-844</w:t>
      </w:r>
      <w:r w:rsidRPr="00782EC9">
        <w:rPr>
          <w:szCs w:val="26"/>
        </w:rPr>
        <w:t>.)</w:t>
      </w:r>
    </w:p>
    <w:p w14:paraId="2874F53E" w14:textId="77777777" w:rsidR="00962CA9" w:rsidRDefault="0028508A" w:rsidP="00782EC9">
      <w:pPr>
        <w:jc w:val="both"/>
        <w:rPr>
          <w:szCs w:val="26"/>
        </w:rPr>
      </w:pPr>
    </w:p>
    <w:p w14:paraId="29F11E05" w14:textId="77777777" w:rsidR="00962CA9" w:rsidRPr="00325D07" w:rsidRDefault="0028508A" w:rsidP="00782EC9">
      <w:pPr>
        <w:jc w:val="both"/>
        <w:rPr>
          <w:szCs w:val="26"/>
        </w:rPr>
      </w:pPr>
      <w:r>
        <w:rPr>
          <w:szCs w:val="26"/>
        </w:rPr>
        <w:tab/>
      </w:r>
      <w:r w:rsidRPr="00325D07">
        <w:rPr>
          <w:szCs w:val="26"/>
        </w:rPr>
        <w:t xml:space="preserve">California addressed the issue in 2021, in </w:t>
      </w:r>
      <w:r w:rsidRPr="00325D07">
        <w:rPr>
          <w:i/>
          <w:iCs/>
          <w:szCs w:val="26"/>
        </w:rPr>
        <w:t>Inn</w:t>
      </w:r>
      <w:r w:rsidRPr="00325D07">
        <w:rPr>
          <w:i/>
          <w:iCs/>
          <w:szCs w:val="26"/>
        </w:rPr>
        <w:t>s</w:t>
      </w:r>
      <w:r w:rsidRPr="00325D07">
        <w:rPr>
          <w:i/>
          <w:iCs/>
          <w:szCs w:val="26"/>
        </w:rPr>
        <w:t>-by-the</w:t>
      </w:r>
      <w:r w:rsidRPr="00325D07">
        <w:rPr>
          <w:i/>
          <w:iCs/>
          <w:szCs w:val="26"/>
        </w:rPr>
        <w:t>-</w:t>
      </w:r>
      <w:r w:rsidRPr="00325D07">
        <w:rPr>
          <w:i/>
          <w:iCs/>
          <w:szCs w:val="26"/>
        </w:rPr>
        <w:t xml:space="preserve">Sea v. California Mutual Ins. Co. </w:t>
      </w:r>
      <w:r w:rsidRPr="00325D07">
        <w:rPr>
          <w:szCs w:val="26"/>
        </w:rPr>
        <w:t>(</w:t>
      </w:r>
      <w:r w:rsidRPr="00325D07">
        <w:rPr>
          <w:szCs w:val="26"/>
        </w:rPr>
        <w:t>2021</w:t>
      </w:r>
      <w:r w:rsidRPr="00325D07">
        <w:rPr>
          <w:szCs w:val="26"/>
        </w:rPr>
        <w:t>) 71 Cal.App.5th 688</w:t>
      </w:r>
      <w:r w:rsidRPr="00325D07">
        <w:rPr>
          <w:szCs w:val="26"/>
        </w:rPr>
        <w:t xml:space="preserve"> (rev</w:t>
      </w:r>
      <w:r w:rsidRPr="00325D07">
        <w:rPr>
          <w:szCs w:val="26"/>
        </w:rPr>
        <w:t>iew</w:t>
      </w:r>
      <w:r w:rsidRPr="00325D07">
        <w:rPr>
          <w:szCs w:val="26"/>
        </w:rPr>
        <w:t xml:space="preserve"> denied, Mar</w:t>
      </w:r>
      <w:r w:rsidRPr="00325D07">
        <w:rPr>
          <w:szCs w:val="26"/>
        </w:rPr>
        <w:t>.</w:t>
      </w:r>
      <w:r>
        <w:rPr>
          <w:szCs w:val="26"/>
        </w:rPr>
        <w:t xml:space="preserve"> </w:t>
      </w:r>
      <w:r w:rsidRPr="00325D07">
        <w:rPr>
          <w:szCs w:val="26"/>
        </w:rPr>
        <w:t>9, 2022</w:t>
      </w:r>
      <w:r w:rsidRPr="00325D07">
        <w:rPr>
          <w:szCs w:val="26"/>
        </w:rPr>
        <w:t>, S272450</w:t>
      </w:r>
      <w:r w:rsidRPr="00325D07">
        <w:rPr>
          <w:szCs w:val="26"/>
        </w:rPr>
        <w:t>)</w:t>
      </w:r>
      <w:r w:rsidRPr="00325D07">
        <w:rPr>
          <w:szCs w:val="26"/>
        </w:rPr>
        <w:t xml:space="preserve">, where the Fourth District reached the same result as </w:t>
      </w:r>
      <w:r w:rsidRPr="00325D07">
        <w:rPr>
          <w:i/>
          <w:iCs/>
          <w:szCs w:val="26"/>
        </w:rPr>
        <w:t xml:space="preserve">Oral Surgeons </w:t>
      </w:r>
      <w:r w:rsidRPr="00325D07">
        <w:rPr>
          <w:szCs w:val="26"/>
        </w:rPr>
        <w:t xml:space="preserve">and </w:t>
      </w:r>
      <w:r w:rsidRPr="00325D07">
        <w:rPr>
          <w:i/>
          <w:iCs/>
          <w:szCs w:val="26"/>
        </w:rPr>
        <w:t>Mudpie</w:t>
      </w:r>
      <w:r w:rsidRPr="00325D07">
        <w:rPr>
          <w:szCs w:val="26"/>
        </w:rPr>
        <w:t xml:space="preserve">.  </w:t>
      </w:r>
      <w:r w:rsidRPr="00325D07">
        <w:rPr>
          <w:i/>
          <w:iCs/>
          <w:szCs w:val="26"/>
        </w:rPr>
        <w:t>Inns-by-t</w:t>
      </w:r>
      <w:r w:rsidRPr="00325D07">
        <w:rPr>
          <w:i/>
          <w:iCs/>
          <w:szCs w:val="26"/>
        </w:rPr>
        <w:t xml:space="preserve">he-Sea </w:t>
      </w:r>
      <w:r w:rsidRPr="00325D07">
        <w:rPr>
          <w:szCs w:val="26"/>
        </w:rPr>
        <w:t xml:space="preserve">holds, without equivocation, </w:t>
      </w:r>
      <w:r w:rsidRPr="00325D07">
        <w:rPr>
          <w:szCs w:val="26"/>
        </w:rPr>
        <w:t xml:space="preserve">that a policy requiring physical loss or damage </w:t>
      </w:r>
      <w:r w:rsidRPr="00325D07">
        <w:rPr>
          <w:szCs w:val="26"/>
        </w:rPr>
        <w:t>does</w:t>
      </w:r>
      <w:r w:rsidRPr="00325D07">
        <w:rPr>
          <w:szCs w:val="26"/>
        </w:rPr>
        <w:t xml:space="preserve"> not cover losses incurred by reason of the pandemic.  (</w:t>
      </w:r>
      <w:r>
        <w:rPr>
          <w:i/>
          <w:iCs/>
          <w:szCs w:val="26"/>
        </w:rPr>
        <w:t>Inns-by-the-Sea</w:t>
      </w:r>
      <w:r>
        <w:rPr>
          <w:szCs w:val="26"/>
        </w:rPr>
        <w:t xml:space="preserve">, </w:t>
      </w:r>
      <w:r>
        <w:rPr>
          <w:i/>
          <w:iCs/>
          <w:szCs w:val="26"/>
        </w:rPr>
        <w:t>supra</w:t>
      </w:r>
      <w:r>
        <w:rPr>
          <w:szCs w:val="26"/>
        </w:rPr>
        <w:t>,</w:t>
      </w:r>
      <w:r w:rsidRPr="00325D07">
        <w:rPr>
          <w:szCs w:val="26"/>
        </w:rPr>
        <w:t xml:space="preserve"> </w:t>
      </w:r>
      <w:r w:rsidRPr="00325D07">
        <w:rPr>
          <w:szCs w:val="26"/>
        </w:rPr>
        <w:lastRenderedPageBreak/>
        <w:t>at pp. 700-701.)</w:t>
      </w:r>
      <w:r w:rsidRPr="00325D07">
        <w:rPr>
          <w:szCs w:val="26"/>
        </w:rPr>
        <w:t xml:space="preserve">  </w:t>
      </w:r>
      <w:r w:rsidRPr="00325D07">
        <w:rPr>
          <w:i/>
          <w:iCs/>
          <w:szCs w:val="26"/>
        </w:rPr>
        <w:t xml:space="preserve">Mudpie </w:t>
      </w:r>
      <w:r w:rsidRPr="00325D07">
        <w:rPr>
          <w:szCs w:val="26"/>
        </w:rPr>
        <w:t xml:space="preserve">and </w:t>
      </w:r>
      <w:r w:rsidRPr="00325D07">
        <w:rPr>
          <w:i/>
          <w:iCs/>
          <w:szCs w:val="26"/>
        </w:rPr>
        <w:t xml:space="preserve">Oral Surgeons </w:t>
      </w:r>
      <w:r w:rsidRPr="00325D07">
        <w:rPr>
          <w:szCs w:val="26"/>
        </w:rPr>
        <w:t>are cited (</w:t>
      </w:r>
      <w:r w:rsidRPr="00325D07">
        <w:rPr>
          <w:i/>
          <w:iCs/>
          <w:szCs w:val="26"/>
        </w:rPr>
        <w:t>Inns</w:t>
      </w:r>
      <w:r w:rsidRPr="00325D07">
        <w:rPr>
          <w:i/>
          <w:iCs/>
          <w:szCs w:val="26"/>
        </w:rPr>
        <w:t>-</w:t>
      </w:r>
      <w:r w:rsidRPr="00325D07">
        <w:rPr>
          <w:i/>
          <w:iCs/>
          <w:szCs w:val="26"/>
        </w:rPr>
        <w:t>by</w:t>
      </w:r>
      <w:r w:rsidRPr="00325D07">
        <w:rPr>
          <w:i/>
          <w:iCs/>
          <w:szCs w:val="26"/>
        </w:rPr>
        <w:t>-</w:t>
      </w:r>
      <w:r w:rsidRPr="00325D07">
        <w:rPr>
          <w:i/>
          <w:iCs/>
          <w:szCs w:val="26"/>
        </w:rPr>
        <w:t>the</w:t>
      </w:r>
      <w:r w:rsidRPr="00325D07">
        <w:rPr>
          <w:i/>
          <w:iCs/>
          <w:szCs w:val="26"/>
        </w:rPr>
        <w:t>-</w:t>
      </w:r>
      <w:r w:rsidRPr="00325D07">
        <w:rPr>
          <w:i/>
          <w:iCs/>
          <w:szCs w:val="26"/>
        </w:rPr>
        <w:t>Sea</w:t>
      </w:r>
      <w:r w:rsidRPr="00325D07">
        <w:rPr>
          <w:szCs w:val="26"/>
        </w:rPr>
        <w:t xml:space="preserve">, </w:t>
      </w:r>
      <w:r w:rsidRPr="00325D07">
        <w:rPr>
          <w:i/>
          <w:iCs/>
          <w:szCs w:val="26"/>
        </w:rPr>
        <w:t>supra</w:t>
      </w:r>
      <w:r w:rsidRPr="00325D07">
        <w:rPr>
          <w:szCs w:val="26"/>
        </w:rPr>
        <w:t>,</w:t>
      </w:r>
      <w:r w:rsidRPr="00325D07">
        <w:rPr>
          <w:i/>
          <w:iCs/>
          <w:szCs w:val="26"/>
        </w:rPr>
        <w:t xml:space="preserve"> </w:t>
      </w:r>
      <w:r w:rsidRPr="00325D07">
        <w:rPr>
          <w:szCs w:val="26"/>
        </w:rPr>
        <w:t xml:space="preserve">at pp. 692, fn. 1, 712) but neither is discussed.  </w:t>
      </w:r>
      <w:r w:rsidRPr="00325D07">
        <w:rPr>
          <w:szCs w:val="26"/>
        </w:rPr>
        <w:t xml:space="preserve">(See also </w:t>
      </w:r>
      <w:r w:rsidRPr="00325D07">
        <w:rPr>
          <w:i/>
          <w:iCs/>
          <w:szCs w:val="26"/>
        </w:rPr>
        <w:t>Sanzo Enterprises, LLC v. Erie Insurance Exchange</w:t>
      </w:r>
      <w:r w:rsidRPr="00325D07">
        <w:rPr>
          <w:szCs w:val="26"/>
        </w:rPr>
        <w:t xml:space="preserve"> (Ohio</w:t>
      </w:r>
      <w:r w:rsidRPr="00325D07">
        <w:rPr>
          <w:szCs w:val="26"/>
        </w:rPr>
        <w:t xml:space="preserve"> Ct. App.</w:t>
      </w:r>
      <w:r w:rsidRPr="00325D07">
        <w:rPr>
          <w:szCs w:val="26"/>
        </w:rPr>
        <w:t xml:space="preserve"> 2021) 182</w:t>
      </w:r>
      <w:r>
        <w:rPr>
          <w:szCs w:val="26"/>
        </w:rPr>
        <w:t> </w:t>
      </w:r>
      <w:r w:rsidRPr="00325D07">
        <w:rPr>
          <w:szCs w:val="26"/>
        </w:rPr>
        <w:t>N.E.3d 393.</w:t>
      </w:r>
      <w:r w:rsidRPr="00325D07">
        <w:rPr>
          <w:szCs w:val="26"/>
        </w:rPr>
        <w:t>)</w:t>
      </w:r>
    </w:p>
    <w:p w14:paraId="22197F22" w14:textId="77777777" w:rsidR="002B2413" w:rsidRPr="00325D07" w:rsidRDefault="0028508A" w:rsidP="00782EC9">
      <w:pPr>
        <w:jc w:val="both"/>
        <w:rPr>
          <w:szCs w:val="26"/>
        </w:rPr>
      </w:pPr>
    </w:p>
    <w:p w14:paraId="472F029C" w14:textId="77777777" w:rsidR="002B2413" w:rsidRPr="005813DB" w:rsidRDefault="0028508A" w:rsidP="005813DB">
      <w:pPr>
        <w:pStyle w:val="BodyText"/>
        <w:spacing w:line="288" w:lineRule="auto"/>
      </w:pPr>
      <w:r w:rsidRPr="005813DB">
        <w:tab/>
        <w:t>At this point, there is no real dispute.  Under California law, a business interruption policy that cover</w:t>
      </w:r>
      <w:r w:rsidRPr="005813DB">
        <w:t>s physical loss and damages does not provide coverage for losses incurred by reason of the COVID-19 pandemic.</w:t>
      </w:r>
    </w:p>
    <w:p w14:paraId="7183EA8B" w14:textId="77777777" w:rsidR="001117BA" w:rsidRPr="00782EC9" w:rsidRDefault="0028508A" w:rsidP="00782EC9">
      <w:pPr>
        <w:jc w:val="both"/>
        <w:rPr>
          <w:szCs w:val="26"/>
        </w:rPr>
      </w:pPr>
    </w:p>
    <w:p w14:paraId="6CC9C876" w14:textId="77777777" w:rsidR="009D6C01" w:rsidRPr="00782EC9" w:rsidRDefault="0028508A" w:rsidP="00B5731D">
      <w:pPr>
        <w:spacing w:line="240" w:lineRule="auto"/>
        <w:rPr>
          <w:b/>
          <w:bCs/>
          <w:i/>
          <w:iCs/>
          <w:szCs w:val="26"/>
        </w:rPr>
      </w:pPr>
      <w:r w:rsidRPr="00782EC9">
        <w:rPr>
          <w:szCs w:val="26"/>
        </w:rPr>
        <w:tab/>
      </w:r>
      <w:r w:rsidRPr="00782EC9">
        <w:rPr>
          <w:szCs w:val="26"/>
        </w:rPr>
        <w:tab/>
      </w:r>
      <w:r w:rsidRPr="009613C8">
        <w:rPr>
          <w:b/>
          <w:bCs/>
          <w:szCs w:val="26"/>
        </w:rPr>
        <w:t>2.</w:t>
      </w:r>
      <w:r w:rsidRPr="00782EC9">
        <w:rPr>
          <w:szCs w:val="26"/>
        </w:rPr>
        <w:tab/>
      </w:r>
      <w:r w:rsidRPr="00782EC9">
        <w:rPr>
          <w:b/>
          <w:bCs/>
          <w:i/>
          <w:iCs/>
          <w:szCs w:val="26"/>
        </w:rPr>
        <w:t xml:space="preserve">The fact that </w:t>
      </w:r>
      <w:r w:rsidRPr="00782EC9">
        <w:rPr>
          <w:b/>
          <w:bCs/>
          <w:i/>
          <w:iCs/>
          <w:szCs w:val="26"/>
        </w:rPr>
        <w:t xml:space="preserve">loss and damage </w:t>
      </w:r>
      <w:r>
        <w:rPr>
          <w:b/>
          <w:bCs/>
          <w:i/>
          <w:iCs/>
          <w:szCs w:val="26"/>
        </w:rPr>
        <w:br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 w:rsidRPr="00782EC9">
        <w:rPr>
          <w:b/>
          <w:bCs/>
          <w:i/>
          <w:iCs/>
          <w:szCs w:val="26"/>
        </w:rPr>
        <w:t>requirements</w:t>
      </w:r>
      <w:r>
        <w:rPr>
          <w:b/>
          <w:bCs/>
          <w:i/>
          <w:iCs/>
          <w:szCs w:val="26"/>
        </w:rPr>
        <w:t xml:space="preserve"> are</w:t>
      </w:r>
      <w:r w:rsidRPr="00782EC9">
        <w:rPr>
          <w:b/>
          <w:bCs/>
          <w:i/>
          <w:iCs/>
          <w:szCs w:val="26"/>
        </w:rPr>
        <w:t xml:space="preserve"> </w:t>
      </w:r>
      <w:r w:rsidRPr="00782EC9">
        <w:rPr>
          <w:b/>
          <w:bCs/>
          <w:i/>
          <w:iCs/>
          <w:szCs w:val="26"/>
        </w:rPr>
        <w:t>sometimes found in</w:t>
      </w:r>
      <w:r>
        <w:rPr>
          <w:b/>
          <w:bCs/>
          <w:i/>
          <w:iCs/>
          <w:szCs w:val="26"/>
        </w:rPr>
        <w:br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 w:rsidRPr="00782EC9">
        <w:rPr>
          <w:b/>
          <w:bCs/>
          <w:i/>
          <w:iCs/>
          <w:szCs w:val="26"/>
        </w:rPr>
        <w:t>exclusionary provisions</w:t>
      </w:r>
      <w:r>
        <w:rPr>
          <w:b/>
          <w:bCs/>
          <w:i/>
          <w:iCs/>
          <w:szCs w:val="26"/>
        </w:rPr>
        <w:t xml:space="preserve"> </w:t>
      </w:r>
      <w:r w:rsidRPr="00782EC9">
        <w:rPr>
          <w:b/>
          <w:bCs/>
          <w:i/>
          <w:iCs/>
          <w:szCs w:val="26"/>
        </w:rPr>
        <w:t>does not</w:t>
      </w:r>
      <w:r>
        <w:rPr>
          <w:b/>
          <w:bCs/>
          <w:i/>
          <w:iCs/>
          <w:szCs w:val="26"/>
        </w:rPr>
        <w:t xml:space="preserve"> </w:t>
      </w:r>
      <w:r w:rsidRPr="00782EC9">
        <w:rPr>
          <w:b/>
          <w:bCs/>
          <w:i/>
          <w:iCs/>
          <w:szCs w:val="26"/>
        </w:rPr>
        <w:t xml:space="preserve">change </w:t>
      </w:r>
      <w:r>
        <w:rPr>
          <w:b/>
          <w:bCs/>
          <w:i/>
          <w:iCs/>
          <w:szCs w:val="26"/>
        </w:rPr>
        <w:br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>
        <w:rPr>
          <w:b/>
          <w:bCs/>
          <w:i/>
          <w:iCs/>
          <w:szCs w:val="26"/>
        </w:rPr>
        <w:tab/>
      </w:r>
      <w:r w:rsidRPr="00782EC9">
        <w:rPr>
          <w:b/>
          <w:bCs/>
          <w:i/>
          <w:iCs/>
          <w:szCs w:val="26"/>
        </w:rPr>
        <w:t xml:space="preserve">the plain </w:t>
      </w:r>
      <w:r w:rsidRPr="00782EC9">
        <w:rPr>
          <w:b/>
          <w:bCs/>
          <w:i/>
          <w:iCs/>
          <w:szCs w:val="26"/>
        </w:rPr>
        <w:t>meaning of those</w:t>
      </w:r>
      <w:r>
        <w:rPr>
          <w:b/>
          <w:bCs/>
          <w:i/>
          <w:iCs/>
          <w:szCs w:val="26"/>
        </w:rPr>
        <w:t xml:space="preserve"> </w:t>
      </w:r>
      <w:r w:rsidRPr="00782EC9">
        <w:rPr>
          <w:b/>
          <w:bCs/>
          <w:i/>
          <w:iCs/>
          <w:szCs w:val="26"/>
        </w:rPr>
        <w:t>words.</w:t>
      </w:r>
    </w:p>
    <w:p w14:paraId="141C3B59" w14:textId="77777777" w:rsidR="009613C8" w:rsidRDefault="0028508A" w:rsidP="00B5731D">
      <w:pPr>
        <w:spacing w:line="240" w:lineRule="auto"/>
        <w:jc w:val="both"/>
        <w:rPr>
          <w:szCs w:val="26"/>
        </w:rPr>
      </w:pPr>
    </w:p>
    <w:p w14:paraId="1A1D8F24" w14:textId="77777777" w:rsidR="009D6C01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 w:rsidRPr="00782EC9">
        <w:rPr>
          <w:szCs w:val="26"/>
        </w:rPr>
        <w:t>Musso &amp; Frank insists that the ordinary definitions of damage and loss include anything depriving the owner of the property o</w:t>
      </w:r>
      <w:r w:rsidRPr="00782EC9">
        <w:rPr>
          <w:szCs w:val="26"/>
        </w:rPr>
        <w:t>r</w:t>
      </w:r>
      <w:r w:rsidRPr="00782EC9">
        <w:rPr>
          <w:szCs w:val="26"/>
        </w:rPr>
        <w:t xml:space="preserve"> its use, and that “loss” includes an undesirable outcome of a risk.  The cases tell us otherwise.</w:t>
      </w:r>
    </w:p>
    <w:p w14:paraId="7B090854" w14:textId="77777777" w:rsidR="004B750F" w:rsidRPr="00782EC9" w:rsidRDefault="0028508A" w:rsidP="00782EC9">
      <w:pPr>
        <w:jc w:val="both"/>
        <w:rPr>
          <w:szCs w:val="26"/>
        </w:rPr>
      </w:pPr>
    </w:p>
    <w:p w14:paraId="24917DD2" w14:textId="77777777" w:rsidR="009D6C01" w:rsidRPr="00A41B41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>The</w:t>
      </w:r>
      <w:r w:rsidRPr="00782EC9">
        <w:rPr>
          <w:szCs w:val="26"/>
        </w:rPr>
        <w:t xml:space="preserve"> insuring clause of the </w:t>
      </w:r>
      <w:r w:rsidRPr="00782EC9">
        <w:rPr>
          <w:szCs w:val="26"/>
        </w:rPr>
        <w:t>policy before us expressly required direct physical loss of or damage to property.</w:t>
      </w:r>
      <w:r w:rsidRPr="00782EC9">
        <w:rPr>
          <w:szCs w:val="26"/>
        </w:rPr>
        <w:t xml:space="preserve">  In </w:t>
      </w:r>
      <w:r w:rsidRPr="00782EC9">
        <w:rPr>
          <w:i/>
          <w:iCs/>
          <w:szCs w:val="26"/>
        </w:rPr>
        <w:t>Mudpie,</w:t>
      </w:r>
      <w:r w:rsidRPr="00782EC9">
        <w:rPr>
          <w:szCs w:val="26"/>
        </w:rPr>
        <w:t xml:space="preserve"> the language in </w:t>
      </w:r>
      <w:r w:rsidRPr="00782EC9">
        <w:rPr>
          <w:szCs w:val="26"/>
        </w:rPr>
        <w:t>the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exclusionary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 xml:space="preserve">clause, excluding coverage for losses due to government action, </w:t>
      </w:r>
      <w:r w:rsidRPr="00782EC9">
        <w:rPr>
          <w:szCs w:val="26"/>
        </w:rPr>
        <w:t>included</w:t>
      </w:r>
      <w:r w:rsidRPr="00782EC9">
        <w:rPr>
          <w:szCs w:val="26"/>
        </w:rPr>
        <w:t xml:space="preserve"> the language of our insuring clause (</w:t>
      </w:r>
      <w:r w:rsidRPr="00782EC9">
        <w:rPr>
          <w:i/>
          <w:iCs/>
          <w:szCs w:val="26"/>
        </w:rPr>
        <w:t>Mudpie</w:t>
      </w:r>
      <w:r w:rsidRPr="002C059A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2C059A">
        <w:rPr>
          <w:szCs w:val="26"/>
        </w:rPr>
        <w:t xml:space="preserve">, </w:t>
      </w:r>
      <w:r w:rsidRPr="00782EC9">
        <w:rPr>
          <w:szCs w:val="26"/>
        </w:rPr>
        <w:t>15 F.4th at p.</w:t>
      </w:r>
      <w:r>
        <w:rPr>
          <w:szCs w:val="26"/>
        </w:rPr>
        <w:t xml:space="preserve"> </w:t>
      </w:r>
      <w:r w:rsidRPr="00782EC9">
        <w:rPr>
          <w:szCs w:val="26"/>
        </w:rPr>
        <w:t>893)</w:t>
      </w:r>
      <w:r w:rsidRPr="00782EC9">
        <w:rPr>
          <w:szCs w:val="26"/>
        </w:rPr>
        <w:t>, a</w:t>
      </w:r>
      <w:r w:rsidRPr="00782EC9">
        <w:rPr>
          <w:szCs w:val="26"/>
        </w:rPr>
        <w:t xml:space="preserve"> difference without a distinction.  The plain meaning of “physical loss of or damage to property” is the same wherever it appears in a policy, the only difference being which party has to prove it</w:t>
      </w:r>
      <w:r w:rsidRPr="00782EC9">
        <w:rPr>
          <w:szCs w:val="26"/>
        </w:rPr>
        <w:t>s</w:t>
      </w:r>
      <w:r w:rsidRPr="00782EC9">
        <w:rPr>
          <w:szCs w:val="26"/>
        </w:rPr>
        <w:t xml:space="preserve"> unambiguous meaning.</w:t>
      </w:r>
      <w:r>
        <w:rPr>
          <w:szCs w:val="26"/>
        </w:rPr>
        <w:t xml:space="preserve">  </w:t>
      </w:r>
      <w:r w:rsidRPr="005813DB">
        <w:rPr>
          <w:szCs w:val="26"/>
        </w:rPr>
        <w:t xml:space="preserve">(And see </w:t>
      </w:r>
      <w:r w:rsidRPr="005813DB">
        <w:rPr>
          <w:i/>
          <w:iCs/>
          <w:szCs w:val="26"/>
        </w:rPr>
        <w:t>Sutter’s Place, Inc. v. Zur</w:t>
      </w:r>
      <w:r w:rsidRPr="005813DB">
        <w:rPr>
          <w:i/>
          <w:iCs/>
          <w:szCs w:val="26"/>
        </w:rPr>
        <w:t xml:space="preserve">ich American Insurance Company </w:t>
      </w:r>
      <w:r w:rsidRPr="005813DB">
        <w:rPr>
          <w:szCs w:val="26"/>
        </w:rPr>
        <w:t xml:space="preserve">(N.D.Cal. </w:t>
      </w:r>
      <w:r>
        <w:rPr>
          <w:szCs w:val="26"/>
        </w:rPr>
        <w:t xml:space="preserve">Mar. 14, </w:t>
      </w:r>
      <w:r w:rsidRPr="005813DB">
        <w:rPr>
          <w:szCs w:val="26"/>
        </w:rPr>
        <w:t>2022) ___ F.</w:t>
      </w:r>
      <w:r w:rsidRPr="005813DB">
        <w:rPr>
          <w:szCs w:val="26"/>
        </w:rPr>
        <w:t>4th</w:t>
      </w:r>
      <w:r w:rsidRPr="005813DB">
        <w:rPr>
          <w:szCs w:val="26"/>
        </w:rPr>
        <w:t xml:space="preserve"> ___ </w:t>
      </w:r>
      <w:r w:rsidRPr="005813DB">
        <w:rPr>
          <w:szCs w:val="26"/>
        </w:rPr>
        <w:t>[</w:t>
      </w:r>
      <w:r w:rsidRPr="005813DB">
        <w:rPr>
          <w:szCs w:val="26"/>
        </w:rPr>
        <w:t>2022 WL 767280</w:t>
      </w:r>
      <w:r w:rsidRPr="005813DB">
        <w:rPr>
          <w:szCs w:val="26"/>
        </w:rPr>
        <w:t>]</w:t>
      </w:r>
      <w:r w:rsidRPr="005813DB">
        <w:rPr>
          <w:szCs w:val="26"/>
        </w:rPr>
        <w:t>.)</w:t>
      </w:r>
    </w:p>
    <w:p w14:paraId="7C94AC24" w14:textId="77777777" w:rsidR="009613C8" w:rsidRDefault="0028508A" w:rsidP="00782EC9">
      <w:pPr>
        <w:jc w:val="both"/>
        <w:rPr>
          <w:szCs w:val="26"/>
        </w:rPr>
      </w:pPr>
    </w:p>
    <w:p w14:paraId="6E9CCC86" w14:textId="77777777" w:rsidR="00E20DC7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Musso &amp; Frank’s reliance on </w:t>
      </w:r>
      <w:r w:rsidRPr="00782EC9">
        <w:rPr>
          <w:i/>
          <w:iCs/>
          <w:szCs w:val="26"/>
        </w:rPr>
        <w:t xml:space="preserve">Seifert v. IMT Insurance Company </w:t>
      </w:r>
      <w:r w:rsidRPr="00782EC9">
        <w:rPr>
          <w:szCs w:val="26"/>
        </w:rPr>
        <w:t>(</w:t>
      </w:r>
      <w:r>
        <w:rPr>
          <w:szCs w:val="26"/>
        </w:rPr>
        <w:t xml:space="preserve">D.Minn. </w:t>
      </w:r>
      <w:r w:rsidRPr="00782EC9">
        <w:rPr>
          <w:szCs w:val="26"/>
        </w:rPr>
        <w:t>2021) 542 F.Supp.</w:t>
      </w:r>
      <w:r>
        <w:rPr>
          <w:szCs w:val="26"/>
        </w:rPr>
        <w:t xml:space="preserve">3d </w:t>
      </w:r>
      <w:r w:rsidRPr="00782EC9">
        <w:rPr>
          <w:szCs w:val="26"/>
        </w:rPr>
        <w:t>874 is misplaced.  Applying Minnesota law, th</w:t>
      </w:r>
      <w:r w:rsidRPr="00782EC9">
        <w:rPr>
          <w:szCs w:val="26"/>
        </w:rPr>
        <w:t>at</w:t>
      </w:r>
      <w:r w:rsidRPr="00782EC9">
        <w:rPr>
          <w:szCs w:val="26"/>
        </w:rPr>
        <w:t xml:space="preserve"> court </w:t>
      </w:r>
      <w:r w:rsidRPr="00782EC9">
        <w:rPr>
          <w:szCs w:val="26"/>
        </w:rPr>
        <w:t>construed</w:t>
      </w:r>
      <w:r w:rsidRPr="00782EC9">
        <w:rPr>
          <w:szCs w:val="26"/>
        </w:rPr>
        <w:t xml:space="preserve"> a policy re</w:t>
      </w:r>
      <w:r w:rsidRPr="00782EC9">
        <w:rPr>
          <w:szCs w:val="26"/>
        </w:rPr>
        <w:t xml:space="preserve">quiring loss “of property” </w:t>
      </w:r>
      <w:r w:rsidRPr="00782EC9">
        <w:rPr>
          <w:szCs w:val="26"/>
        </w:rPr>
        <w:t>the same a</w:t>
      </w:r>
      <w:r>
        <w:rPr>
          <w:szCs w:val="26"/>
        </w:rPr>
        <w:t>s</w:t>
      </w:r>
      <w:r w:rsidRPr="00782EC9">
        <w:rPr>
          <w:szCs w:val="26"/>
        </w:rPr>
        <w:t xml:space="preserve"> a policy covering only</w:t>
      </w:r>
      <w:r w:rsidRPr="00782EC9">
        <w:rPr>
          <w:szCs w:val="26"/>
        </w:rPr>
        <w:t xml:space="preserve"> loss “to property.”  (</w:t>
      </w:r>
      <w:r w:rsidRPr="00782EC9">
        <w:rPr>
          <w:i/>
          <w:iCs/>
          <w:szCs w:val="26"/>
        </w:rPr>
        <w:t xml:space="preserve">Id. </w:t>
      </w:r>
      <w:r w:rsidRPr="00782EC9">
        <w:rPr>
          <w:szCs w:val="26"/>
        </w:rPr>
        <w:t>at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 xml:space="preserve">p 878.)  Although the </w:t>
      </w:r>
      <w:r w:rsidRPr="00782EC9">
        <w:rPr>
          <w:szCs w:val="26"/>
        </w:rPr>
        <w:lastRenderedPageBreak/>
        <w:t>terms are not completely analogous, the court concluded the same reasoning applied to both.  (</w:t>
      </w:r>
      <w:r w:rsidRPr="00782EC9">
        <w:rPr>
          <w:i/>
          <w:iCs/>
          <w:szCs w:val="26"/>
        </w:rPr>
        <w:t>Id.</w:t>
      </w:r>
      <w:r w:rsidRPr="00782EC9">
        <w:rPr>
          <w:szCs w:val="26"/>
        </w:rPr>
        <w:t xml:space="preserve"> at p.</w:t>
      </w:r>
      <w:r>
        <w:rPr>
          <w:szCs w:val="26"/>
        </w:rPr>
        <w:t xml:space="preserve"> </w:t>
      </w:r>
      <w:r w:rsidRPr="00782EC9">
        <w:rPr>
          <w:szCs w:val="26"/>
        </w:rPr>
        <w:t xml:space="preserve">881.)  For reasons that are not </w:t>
      </w:r>
      <w:r w:rsidRPr="00782EC9">
        <w:rPr>
          <w:szCs w:val="26"/>
        </w:rPr>
        <w:t>altogether</w:t>
      </w:r>
      <w:r w:rsidRPr="00782EC9">
        <w:rPr>
          <w:szCs w:val="26"/>
        </w:rPr>
        <w:t xml:space="preserve"> clear, the court </w:t>
      </w:r>
      <w:r w:rsidRPr="00782EC9">
        <w:rPr>
          <w:szCs w:val="26"/>
        </w:rPr>
        <w:t>nevertheless</w:t>
      </w:r>
      <w:r w:rsidRPr="00782EC9">
        <w:rPr>
          <w:szCs w:val="26"/>
        </w:rPr>
        <w:t xml:space="preserve"> looked to Seifert’s complaint, </w:t>
      </w:r>
      <w:r w:rsidRPr="00782EC9">
        <w:rPr>
          <w:szCs w:val="26"/>
        </w:rPr>
        <w:t>specifically</w:t>
      </w:r>
      <w:r w:rsidRPr="00782EC9">
        <w:rPr>
          <w:szCs w:val="26"/>
        </w:rPr>
        <w:t xml:space="preserve"> his allegation that he could not fully use the property, and </w:t>
      </w:r>
      <w:r w:rsidRPr="00782EC9">
        <w:rPr>
          <w:szCs w:val="26"/>
        </w:rPr>
        <w:t xml:space="preserve">accepted his claim </w:t>
      </w:r>
      <w:r w:rsidRPr="00782EC9">
        <w:rPr>
          <w:szCs w:val="26"/>
        </w:rPr>
        <w:t xml:space="preserve">that he suffered </w:t>
      </w:r>
      <w:r w:rsidRPr="00782EC9">
        <w:rPr>
          <w:szCs w:val="26"/>
        </w:rPr>
        <w:t>a l</w:t>
      </w:r>
      <w:r w:rsidRPr="00782EC9">
        <w:rPr>
          <w:szCs w:val="26"/>
        </w:rPr>
        <w:t>oss in value of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his property.  The cour</w:t>
      </w:r>
      <w:r w:rsidRPr="00782EC9">
        <w:rPr>
          <w:szCs w:val="26"/>
        </w:rPr>
        <w:t>t found that Seifert had “plausibly allege[d] direct physical losses of his property.”  (</w:t>
      </w:r>
      <w:r w:rsidRPr="00782EC9">
        <w:rPr>
          <w:i/>
          <w:iCs/>
          <w:szCs w:val="26"/>
        </w:rPr>
        <w:t xml:space="preserve">Id. </w:t>
      </w:r>
      <w:r w:rsidRPr="00782EC9">
        <w:rPr>
          <w:szCs w:val="26"/>
        </w:rPr>
        <w:t>at p. 880.)</w:t>
      </w:r>
    </w:p>
    <w:p w14:paraId="105F1CCE" w14:textId="77777777" w:rsidR="009613C8" w:rsidRDefault="0028508A" w:rsidP="00782EC9">
      <w:pPr>
        <w:jc w:val="both"/>
        <w:rPr>
          <w:szCs w:val="26"/>
        </w:rPr>
      </w:pPr>
    </w:p>
    <w:p w14:paraId="2BE0C282" w14:textId="77777777" w:rsidR="00A7610C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Although </w:t>
      </w:r>
      <w:r w:rsidRPr="00782EC9">
        <w:rPr>
          <w:i/>
          <w:iCs/>
          <w:szCs w:val="26"/>
        </w:rPr>
        <w:t xml:space="preserve">Seifert </w:t>
      </w:r>
      <w:r w:rsidRPr="00782EC9">
        <w:rPr>
          <w:szCs w:val="26"/>
        </w:rPr>
        <w:t>arguably supports Musso &amp; Frank’s distinction bet</w:t>
      </w:r>
      <w:r w:rsidRPr="004B750F">
        <w:rPr>
          <w:szCs w:val="26"/>
        </w:rPr>
        <w:t xml:space="preserve">ween loss and damage to property, that case is based on Minnesota law </w:t>
      </w:r>
      <w:r w:rsidRPr="004B750F">
        <w:rPr>
          <w:szCs w:val="26"/>
        </w:rPr>
        <w:t xml:space="preserve">— </w:t>
      </w:r>
      <w:r w:rsidRPr="005813DB">
        <w:rPr>
          <w:szCs w:val="26"/>
        </w:rPr>
        <w:t>and</w:t>
      </w:r>
      <w:r w:rsidRPr="004B750F">
        <w:rPr>
          <w:szCs w:val="26"/>
        </w:rPr>
        <w:t xml:space="preserve"> </w:t>
      </w:r>
      <w:r w:rsidRPr="004B750F">
        <w:rPr>
          <w:szCs w:val="26"/>
        </w:rPr>
        <w:t>Calif</w:t>
      </w:r>
      <w:r w:rsidRPr="00782EC9">
        <w:rPr>
          <w:szCs w:val="26"/>
        </w:rPr>
        <w:t>or</w:t>
      </w:r>
      <w:r w:rsidRPr="00782EC9">
        <w:rPr>
          <w:szCs w:val="26"/>
        </w:rPr>
        <w:t xml:space="preserve">nia’s cases have concluded to the contrary.  </w:t>
      </w:r>
      <w:r w:rsidRPr="00782EC9">
        <w:rPr>
          <w:i/>
          <w:iCs/>
          <w:szCs w:val="26"/>
        </w:rPr>
        <w:t>Henderson Road Res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Systs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v. Zurich American Ins.</w:t>
      </w:r>
      <w:r w:rsidRPr="002C059A">
        <w:rPr>
          <w:szCs w:val="26"/>
        </w:rPr>
        <w:t xml:space="preserve"> </w:t>
      </w:r>
      <w:r w:rsidRPr="002C059A">
        <w:rPr>
          <w:szCs w:val="26"/>
        </w:rPr>
        <w:t>(</w:t>
      </w:r>
      <w:r w:rsidRPr="00782EC9">
        <w:rPr>
          <w:szCs w:val="26"/>
        </w:rPr>
        <w:t xml:space="preserve">N.D.Ohio 2021) 513 F.Supp.3d 808, is distinguishable for the same reason </w:t>
      </w:r>
      <w:r>
        <w:rPr>
          <w:szCs w:val="26"/>
        </w:rPr>
        <w:t>—</w:t>
      </w:r>
      <w:r w:rsidRPr="00782EC9">
        <w:rPr>
          <w:szCs w:val="26"/>
        </w:rPr>
        <w:t xml:space="preserve"> it is based on Ohio law, not California law.</w:t>
      </w:r>
      <w:r w:rsidRPr="00782EC9">
        <w:rPr>
          <w:szCs w:val="26"/>
        </w:rPr>
        <w:t xml:space="preserve">  California law is clear.  Physical los</w:t>
      </w:r>
      <w:r w:rsidRPr="00782EC9">
        <w:rPr>
          <w:szCs w:val="26"/>
        </w:rPr>
        <w:t xml:space="preserve">s and damage must have </w:t>
      </w:r>
      <w:r w:rsidRPr="00782EC9">
        <w:rPr>
          <w:szCs w:val="26"/>
        </w:rPr>
        <w:t>m</w:t>
      </w:r>
      <w:r w:rsidRPr="00782EC9">
        <w:rPr>
          <w:szCs w:val="26"/>
        </w:rPr>
        <w:t xml:space="preserve">aterial existence.  </w:t>
      </w:r>
      <w:r w:rsidRPr="005813DB">
        <w:rPr>
          <w:szCs w:val="26"/>
        </w:rPr>
        <w:t>(</w:t>
      </w:r>
      <w:r w:rsidRPr="005813DB">
        <w:rPr>
          <w:i/>
          <w:iCs/>
          <w:szCs w:val="26"/>
        </w:rPr>
        <w:t>Inns-by-the-Sea v. California Mutual Ins. Co.</w:t>
      </w:r>
      <w:r w:rsidRPr="005813DB">
        <w:rPr>
          <w:szCs w:val="26"/>
        </w:rPr>
        <w:t xml:space="preserve">, </w:t>
      </w:r>
      <w:r w:rsidRPr="005813DB">
        <w:rPr>
          <w:i/>
          <w:iCs/>
          <w:szCs w:val="26"/>
        </w:rPr>
        <w:t>supra</w:t>
      </w:r>
      <w:r w:rsidRPr="005813DB">
        <w:rPr>
          <w:szCs w:val="26"/>
        </w:rPr>
        <w:t>,</w:t>
      </w:r>
      <w:r w:rsidRPr="005813DB">
        <w:rPr>
          <w:szCs w:val="26"/>
        </w:rPr>
        <w:t xml:space="preserve"> </w:t>
      </w:r>
      <w:r w:rsidRPr="005813DB">
        <w:rPr>
          <w:szCs w:val="26"/>
        </w:rPr>
        <w:t>71</w:t>
      </w:r>
      <w:r w:rsidRPr="005813DB">
        <w:rPr>
          <w:szCs w:val="26"/>
        </w:rPr>
        <w:t xml:space="preserve"> </w:t>
      </w:r>
      <w:r w:rsidRPr="005813DB">
        <w:rPr>
          <w:szCs w:val="26"/>
        </w:rPr>
        <w:t>Cal.App.5th</w:t>
      </w:r>
      <w:r w:rsidRPr="005813DB">
        <w:rPr>
          <w:szCs w:val="26"/>
        </w:rPr>
        <w:t xml:space="preserve"> at pp.</w:t>
      </w:r>
      <w:r w:rsidRPr="005813DB">
        <w:rPr>
          <w:szCs w:val="26"/>
        </w:rPr>
        <w:t xml:space="preserve"> 692, 699-70</w:t>
      </w:r>
      <w:r w:rsidRPr="005813DB">
        <w:rPr>
          <w:szCs w:val="26"/>
        </w:rPr>
        <w:t>0</w:t>
      </w:r>
      <w:r w:rsidRPr="005813DB">
        <w:rPr>
          <w:szCs w:val="26"/>
        </w:rPr>
        <w:t>.)</w:t>
      </w:r>
    </w:p>
    <w:p w14:paraId="6892CD7D" w14:textId="77777777" w:rsidR="009613C8" w:rsidRDefault="0028508A" w:rsidP="00782EC9">
      <w:pPr>
        <w:jc w:val="both"/>
        <w:rPr>
          <w:szCs w:val="26"/>
        </w:rPr>
      </w:pPr>
    </w:p>
    <w:p w14:paraId="62E23390" w14:textId="77777777" w:rsidR="003144C0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Under California law, Musso &amp; Frank could </w:t>
      </w:r>
      <w:r w:rsidRPr="00782EC9">
        <w:rPr>
          <w:szCs w:val="26"/>
        </w:rPr>
        <w:t xml:space="preserve">not </w:t>
      </w:r>
      <w:r w:rsidRPr="00782EC9">
        <w:rPr>
          <w:szCs w:val="26"/>
        </w:rPr>
        <w:t>have had an objectively reasonable expectation of coverage.</w:t>
      </w:r>
      <w:r>
        <w:rPr>
          <w:rStyle w:val="FootnoteReference"/>
          <w:b/>
          <w:position w:val="8"/>
          <w:sz w:val="20"/>
          <w:szCs w:val="26"/>
          <w:vertAlign w:val="baseline"/>
        </w:rPr>
        <w:footnoteReference w:id="3"/>
      </w:r>
    </w:p>
    <w:p w14:paraId="1AE0FE85" w14:textId="77777777" w:rsidR="009613C8" w:rsidRPr="00782EC9" w:rsidRDefault="0028508A" w:rsidP="00782EC9">
      <w:pPr>
        <w:jc w:val="both"/>
        <w:rPr>
          <w:szCs w:val="26"/>
        </w:rPr>
      </w:pPr>
    </w:p>
    <w:p w14:paraId="4490FAAD" w14:textId="77777777" w:rsidR="00D42226" w:rsidRDefault="0028508A" w:rsidP="00010F01">
      <w:pPr>
        <w:pStyle w:val="BodyText3"/>
        <w:keepNext w:val="0"/>
        <w:spacing w:after="120"/>
      </w:pPr>
      <w:r w:rsidRPr="00782EC9">
        <w:tab/>
        <w:t>C.</w:t>
      </w:r>
      <w:r w:rsidRPr="00782EC9">
        <w:tab/>
      </w:r>
      <w:r w:rsidRPr="00782EC9">
        <w:t xml:space="preserve">Even assuming Musso &amp; Frank could </w:t>
      </w:r>
      <w:r w:rsidRPr="00782EC9">
        <w:br/>
      </w:r>
      <w:r w:rsidRPr="00782EC9">
        <w:tab/>
      </w:r>
      <w:r w:rsidRPr="00782EC9">
        <w:tab/>
      </w:r>
      <w:r w:rsidRPr="00782EC9">
        <w:t>bring itself within</w:t>
      </w:r>
      <w:r w:rsidRPr="00782EC9">
        <w:t xml:space="preserve"> </w:t>
      </w:r>
      <w:r w:rsidRPr="00782EC9">
        <w:t xml:space="preserve">the insuring clause, </w:t>
      </w:r>
      <w:r w:rsidRPr="00782EC9">
        <w:br/>
      </w:r>
      <w:r w:rsidRPr="00782EC9">
        <w:tab/>
      </w:r>
      <w:r w:rsidRPr="00782EC9">
        <w:tab/>
      </w:r>
      <w:r w:rsidRPr="00782EC9">
        <w:t>t</w:t>
      </w:r>
      <w:r w:rsidRPr="00782EC9">
        <w:t xml:space="preserve">he </w:t>
      </w:r>
      <w:r w:rsidRPr="00782EC9">
        <w:t>v</w:t>
      </w:r>
      <w:r w:rsidRPr="00782EC9">
        <w:t>irus</w:t>
      </w:r>
      <w:r w:rsidRPr="00782EC9">
        <w:t xml:space="preserve"> exclusion</w:t>
      </w:r>
      <w:r w:rsidRPr="00782EC9">
        <w:t xml:space="preserve"> </w:t>
      </w:r>
      <w:r w:rsidRPr="00782EC9">
        <w:t>would</w:t>
      </w:r>
      <w:r w:rsidRPr="00782EC9">
        <w:t xml:space="preserve"> bar coverage.</w:t>
      </w:r>
    </w:p>
    <w:p w14:paraId="08ED87D5" w14:textId="77777777" w:rsidR="00772F33" w:rsidRDefault="0028508A" w:rsidP="00782EC9">
      <w:pPr>
        <w:jc w:val="both"/>
        <w:rPr>
          <w:szCs w:val="26"/>
        </w:rPr>
      </w:pPr>
      <w:r w:rsidRPr="00782EC9">
        <w:rPr>
          <w:szCs w:val="26"/>
        </w:rPr>
        <w:lastRenderedPageBreak/>
        <w:tab/>
      </w:r>
      <w:r w:rsidRPr="00782EC9">
        <w:rPr>
          <w:szCs w:val="26"/>
        </w:rPr>
        <w:t xml:space="preserve">Musso &amp; Frank’s opening brief does not discuss the exclusions, and its reply brief addresses only the virus exclusion, notwithstanding the </w:t>
      </w:r>
    </w:p>
    <w:p w14:paraId="1B80A6B6" w14:textId="77777777" w:rsidR="004D00AF" w:rsidRDefault="0028508A" w:rsidP="00782EC9">
      <w:pPr>
        <w:jc w:val="both"/>
        <w:rPr>
          <w:szCs w:val="26"/>
        </w:rPr>
      </w:pPr>
      <w:r w:rsidRPr="00782EC9">
        <w:rPr>
          <w:szCs w:val="26"/>
        </w:rPr>
        <w:t xml:space="preserve">trial court’s finding that, assuming coverage, the virus exclusion would apply.  The virus exclusion expressly bars </w:t>
      </w:r>
      <w:r w:rsidRPr="00782EC9">
        <w:rPr>
          <w:szCs w:val="26"/>
        </w:rPr>
        <w:t>coverage for all los</w:t>
      </w:r>
      <w:r w:rsidRPr="00782EC9">
        <w:rPr>
          <w:szCs w:val="26"/>
        </w:rPr>
        <w:t>s</w:t>
      </w:r>
      <w:r w:rsidRPr="00782EC9">
        <w:rPr>
          <w:szCs w:val="26"/>
        </w:rPr>
        <w:t xml:space="preserve"> or damage caused by or resulting from “any </w:t>
      </w:r>
      <w:r w:rsidRPr="00782EC9">
        <w:rPr>
          <w:szCs w:val="26"/>
        </w:rPr>
        <w:t>v</w:t>
      </w:r>
      <w:r w:rsidRPr="00782EC9">
        <w:rPr>
          <w:szCs w:val="26"/>
        </w:rPr>
        <w:t>irus, bacterium or other micro</w:t>
      </w:r>
      <w:r>
        <w:rPr>
          <w:szCs w:val="26"/>
        </w:rPr>
        <w:t>-</w:t>
      </w:r>
      <w:r w:rsidRPr="00782EC9">
        <w:rPr>
          <w:szCs w:val="26"/>
        </w:rPr>
        <w:t xml:space="preserve">organism that </w:t>
      </w:r>
      <w:r w:rsidRPr="00782EC9">
        <w:rPr>
          <w:szCs w:val="26"/>
        </w:rPr>
        <w:t>in</w:t>
      </w:r>
      <w:r>
        <w:rPr>
          <w:szCs w:val="26"/>
        </w:rPr>
        <w:t>duc</w:t>
      </w:r>
      <w:r w:rsidRPr="00782EC9">
        <w:rPr>
          <w:szCs w:val="26"/>
        </w:rPr>
        <w:t xml:space="preserve">es </w:t>
      </w:r>
      <w:r w:rsidRPr="00782EC9">
        <w:rPr>
          <w:szCs w:val="26"/>
        </w:rPr>
        <w:t xml:space="preserve">or is capable of inducing physical </w:t>
      </w:r>
      <w:r w:rsidRPr="00782EC9">
        <w:rPr>
          <w:szCs w:val="26"/>
        </w:rPr>
        <w:t xml:space="preserve">distress, </w:t>
      </w:r>
      <w:r w:rsidRPr="00782EC9">
        <w:rPr>
          <w:szCs w:val="26"/>
        </w:rPr>
        <w:t>illness or disease.”  Musso &amp; Frank’s allegation that its losses were caused by the public h</w:t>
      </w:r>
      <w:r w:rsidRPr="00782EC9">
        <w:rPr>
          <w:szCs w:val="26"/>
        </w:rPr>
        <w:t>ealth orders do</w:t>
      </w:r>
      <w:r w:rsidRPr="00782EC9">
        <w:rPr>
          <w:szCs w:val="26"/>
        </w:rPr>
        <w:t>es</w:t>
      </w:r>
      <w:r w:rsidRPr="00782EC9">
        <w:rPr>
          <w:szCs w:val="26"/>
        </w:rPr>
        <w:t xml:space="preserve"> not change the fact that those orders were </w:t>
      </w:r>
      <w:r w:rsidRPr="00782EC9">
        <w:rPr>
          <w:szCs w:val="26"/>
        </w:rPr>
        <w:t>a response to</w:t>
      </w:r>
      <w:r w:rsidRPr="00782EC9">
        <w:rPr>
          <w:szCs w:val="26"/>
        </w:rPr>
        <w:t xml:space="preserve"> the C</w:t>
      </w:r>
      <w:r w:rsidRPr="00782EC9">
        <w:rPr>
          <w:szCs w:val="26"/>
        </w:rPr>
        <w:t xml:space="preserve">OVID-19 virus.  </w:t>
      </w:r>
      <w:r w:rsidRPr="00782EC9">
        <w:rPr>
          <w:szCs w:val="26"/>
        </w:rPr>
        <w:t>(</w:t>
      </w:r>
      <w:r w:rsidRPr="00782EC9">
        <w:rPr>
          <w:i/>
          <w:iCs/>
          <w:szCs w:val="26"/>
        </w:rPr>
        <w:t xml:space="preserve">Sabella v. Wisler </w:t>
      </w:r>
      <w:r w:rsidRPr="00782EC9">
        <w:rPr>
          <w:szCs w:val="26"/>
        </w:rPr>
        <w:t>(1963) 59 Cal.2d 21, 31-32.)  The Ninth Circuit agrees, observing that the complaint in that case did not allege an attenuated causal chain b</w:t>
      </w:r>
      <w:r w:rsidRPr="00782EC9">
        <w:rPr>
          <w:szCs w:val="26"/>
        </w:rPr>
        <w:t>etween the virus and the insured’s losses, and the insured did not dispute the fact that the closure orders were due to COVID-19.  (</w:t>
      </w:r>
      <w:r w:rsidRPr="00782EC9">
        <w:rPr>
          <w:i/>
          <w:iCs/>
          <w:szCs w:val="26"/>
        </w:rPr>
        <w:t>Mudpie</w:t>
      </w:r>
      <w:r w:rsidRPr="008E157F">
        <w:rPr>
          <w:szCs w:val="26"/>
        </w:rPr>
        <w:t xml:space="preserve">, </w:t>
      </w:r>
      <w:r w:rsidRPr="00782EC9">
        <w:rPr>
          <w:i/>
          <w:iCs/>
          <w:szCs w:val="26"/>
        </w:rPr>
        <w:t>supra</w:t>
      </w:r>
      <w:r w:rsidRPr="00782EC9">
        <w:rPr>
          <w:szCs w:val="26"/>
        </w:rPr>
        <w:t xml:space="preserve">, 15 F.4th at </w:t>
      </w:r>
      <w:r>
        <w:rPr>
          <w:szCs w:val="26"/>
        </w:rPr>
        <w:t>p</w:t>
      </w:r>
      <w:r w:rsidRPr="00782EC9">
        <w:rPr>
          <w:szCs w:val="26"/>
        </w:rPr>
        <w:t>p.</w:t>
      </w:r>
      <w:r>
        <w:rPr>
          <w:szCs w:val="26"/>
        </w:rPr>
        <w:t> </w:t>
      </w:r>
      <w:r w:rsidRPr="00782EC9">
        <w:rPr>
          <w:szCs w:val="26"/>
        </w:rPr>
        <w:t>893-894</w:t>
      </w:r>
      <w:r w:rsidRPr="00782EC9">
        <w:rPr>
          <w:szCs w:val="26"/>
        </w:rPr>
        <w:t xml:space="preserve">; and see </w:t>
      </w:r>
      <w:r w:rsidRPr="00782EC9">
        <w:rPr>
          <w:i/>
          <w:iCs/>
          <w:szCs w:val="26"/>
        </w:rPr>
        <w:t>Boxed Foods Company, LLC v. Cal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Capital Ins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Co</w:t>
      </w:r>
      <w:r>
        <w:rPr>
          <w:i/>
          <w:iCs/>
          <w:szCs w:val="26"/>
        </w:rPr>
        <w:t>.</w:t>
      </w:r>
      <w:r w:rsidRPr="00782EC9">
        <w:rPr>
          <w:i/>
          <w:iCs/>
          <w:szCs w:val="26"/>
        </w:rPr>
        <w:t xml:space="preserve"> </w:t>
      </w:r>
      <w:r w:rsidRPr="00782EC9">
        <w:rPr>
          <w:szCs w:val="26"/>
        </w:rPr>
        <w:t xml:space="preserve">(N.D.Cal. 2020) 497 </w:t>
      </w:r>
      <w:r>
        <w:rPr>
          <w:szCs w:val="26"/>
        </w:rPr>
        <w:t>F</w:t>
      </w:r>
      <w:r w:rsidRPr="00782EC9">
        <w:rPr>
          <w:szCs w:val="26"/>
        </w:rPr>
        <w:t>.Supp</w:t>
      </w:r>
      <w:r w:rsidRPr="00782EC9">
        <w:rPr>
          <w:szCs w:val="26"/>
        </w:rPr>
        <w:t>.3d 516, 521-522</w:t>
      </w:r>
      <w:r w:rsidRPr="00782EC9">
        <w:rPr>
          <w:szCs w:val="26"/>
        </w:rPr>
        <w:t>.)</w:t>
      </w:r>
    </w:p>
    <w:p w14:paraId="31884DAA" w14:textId="77777777" w:rsidR="001969BB" w:rsidRDefault="0028508A" w:rsidP="00782EC9">
      <w:pPr>
        <w:jc w:val="both"/>
        <w:rPr>
          <w:szCs w:val="26"/>
        </w:rPr>
      </w:pPr>
    </w:p>
    <w:p w14:paraId="5518396A" w14:textId="77777777" w:rsidR="00F33DFE" w:rsidRPr="00782EC9" w:rsidRDefault="0028508A" w:rsidP="001969BB">
      <w:pPr>
        <w:jc w:val="both"/>
        <w:rPr>
          <w:szCs w:val="26"/>
        </w:rPr>
      </w:pPr>
      <w:r w:rsidRPr="00782EC9">
        <w:rPr>
          <w:szCs w:val="26"/>
        </w:rPr>
        <w:tab/>
      </w:r>
      <w:r w:rsidRPr="00782EC9">
        <w:rPr>
          <w:b/>
          <w:bCs/>
          <w:szCs w:val="26"/>
        </w:rPr>
        <w:t>D.</w:t>
      </w:r>
      <w:r w:rsidRPr="00782EC9">
        <w:rPr>
          <w:b/>
          <w:bCs/>
          <w:szCs w:val="26"/>
        </w:rPr>
        <w:tab/>
        <w:t>Conclusion</w:t>
      </w:r>
      <w:r w:rsidRPr="00782EC9">
        <w:rPr>
          <w:szCs w:val="26"/>
        </w:rPr>
        <w:t>.</w:t>
      </w:r>
    </w:p>
    <w:p w14:paraId="1D5F7C5D" w14:textId="77777777" w:rsidR="001969BB" w:rsidRDefault="0028508A" w:rsidP="00782EC9">
      <w:pPr>
        <w:jc w:val="both"/>
        <w:rPr>
          <w:szCs w:val="26"/>
        </w:rPr>
      </w:pPr>
    </w:p>
    <w:p w14:paraId="7332C1FD" w14:textId="77777777" w:rsidR="009613C8" w:rsidRDefault="0028508A" w:rsidP="00782EC9">
      <w:pPr>
        <w:jc w:val="both"/>
      </w:pPr>
      <w:r w:rsidRPr="00782EC9">
        <w:rPr>
          <w:szCs w:val="26"/>
        </w:rPr>
        <w:tab/>
      </w:r>
      <w:r w:rsidRPr="036E3F73">
        <w:t>It is worth noting that, at the time of the trial court’s order and at the time Musso &amp; Frank filed its opening brief, none of the</w:t>
      </w:r>
      <w:r>
        <w:rPr>
          <w:szCs w:val="26"/>
        </w:rPr>
        <w:t xml:space="preserve"> </w:t>
      </w:r>
      <w:r w:rsidRPr="036E3F73">
        <w:t>COVID-19 business interruption cases discussed in this opinion had been filed</w:t>
      </w:r>
      <w:r w:rsidRPr="036E3F73">
        <w:t xml:space="preserve"> (even </w:t>
      </w:r>
      <w:r w:rsidRPr="036E3F73">
        <w:rPr>
          <w:i/>
          <w:iCs/>
        </w:rPr>
        <w:t>Inns-by-the-Sea</w:t>
      </w:r>
      <w:r w:rsidRPr="036E3F73">
        <w:t>, filed in November 2021, post-dated the trial court’s order and the opening brief in this case)</w:t>
      </w:r>
      <w:r w:rsidRPr="036E3F73">
        <w:t xml:space="preserve">.  </w:t>
      </w:r>
      <w:r w:rsidRPr="008E157F">
        <w:t>We</w:t>
      </w:r>
      <w:r w:rsidRPr="036E3F73">
        <w:t xml:space="preserve"> commend </w:t>
      </w:r>
      <w:r w:rsidRPr="008E157F">
        <w:t>the trial court’s</w:t>
      </w:r>
      <w:r w:rsidRPr="036E3F73">
        <w:t xml:space="preserve"> </w:t>
      </w:r>
      <w:r w:rsidRPr="036E3F73">
        <w:t>prescience</w:t>
      </w:r>
      <w:r w:rsidRPr="036E3F73">
        <w:t xml:space="preserve"> in reaching the same result as </w:t>
      </w:r>
      <w:r w:rsidRPr="036E3F73">
        <w:t>virtually all</w:t>
      </w:r>
      <w:r w:rsidRPr="036E3F73">
        <w:t xml:space="preserve"> of the cases that have </w:t>
      </w:r>
      <w:r w:rsidRPr="036E3F73">
        <w:t>addressed</w:t>
      </w:r>
      <w:r w:rsidRPr="036E3F73">
        <w:t xml:space="preserve"> this issue.  </w:t>
      </w:r>
      <w:r w:rsidRPr="008E157F">
        <w:t>M</w:t>
      </w:r>
      <w:r w:rsidRPr="036E3F73">
        <w:t>uss</w:t>
      </w:r>
      <w:r w:rsidRPr="036E3F73">
        <w:t>o &amp; Frank did not suffer any physical alteration of its property, and its closure was not based on any physical loss or damage.</w:t>
      </w:r>
      <w:r w:rsidRPr="036E3F73">
        <w:t xml:space="preserve">  Additionally, the virus exclusion clearly applied.</w:t>
      </w:r>
    </w:p>
    <w:p w14:paraId="7D490EAD" w14:textId="77777777" w:rsidR="003D2BFA" w:rsidRDefault="0028508A" w:rsidP="00782EC9">
      <w:pPr>
        <w:jc w:val="both"/>
        <w:rPr>
          <w:szCs w:val="26"/>
        </w:rPr>
      </w:pPr>
    </w:p>
    <w:p w14:paraId="76C50824" w14:textId="77777777" w:rsidR="006C490A" w:rsidRDefault="0028508A" w:rsidP="00C62166">
      <w:pPr>
        <w:pStyle w:val="BodyText"/>
        <w:spacing w:line="288" w:lineRule="auto"/>
      </w:pPr>
      <w:r w:rsidRPr="00782EC9">
        <w:tab/>
        <w:t>Because Musso &amp; Frank cannot establish a breach of contract, it follows ne</w:t>
      </w:r>
      <w:r w:rsidRPr="00782EC9">
        <w:t>cessarily that it cannot prove a breach of the covenant of good faith and fair dealing.</w:t>
      </w:r>
      <w:r w:rsidRPr="00782EC9">
        <w:t xml:space="preserve">  Insofar as its complaint allege</w:t>
      </w:r>
      <w:r w:rsidRPr="00782EC9">
        <w:t>s</w:t>
      </w:r>
      <w:r w:rsidRPr="00782EC9">
        <w:t xml:space="preserve"> a claim for negligence, Musso &amp; Frank’s briefs do not mention that claim</w:t>
      </w:r>
      <w:r>
        <w:t xml:space="preserve">, leaving us to </w:t>
      </w:r>
      <w:r w:rsidRPr="00782EC9">
        <w:t xml:space="preserve">conclude that it </w:t>
      </w:r>
      <w:r w:rsidRPr="00782EC9">
        <w:t>has been abandoned.</w:t>
      </w:r>
    </w:p>
    <w:p w14:paraId="7FD652AC" w14:textId="77777777" w:rsidR="00F33DFE" w:rsidRPr="00782EC9" w:rsidRDefault="0028508A" w:rsidP="005C7C8F">
      <w:pPr>
        <w:pStyle w:val="Heading1"/>
        <w:keepNext w:val="0"/>
        <w:pageBreakBefore/>
      </w:pPr>
      <w:r w:rsidRPr="00782EC9">
        <w:lastRenderedPageBreak/>
        <w:t>DISPOSITI</w:t>
      </w:r>
      <w:r w:rsidRPr="00782EC9">
        <w:t>ON</w:t>
      </w:r>
    </w:p>
    <w:p w14:paraId="5C2E8B97" w14:textId="77777777" w:rsidR="009613C8" w:rsidRDefault="0028508A" w:rsidP="00685776">
      <w:pPr>
        <w:jc w:val="both"/>
        <w:rPr>
          <w:szCs w:val="26"/>
        </w:rPr>
      </w:pPr>
    </w:p>
    <w:p w14:paraId="00AE0A7C" w14:textId="77777777" w:rsidR="00782EC9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  <w:t xml:space="preserve">The judgment is affirmed.  The parties are to </w:t>
      </w:r>
      <w:r>
        <w:rPr>
          <w:szCs w:val="26"/>
        </w:rPr>
        <w:t>bear</w:t>
      </w:r>
      <w:r w:rsidRPr="00782EC9">
        <w:rPr>
          <w:szCs w:val="26"/>
        </w:rPr>
        <w:t xml:space="preserve"> </w:t>
      </w:r>
      <w:r w:rsidRPr="00782EC9">
        <w:rPr>
          <w:szCs w:val="26"/>
        </w:rPr>
        <w:t>their own costs of appeal.</w:t>
      </w:r>
    </w:p>
    <w:p w14:paraId="2FD4D65E" w14:textId="77777777" w:rsidR="00782EC9" w:rsidRPr="00782EC9" w:rsidRDefault="0028508A" w:rsidP="00782EC9">
      <w:pPr>
        <w:jc w:val="both"/>
        <w:rPr>
          <w:szCs w:val="26"/>
        </w:rPr>
      </w:pPr>
    </w:p>
    <w:p w14:paraId="1330AB25" w14:textId="77777777" w:rsidR="00782EC9" w:rsidRPr="00782EC9" w:rsidRDefault="0028508A" w:rsidP="00782EC9">
      <w:pPr>
        <w:jc w:val="both"/>
        <w:rPr>
          <w:szCs w:val="26"/>
        </w:rPr>
      </w:pPr>
      <w:r w:rsidRPr="00782EC9">
        <w:rPr>
          <w:szCs w:val="26"/>
        </w:rPr>
        <w:tab/>
      </w:r>
      <w:r>
        <w:rPr>
          <w:szCs w:val="26"/>
        </w:rPr>
        <w:t>CERTIFIED FOR PUBLICATION</w:t>
      </w:r>
    </w:p>
    <w:p w14:paraId="4D2264FF" w14:textId="77777777" w:rsidR="00782EC9" w:rsidRPr="00782EC9" w:rsidRDefault="0028508A" w:rsidP="00782EC9">
      <w:pPr>
        <w:spacing w:line="240" w:lineRule="auto"/>
        <w:jc w:val="both"/>
        <w:rPr>
          <w:szCs w:val="26"/>
        </w:rPr>
      </w:pPr>
    </w:p>
    <w:p w14:paraId="3B8975D2" w14:textId="77777777" w:rsidR="00782EC9" w:rsidRPr="00782EC9" w:rsidRDefault="0028508A" w:rsidP="00782EC9">
      <w:pPr>
        <w:spacing w:line="240" w:lineRule="auto"/>
        <w:jc w:val="both"/>
        <w:rPr>
          <w:szCs w:val="26"/>
        </w:rPr>
      </w:pPr>
    </w:p>
    <w:p w14:paraId="2379E018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Times New Roman"/>
          <w:szCs w:val="26"/>
        </w:rPr>
      </w:pPr>
      <w:r w:rsidRPr="00782EC9"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</w:r>
      <w:r w:rsidRPr="00782EC9">
        <w:rPr>
          <w:rFonts w:eastAsia="Times New Roman" w:cs="Times New Roman"/>
          <w:szCs w:val="26"/>
        </w:rPr>
        <w:tab/>
        <w:t>VOGEL, J.</w:t>
      </w:r>
      <w:r>
        <w:rPr>
          <w:rFonts w:eastAsia="Times New Roman" w:cs="Times New Roman"/>
          <w:b/>
          <w:position w:val="8"/>
          <w:sz w:val="20"/>
          <w:szCs w:val="26"/>
        </w:rPr>
        <w:footnoteReference w:customMarkFollows="1" w:id="4"/>
        <w:t>*</w:t>
      </w:r>
    </w:p>
    <w:p w14:paraId="1596B44A" w14:textId="77777777" w:rsidR="00782EC9" w:rsidRPr="00782EC9" w:rsidRDefault="0028508A" w:rsidP="00782EC9">
      <w:pPr>
        <w:pStyle w:val="Header"/>
        <w:tabs>
          <w:tab w:val="left" w:pos="720"/>
        </w:tabs>
        <w:textAlignment w:val="baseline"/>
        <w:rPr>
          <w:rFonts w:eastAsia="Times New Roman" w:cs="Times New Roman"/>
          <w:szCs w:val="26"/>
        </w:rPr>
      </w:pPr>
    </w:p>
    <w:p w14:paraId="518F3DDE" w14:textId="77777777" w:rsidR="00782EC9" w:rsidRPr="00782EC9" w:rsidRDefault="0028508A" w:rsidP="00782EC9">
      <w:pPr>
        <w:pStyle w:val="Header"/>
        <w:tabs>
          <w:tab w:val="left" w:pos="720"/>
        </w:tabs>
        <w:textAlignment w:val="baseline"/>
        <w:rPr>
          <w:rFonts w:eastAsia="Times New Roman" w:cs="Times New Roman"/>
          <w:szCs w:val="26"/>
        </w:rPr>
      </w:pPr>
    </w:p>
    <w:p w14:paraId="7F455652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Times New Roman"/>
          <w:szCs w:val="26"/>
        </w:rPr>
      </w:pPr>
      <w:r w:rsidRPr="00782EC9">
        <w:rPr>
          <w:rFonts w:eastAsia="Times New Roman" w:cs="Times New Roman"/>
          <w:szCs w:val="26"/>
        </w:rPr>
        <w:t>We concur:</w:t>
      </w:r>
    </w:p>
    <w:p w14:paraId="220D7E7A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Times New Roman"/>
          <w:szCs w:val="26"/>
        </w:rPr>
      </w:pPr>
    </w:p>
    <w:p w14:paraId="7AB9DD5E" w14:textId="77777777" w:rsidR="00782EC9" w:rsidRPr="00782EC9" w:rsidRDefault="0028508A" w:rsidP="00782EC9">
      <w:pPr>
        <w:pStyle w:val="Header"/>
        <w:tabs>
          <w:tab w:val="left" w:pos="720"/>
        </w:tabs>
        <w:textAlignment w:val="baseline"/>
        <w:rPr>
          <w:rFonts w:eastAsia="Times New Roman" w:cs="Times New Roman"/>
          <w:szCs w:val="26"/>
        </w:rPr>
      </w:pPr>
    </w:p>
    <w:p w14:paraId="476E5130" w14:textId="77777777" w:rsidR="00782EC9" w:rsidRPr="00782EC9" w:rsidRDefault="0028508A" w:rsidP="00782EC9">
      <w:pPr>
        <w:pStyle w:val="Header"/>
        <w:tabs>
          <w:tab w:val="left" w:pos="720"/>
        </w:tabs>
        <w:textAlignment w:val="baseline"/>
        <w:rPr>
          <w:rFonts w:eastAsia="Times New Roman" w:cs="Times New Roman"/>
          <w:szCs w:val="26"/>
        </w:rPr>
      </w:pPr>
    </w:p>
    <w:p w14:paraId="6E2D89F5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Segoe UI"/>
          <w:szCs w:val="26"/>
        </w:rPr>
      </w:pPr>
      <w:r w:rsidRPr="00782EC9">
        <w:rPr>
          <w:rFonts w:eastAsia="Times New Roman" w:cs="Segoe UI"/>
          <w:szCs w:val="26"/>
        </w:rPr>
        <w:tab/>
      </w:r>
      <w:r w:rsidRPr="00782EC9">
        <w:rPr>
          <w:rFonts w:eastAsia="Times New Roman" w:cs="Segoe UI"/>
          <w:szCs w:val="26"/>
        </w:rPr>
        <w:tab/>
        <w:t>ROTHSCHILD, P. J.</w:t>
      </w:r>
    </w:p>
    <w:p w14:paraId="64126EF1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Segoe UI"/>
          <w:szCs w:val="26"/>
        </w:rPr>
      </w:pPr>
    </w:p>
    <w:p w14:paraId="323705F8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Segoe UI"/>
          <w:szCs w:val="26"/>
        </w:rPr>
      </w:pPr>
    </w:p>
    <w:p w14:paraId="03ECBC96" w14:textId="77777777" w:rsidR="00782EC9" w:rsidRPr="00782EC9" w:rsidRDefault="0028508A" w:rsidP="00782EC9">
      <w:pPr>
        <w:spacing w:line="240" w:lineRule="auto"/>
        <w:textAlignment w:val="baseline"/>
        <w:rPr>
          <w:rFonts w:eastAsia="Times New Roman" w:cs="Segoe UI"/>
          <w:szCs w:val="26"/>
        </w:rPr>
      </w:pPr>
    </w:p>
    <w:p w14:paraId="2C0B7087" w14:textId="77777777" w:rsidR="00782EC9" w:rsidRPr="001E718A" w:rsidRDefault="0028508A" w:rsidP="001E718A">
      <w:pPr>
        <w:spacing w:line="240" w:lineRule="auto"/>
        <w:textAlignment w:val="baseline"/>
        <w:rPr>
          <w:rFonts w:eastAsia="Times New Roman" w:cs="Segoe UI"/>
          <w:szCs w:val="26"/>
        </w:rPr>
      </w:pPr>
      <w:r w:rsidRPr="001E718A">
        <w:rPr>
          <w:rFonts w:eastAsia="Times New Roman" w:cs="Segoe UI"/>
          <w:szCs w:val="26"/>
        </w:rPr>
        <w:tab/>
      </w:r>
      <w:r w:rsidRPr="001E718A">
        <w:rPr>
          <w:rFonts w:eastAsia="Times New Roman" w:cs="Segoe UI"/>
          <w:szCs w:val="26"/>
        </w:rPr>
        <w:tab/>
        <w:t>CHANEY, J.</w:t>
      </w:r>
    </w:p>
    <w:sectPr w:rsidR="00782EC9" w:rsidRPr="001E718A" w:rsidSect="00D03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A96" w14:textId="77777777" w:rsidR="00000000" w:rsidRDefault="0028508A">
      <w:pPr>
        <w:spacing w:line="240" w:lineRule="auto"/>
      </w:pPr>
      <w:r>
        <w:separator/>
      </w:r>
    </w:p>
  </w:endnote>
  <w:endnote w:type="continuationSeparator" w:id="0">
    <w:p w14:paraId="6102A516" w14:textId="77777777" w:rsidR="00000000" w:rsidRDefault="00285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874" w14:textId="77777777" w:rsidR="003A54E2" w:rsidRDefault="0028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95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CCCD" w14:textId="77777777" w:rsidR="001E718A" w:rsidRDefault="0028508A" w:rsidP="001E718A">
        <w:pPr>
          <w:pStyle w:val="Footer"/>
          <w:spacing w:line="288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BDB8" w14:textId="77777777" w:rsidR="001E718A" w:rsidRDefault="0028508A" w:rsidP="001E718A">
    <w:pPr>
      <w:pStyle w:val="Footer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C10F" w14:textId="77777777" w:rsidR="00C443B0" w:rsidRDefault="0028508A" w:rsidP="001E718A">
      <w:r>
        <w:separator/>
      </w:r>
    </w:p>
  </w:footnote>
  <w:footnote w:type="continuationSeparator" w:id="0">
    <w:p w14:paraId="3188E3E6" w14:textId="77777777" w:rsidR="00C443B0" w:rsidRDefault="0028508A" w:rsidP="001E718A">
      <w:r>
        <w:continuationSeparator/>
      </w:r>
    </w:p>
  </w:footnote>
  <w:footnote w:type="continuationNotice" w:id="1">
    <w:p w14:paraId="4DCED121" w14:textId="77777777" w:rsidR="00234D4E" w:rsidRDefault="0028508A">
      <w:pPr>
        <w:spacing w:line="240" w:lineRule="auto"/>
      </w:pPr>
    </w:p>
  </w:footnote>
  <w:footnote w:id="2">
    <w:p w14:paraId="14BEDFEE" w14:textId="77777777" w:rsidR="005B1C0A" w:rsidRPr="005A54EB" w:rsidRDefault="0028508A" w:rsidP="001117BA">
      <w:pPr>
        <w:pStyle w:val="FootnoteText"/>
        <w:spacing w:after="120"/>
        <w:jc w:val="both"/>
        <w:rPr>
          <w:sz w:val="26"/>
          <w:szCs w:val="26"/>
        </w:rPr>
      </w:pPr>
      <w:r>
        <w:tab/>
      </w:r>
      <w:r w:rsidRPr="001117BA">
        <w:rPr>
          <w:rStyle w:val="FootnoteReference"/>
          <w:b/>
          <w:position w:val="8"/>
          <w:szCs w:val="26"/>
          <w:vertAlign w:val="baseline"/>
        </w:rPr>
        <w:footnoteRef/>
      </w:r>
      <w:r w:rsidRPr="005B1C0A">
        <w:rPr>
          <w:sz w:val="26"/>
          <w:szCs w:val="26"/>
        </w:rPr>
        <w:t xml:space="preserve"> </w:t>
      </w:r>
      <w:r w:rsidRPr="005B1C0A">
        <w:rPr>
          <w:i/>
          <w:iCs/>
          <w:sz w:val="26"/>
          <w:szCs w:val="26"/>
        </w:rPr>
        <w:t>Farmers Ins. Exchange v. Knopp</w:t>
      </w:r>
      <w:r w:rsidRPr="0095665E">
        <w:rPr>
          <w:sz w:val="26"/>
          <w:szCs w:val="26"/>
        </w:rPr>
        <w:t xml:space="preserve">, </w:t>
      </w:r>
      <w:r w:rsidRPr="005B1C0A">
        <w:rPr>
          <w:i/>
          <w:iCs/>
          <w:sz w:val="26"/>
          <w:szCs w:val="26"/>
        </w:rPr>
        <w:t>supra</w:t>
      </w:r>
      <w:r w:rsidRPr="0095665E">
        <w:rPr>
          <w:sz w:val="26"/>
          <w:szCs w:val="26"/>
        </w:rPr>
        <w:t xml:space="preserve">, </w:t>
      </w:r>
      <w:r w:rsidRPr="005B1C0A">
        <w:rPr>
          <w:sz w:val="26"/>
          <w:szCs w:val="26"/>
        </w:rPr>
        <w:t xml:space="preserve">50 Cal.App.4th at page 1419, </w:t>
      </w:r>
      <w:r>
        <w:rPr>
          <w:sz w:val="26"/>
          <w:szCs w:val="26"/>
        </w:rPr>
        <w:t xml:space="preserve">relied on by Musso &amp; Frank, </w:t>
      </w:r>
      <w:r>
        <w:rPr>
          <w:sz w:val="26"/>
          <w:szCs w:val="26"/>
        </w:rPr>
        <w:t>involved the construction of an exclusionary clause</w:t>
      </w:r>
      <w:r>
        <w:rPr>
          <w:sz w:val="26"/>
          <w:szCs w:val="26"/>
        </w:rPr>
        <w:t xml:space="preserve"> in a policy covering an automobile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As will appear, there are now several cases considering business interr</w:t>
      </w:r>
      <w:r>
        <w:rPr>
          <w:sz w:val="26"/>
          <w:szCs w:val="26"/>
        </w:rPr>
        <w:t>uption policies and their application to closures caused by the pandemic</w:t>
      </w:r>
      <w:r>
        <w:rPr>
          <w:sz w:val="26"/>
          <w:szCs w:val="26"/>
        </w:rPr>
        <w:t xml:space="preserve"> (including one California case</w:t>
      </w:r>
      <w:r>
        <w:rPr>
          <w:sz w:val="26"/>
          <w:szCs w:val="26"/>
        </w:rPr>
        <w:t xml:space="preserve"> and a Ninth Circuit case based on California law</w:t>
      </w:r>
      <w:r>
        <w:rPr>
          <w:sz w:val="26"/>
          <w:szCs w:val="26"/>
        </w:rPr>
        <w:t>)</w:t>
      </w:r>
      <w:r>
        <w:rPr>
          <w:sz w:val="26"/>
          <w:szCs w:val="26"/>
        </w:rPr>
        <w:t>, and those cases are more relevant.</w:t>
      </w:r>
    </w:p>
  </w:footnote>
  <w:footnote w:id="3">
    <w:p w14:paraId="79A157F1" w14:textId="77777777" w:rsidR="00846D44" w:rsidRPr="00B84DFC" w:rsidRDefault="0028508A" w:rsidP="009613C8">
      <w:pPr>
        <w:pStyle w:val="FootnoteText"/>
        <w:spacing w:after="120"/>
        <w:jc w:val="both"/>
        <w:rPr>
          <w:sz w:val="26"/>
          <w:szCs w:val="26"/>
        </w:rPr>
      </w:pPr>
      <w:r w:rsidRPr="00B84DFC">
        <w:rPr>
          <w:sz w:val="26"/>
          <w:szCs w:val="26"/>
        </w:rPr>
        <w:tab/>
      </w:r>
      <w:r w:rsidRPr="009613C8">
        <w:rPr>
          <w:rStyle w:val="FootnoteReference"/>
          <w:b/>
          <w:position w:val="8"/>
          <w:szCs w:val="26"/>
          <w:vertAlign w:val="baseline"/>
        </w:rPr>
        <w:footnoteRef/>
      </w:r>
      <w:r w:rsidRPr="00B84DFC">
        <w:rPr>
          <w:sz w:val="26"/>
          <w:szCs w:val="26"/>
        </w:rPr>
        <w:t xml:space="preserve"> An amicus curiae brief filed on behalf of the American Property Casualty </w:t>
      </w:r>
      <w:r w:rsidRPr="00B84DFC">
        <w:rPr>
          <w:sz w:val="26"/>
          <w:szCs w:val="26"/>
        </w:rPr>
        <w:t>Insurance</w:t>
      </w:r>
      <w:r w:rsidRPr="00B84DFC">
        <w:rPr>
          <w:sz w:val="26"/>
          <w:szCs w:val="26"/>
        </w:rPr>
        <w:t xml:space="preserve"> Association reminds</w:t>
      </w:r>
      <w:r>
        <w:rPr>
          <w:sz w:val="26"/>
          <w:szCs w:val="26"/>
        </w:rPr>
        <w:t xml:space="preserve"> us</w:t>
      </w:r>
      <w:r w:rsidRPr="00B84DFC">
        <w:rPr>
          <w:sz w:val="26"/>
          <w:szCs w:val="26"/>
        </w:rPr>
        <w:t xml:space="preserve"> </w:t>
      </w:r>
      <w:r w:rsidRPr="00B84DFC">
        <w:rPr>
          <w:sz w:val="26"/>
          <w:szCs w:val="26"/>
        </w:rPr>
        <w:t>that insurer</w:t>
      </w:r>
      <w:r>
        <w:rPr>
          <w:sz w:val="26"/>
          <w:szCs w:val="26"/>
        </w:rPr>
        <w:t>s</w:t>
      </w:r>
      <w:r w:rsidRPr="00B84DFC">
        <w:rPr>
          <w:sz w:val="26"/>
          <w:szCs w:val="26"/>
        </w:rPr>
        <w:t xml:space="preserve"> calculate and pool the risks of covered damage to property.  To suddenly add non-physical losses caused by a pandemic would give policy</w:t>
      </w:r>
      <w:r w:rsidRPr="00B84DFC">
        <w:rPr>
          <w:sz w:val="26"/>
          <w:szCs w:val="26"/>
        </w:rPr>
        <w:t>holders more than they bargained for and dramatically affect the insurer</w:t>
      </w:r>
      <w:r w:rsidRPr="00C22725">
        <w:rPr>
          <w:sz w:val="26"/>
          <w:szCs w:val="26"/>
        </w:rPr>
        <w:t>s</w:t>
      </w:r>
      <w:r w:rsidRPr="005813DB">
        <w:rPr>
          <w:sz w:val="26"/>
          <w:szCs w:val="26"/>
        </w:rPr>
        <w:t>’ financial obligations</w:t>
      </w:r>
      <w:r w:rsidRPr="00C22725">
        <w:rPr>
          <w:sz w:val="26"/>
          <w:szCs w:val="26"/>
        </w:rPr>
        <w:t>.  Indeed</w:t>
      </w:r>
      <w:r w:rsidRPr="00A71CFA">
        <w:rPr>
          <w:sz w:val="26"/>
          <w:szCs w:val="26"/>
        </w:rPr>
        <w:t>,</w:t>
      </w:r>
      <w:r w:rsidRPr="00A71CFA">
        <w:rPr>
          <w:sz w:val="26"/>
          <w:szCs w:val="26"/>
        </w:rPr>
        <w:t xml:space="preserve"> the National Association of Insurance Commissioners has exp</w:t>
      </w:r>
      <w:r w:rsidRPr="00C22725">
        <w:rPr>
          <w:sz w:val="26"/>
          <w:szCs w:val="26"/>
        </w:rPr>
        <w:t>l</w:t>
      </w:r>
      <w:r w:rsidRPr="00C22725">
        <w:rPr>
          <w:sz w:val="26"/>
          <w:szCs w:val="26"/>
        </w:rPr>
        <w:t>ained that business interruption policie</w:t>
      </w:r>
      <w:r w:rsidRPr="00B84DFC">
        <w:rPr>
          <w:sz w:val="26"/>
          <w:szCs w:val="26"/>
        </w:rPr>
        <w:t>s were not designed or priced to cover losses fro</w:t>
      </w:r>
      <w:r w:rsidRPr="00B84DFC">
        <w:rPr>
          <w:sz w:val="26"/>
          <w:szCs w:val="26"/>
        </w:rPr>
        <w:t>m a pandemic.  Nation</w:t>
      </w:r>
      <w:r>
        <w:rPr>
          <w:sz w:val="26"/>
          <w:szCs w:val="26"/>
        </w:rPr>
        <w:t>w</w:t>
      </w:r>
      <w:r w:rsidRPr="00B84DFC">
        <w:rPr>
          <w:sz w:val="26"/>
          <w:szCs w:val="26"/>
        </w:rPr>
        <w:t>ide losses from COVID-19 have been estimated at between $255</w:t>
      </w:r>
      <w:r>
        <w:rPr>
          <w:sz w:val="26"/>
          <w:szCs w:val="26"/>
        </w:rPr>
        <w:t xml:space="preserve"> </w:t>
      </w:r>
      <w:r w:rsidRPr="00B84DFC">
        <w:rPr>
          <w:sz w:val="26"/>
          <w:szCs w:val="26"/>
        </w:rPr>
        <w:t xml:space="preserve">billion and $431 billion </w:t>
      </w:r>
      <w:r w:rsidRPr="00B84DFC">
        <w:rPr>
          <w:i/>
          <w:iCs/>
          <w:sz w:val="26"/>
          <w:szCs w:val="26"/>
        </w:rPr>
        <w:t>per month.</w:t>
      </w:r>
    </w:p>
  </w:footnote>
  <w:footnote w:id="4">
    <w:p w14:paraId="3DB7B861" w14:textId="77777777" w:rsidR="00782EC9" w:rsidRDefault="0028508A" w:rsidP="00782EC9">
      <w:pPr>
        <w:pStyle w:val="FootnoteText"/>
        <w:ind w:firstLine="720"/>
        <w:jc w:val="both"/>
        <w:rPr>
          <w:bCs/>
          <w:sz w:val="26"/>
          <w:szCs w:val="26"/>
        </w:rPr>
      </w:pPr>
      <w:r w:rsidRPr="009613C8">
        <w:rPr>
          <w:rStyle w:val="FootnoteReference"/>
          <w:b/>
          <w:position w:val="8"/>
          <w:szCs w:val="26"/>
          <w:vertAlign w:val="baseline"/>
        </w:rPr>
        <w:t>*</w:t>
      </w:r>
      <w:r>
        <w:rPr>
          <w:sz w:val="26"/>
          <w:szCs w:val="26"/>
        </w:rPr>
        <w:t xml:space="preserve"> Retired Associate Justice of the Court of Appeal, Second Appellate District, assigned by the Chief Justice pursuant to article VI, sect</w:t>
      </w:r>
      <w:r>
        <w:rPr>
          <w:sz w:val="26"/>
          <w:szCs w:val="26"/>
        </w:rPr>
        <w:t>ion 6 of the California Constitution.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B5E2" w14:textId="77777777" w:rsidR="003A54E2" w:rsidRDefault="0028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DE0" w14:textId="77777777" w:rsidR="001E718A" w:rsidRDefault="0028508A" w:rsidP="001E718A">
    <w:pPr>
      <w:pStyle w:val="Header"/>
      <w:spacing w:line="28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E5C5" w14:textId="77777777" w:rsidR="001E718A" w:rsidRDefault="0028508A" w:rsidP="001E718A">
    <w:pPr>
      <w:pStyle w:val="Header"/>
      <w:spacing w:line="28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7F"/>
    <w:rsid w:val="0004317F"/>
    <w:rsid w:val="001C6A37"/>
    <w:rsid w:val="0028508A"/>
    <w:rsid w:val="00483C17"/>
    <w:rsid w:val="009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E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88" w:lineRule="auto"/>
    </w:pPr>
    <w:rPr>
      <w:rFonts w:ascii="Century Schoolbook" w:hAnsi="Century Schoolbook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3C8"/>
    <w:pPr>
      <w:keepNext/>
      <w:jc w:val="center"/>
      <w:outlineLvl w:val="0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2D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D63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D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2E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C9"/>
    <w:rPr>
      <w:rFonts w:ascii="Century Schoolbook" w:hAnsi="Century Schoolbook"/>
      <w:sz w:val="26"/>
    </w:rPr>
  </w:style>
  <w:style w:type="paragraph" w:styleId="BodyText">
    <w:name w:val="Body Text"/>
    <w:basedOn w:val="Normal"/>
    <w:link w:val="BodyTextChar"/>
    <w:uiPriority w:val="99"/>
    <w:unhideWhenUsed/>
    <w:rsid w:val="00782EC9"/>
    <w:pPr>
      <w:spacing w:line="360" w:lineRule="auto"/>
      <w:jc w:val="both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82EC9"/>
    <w:rPr>
      <w:rFonts w:ascii="Century Schoolbook" w:hAnsi="Century Schoolbook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82E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40" w:lineRule="exact"/>
    </w:pPr>
    <w:rPr>
      <w:rFonts w:ascii="Arial" w:hAnsi="Arial" w:cs="Arial"/>
      <w:b/>
      <w:b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782EC9"/>
    <w:rPr>
      <w:rFonts w:ascii="Arial" w:hAnsi="Arial" w:cs="Arial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3C8"/>
    <w:rPr>
      <w:rFonts w:ascii="Century Schoolbook" w:hAnsi="Century Schoolbook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E71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A"/>
    <w:rPr>
      <w:rFonts w:ascii="Century Schoolbook" w:hAnsi="Century Schoolbook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5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2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28"/>
    <w:rPr>
      <w:rFonts w:ascii="Century Schoolbook" w:hAnsi="Century Schoolbook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969BB"/>
    <w:pPr>
      <w:keepNext/>
      <w:spacing w:line="240" w:lineRule="auto"/>
    </w:pPr>
    <w:rPr>
      <w:b/>
      <w:bCs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1969BB"/>
    <w:rPr>
      <w:rFonts w:ascii="Century Schoolbook" w:hAnsi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2795</Words>
  <Characters>14456</Characters>
  <Application>Microsoft Office Word</Application>
  <DocSecurity>0</DocSecurity>
  <Lines>347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2022-04-21T19:28:00Z</dcterms:created>
  <dcterms:modified xsi:type="dcterms:W3CDTF">2022-04-21T19:28:00Z</dcterms:modified>
  <cp:category/>
</cp:coreProperties>
</file>