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46E3" w14:textId="78BE9609" w:rsidR="00C61E23" w:rsidRPr="004844D9" w:rsidRDefault="00861473" w:rsidP="00C61E23">
      <w:pPr>
        <w:tabs>
          <w:tab w:val="center" w:pos="3960"/>
          <w:tab w:val="left" w:pos="7893"/>
          <w:tab w:val="right" w:pos="7920"/>
        </w:tabs>
        <w:spacing w:line="240" w:lineRule="auto"/>
        <w:rPr>
          <w:sz w:val="20"/>
          <w:szCs w:val="20"/>
        </w:rPr>
      </w:pPr>
      <w:r w:rsidRPr="004844D9">
        <w:rPr>
          <w:sz w:val="20"/>
          <w:szCs w:val="20"/>
        </w:rPr>
        <w:t>Filed 6/2/</w:t>
      </w:r>
      <w:r w:rsidRPr="004844D9">
        <w:rPr>
          <w:sz w:val="20"/>
          <w:szCs w:val="20"/>
        </w:rPr>
        <w:t>22</w:t>
      </w:r>
    </w:p>
    <w:p w14:paraId="339E4BC8" w14:textId="77777777" w:rsidR="00E45CA6" w:rsidRPr="009537DB" w:rsidRDefault="00861473" w:rsidP="00E45CA6">
      <w:pPr>
        <w:spacing w:line="240" w:lineRule="auto"/>
        <w:jc w:val="center"/>
        <w:rPr>
          <w:b/>
          <w:u w:val="single"/>
        </w:rPr>
      </w:pPr>
      <w:r w:rsidRPr="009537DB">
        <w:rPr>
          <w:b/>
          <w:u w:val="single"/>
        </w:rPr>
        <w:t>CERTIFIED FOR PUBLICATION</w:t>
      </w:r>
    </w:p>
    <w:p w14:paraId="5ACDFEE9" w14:textId="77777777" w:rsidR="000C26AA" w:rsidRPr="00140718" w:rsidRDefault="00861473" w:rsidP="000C26AA">
      <w:pPr>
        <w:spacing w:line="240" w:lineRule="auto"/>
        <w:jc w:val="center"/>
        <w:rPr>
          <w:szCs w:val="26"/>
        </w:rPr>
      </w:pPr>
    </w:p>
    <w:p w14:paraId="2BB926E2" w14:textId="77777777" w:rsidR="000C26AA" w:rsidRPr="00140718" w:rsidRDefault="00861473" w:rsidP="000C26AA">
      <w:pPr>
        <w:spacing w:line="240" w:lineRule="auto"/>
        <w:jc w:val="center"/>
        <w:rPr>
          <w:szCs w:val="26"/>
        </w:rPr>
      </w:pPr>
      <w:r w:rsidRPr="00140718">
        <w:rPr>
          <w:szCs w:val="26"/>
        </w:rPr>
        <w:t>IN THE COURT OF APPEAL OF THE STATE OF CALIFORNIA</w:t>
      </w:r>
    </w:p>
    <w:p w14:paraId="791577B3" w14:textId="77777777" w:rsidR="000C26AA" w:rsidRPr="00140718" w:rsidRDefault="00861473" w:rsidP="000C26AA">
      <w:pPr>
        <w:spacing w:line="240" w:lineRule="auto"/>
        <w:jc w:val="center"/>
        <w:rPr>
          <w:szCs w:val="26"/>
        </w:rPr>
      </w:pPr>
    </w:p>
    <w:p w14:paraId="479E18CB" w14:textId="77777777" w:rsidR="000C26AA" w:rsidRPr="00140718" w:rsidRDefault="00861473" w:rsidP="000C26AA">
      <w:pPr>
        <w:spacing w:line="240" w:lineRule="auto"/>
        <w:jc w:val="center"/>
        <w:rPr>
          <w:szCs w:val="26"/>
        </w:rPr>
      </w:pPr>
      <w:r w:rsidRPr="00140718">
        <w:rPr>
          <w:szCs w:val="26"/>
        </w:rPr>
        <w:t>SECOND APPELLATE DISTRICT</w:t>
      </w:r>
    </w:p>
    <w:p w14:paraId="172A0CE0" w14:textId="77777777" w:rsidR="000C26AA" w:rsidRPr="00140718" w:rsidRDefault="00861473" w:rsidP="000C26AA">
      <w:pPr>
        <w:spacing w:line="240" w:lineRule="auto"/>
        <w:jc w:val="center"/>
        <w:rPr>
          <w:szCs w:val="26"/>
        </w:rPr>
      </w:pPr>
    </w:p>
    <w:p w14:paraId="433C9AC8" w14:textId="77777777" w:rsidR="000C26AA" w:rsidRPr="00140718" w:rsidRDefault="00861473" w:rsidP="000C26AA">
      <w:pPr>
        <w:spacing w:line="240" w:lineRule="auto"/>
        <w:jc w:val="center"/>
        <w:rPr>
          <w:szCs w:val="26"/>
        </w:rPr>
      </w:pPr>
      <w:r w:rsidRPr="00140718">
        <w:rPr>
          <w:szCs w:val="26"/>
        </w:rPr>
        <w:t>DIVISION SEVEN</w:t>
      </w:r>
    </w:p>
    <w:p w14:paraId="070AC759" w14:textId="77777777" w:rsidR="000C26AA" w:rsidRPr="00140718" w:rsidRDefault="00861473" w:rsidP="009E0295">
      <w:pPr>
        <w:spacing w:line="240" w:lineRule="auto"/>
        <w:rPr>
          <w:szCs w:val="26"/>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626"/>
      </w:tblGrid>
      <w:tr w:rsidR="00BE3E09" w14:paraId="3562402A" w14:textId="77777777" w:rsidTr="006A4B9B">
        <w:tc>
          <w:tcPr>
            <w:tcW w:w="4230" w:type="dxa"/>
            <w:tcBorders>
              <w:top w:val="nil"/>
              <w:left w:val="nil"/>
            </w:tcBorders>
          </w:tcPr>
          <w:p w14:paraId="438E48E5" w14:textId="77777777" w:rsidR="009E0295" w:rsidRPr="00140718" w:rsidRDefault="00861473" w:rsidP="00DF0B2E">
            <w:pPr>
              <w:spacing w:line="240" w:lineRule="auto"/>
              <w:rPr>
                <w:szCs w:val="26"/>
              </w:rPr>
            </w:pPr>
            <w:r>
              <w:rPr>
                <w:szCs w:val="26"/>
              </w:rPr>
              <w:t>REHAN NAZIR</w:t>
            </w:r>
            <w:r w:rsidRPr="00140718">
              <w:rPr>
                <w:szCs w:val="26"/>
              </w:rPr>
              <w:t>,</w:t>
            </w:r>
          </w:p>
          <w:p w14:paraId="448F4F6F" w14:textId="77777777" w:rsidR="009E0295" w:rsidRPr="00140718" w:rsidRDefault="00861473" w:rsidP="00DF0B2E">
            <w:pPr>
              <w:spacing w:line="240" w:lineRule="auto"/>
              <w:rPr>
                <w:szCs w:val="26"/>
              </w:rPr>
            </w:pPr>
          </w:p>
          <w:p w14:paraId="48E731C9" w14:textId="77777777" w:rsidR="009E0295" w:rsidRPr="00140718" w:rsidRDefault="00861473" w:rsidP="00DF0B2E">
            <w:pPr>
              <w:spacing w:line="240" w:lineRule="auto"/>
              <w:ind w:left="720" w:hanging="720"/>
              <w:rPr>
                <w:szCs w:val="26"/>
              </w:rPr>
            </w:pPr>
            <w:r w:rsidRPr="00140718">
              <w:rPr>
                <w:szCs w:val="26"/>
              </w:rPr>
              <w:tab/>
            </w:r>
            <w:r>
              <w:rPr>
                <w:szCs w:val="26"/>
              </w:rPr>
              <w:t>Petitioner</w:t>
            </w:r>
            <w:r>
              <w:rPr>
                <w:szCs w:val="26"/>
              </w:rPr>
              <w:t>,</w:t>
            </w:r>
          </w:p>
          <w:p w14:paraId="686DCB67" w14:textId="77777777" w:rsidR="009E0295" w:rsidRPr="00140718" w:rsidRDefault="00861473" w:rsidP="00DF0B2E">
            <w:pPr>
              <w:spacing w:line="240" w:lineRule="auto"/>
              <w:ind w:left="720" w:hanging="720"/>
              <w:rPr>
                <w:szCs w:val="26"/>
              </w:rPr>
            </w:pPr>
          </w:p>
          <w:p w14:paraId="57211106" w14:textId="77777777" w:rsidR="009E0295" w:rsidRPr="00140718" w:rsidRDefault="00861473" w:rsidP="00DF0B2E">
            <w:pPr>
              <w:spacing w:line="240" w:lineRule="auto"/>
              <w:ind w:left="720" w:hanging="720"/>
              <w:rPr>
                <w:szCs w:val="26"/>
              </w:rPr>
            </w:pPr>
            <w:r w:rsidRPr="00140718">
              <w:rPr>
                <w:szCs w:val="26"/>
              </w:rPr>
              <w:tab/>
              <w:t>v.</w:t>
            </w:r>
          </w:p>
          <w:p w14:paraId="2A96EE85" w14:textId="77777777" w:rsidR="009E0295" w:rsidRPr="00140718" w:rsidRDefault="00861473" w:rsidP="00DF0B2E">
            <w:pPr>
              <w:spacing w:line="240" w:lineRule="auto"/>
              <w:ind w:left="720" w:hanging="720"/>
              <w:rPr>
                <w:szCs w:val="26"/>
              </w:rPr>
            </w:pPr>
          </w:p>
          <w:p w14:paraId="7B4927E6" w14:textId="77777777" w:rsidR="009E0295" w:rsidRPr="00140718" w:rsidRDefault="00861473" w:rsidP="00C63DC8">
            <w:pPr>
              <w:spacing w:line="240" w:lineRule="auto"/>
              <w:rPr>
                <w:szCs w:val="26"/>
              </w:rPr>
            </w:pPr>
            <w:r w:rsidRPr="00E15121">
              <w:rPr>
                <w:bCs/>
                <w:szCs w:val="26"/>
              </w:rPr>
              <w:t>THE SUPERIOR COURT OF LOS ANGELES COUNTY</w:t>
            </w:r>
            <w:r>
              <w:rPr>
                <w:szCs w:val="26"/>
              </w:rPr>
              <w:t>,</w:t>
            </w:r>
            <w:r w:rsidRPr="00140718">
              <w:rPr>
                <w:szCs w:val="26"/>
              </w:rPr>
              <w:t xml:space="preserve"> </w:t>
            </w:r>
          </w:p>
          <w:p w14:paraId="408C9C9D" w14:textId="77777777" w:rsidR="009E0295" w:rsidRPr="00140718" w:rsidRDefault="00861473" w:rsidP="00DF0B2E">
            <w:pPr>
              <w:spacing w:line="240" w:lineRule="auto"/>
              <w:ind w:left="720" w:hanging="720"/>
              <w:rPr>
                <w:szCs w:val="26"/>
              </w:rPr>
            </w:pPr>
          </w:p>
          <w:p w14:paraId="6D6108D3" w14:textId="77777777" w:rsidR="009E0295" w:rsidRDefault="00861473" w:rsidP="000F0E51">
            <w:pPr>
              <w:spacing w:line="240" w:lineRule="auto"/>
              <w:ind w:firstLine="720"/>
              <w:rPr>
                <w:szCs w:val="26"/>
              </w:rPr>
            </w:pPr>
            <w:r>
              <w:rPr>
                <w:szCs w:val="26"/>
              </w:rPr>
              <w:t>Respondent</w:t>
            </w:r>
            <w:r>
              <w:rPr>
                <w:szCs w:val="26"/>
              </w:rPr>
              <w:t>;</w:t>
            </w:r>
          </w:p>
          <w:p w14:paraId="3E9C8608" w14:textId="77777777" w:rsidR="000F0E51" w:rsidRDefault="00861473" w:rsidP="00DF0B2E">
            <w:pPr>
              <w:spacing w:line="240" w:lineRule="auto"/>
              <w:ind w:left="720" w:hanging="720"/>
              <w:rPr>
                <w:szCs w:val="26"/>
              </w:rPr>
            </w:pPr>
          </w:p>
          <w:p w14:paraId="15CEB2A8" w14:textId="77777777" w:rsidR="000F0E51" w:rsidRDefault="00861473" w:rsidP="000F0E51">
            <w:pPr>
              <w:spacing w:line="240" w:lineRule="auto"/>
              <w:rPr>
                <w:szCs w:val="26"/>
              </w:rPr>
            </w:pPr>
            <w:r>
              <w:rPr>
                <w:szCs w:val="26"/>
              </w:rPr>
              <w:t>THE PEOPLE,</w:t>
            </w:r>
          </w:p>
          <w:p w14:paraId="35A89107" w14:textId="77777777" w:rsidR="000F0E51" w:rsidRDefault="00861473" w:rsidP="00DF0B2E">
            <w:pPr>
              <w:spacing w:line="240" w:lineRule="auto"/>
              <w:ind w:left="720" w:hanging="720"/>
              <w:rPr>
                <w:szCs w:val="26"/>
              </w:rPr>
            </w:pPr>
          </w:p>
          <w:p w14:paraId="1ED083A6" w14:textId="77777777" w:rsidR="000F0E51" w:rsidRPr="00140718" w:rsidRDefault="00861473" w:rsidP="000F0E51">
            <w:pPr>
              <w:spacing w:line="240" w:lineRule="auto"/>
              <w:ind w:firstLine="720"/>
              <w:rPr>
                <w:szCs w:val="26"/>
              </w:rPr>
            </w:pPr>
            <w:r>
              <w:rPr>
                <w:szCs w:val="26"/>
              </w:rPr>
              <w:t>Real Part</w:t>
            </w:r>
            <w:r>
              <w:rPr>
                <w:szCs w:val="26"/>
              </w:rPr>
              <w:t>y</w:t>
            </w:r>
            <w:r>
              <w:rPr>
                <w:szCs w:val="26"/>
              </w:rPr>
              <w:t xml:space="preserve"> in Interest.</w:t>
            </w:r>
          </w:p>
          <w:p w14:paraId="4057436F" w14:textId="77777777" w:rsidR="00C63DC8" w:rsidRPr="00140718" w:rsidRDefault="00861473" w:rsidP="00CB12F0">
            <w:pPr>
              <w:spacing w:line="240" w:lineRule="auto"/>
              <w:ind w:left="720" w:hanging="720"/>
              <w:rPr>
                <w:szCs w:val="26"/>
              </w:rPr>
            </w:pPr>
          </w:p>
        </w:tc>
        <w:tc>
          <w:tcPr>
            <w:tcW w:w="4626" w:type="dxa"/>
            <w:tcBorders>
              <w:top w:val="nil"/>
              <w:bottom w:val="nil"/>
              <w:right w:val="nil"/>
            </w:tcBorders>
          </w:tcPr>
          <w:p w14:paraId="6EC2C1C7" w14:textId="77777777" w:rsidR="009E0295" w:rsidRPr="00E15121" w:rsidRDefault="00861473" w:rsidP="006A4B9B">
            <w:pPr>
              <w:spacing w:line="240" w:lineRule="auto"/>
              <w:ind w:left="288"/>
              <w:rPr>
                <w:bCs/>
                <w:szCs w:val="26"/>
              </w:rPr>
            </w:pPr>
            <w:r w:rsidRPr="00E15121">
              <w:rPr>
                <w:bCs/>
                <w:szCs w:val="26"/>
              </w:rPr>
              <w:t>B310806</w:t>
            </w:r>
          </w:p>
          <w:p w14:paraId="4090E1EF" w14:textId="77777777" w:rsidR="009E0295" w:rsidRPr="00140718" w:rsidRDefault="00861473" w:rsidP="000F0E51">
            <w:pPr>
              <w:spacing w:line="240" w:lineRule="auto"/>
              <w:ind w:left="76"/>
              <w:rPr>
                <w:szCs w:val="26"/>
              </w:rPr>
            </w:pPr>
          </w:p>
          <w:p w14:paraId="1138645F" w14:textId="77777777" w:rsidR="000F0E51" w:rsidRDefault="00861473" w:rsidP="006A4B9B">
            <w:pPr>
              <w:spacing w:line="240" w:lineRule="auto"/>
              <w:ind w:left="288"/>
              <w:rPr>
                <w:szCs w:val="26"/>
              </w:rPr>
            </w:pPr>
            <w:r>
              <w:rPr>
                <w:szCs w:val="26"/>
              </w:rPr>
              <w:t>(Los Angeles County</w:t>
            </w:r>
          </w:p>
          <w:p w14:paraId="3B6F3C1F" w14:textId="77777777" w:rsidR="009E0295" w:rsidRPr="00140718" w:rsidRDefault="00861473" w:rsidP="006A4B9B">
            <w:pPr>
              <w:spacing w:line="240" w:lineRule="auto"/>
              <w:ind w:left="288"/>
              <w:rPr>
                <w:szCs w:val="26"/>
              </w:rPr>
            </w:pPr>
            <w:r w:rsidRPr="00140718">
              <w:rPr>
                <w:szCs w:val="26"/>
              </w:rPr>
              <w:t xml:space="preserve">Super. Ct. No. </w:t>
            </w:r>
            <w:r w:rsidRPr="00E15121">
              <w:rPr>
                <w:bCs/>
                <w:szCs w:val="26"/>
              </w:rPr>
              <w:t>VA151320</w:t>
            </w:r>
            <w:r w:rsidRPr="00140718">
              <w:rPr>
                <w:szCs w:val="26"/>
              </w:rPr>
              <w:t>)</w:t>
            </w:r>
          </w:p>
        </w:tc>
      </w:tr>
    </w:tbl>
    <w:p w14:paraId="15444900" w14:textId="77777777" w:rsidR="000C26AA" w:rsidRPr="00140718" w:rsidRDefault="00861473" w:rsidP="000C26AA">
      <w:pPr>
        <w:spacing w:line="120" w:lineRule="auto"/>
        <w:rPr>
          <w:szCs w:val="26"/>
        </w:rPr>
      </w:pPr>
    </w:p>
    <w:p w14:paraId="77B1523F" w14:textId="77777777" w:rsidR="00CB12F0" w:rsidRDefault="00861473" w:rsidP="00F97547">
      <w:pPr>
        <w:spacing w:line="240" w:lineRule="auto"/>
        <w:ind w:firstLine="720"/>
        <w:rPr>
          <w:szCs w:val="26"/>
        </w:rPr>
      </w:pPr>
    </w:p>
    <w:p w14:paraId="68AD4580" w14:textId="77777777" w:rsidR="009E0295" w:rsidRPr="00140718" w:rsidRDefault="00861473" w:rsidP="009E0295">
      <w:pPr>
        <w:ind w:firstLine="720"/>
        <w:rPr>
          <w:szCs w:val="26"/>
        </w:rPr>
      </w:pPr>
      <w:r w:rsidRPr="00E15121">
        <w:rPr>
          <w:bCs/>
          <w:szCs w:val="26"/>
        </w:rPr>
        <w:t xml:space="preserve">ORIGINAL PROCEEDINGS in mandate.  </w:t>
      </w:r>
      <w:r w:rsidRPr="00140718">
        <w:rPr>
          <w:szCs w:val="26"/>
        </w:rPr>
        <w:t xml:space="preserve">Superior Court of Los Angeles County, </w:t>
      </w:r>
      <w:r w:rsidRPr="00E15121">
        <w:rPr>
          <w:bCs/>
          <w:szCs w:val="26"/>
        </w:rPr>
        <w:t>Lee W. Tsao</w:t>
      </w:r>
      <w:r w:rsidRPr="00140718">
        <w:rPr>
          <w:szCs w:val="26"/>
        </w:rPr>
        <w:t xml:space="preserve">, </w:t>
      </w:r>
      <w:r w:rsidRPr="00140718">
        <w:rPr>
          <w:szCs w:val="26"/>
        </w:rPr>
        <w:t>Judge</w:t>
      </w:r>
      <w:r>
        <w:rPr>
          <w:szCs w:val="26"/>
        </w:rPr>
        <w:t xml:space="preserve">.  </w:t>
      </w:r>
      <w:r w:rsidRPr="00E15121">
        <w:rPr>
          <w:bCs/>
          <w:szCs w:val="26"/>
        </w:rPr>
        <w:t>Petition granted.</w:t>
      </w:r>
    </w:p>
    <w:p w14:paraId="5A504133" w14:textId="77777777" w:rsidR="000C26AA" w:rsidRDefault="00861473" w:rsidP="009E0295">
      <w:pPr>
        <w:ind w:firstLine="720"/>
        <w:rPr>
          <w:szCs w:val="26"/>
        </w:rPr>
      </w:pPr>
      <w:r>
        <w:rPr>
          <w:szCs w:val="26"/>
        </w:rPr>
        <w:t>Okabe &amp; Haushalter, Mark Haushalter and Joe Weimortz</w:t>
      </w:r>
      <w:r>
        <w:rPr>
          <w:szCs w:val="26"/>
        </w:rPr>
        <w:t xml:space="preserve">; Kravis, Graham &amp; Zucker, Bruce Zucker and </w:t>
      </w:r>
      <w:r>
        <w:rPr>
          <w:szCs w:val="26"/>
        </w:rPr>
        <w:t xml:space="preserve">Thomas </w:t>
      </w:r>
      <w:r>
        <w:rPr>
          <w:szCs w:val="26"/>
        </w:rPr>
        <w:t xml:space="preserve">Ian Graham </w:t>
      </w:r>
      <w:r>
        <w:rPr>
          <w:szCs w:val="26"/>
        </w:rPr>
        <w:t>for</w:t>
      </w:r>
      <w:r>
        <w:rPr>
          <w:szCs w:val="26"/>
        </w:rPr>
        <w:t xml:space="preserve"> </w:t>
      </w:r>
      <w:r>
        <w:rPr>
          <w:szCs w:val="26"/>
        </w:rPr>
        <w:t>Petitioner</w:t>
      </w:r>
      <w:r>
        <w:rPr>
          <w:szCs w:val="26"/>
        </w:rPr>
        <w:t>.</w:t>
      </w:r>
    </w:p>
    <w:p w14:paraId="53E22B7A" w14:textId="77777777" w:rsidR="001F256A" w:rsidRDefault="00861473" w:rsidP="009E0295">
      <w:pPr>
        <w:ind w:firstLine="720"/>
        <w:rPr>
          <w:szCs w:val="26"/>
        </w:rPr>
      </w:pPr>
      <w:r>
        <w:rPr>
          <w:szCs w:val="26"/>
        </w:rPr>
        <w:t>Rob Bonta</w:t>
      </w:r>
      <w:r w:rsidRPr="00195687">
        <w:rPr>
          <w:szCs w:val="26"/>
        </w:rPr>
        <w:t xml:space="preserve">, Attorney General, Lance E. Winters, Chief Assistant Attorney General, Susan Sullivan Pithey, Senior Assistant Attorney General, </w:t>
      </w:r>
      <w:r>
        <w:rPr>
          <w:szCs w:val="26"/>
        </w:rPr>
        <w:t>Michael R. Johns</w:t>
      </w:r>
      <w:r>
        <w:rPr>
          <w:szCs w:val="26"/>
        </w:rPr>
        <w:t>en</w:t>
      </w:r>
      <w:r>
        <w:rPr>
          <w:szCs w:val="26"/>
        </w:rPr>
        <w:t xml:space="preserve">, Supervising Deputy </w:t>
      </w:r>
      <w:r>
        <w:rPr>
          <w:szCs w:val="26"/>
        </w:rPr>
        <w:t xml:space="preserve">Attorney General, </w:t>
      </w:r>
      <w:r w:rsidRPr="00195687">
        <w:rPr>
          <w:szCs w:val="26"/>
        </w:rPr>
        <w:t xml:space="preserve">and </w:t>
      </w:r>
      <w:r>
        <w:rPr>
          <w:szCs w:val="26"/>
        </w:rPr>
        <w:t>Blythe J. Leszkay</w:t>
      </w:r>
      <w:r w:rsidRPr="00195687">
        <w:rPr>
          <w:szCs w:val="26"/>
        </w:rPr>
        <w:t xml:space="preserve">, Deputy </w:t>
      </w:r>
      <w:r w:rsidRPr="00195687">
        <w:rPr>
          <w:szCs w:val="26"/>
        </w:rPr>
        <w:lastRenderedPageBreak/>
        <w:t>Attorney General</w:t>
      </w:r>
      <w:r>
        <w:rPr>
          <w:szCs w:val="26"/>
        </w:rPr>
        <w:t xml:space="preserve"> as Amicus Curiae on behalf of Petitioner and Real Party in Interest.</w:t>
      </w:r>
    </w:p>
    <w:p w14:paraId="26AABB04" w14:textId="77777777" w:rsidR="00C204BA" w:rsidRDefault="00861473" w:rsidP="009E0295">
      <w:pPr>
        <w:ind w:firstLine="720"/>
        <w:rPr>
          <w:szCs w:val="26"/>
        </w:rPr>
      </w:pPr>
      <w:r>
        <w:rPr>
          <w:szCs w:val="26"/>
        </w:rPr>
        <w:t>Claudia Y. Bautista</w:t>
      </w:r>
      <w:r>
        <w:rPr>
          <w:szCs w:val="26"/>
        </w:rPr>
        <w:t>, Public Defender</w:t>
      </w:r>
      <w:r>
        <w:rPr>
          <w:szCs w:val="26"/>
        </w:rPr>
        <w:t xml:space="preserve"> (Ventura)</w:t>
      </w:r>
      <w:r>
        <w:rPr>
          <w:szCs w:val="26"/>
        </w:rPr>
        <w:t>,</w:t>
      </w:r>
      <w:r>
        <w:rPr>
          <w:szCs w:val="26"/>
        </w:rPr>
        <w:t xml:space="preserve"> and M</w:t>
      </w:r>
      <w:r>
        <w:rPr>
          <w:szCs w:val="26"/>
        </w:rPr>
        <w:t>i</w:t>
      </w:r>
      <w:r>
        <w:rPr>
          <w:szCs w:val="26"/>
        </w:rPr>
        <w:t>chael C. McMahon</w:t>
      </w:r>
      <w:r>
        <w:rPr>
          <w:szCs w:val="26"/>
        </w:rPr>
        <w:t>, Senior Deputy Public Defender for California Publi</w:t>
      </w:r>
      <w:r>
        <w:rPr>
          <w:szCs w:val="26"/>
        </w:rPr>
        <w:t>c Defenders Association and Claudia Y. Bautista, Public Defender</w:t>
      </w:r>
      <w:r>
        <w:rPr>
          <w:szCs w:val="26"/>
        </w:rPr>
        <w:t>,</w:t>
      </w:r>
      <w:r>
        <w:rPr>
          <w:szCs w:val="26"/>
        </w:rPr>
        <w:t xml:space="preserve"> as Amicus Curiae on behalf of Petitioner.</w:t>
      </w:r>
    </w:p>
    <w:p w14:paraId="7ED55E2B" w14:textId="77777777" w:rsidR="00CA19EA" w:rsidRDefault="00861473" w:rsidP="00CA19EA">
      <w:pPr>
        <w:ind w:firstLine="720"/>
        <w:rPr>
          <w:szCs w:val="26"/>
        </w:rPr>
      </w:pPr>
      <w:r>
        <w:rPr>
          <w:szCs w:val="26"/>
        </w:rPr>
        <w:t>Michael Romano, Erwin Chemerinsky, and Miriam Krinsky for 76 Current and Former Elected Prosecutors and Attorneys General as Amicus Curiae on behalf</w:t>
      </w:r>
      <w:r>
        <w:rPr>
          <w:szCs w:val="26"/>
        </w:rPr>
        <w:t xml:space="preserve"> of Petitioner.</w:t>
      </w:r>
    </w:p>
    <w:p w14:paraId="5A8A9008" w14:textId="77777777" w:rsidR="00E15121" w:rsidRDefault="00861473" w:rsidP="009E0295">
      <w:pPr>
        <w:ind w:firstLine="720"/>
        <w:rPr>
          <w:szCs w:val="26"/>
        </w:rPr>
      </w:pPr>
      <w:r>
        <w:rPr>
          <w:szCs w:val="26"/>
        </w:rPr>
        <w:t>Frederick R. Bennett for Respondent.</w:t>
      </w:r>
    </w:p>
    <w:p w14:paraId="10C458DA" w14:textId="77777777" w:rsidR="001F256A" w:rsidRDefault="00861473" w:rsidP="009E0295">
      <w:pPr>
        <w:ind w:firstLine="720"/>
        <w:rPr>
          <w:szCs w:val="26"/>
        </w:rPr>
      </w:pPr>
      <w:r>
        <w:rPr>
          <w:szCs w:val="26"/>
        </w:rPr>
        <w:t>Browne George Ro</w:t>
      </w:r>
      <w:r>
        <w:rPr>
          <w:szCs w:val="26"/>
        </w:rPr>
        <w:t xml:space="preserve">ss O’Brien Annaguey &amp; Ellis, </w:t>
      </w:r>
      <w:r>
        <w:rPr>
          <w:szCs w:val="26"/>
        </w:rPr>
        <w:t>Eric M. George</w:t>
      </w:r>
      <w:r>
        <w:rPr>
          <w:szCs w:val="26"/>
        </w:rPr>
        <w:t>, Thomas P. O’Brien, Nathan J. Hochman, David J. Carroll, and Matthew O. Kussman</w:t>
      </w:r>
      <w:r>
        <w:rPr>
          <w:szCs w:val="26"/>
        </w:rPr>
        <w:t xml:space="preserve"> </w:t>
      </w:r>
      <w:r>
        <w:rPr>
          <w:szCs w:val="26"/>
        </w:rPr>
        <w:t>for Association of Deputy District Attorneys for Los Angeles Co</w:t>
      </w:r>
      <w:r>
        <w:rPr>
          <w:szCs w:val="26"/>
        </w:rPr>
        <w:t xml:space="preserve">unty </w:t>
      </w:r>
      <w:r>
        <w:rPr>
          <w:szCs w:val="26"/>
        </w:rPr>
        <w:t>as Amicus Curiae on behalf of Respondent.</w:t>
      </w:r>
    </w:p>
    <w:p w14:paraId="579163C8" w14:textId="77777777" w:rsidR="00C204BA" w:rsidRDefault="00861473" w:rsidP="009E0295">
      <w:pPr>
        <w:ind w:firstLine="720"/>
        <w:rPr>
          <w:szCs w:val="26"/>
        </w:rPr>
      </w:pPr>
      <w:r>
        <w:rPr>
          <w:szCs w:val="26"/>
        </w:rPr>
        <w:t xml:space="preserve">Greg D. Totten and Robert </w:t>
      </w:r>
      <w:r>
        <w:rPr>
          <w:szCs w:val="26"/>
        </w:rPr>
        <w:t>P. </w:t>
      </w:r>
      <w:r>
        <w:rPr>
          <w:szCs w:val="26"/>
        </w:rPr>
        <w:t>Brown</w:t>
      </w:r>
      <w:r>
        <w:rPr>
          <w:szCs w:val="26"/>
        </w:rPr>
        <w:t>, Chief Deputy District Attorney (San Bernardino)</w:t>
      </w:r>
      <w:r>
        <w:rPr>
          <w:szCs w:val="26"/>
        </w:rPr>
        <w:t xml:space="preserve"> for California District Attorneys Association as Amicus Curiae on behalf of Respondent.</w:t>
      </w:r>
    </w:p>
    <w:p w14:paraId="7FADDF85" w14:textId="77777777" w:rsidR="00953F8A" w:rsidRDefault="00861473" w:rsidP="009E0295">
      <w:pPr>
        <w:ind w:firstLine="720"/>
        <w:rPr>
          <w:szCs w:val="26"/>
        </w:rPr>
      </w:pPr>
      <w:r>
        <w:rPr>
          <w:szCs w:val="26"/>
        </w:rPr>
        <w:t xml:space="preserve">Kent S. Scheidegger and Kymberlee C. </w:t>
      </w:r>
      <w:r>
        <w:rPr>
          <w:szCs w:val="26"/>
        </w:rPr>
        <w:t>Stapleton for Criminal Justice Legal Foundation as Amicus Curiae on behalf of Respondent.</w:t>
      </w:r>
    </w:p>
    <w:p w14:paraId="4C64F8C9" w14:textId="77777777" w:rsidR="00E15121" w:rsidRDefault="00861473" w:rsidP="009E0295">
      <w:pPr>
        <w:ind w:firstLine="720"/>
        <w:rPr>
          <w:szCs w:val="26"/>
        </w:rPr>
      </w:pPr>
      <w:r>
        <w:rPr>
          <w:szCs w:val="26"/>
        </w:rPr>
        <w:t xml:space="preserve">George Gascón, District Attorney, Diana M. Teran, Deputy District Attorney; </w:t>
      </w:r>
      <w:r>
        <w:rPr>
          <w:szCs w:val="26"/>
        </w:rPr>
        <w:t>Hogan Lovells, Stephanie Yonekura, Neal Kumar Katyal, Jo-Ann Tamila Sagar, and Danielle De</w:t>
      </w:r>
      <w:r>
        <w:rPr>
          <w:szCs w:val="26"/>
        </w:rPr>
        <w:t>saulniers Stemp</w:t>
      </w:r>
      <w:r>
        <w:rPr>
          <w:szCs w:val="26"/>
        </w:rPr>
        <w:t>el for Real Party in Interest.</w:t>
      </w:r>
    </w:p>
    <w:p w14:paraId="58A92071" w14:textId="77777777" w:rsidR="007A764D" w:rsidRDefault="00861473" w:rsidP="00A55AAB">
      <w:pPr>
        <w:ind w:firstLine="720"/>
        <w:rPr>
          <w:szCs w:val="26"/>
        </w:rPr>
      </w:pPr>
    </w:p>
    <w:p w14:paraId="6B4E7EB1" w14:textId="77777777" w:rsidR="00C13A27" w:rsidRPr="003D3B60" w:rsidRDefault="00861473" w:rsidP="003D3B60">
      <w:pPr>
        <w:ind w:firstLine="720"/>
        <w:jc w:val="center"/>
        <w:rPr>
          <w:szCs w:val="26"/>
        </w:rPr>
      </w:pPr>
      <w:r>
        <w:rPr>
          <w:szCs w:val="26"/>
        </w:rPr>
        <w:t>_____________________________</w:t>
      </w:r>
    </w:p>
    <w:p w14:paraId="3D5F3EDE" w14:textId="77777777" w:rsidR="00A55AAB" w:rsidRPr="00A55AAB" w:rsidRDefault="00861473" w:rsidP="00521C0A">
      <w:pPr>
        <w:keepNext/>
        <w:jc w:val="center"/>
        <w:rPr>
          <w:b/>
          <w:szCs w:val="26"/>
        </w:rPr>
      </w:pPr>
      <w:r w:rsidRPr="00A55AAB">
        <w:rPr>
          <w:b/>
          <w:szCs w:val="26"/>
        </w:rPr>
        <w:lastRenderedPageBreak/>
        <w:t>INTRODUCTION</w:t>
      </w:r>
    </w:p>
    <w:p w14:paraId="09FB9A27" w14:textId="77777777" w:rsidR="000C26AA" w:rsidRPr="00140718" w:rsidRDefault="00861473" w:rsidP="00521C0A">
      <w:pPr>
        <w:keepNext/>
        <w:jc w:val="center"/>
        <w:rPr>
          <w:b/>
          <w:szCs w:val="26"/>
        </w:rPr>
      </w:pPr>
    </w:p>
    <w:p w14:paraId="145572EF" w14:textId="77777777" w:rsidR="003639AC" w:rsidRDefault="00861473" w:rsidP="00521C0A">
      <w:pPr>
        <w:keepNext/>
        <w:ind w:firstLine="720"/>
        <w:rPr>
          <w:szCs w:val="26"/>
        </w:rPr>
      </w:pPr>
      <w:r>
        <w:rPr>
          <w:szCs w:val="26"/>
        </w:rPr>
        <w:t>“[T]</w:t>
      </w:r>
      <w:r w:rsidRPr="003639AC">
        <w:rPr>
          <w:szCs w:val="26"/>
        </w:rPr>
        <w:t>here is a long history of dispute among the various branches of state government over the application of</w:t>
      </w:r>
      <w:r>
        <w:rPr>
          <w:szCs w:val="26"/>
        </w:rPr>
        <w:t xml:space="preserve"> </w:t>
      </w:r>
      <w:r>
        <w:rPr>
          <w:szCs w:val="26"/>
        </w:rPr>
        <w:t xml:space="preserve">[Penal Code] </w:t>
      </w:r>
      <w:r w:rsidRPr="003639AC">
        <w:rPr>
          <w:szCs w:val="26"/>
        </w:rPr>
        <w:t xml:space="preserve">section 1385 to sentencing </w:t>
      </w:r>
      <w:r w:rsidRPr="003639AC">
        <w:rPr>
          <w:szCs w:val="26"/>
        </w:rPr>
        <w:t>allegations</w:t>
      </w:r>
      <w:r>
        <w:rPr>
          <w:szCs w:val="26"/>
        </w:rPr>
        <w:t>.”</w:t>
      </w:r>
      <w:r>
        <w:rPr>
          <w:rStyle w:val="FootnoteReference"/>
          <w:szCs w:val="26"/>
        </w:rPr>
        <w:footnoteReference w:id="2"/>
      </w:r>
      <w:r>
        <w:rPr>
          <w:szCs w:val="26"/>
        </w:rPr>
        <w:t xml:space="preserve">  (</w:t>
      </w:r>
      <w:r w:rsidRPr="003639AC">
        <w:rPr>
          <w:i/>
          <w:iCs/>
          <w:szCs w:val="26"/>
        </w:rPr>
        <w:t>People v. Superior Court (Romero)</w:t>
      </w:r>
      <w:r>
        <w:rPr>
          <w:szCs w:val="26"/>
        </w:rPr>
        <w:t xml:space="preserve"> </w:t>
      </w:r>
      <w:r>
        <w:rPr>
          <w:szCs w:val="26"/>
        </w:rPr>
        <w:t>(1996) 13 </w:t>
      </w:r>
      <w:r w:rsidRPr="003639AC">
        <w:rPr>
          <w:szCs w:val="26"/>
        </w:rPr>
        <w:t>Cal.4th 497, 521</w:t>
      </w:r>
      <w:r>
        <w:rPr>
          <w:szCs w:val="26"/>
        </w:rPr>
        <w:noBreakHyphen/>
      </w:r>
      <w:r w:rsidRPr="003639AC">
        <w:rPr>
          <w:szCs w:val="26"/>
        </w:rPr>
        <w:t>522</w:t>
      </w:r>
      <w:r>
        <w:rPr>
          <w:szCs w:val="26"/>
        </w:rPr>
        <w:t xml:space="preserve"> (</w:t>
      </w:r>
      <w:r>
        <w:rPr>
          <w:i/>
          <w:iCs/>
          <w:szCs w:val="26"/>
        </w:rPr>
        <w:t>Romero</w:t>
      </w:r>
      <w:r>
        <w:rPr>
          <w:szCs w:val="26"/>
        </w:rPr>
        <w:t>)</w:t>
      </w:r>
      <w:r>
        <w:rPr>
          <w:szCs w:val="26"/>
        </w:rPr>
        <w:t>.)</w:t>
      </w:r>
      <w:r>
        <w:rPr>
          <w:szCs w:val="26"/>
        </w:rPr>
        <w:t xml:space="preserve">  In this latest </w:t>
      </w:r>
      <w:r>
        <w:rPr>
          <w:szCs w:val="26"/>
        </w:rPr>
        <w:t>chapter of that history</w:t>
      </w:r>
      <w:r>
        <w:rPr>
          <w:szCs w:val="26"/>
        </w:rPr>
        <w:t xml:space="preserve">, Rehan Nazir argues </w:t>
      </w:r>
      <w:r>
        <w:rPr>
          <w:szCs w:val="26"/>
        </w:rPr>
        <w:t xml:space="preserve">the trial court </w:t>
      </w:r>
      <w:r>
        <w:rPr>
          <w:szCs w:val="26"/>
        </w:rPr>
        <w:t>abused its discretion</w:t>
      </w:r>
      <w:r>
        <w:rPr>
          <w:szCs w:val="26"/>
        </w:rPr>
        <w:t xml:space="preserve"> </w:t>
      </w:r>
      <w:r>
        <w:rPr>
          <w:szCs w:val="26"/>
        </w:rPr>
        <w:t>in</w:t>
      </w:r>
      <w:r>
        <w:rPr>
          <w:szCs w:val="26"/>
        </w:rPr>
        <w:t xml:space="preserve"> refusing to dismiss </w:t>
      </w:r>
      <w:r>
        <w:rPr>
          <w:szCs w:val="26"/>
        </w:rPr>
        <w:t xml:space="preserve">under section 1385 </w:t>
      </w:r>
      <w:r>
        <w:rPr>
          <w:szCs w:val="26"/>
        </w:rPr>
        <w:t xml:space="preserve">certain </w:t>
      </w:r>
      <w:r>
        <w:rPr>
          <w:szCs w:val="26"/>
        </w:rPr>
        <w:t>firearm</w:t>
      </w:r>
      <w:r>
        <w:rPr>
          <w:szCs w:val="26"/>
        </w:rPr>
        <w:t xml:space="preserve"> enhanc</w:t>
      </w:r>
      <w:r>
        <w:rPr>
          <w:szCs w:val="26"/>
        </w:rPr>
        <w:t xml:space="preserve">ements </w:t>
      </w:r>
      <w:r>
        <w:rPr>
          <w:szCs w:val="26"/>
        </w:rPr>
        <w:t xml:space="preserve">the People </w:t>
      </w:r>
      <w:r>
        <w:rPr>
          <w:szCs w:val="26"/>
        </w:rPr>
        <w:t xml:space="preserve">alleged against </w:t>
      </w:r>
      <w:r>
        <w:rPr>
          <w:szCs w:val="26"/>
        </w:rPr>
        <w:t>him</w:t>
      </w:r>
      <w:r>
        <w:rPr>
          <w:szCs w:val="26"/>
        </w:rPr>
        <w:t xml:space="preserve">.  Nazir and the People argue the trial court </w:t>
      </w:r>
      <w:r>
        <w:rPr>
          <w:szCs w:val="26"/>
        </w:rPr>
        <w:t>should have</w:t>
      </w:r>
      <w:r>
        <w:rPr>
          <w:szCs w:val="26"/>
        </w:rPr>
        <w:t xml:space="preserve"> dismiss</w:t>
      </w:r>
      <w:r>
        <w:rPr>
          <w:szCs w:val="26"/>
        </w:rPr>
        <w:t>ed</w:t>
      </w:r>
      <w:r>
        <w:rPr>
          <w:szCs w:val="26"/>
        </w:rPr>
        <w:t xml:space="preserve"> the sentenc</w:t>
      </w:r>
      <w:r>
        <w:rPr>
          <w:szCs w:val="26"/>
        </w:rPr>
        <w:t>e</w:t>
      </w:r>
      <w:r>
        <w:rPr>
          <w:szCs w:val="26"/>
        </w:rPr>
        <w:t xml:space="preserve"> enhancements “in furtherance of justice” under section 1385 in accordance with a policy issued by the </w:t>
      </w:r>
      <w:r>
        <w:rPr>
          <w:szCs w:val="26"/>
        </w:rPr>
        <w:t>d</w:t>
      </w:r>
      <w:r>
        <w:rPr>
          <w:szCs w:val="26"/>
        </w:rPr>
        <w:t xml:space="preserve">istrict </w:t>
      </w:r>
      <w:r>
        <w:rPr>
          <w:szCs w:val="26"/>
        </w:rPr>
        <w:t>a</w:t>
      </w:r>
      <w:r>
        <w:rPr>
          <w:szCs w:val="26"/>
        </w:rPr>
        <w:t xml:space="preserve">ttorney for </w:t>
      </w:r>
      <w:r>
        <w:rPr>
          <w:szCs w:val="26"/>
        </w:rPr>
        <w:t xml:space="preserve">Los Angeles </w:t>
      </w:r>
      <w:r>
        <w:rPr>
          <w:szCs w:val="26"/>
        </w:rPr>
        <w:t>County, George Gasc</w:t>
      </w:r>
      <w:r>
        <w:rPr>
          <w:szCs w:val="26"/>
        </w:rPr>
        <w:t>ó</w:t>
      </w:r>
      <w:r>
        <w:rPr>
          <w:szCs w:val="26"/>
        </w:rPr>
        <w:t>n, upon his election</w:t>
      </w:r>
      <w:r>
        <w:rPr>
          <w:szCs w:val="26"/>
        </w:rPr>
        <w:t xml:space="preserve">. </w:t>
      </w:r>
      <w:r>
        <w:rPr>
          <w:szCs w:val="26"/>
        </w:rPr>
        <w:t xml:space="preserve"> </w:t>
      </w:r>
      <w:r>
        <w:rPr>
          <w:szCs w:val="26"/>
        </w:rPr>
        <w:t>Th</w:t>
      </w:r>
      <w:r>
        <w:rPr>
          <w:szCs w:val="26"/>
        </w:rPr>
        <w:t>at p</w:t>
      </w:r>
      <w:r>
        <w:rPr>
          <w:szCs w:val="26"/>
        </w:rPr>
        <w:t>olicy directs all deputy district attorneys “to orally amend the charg</w:t>
      </w:r>
      <w:r>
        <w:rPr>
          <w:szCs w:val="26"/>
        </w:rPr>
        <w:t>ing document to dismiss or withdraw any [sentenc</w:t>
      </w:r>
      <w:r>
        <w:rPr>
          <w:szCs w:val="26"/>
        </w:rPr>
        <w:t>e</w:t>
      </w:r>
      <w:r>
        <w:rPr>
          <w:szCs w:val="26"/>
        </w:rPr>
        <w:t xml:space="preserve">] enhancement” alleged in a pending case.  </w:t>
      </w:r>
    </w:p>
    <w:p w14:paraId="2D26E71C" w14:textId="77777777" w:rsidR="00E7303F" w:rsidRDefault="00861473" w:rsidP="003B027D">
      <w:pPr>
        <w:ind w:firstLine="720"/>
        <w:rPr>
          <w:szCs w:val="26"/>
        </w:rPr>
      </w:pPr>
      <w:r>
        <w:rPr>
          <w:szCs w:val="26"/>
        </w:rPr>
        <w:t>Based on the district attorney’s new policy, t</w:t>
      </w:r>
      <w:r>
        <w:rPr>
          <w:szCs w:val="26"/>
        </w:rPr>
        <w:t xml:space="preserve">he prosecutor moved </w:t>
      </w:r>
      <w:r>
        <w:rPr>
          <w:szCs w:val="26"/>
        </w:rPr>
        <w:t xml:space="preserve">under section 1385 </w:t>
      </w:r>
      <w:r>
        <w:rPr>
          <w:szCs w:val="26"/>
        </w:rPr>
        <w:t xml:space="preserve">to dismiss firearm enhancements alleged under sections 12022.5 and 12022.53.  </w:t>
      </w:r>
      <w:r>
        <w:rPr>
          <w:szCs w:val="26"/>
        </w:rPr>
        <w:t xml:space="preserve">The trial court denied the motion </w:t>
      </w:r>
      <w:r>
        <w:rPr>
          <w:szCs w:val="26"/>
        </w:rPr>
        <w:t xml:space="preserve">and refused to consider the new policy in determining whether </w:t>
      </w:r>
      <w:r>
        <w:rPr>
          <w:szCs w:val="26"/>
        </w:rPr>
        <w:t xml:space="preserve">to dismiss the enhancements </w:t>
      </w:r>
      <w:r>
        <w:rPr>
          <w:szCs w:val="26"/>
        </w:rPr>
        <w:t>under section</w:t>
      </w:r>
      <w:r>
        <w:rPr>
          <w:szCs w:val="26"/>
        </w:rPr>
        <w:t> </w:t>
      </w:r>
      <w:r>
        <w:rPr>
          <w:szCs w:val="26"/>
        </w:rPr>
        <w:t>1385.</w:t>
      </w:r>
    </w:p>
    <w:p w14:paraId="487CDE0F" w14:textId="77777777" w:rsidR="00B6676C" w:rsidRDefault="00861473" w:rsidP="00B66653">
      <w:pPr>
        <w:ind w:firstLine="720"/>
        <w:rPr>
          <w:szCs w:val="26"/>
        </w:rPr>
      </w:pPr>
      <w:r>
        <w:rPr>
          <w:szCs w:val="26"/>
        </w:rPr>
        <w:t xml:space="preserve">We agree with Nazir and the People that the trial court misunderstood the scope of its discretion under section </w:t>
      </w:r>
      <w:r>
        <w:rPr>
          <w:szCs w:val="26"/>
        </w:rPr>
        <w:t xml:space="preserve">1385 </w:t>
      </w:r>
      <w:r>
        <w:rPr>
          <w:szCs w:val="26"/>
        </w:rPr>
        <w:t xml:space="preserve">when it refused </w:t>
      </w:r>
      <w:r>
        <w:rPr>
          <w:szCs w:val="26"/>
        </w:rPr>
        <w:t xml:space="preserve">to consider the </w:t>
      </w:r>
      <w:r>
        <w:rPr>
          <w:szCs w:val="26"/>
        </w:rPr>
        <w:t>d</w:t>
      </w:r>
      <w:r>
        <w:rPr>
          <w:szCs w:val="26"/>
        </w:rPr>
        <w:t xml:space="preserve">istrict </w:t>
      </w:r>
      <w:r>
        <w:rPr>
          <w:szCs w:val="26"/>
        </w:rPr>
        <w:t>a</w:t>
      </w:r>
      <w:r>
        <w:rPr>
          <w:szCs w:val="26"/>
        </w:rPr>
        <w:t xml:space="preserve">ttorney’s </w:t>
      </w:r>
      <w:r>
        <w:rPr>
          <w:szCs w:val="26"/>
        </w:rPr>
        <w:t xml:space="preserve">new </w:t>
      </w:r>
      <w:r>
        <w:rPr>
          <w:szCs w:val="26"/>
        </w:rPr>
        <w:t xml:space="preserve">policy, but we </w:t>
      </w:r>
      <w:r>
        <w:rPr>
          <w:szCs w:val="26"/>
        </w:rPr>
        <w:t>disagree with</w:t>
      </w:r>
      <w:r>
        <w:rPr>
          <w:szCs w:val="26"/>
        </w:rPr>
        <w:t xml:space="preserve"> the People that </w:t>
      </w:r>
      <w:r>
        <w:rPr>
          <w:szCs w:val="26"/>
        </w:rPr>
        <w:t xml:space="preserve">the </w:t>
      </w:r>
      <w:r>
        <w:rPr>
          <w:szCs w:val="26"/>
        </w:rPr>
        <w:t>trial court lack</w:t>
      </w:r>
      <w:r>
        <w:rPr>
          <w:szCs w:val="26"/>
        </w:rPr>
        <w:t>ed</w:t>
      </w:r>
      <w:r>
        <w:rPr>
          <w:szCs w:val="26"/>
        </w:rPr>
        <w:t xml:space="preserve"> discretion to deny </w:t>
      </w:r>
      <w:r>
        <w:rPr>
          <w:szCs w:val="26"/>
        </w:rPr>
        <w:t>a</w:t>
      </w:r>
      <w:r>
        <w:rPr>
          <w:szCs w:val="26"/>
        </w:rPr>
        <w:t xml:space="preserve"> motion </w:t>
      </w:r>
      <w:r>
        <w:rPr>
          <w:szCs w:val="26"/>
        </w:rPr>
        <w:t xml:space="preserve">by the People </w:t>
      </w:r>
      <w:r>
        <w:rPr>
          <w:szCs w:val="26"/>
        </w:rPr>
        <w:t xml:space="preserve">to dismiss </w:t>
      </w:r>
      <w:r>
        <w:rPr>
          <w:szCs w:val="26"/>
        </w:rPr>
        <w:t xml:space="preserve">enhancements </w:t>
      </w:r>
      <w:r>
        <w:rPr>
          <w:szCs w:val="26"/>
        </w:rPr>
        <w:t xml:space="preserve">pursuant to that policy.  </w:t>
      </w:r>
      <w:r>
        <w:rPr>
          <w:szCs w:val="26"/>
        </w:rPr>
        <w:t>Under</w:t>
      </w:r>
      <w:r>
        <w:rPr>
          <w:szCs w:val="26"/>
        </w:rPr>
        <w:t xml:space="preserve"> the relevant statutory scheme</w:t>
      </w:r>
      <w:r>
        <w:rPr>
          <w:szCs w:val="26"/>
        </w:rPr>
        <w:t xml:space="preserve">, </w:t>
      </w:r>
      <w:r>
        <w:rPr>
          <w:szCs w:val="26"/>
        </w:rPr>
        <w:lastRenderedPageBreak/>
        <w:t xml:space="preserve">long-standing </w:t>
      </w:r>
      <w:r>
        <w:rPr>
          <w:szCs w:val="26"/>
        </w:rPr>
        <w:t xml:space="preserve">case </w:t>
      </w:r>
      <w:r>
        <w:rPr>
          <w:szCs w:val="26"/>
        </w:rPr>
        <w:t xml:space="preserve">authority, </w:t>
      </w:r>
      <w:r>
        <w:rPr>
          <w:szCs w:val="26"/>
        </w:rPr>
        <w:t xml:space="preserve">and </w:t>
      </w:r>
      <w:r>
        <w:rPr>
          <w:szCs w:val="26"/>
        </w:rPr>
        <w:t xml:space="preserve">the </w:t>
      </w:r>
      <w:r>
        <w:rPr>
          <w:szCs w:val="26"/>
        </w:rPr>
        <w:t xml:space="preserve">rules of court governing sentencing, </w:t>
      </w:r>
      <w:r>
        <w:rPr>
          <w:szCs w:val="26"/>
        </w:rPr>
        <w:t xml:space="preserve">a trial court deciding whether to dismiss a sentence enhancement in furtherance of justice under section 12022.5 </w:t>
      </w:r>
      <w:r>
        <w:rPr>
          <w:szCs w:val="26"/>
        </w:rPr>
        <w:t>or</w:t>
      </w:r>
      <w:r>
        <w:rPr>
          <w:szCs w:val="26"/>
        </w:rPr>
        <w:t xml:space="preserve"> 12022.53 must consider case-specific factors as well as general sentencing objectives.  </w:t>
      </w:r>
      <w:r>
        <w:rPr>
          <w:szCs w:val="26"/>
        </w:rPr>
        <w:t>Therefore</w:t>
      </w:r>
      <w:r w:rsidRPr="0076643B">
        <w:rPr>
          <w:szCs w:val="26"/>
        </w:rPr>
        <w:t xml:space="preserve">, we grant </w:t>
      </w:r>
      <w:r>
        <w:rPr>
          <w:szCs w:val="26"/>
        </w:rPr>
        <w:t xml:space="preserve">Nazir’s </w:t>
      </w:r>
      <w:r w:rsidRPr="0076643B">
        <w:rPr>
          <w:szCs w:val="26"/>
        </w:rPr>
        <w:t>petition for</w:t>
      </w:r>
      <w:r>
        <w:rPr>
          <w:szCs w:val="26"/>
        </w:rPr>
        <w:t xml:space="preserve"> </w:t>
      </w:r>
      <w:r>
        <w:rPr>
          <w:szCs w:val="26"/>
        </w:rPr>
        <w:t xml:space="preserve">a </w:t>
      </w:r>
      <w:r w:rsidRPr="0076643B">
        <w:rPr>
          <w:szCs w:val="26"/>
        </w:rPr>
        <w:t>writ</w:t>
      </w:r>
      <w:r>
        <w:rPr>
          <w:szCs w:val="26"/>
        </w:rPr>
        <w:t xml:space="preserve"> </w:t>
      </w:r>
      <w:r w:rsidRPr="0076643B">
        <w:rPr>
          <w:szCs w:val="26"/>
        </w:rPr>
        <w:t>of</w:t>
      </w:r>
      <w:r>
        <w:rPr>
          <w:szCs w:val="26"/>
        </w:rPr>
        <w:t xml:space="preserve"> </w:t>
      </w:r>
      <w:r w:rsidRPr="0076643B">
        <w:rPr>
          <w:szCs w:val="26"/>
        </w:rPr>
        <w:t>mandate</w:t>
      </w:r>
      <w:r>
        <w:rPr>
          <w:szCs w:val="26"/>
        </w:rPr>
        <w:t xml:space="preserve"> </w:t>
      </w:r>
      <w:r w:rsidRPr="0076643B">
        <w:rPr>
          <w:szCs w:val="26"/>
        </w:rPr>
        <w:t xml:space="preserve">and direct </w:t>
      </w:r>
      <w:r>
        <w:rPr>
          <w:szCs w:val="26"/>
        </w:rPr>
        <w:t>the trial court</w:t>
      </w:r>
      <w:r w:rsidRPr="0076643B">
        <w:rPr>
          <w:szCs w:val="26"/>
        </w:rPr>
        <w:t xml:space="preserve"> to vacate its </w:t>
      </w:r>
      <w:r>
        <w:rPr>
          <w:szCs w:val="26"/>
        </w:rPr>
        <w:t>December </w:t>
      </w:r>
      <w:r>
        <w:rPr>
          <w:szCs w:val="26"/>
        </w:rPr>
        <w:t xml:space="preserve">18, 2020 </w:t>
      </w:r>
      <w:r w:rsidRPr="0076643B">
        <w:rPr>
          <w:szCs w:val="26"/>
        </w:rPr>
        <w:t xml:space="preserve">order </w:t>
      </w:r>
      <w:r>
        <w:rPr>
          <w:szCs w:val="26"/>
        </w:rPr>
        <w:t xml:space="preserve">denying the People’s motion to dismiss </w:t>
      </w:r>
      <w:r w:rsidRPr="0076643B">
        <w:rPr>
          <w:szCs w:val="26"/>
        </w:rPr>
        <w:t xml:space="preserve">and </w:t>
      </w:r>
      <w:r w:rsidRPr="0076643B">
        <w:rPr>
          <w:szCs w:val="26"/>
        </w:rPr>
        <w:t xml:space="preserve">to conduct a new hearing to reconsider </w:t>
      </w:r>
      <w:r>
        <w:rPr>
          <w:szCs w:val="26"/>
        </w:rPr>
        <w:t>the People’s motion</w:t>
      </w:r>
      <w:r w:rsidRPr="0076643B">
        <w:rPr>
          <w:szCs w:val="26"/>
        </w:rPr>
        <w:t>.</w:t>
      </w:r>
    </w:p>
    <w:p w14:paraId="795FCAD3" w14:textId="77777777" w:rsidR="00BD4810" w:rsidRDefault="00861473" w:rsidP="008C5873">
      <w:pPr>
        <w:ind w:firstLine="720"/>
        <w:rPr>
          <w:szCs w:val="26"/>
        </w:rPr>
      </w:pPr>
    </w:p>
    <w:p w14:paraId="6AF4F7A3" w14:textId="77777777" w:rsidR="00BD4810" w:rsidRPr="00A55AAB" w:rsidRDefault="00861473" w:rsidP="00521C0A">
      <w:pPr>
        <w:keepNext/>
        <w:jc w:val="center"/>
        <w:rPr>
          <w:b/>
          <w:szCs w:val="26"/>
        </w:rPr>
      </w:pPr>
      <w:r>
        <w:rPr>
          <w:b/>
          <w:szCs w:val="26"/>
        </w:rPr>
        <w:t>FACTUAL AND PROCEDURAL BACKGROUND</w:t>
      </w:r>
    </w:p>
    <w:p w14:paraId="52CD1323" w14:textId="77777777" w:rsidR="002E6D63" w:rsidRDefault="00861473" w:rsidP="00521C0A">
      <w:pPr>
        <w:keepNext/>
        <w:ind w:firstLine="720"/>
        <w:rPr>
          <w:szCs w:val="26"/>
        </w:rPr>
      </w:pPr>
    </w:p>
    <w:p w14:paraId="20640759" w14:textId="77777777" w:rsidR="00BD4810" w:rsidRDefault="00861473" w:rsidP="00521C0A">
      <w:pPr>
        <w:keepNext/>
        <w:ind w:left="1440" w:hanging="720"/>
        <w:rPr>
          <w:i/>
          <w:iCs/>
          <w:szCs w:val="26"/>
        </w:rPr>
      </w:pPr>
      <w:r>
        <w:rPr>
          <w:szCs w:val="26"/>
        </w:rPr>
        <w:t>A.</w:t>
      </w:r>
      <w:r>
        <w:rPr>
          <w:szCs w:val="26"/>
        </w:rPr>
        <w:tab/>
      </w:r>
      <w:r>
        <w:rPr>
          <w:i/>
          <w:iCs/>
          <w:szCs w:val="26"/>
        </w:rPr>
        <w:t xml:space="preserve">The People </w:t>
      </w:r>
      <w:r>
        <w:rPr>
          <w:i/>
          <w:iCs/>
          <w:szCs w:val="26"/>
        </w:rPr>
        <w:t>Charge Nazir with</w:t>
      </w:r>
      <w:r>
        <w:rPr>
          <w:i/>
          <w:iCs/>
          <w:szCs w:val="26"/>
        </w:rPr>
        <w:t xml:space="preserve"> 35 Counts </w:t>
      </w:r>
      <w:r>
        <w:rPr>
          <w:i/>
          <w:iCs/>
          <w:szCs w:val="26"/>
        </w:rPr>
        <w:t xml:space="preserve">and Allege </w:t>
      </w:r>
      <w:r>
        <w:rPr>
          <w:i/>
          <w:iCs/>
          <w:szCs w:val="26"/>
        </w:rPr>
        <w:t>Certain Firearm Enhancements</w:t>
      </w:r>
    </w:p>
    <w:p w14:paraId="387AAECF" w14:textId="77777777" w:rsidR="00FF0418" w:rsidRDefault="00861473" w:rsidP="00521C0A">
      <w:pPr>
        <w:keepNext/>
        <w:ind w:firstLine="720"/>
        <w:rPr>
          <w:szCs w:val="26"/>
        </w:rPr>
      </w:pPr>
      <w:r>
        <w:rPr>
          <w:szCs w:val="26"/>
        </w:rPr>
        <w:t xml:space="preserve">Nazir was a former Torrance police officer who became a bail agent.  </w:t>
      </w:r>
      <w:r>
        <w:rPr>
          <w:szCs w:val="26"/>
        </w:rPr>
        <w:t>In July 2</w:t>
      </w:r>
      <w:r>
        <w:rPr>
          <w:szCs w:val="26"/>
        </w:rPr>
        <w:t xml:space="preserve">019 </w:t>
      </w:r>
      <w:r>
        <w:rPr>
          <w:szCs w:val="26"/>
        </w:rPr>
        <w:t>he</w:t>
      </w:r>
      <w:r>
        <w:rPr>
          <w:szCs w:val="26"/>
        </w:rPr>
        <w:t xml:space="preserve"> was arrested for crimes </w:t>
      </w:r>
      <w:r>
        <w:rPr>
          <w:szCs w:val="26"/>
        </w:rPr>
        <w:t xml:space="preserve">allegedly </w:t>
      </w:r>
      <w:r>
        <w:rPr>
          <w:szCs w:val="26"/>
        </w:rPr>
        <w:t xml:space="preserve">committed in the course of his work, including kidnapping, false imprisonment, and grand theft </w:t>
      </w:r>
      <w:r>
        <w:rPr>
          <w:szCs w:val="26"/>
        </w:rPr>
        <w:t>of an automobile</w:t>
      </w:r>
      <w:r>
        <w:rPr>
          <w:szCs w:val="26"/>
        </w:rPr>
        <w:t xml:space="preserve">. </w:t>
      </w:r>
      <w:r>
        <w:rPr>
          <w:szCs w:val="26"/>
        </w:rPr>
        <w:t xml:space="preserve"> Nazir was arraigned on July 26, 2019.  </w:t>
      </w:r>
    </w:p>
    <w:p w14:paraId="55910DFE" w14:textId="77777777" w:rsidR="00E40AAA" w:rsidRDefault="00861473" w:rsidP="00A15356">
      <w:pPr>
        <w:ind w:firstLine="720"/>
        <w:rPr>
          <w:szCs w:val="26"/>
        </w:rPr>
      </w:pPr>
      <w:r>
        <w:rPr>
          <w:szCs w:val="26"/>
        </w:rPr>
        <w:t xml:space="preserve">The People filed a </w:t>
      </w:r>
      <w:r>
        <w:rPr>
          <w:szCs w:val="26"/>
        </w:rPr>
        <w:t>fourth amended complaint o</w:t>
      </w:r>
      <w:r>
        <w:rPr>
          <w:szCs w:val="26"/>
        </w:rPr>
        <w:t>n May</w:t>
      </w:r>
      <w:r>
        <w:rPr>
          <w:szCs w:val="26"/>
        </w:rPr>
        <w:t> </w:t>
      </w:r>
      <w:r>
        <w:rPr>
          <w:szCs w:val="26"/>
        </w:rPr>
        <w:t xml:space="preserve">4, </w:t>
      </w:r>
      <w:r>
        <w:rPr>
          <w:szCs w:val="26"/>
        </w:rPr>
        <w:t>2020</w:t>
      </w:r>
      <w:r>
        <w:rPr>
          <w:szCs w:val="26"/>
        </w:rPr>
        <w:t>, alleging</w:t>
      </w:r>
      <w:r>
        <w:rPr>
          <w:szCs w:val="26"/>
        </w:rPr>
        <w:t xml:space="preserve"> 35 </w:t>
      </w:r>
      <w:r>
        <w:rPr>
          <w:szCs w:val="26"/>
        </w:rPr>
        <w:t xml:space="preserve">counts against Nazir.  In connection with 22 of those counts, the People alleged </w:t>
      </w:r>
      <w:r>
        <w:rPr>
          <w:szCs w:val="26"/>
        </w:rPr>
        <w:t xml:space="preserve">Nazir </w:t>
      </w:r>
      <w:r>
        <w:rPr>
          <w:szCs w:val="26"/>
        </w:rPr>
        <w:t xml:space="preserve">personally </w:t>
      </w:r>
      <w:r>
        <w:rPr>
          <w:szCs w:val="26"/>
        </w:rPr>
        <w:t>used a firearm</w:t>
      </w:r>
      <w:r>
        <w:rPr>
          <w:szCs w:val="26"/>
        </w:rPr>
        <w:t>,</w:t>
      </w:r>
      <w:r>
        <w:rPr>
          <w:szCs w:val="26"/>
        </w:rPr>
        <w:t xml:space="preserve"> within the meaning </w:t>
      </w:r>
      <w:r>
        <w:rPr>
          <w:szCs w:val="26"/>
        </w:rPr>
        <w:t>of section 12022.5, subdivision </w:t>
      </w:r>
      <w:r>
        <w:rPr>
          <w:szCs w:val="26"/>
        </w:rPr>
        <w:t>(a)</w:t>
      </w:r>
      <w:r>
        <w:rPr>
          <w:szCs w:val="26"/>
        </w:rPr>
        <w:t xml:space="preserve">, </w:t>
      </w:r>
      <w:r>
        <w:rPr>
          <w:szCs w:val="26"/>
        </w:rPr>
        <w:t xml:space="preserve">an enhancement that </w:t>
      </w:r>
      <w:r>
        <w:rPr>
          <w:szCs w:val="26"/>
        </w:rPr>
        <w:t>c</w:t>
      </w:r>
      <w:r>
        <w:rPr>
          <w:szCs w:val="26"/>
        </w:rPr>
        <w:t>ould enhance Nazir’s sentence by three, four, o</w:t>
      </w:r>
      <w:r>
        <w:rPr>
          <w:szCs w:val="26"/>
        </w:rPr>
        <w:t>r 10 years</w:t>
      </w:r>
      <w:r>
        <w:rPr>
          <w:szCs w:val="26"/>
        </w:rPr>
        <w:t xml:space="preserve">; </w:t>
      </w:r>
      <w:r>
        <w:rPr>
          <w:szCs w:val="26"/>
        </w:rPr>
        <w:t xml:space="preserve">committed an assault with a deadly weapon or by means likely to produce great bodily injury by personally </w:t>
      </w:r>
      <w:r>
        <w:rPr>
          <w:szCs w:val="26"/>
        </w:rPr>
        <w:t>shooting</w:t>
      </w:r>
      <w:r>
        <w:rPr>
          <w:szCs w:val="26"/>
        </w:rPr>
        <w:t xml:space="preserve"> </w:t>
      </w:r>
      <w:r>
        <w:rPr>
          <w:szCs w:val="26"/>
        </w:rPr>
        <w:t xml:space="preserve">a firearm from an automobile, within the meaning </w:t>
      </w:r>
      <w:r>
        <w:rPr>
          <w:szCs w:val="26"/>
        </w:rPr>
        <w:t>of section 12022.5, subdivision </w:t>
      </w:r>
      <w:r>
        <w:rPr>
          <w:szCs w:val="26"/>
        </w:rPr>
        <w:t>(d)</w:t>
      </w:r>
      <w:r>
        <w:rPr>
          <w:szCs w:val="26"/>
        </w:rPr>
        <w:t xml:space="preserve">, </w:t>
      </w:r>
      <w:r>
        <w:rPr>
          <w:szCs w:val="26"/>
        </w:rPr>
        <w:t xml:space="preserve">an enhancement that </w:t>
      </w:r>
      <w:r>
        <w:rPr>
          <w:szCs w:val="26"/>
        </w:rPr>
        <w:t>c</w:t>
      </w:r>
      <w:r>
        <w:rPr>
          <w:szCs w:val="26"/>
        </w:rPr>
        <w:t>ould enhance Nazir’s s</w:t>
      </w:r>
      <w:r>
        <w:rPr>
          <w:szCs w:val="26"/>
        </w:rPr>
        <w:t>entence by three, four</w:t>
      </w:r>
      <w:r>
        <w:rPr>
          <w:szCs w:val="26"/>
        </w:rPr>
        <w:t>,</w:t>
      </w:r>
      <w:r>
        <w:rPr>
          <w:szCs w:val="26"/>
        </w:rPr>
        <w:t xml:space="preserve"> or 10 years</w:t>
      </w:r>
      <w:r>
        <w:rPr>
          <w:szCs w:val="26"/>
        </w:rPr>
        <w:t xml:space="preserve">; or </w:t>
      </w:r>
      <w:r>
        <w:rPr>
          <w:szCs w:val="26"/>
        </w:rPr>
        <w:t xml:space="preserve">personally </w:t>
      </w:r>
      <w:r>
        <w:rPr>
          <w:szCs w:val="26"/>
        </w:rPr>
        <w:t xml:space="preserve">used a firearm in the commission of a felony, within </w:t>
      </w:r>
      <w:r>
        <w:rPr>
          <w:szCs w:val="26"/>
        </w:rPr>
        <w:lastRenderedPageBreak/>
        <w:t>the meaning of section 12022.53, subdivision</w:t>
      </w:r>
      <w:r>
        <w:rPr>
          <w:szCs w:val="26"/>
        </w:rPr>
        <w:t> </w:t>
      </w:r>
      <w:r>
        <w:rPr>
          <w:szCs w:val="26"/>
        </w:rPr>
        <w:t>(b)</w:t>
      </w:r>
      <w:r>
        <w:rPr>
          <w:szCs w:val="26"/>
        </w:rPr>
        <w:t xml:space="preserve">, </w:t>
      </w:r>
      <w:r>
        <w:rPr>
          <w:szCs w:val="26"/>
        </w:rPr>
        <w:t xml:space="preserve">an enhancement that </w:t>
      </w:r>
      <w:r>
        <w:rPr>
          <w:szCs w:val="26"/>
        </w:rPr>
        <w:t>c</w:t>
      </w:r>
      <w:r>
        <w:rPr>
          <w:szCs w:val="26"/>
        </w:rPr>
        <w:t>ould enhance Nazir’s sentence by 10 years</w:t>
      </w:r>
      <w:r>
        <w:rPr>
          <w:szCs w:val="26"/>
        </w:rPr>
        <w:t xml:space="preserve">. </w:t>
      </w:r>
      <w:r>
        <w:rPr>
          <w:szCs w:val="26"/>
        </w:rPr>
        <w:t xml:space="preserve"> </w:t>
      </w:r>
    </w:p>
    <w:p w14:paraId="38D2BE76" w14:textId="77777777" w:rsidR="00F93BD2" w:rsidRDefault="00861473" w:rsidP="00F93BD2">
      <w:pPr>
        <w:ind w:firstLine="720"/>
        <w:rPr>
          <w:szCs w:val="26"/>
        </w:rPr>
      </w:pPr>
    </w:p>
    <w:p w14:paraId="07E19202" w14:textId="77777777" w:rsidR="00D03E4B" w:rsidRDefault="00861473" w:rsidP="00521C0A">
      <w:pPr>
        <w:keepNext/>
        <w:ind w:left="1440" w:hanging="720"/>
        <w:rPr>
          <w:i/>
          <w:iCs/>
          <w:szCs w:val="26"/>
        </w:rPr>
      </w:pPr>
      <w:r>
        <w:rPr>
          <w:szCs w:val="26"/>
        </w:rPr>
        <w:t>B.</w:t>
      </w:r>
      <w:r>
        <w:rPr>
          <w:szCs w:val="26"/>
        </w:rPr>
        <w:tab/>
      </w:r>
      <w:r>
        <w:rPr>
          <w:i/>
          <w:iCs/>
          <w:szCs w:val="26"/>
        </w:rPr>
        <w:t>The New District Attorney Adopts</w:t>
      </w:r>
      <w:r>
        <w:rPr>
          <w:i/>
          <w:iCs/>
          <w:szCs w:val="26"/>
        </w:rPr>
        <w:t xml:space="preserve"> a Policy </w:t>
      </w:r>
      <w:r>
        <w:rPr>
          <w:i/>
          <w:iCs/>
          <w:szCs w:val="26"/>
        </w:rPr>
        <w:t>Regarding Sentence Enhancements</w:t>
      </w:r>
    </w:p>
    <w:p w14:paraId="73AB01BC" w14:textId="77777777" w:rsidR="0030192A" w:rsidRDefault="00861473" w:rsidP="00521C0A">
      <w:pPr>
        <w:keepNext/>
        <w:ind w:firstLine="720"/>
        <w:rPr>
          <w:szCs w:val="26"/>
        </w:rPr>
      </w:pPr>
      <w:r>
        <w:rPr>
          <w:szCs w:val="26"/>
        </w:rPr>
        <w:t>On November </w:t>
      </w:r>
      <w:r>
        <w:rPr>
          <w:szCs w:val="26"/>
        </w:rPr>
        <w:t xml:space="preserve">3, 2020 the voters of Los Angeles County elected George </w:t>
      </w:r>
      <w:r>
        <w:rPr>
          <w:szCs w:val="26"/>
        </w:rPr>
        <w:t>Gascón</w:t>
      </w:r>
      <w:r>
        <w:rPr>
          <w:szCs w:val="26"/>
        </w:rPr>
        <w:t xml:space="preserve"> to replace Jackie Lacey</w:t>
      </w:r>
      <w:r>
        <w:rPr>
          <w:szCs w:val="26"/>
        </w:rPr>
        <w:t xml:space="preserve"> as </w:t>
      </w:r>
      <w:r>
        <w:rPr>
          <w:szCs w:val="26"/>
        </w:rPr>
        <w:t>d</w:t>
      </w:r>
      <w:r>
        <w:rPr>
          <w:szCs w:val="26"/>
        </w:rPr>
        <w:t xml:space="preserve">istrict </w:t>
      </w:r>
      <w:r>
        <w:rPr>
          <w:szCs w:val="26"/>
        </w:rPr>
        <w:t>a</w:t>
      </w:r>
      <w:r>
        <w:rPr>
          <w:szCs w:val="26"/>
        </w:rPr>
        <w:t xml:space="preserve">ttorney. </w:t>
      </w:r>
      <w:r>
        <w:rPr>
          <w:szCs w:val="26"/>
        </w:rPr>
        <w:t xml:space="preserve"> </w:t>
      </w:r>
      <w:r>
        <w:rPr>
          <w:szCs w:val="26"/>
        </w:rPr>
        <w:t>On December </w:t>
      </w:r>
      <w:r>
        <w:rPr>
          <w:szCs w:val="26"/>
        </w:rPr>
        <w:t>8</w:t>
      </w:r>
      <w:r>
        <w:rPr>
          <w:szCs w:val="26"/>
        </w:rPr>
        <w:t>,</w:t>
      </w:r>
      <w:r>
        <w:rPr>
          <w:szCs w:val="26"/>
        </w:rPr>
        <w:t xml:space="preserve"> 2020 </w:t>
      </w:r>
      <w:r>
        <w:rPr>
          <w:szCs w:val="26"/>
        </w:rPr>
        <w:t>the new d</w:t>
      </w:r>
      <w:r>
        <w:rPr>
          <w:szCs w:val="26"/>
        </w:rPr>
        <w:t xml:space="preserve">istrict </w:t>
      </w:r>
      <w:r>
        <w:rPr>
          <w:szCs w:val="26"/>
        </w:rPr>
        <w:t>a</w:t>
      </w:r>
      <w:r>
        <w:rPr>
          <w:szCs w:val="26"/>
        </w:rPr>
        <w:t xml:space="preserve">ttorney issued </w:t>
      </w:r>
      <w:r>
        <w:rPr>
          <w:szCs w:val="26"/>
        </w:rPr>
        <w:t>Special Directive 20</w:t>
      </w:r>
      <w:r>
        <w:rPr>
          <w:szCs w:val="26"/>
        </w:rPr>
        <w:noBreakHyphen/>
      </w:r>
      <w:r>
        <w:rPr>
          <w:szCs w:val="26"/>
        </w:rPr>
        <w:t>08</w:t>
      </w:r>
      <w:r>
        <w:rPr>
          <w:szCs w:val="26"/>
        </w:rPr>
        <w:t xml:space="preserve">, which </w:t>
      </w:r>
      <w:r>
        <w:rPr>
          <w:szCs w:val="26"/>
        </w:rPr>
        <w:t>made</w:t>
      </w:r>
      <w:r>
        <w:rPr>
          <w:szCs w:val="26"/>
        </w:rPr>
        <w:t xml:space="preserve"> changes to the Legal Policies Manual. </w:t>
      </w:r>
      <w:r>
        <w:rPr>
          <w:szCs w:val="26"/>
        </w:rPr>
        <w:t xml:space="preserve"> </w:t>
      </w:r>
      <w:r>
        <w:rPr>
          <w:szCs w:val="26"/>
        </w:rPr>
        <w:t>Special Directive 20</w:t>
      </w:r>
      <w:r>
        <w:rPr>
          <w:szCs w:val="26"/>
        </w:rPr>
        <w:noBreakHyphen/>
      </w:r>
      <w:r>
        <w:rPr>
          <w:szCs w:val="26"/>
        </w:rPr>
        <w:t>08 state</w:t>
      </w:r>
      <w:r>
        <w:rPr>
          <w:szCs w:val="26"/>
        </w:rPr>
        <w:t>d that</w:t>
      </w:r>
      <w:r>
        <w:rPr>
          <w:szCs w:val="26"/>
        </w:rPr>
        <w:t xml:space="preserve"> “sentence enhancement</w:t>
      </w:r>
      <w:r>
        <w:rPr>
          <w:szCs w:val="26"/>
        </w:rPr>
        <w:t>s</w:t>
      </w:r>
      <w:r>
        <w:rPr>
          <w:szCs w:val="26"/>
        </w:rPr>
        <w:t xml:space="preserve"> or other sentencing allegations </w:t>
      </w:r>
      <w:r>
        <w:rPr>
          <w:szCs w:val="26"/>
        </w:rPr>
        <w:t xml:space="preserve">. . . </w:t>
      </w:r>
      <w:r>
        <w:rPr>
          <w:szCs w:val="26"/>
        </w:rPr>
        <w:t>shall not be filed in any cases and shall be withdrawn in pending matters.”  The Special Directive explain</w:t>
      </w:r>
      <w:r>
        <w:rPr>
          <w:szCs w:val="26"/>
        </w:rPr>
        <w:t>ed</w:t>
      </w:r>
      <w:r>
        <w:rPr>
          <w:szCs w:val="26"/>
        </w:rPr>
        <w:t xml:space="preserve"> </w:t>
      </w:r>
      <w:r>
        <w:rPr>
          <w:szCs w:val="26"/>
        </w:rPr>
        <w:t xml:space="preserve">that </w:t>
      </w:r>
      <w:r>
        <w:rPr>
          <w:szCs w:val="26"/>
        </w:rPr>
        <w:t>“t</w:t>
      </w:r>
      <w:r w:rsidRPr="00E26985">
        <w:rPr>
          <w:szCs w:val="26"/>
        </w:rPr>
        <w:t xml:space="preserve">he </w:t>
      </w:r>
      <w:r w:rsidRPr="00E26985">
        <w:rPr>
          <w:szCs w:val="26"/>
        </w:rPr>
        <w:t>current statutory ranges for criminal offenses alone, without enhancements, are sufficient to both hold people accountable and also to protect public safety</w:t>
      </w:r>
      <w:r>
        <w:rPr>
          <w:szCs w:val="26"/>
        </w:rPr>
        <w:t>” and</w:t>
      </w:r>
      <w:r w:rsidRPr="00E26985">
        <w:rPr>
          <w:szCs w:val="26"/>
        </w:rPr>
        <w:t xml:space="preserve"> </w:t>
      </w:r>
      <w:r>
        <w:rPr>
          <w:szCs w:val="26"/>
        </w:rPr>
        <w:t xml:space="preserve">that </w:t>
      </w:r>
      <w:r>
        <w:rPr>
          <w:szCs w:val="26"/>
        </w:rPr>
        <w:t>“</w:t>
      </w:r>
      <w:r w:rsidRPr="00E26985">
        <w:rPr>
          <w:szCs w:val="26"/>
        </w:rPr>
        <w:t>studies show that each additiona</w:t>
      </w:r>
      <w:r>
        <w:rPr>
          <w:szCs w:val="26"/>
        </w:rPr>
        <w:t>l sentence year causes a 4 to 7 </w:t>
      </w:r>
      <w:r w:rsidRPr="00E26985">
        <w:rPr>
          <w:szCs w:val="26"/>
        </w:rPr>
        <w:t>percent increase in reci</w:t>
      </w:r>
      <w:r w:rsidRPr="00E26985">
        <w:rPr>
          <w:szCs w:val="26"/>
        </w:rPr>
        <w:t>divism that eventually outweighs the incapacitation benefit</w:t>
      </w:r>
      <w:r>
        <w:rPr>
          <w:szCs w:val="26"/>
        </w:rPr>
        <w:t>.</w:t>
      </w:r>
      <w:r>
        <w:rPr>
          <w:szCs w:val="26"/>
        </w:rPr>
        <w:t xml:space="preserve">”  An appendix </w:t>
      </w:r>
      <w:r>
        <w:rPr>
          <w:szCs w:val="26"/>
        </w:rPr>
        <w:t>to Special Directive 20</w:t>
      </w:r>
      <w:r>
        <w:rPr>
          <w:szCs w:val="26"/>
        </w:rPr>
        <w:noBreakHyphen/>
      </w:r>
      <w:r>
        <w:rPr>
          <w:szCs w:val="26"/>
        </w:rPr>
        <w:t xml:space="preserve">08 </w:t>
      </w:r>
      <w:r>
        <w:rPr>
          <w:szCs w:val="26"/>
        </w:rPr>
        <w:t>state</w:t>
      </w:r>
      <w:r>
        <w:rPr>
          <w:szCs w:val="26"/>
        </w:rPr>
        <w:t xml:space="preserve">d </w:t>
      </w:r>
      <w:r>
        <w:rPr>
          <w:szCs w:val="26"/>
        </w:rPr>
        <w:t xml:space="preserve">that </w:t>
      </w:r>
      <w:r>
        <w:rPr>
          <w:szCs w:val="26"/>
        </w:rPr>
        <w:t>there was no</w:t>
      </w:r>
      <w:r>
        <w:rPr>
          <w:szCs w:val="26"/>
        </w:rPr>
        <w:t xml:space="preserve"> compelling evidence California’s 100-plus sentenc</w:t>
      </w:r>
      <w:r>
        <w:rPr>
          <w:szCs w:val="26"/>
        </w:rPr>
        <w:t>e</w:t>
      </w:r>
      <w:r>
        <w:rPr>
          <w:szCs w:val="26"/>
        </w:rPr>
        <w:t xml:space="preserve"> enhancements </w:t>
      </w:r>
      <w:r>
        <w:rPr>
          <w:szCs w:val="26"/>
        </w:rPr>
        <w:t>improved public safety</w:t>
      </w:r>
      <w:r>
        <w:rPr>
          <w:szCs w:val="26"/>
        </w:rPr>
        <w:t>, that such enhancements</w:t>
      </w:r>
      <w:r>
        <w:rPr>
          <w:szCs w:val="26"/>
        </w:rPr>
        <w:t xml:space="preserve"> </w:t>
      </w:r>
      <w:r>
        <w:rPr>
          <w:szCs w:val="26"/>
        </w:rPr>
        <w:t>contributed to</w:t>
      </w:r>
      <w:r>
        <w:rPr>
          <w:szCs w:val="26"/>
        </w:rPr>
        <w:t xml:space="preserve"> prison overcrowding</w:t>
      </w:r>
      <w:r>
        <w:rPr>
          <w:szCs w:val="26"/>
        </w:rPr>
        <w:t>,</w:t>
      </w:r>
      <w:r>
        <w:rPr>
          <w:szCs w:val="26"/>
        </w:rPr>
        <w:t xml:space="preserve"> and</w:t>
      </w:r>
      <w:r>
        <w:rPr>
          <w:szCs w:val="26"/>
        </w:rPr>
        <w:t xml:space="preserve"> </w:t>
      </w:r>
      <w:r>
        <w:rPr>
          <w:szCs w:val="26"/>
        </w:rPr>
        <w:t xml:space="preserve">that </w:t>
      </w:r>
      <w:r>
        <w:rPr>
          <w:szCs w:val="26"/>
        </w:rPr>
        <w:t>they</w:t>
      </w:r>
      <w:r>
        <w:rPr>
          <w:szCs w:val="26"/>
        </w:rPr>
        <w:t xml:space="preserve"> “exacerbate[d] racial disparities in the justice system.”  The appendix also state</w:t>
      </w:r>
      <w:r>
        <w:rPr>
          <w:szCs w:val="26"/>
        </w:rPr>
        <w:t>d</w:t>
      </w:r>
      <w:r>
        <w:rPr>
          <w:szCs w:val="26"/>
        </w:rPr>
        <w:t xml:space="preserve"> “long sentences do little” to deter crime</w:t>
      </w:r>
      <w:r>
        <w:rPr>
          <w:szCs w:val="26"/>
        </w:rPr>
        <w:t>.</w:t>
      </w:r>
      <w:r>
        <w:rPr>
          <w:szCs w:val="26"/>
        </w:rPr>
        <w:t xml:space="preserve"> </w:t>
      </w:r>
    </w:p>
    <w:p w14:paraId="026E6D2E" w14:textId="77777777" w:rsidR="00E26985" w:rsidRDefault="00861473" w:rsidP="00F778D6">
      <w:pPr>
        <w:ind w:firstLine="720"/>
        <w:rPr>
          <w:szCs w:val="26"/>
        </w:rPr>
      </w:pPr>
      <w:r>
        <w:rPr>
          <w:szCs w:val="26"/>
        </w:rPr>
        <w:t xml:space="preserve">Special Directive </w:t>
      </w:r>
      <w:r>
        <w:rPr>
          <w:szCs w:val="26"/>
        </w:rPr>
        <w:t>20</w:t>
      </w:r>
      <w:r>
        <w:rPr>
          <w:szCs w:val="26"/>
        </w:rPr>
        <w:noBreakHyphen/>
      </w:r>
      <w:r>
        <w:rPr>
          <w:szCs w:val="26"/>
        </w:rPr>
        <w:t xml:space="preserve">08 </w:t>
      </w:r>
      <w:r>
        <w:rPr>
          <w:szCs w:val="26"/>
        </w:rPr>
        <w:t>instruct</w:t>
      </w:r>
      <w:r>
        <w:rPr>
          <w:szCs w:val="26"/>
        </w:rPr>
        <w:t xml:space="preserve">ed </w:t>
      </w:r>
      <w:r>
        <w:rPr>
          <w:szCs w:val="26"/>
        </w:rPr>
        <w:t>deputy district attorneys</w:t>
      </w:r>
      <w:r>
        <w:rPr>
          <w:szCs w:val="26"/>
        </w:rPr>
        <w:t xml:space="preserve"> in pending cases</w:t>
      </w:r>
      <w:r>
        <w:rPr>
          <w:szCs w:val="26"/>
        </w:rPr>
        <w:t xml:space="preserve"> </w:t>
      </w:r>
      <w:r>
        <w:rPr>
          <w:szCs w:val="26"/>
        </w:rPr>
        <w:t>to move to dismiss or withdraw sentenc</w:t>
      </w:r>
      <w:r>
        <w:rPr>
          <w:szCs w:val="26"/>
        </w:rPr>
        <w:t>e</w:t>
      </w:r>
      <w:r>
        <w:rPr>
          <w:szCs w:val="26"/>
        </w:rPr>
        <w:t xml:space="preserve"> enhancement</w:t>
      </w:r>
      <w:r>
        <w:rPr>
          <w:szCs w:val="26"/>
        </w:rPr>
        <w:t xml:space="preserve"> allegation</w:t>
      </w:r>
      <w:r>
        <w:rPr>
          <w:szCs w:val="26"/>
        </w:rPr>
        <w:t>s.</w:t>
      </w:r>
      <w:r>
        <w:rPr>
          <w:szCs w:val="26"/>
        </w:rPr>
        <w:t xml:space="preserve"> </w:t>
      </w:r>
      <w:r>
        <w:rPr>
          <w:szCs w:val="26"/>
        </w:rPr>
        <w:t xml:space="preserve"> On December </w:t>
      </w:r>
      <w:r>
        <w:rPr>
          <w:szCs w:val="26"/>
        </w:rPr>
        <w:t xml:space="preserve">15, 2020 the </w:t>
      </w:r>
      <w:r>
        <w:rPr>
          <w:szCs w:val="26"/>
        </w:rPr>
        <w:t>d</w:t>
      </w:r>
      <w:r>
        <w:rPr>
          <w:szCs w:val="26"/>
        </w:rPr>
        <w:t xml:space="preserve">istrict </w:t>
      </w:r>
      <w:r>
        <w:rPr>
          <w:szCs w:val="26"/>
        </w:rPr>
        <w:t>a</w:t>
      </w:r>
      <w:r>
        <w:rPr>
          <w:szCs w:val="26"/>
        </w:rPr>
        <w:t xml:space="preserve">ttorney issued a clarification to Special </w:t>
      </w:r>
      <w:r>
        <w:rPr>
          <w:szCs w:val="26"/>
        </w:rPr>
        <w:t>Directive 20</w:t>
      </w:r>
      <w:r>
        <w:rPr>
          <w:szCs w:val="26"/>
        </w:rPr>
        <w:noBreakHyphen/>
      </w:r>
      <w:r>
        <w:rPr>
          <w:szCs w:val="26"/>
        </w:rPr>
        <w:t xml:space="preserve">08 for pending cases </w:t>
      </w:r>
      <w:r>
        <w:rPr>
          <w:szCs w:val="26"/>
        </w:rPr>
        <w:t>where</w:t>
      </w:r>
      <w:r>
        <w:rPr>
          <w:szCs w:val="26"/>
        </w:rPr>
        <w:t xml:space="preserve"> the People had alleged </w:t>
      </w:r>
      <w:r>
        <w:rPr>
          <w:szCs w:val="26"/>
        </w:rPr>
        <w:t xml:space="preserve">prior serious or violent felony convictions under </w:t>
      </w:r>
      <w:r>
        <w:rPr>
          <w:szCs w:val="26"/>
        </w:rPr>
        <w:t>the three strikes law</w:t>
      </w:r>
      <w:r>
        <w:rPr>
          <w:szCs w:val="26"/>
        </w:rPr>
        <w:t xml:space="preserve"> </w:t>
      </w:r>
      <w:r>
        <w:rPr>
          <w:szCs w:val="26"/>
        </w:rPr>
        <w:t>(</w:t>
      </w:r>
      <w:r>
        <w:rPr>
          <w:szCs w:val="26"/>
        </w:rPr>
        <w:t xml:space="preserve">§§ 667, </w:t>
      </w:r>
      <w:r>
        <w:rPr>
          <w:szCs w:val="26"/>
        </w:rPr>
        <w:lastRenderedPageBreak/>
        <w:t>subds. (b)</w:t>
      </w:r>
      <w:r>
        <w:rPr>
          <w:szCs w:val="26"/>
        </w:rPr>
        <w:noBreakHyphen/>
      </w:r>
      <w:r w:rsidRPr="00BC3750">
        <w:rPr>
          <w:szCs w:val="26"/>
        </w:rPr>
        <w:t>(</w:t>
      </w:r>
      <w:r>
        <w:rPr>
          <w:szCs w:val="26"/>
        </w:rPr>
        <w:t>i), 1170.12, subds. (a)</w:t>
      </w:r>
      <w:r>
        <w:rPr>
          <w:szCs w:val="26"/>
        </w:rPr>
        <w:noBreakHyphen/>
      </w:r>
      <w:r w:rsidRPr="00BC3750">
        <w:rPr>
          <w:szCs w:val="26"/>
        </w:rPr>
        <w:t>(d)</w:t>
      </w:r>
      <w:r>
        <w:rPr>
          <w:szCs w:val="26"/>
        </w:rPr>
        <w:t xml:space="preserve">) </w:t>
      </w:r>
      <w:r>
        <w:rPr>
          <w:szCs w:val="26"/>
        </w:rPr>
        <w:t>or sentence enhancements.  In s</w:t>
      </w:r>
      <w:r>
        <w:rPr>
          <w:szCs w:val="26"/>
        </w:rPr>
        <w:t>uch cases, Special Directive 20</w:t>
      </w:r>
      <w:r>
        <w:rPr>
          <w:szCs w:val="26"/>
        </w:rPr>
        <w:noBreakHyphen/>
      </w:r>
      <w:r>
        <w:rPr>
          <w:szCs w:val="26"/>
        </w:rPr>
        <w:t>08.1 direct</w:t>
      </w:r>
      <w:r>
        <w:rPr>
          <w:szCs w:val="26"/>
        </w:rPr>
        <w:t>ed</w:t>
      </w:r>
      <w:r>
        <w:rPr>
          <w:szCs w:val="26"/>
        </w:rPr>
        <w:t xml:space="preserve"> deputy district attorneys to “</w:t>
      </w:r>
      <w:r w:rsidRPr="00A15356">
        <w:rPr>
          <w:szCs w:val="26"/>
        </w:rPr>
        <w:t>make the following record</w:t>
      </w:r>
      <w:r>
        <w:rPr>
          <w:szCs w:val="26"/>
        </w:rPr>
        <w:t>”:</w:t>
      </w:r>
    </w:p>
    <w:p w14:paraId="615F3621" w14:textId="77777777" w:rsidR="00E910A6" w:rsidRDefault="00861473" w:rsidP="00791DB6">
      <w:pPr>
        <w:ind w:firstLine="720"/>
        <w:rPr>
          <w:szCs w:val="26"/>
        </w:rPr>
      </w:pPr>
      <w:r>
        <w:rPr>
          <w:szCs w:val="26"/>
        </w:rPr>
        <w:t>“‘</w:t>
      </w:r>
      <w:r w:rsidRPr="00A15356">
        <w:rPr>
          <w:szCs w:val="26"/>
        </w:rPr>
        <w:t xml:space="preserve">The People move to dismiss and withdraw any strike prior (or other enhancement) in this case. </w:t>
      </w:r>
      <w:r>
        <w:rPr>
          <w:szCs w:val="26"/>
        </w:rPr>
        <w:t xml:space="preserve"> </w:t>
      </w:r>
      <w:r w:rsidRPr="00A15356">
        <w:rPr>
          <w:szCs w:val="26"/>
        </w:rPr>
        <w:t xml:space="preserve">We submit that punishment provided within the sentencing triad of the substantive charge(s) in this case are </w:t>
      </w:r>
      <w:r>
        <w:rPr>
          <w:szCs w:val="26"/>
        </w:rPr>
        <w:t>[</w:t>
      </w:r>
      <w:r w:rsidRPr="00F969CC">
        <w:rPr>
          <w:i/>
          <w:iCs/>
          <w:szCs w:val="26"/>
        </w:rPr>
        <w:t>sic</w:t>
      </w:r>
      <w:r>
        <w:rPr>
          <w:szCs w:val="26"/>
        </w:rPr>
        <w:t xml:space="preserve">] </w:t>
      </w:r>
      <w:r w:rsidRPr="00A15356">
        <w:rPr>
          <w:szCs w:val="26"/>
        </w:rPr>
        <w:t xml:space="preserve">sufficient to protect public safety and serve </w:t>
      </w:r>
      <w:r w:rsidRPr="00A15356">
        <w:rPr>
          <w:szCs w:val="26"/>
        </w:rPr>
        <w:t xml:space="preserve">justice. </w:t>
      </w:r>
      <w:r>
        <w:rPr>
          <w:szCs w:val="26"/>
        </w:rPr>
        <w:t xml:space="preserve"> </w:t>
      </w:r>
      <w:r w:rsidRPr="00A15356">
        <w:rPr>
          <w:szCs w:val="26"/>
        </w:rPr>
        <w:t>Penal Code section 1385 authorizes the People to seek dismissal of all strike prior(s) (or other enhancements) when in the interests of justice.  Supreme Court authority directs this Court to determine those interests by balancing the rights of t</w:t>
      </w:r>
      <w:r w:rsidRPr="00A15356">
        <w:rPr>
          <w:szCs w:val="26"/>
        </w:rPr>
        <w:t xml:space="preserve">he defendant and those of society </w:t>
      </w:r>
      <w:r>
        <w:rPr>
          <w:szCs w:val="26"/>
        </w:rPr>
        <w:t>“</w:t>
      </w:r>
      <w:r w:rsidRPr="00A15356">
        <w:rPr>
          <w:szCs w:val="26"/>
        </w:rPr>
        <w:t>as represented by the People.</w:t>
      </w:r>
      <w:r>
        <w:rPr>
          <w:szCs w:val="26"/>
        </w:rPr>
        <w:t>”</w:t>
      </w:r>
      <w:r w:rsidRPr="00A15356">
        <w:rPr>
          <w:szCs w:val="26"/>
        </w:rPr>
        <w:t xml:space="preserve"> </w:t>
      </w:r>
      <w:r>
        <w:rPr>
          <w:szCs w:val="26"/>
        </w:rPr>
        <w:t xml:space="preserve"> </w:t>
      </w:r>
      <w:r w:rsidRPr="00A15356">
        <w:rPr>
          <w:szCs w:val="26"/>
        </w:rPr>
        <w:t>The California Constitution and State Supreme Court precedent further vest the District Attorney with sole authority to determine whom to charge, what charges to file and pursue, and what p</w:t>
      </w:r>
      <w:r w:rsidRPr="00A15356">
        <w:rPr>
          <w:szCs w:val="26"/>
        </w:rPr>
        <w:t xml:space="preserve">unishment to seek.  That power cannot be stripped from the District Attorney by the Legislature, Judiciary, or voter initiative without amending the California Constitution. </w:t>
      </w:r>
      <w:r>
        <w:rPr>
          <w:szCs w:val="26"/>
        </w:rPr>
        <w:t>. . .</w:t>
      </w:r>
      <w:r>
        <w:rPr>
          <w:szCs w:val="26"/>
        </w:rPr>
        <w:t xml:space="preserve">  </w:t>
      </w:r>
      <w:r w:rsidRPr="00A15356">
        <w:rPr>
          <w:szCs w:val="26"/>
        </w:rPr>
        <w:t>Additional punishment provided by sentencing enhancements or special allega</w:t>
      </w:r>
      <w:r w:rsidRPr="00A15356">
        <w:rPr>
          <w:szCs w:val="26"/>
        </w:rPr>
        <w:t>tions provide</w:t>
      </w:r>
      <w:r>
        <w:rPr>
          <w:szCs w:val="26"/>
        </w:rPr>
        <w:t>[s]</w:t>
      </w:r>
      <w:r w:rsidRPr="00A15356">
        <w:rPr>
          <w:szCs w:val="26"/>
        </w:rPr>
        <w:t xml:space="preserve"> no deterrent effect or public safety benefit of incapacitation</w:t>
      </w:r>
      <w:r>
        <w:rPr>
          <w:szCs w:val="26"/>
        </w:rPr>
        <w:t>—</w:t>
      </w:r>
      <w:r w:rsidRPr="00A15356">
        <w:rPr>
          <w:szCs w:val="26"/>
        </w:rPr>
        <w:t>in fact, the opposite may be true, wasting critical financial state and local resources.</w:t>
      </w:r>
      <w:r>
        <w:rPr>
          <w:szCs w:val="26"/>
        </w:rPr>
        <w:t>’</w:t>
      </w:r>
      <w:r w:rsidRPr="00A15356">
        <w:rPr>
          <w:szCs w:val="26"/>
        </w:rPr>
        <w:t>”</w:t>
      </w:r>
      <w:r>
        <w:rPr>
          <w:rStyle w:val="FootnoteReference"/>
          <w:szCs w:val="26"/>
        </w:rPr>
        <w:footnoteReference w:id="3"/>
      </w:r>
      <w:r>
        <w:rPr>
          <w:szCs w:val="26"/>
        </w:rPr>
        <w:t xml:space="preserve">  </w:t>
      </w:r>
      <w:r>
        <w:rPr>
          <w:szCs w:val="26"/>
        </w:rPr>
        <w:t>If a trial court refuse</w:t>
      </w:r>
      <w:r>
        <w:rPr>
          <w:szCs w:val="26"/>
        </w:rPr>
        <w:t>d</w:t>
      </w:r>
      <w:r>
        <w:rPr>
          <w:szCs w:val="26"/>
        </w:rPr>
        <w:t xml:space="preserve"> to dismiss </w:t>
      </w:r>
      <w:r>
        <w:rPr>
          <w:szCs w:val="26"/>
        </w:rPr>
        <w:t xml:space="preserve">allegations of prior serious or violent </w:t>
      </w:r>
      <w:r>
        <w:rPr>
          <w:szCs w:val="26"/>
        </w:rPr>
        <w:lastRenderedPageBreak/>
        <w:t>felony</w:t>
      </w:r>
      <w:r>
        <w:rPr>
          <w:szCs w:val="26"/>
        </w:rPr>
        <w:t xml:space="preserve"> convictions under the three strikes law or refused to dismiss </w:t>
      </w:r>
      <w:r>
        <w:rPr>
          <w:szCs w:val="26"/>
        </w:rPr>
        <w:t xml:space="preserve">sentencing </w:t>
      </w:r>
      <w:r>
        <w:rPr>
          <w:szCs w:val="26"/>
        </w:rPr>
        <w:t xml:space="preserve">allegations under section 1385, Special Directive 20-08.1 </w:t>
      </w:r>
      <w:r>
        <w:rPr>
          <w:szCs w:val="26"/>
        </w:rPr>
        <w:t xml:space="preserve">instructed </w:t>
      </w:r>
      <w:r>
        <w:rPr>
          <w:szCs w:val="26"/>
        </w:rPr>
        <w:t>deputy district attorneys to “</w:t>
      </w:r>
      <w:r w:rsidRPr="00A15356">
        <w:rPr>
          <w:szCs w:val="26"/>
        </w:rPr>
        <w:t>seek leave of the court to file an amended charging document pursuant to Penal Code</w:t>
      </w:r>
      <w:r w:rsidRPr="00A15356">
        <w:rPr>
          <w:szCs w:val="26"/>
        </w:rPr>
        <w:t xml:space="preserve"> section 1009.</w:t>
      </w:r>
      <w:r>
        <w:rPr>
          <w:szCs w:val="26"/>
        </w:rPr>
        <w:t>”</w:t>
      </w:r>
    </w:p>
    <w:p w14:paraId="1CAC8794" w14:textId="77777777" w:rsidR="00E910A6" w:rsidRDefault="00861473" w:rsidP="008F6E40">
      <w:pPr>
        <w:ind w:firstLine="720"/>
        <w:rPr>
          <w:szCs w:val="26"/>
        </w:rPr>
      </w:pPr>
    </w:p>
    <w:p w14:paraId="21D9FF5A" w14:textId="77777777" w:rsidR="00521527" w:rsidRDefault="00861473" w:rsidP="00521C0A">
      <w:pPr>
        <w:keepNext/>
        <w:ind w:left="1440" w:hanging="720"/>
        <w:rPr>
          <w:i/>
          <w:iCs/>
          <w:szCs w:val="26"/>
        </w:rPr>
      </w:pPr>
      <w:r>
        <w:rPr>
          <w:szCs w:val="26"/>
        </w:rPr>
        <w:t>C.</w:t>
      </w:r>
      <w:r>
        <w:rPr>
          <w:szCs w:val="26"/>
        </w:rPr>
        <w:tab/>
      </w:r>
      <w:r>
        <w:rPr>
          <w:i/>
          <w:iCs/>
          <w:szCs w:val="26"/>
        </w:rPr>
        <w:t xml:space="preserve">The </w:t>
      </w:r>
      <w:r>
        <w:rPr>
          <w:i/>
          <w:iCs/>
          <w:szCs w:val="26"/>
        </w:rPr>
        <w:t xml:space="preserve">Trial </w:t>
      </w:r>
      <w:r>
        <w:rPr>
          <w:i/>
          <w:iCs/>
          <w:szCs w:val="26"/>
        </w:rPr>
        <w:t xml:space="preserve">Court Denies the People’s Motion To Dismiss the </w:t>
      </w:r>
      <w:r>
        <w:rPr>
          <w:i/>
          <w:iCs/>
          <w:szCs w:val="26"/>
        </w:rPr>
        <w:t xml:space="preserve">Firearm Enhancements </w:t>
      </w:r>
    </w:p>
    <w:p w14:paraId="4325D738" w14:textId="77777777" w:rsidR="0042478E" w:rsidRDefault="00861473" w:rsidP="00521C0A">
      <w:pPr>
        <w:keepNext/>
        <w:ind w:firstLine="720"/>
        <w:rPr>
          <w:szCs w:val="26"/>
        </w:rPr>
      </w:pPr>
      <w:r>
        <w:rPr>
          <w:szCs w:val="26"/>
        </w:rPr>
        <w:t>On December </w:t>
      </w:r>
      <w:r>
        <w:rPr>
          <w:szCs w:val="26"/>
        </w:rPr>
        <w:t xml:space="preserve">11, 2020 the People </w:t>
      </w:r>
      <w:r>
        <w:rPr>
          <w:szCs w:val="26"/>
        </w:rPr>
        <w:t xml:space="preserve">orally </w:t>
      </w:r>
      <w:r>
        <w:rPr>
          <w:szCs w:val="26"/>
        </w:rPr>
        <w:t>moved</w:t>
      </w:r>
      <w:r>
        <w:rPr>
          <w:szCs w:val="26"/>
        </w:rPr>
        <w:t xml:space="preserve"> </w:t>
      </w:r>
      <w:r>
        <w:rPr>
          <w:szCs w:val="26"/>
        </w:rPr>
        <w:t>under</w:t>
      </w:r>
      <w:r>
        <w:rPr>
          <w:szCs w:val="26"/>
        </w:rPr>
        <w:t xml:space="preserve"> section 1385</w:t>
      </w:r>
      <w:r>
        <w:rPr>
          <w:szCs w:val="26"/>
        </w:rPr>
        <w:t xml:space="preserve"> to dismiss the firearm enhancements </w:t>
      </w:r>
      <w:r>
        <w:rPr>
          <w:szCs w:val="26"/>
        </w:rPr>
        <w:t xml:space="preserve">alleged </w:t>
      </w:r>
      <w:r>
        <w:rPr>
          <w:szCs w:val="26"/>
        </w:rPr>
        <w:t xml:space="preserve">in the fourth amended complaint.  </w:t>
      </w:r>
      <w:r>
        <w:rPr>
          <w:szCs w:val="26"/>
        </w:rPr>
        <w:t>The trial court</w:t>
      </w:r>
      <w:r>
        <w:rPr>
          <w:szCs w:val="26"/>
        </w:rPr>
        <w:t xml:space="preserve">, stating </w:t>
      </w:r>
      <w:r>
        <w:rPr>
          <w:szCs w:val="26"/>
        </w:rPr>
        <w:t xml:space="preserve">it understood the motion </w:t>
      </w:r>
      <w:r>
        <w:rPr>
          <w:szCs w:val="26"/>
        </w:rPr>
        <w:t>was</w:t>
      </w:r>
      <w:r>
        <w:rPr>
          <w:szCs w:val="26"/>
        </w:rPr>
        <w:t xml:space="preserve"> </w:t>
      </w:r>
      <w:r>
        <w:rPr>
          <w:szCs w:val="26"/>
        </w:rPr>
        <w:t xml:space="preserve">“based solely on District Attorney </w:t>
      </w:r>
      <w:r>
        <w:rPr>
          <w:szCs w:val="26"/>
        </w:rPr>
        <w:t>Gascón</w:t>
      </w:r>
      <w:r>
        <w:rPr>
          <w:szCs w:val="26"/>
        </w:rPr>
        <w:t>’s Special Directive</w:t>
      </w:r>
      <w:r>
        <w:rPr>
          <w:szCs w:val="26"/>
        </w:rPr>
        <w:t>,</w:t>
      </w:r>
      <w:r>
        <w:rPr>
          <w:szCs w:val="26"/>
        </w:rPr>
        <w:t xml:space="preserve">” denied the motion.  The court </w:t>
      </w:r>
      <w:r>
        <w:rPr>
          <w:szCs w:val="26"/>
        </w:rPr>
        <w:t xml:space="preserve">stated </w:t>
      </w:r>
      <w:r>
        <w:rPr>
          <w:szCs w:val="26"/>
        </w:rPr>
        <w:t>that</w:t>
      </w:r>
      <w:r>
        <w:rPr>
          <w:szCs w:val="26"/>
        </w:rPr>
        <w:t xml:space="preserve"> “the People may file an amended information omitting the enhan</w:t>
      </w:r>
      <w:r>
        <w:rPr>
          <w:szCs w:val="26"/>
        </w:rPr>
        <w:t xml:space="preserve">cements that are at issue here, and if they do that, we can proceed, but insofar as the motion to dismiss the existing information under </w:t>
      </w:r>
      <w:r>
        <w:rPr>
          <w:szCs w:val="26"/>
        </w:rPr>
        <w:t>. . .</w:t>
      </w:r>
      <w:r>
        <w:rPr>
          <w:szCs w:val="26"/>
        </w:rPr>
        <w:t xml:space="preserve"> section 1385, it is without legal justification.”  The court </w:t>
      </w:r>
      <w:r>
        <w:rPr>
          <w:szCs w:val="26"/>
        </w:rPr>
        <w:t xml:space="preserve">said </w:t>
      </w:r>
      <w:r>
        <w:rPr>
          <w:szCs w:val="26"/>
        </w:rPr>
        <w:t>the cases “</w:t>
      </w:r>
      <w:r>
        <w:rPr>
          <w:szCs w:val="26"/>
        </w:rPr>
        <w:t>are clear that the exercise of discr</w:t>
      </w:r>
      <w:r>
        <w:rPr>
          <w:szCs w:val="26"/>
        </w:rPr>
        <w:t xml:space="preserve">etion under [section] 1385 must be based on an individualized consideration of the offense and the offender and not on any antipathy or disagreement with the statutory scheme.” </w:t>
      </w:r>
    </w:p>
    <w:p w14:paraId="1DBE49AD" w14:textId="77777777" w:rsidR="002604E4" w:rsidRDefault="00861473" w:rsidP="00486801">
      <w:pPr>
        <w:ind w:firstLine="720"/>
        <w:rPr>
          <w:szCs w:val="26"/>
        </w:rPr>
      </w:pPr>
      <w:r>
        <w:rPr>
          <w:szCs w:val="26"/>
        </w:rPr>
        <w:t>On December </w:t>
      </w:r>
      <w:r>
        <w:rPr>
          <w:szCs w:val="26"/>
        </w:rPr>
        <w:t xml:space="preserve">18, 2020 the People filed </w:t>
      </w:r>
      <w:r>
        <w:rPr>
          <w:szCs w:val="26"/>
        </w:rPr>
        <w:t>a written motion</w:t>
      </w:r>
      <w:r>
        <w:rPr>
          <w:szCs w:val="26"/>
        </w:rPr>
        <w:t xml:space="preserve"> under section 1385 to d</w:t>
      </w:r>
      <w:r>
        <w:rPr>
          <w:szCs w:val="26"/>
        </w:rPr>
        <w:t>ismiss the firearm enhancement</w:t>
      </w:r>
      <w:r>
        <w:rPr>
          <w:szCs w:val="26"/>
        </w:rPr>
        <w:t>s</w:t>
      </w:r>
      <w:r>
        <w:rPr>
          <w:szCs w:val="26"/>
        </w:rPr>
        <w:t>, r</w:t>
      </w:r>
      <w:r>
        <w:rPr>
          <w:szCs w:val="26"/>
        </w:rPr>
        <w:t>estating verbatim the ar</w:t>
      </w:r>
      <w:r>
        <w:rPr>
          <w:szCs w:val="26"/>
        </w:rPr>
        <w:t xml:space="preserve">guments </w:t>
      </w:r>
      <w:r>
        <w:rPr>
          <w:szCs w:val="26"/>
        </w:rPr>
        <w:t xml:space="preserve">recited </w:t>
      </w:r>
      <w:r>
        <w:rPr>
          <w:szCs w:val="26"/>
        </w:rPr>
        <w:t>in Special Directive 20</w:t>
      </w:r>
      <w:r>
        <w:rPr>
          <w:szCs w:val="26"/>
        </w:rPr>
        <w:noBreakHyphen/>
      </w:r>
      <w:r>
        <w:rPr>
          <w:szCs w:val="26"/>
        </w:rPr>
        <w:t>08.1</w:t>
      </w:r>
      <w:r>
        <w:rPr>
          <w:szCs w:val="26"/>
        </w:rPr>
        <w:t xml:space="preserve">.  </w:t>
      </w:r>
      <w:r>
        <w:rPr>
          <w:szCs w:val="26"/>
        </w:rPr>
        <w:t>In the alternative</w:t>
      </w:r>
      <w:r>
        <w:rPr>
          <w:szCs w:val="26"/>
        </w:rPr>
        <w:t xml:space="preserve"> the People</w:t>
      </w:r>
      <w:r>
        <w:rPr>
          <w:szCs w:val="26"/>
        </w:rPr>
        <w:t xml:space="preserve"> </w:t>
      </w:r>
      <w:r>
        <w:rPr>
          <w:szCs w:val="26"/>
        </w:rPr>
        <w:t>sought leave to file</w:t>
      </w:r>
      <w:r>
        <w:rPr>
          <w:szCs w:val="26"/>
        </w:rPr>
        <w:t xml:space="preserve"> an amended complaint omitting the firearm </w:t>
      </w:r>
      <w:r>
        <w:rPr>
          <w:szCs w:val="26"/>
        </w:rPr>
        <w:t>allegations</w:t>
      </w:r>
      <w:r>
        <w:rPr>
          <w:szCs w:val="26"/>
        </w:rPr>
        <w:t xml:space="preserve">.  </w:t>
      </w:r>
      <w:r>
        <w:rPr>
          <w:szCs w:val="26"/>
        </w:rPr>
        <w:t xml:space="preserve">At </w:t>
      </w:r>
      <w:r>
        <w:rPr>
          <w:szCs w:val="26"/>
        </w:rPr>
        <w:t xml:space="preserve">the </w:t>
      </w:r>
      <w:r>
        <w:rPr>
          <w:szCs w:val="26"/>
        </w:rPr>
        <w:t>hearing</w:t>
      </w:r>
      <w:r>
        <w:rPr>
          <w:szCs w:val="26"/>
        </w:rPr>
        <w:t>,</w:t>
      </w:r>
      <w:r>
        <w:rPr>
          <w:szCs w:val="26"/>
        </w:rPr>
        <w:t xml:space="preserve"> </w:t>
      </w:r>
      <w:r>
        <w:rPr>
          <w:szCs w:val="26"/>
        </w:rPr>
        <w:t xml:space="preserve">the prosecutor </w:t>
      </w:r>
      <w:r>
        <w:rPr>
          <w:szCs w:val="26"/>
        </w:rPr>
        <w:t>did not present any argument</w:t>
      </w:r>
      <w:r>
        <w:rPr>
          <w:szCs w:val="26"/>
        </w:rPr>
        <w:t xml:space="preserve"> in support of the motions</w:t>
      </w:r>
      <w:r>
        <w:rPr>
          <w:szCs w:val="26"/>
        </w:rPr>
        <w:t>,</w:t>
      </w:r>
      <w:r>
        <w:rPr>
          <w:szCs w:val="26"/>
        </w:rPr>
        <w:t xml:space="preserve"> </w:t>
      </w:r>
      <w:r>
        <w:rPr>
          <w:szCs w:val="26"/>
        </w:rPr>
        <w:t xml:space="preserve">other than parroting </w:t>
      </w:r>
      <w:r>
        <w:rPr>
          <w:szCs w:val="26"/>
        </w:rPr>
        <w:t>the l</w:t>
      </w:r>
      <w:r>
        <w:rPr>
          <w:szCs w:val="26"/>
        </w:rPr>
        <w:t>anguage of Special Directive 20</w:t>
      </w:r>
      <w:r>
        <w:rPr>
          <w:szCs w:val="26"/>
        </w:rPr>
        <w:noBreakHyphen/>
      </w:r>
      <w:r>
        <w:rPr>
          <w:szCs w:val="26"/>
        </w:rPr>
        <w:t xml:space="preserve">08.1.  </w:t>
      </w:r>
    </w:p>
    <w:p w14:paraId="281D2C85" w14:textId="77777777" w:rsidR="009E2423" w:rsidRDefault="00861473" w:rsidP="00486801">
      <w:pPr>
        <w:ind w:firstLine="720"/>
        <w:rPr>
          <w:szCs w:val="26"/>
        </w:rPr>
      </w:pPr>
      <w:r>
        <w:rPr>
          <w:szCs w:val="26"/>
        </w:rPr>
        <w:lastRenderedPageBreak/>
        <w:t>C</w:t>
      </w:r>
      <w:r>
        <w:rPr>
          <w:szCs w:val="26"/>
        </w:rPr>
        <w:t xml:space="preserve">ounsel for Nazir argued the </w:t>
      </w:r>
      <w:r>
        <w:rPr>
          <w:szCs w:val="26"/>
        </w:rPr>
        <w:t>court</w:t>
      </w:r>
      <w:r>
        <w:rPr>
          <w:szCs w:val="26"/>
        </w:rPr>
        <w:t xml:space="preserve"> </w:t>
      </w:r>
      <w:r>
        <w:rPr>
          <w:szCs w:val="26"/>
        </w:rPr>
        <w:t>erred in denying</w:t>
      </w:r>
      <w:r>
        <w:rPr>
          <w:szCs w:val="26"/>
        </w:rPr>
        <w:t xml:space="preserve"> the </w:t>
      </w:r>
      <w:r>
        <w:rPr>
          <w:szCs w:val="26"/>
        </w:rPr>
        <w:t xml:space="preserve">People’s </w:t>
      </w:r>
      <w:r>
        <w:rPr>
          <w:szCs w:val="26"/>
        </w:rPr>
        <w:t xml:space="preserve">previous </w:t>
      </w:r>
      <w:r>
        <w:rPr>
          <w:szCs w:val="26"/>
        </w:rPr>
        <w:t xml:space="preserve">motion to dismiss </w:t>
      </w:r>
      <w:r>
        <w:rPr>
          <w:szCs w:val="26"/>
        </w:rPr>
        <w:t>by applying</w:t>
      </w:r>
      <w:r>
        <w:rPr>
          <w:szCs w:val="26"/>
        </w:rPr>
        <w:t xml:space="preserve"> case</w:t>
      </w:r>
      <w:r>
        <w:rPr>
          <w:szCs w:val="26"/>
        </w:rPr>
        <w:t xml:space="preserve"> law </w:t>
      </w:r>
      <w:r>
        <w:rPr>
          <w:szCs w:val="26"/>
        </w:rPr>
        <w:t>that i</w:t>
      </w:r>
      <w:r>
        <w:rPr>
          <w:szCs w:val="26"/>
        </w:rPr>
        <w:t>nvolved</w:t>
      </w:r>
      <w:r>
        <w:rPr>
          <w:szCs w:val="26"/>
        </w:rPr>
        <w:t xml:space="preserve"> </w:t>
      </w:r>
      <w:r>
        <w:rPr>
          <w:szCs w:val="26"/>
        </w:rPr>
        <w:t xml:space="preserve">a </w:t>
      </w:r>
      <w:r>
        <w:rPr>
          <w:szCs w:val="26"/>
        </w:rPr>
        <w:t>trial</w:t>
      </w:r>
      <w:r>
        <w:rPr>
          <w:szCs w:val="26"/>
        </w:rPr>
        <w:t xml:space="preserve"> </w:t>
      </w:r>
      <w:r>
        <w:rPr>
          <w:szCs w:val="26"/>
        </w:rPr>
        <w:t>court</w:t>
      </w:r>
      <w:r>
        <w:rPr>
          <w:szCs w:val="26"/>
        </w:rPr>
        <w:t xml:space="preserve"> </w:t>
      </w:r>
      <w:r>
        <w:rPr>
          <w:szCs w:val="26"/>
        </w:rPr>
        <w:t>dismiss</w:t>
      </w:r>
      <w:r>
        <w:rPr>
          <w:szCs w:val="26"/>
        </w:rPr>
        <w:t>ing</w:t>
      </w:r>
      <w:r>
        <w:rPr>
          <w:szCs w:val="26"/>
        </w:rPr>
        <w:t xml:space="preserve"> prior convictions </w:t>
      </w:r>
      <w:r>
        <w:rPr>
          <w:szCs w:val="26"/>
        </w:rPr>
        <w:t xml:space="preserve">on </w:t>
      </w:r>
      <w:r>
        <w:rPr>
          <w:szCs w:val="26"/>
        </w:rPr>
        <w:t>its</w:t>
      </w:r>
      <w:r>
        <w:rPr>
          <w:szCs w:val="26"/>
        </w:rPr>
        <w:t xml:space="preserve"> </w:t>
      </w:r>
      <w:r>
        <w:rPr>
          <w:szCs w:val="26"/>
        </w:rPr>
        <w:t>own motion</w:t>
      </w:r>
      <w:r>
        <w:rPr>
          <w:szCs w:val="26"/>
        </w:rPr>
        <w:t>,</w:t>
      </w:r>
      <w:r>
        <w:rPr>
          <w:szCs w:val="26"/>
        </w:rPr>
        <w:t xml:space="preserve"> </w:t>
      </w:r>
      <w:r>
        <w:rPr>
          <w:szCs w:val="26"/>
        </w:rPr>
        <w:t xml:space="preserve">rather than a motion </w:t>
      </w:r>
      <w:r>
        <w:rPr>
          <w:szCs w:val="26"/>
        </w:rPr>
        <w:t>by</w:t>
      </w:r>
      <w:r>
        <w:rPr>
          <w:szCs w:val="26"/>
        </w:rPr>
        <w:t xml:space="preserve"> the</w:t>
      </w:r>
      <w:r>
        <w:rPr>
          <w:szCs w:val="26"/>
        </w:rPr>
        <w:t xml:space="preserve"> People. </w:t>
      </w:r>
      <w:r>
        <w:rPr>
          <w:szCs w:val="26"/>
        </w:rPr>
        <w:t xml:space="preserve"> Counsel for Nazir also argued denying the People’s motion would violate Nazir’s </w:t>
      </w:r>
      <w:r>
        <w:rPr>
          <w:szCs w:val="26"/>
        </w:rPr>
        <w:t xml:space="preserve">equal protection </w:t>
      </w:r>
      <w:r>
        <w:rPr>
          <w:szCs w:val="26"/>
        </w:rPr>
        <w:t xml:space="preserve">rights because </w:t>
      </w:r>
      <w:r>
        <w:rPr>
          <w:szCs w:val="26"/>
        </w:rPr>
        <w:t>Nazir</w:t>
      </w:r>
      <w:r>
        <w:rPr>
          <w:szCs w:val="26"/>
        </w:rPr>
        <w:t xml:space="preserve"> would be subject to greater pun</w:t>
      </w:r>
      <w:r>
        <w:rPr>
          <w:szCs w:val="26"/>
        </w:rPr>
        <w:t xml:space="preserve">ishment for the same crimes committed by someone charged </w:t>
      </w:r>
      <w:r>
        <w:rPr>
          <w:szCs w:val="26"/>
        </w:rPr>
        <w:t xml:space="preserve">(originally) </w:t>
      </w:r>
      <w:r>
        <w:rPr>
          <w:szCs w:val="26"/>
        </w:rPr>
        <w:t xml:space="preserve">by </w:t>
      </w:r>
      <w:r>
        <w:rPr>
          <w:szCs w:val="26"/>
        </w:rPr>
        <w:t>the new d</w:t>
      </w:r>
      <w:r>
        <w:rPr>
          <w:szCs w:val="26"/>
        </w:rPr>
        <w:t xml:space="preserve">istrict </w:t>
      </w:r>
      <w:r>
        <w:rPr>
          <w:szCs w:val="26"/>
        </w:rPr>
        <w:t>a</w:t>
      </w:r>
      <w:r>
        <w:rPr>
          <w:szCs w:val="26"/>
        </w:rPr>
        <w:t xml:space="preserve">ttorney </w:t>
      </w:r>
      <w:r>
        <w:rPr>
          <w:szCs w:val="26"/>
        </w:rPr>
        <w:t xml:space="preserve">under </w:t>
      </w:r>
      <w:r>
        <w:rPr>
          <w:szCs w:val="26"/>
        </w:rPr>
        <w:t>Special Directive 20</w:t>
      </w:r>
      <w:r>
        <w:rPr>
          <w:szCs w:val="26"/>
        </w:rPr>
        <w:noBreakHyphen/>
      </w:r>
      <w:r>
        <w:rPr>
          <w:szCs w:val="26"/>
        </w:rPr>
        <w:t>08</w:t>
      </w:r>
      <w:r>
        <w:rPr>
          <w:szCs w:val="26"/>
        </w:rPr>
        <w:t xml:space="preserve">. </w:t>
      </w:r>
      <w:r>
        <w:rPr>
          <w:szCs w:val="26"/>
        </w:rPr>
        <w:t xml:space="preserve"> Counsel for Nazir further argued</w:t>
      </w:r>
      <w:r>
        <w:rPr>
          <w:szCs w:val="26"/>
        </w:rPr>
        <w:t xml:space="preserve"> that, because </w:t>
      </w:r>
      <w:r>
        <w:rPr>
          <w:szCs w:val="26"/>
        </w:rPr>
        <w:t xml:space="preserve">a </w:t>
      </w:r>
      <w:r>
        <w:rPr>
          <w:szCs w:val="26"/>
        </w:rPr>
        <w:t xml:space="preserve">defendant charged before the change in policy </w:t>
      </w:r>
      <w:r>
        <w:rPr>
          <w:szCs w:val="26"/>
        </w:rPr>
        <w:t>was</w:t>
      </w:r>
      <w:r>
        <w:rPr>
          <w:szCs w:val="26"/>
        </w:rPr>
        <w:t xml:space="preserve"> treated differently from </w:t>
      </w:r>
      <w:r>
        <w:rPr>
          <w:szCs w:val="26"/>
        </w:rPr>
        <w:t xml:space="preserve">a </w:t>
      </w:r>
      <w:r>
        <w:rPr>
          <w:szCs w:val="26"/>
        </w:rPr>
        <w:t xml:space="preserve">similarly situated </w:t>
      </w:r>
      <w:r>
        <w:rPr>
          <w:szCs w:val="26"/>
        </w:rPr>
        <w:t>defendant</w:t>
      </w:r>
      <w:r>
        <w:rPr>
          <w:szCs w:val="26"/>
        </w:rPr>
        <w:t xml:space="preserve"> </w:t>
      </w:r>
      <w:r>
        <w:rPr>
          <w:szCs w:val="26"/>
        </w:rPr>
        <w:t xml:space="preserve">charged after the </w:t>
      </w:r>
      <w:r>
        <w:rPr>
          <w:szCs w:val="26"/>
        </w:rPr>
        <w:t>change</w:t>
      </w:r>
      <w:r>
        <w:rPr>
          <w:szCs w:val="26"/>
        </w:rPr>
        <w:t xml:space="preserve">, granting the People’s motion </w:t>
      </w:r>
      <w:r>
        <w:rPr>
          <w:szCs w:val="26"/>
        </w:rPr>
        <w:t xml:space="preserve">was in furtherance of justice under section 1385.  </w:t>
      </w:r>
    </w:p>
    <w:p w14:paraId="0241A66A" w14:textId="77777777" w:rsidR="0029655C" w:rsidRDefault="00861473" w:rsidP="00486801">
      <w:pPr>
        <w:ind w:firstLine="720"/>
        <w:rPr>
          <w:szCs w:val="26"/>
        </w:rPr>
      </w:pPr>
      <w:r>
        <w:rPr>
          <w:szCs w:val="26"/>
        </w:rPr>
        <w:t xml:space="preserve">The </w:t>
      </w:r>
      <w:r>
        <w:rPr>
          <w:szCs w:val="26"/>
        </w:rPr>
        <w:t xml:space="preserve">trial </w:t>
      </w:r>
      <w:r>
        <w:rPr>
          <w:szCs w:val="26"/>
        </w:rPr>
        <w:t xml:space="preserve">court again denied the People’s motion to dismiss the firearm </w:t>
      </w:r>
      <w:r>
        <w:rPr>
          <w:szCs w:val="26"/>
        </w:rPr>
        <w:t>allegations</w:t>
      </w:r>
      <w:r>
        <w:rPr>
          <w:szCs w:val="26"/>
        </w:rPr>
        <w:t>.  The co</w:t>
      </w:r>
      <w:r>
        <w:rPr>
          <w:szCs w:val="26"/>
        </w:rPr>
        <w:t xml:space="preserve">urt stated </w:t>
      </w:r>
      <w:r>
        <w:rPr>
          <w:szCs w:val="26"/>
        </w:rPr>
        <w:t xml:space="preserve">that, because </w:t>
      </w:r>
      <w:r>
        <w:rPr>
          <w:szCs w:val="26"/>
        </w:rPr>
        <w:t>the “exclusive basis” for the motion was the Special Directive</w:t>
      </w:r>
      <w:r>
        <w:rPr>
          <w:szCs w:val="26"/>
        </w:rPr>
        <w:t>, in order to grant the motion the court “</w:t>
      </w:r>
      <w:r>
        <w:rPr>
          <w:szCs w:val="26"/>
        </w:rPr>
        <w:t xml:space="preserve">would have to adopt [the </w:t>
      </w:r>
      <w:r>
        <w:rPr>
          <w:szCs w:val="26"/>
        </w:rPr>
        <w:t>d</w:t>
      </w:r>
      <w:r>
        <w:rPr>
          <w:szCs w:val="26"/>
        </w:rPr>
        <w:t xml:space="preserve">istrict </w:t>
      </w:r>
      <w:r>
        <w:rPr>
          <w:szCs w:val="26"/>
        </w:rPr>
        <w:t>a</w:t>
      </w:r>
      <w:r>
        <w:rPr>
          <w:szCs w:val="26"/>
        </w:rPr>
        <w:t>ttorney’s] rationale,</w:t>
      </w:r>
      <w:r>
        <w:rPr>
          <w:szCs w:val="26"/>
        </w:rPr>
        <w:t>” which the court concluded was “</w:t>
      </w:r>
      <w:r>
        <w:rPr>
          <w:szCs w:val="26"/>
        </w:rPr>
        <w:t>not a permissible basis” on which to g</w:t>
      </w:r>
      <w:r>
        <w:rPr>
          <w:szCs w:val="26"/>
        </w:rPr>
        <w:t>rant the motion.  The court</w:t>
      </w:r>
      <w:r>
        <w:rPr>
          <w:szCs w:val="26"/>
        </w:rPr>
        <w:t>, after considering “</w:t>
      </w:r>
      <w:r>
        <w:rPr>
          <w:szCs w:val="26"/>
        </w:rPr>
        <w:t>the preliminary hearing transcript, information, the probation report</w:t>
      </w:r>
      <w:r>
        <w:rPr>
          <w:szCs w:val="26"/>
        </w:rPr>
        <w:t>,</w:t>
      </w:r>
      <w:r>
        <w:rPr>
          <w:szCs w:val="26"/>
        </w:rPr>
        <w:t xml:space="preserve">” and “the </w:t>
      </w:r>
      <w:r>
        <w:rPr>
          <w:szCs w:val="26"/>
        </w:rPr>
        <w:t xml:space="preserve">nature of the offense and the </w:t>
      </w:r>
      <w:r>
        <w:rPr>
          <w:szCs w:val="26"/>
        </w:rPr>
        <w:t>background and character of Mr. </w:t>
      </w:r>
      <w:r>
        <w:rPr>
          <w:szCs w:val="26"/>
        </w:rPr>
        <w:t>Nazir,</w:t>
      </w:r>
      <w:r>
        <w:rPr>
          <w:szCs w:val="26"/>
        </w:rPr>
        <w:t>” ruled “</w:t>
      </w:r>
      <w:r>
        <w:rPr>
          <w:szCs w:val="26"/>
        </w:rPr>
        <w:t>t</w:t>
      </w:r>
      <w:r>
        <w:rPr>
          <w:szCs w:val="26"/>
        </w:rPr>
        <w:t>h</w:t>
      </w:r>
      <w:r>
        <w:rPr>
          <w:szCs w:val="26"/>
        </w:rPr>
        <w:t>e</w:t>
      </w:r>
      <w:r>
        <w:rPr>
          <w:szCs w:val="26"/>
        </w:rPr>
        <w:t xml:space="preserve"> motion to dismiss the enhancements is not in t</w:t>
      </w:r>
      <w:r>
        <w:rPr>
          <w:szCs w:val="26"/>
        </w:rPr>
        <w:t xml:space="preserve">he interest of justice.”  </w:t>
      </w:r>
    </w:p>
    <w:p w14:paraId="2B99D78C" w14:textId="77777777" w:rsidR="0029655C" w:rsidRDefault="00861473" w:rsidP="003E51F9">
      <w:pPr>
        <w:ind w:firstLine="720"/>
        <w:rPr>
          <w:szCs w:val="26"/>
        </w:rPr>
      </w:pPr>
      <w:r>
        <w:rPr>
          <w:szCs w:val="26"/>
        </w:rPr>
        <w:t>The court</w:t>
      </w:r>
      <w:r>
        <w:rPr>
          <w:szCs w:val="26"/>
        </w:rPr>
        <w:t xml:space="preserve">, stating it had “rethought” </w:t>
      </w:r>
      <w:r>
        <w:rPr>
          <w:szCs w:val="26"/>
        </w:rPr>
        <w:t>its position since the December </w:t>
      </w:r>
      <w:r>
        <w:rPr>
          <w:szCs w:val="26"/>
        </w:rPr>
        <w:t>11, 2020 hearing,</w:t>
      </w:r>
      <w:r>
        <w:rPr>
          <w:szCs w:val="26"/>
        </w:rPr>
        <w:t xml:space="preserve"> also denied </w:t>
      </w:r>
      <w:r>
        <w:rPr>
          <w:szCs w:val="26"/>
        </w:rPr>
        <w:t>the People</w:t>
      </w:r>
      <w:r>
        <w:rPr>
          <w:szCs w:val="26"/>
        </w:rPr>
        <w:t>’s motion for</w:t>
      </w:r>
      <w:r>
        <w:rPr>
          <w:szCs w:val="26"/>
        </w:rPr>
        <w:t xml:space="preserve"> </w:t>
      </w:r>
      <w:r>
        <w:rPr>
          <w:szCs w:val="26"/>
        </w:rPr>
        <w:t xml:space="preserve">leave under section 1009 to file </w:t>
      </w:r>
      <w:r>
        <w:rPr>
          <w:szCs w:val="26"/>
        </w:rPr>
        <w:t>an</w:t>
      </w:r>
      <w:r>
        <w:rPr>
          <w:szCs w:val="26"/>
        </w:rPr>
        <w:t xml:space="preserve"> amended information that omitted the enhancement</w:t>
      </w:r>
      <w:r>
        <w:rPr>
          <w:szCs w:val="26"/>
        </w:rPr>
        <w:t xml:space="preserve"> allegations</w:t>
      </w:r>
      <w:r>
        <w:rPr>
          <w:szCs w:val="26"/>
        </w:rPr>
        <w:t>.  The co</w:t>
      </w:r>
      <w:r>
        <w:rPr>
          <w:szCs w:val="26"/>
        </w:rPr>
        <w:t xml:space="preserve">urt </w:t>
      </w:r>
      <w:r>
        <w:rPr>
          <w:szCs w:val="26"/>
        </w:rPr>
        <w:t>ruled</w:t>
      </w:r>
      <w:r>
        <w:rPr>
          <w:szCs w:val="26"/>
        </w:rPr>
        <w:t xml:space="preserve"> it was not </w:t>
      </w:r>
      <w:r>
        <w:rPr>
          <w:szCs w:val="26"/>
        </w:rPr>
        <w:t>“proper”</w:t>
      </w:r>
      <w:r>
        <w:rPr>
          <w:szCs w:val="26"/>
        </w:rPr>
        <w:t xml:space="preserve"> </w:t>
      </w:r>
      <w:r>
        <w:rPr>
          <w:szCs w:val="26"/>
        </w:rPr>
        <w:t xml:space="preserve">for the People </w:t>
      </w:r>
      <w:r>
        <w:rPr>
          <w:szCs w:val="26"/>
        </w:rPr>
        <w:t xml:space="preserve">to proceed on an amended information that </w:t>
      </w:r>
      <w:r>
        <w:rPr>
          <w:szCs w:val="26"/>
        </w:rPr>
        <w:t>omitted</w:t>
      </w:r>
      <w:r>
        <w:rPr>
          <w:szCs w:val="26"/>
        </w:rPr>
        <w:t xml:space="preserve"> “the very enhancements” that were the subject of </w:t>
      </w:r>
      <w:r>
        <w:rPr>
          <w:szCs w:val="26"/>
        </w:rPr>
        <w:lastRenderedPageBreak/>
        <w:t>the motion to dismiss under section 1385.  The court stated that, if the People were “displeased” with the court</w:t>
      </w:r>
      <w:r>
        <w:rPr>
          <w:szCs w:val="26"/>
        </w:rPr>
        <w:t xml:space="preserve">’s ruling, they could appeal or dismiss the information and refile charges against Nazir that </w:t>
      </w:r>
      <w:r>
        <w:rPr>
          <w:szCs w:val="26"/>
        </w:rPr>
        <w:t>did</w:t>
      </w:r>
      <w:r>
        <w:rPr>
          <w:szCs w:val="26"/>
        </w:rPr>
        <w:t xml:space="preserve"> not include the </w:t>
      </w:r>
      <w:r>
        <w:rPr>
          <w:szCs w:val="26"/>
        </w:rPr>
        <w:t>firearm allegations</w:t>
      </w:r>
      <w:r>
        <w:rPr>
          <w:szCs w:val="26"/>
        </w:rPr>
        <w:t>.</w:t>
      </w:r>
      <w:r>
        <w:rPr>
          <w:szCs w:val="26"/>
        </w:rPr>
        <w:t xml:space="preserve"> </w:t>
      </w:r>
    </w:p>
    <w:p w14:paraId="47EEE1B0" w14:textId="77777777" w:rsidR="009E2423" w:rsidRPr="00543521" w:rsidRDefault="00861473" w:rsidP="0042478E">
      <w:pPr>
        <w:ind w:firstLine="720"/>
        <w:rPr>
          <w:szCs w:val="26"/>
        </w:rPr>
      </w:pPr>
    </w:p>
    <w:p w14:paraId="325506E3" w14:textId="77777777" w:rsidR="00521527" w:rsidRPr="00521527" w:rsidRDefault="00861473" w:rsidP="0013004C">
      <w:pPr>
        <w:keepNext/>
        <w:ind w:left="1440" w:hanging="720"/>
        <w:rPr>
          <w:i/>
          <w:iCs/>
          <w:szCs w:val="26"/>
        </w:rPr>
      </w:pPr>
      <w:r>
        <w:rPr>
          <w:szCs w:val="26"/>
        </w:rPr>
        <w:t>D.</w:t>
      </w:r>
      <w:r>
        <w:rPr>
          <w:szCs w:val="26"/>
        </w:rPr>
        <w:tab/>
      </w:r>
      <w:r>
        <w:rPr>
          <w:i/>
          <w:iCs/>
          <w:szCs w:val="26"/>
        </w:rPr>
        <w:t xml:space="preserve">Nazir Files a Petition for Writ of Mandate </w:t>
      </w:r>
      <w:r>
        <w:rPr>
          <w:i/>
          <w:iCs/>
          <w:szCs w:val="26"/>
        </w:rPr>
        <w:t>or Prohibition</w:t>
      </w:r>
    </w:p>
    <w:p w14:paraId="02F6062A" w14:textId="77777777" w:rsidR="00083922" w:rsidRDefault="00861473" w:rsidP="0013004C">
      <w:pPr>
        <w:keepNext/>
        <w:ind w:firstLine="720"/>
        <w:rPr>
          <w:bCs/>
          <w:szCs w:val="26"/>
        </w:rPr>
      </w:pPr>
      <w:r>
        <w:rPr>
          <w:bCs/>
          <w:szCs w:val="26"/>
        </w:rPr>
        <w:t>The People did not appeal, but o</w:t>
      </w:r>
      <w:r w:rsidRPr="007B2DEB">
        <w:rPr>
          <w:bCs/>
          <w:szCs w:val="26"/>
        </w:rPr>
        <w:t xml:space="preserve">n </w:t>
      </w:r>
      <w:r>
        <w:rPr>
          <w:bCs/>
          <w:szCs w:val="26"/>
        </w:rPr>
        <w:t>March </w:t>
      </w:r>
      <w:r>
        <w:rPr>
          <w:bCs/>
          <w:szCs w:val="26"/>
        </w:rPr>
        <w:t>8, 2021</w:t>
      </w:r>
      <w:r w:rsidRPr="007B2DEB">
        <w:rPr>
          <w:bCs/>
          <w:szCs w:val="26"/>
        </w:rPr>
        <w:t xml:space="preserve"> </w:t>
      </w:r>
      <w:r>
        <w:rPr>
          <w:bCs/>
          <w:szCs w:val="26"/>
        </w:rPr>
        <w:t>Nazir</w:t>
      </w:r>
      <w:r w:rsidRPr="007B2DEB">
        <w:rPr>
          <w:bCs/>
          <w:szCs w:val="26"/>
        </w:rPr>
        <w:t xml:space="preserve"> filed a petition for writ of mandate</w:t>
      </w:r>
      <w:r>
        <w:rPr>
          <w:bCs/>
          <w:szCs w:val="26"/>
        </w:rPr>
        <w:t xml:space="preserve"> or</w:t>
      </w:r>
      <w:r w:rsidRPr="007B2DEB">
        <w:rPr>
          <w:bCs/>
          <w:szCs w:val="26"/>
        </w:rPr>
        <w:t xml:space="preserve"> prohibition</w:t>
      </w:r>
      <w:r>
        <w:rPr>
          <w:bCs/>
          <w:szCs w:val="26"/>
        </w:rPr>
        <w:t xml:space="preserve">.  Nazir </w:t>
      </w:r>
      <w:r w:rsidRPr="007B2DEB">
        <w:rPr>
          <w:bCs/>
          <w:szCs w:val="26"/>
        </w:rPr>
        <w:t>argu</w:t>
      </w:r>
      <w:r>
        <w:rPr>
          <w:bCs/>
          <w:szCs w:val="26"/>
        </w:rPr>
        <w:t>ed</w:t>
      </w:r>
      <w:r w:rsidRPr="007B2DEB">
        <w:rPr>
          <w:bCs/>
          <w:szCs w:val="26"/>
        </w:rPr>
        <w:t xml:space="preserve"> the </w:t>
      </w:r>
      <w:r>
        <w:rPr>
          <w:bCs/>
          <w:szCs w:val="26"/>
        </w:rPr>
        <w:t>trial</w:t>
      </w:r>
      <w:r w:rsidRPr="007B2DEB">
        <w:rPr>
          <w:bCs/>
          <w:szCs w:val="26"/>
        </w:rPr>
        <w:t xml:space="preserve"> court </w:t>
      </w:r>
      <w:r>
        <w:rPr>
          <w:bCs/>
          <w:szCs w:val="26"/>
        </w:rPr>
        <w:t xml:space="preserve">abused its discretion </w:t>
      </w:r>
      <w:r>
        <w:rPr>
          <w:bCs/>
          <w:szCs w:val="26"/>
        </w:rPr>
        <w:t>in</w:t>
      </w:r>
      <w:r>
        <w:rPr>
          <w:bCs/>
          <w:szCs w:val="26"/>
        </w:rPr>
        <w:t xml:space="preserve"> denying the People’s motion to dismiss </w:t>
      </w:r>
      <w:r>
        <w:rPr>
          <w:bCs/>
          <w:szCs w:val="26"/>
        </w:rPr>
        <w:t xml:space="preserve">the firearm enhancements </w:t>
      </w:r>
      <w:r>
        <w:rPr>
          <w:bCs/>
          <w:szCs w:val="26"/>
        </w:rPr>
        <w:t>and by denying</w:t>
      </w:r>
      <w:r>
        <w:rPr>
          <w:bCs/>
          <w:szCs w:val="26"/>
        </w:rPr>
        <w:t>, after initially indicating it would grant,</w:t>
      </w:r>
      <w:r>
        <w:rPr>
          <w:bCs/>
          <w:szCs w:val="26"/>
        </w:rPr>
        <w:t xml:space="preserve"> the People’s </w:t>
      </w:r>
      <w:r>
        <w:rPr>
          <w:bCs/>
          <w:szCs w:val="26"/>
        </w:rPr>
        <w:t>motion</w:t>
      </w:r>
      <w:r>
        <w:rPr>
          <w:bCs/>
          <w:szCs w:val="26"/>
        </w:rPr>
        <w:t xml:space="preserve"> for </w:t>
      </w:r>
      <w:r>
        <w:rPr>
          <w:bCs/>
          <w:szCs w:val="26"/>
        </w:rPr>
        <w:t>leave to file an amended information</w:t>
      </w:r>
      <w:r>
        <w:rPr>
          <w:bCs/>
          <w:szCs w:val="26"/>
        </w:rPr>
        <w:t xml:space="preserve"> without the firearm enhancements</w:t>
      </w:r>
      <w:r>
        <w:rPr>
          <w:bCs/>
          <w:szCs w:val="26"/>
        </w:rPr>
        <w:t>.  Nazir also argued the trial court’s rulings violated Nazir’s equal protection</w:t>
      </w:r>
      <w:r>
        <w:rPr>
          <w:bCs/>
          <w:szCs w:val="26"/>
        </w:rPr>
        <w:t xml:space="preserve"> rights</w:t>
      </w:r>
      <w:r>
        <w:rPr>
          <w:bCs/>
          <w:szCs w:val="26"/>
        </w:rPr>
        <w:t xml:space="preserve">.  </w:t>
      </w:r>
      <w:r>
        <w:rPr>
          <w:bCs/>
          <w:szCs w:val="26"/>
        </w:rPr>
        <w:t>Nazir</w:t>
      </w:r>
      <w:r>
        <w:rPr>
          <w:bCs/>
          <w:szCs w:val="26"/>
        </w:rPr>
        <w:t xml:space="preserve"> sought a peremptory writ of manda</w:t>
      </w:r>
      <w:r>
        <w:rPr>
          <w:bCs/>
          <w:szCs w:val="26"/>
        </w:rPr>
        <w:t>te</w:t>
      </w:r>
      <w:r>
        <w:rPr>
          <w:bCs/>
          <w:szCs w:val="26"/>
        </w:rPr>
        <w:t xml:space="preserve"> directing the trial court to vacate its decision denyin</w:t>
      </w:r>
      <w:r>
        <w:rPr>
          <w:bCs/>
          <w:szCs w:val="26"/>
        </w:rPr>
        <w:t xml:space="preserve">g the People’s motion to dismiss or </w:t>
      </w:r>
      <w:r>
        <w:rPr>
          <w:bCs/>
          <w:szCs w:val="26"/>
        </w:rPr>
        <w:t xml:space="preserve">in the alternative </w:t>
      </w:r>
      <w:r>
        <w:rPr>
          <w:bCs/>
          <w:szCs w:val="26"/>
        </w:rPr>
        <w:t>to vacate its order denying the People</w:t>
      </w:r>
      <w:r>
        <w:rPr>
          <w:bCs/>
          <w:szCs w:val="26"/>
        </w:rPr>
        <w:t>’s motion for</w:t>
      </w:r>
      <w:r>
        <w:rPr>
          <w:bCs/>
          <w:szCs w:val="26"/>
        </w:rPr>
        <w:t xml:space="preserve"> leave to amend the information, and to grant Nazir “whatever alternative or further relief as may be appropriate in the interests of justice.”  </w:t>
      </w:r>
    </w:p>
    <w:p w14:paraId="3357289D" w14:textId="77777777" w:rsidR="00D931BC" w:rsidRDefault="00861473" w:rsidP="001A0C84">
      <w:pPr>
        <w:ind w:firstLine="720"/>
        <w:rPr>
          <w:bCs/>
          <w:szCs w:val="26"/>
        </w:rPr>
      </w:pPr>
      <w:r>
        <w:rPr>
          <w:bCs/>
          <w:szCs w:val="26"/>
        </w:rPr>
        <w:t>This</w:t>
      </w:r>
      <w:r>
        <w:rPr>
          <w:bCs/>
          <w:szCs w:val="26"/>
        </w:rPr>
        <w:t xml:space="preserve"> court denied the petition</w:t>
      </w:r>
      <w:r>
        <w:rPr>
          <w:bCs/>
          <w:szCs w:val="26"/>
        </w:rPr>
        <w:t xml:space="preserve">, </w:t>
      </w:r>
      <w:r>
        <w:rPr>
          <w:bCs/>
          <w:szCs w:val="26"/>
        </w:rPr>
        <w:t>and Nazir filed a petition for review in the Supreme Court.  The Supreme Court granted the petition for review and transferred the matter to this court with directions to issue an order to show cause why the relief sought in the</w:t>
      </w:r>
      <w:r>
        <w:rPr>
          <w:bCs/>
          <w:szCs w:val="26"/>
        </w:rPr>
        <w:t xml:space="preserve"> petition should not be granted.  (</w:t>
      </w:r>
      <w:r>
        <w:rPr>
          <w:bCs/>
          <w:i/>
          <w:iCs/>
          <w:szCs w:val="26"/>
        </w:rPr>
        <w:t xml:space="preserve">Nazir v. Superior Court </w:t>
      </w:r>
      <w:r>
        <w:rPr>
          <w:bCs/>
          <w:szCs w:val="26"/>
        </w:rPr>
        <w:t>(May </w:t>
      </w:r>
      <w:r>
        <w:rPr>
          <w:bCs/>
          <w:szCs w:val="26"/>
        </w:rPr>
        <w:t>26, 2021, S267713).)</w:t>
      </w:r>
      <w:r>
        <w:rPr>
          <w:rStyle w:val="FootnoteReference"/>
          <w:bCs/>
          <w:szCs w:val="26"/>
        </w:rPr>
        <w:footnoteReference w:id="4"/>
      </w:r>
      <w:r>
        <w:rPr>
          <w:bCs/>
          <w:szCs w:val="26"/>
        </w:rPr>
        <w:t xml:space="preserve"> </w:t>
      </w:r>
    </w:p>
    <w:p w14:paraId="31BDE116" w14:textId="77777777" w:rsidR="00D57C52" w:rsidRPr="00140718" w:rsidRDefault="00861473" w:rsidP="0013004C">
      <w:pPr>
        <w:keepNext/>
        <w:jc w:val="center"/>
      </w:pPr>
      <w:r w:rsidRPr="00F144E7">
        <w:rPr>
          <w:b/>
          <w:bCs/>
        </w:rPr>
        <w:lastRenderedPageBreak/>
        <w:t>DISCUSSION</w:t>
      </w:r>
    </w:p>
    <w:p w14:paraId="5C70CF80" w14:textId="77777777" w:rsidR="00D57C52" w:rsidRPr="00140718" w:rsidRDefault="00861473" w:rsidP="0013004C">
      <w:pPr>
        <w:keepNext/>
      </w:pPr>
    </w:p>
    <w:p w14:paraId="6ED5386A" w14:textId="77777777" w:rsidR="00632016" w:rsidRDefault="00861473" w:rsidP="0013004C">
      <w:pPr>
        <w:keepNext/>
        <w:ind w:firstLine="720"/>
        <w:rPr>
          <w:bCs/>
          <w:iCs/>
        </w:rPr>
      </w:pPr>
      <w:r>
        <w:rPr>
          <w:bCs/>
          <w:iCs/>
        </w:rPr>
        <w:t xml:space="preserve">Nazir and the People argue the trial court’s ruling violates the separation of powers guaranteed under </w:t>
      </w:r>
      <w:r>
        <w:rPr>
          <w:bCs/>
          <w:iCs/>
        </w:rPr>
        <w:t>article </w:t>
      </w:r>
      <w:r>
        <w:rPr>
          <w:bCs/>
          <w:iCs/>
        </w:rPr>
        <w:t xml:space="preserve">III, </w:t>
      </w:r>
      <w:r>
        <w:rPr>
          <w:bCs/>
          <w:iCs/>
        </w:rPr>
        <w:t>section </w:t>
      </w:r>
      <w:r>
        <w:rPr>
          <w:bCs/>
          <w:iCs/>
        </w:rPr>
        <w:t xml:space="preserve">3 </w:t>
      </w:r>
      <w:r>
        <w:rPr>
          <w:bCs/>
          <w:iCs/>
        </w:rPr>
        <w:t xml:space="preserve">of the California Constitution by denying the </w:t>
      </w:r>
      <w:r>
        <w:rPr>
          <w:bCs/>
          <w:iCs/>
        </w:rPr>
        <w:t>d</w:t>
      </w:r>
      <w:r>
        <w:rPr>
          <w:bCs/>
          <w:iCs/>
        </w:rPr>
        <w:t xml:space="preserve">istrict </w:t>
      </w:r>
      <w:r>
        <w:rPr>
          <w:bCs/>
          <w:iCs/>
        </w:rPr>
        <w:t>a</w:t>
      </w:r>
      <w:r>
        <w:rPr>
          <w:bCs/>
          <w:iCs/>
        </w:rPr>
        <w:t>ttorney</w:t>
      </w:r>
      <w:r>
        <w:rPr>
          <w:bCs/>
          <w:iCs/>
        </w:rPr>
        <w:t xml:space="preserve"> prosecutorial discretion over charging decisions.</w:t>
      </w:r>
      <w:r>
        <w:rPr>
          <w:rStyle w:val="FootnoteReference"/>
          <w:bCs/>
          <w:iCs/>
        </w:rPr>
        <w:footnoteReference w:id="5"/>
      </w:r>
      <w:r>
        <w:rPr>
          <w:bCs/>
          <w:iCs/>
        </w:rPr>
        <w:t xml:space="preserve"> </w:t>
      </w:r>
      <w:r>
        <w:rPr>
          <w:bCs/>
          <w:iCs/>
        </w:rPr>
        <w:t xml:space="preserve"> They also arg</w:t>
      </w:r>
      <w:r>
        <w:rPr>
          <w:bCs/>
          <w:iCs/>
        </w:rPr>
        <w:t xml:space="preserve">ue the court abused its discretion </w:t>
      </w:r>
      <w:r>
        <w:rPr>
          <w:bCs/>
          <w:iCs/>
        </w:rPr>
        <w:t>in</w:t>
      </w:r>
      <w:r>
        <w:rPr>
          <w:bCs/>
          <w:iCs/>
        </w:rPr>
        <w:t xml:space="preserve"> failing to </w:t>
      </w:r>
      <w:r>
        <w:rPr>
          <w:bCs/>
          <w:iCs/>
        </w:rPr>
        <w:t xml:space="preserve">include </w:t>
      </w:r>
      <w:r>
        <w:rPr>
          <w:bCs/>
          <w:iCs/>
        </w:rPr>
        <w:t>Special Directive 20</w:t>
      </w:r>
      <w:r>
        <w:rPr>
          <w:bCs/>
          <w:iCs/>
        </w:rPr>
        <w:noBreakHyphen/>
      </w:r>
      <w:r>
        <w:rPr>
          <w:bCs/>
          <w:iCs/>
        </w:rPr>
        <w:t>08 among</w:t>
      </w:r>
      <w:r>
        <w:rPr>
          <w:bCs/>
          <w:iCs/>
        </w:rPr>
        <w:t xml:space="preserve"> “the interests of society represented by the People”</w:t>
      </w:r>
      <w:r>
        <w:rPr>
          <w:bCs/>
          <w:iCs/>
        </w:rPr>
        <w:t xml:space="preserve"> a court must consider in </w:t>
      </w:r>
      <w:r>
        <w:rPr>
          <w:bCs/>
          <w:iCs/>
        </w:rPr>
        <w:t>ruling on</w:t>
      </w:r>
      <w:r>
        <w:rPr>
          <w:bCs/>
          <w:iCs/>
        </w:rPr>
        <w:t xml:space="preserve"> a motion to dismiss under section 1385</w:t>
      </w:r>
      <w:r>
        <w:rPr>
          <w:bCs/>
          <w:iCs/>
        </w:rPr>
        <w:t>.</w:t>
      </w:r>
      <w:r>
        <w:rPr>
          <w:bCs/>
          <w:iCs/>
        </w:rPr>
        <w:t xml:space="preserve">  (See </w:t>
      </w:r>
      <w:r w:rsidRPr="002A06C8">
        <w:rPr>
          <w:i/>
          <w:iCs/>
          <w:szCs w:val="26"/>
        </w:rPr>
        <w:t>People v. Clancey</w:t>
      </w:r>
      <w:r>
        <w:rPr>
          <w:szCs w:val="26"/>
        </w:rPr>
        <w:t xml:space="preserve"> (2013) 56 </w:t>
      </w:r>
      <w:r w:rsidRPr="002A06C8">
        <w:rPr>
          <w:szCs w:val="26"/>
        </w:rPr>
        <w:t>Cal.4th</w:t>
      </w:r>
      <w:r w:rsidRPr="002A06C8">
        <w:rPr>
          <w:szCs w:val="26"/>
        </w:rPr>
        <w:t xml:space="preserve"> 562, 580</w:t>
      </w:r>
      <w:r>
        <w:rPr>
          <w:szCs w:val="26"/>
        </w:rPr>
        <w:t>.)</w:t>
      </w:r>
      <w:r>
        <w:rPr>
          <w:bCs/>
          <w:iCs/>
        </w:rPr>
        <w:t xml:space="preserve">  We need not </w:t>
      </w:r>
      <w:r>
        <w:rPr>
          <w:bCs/>
          <w:iCs/>
        </w:rPr>
        <w:t>address</w:t>
      </w:r>
      <w:r>
        <w:rPr>
          <w:bCs/>
          <w:iCs/>
        </w:rPr>
        <w:t xml:space="preserve"> whether the trial court’s </w:t>
      </w:r>
      <w:r>
        <w:rPr>
          <w:bCs/>
          <w:iCs/>
        </w:rPr>
        <w:t xml:space="preserve">ruling </w:t>
      </w:r>
      <w:r>
        <w:rPr>
          <w:bCs/>
          <w:iCs/>
        </w:rPr>
        <w:t xml:space="preserve">violated </w:t>
      </w:r>
      <w:r>
        <w:rPr>
          <w:bCs/>
          <w:iCs/>
        </w:rPr>
        <w:t>a</w:t>
      </w:r>
      <w:r>
        <w:rPr>
          <w:bCs/>
          <w:iCs/>
        </w:rPr>
        <w:t>rticle </w:t>
      </w:r>
      <w:r>
        <w:rPr>
          <w:bCs/>
          <w:iCs/>
        </w:rPr>
        <w:t xml:space="preserve">III, </w:t>
      </w:r>
      <w:r>
        <w:rPr>
          <w:bCs/>
          <w:iCs/>
        </w:rPr>
        <w:t>section </w:t>
      </w:r>
      <w:r>
        <w:rPr>
          <w:bCs/>
          <w:iCs/>
        </w:rPr>
        <w:t>3</w:t>
      </w:r>
      <w:r>
        <w:rPr>
          <w:bCs/>
          <w:iCs/>
        </w:rPr>
        <w:t xml:space="preserve"> of the California Constitution</w:t>
      </w:r>
      <w:r>
        <w:rPr>
          <w:bCs/>
          <w:iCs/>
        </w:rPr>
        <w:t xml:space="preserve"> because we conclude section 1385 does not preclude a trial court from considering a </w:t>
      </w:r>
      <w:r>
        <w:rPr>
          <w:bCs/>
          <w:iCs/>
        </w:rPr>
        <w:t>d</w:t>
      </w:r>
      <w:r>
        <w:rPr>
          <w:bCs/>
          <w:iCs/>
        </w:rPr>
        <w:t xml:space="preserve">istrict </w:t>
      </w:r>
      <w:r>
        <w:rPr>
          <w:bCs/>
          <w:iCs/>
        </w:rPr>
        <w:t>a</w:t>
      </w:r>
      <w:r>
        <w:rPr>
          <w:bCs/>
          <w:iCs/>
        </w:rPr>
        <w:t xml:space="preserve">ttorney’s policy in </w:t>
      </w:r>
      <w:r>
        <w:rPr>
          <w:bCs/>
          <w:iCs/>
        </w:rPr>
        <w:t>ruling on a m</w:t>
      </w:r>
      <w:r>
        <w:rPr>
          <w:bCs/>
          <w:iCs/>
        </w:rPr>
        <w:t>otion</w:t>
      </w:r>
      <w:r>
        <w:rPr>
          <w:bCs/>
          <w:iCs/>
        </w:rPr>
        <w:t xml:space="preserve"> to dismiss a</w:t>
      </w:r>
      <w:r>
        <w:rPr>
          <w:bCs/>
          <w:iCs/>
        </w:rPr>
        <w:t xml:space="preserve"> firearm enhancement </w:t>
      </w:r>
      <w:r>
        <w:rPr>
          <w:bCs/>
          <w:iCs/>
        </w:rPr>
        <w:t>under section 12022.5 or 12022.53</w:t>
      </w:r>
      <w:r>
        <w:rPr>
          <w:bCs/>
          <w:iCs/>
        </w:rPr>
        <w:t xml:space="preserve"> in furtherance of justice. </w:t>
      </w:r>
      <w:r>
        <w:rPr>
          <w:bCs/>
          <w:iCs/>
        </w:rPr>
        <w:t xml:space="preserve"> (See</w:t>
      </w:r>
      <w:r>
        <w:rPr>
          <w:bCs/>
          <w:iCs/>
        </w:rPr>
        <w:t xml:space="preserve"> </w:t>
      </w:r>
      <w:r w:rsidRPr="00375D48">
        <w:rPr>
          <w:i/>
          <w:iCs/>
          <w:szCs w:val="26"/>
        </w:rPr>
        <w:t>Facebook, Inc. v. Superior Court</w:t>
      </w:r>
      <w:r>
        <w:rPr>
          <w:szCs w:val="26"/>
        </w:rPr>
        <w:t xml:space="preserve"> </w:t>
      </w:r>
      <w:r w:rsidRPr="001A0C84">
        <w:rPr>
          <w:i/>
          <w:szCs w:val="26"/>
        </w:rPr>
        <w:t>(Hunter)</w:t>
      </w:r>
      <w:r>
        <w:rPr>
          <w:szCs w:val="26"/>
        </w:rPr>
        <w:t xml:space="preserve"> </w:t>
      </w:r>
      <w:r>
        <w:rPr>
          <w:szCs w:val="26"/>
        </w:rPr>
        <w:t>(2018) 4 </w:t>
      </w:r>
      <w:r w:rsidRPr="00375D48">
        <w:rPr>
          <w:szCs w:val="26"/>
        </w:rPr>
        <w:t>Cal.5th 1245, 1275</w:t>
      </w:r>
      <w:r>
        <w:rPr>
          <w:szCs w:val="26"/>
        </w:rPr>
        <w:t>, fn. </w:t>
      </w:r>
      <w:r>
        <w:rPr>
          <w:szCs w:val="26"/>
        </w:rPr>
        <w:t>31 [“</w:t>
      </w:r>
      <w:r w:rsidRPr="00375D48">
        <w:rPr>
          <w:szCs w:val="26"/>
        </w:rPr>
        <w:t xml:space="preserve">we are guided by the familiar principle that we should address and </w:t>
      </w:r>
      <w:r w:rsidRPr="00375D48">
        <w:rPr>
          <w:szCs w:val="26"/>
        </w:rPr>
        <w:t>resolve statutory issues prior to, and if possible, instead of, constitutional questions</w:t>
      </w:r>
      <w:r>
        <w:rPr>
          <w:szCs w:val="26"/>
        </w:rPr>
        <w:t>”];</w:t>
      </w:r>
      <w:r>
        <w:rPr>
          <w:bCs/>
          <w:iCs/>
        </w:rPr>
        <w:t xml:space="preserve"> </w:t>
      </w:r>
      <w:r>
        <w:rPr>
          <w:i/>
          <w:iCs/>
          <w:szCs w:val="26"/>
        </w:rPr>
        <w:t>In </w:t>
      </w:r>
      <w:r w:rsidRPr="00375D48">
        <w:rPr>
          <w:i/>
          <w:iCs/>
          <w:szCs w:val="26"/>
        </w:rPr>
        <w:t>re White</w:t>
      </w:r>
      <w:r>
        <w:rPr>
          <w:szCs w:val="26"/>
        </w:rPr>
        <w:t xml:space="preserve"> (2019) 34 </w:t>
      </w:r>
      <w:r w:rsidRPr="00375D48">
        <w:rPr>
          <w:szCs w:val="26"/>
        </w:rPr>
        <w:t>Cal.App.5th 933, 959</w:t>
      </w:r>
      <w:r>
        <w:rPr>
          <w:szCs w:val="26"/>
        </w:rPr>
        <w:t xml:space="preserve"> [same]</w:t>
      </w:r>
      <w:r>
        <w:rPr>
          <w:szCs w:val="26"/>
        </w:rPr>
        <w:t>; see also</w:t>
      </w:r>
      <w:r>
        <w:rPr>
          <w:szCs w:val="26"/>
        </w:rPr>
        <w:t xml:space="preserve"> </w:t>
      </w:r>
      <w:r w:rsidRPr="00375D48">
        <w:rPr>
          <w:i/>
          <w:iCs/>
          <w:szCs w:val="26"/>
        </w:rPr>
        <w:t>People v. Williams</w:t>
      </w:r>
      <w:r>
        <w:rPr>
          <w:szCs w:val="26"/>
        </w:rPr>
        <w:t xml:space="preserve"> (1976) 16 </w:t>
      </w:r>
      <w:r w:rsidRPr="00375D48">
        <w:rPr>
          <w:szCs w:val="26"/>
        </w:rPr>
        <w:t>Cal.3d 663, 667</w:t>
      </w:r>
      <w:r>
        <w:rPr>
          <w:szCs w:val="26"/>
        </w:rPr>
        <w:t xml:space="preserve"> [</w:t>
      </w:r>
      <w:r w:rsidRPr="00375D48">
        <w:rPr>
          <w:szCs w:val="26"/>
        </w:rPr>
        <w:t>“we do not reach constitutional questions unless absolutel</w:t>
      </w:r>
      <w:r w:rsidRPr="00375D48">
        <w:rPr>
          <w:szCs w:val="26"/>
        </w:rPr>
        <w:t xml:space="preserve">y </w:t>
      </w:r>
      <w:r w:rsidRPr="00375D48">
        <w:rPr>
          <w:szCs w:val="26"/>
        </w:rPr>
        <w:lastRenderedPageBreak/>
        <w:t xml:space="preserve">required to do so to dispose </w:t>
      </w:r>
      <w:r>
        <w:rPr>
          <w:szCs w:val="26"/>
        </w:rPr>
        <w:t xml:space="preserve">of </w:t>
      </w:r>
      <w:r w:rsidRPr="00375D48">
        <w:rPr>
          <w:szCs w:val="26"/>
        </w:rPr>
        <w:t>the matter before us</w:t>
      </w:r>
      <w:r>
        <w:rPr>
          <w:szCs w:val="26"/>
        </w:rPr>
        <w:t>”];</w:t>
      </w:r>
      <w:r>
        <w:rPr>
          <w:szCs w:val="26"/>
        </w:rPr>
        <w:t xml:space="preserve"> </w:t>
      </w:r>
      <w:r w:rsidRPr="001528CF">
        <w:rPr>
          <w:i/>
          <w:iCs/>
          <w:szCs w:val="26"/>
        </w:rPr>
        <w:t>Newsom v. Superior Court</w:t>
      </w:r>
      <w:r>
        <w:rPr>
          <w:szCs w:val="26"/>
        </w:rPr>
        <w:t xml:space="preserve"> (2021) 63 </w:t>
      </w:r>
      <w:r w:rsidRPr="001528CF">
        <w:rPr>
          <w:szCs w:val="26"/>
        </w:rPr>
        <w:t>Cal.App.5th 1099, 1112</w:t>
      </w:r>
      <w:r>
        <w:rPr>
          <w:szCs w:val="26"/>
        </w:rPr>
        <w:t>, fn. </w:t>
      </w:r>
      <w:r>
        <w:rPr>
          <w:szCs w:val="26"/>
        </w:rPr>
        <w:t>2</w:t>
      </w:r>
      <w:r>
        <w:rPr>
          <w:bCs/>
          <w:iCs/>
        </w:rPr>
        <w:t xml:space="preserve"> </w:t>
      </w:r>
      <w:r>
        <w:rPr>
          <w:bCs/>
          <w:iCs/>
        </w:rPr>
        <w:t>[“‘</w:t>
      </w:r>
      <w:r w:rsidRPr="001528CF">
        <w:rPr>
          <w:szCs w:val="26"/>
        </w:rPr>
        <w:t>it is often deemed prudent to address a statutory or other ground to avoid reaching a constitutional ground</w:t>
      </w:r>
      <w:r>
        <w:rPr>
          <w:szCs w:val="26"/>
        </w:rPr>
        <w:t>’”].)</w:t>
      </w:r>
    </w:p>
    <w:p w14:paraId="04E22F53" w14:textId="77777777" w:rsidR="00C44103" w:rsidRDefault="00861473" w:rsidP="004E4454">
      <w:pPr>
        <w:ind w:firstLine="720"/>
        <w:rPr>
          <w:bCs/>
          <w:iCs/>
        </w:rPr>
      </w:pPr>
    </w:p>
    <w:p w14:paraId="743E3D85" w14:textId="77777777" w:rsidR="00DE4F94" w:rsidRDefault="00861473" w:rsidP="005859A7">
      <w:pPr>
        <w:keepNext/>
        <w:ind w:firstLine="720"/>
        <w:rPr>
          <w:bCs/>
          <w:i/>
        </w:rPr>
      </w:pPr>
      <w:r>
        <w:rPr>
          <w:bCs/>
          <w:iCs/>
        </w:rPr>
        <w:t>A.</w:t>
      </w:r>
      <w:r>
        <w:rPr>
          <w:bCs/>
          <w:iCs/>
        </w:rPr>
        <w:tab/>
      </w:r>
      <w:r>
        <w:rPr>
          <w:bCs/>
          <w:i/>
        </w:rPr>
        <w:t>Standard of Review</w:t>
      </w:r>
    </w:p>
    <w:p w14:paraId="12CB0444" w14:textId="77777777" w:rsidR="00C44103" w:rsidRDefault="00861473" w:rsidP="005859A7">
      <w:pPr>
        <w:keepNext/>
        <w:ind w:firstLine="720"/>
        <w:rPr>
          <w:szCs w:val="26"/>
        </w:rPr>
      </w:pPr>
      <w:r>
        <w:rPr>
          <w:szCs w:val="26"/>
        </w:rPr>
        <w:t>W</w:t>
      </w:r>
      <w:r w:rsidRPr="00AD7FF5">
        <w:rPr>
          <w:szCs w:val="26"/>
        </w:rPr>
        <w:t xml:space="preserve">e review a </w:t>
      </w:r>
      <w:r>
        <w:rPr>
          <w:szCs w:val="26"/>
        </w:rPr>
        <w:t xml:space="preserve">trial court’s </w:t>
      </w:r>
      <w:r>
        <w:rPr>
          <w:szCs w:val="26"/>
        </w:rPr>
        <w:t xml:space="preserve">order denying a motion </w:t>
      </w:r>
      <w:r w:rsidRPr="00AD7FF5">
        <w:rPr>
          <w:szCs w:val="26"/>
        </w:rPr>
        <w:t xml:space="preserve">to </w:t>
      </w:r>
      <w:r>
        <w:rPr>
          <w:szCs w:val="26"/>
        </w:rPr>
        <w:t>dismiss a</w:t>
      </w:r>
      <w:r>
        <w:rPr>
          <w:szCs w:val="26"/>
        </w:rPr>
        <w:t xml:space="preserve"> sentence </w:t>
      </w:r>
      <w:r>
        <w:rPr>
          <w:szCs w:val="26"/>
        </w:rPr>
        <w:t xml:space="preserve">enhancement </w:t>
      </w:r>
      <w:r>
        <w:rPr>
          <w:szCs w:val="26"/>
        </w:rPr>
        <w:t xml:space="preserve">under section 1385 for </w:t>
      </w:r>
      <w:r w:rsidRPr="00AD7FF5">
        <w:rPr>
          <w:szCs w:val="26"/>
        </w:rPr>
        <w:t>abuse of discretion</w:t>
      </w:r>
      <w:r>
        <w:rPr>
          <w:szCs w:val="26"/>
        </w:rPr>
        <w:t>.  (</w:t>
      </w:r>
      <w:r w:rsidRPr="008268EE">
        <w:rPr>
          <w:i/>
          <w:iCs/>
          <w:szCs w:val="26"/>
        </w:rPr>
        <w:t>People v. Carmony</w:t>
      </w:r>
      <w:r>
        <w:rPr>
          <w:szCs w:val="26"/>
        </w:rPr>
        <w:t xml:space="preserve"> (2004) 33 </w:t>
      </w:r>
      <w:r w:rsidRPr="008268EE">
        <w:rPr>
          <w:szCs w:val="26"/>
        </w:rPr>
        <w:t>Cal.4th 367, 373</w:t>
      </w:r>
      <w:r>
        <w:rPr>
          <w:szCs w:val="26"/>
        </w:rPr>
        <w:noBreakHyphen/>
      </w:r>
      <w:r>
        <w:rPr>
          <w:szCs w:val="26"/>
        </w:rPr>
        <w:t>374</w:t>
      </w:r>
      <w:r>
        <w:rPr>
          <w:szCs w:val="26"/>
        </w:rPr>
        <w:t xml:space="preserve">; </w:t>
      </w:r>
      <w:r w:rsidRPr="00AD7FF5">
        <w:rPr>
          <w:i/>
          <w:iCs/>
          <w:szCs w:val="26"/>
        </w:rPr>
        <w:t>People v. Flores</w:t>
      </w:r>
      <w:r>
        <w:rPr>
          <w:szCs w:val="26"/>
        </w:rPr>
        <w:t xml:space="preserve"> (2021) 63 </w:t>
      </w:r>
      <w:r w:rsidRPr="00AD7FF5">
        <w:rPr>
          <w:szCs w:val="26"/>
        </w:rPr>
        <w:t>Cal.App.5th 368, 37</w:t>
      </w:r>
      <w:r>
        <w:rPr>
          <w:szCs w:val="26"/>
        </w:rPr>
        <w:t xml:space="preserve">6; </w:t>
      </w:r>
      <w:r w:rsidRPr="008268EE">
        <w:rPr>
          <w:i/>
          <w:iCs/>
          <w:szCs w:val="26"/>
        </w:rPr>
        <w:t>People v.</w:t>
      </w:r>
      <w:r w:rsidRPr="008268EE">
        <w:rPr>
          <w:i/>
          <w:iCs/>
          <w:szCs w:val="26"/>
        </w:rPr>
        <w:t xml:space="preserve"> Pearson</w:t>
      </w:r>
      <w:r>
        <w:rPr>
          <w:szCs w:val="26"/>
        </w:rPr>
        <w:t xml:space="preserve"> (2019) 38 </w:t>
      </w:r>
      <w:r w:rsidRPr="008268EE">
        <w:rPr>
          <w:szCs w:val="26"/>
        </w:rPr>
        <w:t>Cal.App.5th 112, 116</w:t>
      </w:r>
      <w:r>
        <w:rPr>
          <w:szCs w:val="26"/>
        </w:rPr>
        <w:t xml:space="preserve">.)  </w:t>
      </w:r>
      <w:r>
        <w:rPr>
          <w:szCs w:val="26"/>
        </w:rPr>
        <w:t xml:space="preserve">A trial court may abuse its discretion </w:t>
      </w:r>
      <w:r>
        <w:rPr>
          <w:szCs w:val="26"/>
        </w:rPr>
        <w:t>where</w:t>
      </w:r>
      <w:r>
        <w:rPr>
          <w:szCs w:val="26"/>
        </w:rPr>
        <w:t xml:space="preserve"> “</w:t>
      </w:r>
      <w:r w:rsidRPr="0047799D">
        <w:rPr>
          <w:szCs w:val="26"/>
        </w:rPr>
        <w:t>its decision is so irrational or arbitrary that no reasonable person could agree with it</w:t>
      </w:r>
      <w:r>
        <w:rPr>
          <w:szCs w:val="26"/>
        </w:rPr>
        <w:t>,</w:t>
      </w:r>
      <w:r w:rsidRPr="0047799D">
        <w:rPr>
          <w:szCs w:val="26"/>
        </w:rPr>
        <w:t xml:space="preserve">” </w:t>
      </w:r>
      <w:r>
        <w:rPr>
          <w:szCs w:val="26"/>
        </w:rPr>
        <w:t>“</w:t>
      </w:r>
      <w:r w:rsidRPr="008268EE">
        <w:rPr>
          <w:szCs w:val="26"/>
        </w:rPr>
        <w:t xml:space="preserve">where the trial court was not </w:t>
      </w:r>
      <w:r>
        <w:rPr>
          <w:szCs w:val="26"/>
        </w:rPr>
        <w:t>‘</w:t>
      </w:r>
      <w:r w:rsidRPr="008268EE">
        <w:rPr>
          <w:szCs w:val="26"/>
        </w:rPr>
        <w:t>aware of its discretion</w:t>
      </w:r>
      <w:r>
        <w:rPr>
          <w:szCs w:val="26"/>
        </w:rPr>
        <w:t>’”</w:t>
      </w:r>
      <w:r w:rsidRPr="008268EE">
        <w:rPr>
          <w:szCs w:val="26"/>
        </w:rPr>
        <w:t xml:space="preserve"> to dismiss</w:t>
      </w:r>
      <w:r>
        <w:rPr>
          <w:szCs w:val="26"/>
        </w:rPr>
        <w:t xml:space="preserve"> a sente</w:t>
      </w:r>
      <w:r>
        <w:rPr>
          <w:szCs w:val="26"/>
        </w:rPr>
        <w:t>nc</w:t>
      </w:r>
      <w:r>
        <w:rPr>
          <w:szCs w:val="26"/>
        </w:rPr>
        <w:t>ing</w:t>
      </w:r>
      <w:r>
        <w:rPr>
          <w:szCs w:val="26"/>
        </w:rPr>
        <w:t xml:space="preserve"> allegation under section 1385</w:t>
      </w:r>
      <w:r>
        <w:rPr>
          <w:szCs w:val="26"/>
        </w:rPr>
        <w:t>,</w:t>
      </w:r>
      <w:r>
        <w:rPr>
          <w:szCs w:val="26"/>
        </w:rPr>
        <w:t xml:space="preserve"> </w:t>
      </w:r>
      <w:r w:rsidRPr="008268EE">
        <w:rPr>
          <w:szCs w:val="26"/>
        </w:rPr>
        <w:t xml:space="preserve">or </w:t>
      </w:r>
      <w:r>
        <w:rPr>
          <w:szCs w:val="26"/>
        </w:rPr>
        <w:t>“</w:t>
      </w:r>
      <w:r w:rsidRPr="008268EE">
        <w:rPr>
          <w:szCs w:val="26"/>
        </w:rPr>
        <w:t>where the court considered impermissible factors in declining to dismiss</w:t>
      </w:r>
      <w:r>
        <w:rPr>
          <w:szCs w:val="26"/>
        </w:rPr>
        <w:t>.”  (</w:t>
      </w:r>
      <w:r>
        <w:rPr>
          <w:i/>
          <w:iCs/>
          <w:szCs w:val="26"/>
        </w:rPr>
        <w:t>Carmony</w:t>
      </w:r>
      <w:r>
        <w:rPr>
          <w:szCs w:val="26"/>
        </w:rPr>
        <w:t>, at p</w:t>
      </w:r>
      <w:r>
        <w:rPr>
          <w:szCs w:val="26"/>
        </w:rPr>
        <w:t>p. </w:t>
      </w:r>
      <w:r>
        <w:rPr>
          <w:szCs w:val="26"/>
        </w:rPr>
        <w:t>377</w:t>
      </w:r>
      <w:r>
        <w:rPr>
          <w:szCs w:val="26"/>
        </w:rPr>
        <w:noBreakHyphen/>
      </w:r>
      <w:r>
        <w:rPr>
          <w:szCs w:val="26"/>
        </w:rPr>
        <w:t xml:space="preserve">378; see </w:t>
      </w:r>
      <w:r w:rsidRPr="001958A9">
        <w:rPr>
          <w:i/>
          <w:iCs/>
          <w:szCs w:val="26"/>
        </w:rPr>
        <w:t>People v. Tirado</w:t>
      </w:r>
      <w:r>
        <w:rPr>
          <w:szCs w:val="26"/>
        </w:rPr>
        <w:t xml:space="preserve"> (2022) 12 </w:t>
      </w:r>
      <w:r>
        <w:rPr>
          <w:szCs w:val="26"/>
        </w:rPr>
        <w:t>Cal.5th 688,</w:t>
      </w:r>
      <w:r>
        <w:rPr>
          <w:szCs w:val="26"/>
        </w:rPr>
        <w:t xml:space="preserve"> </w:t>
      </w:r>
      <w:r>
        <w:rPr>
          <w:szCs w:val="26"/>
        </w:rPr>
        <w:t>694 (</w:t>
      </w:r>
      <w:r>
        <w:rPr>
          <w:i/>
          <w:iCs/>
          <w:szCs w:val="26"/>
        </w:rPr>
        <w:t>Tirado</w:t>
      </w:r>
      <w:r>
        <w:rPr>
          <w:szCs w:val="26"/>
        </w:rPr>
        <w:t>)</w:t>
      </w:r>
      <w:r>
        <w:rPr>
          <w:szCs w:val="26"/>
        </w:rPr>
        <w:t xml:space="preserve"> [</w:t>
      </w:r>
      <w:r>
        <w:rPr>
          <w:szCs w:val="26"/>
        </w:rPr>
        <w:t>a </w:t>
      </w:r>
      <w:r>
        <w:rPr>
          <w:szCs w:val="26"/>
        </w:rPr>
        <w:t>“</w:t>
      </w:r>
      <w:r w:rsidRPr="001958A9">
        <w:rPr>
          <w:szCs w:val="26"/>
        </w:rPr>
        <w:t xml:space="preserve">court acting while unaware of the scope of its </w:t>
      </w:r>
      <w:r w:rsidRPr="001958A9">
        <w:rPr>
          <w:szCs w:val="26"/>
        </w:rPr>
        <w:t>discretion is understood to have abused it</w:t>
      </w:r>
      <w:r>
        <w:rPr>
          <w:szCs w:val="26"/>
        </w:rPr>
        <w:t xml:space="preserve">”]; </w:t>
      </w:r>
      <w:r w:rsidRPr="00B16BE5">
        <w:rPr>
          <w:i/>
          <w:iCs/>
          <w:szCs w:val="26"/>
        </w:rPr>
        <w:t>People v. Pearson</w:t>
      </w:r>
      <w:r>
        <w:rPr>
          <w:szCs w:val="26"/>
        </w:rPr>
        <w:t xml:space="preserve"> (2013) 56 </w:t>
      </w:r>
      <w:r w:rsidRPr="00B16BE5">
        <w:rPr>
          <w:szCs w:val="26"/>
        </w:rPr>
        <w:t>Cal.4th 393, 419</w:t>
      </w:r>
      <w:r>
        <w:rPr>
          <w:szCs w:val="26"/>
        </w:rPr>
        <w:t xml:space="preserve"> </w:t>
      </w:r>
      <w:r w:rsidRPr="00B16BE5">
        <w:rPr>
          <w:szCs w:val="26"/>
        </w:rPr>
        <w:t>[</w:t>
      </w:r>
      <w:r>
        <w:rPr>
          <w:szCs w:val="26"/>
        </w:rPr>
        <w:t xml:space="preserve">a </w:t>
      </w:r>
      <w:r w:rsidRPr="00B16BE5">
        <w:rPr>
          <w:szCs w:val="26"/>
        </w:rPr>
        <w:t>court abuses its discretion when it misunderstands the scope of that discretion]</w:t>
      </w:r>
      <w:r>
        <w:rPr>
          <w:szCs w:val="26"/>
        </w:rPr>
        <w:t>.)</w:t>
      </w:r>
    </w:p>
    <w:p w14:paraId="116F5C61" w14:textId="77777777" w:rsidR="000606D9" w:rsidRPr="00F15A66" w:rsidRDefault="00861473" w:rsidP="00DE4F94">
      <w:pPr>
        <w:ind w:firstLine="720"/>
        <w:rPr>
          <w:bCs/>
        </w:rPr>
      </w:pPr>
      <w:r>
        <w:rPr>
          <w:szCs w:val="26"/>
        </w:rPr>
        <w:t>“</w:t>
      </w:r>
      <w:r w:rsidRPr="008268EE">
        <w:rPr>
          <w:szCs w:val="26"/>
        </w:rPr>
        <w:t xml:space="preserve">Because </w:t>
      </w:r>
      <w:r>
        <w:rPr>
          <w:szCs w:val="26"/>
        </w:rPr>
        <w:t>‘</w:t>
      </w:r>
      <w:r w:rsidRPr="008268EE">
        <w:rPr>
          <w:szCs w:val="26"/>
        </w:rPr>
        <w:t>all discretionary authority is contextual</w:t>
      </w:r>
      <w:r>
        <w:rPr>
          <w:szCs w:val="26"/>
        </w:rPr>
        <w:t>’ [citation]</w:t>
      </w:r>
      <w:r w:rsidRPr="008268EE">
        <w:rPr>
          <w:szCs w:val="26"/>
        </w:rPr>
        <w:t>, we cannot dete</w:t>
      </w:r>
      <w:r w:rsidRPr="008268EE">
        <w:rPr>
          <w:szCs w:val="26"/>
        </w:rPr>
        <w:t xml:space="preserve">rmine whether a trial court has acted irrationally or arbitrarily in refusing to strike a </w:t>
      </w:r>
      <w:r>
        <w:rPr>
          <w:szCs w:val="26"/>
        </w:rPr>
        <w:t>[sentenc</w:t>
      </w:r>
      <w:r>
        <w:rPr>
          <w:szCs w:val="26"/>
        </w:rPr>
        <w:t>ing</w:t>
      </w:r>
      <w:r>
        <w:rPr>
          <w:szCs w:val="26"/>
        </w:rPr>
        <w:t>]</w:t>
      </w:r>
      <w:r w:rsidRPr="008268EE">
        <w:rPr>
          <w:szCs w:val="26"/>
        </w:rPr>
        <w:t xml:space="preserve"> allegation without considering the legal principles and policies that should have guided the court</w:t>
      </w:r>
      <w:r>
        <w:rPr>
          <w:szCs w:val="26"/>
        </w:rPr>
        <w:t>’</w:t>
      </w:r>
      <w:r w:rsidRPr="008268EE">
        <w:rPr>
          <w:szCs w:val="26"/>
        </w:rPr>
        <w:t>s actions.</w:t>
      </w:r>
      <w:r>
        <w:rPr>
          <w:szCs w:val="26"/>
        </w:rPr>
        <w:t>”  (</w:t>
      </w:r>
      <w:r w:rsidRPr="008268EE">
        <w:rPr>
          <w:i/>
          <w:iCs/>
          <w:szCs w:val="26"/>
        </w:rPr>
        <w:t>People v. Carmony</w:t>
      </w:r>
      <w:r>
        <w:rPr>
          <w:szCs w:val="26"/>
        </w:rPr>
        <w:t xml:space="preserve">, </w:t>
      </w:r>
      <w:r>
        <w:rPr>
          <w:i/>
          <w:iCs/>
          <w:szCs w:val="26"/>
        </w:rPr>
        <w:t>supra</w:t>
      </w:r>
      <w:r>
        <w:rPr>
          <w:szCs w:val="26"/>
        </w:rPr>
        <w:t xml:space="preserve">, </w:t>
      </w:r>
      <w:r>
        <w:rPr>
          <w:szCs w:val="26"/>
        </w:rPr>
        <w:t>33 </w:t>
      </w:r>
      <w:r w:rsidRPr="008268EE">
        <w:rPr>
          <w:szCs w:val="26"/>
        </w:rPr>
        <w:t xml:space="preserve">Cal.4th </w:t>
      </w:r>
      <w:r>
        <w:rPr>
          <w:szCs w:val="26"/>
        </w:rPr>
        <w:t xml:space="preserve">at </w:t>
      </w:r>
      <w:r>
        <w:rPr>
          <w:szCs w:val="26"/>
        </w:rPr>
        <w:t>p. </w:t>
      </w:r>
      <w:r>
        <w:rPr>
          <w:szCs w:val="26"/>
        </w:rPr>
        <w:t>377</w:t>
      </w:r>
      <w:r>
        <w:rPr>
          <w:szCs w:val="26"/>
        </w:rPr>
        <w:t xml:space="preserve">.)  </w:t>
      </w:r>
      <w:r>
        <w:rPr>
          <w:szCs w:val="26"/>
        </w:rPr>
        <w:t>Thus, w</w:t>
      </w:r>
      <w:r w:rsidRPr="001958A9">
        <w:rPr>
          <w:szCs w:val="26"/>
        </w:rPr>
        <w:t xml:space="preserve">hether the trial court </w:t>
      </w:r>
      <w:r>
        <w:rPr>
          <w:szCs w:val="26"/>
        </w:rPr>
        <w:t>in this case</w:t>
      </w:r>
      <w:r w:rsidRPr="001958A9">
        <w:rPr>
          <w:szCs w:val="26"/>
        </w:rPr>
        <w:t xml:space="preserve"> abused its discretion depends on the scope of that discretion under</w:t>
      </w:r>
      <w:r>
        <w:rPr>
          <w:szCs w:val="26"/>
        </w:rPr>
        <w:t xml:space="preserve"> sections 1385, 12022.5, and</w:t>
      </w:r>
      <w:r w:rsidRPr="001958A9">
        <w:rPr>
          <w:szCs w:val="26"/>
        </w:rPr>
        <w:t xml:space="preserve"> 12022.53. </w:t>
      </w:r>
      <w:r>
        <w:rPr>
          <w:szCs w:val="26"/>
        </w:rPr>
        <w:t xml:space="preserve"> </w:t>
      </w:r>
      <w:r w:rsidRPr="001958A9">
        <w:rPr>
          <w:szCs w:val="26"/>
        </w:rPr>
        <w:t xml:space="preserve">We review this </w:t>
      </w:r>
      <w:r w:rsidRPr="001958A9">
        <w:rPr>
          <w:szCs w:val="26"/>
        </w:rPr>
        <w:lastRenderedPageBreak/>
        <w:t>question of statutory interpretation de novo</w:t>
      </w:r>
      <w:r>
        <w:rPr>
          <w:szCs w:val="26"/>
        </w:rPr>
        <w:t>.  (</w:t>
      </w:r>
      <w:r w:rsidRPr="001958A9">
        <w:rPr>
          <w:i/>
          <w:iCs/>
          <w:szCs w:val="26"/>
        </w:rPr>
        <w:t>Tirado</w:t>
      </w:r>
      <w:r>
        <w:rPr>
          <w:szCs w:val="26"/>
        </w:rPr>
        <w:t xml:space="preserve">, </w:t>
      </w:r>
      <w:r>
        <w:rPr>
          <w:i/>
          <w:iCs/>
          <w:szCs w:val="26"/>
        </w:rPr>
        <w:t>supra</w:t>
      </w:r>
      <w:r>
        <w:rPr>
          <w:szCs w:val="26"/>
        </w:rPr>
        <w:t>,</w:t>
      </w:r>
      <w:r>
        <w:rPr>
          <w:i/>
          <w:iCs/>
          <w:szCs w:val="26"/>
        </w:rPr>
        <w:t xml:space="preserve"> </w:t>
      </w:r>
      <w:r>
        <w:rPr>
          <w:szCs w:val="26"/>
        </w:rPr>
        <w:t>12</w:t>
      </w:r>
      <w:r>
        <w:rPr>
          <w:szCs w:val="26"/>
        </w:rPr>
        <w:t> </w:t>
      </w:r>
      <w:r>
        <w:rPr>
          <w:szCs w:val="26"/>
        </w:rPr>
        <w:t xml:space="preserve">Cal.5th at </w:t>
      </w:r>
      <w:r>
        <w:rPr>
          <w:szCs w:val="26"/>
        </w:rPr>
        <w:t>p. </w:t>
      </w:r>
      <w:r>
        <w:rPr>
          <w:szCs w:val="26"/>
        </w:rPr>
        <w:t>694</w:t>
      </w:r>
      <w:r>
        <w:rPr>
          <w:szCs w:val="26"/>
        </w:rPr>
        <w:t xml:space="preserve">.)  </w:t>
      </w:r>
    </w:p>
    <w:p w14:paraId="7837A723" w14:textId="77777777" w:rsidR="00DE4F94" w:rsidRDefault="00861473" w:rsidP="004E4454">
      <w:pPr>
        <w:ind w:firstLine="720"/>
        <w:rPr>
          <w:bCs/>
          <w:iCs/>
        </w:rPr>
      </w:pPr>
    </w:p>
    <w:p w14:paraId="0A13E8DF" w14:textId="77777777" w:rsidR="006A7EDA" w:rsidRDefault="00861473" w:rsidP="005B2FF0">
      <w:pPr>
        <w:keepNext/>
        <w:ind w:firstLine="720"/>
        <w:rPr>
          <w:bCs/>
          <w:i/>
        </w:rPr>
      </w:pPr>
      <w:r>
        <w:rPr>
          <w:bCs/>
          <w:iCs/>
        </w:rPr>
        <w:t>B</w:t>
      </w:r>
      <w:r>
        <w:rPr>
          <w:bCs/>
          <w:iCs/>
        </w:rPr>
        <w:t>.</w:t>
      </w:r>
      <w:r>
        <w:rPr>
          <w:bCs/>
          <w:iCs/>
        </w:rPr>
        <w:tab/>
      </w:r>
      <w:r>
        <w:rPr>
          <w:bCs/>
          <w:i/>
        </w:rPr>
        <w:t>The Statutory Scheme</w:t>
      </w:r>
    </w:p>
    <w:p w14:paraId="38D96FEE" w14:textId="77777777" w:rsidR="00B05509" w:rsidRDefault="00861473" w:rsidP="005B2FF0">
      <w:pPr>
        <w:keepNext/>
        <w:ind w:firstLine="720"/>
        <w:rPr>
          <w:szCs w:val="26"/>
        </w:rPr>
      </w:pPr>
    </w:p>
    <w:p w14:paraId="08A7CACA" w14:textId="77777777" w:rsidR="006A7EDA" w:rsidRDefault="00861473" w:rsidP="005B2FF0">
      <w:pPr>
        <w:keepNext/>
        <w:ind w:left="2160" w:hanging="720"/>
        <w:rPr>
          <w:szCs w:val="26"/>
        </w:rPr>
      </w:pPr>
      <w:r>
        <w:rPr>
          <w:szCs w:val="26"/>
        </w:rPr>
        <w:t>1.</w:t>
      </w:r>
      <w:r>
        <w:rPr>
          <w:szCs w:val="26"/>
        </w:rPr>
        <w:tab/>
      </w:r>
      <w:r>
        <w:rPr>
          <w:i/>
          <w:iCs/>
          <w:szCs w:val="26"/>
        </w:rPr>
        <w:t>Section 1385</w:t>
      </w:r>
    </w:p>
    <w:p w14:paraId="281B6C3E" w14:textId="77777777" w:rsidR="00B24479" w:rsidRPr="00B24479" w:rsidRDefault="00861473" w:rsidP="005B2FF0">
      <w:pPr>
        <w:keepNext/>
        <w:ind w:firstLine="720"/>
        <w:rPr>
          <w:szCs w:val="26"/>
        </w:rPr>
      </w:pPr>
      <w:r>
        <w:rPr>
          <w:szCs w:val="26"/>
        </w:rPr>
        <w:t>S</w:t>
      </w:r>
      <w:r>
        <w:rPr>
          <w:szCs w:val="26"/>
        </w:rPr>
        <w:t>ection 1385, subdivision </w:t>
      </w:r>
      <w:r w:rsidRPr="00BA144E">
        <w:rPr>
          <w:szCs w:val="26"/>
        </w:rPr>
        <w:t>(a)</w:t>
      </w:r>
      <w:r>
        <w:rPr>
          <w:szCs w:val="26"/>
        </w:rPr>
        <w:t>,</w:t>
      </w:r>
      <w:r w:rsidRPr="00BA144E">
        <w:rPr>
          <w:szCs w:val="26"/>
        </w:rPr>
        <w:t xml:space="preserve"> provides </w:t>
      </w:r>
      <w:r>
        <w:rPr>
          <w:szCs w:val="26"/>
        </w:rPr>
        <w:t>that a “</w:t>
      </w:r>
      <w:r w:rsidRPr="00B16BE5">
        <w:rPr>
          <w:szCs w:val="26"/>
        </w:rPr>
        <w:t>judge or magistrate may, either</w:t>
      </w:r>
      <w:r>
        <w:rPr>
          <w:szCs w:val="26"/>
        </w:rPr>
        <w:t xml:space="preserve"> </w:t>
      </w:r>
      <w:r w:rsidRPr="00B16BE5">
        <w:rPr>
          <w:szCs w:val="26"/>
        </w:rPr>
        <w:t>on</w:t>
      </w:r>
      <w:r>
        <w:rPr>
          <w:szCs w:val="26"/>
        </w:rPr>
        <w:t xml:space="preserve"> </w:t>
      </w:r>
      <w:r w:rsidRPr="00B16BE5">
        <w:rPr>
          <w:szCs w:val="26"/>
        </w:rPr>
        <w:t>motion</w:t>
      </w:r>
      <w:r>
        <w:rPr>
          <w:szCs w:val="26"/>
        </w:rPr>
        <w:t xml:space="preserve"> </w:t>
      </w:r>
      <w:r w:rsidRPr="00B16BE5">
        <w:rPr>
          <w:szCs w:val="26"/>
        </w:rPr>
        <w:t>of the court</w:t>
      </w:r>
      <w:r>
        <w:rPr>
          <w:szCs w:val="26"/>
        </w:rPr>
        <w:t xml:space="preserve"> </w:t>
      </w:r>
      <w:r w:rsidRPr="00B16BE5">
        <w:rPr>
          <w:szCs w:val="26"/>
        </w:rPr>
        <w:t>or upon the application of the prosecuting attorney, and</w:t>
      </w:r>
      <w:r>
        <w:rPr>
          <w:szCs w:val="26"/>
        </w:rPr>
        <w:t xml:space="preserve"> </w:t>
      </w:r>
      <w:r w:rsidRPr="00B16BE5">
        <w:rPr>
          <w:szCs w:val="26"/>
        </w:rPr>
        <w:t>in furtherance of justice, order</w:t>
      </w:r>
      <w:r>
        <w:rPr>
          <w:szCs w:val="26"/>
        </w:rPr>
        <w:t xml:space="preserve"> </w:t>
      </w:r>
      <w:r w:rsidRPr="00B16BE5">
        <w:rPr>
          <w:szCs w:val="26"/>
        </w:rPr>
        <w:t>an action</w:t>
      </w:r>
      <w:r>
        <w:rPr>
          <w:szCs w:val="26"/>
        </w:rPr>
        <w:t xml:space="preserve"> </w:t>
      </w:r>
      <w:r w:rsidRPr="00B16BE5">
        <w:rPr>
          <w:szCs w:val="26"/>
        </w:rPr>
        <w:t>to be dismissed.</w:t>
      </w:r>
      <w:r w:rsidRPr="00BA144E">
        <w:rPr>
          <w:szCs w:val="26"/>
        </w:rPr>
        <w:t>”</w:t>
      </w:r>
      <w:r>
        <w:rPr>
          <w:szCs w:val="26"/>
        </w:rPr>
        <w:t xml:space="preserve">  Section 1385 applies to </w:t>
      </w:r>
      <w:r>
        <w:rPr>
          <w:szCs w:val="26"/>
        </w:rPr>
        <w:t xml:space="preserve">a </w:t>
      </w:r>
      <w:r>
        <w:rPr>
          <w:szCs w:val="26"/>
        </w:rPr>
        <w:t>motion to dismiss “</w:t>
      </w:r>
      <w:r w:rsidRPr="00BA144E">
        <w:rPr>
          <w:szCs w:val="26"/>
        </w:rPr>
        <w:t>the entire action or, as here, only an enhancement</w:t>
      </w:r>
      <w:r>
        <w:rPr>
          <w:b/>
          <w:bCs/>
          <w:szCs w:val="26"/>
        </w:rPr>
        <w:t xml:space="preserve"> </w:t>
      </w:r>
      <w:r w:rsidRPr="00BA144E">
        <w:rPr>
          <w:szCs w:val="26"/>
        </w:rPr>
        <w:t>allegation.</w:t>
      </w:r>
      <w:r>
        <w:rPr>
          <w:szCs w:val="26"/>
        </w:rPr>
        <w:t>”  (</w:t>
      </w:r>
      <w:r w:rsidRPr="00BA144E">
        <w:rPr>
          <w:i/>
          <w:iCs/>
          <w:szCs w:val="26"/>
        </w:rPr>
        <w:t>People v. Bonnetta</w:t>
      </w:r>
      <w:r>
        <w:rPr>
          <w:szCs w:val="26"/>
        </w:rPr>
        <w:t xml:space="preserve"> (2009) 46 </w:t>
      </w:r>
      <w:r w:rsidRPr="00BA144E">
        <w:rPr>
          <w:szCs w:val="26"/>
        </w:rPr>
        <w:t>Cal.4th 143, 14</w:t>
      </w:r>
      <w:r>
        <w:rPr>
          <w:szCs w:val="26"/>
        </w:rPr>
        <w:t>5</w:t>
      </w:r>
      <w:r>
        <w:rPr>
          <w:szCs w:val="26"/>
        </w:rPr>
        <w:noBreakHyphen/>
      </w:r>
      <w:r>
        <w:rPr>
          <w:szCs w:val="26"/>
        </w:rPr>
        <w:t>146; see</w:t>
      </w:r>
      <w:r>
        <w:rPr>
          <w:szCs w:val="26"/>
        </w:rPr>
        <w:t xml:space="preserve"> </w:t>
      </w:r>
      <w:r w:rsidRPr="001958A9">
        <w:rPr>
          <w:i/>
          <w:iCs/>
          <w:szCs w:val="26"/>
        </w:rPr>
        <w:t>Tirado</w:t>
      </w:r>
      <w:r>
        <w:rPr>
          <w:szCs w:val="26"/>
        </w:rPr>
        <w:t xml:space="preserve">, </w:t>
      </w:r>
      <w:r>
        <w:rPr>
          <w:i/>
          <w:iCs/>
          <w:szCs w:val="26"/>
        </w:rPr>
        <w:t>supra</w:t>
      </w:r>
      <w:r>
        <w:rPr>
          <w:szCs w:val="26"/>
        </w:rPr>
        <w:t>,</w:t>
      </w:r>
      <w:r>
        <w:rPr>
          <w:i/>
          <w:iCs/>
          <w:szCs w:val="26"/>
        </w:rPr>
        <w:t xml:space="preserve"> </w:t>
      </w:r>
      <w:r>
        <w:rPr>
          <w:szCs w:val="26"/>
        </w:rPr>
        <w:t>12 </w:t>
      </w:r>
      <w:r>
        <w:rPr>
          <w:szCs w:val="26"/>
        </w:rPr>
        <w:t xml:space="preserve">Cal.5th </w:t>
      </w:r>
      <w:r>
        <w:rPr>
          <w:szCs w:val="26"/>
        </w:rPr>
        <w:t xml:space="preserve">at </w:t>
      </w:r>
      <w:r>
        <w:rPr>
          <w:szCs w:val="26"/>
        </w:rPr>
        <w:t>p. </w:t>
      </w:r>
      <w:r>
        <w:rPr>
          <w:szCs w:val="26"/>
        </w:rPr>
        <w:t xml:space="preserve">696 </w:t>
      </w:r>
      <w:r>
        <w:rPr>
          <w:szCs w:val="26"/>
        </w:rPr>
        <w:t>[“</w:t>
      </w:r>
      <w:r w:rsidRPr="001958A9">
        <w:rPr>
          <w:szCs w:val="26"/>
        </w:rPr>
        <w:t>Though</w:t>
      </w:r>
      <w:r>
        <w:rPr>
          <w:szCs w:val="26"/>
        </w:rPr>
        <w:t xml:space="preserve"> </w:t>
      </w:r>
      <w:r>
        <w:rPr>
          <w:szCs w:val="26"/>
        </w:rPr>
        <w:t xml:space="preserve">section </w:t>
      </w:r>
      <w:r w:rsidRPr="001958A9">
        <w:rPr>
          <w:szCs w:val="26"/>
        </w:rPr>
        <w:t>1385</w:t>
      </w:r>
      <w:r>
        <w:rPr>
          <w:szCs w:val="26"/>
        </w:rPr>
        <w:t xml:space="preserve"> </w:t>
      </w:r>
      <w:r w:rsidRPr="001958A9">
        <w:rPr>
          <w:szCs w:val="26"/>
        </w:rPr>
        <w:t xml:space="preserve">literally authorizes the dismissal of </w:t>
      </w:r>
      <w:r>
        <w:rPr>
          <w:szCs w:val="26"/>
        </w:rPr>
        <w:t>‘</w:t>
      </w:r>
      <w:r w:rsidRPr="001958A9">
        <w:rPr>
          <w:szCs w:val="26"/>
        </w:rPr>
        <w:t>an action,</w:t>
      </w:r>
      <w:r>
        <w:rPr>
          <w:szCs w:val="26"/>
        </w:rPr>
        <w:t>’</w:t>
      </w:r>
      <w:r w:rsidRPr="001958A9">
        <w:rPr>
          <w:szCs w:val="26"/>
        </w:rPr>
        <w:t xml:space="preserve"> it has been construed to permit the dismissal of parts of an action </w:t>
      </w:r>
      <w:r>
        <w:rPr>
          <w:szCs w:val="26"/>
        </w:rPr>
        <w:t>[citation]</w:t>
      </w:r>
      <w:r w:rsidRPr="001958A9">
        <w:rPr>
          <w:szCs w:val="26"/>
        </w:rPr>
        <w:t>, including a weapon or firearm use enhancement</w:t>
      </w:r>
      <w:r>
        <w:rPr>
          <w:szCs w:val="26"/>
        </w:rPr>
        <w:t>.”];</w:t>
      </w:r>
      <w:r>
        <w:rPr>
          <w:szCs w:val="26"/>
        </w:rPr>
        <w:t xml:space="preserve"> </w:t>
      </w:r>
      <w:r w:rsidRPr="00CE5778">
        <w:rPr>
          <w:i/>
          <w:iCs/>
          <w:szCs w:val="26"/>
        </w:rPr>
        <w:t>Romero</w:t>
      </w:r>
      <w:r>
        <w:rPr>
          <w:szCs w:val="26"/>
        </w:rPr>
        <w:t xml:space="preserve">, </w:t>
      </w:r>
      <w:r w:rsidRPr="00831686">
        <w:rPr>
          <w:i/>
          <w:iCs/>
          <w:szCs w:val="26"/>
        </w:rPr>
        <w:t>supra</w:t>
      </w:r>
      <w:r>
        <w:rPr>
          <w:szCs w:val="26"/>
        </w:rPr>
        <w:t>,</w:t>
      </w:r>
      <w:r>
        <w:rPr>
          <w:i/>
          <w:iCs/>
          <w:szCs w:val="26"/>
        </w:rPr>
        <w:t xml:space="preserve"> </w:t>
      </w:r>
      <w:r>
        <w:rPr>
          <w:szCs w:val="26"/>
        </w:rPr>
        <w:t>13 </w:t>
      </w:r>
      <w:r w:rsidRPr="00CE5778">
        <w:rPr>
          <w:szCs w:val="26"/>
        </w:rPr>
        <w:t xml:space="preserve">Cal.4th </w:t>
      </w:r>
      <w:r>
        <w:rPr>
          <w:szCs w:val="26"/>
        </w:rPr>
        <w:t xml:space="preserve">at </w:t>
      </w:r>
      <w:r>
        <w:rPr>
          <w:szCs w:val="26"/>
        </w:rPr>
        <w:t>p. </w:t>
      </w:r>
      <w:r w:rsidRPr="00CE5778">
        <w:rPr>
          <w:szCs w:val="26"/>
        </w:rPr>
        <w:t>508</w:t>
      </w:r>
      <w:r>
        <w:rPr>
          <w:szCs w:val="26"/>
        </w:rPr>
        <w:t xml:space="preserve"> [“</w:t>
      </w:r>
      <w:r w:rsidRPr="00CE5778">
        <w:rPr>
          <w:szCs w:val="26"/>
        </w:rPr>
        <w:t xml:space="preserve">we have </w:t>
      </w:r>
      <w:r w:rsidRPr="00CE5778">
        <w:rPr>
          <w:szCs w:val="26"/>
        </w:rPr>
        <w:t>construed section 1385</w:t>
      </w:r>
      <w:r>
        <w:rPr>
          <w:szCs w:val="26"/>
        </w:rPr>
        <w:t xml:space="preserve">[, subdivision] </w:t>
      </w:r>
      <w:r w:rsidRPr="00CE5778">
        <w:rPr>
          <w:szCs w:val="26"/>
        </w:rPr>
        <w:t>(a) as permitting a judge to dismiss not only an entire case, but also a part thereof, including the allegation that a defendant has previously been convicted of a felony</w:t>
      </w:r>
      <w:r>
        <w:rPr>
          <w:szCs w:val="26"/>
        </w:rPr>
        <w:t xml:space="preserve">”]; </w:t>
      </w:r>
      <w:r>
        <w:rPr>
          <w:i/>
          <w:iCs/>
          <w:szCs w:val="26"/>
        </w:rPr>
        <w:t>People v. Hernandez</w:t>
      </w:r>
      <w:r>
        <w:rPr>
          <w:szCs w:val="26"/>
        </w:rPr>
        <w:t xml:space="preserve"> </w:t>
      </w:r>
      <w:r>
        <w:rPr>
          <w:szCs w:val="26"/>
        </w:rPr>
        <w:t>(2000) 22</w:t>
      </w:r>
      <w:r>
        <w:rPr>
          <w:szCs w:val="26"/>
        </w:rPr>
        <w:t> </w:t>
      </w:r>
      <w:r>
        <w:rPr>
          <w:szCs w:val="26"/>
        </w:rPr>
        <w:t>Cal.4th 512, 5</w:t>
      </w:r>
      <w:r>
        <w:rPr>
          <w:szCs w:val="26"/>
        </w:rPr>
        <w:t>22</w:t>
      </w:r>
      <w:r>
        <w:rPr>
          <w:szCs w:val="26"/>
        </w:rPr>
        <w:t xml:space="preserve"> [“</w:t>
      </w:r>
      <w:r>
        <w:rPr>
          <w:szCs w:val="26"/>
        </w:rPr>
        <w:t>‘</w:t>
      </w:r>
      <w:r w:rsidRPr="00B24479">
        <w:rPr>
          <w:szCs w:val="26"/>
        </w:rPr>
        <w:t>The authority to dismiss the whole includes, of c</w:t>
      </w:r>
      <w:r>
        <w:rPr>
          <w:szCs w:val="26"/>
        </w:rPr>
        <w:t>ourse, the power to dismiss or “strike out”</w:t>
      </w:r>
      <w:r w:rsidRPr="00B24479">
        <w:rPr>
          <w:szCs w:val="26"/>
        </w:rPr>
        <w:t xml:space="preserve"> a part</w:t>
      </w:r>
      <w:r>
        <w:rPr>
          <w:szCs w:val="26"/>
        </w:rPr>
        <w:t>.</w:t>
      </w:r>
      <w:r>
        <w:rPr>
          <w:szCs w:val="26"/>
        </w:rPr>
        <w:t>’</w:t>
      </w:r>
      <w:r>
        <w:rPr>
          <w:szCs w:val="26"/>
        </w:rPr>
        <w:t>”];</w:t>
      </w:r>
      <w:r w:rsidRPr="00B24479">
        <w:rPr>
          <w:szCs w:val="26"/>
        </w:rPr>
        <w:t xml:space="preserve"> </w:t>
      </w:r>
      <w:r>
        <w:rPr>
          <w:szCs w:val="26"/>
        </w:rPr>
        <w:t xml:space="preserve">see also </w:t>
      </w:r>
      <w:r>
        <w:rPr>
          <w:szCs w:val="26"/>
        </w:rPr>
        <w:t>§ </w:t>
      </w:r>
      <w:r>
        <w:rPr>
          <w:szCs w:val="26"/>
        </w:rPr>
        <w:t>1385, subd</w:t>
      </w:r>
      <w:r>
        <w:rPr>
          <w:szCs w:val="26"/>
        </w:rPr>
        <w:t>. </w:t>
      </w:r>
      <w:r>
        <w:rPr>
          <w:szCs w:val="26"/>
        </w:rPr>
        <w:t xml:space="preserve">(b) [referring to a court’s </w:t>
      </w:r>
      <w:r w:rsidRPr="00B16BE5">
        <w:rPr>
          <w:szCs w:val="26"/>
        </w:rPr>
        <w:t>authority to strike or dismiss an enhancement</w:t>
      </w:r>
      <w:r>
        <w:rPr>
          <w:szCs w:val="26"/>
        </w:rPr>
        <w:t xml:space="preserve">].)  </w:t>
      </w:r>
    </w:p>
    <w:p w14:paraId="3F145D97" w14:textId="77777777" w:rsidR="00DE4F94" w:rsidRPr="004C5047" w:rsidRDefault="00861473" w:rsidP="00CE52FD">
      <w:pPr>
        <w:ind w:firstLine="720"/>
        <w:rPr>
          <w:szCs w:val="26"/>
        </w:rPr>
      </w:pPr>
      <w:r>
        <w:rPr>
          <w:szCs w:val="26"/>
        </w:rPr>
        <w:t>“[S]ections</w:t>
      </w:r>
      <w:r w:rsidRPr="00BA144E">
        <w:rPr>
          <w:szCs w:val="26"/>
        </w:rPr>
        <w:t xml:space="preserve"> 1385 and 1386, enacted in 1872,</w:t>
      </w:r>
      <w:r w:rsidRPr="00BA144E">
        <w:rPr>
          <w:szCs w:val="26"/>
        </w:rPr>
        <w:t xml:space="preserve"> codify California</w:t>
      </w:r>
      <w:r>
        <w:rPr>
          <w:szCs w:val="26"/>
        </w:rPr>
        <w:t>’</w:t>
      </w:r>
      <w:r w:rsidRPr="00BA144E">
        <w:rPr>
          <w:szCs w:val="26"/>
        </w:rPr>
        <w:t>s rejection of the English rule of nolle prosequi, under which the prosecutor alone had authority to discontinue a prosecution, in favor of granting sole</w:t>
      </w:r>
      <w:r>
        <w:rPr>
          <w:szCs w:val="26"/>
        </w:rPr>
        <w:t xml:space="preserve"> </w:t>
      </w:r>
      <w:r w:rsidRPr="00BA144E">
        <w:rPr>
          <w:szCs w:val="26"/>
        </w:rPr>
        <w:t xml:space="preserve">authority to the courts to </w:t>
      </w:r>
      <w:r w:rsidRPr="00BA144E">
        <w:rPr>
          <w:szCs w:val="26"/>
        </w:rPr>
        <w:lastRenderedPageBreak/>
        <w:t>dismiss actions in furtherance of justice</w:t>
      </w:r>
      <w:r>
        <w:rPr>
          <w:szCs w:val="26"/>
        </w:rPr>
        <w:t>.”</w:t>
      </w:r>
      <w:r>
        <w:rPr>
          <w:rStyle w:val="FootnoteReference"/>
          <w:szCs w:val="26"/>
        </w:rPr>
        <w:footnoteReference w:id="6"/>
      </w:r>
      <w:r>
        <w:rPr>
          <w:szCs w:val="26"/>
        </w:rPr>
        <w:t xml:space="preserve"> </w:t>
      </w:r>
      <w:r>
        <w:rPr>
          <w:szCs w:val="26"/>
        </w:rPr>
        <w:t xml:space="preserve"> </w:t>
      </w:r>
      <w:r>
        <w:rPr>
          <w:szCs w:val="26"/>
        </w:rPr>
        <w:t>(</w:t>
      </w:r>
      <w:r w:rsidRPr="00BA144E">
        <w:rPr>
          <w:i/>
          <w:iCs/>
          <w:szCs w:val="26"/>
        </w:rPr>
        <w:t>People v</w:t>
      </w:r>
      <w:r w:rsidRPr="00BA144E">
        <w:rPr>
          <w:i/>
          <w:iCs/>
          <w:szCs w:val="26"/>
        </w:rPr>
        <w:t>. Bonnetta</w:t>
      </w:r>
      <w:r>
        <w:rPr>
          <w:szCs w:val="26"/>
        </w:rPr>
        <w:t xml:space="preserve">, </w:t>
      </w:r>
      <w:r>
        <w:rPr>
          <w:i/>
          <w:iCs/>
          <w:szCs w:val="26"/>
        </w:rPr>
        <w:t>supra</w:t>
      </w:r>
      <w:r>
        <w:rPr>
          <w:szCs w:val="26"/>
        </w:rPr>
        <w:t>,</w:t>
      </w:r>
      <w:r>
        <w:rPr>
          <w:i/>
          <w:iCs/>
          <w:szCs w:val="26"/>
        </w:rPr>
        <w:t xml:space="preserve"> </w:t>
      </w:r>
      <w:r>
        <w:rPr>
          <w:szCs w:val="26"/>
        </w:rPr>
        <w:t>46 </w:t>
      </w:r>
      <w:r w:rsidRPr="00BA144E">
        <w:rPr>
          <w:szCs w:val="26"/>
        </w:rPr>
        <w:t xml:space="preserve">Cal.4th </w:t>
      </w:r>
      <w:r>
        <w:rPr>
          <w:szCs w:val="26"/>
        </w:rPr>
        <w:t>at p</w:t>
      </w:r>
      <w:r>
        <w:rPr>
          <w:szCs w:val="26"/>
        </w:rPr>
        <w:t>p. </w:t>
      </w:r>
      <w:r w:rsidRPr="00BA144E">
        <w:rPr>
          <w:szCs w:val="26"/>
        </w:rPr>
        <w:t>148</w:t>
      </w:r>
      <w:r>
        <w:rPr>
          <w:szCs w:val="26"/>
        </w:rPr>
        <w:noBreakHyphen/>
      </w:r>
      <w:r w:rsidRPr="00BA144E">
        <w:rPr>
          <w:szCs w:val="26"/>
        </w:rPr>
        <w:t>149</w:t>
      </w:r>
      <w:r>
        <w:rPr>
          <w:szCs w:val="26"/>
        </w:rPr>
        <w:t>, fn. omitted</w:t>
      </w:r>
      <w:r>
        <w:rPr>
          <w:szCs w:val="26"/>
        </w:rPr>
        <w:t>.)</w:t>
      </w:r>
      <w:r>
        <w:rPr>
          <w:szCs w:val="26"/>
        </w:rPr>
        <w:t xml:space="preserve">  </w:t>
      </w:r>
      <w:r>
        <w:rPr>
          <w:szCs w:val="26"/>
        </w:rPr>
        <w:t>“</w:t>
      </w:r>
      <w:r w:rsidRPr="00C47CFD">
        <w:rPr>
          <w:szCs w:val="26"/>
        </w:rPr>
        <w:t>Because nolle prosequi is abolished in California, the prosecutor may not unilaterally abandon a prosecution (</w:t>
      </w:r>
      <w:r>
        <w:rPr>
          <w:szCs w:val="26"/>
        </w:rPr>
        <w:t>Pen. Code, § </w:t>
      </w:r>
      <w:r w:rsidRPr="00C47CFD">
        <w:rPr>
          <w:szCs w:val="26"/>
        </w:rPr>
        <w:t>1386); only the court may dismiss a criminal charge (</w:t>
      </w:r>
      <w:r w:rsidRPr="00C47CFD">
        <w:rPr>
          <w:i/>
          <w:iCs/>
          <w:szCs w:val="26"/>
        </w:rPr>
        <w:t>id.</w:t>
      </w:r>
      <w:r w:rsidRPr="00E06714">
        <w:rPr>
          <w:szCs w:val="26"/>
        </w:rPr>
        <w:t>,</w:t>
      </w:r>
      <w:r>
        <w:rPr>
          <w:szCs w:val="26"/>
        </w:rPr>
        <w:t xml:space="preserve"> </w:t>
      </w:r>
      <w:r>
        <w:rPr>
          <w:szCs w:val="26"/>
        </w:rPr>
        <w:t>§ </w:t>
      </w:r>
      <w:r>
        <w:rPr>
          <w:szCs w:val="26"/>
        </w:rPr>
        <w:t xml:space="preserve">1385, </w:t>
      </w:r>
      <w:r>
        <w:rPr>
          <w:szCs w:val="26"/>
        </w:rPr>
        <w:t>subd. </w:t>
      </w:r>
      <w:r w:rsidRPr="00C47CFD">
        <w:rPr>
          <w:szCs w:val="26"/>
        </w:rPr>
        <w:t>(a)</w:t>
      </w:r>
      <w:r>
        <w:rPr>
          <w:szCs w:val="26"/>
        </w:rPr>
        <w:t>).</w:t>
      </w:r>
      <w:r>
        <w:rPr>
          <w:szCs w:val="26"/>
        </w:rPr>
        <w:t>”</w:t>
      </w:r>
      <w:r>
        <w:rPr>
          <w:szCs w:val="26"/>
        </w:rPr>
        <w:t xml:space="preserve">  (</w:t>
      </w:r>
      <w:r w:rsidRPr="00C47CFD">
        <w:rPr>
          <w:i/>
          <w:iCs/>
          <w:szCs w:val="26"/>
        </w:rPr>
        <w:t>Steen v. Appellate Division of Superior Court</w:t>
      </w:r>
      <w:r>
        <w:rPr>
          <w:szCs w:val="26"/>
        </w:rPr>
        <w:t xml:space="preserve"> (2014) 59 </w:t>
      </w:r>
      <w:r w:rsidRPr="00C47CFD">
        <w:rPr>
          <w:szCs w:val="26"/>
        </w:rPr>
        <w:t>Cal.4th 1045, 1055; see</w:t>
      </w:r>
      <w:r w:rsidRPr="00C47CFD">
        <w:rPr>
          <w:i/>
          <w:iCs/>
          <w:szCs w:val="26"/>
        </w:rPr>
        <w:t xml:space="preserve"> </w:t>
      </w:r>
      <w:r w:rsidRPr="00C47CFD">
        <w:rPr>
          <w:i/>
          <w:iCs/>
          <w:szCs w:val="26"/>
        </w:rPr>
        <w:t>Romero</w:t>
      </w:r>
      <w:r>
        <w:rPr>
          <w:szCs w:val="26"/>
        </w:rPr>
        <w:t xml:space="preserve">, </w:t>
      </w:r>
      <w:r>
        <w:rPr>
          <w:i/>
          <w:iCs/>
          <w:szCs w:val="26"/>
        </w:rPr>
        <w:t>supra</w:t>
      </w:r>
      <w:r>
        <w:rPr>
          <w:szCs w:val="26"/>
        </w:rPr>
        <w:t>,</w:t>
      </w:r>
      <w:r>
        <w:rPr>
          <w:i/>
          <w:iCs/>
          <w:szCs w:val="26"/>
        </w:rPr>
        <w:t xml:space="preserve"> </w:t>
      </w:r>
      <w:r>
        <w:rPr>
          <w:szCs w:val="26"/>
        </w:rPr>
        <w:t>13 </w:t>
      </w:r>
      <w:r w:rsidRPr="00C47CFD">
        <w:rPr>
          <w:szCs w:val="26"/>
        </w:rPr>
        <w:t xml:space="preserve">Cal.4th </w:t>
      </w:r>
      <w:r>
        <w:rPr>
          <w:szCs w:val="26"/>
        </w:rPr>
        <w:t xml:space="preserve">at </w:t>
      </w:r>
      <w:r>
        <w:rPr>
          <w:szCs w:val="26"/>
        </w:rPr>
        <w:t>p. </w:t>
      </w:r>
      <w:r w:rsidRPr="00C47CFD">
        <w:rPr>
          <w:szCs w:val="26"/>
        </w:rPr>
        <w:t>512</w:t>
      </w:r>
      <w:r>
        <w:rPr>
          <w:szCs w:val="26"/>
        </w:rPr>
        <w:t xml:space="preserve"> </w:t>
      </w:r>
      <w:r>
        <w:rPr>
          <w:szCs w:val="26"/>
        </w:rPr>
        <w:t>[“</w:t>
      </w:r>
      <w:r w:rsidRPr="00B1404F">
        <w:rPr>
          <w:szCs w:val="26"/>
        </w:rPr>
        <w:t>when the Legislature does permit a charge to be dismissed the ultimate decision whether to dismiss is a judicial, rather th</w:t>
      </w:r>
      <w:r w:rsidRPr="00B1404F">
        <w:rPr>
          <w:szCs w:val="26"/>
        </w:rPr>
        <w:t>an a prosecutorial or executive, function</w:t>
      </w:r>
      <w:r>
        <w:rPr>
          <w:szCs w:val="26"/>
        </w:rPr>
        <w:t>”]</w:t>
      </w:r>
      <w:r>
        <w:rPr>
          <w:szCs w:val="26"/>
        </w:rPr>
        <w:t>.</w:t>
      </w:r>
      <w:r w:rsidRPr="00C47CFD">
        <w:rPr>
          <w:szCs w:val="26"/>
        </w:rPr>
        <w:t>)</w:t>
      </w:r>
      <w:r>
        <w:rPr>
          <w:szCs w:val="26"/>
        </w:rPr>
        <w:t xml:space="preserve"> </w:t>
      </w:r>
      <w:r>
        <w:rPr>
          <w:szCs w:val="26"/>
        </w:rPr>
        <w:t xml:space="preserve"> Thus, </w:t>
      </w:r>
      <w:r>
        <w:rPr>
          <w:szCs w:val="26"/>
        </w:rPr>
        <w:t xml:space="preserve">a </w:t>
      </w:r>
      <w:r>
        <w:rPr>
          <w:szCs w:val="26"/>
        </w:rPr>
        <w:t>“</w:t>
      </w:r>
      <w:r>
        <w:rPr>
          <w:color w:val="000000"/>
          <w:szCs w:val="26"/>
        </w:rPr>
        <w:t>‘</w:t>
      </w:r>
      <w:r w:rsidRPr="007A674B">
        <w:rPr>
          <w:color w:val="000000"/>
          <w:szCs w:val="26"/>
        </w:rPr>
        <w:t xml:space="preserve">district attorney can only recommend dismissal to the court. </w:t>
      </w:r>
      <w:r>
        <w:rPr>
          <w:color w:val="000000"/>
          <w:szCs w:val="26"/>
        </w:rPr>
        <w:t xml:space="preserve"> </w:t>
      </w:r>
      <w:r w:rsidRPr="007A674B">
        <w:rPr>
          <w:color w:val="000000"/>
          <w:szCs w:val="26"/>
        </w:rPr>
        <w:t>Dismissal is within the latter’s exclusive discretion.</w:t>
      </w:r>
      <w:r>
        <w:rPr>
          <w:color w:val="000000"/>
          <w:szCs w:val="26"/>
        </w:rPr>
        <w:t>’</w:t>
      </w:r>
      <w:r w:rsidRPr="007A674B">
        <w:rPr>
          <w:color w:val="000000"/>
          <w:szCs w:val="26"/>
        </w:rPr>
        <w:t>”</w:t>
      </w:r>
      <w:r>
        <w:rPr>
          <w:color w:val="000000"/>
          <w:szCs w:val="26"/>
        </w:rPr>
        <w:t xml:space="preserve">  (</w:t>
      </w:r>
      <w:r>
        <w:rPr>
          <w:i/>
          <w:iCs/>
          <w:color w:val="000000"/>
          <w:szCs w:val="26"/>
        </w:rPr>
        <w:t xml:space="preserve">People v. Roman </w:t>
      </w:r>
      <w:r>
        <w:rPr>
          <w:iCs/>
          <w:color w:val="000000"/>
          <w:szCs w:val="26"/>
        </w:rPr>
        <w:t>(2001) 92 Cal.App.4t</w:t>
      </w:r>
      <w:r w:rsidRPr="00A7209F">
        <w:rPr>
          <w:iCs/>
          <w:color w:val="000000"/>
          <w:szCs w:val="26"/>
        </w:rPr>
        <w:t>h 141, 145</w:t>
      </w:r>
      <w:r w:rsidRPr="00A7209F">
        <w:rPr>
          <w:color w:val="000000"/>
          <w:szCs w:val="26"/>
        </w:rPr>
        <w:t>;</w:t>
      </w:r>
      <w:r>
        <w:rPr>
          <w:color w:val="000000"/>
          <w:szCs w:val="26"/>
        </w:rPr>
        <w:t xml:space="preserve"> see</w:t>
      </w:r>
      <w:r>
        <w:rPr>
          <w:color w:val="000000"/>
          <w:szCs w:val="26"/>
        </w:rPr>
        <w:t xml:space="preserve"> </w:t>
      </w:r>
      <w:r w:rsidRPr="00833BD3">
        <w:rPr>
          <w:i/>
          <w:iCs/>
          <w:szCs w:val="26"/>
        </w:rPr>
        <w:t>People v. Levins</w:t>
      </w:r>
      <w:r>
        <w:rPr>
          <w:szCs w:val="26"/>
        </w:rPr>
        <w:t xml:space="preserve"> </w:t>
      </w:r>
      <w:r w:rsidRPr="00833BD3">
        <w:rPr>
          <w:szCs w:val="26"/>
        </w:rPr>
        <w:t>(1978) 22</w:t>
      </w:r>
      <w:r>
        <w:rPr>
          <w:szCs w:val="26"/>
        </w:rPr>
        <w:t> </w:t>
      </w:r>
      <w:r w:rsidRPr="00833BD3">
        <w:rPr>
          <w:szCs w:val="26"/>
        </w:rPr>
        <w:t>Cal.3d 620, 623</w:t>
      </w:r>
      <w:r>
        <w:rPr>
          <w:szCs w:val="26"/>
        </w:rPr>
        <w:noBreakHyphen/>
      </w:r>
      <w:r w:rsidRPr="00833BD3">
        <w:rPr>
          <w:szCs w:val="26"/>
        </w:rPr>
        <w:t>624</w:t>
      </w:r>
      <w:r>
        <w:rPr>
          <w:szCs w:val="26"/>
        </w:rPr>
        <w:t xml:space="preserve"> [section 1385 “</w:t>
      </w:r>
      <w:r w:rsidRPr="00833BD3">
        <w:rPr>
          <w:szCs w:val="26"/>
        </w:rPr>
        <w:t>does not require that</w:t>
      </w:r>
      <w:r>
        <w:rPr>
          <w:szCs w:val="26"/>
        </w:rPr>
        <w:t xml:space="preserve"> </w:t>
      </w:r>
      <w:r w:rsidRPr="00833BD3">
        <w:rPr>
          <w:szCs w:val="26"/>
        </w:rPr>
        <w:t>a court dismiss a criminal action upon application of the district attorney; rather, the statutory language clearly indicates the creation of a discretionary power in the court</w:t>
      </w:r>
      <w:r>
        <w:rPr>
          <w:szCs w:val="26"/>
        </w:rPr>
        <w:t>”];</w:t>
      </w:r>
      <w:r>
        <w:rPr>
          <w:color w:val="000000"/>
          <w:szCs w:val="26"/>
        </w:rPr>
        <w:t xml:space="preserve"> </w:t>
      </w:r>
      <w:r w:rsidRPr="002C51C6">
        <w:rPr>
          <w:i/>
          <w:iCs/>
          <w:szCs w:val="26"/>
        </w:rPr>
        <w:t>People v.</w:t>
      </w:r>
      <w:r w:rsidRPr="002C51C6">
        <w:rPr>
          <w:i/>
          <w:iCs/>
          <w:szCs w:val="26"/>
        </w:rPr>
        <w:t xml:space="preserve"> </w:t>
      </w:r>
      <w:r w:rsidRPr="00CD2B66">
        <w:rPr>
          <w:i/>
          <w:iCs/>
          <w:szCs w:val="26"/>
        </w:rPr>
        <w:t>Ward</w:t>
      </w:r>
      <w:r>
        <w:rPr>
          <w:szCs w:val="26"/>
        </w:rPr>
        <w:t xml:space="preserve"> </w:t>
      </w:r>
      <w:r w:rsidRPr="002C51C6">
        <w:rPr>
          <w:szCs w:val="26"/>
        </w:rPr>
        <w:t xml:space="preserve">(1890) </w:t>
      </w:r>
      <w:r>
        <w:rPr>
          <w:szCs w:val="26"/>
        </w:rPr>
        <w:t>85 </w:t>
      </w:r>
      <w:r w:rsidRPr="002C51C6">
        <w:rPr>
          <w:szCs w:val="26"/>
        </w:rPr>
        <w:t xml:space="preserve">Cal. </w:t>
      </w:r>
      <w:r>
        <w:rPr>
          <w:szCs w:val="26"/>
        </w:rPr>
        <w:t>5</w:t>
      </w:r>
      <w:r w:rsidRPr="002C51C6">
        <w:rPr>
          <w:szCs w:val="26"/>
        </w:rPr>
        <w:t>85, 590</w:t>
      </w:r>
      <w:r>
        <w:rPr>
          <w:szCs w:val="26"/>
        </w:rPr>
        <w:t xml:space="preserve"> [“</w:t>
      </w:r>
      <w:r w:rsidRPr="002C51C6">
        <w:rPr>
          <w:szCs w:val="26"/>
        </w:rPr>
        <w:t>we find no authority for the proposition that ‘it is the duty of a justice</w:t>
      </w:r>
      <w:r>
        <w:rPr>
          <w:szCs w:val="26"/>
        </w:rPr>
        <w:t xml:space="preserve"> </w:t>
      </w:r>
      <w:r>
        <w:rPr>
          <w:szCs w:val="26"/>
        </w:rPr>
        <w:t xml:space="preserve">. . . </w:t>
      </w:r>
      <w:r w:rsidRPr="002C51C6">
        <w:rPr>
          <w:szCs w:val="26"/>
        </w:rPr>
        <w:t>to enter a dismissal upon the motion of the district attorney’</w:t>
      </w:r>
      <w:r>
        <w:rPr>
          <w:szCs w:val="26"/>
        </w:rPr>
        <w:t>”]</w:t>
      </w:r>
      <w:r>
        <w:rPr>
          <w:color w:val="000000"/>
          <w:szCs w:val="26"/>
        </w:rPr>
        <w:t>.)</w:t>
      </w:r>
    </w:p>
    <w:p w14:paraId="0B57463F" w14:textId="77777777" w:rsidR="00E16CF3" w:rsidRDefault="00861473" w:rsidP="00CF5029">
      <w:pPr>
        <w:ind w:firstLine="720"/>
        <w:rPr>
          <w:szCs w:val="26"/>
        </w:rPr>
      </w:pPr>
      <w:r>
        <w:rPr>
          <w:szCs w:val="26"/>
        </w:rPr>
        <w:t xml:space="preserve">In general, a court may dismiss an action or </w:t>
      </w:r>
      <w:r>
        <w:rPr>
          <w:szCs w:val="26"/>
        </w:rPr>
        <w:t>sentence enhancement</w:t>
      </w:r>
      <w:r>
        <w:rPr>
          <w:szCs w:val="26"/>
        </w:rPr>
        <w:t xml:space="preserve"> </w:t>
      </w:r>
      <w:r>
        <w:rPr>
          <w:szCs w:val="26"/>
        </w:rPr>
        <w:t xml:space="preserve">in furtherance of justice in any </w:t>
      </w:r>
      <w:r w:rsidRPr="00D32AF0">
        <w:rPr>
          <w:szCs w:val="26"/>
        </w:rPr>
        <w:t>situation where the Legislature has not clearly evidenced a contrary intent</w:t>
      </w:r>
      <w:r>
        <w:rPr>
          <w:szCs w:val="26"/>
        </w:rPr>
        <w:t xml:space="preserve">.  </w:t>
      </w:r>
      <w:r>
        <w:rPr>
          <w:szCs w:val="26"/>
        </w:rPr>
        <w:t>(S</w:t>
      </w:r>
      <w:r>
        <w:rPr>
          <w:szCs w:val="26"/>
        </w:rPr>
        <w:t>ee</w:t>
      </w:r>
      <w:r>
        <w:rPr>
          <w:szCs w:val="26"/>
        </w:rPr>
        <w:t xml:space="preserve"> </w:t>
      </w:r>
      <w:r w:rsidRPr="00833BD3">
        <w:rPr>
          <w:i/>
          <w:iCs/>
          <w:szCs w:val="26"/>
        </w:rPr>
        <w:lastRenderedPageBreak/>
        <w:t>People v. Fuentes</w:t>
      </w:r>
      <w:r>
        <w:rPr>
          <w:szCs w:val="26"/>
        </w:rPr>
        <w:t xml:space="preserve"> (2016) 1 </w:t>
      </w:r>
      <w:r w:rsidRPr="00833BD3">
        <w:rPr>
          <w:szCs w:val="26"/>
        </w:rPr>
        <w:t xml:space="preserve">Cal.5th 218, 230 </w:t>
      </w:r>
      <w:r>
        <w:rPr>
          <w:szCs w:val="26"/>
        </w:rPr>
        <w:t>[“</w:t>
      </w:r>
      <w:r w:rsidRPr="00833BD3">
        <w:rPr>
          <w:szCs w:val="26"/>
        </w:rPr>
        <w:t>in light of section 1385</w:t>
      </w:r>
      <w:r>
        <w:rPr>
          <w:szCs w:val="26"/>
        </w:rPr>
        <w:t>’</w:t>
      </w:r>
      <w:r w:rsidRPr="00833BD3">
        <w:rPr>
          <w:szCs w:val="26"/>
        </w:rPr>
        <w:t xml:space="preserve">s </w:t>
      </w:r>
      <w:r>
        <w:rPr>
          <w:szCs w:val="26"/>
        </w:rPr>
        <w:t>‘</w:t>
      </w:r>
      <w:r w:rsidRPr="00833BD3">
        <w:rPr>
          <w:szCs w:val="26"/>
        </w:rPr>
        <w:t>prominent and contentious history</w:t>
      </w:r>
      <w:r>
        <w:rPr>
          <w:szCs w:val="26"/>
        </w:rPr>
        <w:t>’</w:t>
      </w:r>
      <w:r w:rsidRPr="00833BD3">
        <w:rPr>
          <w:szCs w:val="26"/>
        </w:rPr>
        <w:t xml:space="preserve"> </w:t>
      </w:r>
      <w:r>
        <w:rPr>
          <w:szCs w:val="26"/>
        </w:rPr>
        <w:t>[citation]</w:t>
      </w:r>
      <w:r w:rsidRPr="00833BD3">
        <w:rPr>
          <w:szCs w:val="26"/>
        </w:rPr>
        <w:t xml:space="preserve">, it is critical and even </w:t>
      </w:r>
      <w:r>
        <w:rPr>
          <w:szCs w:val="26"/>
        </w:rPr>
        <w:t>‘</w:t>
      </w:r>
      <w:r w:rsidRPr="00833BD3">
        <w:rPr>
          <w:szCs w:val="26"/>
        </w:rPr>
        <w:t>demanded,</w:t>
      </w:r>
      <w:r>
        <w:rPr>
          <w:szCs w:val="26"/>
        </w:rPr>
        <w:t>’</w:t>
      </w:r>
      <w:r w:rsidRPr="00833BD3">
        <w:rPr>
          <w:szCs w:val="26"/>
        </w:rPr>
        <w:t xml:space="preserve"> that the legislative intent to divest a court of its section 1385 discretion be abundantly clear</w:t>
      </w:r>
      <w:r>
        <w:rPr>
          <w:szCs w:val="26"/>
        </w:rPr>
        <w:t>”];</w:t>
      </w:r>
      <w:r>
        <w:rPr>
          <w:szCs w:val="26"/>
        </w:rPr>
        <w:t xml:space="preserve"> </w:t>
      </w:r>
      <w:r w:rsidRPr="002A06C8">
        <w:rPr>
          <w:i/>
          <w:iCs/>
          <w:szCs w:val="26"/>
        </w:rPr>
        <w:t>People v. Clancey</w:t>
      </w:r>
      <w:r>
        <w:rPr>
          <w:szCs w:val="26"/>
        </w:rPr>
        <w:t xml:space="preserve">, </w:t>
      </w:r>
      <w:r>
        <w:rPr>
          <w:i/>
          <w:iCs/>
          <w:szCs w:val="26"/>
        </w:rPr>
        <w:t>supra</w:t>
      </w:r>
      <w:r>
        <w:rPr>
          <w:szCs w:val="26"/>
        </w:rPr>
        <w:t>,</w:t>
      </w:r>
      <w:r>
        <w:rPr>
          <w:i/>
          <w:iCs/>
          <w:szCs w:val="26"/>
        </w:rPr>
        <w:t xml:space="preserve"> </w:t>
      </w:r>
      <w:r>
        <w:rPr>
          <w:szCs w:val="26"/>
        </w:rPr>
        <w:t>56 </w:t>
      </w:r>
      <w:r w:rsidRPr="002A06C8">
        <w:rPr>
          <w:szCs w:val="26"/>
        </w:rPr>
        <w:t xml:space="preserve">Cal.4th </w:t>
      </w:r>
      <w:r>
        <w:rPr>
          <w:szCs w:val="26"/>
        </w:rPr>
        <w:t xml:space="preserve">at </w:t>
      </w:r>
      <w:r>
        <w:rPr>
          <w:szCs w:val="26"/>
        </w:rPr>
        <w:t>p. </w:t>
      </w:r>
      <w:r w:rsidRPr="002A06C8">
        <w:rPr>
          <w:szCs w:val="26"/>
        </w:rPr>
        <w:t xml:space="preserve">580 </w:t>
      </w:r>
      <w:r>
        <w:rPr>
          <w:szCs w:val="26"/>
        </w:rPr>
        <w:t>[</w:t>
      </w:r>
      <w:r>
        <w:rPr>
          <w:szCs w:val="26"/>
        </w:rPr>
        <w:t>there is</w:t>
      </w:r>
      <w:r>
        <w:rPr>
          <w:szCs w:val="26"/>
        </w:rPr>
        <w:t xml:space="preserve"> </w:t>
      </w:r>
      <w:r>
        <w:rPr>
          <w:szCs w:val="26"/>
        </w:rPr>
        <w:t>“</w:t>
      </w:r>
      <w:r>
        <w:rPr>
          <w:szCs w:val="26"/>
        </w:rPr>
        <w:t xml:space="preserve">no </w:t>
      </w:r>
      <w:r w:rsidRPr="002A06C8">
        <w:rPr>
          <w:szCs w:val="26"/>
        </w:rPr>
        <w:t>statutory or constitutional basis</w:t>
      </w:r>
      <w:r>
        <w:rPr>
          <w:szCs w:val="26"/>
        </w:rPr>
        <w:t>”</w:t>
      </w:r>
      <w:r w:rsidRPr="002A06C8">
        <w:rPr>
          <w:szCs w:val="26"/>
        </w:rPr>
        <w:t xml:space="preserve"> </w:t>
      </w:r>
      <w:r>
        <w:rPr>
          <w:szCs w:val="26"/>
        </w:rPr>
        <w:t xml:space="preserve">preventing a court from </w:t>
      </w:r>
      <w:r w:rsidRPr="002A06C8">
        <w:rPr>
          <w:szCs w:val="26"/>
        </w:rPr>
        <w:t>dismiss</w:t>
      </w:r>
      <w:r>
        <w:rPr>
          <w:szCs w:val="26"/>
        </w:rPr>
        <w:t>ing a prior conviction</w:t>
      </w:r>
      <w:r w:rsidRPr="002A06C8">
        <w:rPr>
          <w:szCs w:val="26"/>
        </w:rPr>
        <w:t xml:space="preserve"> under section 1385 in the context of an indicated sentence</w:t>
      </w:r>
      <w:r>
        <w:rPr>
          <w:szCs w:val="26"/>
        </w:rPr>
        <w:t xml:space="preserve">]; </w:t>
      </w:r>
      <w:r>
        <w:rPr>
          <w:szCs w:val="26"/>
        </w:rPr>
        <w:t xml:space="preserve">see also </w:t>
      </w:r>
      <w:r w:rsidRPr="00D32AF0">
        <w:rPr>
          <w:i/>
          <w:iCs/>
          <w:szCs w:val="26"/>
        </w:rPr>
        <w:t>People v. Hatch</w:t>
      </w:r>
      <w:r>
        <w:rPr>
          <w:szCs w:val="26"/>
        </w:rPr>
        <w:t xml:space="preserve"> </w:t>
      </w:r>
      <w:r>
        <w:rPr>
          <w:szCs w:val="26"/>
        </w:rPr>
        <w:t>(2000) 22 </w:t>
      </w:r>
      <w:r w:rsidRPr="00D32AF0">
        <w:rPr>
          <w:szCs w:val="26"/>
        </w:rPr>
        <w:t xml:space="preserve">Cal.4th 260, </w:t>
      </w:r>
      <w:r>
        <w:rPr>
          <w:szCs w:val="26"/>
        </w:rPr>
        <w:t>269 [“</w:t>
      </w:r>
      <w:r w:rsidRPr="00D32AF0">
        <w:rPr>
          <w:szCs w:val="26"/>
        </w:rPr>
        <w:t>Because the trial court</w:t>
      </w:r>
      <w:r>
        <w:rPr>
          <w:szCs w:val="26"/>
        </w:rPr>
        <w:t>’</w:t>
      </w:r>
      <w:r w:rsidRPr="00D32AF0">
        <w:rPr>
          <w:szCs w:val="26"/>
        </w:rPr>
        <w:t xml:space="preserve">s power to dismiss </w:t>
      </w:r>
      <w:r>
        <w:rPr>
          <w:szCs w:val="26"/>
        </w:rPr>
        <w:t>‘</w:t>
      </w:r>
      <w:r w:rsidRPr="00D32AF0">
        <w:rPr>
          <w:szCs w:val="26"/>
        </w:rPr>
        <w:t>in furth</w:t>
      </w:r>
      <w:r w:rsidRPr="00D32AF0">
        <w:rPr>
          <w:szCs w:val="26"/>
        </w:rPr>
        <w:t>erance of justice</w:t>
      </w:r>
      <w:r>
        <w:rPr>
          <w:szCs w:val="26"/>
        </w:rPr>
        <w:t>’</w:t>
      </w:r>
      <w:r w:rsidRPr="00D32AF0">
        <w:rPr>
          <w:szCs w:val="26"/>
        </w:rPr>
        <w:t xml:space="preserve"> is statutory, the Legislature may eliminate it.</w:t>
      </w:r>
      <w:r>
        <w:rPr>
          <w:szCs w:val="26"/>
        </w:rPr>
        <w:t>”].)</w:t>
      </w:r>
      <w:r>
        <w:rPr>
          <w:szCs w:val="26"/>
        </w:rPr>
        <w:t xml:space="preserve">  No</w:t>
      </w:r>
      <w:r>
        <w:rPr>
          <w:szCs w:val="26"/>
        </w:rPr>
        <w:t>ne of the parties</w:t>
      </w:r>
      <w:r>
        <w:rPr>
          <w:szCs w:val="26"/>
        </w:rPr>
        <w:t xml:space="preserve"> cites, nor have we found, </w:t>
      </w:r>
      <w:r>
        <w:rPr>
          <w:szCs w:val="26"/>
        </w:rPr>
        <w:t xml:space="preserve">any evidence of a </w:t>
      </w:r>
      <w:r>
        <w:rPr>
          <w:szCs w:val="26"/>
        </w:rPr>
        <w:t xml:space="preserve">clear intent </w:t>
      </w:r>
      <w:r>
        <w:rPr>
          <w:szCs w:val="26"/>
        </w:rPr>
        <w:t>by</w:t>
      </w:r>
      <w:r>
        <w:rPr>
          <w:szCs w:val="26"/>
        </w:rPr>
        <w:t xml:space="preserve"> the Legislature to preclude a court from dismissing a sentenc</w:t>
      </w:r>
      <w:r>
        <w:rPr>
          <w:szCs w:val="26"/>
        </w:rPr>
        <w:t>e</w:t>
      </w:r>
      <w:r>
        <w:rPr>
          <w:szCs w:val="26"/>
        </w:rPr>
        <w:t xml:space="preserve"> </w:t>
      </w:r>
      <w:r>
        <w:rPr>
          <w:szCs w:val="26"/>
        </w:rPr>
        <w:t>enhancement</w:t>
      </w:r>
      <w:r>
        <w:rPr>
          <w:szCs w:val="26"/>
        </w:rPr>
        <w:t xml:space="preserve"> under section 1385 where a </w:t>
      </w:r>
      <w:r>
        <w:rPr>
          <w:szCs w:val="26"/>
        </w:rPr>
        <w:t>d</w:t>
      </w:r>
      <w:r>
        <w:rPr>
          <w:szCs w:val="26"/>
        </w:rPr>
        <w:t>i</w:t>
      </w:r>
      <w:r>
        <w:rPr>
          <w:szCs w:val="26"/>
        </w:rPr>
        <w:t xml:space="preserve">strict </w:t>
      </w:r>
      <w:r>
        <w:rPr>
          <w:szCs w:val="26"/>
        </w:rPr>
        <w:t>a</w:t>
      </w:r>
      <w:r>
        <w:rPr>
          <w:szCs w:val="26"/>
        </w:rPr>
        <w:t xml:space="preserve">ttorney has legitimate concerns that applying the sentencing scheme in question was not in furtherance of justice, and instead created injustice. </w:t>
      </w:r>
    </w:p>
    <w:p w14:paraId="2E2E90F1" w14:textId="77777777" w:rsidR="00D24838" w:rsidRPr="00112816" w:rsidRDefault="00861473" w:rsidP="00112816">
      <w:pPr>
        <w:ind w:firstLine="720"/>
        <w:rPr>
          <w:szCs w:val="26"/>
        </w:rPr>
      </w:pPr>
      <w:r>
        <w:rPr>
          <w:szCs w:val="26"/>
        </w:rPr>
        <w:t>But t</w:t>
      </w:r>
      <w:r>
        <w:rPr>
          <w:szCs w:val="26"/>
        </w:rPr>
        <w:t xml:space="preserve">hat does not end </w:t>
      </w:r>
      <w:r>
        <w:rPr>
          <w:szCs w:val="26"/>
        </w:rPr>
        <w:t xml:space="preserve">the </w:t>
      </w:r>
      <w:r>
        <w:rPr>
          <w:szCs w:val="26"/>
        </w:rPr>
        <w:t>inquiry</w:t>
      </w:r>
      <w:r>
        <w:rPr>
          <w:szCs w:val="26"/>
        </w:rPr>
        <w:t xml:space="preserve">; </w:t>
      </w:r>
      <w:r>
        <w:rPr>
          <w:szCs w:val="26"/>
        </w:rPr>
        <w:t xml:space="preserve">a court does not have absolute </w:t>
      </w:r>
      <w:r>
        <w:rPr>
          <w:szCs w:val="26"/>
        </w:rPr>
        <w:t xml:space="preserve">power </w:t>
      </w:r>
      <w:r>
        <w:rPr>
          <w:szCs w:val="26"/>
        </w:rPr>
        <w:t>to dismiss an action in furth</w:t>
      </w:r>
      <w:r>
        <w:rPr>
          <w:szCs w:val="26"/>
        </w:rPr>
        <w:t xml:space="preserve">erance of justice.  (See </w:t>
      </w:r>
      <w:r w:rsidRPr="007718BB">
        <w:rPr>
          <w:i/>
          <w:iCs/>
          <w:szCs w:val="26"/>
        </w:rPr>
        <w:t>People v. Williams</w:t>
      </w:r>
      <w:r>
        <w:rPr>
          <w:szCs w:val="26"/>
        </w:rPr>
        <w:t xml:space="preserve"> (1998) 17 </w:t>
      </w:r>
      <w:r w:rsidRPr="007718BB">
        <w:rPr>
          <w:szCs w:val="26"/>
        </w:rPr>
        <w:t>Cal.4th 148, 158</w:t>
      </w:r>
      <w:r>
        <w:rPr>
          <w:szCs w:val="26"/>
        </w:rPr>
        <w:t xml:space="preserve"> (</w:t>
      </w:r>
      <w:r>
        <w:rPr>
          <w:i/>
          <w:iCs/>
          <w:szCs w:val="26"/>
        </w:rPr>
        <w:t>Williams</w:t>
      </w:r>
      <w:r>
        <w:rPr>
          <w:szCs w:val="26"/>
        </w:rPr>
        <w:t>) [</w:t>
      </w:r>
      <w:r w:rsidRPr="007718BB">
        <w:rPr>
          <w:szCs w:val="26"/>
        </w:rPr>
        <w:t>“‘</w:t>
      </w:r>
      <w:r>
        <w:rPr>
          <w:szCs w:val="26"/>
        </w:rPr>
        <w:t>“</w:t>
      </w:r>
      <w:r w:rsidRPr="007718BB">
        <w:rPr>
          <w:szCs w:val="26"/>
        </w:rPr>
        <w:t>The trial court</w:t>
      </w:r>
      <w:r>
        <w:rPr>
          <w:szCs w:val="26"/>
        </w:rPr>
        <w:t>’</w:t>
      </w:r>
      <w:r w:rsidRPr="007718BB">
        <w:rPr>
          <w:szCs w:val="26"/>
        </w:rPr>
        <w:t>s power to dismiss an action under [section 1385], while broad, is by no means absolute.</w:t>
      </w:r>
      <w:r>
        <w:rPr>
          <w:szCs w:val="26"/>
        </w:rPr>
        <w:t>”</w:t>
      </w:r>
      <w:r>
        <w:rPr>
          <w:szCs w:val="26"/>
        </w:rPr>
        <w:t>’”</w:t>
      </w:r>
      <w:r>
        <w:rPr>
          <w:szCs w:val="26"/>
        </w:rPr>
        <w:t>];</w:t>
      </w:r>
      <w:r>
        <w:rPr>
          <w:szCs w:val="26"/>
        </w:rPr>
        <w:t xml:space="preserve"> </w:t>
      </w:r>
      <w:r>
        <w:rPr>
          <w:szCs w:val="26"/>
        </w:rPr>
        <w:t xml:space="preserve">see also </w:t>
      </w:r>
      <w:r w:rsidRPr="00CD2B66">
        <w:rPr>
          <w:i/>
          <w:iCs/>
          <w:szCs w:val="26"/>
        </w:rPr>
        <w:t>Romero</w:t>
      </w:r>
      <w:r>
        <w:rPr>
          <w:szCs w:val="26"/>
        </w:rPr>
        <w:t xml:space="preserve">, </w:t>
      </w:r>
      <w:r>
        <w:rPr>
          <w:i/>
          <w:iCs/>
          <w:szCs w:val="26"/>
        </w:rPr>
        <w:t>supra</w:t>
      </w:r>
      <w:r>
        <w:rPr>
          <w:szCs w:val="26"/>
        </w:rPr>
        <w:t>, 13 </w:t>
      </w:r>
      <w:r>
        <w:rPr>
          <w:szCs w:val="26"/>
        </w:rPr>
        <w:t>Cal.4th</w:t>
      </w:r>
      <w:r>
        <w:rPr>
          <w:i/>
          <w:iCs/>
          <w:szCs w:val="26"/>
        </w:rPr>
        <w:t xml:space="preserve"> </w:t>
      </w:r>
      <w:r>
        <w:rPr>
          <w:szCs w:val="26"/>
        </w:rPr>
        <w:t xml:space="preserve">at </w:t>
      </w:r>
      <w:r>
        <w:rPr>
          <w:szCs w:val="26"/>
        </w:rPr>
        <w:t>p. </w:t>
      </w:r>
      <w:r w:rsidRPr="00701175">
        <w:rPr>
          <w:szCs w:val="26"/>
        </w:rPr>
        <w:t>530</w:t>
      </w:r>
      <w:r>
        <w:rPr>
          <w:szCs w:val="26"/>
        </w:rPr>
        <w:t xml:space="preserve">; </w:t>
      </w:r>
      <w:r w:rsidRPr="00F03671">
        <w:rPr>
          <w:i/>
          <w:iCs/>
          <w:szCs w:val="26"/>
        </w:rPr>
        <w:t xml:space="preserve">People v. </w:t>
      </w:r>
      <w:r w:rsidRPr="00F03671">
        <w:rPr>
          <w:i/>
          <w:iCs/>
          <w:szCs w:val="26"/>
        </w:rPr>
        <w:t>Orin</w:t>
      </w:r>
      <w:r>
        <w:rPr>
          <w:szCs w:val="26"/>
        </w:rPr>
        <w:t xml:space="preserve"> (1975) 13 </w:t>
      </w:r>
      <w:r w:rsidRPr="00F03671">
        <w:rPr>
          <w:szCs w:val="26"/>
        </w:rPr>
        <w:t xml:space="preserve">Cal.3d 937, </w:t>
      </w:r>
      <w:r w:rsidRPr="00D32AF0">
        <w:rPr>
          <w:szCs w:val="26"/>
        </w:rPr>
        <w:t>945</w:t>
      </w:r>
      <w:r>
        <w:rPr>
          <w:szCs w:val="26"/>
        </w:rPr>
        <w:t xml:space="preserve">; </w:t>
      </w:r>
      <w:r w:rsidRPr="00E37ECD">
        <w:rPr>
          <w:i/>
          <w:iCs/>
          <w:szCs w:val="26"/>
        </w:rPr>
        <w:t>Wheeler v. Appellate Division of Supe</w:t>
      </w:r>
      <w:r>
        <w:rPr>
          <w:i/>
          <w:iCs/>
          <w:szCs w:val="26"/>
        </w:rPr>
        <w:t>rior Court</w:t>
      </w:r>
      <w:r>
        <w:rPr>
          <w:szCs w:val="26"/>
        </w:rPr>
        <w:t xml:space="preserve"> </w:t>
      </w:r>
      <w:r w:rsidRPr="00E37ECD">
        <w:rPr>
          <w:szCs w:val="26"/>
        </w:rPr>
        <w:t>(2021) 72</w:t>
      </w:r>
      <w:r>
        <w:rPr>
          <w:szCs w:val="26"/>
        </w:rPr>
        <w:t> Cal.App.5th 824, 842</w:t>
      </w:r>
      <w:r>
        <w:rPr>
          <w:szCs w:val="26"/>
        </w:rPr>
        <w:t>.</w:t>
      </w:r>
      <w:r>
        <w:rPr>
          <w:szCs w:val="26"/>
        </w:rPr>
        <w:t xml:space="preserve">) </w:t>
      </w:r>
      <w:r>
        <w:rPr>
          <w:szCs w:val="26"/>
        </w:rPr>
        <w:t xml:space="preserve"> </w:t>
      </w:r>
      <w:r>
        <w:rPr>
          <w:szCs w:val="26"/>
        </w:rPr>
        <w:t>Although section 1385 does not define “in furtherance of justice,” a</w:t>
      </w:r>
      <w:r>
        <w:rPr>
          <w:szCs w:val="26"/>
        </w:rPr>
        <w:t xml:space="preserve"> </w:t>
      </w:r>
      <w:r w:rsidRPr="007718BB">
        <w:rPr>
          <w:szCs w:val="26"/>
        </w:rPr>
        <w:t>large body of precedent</w:t>
      </w:r>
      <w:r>
        <w:rPr>
          <w:szCs w:val="26"/>
        </w:rPr>
        <w:t xml:space="preserve"> has </w:t>
      </w:r>
      <w:r>
        <w:rPr>
          <w:szCs w:val="26"/>
        </w:rPr>
        <w:t>created</w:t>
      </w:r>
      <w:r>
        <w:rPr>
          <w:szCs w:val="26"/>
        </w:rPr>
        <w:t xml:space="preserve"> </w:t>
      </w:r>
      <w:r w:rsidRPr="007718BB">
        <w:rPr>
          <w:szCs w:val="26"/>
        </w:rPr>
        <w:t xml:space="preserve">boundaries </w:t>
      </w:r>
      <w:r>
        <w:rPr>
          <w:szCs w:val="26"/>
        </w:rPr>
        <w:t>on</w:t>
      </w:r>
      <w:r w:rsidRPr="007718BB">
        <w:rPr>
          <w:szCs w:val="26"/>
        </w:rPr>
        <w:t xml:space="preserve"> th</w:t>
      </w:r>
      <w:r>
        <w:rPr>
          <w:szCs w:val="26"/>
        </w:rPr>
        <w:t>e</w:t>
      </w:r>
      <w:r w:rsidRPr="007718BB">
        <w:rPr>
          <w:szCs w:val="26"/>
        </w:rPr>
        <w:t xml:space="preserve"> judicial power conferred by</w:t>
      </w:r>
      <w:r>
        <w:rPr>
          <w:szCs w:val="26"/>
        </w:rPr>
        <w:t xml:space="preserve"> the statute.</w:t>
      </w:r>
      <w:r w:rsidRPr="007718BB">
        <w:rPr>
          <w:szCs w:val="26"/>
        </w:rPr>
        <w:t xml:space="preserve"> </w:t>
      </w:r>
      <w:r>
        <w:rPr>
          <w:szCs w:val="26"/>
        </w:rPr>
        <w:t xml:space="preserve"> </w:t>
      </w:r>
      <w:r>
        <w:rPr>
          <w:szCs w:val="26"/>
        </w:rPr>
        <w:t>(</w:t>
      </w:r>
      <w:r w:rsidRPr="007718BB">
        <w:rPr>
          <w:i/>
          <w:iCs/>
          <w:szCs w:val="26"/>
        </w:rPr>
        <w:t>Williams</w:t>
      </w:r>
      <w:r>
        <w:rPr>
          <w:szCs w:val="26"/>
        </w:rPr>
        <w:t xml:space="preserve">, at </w:t>
      </w:r>
      <w:r>
        <w:rPr>
          <w:szCs w:val="26"/>
        </w:rPr>
        <w:t>p. </w:t>
      </w:r>
      <w:r>
        <w:rPr>
          <w:szCs w:val="26"/>
        </w:rPr>
        <w:t>159</w:t>
      </w:r>
      <w:r>
        <w:rPr>
          <w:szCs w:val="26"/>
        </w:rPr>
        <w:t xml:space="preserve">; see </w:t>
      </w:r>
      <w:r w:rsidRPr="00D32AF0">
        <w:rPr>
          <w:i/>
          <w:iCs/>
          <w:szCs w:val="26"/>
        </w:rPr>
        <w:t>People v. Hatch</w:t>
      </w:r>
      <w:r>
        <w:rPr>
          <w:szCs w:val="26"/>
        </w:rPr>
        <w:t xml:space="preserve">, </w:t>
      </w:r>
      <w:r>
        <w:rPr>
          <w:i/>
          <w:iCs/>
          <w:szCs w:val="26"/>
        </w:rPr>
        <w:t>supra</w:t>
      </w:r>
      <w:r>
        <w:rPr>
          <w:szCs w:val="26"/>
        </w:rPr>
        <w:t>,</w:t>
      </w:r>
      <w:r>
        <w:rPr>
          <w:i/>
          <w:iCs/>
          <w:szCs w:val="26"/>
        </w:rPr>
        <w:t xml:space="preserve"> </w:t>
      </w:r>
      <w:r>
        <w:rPr>
          <w:szCs w:val="26"/>
        </w:rPr>
        <w:t>22 </w:t>
      </w:r>
      <w:r w:rsidRPr="00D32AF0">
        <w:rPr>
          <w:szCs w:val="26"/>
        </w:rPr>
        <w:t xml:space="preserve">Cal.4th </w:t>
      </w:r>
      <w:r>
        <w:rPr>
          <w:szCs w:val="26"/>
        </w:rPr>
        <w:t xml:space="preserve">at </w:t>
      </w:r>
      <w:r>
        <w:rPr>
          <w:szCs w:val="26"/>
        </w:rPr>
        <w:t>p. </w:t>
      </w:r>
      <w:r w:rsidRPr="00D32AF0">
        <w:rPr>
          <w:szCs w:val="26"/>
        </w:rPr>
        <w:t>268</w:t>
      </w:r>
      <w:r>
        <w:rPr>
          <w:szCs w:val="26"/>
        </w:rPr>
        <w:t xml:space="preserve"> [“</w:t>
      </w:r>
      <w:r w:rsidRPr="00D32AF0">
        <w:rPr>
          <w:szCs w:val="26"/>
        </w:rPr>
        <w:t xml:space="preserve">the concept of </w:t>
      </w:r>
      <w:r>
        <w:rPr>
          <w:szCs w:val="26"/>
        </w:rPr>
        <w:t>‘</w:t>
      </w:r>
      <w:r w:rsidRPr="00D32AF0">
        <w:rPr>
          <w:szCs w:val="26"/>
        </w:rPr>
        <w:t>furtherance of justice</w:t>
      </w:r>
      <w:r>
        <w:rPr>
          <w:szCs w:val="26"/>
        </w:rPr>
        <w:t>’</w:t>
      </w:r>
      <w:r w:rsidRPr="00D32AF0">
        <w:rPr>
          <w:szCs w:val="26"/>
        </w:rPr>
        <w:t xml:space="preserve"> </w:t>
      </w:r>
      <w:r>
        <w:rPr>
          <w:szCs w:val="26"/>
        </w:rPr>
        <w:t>[citation]</w:t>
      </w:r>
      <w:r w:rsidRPr="00D32AF0">
        <w:rPr>
          <w:szCs w:val="26"/>
        </w:rPr>
        <w:t xml:space="preserve"> is amorphous</w:t>
      </w:r>
      <w:r>
        <w:rPr>
          <w:szCs w:val="26"/>
        </w:rPr>
        <w:t>”]</w:t>
      </w:r>
      <w:r>
        <w:rPr>
          <w:szCs w:val="26"/>
        </w:rPr>
        <w:t>.</w:t>
      </w:r>
      <w:r>
        <w:rPr>
          <w:szCs w:val="26"/>
        </w:rPr>
        <w:t xml:space="preserve">)  </w:t>
      </w:r>
      <w:r>
        <w:rPr>
          <w:szCs w:val="26"/>
        </w:rPr>
        <w:t xml:space="preserve">Under section 1385 </w:t>
      </w:r>
      <w:r>
        <w:rPr>
          <w:szCs w:val="26"/>
        </w:rPr>
        <w:t xml:space="preserve">trial </w:t>
      </w:r>
      <w:r>
        <w:rPr>
          <w:szCs w:val="26"/>
        </w:rPr>
        <w:t>court</w:t>
      </w:r>
      <w:r>
        <w:rPr>
          <w:szCs w:val="26"/>
        </w:rPr>
        <w:t>s</w:t>
      </w:r>
      <w:r>
        <w:rPr>
          <w:szCs w:val="26"/>
        </w:rPr>
        <w:t xml:space="preserve"> must balance “</w:t>
      </w:r>
      <w:r>
        <w:rPr>
          <w:szCs w:val="26"/>
        </w:rPr>
        <w:t>‘“‘</w:t>
      </w:r>
      <w:r w:rsidRPr="007718BB">
        <w:rPr>
          <w:szCs w:val="26"/>
        </w:rPr>
        <w:t>the constitutional</w:t>
      </w:r>
      <w:r>
        <w:rPr>
          <w:b/>
          <w:bCs/>
          <w:szCs w:val="26"/>
        </w:rPr>
        <w:t xml:space="preserve"> </w:t>
      </w:r>
      <w:r w:rsidRPr="007718BB">
        <w:rPr>
          <w:szCs w:val="26"/>
        </w:rPr>
        <w:t>rig</w:t>
      </w:r>
      <w:r w:rsidRPr="007718BB">
        <w:rPr>
          <w:szCs w:val="26"/>
        </w:rPr>
        <w:t xml:space="preserve">hts of the </w:t>
      </w:r>
      <w:r w:rsidRPr="00B93BB1">
        <w:rPr>
          <w:szCs w:val="26"/>
        </w:rPr>
        <w:t>defendant,</w:t>
      </w:r>
      <w:r>
        <w:rPr>
          <w:szCs w:val="26"/>
        </w:rPr>
        <w:t xml:space="preserve"> </w:t>
      </w:r>
      <w:r w:rsidRPr="00B93BB1">
        <w:rPr>
          <w:szCs w:val="26"/>
        </w:rPr>
        <w:t>and</w:t>
      </w:r>
      <w:r>
        <w:rPr>
          <w:szCs w:val="26"/>
        </w:rPr>
        <w:t xml:space="preserve"> </w:t>
      </w:r>
      <w:r w:rsidRPr="00CA62D3">
        <w:rPr>
          <w:i/>
          <w:iCs/>
          <w:szCs w:val="26"/>
        </w:rPr>
        <w:t xml:space="preserve">the interests of </w:t>
      </w:r>
      <w:r w:rsidRPr="00CA62D3">
        <w:rPr>
          <w:i/>
          <w:iCs/>
          <w:szCs w:val="26"/>
        </w:rPr>
        <w:lastRenderedPageBreak/>
        <w:t>society represented by the People</w:t>
      </w:r>
      <w:r>
        <w:rPr>
          <w:szCs w:val="26"/>
        </w:rPr>
        <w:t xml:space="preserve">, </w:t>
      </w:r>
      <w:r w:rsidRPr="00B93BB1">
        <w:rPr>
          <w:szCs w:val="26"/>
        </w:rPr>
        <w:t>in determining whether there should be a dismissal</w:t>
      </w:r>
      <w:r>
        <w:rPr>
          <w:szCs w:val="26"/>
        </w:rPr>
        <w:t>.</w:t>
      </w:r>
      <w:r>
        <w:rPr>
          <w:szCs w:val="26"/>
        </w:rPr>
        <w:t>’”’”</w:t>
      </w:r>
      <w:r>
        <w:rPr>
          <w:szCs w:val="26"/>
        </w:rPr>
        <w:t xml:space="preserve">  (</w:t>
      </w:r>
      <w:r>
        <w:rPr>
          <w:i/>
          <w:iCs/>
          <w:szCs w:val="26"/>
        </w:rPr>
        <w:t>Williams</w:t>
      </w:r>
      <w:r>
        <w:rPr>
          <w:szCs w:val="26"/>
        </w:rPr>
        <w:t xml:space="preserve">, at </w:t>
      </w:r>
      <w:r>
        <w:rPr>
          <w:szCs w:val="26"/>
        </w:rPr>
        <w:t>p. </w:t>
      </w:r>
      <w:r>
        <w:rPr>
          <w:szCs w:val="26"/>
        </w:rPr>
        <w:t>159</w:t>
      </w:r>
      <w:r>
        <w:rPr>
          <w:szCs w:val="26"/>
        </w:rPr>
        <w:t xml:space="preserve">; </w:t>
      </w:r>
      <w:r>
        <w:rPr>
          <w:szCs w:val="26"/>
        </w:rPr>
        <w:t>see</w:t>
      </w:r>
      <w:r>
        <w:rPr>
          <w:szCs w:val="26"/>
        </w:rPr>
        <w:t xml:space="preserve"> </w:t>
      </w:r>
      <w:r>
        <w:rPr>
          <w:i/>
          <w:iCs/>
          <w:szCs w:val="26"/>
        </w:rPr>
        <w:t>Hatch</w:t>
      </w:r>
      <w:r>
        <w:rPr>
          <w:szCs w:val="26"/>
        </w:rPr>
        <w:t>,</w:t>
      </w:r>
      <w:r>
        <w:rPr>
          <w:i/>
          <w:iCs/>
          <w:szCs w:val="26"/>
        </w:rPr>
        <w:t xml:space="preserve"> </w:t>
      </w:r>
      <w:r>
        <w:rPr>
          <w:szCs w:val="26"/>
        </w:rPr>
        <w:t xml:space="preserve">at </w:t>
      </w:r>
      <w:r>
        <w:rPr>
          <w:szCs w:val="26"/>
        </w:rPr>
        <w:t>p. </w:t>
      </w:r>
      <w:r>
        <w:rPr>
          <w:szCs w:val="26"/>
        </w:rPr>
        <w:t>268;</w:t>
      </w:r>
      <w:r>
        <w:rPr>
          <w:szCs w:val="26"/>
        </w:rPr>
        <w:t xml:space="preserve"> </w:t>
      </w:r>
      <w:r w:rsidRPr="00F03671">
        <w:rPr>
          <w:i/>
          <w:iCs/>
          <w:szCs w:val="26"/>
        </w:rPr>
        <w:t>Orin</w:t>
      </w:r>
      <w:r>
        <w:rPr>
          <w:szCs w:val="26"/>
        </w:rPr>
        <w:t xml:space="preserve">, at </w:t>
      </w:r>
      <w:r>
        <w:rPr>
          <w:szCs w:val="26"/>
        </w:rPr>
        <w:t>p. </w:t>
      </w:r>
      <w:r w:rsidRPr="00D32AF0">
        <w:rPr>
          <w:szCs w:val="26"/>
        </w:rPr>
        <w:t>945</w:t>
      </w:r>
      <w:r>
        <w:rPr>
          <w:szCs w:val="26"/>
        </w:rPr>
        <w:t>.</w:t>
      </w:r>
      <w:r>
        <w:rPr>
          <w:szCs w:val="26"/>
        </w:rPr>
        <w:t xml:space="preserve">) </w:t>
      </w:r>
      <w:r>
        <w:rPr>
          <w:szCs w:val="26"/>
        </w:rPr>
        <w:t xml:space="preserve"> </w:t>
      </w:r>
    </w:p>
    <w:p w14:paraId="4B7B2DEA" w14:textId="77777777" w:rsidR="003639AC" w:rsidRPr="003639AC" w:rsidRDefault="00861473" w:rsidP="003568EA">
      <w:pPr>
        <w:ind w:firstLine="720"/>
        <w:rPr>
          <w:szCs w:val="26"/>
        </w:rPr>
      </w:pPr>
      <w:r>
        <w:rPr>
          <w:szCs w:val="26"/>
        </w:rPr>
        <w:t xml:space="preserve">Almost all of </w:t>
      </w:r>
      <w:r>
        <w:rPr>
          <w:szCs w:val="26"/>
        </w:rPr>
        <w:t>that precedent</w:t>
      </w:r>
      <w:r>
        <w:rPr>
          <w:szCs w:val="26"/>
        </w:rPr>
        <w:t xml:space="preserve"> arose in the context of a </w:t>
      </w:r>
      <w:r>
        <w:rPr>
          <w:szCs w:val="26"/>
        </w:rPr>
        <w:t xml:space="preserve">trial </w:t>
      </w:r>
      <w:r>
        <w:rPr>
          <w:szCs w:val="26"/>
        </w:rPr>
        <w:t xml:space="preserve">court dismissing an action, </w:t>
      </w:r>
      <w:r>
        <w:rPr>
          <w:szCs w:val="26"/>
        </w:rPr>
        <w:t>charge</w:t>
      </w:r>
      <w:r>
        <w:rPr>
          <w:szCs w:val="26"/>
        </w:rPr>
        <w:t xml:space="preserve">, or </w:t>
      </w:r>
      <w:r>
        <w:rPr>
          <w:szCs w:val="26"/>
        </w:rPr>
        <w:t>enhancement</w:t>
      </w:r>
      <w:r>
        <w:rPr>
          <w:szCs w:val="26"/>
        </w:rPr>
        <w:t xml:space="preserve"> on its own motion</w:t>
      </w:r>
      <w:r>
        <w:rPr>
          <w:szCs w:val="26"/>
        </w:rPr>
        <w:t xml:space="preserve">, </w:t>
      </w:r>
      <w:r>
        <w:rPr>
          <w:szCs w:val="26"/>
        </w:rPr>
        <w:t xml:space="preserve"> followed by</w:t>
      </w:r>
      <w:r>
        <w:rPr>
          <w:szCs w:val="26"/>
        </w:rPr>
        <w:t xml:space="preserve"> an </w:t>
      </w:r>
      <w:r>
        <w:rPr>
          <w:szCs w:val="26"/>
        </w:rPr>
        <w:t xml:space="preserve">appeal </w:t>
      </w:r>
      <w:r>
        <w:rPr>
          <w:szCs w:val="26"/>
        </w:rPr>
        <w:t>by</w:t>
      </w:r>
      <w:r>
        <w:rPr>
          <w:szCs w:val="26"/>
        </w:rPr>
        <w:t xml:space="preserve"> the People.  (See </w:t>
      </w:r>
      <w:r>
        <w:rPr>
          <w:i/>
          <w:iCs/>
          <w:szCs w:val="26"/>
        </w:rPr>
        <w:t>Williams</w:t>
      </w:r>
      <w:r>
        <w:rPr>
          <w:szCs w:val="26"/>
        </w:rPr>
        <w:t xml:space="preserve">, </w:t>
      </w:r>
      <w:r>
        <w:rPr>
          <w:i/>
          <w:iCs/>
          <w:szCs w:val="26"/>
        </w:rPr>
        <w:t>supra</w:t>
      </w:r>
      <w:r>
        <w:rPr>
          <w:szCs w:val="26"/>
        </w:rPr>
        <w:t xml:space="preserve">, </w:t>
      </w:r>
      <w:r>
        <w:rPr>
          <w:szCs w:val="26"/>
        </w:rPr>
        <w:t>17 </w:t>
      </w:r>
      <w:r w:rsidRPr="007718BB">
        <w:rPr>
          <w:szCs w:val="26"/>
        </w:rPr>
        <w:t>Cal.4th</w:t>
      </w:r>
      <w:r>
        <w:rPr>
          <w:i/>
          <w:iCs/>
          <w:szCs w:val="26"/>
        </w:rPr>
        <w:t xml:space="preserve"> </w:t>
      </w:r>
      <w:r>
        <w:rPr>
          <w:szCs w:val="26"/>
        </w:rPr>
        <w:t xml:space="preserve">at </w:t>
      </w:r>
      <w:r>
        <w:rPr>
          <w:szCs w:val="26"/>
        </w:rPr>
        <w:t>p. </w:t>
      </w:r>
      <w:r>
        <w:rPr>
          <w:szCs w:val="26"/>
        </w:rPr>
        <w:t xml:space="preserve">159 [addressing whether the trial court abused its discretion </w:t>
      </w:r>
      <w:r>
        <w:rPr>
          <w:szCs w:val="26"/>
        </w:rPr>
        <w:t xml:space="preserve">in </w:t>
      </w:r>
      <w:r>
        <w:rPr>
          <w:szCs w:val="26"/>
        </w:rPr>
        <w:t>dismissing</w:t>
      </w:r>
      <w:r>
        <w:rPr>
          <w:szCs w:val="26"/>
        </w:rPr>
        <w:t xml:space="preserve"> on it</w:t>
      </w:r>
      <w:r>
        <w:rPr>
          <w:szCs w:val="26"/>
        </w:rPr>
        <w:t>s</w:t>
      </w:r>
      <w:r>
        <w:rPr>
          <w:szCs w:val="26"/>
        </w:rPr>
        <w:t xml:space="preserve"> own motion</w:t>
      </w:r>
      <w:r>
        <w:rPr>
          <w:szCs w:val="26"/>
        </w:rPr>
        <w:t xml:space="preserve"> one of two prior </w:t>
      </w:r>
      <w:r>
        <w:rPr>
          <w:szCs w:val="26"/>
        </w:rPr>
        <w:t>serious or violent felon</w:t>
      </w:r>
      <w:r>
        <w:rPr>
          <w:szCs w:val="26"/>
        </w:rPr>
        <w:t>y convictions</w:t>
      </w:r>
      <w:r>
        <w:rPr>
          <w:szCs w:val="26"/>
        </w:rPr>
        <w:t xml:space="preserve"> under the three strikes law</w:t>
      </w:r>
      <w:r>
        <w:rPr>
          <w:szCs w:val="26"/>
        </w:rPr>
        <w:t xml:space="preserve">]; </w:t>
      </w:r>
      <w:r>
        <w:rPr>
          <w:i/>
          <w:iCs/>
          <w:szCs w:val="26"/>
        </w:rPr>
        <w:t xml:space="preserve">People v. </w:t>
      </w:r>
      <w:r>
        <w:rPr>
          <w:i/>
          <w:iCs/>
          <w:szCs w:val="26"/>
        </w:rPr>
        <w:t>Hatch</w:t>
      </w:r>
      <w:r>
        <w:rPr>
          <w:szCs w:val="26"/>
        </w:rPr>
        <w:t>,</w:t>
      </w:r>
      <w:r>
        <w:rPr>
          <w:i/>
          <w:iCs/>
          <w:szCs w:val="26"/>
        </w:rPr>
        <w:t xml:space="preserve"> supra</w:t>
      </w:r>
      <w:r>
        <w:rPr>
          <w:szCs w:val="26"/>
        </w:rPr>
        <w:t>,</w:t>
      </w:r>
      <w:r>
        <w:rPr>
          <w:i/>
          <w:iCs/>
          <w:szCs w:val="26"/>
        </w:rPr>
        <w:t xml:space="preserve"> </w:t>
      </w:r>
      <w:r>
        <w:rPr>
          <w:szCs w:val="26"/>
        </w:rPr>
        <w:t>22 </w:t>
      </w:r>
      <w:r w:rsidRPr="00D32AF0">
        <w:rPr>
          <w:szCs w:val="26"/>
        </w:rPr>
        <w:t xml:space="preserve">Cal.4th </w:t>
      </w:r>
      <w:r>
        <w:rPr>
          <w:szCs w:val="26"/>
        </w:rPr>
        <w:t xml:space="preserve">at </w:t>
      </w:r>
      <w:r>
        <w:rPr>
          <w:szCs w:val="26"/>
        </w:rPr>
        <w:t>p. </w:t>
      </w:r>
      <w:r>
        <w:rPr>
          <w:szCs w:val="26"/>
        </w:rPr>
        <w:t xml:space="preserve">268 [addressing the consequences of </w:t>
      </w:r>
      <w:r>
        <w:rPr>
          <w:szCs w:val="26"/>
        </w:rPr>
        <w:t>a trial court</w:t>
      </w:r>
      <w:r>
        <w:rPr>
          <w:szCs w:val="26"/>
        </w:rPr>
        <w:t xml:space="preserve"> order dismissing </w:t>
      </w:r>
      <w:r>
        <w:rPr>
          <w:szCs w:val="26"/>
        </w:rPr>
        <w:t xml:space="preserve">on its own motion </w:t>
      </w:r>
      <w:r>
        <w:rPr>
          <w:szCs w:val="26"/>
        </w:rPr>
        <w:t xml:space="preserve">certain </w:t>
      </w:r>
      <w:r>
        <w:rPr>
          <w:szCs w:val="26"/>
        </w:rPr>
        <w:t xml:space="preserve">charges for lack of evidence]; </w:t>
      </w:r>
      <w:r>
        <w:rPr>
          <w:i/>
          <w:iCs/>
          <w:szCs w:val="26"/>
        </w:rPr>
        <w:t>Romero</w:t>
      </w:r>
      <w:r>
        <w:rPr>
          <w:szCs w:val="26"/>
        </w:rPr>
        <w:t xml:space="preserve">, </w:t>
      </w:r>
      <w:r>
        <w:rPr>
          <w:i/>
          <w:iCs/>
          <w:szCs w:val="26"/>
        </w:rPr>
        <w:t>supra</w:t>
      </w:r>
      <w:r>
        <w:rPr>
          <w:szCs w:val="26"/>
        </w:rPr>
        <w:t>, 13 </w:t>
      </w:r>
      <w:r>
        <w:rPr>
          <w:szCs w:val="26"/>
        </w:rPr>
        <w:t>Cal.4th</w:t>
      </w:r>
      <w:r>
        <w:rPr>
          <w:i/>
          <w:iCs/>
          <w:szCs w:val="26"/>
        </w:rPr>
        <w:t xml:space="preserve"> </w:t>
      </w:r>
      <w:r>
        <w:rPr>
          <w:szCs w:val="26"/>
        </w:rPr>
        <w:t xml:space="preserve">at </w:t>
      </w:r>
      <w:r>
        <w:rPr>
          <w:szCs w:val="26"/>
        </w:rPr>
        <w:t>p. </w:t>
      </w:r>
      <w:r>
        <w:rPr>
          <w:szCs w:val="26"/>
        </w:rPr>
        <w:t xml:space="preserve">530 [addressing </w:t>
      </w:r>
      <w:r w:rsidRPr="008268EE">
        <w:rPr>
          <w:szCs w:val="26"/>
        </w:rPr>
        <w:t xml:space="preserve">whether a trial court may dismiss </w:t>
      </w:r>
      <w:r>
        <w:rPr>
          <w:szCs w:val="26"/>
        </w:rPr>
        <w:t xml:space="preserve">on its own motion </w:t>
      </w:r>
      <w:r>
        <w:rPr>
          <w:szCs w:val="26"/>
        </w:rPr>
        <w:t xml:space="preserve">a </w:t>
      </w:r>
      <w:r w:rsidRPr="008268EE">
        <w:rPr>
          <w:szCs w:val="26"/>
        </w:rPr>
        <w:t xml:space="preserve">prior </w:t>
      </w:r>
      <w:r>
        <w:rPr>
          <w:szCs w:val="26"/>
        </w:rPr>
        <w:t xml:space="preserve">serious or violent </w:t>
      </w:r>
      <w:r w:rsidRPr="008268EE">
        <w:rPr>
          <w:szCs w:val="26"/>
        </w:rPr>
        <w:t xml:space="preserve">felony conviction </w:t>
      </w:r>
      <w:r>
        <w:rPr>
          <w:szCs w:val="26"/>
        </w:rPr>
        <w:t>under the three strikes</w:t>
      </w:r>
      <w:r>
        <w:rPr>
          <w:szCs w:val="26"/>
        </w:rPr>
        <w:t xml:space="preserve"> law</w:t>
      </w:r>
      <w:r w:rsidRPr="008268EE">
        <w:rPr>
          <w:szCs w:val="26"/>
        </w:rPr>
        <w:t xml:space="preserve"> in furtherance of justice</w:t>
      </w:r>
      <w:r>
        <w:rPr>
          <w:szCs w:val="26"/>
        </w:rPr>
        <w:t xml:space="preserve">]; </w:t>
      </w:r>
      <w:r w:rsidRPr="00F03671">
        <w:rPr>
          <w:i/>
          <w:iCs/>
          <w:szCs w:val="26"/>
        </w:rPr>
        <w:t>People v. Orin</w:t>
      </w:r>
      <w:r>
        <w:rPr>
          <w:szCs w:val="26"/>
        </w:rPr>
        <w:t xml:space="preserve">, </w:t>
      </w:r>
      <w:r>
        <w:rPr>
          <w:i/>
          <w:iCs/>
          <w:szCs w:val="26"/>
        </w:rPr>
        <w:t>supra</w:t>
      </w:r>
      <w:r>
        <w:rPr>
          <w:szCs w:val="26"/>
        </w:rPr>
        <w:t>,</w:t>
      </w:r>
      <w:r>
        <w:rPr>
          <w:i/>
          <w:iCs/>
          <w:szCs w:val="26"/>
        </w:rPr>
        <w:t xml:space="preserve"> </w:t>
      </w:r>
      <w:r>
        <w:rPr>
          <w:szCs w:val="26"/>
        </w:rPr>
        <w:t>13 </w:t>
      </w:r>
      <w:r w:rsidRPr="00F03671">
        <w:rPr>
          <w:szCs w:val="26"/>
        </w:rPr>
        <w:t xml:space="preserve">Cal.3d </w:t>
      </w:r>
      <w:r>
        <w:rPr>
          <w:szCs w:val="26"/>
        </w:rPr>
        <w:t xml:space="preserve">at </w:t>
      </w:r>
      <w:r>
        <w:rPr>
          <w:szCs w:val="26"/>
        </w:rPr>
        <w:t>p. </w:t>
      </w:r>
      <w:r w:rsidRPr="00D32AF0">
        <w:rPr>
          <w:szCs w:val="26"/>
        </w:rPr>
        <w:t>945</w:t>
      </w:r>
      <w:r>
        <w:rPr>
          <w:szCs w:val="26"/>
        </w:rPr>
        <w:t xml:space="preserve"> [addressing whether the trial court could dismiss </w:t>
      </w:r>
      <w:r>
        <w:rPr>
          <w:szCs w:val="26"/>
        </w:rPr>
        <w:t xml:space="preserve">on its own motion </w:t>
      </w:r>
      <w:r>
        <w:rPr>
          <w:szCs w:val="26"/>
        </w:rPr>
        <w:t>two of three counts against the defendant].)  In that context, t</w:t>
      </w:r>
      <w:r>
        <w:rPr>
          <w:szCs w:val="26"/>
        </w:rPr>
        <w:t>he “</w:t>
      </w:r>
      <w:r>
        <w:rPr>
          <w:szCs w:val="26"/>
        </w:rPr>
        <w:t>‘“</w:t>
      </w:r>
      <w:r>
        <w:rPr>
          <w:szCs w:val="26"/>
        </w:rPr>
        <w:t>interests of society</w:t>
      </w:r>
      <w:r>
        <w:rPr>
          <w:szCs w:val="26"/>
        </w:rPr>
        <w:t xml:space="preserve"> represented by the People</w:t>
      </w:r>
      <w:r>
        <w:rPr>
          <w:szCs w:val="26"/>
        </w:rPr>
        <w:t>”</w:t>
      </w:r>
      <w:r>
        <w:rPr>
          <w:szCs w:val="26"/>
        </w:rPr>
        <w:t>’”</w:t>
      </w:r>
      <w:r>
        <w:rPr>
          <w:szCs w:val="26"/>
        </w:rPr>
        <w:t xml:space="preserve"> refers to the</w:t>
      </w:r>
      <w:r w:rsidRPr="007718BB">
        <w:rPr>
          <w:szCs w:val="26"/>
        </w:rPr>
        <w:t xml:space="preserve"> </w:t>
      </w:r>
      <w:r>
        <w:rPr>
          <w:szCs w:val="26"/>
        </w:rPr>
        <w:t>“</w:t>
      </w:r>
      <w:r>
        <w:rPr>
          <w:szCs w:val="26"/>
        </w:rPr>
        <w:t>‘</w:t>
      </w:r>
      <w:r w:rsidRPr="007718BB">
        <w:rPr>
          <w:szCs w:val="26"/>
        </w:rPr>
        <w:t xml:space="preserve">legitimate interest in </w:t>
      </w:r>
      <w:r>
        <w:rPr>
          <w:szCs w:val="26"/>
        </w:rPr>
        <w:t>“</w:t>
      </w:r>
      <w:r w:rsidRPr="007718BB">
        <w:rPr>
          <w:szCs w:val="26"/>
        </w:rPr>
        <w:t>the fair prosecution of crimes properly alleged</w:t>
      </w:r>
      <w:r>
        <w:rPr>
          <w:szCs w:val="26"/>
        </w:rPr>
        <w:t>,</w:t>
      </w:r>
      <w:r>
        <w:rPr>
          <w:szCs w:val="26"/>
        </w:rPr>
        <w:t>”</w:t>
      </w:r>
      <w:r>
        <w:rPr>
          <w:szCs w:val="26"/>
        </w:rPr>
        <w:t>’</w:t>
      </w:r>
      <w:r>
        <w:rPr>
          <w:szCs w:val="26"/>
        </w:rPr>
        <w:t xml:space="preserve">” and </w:t>
      </w:r>
      <w:r>
        <w:rPr>
          <w:szCs w:val="26"/>
        </w:rPr>
        <w:t xml:space="preserve">a </w:t>
      </w:r>
      <w:r>
        <w:rPr>
          <w:szCs w:val="26"/>
        </w:rPr>
        <w:t>“‘“‘</w:t>
      </w:r>
      <w:r w:rsidRPr="007718BB">
        <w:rPr>
          <w:szCs w:val="26"/>
        </w:rPr>
        <w:t xml:space="preserve">dismissal </w:t>
      </w:r>
      <w:r>
        <w:rPr>
          <w:szCs w:val="26"/>
        </w:rPr>
        <w:t>which</w:t>
      </w:r>
      <w:r w:rsidRPr="007718BB">
        <w:rPr>
          <w:szCs w:val="26"/>
        </w:rPr>
        <w:t xml:space="preserve"> arbitrarily cuts those rights without a showing of detriment to the defendant is an abuse of discretion.</w:t>
      </w:r>
      <w:r>
        <w:rPr>
          <w:szCs w:val="26"/>
        </w:rPr>
        <w:t>’”’”</w:t>
      </w:r>
      <w:r>
        <w:rPr>
          <w:szCs w:val="26"/>
        </w:rPr>
        <w:t xml:space="preserve"> </w:t>
      </w:r>
      <w:r>
        <w:rPr>
          <w:szCs w:val="26"/>
        </w:rPr>
        <w:t xml:space="preserve"> (</w:t>
      </w:r>
      <w:r>
        <w:rPr>
          <w:i/>
          <w:iCs/>
          <w:szCs w:val="26"/>
        </w:rPr>
        <w:t>Romero</w:t>
      </w:r>
      <w:r>
        <w:rPr>
          <w:szCs w:val="26"/>
        </w:rPr>
        <w:t xml:space="preserve">, </w:t>
      </w:r>
      <w:r>
        <w:rPr>
          <w:szCs w:val="26"/>
        </w:rPr>
        <w:t xml:space="preserve">at </w:t>
      </w:r>
      <w:r>
        <w:rPr>
          <w:szCs w:val="26"/>
        </w:rPr>
        <w:t>p. </w:t>
      </w:r>
      <w:r>
        <w:rPr>
          <w:szCs w:val="26"/>
        </w:rPr>
        <w:t>531</w:t>
      </w:r>
      <w:r>
        <w:rPr>
          <w:szCs w:val="26"/>
        </w:rPr>
        <w:t>, italics omitted</w:t>
      </w:r>
      <w:r>
        <w:rPr>
          <w:szCs w:val="26"/>
        </w:rPr>
        <w:t>;</w:t>
      </w:r>
      <w:r>
        <w:rPr>
          <w:szCs w:val="26"/>
        </w:rPr>
        <w:t xml:space="preserve"> </w:t>
      </w:r>
      <w:r>
        <w:rPr>
          <w:szCs w:val="26"/>
        </w:rPr>
        <w:t xml:space="preserve">accord, </w:t>
      </w:r>
      <w:r>
        <w:rPr>
          <w:i/>
          <w:iCs/>
          <w:szCs w:val="26"/>
        </w:rPr>
        <w:t>Williams</w:t>
      </w:r>
      <w:r>
        <w:rPr>
          <w:szCs w:val="26"/>
        </w:rPr>
        <w:t xml:space="preserve">, at </w:t>
      </w:r>
      <w:r>
        <w:rPr>
          <w:szCs w:val="26"/>
        </w:rPr>
        <w:t>p. </w:t>
      </w:r>
      <w:r>
        <w:rPr>
          <w:szCs w:val="26"/>
        </w:rPr>
        <w:t>159;</w:t>
      </w:r>
      <w:r>
        <w:rPr>
          <w:szCs w:val="26"/>
        </w:rPr>
        <w:t xml:space="preserve"> </w:t>
      </w:r>
      <w:r>
        <w:rPr>
          <w:szCs w:val="26"/>
        </w:rPr>
        <w:t xml:space="preserve">see </w:t>
      </w:r>
      <w:r w:rsidRPr="00F03671">
        <w:rPr>
          <w:i/>
          <w:iCs/>
          <w:szCs w:val="26"/>
        </w:rPr>
        <w:t>Orin</w:t>
      </w:r>
      <w:r>
        <w:rPr>
          <w:szCs w:val="26"/>
        </w:rPr>
        <w:t xml:space="preserve">, at </w:t>
      </w:r>
      <w:r>
        <w:rPr>
          <w:szCs w:val="26"/>
        </w:rPr>
        <w:t>p</w:t>
      </w:r>
      <w:r>
        <w:rPr>
          <w:szCs w:val="26"/>
        </w:rPr>
        <w:t>p. </w:t>
      </w:r>
      <w:r>
        <w:rPr>
          <w:szCs w:val="26"/>
        </w:rPr>
        <w:t>946</w:t>
      </w:r>
      <w:r>
        <w:rPr>
          <w:szCs w:val="26"/>
        </w:rPr>
        <w:noBreakHyphen/>
      </w:r>
      <w:r>
        <w:rPr>
          <w:szCs w:val="26"/>
        </w:rPr>
        <w:t>947 [“</w:t>
      </w:r>
      <w:r w:rsidRPr="00F03671">
        <w:rPr>
          <w:szCs w:val="26"/>
        </w:rPr>
        <w:t>appellate courts have shown considerable opposition to the granting of dismissals under section 1385 in instances where</w:t>
      </w:r>
      <w:r>
        <w:rPr>
          <w:szCs w:val="26"/>
        </w:rPr>
        <w:t xml:space="preserve"> </w:t>
      </w:r>
      <w:r w:rsidRPr="00F03671">
        <w:rPr>
          <w:szCs w:val="26"/>
        </w:rPr>
        <w:t>the People are thereby prevented from pro</w:t>
      </w:r>
      <w:r w:rsidRPr="00F03671">
        <w:rPr>
          <w:szCs w:val="26"/>
        </w:rPr>
        <w:t>secuting defendants for offenses of which there is probable cause to believe they are guilty as charged</w:t>
      </w:r>
      <w:r>
        <w:rPr>
          <w:szCs w:val="26"/>
        </w:rPr>
        <w:t>”].)</w:t>
      </w:r>
      <w:r>
        <w:rPr>
          <w:szCs w:val="26"/>
        </w:rPr>
        <w:t xml:space="preserve"> </w:t>
      </w:r>
      <w:r>
        <w:rPr>
          <w:szCs w:val="26"/>
        </w:rPr>
        <w:t xml:space="preserve"> </w:t>
      </w:r>
      <w:r>
        <w:rPr>
          <w:szCs w:val="26"/>
        </w:rPr>
        <w:t>When</w:t>
      </w:r>
      <w:r>
        <w:rPr>
          <w:szCs w:val="26"/>
        </w:rPr>
        <w:t xml:space="preserve"> </w:t>
      </w:r>
      <w:r>
        <w:rPr>
          <w:szCs w:val="26"/>
        </w:rPr>
        <w:t>the</w:t>
      </w:r>
      <w:r>
        <w:rPr>
          <w:szCs w:val="26"/>
        </w:rPr>
        <w:t xml:space="preserve"> trial court, on its own motion</w:t>
      </w:r>
      <w:r>
        <w:rPr>
          <w:szCs w:val="26"/>
        </w:rPr>
        <w:t xml:space="preserve"> or at the request of the defendant</w:t>
      </w:r>
      <w:r>
        <w:rPr>
          <w:szCs w:val="26"/>
        </w:rPr>
        <w:t>, considers whether to dismiss an action</w:t>
      </w:r>
      <w:r>
        <w:rPr>
          <w:szCs w:val="26"/>
        </w:rPr>
        <w:t xml:space="preserve"> under section </w:t>
      </w:r>
      <w:r>
        <w:rPr>
          <w:szCs w:val="26"/>
        </w:rPr>
        <w:lastRenderedPageBreak/>
        <w:t>1385</w:t>
      </w:r>
      <w:r>
        <w:rPr>
          <w:szCs w:val="26"/>
        </w:rPr>
        <w:t xml:space="preserve">, </w:t>
      </w:r>
      <w:r>
        <w:rPr>
          <w:szCs w:val="26"/>
        </w:rPr>
        <w:t>the court</w:t>
      </w:r>
      <w:r>
        <w:rPr>
          <w:szCs w:val="26"/>
        </w:rPr>
        <w:t xml:space="preserve"> must keep </w:t>
      </w:r>
      <w:r w:rsidRPr="00E85491">
        <w:rPr>
          <w:szCs w:val="26"/>
        </w:rPr>
        <w:t xml:space="preserve">the “scales of justice </w:t>
      </w:r>
      <w:r>
        <w:rPr>
          <w:szCs w:val="26"/>
        </w:rPr>
        <w:t xml:space="preserve">. . . </w:t>
      </w:r>
      <w:r w:rsidRPr="00E85491">
        <w:rPr>
          <w:szCs w:val="26"/>
        </w:rPr>
        <w:t xml:space="preserve">in balance” </w:t>
      </w:r>
      <w:r>
        <w:rPr>
          <w:szCs w:val="26"/>
        </w:rPr>
        <w:t>(</w:t>
      </w:r>
      <w:r w:rsidRPr="00C57AF3">
        <w:rPr>
          <w:i/>
          <w:iCs/>
          <w:szCs w:val="26"/>
        </w:rPr>
        <w:t>People v. Winters</w:t>
      </w:r>
      <w:r>
        <w:rPr>
          <w:szCs w:val="26"/>
        </w:rPr>
        <w:t xml:space="preserve"> (1959) 171 Cal.App.2d </w:t>
      </w:r>
      <w:r w:rsidRPr="00C57AF3">
        <w:rPr>
          <w:szCs w:val="26"/>
        </w:rPr>
        <w:t>Sup</w:t>
      </w:r>
      <w:r>
        <w:rPr>
          <w:szCs w:val="26"/>
        </w:rPr>
        <w:t xml:space="preserve">p. </w:t>
      </w:r>
      <w:r w:rsidRPr="00C57AF3">
        <w:rPr>
          <w:szCs w:val="26"/>
        </w:rPr>
        <w:t>876, 887</w:t>
      </w:r>
      <w:r>
        <w:rPr>
          <w:szCs w:val="26"/>
        </w:rPr>
        <w:t xml:space="preserve">) </w:t>
      </w:r>
      <w:r w:rsidRPr="00E85491">
        <w:rPr>
          <w:szCs w:val="26"/>
        </w:rPr>
        <w:t xml:space="preserve">by </w:t>
      </w:r>
      <w:r w:rsidRPr="009702FE">
        <w:rPr>
          <w:szCs w:val="26"/>
        </w:rPr>
        <w:t xml:space="preserve">not having a case brought by the People </w:t>
      </w:r>
      <w:r>
        <w:rPr>
          <w:szCs w:val="26"/>
        </w:rPr>
        <w:t>“</w:t>
      </w:r>
      <w:r w:rsidRPr="009702FE">
        <w:rPr>
          <w:szCs w:val="26"/>
        </w:rPr>
        <w:t>thrown out of court except for a reason which can be said to be that whic</w:t>
      </w:r>
      <w:r w:rsidRPr="009702FE">
        <w:rPr>
          <w:szCs w:val="26"/>
        </w:rPr>
        <w:t>h would motivate a r</w:t>
      </w:r>
      <w:r>
        <w:rPr>
          <w:szCs w:val="26"/>
        </w:rPr>
        <w:t>easonable judge</w:t>
      </w:r>
      <w:r>
        <w:rPr>
          <w:szCs w:val="26"/>
        </w:rPr>
        <w:t>” (</w:t>
      </w:r>
      <w:r w:rsidRPr="002A06C8">
        <w:rPr>
          <w:i/>
          <w:iCs/>
          <w:szCs w:val="26"/>
        </w:rPr>
        <w:t>People v. Curtiss</w:t>
      </w:r>
      <w:r>
        <w:rPr>
          <w:szCs w:val="26"/>
        </w:rPr>
        <w:t xml:space="preserve"> </w:t>
      </w:r>
      <w:r w:rsidRPr="002A06C8">
        <w:rPr>
          <w:szCs w:val="26"/>
        </w:rPr>
        <w:t>(1970) 4</w:t>
      </w:r>
      <w:r>
        <w:rPr>
          <w:szCs w:val="26"/>
        </w:rPr>
        <w:t> </w:t>
      </w:r>
      <w:r w:rsidRPr="002A06C8">
        <w:rPr>
          <w:szCs w:val="26"/>
        </w:rPr>
        <w:t>Cal.App.3d 123,</w:t>
      </w:r>
      <w:r>
        <w:rPr>
          <w:szCs w:val="26"/>
        </w:rPr>
        <w:t xml:space="preserve"> </w:t>
      </w:r>
      <w:r w:rsidRPr="002A06C8">
        <w:rPr>
          <w:szCs w:val="26"/>
        </w:rPr>
        <w:t>126</w:t>
      </w:r>
      <w:r>
        <w:rPr>
          <w:szCs w:val="26"/>
        </w:rPr>
        <w:t xml:space="preserve">; see </w:t>
      </w:r>
      <w:r w:rsidRPr="002A06C8">
        <w:rPr>
          <w:i/>
          <w:iCs/>
          <w:szCs w:val="26"/>
        </w:rPr>
        <w:t>People v. Clancey</w:t>
      </w:r>
      <w:r>
        <w:rPr>
          <w:szCs w:val="26"/>
        </w:rPr>
        <w:t xml:space="preserve">, </w:t>
      </w:r>
      <w:r>
        <w:rPr>
          <w:i/>
          <w:iCs/>
          <w:szCs w:val="26"/>
        </w:rPr>
        <w:t>supra</w:t>
      </w:r>
      <w:r>
        <w:rPr>
          <w:szCs w:val="26"/>
        </w:rPr>
        <w:t>,</w:t>
      </w:r>
      <w:r>
        <w:rPr>
          <w:i/>
          <w:iCs/>
          <w:szCs w:val="26"/>
        </w:rPr>
        <w:t xml:space="preserve"> </w:t>
      </w:r>
      <w:r>
        <w:rPr>
          <w:szCs w:val="26"/>
        </w:rPr>
        <w:t>56 </w:t>
      </w:r>
      <w:r w:rsidRPr="002A06C8">
        <w:rPr>
          <w:szCs w:val="26"/>
        </w:rPr>
        <w:t xml:space="preserve">Cal.4th </w:t>
      </w:r>
      <w:r>
        <w:rPr>
          <w:szCs w:val="26"/>
        </w:rPr>
        <w:t>at p</w:t>
      </w:r>
      <w:r>
        <w:rPr>
          <w:szCs w:val="26"/>
        </w:rPr>
        <w:t>p. </w:t>
      </w:r>
      <w:r>
        <w:rPr>
          <w:szCs w:val="26"/>
        </w:rPr>
        <w:t>580</w:t>
      </w:r>
      <w:r>
        <w:rPr>
          <w:szCs w:val="26"/>
        </w:rPr>
        <w:noBreakHyphen/>
      </w:r>
      <w:r w:rsidRPr="002A06C8">
        <w:rPr>
          <w:szCs w:val="26"/>
        </w:rPr>
        <w:t>581</w:t>
      </w:r>
      <w:r>
        <w:rPr>
          <w:szCs w:val="26"/>
        </w:rPr>
        <w:t xml:space="preserve">; </w:t>
      </w:r>
      <w:r w:rsidRPr="00496E2C">
        <w:rPr>
          <w:i/>
          <w:iCs/>
          <w:szCs w:val="26"/>
        </w:rPr>
        <w:t>People v. Vasquez</w:t>
      </w:r>
      <w:r>
        <w:rPr>
          <w:szCs w:val="26"/>
        </w:rPr>
        <w:t xml:space="preserve"> (2021) </w:t>
      </w:r>
      <w:r>
        <w:rPr>
          <w:szCs w:val="26"/>
        </w:rPr>
        <w:t>72 </w:t>
      </w:r>
      <w:r w:rsidRPr="00496E2C">
        <w:rPr>
          <w:szCs w:val="26"/>
        </w:rPr>
        <w:t xml:space="preserve">Cal.App.5th </w:t>
      </w:r>
      <w:r>
        <w:rPr>
          <w:szCs w:val="26"/>
        </w:rPr>
        <w:t>374, 381</w:t>
      </w:r>
      <w:r>
        <w:rPr>
          <w:szCs w:val="26"/>
        </w:rPr>
        <w:t>).</w:t>
      </w:r>
      <w:r>
        <w:rPr>
          <w:szCs w:val="26"/>
        </w:rPr>
        <w:t xml:space="preserve">  Thus, </w:t>
      </w:r>
      <w:r>
        <w:rPr>
          <w:szCs w:val="26"/>
        </w:rPr>
        <w:t xml:space="preserve">for example, </w:t>
      </w:r>
      <w:r>
        <w:rPr>
          <w:szCs w:val="26"/>
        </w:rPr>
        <w:t xml:space="preserve">a court may not </w:t>
      </w:r>
      <w:r>
        <w:rPr>
          <w:szCs w:val="26"/>
        </w:rPr>
        <w:t>on its own motion</w:t>
      </w:r>
      <w:r w:rsidRPr="002A06C8">
        <w:rPr>
          <w:szCs w:val="26"/>
        </w:rPr>
        <w:t xml:space="preserve"> </w:t>
      </w:r>
      <w:r>
        <w:rPr>
          <w:szCs w:val="26"/>
        </w:rPr>
        <w:t>dismiss a</w:t>
      </w:r>
      <w:r w:rsidRPr="002A06C8">
        <w:rPr>
          <w:szCs w:val="26"/>
        </w:rPr>
        <w:t xml:space="preserve"> charge or allegation</w:t>
      </w:r>
      <w:r>
        <w:rPr>
          <w:szCs w:val="26"/>
        </w:rPr>
        <w:t xml:space="preserve"> </w:t>
      </w:r>
      <w:r>
        <w:rPr>
          <w:szCs w:val="26"/>
        </w:rPr>
        <w:t>“‘“</w:t>
      </w:r>
      <w:r w:rsidRPr="002A06C8">
        <w:rPr>
          <w:szCs w:val="26"/>
        </w:rPr>
        <w:t>to accommodate judicial convenience or because of court congestion</w:t>
      </w:r>
      <w:r>
        <w:rPr>
          <w:szCs w:val="26"/>
        </w:rPr>
        <w:t>”’</w:t>
      </w:r>
      <w:r>
        <w:rPr>
          <w:szCs w:val="26"/>
        </w:rPr>
        <w:t>”</w:t>
      </w:r>
      <w:r w:rsidRPr="00C51187">
        <w:rPr>
          <w:szCs w:val="26"/>
        </w:rPr>
        <w:t xml:space="preserve"> </w:t>
      </w:r>
      <w:r>
        <w:rPr>
          <w:szCs w:val="26"/>
        </w:rPr>
        <w:t>(</w:t>
      </w:r>
      <w:r w:rsidRPr="002A06C8">
        <w:rPr>
          <w:i/>
          <w:iCs/>
          <w:szCs w:val="26"/>
        </w:rPr>
        <w:t>Clancey</w:t>
      </w:r>
      <w:r>
        <w:rPr>
          <w:szCs w:val="26"/>
        </w:rPr>
        <w:t>, at p. </w:t>
      </w:r>
      <w:r w:rsidRPr="002A06C8">
        <w:rPr>
          <w:szCs w:val="26"/>
        </w:rPr>
        <w:t>581</w:t>
      </w:r>
      <w:r>
        <w:rPr>
          <w:szCs w:val="26"/>
        </w:rPr>
        <w:t>),</w:t>
      </w:r>
      <w:r>
        <w:rPr>
          <w:szCs w:val="26"/>
        </w:rPr>
        <w:t xml:space="preserve"> “</w:t>
      </w:r>
      <w:r>
        <w:rPr>
          <w:szCs w:val="26"/>
        </w:rPr>
        <w:t>‘</w:t>
      </w:r>
      <w:r w:rsidRPr="002A06C8">
        <w:rPr>
          <w:szCs w:val="26"/>
        </w:rPr>
        <w:t>because a defendant pleads guilty</w:t>
      </w:r>
      <w:r>
        <w:rPr>
          <w:szCs w:val="26"/>
        </w:rPr>
        <w:t>’”</w:t>
      </w:r>
      <w:r>
        <w:rPr>
          <w:szCs w:val="26"/>
        </w:rPr>
        <w:t xml:space="preserve"> </w:t>
      </w:r>
      <w:r>
        <w:rPr>
          <w:szCs w:val="26"/>
        </w:rPr>
        <w:t>(</w:t>
      </w:r>
      <w:r>
        <w:rPr>
          <w:i/>
          <w:iCs/>
          <w:szCs w:val="26"/>
        </w:rPr>
        <w:t>ibid.</w:t>
      </w:r>
      <w:r>
        <w:rPr>
          <w:szCs w:val="26"/>
        </w:rPr>
        <w:t>)</w:t>
      </w:r>
      <w:r>
        <w:rPr>
          <w:szCs w:val="26"/>
        </w:rPr>
        <w:t>,</w:t>
      </w:r>
      <w:r>
        <w:rPr>
          <w:szCs w:val="26"/>
        </w:rPr>
        <w:t xml:space="preserve"> </w:t>
      </w:r>
      <w:r>
        <w:rPr>
          <w:szCs w:val="26"/>
        </w:rPr>
        <w:t xml:space="preserve">or </w:t>
      </w:r>
      <w:r>
        <w:rPr>
          <w:szCs w:val="26"/>
        </w:rPr>
        <w:t>based on</w:t>
      </w:r>
      <w:r w:rsidRPr="00BB585C">
        <w:rPr>
          <w:szCs w:val="26"/>
        </w:rPr>
        <w:t xml:space="preserve"> “</w:t>
      </w:r>
      <w:r>
        <w:rPr>
          <w:szCs w:val="26"/>
        </w:rPr>
        <w:t>bare</w:t>
      </w:r>
      <w:r w:rsidRPr="00BB585C">
        <w:rPr>
          <w:szCs w:val="26"/>
        </w:rPr>
        <w:t xml:space="preserve"> antipathy to the consequences for any given defendant”</w:t>
      </w:r>
      <w:r>
        <w:rPr>
          <w:szCs w:val="26"/>
        </w:rPr>
        <w:t xml:space="preserve"> </w:t>
      </w:r>
      <w:r>
        <w:rPr>
          <w:szCs w:val="26"/>
        </w:rPr>
        <w:t>(</w:t>
      </w:r>
      <w:r w:rsidRPr="007718BB">
        <w:rPr>
          <w:i/>
          <w:iCs/>
          <w:szCs w:val="26"/>
        </w:rPr>
        <w:t>Williams</w:t>
      </w:r>
      <w:r>
        <w:rPr>
          <w:szCs w:val="26"/>
        </w:rPr>
        <w:t>,</w:t>
      </w:r>
      <w:r>
        <w:rPr>
          <w:szCs w:val="26"/>
        </w:rPr>
        <w:t xml:space="preserve"> at </w:t>
      </w:r>
      <w:r>
        <w:rPr>
          <w:szCs w:val="26"/>
        </w:rPr>
        <w:t>p. </w:t>
      </w:r>
      <w:r>
        <w:rPr>
          <w:szCs w:val="26"/>
        </w:rPr>
        <w:t>161</w:t>
      </w:r>
      <w:r>
        <w:rPr>
          <w:szCs w:val="26"/>
        </w:rPr>
        <w:t xml:space="preserve">; see </w:t>
      </w:r>
      <w:r>
        <w:rPr>
          <w:i/>
          <w:iCs/>
          <w:szCs w:val="26"/>
        </w:rPr>
        <w:t>Romero</w:t>
      </w:r>
      <w:r>
        <w:rPr>
          <w:szCs w:val="26"/>
        </w:rPr>
        <w:t xml:space="preserve">, </w:t>
      </w:r>
      <w:r>
        <w:rPr>
          <w:szCs w:val="26"/>
        </w:rPr>
        <w:t xml:space="preserve">at </w:t>
      </w:r>
      <w:r>
        <w:rPr>
          <w:szCs w:val="26"/>
        </w:rPr>
        <w:t>p. </w:t>
      </w:r>
      <w:r>
        <w:rPr>
          <w:szCs w:val="26"/>
        </w:rPr>
        <w:t>531 [“[n]</w:t>
      </w:r>
      <w:r w:rsidRPr="00701175">
        <w:rPr>
          <w:szCs w:val="26"/>
        </w:rPr>
        <w:t xml:space="preserve">or would a court act properly if </w:t>
      </w:r>
      <w:r>
        <w:rPr>
          <w:szCs w:val="26"/>
        </w:rPr>
        <w:t>‘</w:t>
      </w:r>
      <w:r w:rsidRPr="00701175">
        <w:rPr>
          <w:szCs w:val="26"/>
        </w:rPr>
        <w:t>guided solely by a personal antipathy for the effect that the three strikes law would have on [a] defendant,</w:t>
      </w:r>
      <w:r>
        <w:rPr>
          <w:szCs w:val="26"/>
        </w:rPr>
        <w:t>’</w:t>
      </w:r>
      <w:r w:rsidRPr="00701175">
        <w:rPr>
          <w:szCs w:val="26"/>
        </w:rPr>
        <w:t xml:space="preserve"> while i</w:t>
      </w:r>
      <w:r w:rsidRPr="00701175">
        <w:rPr>
          <w:szCs w:val="26"/>
        </w:rPr>
        <w:t xml:space="preserve">gnoring </w:t>
      </w:r>
      <w:r>
        <w:rPr>
          <w:szCs w:val="26"/>
        </w:rPr>
        <w:t>‘</w:t>
      </w:r>
      <w:r w:rsidRPr="00701175">
        <w:rPr>
          <w:szCs w:val="26"/>
        </w:rPr>
        <w:t>defendant</w:t>
      </w:r>
      <w:r>
        <w:rPr>
          <w:szCs w:val="26"/>
        </w:rPr>
        <w:t>’</w:t>
      </w:r>
      <w:r w:rsidRPr="00701175">
        <w:rPr>
          <w:szCs w:val="26"/>
        </w:rPr>
        <w:t>s background,</w:t>
      </w:r>
      <w:r>
        <w:rPr>
          <w:szCs w:val="26"/>
        </w:rPr>
        <w:t>’ ‘</w:t>
      </w:r>
      <w:r w:rsidRPr="00701175">
        <w:rPr>
          <w:szCs w:val="26"/>
        </w:rPr>
        <w:t>the nature of his present offenses,</w:t>
      </w:r>
      <w:r>
        <w:rPr>
          <w:szCs w:val="26"/>
        </w:rPr>
        <w:t>’</w:t>
      </w:r>
      <w:r w:rsidRPr="00701175">
        <w:rPr>
          <w:szCs w:val="26"/>
        </w:rPr>
        <w:t xml:space="preserve"> and other </w:t>
      </w:r>
      <w:r>
        <w:rPr>
          <w:szCs w:val="26"/>
        </w:rPr>
        <w:t>‘</w:t>
      </w:r>
      <w:r w:rsidRPr="00701175">
        <w:rPr>
          <w:szCs w:val="26"/>
        </w:rPr>
        <w:t>individualized considerations</w:t>
      </w:r>
      <w:r>
        <w:rPr>
          <w:szCs w:val="26"/>
        </w:rPr>
        <w:t>’</w:t>
      </w:r>
      <w:r w:rsidRPr="00701175">
        <w:rPr>
          <w:szCs w:val="26"/>
        </w:rPr>
        <w:t>”</w:t>
      </w:r>
      <w:r>
        <w:rPr>
          <w:szCs w:val="26"/>
        </w:rPr>
        <w:t>]</w:t>
      </w:r>
      <w:r>
        <w:rPr>
          <w:szCs w:val="26"/>
        </w:rPr>
        <w:t>)</w:t>
      </w:r>
      <w:r>
        <w:rPr>
          <w:szCs w:val="26"/>
        </w:rPr>
        <w:t>.</w:t>
      </w:r>
    </w:p>
    <w:p w14:paraId="4F9D44F8" w14:textId="77777777" w:rsidR="000E7363" w:rsidRDefault="00861473" w:rsidP="00426CA8">
      <w:pPr>
        <w:ind w:firstLine="720"/>
        <w:rPr>
          <w:szCs w:val="26"/>
        </w:rPr>
      </w:pPr>
      <w:r>
        <w:rPr>
          <w:szCs w:val="26"/>
        </w:rPr>
        <w:t xml:space="preserve">But </w:t>
      </w:r>
      <w:r>
        <w:rPr>
          <w:szCs w:val="26"/>
        </w:rPr>
        <w:t xml:space="preserve">“the interests of </w:t>
      </w:r>
      <w:r>
        <w:rPr>
          <w:szCs w:val="26"/>
        </w:rPr>
        <w:t>society</w:t>
      </w:r>
      <w:r>
        <w:rPr>
          <w:szCs w:val="26"/>
        </w:rPr>
        <w:t xml:space="preserve"> represented by the People”</w:t>
      </w:r>
      <w:r>
        <w:rPr>
          <w:szCs w:val="26"/>
        </w:rPr>
        <w:t xml:space="preserve"> </w:t>
      </w:r>
      <w:r>
        <w:rPr>
          <w:szCs w:val="26"/>
        </w:rPr>
        <w:t>do</w:t>
      </w:r>
      <w:r>
        <w:rPr>
          <w:szCs w:val="26"/>
        </w:rPr>
        <w:t xml:space="preserve"> not </w:t>
      </w:r>
      <w:r>
        <w:rPr>
          <w:szCs w:val="26"/>
        </w:rPr>
        <w:t xml:space="preserve">begin </w:t>
      </w:r>
      <w:r>
        <w:rPr>
          <w:szCs w:val="26"/>
        </w:rPr>
        <w:t>or</w:t>
      </w:r>
      <w:r>
        <w:rPr>
          <w:szCs w:val="26"/>
        </w:rPr>
        <w:t xml:space="preserve"> end with the mechanical prosecution of charges properly alleged.  “</w:t>
      </w:r>
      <w:r w:rsidRPr="00B65518">
        <w:rPr>
          <w:szCs w:val="26"/>
        </w:rPr>
        <w:t>The public prosecutor ‘“is the representative not of any ordinary party to a controversy,</w:t>
      </w:r>
      <w:r>
        <w:rPr>
          <w:szCs w:val="26"/>
        </w:rPr>
        <w:t xml:space="preserve"> </w:t>
      </w:r>
      <w:r w:rsidRPr="00B65518">
        <w:rPr>
          <w:szCs w:val="26"/>
        </w:rPr>
        <w:t xml:space="preserve">but of a sovereignty whose obligation to govern impartially is as compelling as its obligation to </w:t>
      </w:r>
      <w:r w:rsidRPr="00B65518">
        <w:rPr>
          <w:szCs w:val="26"/>
        </w:rPr>
        <w:t xml:space="preserve">govern at all; and whose interest, therefore, in a criminal prosecution is not that it shall win a case, but </w:t>
      </w:r>
      <w:r w:rsidRPr="000E7363">
        <w:rPr>
          <w:szCs w:val="26"/>
        </w:rPr>
        <w:t>that justice shall be done</w:t>
      </w:r>
      <w:r w:rsidRPr="00B65518">
        <w:rPr>
          <w:szCs w:val="26"/>
        </w:rPr>
        <w:t>.”’</w:t>
      </w:r>
      <w:r>
        <w:rPr>
          <w:szCs w:val="26"/>
        </w:rPr>
        <w:t>”  (</w:t>
      </w:r>
      <w:r w:rsidRPr="00E37ECD">
        <w:rPr>
          <w:i/>
          <w:iCs/>
          <w:szCs w:val="26"/>
        </w:rPr>
        <w:t>People v. Eubanks</w:t>
      </w:r>
      <w:r>
        <w:rPr>
          <w:szCs w:val="26"/>
        </w:rPr>
        <w:t xml:space="preserve"> (1996) 14 </w:t>
      </w:r>
      <w:r w:rsidRPr="00E37ECD">
        <w:rPr>
          <w:szCs w:val="26"/>
        </w:rPr>
        <w:t xml:space="preserve">Cal.4th </w:t>
      </w:r>
      <w:r>
        <w:rPr>
          <w:szCs w:val="26"/>
        </w:rPr>
        <w:t>580</w:t>
      </w:r>
      <w:r w:rsidRPr="00E37ECD">
        <w:rPr>
          <w:szCs w:val="26"/>
        </w:rPr>
        <w:t>, 589</w:t>
      </w:r>
      <w:r>
        <w:rPr>
          <w:szCs w:val="26"/>
        </w:rPr>
        <w:t>;</w:t>
      </w:r>
      <w:r>
        <w:rPr>
          <w:szCs w:val="26"/>
        </w:rPr>
        <w:t xml:space="preserve"> accord, </w:t>
      </w:r>
      <w:r w:rsidRPr="00B65518">
        <w:rPr>
          <w:i/>
          <w:iCs/>
          <w:szCs w:val="26"/>
        </w:rPr>
        <w:t>People v. Dehle</w:t>
      </w:r>
      <w:r>
        <w:rPr>
          <w:szCs w:val="26"/>
        </w:rPr>
        <w:t xml:space="preserve"> </w:t>
      </w:r>
      <w:r w:rsidRPr="00B65518">
        <w:rPr>
          <w:szCs w:val="26"/>
        </w:rPr>
        <w:t>(2008) 166</w:t>
      </w:r>
      <w:r>
        <w:rPr>
          <w:szCs w:val="26"/>
        </w:rPr>
        <w:t> </w:t>
      </w:r>
      <w:r w:rsidRPr="00B65518">
        <w:rPr>
          <w:szCs w:val="26"/>
        </w:rPr>
        <w:t>Cal.App.4th 1380, 138</w:t>
      </w:r>
      <w:r>
        <w:rPr>
          <w:szCs w:val="26"/>
        </w:rPr>
        <w:t>7.</w:t>
      </w:r>
      <w:r w:rsidRPr="00B65518">
        <w:rPr>
          <w:szCs w:val="26"/>
        </w:rPr>
        <w:t>)</w:t>
      </w:r>
      <w:r>
        <w:rPr>
          <w:szCs w:val="26"/>
        </w:rPr>
        <w:t xml:space="preserve">  </w:t>
      </w:r>
      <w:r>
        <w:rPr>
          <w:szCs w:val="26"/>
        </w:rPr>
        <w:t>“‘</w:t>
      </w:r>
      <w:r w:rsidRPr="005E6B6E">
        <w:rPr>
          <w:szCs w:val="26"/>
        </w:rPr>
        <w:t>The n</w:t>
      </w:r>
      <w:r w:rsidRPr="005E6B6E">
        <w:rPr>
          <w:szCs w:val="26"/>
        </w:rPr>
        <w:t>ature of the impartiality required of the public prosecutor follows from the prosecutor</w:t>
      </w:r>
      <w:r>
        <w:rPr>
          <w:szCs w:val="26"/>
        </w:rPr>
        <w:t>’</w:t>
      </w:r>
      <w:r w:rsidRPr="005E6B6E">
        <w:rPr>
          <w:szCs w:val="26"/>
        </w:rPr>
        <w:t xml:space="preserve">s role as representative of the People as a body, rather than as individuals. </w:t>
      </w:r>
      <w:r>
        <w:rPr>
          <w:szCs w:val="26"/>
        </w:rPr>
        <w:t xml:space="preserve"> </w:t>
      </w:r>
      <w:r>
        <w:rPr>
          <w:szCs w:val="26"/>
        </w:rPr>
        <w:t>“</w:t>
      </w:r>
      <w:r w:rsidRPr="005E6B6E">
        <w:rPr>
          <w:szCs w:val="26"/>
        </w:rPr>
        <w:t>The prosecutor speaks not solely for the victim, or the police, or those who support the</w:t>
      </w:r>
      <w:r w:rsidRPr="005E6B6E">
        <w:rPr>
          <w:szCs w:val="26"/>
        </w:rPr>
        <w:t xml:space="preserve">m, but </w:t>
      </w:r>
      <w:r w:rsidRPr="005E6B6E">
        <w:rPr>
          <w:szCs w:val="26"/>
        </w:rPr>
        <w:lastRenderedPageBreak/>
        <w:t xml:space="preserve">for all the People. </w:t>
      </w:r>
      <w:r>
        <w:rPr>
          <w:szCs w:val="26"/>
        </w:rPr>
        <w:t xml:space="preserve"> </w:t>
      </w:r>
      <w:r w:rsidRPr="005E6B6E">
        <w:rPr>
          <w:szCs w:val="26"/>
        </w:rPr>
        <w:t xml:space="preserve">That body of </w:t>
      </w:r>
      <w:r>
        <w:rPr>
          <w:szCs w:val="26"/>
        </w:rPr>
        <w:t>‘</w:t>
      </w:r>
      <w:r w:rsidRPr="005E6B6E">
        <w:rPr>
          <w:szCs w:val="26"/>
        </w:rPr>
        <w:t>The People</w:t>
      </w:r>
      <w:r>
        <w:rPr>
          <w:szCs w:val="26"/>
        </w:rPr>
        <w:t>’</w:t>
      </w:r>
      <w:r w:rsidRPr="005E6B6E">
        <w:rPr>
          <w:szCs w:val="26"/>
        </w:rPr>
        <w:t xml:space="preserve"> includes the defendant and his family and those who care about him. </w:t>
      </w:r>
      <w:r>
        <w:rPr>
          <w:szCs w:val="26"/>
        </w:rPr>
        <w:t xml:space="preserve"> </w:t>
      </w:r>
      <w:r w:rsidRPr="005E6B6E">
        <w:rPr>
          <w:szCs w:val="26"/>
        </w:rPr>
        <w:t>It also includes the vast majority of citizens who know nothing about a particular case, but who give over to the prosecutor the auth</w:t>
      </w:r>
      <w:r w:rsidRPr="005E6B6E">
        <w:rPr>
          <w:szCs w:val="26"/>
        </w:rPr>
        <w:t>ority to seek a just result in their name.</w:t>
      </w:r>
      <w:r>
        <w:rPr>
          <w:szCs w:val="26"/>
        </w:rPr>
        <w:t>”’”  (</w:t>
      </w:r>
      <w:r w:rsidRPr="00F951BD">
        <w:rPr>
          <w:i/>
          <w:iCs/>
          <w:szCs w:val="26"/>
        </w:rPr>
        <w:t>Dehle</w:t>
      </w:r>
      <w:r>
        <w:rPr>
          <w:szCs w:val="26"/>
        </w:rPr>
        <w:t>, at p. </w:t>
      </w:r>
      <w:r>
        <w:rPr>
          <w:szCs w:val="26"/>
        </w:rPr>
        <w:t xml:space="preserve">1388, quoting </w:t>
      </w:r>
      <w:r>
        <w:rPr>
          <w:szCs w:val="26"/>
        </w:rPr>
        <w:t xml:space="preserve">Corrigan, </w:t>
      </w:r>
      <w:r w:rsidRPr="00B65518">
        <w:rPr>
          <w:i/>
          <w:iCs/>
          <w:szCs w:val="26"/>
        </w:rPr>
        <w:t>On Prosecutorial Ethics</w:t>
      </w:r>
      <w:r>
        <w:rPr>
          <w:szCs w:val="26"/>
        </w:rPr>
        <w:t xml:space="preserve"> (1986) 13 </w:t>
      </w:r>
      <w:r w:rsidRPr="00B65518">
        <w:rPr>
          <w:szCs w:val="26"/>
        </w:rPr>
        <w:t>Hastings Const.L.Q. 537, 538</w:t>
      </w:r>
      <w:r>
        <w:rPr>
          <w:szCs w:val="26"/>
        </w:rPr>
        <w:noBreakHyphen/>
      </w:r>
      <w:r w:rsidRPr="00B65518">
        <w:rPr>
          <w:szCs w:val="26"/>
        </w:rPr>
        <w:t xml:space="preserve">539.) </w:t>
      </w:r>
      <w:r>
        <w:rPr>
          <w:szCs w:val="26"/>
        </w:rPr>
        <w:t xml:space="preserve"> </w:t>
      </w:r>
      <w:r w:rsidRPr="00B65518">
        <w:rPr>
          <w:szCs w:val="26"/>
        </w:rPr>
        <w:t>Thus</w:t>
      </w:r>
      <w:r>
        <w:rPr>
          <w:szCs w:val="26"/>
        </w:rPr>
        <w:t>,</w:t>
      </w:r>
      <w:r w:rsidRPr="00B65518">
        <w:rPr>
          <w:szCs w:val="26"/>
        </w:rPr>
        <w:t xml:space="preserve"> </w:t>
      </w:r>
      <w:r>
        <w:rPr>
          <w:szCs w:val="26"/>
        </w:rPr>
        <w:t>“</w:t>
      </w:r>
      <w:r w:rsidRPr="00B65518">
        <w:rPr>
          <w:szCs w:val="26"/>
        </w:rPr>
        <w:t xml:space="preserve">the district attorney is expected to exercise his or her discretionary functions in the </w:t>
      </w:r>
      <w:r w:rsidRPr="00B65518">
        <w:rPr>
          <w:szCs w:val="26"/>
        </w:rPr>
        <w:t>interests of the People at large</w:t>
      </w:r>
      <w:r>
        <w:rPr>
          <w:szCs w:val="26"/>
        </w:rPr>
        <w:t xml:space="preserve"> </w:t>
      </w:r>
      <w:r>
        <w:rPr>
          <w:szCs w:val="26"/>
        </w:rPr>
        <w:t>. . . </w:t>
      </w:r>
      <w:r w:rsidRPr="00B65518">
        <w:rPr>
          <w:szCs w:val="26"/>
        </w:rPr>
        <w:t>.</w:t>
      </w:r>
      <w:r>
        <w:rPr>
          <w:szCs w:val="26"/>
        </w:rPr>
        <w:t>”  (</w:t>
      </w:r>
      <w:r w:rsidRPr="00E37ECD">
        <w:rPr>
          <w:i/>
          <w:iCs/>
          <w:szCs w:val="26"/>
        </w:rPr>
        <w:t>Eubanks</w:t>
      </w:r>
      <w:r>
        <w:rPr>
          <w:szCs w:val="26"/>
        </w:rPr>
        <w:t xml:space="preserve">, at </w:t>
      </w:r>
      <w:r>
        <w:rPr>
          <w:szCs w:val="26"/>
        </w:rPr>
        <w:t>p. </w:t>
      </w:r>
      <w:r w:rsidRPr="00E37ECD">
        <w:rPr>
          <w:szCs w:val="26"/>
        </w:rPr>
        <w:t>589</w:t>
      </w:r>
      <w:r>
        <w:rPr>
          <w:szCs w:val="26"/>
        </w:rPr>
        <w:t xml:space="preserve">; accord, </w:t>
      </w:r>
      <w:r w:rsidRPr="00E37ECD">
        <w:rPr>
          <w:i/>
          <w:iCs/>
          <w:szCs w:val="26"/>
        </w:rPr>
        <w:t>People v. Martin</w:t>
      </w:r>
      <w:r>
        <w:rPr>
          <w:szCs w:val="26"/>
        </w:rPr>
        <w:t xml:space="preserve"> </w:t>
      </w:r>
      <w:r>
        <w:rPr>
          <w:szCs w:val="26"/>
        </w:rPr>
        <w:t>(2018) 26 </w:t>
      </w:r>
      <w:r w:rsidRPr="00E37ECD">
        <w:rPr>
          <w:szCs w:val="26"/>
        </w:rPr>
        <w:t>Cal.App.5th 825, 838</w:t>
      </w:r>
      <w:r>
        <w:rPr>
          <w:szCs w:val="26"/>
        </w:rPr>
        <w:t xml:space="preserve">; </w:t>
      </w:r>
      <w:r w:rsidRPr="00B65518">
        <w:rPr>
          <w:i/>
          <w:iCs/>
          <w:szCs w:val="26"/>
        </w:rPr>
        <w:t>Dehle</w:t>
      </w:r>
      <w:r>
        <w:rPr>
          <w:szCs w:val="26"/>
        </w:rPr>
        <w:t xml:space="preserve">, at </w:t>
      </w:r>
      <w:r>
        <w:rPr>
          <w:szCs w:val="26"/>
        </w:rPr>
        <w:t>p. </w:t>
      </w:r>
      <w:r w:rsidRPr="00B65518">
        <w:rPr>
          <w:szCs w:val="26"/>
        </w:rPr>
        <w:t>138</w:t>
      </w:r>
      <w:r>
        <w:rPr>
          <w:szCs w:val="26"/>
        </w:rPr>
        <w:t>8</w:t>
      </w:r>
      <w:r>
        <w:rPr>
          <w:szCs w:val="26"/>
        </w:rPr>
        <w:t>.</w:t>
      </w:r>
      <w:r w:rsidRPr="00B65518">
        <w:rPr>
          <w:szCs w:val="26"/>
        </w:rPr>
        <w:t>)</w:t>
      </w:r>
    </w:p>
    <w:p w14:paraId="5F6BCB90" w14:textId="77777777" w:rsidR="00B84045" w:rsidRDefault="00861473" w:rsidP="00F46EB1">
      <w:pPr>
        <w:ind w:firstLine="720"/>
        <w:rPr>
          <w:szCs w:val="26"/>
        </w:rPr>
      </w:pPr>
      <w:r>
        <w:rPr>
          <w:szCs w:val="26"/>
        </w:rPr>
        <w:t xml:space="preserve">In conducting a trial </w:t>
      </w:r>
      <w:r>
        <w:rPr>
          <w:szCs w:val="26"/>
        </w:rPr>
        <w:t>the “</w:t>
      </w:r>
      <w:r w:rsidRPr="009311BE">
        <w:rPr>
          <w:szCs w:val="26"/>
        </w:rPr>
        <w:t>prosecutor has the responsibility to decide in the public interest whether to seek, oppo</w:t>
      </w:r>
      <w:r w:rsidRPr="009311BE">
        <w:rPr>
          <w:szCs w:val="26"/>
        </w:rPr>
        <w:t xml:space="preserve">se, accept, or challenge judicial actions and rulings. </w:t>
      </w:r>
      <w:r>
        <w:rPr>
          <w:szCs w:val="26"/>
        </w:rPr>
        <w:t xml:space="preserve"> </w:t>
      </w:r>
      <w:r w:rsidRPr="009311BE">
        <w:rPr>
          <w:szCs w:val="26"/>
        </w:rPr>
        <w:t>These decisions</w:t>
      </w:r>
      <w:r>
        <w:rPr>
          <w:szCs w:val="26"/>
        </w:rPr>
        <w:t xml:space="preserve"> </w:t>
      </w:r>
      <w:r>
        <w:rPr>
          <w:szCs w:val="26"/>
        </w:rPr>
        <w:t xml:space="preserve">. . . </w:t>
      </w:r>
      <w:r w:rsidRPr="009311BE">
        <w:rPr>
          <w:szCs w:val="26"/>
        </w:rPr>
        <w:t xml:space="preserve">go beyond safety and redress for an individual victim; they involve </w:t>
      </w:r>
      <w:r>
        <w:rPr>
          <w:szCs w:val="26"/>
        </w:rPr>
        <w:t>‘</w:t>
      </w:r>
      <w:r w:rsidRPr="009311BE">
        <w:rPr>
          <w:szCs w:val="26"/>
        </w:rPr>
        <w:t>the complex considerations necessary for the effective and efficient administration of law enforcement.</w:t>
      </w:r>
      <w:r>
        <w:rPr>
          <w:szCs w:val="26"/>
        </w:rPr>
        <w:t>’</w:t>
      </w:r>
      <w:r w:rsidRPr="009311BE">
        <w:rPr>
          <w:szCs w:val="26"/>
        </w:rPr>
        <w:t>”</w:t>
      </w:r>
      <w:r>
        <w:rPr>
          <w:szCs w:val="26"/>
        </w:rPr>
        <w:t xml:space="preserve">  (</w:t>
      </w:r>
      <w:r w:rsidRPr="009311BE">
        <w:rPr>
          <w:i/>
          <w:iCs/>
          <w:szCs w:val="26"/>
        </w:rPr>
        <w:t>D</w:t>
      </w:r>
      <w:r w:rsidRPr="009311BE">
        <w:rPr>
          <w:i/>
          <w:iCs/>
          <w:szCs w:val="26"/>
        </w:rPr>
        <w:t>ix v. Superior Court</w:t>
      </w:r>
      <w:r>
        <w:rPr>
          <w:szCs w:val="26"/>
        </w:rPr>
        <w:t xml:space="preserve"> (1991) 53 </w:t>
      </w:r>
      <w:r w:rsidRPr="009311BE">
        <w:rPr>
          <w:szCs w:val="26"/>
        </w:rPr>
        <w:t>Cal.3d 442, 452</w:t>
      </w:r>
      <w:r>
        <w:rPr>
          <w:szCs w:val="26"/>
        </w:rPr>
        <w:t xml:space="preserve">; see </w:t>
      </w:r>
      <w:r w:rsidRPr="005211C2">
        <w:rPr>
          <w:i/>
          <w:iCs/>
          <w:szCs w:val="26"/>
        </w:rPr>
        <w:t>People v. Birks</w:t>
      </w:r>
      <w:r>
        <w:rPr>
          <w:szCs w:val="26"/>
        </w:rPr>
        <w:t xml:space="preserve"> </w:t>
      </w:r>
      <w:r>
        <w:rPr>
          <w:szCs w:val="26"/>
        </w:rPr>
        <w:t>(1998) 19 </w:t>
      </w:r>
      <w:r w:rsidRPr="005211C2">
        <w:rPr>
          <w:szCs w:val="26"/>
        </w:rPr>
        <w:t>Cal.4th 108, 134</w:t>
      </w:r>
      <w:r>
        <w:rPr>
          <w:szCs w:val="26"/>
        </w:rPr>
        <w:t xml:space="preserve"> [a </w:t>
      </w:r>
      <w:r w:rsidRPr="00FC116B">
        <w:rPr>
          <w:szCs w:val="26"/>
        </w:rPr>
        <w:t>prosecutor</w:t>
      </w:r>
      <w:r>
        <w:rPr>
          <w:szCs w:val="26"/>
        </w:rPr>
        <w:t>’s</w:t>
      </w:r>
      <w:r w:rsidRPr="00FC116B">
        <w:rPr>
          <w:szCs w:val="26"/>
        </w:rPr>
        <w:t xml:space="preserve"> discretion to choose</w:t>
      </w:r>
      <w:r>
        <w:rPr>
          <w:szCs w:val="26"/>
        </w:rPr>
        <w:t xml:space="preserve"> “</w:t>
      </w:r>
      <w:r w:rsidRPr="00FC116B">
        <w:rPr>
          <w:szCs w:val="26"/>
        </w:rPr>
        <w:t>the actual charges from among those potentially available arises from</w:t>
      </w:r>
      <w:r>
        <w:rPr>
          <w:szCs w:val="26"/>
        </w:rPr>
        <w:t xml:space="preserve"> ‘“</w:t>
      </w:r>
      <w:r w:rsidRPr="00FC116B">
        <w:rPr>
          <w:szCs w:val="26"/>
        </w:rPr>
        <w:t>the</w:t>
      </w:r>
      <w:r>
        <w:rPr>
          <w:szCs w:val="26"/>
        </w:rPr>
        <w:t xml:space="preserve"> </w:t>
      </w:r>
      <w:r w:rsidRPr="00FC116B">
        <w:rPr>
          <w:szCs w:val="26"/>
        </w:rPr>
        <w:t>complex</w:t>
      </w:r>
      <w:r>
        <w:rPr>
          <w:szCs w:val="26"/>
        </w:rPr>
        <w:t xml:space="preserve"> </w:t>
      </w:r>
      <w:r w:rsidRPr="00FC116B">
        <w:rPr>
          <w:szCs w:val="26"/>
        </w:rPr>
        <w:t>considerations</w:t>
      </w:r>
      <w:r>
        <w:rPr>
          <w:szCs w:val="26"/>
        </w:rPr>
        <w:t xml:space="preserve"> </w:t>
      </w:r>
      <w:r w:rsidRPr="00FC116B">
        <w:rPr>
          <w:szCs w:val="26"/>
        </w:rPr>
        <w:t>necessary</w:t>
      </w:r>
      <w:r>
        <w:rPr>
          <w:szCs w:val="26"/>
        </w:rPr>
        <w:t xml:space="preserve"> </w:t>
      </w:r>
      <w:r w:rsidRPr="00FC116B">
        <w:rPr>
          <w:szCs w:val="26"/>
        </w:rPr>
        <w:t>for</w:t>
      </w:r>
      <w:r>
        <w:rPr>
          <w:szCs w:val="26"/>
        </w:rPr>
        <w:t xml:space="preserve"> </w:t>
      </w:r>
      <w:r w:rsidRPr="00FC116B">
        <w:rPr>
          <w:szCs w:val="26"/>
        </w:rPr>
        <w:t>the</w:t>
      </w:r>
      <w:r>
        <w:rPr>
          <w:szCs w:val="26"/>
        </w:rPr>
        <w:t xml:space="preserve"> </w:t>
      </w:r>
      <w:r w:rsidRPr="00FC116B">
        <w:rPr>
          <w:szCs w:val="26"/>
        </w:rPr>
        <w:t>effective</w:t>
      </w:r>
      <w:r>
        <w:rPr>
          <w:szCs w:val="26"/>
        </w:rPr>
        <w:t xml:space="preserve"> </w:t>
      </w:r>
      <w:r w:rsidRPr="00FC116B">
        <w:rPr>
          <w:szCs w:val="26"/>
        </w:rPr>
        <w:t>and</w:t>
      </w:r>
      <w:r>
        <w:rPr>
          <w:szCs w:val="26"/>
        </w:rPr>
        <w:t xml:space="preserve"> </w:t>
      </w:r>
      <w:r w:rsidRPr="00FC116B">
        <w:rPr>
          <w:szCs w:val="26"/>
        </w:rPr>
        <w:t>efficient</w:t>
      </w:r>
      <w:r>
        <w:rPr>
          <w:szCs w:val="26"/>
        </w:rPr>
        <w:t xml:space="preserve"> </w:t>
      </w:r>
      <w:r w:rsidRPr="00FC116B">
        <w:rPr>
          <w:szCs w:val="26"/>
        </w:rPr>
        <w:t>administration</w:t>
      </w:r>
      <w:r>
        <w:rPr>
          <w:szCs w:val="26"/>
        </w:rPr>
        <w:t xml:space="preserve"> </w:t>
      </w:r>
      <w:r w:rsidRPr="00FC116B">
        <w:rPr>
          <w:szCs w:val="26"/>
        </w:rPr>
        <w:t>of</w:t>
      </w:r>
      <w:r>
        <w:rPr>
          <w:szCs w:val="26"/>
        </w:rPr>
        <w:t xml:space="preserve"> </w:t>
      </w:r>
      <w:r w:rsidRPr="00FC116B">
        <w:rPr>
          <w:szCs w:val="26"/>
        </w:rPr>
        <w:t>law</w:t>
      </w:r>
      <w:r>
        <w:rPr>
          <w:szCs w:val="26"/>
        </w:rPr>
        <w:t xml:space="preserve"> </w:t>
      </w:r>
      <w:r w:rsidRPr="00FC116B">
        <w:rPr>
          <w:szCs w:val="26"/>
        </w:rPr>
        <w:t>enforcement</w:t>
      </w:r>
      <w:r>
        <w:rPr>
          <w:szCs w:val="26"/>
        </w:rPr>
        <w:t>”</w:t>
      </w:r>
      <w:r w:rsidRPr="00FC116B">
        <w:rPr>
          <w:szCs w:val="26"/>
        </w:rPr>
        <w:t>’”</w:t>
      </w:r>
      <w:r>
        <w:rPr>
          <w:szCs w:val="26"/>
        </w:rPr>
        <w:t>]</w:t>
      </w:r>
      <w:r>
        <w:rPr>
          <w:szCs w:val="26"/>
        </w:rPr>
        <w:t xml:space="preserve">; </w:t>
      </w:r>
      <w:r>
        <w:rPr>
          <w:szCs w:val="26"/>
        </w:rPr>
        <w:t xml:space="preserve">see also </w:t>
      </w:r>
      <w:r w:rsidRPr="00B65518">
        <w:rPr>
          <w:i/>
          <w:iCs/>
          <w:szCs w:val="26"/>
        </w:rPr>
        <w:t>People v. Dehle</w:t>
      </w:r>
      <w:r>
        <w:rPr>
          <w:szCs w:val="26"/>
        </w:rPr>
        <w:t xml:space="preserve">, </w:t>
      </w:r>
      <w:r>
        <w:rPr>
          <w:i/>
          <w:iCs/>
          <w:szCs w:val="26"/>
        </w:rPr>
        <w:t>supra</w:t>
      </w:r>
      <w:r>
        <w:rPr>
          <w:szCs w:val="26"/>
        </w:rPr>
        <w:t>,</w:t>
      </w:r>
      <w:r>
        <w:rPr>
          <w:szCs w:val="26"/>
        </w:rPr>
        <w:t xml:space="preserve"> 166 </w:t>
      </w:r>
      <w:r w:rsidRPr="00B65518">
        <w:rPr>
          <w:szCs w:val="26"/>
        </w:rPr>
        <w:t xml:space="preserve">Cal.App.4th </w:t>
      </w:r>
      <w:r>
        <w:rPr>
          <w:szCs w:val="26"/>
        </w:rPr>
        <w:t xml:space="preserve">at </w:t>
      </w:r>
      <w:r>
        <w:rPr>
          <w:szCs w:val="26"/>
        </w:rPr>
        <w:t>p. </w:t>
      </w:r>
      <w:r w:rsidRPr="00B65518">
        <w:rPr>
          <w:szCs w:val="26"/>
        </w:rPr>
        <w:t>138</w:t>
      </w:r>
      <w:r>
        <w:rPr>
          <w:szCs w:val="26"/>
        </w:rPr>
        <w:t>7 [“</w:t>
      </w:r>
      <w:r>
        <w:rPr>
          <w:szCs w:val="26"/>
        </w:rPr>
        <w:t>[s]</w:t>
      </w:r>
      <w:r w:rsidRPr="00B65518">
        <w:rPr>
          <w:szCs w:val="26"/>
        </w:rPr>
        <w:t>ubject to supervision by the Attorney General</w:t>
      </w:r>
      <w:r>
        <w:rPr>
          <w:szCs w:val="26"/>
        </w:rPr>
        <w:t xml:space="preserve"> [citation</w:t>
      </w:r>
      <w:r>
        <w:rPr>
          <w:szCs w:val="26"/>
        </w:rPr>
        <w:t>s</w:t>
      </w:r>
      <w:r>
        <w:rPr>
          <w:szCs w:val="26"/>
        </w:rPr>
        <w:t>]</w:t>
      </w:r>
      <w:r>
        <w:rPr>
          <w:szCs w:val="26"/>
        </w:rPr>
        <w:t xml:space="preserve">, . . . </w:t>
      </w:r>
      <w:r w:rsidRPr="00B65518">
        <w:rPr>
          <w:szCs w:val="26"/>
        </w:rPr>
        <w:t>the district attorney of each county independently exercises al</w:t>
      </w:r>
      <w:r w:rsidRPr="00B65518">
        <w:rPr>
          <w:szCs w:val="26"/>
        </w:rPr>
        <w:t>l the executive branch</w:t>
      </w:r>
      <w:r>
        <w:rPr>
          <w:szCs w:val="26"/>
        </w:rPr>
        <w:t>’</w:t>
      </w:r>
      <w:r w:rsidRPr="00B65518">
        <w:rPr>
          <w:szCs w:val="26"/>
        </w:rPr>
        <w:t xml:space="preserve">s discretionary powers in the initiation and </w:t>
      </w:r>
      <w:r>
        <w:rPr>
          <w:szCs w:val="26"/>
        </w:rPr>
        <w:t>conduct of criminal proceedings</w:t>
      </w:r>
      <w:r>
        <w:rPr>
          <w:szCs w:val="26"/>
        </w:rPr>
        <w:t>”]</w:t>
      </w:r>
      <w:r>
        <w:rPr>
          <w:szCs w:val="26"/>
        </w:rPr>
        <w:t xml:space="preserve">.) </w:t>
      </w:r>
      <w:r>
        <w:rPr>
          <w:szCs w:val="26"/>
        </w:rPr>
        <w:t xml:space="preserve"> </w:t>
      </w:r>
    </w:p>
    <w:p w14:paraId="456D3B9D" w14:textId="77777777" w:rsidR="003639AC" w:rsidRPr="00F46EB1" w:rsidRDefault="00861473" w:rsidP="00F46EB1">
      <w:pPr>
        <w:ind w:firstLine="720"/>
        <w:rPr>
          <w:szCs w:val="26"/>
        </w:rPr>
      </w:pPr>
      <w:r>
        <w:rPr>
          <w:szCs w:val="26"/>
        </w:rPr>
        <w:t>For example, a</w:t>
      </w:r>
      <w:r>
        <w:rPr>
          <w:szCs w:val="26"/>
        </w:rPr>
        <w:t xml:space="preserve">fter charges </w:t>
      </w:r>
      <w:r>
        <w:rPr>
          <w:szCs w:val="26"/>
        </w:rPr>
        <w:t>have been</w:t>
      </w:r>
      <w:r>
        <w:rPr>
          <w:szCs w:val="26"/>
        </w:rPr>
        <w:t xml:space="preserve"> filed</w:t>
      </w:r>
      <w:r>
        <w:rPr>
          <w:szCs w:val="26"/>
        </w:rPr>
        <w:t xml:space="preserve">, </w:t>
      </w:r>
      <w:r>
        <w:rPr>
          <w:szCs w:val="26"/>
        </w:rPr>
        <w:t xml:space="preserve">a prosecutor may seek a dismissal under section 1385 for many reasons, including to effectuate a plea </w:t>
      </w:r>
      <w:r>
        <w:rPr>
          <w:szCs w:val="26"/>
        </w:rPr>
        <w:t>agreement</w:t>
      </w:r>
      <w:r>
        <w:rPr>
          <w:szCs w:val="26"/>
        </w:rPr>
        <w:t>.</w:t>
      </w:r>
      <w:r>
        <w:rPr>
          <w:szCs w:val="26"/>
        </w:rPr>
        <w:t xml:space="preserve">  (</w:t>
      </w:r>
      <w:r>
        <w:rPr>
          <w:szCs w:val="26"/>
        </w:rPr>
        <w:t xml:space="preserve">See </w:t>
      </w:r>
      <w:r>
        <w:rPr>
          <w:i/>
          <w:iCs/>
          <w:szCs w:val="26"/>
        </w:rPr>
        <w:t>People v. Bonnetta</w:t>
      </w:r>
      <w:r>
        <w:rPr>
          <w:szCs w:val="26"/>
        </w:rPr>
        <w:t xml:space="preserve">, </w:t>
      </w:r>
      <w:r>
        <w:rPr>
          <w:i/>
          <w:iCs/>
          <w:szCs w:val="26"/>
        </w:rPr>
        <w:t>supra</w:t>
      </w:r>
      <w:r>
        <w:rPr>
          <w:szCs w:val="26"/>
        </w:rPr>
        <w:t>, 46 </w:t>
      </w:r>
      <w:r>
        <w:rPr>
          <w:szCs w:val="26"/>
        </w:rPr>
        <w:t xml:space="preserve">Cal.4th at </w:t>
      </w:r>
      <w:r>
        <w:rPr>
          <w:szCs w:val="26"/>
        </w:rPr>
        <w:t>p. </w:t>
      </w:r>
      <w:r>
        <w:rPr>
          <w:szCs w:val="26"/>
        </w:rPr>
        <w:t>153, fn. </w:t>
      </w:r>
      <w:r>
        <w:rPr>
          <w:szCs w:val="26"/>
        </w:rPr>
        <w:t>5;</w:t>
      </w:r>
      <w:r>
        <w:rPr>
          <w:i/>
          <w:iCs/>
          <w:szCs w:val="26"/>
        </w:rPr>
        <w:t xml:space="preserve"> </w:t>
      </w:r>
      <w:r w:rsidRPr="005C2504">
        <w:rPr>
          <w:i/>
          <w:iCs/>
          <w:szCs w:val="26"/>
        </w:rPr>
        <w:t>People v. Orin</w:t>
      </w:r>
      <w:r>
        <w:rPr>
          <w:szCs w:val="26"/>
        </w:rPr>
        <w:t xml:space="preserve">, </w:t>
      </w:r>
      <w:r>
        <w:rPr>
          <w:i/>
          <w:iCs/>
          <w:szCs w:val="26"/>
        </w:rPr>
        <w:t>supra</w:t>
      </w:r>
      <w:r>
        <w:rPr>
          <w:szCs w:val="26"/>
        </w:rPr>
        <w:t>,</w:t>
      </w:r>
      <w:r>
        <w:rPr>
          <w:i/>
          <w:iCs/>
          <w:szCs w:val="26"/>
        </w:rPr>
        <w:t xml:space="preserve"> </w:t>
      </w:r>
      <w:r>
        <w:rPr>
          <w:szCs w:val="26"/>
        </w:rPr>
        <w:t>13 </w:t>
      </w:r>
      <w:r w:rsidRPr="005C2504">
        <w:rPr>
          <w:szCs w:val="26"/>
        </w:rPr>
        <w:t xml:space="preserve">Cal.3d </w:t>
      </w:r>
      <w:r>
        <w:rPr>
          <w:szCs w:val="26"/>
        </w:rPr>
        <w:lastRenderedPageBreak/>
        <w:t xml:space="preserve">at </w:t>
      </w:r>
      <w:r>
        <w:rPr>
          <w:szCs w:val="26"/>
        </w:rPr>
        <w:t>p. </w:t>
      </w:r>
      <w:r w:rsidRPr="005C2504">
        <w:rPr>
          <w:szCs w:val="26"/>
        </w:rPr>
        <w:t>94</w:t>
      </w:r>
      <w:r>
        <w:rPr>
          <w:szCs w:val="26"/>
        </w:rPr>
        <w:t>6</w:t>
      </w:r>
      <w:r>
        <w:rPr>
          <w:szCs w:val="26"/>
        </w:rPr>
        <w:t>.</w:t>
      </w:r>
      <w:r>
        <w:rPr>
          <w:szCs w:val="26"/>
        </w:rPr>
        <w:t>)</w:t>
      </w:r>
      <w:r>
        <w:rPr>
          <w:szCs w:val="26"/>
        </w:rPr>
        <w:t xml:space="preserve"> </w:t>
      </w:r>
      <w:r>
        <w:rPr>
          <w:szCs w:val="26"/>
        </w:rPr>
        <w:t xml:space="preserve"> </w:t>
      </w:r>
      <w:r>
        <w:rPr>
          <w:szCs w:val="26"/>
        </w:rPr>
        <w:t xml:space="preserve">By definition, </w:t>
      </w:r>
      <w:r>
        <w:rPr>
          <w:szCs w:val="26"/>
        </w:rPr>
        <w:t xml:space="preserve">plea </w:t>
      </w:r>
      <w:r>
        <w:rPr>
          <w:szCs w:val="26"/>
        </w:rPr>
        <w:t>“</w:t>
      </w:r>
      <w:r>
        <w:rPr>
          <w:szCs w:val="26"/>
        </w:rPr>
        <w:t>bargain</w:t>
      </w:r>
      <w:r>
        <w:rPr>
          <w:szCs w:val="26"/>
        </w:rPr>
        <w:t>ing”</w:t>
      </w:r>
      <w:r>
        <w:rPr>
          <w:szCs w:val="26"/>
        </w:rPr>
        <w:t xml:space="preserve"> </w:t>
      </w:r>
      <w:r>
        <w:rPr>
          <w:szCs w:val="26"/>
        </w:rPr>
        <w:t>tr</w:t>
      </w:r>
      <w:r>
        <w:rPr>
          <w:szCs w:val="26"/>
        </w:rPr>
        <w:t xml:space="preserve">ades a defendant’s maximum exposure for </w:t>
      </w:r>
      <w:r>
        <w:rPr>
          <w:szCs w:val="26"/>
        </w:rPr>
        <w:t>expediency and finality (</w:t>
      </w:r>
      <w:r>
        <w:rPr>
          <w:szCs w:val="26"/>
        </w:rPr>
        <w:t>s</w:t>
      </w:r>
      <w:r>
        <w:rPr>
          <w:szCs w:val="26"/>
        </w:rPr>
        <w:t xml:space="preserve">ee </w:t>
      </w:r>
      <w:r w:rsidRPr="00C146A8">
        <w:rPr>
          <w:i/>
          <w:iCs/>
          <w:szCs w:val="26"/>
        </w:rPr>
        <w:t>People v. Segura</w:t>
      </w:r>
      <w:r>
        <w:rPr>
          <w:szCs w:val="26"/>
        </w:rPr>
        <w:t xml:space="preserve"> (2008) 44 </w:t>
      </w:r>
      <w:r w:rsidRPr="00C146A8">
        <w:rPr>
          <w:szCs w:val="26"/>
        </w:rPr>
        <w:t>Cal.4th 921, 929</w:t>
      </w:r>
      <w:r>
        <w:rPr>
          <w:szCs w:val="26"/>
        </w:rPr>
        <w:t xml:space="preserve"> [plea </w:t>
      </w:r>
      <w:r>
        <w:rPr>
          <w:szCs w:val="26"/>
        </w:rPr>
        <w:t>agreements</w:t>
      </w:r>
      <w:r>
        <w:rPr>
          <w:szCs w:val="26"/>
        </w:rPr>
        <w:t xml:space="preserve"> benefit the criminal justice system by “</w:t>
      </w:r>
      <w:r w:rsidRPr="00C146A8">
        <w:rPr>
          <w:szCs w:val="26"/>
        </w:rPr>
        <w:t>promot</w:t>
      </w:r>
      <w:r>
        <w:rPr>
          <w:szCs w:val="26"/>
        </w:rPr>
        <w:t>ing</w:t>
      </w:r>
      <w:r w:rsidRPr="00C146A8">
        <w:rPr>
          <w:szCs w:val="26"/>
        </w:rPr>
        <w:t xml:space="preserve"> speed, economy</w:t>
      </w:r>
      <w:r>
        <w:rPr>
          <w:szCs w:val="26"/>
        </w:rPr>
        <w:t>,</w:t>
      </w:r>
      <w:r w:rsidRPr="00C146A8">
        <w:rPr>
          <w:szCs w:val="26"/>
        </w:rPr>
        <w:t xml:space="preserve"> and the finality of judgments</w:t>
      </w:r>
      <w:r>
        <w:rPr>
          <w:szCs w:val="26"/>
        </w:rPr>
        <w:t>”])</w:t>
      </w:r>
      <w:r>
        <w:rPr>
          <w:szCs w:val="26"/>
        </w:rPr>
        <w:t xml:space="preserve">, factors a court may not </w:t>
      </w:r>
      <w:r>
        <w:rPr>
          <w:szCs w:val="26"/>
        </w:rPr>
        <w:t>consider in dismissing a charge under section 13</w:t>
      </w:r>
      <w:r>
        <w:rPr>
          <w:szCs w:val="26"/>
        </w:rPr>
        <w:t>8</w:t>
      </w:r>
      <w:r>
        <w:rPr>
          <w:szCs w:val="26"/>
        </w:rPr>
        <w:t>5 on its own motion (</w:t>
      </w:r>
      <w:r>
        <w:rPr>
          <w:szCs w:val="26"/>
        </w:rPr>
        <w:t>see </w:t>
      </w:r>
      <w:r w:rsidRPr="002A06C8">
        <w:rPr>
          <w:i/>
          <w:iCs/>
          <w:szCs w:val="26"/>
        </w:rPr>
        <w:t>People v. Clancey</w:t>
      </w:r>
      <w:r>
        <w:rPr>
          <w:szCs w:val="26"/>
        </w:rPr>
        <w:t xml:space="preserve">, </w:t>
      </w:r>
      <w:r>
        <w:rPr>
          <w:i/>
          <w:iCs/>
          <w:szCs w:val="26"/>
        </w:rPr>
        <w:t>supra</w:t>
      </w:r>
      <w:r>
        <w:rPr>
          <w:szCs w:val="26"/>
        </w:rPr>
        <w:t>,</w:t>
      </w:r>
      <w:r>
        <w:rPr>
          <w:i/>
          <w:iCs/>
          <w:szCs w:val="26"/>
        </w:rPr>
        <w:t xml:space="preserve"> </w:t>
      </w:r>
      <w:r>
        <w:rPr>
          <w:szCs w:val="26"/>
        </w:rPr>
        <w:t>56 </w:t>
      </w:r>
      <w:r w:rsidRPr="002A06C8">
        <w:rPr>
          <w:szCs w:val="26"/>
        </w:rPr>
        <w:t xml:space="preserve">Cal.4th </w:t>
      </w:r>
      <w:r>
        <w:rPr>
          <w:szCs w:val="26"/>
        </w:rPr>
        <w:t>at p</w:t>
      </w:r>
      <w:r>
        <w:rPr>
          <w:szCs w:val="26"/>
        </w:rPr>
        <w:t>.</w:t>
      </w:r>
      <w:r>
        <w:rPr>
          <w:szCs w:val="26"/>
        </w:rPr>
        <w:t> </w:t>
      </w:r>
      <w:r w:rsidRPr="002A06C8">
        <w:rPr>
          <w:szCs w:val="26"/>
        </w:rPr>
        <w:t>581</w:t>
      </w:r>
      <w:r>
        <w:rPr>
          <w:szCs w:val="26"/>
        </w:rPr>
        <w:t xml:space="preserve">; </w:t>
      </w:r>
      <w:r>
        <w:rPr>
          <w:i/>
          <w:iCs/>
          <w:szCs w:val="26"/>
        </w:rPr>
        <w:t>Romero</w:t>
      </w:r>
      <w:r>
        <w:rPr>
          <w:szCs w:val="26"/>
        </w:rPr>
        <w:t xml:space="preserve">, </w:t>
      </w:r>
      <w:r w:rsidRPr="00D87567">
        <w:rPr>
          <w:i/>
          <w:szCs w:val="26"/>
        </w:rPr>
        <w:t>supra</w:t>
      </w:r>
      <w:r>
        <w:rPr>
          <w:szCs w:val="26"/>
        </w:rPr>
        <w:t>, 13 </w:t>
      </w:r>
      <w:r>
        <w:rPr>
          <w:szCs w:val="26"/>
        </w:rPr>
        <w:t xml:space="preserve">Cal.4th at </w:t>
      </w:r>
      <w:r>
        <w:rPr>
          <w:szCs w:val="26"/>
        </w:rPr>
        <w:t>p. </w:t>
      </w:r>
      <w:r>
        <w:rPr>
          <w:szCs w:val="26"/>
        </w:rPr>
        <w:t>531).</w:t>
      </w:r>
      <w:r>
        <w:rPr>
          <w:szCs w:val="26"/>
        </w:rPr>
        <w:t xml:space="preserve"> </w:t>
      </w:r>
      <w:r>
        <w:rPr>
          <w:szCs w:val="26"/>
        </w:rPr>
        <w:t xml:space="preserve"> Thus, </w:t>
      </w:r>
      <w:r>
        <w:rPr>
          <w:szCs w:val="26"/>
        </w:rPr>
        <w:t xml:space="preserve">under section 1385 </w:t>
      </w:r>
      <w:r>
        <w:rPr>
          <w:szCs w:val="26"/>
        </w:rPr>
        <w:t xml:space="preserve">the </w:t>
      </w:r>
      <w:r>
        <w:rPr>
          <w:szCs w:val="26"/>
        </w:rPr>
        <w:t>“</w:t>
      </w:r>
      <w:r>
        <w:rPr>
          <w:szCs w:val="26"/>
        </w:rPr>
        <w:t>interests of society</w:t>
      </w:r>
      <w:r>
        <w:rPr>
          <w:szCs w:val="26"/>
        </w:rPr>
        <w:t>”</w:t>
      </w:r>
      <w:r>
        <w:rPr>
          <w:szCs w:val="26"/>
        </w:rPr>
        <w:t xml:space="preserve"> promoted by a prosecutor’s motion to dismis</w:t>
      </w:r>
      <w:r>
        <w:rPr>
          <w:szCs w:val="26"/>
        </w:rPr>
        <w:t xml:space="preserve">s under section 1385 are broader than those a court may seek to </w:t>
      </w:r>
      <w:r>
        <w:rPr>
          <w:szCs w:val="26"/>
        </w:rPr>
        <w:t>advance</w:t>
      </w:r>
      <w:r>
        <w:rPr>
          <w:szCs w:val="26"/>
        </w:rPr>
        <w:t xml:space="preserve"> on its own motion.</w:t>
      </w:r>
      <w:r>
        <w:rPr>
          <w:szCs w:val="26"/>
        </w:rPr>
        <w:t xml:space="preserve">  </w:t>
      </w:r>
      <w:r>
        <w:rPr>
          <w:szCs w:val="26"/>
        </w:rPr>
        <w:t xml:space="preserve">(See </w:t>
      </w:r>
      <w:r w:rsidRPr="006B7FCD">
        <w:rPr>
          <w:i/>
          <w:iCs/>
          <w:szCs w:val="26"/>
        </w:rPr>
        <w:t xml:space="preserve">People v. Superior Court </w:t>
      </w:r>
      <w:r w:rsidRPr="006B7FCD">
        <w:rPr>
          <w:szCs w:val="26"/>
        </w:rPr>
        <w:t>(1967) 249</w:t>
      </w:r>
      <w:r>
        <w:rPr>
          <w:szCs w:val="26"/>
        </w:rPr>
        <w:t> </w:t>
      </w:r>
      <w:r w:rsidRPr="006B7FCD">
        <w:rPr>
          <w:szCs w:val="26"/>
        </w:rPr>
        <w:t>Cal.App.2d 714, 718</w:t>
      </w:r>
      <w:r>
        <w:rPr>
          <w:szCs w:val="26"/>
        </w:rPr>
        <w:t xml:space="preserve"> </w:t>
      </w:r>
      <w:r>
        <w:rPr>
          <w:szCs w:val="26"/>
        </w:rPr>
        <w:t>(</w:t>
      </w:r>
      <w:r w:rsidRPr="00D87567">
        <w:rPr>
          <w:i/>
          <w:szCs w:val="26"/>
        </w:rPr>
        <w:t>King</w:t>
      </w:r>
      <w:r>
        <w:rPr>
          <w:szCs w:val="26"/>
        </w:rPr>
        <w:t xml:space="preserve">) </w:t>
      </w:r>
      <w:r>
        <w:rPr>
          <w:szCs w:val="26"/>
        </w:rPr>
        <w:t>[“</w:t>
      </w:r>
      <w:r w:rsidRPr="006B7FCD">
        <w:rPr>
          <w:szCs w:val="26"/>
        </w:rPr>
        <w:t>Under the adversary nature of our criminal procedure, the prosecuting attorney, as the People</w:t>
      </w:r>
      <w:r>
        <w:rPr>
          <w:szCs w:val="26"/>
        </w:rPr>
        <w:t>’</w:t>
      </w:r>
      <w:r w:rsidRPr="006B7FCD">
        <w:rPr>
          <w:szCs w:val="26"/>
        </w:rPr>
        <w:t xml:space="preserve">s representative, is often in a position to make application for a dismissal </w:t>
      </w:r>
      <w:r>
        <w:rPr>
          <w:szCs w:val="26"/>
        </w:rPr>
        <w:t>‘</w:t>
      </w:r>
      <w:r w:rsidRPr="006B7FCD">
        <w:rPr>
          <w:szCs w:val="26"/>
        </w:rPr>
        <w:t>in furtherance of justice</w:t>
      </w:r>
      <w:r>
        <w:rPr>
          <w:szCs w:val="26"/>
        </w:rPr>
        <w:t>’</w:t>
      </w:r>
      <w:r w:rsidRPr="006B7FCD">
        <w:rPr>
          <w:szCs w:val="26"/>
        </w:rPr>
        <w:t xml:space="preserve"> when the record</w:t>
      </w:r>
      <w:r>
        <w:rPr>
          <w:szCs w:val="26"/>
        </w:rPr>
        <w:t xml:space="preserve"> </w:t>
      </w:r>
      <w:r w:rsidRPr="006B7FCD">
        <w:rPr>
          <w:szCs w:val="26"/>
        </w:rPr>
        <w:t>then before the trial judge</w:t>
      </w:r>
      <w:r>
        <w:rPr>
          <w:szCs w:val="26"/>
        </w:rPr>
        <w:t xml:space="preserve"> </w:t>
      </w:r>
      <w:r w:rsidRPr="006B7FCD">
        <w:rPr>
          <w:szCs w:val="26"/>
        </w:rPr>
        <w:t>would not justify a dismissal by the judge on his own motion.</w:t>
      </w:r>
      <w:r>
        <w:rPr>
          <w:szCs w:val="26"/>
        </w:rPr>
        <w:t>” (I</w:t>
      </w:r>
      <w:r>
        <w:rPr>
          <w:szCs w:val="26"/>
        </w:rPr>
        <w:t>tal</w:t>
      </w:r>
      <w:r>
        <w:rPr>
          <w:szCs w:val="26"/>
        </w:rPr>
        <w:t>ics</w:t>
      </w:r>
      <w:r>
        <w:rPr>
          <w:szCs w:val="26"/>
        </w:rPr>
        <w:t xml:space="preserve"> omitted</w:t>
      </w:r>
      <w:r>
        <w:rPr>
          <w:szCs w:val="26"/>
        </w:rPr>
        <w:t>.)</w:t>
      </w:r>
      <w:r>
        <w:rPr>
          <w:szCs w:val="26"/>
        </w:rPr>
        <w:t>].)</w:t>
      </w:r>
      <w:r>
        <w:rPr>
          <w:rStyle w:val="FootnoteReference"/>
          <w:szCs w:val="26"/>
        </w:rPr>
        <w:footnoteReference w:id="7"/>
      </w:r>
      <w:r>
        <w:rPr>
          <w:szCs w:val="26"/>
        </w:rPr>
        <w:t xml:space="preserve"> </w:t>
      </w:r>
    </w:p>
    <w:p w14:paraId="0A94C9E2" w14:textId="77777777" w:rsidR="00AF5672" w:rsidRDefault="00861473" w:rsidP="00AF5672">
      <w:pPr>
        <w:ind w:firstLine="720"/>
        <w:rPr>
          <w:szCs w:val="26"/>
        </w:rPr>
      </w:pPr>
      <w:r>
        <w:rPr>
          <w:szCs w:val="26"/>
        </w:rPr>
        <w:lastRenderedPageBreak/>
        <w:t>Moreover, i</w:t>
      </w:r>
      <w:r>
        <w:rPr>
          <w:szCs w:val="26"/>
        </w:rPr>
        <w:t xml:space="preserve">n the context of sentencing, the Legislature has stated </w:t>
      </w:r>
      <w:r>
        <w:rPr>
          <w:szCs w:val="26"/>
        </w:rPr>
        <w:t xml:space="preserve">that </w:t>
      </w:r>
      <w:r>
        <w:rPr>
          <w:szCs w:val="26"/>
        </w:rPr>
        <w:t xml:space="preserve">the “interests of justice” under section 1385 include ensuring defendants receive proportionate punishment.  (See </w:t>
      </w:r>
      <w:r w:rsidRPr="008268EE">
        <w:rPr>
          <w:i/>
          <w:iCs/>
          <w:szCs w:val="26"/>
        </w:rPr>
        <w:t>People v. Stamps</w:t>
      </w:r>
      <w:r>
        <w:rPr>
          <w:szCs w:val="26"/>
        </w:rPr>
        <w:t xml:space="preserve"> (2020) 9 </w:t>
      </w:r>
      <w:r w:rsidRPr="008268EE">
        <w:rPr>
          <w:szCs w:val="26"/>
        </w:rPr>
        <w:t>Cal.5th 685, 701</w:t>
      </w:r>
      <w:r>
        <w:rPr>
          <w:szCs w:val="26"/>
        </w:rPr>
        <w:t>-</w:t>
      </w:r>
      <w:r w:rsidRPr="008268EE">
        <w:rPr>
          <w:szCs w:val="26"/>
        </w:rPr>
        <w:t>702</w:t>
      </w:r>
      <w:r>
        <w:rPr>
          <w:szCs w:val="26"/>
        </w:rPr>
        <w:t xml:space="preserve"> [citing legislative history statin</w:t>
      </w:r>
      <w:r>
        <w:rPr>
          <w:szCs w:val="26"/>
        </w:rPr>
        <w:t>g that “‘“</w:t>
      </w:r>
      <w:r w:rsidRPr="008268EE">
        <w:rPr>
          <w:szCs w:val="26"/>
        </w:rPr>
        <w:t>punishments</w:t>
      </w:r>
      <w:r>
        <w:rPr>
          <w:szCs w:val="26"/>
        </w:rPr>
        <w:t xml:space="preserve"> </w:t>
      </w:r>
      <w:r w:rsidRPr="008268EE">
        <w:rPr>
          <w:szCs w:val="26"/>
        </w:rPr>
        <w:t>that are disproportionate to the offense</w:t>
      </w:r>
      <w:r>
        <w:rPr>
          <w:szCs w:val="26"/>
        </w:rPr>
        <w:t xml:space="preserve"> </w:t>
      </w:r>
      <w:r>
        <w:rPr>
          <w:szCs w:val="26"/>
        </w:rPr>
        <w:t>[</w:t>
      </w:r>
      <w:r>
        <w:rPr>
          <w:szCs w:val="26"/>
        </w:rPr>
        <w:t>do</w:t>
      </w:r>
      <w:r>
        <w:rPr>
          <w:szCs w:val="26"/>
        </w:rPr>
        <w:t xml:space="preserve">] </w:t>
      </w:r>
      <w:r w:rsidRPr="008268EE">
        <w:rPr>
          <w:szCs w:val="26"/>
        </w:rPr>
        <w:t>not serve the interests of justice, public safety, or communities</w:t>
      </w:r>
      <w:r>
        <w:rPr>
          <w:szCs w:val="26"/>
        </w:rPr>
        <w:t>”</w:t>
      </w:r>
      <w:r w:rsidRPr="008268EE">
        <w:rPr>
          <w:szCs w:val="26"/>
        </w:rPr>
        <w:t>’”</w:t>
      </w:r>
      <w:r>
        <w:rPr>
          <w:szCs w:val="26"/>
        </w:rPr>
        <w:t xml:space="preserve">]; </w:t>
      </w:r>
      <w:r w:rsidRPr="00AD7FF5">
        <w:rPr>
          <w:i/>
          <w:iCs/>
          <w:szCs w:val="26"/>
        </w:rPr>
        <w:t>People v. Flores</w:t>
      </w:r>
      <w:r>
        <w:rPr>
          <w:szCs w:val="26"/>
        </w:rPr>
        <w:t xml:space="preserve">, </w:t>
      </w:r>
      <w:r>
        <w:rPr>
          <w:i/>
          <w:iCs/>
          <w:szCs w:val="26"/>
        </w:rPr>
        <w:t>supra</w:t>
      </w:r>
      <w:r>
        <w:rPr>
          <w:szCs w:val="26"/>
        </w:rPr>
        <w:t>,</w:t>
      </w:r>
      <w:r>
        <w:rPr>
          <w:i/>
          <w:iCs/>
          <w:szCs w:val="26"/>
        </w:rPr>
        <w:t xml:space="preserve"> </w:t>
      </w:r>
      <w:r>
        <w:rPr>
          <w:szCs w:val="26"/>
        </w:rPr>
        <w:t>63 </w:t>
      </w:r>
      <w:r w:rsidRPr="00AD7FF5">
        <w:rPr>
          <w:szCs w:val="26"/>
        </w:rPr>
        <w:t xml:space="preserve">Cal.App.5th </w:t>
      </w:r>
      <w:r>
        <w:rPr>
          <w:szCs w:val="26"/>
        </w:rPr>
        <w:t xml:space="preserve">at </w:t>
      </w:r>
      <w:r>
        <w:rPr>
          <w:szCs w:val="26"/>
        </w:rPr>
        <w:t>p. </w:t>
      </w:r>
      <w:r w:rsidRPr="00AD7FF5">
        <w:rPr>
          <w:szCs w:val="26"/>
        </w:rPr>
        <w:t>384</w:t>
      </w:r>
      <w:r>
        <w:rPr>
          <w:szCs w:val="26"/>
        </w:rPr>
        <w:t xml:space="preserve"> [same]</w:t>
      </w:r>
      <w:r>
        <w:rPr>
          <w:szCs w:val="26"/>
        </w:rPr>
        <w:t xml:space="preserve">.)  </w:t>
      </w:r>
      <w:r>
        <w:rPr>
          <w:szCs w:val="26"/>
        </w:rPr>
        <w:t>Because</w:t>
      </w:r>
      <w:r>
        <w:rPr>
          <w:szCs w:val="26"/>
        </w:rPr>
        <w:t xml:space="preserve"> this case involves the denial of a motion to dismiss sentenc</w:t>
      </w:r>
      <w:r>
        <w:rPr>
          <w:szCs w:val="26"/>
        </w:rPr>
        <w:t>e</w:t>
      </w:r>
      <w:r>
        <w:rPr>
          <w:szCs w:val="26"/>
        </w:rPr>
        <w:t xml:space="preserve"> </w:t>
      </w:r>
      <w:r>
        <w:rPr>
          <w:szCs w:val="26"/>
        </w:rPr>
        <w:t>enhancements</w:t>
      </w:r>
      <w:r>
        <w:rPr>
          <w:szCs w:val="26"/>
        </w:rPr>
        <w:t xml:space="preserve">, we consider the sentencing scheme in question </w:t>
      </w:r>
      <w:r>
        <w:rPr>
          <w:szCs w:val="26"/>
        </w:rPr>
        <w:t>“</w:t>
      </w:r>
      <w:r>
        <w:rPr>
          <w:szCs w:val="26"/>
        </w:rPr>
        <w:t xml:space="preserve">to give content to the concept of </w:t>
      </w:r>
      <w:r>
        <w:rPr>
          <w:szCs w:val="26"/>
        </w:rPr>
        <w:t>‘</w:t>
      </w:r>
      <w:r>
        <w:rPr>
          <w:szCs w:val="26"/>
        </w:rPr>
        <w:t>furtherance of justice.</w:t>
      </w:r>
      <w:r>
        <w:rPr>
          <w:szCs w:val="26"/>
        </w:rPr>
        <w:t>’”</w:t>
      </w:r>
      <w:r>
        <w:rPr>
          <w:szCs w:val="26"/>
        </w:rPr>
        <w:t xml:space="preserve">  (</w:t>
      </w:r>
      <w:r>
        <w:rPr>
          <w:i/>
          <w:iCs/>
          <w:szCs w:val="26"/>
        </w:rPr>
        <w:t>Williams</w:t>
      </w:r>
      <w:r>
        <w:rPr>
          <w:szCs w:val="26"/>
        </w:rPr>
        <w:t xml:space="preserve">, </w:t>
      </w:r>
      <w:r>
        <w:rPr>
          <w:i/>
          <w:iCs/>
          <w:szCs w:val="26"/>
        </w:rPr>
        <w:t>supra</w:t>
      </w:r>
      <w:r>
        <w:rPr>
          <w:szCs w:val="26"/>
        </w:rPr>
        <w:t>, 17</w:t>
      </w:r>
      <w:r>
        <w:rPr>
          <w:szCs w:val="26"/>
        </w:rPr>
        <w:t> </w:t>
      </w:r>
      <w:r>
        <w:rPr>
          <w:szCs w:val="26"/>
        </w:rPr>
        <w:t xml:space="preserve">Cal.4th at </w:t>
      </w:r>
      <w:r>
        <w:rPr>
          <w:szCs w:val="26"/>
        </w:rPr>
        <w:t>p. </w:t>
      </w:r>
      <w:r>
        <w:rPr>
          <w:szCs w:val="26"/>
        </w:rPr>
        <w:t>160</w:t>
      </w:r>
      <w:r>
        <w:rPr>
          <w:szCs w:val="26"/>
        </w:rPr>
        <w:t xml:space="preserve">; see </w:t>
      </w:r>
      <w:r w:rsidRPr="003C06EF">
        <w:rPr>
          <w:i/>
          <w:iCs/>
          <w:szCs w:val="26"/>
        </w:rPr>
        <w:t>ibid.</w:t>
      </w:r>
      <w:r>
        <w:rPr>
          <w:szCs w:val="26"/>
        </w:rPr>
        <w:t xml:space="preserve"> [considering “the ‘l</w:t>
      </w:r>
      <w:r>
        <w:rPr>
          <w:szCs w:val="26"/>
        </w:rPr>
        <w:t>etter’” and the “‘spirit’” of the three strikes law in determining whether a court abused its discretion in dismissing</w:t>
      </w:r>
      <w:r>
        <w:rPr>
          <w:szCs w:val="26"/>
        </w:rPr>
        <w:t xml:space="preserve"> on its own motion</w:t>
      </w:r>
      <w:r>
        <w:rPr>
          <w:szCs w:val="26"/>
        </w:rPr>
        <w:t xml:space="preserve"> a prior </w:t>
      </w:r>
      <w:r>
        <w:rPr>
          <w:szCs w:val="26"/>
        </w:rPr>
        <w:t>serious or violent felony conviction</w:t>
      </w:r>
      <w:r>
        <w:rPr>
          <w:szCs w:val="26"/>
        </w:rPr>
        <w:t>];</w:t>
      </w:r>
      <w:r>
        <w:rPr>
          <w:szCs w:val="26"/>
        </w:rPr>
        <w:t xml:space="preserve"> </w:t>
      </w:r>
      <w:r w:rsidRPr="00E37ECD">
        <w:rPr>
          <w:i/>
          <w:iCs/>
          <w:szCs w:val="26"/>
        </w:rPr>
        <w:t>Wheeler v. Appellat</w:t>
      </w:r>
      <w:r>
        <w:rPr>
          <w:i/>
          <w:iCs/>
          <w:szCs w:val="26"/>
        </w:rPr>
        <w:t>e Division of Superior Court</w:t>
      </w:r>
      <w:r>
        <w:rPr>
          <w:szCs w:val="26"/>
        </w:rPr>
        <w:t xml:space="preserve">, </w:t>
      </w:r>
      <w:r>
        <w:rPr>
          <w:i/>
          <w:iCs/>
          <w:szCs w:val="26"/>
        </w:rPr>
        <w:t>supra</w:t>
      </w:r>
      <w:r>
        <w:rPr>
          <w:szCs w:val="26"/>
        </w:rPr>
        <w:t>,</w:t>
      </w:r>
      <w:r>
        <w:rPr>
          <w:i/>
          <w:iCs/>
          <w:szCs w:val="26"/>
        </w:rPr>
        <w:t xml:space="preserve"> </w:t>
      </w:r>
      <w:r>
        <w:rPr>
          <w:szCs w:val="26"/>
        </w:rPr>
        <w:t>72 </w:t>
      </w:r>
      <w:r w:rsidRPr="00E37ECD">
        <w:rPr>
          <w:szCs w:val="26"/>
        </w:rPr>
        <w:t xml:space="preserve">Cal.App.5th </w:t>
      </w:r>
      <w:r>
        <w:rPr>
          <w:szCs w:val="26"/>
        </w:rPr>
        <w:t>a</w:t>
      </w:r>
      <w:r>
        <w:rPr>
          <w:szCs w:val="26"/>
        </w:rPr>
        <w:t xml:space="preserve">t </w:t>
      </w:r>
      <w:r>
        <w:rPr>
          <w:szCs w:val="26"/>
        </w:rPr>
        <w:t>p. </w:t>
      </w:r>
      <w:r w:rsidRPr="00E37ECD">
        <w:rPr>
          <w:szCs w:val="26"/>
        </w:rPr>
        <w:t>843</w:t>
      </w:r>
      <w:r>
        <w:rPr>
          <w:szCs w:val="26"/>
        </w:rPr>
        <w:t xml:space="preserve"> [identifying “</w:t>
      </w:r>
      <w:r w:rsidRPr="00E37ECD">
        <w:rPr>
          <w:szCs w:val="26"/>
        </w:rPr>
        <w:t xml:space="preserve">the </w:t>
      </w:r>
      <w:r>
        <w:rPr>
          <w:szCs w:val="26"/>
        </w:rPr>
        <w:t>‘</w:t>
      </w:r>
      <w:r w:rsidRPr="00E37ECD">
        <w:rPr>
          <w:szCs w:val="26"/>
        </w:rPr>
        <w:t>interests of society</w:t>
      </w:r>
      <w:r>
        <w:rPr>
          <w:szCs w:val="26"/>
        </w:rPr>
        <w:t>’</w:t>
      </w:r>
      <w:r w:rsidRPr="00E37ECD">
        <w:rPr>
          <w:szCs w:val="26"/>
        </w:rPr>
        <w:t xml:space="preserve"> as expressed in the ordinances at issue</w:t>
      </w:r>
      <w:r>
        <w:rPr>
          <w:szCs w:val="26"/>
        </w:rPr>
        <w:t>” in the case]</w:t>
      </w:r>
      <w:r>
        <w:rPr>
          <w:szCs w:val="26"/>
        </w:rPr>
        <w:t>;</w:t>
      </w:r>
      <w:r>
        <w:rPr>
          <w:szCs w:val="26"/>
        </w:rPr>
        <w:t xml:space="preserve"> </w:t>
      </w:r>
      <w:r w:rsidRPr="00CA7BBA">
        <w:rPr>
          <w:i/>
          <w:iCs/>
          <w:szCs w:val="26"/>
        </w:rPr>
        <w:t>People v. Orabuena</w:t>
      </w:r>
      <w:r>
        <w:rPr>
          <w:szCs w:val="26"/>
        </w:rPr>
        <w:t xml:space="preserve"> </w:t>
      </w:r>
      <w:r w:rsidRPr="00CA7BBA">
        <w:rPr>
          <w:szCs w:val="26"/>
        </w:rPr>
        <w:t>(2004) 116</w:t>
      </w:r>
      <w:r>
        <w:rPr>
          <w:szCs w:val="26"/>
        </w:rPr>
        <w:t> </w:t>
      </w:r>
      <w:r w:rsidRPr="00CA7BBA">
        <w:rPr>
          <w:szCs w:val="26"/>
        </w:rPr>
        <w:t>Cal.App.4th 84, 96</w:t>
      </w:r>
      <w:r>
        <w:rPr>
          <w:szCs w:val="26"/>
        </w:rPr>
        <w:t xml:space="preserve"> [considering “</w:t>
      </w:r>
      <w:r>
        <w:rPr>
          <w:szCs w:val="26"/>
        </w:rPr>
        <w:t>the goals of Proposition </w:t>
      </w:r>
      <w:r w:rsidRPr="00AF5672">
        <w:rPr>
          <w:szCs w:val="26"/>
        </w:rPr>
        <w:t>36</w:t>
      </w:r>
      <w:r>
        <w:rPr>
          <w:szCs w:val="26"/>
        </w:rPr>
        <w:t>,</w:t>
      </w:r>
      <w:r>
        <w:rPr>
          <w:szCs w:val="26"/>
        </w:rPr>
        <w:t xml:space="preserve">” </w:t>
      </w:r>
      <w:r>
        <w:rPr>
          <w:szCs w:val="26"/>
        </w:rPr>
        <w:t xml:space="preserve">the Substance Abuse and Crime Prevention Act of 2000, </w:t>
      </w:r>
      <w:r>
        <w:rPr>
          <w:szCs w:val="26"/>
        </w:rPr>
        <w:t xml:space="preserve">in concluding </w:t>
      </w:r>
      <w:r>
        <w:rPr>
          <w:szCs w:val="26"/>
        </w:rPr>
        <w:t>the</w:t>
      </w:r>
      <w:r>
        <w:rPr>
          <w:szCs w:val="26"/>
        </w:rPr>
        <w:t xml:space="preserve"> trial court had discretion under section 1385 to dismiss a defendant’s conviction for a non-drug crime</w:t>
      </w:r>
      <w:r w:rsidRPr="00CA7BBA">
        <w:rPr>
          <w:szCs w:val="26"/>
        </w:rPr>
        <w:t xml:space="preserve"> </w:t>
      </w:r>
      <w:r>
        <w:rPr>
          <w:szCs w:val="26"/>
        </w:rPr>
        <w:t>so that the defendant,</w:t>
      </w:r>
      <w:r w:rsidRPr="00CA7BBA">
        <w:rPr>
          <w:szCs w:val="26"/>
        </w:rPr>
        <w:t xml:space="preserve"> who </w:t>
      </w:r>
      <w:r>
        <w:rPr>
          <w:szCs w:val="26"/>
        </w:rPr>
        <w:t>wa</w:t>
      </w:r>
      <w:r>
        <w:rPr>
          <w:szCs w:val="26"/>
        </w:rPr>
        <w:t>s</w:t>
      </w:r>
      <w:r w:rsidRPr="00CA7BBA">
        <w:rPr>
          <w:szCs w:val="26"/>
        </w:rPr>
        <w:t xml:space="preserve"> </w:t>
      </w:r>
      <w:r>
        <w:rPr>
          <w:szCs w:val="26"/>
        </w:rPr>
        <w:t xml:space="preserve">otherwise </w:t>
      </w:r>
      <w:r w:rsidRPr="00CA7BBA">
        <w:rPr>
          <w:szCs w:val="26"/>
        </w:rPr>
        <w:t>disqualified from Proposition 36 treatme</w:t>
      </w:r>
      <w:r w:rsidRPr="00CA7BBA">
        <w:rPr>
          <w:szCs w:val="26"/>
        </w:rPr>
        <w:t>nt</w:t>
      </w:r>
      <w:r>
        <w:rPr>
          <w:szCs w:val="26"/>
        </w:rPr>
        <w:t>,</w:t>
      </w:r>
      <w:r w:rsidRPr="00CA7BBA">
        <w:rPr>
          <w:szCs w:val="26"/>
        </w:rPr>
        <w:t xml:space="preserve"> </w:t>
      </w:r>
      <w:r>
        <w:rPr>
          <w:szCs w:val="26"/>
        </w:rPr>
        <w:t xml:space="preserve">would be </w:t>
      </w:r>
      <w:r w:rsidRPr="00CA7BBA">
        <w:rPr>
          <w:szCs w:val="26"/>
        </w:rPr>
        <w:t>eligible for the program</w:t>
      </w:r>
      <w:r w:rsidRPr="00AF5672">
        <w:rPr>
          <w:szCs w:val="26"/>
        </w:rPr>
        <w:t>]</w:t>
      </w:r>
      <w:r>
        <w:rPr>
          <w:szCs w:val="26"/>
        </w:rPr>
        <w:t xml:space="preserve">; </w:t>
      </w:r>
      <w:r w:rsidRPr="00D54D37">
        <w:rPr>
          <w:i/>
          <w:iCs/>
          <w:szCs w:val="26"/>
        </w:rPr>
        <w:t>People v. Jordan</w:t>
      </w:r>
      <w:r>
        <w:rPr>
          <w:szCs w:val="26"/>
        </w:rPr>
        <w:t xml:space="preserve"> </w:t>
      </w:r>
      <w:r w:rsidRPr="00D54D37">
        <w:rPr>
          <w:szCs w:val="26"/>
        </w:rPr>
        <w:t>(1978) 86</w:t>
      </w:r>
      <w:r>
        <w:rPr>
          <w:szCs w:val="26"/>
        </w:rPr>
        <w:t> </w:t>
      </w:r>
      <w:r w:rsidRPr="00D54D37">
        <w:rPr>
          <w:szCs w:val="26"/>
        </w:rPr>
        <w:t>Cal.App.3d 529, 537</w:t>
      </w:r>
      <w:r>
        <w:rPr>
          <w:szCs w:val="26"/>
        </w:rPr>
        <w:t xml:space="preserve"> </w:t>
      </w:r>
      <w:r>
        <w:rPr>
          <w:szCs w:val="26"/>
        </w:rPr>
        <w:lastRenderedPageBreak/>
        <w:t>[“</w:t>
      </w:r>
      <w:r w:rsidRPr="006B7FCD">
        <w:rPr>
          <w:szCs w:val="26"/>
        </w:rPr>
        <w:t xml:space="preserve">dismissal for the purpose of effectuating the legislative design may properly be designated in </w:t>
      </w:r>
      <w:r>
        <w:rPr>
          <w:szCs w:val="26"/>
        </w:rPr>
        <w:t>‘</w:t>
      </w:r>
      <w:r w:rsidRPr="006B7FCD">
        <w:rPr>
          <w:szCs w:val="26"/>
        </w:rPr>
        <w:t>furtherance of justice</w:t>
      </w:r>
      <w:r>
        <w:rPr>
          <w:szCs w:val="26"/>
        </w:rPr>
        <w:t>’</w:t>
      </w:r>
      <w:r w:rsidRPr="006B7FCD">
        <w:rPr>
          <w:szCs w:val="26"/>
        </w:rPr>
        <w:t>”</w:t>
      </w:r>
      <w:r>
        <w:rPr>
          <w:szCs w:val="26"/>
        </w:rPr>
        <w:t>]</w:t>
      </w:r>
      <w:r>
        <w:rPr>
          <w:szCs w:val="26"/>
        </w:rPr>
        <w:t>.)</w:t>
      </w:r>
    </w:p>
    <w:p w14:paraId="0911A066" w14:textId="77777777" w:rsidR="003C3D51" w:rsidRPr="000F1864" w:rsidRDefault="00861473" w:rsidP="00AF5672">
      <w:pPr>
        <w:ind w:firstLine="720"/>
        <w:rPr>
          <w:szCs w:val="26"/>
        </w:rPr>
      </w:pPr>
    </w:p>
    <w:p w14:paraId="04430C80" w14:textId="77777777" w:rsidR="006A7EDA" w:rsidRDefault="00861473" w:rsidP="00E836FE">
      <w:pPr>
        <w:ind w:left="720" w:firstLine="720"/>
        <w:rPr>
          <w:szCs w:val="26"/>
        </w:rPr>
      </w:pPr>
      <w:r>
        <w:rPr>
          <w:szCs w:val="26"/>
        </w:rPr>
        <w:t>2.</w:t>
      </w:r>
      <w:r>
        <w:rPr>
          <w:szCs w:val="26"/>
        </w:rPr>
        <w:tab/>
      </w:r>
      <w:r>
        <w:rPr>
          <w:i/>
          <w:iCs/>
          <w:szCs w:val="26"/>
        </w:rPr>
        <w:t>Sections 12022.5 and 12022.53</w:t>
      </w:r>
    </w:p>
    <w:p w14:paraId="1B433AC2" w14:textId="77777777" w:rsidR="000379C1" w:rsidRDefault="00861473" w:rsidP="009C4AAB">
      <w:pPr>
        <w:ind w:firstLine="720"/>
        <w:rPr>
          <w:szCs w:val="26"/>
        </w:rPr>
      </w:pPr>
      <w:r>
        <w:rPr>
          <w:szCs w:val="26"/>
        </w:rPr>
        <w:t xml:space="preserve">As </w:t>
      </w:r>
      <w:r>
        <w:rPr>
          <w:szCs w:val="26"/>
        </w:rPr>
        <w:t>discus</w:t>
      </w:r>
      <w:r>
        <w:rPr>
          <w:szCs w:val="26"/>
        </w:rPr>
        <w:t>sed</w:t>
      </w:r>
      <w:r>
        <w:rPr>
          <w:szCs w:val="26"/>
        </w:rPr>
        <w:t>, the People alleged sentence enhancements against Nazir under s</w:t>
      </w:r>
      <w:r>
        <w:rPr>
          <w:szCs w:val="26"/>
        </w:rPr>
        <w:t>ections 12022.5, subdivisions (a) and (d), and 12022.53, subdivision </w:t>
      </w:r>
      <w:r>
        <w:rPr>
          <w:szCs w:val="26"/>
        </w:rPr>
        <w:t xml:space="preserve">(b).  </w:t>
      </w:r>
      <w:r>
        <w:rPr>
          <w:szCs w:val="26"/>
        </w:rPr>
        <w:t>Section 12022.5</w:t>
      </w:r>
      <w:r>
        <w:rPr>
          <w:szCs w:val="26"/>
        </w:rPr>
        <w:t>, subdivision </w:t>
      </w:r>
      <w:r w:rsidRPr="00833BD3">
        <w:rPr>
          <w:szCs w:val="26"/>
        </w:rPr>
        <w:t>(a)</w:t>
      </w:r>
      <w:r>
        <w:rPr>
          <w:szCs w:val="26"/>
        </w:rPr>
        <w:t xml:space="preserve">, </w:t>
      </w:r>
      <w:r w:rsidRPr="00833BD3">
        <w:rPr>
          <w:szCs w:val="26"/>
        </w:rPr>
        <w:t>imposes an additional prison term of three, four, or 10 years</w:t>
      </w:r>
      <w:r>
        <w:rPr>
          <w:szCs w:val="26"/>
        </w:rPr>
        <w:t xml:space="preserve"> for </w:t>
      </w:r>
      <w:r w:rsidRPr="00833BD3">
        <w:rPr>
          <w:szCs w:val="26"/>
        </w:rPr>
        <w:t xml:space="preserve">any </w:t>
      </w:r>
      <w:r w:rsidRPr="00833BD3">
        <w:rPr>
          <w:szCs w:val="26"/>
        </w:rPr>
        <w:t>person who personally uses a firearm in the commission of a felony</w:t>
      </w:r>
      <w:r>
        <w:rPr>
          <w:szCs w:val="26"/>
        </w:rPr>
        <w:t xml:space="preserve"> or attempted felony.  (See </w:t>
      </w:r>
      <w:r w:rsidRPr="00833BD3">
        <w:rPr>
          <w:i/>
          <w:iCs/>
          <w:szCs w:val="26"/>
        </w:rPr>
        <w:t>People v. Le</w:t>
      </w:r>
      <w:r>
        <w:rPr>
          <w:szCs w:val="26"/>
        </w:rPr>
        <w:t xml:space="preserve"> (2015) 61 </w:t>
      </w:r>
      <w:r w:rsidRPr="00833BD3">
        <w:rPr>
          <w:szCs w:val="26"/>
        </w:rPr>
        <w:t>Cal.4th 416, 420</w:t>
      </w:r>
      <w:r>
        <w:rPr>
          <w:szCs w:val="26"/>
        </w:rPr>
        <w:t>.</w:t>
      </w:r>
      <w:r>
        <w:rPr>
          <w:szCs w:val="26"/>
        </w:rPr>
        <w:t>)  Section 12022.5, subdivision </w:t>
      </w:r>
      <w:r>
        <w:rPr>
          <w:szCs w:val="26"/>
        </w:rPr>
        <w:t xml:space="preserve">(d), </w:t>
      </w:r>
      <w:r>
        <w:rPr>
          <w:szCs w:val="26"/>
        </w:rPr>
        <w:t xml:space="preserve">imposes the </w:t>
      </w:r>
      <w:r>
        <w:rPr>
          <w:szCs w:val="26"/>
        </w:rPr>
        <w:t xml:space="preserve">term proscribed under </w:t>
      </w:r>
      <w:r>
        <w:rPr>
          <w:szCs w:val="26"/>
        </w:rPr>
        <w:t xml:space="preserve">section </w:t>
      </w:r>
      <w:r>
        <w:rPr>
          <w:szCs w:val="26"/>
        </w:rPr>
        <w:t xml:space="preserve">12022.5, </w:t>
      </w:r>
      <w:r>
        <w:rPr>
          <w:szCs w:val="26"/>
        </w:rPr>
        <w:t>subdivision (a)</w:t>
      </w:r>
      <w:r>
        <w:rPr>
          <w:szCs w:val="26"/>
        </w:rPr>
        <w:t xml:space="preserve"> (i.e., three, four</w:t>
      </w:r>
      <w:r>
        <w:rPr>
          <w:szCs w:val="26"/>
        </w:rPr>
        <w:t>, or 10 years)</w:t>
      </w:r>
      <w:r>
        <w:rPr>
          <w:szCs w:val="26"/>
        </w:rPr>
        <w:t>,</w:t>
      </w:r>
      <w:r>
        <w:rPr>
          <w:szCs w:val="26"/>
        </w:rPr>
        <w:t xml:space="preserve"> </w:t>
      </w:r>
      <w:r w:rsidRPr="00833BD3">
        <w:rPr>
          <w:szCs w:val="26"/>
        </w:rPr>
        <w:t xml:space="preserve">for any violation of </w:t>
      </w:r>
      <w:r>
        <w:rPr>
          <w:szCs w:val="26"/>
        </w:rPr>
        <w:t>s</w:t>
      </w:r>
      <w:r w:rsidRPr="00833BD3">
        <w:rPr>
          <w:szCs w:val="26"/>
        </w:rPr>
        <w:t>ection 245</w:t>
      </w:r>
      <w:r>
        <w:rPr>
          <w:szCs w:val="26"/>
        </w:rPr>
        <w:t xml:space="preserve"> (assault with a deadly weapon </w:t>
      </w:r>
      <w:r w:rsidRPr="003F7AE0">
        <w:rPr>
          <w:szCs w:val="26"/>
        </w:rPr>
        <w:t xml:space="preserve">or </w:t>
      </w:r>
      <w:r>
        <w:rPr>
          <w:szCs w:val="26"/>
        </w:rPr>
        <w:t xml:space="preserve">by means of </w:t>
      </w:r>
      <w:r w:rsidRPr="003F7AE0">
        <w:rPr>
          <w:szCs w:val="26"/>
        </w:rPr>
        <w:t>force likely to produce great bodily injury</w:t>
      </w:r>
      <w:r>
        <w:rPr>
          <w:szCs w:val="26"/>
        </w:rPr>
        <w:t>)</w:t>
      </w:r>
      <w:r w:rsidRPr="00833BD3">
        <w:rPr>
          <w:szCs w:val="26"/>
        </w:rPr>
        <w:t xml:space="preserve"> </w:t>
      </w:r>
      <w:r>
        <w:rPr>
          <w:szCs w:val="26"/>
        </w:rPr>
        <w:t>“</w:t>
      </w:r>
      <w:r w:rsidRPr="00833BD3">
        <w:rPr>
          <w:szCs w:val="26"/>
        </w:rPr>
        <w:t>if a firearm is used</w:t>
      </w:r>
      <w:r>
        <w:rPr>
          <w:szCs w:val="26"/>
        </w:rPr>
        <w:t xml:space="preserve">.”  </w:t>
      </w:r>
      <w:r>
        <w:rPr>
          <w:szCs w:val="26"/>
        </w:rPr>
        <w:t>“</w:t>
      </w:r>
      <w:r w:rsidRPr="0049242C">
        <w:rPr>
          <w:szCs w:val="26"/>
        </w:rPr>
        <w:t xml:space="preserve">The intent of </w:t>
      </w:r>
      <w:r>
        <w:rPr>
          <w:szCs w:val="26"/>
        </w:rPr>
        <w:t>[section 12022.5</w:t>
      </w:r>
      <w:r>
        <w:rPr>
          <w:szCs w:val="26"/>
        </w:rPr>
        <w:t>]</w:t>
      </w:r>
      <w:r w:rsidRPr="0049242C">
        <w:rPr>
          <w:szCs w:val="26"/>
        </w:rPr>
        <w:t xml:space="preserve"> is to ‘</w:t>
      </w:r>
      <w:r>
        <w:rPr>
          <w:szCs w:val="26"/>
        </w:rPr>
        <w:t>“</w:t>
      </w:r>
      <w:r w:rsidRPr="0049242C">
        <w:rPr>
          <w:szCs w:val="26"/>
        </w:rPr>
        <w:t>deter</w:t>
      </w:r>
      <w:r>
        <w:rPr>
          <w:szCs w:val="26"/>
        </w:rPr>
        <w:t xml:space="preserve"> </w:t>
      </w:r>
      <w:r w:rsidRPr="0049242C">
        <w:rPr>
          <w:szCs w:val="26"/>
        </w:rPr>
        <w:t>persons from creating a potential for death o</w:t>
      </w:r>
      <w:r w:rsidRPr="0049242C">
        <w:rPr>
          <w:szCs w:val="26"/>
        </w:rPr>
        <w:t>r injury resulting from the very presence of a firearm at the scene of a crime</w:t>
      </w:r>
      <w:r>
        <w:rPr>
          <w:szCs w:val="26"/>
        </w:rPr>
        <w:t>”</w:t>
      </w:r>
      <w:r w:rsidRPr="0049242C">
        <w:rPr>
          <w:szCs w:val="26"/>
        </w:rPr>
        <w:t xml:space="preserve">’ </w:t>
      </w:r>
      <w:r>
        <w:rPr>
          <w:szCs w:val="26"/>
        </w:rPr>
        <w:t>[citation]</w:t>
      </w:r>
      <w:r w:rsidRPr="0049242C">
        <w:rPr>
          <w:szCs w:val="26"/>
        </w:rPr>
        <w:t>, and to ‘</w:t>
      </w:r>
      <w:r>
        <w:rPr>
          <w:szCs w:val="26"/>
        </w:rPr>
        <w:t>“</w:t>
      </w:r>
      <w:r w:rsidRPr="0049242C">
        <w:rPr>
          <w:szCs w:val="26"/>
        </w:rPr>
        <w:t>deter</w:t>
      </w:r>
      <w:r>
        <w:rPr>
          <w:szCs w:val="26"/>
        </w:rPr>
        <w:t xml:space="preserve"> </w:t>
      </w:r>
      <w:r w:rsidRPr="0049242C">
        <w:rPr>
          <w:szCs w:val="26"/>
        </w:rPr>
        <w:t>the use of firearms in the commission of violent crimes by prescribing additional punishment for each use.</w:t>
      </w:r>
      <w:r>
        <w:rPr>
          <w:szCs w:val="26"/>
        </w:rPr>
        <w:t>”</w:t>
      </w:r>
      <w:r w:rsidRPr="0049242C">
        <w:rPr>
          <w:szCs w:val="26"/>
        </w:rPr>
        <w:t>’”</w:t>
      </w:r>
      <w:r>
        <w:rPr>
          <w:szCs w:val="26"/>
        </w:rPr>
        <w:t xml:space="preserve">  (</w:t>
      </w:r>
      <w:r>
        <w:rPr>
          <w:i/>
          <w:iCs/>
          <w:szCs w:val="26"/>
        </w:rPr>
        <w:t>In re Tameka </w:t>
      </w:r>
      <w:r w:rsidRPr="0049242C">
        <w:rPr>
          <w:i/>
          <w:iCs/>
          <w:szCs w:val="26"/>
        </w:rPr>
        <w:t>C.</w:t>
      </w:r>
      <w:r>
        <w:rPr>
          <w:szCs w:val="26"/>
        </w:rPr>
        <w:t xml:space="preserve"> (2000) 22 </w:t>
      </w:r>
      <w:r w:rsidRPr="0049242C">
        <w:rPr>
          <w:szCs w:val="26"/>
        </w:rPr>
        <w:t>Cal.4th 19</w:t>
      </w:r>
      <w:r w:rsidRPr="0049242C">
        <w:rPr>
          <w:szCs w:val="26"/>
        </w:rPr>
        <w:t>0, 196</w:t>
      </w:r>
      <w:r>
        <w:rPr>
          <w:szCs w:val="26"/>
        </w:rPr>
        <w:t xml:space="preserve">; see </w:t>
      </w:r>
      <w:r w:rsidRPr="0049242C">
        <w:rPr>
          <w:i/>
          <w:iCs/>
          <w:szCs w:val="26"/>
        </w:rPr>
        <w:t>People v. Ahmed</w:t>
      </w:r>
      <w:r>
        <w:rPr>
          <w:szCs w:val="26"/>
        </w:rPr>
        <w:t xml:space="preserve"> (2011) 53 </w:t>
      </w:r>
      <w:r w:rsidRPr="0049242C">
        <w:rPr>
          <w:szCs w:val="26"/>
        </w:rPr>
        <w:t>Cal.4th 156, 161</w:t>
      </w:r>
      <w:r>
        <w:rPr>
          <w:szCs w:val="26"/>
        </w:rPr>
        <w:noBreakHyphen/>
      </w:r>
      <w:r>
        <w:rPr>
          <w:szCs w:val="26"/>
        </w:rPr>
        <w:t>162.)</w:t>
      </w:r>
    </w:p>
    <w:p w14:paraId="7D31D70D" w14:textId="77777777" w:rsidR="004C5047" w:rsidRDefault="00861473" w:rsidP="009C4AAB">
      <w:pPr>
        <w:ind w:firstLine="720"/>
        <w:rPr>
          <w:szCs w:val="26"/>
        </w:rPr>
      </w:pPr>
      <w:r>
        <w:rPr>
          <w:szCs w:val="26"/>
        </w:rPr>
        <w:t>“</w:t>
      </w:r>
      <w:r w:rsidRPr="001958A9">
        <w:rPr>
          <w:szCs w:val="26"/>
        </w:rPr>
        <w:t>Section 12022.53 was first enacted in 1997 as part of the state</w:t>
      </w:r>
      <w:r>
        <w:rPr>
          <w:szCs w:val="26"/>
        </w:rPr>
        <w:t>’</w:t>
      </w:r>
      <w:r w:rsidRPr="001958A9">
        <w:rPr>
          <w:szCs w:val="26"/>
        </w:rPr>
        <w:t xml:space="preserve">s </w:t>
      </w:r>
      <w:r>
        <w:rPr>
          <w:szCs w:val="26"/>
        </w:rPr>
        <w:t>‘</w:t>
      </w:r>
      <w:r w:rsidRPr="001958A9">
        <w:rPr>
          <w:szCs w:val="26"/>
        </w:rPr>
        <w:t>Use a Gun and You</w:t>
      </w:r>
      <w:r>
        <w:rPr>
          <w:szCs w:val="26"/>
        </w:rPr>
        <w:t>’</w:t>
      </w:r>
      <w:r w:rsidRPr="001958A9">
        <w:rPr>
          <w:szCs w:val="26"/>
        </w:rPr>
        <w:t>re Done</w:t>
      </w:r>
      <w:r>
        <w:rPr>
          <w:szCs w:val="26"/>
        </w:rPr>
        <w:t>’</w:t>
      </w:r>
      <w:r w:rsidRPr="001958A9">
        <w:rPr>
          <w:szCs w:val="26"/>
        </w:rPr>
        <w:t xml:space="preserve"> law. </w:t>
      </w:r>
      <w:r>
        <w:rPr>
          <w:szCs w:val="26"/>
        </w:rPr>
        <w:t xml:space="preserve"> [Citation.]</w:t>
      </w:r>
      <w:r w:rsidRPr="001958A9">
        <w:rPr>
          <w:szCs w:val="26"/>
        </w:rPr>
        <w:t xml:space="preserve"> </w:t>
      </w:r>
      <w:r>
        <w:rPr>
          <w:szCs w:val="26"/>
        </w:rPr>
        <w:t xml:space="preserve"> </w:t>
      </w:r>
      <w:r w:rsidRPr="001958A9">
        <w:rPr>
          <w:szCs w:val="26"/>
        </w:rPr>
        <w:t xml:space="preserve">The statute sets out </w:t>
      </w:r>
      <w:r>
        <w:rPr>
          <w:szCs w:val="26"/>
        </w:rPr>
        <w:t>‘</w:t>
      </w:r>
      <w:r w:rsidRPr="001958A9">
        <w:rPr>
          <w:szCs w:val="26"/>
        </w:rPr>
        <w:t xml:space="preserve">sentence enhancements for personal use or </w:t>
      </w:r>
      <w:r w:rsidRPr="001958A9">
        <w:rPr>
          <w:szCs w:val="26"/>
        </w:rPr>
        <w:t>discharge of a firearm in the commission</w:t>
      </w:r>
      <w:r>
        <w:rPr>
          <w:szCs w:val="26"/>
        </w:rPr>
        <w:t>’</w:t>
      </w:r>
      <w:r w:rsidRPr="001958A9">
        <w:rPr>
          <w:szCs w:val="26"/>
        </w:rPr>
        <w:t xml:space="preserve"> of specified felonies</w:t>
      </w:r>
      <w:r>
        <w:rPr>
          <w:szCs w:val="26"/>
        </w:rPr>
        <w:t>.”  (</w:t>
      </w:r>
      <w:r w:rsidRPr="001958A9">
        <w:rPr>
          <w:i/>
          <w:iCs/>
          <w:szCs w:val="26"/>
        </w:rPr>
        <w:t>Tirado</w:t>
      </w:r>
      <w:r>
        <w:rPr>
          <w:szCs w:val="26"/>
        </w:rPr>
        <w:t xml:space="preserve">, </w:t>
      </w:r>
      <w:r>
        <w:rPr>
          <w:i/>
          <w:iCs/>
          <w:szCs w:val="26"/>
        </w:rPr>
        <w:t>supra</w:t>
      </w:r>
      <w:r>
        <w:rPr>
          <w:szCs w:val="26"/>
        </w:rPr>
        <w:t>,</w:t>
      </w:r>
      <w:r>
        <w:rPr>
          <w:i/>
          <w:iCs/>
          <w:szCs w:val="26"/>
        </w:rPr>
        <w:t xml:space="preserve"> </w:t>
      </w:r>
      <w:r>
        <w:rPr>
          <w:szCs w:val="26"/>
        </w:rPr>
        <w:t>12 </w:t>
      </w:r>
      <w:r>
        <w:rPr>
          <w:szCs w:val="26"/>
        </w:rPr>
        <w:t>Cal.5th</w:t>
      </w:r>
      <w:r w:rsidRPr="001958A9">
        <w:rPr>
          <w:szCs w:val="26"/>
        </w:rPr>
        <w:t xml:space="preserve"> at </w:t>
      </w:r>
      <w:r>
        <w:rPr>
          <w:szCs w:val="26"/>
        </w:rPr>
        <w:t>p</w:t>
      </w:r>
      <w:r>
        <w:rPr>
          <w:szCs w:val="26"/>
        </w:rPr>
        <w:t>p. </w:t>
      </w:r>
      <w:r>
        <w:rPr>
          <w:szCs w:val="26"/>
        </w:rPr>
        <w:t>694</w:t>
      </w:r>
      <w:r>
        <w:rPr>
          <w:szCs w:val="26"/>
        </w:rPr>
        <w:noBreakHyphen/>
      </w:r>
      <w:r>
        <w:rPr>
          <w:szCs w:val="26"/>
        </w:rPr>
        <w:t>695</w:t>
      </w:r>
      <w:r>
        <w:rPr>
          <w:szCs w:val="26"/>
        </w:rPr>
        <w:t>, fn. omitted</w:t>
      </w:r>
      <w:r>
        <w:rPr>
          <w:szCs w:val="26"/>
        </w:rPr>
        <w:t xml:space="preserve">; see </w:t>
      </w:r>
      <w:r w:rsidRPr="00833BD3">
        <w:rPr>
          <w:i/>
          <w:iCs/>
          <w:szCs w:val="26"/>
        </w:rPr>
        <w:t>People v. Anderson</w:t>
      </w:r>
      <w:r>
        <w:rPr>
          <w:szCs w:val="26"/>
        </w:rPr>
        <w:t xml:space="preserve"> </w:t>
      </w:r>
      <w:r w:rsidRPr="00833BD3">
        <w:rPr>
          <w:szCs w:val="26"/>
        </w:rPr>
        <w:t>(2020) 9</w:t>
      </w:r>
      <w:r>
        <w:rPr>
          <w:szCs w:val="26"/>
        </w:rPr>
        <w:t> </w:t>
      </w:r>
      <w:r w:rsidRPr="00833BD3">
        <w:rPr>
          <w:szCs w:val="26"/>
        </w:rPr>
        <w:t>Cal.5th 946, 950</w:t>
      </w:r>
      <w:r>
        <w:rPr>
          <w:szCs w:val="26"/>
        </w:rPr>
        <w:noBreakHyphen/>
      </w:r>
      <w:r w:rsidRPr="00833BD3">
        <w:rPr>
          <w:szCs w:val="26"/>
        </w:rPr>
        <w:t>951</w:t>
      </w:r>
      <w:r>
        <w:rPr>
          <w:szCs w:val="26"/>
        </w:rPr>
        <w:t>.)</w:t>
      </w:r>
      <w:r>
        <w:rPr>
          <w:szCs w:val="26"/>
        </w:rPr>
        <w:t xml:space="preserve">  Under </w:t>
      </w:r>
      <w:r>
        <w:rPr>
          <w:szCs w:val="26"/>
        </w:rPr>
        <w:t xml:space="preserve">section 12022.53, </w:t>
      </w:r>
      <w:r>
        <w:rPr>
          <w:szCs w:val="26"/>
        </w:rPr>
        <w:t>subdivision </w:t>
      </w:r>
      <w:r>
        <w:rPr>
          <w:szCs w:val="26"/>
        </w:rPr>
        <w:t xml:space="preserve">(b), </w:t>
      </w:r>
      <w:r w:rsidRPr="00833BD3">
        <w:rPr>
          <w:szCs w:val="26"/>
        </w:rPr>
        <w:t>a</w:t>
      </w:r>
      <w:r>
        <w:rPr>
          <w:szCs w:val="26"/>
        </w:rPr>
        <w:t xml:space="preserve"> </w:t>
      </w:r>
      <w:r w:rsidRPr="00833BD3">
        <w:rPr>
          <w:szCs w:val="26"/>
        </w:rPr>
        <w:t>person who</w:t>
      </w:r>
      <w:r>
        <w:rPr>
          <w:szCs w:val="26"/>
        </w:rPr>
        <w:t xml:space="preserve"> </w:t>
      </w:r>
      <w:r w:rsidRPr="003F7AE0">
        <w:rPr>
          <w:szCs w:val="26"/>
        </w:rPr>
        <w:t>“</w:t>
      </w:r>
      <w:r w:rsidRPr="00833BD3">
        <w:rPr>
          <w:szCs w:val="26"/>
        </w:rPr>
        <w:t>personally uses a fire</w:t>
      </w:r>
      <w:r w:rsidRPr="00833BD3">
        <w:rPr>
          <w:szCs w:val="26"/>
        </w:rPr>
        <w:t>arm</w:t>
      </w:r>
      <w:r>
        <w:rPr>
          <w:szCs w:val="26"/>
        </w:rPr>
        <w:t>”</w:t>
      </w:r>
      <w:r w:rsidRPr="00833BD3">
        <w:rPr>
          <w:szCs w:val="26"/>
        </w:rPr>
        <w:t xml:space="preserve"> in the commission of </w:t>
      </w:r>
      <w:r>
        <w:rPr>
          <w:szCs w:val="26"/>
        </w:rPr>
        <w:t xml:space="preserve">one of the enumerated felonies </w:t>
      </w:r>
      <w:r>
        <w:rPr>
          <w:szCs w:val="26"/>
        </w:rPr>
        <w:lastRenderedPageBreak/>
        <w:t>“</w:t>
      </w:r>
      <w:r w:rsidRPr="00833BD3">
        <w:rPr>
          <w:szCs w:val="26"/>
        </w:rPr>
        <w:t>shall be punished by an additional and consecutive term of imprisonment in the state prison for 10 years.</w:t>
      </w:r>
      <w:r>
        <w:rPr>
          <w:szCs w:val="26"/>
        </w:rPr>
        <w:t>”</w:t>
      </w:r>
      <w:r>
        <w:rPr>
          <w:szCs w:val="26"/>
        </w:rPr>
        <w:t xml:space="preserve"> </w:t>
      </w:r>
    </w:p>
    <w:p w14:paraId="7C13FEDC" w14:textId="77777777" w:rsidR="00EA0D27" w:rsidRDefault="00861473" w:rsidP="00804067">
      <w:pPr>
        <w:ind w:firstLine="720"/>
        <w:rPr>
          <w:szCs w:val="26"/>
        </w:rPr>
      </w:pPr>
      <w:r>
        <w:rPr>
          <w:szCs w:val="26"/>
        </w:rPr>
        <w:t xml:space="preserve">Before 2018, </w:t>
      </w:r>
      <w:r w:rsidRPr="00833BD3">
        <w:rPr>
          <w:szCs w:val="26"/>
        </w:rPr>
        <w:t>section</w:t>
      </w:r>
      <w:r>
        <w:rPr>
          <w:szCs w:val="26"/>
        </w:rPr>
        <w:t>s</w:t>
      </w:r>
      <w:r w:rsidRPr="00833BD3">
        <w:rPr>
          <w:szCs w:val="26"/>
        </w:rPr>
        <w:t xml:space="preserve"> 12022.5 </w:t>
      </w:r>
      <w:r>
        <w:rPr>
          <w:szCs w:val="26"/>
        </w:rPr>
        <w:t xml:space="preserve">and 12022.53 </w:t>
      </w:r>
      <w:r>
        <w:rPr>
          <w:szCs w:val="26"/>
        </w:rPr>
        <w:t xml:space="preserve">prohibited </w:t>
      </w:r>
      <w:r>
        <w:rPr>
          <w:szCs w:val="26"/>
        </w:rPr>
        <w:t xml:space="preserve">a </w:t>
      </w:r>
      <w:r>
        <w:rPr>
          <w:szCs w:val="26"/>
        </w:rPr>
        <w:t>trial court from striking</w:t>
      </w:r>
      <w:r w:rsidRPr="00833BD3">
        <w:rPr>
          <w:szCs w:val="26"/>
        </w:rPr>
        <w:t xml:space="preserve"> </w:t>
      </w:r>
      <w:r>
        <w:rPr>
          <w:szCs w:val="26"/>
        </w:rPr>
        <w:t xml:space="preserve">a </w:t>
      </w:r>
      <w:r w:rsidRPr="00833BD3">
        <w:rPr>
          <w:szCs w:val="26"/>
        </w:rPr>
        <w:t xml:space="preserve">firearm enhancement in the interest of justice </w:t>
      </w:r>
      <w:r>
        <w:rPr>
          <w:szCs w:val="26"/>
        </w:rPr>
        <w:t>under</w:t>
      </w:r>
      <w:r w:rsidRPr="00833BD3">
        <w:rPr>
          <w:szCs w:val="26"/>
        </w:rPr>
        <w:t xml:space="preserve"> section 1385. </w:t>
      </w:r>
      <w:r>
        <w:rPr>
          <w:szCs w:val="26"/>
        </w:rPr>
        <w:t xml:space="preserve"> </w:t>
      </w:r>
      <w:r w:rsidRPr="00833BD3">
        <w:rPr>
          <w:szCs w:val="26"/>
        </w:rPr>
        <w:t>(</w:t>
      </w:r>
      <w:r>
        <w:rPr>
          <w:szCs w:val="26"/>
        </w:rPr>
        <w:t xml:space="preserve">See </w:t>
      </w:r>
      <w:r w:rsidRPr="001958A9">
        <w:rPr>
          <w:i/>
          <w:iCs/>
          <w:szCs w:val="26"/>
        </w:rPr>
        <w:t>Tirado</w:t>
      </w:r>
      <w:r>
        <w:rPr>
          <w:szCs w:val="26"/>
        </w:rPr>
        <w:t xml:space="preserve">, </w:t>
      </w:r>
      <w:r>
        <w:rPr>
          <w:i/>
          <w:iCs/>
          <w:szCs w:val="26"/>
        </w:rPr>
        <w:t>supra</w:t>
      </w:r>
      <w:r>
        <w:rPr>
          <w:szCs w:val="26"/>
        </w:rPr>
        <w:t>,</w:t>
      </w:r>
      <w:r>
        <w:rPr>
          <w:i/>
          <w:iCs/>
          <w:szCs w:val="26"/>
        </w:rPr>
        <w:t xml:space="preserve"> </w:t>
      </w:r>
      <w:r>
        <w:rPr>
          <w:szCs w:val="26"/>
        </w:rPr>
        <w:t>12 </w:t>
      </w:r>
      <w:r>
        <w:rPr>
          <w:szCs w:val="26"/>
        </w:rPr>
        <w:t>Cal.5th</w:t>
      </w:r>
      <w:r w:rsidRPr="001958A9">
        <w:rPr>
          <w:szCs w:val="26"/>
        </w:rPr>
        <w:t xml:space="preserve"> at </w:t>
      </w:r>
      <w:r>
        <w:rPr>
          <w:szCs w:val="26"/>
        </w:rPr>
        <w:t>p. </w:t>
      </w:r>
      <w:r>
        <w:rPr>
          <w:szCs w:val="26"/>
        </w:rPr>
        <w:t>695</w:t>
      </w:r>
      <w:r>
        <w:rPr>
          <w:szCs w:val="26"/>
        </w:rPr>
        <w:t xml:space="preserve">; </w:t>
      </w:r>
      <w:r w:rsidRPr="008830DF">
        <w:rPr>
          <w:i/>
          <w:iCs/>
          <w:szCs w:val="26"/>
        </w:rPr>
        <w:t>People v. Humphrey</w:t>
      </w:r>
      <w:r>
        <w:rPr>
          <w:szCs w:val="26"/>
        </w:rPr>
        <w:t xml:space="preserve"> (2020) 44 </w:t>
      </w:r>
      <w:r w:rsidRPr="008830DF">
        <w:rPr>
          <w:szCs w:val="26"/>
        </w:rPr>
        <w:t>Cal.App.5th 371, 377</w:t>
      </w:r>
      <w:r>
        <w:rPr>
          <w:szCs w:val="26"/>
        </w:rPr>
        <w:t xml:space="preserve">.)  </w:t>
      </w:r>
      <w:r>
        <w:rPr>
          <w:szCs w:val="26"/>
        </w:rPr>
        <w:t>“[T]</w:t>
      </w:r>
      <w:r w:rsidRPr="001958A9">
        <w:rPr>
          <w:szCs w:val="26"/>
        </w:rPr>
        <w:t>he Legislature</w:t>
      </w:r>
      <w:r>
        <w:rPr>
          <w:szCs w:val="26"/>
        </w:rPr>
        <w:t>’</w:t>
      </w:r>
      <w:r w:rsidRPr="001958A9">
        <w:rPr>
          <w:szCs w:val="26"/>
        </w:rPr>
        <w:t>s goal</w:t>
      </w:r>
      <w:r>
        <w:rPr>
          <w:szCs w:val="26"/>
        </w:rPr>
        <w:t>”</w:t>
      </w:r>
      <w:r w:rsidRPr="001958A9">
        <w:rPr>
          <w:szCs w:val="26"/>
        </w:rPr>
        <w:t xml:space="preserve"> was </w:t>
      </w:r>
      <w:r>
        <w:rPr>
          <w:szCs w:val="26"/>
        </w:rPr>
        <w:t>“</w:t>
      </w:r>
      <w:r w:rsidRPr="001958A9">
        <w:rPr>
          <w:szCs w:val="26"/>
        </w:rPr>
        <w:t xml:space="preserve">to protect Californians and deter violent crime by imposing </w:t>
      </w:r>
      <w:r>
        <w:rPr>
          <w:szCs w:val="26"/>
        </w:rPr>
        <w:t>.</w:t>
      </w:r>
      <w:r>
        <w:rPr>
          <w:szCs w:val="26"/>
        </w:rPr>
        <w:t xml:space="preserve"> . . </w:t>
      </w:r>
      <w:r w:rsidRPr="001958A9">
        <w:rPr>
          <w:szCs w:val="26"/>
        </w:rPr>
        <w:t>the harshest applicable punishment</w:t>
      </w:r>
      <w:r>
        <w:rPr>
          <w:szCs w:val="26"/>
        </w:rPr>
        <w:t xml:space="preserve">” </w:t>
      </w:r>
      <w:r w:rsidRPr="001958A9">
        <w:rPr>
          <w:szCs w:val="26"/>
        </w:rPr>
        <w:t>in each case.</w:t>
      </w:r>
      <w:r>
        <w:rPr>
          <w:szCs w:val="26"/>
        </w:rPr>
        <w:t xml:space="preserve">  (</w:t>
      </w:r>
      <w:r>
        <w:rPr>
          <w:i/>
          <w:iCs/>
          <w:szCs w:val="26"/>
        </w:rPr>
        <w:t>Tirado</w:t>
      </w:r>
      <w:r>
        <w:rPr>
          <w:szCs w:val="26"/>
        </w:rPr>
        <w:t xml:space="preserve">, at </w:t>
      </w:r>
      <w:r>
        <w:rPr>
          <w:szCs w:val="26"/>
        </w:rPr>
        <w:t>p. </w:t>
      </w:r>
      <w:r>
        <w:rPr>
          <w:szCs w:val="26"/>
        </w:rPr>
        <w:t>7</w:t>
      </w:r>
      <w:r>
        <w:rPr>
          <w:szCs w:val="26"/>
        </w:rPr>
        <w:t>01</w:t>
      </w:r>
      <w:r>
        <w:rPr>
          <w:szCs w:val="26"/>
        </w:rPr>
        <w:t>.)  But eventually “</w:t>
      </w:r>
      <w:r w:rsidRPr="001958A9">
        <w:rPr>
          <w:szCs w:val="26"/>
        </w:rPr>
        <w:t xml:space="preserve">the enhancement scheme </w:t>
      </w:r>
      <w:r>
        <w:rPr>
          <w:szCs w:val="26"/>
        </w:rPr>
        <w:t>‘</w:t>
      </w:r>
      <w:r w:rsidRPr="001958A9">
        <w:rPr>
          <w:szCs w:val="26"/>
        </w:rPr>
        <w:t>caus[ed] several problems</w:t>
      </w:r>
      <w:r>
        <w:rPr>
          <w:szCs w:val="26"/>
        </w:rPr>
        <w:t>,</w:t>
      </w:r>
      <w:r>
        <w:rPr>
          <w:szCs w:val="26"/>
        </w:rPr>
        <w:t>’”</w:t>
      </w:r>
      <w:r>
        <w:rPr>
          <w:szCs w:val="26"/>
        </w:rPr>
        <w:t xml:space="preserve"> including a significant increase in the prison population and its corresponding impact on the state’s budget.</w:t>
      </w:r>
      <w:r>
        <w:rPr>
          <w:szCs w:val="26"/>
        </w:rPr>
        <w:t xml:space="preserve">  (</w:t>
      </w:r>
      <w:r>
        <w:rPr>
          <w:i/>
          <w:iCs/>
          <w:szCs w:val="26"/>
        </w:rPr>
        <w:t>Ibid</w:t>
      </w:r>
      <w:r>
        <w:rPr>
          <w:szCs w:val="26"/>
        </w:rPr>
        <w:t xml:space="preserve">.)  </w:t>
      </w:r>
      <w:r>
        <w:rPr>
          <w:szCs w:val="26"/>
        </w:rPr>
        <w:t>The</w:t>
      </w:r>
      <w:r>
        <w:rPr>
          <w:szCs w:val="26"/>
        </w:rPr>
        <w:t xml:space="preserve"> Legislature </w:t>
      </w:r>
      <w:r>
        <w:rPr>
          <w:szCs w:val="26"/>
        </w:rPr>
        <w:t>enacted Senate Bill No. </w:t>
      </w:r>
      <w:r>
        <w:rPr>
          <w:szCs w:val="26"/>
        </w:rPr>
        <w:t xml:space="preserve">620 </w:t>
      </w:r>
      <w:r>
        <w:rPr>
          <w:szCs w:val="26"/>
        </w:rPr>
        <w:t>(</w:t>
      </w:r>
      <w:r>
        <w:rPr>
          <w:szCs w:val="26"/>
        </w:rPr>
        <w:t>2017</w:t>
      </w:r>
      <w:r>
        <w:rPr>
          <w:szCs w:val="26"/>
        </w:rPr>
        <w:noBreakHyphen/>
      </w:r>
      <w:r>
        <w:rPr>
          <w:szCs w:val="26"/>
        </w:rPr>
        <w:t xml:space="preserve">2018 Reg. Sess.) </w:t>
      </w:r>
      <w:r>
        <w:rPr>
          <w:szCs w:val="26"/>
        </w:rPr>
        <w:t xml:space="preserve">to </w:t>
      </w:r>
      <w:r>
        <w:rPr>
          <w:szCs w:val="26"/>
        </w:rPr>
        <w:t xml:space="preserve">amend </w:t>
      </w:r>
      <w:r w:rsidRPr="00833BD3">
        <w:rPr>
          <w:szCs w:val="26"/>
        </w:rPr>
        <w:t>section</w:t>
      </w:r>
      <w:r>
        <w:rPr>
          <w:szCs w:val="26"/>
        </w:rPr>
        <w:t>s</w:t>
      </w:r>
      <w:r w:rsidRPr="00833BD3">
        <w:rPr>
          <w:szCs w:val="26"/>
        </w:rPr>
        <w:t xml:space="preserve"> 12022.5 </w:t>
      </w:r>
      <w:r>
        <w:rPr>
          <w:szCs w:val="26"/>
        </w:rPr>
        <w:t>and 12022.53</w:t>
      </w:r>
      <w:r>
        <w:rPr>
          <w:szCs w:val="26"/>
        </w:rPr>
        <w:t>,</w:t>
      </w:r>
      <w:r w:rsidRPr="008830DF">
        <w:rPr>
          <w:szCs w:val="26"/>
        </w:rPr>
        <w:t xml:space="preserve"> </w:t>
      </w:r>
      <w:r>
        <w:rPr>
          <w:szCs w:val="26"/>
        </w:rPr>
        <w:t>effective January 2018</w:t>
      </w:r>
      <w:r>
        <w:rPr>
          <w:szCs w:val="26"/>
        </w:rPr>
        <w:t>,</w:t>
      </w:r>
      <w:r>
        <w:rPr>
          <w:szCs w:val="26"/>
        </w:rPr>
        <w:t xml:space="preserve"> </w:t>
      </w:r>
      <w:r>
        <w:rPr>
          <w:szCs w:val="26"/>
        </w:rPr>
        <w:t>to</w:t>
      </w:r>
      <w:r w:rsidRPr="008830DF">
        <w:rPr>
          <w:szCs w:val="26"/>
        </w:rPr>
        <w:t xml:space="preserve"> g</w:t>
      </w:r>
      <w:r w:rsidRPr="008830DF">
        <w:rPr>
          <w:szCs w:val="26"/>
        </w:rPr>
        <w:t xml:space="preserve">ive </w:t>
      </w:r>
      <w:r>
        <w:rPr>
          <w:szCs w:val="26"/>
        </w:rPr>
        <w:t xml:space="preserve">a </w:t>
      </w:r>
      <w:r w:rsidRPr="008830DF">
        <w:rPr>
          <w:szCs w:val="26"/>
        </w:rPr>
        <w:t xml:space="preserve">trial court discretion to </w:t>
      </w:r>
      <w:r>
        <w:rPr>
          <w:szCs w:val="26"/>
        </w:rPr>
        <w:t>dismiss</w:t>
      </w:r>
      <w:r w:rsidRPr="008830DF">
        <w:rPr>
          <w:szCs w:val="26"/>
        </w:rPr>
        <w:t xml:space="preserve"> </w:t>
      </w:r>
      <w:r>
        <w:rPr>
          <w:szCs w:val="26"/>
        </w:rPr>
        <w:t>a</w:t>
      </w:r>
      <w:r w:rsidRPr="008830DF">
        <w:rPr>
          <w:szCs w:val="26"/>
        </w:rPr>
        <w:t xml:space="preserve"> firearm enhancement in the interest of justice </w:t>
      </w:r>
      <w:r>
        <w:rPr>
          <w:szCs w:val="26"/>
        </w:rPr>
        <w:t>under</w:t>
      </w:r>
      <w:r w:rsidRPr="008830DF">
        <w:rPr>
          <w:szCs w:val="26"/>
        </w:rPr>
        <w:t xml:space="preserve"> section 1385</w:t>
      </w:r>
      <w:r>
        <w:rPr>
          <w:szCs w:val="26"/>
        </w:rPr>
        <w:t xml:space="preserve">.  </w:t>
      </w:r>
      <w:r>
        <w:rPr>
          <w:szCs w:val="26"/>
        </w:rPr>
        <w:t>(</w:t>
      </w:r>
      <w:r>
        <w:rPr>
          <w:szCs w:val="26"/>
        </w:rPr>
        <w:t>Stats. 2017, ch. </w:t>
      </w:r>
      <w:r w:rsidRPr="008830DF">
        <w:rPr>
          <w:szCs w:val="26"/>
        </w:rPr>
        <w:t xml:space="preserve">682, </w:t>
      </w:r>
      <w:r>
        <w:rPr>
          <w:szCs w:val="26"/>
        </w:rPr>
        <w:t>§ </w:t>
      </w:r>
      <w:r w:rsidRPr="008830DF">
        <w:rPr>
          <w:szCs w:val="26"/>
        </w:rPr>
        <w:t>1</w:t>
      </w:r>
      <w:r>
        <w:rPr>
          <w:szCs w:val="26"/>
        </w:rPr>
        <w:t xml:space="preserve">; see </w:t>
      </w:r>
      <w:r>
        <w:rPr>
          <w:i/>
          <w:iCs/>
          <w:szCs w:val="26"/>
        </w:rPr>
        <w:t>Tirado</w:t>
      </w:r>
      <w:r>
        <w:rPr>
          <w:szCs w:val="26"/>
        </w:rPr>
        <w:t xml:space="preserve">, at </w:t>
      </w:r>
      <w:r>
        <w:rPr>
          <w:szCs w:val="26"/>
        </w:rPr>
        <w:t>p</w:t>
      </w:r>
      <w:r>
        <w:rPr>
          <w:szCs w:val="26"/>
        </w:rPr>
        <w:t>p. </w:t>
      </w:r>
      <w:r>
        <w:rPr>
          <w:szCs w:val="26"/>
        </w:rPr>
        <w:t>695</w:t>
      </w:r>
      <w:r>
        <w:rPr>
          <w:szCs w:val="26"/>
        </w:rPr>
        <w:noBreakHyphen/>
      </w:r>
      <w:r>
        <w:rPr>
          <w:szCs w:val="26"/>
        </w:rPr>
        <w:t>696</w:t>
      </w:r>
      <w:r>
        <w:rPr>
          <w:szCs w:val="26"/>
        </w:rPr>
        <w:t>;</w:t>
      </w:r>
      <w:r>
        <w:rPr>
          <w:i/>
          <w:iCs/>
          <w:szCs w:val="26"/>
        </w:rPr>
        <w:t xml:space="preserve"> Humphrey</w:t>
      </w:r>
      <w:r>
        <w:rPr>
          <w:szCs w:val="26"/>
        </w:rPr>
        <w:t xml:space="preserve">, at </w:t>
      </w:r>
      <w:r>
        <w:rPr>
          <w:szCs w:val="26"/>
        </w:rPr>
        <w:t>p. </w:t>
      </w:r>
      <w:r>
        <w:rPr>
          <w:szCs w:val="26"/>
        </w:rPr>
        <w:t>377</w:t>
      </w:r>
      <w:r w:rsidRPr="008830DF">
        <w:rPr>
          <w:szCs w:val="26"/>
        </w:rPr>
        <w:t>.)</w:t>
      </w:r>
      <w:r>
        <w:rPr>
          <w:szCs w:val="26"/>
        </w:rPr>
        <w:t xml:space="preserve">  </w:t>
      </w:r>
      <w:r>
        <w:rPr>
          <w:szCs w:val="26"/>
        </w:rPr>
        <w:t>S</w:t>
      </w:r>
      <w:r w:rsidRPr="001958A9">
        <w:rPr>
          <w:szCs w:val="26"/>
        </w:rPr>
        <w:t>ection</w:t>
      </w:r>
      <w:r>
        <w:rPr>
          <w:szCs w:val="26"/>
        </w:rPr>
        <w:t>s 12022.5, subdiv</w:t>
      </w:r>
      <w:r>
        <w:rPr>
          <w:szCs w:val="26"/>
        </w:rPr>
        <w:t>ision </w:t>
      </w:r>
      <w:r>
        <w:rPr>
          <w:szCs w:val="26"/>
        </w:rPr>
        <w:t>(c), and</w:t>
      </w:r>
      <w:r w:rsidRPr="001958A9">
        <w:rPr>
          <w:szCs w:val="26"/>
        </w:rPr>
        <w:t xml:space="preserve"> 12022.53</w:t>
      </w:r>
      <w:r>
        <w:rPr>
          <w:szCs w:val="26"/>
        </w:rPr>
        <w:t xml:space="preserve">, </w:t>
      </w:r>
      <w:r>
        <w:rPr>
          <w:szCs w:val="26"/>
        </w:rPr>
        <w:t>subdivision </w:t>
      </w:r>
      <w:r>
        <w:rPr>
          <w:szCs w:val="26"/>
        </w:rPr>
        <w:t xml:space="preserve">(h), </w:t>
      </w:r>
      <w:r w:rsidRPr="001958A9">
        <w:rPr>
          <w:szCs w:val="26"/>
        </w:rPr>
        <w:t xml:space="preserve">now provide that </w:t>
      </w:r>
      <w:r>
        <w:rPr>
          <w:szCs w:val="26"/>
        </w:rPr>
        <w:t xml:space="preserve">a </w:t>
      </w:r>
      <w:r>
        <w:rPr>
          <w:szCs w:val="26"/>
        </w:rPr>
        <w:t>“</w:t>
      </w:r>
      <w:r w:rsidRPr="001958A9">
        <w:rPr>
          <w:szCs w:val="26"/>
        </w:rPr>
        <w:t>court may, in the interest of justice pursuant to</w:t>
      </w:r>
      <w:r>
        <w:rPr>
          <w:szCs w:val="26"/>
        </w:rPr>
        <w:t xml:space="preserve"> </w:t>
      </w:r>
      <w:r>
        <w:rPr>
          <w:szCs w:val="26"/>
        </w:rPr>
        <w:t xml:space="preserve">Section </w:t>
      </w:r>
      <w:r w:rsidRPr="001958A9">
        <w:rPr>
          <w:szCs w:val="26"/>
        </w:rPr>
        <w:t>1385</w:t>
      </w:r>
      <w:r>
        <w:rPr>
          <w:szCs w:val="26"/>
        </w:rPr>
        <w:t xml:space="preserve"> </w:t>
      </w:r>
      <w:r w:rsidRPr="001958A9">
        <w:rPr>
          <w:szCs w:val="26"/>
        </w:rPr>
        <w:t>and at the time of sentencing, strike or dismiss an enhancement otherwise required to be imposed by this section.”</w:t>
      </w:r>
      <w:r>
        <w:rPr>
          <w:rStyle w:val="FootnoteReference"/>
          <w:szCs w:val="26"/>
        </w:rPr>
        <w:footnoteReference w:id="8"/>
      </w:r>
    </w:p>
    <w:p w14:paraId="262548EA" w14:textId="77777777" w:rsidR="00DA20C2" w:rsidRDefault="00861473" w:rsidP="001E2EB1">
      <w:pPr>
        <w:ind w:firstLine="720"/>
        <w:rPr>
          <w:szCs w:val="26"/>
        </w:rPr>
      </w:pPr>
      <w:r>
        <w:rPr>
          <w:szCs w:val="26"/>
        </w:rPr>
        <w:lastRenderedPageBreak/>
        <w:t>The legislative</w:t>
      </w:r>
      <w:r>
        <w:rPr>
          <w:szCs w:val="26"/>
        </w:rPr>
        <w:t xml:space="preserve"> history of Senate Bill </w:t>
      </w:r>
      <w:r>
        <w:rPr>
          <w:szCs w:val="26"/>
        </w:rPr>
        <w:t>No. </w:t>
      </w:r>
      <w:r>
        <w:rPr>
          <w:szCs w:val="26"/>
        </w:rPr>
        <w:t xml:space="preserve">620 indicates the Legislature was </w:t>
      </w:r>
      <w:r>
        <w:rPr>
          <w:szCs w:val="26"/>
        </w:rPr>
        <w:t xml:space="preserve">also </w:t>
      </w:r>
      <w:r>
        <w:rPr>
          <w:szCs w:val="26"/>
        </w:rPr>
        <w:t>motivated to amend sections 12022.5 and 12022.53 by r</w:t>
      </w:r>
      <w:r>
        <w:rPr>
          <w:szCs w:val="26"/>
        </w:rPr>
        <w:t>esearch showing that mandatory sentence enhancements “[d]isproportionately increase[d] racial disparities in imprisonments,” had “no material deterrent effect,”</w:t>
      </w:r>
      <w:r>
        <w:rPr>
          <w:szCs w:val="26"/>
        </w:rPr>
        <w:t xml:space="preserve"> and “[g]reatly increase[d] the population of incarcerated persons.</w:t>
      </w:r>
      <w:r>
        <w:rPr>
          <w:szCs w:val="26"/>
        </w:rPr>
        <w:t>”</w:t>
      </w:r>
      <w:r>
        <w:rPr>
          <w:szCs w:val="26"/>
        </w:rPr>
        <w:t xml:space="preserve">  (Sen. Com. on Public</w:t>
      </w:r>
      <w:r>
        <w:rPr>
          <w:szCs w:val="26"/>
        </w:rPr>
        <w:t xml:space="preserve"> Safety, Re</w:t>
      </w:r>
      <w:r>
        <w:rPr>
          <w:szCs w:val="26"/>
        </w:rPr>
        <w:t>p. on Sen. Bill No. 620 (2017</w:t>
      </w:r>
      <w:r>
        <w:rPr>
          <w:szCs w:val="26"/>
        </w:rPr>
        <w:noBreakHyphen/>
      </w:r>
      <w:r>
        <w:rPr>
          <w:szCs w:val="26"/>
        </w:rPr>
        <w:t>2018 Reg. Sess.) Apr. </w:t>
      </w:r>
      <w:r>
        <w:rPr>
          <w:szCs w:val="26"/>
        </w:rPr>
        <w:t xml:space="preserve">25, 2017, </w:t>
      </w:r>
      <w:r>
        <w:rPr>
          <w:szCs w:val="26"/>
        </w:rPr>
        <w:t>p. </w:t>
      </w:r>
      <w:r>
        <w:rPr>
          <w:szCs w:val="26"/>
        </w:rPr>
        <w:t xml:space="preserve">3.)  Thus, the Legislature </w:t>
      </w:r>
      <w:r>
        <w:rPr>
          <w:szCs w:val="26"/>
        </w:rPr>
        <w:t>authorized</w:t>
      </w:r>
      <w:r>
        <w:rPr>
          <w:szCs w:val="26"/>
        </w:rPr>
        <w:t xml:space="preserve"> </w:t>
      </w:r>
      <w:r>
        <w:rPr>
          <w:szCs w:val="26"/>
        </w:rPr>
        <w:t xml:space="preserve">a </w:t>
      </w:r>
      <w:r>
        <w:rPr>
          <w:szCs w:val="26"/>
        </w:rPr>
        <w:t xml:space="preserve">trial court </w:t>
      </w:r>
      <w:r>
        <w:rPr>
          <w:szCs w:val="26"/>
        </w:rPr>
        <w:t xml:space="preserve">to </w:t>
      </w:r>
      <w:r>
        <w:rPr>
          <w:szCs w:val="26"/>
        </w:rPr>
        <w:t>dismiss a sentenc</w:t>
      </w:r>
      <w:r>
        <w:rPr>
          <w:szCs w:val="26"/>
        </w:rPr>
        <w:t>ing</w:t>
      </w:r>
      <w:r>
        <w:rPr>
          <w:szCs w:val="26"/>
        </w:rPr>
        <w:t xml:space="preserve"> allegation or </w:t>
      </w:r>
      <w:r>
        <w:rPr>
          <w:szCs w:val="26"/>
        </w:rPr>
        <w:t xml:space="preserve">an </w:t>
      </w:r>
      <w:r>
        <w:rPr>
          <w:szCs w:val="26"/>
        </w:rPr>
        <w:t xml:space="preserve">enhancement under section 1385 for </w:t>
      </w:r>
      <w:r>
        <w:rPr>
          <w:szCs w:val="26"/>
        </w:rPr>
        <w:t xml:space="preserve">a </w:t>
      </w:r>
      <w:r>
        <w:rPr>
          <w:szCs w:val="26"/>
        </w:rPr>
        <w:t xml:space="preserve">“deserving defendant,” </w:t>
      </w:r>
      <w:r>
        <w:rPr>
          <w:szCs w:val="26"/>
        </w:rPr>
        <w:t>but allow</w:t>
      </w:r>
      <w:r>
        <w:rPr>
          <w:szCs w:val="26"/>
        </w:rPr>
        <w:t>ed</w:t>
      </w:r>
      <w:r>
        <w:rPr>
          <w:szCs w:val="26"/>
        </w:rPr>
        <w:t xml:space="preserve"> </w:t>
      </w:r>
      <w:r>
        <w:rPr>
          <w:szCs w:val="26"/>
        </w:rPr>
        <w:t xml:space="preserve">a </w:t>
      </w:r>
      <w:r>
        <w:rPr>
          <w:szCs w:val="26"/>
        </w:rPr>
        <w:t xml:space="preserve">trial court to impose the enhancement on </w:t>
      </w:r>
      <w:r>
        <w:rPr>
          <w:szCs w:val="26"/>
        </w:rPr>
        <w:t xml:space="preserve">“a defendant who merited additional punishment for the use of a firearm in the commission of a felony </w:t>
      </w:r>
      <w:r>
        <w:rPr>
          <w:szCs w:val="26"/>
        </w:rPr>
        <w:t>. . . .</w:t>
      </w:r>
      <w:r>
        <w:rPr>
          <w:szCs w:val="26"/>
        </w:rPr>
        <w:t xml:space="preserve">”  </w:t>
      </w:r>
      <w:r>
        <w:rPr>
          <w:szCs w:val="26"/>
        </w:rPr>
        <w:t>(Sen. Com. on Public</w:t>
      </w:r>
      <w:r>
        <w:rPr>
          <w:szCs w:val="26"/>
        </w:rPr>
        <w:t xml:space="preserve"> Safet</w:t>
      </w:r>
      <w:r>
        <w:rPr>
          <w:szCs w:val="26"/>
        </w:rPr>
        <w:t>y, Re</w:t>
      </w:r>
      <w:r>
        <w:rPr>
          <w:szCs w:val="26"/>
        </w:rPr>
        <w:t xml:space="preserve">p. </w:t>
      </w:r>
      <w:r>
        <w:rPr>
          <w:szCs w:val="26"/>
        </w:rPr>
        <w:t>on Sen. Bill No. </w:t>
      </w:r>
      <w:r>
        <w:rPr>
          <w:szCs w:val="26"/>
        </w:rPr>
        <w:t>620</w:t>
      </w:r>
      <w:r>
        <w:rPr>
          <w:szCs w:val="26"/>
        </w:rPr>
        <w:t xml:space="preserve"> </w:t>
      </w:r>
      <w:r>
        <w:rPr>
          <w:szCs w:val="26"/>
        </w:rPr>
        <w:t>(2017</w:t>
      </w:r>
      <w:r>
        <w:rPr>
          <w:szCs w:val="26"/>
        </w:rPr>
        <w:noBreakHyphen/>
        <w:t>2018 Reg. Sess.) Apr. 25, 2017</w:t>
      </w:r>
      <w:r>
        <w:rPr>
          <w:szCs w:val="26"/>
        </w:rPr>
        <w:t xml:space="preserve"> at </w:t>
      </w:r>
      <w:r>
        <w:rPr>
          <w:szCs w:val="26"/>
        </w:rPr>
        <w:t>p. </w:t>
      </w:r>
      <w:r>
        <w:rPr>
          <w:szCs w:val="26"/>
        </w:rPr>
        <w:t>7.)</w:t>
      </w:r>
      <w:r>
        <w:rPr>
          <w:szCs w:val="26"/>
        </w:rPr>
        <w:t xml:space="preserve">  The Supreme Court r</w:t>
      </w:r>
      <w:r>
        <w:rPr>
          <w:szCs w:val="26"/>
        </w:rPr>
        <w:t>ecently said of Senate Bill No. </w:t>
      </w:r>
      <w:r>
        <w:rPr>
          <w:szCs w:val="26"/>
        </w:rPr>
        <w:t>620</w:t>
      </w:r>
      <w:r>
        <w:rPr>
          <w:szCs w:val="26"/>
        </w:rPr>
        <w:t xml:space="preserve">:  </w:t>
      </w:r>
      <w:r>
        <w:rPr>
          <w:szCs w:val="26"/>
        </w:rPr>
        <w:t>“</w:t>
      </w:r>
      <w:r w:rsidRPr="001958A9">
        <w:rPr>
          <w:szCs w:val="26"/>
        </w:rPr>
        <w:t xml:space="preserve">This history reflects a legislative intent to retain the core characteristics of the sentencing scheme. </w:t>
      </w:r>
      <w:r>
        <w:rPr>
          <w:szCs w:val="26"/>
        </w:rPr>
        <w:t xml:space="preserve"> </w:t>
      </w:r>
      <w:r w:rsidRPr="001958A9">
        <w:rPr>
          <w:szCs w:val="26"/>
        </w:rPr>
        <w:t>More severe term</w:t>
      </w:r>
      <w:r w:rsidRPr="001958A9">
        <w:rPr>
          <w:szCs w:val="26"/>
        </w:rPr>
        <w:t xml:space="preserve">s of imprisonment with the harshest applicable sentence remained the default punishment. </w:t>
      </w:r>
      <w:r>
        <w:rPr>
          <w:szCs w:val="26"/>
        </w:rPr>
        <w:t xml:space="preserve"> </w:t>
      </w:r>
      <w:r w:rsidRPr="001958A9">
        <w:rPr>
          <w:szCs w:val="26"/>
        </w:rPr>
        <w:t>However, courts were granted the flexibility to impose lighter sentences in appropriate circumstances.</w:t>
      </w:r>
      <w:r>
        <w:rPr>
          <w:szCs w:val="26"/>
        </w:rPr>
        <w:t>”  (</w:t>
      </w:r>
      <w:r w:rsidRPr="001958A9">
        <w:rPr>
          <w:i/>
          <w:iCs/>
          <w:szCs w:val="26"/>
        </w:rPr>
        <w:t>Tirado</w:t>
      </w:r>
      <w:r>
        <w:rPr>
          <w:szCs w:val="26"/>
        </w:rPr>
        <w:t xml:space="preserve">, </w:t>
      </w:r>
      <w:r>
        <w:rPr>
          <w:i/>
          <w:iCs/>
          <w:szCs w:val="26"/>
        </w:rPr>
        <w:t>supra</w:t>
      </w:r>
      <w:r>
        <w:rPr>
          <w:szCs w:val="26"/>
        </w:rPr>
        <w:t>,</w:t>
      </w:r>
      <w:r>
        <w:rPr>
          <w:i/>
          <w:iCs/>
          <w:szCs w:val="26"/>
        </w:rPr>
        <w:t xml:space="preserve"> </w:t>
      </w:r>
      <w:r>
        <w:rPr>
          <w:szCs w:val="26"/>
        </w:rPr>
        <w:t>12 </w:t>
      </w:r>
      <w:r>
        <w:rPr>
          <w:szCs w:val="26"/>
        </w:rPr>
        <w:t>Cal.5th</w:t>
      </w:r>
      <w:r w:rsidRPr="001958A9">
        <w:rPr>
          <w:szCs w:val="26"/>
        </w:rPr>
        <w:t xml:space="preserve"> at </w:t>
      </w:r>
      <w:r>
        <w:rPr>
          <w:szCs w:val="26"/>
        </w:rPr>
        <w:t>p</w:t>
      </w:r>
      <w:r>
        <w:rPr>
          <w:szCs w:val="26"/>
        </w:rPr>
        <w:t>p</w:t>
      </w:r>
      <w:r>
        <w:rPr>
          <w:szCs w:val="26"/>
        </w:rPr>
        <w:t>. </w:t>
      </w:r>
      <w:r>
        <w:rPr>
          <w:szCs w:val="26"/>
        </w:rPr>
        <w:t>7</w:t>
      </w:r>
      <w:r>
        <w:rPr>
          <w:szCs w:val="26"/>
        </w:rPr>
        <w:t>01</w:t>
      </w:r>
      <w:r>
        <w:rPr>
          <w:szCs w:val="26"/>
        </w:rPr>
        <w:noBreakHyphen/>
      </w:r>
      <w:r>
        <w:rPr>
          <w:szCs w:val="26"/>
        </w:rPr>
        <w:t>702</w:t>
      </w:r>
      <w:r>
        <w:rPr>
          <w:szCs w:val="26"/>
        </w:rPr>
        <w:t>.)</w:t>
      </w:r>
    </w:p>
    <w:p w14:paraId="7F6B10BF" w14:textId="77777777" w:rsidR="00106A39" w:rsidRDefault="00861473" w:rsidP="00280AA5">
      <w:pPr>
        <w:ind w:firstLine="720"/>
        <w:rPr>
          <w:szCs w:val="26"/>
        </w:rPr>
      </w:pPr>
      <w:r>
        <w:rPr>
          <w:szCs w:val="26"/>
        </w:rPr>
        <w:t>In determining wh</w:t>
      </w:r>
      <w:r>
        <w:rPr>
          <w:szCs w:val="26"/>
        </w:rPr>
        <w:t>ether to dismiss a firearm enhancement under section 12022.5 or 12022.53, a court considers the same factors considered “</w:t>
      </w:r>
      <w:r>
        <w:rPr>
          <w:szCs w:val="26"/>
        </w:rPr>
        <w:t>‘</w:t>
      </w:r>
      <w:r>
        <w:rPr>
          <w:szCs w:val="26"/>
        </w:rPr>
        <w:t xml:space="preserve">when </w:t>
      </w:r>
      <w:r w:rsidRPr="00E37ECD">
        <w:rPr>
          <w:szCs w:val="26"/>
        </w:rPr>
        <w:t>handing down a sentence in the first instance.</w:t>
      </w:r>
      <w:r>
        <w:rPr>
          <w:szCs w:val="26"/>
        </w:rPr>
        <w:t>’</w:t>
      </w:r>
      <w:r w:rsidRPr="00E37ECD">
        <w:rPr>
          <w:szCs w:val="26"/>
        </w:rPr>
        <w:t>”</w:t>
      </w:r>
      <w:r>
        <w:rPr>
          <w:szCs w:val="26"/>
        </w:rPr>
        <w:t xml:space="preserve">  (</w:t>
      </w:r>
      <w:r w:rsidRPr="00E37ECD">
        <w:rPr>
          <w:i/>
          <w:iCs/>
          <w:szCs w:val="26"/>
        </w:rPr>
        <w:t>People v. Flores</w:t>
      </w:r>
      <w:r>
        <w:rPr>
          <w:szCs w:val="26"/>
        </w:rPr>
        <w:t xml:space="preserve">, </w:t>
      </w:r>
      <w:r w:rsidRPr="003E279E">
        <w:rPr>
          <w:i/>
          <w:szCs w:val="26"/>
        </w:rPr>
        <w:t>supra</w:t>
      </w:r>
      <w:r>
        <w:rPr>
          <w:szCs w:val="26"/>
        </w:rPr>
        <w:t>,</w:t>
      </w:r>
      <w:r>
        <w:rPr>
          <w:szCs w:val="26"/>
        </w:rPr>
        <w:t xml:space="preserve"> 63 </w:t>
      </w:r>
      <w:r>
        <w:rPr>
          <w:szCs w:val="26"/>
        </w:rPr>
        <w:t>Cal.App.5th at p. </w:t>
      </w:r>
      <w:r w:rsidRPr="00E37ECD">
        <w:rPr>
          <w:szCs w:val="26"/>
        </w:rPr>
        <w:t>377</w:t>
      </w:r>
      <w:r>
        <w:rPr>
          <w:szCs w:val="26"/>
        </w:rPr>
        <w:t xml:space="preserve">; </w:t>
      </w:r>
      <w:r>
        <w:rPr>
          <w:szCs w:val="26"/>
        </w:rPr>
        <w:t xml:space="preserve">see </w:t>
      </w:r>
      <w:r w:rsidRPr="00E37ECD">
        <w:rPr>
          <w:i/>
          <w:iCs/>
          <w:szCs w:val="26"/>
        </w:rPr>
        <w:t>People v. Yanaga</w:t>
      </w:r>
      <w:r>
        <w:rPr>
          <w:szCs w:val="26"/>
        </w:rPr>
        <w:t xml:space="preserve"> (2020) 58 </w:t>
      </w:r>
      <w:r w:rsidRPr="00E37ECD">
        <w:rPr>
          <w:szCs w:val="26"/>
        </w:rPr>
        <w:t>Cal.App.5th 619, 626</w:t>
      </w:r>
      <w:r>
        <w:rPr>
          <w:szCs w:val="26"/>
        </w:rPr>
        <w:noBreakHyphen/>
      </w:r>
      <w:r w:rsidRPr="00E37ECD">
        <w:rPr>
          <w:szCs w:val="26"/>
        </w:rPr>
        <w:t>627</w:t>
      </w:r>
      <w:r>
        <w:rPr>
          <w:szCs w:val="26"/>
        </w:rPr>
        <w:t xml:space="preserve">; </w:t>
      </w:r>
      <w:r w:rsidRPr="008268EE">
        <w:rPr>
          <w:i/>
          <w:iCs/>
          <w:szCs w:val="26"/>
        </w:rPr>
        <w:t>People v. Pearson</w:t>
      </w:r>
      <w:r>
        <w:rPr>
          <w:szCs w:val="26"/>
        </w:rPr>
        <w:t xml:space="preserve">, </w:t>
      </w:r>
      <w:r w:rsidRPr="003E279E">
        <w:rPr>
          <w:i/>
          <w:szCs w:val="26"/>
        </w:rPr>
        <w:t>supra</w:t>
      </w:r>
      <w:r>
        <w:rPr>
          <w:szCs w:val="26"/>
        </w:rPr>
        <w:t>,</w:t>
      </w:r>
      <w:r>
        <w:rPr>
          <w:szCs w:val="26"/>
        </w:rPr>
        <w:t xml:space="preserve"> 38 </w:t>
      </w:r>
      <w:r>
        <w:rPr>
          <w:szCs w:val="26"/>
        </w:rPr>
        <w:t>Cal.App.5th at p. </w:t>
      </w:r>
      <w:r w:rsidRPr="008268EE">
        <w:rPr>
          <w:szCs w:val="26"/>
        </w:rPr>
        <w:t>117</w:t>
      </w:r>
      <w:r>
        <w:rPr>
          <w:szCs w:val="26"/>
        </w:rPr>
        <w:t xml:space="preserve">.)  </w:t>
      </w:r>
      <w:r>
        <w:rPr>
          <w:szCs w:val="26"/>
        </w:rPr>
        <w:t xml:space="preserve">These factors include </w:t>
      </w:r>
      <w:r>
        <w:rPr>
          <w:szCs w:val="26"/>
        </w:rPr>
        <w:lastRenderedPageBreak/>
        <w:t xml:space="preserve">those </w:t>
      </w:r>
      <w:r w:rsidRPr="008268EE">
        <w:rPr>
          <w:szCs w:val="26"/>
        </w:rPr>
        <w:t xml:space="preserve">listed in </w:t>
      </w:r>
      <w:r>
        <w:rPr>
          <w:szCs w:val="26"/>
        </w:rPr>
        <w:t>California Rules of Court, rule </w:t>
      </w:r>
      <w:r w:rsidRPr="008268EE">
        <w:rPr>
          <w:szCs w:val="26"/>
        </w:rPr>
        <w:t>4.410 (general o</w:t>
      </w:r>
      <w:r>
        <w:rPr>
          <w:szCs w:val="26"/>
        </w:rPr>
        <w:t>bjectives in sentencing), rules 4.421 and </w:t>
      </w:r>
      <w:r w:rsidRPr="008268EE">
        <w:rPr>
          <w:szCs w:val="26"/>
        </w:rPr>
        <w:t>4.423</w:t>
      </w:r>
      <w:r>
        <w:rPr>
          <w:szCs w:val="26"/>
        </w:rPr>
        <w:t xml:space="preserve"> (</w:t>
      </w:r>
      <w:r w:rsidRPr="008268EE">
        <w:rPr>
          <w:szCs w:val="26"/>
        </w:rPr>
        <w:t>circumstances in aggravation a</w:t>
      </w:r>
      <w:r w:rsidRPr="008268EE">
        <w:rPr>
          <w:szCs w:val="26"/>
        </w:rPr>
        <w:t>nd mitigation</w:t>
      </w:r>
      <w:r>
        <w:rPr>
          <w:szCs w:val="26"/>
        </w:rPr>
        <w:t>)</w:t>
      </w:r>
      <w:r>
        <w:rPr>
          <w:szCs w:val="26"/>
        </w:rPr>
        <w:t xml:space="preserve">, and </w:t>
      </w:r>
      <w:r w:rsidRPr="008268EE">
        <w:rPr>
          <w:szCs w:val="26"/>
        </w:rPr>
        <w:t>rule 4.428(b)</w:t>
      </w:r>
      <w:r>
        <w:rPr>
          <w:szCs w:val="26"/>
        </w:rPr>
        <w:t xml:space="preserve"> (discretion in striking an enhancement and punishment for an enhancement under section 1385)</w:t>
      </w:r>
      <w:r>
        <w:rPr>
          <w:szCs w:val="26"/>
        </w:rPr>
        <w:t xml:space="preserve">. </w:t>
      </w:r>
      <w:r w:rsidRPr="008268EE">
        <w:rPr>
          <w:szCs w:val="26"/>
        </w:rPr>
        <w:t xml:space="preserve"> </w:t>
      </w:r>
      <w:r>
        <w:rPr>
          <w:szCs w:val="26"/>
        </w:rPr>
        <w:t xml:space="preserve">These rules </w:t>
      </w:r>
      <w:r>
        <w:rPr>
          <w:szCs w:val="26"/>
        </w:rPr>
        <w:t>refer to</w:t>
      </w:r>
      <w:r>
        <w:rPr>
          <w:szCs w:val="26"/>
        </w:rPr>
        <w:t xml:space="preserve"> c</w:t>
      </w:r>
      <w:r>
        <w:rPr>
          <w:szCs w:val="26"/>
        </w:rPr>
        <w:t xml:space="preserve">ircumstances specific to the crime and the defendant’s criminal history, as well as </w:t>
      </w:r>
      <w:r>
        <w:rPr>
          <w:szCs w:val="26"/>
        </w:rPr>
        <w:t xml:space="preserve">to </w:t>
      </w:r>
      <w:r>
        <w:rPr>
          <w:szCs w:val="26"/>
        </w:rPr>
        <w:t xml:space="preserve">broader societal </w:t>
      </w:r>
      <w:r>
        <w:rPr>
          <w:szCs w:val="26"/>
        </w:rPr>
        <w:t>o</w:t>
      </w:r>
      <w:r>
        <w:rPr>
          <w:szCs w:val="26"/>
        </w:rPr>
        <w:t>bjectives</w:t>
      </w:r>
      <w:r>
        <w:rPr>
          <w:szCs w:val="26"/>
        </w:rPr>
        <w:t>, such as “[d]</w:t>
      </w:r>
      <w:r w:rsidRPr="00E57079">
        <w:rPr>
          <w:szCs w:val="26"/>
        </w:rPr>
        <w:t>eterring others from criminal conduct by demonstrating its consequences</w:t>
      </w:r>
      <w:r>
        <w:rPr>
          <w:szCs w:val="26"/>
        </w:rPr>
        <w:t>” and “[i]</w:t>
      </w:r>
      <w:r w:rsidRPr="00E57079">
        <w:rPr>
          <w:szCs w:val="26"/>
        </w:rPr>
        <w:t>ncreasing public safety by reducing recidivism through community-based corrections programs and evidence-based practices</w:t>
      </w:r>
      <w:r>
        <w:rPr>
          <w:szCs w:val="26"/>
        </w:rPr>
        <w:t>.”  (Cal. Rules of Court, rule </w:t>
      </w:r>
      <w:r>
        <w:rPr>
          <w:szCs w:val="26"/>
        </w:rPr>
        <w:t>4</w:t>
      </w:r>
      <w:r>
        <w:rPr>
          <w:szCs w:val="26"/>
        </w:rPr>
        <w:t>.410</w:t>
      </w:r>
      <w:r>
        <w:rPr>
          <w:szCs w:val="26"/>
        </w:rPr>
        <w:t>(a)</w:t>
      </w:r>
      <w:r>
        <w:rPr>
          <w:szCs w:val="26"/>
        </w:rPr>
        <w:t>(4)</w:t>
      </w:r>
      <w:r>
        <w:rPr>
          <w:szCs w:val="26"/>
        </w:rPr>
        <w:t xml:space="preserve"> &amp;</w:t>
      </w:r>
      <w:r>
        <w:rPr>
          <w:szCs w:val="26"/>
        </w:rPr>
        <w:t xml:space="preserve"> (8).)  </w:t>
      </w:r>
      <w:r>
        <w:rPr>
          <w:szCs w:val="26"/>
        </w:rPr>
        <w:t xml:space="preserve">The </w:t>
      </w:r>
      <w:r>
        <w:rPr>
          <w:szCs w:val="26"/>
        </w:rPr>
        <w:t xml:space="preserve">rules state the </w:t>
      </w:r>
      <w:r>
        <w:rPr>
          <w:szCs w:val="26"/>
        </w:rPr>
        <w:t>trial court “</w:t>
      </w:r>
      <w:r w:rsidRPr="00E57079">
        <w:rPr>
          <w:szCs w:val="26"/>
        </w:rPr>
        <w:t xml:space="preserve">should be guided by statutory statements of policy, the criteria in </w:t>
      </w:r>
      <w:r>
        <w:rPr>
          <w:szCs w:val="26"/>
        </w:rPr>
        <w:t>[the Rules of Court]</w:t>
      </w:r>
      <w:r w:rsidRPr="00E57079">
        <w:rPr>
          <w:szCs w:val="26"/>
        </w:rPr>
        <w:t>, and</w:t>
      </w:r>
      <w:r>
        <w:rPr>
          <w:szCs w:val="26"/>
        </w:rPr>
        <w:t xml:space="preserve"> </w:t>
      </w:r>
      <w:r w:rsidRPr="00E57079">
        <w:rPr>
          <w:szCs w:val="26"/>
        </w:rPr>
        <w:t>any other</w:t>
      </w:r>
      <w:r>
        <w:rPr>
          <w:szCs w:val="26"/>
        </w:rPr>
        <w:t xml:space="preserve"> </w:t>
      </w:r>
      <w:r w:rsidRPr="00E57079">
        <w:rPr>
          <w:szCs w:val="26"/>
        </w:rPr>
        <w:t>facts and circumstances</w:t>
      </w:r>
      <w:r>
        <w:rPr>
          <w:szCs w:val="26"/>
        </w:rPr>
        <w:t xml:space="preserve"> </w:t>
      </w:r>
      <w:r w:rsidRPr="00E57079">
        <w:rPr>
          <w:szCs w:val="26"/>
        </w:rPr>
        <w:t>relevant to</w:t>
      </w:r>
      <w:r>
        <w:rPr>
          <w:szCs w:val="26"/>
        </w:rPr>
        <w:t xml:space="preserve"> </w:t>
      </w:r>
      <w:r w:rsidRPr="00E57079">
        <w:rPr>
          <w:szCs w:val="26"/>
        </w:rPr>
        <w:t>the case.</w:t>
      </w:r>
      <w:r>
        <w:rPr>
          <w:szCs w:val="26"/>
        </w:rPr>
        <w:t>”  (</w:t>
      </w:r>
      <w:r>
        <w:rPr>
          <w:i/>
          <w:iCs/>
          <w:szCs w:val="26"/>
        </w:rPr>
        <w:t>Id</w:t>
      </w:r>
      <w:r>
        <w:rPr>
          <w:szCs w:val="26"/>
        </w:rPr>
        <w:t>.</w:t>
      </w:r>
      <w:r>
        <w:rPr>
          <w:szCs w:val="26"/>
        </w:rPr>
        <w:t>,</w:t>
      </w:r>
      <w:r>
        <w:rPr>
          <w:szCs w:val="26"/>
        </w:rPr>
        <w:t xml:space="preserve"> rule </w:t>
      </w:r>
      <w:r>
        <w:rPr>
          <w:szCs w:val="26"/>
        </w:rPr>
        <w:t>4.410(b).)</w:t>
      </w:r>
    </w:p>
    <w:p w14:paraId="496E6420" w14:textId="77777777" w:rsidR="00812FC7" w:rsidRDefault="00861473" w:rsidP="00CE52FD">
      <w:pPr>
        <w:ind w:firstLine="720"/>
        <w:rPr>
          <w:szCs w:val="26"/>
        </w:rPr>
      </w:pPr>
    </w:p>
    <w:p w14:paraId="2B03F977" w14:textId="77777777" w:rsidR="006A7EDA" w:rsidRPr="003E51F9" w:rsidRDefault="00861473" w:rsidP="00D63C9D">
      <w:pPr>
        <w:keepNext/>
        <w:ind w:left="1440" w:hanging="720"/>
        <w:rPr>
          <w:bCs/>
          <w:iCs/>
        </w:rPr>
      </w:pPr>
      <w:r>
        <w:rPr>
          <w:bCs/>
          <w:iCs/>
        </w:rPr>
        <w:t>C.</w:t>
      </w:r>
      <w:r>
        <w:rPr>
          <w:bCs/>
          <w:iCs/>
        </w:rPr>
        <w:tab/>
      </w:r>
      <w:r>
        <w:rPr>
          <w:i/>
          <w:iCs/>
        </w:rPr>
        <w:t xml:space="preserve">The Trial Court </w:t>
      </w:r>
      <w:r>
        <w:rPr>
          <w:i/>
          <w:iCs/>
        </w:rPr>
        <w:t>Erred in Refusing To Consider the District Attorney’s Special Directive in Denying the People’s Motion To Dismiss Under Section 1385</w:t>
      </w:r>
    </w:p>
    <w:p w14:paraId="52861BE7" w14:textId="77777777" w:rsidR="00160682" w:rsidRDefault="00861473" w:rsidP="00D63C9D">
      <w:pPr>
        <w:keepNext/>
        <w:ind w:firstLine="720"/>
        <w:rPr>
          <w:szCs w:val="26"/>
        </w:rPr>
      </w:pPr>
      <w:r>
        <w:rPr>
          <w:szCs w:val="26"/>
        </w:rPr>
        <w:t>The trial court misunderstood the scope of its discretion when it refused to consider Special Directive</w:t>
      </w:r>
      <w:r>
        <w:rPr>
          <w:szCs w:val="26"/>
        </w:rPr>
        <w:t xml:space="preserve"> 20</w:t>
      </w:r>
      <w:r>
        <w:rPr>
          <w:szCs w:val="26"/>
        </w:rPr>
        <w:noBreakHyphen/>
      </w:r>
      <w:r>
        <w:rPr>
          <w:szCs w:val="26"/>
        </w:rPr>
        <w:t>08</w:t>
      </w:r>
      <w:r>
        <w:rPr>
          <w:szCs w:val="26"/>
        </w:rPr>
        <w:t xml:space="preserve"> in determinin</w:t>
      </w:r>
      <w:r>
        <w:rPr>
          <w:szCs w:val="26"/>
        </w:rPr>
        <w:t>g whether to grant the motion to dismiss the firearm enhancements alleged again</w:t>
      </w:r>
      <w:r>
        <w:rPr>
          <w:szCs w:val="26"/>
        </w:rPr>
        <w:t>st Nazir.  Special Directive 20</w:t>
      </w:r>
      <w:r>
        <w:rPr>
          <w:szCs w:val="26"/>
        </w:rPr>
        <w:noBreakHyphen/>
      </w:r>
      <w:r>
        <w:rPr>
          <w:szCs w:val="26"/>
        </w:rPr>
        <w:t xml:space="preserve">08 states that the </w:t>
      </w:r>
      <w:r>
        <w:rPr>
          <w:szCs w:val="26"/>
        </w:rPr>
        <w:t>d</w:t>
      </w:r>
      <w:r>
        <w:rPr>
          <w:szCs w:val="26"/>
        </w:rPr>
        <w:t xml:space="preserve">istrict </w:t>
      </w:r>
      <w:r>
        <w:rPr>
          <w:szCs w:val="26"/>
        </w:rPr>
        <w:t>a</w:t>
      </w:r>
      <w:r>
        <w:rPr>
          <w:szCs w:val="26"/>
        </w:rPr>
        <w:t xml:space="preserve">ttorney’s new policy was </w:t>
      </w:r>
      <w:r>
        <w:rPr>
          <w:szCs w:val="26"/>
        </w:rPr>
        <w:t>based on research showing</w:t>
      </w:r>
      <w:r>
        <w:rPr>
          <w:szCs w:val="26"/>
        </w:rPr>
        <w:t xml:space="preserve"> </w:t>
      </w:r>
      <w:r>
        <w:rPr>
          <w:szCs w:val="26"/>
        </w:rPr>
        <w:t>that</w:t>
      </w:r>
      <w:r>
        <w:rPr>
          <w:szCs w:val="26"/>
        </w:rPr>
        <w:t xml:space="preserve"> existing sentence enhancements do not deter crime or reduce </w:t>
      </w:r>
      <w:r>
        <w:rPr>
          <w:szCs w:val="26"/>
        </w:rPr>
        <w:t>recidivism</w:t>
      </w:r>
      <w:r>
        <w:rPr>
          <w:szCs w:val="26"/>
        </w:rPr>
        <w:t xml:space="preserve">, </w:t>
      </w:r>
      <w:r>
        <w:rPr>
          <w:szCs w:val="26"/>
        </w:rPr>
        <w:t>which are objectives of the criminal justice system</w:t>
      </w:r>
      <w:r>
        <w:rPr>
          <w:szCs w:val="26"/>
        </w:rPr>
        <w:t xml:space="preserve"> a court may consider in determining whether to impose a </w:t>
      </w:r>
      <w:r>
        <w:rPr>
          <w:szCs w:val="26"/>
        </w:rPr>
        <w:t>firearm</w:t>
      </w:r>
      <w:r>
        <w:rPr>
          <w:szCs w:val="26"/>
        </w:rPr>
        <w:t xml:space="preserve"> enhancement</w:t>
      </w:r>
      <w:r>
        <w:rPr>
          <w:szCs w:val="26"/>
        </w:rPr>
        <w:t xml:space="preserve"> </w:t>
      </w:r>
      <w:r>
        <w:rPr>
          <w:szCs w:val="26"/>
        </w:rPr>
        <w:t xml:space="preserve">under section 12022.5 or 12022.53, </w:t>
      </w:r>
      <w:r>
        <w:rPr>
          <w:szCs w:val="26"/>
        </w:rPr>
        <w:t>and</w:t>
      </w:r>
      <w:r>
        <w:rPr>
          <w:szCs w:val="26"/>
        </w:rPr>
        <w:t xml:space="preserve"> thus </w:t>
      </w:r>
      <w:r>
        <w:rPr>
          <w:szCs w:val="26"/>
        </w:rPr>
        <w:t xml:space="preserve">are relevant to determining </w:t>
      </w:r>
      <w:r>
        <w:rPr>
          <w:szCs w:val="26"/>
        </w:rPr>
        <w:t>whether to dismiss a</w:t>
      </w:r>
      <w:r>
        <w:rPr>
          <w:szCs w:val="26"/>
        </w:rPr>
        <w:t>n</w:t>
      </w:r>
      <w:r>
        <w:rPr>
          <w:szCs w:val="26"/>
        </w:rPr>
        <w:t xml:space="preserve"> </w:t>
      </w:r>
      <w:r>
        <w:rPr>
          <w:szCs w:val="26"/>
        </w:rPr>
        <w:t>enhancement</w:t>
      </w:r>
      <w:r>
        <w:rPr>
          <w:szCs w:val="26"/>
        </w:rPr>
        <w:t xml:space="preserve">.  </w:t>
      </w:r>
      <w:r>
        <w:rPr>
          <w:szCs w:val="26"/>
        </w:rPr>
        <w:t>(See </w:t>
      </w:r>
      <w:r w:rsidRPr="008268EE">
        <w:rPr>
          <w:i/>
          <w:iCs/>
          <w:szCs w:val="26"/>
        </w:rPr>
        <w:t>People v. Pearson</w:t>
      </w:r>
      <w:r>
        <w:rPr>
          <w:szCs w:val="26"/>
        </w:rPr>
        <w:t xml:space="preserve">, </w:t>
      </w:r>
      <w:r>
        <w:rPr>
          <w:i/>
          <w:iCs/>
          <w:szCs w:val="26"/>
        </w:rPr>
        <w:t>supra</w:t>
      </w:r>
      <w:r>
        <w:rPr>
          <w:szCs w:val="26"/>
        </w:rPr>
        <w:t>,</w:t>
      </w:r>
      <w:r>
        <w:rPr>
          <w:i/>
          <w:iCs/>
          <w:szCs w:val="26"/>
        </w:rPr>
        <w:t xml:space="preserve"> </w:t>
      </w:r>
      <w:r w:rsidRPr="008268EE">
        <w:rPr>
          <w:szCs w:val="26"/>
        </w:rPr>
        <w:t>38</w:t>
      </w:r>
      <w:r>
        <w:rPr>
          <w:szCs w:val="26"/>
        </w:rPr>
        <w:t> </w:t>
      </w:r>
      <w:r w:rsidRPr="008268EE">
        <w:rPr>
          <w:szCs w:val="26"/>
        </w:rPr>
        <w:t xml:space="preserve">Cal.App.5th </w:t>
      </w:r>
      <w:r>
        <w:rPr>
          <w:szCs w:val="26"/>
        </w:rPr>
        <w:t xml:space="preserve">at </w:t>
      </w:r>
      <w:r>
        <w:rPr>
          <w:szCs w:val="26"/>
        </w:rPr>
        <w:t>p. </w:t>
      </w:r>
      <w:r w:rsidRPr="008268EE">
        <w:rPr>
          <w:szCs w:val="26"/>
        </w:rPr>
        <w:t>117</w:t>
      </w:r>
      <w:r>
        <w:rPr>
          <w:szCs w:val="26"/>
        </w:rPr>
        <w:t xml:space="preserve">; </w:t>
      </w:r>
      <w:r>
        <w:rPr>
          <w:szCs w:val="26"/>
        </w:rPr>
        <w:t>Cal. Rules of Court, rule </w:t>
      </w:r>
      <w:r>
        <w:rPr>
          <w:szCs w:val="26"/>
        </w:rPr>
        <w:t>4.410</w:t>
      </w:r>
      <w:r>
        <w:rPr>
          <w:szCs w:val="26"/>
        </w:rPr>
        <w:t xml:space="preserve">(a)(4) </w:t>
      </w:r>
      <w:r>
        <w:rPr>
          <w:szCs w:val="26"/>
        </w:rPr>
        <w:lastRenderedPageBreak/>
        <w:t>&amp; </w:t>
      </w:r>
      <w:r>
        <w:rPr>
          <w:szCs w:val="26"/>
        </w:rPr>
        <w:t xml:space="preserve">(8).)  The court’s statement </w:t>
      </w:r>
      <w:r>
        <w:rPr>
          <w:szCs w:val="26"/>
        </w:rPr>
        <w:t>on December </w:t>
      </w:r>
      <w:r>
        <w:rPr>
          <w:szCs w:val="26"/>
        </w:rPr>
        <w:t xml:space="preserve">11, 2020 </w:t>
      </w:r>
      <w:r>
        <w:rPr>
          <w:szCs w:val="26"/>
        </w:rPr>
        <w:t xml:space="preserve">that </w:t>
      </w:r>
      <w:r>
        <w:rPr>
          <w:szCs w:val="26"/>
        </w:rPr>
        <w:t xml:space="preserve">it could not base a ruling under section 1385 on “any </w:t>
      </w:r>
      <w:r>
        <w:rPr>
          <w:szCs w:val="26"/>
        </w:rPr>
        <w:t xml:space="preserve">antipathy </w:t>
      </w:r>
      <w:r>
        <w:rPr>
          <w:szCs w:val="26"/>
        </w:rPr>
        <w:t>or disagreement with the statutory schem</w:t>
      </w:r>
      <w:r>
        <w:rPr>
          <w:szCs w:val="26"/>
        </w:rPr>
        <w:t>e</w:t>
      </w:r>
      <w:r>
        <w:rPr>
          <w:szCs w:val="26"/>
        </w:rPr>
        <w:t>,</w:t>
      </w:r>
      <w:r>
        <w:rPr>
          <w:szCs w:val="26"/>
        </w:rPr>
        <w:t>”</w:t>
      </w:r>
      <w:r>
        <w:rPr>
          <w:szCs w:val="26"/>
        </w:rPr>
        <w:t xml:space="preserve"> </w:t>
      </w:r>
      <w:r>
        <w:rPr>
          <w:szCs w:val="26"/>
        </w:rPr>
        <w:t xml:space="preserve">and </w:t>
      </w:r>
      <w:r>
        <w:rPr>
          <w:szCs w:val="26"/>
        </w:rPr>
        <w:t xml:space="preserve">the court’s </w:t>
      </w:r>
      <w:r>
        <w:rPr>
          <w:szCs w:val="26"/>
        </w:rPr>
        <w:t>statement a week later that</w:t>
      </w:r>
      <w:r>
        <w:rPr>
          <w:szCs w:val="26"/>
        </w:rPr>
        <w:t xml:space="preserve"> to grant the motion</w:t>
      </w:r>
      <w:r>
        <w:rPr>
          <w:szCs w:val="26"/>
        </w:rPr>
        <w:t xml:space="preserve"> it “would have to adopt [the </w:t>
      </w:r>
      <w:r>
        <w:rPr>
          <w:szCs w:val="26"/>
        </w:rPr>
        <w:t>d</w:t>
      </w:r>
      <w:r>
        <w:rPr>
          <w:szCs w:val="26"/>
        </w:rPr>
        <w:t xml:space="preserve">istrict </w:t>
      </w:r>
      <w:r>
        <w:rPr>
          <w:szCs w:val="26"/>
        </w:rPr>
        <w:t>a</w:t>
      </w:r>
      <w:r>
        <w:rPr>
          <w:szCs w:val="26"/>
        </w:rPr>
        <w:t>ttorney’s] rationale</w:t>
      </w:r>
      <w:r>
        <w:rPr>
          <w:szCs w:val="26"/>
        </w:rPr>
        <w:t>,</w:t>
      </w:r>
      <w:r>
        <w:rPr>
          <w:szCs w:val="26"/>
        </w:rPr>
        <w:t xml:space="preserve">” </w:t>
      </w:r>
      <w:r>
        <w:rPr>
          <w:szCs w:val="26"/>
        </w:rPr>
        <w:t>misapplied</w:t>
      </w:r>
      <w:r>
        <w:rPr>
          <w:szCs w:val="26"/>
        </w:rPr>
        <w:t xml:space="preserve"> </w:t>
      </w:r>
      <w:r>
        <w:rPr>
          <w:szCs w:val="26"/>
        </w:rPr>
        <w:t xml:space="preserve">the Supreme Court’s </w:t>
      </w:r>
      <w:r>
        <w:rPr>
          <w:szCs w:val="26"/>
        </w:rPr>
        <w:t xml:space="preserve">guidance </w:t>
      </w:r>
      <w:r>
        <w:rPr>
          <w:szCs w:val="26"/>
        </w:rPr>
        <w:t xml:space="preserve">in </w:t>
      </w:r>
      <w:r>
        <w:rPr>
          <w:i/>
          <w:iCs/>
          <w:szCs w:val="26"/>
        </w:rPr>
        <w:t>Williams</w:t>
      </w:r>
      <w:r>
        <w:rPr>
          <w:szCs w:val="26"/>
        </w:rPr>
        <w:t xml:space="preserve">. </w:t>
      </w:r>
    </w:p>
    <w:p w14:paraId="7DE9464E" w14:textId="77777777" w:rsidR="00BA4F88" w:rsidRDefault="00861473" w:rsidP="00CE2600">
      <w:pPr>
        <w:ind w:firstLine="720"/>
        <w:rPr>
          <w:szCs w:val="26"/>
        </w:rPr>
      </w:pPr>
      <w:r>
        <w:rPr>
          <w:szCs w:val="26"/>
        </w:rPr>
        <w:t xml:space="preserve">In </w:t>
      </w:r>
      <w:r>
        <w:rPr>
          <w:i/>
          <w:iCs/>
          <w:szCs w:val="26"/>
        </w:rPr>
        <w:t xml:space="preserve">Williams </w:t>
      </w:r>
      <w:r>
        <w:rPr>
          <w:szCs w:val="26"/>
        </w:rPr>
        <w:t xml:space="preserve">the trial court, on its own motion, dismissed one of two </w:t>
      </w:r>
      <w:r>
        <w:rPr>
          <w:szCs w:val="26"/>
        </w:rPr>
        <w:t>13-year-old prior convictions</w:t>
      </w:r>
      <w:r>
        <w:rPr>
          <w:szCs w:val="26"/>
        </w:rPr>
        <w:t xml:space="preserve"> for serious or violent felonies</w:t>
      </w:r>
      <w:r>
        <w:rPr>
          <w:szCs w:val="26"/>
        </w:rPr>
        <w:t>, observing that</w:t>
      </w:r>
      <w:r>
        <w:rPr>
          <w:szCs w:val="26"/>
        </w:rPr>
        <w:t>, although the defendant had “</w:t>
      </w:r>
      <w:r>
        <w:rPr>
          <w:szCs w:val="26"/>
        </w:rPr>
        <w:t>‘</w:t>
      </w:r>
      <w:r>
        <w:rPr>
          <w:szCs w:val="26"/>
        </w:rPr>
        <w:t>run afoul [of] the law many times,</w:t>
      </w:r>
      <w:r>
        <w:rPr>
          <w:szCs w:val="26"/>
        </w:rPr>
        <w:t>’</w:t>
      </w:r>
      <w:r>
        <w:rPr>
          <w:szCs w:val="26"/>
        </w:rPr>
        <w:t xml:space="preserve">” he </w:t>
      </w:r>
      <w:r>
        <w:rPr>
          <w:szCs w:val="26"/>
        </w:rPr>
        <w:t xml:space="preserve">had not </w:t>
      </w:r>
      <w:r>
        <w:rPr>
          <w:szCs w:val="26"/>
        </w:rPr>
        <w:t xml:space="preserve">in the interim </w:t>
      </w:r>
      <w:r>
        <w:rPr>
          <w:szCs w:val="26"/>
        </w:rPr>
        <w:t>committed “</w:t>
      </w:r>
      <w:r>
        <w:rPr>
          <w:szCs w:val="26"/>
        </w:rPr>
        <w:t>‘</w:t>
      </w:r>
      <w:r>
        <w:rPr>
          <w:szCs w:val="26"/>
        </w:rPr>
        <w:t>crimes involving actual violence</w:t>
      </w:r>
      <w:r>
        <w:rPr>
          <w:szCs w:val="26"/>
        </w:rPr>
        <w:t>.</w:t>
      </w:r>
      <w:r>
        <w:rPr>
          <w:szCs w:val="26"/>
        </w:rPr>
        <w:t>’</w:t>
      </w:r>
      <w:r>
        <w:rPr>
          <w:szCs w:val="26"/>
        </w:rPr>
        <w:t>”</w:t>
      </w:r>
      <w:r>
        <w:rPr>
          <w:szCs w:val="26"/>
        </w:rPr>
        <w:t xml:space="preserve"> </w:t>
      </w:r>
      <w:r>
        <w:rPr>
          <w:szCs w:val="26"/>
        </w:rPr>
        <w:t xml:space="preserve"> (</w:t>
      </w:r>
      <w:r>
        <w:rPr>
          <w:i/>
          <w:iCs/>
          <w:szCs w:val="26"/>
        </w:rPr>
        <w:t>Williams</w:t>
      </w:r>
      <w:r>
        <w:rPr>
          <w:szCs w:val="26"/>
        </w:rPr>
        <w:t xml:space="preserve">, </w:t>
      </w:r>
      <w:r>
        <w:rPr>
          <w:i/>
          <w:iCs/>
          <w:szCs w:val="26"/>
        </w:rPr>
        <w:t>supra</w:t>
      </w:r>
      <w:r>
        <w:rPr>
          <w:szCs w:val="26"/>
        </w:rPr>
        <w:t xml:space="preserve">, </w:t>
      </w:r>
      <w:r>
        <w:rPr>
          <w:szCs w:val="26"/>
        </w:rPr>
        <w:t>17 </w:t>
      </w:r>
      <w:r w:rsidRPr="007718BB">
        <w:rPr>
          <w:szCs w:val="26"/>
        </w:rPr>
        <w:t>Cal.4th</w:t>
      </w:r>
      <w:r>
        <w:rPr>
          <w:szCs w:val="26"/>
        </w:rPr>
        <w:t xml:space="preserve"> at p</w:t>
      </w:r>
      <w:r>
        <w:rPr>
          <w:szCs w:val="26"/>
        </w:rPr>
        <w:t>p. </w:t>
      </w:r>
      <w:r>
        <w:rPr>
          <w:szCs w:val="26"/>
        </w:rPr>
        <w:t>156</w:t>
      </w:r>
      <w:r>
        <w:rPr>
          <w:szCs w:val="26"/>
        </w:rPr>
        <w:noBreakHyphen/>
      </w:r>
      <w:r>
        <w:rPr>
          <w:szCs w:val="26"/>
        </w:rPr>
        <w:t xml:space="preserve">157.)  </w:t>
      </w:r>
      <w:r>
        <w:rPr>
          <w:szCs w:val="26"/>
        </w:rPr>
        <w:t xml:space="preserve">In considering whether the trial court abused its discretion, the Supreme Court stated </w:t>
      </w:r>
      <w:r>
        <w:rPr>
          <w:szCs w:val="26"/>
        </w:rPr>
        <w:t xml:space="preserve">trial </w:t>
      </w:r>
      <w:r>
        <w:rPr>
          <w:szCs w:val="26"/>
        </w:rPr>
        <w:t>courts must “look for ‘justice’ in the [sentencing] scheme’s interstices, informed by generally applicable sentencing principles relating to matters suc</w:t>
      </w:r>
      <w:r>
        <w:rPr>
          <w:szCs w:val="26"/>
        </w:rPr>
        <w:t xml:space="preserve">h as the defendant’s background, character, and prospects,” and </w:t>
      </w:r>
      <w:r>
        <w:rPr>
          <w:szCs w:val="26"/>
        </w:rPr>
        <w:t xml:space="preserve">the Court </w:t>
      </w:r>
      <w:r>
        <w:rPr>
          <w:szCs w:val="26"/>
        </w:rPr>
        <w:t xml:space="preserve">cited the California Rules of Court as the source of </w:t>
      </w:r>
      <w:r>
        <w:rPr>
          <w:szCs w:val="26"/>
        </w:rPr>
        <w:t xml:space="preserve">such </w:t>
      </w:r>
      <w:r>
        <w:rPr>
          <w:szCs w:val="26"/>
        </w:rPr>
        <w:t>“sentencing principles.”  (</w:t>
      </w:r>
      <w:r>
        <w:rPr>
          <w:i/>
          <w:iCs/>
          <w:szCs w:val="26"/>
        </w:rPr>
        <w:t>Id.</w:t>
      </w:r>
      <w:r>
        <w:rPr>
          <w:szCs w:val="26"/>
        </w:rPr>
        <w:t xml:space="preserve"> at </w:t>
      </w:r>
      <w:r>
        <w:rPr>
          <w:szCs w:val="26"/>
        </w:rPr>
        <w:t>p. </w:t>
      </w:r>
      <w:r>
        <w:rPr>
          <w:szCs w:val="26"/>
        </w:rPr>
        <w:t xml:space="preserve">160 &amp; fn. 5.)  </w:t>
      </w:r>
      <w:r>
        <w:rPr>
          <w:szCs w:val="26"/>
        </w:rPr>
        <w:t>The</w:t>
      </w:r>
      <w:r>
        <w:rPr>
          <w:szCs w:val="26"/>
        </w:rPr>
        <w:t xml:space="preserve"> </w:t>
      </w:r>
      <w:r>
        <w:rPr>
          <w:szCs w:val="26"/>
        </w:rPr>
        <w:t>Supreme C</w:t>
      </w:r>
      <w:r>
        <w:rPr>
          <w:szCs w:val="26"/>
        </w:rPr>
        <w:t xml:space="preserve">ourt held </w:t>
      </w:r>
      <w:r>
        <w:rPr>
          <w:szCs w:val="26"/>
        </w:rPr>
        <w:t xml:space="preserve">the three strikes law, </w:t>
      </w:r>
      <w:r>
        <w:rPr>
          <w:szCs w:val="26"/>
        </w:rPr>
        <w:t>which w</w:t>
      </w:r>
      <w:r>
        <w:rPr>
          <w:szCs w:val="26"/>
        </w:rPr>
        <w:t>a</w:t>
      </w:r>
      <w:r>
        <w:rPr>
          <w:szCs w:val="26"/>
        </w:rPr>
        <w:t xml:space="preserve">s </w:t>
      </w:r>
      <w:r>
        <w:rPr>
          <w:szCs w:val="26"/>
        </w:rPr>
        <w:t>the sentencing s</w:t>
      </w:r>
      <w:r>
        <w:rPr>
          <w:szCs w:val="26"/>
        </w:rPr>
        <w:t>cheme at issue, precluded a</w:t>
      </w:r>
      <w:r>
        <w:rPr>
          <w:szCs w:val="26"/>
        </w:rPr>
        <w:t xml:space="preserve"> trial court</w:t>
      </w:r>
      <w:r>
        <w:rPr>
          <w:szCs w:val="26"/>
        </w:rPr>
        <w:t xml:space="preserve"> from giving weight to “factors extrinsic to the scheme” </w:t>
      </w:r>
      <w:r>
        <w:rPr>
          <w:szCs w:val="26"/>
        </w:rPr>
        <w:t xml:space="preserve">when balancing a defendant’s constitutional rights against </w:t>
      </w:r>
      <w:r>
        <w:rPr>
          <w:szCs w:val="26"/>
        </w:rPr>
        <w:t>“</w:t>
      </w:r>
      <w:r>
        <w:rPr>
          <w:szCs w:val="26"/>
        </w:rPr>
        <w:t xml:space="preserve">society’s </w:t>
      </w:r>
      <w:r>
        <w:rPr>
          <w:szCs w:val="26"/>
        </w:rPr>
        <w:t xml:space="preserve">legitimate </w:t>
      </w:r>
      <w:r>
        <w:rPr>
          <w:szCs w:val="26"/>
        </w:rPr>
        <w:t>interest</w:t>
      </w:r>
      <w:r>
        <w:rPr>
          <w:szCs w:val="26"/>
        </w:rPr>
        <w:t>s”</w:t>
      </w:r>
      <w:r>
        <w:rPr>
          <w:szCs w:val="26"/>
        </w:rPr>
        <w:t xml:space="preserve"> in </w:t>
      </w:r>
      <w:r>
        <w:rPr>
          <w:szCs w:val="26"/>
        </w:rPr>
        <w:t>“the fair prosecution of properly charged crimes</w:t>
      </w:r>
      <w:r>
        <w:rPr>
          <w:szCs w:val="26"/>
        </w:rPr>
        <w:t>.</w:t>
      </w:r>
      <w:r>
        <w:rPr>
          <w:szCs w:val="26"/>
        </w:rPr>
        <w:t>”</w:t>
      </w:r>
      <w:r>
        <w:rPr>
          <w:szCs w:val="26"/>
        </w:rPr>
        <w:t xml:space="preserve">  (</w:t>
      </w:r>
      <w:r>
        <w:rPr>
          <w:i/>
          <w:iCs/>
          <w:szCs w:val="26"/>
        </w:rPr>
        <w:t>Id.</w:t>
      </w:r>
      <w:r>
        <w:rPr>
          <w:szCs w:val="26"/>
        </w:rPr>
        <w:t xml:space="preserve"> at p</w:t>
      </w:r>
      <w:r>
        <w:rPr>
          <w:szCs w:val="26"/>
        </w:rPr>
        <w:t>p. </w:t>
      </w:r>
      <w:r>
        <w:rPr>
          <w:szCs w:val="26"/>
        </w:rPr>
        <w:t>16</w:t>
      </w:r>
      <w:r>
        <w:rPr>
          <w:szCs w:val="26"/>
        </w:rPr>
        <w:t>0</w:t>
      </w:r>
      <w:r>
        <w:rPr>
          <w:szCs w:val="26"/>
        </w:rPr>
        <w:noBreakHyphen/>
      </w:r>
      <w:r>
        <w:rPr>
          <w:szCs w:val="26"/>
        </w:rPr>
        <w:t>161</w:t>
      </w:r>
      <w:r>
        <w:rPr>
          <w:szCs w:val="26"/>
        </w:rPr>
        <w:t xml:space="preserve">.)  Thus, </w:t>
      </w:r>
      <w:r>
        <w:rPr>
          <w:szCs w:val="26"/>
        </w:rPr>
        <w:t xml:space="preserve">as discussed, </w:t>
      </w:r>
      <w:r>
        <w:rPr>
          <w:szCs w:val="26"/>
        </w:rPr>
        <w:t xml:space="preserve">a </w:t>
      </w:r>
      <w:r>
        <w:rPr>
          <w:szCs w:val="26"/>
        </w:rPr>
        <w:t xml:space="preserve">trial </w:t>
      </w:r>
      <w:r>
        <w:rPr>
          <w:szCs w:val="26"/>
        </w:rPr>
        <w:t xml:space="preserve">court may not consider </w:t>
      </w:r>
      <w:r>
        <w:rPr>
          <w:szCs w:val="26"/>
        </w:rPr>
        <w:t>antipathy toward the law or its consequences in a particular case</w:t>
      </w:r>
      <w:r>
        <w:rPr>
          <w:szCs w:val="26"/>
        </w:rPr>
        <w:t>; in</w:t>
      </w:r>
      <w:r>
        <w:rPr>
          <w:szCs w:val="26"/>
        </w:rPr>
        <w:t>stead</w:t>
      </w:r>
      <w:r>
        <w:rPr>
          <w:szCs w:val="26"/>
        </w:rPr>
        <w:t xml:space="preserve">, in determining whether dismissing a prior </w:t>
      </w:r>
      <w:r>
        <w:rPr>
          <w:szCs w:val="26"/>
        </w:rPr>
        <w:t>serious or violent felony under the three strikes law</w:t>
      </w:r>
      <w:r>
        <w:rPr>
          <w:szCs w:val="26"/>
        </w:rPr>
        <w:t xml:space="preserve"> would be in further</w:t>
      </w:r>
      <w:r>
        <w:rPr>
          <w:szCs w:val="26"/>
        </w:rPr>
        <w:t>ance of justice, a court</w:t>
      </w:r>
      <w:r>
        <w:rPr>
          <w:szCs w:val="26"/>
        </w:rPr>
        <w:t xml:space="preserve"> must consider only whether a defendant falls “outside the scheme’s spirit” by reference to “factors intrinsic to the scheme, such as the </w:t>
      </w:r>
      <w:r w:rsidRPr="007718BB">
        <w:rPr>
          <w:szCs w:val="26"/>
        </w:rPr>
        <w:t xml:space="preserve">nature and </w:t>
      </w:r>
      <w:r w:rsidRPr="007718BB">
        <w:rPr>
          <w:szCs w:val="26"/>
        </w:rPr>
        <w:lastRenderedPageBreak/>
        <w:t>circumstances of the defendant</w:t>
      </w:r>
      <w:r>
        <w:rPr>
          <w:szCs w:val="26"/>
        </w:rPr>
        <w:t>’</w:t>
      </w:r>
      <w:r w:rsidRPr="007718BB">
        <w:rPr>
          <w:szCs w:val="26"/>
        </w:rPr>
        <w:t xml:space="preserve">s present felonies and prior serious and/or violent </w:t>
      </w:r>
      <w:r w:rsidRPr="007718BB">
        <w:rPr>
          <w:szCs w:val="26"/>
        </w:rPr>
        <w:t>felony convictions, and the particulars of his background, character, and prospects.</w:t>
      </w:r>
      <w:r>
        <w:rPr>
          <w:szCs w:val="26"/>
        </w:rPr>
        <w:t xml:space="preserve">”  </w:t>
      </w:r>
      <w:r>
        <w:rPr>
          <w:szCs w:val="26"/>
        </w:rPr>
        <w:t>(</w:t>
      </w:r>
      <w:r>
        <w:rPr>
          <w:i/>
          <w:iCs/>
          <w:szCs w:val="26"/>
        </w:rPr>
        <w:t>Ibid.</w:t>
      </w:r>
      <w:r>
        <w:rPr>
          <w:szCs w:val="26"/>
        </w:rPr>
        <w:t xml:space="preserve">)  </w:t>
      </w:r>
    </w:p>
    <w:p w14:paraId="793B12EC" w14:textId="77777777" w:rsidR="00C92930" w:rsidRDefault="00861473" w:rsidP="00BD281D">
      <w:pPr>
        <w:ind w:firstLine="720"/>
        <w:rPr>
          <w:szCs w:val="26"/>
        </w:rPr>
      </w:pPr>
      <w:r>
        <w:rPr>
          <w:szCs w:val="26"/>
        </w:rPr>
        <w:t xml:space="preserve">The Supreme Court’s decision in </w:t>
      </w:r>
      <w:r>
        <w:rPr>
          <w:i/>
          <w:iCs/>
          <w:szCs w:val="26"/>
        </w:rPr>
        <w:t xml:space="preserve">Williams </w:t>
      </w:r>
      <w:r>
        <w:rPr>
          <w:szCs w:val="26"/>
        </w:rPr>
        <w:t>did</w:t>
      </w:r>
      <w:r>
        <w:rPr>
          <w:szCs w:val="26"/>
        </w:rPr>
        <w:t xml:space="preserve"> not constrain the trial court in this case for two reasons.  </w:t>
      </w:r>
      <w:r>
        <w:rPr>
          <w:szCs w:val="26"/>
        </w:rPr>
        <w:t xml:space="preserve">First, as </w:t>
      </w:r>
      <w:r>
        <w:rPr>
          <w:szCs w:val="26"/>
        </w:rPr>
        <w:t>stated</w:t>
      </w:r>
      <w:r>
        <w:rPr>
          <w:szCs w:val="26"/>
        </w:rPr>
        <w:t>, the “interests of society represent</w:t>
      </w:r>
      <w:r>
        <w:rPr>
          <w:szCs w:val="26"/>
        </w:rPr>
        <w:t>ed by the People</w:t>
      </w:r>
      <w:r>
        <w:rPr>
          <w:szCs w:val="26"/>
        </w:rPr>
        <w:t>”</w:t>
      </w:r>
      <w:r>
        <w:rPr>
          <w:szCs w:val="26"/>
        </w:rPr>
        <w:t xml:space="preserve"> </w:t>
      </w:r>
      <w:r>
        <w:rPr>
          <w:szCs w:val="26"/>
        </w:rPr>
        <w:t>are</w:t>
      </w:r>
      <w:r>
        <w:rPr>
          <w:szCs w:val="26"/>
        </w:rPr>
        <w:t xml:space="preserve"> broader than </w:t>
      </w:r>
      <w:r>
        <w:rPr>
          <w:szCs w:val="26"/>
        </w:rPr>
        <w:t xml:space="preserve">fairly prosecuting </w:t>
      </w:r>
      <w:r>
        <w:rPr>
          <w:szCs w:val="26"/>
        </w:rPr>
        <w:t>properly charged crimes.</w:t>
      </w:r>
      <w:r>
        <w:rPr>
          <w:szCs w:val="26"/>
        </w:rPr>
        <w:t xml:space="preserve">  (See </w:t>
      </w:r>
      <w:r>
        <w:rPr>
          <w:i/>
          <w:iCs/>
          <w:szCs w:val="26"/>
        </w:rPr>
        <w:t>Williams</w:t>
      </w:r>
      <w:r>
        <w:rPr>
          <w:szCs w:val="26"/>
        </w:rPr>
        <w:t xml:space="preserve">, </w:t>
      </w:r>
      <w:r>
        <w:rPr>
          <w:i/>
          <w:iCs/>
          <w:szCs w:val="26"/>
        </w:rPr>
        <w:t>supra</w:t>
      </w:r>
      <w:r>
        <w:rPr>
          <w:szCs w:val="26"/>
        </w:rPr>
        <w:t xml:space="preserve">, </w:t>
      </w:r>
      <w:r>
        <w:rPr>
          <w:szCs w:val="26"/>
        </w:rPr>
        <w:t>17 </w:t>
      </w:r>
      <w:r w:rsidRPr="007718BB">
        <w:rPr>
          <w:szCs w:val="26"/>
        </w:rPr>
        <w:t>Cal.4th</w:t>
      </w:r>
      <w:r>
        <w:rPr>
          <w:szCs w:val="26"/>
        </w:rPr>
        <w:t xml:space="preserve"> at </w:t>
      </w:r>
      <w:r>
        <w:rPr>
          <w:szCs w:val="26"/>
        </w:rPr>
        <w:t>p. </w:t>
      </w:r>
      <w:r>
        <w:rPr>
          <w:szCs w:val="26"/>
        </w:rPr>
        <w:t>161.)</w:t>
      </w:r>
      <w:r>
        <w:rPr>
          <w:szCs w:val="26"/>
        </w:rPr>
        <w:t xml:space="preserve">  </w:t>
      </w:r>
      <w:r>
        <w:rPr>
          <w:szCs w:val="26"/>
        </w:rPr>
        <w:t>But w</w:t>
      </w:r>
      <w:r>
        <w:rPr>
          <w:szCs w:val="26"/>
        </w:rPr>
        <w:t xml:space="preserve">hen a court considers on its own motion whether to dismiss a charge or </w:t>
      </w:r>
      <w:r>
        <w:rPr>
          <w:szCs w:val="26"/>
        </w:rPr>
        <w:t>an enhancement</w:t>
      </w:r>
      <w:r>
        <w:rPr>
          <w:szCs w:val="26"/>
        </w:rPr>
        <w:t>, the scope of those interests narrow to reflect the separation of powers between the prosecution, which ha</w:t>
      </w:r>
      <w:r>
        <w:rPr>
          <w:szCs w:val="26"/>
        </w:rPr>
        <w:t xml:space="preserve">s </w:t>
      </w:r>
      <w:r w:rsidRPr="00C47CFD">
        <w:rPr>
          <w:szCs w:val="26"/>
        </w:rPr>
        <w:t xml:space="preserve">sole discretion to </w:t>
      </w:r>
      <w:r>
        <w:rPr>
          <w:szCs w:val="26"/>
        </w:rPr>
        <w:t>“‘</w:t>
      </w:r>
      <w:r w:rsidRPr="00C47CFD">
        <w:rPr>
          <w:szCs w:val="26"/>
        </w:rPr>
        <w:t>determine whom to charge, what charges to</w:t>
      </w:r>
      <w:r w:rsidRPr="00C47CFD">
        <w:rPr>
          <w:szCs w:val="26"/>
        </w:rPr>
        <w:t xml:space="preserve"> file and pursue, and what</w:t>
      </w:r>
      <w:r>
        <w:rPr>
          <w:szCs w:val="26"/>
        </w:rPr>
        <w:t xml:space="preserve"> </w:t>
      </w:r>
      <w:r w:rsidRPr="00C47CFD">
        <w:rPr>
          <w:szCs w:val="26"/>
        </w:rPr>
        <w:t>punishment to seek</w:t>
      </w:r>
      <w:r>
        <w:rPr>
          <w:szCs w:val="26"/>
        </w:rPr>
        <w:t>’</w:t>
      </w:r>
      <w:r w:rsidRPr="00C47CFD">
        <w:rPr>
          <w:szCs w:val="26"/>
        </w:rPr>
        <w:t>”</w:t>
      </w:r>
      <w:r>
        <w:rPr>
          <w:szCs w:val="26"/>
        </w:rPr>
        <w:t xml:space="preserve"> from among those potentially available </w:t>
      </w:r>
      <w:r>
        <w:rPr>
          <w:szCs w:val="26"/>
        </w:rPr>
        <w:t>(</w:t>
      </w:r>
      <w:r w:rsidRPr="00C47CFD">
        <w:rPr>
          <w:i/>
          <w:iCs/>
          <w:szCs w:val="26"/>
        </w:rPr>
        <w:t>Steen v. Appellate Division of Superior Court</w:t>
      </w:r>
      <w:r>
        <w:rPr>
          <w:szCs w:val="26"/>
        </w:rPr>
        <w:t xml:space="preserve">, </w:t>
      </w:r>
      <w:r>
        <w:rPr>
          <w:i/>
          <w:iCs/>
          <w:szCs w:val="26"/>
        </w:rPr>
        <w:t>supra</w:t>
      </w:r>
      <w:r>
        <w:rPr>
          <w:szCs w:val="26"/>
        </w:rPr>
        <w:t>,</w:t>
      </w:r>
      <w:r>
        <w:rPr>
          <w:i/>
          <w:iCs/>
          <w:szCs w:val="26"/>
        </w:rPr>
        <w:t xml:space="preserve"> </w:t>
      </w:r>
      <w:r>
        <w:rPr>
          <w:szCs w:val="26"/>
        </w:rPr>
        <w:t>59 </w:t>
      </w:r>
      <w:r w:rsidRPr="00C47CFD">
        <w:rPr>
          <w:szCs w:val="26"/>
        </w:rPr>
        <w:t xml:space="preserve">Cal.4th </w:t>
      </w:r>
      <w:r>
        <w:rPr>
          <w:szCs w:val="26"/>
        </w:rPr>
        <w:t>at p</w:t>
      </w:r>
      <w:r>
        <w:rPr>
          <w:szCs w:val="26"/>
        </w:rPr>
        <w:t>p. </w:t>
      </w:r>
      <w:r w:rsidRPr="00C47CFD">
        <w:rPr>
          <w:szCs w:val="26"/>
        </w:rPr>
        <w:t>1053</w:t>
      </w:r>
      <w:r>
        <w:rPr>
          <w:szCs w:val="26"/>
        </w:rPr>
        <w:noBreakHyphen/>
      </w:r>
      <w:r w:rsidRPr="00C47CFD">
        <w:rPr>
          <w:szCs w:val="26"/>
        </w:rPr>
        <w:t>1054</w:t>
      </w:r>
      <w:r>
        <w:rPr>
          <w:szCs w:val="26"/>
        </w:rPr>
        <w:t>; see </w:t>
      </w:r>
      <w:r>
        <w:rPr>
          <w:i/>
          <w:szCs w:val="26"/>
        </w:rPr>
        <w:t>People v. Birks</w:t>
      </w:r>
      <w:r>
        <w:rPr>
          <w:szCs w:val="26"/>
        </w:rPr>
        <w:t xml:space="preserve">, </w:t>
      </w:r>
      <w:r>
        <w:rPr>
          <w:i/>
          <w:szCs w:val="26"/>
        </w:rPr>
        <w:t>supra</w:t>
      </w:r>
      <w:r>
        <w:rPr>
          <w:szCs w:val="26"/>
        </w:rPr>
        <w:t>, 19 </w:t>
      </w:r>
      <w:r>
        <w:rPr>
          <w:szCs w:val="26"/>
        </w:rPr>
        <w:t>Cal.4th at p. 134</w:t>
      </w:r>
      <w:r>
        <w:rPr>
          <w:szCs w:val="26"/>
        </w:rPr>
        <w:t>),</w:t>
      </w:r>
      <w:r>
        <w:rPr>
          <w:szCs w:val="26"/>
        </w:rPr>
        <w:t xml:space="preserve"> </w:t>
      </w:r>
      <w:r>
        <w:rPr>
          <w:szCs w:val="26"/>
        </w:rPr>
        <w:t xml:space="preserve">and the court, which has </w:t>
      </w:r>
      <w:r>
        <w:rPr>
          <w:szCs w:val="26"/>
        </w:rPr>
        <w:t>sole disc</w:t>
      </w:r>
      <w:r>
        <w:rPr>
          <w:szCs w:val="26"/>
        </w:rPr>
        <w:t xml:space="preserve">retion to </w:t>
      </w:r>
      <w:r>
        <w:rPr>
          <w:szCs w:val="26"/>
        </w:rPr>
        <w:t>“</w:t>
      </w:r>
      <w:r>
        <w:rPr>
          <w:szCs w:val="26"/>
        </w:rPr>
        <w:t>dismiss a criminal charge</w:t>
      </w:r>
      <w:r>
        <w:rPr>
          <w:szCs w:val="26"/>
        </w:rPr>
        <w:t>”</w:t>
      </w:r>
      <w:r>
        <w:rPr>
          <w:szCs w:val="26"/>
        </w:rPr>
        <w:t xml:space="preserve"> (</w:t>
      </w:r>
      <w:r>
        <w:rPr>
          <w:i/>
          <w:iCs/>
          <w:szCs w:val="26"/>
        </w:rPr>
        <w:t>id.</w:t>
      </w:r>
      <w:r>
        <w:rPr>
          <w:szCs w:val="26"/>
        </w:rPr>
        <w:t xml:space="preserve"> at </w:t>
      </w:r>
      <w:r>
        <w:rPr>
          <w:szCs w:val="26"/>
        </w:rPr>
        <w:t>p. </w:t>
      </w:r>
      <w:r>
        <w:rPr>
          <w:szCs w:val="26"/>
        </w:rPr>
        <w:t xml:space="preserve">1055).  </w:t>
      </w:r>
      <w:r>
        <w:rPr>
          <w:szCs w:val="26"/>
        </w:rPr>
        <w:t>A</w:t>
      </w:r>
      <w:r>
        <w:rPr>
          <w:szCs w:val="26"/>
        </w:rPr>
        <w:t xml:space="preserve"> court may not </w:t>
      </w:r>
      <w:r>
        <w:rPr>
          <w:szCs w:val="26"/>
        </w:rPr>
        <w:t>“frustrate the orderly and effective operatio</w:t>
      </w:r>
      <w:r>
        <w:rPr>
          <w:szCs w:val="26"/>
        </w:rPr>
        <w:t>n</w:t>
      </w:r>
      <w:r>
        <w:rPr>
          <w:szCs w:val="26"/>
        </w:rPr>
        <w:t xml:space="preserve"> of our criminal procedure as envisioned by the Legislature</w:t>
      </w:r>
      <w:r>
        <w:rPr>
          <w:szCs w:val="26"/>
        </w:rPr>
        <w:t>,</w:t>
      </w:r>
      <w:r>
        <w:rPr>
          <w:szCs w:val="26"/>
        </w:rPr>
        <w:t xml:space="preserve">” </w:t>
      </w:r>
      <w:r>
        <w:rPr>
          <w:szCs w:val="26"/>
        </w:rPr>
        <w:t xml:space="preserve">or “preclude the prosecution” of offenses for which there is </w:t>
      </w:r>
      <w:r>
        <w:rPr>
          <w:szCs w:val="26"/>
        </w:rPr>
        <w:t>probable cause</w:t>
      </w:r>
      <w:r>
        <w:rPr>
          <w:szCs w:val="26"/>
        </w:rPr>
        <w:t>,</w:t>
      </w:r>
      <w:r>
        <w:rPr>
          <w:szCs w:val="26"/>
        </w:rPr>
        <w:t xml:space="preserve"> </w:t>
      </w:r>
      <w:r>
        <w:rPr>
          <w:szCs w:val="26"/>
        </w:rPr>
        <w:t xml:space="preserve">by dismissing an action, offense, or </w:t>
      </w:r>
      <w:r>
        <w:rPr>
          <w:szCs w:val="26"/>
        </w:rPr>
        <w:t>enhancement</w:t>
      </w:r>
      <w:r>
        <w:rPr>
          <w:szCs w:val="26"/>
        </w:rPr>
        <w:t xml:space="preserve"> under section 1385 “without proper and adequate reason.”  (</w:t>
      </w:r>
      <w:r>
        <w:rPr>
          <w:i/>
          <w:iCs/>
          <w:szCs w:val="26"/>
        </w:rPr>
        <w:t>People v. Orin</w:t>
      </w:r>
      <w:r>
        <w:rPr>
          <w:szCs w:val="26"/>
        </w:rPr>
        <w:t xml:space="preserve">, </w:t>
      </w:r>
      <w:r>
        <w:rPr>
          <w:i/>
          <w:iCs/>
          <w:szCs w:val="26"/>
        </w:rPr>
        <w:t>supra</w:t>
      </w:r>
      <w:r>
        <w:rPr>
          <w:szCs w:val="26"/>
        </w:rPr>
        <w:t>, 13</w:t>
      </w:r>
      <w:r>
        <w:rPr>
          <w:szCs w:val="26"/>
        </w:rPr>
        <w:t> </w:t>
      </w:r>
      <w:r>
        <w:rPr>
          <w:szCs w:val="26"/>
        </w:rPr>
        <w:t>Cal.3d at p</w:t>
      </w:r>
      <w:r>
        <w:rPr>
          <w:szCs w:val="26"/>
        </w:rPr>
        <w:t>p. </w:t>
      </w:r>
      <w:r>
        <w:rPr>
          <w:szCs w:val="26"/>
        </w:rPr>
        <w:t>947</w:t>
      </w:r>
      <w:r>
        <w:rPr>
          <w:szCs w:val="26"/>
        </w:rPr>
        <w:noBreakHyphen/>
      </w:r>
      <w:r>
        <w:rPr>
          <w:szCs w:val="26"/>
        </w:rPr>
        <w:t>948</w:t>
      </w:r>
      <w:r>
        <w:rPr>
          <w:szCs w:val="26"/>
        </w:rPr>
        <w:t>.)</w:t>
      </w:r>
      <w:r>
        <w:rPr>
          <w:szCs w:val="26"/>
        </w:rPr>
        <w:t xml:space="preserve">  Those reasons </w:t>
      </w:r>
      <w:r>
        <w:rPr>
          <w:szCs w:val="26"/>
        </w:rPr>
        <w:t>can</w:t>
      </w:r>
      <w:r>
        <w:rPr>
          <w:szCs w:val="26"/>
        </w:rPr>
        <w:t xml:space="preserve">not include the court’s </w:t>
      </w:r>
      <w:r>
        <w:rPr>
          <w:szCs w:val="26"/>
        </w:rPr>
        <w:t>“</w:t>
      </w:r>
      <w:r>
        <w:rPr>
          <w:szCs w:val="26"/>
        </w:rPr>
        <w:t xml:space="preserve">‘“personal </w:t>
      </w:r>
      <w:r>
        <w:rPr>
          <w:szCs w:val="26"/>
        </w:rPr>
        <w:t>antipathy</w:t>
      </w:r>
      <w:r>
        <w:rPr>
          <w:szCs w:val="26"/>
        </w:rPr>
        <w:t>”’”</w:t>
      </w:r>
      <w:r>
        <w:rPr>
          <w:szCs w:val="26"/>
        </w:rPr>
        <w:t xml:space="preserve"> </w:t>
      </w:r>
      <w:r>
        <w:rPr>
          <w:szCs w:val="26"/>
        </w:rPr>
        <w:t>(</w:t>
      </w:r>
      <w:r>
        <w:rPr>
          <w:i/>
          <w:iCs/>
          <w:szCs w:val="26"/>
        </w:rPr>
        <w:t>Williams</w:t>
      </w:r>
      <w:r>
        <w:rPr>
          <w:szCs w:val="26"/>
        </w:rPr>
        <w:t xml:space="preserve">, at </w:t>
      </w:r>
      <w:r>
        <w:rPr>
          <w:szCs w:val="26"/>
        </w:rPr>
        <w:t>p</w:t>
      </w:r>
      <w:r>
        <w:rPr>
          <w:szCs w:val="26"/>
        </w:rPr>
        <w:t>. </w:t>
      </w:r>
      <w:r>
        <w:rPr>
          <w:szCs w:val="26"/>
        </w:rPr>
        <w:t xml:space="preserve">159) for the effect of the sentencing scheme </w:t>
      </w:r>
      <w:r>
        <w:rPr>
          <w:szCs w:val="26"/>
        </w:rPr>
        <w:t>without materially impairing the inherent fun</w:t>
      </w:r>
      <w:r>
        <w:rPr>
          <w:szCs w:val="26"/>
        </w:rPr>
        <w:t>ctions of the prosecutor.  (See </w:t>
      </w:r>
      <w:r>
        <w:rPr>
          <w:i/>
          <w:iCs/>
          <w:szCs w:val="26"/>
        </w:rPr>
        <w:t>Steen</w:t>
      </w:r>
      <w:r>
        <w:rPr>
          <w:szCs w:val="26"/>
        </w:rPr>
        <w:t xml:space="preserve">, at </w:t>
      </w:r>
      <w:r>
        <w:rPr>
          <w:szCs w:val="26"/>
        </w:rPr>
        <w:t>p. </w:t>
      </w:r>
      <w:r>
        <w:rPr>
          <w:szCs w:val="26"/>
        </w:rPr>
        <w:t>1053 [separation of powers doctrine “</w:t>
      </w:r>
      <w:r w:rsidRPr="000B20C6">
        <w:rPr>
          <w:szCs w:val="26"/>
        </w:rPr>
        <w:t>does not prohibit one branch from taking action that might affect another,</w:t>
      </w:r>
      <w:r>
        <w:rPr>
          <w:szCs w:val="26"/>
        </w:rPr>
        <w:t>” but</w:t>
      </w:r>
      <w:r w:rsidRPr="000B20C6">
        <w:rPr>
          <w:szCs w:val="26"/>
        </w:rPr>
        <w:t xml:space="preserve"> </w:t>
      </w:r>
      <w:r>
        <w:rPr>
          <w:szCs w:val="26"/>
        </w:rPr>
        <w:t>“</w:t>
      </w:r>
      <w:r w:rsidRPr="000B20C6">
        <w:rPr>
          <w:szCs w:val="26"/>
        </w:rPr>
        <w:t>t</w:t>
      </w:r>
      <w:r w:rsidRPr="000B20C6">
        <w:rPr>
          <w:szCs w:val="26"/>
        </w:rPr>
        <w:t>he doctrine is violated when the actions of one branch defeat or materially impair the inherent functions of another</w:t>
      </w:r>
      <w:r>
        <w:rPr>
          <w:szCs w:val="26"/>
        </w:rPr>
        <w:t xml:space="preserve">”]; </w:t>
      </w:r>
      <w:r>
        <w:rPr>
          <w:i/>
          <w:iCs/>
          <w:szCs w:val="26"/>
        </w:rPr>
        <w:t>Department of Fair Employment &amp;</w:t>
      </w:r>
      <w:r w:rsidRPr="000046C7">
        <w:rPr>
          <w:i/>
          <w:iCs/>
          <w:szCs w:val="26"/>
        </w:rPr>
        <w:t xml:space="preserve"> Housing </w:t>
      </w:r>
      <w:r>
        <w:rPr>
          <w:i/>
          <w:iCs/>
          <w:szCs w:val="26"/>
        </w:rPr>
        <w:t xml:space="preserve">v. </w:t>
      </w:r>
      <w:r>
        <w:rPr>
          <w:i/>
          <w:iCs/>
          <w:szCs w:val="26"/>
        </w:rPr>
        <w:lastRenderedPageBreak/>
        <w:t>Superior Court</w:t>
      </w:r>
      <w:r>
        <w:rPr>
          <w:szCs w:val="26"/>
        </w:rPr>
        <w:t xml:space="preserve"> </w:t>
      </w:r>
      <w:r w:rsidRPr="007F02EE">
        <w:rPr>
          <w:szCs w:val="26"/>
        </w:rPr>
        <w:t>(</w:t>
      </w:r>
      <w:r>
        <w:rPr>
          <w:szCs w:val="26"/>
        </w:rPr>
        <w:t>2020) 54 </w:t>
      </w:r>
      <w:r w:rsidRPr="000046C7">
        <w:rPr>
          <w:szCs w:val="26"/>
        </w:rPr>
        <w:t>Cal.App.5th 356, 400</w:t>
      </w:r>
      <w:r>
        <w:rPr>
          <w:szCs w:val="26"/>
        </w:rPr>
        <w:t xml:space="preserve"> [same]</w:t>
      </w:r>
      <w:r>
        <w:rPr>
          <w:szCs w:val="26"/>
        </w:rPr>
        <w:t>.</w:t>
      </w:r>
      <w:r>
        <w:rPr>
          <w:szCs w:val="26"/>
        </w:rPr>
        <w:t>)</w:t>
      </w:r>
      <w:r>
        <w:rPr>
          <w:szCs w:val="26"/>
        </w:rPr>
        <w:t xml:space="preserve">  </w:t>
      </w:r>
      <w:r>
        <w:rPr>
          <w:szCs w:val="26"/>
        </w:rPr>
        <w:t xml:space="preserve">In contrast, </w:t>
      </w:r>
      <w:r>
        <w:rPr>
          <w:szCs w:val="26"/>
        </w:rPr>
        <w:t xml:space="preserve">where a prosecutor, in his or her discretion, </w:t>
      </w:r>
      <w:r>
        <w:rPr>
          <w:szCs w:val="26"/>
        </w:rPr>
        <w:t xml:space="preserve">asks the court to dismiss </w:t>
      </w:r>
      <w:r>
        <w:rPr>
          <w:szCs w:val="26"/>
        </w:rPr>
        <w:t>a</w:t>
      </w:r>
      <w:r>
        <w:rPr>
          <w:szCs w:val="26"/>
        </w:rPr>
        <w:t>n enhancement</w:t>
      </w:r>
      <w:r>
        <w:rPr>
          <w:szCs w:val="26"/>
        </w:rPr>
        <w:t xml:space="preserve"> because the prosecutor, as a representative of the People, legitimately questions the deterrent effect </w:t>
      </w:r>
      <w:r>
        <w:rPr>
          <w:szCs w:val="26"/>
        </w:rPr>
        <w:t>or</w:t>
      </w:r>
      <w:r>
        <w:rPr>
          <w:szCs w:val="26"/>
        </w:rPr>
        <w:t xml:space="preserve"> value to public safety of </w:t>
      </w:r>
      <w:r>
        <w:rPr>
          <w:szCs w:val="26"/>
        </w:rPr>
        <w:t>imposing a</w:t>
      </w:r>
      <w:r>
        <w:rPr>
          <w:szCs w:val="26"/>
        </w:rPr>
        <w:t xml:space="preserve"> sentenc</w:t>
      </w:r>
      <w:r>
        <w:rPr>
          <w:szCs w:val="26"/>
        </w:rPr>
        <w:t>e enhancement</w:t>
      </w:r>
      <w:r>
        <w:rPr>
          <w:szCs w:val="26"/>
        </w:rPr>
        <w:t>, a co</w:t>
      </w:r>
      <w:r>
        <w:rPr>
          <w:szCs w:val="26"/>
        </w:rPr>
        <w:t>urt may consider that position in determining whether grant</w:t>
      </w:r>
      <w:r>
        <w:rPr>
          <w:szCs w:val="26"/>
        </w:rPr>
        <w:t>ing</w:t>
      </w:r>
      <w:r>
        <w:rPr>
          <w:szCs w:val="26"/>
        </w:rPr>
        <w:t xml:space="preserve"> the motion</w:t>
      </w:r>
      <w:r>
        <w:rPr>
          <w:szCs w:val="26"/>
        </w:rPr>
        <w:t xml:space="preserve"> furthers justice</w:t>
      </w:r>
      <w:r>
        <w:rPr>
          <w:szCs w:val="26"/>
        </w:rPr>
        <w:t xml:space="preserve">.  </w:t>
      </w:r>
      <w:r>
        <w:rPr>
          <w:szCs w:val="26"/>
        </w:rPr>
        <w:t xml:space="preserve">Such consideration does not </w:t>
      </w:r>
      <w:r>
        <w:rPr>
          <w:szCs w:val="26"/>
        </w:rPr>
        <w:t xml:space="preserve">“frustrate the legitimate prosecution of a defendant” or </w:t>
      </w:r>
      <w:r>
        <w:rPr>
          <w:szCs w:val="26"/>
        </w:rPr>
        <w:t>“</w:t>
      </w:r>
      <w:r>
        <w:rPr>
          <w:szCs w:val="26"/>
        </w:rPr>
        <w:t>‘“arbitrarily cut[ </w:t>
      </w:r>
      <w:r>
        <w:rPr>
          <w:szCs w:val="26"/>
        </w:rPr>
        <w:t>]”</w:t>
      </w:r>
      <w:r>
        <w:rPr>
          <w:szCs w:val="26"/>
        </w:rPr>
        <w:t>’”</w:t>
      </w:r>
      <w:r>
        <w:rPr>
          <w:szCs w:val="26"/>
        </w:rPr>
        <w:t xml:space="preserve"> the rights of the People to prosecute properly allege</w:t>
      </w:r>
      <w:r>
        <w:rPr>
          <w:szCs w:val="26"/>
        </w:rPr>
        <w:t xml:space="preserve">d </w:t>
      </w:r>
      <w:r>
        <w:rPr>
          <w:szCs w:val="26"/>
        </w:rPr>
        <w:t xml:space="preserve">crimes </w:t>
      </w:r>
      <w:r>
        <w:rPr>
          <w:szCs w:val="26"/>
        </w:rPr>
        <w:t>because it is the People</w:t>
      </w:r>
      <w:r>
        <w:rPr>
          <w:szCs w:val="26"/>
        </w:rPr>
        <w:t>,</w:t>
      </w:r>
      <w:r>
        <w:rPr>
          <w:szCs w:val="26"/>
        </w:rPr>
        <w:t xml:space="preserve"> rather than the court</w:t>
      </w:r>
      <w:r>
        <w:rPr>
          <w:szCs w:val="26"/>
        </w:rPr>
        <w:t>,</w:t>
      </w:r>
      <w:r>
        <w:rPr>
          <w:szCs w:val="26"/>
        </w:rPr>
        <w:t xml:space="preserve"> requesting dismissal</w:t>
      </w:r>
      <w:r>
        <w:rPr>
          <w:szCs w:val="26"/>
        </w:rPr>
        <w:t>.  (</w:t>
      </w:r>
      <w:r>
        <w:rPr>
          <w:i/>
          <w:iCs/>
          <w:szCs w:val="26"/>
        </w:rPr>
        <w:t>Orin</w:t>
      </w:r>
      <w:r>
        <w:rPr>
          <w:szCs w:val="26"/>
        </w:rPr>
        <w:t xml:space="preserve">, at </w:t>
      </w:r>
      <w:r>
        <w:rPr>
          <w:szCs w:val="26"/>
        </w:rPr>
        <w:t>p. </w:t>
      </w:r>
      <w:r>
        <w:rPr>
          <w:szCs w:val="26"/>
        </w:rPr>
        <w:t xml:space="preserve">947; </w:t>
      </w:r>
      <w:r>
        <w:rPr>
          <w:szCs w:val="26"/>
        </w:rPr>
        <w:t xml:space="preserve">see </w:t>
      </w:r>
      <w:r w:rsidRPr="00701175">
        <w:rPr>
          <w:i/>
          <w:iCs/>
          <w:szCs w:val="26"/>
        </w:rPr>
        <w:t>Romero</w:t>
      </w:r>
      <w:r>
        <w:rPr>
          <w:szCs w:val="26"/>
        </w:rPr>
        <w:t xml:space="preserve">, </w:t>
      </w:r>
      <w:r>
        <w:rPr>
          <w:i/>
          <w:iCs/>
          <w:szCs w:val="26"/>
        </w:rPr>
        <w:t>supra</w:t>
      </w:r>
      <w:r>
        <w:rPr>
          <w:szCs w:val="26"/>
        </w:rPr>
        <w:t>,</w:t>
      </w:r>
      <w:r>
        <w:rPr>
          <w:i/>
          <w:iCs/>
          <w:szCs w:val="26"/>
        </w:rPr>
        <w:t xml:space="preserve"> </w:t>
      </w:r>
      <w:r>
        <w:rPr>
          <w:szCs w:val="26"/>
        </w:rPr>
        <w:t>13 </w:t>
      </w:r>
      <w:r w:rsidRPr="00701175">
        <w:rPr>
          <w:szCs w:val="26"/>
        </w:rPr>
        <w:t xml:space="preserve">Cal.4th </w:t>
      </w:r>
      <w:r>
        <w:rPr>
          <w:szCs w:val="26"/>
        </w:rPr>
        <w:t xml:space="preserve">at </w:t>
      </w:r>
      <w:r>
        <w:rPr>
          <w:szCs w:val="26"/>
        </w:rPr>
        <w:t>p. </w:t>
      </w:r>
      <w:r w:rsidRPr="00701175">
        <w:rPr>
          <w:szCs w:val="26"/>
        </w:rPr>
        <w:t>531</w:t>
      </w:r>
      <w:r>
        <w:rPr>
          <w:szCs w:val="26"/>
        </w:rPr>
        <w:t>.)</w:t>
      </w:r>
    </w:p>
    <w:p w14:paraId="6A51D9D9" w14:textId="77777777" w:rsidR="00907758" w:rsidRPr="00A73743" w:rsidRDefault="00861473" w:rsidP="00BA4F88">
      <w:pPr>
        <w:ind w:firstLine="720"/>
        <w:rPr>
          <w:szCs w:val="26"/>
        </w:rPr>
      </w:pPr>
      <w:r>
        <w:rPr>
          <w:szCs w:val="26"/>
        </w:rPr>
        <w:t xml:space="preserve">Second, the Legislature amended sections 12022.5 and 12022.53 </w:t>
      </w:r>
      <w:r>
        <w:rPr>
          <w:szCs w:val="26"/>
        </w:rPr>
        <w:t>to</w:t>
      </w:r>
      <w:r>
        <w:rPr>
          <w:szCs w:val="26"/>
        </w:rPr>
        <w:t xml:space="preserve"> </w:t>
      </w:r>
      <w:r>
        <w:rPr>
          <w:szCs w:val="26"/>
        </w:rPr>
        <w:t xml:space="preserve">give </w:t>
      </w:r>
      <w:r>
        <w:rPr>
          <w:szCs w:val="26"/>
        </w:rPr>
        <w:t>courts</w:t>
      </w:r>
      <w:r>
        <w:rPr>
          <w:szCs w:val="26"/>
        </w:rPr>
        <w:t xml:space="preserve"> the</w:t>
      </w:r>
      <w:r>
        <w:rPr>
          <w:szCs w:val="26"/>
        </w:rPr>
        <w:t xml:space="preserve"> ability to dismiss a</w:t>
      </w:r>
      <w:r>
        <w:rPr>
          <w:szCs w:val="26"/>
        </w:rPr>
        <w:t xml:space="preserve">n enhancement </w:t>
      </w:r>
      <w:r>
        <w:rPr>
          <w:szCs w:val="26"/>
        </w:rPr>
        <w:t xml:space="preserve">in </w:t>
      </w:r>
      <w:r>
        <w:rPr>
          <w:szCs w:val="26"/>
        </w:rPr>
        <w:t xml:space="preserve">the interest </w:t>
      </w:r>
      <w:r>
        <w:rPr>
          <w:szCs w:val="26"/>
        </w:rPr>
        <w:t xml:space="preserve">of justice </w:t>
      </w:r>
      <w:r>
        <w:rPr>
          <w:szCs w:val="26"/>
        </w:rPr>
        <w:t xml:space="preserve">precisely because a growing body of research (that did not exist in 1998 when the Supreme Court decided </w:t>
      </w:r>
      <w:r>
        <w:rPr>
          <w:i/>
          <w:iCs/>
          <w:szCs w:val="26"/>
        </w:rPr>
        <w:t>Williams</w:t>
      </w:r>
      <w:r>
        <w:rPr>
          <w:szCs w:val="26"/>
        </w:rPr>
        <w:t xml:space="preserve">) </w:t>
      </w:r>
      <w:r>
        <w:rPr>
          <w:szCs w:val="26"/>
        </w:rPr>
        <w:t xml:space="preserve">indicated </w:t>
      </w:r>
      <w:r>
        <w:rPr>
          <w:szCs w:val="26"/>
        </w:rPr>
        <w:t>firearm enhancements had “no material deterr</w:t>
      </w:r>
      <w:r>
        <w:rPr>
          <w:szCs w:val="26"/>
        </w:rPr>
        <w:t>ent effect.”  (Sen. Com. on Public</w:t>
      </w:r>
      <w:r>
        <w:rPr>
          <w:szCs w:val="26"/>
        </w:rPr>
        <w:t xml:space="preserve"> Safety, Re</w:t>
      </w:r>
      <w:r>
        <w:rPr>
          <w:szCs w:val="26"/>
        </w:rPr>
        <w:t>p. on Sen. Bill No. </w:t>
      </w:r>
      <w:r>
        <w:rPr>
          <w:szCs w:val="26"/>
        </w:rPr>
        <w:t>62</w:t>
      </w:r>
      <w:r>
        <w:rPr>
          <w:szCs w:val="26"/>
        </w:rPr>
        <w:t xml:space="preserve">0, </w:t>
      </w:r>
      <w:r>
        <w:rPr>
          <w:i/>
          <w:iCs/>
          <w:szCs w:val="26"/>
        </w:rPr>
        <w:t>supra</w:t>
      </w:r>
      <w:r>
        <w:rPr>
          <w:szCs w:val="26"/>
        </w:rPr>
        <w:t>, at</w:t>
      </w:r>
      <w:r>
        <w:rPr>
          <w:szCs w:val="26"/>
        </w:rPr>
        <w:t xml:space="preserve"> </w:t>
      </w:r>
      <w:r>
        <w:rPr>
          <w:szCs w:val="26"/>
        </w:rPr>
        <w:t>p. </w:t>
      </w:r>
      <w:r>
        <w:rPr>
          <w:szCs w:val="26"/>
        </w:rPr>
        <w:t>3.)</w:t>
      </w:r>
      <w:r>
        <w:rPr>
          <w:szCs w:val="26"/>
        </w:rPr>
        <w:t xml:space="preserve"> </w:t>
      </w:r>
      <w:r>
        <w:rPr>
          <w:szCs w:val="26"/>
        </w:rPr>
        <w:t xml:space="preserve"> The </w:t>
      </w:r>
      <w:r>
        <w:rPr>
          <w:szCs w:val="26"/>
        </w:rPr>
        <w:t>d</w:t>
      </w:r>
      <w:r>
        <w:rPr>
          <w:szCs w:val="26"/>
        </w:rPr>
        <w:t xml:space="preserve">istrict </w:t>
      </w:r>
      <w:r>
        <w:rPr>
          <w:szCs w:val="26"/>
        </w:rPr>
        <w:t>a</w:t>
      </w:r>
      <w:r>
        <w:rPr>
          <w:szCs w:val="26"/>
        </w:rPr>
        <w:t>ttorney cited some of that research in the a</w:t>
      </w:r>
      <w:r>
        <w:rPr>
          <w:szCs w:val="26"/>
        </w:rPr>
        <w:t>ppendix to Special Directive 20</w:t>
      </w:r>
      <w:r>
        <w:rPr>
          <w:szCs w:val="26"/>
        </w:rPr>
        <w:noBreakHyphen/>
      </w:r>
      <w:r>
        <w:rPr>
          <w:szCs w:val="26"/>
        </w:rPr>
        <w:t>08.  T</w:t>
      </w:r>
      <w:r>
        <w:rPr>
          <w:szCs w:val="26"/>
        </w:rPr>
        <w:t xml:space="preserve">he </w:t>
      </w:r>
      <w:r>
        <w:rPr>
          <w:szCs w:val="26"/>
        </w:rPr>
        <w:t>d</w:t>
      </w:r>
      <w:r>
        <w:rPr>
          <w:szCs w:val="26"/>
        </w:rPr>
        <w:t xml:space="preserve">istrict </w:t>
      </w:r>
      <w:r>
        <w:rPr>
          <w:szCs w:val="26"/>
        </w:rPr>
        <w:t>a</w:t>
      </w:r>
      <w:r>
        <w:rPr>
          <w:szCs w:val="26"/>
        </w:rPr>
        <w:t>ttorn</w:t>
      </w:r>
      <w:r>
        <w:rPr>
          <w:szCs w:val="26"/>
        </w:rPr>
        <w:t>ey’s</w:t>
      </w:r>
      <w:r>
        <w:rPr>
          <w:szCs w:val="26"/>
        </w:rPr>
        <w:t xml:space="preserve"> concerns </w:t>
      </w:r>
      <w:r>
        <w:rPr>
          <w:szCs w:val="26"/>
        </w:rPr>
        <w:t xml:space="preserve">the </w:t>
      </w:r>
      <w:r>
        <w:rPr>
          <w:szCs w:val="26"/>
        </w:rPr>
        <w:t xml:space="preserve">firearm enhancements </w:t>
      </w:r>
      <w:r>
        <w:rPr>
          <w:szCs w:val="26"/>
        </w:rPr>
        <w:t xml:space="preserve">alleged against Nazir </w:t>
      </w:r>
      <w:r>
        <w:rPr>
          <w:szCs w:val="26"/>
        </w:rPr>
        <w:t>would not produce their desired deterrent effect falls</w:t>
      </w:r>
      <w:r>
        <w:rPr>
          <w:szCs w:val="26"/>
        </w:rPr>
        <w:t xml:space="preserve"> within the “spirit” of sections 12022.5 and 12022.53.  (See </w:t>
      </w:r>
      <w:r>
        <w:rPr>
          <w:i/>
          <w:iCs/>
          <w:szCs w:val="26"/>
        </w:rPr>
        <w:t>Williams</w:t>
      </w:r>
      <w:r>
        <w:rPr>
          <w:szCs w:val="26"/>
        </w:rPr>
        <w:t xml:space="preserve">, </w:t>
      </w:r>
      <w:r>
        <w:rPr>
          <w:i/>
          <w:iCs/>
          <w:szCs w:val="26"/>
        </w:rPr>
        <w:t>supra</w:t>
      </w:r>
      <w:r>
        <w:rPr>
          <w:szCs w:val="26"/>
        </w:rPr>
        <w:t>, 17 </w:t>
      </w:r>
      <w:r>
        <w:rPr>
          <w:szCs w:val="26"/>
        </w:rPr>
        <w:t xml:space="preserve">Cal.4th at </w:t>
      </w:r>
      <w:r>
        <w:rPr>
          <w:szCs w:val="26"/>
        </w:rPr>
        <w:t>p. </w:t>
      </w:r>
      <w:r>
        <w:rPr>
          <w:szCs w:val="26"/>
        </w:rPr>
        <w:t>160</w:t>
      </w:r>
      <w:r>
        <w:rPr>
          <w:szCs w:val="26"/>
        </w:rPr>
        <w:t>.)</w:t>
      </w:r>
      <w:r>
        <w:rPr>
          <w:szCs w:val="26"/>
          <w:vertAlign w:val="superscript"/>
        </w:rPr>
        <w:footnoteReference w:id="9"/>
      </w:r>
    </w:p>
    <w:p w14:paraId="611F4C3F" w14:textId="77777777" w:rsidR="0091435A" w:rsidRDefault="00861473" w:rsidP="00BA4F88">
      <w:pPr>
        <w:ind w:firstLine="720"/>
        <w:rPr>
          <w:szCs w:val="26"/>
        </w:rPr>
      </w:pPr>
      <w:r>
        <w:rPr>
          <w:szCs w:val="26"/>
        </w:rPr>
        <w:lastRenderedPageBreak/>
        <w:t xml:space="preserve">Contrary to the position </w:t>
      </w:r>
      <w:r>
        <w:rPr>
          <w:szCs w:val="26"/>
        </w:rPr>
        <w:t>of</w:t>
      </w:r>
      <w:r>
        <w:rPr>
          <w:szCs w:val="26"/>
        </w:rPr>
        <w:t xml:space="preserve"> </w:t>
      </w:r>
      <w:r>
        <w:rPr>
          <w:szCs w:val="26"/>
        </w:rPr>
        <w:t>the d</w:t>
      </w:r>
      <w:r>
        <w:rPr>
          <w:szCs w:val="26"/>
        </w:rPr>
        <w:t xml:space="preserve">istrict </w:t>
      </w:r>
      <w:r>
        <w:rPr>
          <w:szCs w:val="26"/>
        </w:rPr>
        <w:t>a</w:t>
      </w:r>
      <w:r>
        <w:rPr>
          <w:szCs w:val="26"/>
        </w:rPr>
        <w:t xml:space="preserve">ttorney, however, </w:t>
      </w:r>
      <w:r>
        <w:rPr>
          <w:szCs w:val="26"/>
        </w:rPr>
        <w:t xml:space="preserve">a </w:t>
      </w:r>
      <w:r>
        <w:rPr>
          <w:szCs w:val="26"/>
        </w:rPr>
        <w:t>prosecutor’s</w:t>
      </w:r>
      <w:r>
        <w:rPr>
          <w:szCs w:val="26"/>
        </w:rPr>
        <w:t xml:space="preserve"> motion to dismiss a</w:t>
      </w:r>
      <w:r>
        <w:rPr>
          <w:szCs w:val="26"/>
        </w:rPr>
        <w:t xml:space="preserve">n enhancement </w:t>
      </w:r>
      <w:r>
        <w:rPr>
          <w:szCs w:val="26"/>
        </w:rPr>
        <w:t>under section 1385</w:t>
      </w:r>
      <w:r>
        <w:rPr>
          <w:szCs w:val="26"/>
        </w:rPr>
        <w:t xml:space="preserve"> is not “a constitutionally</w:t>
      </w:r>
      <w:r>
        <w:rPr>
          <w:szCs w:val="26"/>
        </w:rPr>
        <w:t xml:space="preserve"> </w:t>
      </w:r>
      <w:r>
        <w:rPr>
          <w:szCs w:val="26"/>
        </w:rPr>
        <w:t>protected exercise of prosecutorial discretion</w:t>
      </w:r>
      <w:r>
        <w:rPr>
          <w:szCs w:val="26"/>
        </w:rPr>
        <w:t>,</w:t>
      </w:r>
      <w:r>
        <w:rPr>
          <w:szCs w:val="26"/>
        </w:rPr>
        <w:t xml:space="preserve">” and </w:t>
      </w:r>
      <w:r>
        <w:rPr>
          <w:szCs w:val="26"/>
        </w:rPr>
        <w:t xml:space="preserve">the </w:t>
      </w:r>
      <w:r>
        <w:rPr>
          <w:szCs w:val="26"/>
        </w:rPr>
        <w:t xml:space="preserve">trial </w:t>
      </w:r>
      <w:r>
        <w:rPr>
          <w:szCs w:val="26"/>
        </w:rPr>
        <w:t>court may deny such a motion</w:t>
      </w:r>
      <w:r>
        <w:rPr>
          <w:szCs w:val="26"/>
        </w:rPr>
        <w:t xml:space="preserve">. </w:t>
      </w:r>
      <w:r>
        <w:rPr>
          <w:szCs w:val="26"/>
        </w:rPr>
        <w:t xml:space="preserve"> </w:t>
      </w:r>
      <w:r>
        <w:rPr>
          <w:szCs w:val="26"/>
        </w:rPr>
        <w:t>A</w:t>
      </w:r>
      <w:r>
        <w:rPr>
          <w:szCs w:val="26"/>
        </w:rPr>
        <w:t xml:space="preserve">s </w:t>
      </w:r>
      <w:r>
        <w:rPr>
          <w:szCs w:val="26"/>
        </w:rPr>
        <w:t>discu</w:t>
      </w:r>
      <w:r>
        <w:rPr>
          <w:szCs w:val="26"/>
        </w:rPr>
        <w:t>ssed</w:t>
      </w:r>
      <w:r>
        <w:rPr>
          <w:szCs w:val="26"/>
        </w:rPr>
        <w:t xml:space="preserve">, once a district attorney files charges </w:t>
      </w:r>
      <w:r>
        <w:rPr>
          <w:szCs w:val="26"/>
        </w:rPr>
        <w:t xml:space="preserve">and invokes </w:t>
      </w:r>
      <w:r>
        <w:rPr>
          <w:szCs w:val="26"/>
        </w:rPr>
        <w:t>the</w:t>
      </w:r>
      <w:r>
        <w:rPr>
          <w:szCs w:val="26"/>
        </w:rPr>
        <w:t xml:space="preserve"> court’s jurisdiction</w:t>
      </w:r>
      <w:r>
        <w:rPr>
          <w:szCs w:val="26"/>
        </w:rPr>
        <w:t xml:space="preserve">, </w:t>
      </w:r>
      <w:r>
        <w:rPr>
          <w:szCs w:val="26"/>
        </w:rPr>
        <w:t xml:space="preserve">only </w:t>
      </w:r>
      <w:r>
        <w:rPr>
          <w:szCs w:val="26"/>
        </w:rPr>
        <w:t xml:space="preserve">the court, not the district attorney, </w:t>
      </w:r>
      <w:r>
        <w:rPr>
          <w:szCs w:val="26"/>
        </w:rPr>
        <w:t>can</w:t>
      </w:r>
      <w:r>
        <w:rPr>
          <w:szCs w:val="26"/>
        </w:rPr>
        <w:t xml:space="preserve"> dismiss an action </w:t>
      </w:r>
      <w:r>
        <w:rPr>
          <w:szCs w:val="26"/>
        </w:rPr>
        <w:t xml:space="preserve">or enhancement </w:t>
      </w:r>
      <w:r>
        <w:rPr>
          <w:szCs w:val="26"/>
        </w:rPr>
        <w:t>under section 1385.</w:t>
      </w:r>
      <w:r>
        <w:rPr>
          <w:szCs w:val="26"/>
        </w:rPr>
        <w:t xml:space="preserve"> </w:t>
      </w:r>
      <w:r>
        <w:rPr>
          <w:szCs w:val="26"/>
        </w:rPr>
        <w:t xml:space="preserve"> </w:t>
      </w:r>
      <w:r>
        <w:rPr>
          <w:szCs w:val="26"/>
        </w:rPr>
        <w:t>(</w:t>
      </w:r>
      <w:r w:rsidRPr="00BA144E">
        <w:rPr>
          <w:i/>
          <w:iCs/>
          <w:szCs w:val="26"/>
        </w:rPr>
        <w:t>People v. Bonnetta</w:t>
      </w:r>
      <w:r>
        <w:rPr>
          <w:szCs w:val="26"/>
        </w:rPr>
        <w:t xml:space="preserve">, </w:t>
      </w:r>
      <w:r>
        <w:rPr>
          <w:i/>
          <w:iCs/>
          <w:szCs w:val="26"/>
        </w:rPr>
        <w:t>supra</w:t>
      </w:r>
      <w:r>
        <w:rPr>
          <w:szCs w:val="26"/>
        </w:rPr>
        <w:t>,</w:t>
      </w:r>
      <w:r>
        <w:rPr>
          <w:i/>
          <w:iCs/>
          <w:szCs w:val="26"/>
        </w:rPr>
        <w:t xml:space="preserve"> </w:t>
      </w:r>
      <w:r>
        <w:rPr>
          <w:szCs w:val="26"/>
        </w:rPr>
        <w:t>46 </w:t>
      </w:r>
      <w:r w:rsidRPr="00BA144E">
        <w:rPr>
          <w:szCs w:val="26"/>
        </w:rPr>
        <w:t xml:space="preserve">Cal.4th </w:t>
      </w:r>
      <w:r>
        <w:rPr>
          <w:szCs w:val="26"/>
        </w:rPr>
        <w:t>at p</w:t>
      </w:r>
      <w:r>
        <w:rPr>
          <w:szCs w:val="26"/>
        </w:rPr>
        <w:t>p. </w:t>
      </w:r>
      <w:r w:rsidRPr="00BA144E">
        <w:rPr>
          <w:szCs w:val="26"/>
        </w:rPr>
        <w:t>148</w:t>
      </w:r>
      <w:r>
        <w:rPr>
          <w:szCs w:val="26"/>
        </w:rPr>
        <w:noBreakHyphen/>
      </w:r>
      <w:r w:rsidRPr="00BA144E">
        <w:rPr>
          <w:szCs w:val="26"/>
        </w:rPr>
        <w:t>149</w:t>
      </w:r>
      <w:r>
        <w:rPr>
          <w:szCs w:val="26"/>
        </w:rPr>
        <w:t>; s</w:t>
      </w:r>
      <w:r>
        <w:rPr>
          <w:szCs w:val="26"/>
        </w:rPr>
        <w:t xml:space="preserve">ee </w:t>
      </w:r>
      <w:r w:rsidRPr="00B1404F">
        <w:rPr>
          <w:i/>
          <w:iCs/>
          <w:szCs w:val="26"/>
        </w:rPr>
        <w:t>Romero</w:t>
      </w:r>
      <w:r>
        <w:rPr>
          <w:szCs w:val="26"/>
        </w:rPr>
        <w:t xml:space="preserve">, </w:t>
      </w:r>
      <w:r>
        <w:rPr>
          <w:i/>
          <w:iCs/>
          <w:szCs w:val="26"/>
        </w:rPr>
        <w:t>supra</w:t>
      </w:r>
      <w:r>
        <w:rPr>
          <w:szCs w:val="26"/>
        </w:rPr>
        <w:t>,</w:t>
      </w:r>
      <w:r>
        <w:rPr>
          <w:i/>
          <w:iCs/>
          <w:szCs w:val="26"/>
        </w:rPr>
        <w:t xml:space="preserve"> </w:t>
      </w:r>
      <w:r>
        <w:rPr>
          <w:szCs w:val="26"/>
        </w:rPr>
        <w:t>13 </w:t>
      </w:r>
      <w:r w:rsidRPr="00B1404F">
        <w:rPr>
          <w:szCs w:val="26"/>
        </w:rPr>
        <w:t xml:space="preserve">Cal.4th </w:t>
      </w:r>
      <w:r>
        <w:rPr>
          <w:szCs w:val="26"/>
        </w:rPr>
        <w:t>at p</w:t>
      </w:r>
      <w:r>
        <w:rPr>
          <w:szCs w:val="26"/>
        </w:rPr>
        <w:t>p. </w:t>
      </w:r>
      <w:r>
        <w:rPr>
          <w:szCs w:val="26"/>
        </w:rPr>
        <w:t>515</w:t>
      </w:r>
      <w:r>
        <w:rPr>
          <w:szCs w:val="26"/>
        </w:rPr>
        <w:noBreakHyphen/>
      </w:r>
      <w:r>
        <w:rPr>
          <w:szCs w:val="26"/>
        </w:rPr>
        <w:t>516</w:t>
      </w:r>
      <w:r>
        <w:rPr>
          <w:szCs w:val="26"/>
        </w:rPr>
        <w:t xml:space="preserve"> [</w:t>
      </w:r>
      <w:r>
        <w:rPr>
          <w:szCs w:val="26"/>
        </w:rPr>
        <w:t>“</w:t>
      </w:r>
      <w:r w:rsidRPr="000437DA">
        <w:rPr>
          <w:szCs w:val="26"/>
        </w:rPr>
        <w:t xml:space="preserve">the prosecutor may ask the court to dismiss pursuant to section 1385, but </w:t>
      </w:r>
      <w:r>
        <w:rPr>
          <w:szCs w:val="26"/>
        </w:rPr>
        <w:t>‘</w:t>
      </w:r>
      <w:r w:rsidRPr="000437DA">
        <w:rPr>
          <w:szCs w:val="26"/>
        </w:rPr>
        <w:t>neither the Attorney General nor the district attorney can discontinue or</w:t>
      </w:r>
      <w:r>
        <w:rPr>
          <w:szCs w:val="26"/>
        </w:rPr>
        <w:t xml:space="preserve"> </w:t>
      </w:r>
      <w:r w:rsidRPr="000437DA">
        <w:rPr>
          <w:szCs w:val="26"/>
        </w:rPr>
        <w:t>abandon a prosecution for a public offense, except as provided in Sectio</w:t>
      </w:r>
      <w:r w:rsidRPr="000437DA">
        <w:rPr>
          <w:szCs w:val="26"/>
        </w:rPr>
        <w:t>n 1385</w:t>
      </w:r>
      <w:r>
        <w:rPr>
          <w:szCs w:val="26"/>
        </w:rPr>
        <w:t>’</w:t>
      </w:r>
      <w:r w:rsidRPr="000437DA">
        <w:rPr>
          <w:szCs w:val="26"/>
        </w:rPr>
        <w:t>”</w:t>
      </w:r>
      <w:r w:rsidRPr="000437DA">
        <w:rPr>
          <w:szCs w:val="26"/>
        </w:rPr>
        <w:t>];</w:t>
      </w:r>
      <w:r>
        <w:rPr>
          <w:szCs w:val="26"/>
        </w:rPr>
        <w:t xml:space="preserve"> </w:t>
      </w:r>
      <w:r>
        <w:rPr>
          <w:i/>
          <w:iCs/>
          <w:szCs w:val="26"/>
        </w:rPr>
        <w:t xml:space="preserve">People v. </w:t>
      </w:r>
      <w:r w:rsidRPr="00EA732C">
        <w:rPr>
          <w:i/>
          <w:iCs/>
          <w:szCs w:val="26"/>
        </w:rPr>
        <w:t>Tenorio</w:t>
      </w:r>
      <w:r>
        <w:rPr>
          <w:szCs w:val="26"/>
        </w:rPr>
        <w:t xml:space="preserve"> (1970) 3 </w:t>
      </w:r>
      <w:r w:rsidRPr="00EA732C">
        <w:rPr>
          <w:szCs w:val="26"/>
        </w:rPr>
        <w:t>Cal.3d 89</w:t>
      </w:r>
      <w:r>
        <w:rPr>
          <w:szCs w:val="26"/>
        </w:rPr>
        <w:t>, 94 [</w:t>
      </w:r>
      <w:r>
        <w:rPr>
          <w:szCs w:val="26"/>
        </w:rPr>
        <w:t>the “</w:t>
      </w:r>
      <w:r w:rsidRPr="00892F68">
        <w:rPr>
          <w:szCs w:val="26"/>
        </w:rPr>
        <w:t xml:space="preserve">prosecutor has never been able </w:t>
      </w:r>
      <w:r w:rsidRPr="000437DA">
        <w:rPr>
          <w:szCs w:val="26"/>
        </w:rPr>
        <w:t>to ‘exercise’ the power to dismiss a charged prior—he has only been able to invite</w:t>
      </w:r>
      <w:r>
        <w:rPr>
          <w:szCs w:val="26"/>
        </w:rPr>
        <w:t xml:space="preserve"> </w:t>
      </w:r>
      <w:r w:rsidRPr="00892F68">
        <w:rPr>
          <w:szCs w:val="26"/>
        </w:rPr>
        <w:t>the judicial exercise of that power”</w:t>
      </w:r>
      <w:r>
        <w:rPr>
          <w:szCs w:val="26"/>
        </w:rPr>
        <w:t>].)</w:t>
      </w:r>
      <w:r>
        <w:rPr>
          <w:szCs w:val="26"/>
        </w:rPr>
        <w:t xml:space="preserve">  </w:t>
      </w:r>
      <w:r>
        <w:rPr>
          <w:szCs w:val="26"/>
        </w:rPr>
        <w:t>The d</w:t>
      </w:r>
      <w:r>
        <w:rPr>
          <w:szCs w:val="26"/>
        </w:rPr>
        <w:t xml:space="preserve">istrict </w:t>
      </w:r>
      <w:r>
        <w:rPr>
          <w:szCs w:val="26"/>
        </w:rPr>
        <w:t>a</w:t>
      </w:r>
      <w:r>
        <w:rPr>
          <w:szCs w:val="26"/>
        </w:rPr>
        <w:t>ttorney’s argument</w:t>
      </w:r>
      <w:r>
        <w:rPr>
          <w:szCs w:val="26"/>
        </w:rPr>
        <w:t xml:space="preserve"> </w:t>
      </w:r>
      <w:r>
        <w:rPr>
          <w:szCs w:val="26"/>
        </w:rPr>
        <w:t xml:space="preserve">the </w:t>
      </w:r>
      <w:r>
        <w:rPr>
          <w:szCs w:val="26"/>
        </w:rPr>
        <w:t>trial court “lac</w:t>
      </w:r>
      <w:r>
        <w:rPr>
          <w:szCs w:val="26"/>
        </w:rPr>
        <w:t>k[s]</w:t>
      </w:r>
      <w:r>
        <w:rPr>
          <w:szCs w:val="26"/>
        </w:rPr>
        <w:t xml:space="preserve"> </w:t>
      </w:r>
      <w:r>
        <w:rPr>
          <w:szCs w:val="26"/>
        </w:rPr>
        <w:t>the power</w:t>
      </w:r>
      <w:r>
        <w:rPr>
          <w:szCs w:val="26"/>
        </w:rPr>
        <w:t xml:space="preserve"> to deny” </w:t>
      </w:r>
      <w:r>
        <w:rPr>
          <w:szCs w:val="26"/>
        </w:rPr>
        <w:t>a</w:t>
      </w:r>
      <w:r>
        <w:rPr>
          <w:szCs w:val="26"/>
        </w:rPr>
        <w:t xml:space="preserve"> prosecutor’s motion under section 1385</w:t>
      </w:r>
      <w:r>
        <w:rPr>
          <w:szCs w:val="26"/>
        </w:rPr>
        <w:t xml:space="preserve"> is contrary to the Legislature’s </w:t>
      </w:r>
      <w:r>
        <w:rPr>
          <w:szCs w:val="26"/>
        </w:rPr>
        <w:t>decision</w:t>
      </w:r>
      <w:r>
        <w:rPr>
          <w:szCs w:val="26"/>
        </w:rPr>
        <w:t xml:space="preserve"> in 1872</w:t>
      </w:r>
      <w:r>
        <w:rPr>
          <w:szCs w:val="26"/>
        </w:rPr>
        <w:t xml:space="preserve"> </w:t>
      </w:r>
      <w:r>
        <w:rPr>
          <w:szCs w:val="26"/>
        </w:rPr>
        <w:t>to</w:t>
      </w:r>
      <w:r>
        <w:rPr>
          <w:szCs w:val="26"/>
        </w:rPr>
        <w:t xml:space="preserve"> abolish nolle prosequi</w:t>
      </w:r>
      <w:r>
        <w:rPr>
          <w:szCs w:val="26"/>
        </w:rPr>
        <w:t>.</w:t>
      </w:r>
      <w:r>
        <w:rPr>
          <w:szCs w:val="26"/>
        </w:rPr>
        <w:t xml:space="preserve"> </w:t>
      </w:r>
    </w:p>
    <w:p w14:paraId="08BCF4BE" w14:textId="77777777" w:rsidR="00D93D88" w:rsidRPr="006653E1" w:rsidRDefault="00861473" w:rsidP="006653E1">
      <w:pPr>
        <w:ind w:firstLine="720"/>
        <w:rPr>
          <w:i/>
          <w:iCs/>
          <w:szCs w:val="26"/>
        </w:rPr>
      </w:pPr>
      <w:r>
        <w:rPr>
          <w:szCs w:val="26"/>
        </w:rPr>
        <w:lastRenderedPageBreak/>
        <w:t xml:space="preserve">The </w:t>
      </w:r>
      <w:r>
        <w:rPr>
          <w:szCs w:val="26"/>
        </w:rPr>
        <w:t>d</w:t>
      </w:r>
      <w:r>
        <w:rPr>
          <w:szCs w:val="26"/>
        </w:rPr>
        <w:t xml:space="preserve">istrict </w:t>
      </w:r>
      <w:r>
        <w:rPr>
          <w:szCs w:val="26"/>
        </w:rPr>
        <w:t>a</w:t>
      </w:r>
      <w:r>
        <w:rPr>
          <w:szCs w:val="26"/>
        </w:rPr>
        <w:t xml:space="preserve">ttorney </w:t>
      </w:r>
      <w:r>
        <w:rPr>
          <w:szCs w:val="26"/>
        </w:rPr>
        <w:t xml:space="preserve">also </w:t>
      </w:r>
      <w:r>
        <w:rPr>
          <w:szCs w:val="26"/>
        </w:rPr>
        <w:t xml:space="preserve">argues </w:t>
      </w:r>
      <w:r>
        <w:rPr>
          <w:szCs w:val="26"/>
        </w:rPr>
        <w:t>that he has the</w:t>
      </w:r>
      <w:r>
        <w:rPr>
          <w:szCs w:val="26"/>
        </w:rPr>
        <w:t xml:space="preserve"> prerogative to determine “‘whether to continue </w:t>
      </w:r>
      <w:r>
        <w:rPr>
          <w:szCs w:val="26"/>
        </w:rPr>
        <w:t>a prosecution’” (</w:t>
      </w:r>
      <w:r w:rsidRPr="006B7FCD">
        <w:rPr>
          <w:i/>
          <w:iCs/>
          <w:szCs w:val="26"/>
        </w:rPr>
        <w:t>People ex rel. Kottmeier v. Municipal Court</w:t>
      </w:r>
      <w:r>
        <w:rPr>
          <w:szCs w:val="26"/>
        </w:rPr>
        <w:t xml:space="preserve"> </w:t>
      </w:r>
      <w:r w:rsidRPr="006B7FCD">
        <w:rPr>
          <w:szCs w:val="26"/>
        </w:rPr>
        <w:t>(1990) 220</w:t>
      </w:r>
      <w:r>
        <w:rPr>
          <w:szCs w:val="26"/>
        </w:rPr>
        <w:t> </w:t>
      </w:r>
      <w:r w:rsidRPr="006B7FCD">
        <w:rPr>
          <w:szCs w:val="26"/>
        </w:rPr>
        <w:t>Cal.App.3d 602, 609</w:t>
      </w:r>
      <w:r>
        <w:rPr>
          <w:szCs w:val="26"/>
        </w:rPr>
        <w:t>)</w:t>
      </w:r>
      <w:r>
        <w:rPr>
          <w:szCs w:val="26"/>
        </w:rPr>
        <w:t xml:space="preserve"> and</w:t>
      </w:r>
      <w:r>
        <w:rPr>
          <w:szCs w:val="26"/>
        </w:rPr>
        <w:t xml:space="preserve"> that</w:t>
      </w:r>
      <w:r>
        <w:rPr>
          <w:szCs w:val="26"/>
        </w:rPr>
        <w:t>, “[a]s a practical matter, it would be impossible for the court to compel a district attorney to proceed with a prosecution that a district attorney no lo</w:t>
      </w:r>
      <w:r>
        <w:rPr>
          <w:szCs w:val="26"/>
        </w:rPr>
        <w:t>nger wished to pursue.”</w:t>
      </w:r>
      <w:r>
        <w:rPr>
          <w:szCs w:val="26"/>
        </w:rPr>
        <w:t xml:space="preserve">  </w:t>
      </w:r>
      <w:r>
        <w:rPr>
          <w:szCs w:val="26"/>
        </w:rPr>
        <w:t xml:space="preserve">The </w:t>
      </w:r>
      <w:r>
        <w:rPr>
          <w:szCs w:val="26"/>
        </w:rPr>
        <w:t>d</w:t>
      </w:r>
      <w:r>
        <w:rPr>
          <w:szCs w:val="26"/>
        </w:rPr>
        <w:t xml:space="preserve">istrict </w:t>
      </w:r>
      <w:r>
        <w:rPr>
          <w:szCs w:val="26"/>
        </w:rPr>
        <w:t>a</w:t>
      </w:r>
      <w:r>
        <w:rPr>
          <w:szCs w:val="26"/>
        </w:rPr>
        <w:t xml:space="preserve">ttorney </w:t>
      </w:r>
      <w:r>
        <w:rPr>
          <w:szCs w:val="26"/>
        </w:rPr>
        <w:t xml:space="preserve">points to the plea </w:t>
      </w:r>
      <w:r>
        <w:rPr>
          <w:szCs w:val="26"/>
        </w:rPr>
        <w:t xml:space="preserve">bargaining </w:t>
      </w:r>
      <w:r>
        <w:rPr>
          <w:szCs w:val="26"/>
        </w:rPr>
        <w:t xml:space="preserve">process and </w:t>
      </w:r>
      <w:r>
        <w:rPr>
          <w:szCs w:val="26"/>
        </w:rPr>
        <w:t xml:space="preserve">cites the Supreme Court’s statement </w:t>
      </w:r>
      <w:r>
        <w:rPr>
          <w:szCs w:val="26"/>
        </w:rPr>
        <w:t xml:space="preserve">in </w:t>
      </w:r>
      <w:r>
        <w:rPr>
          <w:i/>
          <w:iCs/>
          <w:szCs w:val="26"/>
        </w:rPr>
        <w:t>People v. Orin</w:t>
      </w:r>
      <w:r>
        <w:rPr>
          <w:szCs w:val="26"/>
        </w:rPr>
        <w:t xml:space="preserve">, </w:t>
      </w:r>
      <w:r>
        <w:rPr>
          <w:i/>
          <w:iCs/>
          <w:szCs w:val="26"/>
        </w:rPr>
        <w:t>supra</w:t>
      </w:r>
      <w:r>
        <w:rPr>
          <w:szCs w:val="26"/>
        </w:rPr>
        <w:t>, 13 </w:t>
      </w:r>
      <w:r>
        <w:rPr>
          <w:szCs w:val="26"/>
        </w:rPr>
        <w:t xml:space="preserve">Cal.3d 937 </w:t>
      </w:r>
      <w:r>
        <w:rPr>
          <w:szCs w:val="26"/>
        </w:rPr>
        <w:t xml:space="preserve">that </w:t>
      </w:r>
      <w:r>
        <w:rPr>
          <w:szCs w:val="26"/>
        </w:rPr>
        <w:t xml:space="preserve">a prosecutor may </w:t>
      </w:r>
      <w:r>
        <w:rPr>
          <w:szCs w:val="26"/>
        </w:rPr>
        <w:t>secure</w:t>
      </w:r>
      <w:r>
        <w:rPr>
          <w:szCs w:val="26"/>
        </w:rPr>
        <w:t xml:space="preserve"> a plea </w:t>
      </w:r>
      <w:r>
        <w:rPr>
          <w:szCs w:val="26"/>
        </w:rPr>
        <w:t>agreement</w:t>
      </w:r>
      <w:r>
        <w:rPr>
          <w:szCs w:val="26"/>
        </w:rPr>
        <w:t xml:space="preserve"> through the “</w:t>
      </w:r>
      <w:r w:rsidRPr="006B7FCD">
        <w:rPr>
          <w:szCs w:val="26"/>
        </w:rPr>
        <w:t xml:space="preserve">dismissal of one or more </w:t>
      </w:r>
      <w:r w:rsidRPr="006B7FCD">
        <w:rPr>
          <w:szCs w:val="26"/>
        </w:rPr>
        <w:t>counts of a multi-count indictment or information</w:t>
      </w:r>
      <w:r>
        <w:rPr>
          <w:szCs w:val="26"/>
        </w:rPr>
        <w:t>.”  (</w:t>
      </w:r>
      <w:r>
        <w:rPr>
          <w:i/>
          <w:iCs/>
          <w:szCs w:val="26"/>
        </w:rPr>
        <w:t>Id.</w:t>
      </w:r>
      <w:r>
        <w:rPr>
          <w:szCs w:val="26"/>
        </w:rPr>
        <w:t xml:space="preserve"> at </w:t>
      </w:r>
      <w:r>
        <w:rPr>
          <w:szCs w:val="26"/>
        </w:rPr>
        <w:t>p. </w:t>
      </w:r>
      <w:r>
        <w:rPr>
          <w:szCs w:val="26"/>
        </w:rPr>
        <w:t xml:space="preserve">942.)  But the </w:t>
      </w:r>
      <w:r>
        <w:rPr>
          <w:szCs w:val="26"/>
        </w:rPr>
        <w:t>Supreme C</w:t>
      </w:r>
      <w:r>
        <w:rPr>
          <w:szCs w:val="26"/>
        </w:rPr>
        <w:t>ourt</w:t>
      </w:r>
      <w:r>
        <w:rPr>
          <w:szCs w:val="26"/>
        </w:rPr>
        <w:t>’s statements</w:t>
      </w:r>
      <w:r>
        <w:rPr>
          <w:szCs w:val="26"/>
        </w:rPr>
        <w:t xml:space="preserve"> </w:t>
      </w:r>
      <w:r>
        <w:rPr>
          <w:szCs w:val="26"/>
        </w:rPr>
        <w:t xml:space="preserve">in </w:t>
      </w:r>
      <w:r>
        <w:rPr>
          <w:i/>
          <w:iCs/>
          <w:szCs w:val="26"/>
        </w:rPr>
        <w:t xml:space="preserve">Orin </w:t>
      </w:r>
      <w:r>
        <w:rPr>
          <w:szCs w:val="26"/>
        </w:rPr>
        <w:t xml:space="preserve">did not mean </w:t>
      </w:r>
      <w:r>
        <w:rPr>
          <w:szCs w:val="26"/>
        </w:rPr>
        <w:t xml:space="preserve">a </w:t>
      </w:r>
      <w:r>
        <w:rPr>
          <w:szCs w:val="26"/>
        </w:rPr>
        <w:t xml:space="preserve">prosecutor </w:t>
      </w:r>
      <w:r>
        <w:rPr>
          <w:szCs w:val="26"/>
        </w:rPr>
        <w:t>can</w:t>
      </w:r>
      <w:r>
        <w:rPr>
          <w:szCs w:val="26"/>
        </w:rPr>
        <w:t xml:space="preserve"> on his or her own authority dismiss a count.  The </w:t>
      </w:r>
      <w:r>
        <w:rPr>
          <w:szCs w:val="26"/>
        </w:rPr>
        <w:t xml:space="preserve">Supreme </w:t>
      </w:r>
      <w:r>
        <w:rPr>
          <w:szCs w:val="26"/>
        </w:rPr>
        <w:t>C</w:t>
      </w:r>
      <w:r>
        <w:rPr>
          <w:szCs w:val="26"/>
        </w:rPr>
        <w:t>ourt merely identified dismissal of one or more count</w:t>
      </w:r>
      <w:r>
        <w:rPr>
          <w:szCs w:val="26"/>
        </w:rPr>
        <w:t xml:space="preserve">s as one of several </w:t>
      </w:r>
      <w:r>
        <w:rPr>
          <w:szCs w:val="26"/>
        </w:rPr>
        <w:t xml:space="preserve">possible </w:t>
      </w:r>
      <w:r>
        <w:rPr>
          <w:szCs w:val="26"/>
        </w:rPr>
        <w:t xml:space="preserve">consequences of a plea </w:t>
      </w:r>
      <w:r>
        <w:rPr>
          <w:szCs w:val="26"/>
        </w:rPr>
        <w:t>agreement</w:t>
      </w:r>
      <w:r>
        <w:rPr>
          <w:szCs w:val="26"/>
        </w:rPr>
        <w:t xml:space="preserve">, </w:t>
      </w:r>
      <w:r w:rsidRPr="005D6ECB">
        <w:rPr>
          <w:szCs w:val="26"/>
        </w:rPr>
        <w:t>with “</w:t>
      </w:r>
      <w:r w:rsidRPr="005D6ECB">
        <w:rPr>
          <w:szCs w:val="26"/>
        </w:rPr>
        <w:t>the People’s acceptance of a plea to a lesser offense than that charged”</w:t>
      </w:r>
      <w:r>
        <w:rPr>
          <w:szCs w:val="26"/>
        </w:rPr>
        <w:t xml:space="preserve"> as another possibility.</w:t>
      </w:r>
      <w:r>
        <w:rPr>
          <w:szCs w:val="26"/>
        </w:rPr>
        <w:t xml:space="preserve">  (</w:t>
      </w:r>
      <w:r>
        <w:rPr>
          <w:i/>
          <w:iCs/>
          <w:szCs w:val="26"/>
        </w:rPr>
        <w:t>Ibid.</w:t>
      </w:r>
      <w:r>
        <w:rPr>
          <w:szCs w:val="26"/>
        </w:rPr>
        <w:t xml:space="preserve">)  Moreover, </w:t>
      </w:r>
      <w:r>
        <w:rPr>
          <w:szCs w:val="26"/>
        </w:rPr>
        <w:t xml:space="preserve">in </w:t>
      </w:r>
      <w:r>
        <w:rPr>
          <w:szCs w:val="26"/>
        </w:rPr>
        <w:t xml:space="preserve">the very next sentence of </w:t>
      </w:r>
      <w:r>
        <w:rPr>
          <w:szCs w:val="26"/>
        </w:rPr>
        <w:t xml:space="preserve">its opinion in </w:t>
      </w:r>
      <w:r>
        <w:rPr>
          <w:i/>
          <w:iCs/>
          <w:szCs w:val="26"/>
        </w:rPr>
        <w:t>Orin</w:t>
      </w:r>
      <w:r>
        <w:rPr>
          <w:szCs w:val="26"/>
        </w:rPr>
        <w:t xml:space="preserve"> </w:t>
      </w:r>
      <w:r>
        <w:rPr>
          <w:szCs w:val="26"/>
        </w:rPr>
        <w:t>the Supreme Court mad</w:t>
      </w:r>
      <w:r>
        <w:rPr>
          <w:szCs w:val="26"/>
        </w:rPr>
        <w:t>e</w:t>
      </w:r>
      <w:r>
        <w:rPr>
          <w:szCs w:val="26"/>
        </w:rPr>
        <w:t xml:space="preserve"> clear that “[j]</w:t>
      </w:r>
      <w:r w:rsidRPr="006B7FCD">
        <w:rPr>
          <w:szCs w:val="26"/>
        </w:rPr>
        <w:t>udicial approval is an</w:t>
      </w:r>
      <w:r>
        <w:rPr>
          <w:szCs w:val="26"/>
        </w:rPr>
        <w:t xml:space="preserve"> </w:t>
      </w:r>
      <w:r w:rsidRPr="006B7FCD">
        <w:rPr>
          <w:szCs w:val="26"/>
        </w:rPr>
        <w:t>essential condition precedent</w:t>
      </w:r>
      <w:r>
        <w:rPr>
          <w:szCs w:val="26"/>
        </w:rPr>
        <w:t>”</w:t>
      </w:r>
      <w:r w:rsidRPr="006B7FCD">
        <w:rPr>
          <w:szCs w:val="26"/>
        </w:rPr>
        <w:t xml:space="preserve"> to </w:t>
      </w:r>
      <w:r>
        <w:rPr>
          <w:szCs w:val="26"/>
        </w:rPr>
        <w:t>any plea agreement.</w:t>
      </w:r>
      <w:r>
        <w:rPr>
          <w:szCs w:val="26"/>
        </w:rPr>
        <w:t xml:space="preserve"> </w:t>
      </w:r>
      <w:r w:rsidRPr="006B7FCD">
        <w:rPr>
          <w:szCs w:val="26"/>
        </w:rPr>
        <w:t xml:space="preserve"> (</w:t>
      </w:r>
      <w:r>
        <w:rPr>
          <w:i/>
          <w:iCs/>
          <w:szCs w:val="26"/>
        </w:rPr>
        <w:t>Id.</w:t>
      </w:r>
      <w:r>
        <w:rPr>
          <w:szCs w:val="26"/>
        </w:rPr>
        <w:t xml:space="preserve"> at p</w:t>
      </w:r>
      <w:r>
        <w:rPr>
          <w:szCs w:val="26"/>
        </w:rPr>
        <w:t>p. </w:t>
      </w:r>
      <w:r>
        <w:rPr>
          <w:szCs w:val="26"/>
        </w:rPr>
        <w:t>942</w:t>
      </w:r>
      <w:r>
        <w:rPr>
          <w:szCs w:val="26"/>
        </w:rPr>
        <w:noBreakHyphen/>
      </w:r>
      <w:r>
        <w:rPr>
          <w:szCs w:val="26"/>
        </w:rPr>
        <w:t>943; see §</w:t>
      </w:r>
      <w:r>
        <w:rPr>
          <w:szCs w:val="26"/>
        </w:rPr>
        <w:t>§ </w:t>
      </w:r>
      <w:r w:rsidRPr="006B7FCD">
        <w:rPr>
          <w:szCs w:val="26"/>
        </w:rPr>
        <w:t>1192.1, 1192.</w:t>
      </w:r>
      <w:r>
        <w:rPr>
          <w:szCs w:val="26"/>
        </w:rPr>
        <w:t>3</w:t>
      </w:r>
      <w:r w:rsidRPr="006B7FCD">
        <w:rPr>
          <w:szCs w:val="26"/>
        </w:rPr>
        <w:t>,</w:t>
      </w:r>
      <w:r>
        <w:rPr>
          <w:szCs w:val="26"/>
        </w:rPr>
        <w:t xml:space="preserve"> 1192.4, 1192.5.)  While the prosecutor has sole authority to negotiate on behalf of the People, </w:t>
      </w:r>
      <w:r>
        <w:rPr>
          <w:szCs w:val="26"/>
        </w:rPr>
        <w:t xml:space="preserve">a </w:t>
      </w:r>
      <w:r>
        <w:rPr>
          <w:szCs w:val="26"/>
        </w:rPr>
        <w:t xml:space="preserve">plea </w:t>
      </w:r>
      <w:r>
        <w:rPr>
          <w:szCs w:val="26"/>
        </w:rPr>
        <w:t>agreement</w:t>
      </w:r>
      <w:r>
        <w:rPr>
          <w:szCs w:val="26"/>
        </w:rPr>
        <w:t xml:space="preserve"> is </w:t>
      </w:r>
      <w:r>
        <w:rPr>
          <w:szCs w:val="26"/>
        </w:rPr>
        <w:t xml:space="preserve">not </w:t>
      </w:r>
      <w:r>
        <w:rPr>
          <w:szCs w:val="26"/>
        </w:rPr>
        <w:t xml:space="preserve">self-executing; </w:t>
      </w:r>
      <w:r>
        <w:rPr>
          <w:szCs w:val="26"/>
        </w:rPr>
        <w:t>the court must app</w:t>
      </w:r>
      <w:r>
        <w:rPr>
          <w:szCs w:val="26"/>
        </w:rPr>
        <w:t>r</w:t>
      </w:r>
      <w:r>
        <w:rPr>
          <w:szCs w:val="26"/>
        </w:rPr>
        <w:t>ove it</w:t>
      </w:r>
      <w:r>
        <w:rPr>
          <w:szCs w:val="26"/>
        </w:rPr>
        <w:t>.</w:t>
      </w:r>
      <w:r>
        <w:rPr>
          <w:szCs w:val="26"/>
        </w:rPr>
        <w:t xml:space="preserve"> </w:t>
      </w:r>
      <w:r>
        <w:rPr>
          <w:szCs w:val="26"/>
        </w:rPr>
        <w:t xml:space="preserve"> </w:t>
      </w:r>
      <w:r>
        <w:rPr>
          <w:szCs w:val="26"/>
        </w:rPr>
        <w:t>(</w:t>
      </w:r>
      <w:r>
        <w:rPr>
          <w:i/>
          <w:iCs/>
          <w:szCs w:val="26"/>
        </w:rPr>
        <w:t>People v. Clancey</w:t>
      </w:r>
      <w:r>
        <w:rPr>
          <w:szCs w:val="26"/>
        </w:rPr>
        <w:t xml:space="preserve">, </w:t>
      </w:r>
      <w:r>
        <w:rPr>
          <w:i/>
          <w:iCs/>
          <w:szCs w:val="26"/>
        </w:rPr>
        <w:t>supra</w:t>
      </w:r>
      <w:r>
        <w:rPr>
          <w:szCs w:val="26"/>
        </w:rPr>
        <w:t>, 56 </w:t>
      </w:r>
      <w:r>
        <w:rPr>
          <w:szCs w:val="26"/>
        </w:rPr>
        <w:t xml:space="preserve">Cal.4th at </w:t>
      </w:r>
      <w:r>
        <w:rPr>
          <w:szCs w:val="26"/>
        </w:rPr>
        <w:t>p. </w:t>
      </w:r>
      <w:r>
        <w:rPr>
          <w:szCs w:val="26"/>
        </w:rPr>
        <w:t xml:space="preserve">570; </w:t>
      </w:r>
      <w:r>
        <w:rPr>
          <w:i/>
          <w:iCs/>
          <w:szCs w:val="26"/>
        </w:rPr>
        <w:t>Orin</w:t>
      </w:r>
      <w:r>
        <w:rPr>
          <w:szCs w:val="26"/>
        </w:rPr>
        <w:t xml:space="preserve">, at </w:t>
      </w:r>
      <w:r>
        <w:rPr>
          <w:szCs w:val="26"/>
        </w:rPr>
        <w:t>p. </w:t>
      </w:r>
      <w:r>
        <w:rPr>
          <w:szCs w:val="26"/>
        </w:rPr>
        <w:t>943</w:t>
      </w:r>
      <w:r>
        <w:rPr>
          <w:szCs w:val="26"/>
        </w:rPr>
        <w:t>)</w:t>
      </w:r>
      <w:r>
        <w:rPr>
          <w:szCs w:val="26"/>
        </w:rPr>
        <w:t xml:space="preserve">.  </w:t>
      </w:r>
      <w:r>
        <w:rPr>
          <w:szCs w:val="26"/>
        </w:rPr>
        <w:t xml:space="preserve">Thus, </w:t>
      </w:r>
      <w:r>
        <w:rPr>
          <w:szCs w:val="26"/>
        </w:rPr>
        <w:t>i</w:t>
      </w:r>
      <w:r>
        <w:rPr>
          <w:szCs w:val="26"/>
        </w:rPr>
        <w:t>f</w:t>
      </w:r>
      <w:r>
        <w:rPr>
          <w:szCs w:val="26"/>
        </w:rPr>
        <w:t xml:space="preserve"> a court </w:t>
      </w:r>
      <w:r>
        <w:rPr>
          <w:szCs w:val="26"/>
        </w:rPr>
        <w:t>reject</w:t>
      </w:r>
      <w:r>
        <w:rPr>
          <w:szCs w:val="26"/>
        </w:rPr>
        <w:t>s</w:t>
      </w:r>
      <w:r>
        <w:rPr>
          <w:szCs w:val="26"/>
        </w:rPr>
        <w:t xml:space="preserve"> a plea </w:t>
      </w:r>
      <w:r>
        <w:rPr>
          <w:szCs w:val="26"/>
        </w:rPr>
        <w:t>agreement</w:t>
      </w:r>
      <w:r>
        <w:rPr>
          <w:szCs w:val="26"/>
        </w:rPr>
        <w:t>, the prosecutor must continue to prosecute the case</w:t>
      </w:r>
      <w:r>
        <w:rPr>
          <w:szCs w:val="26"/>
        </w:rPr>
        <w:t xml:space="preserve"> or request dismissal for another reason</w:t>
      </w:r>
      <w:r>
        <w:rPr>
          <w:szCs w:val="26"/>
        </w:rPr>
        <w:t>.  (See</w:t>
      </w:r>
      <w:r>
        <w:rPr>
          <w:szCs w:val="26"/>
        </w:rPr>
        <w:t>, </w:t>
      </w:r>
      <w:r>
        <w:rPr>
          <w:szCs w:val="26"/>
        </w:rPr>
        <w:t>e.g.,</w:t>
      </w:r>
      <w:r>
        <w:rPr>
          <w:szCs w:val="26"/>
        </w:rPr>
        <w:t xml:space="preserve"> </w:t>
      </w:r>
      <w:r w:rsidRPr="006B7FCD">
        <w:rPr>
          <w:i/>
          <w:iCs/>
          <w:szCs w:val="26"/>
        </w:rPr>
        <w:t>People v. Stringham</w:t>
      </w:r>
      <w:r>
        <w:rPr>
          <w:szCs w:val="26"/>
        </w:rPr>
        <w:t xml:space="preserve"> (1988) 206 </w:t>
      </w:r>
      <w:r w:rsidRPr="006B7FCD">
        <w:rPr>
          <w:szCs w:val="26"/>
        </w:rPr>
        <w:t xml:space="preserve">Cal.App.3d 184, </w:t>
      </w:r>
      <w:r>
        <w:rPr>
          <w:szCs w:val="26"/>
        </w:rPr>
        <w:t>190</w:t>
      </w:r>
      <w:r>
        <w:rPr>
          <w:szCs w:val="26"/>
        </w:rPr>
        <w:noBreakHyphen/>
      </w:r>
      <w:r w:rsidRPr="006B7FCD">
        <w:rPr>
          <w:szCs w:val="26"/>
        </w:rPr>
        <w:t>1</w:t>
      </w:r>
      <w:r>
        <w:rPr>
          <w:szCs w:val="26"/>
        </w:rPr>
        <w:t>91</w:t>
      </w:r>
      <w:r>
        <w:rPr>
          <w:szCs w:val="26"/>
        </w:rPr>
        <w:t xml:space="preserve"> [trial court rejected </w:t>
      </w:r>
      <w:r>
        <w:rPr>
          <w:szCs w:val="26"/>
        </w:rPr>
        <w:t xml:space="preserve">a </w:t>
      </w:r>
      <w:r>
        <w:rPr>
          <w:szCs w:val="26"/>
        </w:rPr>
        <w:t xml:space="preserve">plea agreement </w:t>
      </w:r>
      <w:r>
        <w:rPr>
          <w:szCs w:val="26"/>
        </w:rPr>
        <w:t xml:space="preserve">after the victim’s family </w:t>
      </w:r>
      <w:r>
        <w:rPr>
          <w:szCs w:val="26"/>
        </w:rPr>
        <w:t>opposed it</w:t>
      </w:r>
      <w:r>
        <w:rPr>
          <w:szCs w:val="26"/>
        </w:rPr>
        <w:t>,</w:t>
      </w:r>
      <w:r>
        <w:rPr>
          <w:szCs w:val="26"/>
        </w:rPr>
        <w:t xml:space="preserve"> and the case proceeded to trial]</w:t>
      </w:r>
      <w:r>
        <w:rPr>
          <w:szCs w:val="26"/>
        </w:rPr>
        <w:t xml:space="preserve">; </w:t>
      </w:r>
      <w:r w:rsidRPr="00C146A8">
        <w:rPr>
          <w:i/>
          <w:iCs/>
          <w:szCs w:val="26"/>
        </w:rPr>
        <w:t>People v. Cobb</w:t>
      </w:r>
      <w:r>
        <w:rPr>
          <w:szCs w:val="26"/>
        </w:rPr>
        <w:t xml:space="preserve"> (1983) 139 </w:t>
      </w:r>
      <w:r w:rsidRPr="00C146A8">
        <w:rPr>
          <w:szCs w:val="26"/>
        </w:rPr>
        <w:t>Cal.App.3d 578, 581</w:t>
      </w:r>
      <w:r>
        <w:rPr>
          <w:szCs w:val="26"/>
        </w:rPr>
        <w:t xml:space="preserve"> [trial court refused to consider </w:t>
      </w:r>
      <w:r>
        <w:rPr>
          <w:szCs w:val="26"/>
        </w:rPr>
        <w:t xml:space="preserve">a </w:t>
      </w:r>
      <w:r>
        <w:rPr>
          <w:szCs w:val="26"/>
        </w:rPr>
        <w:t xml:space="preserve">plea </w:t>
      </w:r>
      <w:r>
        <w:rPr>
          <w:szCs w:val="26"/>
        </w:rPr>
        <w:lastRenderedPageBreak/>
        <w:t>agreement proposed after the deadline established by local rules]</w:t>
      </w:r>
      <w:r>
        <w:rPr>
          <w:szCs w:val="26"/>
        </w:rPr>
        <w:t xml:space="preserve">.)  Similarly, </w:t>
      </w:r>
      <w:r>
        <w:rPr>
          <w:szCs w:val="26"/>
        </w:rPr>
        <w:t>if</w:t>
      </w:r>
      <w:r>
        <w:rPr>
          <w:szCs w:val="26"/>
        </w:rPr>
        <w:t xml:space="preserve"> </w:t>
      </w:r>
      <w:r>
        <w:rPr>
          <w:szCs w:val="26"/>
        </w:rPr>
        <w:t>the</w:t>
      </w:r>
      <w:r>
        <w:rPr>
          <w:szCs w:val="26"/>
        </w:rPr>
        <w:t xml:space="preserve"> court denies a prosecutor’s request f</w:t>
      </w:r>
      <w:r>
        <w:rPr>
          <w:szCs w:val="26"/>
        </w:rPr>
        <w:t xml:space="preserve">or dismissal under section 1385, the prosecutor </w:t>
      </w:r>
      <w:r>
        <w:rPr>
          <w:szCs w:val="26"/>
        </w:rPr>
        <w:t>must</w:t>
      </w:r>
      <w:r>
        <w:rPr>
          <w:szCs w:val="26"/>
        </w:rPr>
        <w:t xml:space="preserve"> continue the prosecution, appeal the ruling, or </w:t>
      </w:r>
      <w:r>
        <w:rPr>
          <w:szCs w:val="26"/>
        </w:rPr>
        <w:t>seek dismissal on another ground</w:t>
      </w:r>
      <w:r>
        <w:rPr>
          <w:szCs w:val="26"/>
        </w:rPr>
        <w:t xml:space="preserve">, for example, by announcing the prosecution is unable to proceed.  (See </w:t>
      </w:r>
      <w:r w:rsidRPr="007A674B">
        <w:rPr>
          <w:i/>
          <w:iCs/>
          <w:szCs w:val="26"/>
        </w:rPr>
        <w:t>People v. Chacon</w:t>
      </w:r>
      <w:r>
        <w:rPr>
          <w:szCs w:val="26"/>
        </w:rPr>
        <w:t xml:space="preserve"> </w:t>
      </w:r>
      <w:r>
        <w:rPr>
          <w:szCs w:val="26"/>
        </w:rPr>
        <w:t>(2007) 40 </w:t>
      </w:r>
      <w:r w:rsidRPr="007A674B">
        <w:rPr>
          <w:szCs w:val="26"/>
        </w:rPr>
        <w:t>Cal.4th 558, 56</w:t>
      </w:r>
      <w:r>
        <w:rPr>
          <w:szCs w:val="26"/>
        </w:rPr>
        <w:t>1 [after</w:t>
      </w:r>
      <w:r>
        <w:rPr>
          <w:szCs w:val="26"/>
        </w:rPr>
        <w:t xml:space="preserve"> </w:t>
      </w:r>
      <w:r>
        <w:rPr>
          <w:szCs w:val="26"/>
        </w:rPr>
        <w:t xml:space="preserve">the </w:t>
      </w:r>
      <w:r>
        <w:rPr>
          <w:szCs w:val="26"/>
        </w:rPr>
        <w:t xml:space="preserve">trial court ruled for the defendant on a motion in limine, the People announced they </w:t>
      </w:r>
      <w:r>
        <w:rPr>
          <w:szCs w:val="26"/>
        </w:rPr>
        <w:t>were unable to</w:t>
      </w:r>
      <w:r>
        <w:rPr>
          <w:szCs w:val="26"/>
        </w:rPr>
        <w:t xml:space="preserve"> proceed, and the trial court dismissed the action under section 1385]</w:t>
      </w:r>
      <w:r>
        <w:rPr>
          <w:szCs w:val="26"/>
        </w:rPr>
        <w:t xml:space="preserve">; </w:t>
      </w:r>
      <w:r w:rsidRPr="004047DE">
        <w:rPr>
          <w:i/>
          <w:iCs/>
          <w:szCs w:val="26"/>
        </w:rPr>
        <w:t>People v. Nguyen</w:t>
      </w:r>
      <w:r>
        <w:rPr>
          <w:szCs w:val="26"/>
        </w:rPr>
        <w:t xml:space="preserve"> (2017) 12 </w:t>
      </w:r>
      <w:r w:rsidRPr="004047DE">
        <w:rPr>
          <w:szCs w:val="26"/>
        </w:rPr>
        <w:t>Cal.App.5th 574, 581</w:t>
      </w:r>
      <w:r>
        <w:rPr>
          <w:szCs w:val="26"/>
        </w:rPr>
        <w:t xml:space="preserve"> [same]</w:t>
      </w:r>
      <w:r>
        <w:rPr>
          <w:szCs w:val="26"/>
        </w:rPr>
        <w:t xml:space="preserve">.) </w:t>
      </w:r>
      <w:r>
        <w:rPr>
          <w:szCs w:val="26"/>
        </w:rPr>
        <w:t xml:space="preserve"> </w:t>
      </w:r>
      <w:r>
        <w:rPr>
          <w:szCs w:val="26"/>
        </w:rPr>
        <w:t>S</w:t>
      </w:r>
      <w:r w:rsidRPr="00627054">
        <w:rPr>
          <w:szCs w:val="26"/>
        </w:rPr>
        <w:t xml:space="preserve">ection 1387 </w:t>
      </w:r>
      <w:r>
        <w:rPr>
          <w:szCs w:val="26"/>
        </w:rPr>
        <w:t>“</w:t>
      </w:r>
      <w:r w:rsidRPr="00627054">
        <w:rPr>
          <w:szCs w:val="26"/>
        </w:rPr>
        <w:t>generall</w:t>
      </w:r>
      <w:r w:rsidRPr="00627054">
        <w:rPr>
          <w:szCs w:val="26"/>
        </w:rPr>
        <w:t>y permits the prosecution to refile felony charges following dismissal</w:t>
      </w:r>
      <w:r>
        <w:rPr>
          <w:szCs w:val="26"/>
        </w:rPr>
        <w:t>” at least once.</w:t>
      </w:r>
      <w:r>
        <w:rPr>
          <w:szCs w:val="26"/>
        </w:rPr>
        <w:t xml:space="preserve">  (</w:t>
      </w:r>
      <w:r w:rsidRPr="00627054">
        <w:rPr>
          <w:i/>
          <w:iCs/>
          <w:szCs w:val="26"/>
        </w:rPr>
        <w:t>Jackson v. Superior Court</w:t>
      </w:r>
      <w:r>
        <w:rPr>
          <w:szCs w:val="26"/>
        </w:rPr>
        <w:t xml:space="preserve"> (2017) 4 </w:t>
      </w:r>
      <w:r w:rsidRPr="00627054">
        <w:rPr>
          <w:szCs w:val="26"/>
        </w:rPr>
        <w:t>Cal.5th 96, 103</w:t>
      </w:r>
      <w:r>
        <w:rPr>
          <w:szCs w:val="26"/>
        </w:rPr>
        <w:t>.)</w:t>
      </w:r>
    </w:p>
    <w:p w14:paraId="5405C70F" w14:textId="77777777" w:rsidR="0056764E" w:rsidRDefault="00861473" w:rsidP="0056764E">
      <w:pPr>
        <w:ind w:firstLine="720"/>
        <w:rPr>
          <w:szCs w:val="26"/>
        </w:rPr>
      </w:pPr>
      <w:r>
        <w:rPr>
          <w:szCs w:val="26"/>
        </w:rPr>
        <w:t xml:space="preserve">Nor is there merit to the district attorney’s argument </w:t>
      </w:r>
      <w:r>
        <w:rPr>
          <w:szCs w:val="26"/>
        </w:rPr>
        <w:t xml:space="preserve">there is “no need for the [trial] court to consider </w:t>
      </w:r>
      <w:r>
        <w:rPr>
          <w:szCs w:val="26"/>
        </w:rPr>
        <w:t>whether, on the facts of a particular case, dismissal furthers the interests of justice” because, “as the People’s representative,” the prosecutor “has already determined that it is not within the People’s inter</w:t>
      </w:r>
      <w:r>
        <w:rPr>
          <w:szCs w:val="26"/>
        </w:rPr>
        <w:t>e</w:t>
      </w:r>
      <w:r>
        <w:rPr>
          <w:szCs w:val="26"/>
        </w:rPr>
        <w:t>st to prosecute the defendant for a violatio</w:t>
      </w:r>
      <w:r>
        <w:rPr>
          <w:szCs w:val="26"/>
        </w:rPr>
        <w:t>n of [the ap</w:t>
      </w:r>
      <w:r>
        <w:rPr>
          <w:szCs w:val="26"/>
        </w:rPr>
        <w:t>plicable] legislative scheme.”  As discussed, if a prosecutor moves to dismiss an enhancement before proving it, the abolition of nolle prosequi requires the court to exercise its discretion in determining whether dismissal furthers the interes</w:t>
      </w:r>
      <w:r>
        <w:rPr>
          <w:szCs w:val="26"/>
        </w:rPr>
        <w:t xml:space="preserve">ts of justice.  If a prosecutor moves to dismiss an enhancement </w:t>
      </w:r>
      <w:r>
        <w:rPr>
          <w:szCs w:val="26"/>
        </w:rPr>
        <w:t xml:space="preserve">that has </w:t>
      </w:r>
      <w:r>
        <w:rPr>
          <w:szCs w:val="26"/>
        </w:rPr>
        <w:t>been proven</w:t>
      </w:r>
      <w:r>
        <w:rPr>
          <w:szCs w:val="26"/>
        </w:rPr>
        <w:t xml:space="preserve">, the court must exercise its sentencing discretion in determining whether to grant the motion.  </w:t>
      </w:r>
      <w:r>
        <w:rPr>
          <w:szCs w:val="26"/>
        </w:rPr>
        <w:t xml:space="preserve">(See </w:t>
      </w:r>
      <w:r w:rsidRPr="004047DE">
        <w:rPr>
          <w:i/>
          <w:iCs/>
          <w:szCs w:val="26"/>
        </w:rPr>
        <w:t>People v. Clancey</w:t>
      </w:r>
      <w:r>
        <w:rPr>
          <w:szCs w:val="26"/>
        </w:rPr>
        <w:t xml:space="preserve">, </w:t>
      </w:r>
      <w:r>
        <w:rPr>
          <w:i/>
          <w:iCs/>
          <w:szCs w:val="26"/>
        </w:rPr>
        <w:t>supra</w:t>
      </w:r>
      <w:r>
        <w:rPr>
          <w:szCs w:val="26"/>
        </w:rPr>
        <w:t>,</w:t>
      </w:r>
      <w:r>
        <w:rPr>
          <w:i/>
          <w:iCs/>
          <w:szCs w:val="26"/>
        </w:rPr>
        <w:t xml:space="preserve"> </w:t>
      </w:r>
      <w:r w:rsidRPr="004047DE">
        <w:rPr>
          <w:szCs w:val="26"/>
        </w:rPr>
        <w:t>56</w:t>
      </w:r>
      <w:r>
        <w:rPr>
          <w:szCs w:val="26"/>
        </w:rPr>
        <w:t> </w:t>
      </w:r>
      <w:r w:rsidRPr="004047DE">
        <w:rPr>
          <w:szCs w:val="26"/>
        </w:rPr>
        <w:t xml:space="preserve">Cal.4th </w:t>
      </w:r>
      <w:r>
        <w:rPr>
          <w:szCs w:val="26"/>
        </w:rPr>
        <w:t>at p. </w:t>
      </w:r>
      <w:r w:rsidRPr="004047DE">
        <w:rPr>
          <w:szCs w:val="26"/>
        </w:rPr>
        <w:t>580</w:t>
      </w:r>
      <w:r>
        <w:rPr>
          <w:szCs w:val="26"/>
        </w:rPr>
        <w:t xml:space="preserve"> [</w:t>
      </w:r>
      <w:r w:rsidRPr="004047DE">
        <w:rPr>
          <w:szCs w:val="26"/>
        </w:rPr>
        <w:t>“</w:t>
      </w:r>
      <w:r>
        <w:rPr>
          <w:szCs w:val="26"/>
        </w:rPr>
        <w:t>‘</w:t>
      </w:r>
      <w:r>
        <w:rPr>
          <w:szCs w:val="26"/>
        </w:rPr>
        <w:t>T</w:t>
      </w:r>
      <w:r w:rsidRPr="004047DE">
        <w:rPr>
          <w:szCs w:val="26"/>
        </w:rPr>
        <w:t>he imposition of se</w:t>
      </w:r>
      <w:r w:rsidRPr="004047DE">
        <w:rPr>
          <w:szCs w:val="26"/>
        </w:rPr>
        <w:t>ntence and the exercise of</w:t>
      </w:r>
      <w:r>
        <w:rPr>
          <w:szCs w:val="26"/>
        </w:rPr>
        <w:t xml:space="preserve"> </w:t>
      </w:r>
      <w:r w:rsidRPr="004047DE">
        <w:rPr>
          <w:szCs w:val="26"/>
        </w:rPr>
        <w:t>sentencing</w:t>
      </w:r>
      <w:r>
        <w:rPr>
          <w:szCs w:val="26"/>
        </w:rPr>
        <w:t xml:space="preserve"> </w:t>
      </w:r>
      <w:r w:rsidRPr="004047DE">
        <w:rPr>
          <w:szCs w:val="26"/>
        </w:rPr>
        <w:t>discretion are fundamentally and inherently</w:t>
      </w:r>
      <w:r>
        <w:rPr>
          <w:szCs w:val="26"/>
        </w:rPr>
        <w:t xml:space="preserve"> </w:t>
      </w:r>
      <w:r w:rsidRPr="004047DE">
        <w:rPr>
          <w:szCs w:val="26"/>
        </w:rPr>
        <w:t>judicial</w:t>
      </w:r>
      <w:r>
        <w:rPr>
          <w:szCs w:val="26"/>
        </w:rPr>
        <w:t xml:space="preserve"> </w:t>
      </w:r>
      <w:r w:rsidRPr="004047DE">
        <w:rPr>
          <w:szCs w:val="26"/>
        </w:rPr>
        <w:t>functions.</w:t>
      </w:r>
      <w:r>
        <w:rPr>
          <w:szCs w:val="26"/>
        </w:rPr>
        <w:t>’</w:t>
      </w:r>
      <w:r w:rsidRPr="004047DE">
        <w:rPr>
          <w:szCs w:val="26"/>
        </w:rPr>
        <w:t>”</w:t>
      </w:r>
      <w:r>
        <w:rPr>
          <w:szCs w:val="26"/>
        </w:rPr>
        <w:t>]</w:t>
      </w:r>
      <w:r>
        <w:rPr>
          <w:szCs w:val="26"/>
        </w:rPr>
        <w:t xml:space="preserve">; </w:t>
      </w:r>
      <w:r w:rsidRPr="004047DE">
        <w:rPr>
          <w:i/>
          <w:iCs/>
          <w:szCs w:val="26"/>
        </w:rPr>
        <w:t>People v. Sandoval</w:t>
      </w:r>
      <w:r>
        <w:rPr>
          <w:szCs w:val="26"/>
        </w:rPr>
        <w:t xml:space="preserve"> (2007) 41 </w:t>
      </w:r>
      <w:r w:rsidRPr="004047DE">
        <w:rPr>
          <w:szCs w:val="26"/>
        </w:rPr>
        <w:t>Cal.4th 825, 847</w:t>
      </w:r>
      <w:r>
        <w:rPr>
          <w:szCs w:val="26"/>
        </w:rPr>
        <w:t xml:space="preserve"> [</w:t>
      </w:r>
      <w:r w:rsidRPr="004047DE">
        <w:rPr>
          <w:szCs w:val="26"/>
        </w:rPr>
        <w:t>“The trial court</w:t>
      </w:r>
      <w:r>
        <w:rPr>
          <w:szCs w:val="26"/>
        </w:rPr>
        <w:t xml:space="preserve">’s </w:t>
      </w:r>
      <w:r w:rsidRPr="004047DE">
        <w:rPr>
          <w:szCs w:val="26"/>
        </w:rPr>
        <w:t>sentencing</w:t>
      </w:r>
      <w:r>
        <w:rPr>
          <w:szCs w:val="26"/>
        </w:rPr>
        <w:t xml:space="preserve"> </w:t>
      </w:r>
      <w:r w:rsidRPr="004047DE">
        <w:rPr>
          <w:szCs w:val="26"/>
        </w:rPr>
        <w:t xml:space="preserve">discretion must </w:t>
      </w:r>
      <w:r w:rsidRPr="004047DE">
        <w:rPr>
          <w:szCs w:val="26"/>
        </w:rPr>
        <w:lastRenderedPageBreak/>
        <w:t xml:space="preserve">be exercised in a manner that is not arbitrary and </w:t>
      </w:r>
      <w:r w:rsidRPr="004047DE">
        <w:rPr>
          <w:szCs w:val="26"/>
        </w:rPr>
        <w:t>capricious, that is consistent with the letter and spirit of the law, and that is based upon an ‘individualized</w:t>
      </w:r>
      <w:r>
        <w:rPr>
          <w:szCs w:val="26"/>
        </w:rPr>
        <w:t xml:space="preserve"> </w:t>
      </w:r>
      <w:r w:rsidRPr="004047DE">
        <w:rPr>
          <w:szCs w:val="26"/>
        </w:rPr>
        <w:t>consideration of the offense, the offender, and the public interest.’”</w:t>
      </w:r>
      <w:r>
        <w:rPr>
          <w:szCs w:val="26"/>
        </w:rPr>
        <w:t>]</w:t>
      </w:r>
      <w:r w:rsidRPr="004047DE">
        <w:rPr>
          <w:szCs w:val="26"/>
        </w:rPr>
        <w:t>.)</w:t>
      </w:r>
      <w:r>
        <w:rPr>
          <w:szCs w:val="26"/>
        </w:rPr>
        <w:t xml:space="preserve">  </w:t>
      </w:r>
      <w:r>
        <w:rPr>
          <w:szCs w:val="26"/>
        </w:rPr>
        <w:t>In the context of sections 12022.5 and 12022.53, t</w:t>
      </w:r>
      <w:r>
        <w:rPr>
          <w:szCs w:val="26"/>
        </w:rPr>
        <w:t xml:space="preserve">he Supreme Court </w:t>
      </w:r>
      <w:r>
        <w:rPr>
          <w:szCs w:val="26"/>
        </w:rPr>
        <w:t>in</w:t>
      </w:r>
      <w:r>
        <w:rPr>
          <w:szCs w:val="26"/>
        </w:rPr>
        <w:t xml:space="preserve"> </w:t>
      </w:r>
      <w:r>
        <w:rPr>
          <w:i/>
          <w:iCs/>
          <w:szCs w:val="26"/>
        </w:rPr>
        <w:t>Tirado, supra</w:t>
      </w:r>
      <w:r>
        <w:rPr>
          <w:szCs w:val="26"/>
        </w:rPr>
        <w:t>, 12 </w:t>
      </w:r>
      <w:r>
        <w:rPr>
          <w:szCs w:val="26"/>
        </w:rPr>
        <w:t xml:space="preserve">Cal.5th 688 stated the Legislature intended </w:t>
      </w:r>
      <w:r>
        <w:rPr>
          <w:szCs w:val="26"/>
        </w:rPr>
        <w:t>for</w:t>
      </w:r>
      <w:r>
        <w:rPr>
          <w:szCs w:val="26"/>
        </w:rPr>
        <w:t xml:space="preserve"> </w:t>
      </w:r>
      <w:r w:rsidRPr="001958A9">
        <w:rPr>
          <w:szCs w:val="26"/>
        </w:rPr>
        <w:t>judges “</w:t>
      </w:r>
      <w:r>
        <w:rPr>
          <w:szCs w:val="26"/>
        </w:rPr>
        <w:t>‘</w:t>
      </w:r>
      <w:r>
        <w:rPr>
          <w:szCs w:val="26"/>
        </w:rPr>
        <w:t xml:space="preserve">to </w:t>
      </w:r>
      <w:r w:rsidRPr="001958A9">
        <w:rPr>
          <w:szCs w:val="26"/>
        </w:rPr>
        <w:t>impose sentences that fit the severity of the offense</w:t>
      </w:r>
      <w:r>
        <w:rPr>
          <w:szCs w:val="26"/>
        </w:rPr>
        <w:t>’</w:t>
      </w:r>
      <w:r w:rsidRPr="001958A9">
        <w:rPr>
          <w:szCs w:val="26"/>
        </w:rPr>
        <w:t xml:space="preserve">” </w:t>
      </w:r>
      <w:r>
        <w:rPr>
          <w:szCs w:val="26"/>
        </w:rPr>
        <w:t>by giving judges</w:t>
      </w:r>
      <w:r w:rsidRPr="0056764E">
        <w:rPr>
          <w:szCs w:val="26"/>
        </w:rPr>
        <w:t xml:space="preserve"> “t</w:t>
      </w:r>
      <w:r w:rsidRPr="001958A9">
        <w:rPr>
          <w:szCs w:val="26"/>
        </w:rPr>
        <w:t>he flexibility to impose lighter sentences in appropriate circumstances</w:t>
      </w:r>
      <w:r>
        <w:rPr>
          <w:szCs w:val="26"/>
        </w:rPr>
        <w:t>.”  (</w:t>
      </w:r>
      <w:r>
        <w:rPr>
          <w:i/>
          <w:iCs/>
          <w:szCs w:val="26"/>
        </w:rPr>
        <w:t>Id.</w:t>
      </w:r>
      <w:r>
        <w:rPr>
          <w:szCs w:val="26"/>
        </w:rPr>
        <w:t xml:space="preserve"> at </w:t>
      </w:r>
      <w:r>
        <w:rPr>
          <w:szCs w:val="26"/>
        </w:rPr>
        <w:t>p</w:t>
      </w:r>
      <w:r>
        <w:rPr>
          <w:szCs w:val="26"/>
        </w:rPr>
        <w:t>p. </w:t>
      </w:r>
      <w:r>
        <w:rPr>
          <w:szCs w:val="26"/>
        </w:rPr>
        <w:t>701</w:t>
      </w:r>
      <w:r>
        <w:rPr>
          <w:szCs w:val="26"/>
        </w:rPr>
        <w:noBreakHyphen/>
      </w:r>
      <w:r>
        <w:rPr>
          <w:szCs w:val="26"/>
        </w:rPr>
        <w:t>702</w:t>
      </w:r>
      <w:r>
        <w:rPr>
          <w:szCs w:val="26"/>
        </w:rPr>
        <w:t>.)</w:t>
      </w:r>
      <w:r>
        <w:rPr>
          <w:szCs w:val="26"/>
        </w:rPr>
        <w:t xml:space="preserve">  </w:t>
      </w:r>
      <w:r>
        <w:rPr>
          <w:szCs w:val="26"/>
        </w:rPr>
        <w:t>A</w:t>
      </w:r>
      <w:r>
        <w:rPr>
          <w:szCs w:val="26"/>
        </w:rPr>
        <w:t> </w:t>
      </w:r>
      <w:r>
        <w:rPr>
          <w:szCs w:val="26"/>
        </w:rPr>
        <w:t>ju</w:t>
      </w:r>
      <w:r>
        <w:rPr>
          <w:szCs w:val="26"/>
        </w:rPr>
        <w:t xml:space="preserve">dge cannot exercise that flexibility without making </w:t>
      </w:r>
      <w:r>
        <w:rPr>
          <w:szCs w:val="26"/>
        </w:rPr>
        <w:t xml:space="preserve">case-by-case assessments whether dismissal of a firearm enhancement is in furtherance of justice under section 1385.  </w:t>
      </w:r>
      <w:r>
        <w:rPr>
          <w:szCs w:val="26"/>
        </w:rPr>
        <w:t>Case-by-case</w:t>
      </w:r>
      <w:r>
        <w:rPr>
          <w:szCs w:val="26"/>
        </w:rPr>
        <w:t xml:space="preserve"> assessments also </w:t>
      </w:r>
      <w:r>
        <w:rPr>
          <w:szCs w:val="26"/>
        </w:rPr>
        <w:t xml:space="preserve">conform with </w:t>
      </w:r>
      <w:r>
        <w:rPr>
          <w:szCs w:val="26"/>
        </w:rPr>
        <w:t>C</w:t>
      </w:r>
      <w:r>
        <w:rPr>
          <w:szCs w:val="26"/>
        </w:rPr>
        <w:t>alifornia Rules of Court, rules </w:t>
      </w:r>
      <w:r>
        <w:rPr>
          <w:szCs w:val="26"/>
        </w:rPr>
        <w:t>4.410, 4.4</w:t>
      </w:r>
      <w:r>
        <w:rPr>
          <w:szCs w:val="26"/>
        </w:rPr>
        <w:t xml:space="preserve">21, </w:t>
      </w:r>
      <w:r>
        <w:rPr>
          <w:szCs w:val="26"/>
        </w:rPr>
        <w:t xml:space="preserve">and </w:t>
      </w:r>
      <w:r>
        <w:rPr>
          <w:szCs w:val="26"/>
        </w:rPr>
        <w:t>4.423</w:t>
      </w:r>
      <w:r>
        <w:rPr>
          <w:szCs w:val="26"/>
        </w:rPr>
        <w:t xml:space="preserve">, which list </w:t>
      </w:r>
      <w:r>
        <w:rPr>
          <w:szCs w:val="26"/>
        </w:rPr>
        <w:t>individualized factors a court may consider in determining whether to dismiss a firearm enhancement</w:t>
      </w:r>
      <w:r>
        <w:rPr>
          <w:szCs w:val="26"/>
        </w:rPr>
        <w:t xml:space="preserve"> under section 1385</w:t>
      </w:r>
      <w:r>
        <w:rPr>
          <w:szCs w:val="26"/>
        </w:rPr>
        <w:t xml:space="preserve">.  (See </w:t>
      </w:r>
      <w:r w:rsidRPr="00E37ECD">
        <w:rPr>
          <w:i/>
          <w:iCs/>
          <w:szCs w:val="26"/>
        </w:rPr>
        <w:t>People v. Flores</w:t>
      </w:r>
      <w:r>
        <w:rPr>
          <w:szCs w:val="26"/>
        </w:rPr>
        <w:t xml:space="preserve">, </w:t>
      </w:r>
      <w:r>
        <w:rPr>
          <w:i/>
          <w:iCs/>
          <w:szCs w:val="26"/>
        </w:rPr>
        <w:t>supra</w:t>
      </w:r>
      <w:r>
        <w:rPr>
          <w:szCs w:val="26"/>
        </w:rPr>
        <w:t>,</w:t>
      </w:r>
      <w:r>
        <w:rPr>
          <w:i/>
          <w:iCs/>
          <w:szCs w:val="26"/>
        </w:rPr>
        <w:t xml:space="preserve"> </w:t>
      </w:r>
      <w:r w:rsidRPr="00E37ECD">
        <w:rPr>
          <w:szCs w:val="26"/>
        </w:rPr>
        <w:t>63</w:t>
      </w:r>
      <w:r>
        <w:rPr>
          <w:szCs w:val="26"/>
        </w:rPr>
        <w:t> </w:t>
      </w:r>
      <w:r w:rsidRPr="00E37ECD">
        <w:rPr>
          <w:szCs w:val="26"/>
        </w:rPr>
        <w:t xml:space="preserve">Cal.App.5th </w:t>
      </w:r>
      <w:r>
        <w:rPr>
          <w:szCs w:val="26"/>
        </w:rPr>
        <w:t xml:space="preserve">at </w:t>
      </w:r>
      <w:r>
        <w:rPr>
          <w:szCs w:val="26"/>
        </w:rPr>
        <w:t>p. </w:t>
      </w:r>
      <w:r w:rsidRPr="00E37ECD">
        <w:rPr>
          <w:szCs w:val="26"/>
        </w:rPr>
        <w:t>377</w:t>
      </w:r>
      <w:r>
        <w:rPr>
          <w:szCs w:val="26"/>
        </w:rPr>
        <w:t xml:space="preserve">; </w:t>
      </w:r>
      <w:r w:rsidRPr="00E37ECD">
        <w:rPr>
          <w:i/>
          <w:iCs/>
          <w:szCs w:val="26"/>
        </w:rPr>
        <w:t>People v. Yanaga</w:t>
      </w:r>
      <w:r>
        <w:rPr>
          <w:szCs w:val="26"/>
        </w:rPr>
        <w:t xml:space="preserve">, </w:t>
      </w:r>
      <w:r>
        <w:rPr>
          <w:i/>
          <w:iCs/>
          <w:szCs w:val="26"/>
        </w:rPr>
        <w:t>supra</w:t>
      </w:r>
      <w:r>
        <w:rPr>
          <w:szCs w:val="26"/>
        </w:rPr>
        <w:t>,</w:t>
      </w:r>
      <w:r>
        <w:rPr>
          <w:i/>
          <w:iCs/>
          <w:szCs w:val="26"/>
        </w:rPr>
        <w:t xml:space="preserve"> </w:t>
      </w:r>
      <w:r>
        <w:rPr>
          <w:szCs w:val="26"/>
        </w:rPr>
        <w:t>58 </w:t>
      </w:r>
      <w:r w:rsidRPr="00E37ECD">
        <w:rPr>
          <w:szCs w:val="26"/>
        </w:rPr>
        <w:t xml:space="preserve">Cal.App.5th </w:t>
      </w:r>
      <w:r>
        <w:rPr>
          <w:szCs w:val="26"/>
        </w:rPr>
        <w:t>at p</w:t>
      </w:r>
      <w:r>
        <w:rPr>
          <w:szCs w:val="26"/>
        </w:rPr>
        <w:t>p. </w:t>
      </w:r>
      <w:r w:rsidRPr="00E37ECD">
        <w:rPr>
          <w:szCs w:val="26"/>
        </w:rPr>
        <w:t>626</w:t>
      </w:r>
      <w:r>
        <w:rPr>
          <w:szCs w:val="26"/>
        </w:rPr>
        <w:noBreakHyphen/>
      </w:r>
      <w:r w:rsidRPr="00E37ECD">
        <w:rPr>
          <w:szCs w:val="26"/>
        </w:rPr>
        <w:t>627</w:t>
      </w:r>
      <w:r>
        <w:rPr>
          <w:szCs w:val="26"/>
        </w:rPr>
        <w:t xml:space="preserve">; </w:t>
      </w:r>
      <w:r w:rsidRPr="008268EE">
        <w:rPr>
          <w:i/>
          <w:iCs/>
          <w:szCs w:val="26"/>
        </w:rPr>
        <w:t>People v. Pearson</w:t>
      </w:r>
      <w:r>
        <w:rPr>
          <w:szCs w:val="26"/>
        </w:rPr>
        <w:t xml:space="preserve">, </w:t>
      </w:r>
      <w:r>
        <w:rPr>
          <w:i/>
          <w:iCs/>
          <w:szCs w:val="26"/>
        </w:rPr>
        <w:t>supra</w:t>
      </w:r>
      <w:r>
        <w:rPr>
          <w:szCs w:val="26"/>
        </w:rPr>
        <w:t>,</w:t>
      </w:r>
      <w:r>
        <w:rPr>
          <w:i/>
          <w:iCs/>
          <w:szCs w:val="26"/>
        </w:rPr>
        <w:t xml:space="preserve"> </w:t>
      </w:r>
      <w:r>
        <w:rPr>
          <w:szCs w:val="26"/>
        </w:rPr>
        <w:t>38 </w:t>
      </w:r>
      <w:r w:rsidRPr="008268EE">
        <w:rPr>
          <w:szCs w:val="26"/>
        </w:rPr>
        <w:t xml:space="preserve">Cal.App.5th </w:t>
      </w:r>
      <w:r>
        <w:rPr>
          <w:szCs w:val="26"/>
        </w:rPr>
        <w:t xml:space="preserve">at </w:t>
      </w:r>
      <w:r>
        <w:rPr>
          <w:szCs w:val="26"/>
        </w:rPr>
        <w:t>p. </w:t>
      </w:r>
      <w:r w:rsidRPr="008268EE">
        <w:rPr>
          <w:szCs w:val="26"/>
        </w:rPr>
        <w:t>117</w:t>
      </w:r>
      <w:r>
        <w:rPr>
          <w:szCs w:val="26"/>
        </w:rPr>
        <w:t xml:space="preserve">; </w:t>
      </w:r>
      <w:r w:rsidRPr="008268EE">
        <w:rPr>
          <w:szCs w:val="26"/>
        </w:rPr>
        <w:t>Cal</w:t>
      </w:r>
      <w:r>
        <w:rPr>
          <w:szCs w:val="26"/>
        </w:rPr>
        <w:t>.</w:t>
      </w:r>
      <w:r w:rsidRPr="008268EE">
        <w:rPr>
          <w:szCs w:val="26"/>
        </w:rPr>
        <w:t xml:space="preserve"> Rules of Court, rule</w:t>
      </w:r>
      <w:r>
        <w:rPr>
          <w:szCs w:val="26"/>
        </w:rPr>
        <w:t> </w:t>
      </w:r>
      <w:r w:rsidRPr="008268EE">
        <w:rPr>
          <w:szCs w:val="26"/>
        </w:rPr>
        <w:t>4.428(b)</w:t>
      </w:r>
      <w:r>
        <w:rPr>
          <w:szCs w:val="26"/>
        </w:rPr>
        <w:t>.)</w:t>
      </w:r>
      <w:r>
        <w:rPr>
          <w:szCs w:val="26"/>
        </w:rPr>
        <w:t xml:space="preserve"> </w:t>
      </w:r>
    </w:p>
    <w:p w14:paraId="7CB26077" w14:textId="77777777" w:rsidR="003E51F9" w:rsidRPr="00A41AF8" w:rsidRDefault="00861473" w:rsidP="00A41AF8">
      <w:pPr>
        <w:ind w:firstLine="720"/>
        <w:rPr>
          <w:szCs w:val="26"/>
        </w:rPr>
      </w:pPr>
      <w:r>
        <w:rPr>
          <w:szCs w:val="26"/>
        </w:rPr>
        <w:t>On remand the trial court must</w:t>
      </w:r>
      <w:r>
        <w:rPr>
          <w:szCs w:val="26"/>
        </w:rPr>
        <w:t xml:space="preserve"> </w:t>
      </w:r>
      <w:r>
        <w:rPr>
          <w:szCs w:val="26"/>
        </w:rPr>
        <w:t>consider</w:t>
      </w:r>
      <w:r>
        <w:rPr>
          <w:szCs w:val="26"/>
        </w:rPr>
        <w:t xml:space="preserve"> Special Directive 20</w:t>
      </w:r>
      <w:r>
        <w:rPr>
          <w:szCs w:val="26"/>
        </w:rPr>
        <w:noBreakHyphen/>
      </w:r>
      <w:r>
        <w:rPr>
          <w:szCs w:val="26"/>
        </w:rPr>
        <w:t xml:space="preserve">08 </w:t>
      </w:r>
      <w:r>
        <w:rPr>
          <w:szCs w:val="26"/>
        </w:rPr>
        <w:t>in determining</w:t>
      </w:r>
      <w:r>
        <w:rPr>
          <w:szCs w:val="26"/>
        </w:rPr>
        <w:t xml:space="preserve"> whether to dismiss </w:t>
      </w:r>
      <w:r>
        <w:rPr>
          <w:szCs w:val="26"/>
        </w:rPr>
        <w:t xml:space="preserve">the </w:t>
      </w:r>
      <w:r>
        <w:rPr>
          <w:szCs w:val="26"/>
        </w:rPr>
        <w:t>firearm allegations</w:t>
      </w:r>
      <w:r>
        <w:rPr>
          <w:szCs w:val="26"/>
        </w:rPr>
        <w:t xml:space="preserve"> against Nazir.</w:t>
      </w:r>
      <w:r w:rsidRPr="00F16AA3">
        <w:rPr>
          <w:szCs w:val="26"/>
        </w:rPr>
        <w:t xml:space="preserve">  </w:t>
      </w:r>
      <w:r>
        <w:rPr>
          <w:szCs w:val="26"/>
        </w:rPr>
        <w:t xml:space="preserve">Pursuant to </w:t>
      </w:r>
      <w:r>
        <w:rPr>
          <w:szCs w:val="26"/>
        </w:rPr>
        <w:t xml:space="preserve">the </w:t>
      </w:r>
      <w:r>
        <w:rPr>
          <w:szCs w:val="26"/>
        </w:rPr>
        <w:t xml:space="preserve">amendments to </w:t>
      </w:r>
      <w:r>
        <w:rPr>
          <w:szCs w:val="26"/>
        </w:rPr>
        <w:t xml:space="preserve">section 1385 </w:t>
      </w:r>
      <w:r>
        <w:rPr>
          <w:szCs w:val="26"/>
        </w:rPr>
        <w:t xml:space="preserve">that went into effect on January 1, 2022, </w:t>
      </w:r>
      <w:r>
        <w:rPr>
          <w:szCs w:val="26"/>
        </w:rPr>
        <w:t xml:space="preserve">the court </w:t>
      </w:r>
      <w:r>
        <w:rPr>
          <w:szCs w:val="26"/>
        </w:rPr>
        <w:t>must</w:t>
      </w:r>
      <w:r>
        <w:rPr>
          <w:szCs w:val="26"/>
        </w:rPr>
        <w:t xml:space="preserve"> also </w:t>
      </w:r>
      <w:r>
        <w:rPr>
          <w:szCs w:val="26"/>
        </w:rPr>
        <w:t>“</w:t>
      </w:r>
      <w:r w:rsidRPr="00B16BE5">
        <w:rPr>
          <w:szCs w:val="26"/>
        </w:rPr>
        <w:t xml:space="preserve">consider and afford great weight to </w:t>
      </w:r>
      <w:r w:rsidRPr="000C7BF2">
        <w:rPr>
          <w:szCs w:val="26"/>
        </w:rPr>
        <w:t>evidence offered by the defendant</w:t>
      </w:r>
      <w:r>
        <w:rPr>
          <w:szCs w:val="26"/>
        </w:rPr>
        <w:t>”</w:t>
      </w:r>
      <w:r w:rsidRPr="00B16BE5">
        <w:rPr>
          <w:szCs w:val="26"/>
        </w:rPr>
        <w:t xml:space="preserve"> to prove that any of the </w:t>
      </w:r>
      <w:r>
        <w:rPr>
          <w:szCs w:val="26"/>
        </w:rPr>
        <w:t xml:space="preserve">enumerated </w:t>
      </w:r>
      <w:r w:rsidRPr="00B16BE5">
        <w:rPr>
          <w:szCs w:val="26"/>
        </w:rPr>
        <w:t xml:space="preserve">mitigating circumstances </w:t>
      </w:r>
      <w:r>
        <w:rPr>
          <w:szCs w:val="26"/>
        </w:rPr>
        <w:t>apply</w:t>
      </w:r>
      <w:r w:rsidRPr="00B16BE5">
        <w:rPr>
          <w:szCs w:val="26"/>
        </w:rPr>
        <w:t xml:space="preserve">. </w:t>
      </w:r>
      <w:r>
        <w:rPr>
          <w:szCs w:val="26"/>
        </w:rPr>
        <w:t xml:space="preserve"> (</w:t>
      </w:r>
      <w:r>
        <w:rPr>
          <w:szCs w:val="26"/>
        </w:rPr>
        <w:t>§ </w:t>
      </w:r>
      <w:r>
        <w:rPr>
          <w:szCs w:val="26"/>
        </w:rPr>
        <w:t>1385, subd. (c)(2).)  T</w:t>
      </w:r>
      <w:r>
        <w:rPr>
          <w:szCs w:val="26"/>
        </w:rPr>
        <w:t>hose circumstances include whether m</w:t>
      </w:r>
      <w:r w:rsidRPr="005F096F">
        <w:rPr>
          <w:szCs w:val="26"/>
        </w:rPr>
        <w:t>ultiple enhancements are alleged in a single case</w:t>
      </w:r>
      <w:r>
        <w:rPr>
          <w:szCs w:val="26"/>
        </w:rPr>
        <w:t>, in which case “</w:t>
      </w:r>
      <w:r w:rsidRPr="00B16BE5">
        <w:rPr>
          <w:szCs w:val="26"/>
        </w:rPr>
        <w:t>all enhancements beyond a single enhancement shall be dismissed</w:t>
      </w:r>
      <w:r>
        <w:rPr>
          <w:szCs w:val="26"/>
        </w:rPr>
        <w:t>,</w:t>
      </w:r>
      <w:r>
        <w:rPr>
          <w:szCs w:val="26"/>
        </w:rPr>
        <w:t>” and whether t</w:t>
      </w:r>
      <w:r w:rsidRPr="00B16BE5">
        <w:rPr>
          <w:szCs w:val="26"/>
        </w:rPr>
        <w:t xml:space="preserve">he application of an enhancement </w:t>
      </w:r>
      <w:r w:rsidRPr="00B16BE5">
        <w:rPr>
          <w:szCs w:val="26"/>
        </w:rPr>
        <w:lastRenderedPageBreak/>
        <w:t>could result in a sentence of over 20 year</w:t>
      </w:r>
      <w:r w:rsidRPr="00B16BE5">
        <w:rPr>
          <w:szCs w:val="26"/>
        </w:rPr>
        <w:t>s</w:t>
      </w:r>
      <w:r>
        <w:rPr>
          <w:szCs w:val="26"/>
        </w:rPr>
        <w:t xml:space="preserve">, in which case </w:t>
      </w:r>
      <w:r w:rsidRPr="00B16BE5">
        <w:rPr>
          <w:szCs w:val="26"/>
        </w:rPr>
        <w:t xml:space="preserve">the enhancement </w:t>
      </w:r>
      <w:r>
        <w:rPr>
          <w:szCs w:val="26"/>
        </w:rPr>
        <w:t>“</w:t>
      </w:r>
      <w:r w:rsidRPr="00B16BE5">
        <w:rPr>
          <w:szCs w:val="26"/>
        </w:rPr>
        <w:t>shall be dismissed</w:t>
      </w:r>
      <w:r>
        <w:rPr>
          <w:szCs w:val="26"/>
        </w:rPr>
        <w:t>.”  (</w:t>
      </w:r>
      <w:r>
        <w:rPr>
          <w:i/>
          <w:iCs/>
          <w:szCs w:val="26"/>
        </w:rPr>
        <w:t>Id</w:t>
      </w:r>
      <w:r>
        <w:rPr>
          <w:szCs w:val="26"/>
        </w:rPr>
        <w:t>., subd</w:t>
      </w:r>
      <w:r>
        <w:rPr>
          <w:szCs w:val="26"/>
        </w:rPr>
        <w:t>. </w:t>
      </w:r>
      <w:r>
        <w:rPr>
          <w:szCs w:val="26"/>
        </w:rPr>
        <w:t>(c)(3)(B) &amp; </w:t>
      </w:r>
      <w:r>
        <w:rPr>
          <w:szCs w:val="26"/>
        </w:rPr>
        <w:t>(C).)</w:t>
      </w:r>
      <w:r>
        <w:rPr>
          <w:szCs w:val="26"/>
        </w:rPr>
        <w:t xml:space="preserve">  </w:t>
      </w:r>
    </w:p>
    <w:p w14:paraId="622BA326" w14:textId="77777777" w:rsidR="00C16859" w:rsidRDefault="00861473" w:rsidP="000C45D0"/>
    <w:p w14:paraId="3F1ED4A0" w14:textId="77777777" w:rsidR="000C26AA" w:rsidRPr="00140718" w:rsidRDefault="00861473" w:rsidP="00410A9C">
      <w:pPr>
        <w:keepNext/>
        <w:jc w:val="center"/>
        <w:rPr>
          <w:szCs w:val="26"/>
        </w:rPr>
      </w:pPr>
      <w:r w:rsidRPr="00F144E7">
        <w:rPr>
          <w:b/>
          <w:bCs/>
          <w:szCs w:val="26"/>
        </w:rPr>
        <w:t>DISPOSITION</w:t>
      </w:r>
    </w:p>
    <w:p w14:paraId="1CCFE694" w14:textId="77777777" w:rsidR="000955A0" w:rsidRPr="00140718" w:rsidRDefault="00861473" w:rsidP="00410A9C">
      <w:pPr>
        <w:keepNext/>
        <w:rPr>
          <w:szCs w:val="26"/>
        </w:rPr>
      </w:pPr>
    </w:p>
    <w:p w14:paraId="6ECD772E" w14:textId="77777777" w:rsidR="00A27C9B" w:rsidRPr="00140718" w:rsidRDefault="00861473" w:rsidP="00410A9C">
      <w:pPr>
        <w:keepNext/>
        <w:ind w:firstLine="720"/>
        <w:rPr>
          <w:szCs w:val="26"/>
        </w:rPr>
      </w:pPr>
      <w:r w:rsidRPr="00ED760B">
        <w:rPr>
          <w:szCs w:val="26"/>
        </w:rPr>
        <w:t xml:space="preserve">Let a peremptory writ of mandate issue directing the superior court to vacate its </w:t>
      </w:r>
      <w:r>
        <w:rPr>
          <w:szCs w:val="26"/>
        </w:rPr>
        <w:t>December </w:t>
      </w:r>
      <w:r>
        <w:rPr>
          <w:szCs w:val="26"/>
        </w:rPr>
        <w:t>18, 2020</w:t>
      </w:r>
      <w:r w:rsidRPr="00ED760B">
        <w:rPr>
          <w:szCs w:val="26"/>
        </w:rPr>
        <w:t xml:space="preserve"> order </w:t>
      </w:r>
      <w:r>
        <w:rPr>
          <w:szCs w:val="26"/>
        </w:rPr>
        <w:t xml:space="preserve">denying the People’s </w:t>
      </w:r>
      <w:r w:rsidRPr="00ED760B">
        <w:rPr>
          <w:szCs w:val="26"/>
        </w:rPr>
        <w:t xml:space="preserve">motion </w:t>
      </w:r>
      <w:r>
        <w:rPr>
          <w:szCs w:val="26"/>
        </w:rPr>
        <w:t xml:space="preserve">to dismiss the </w:t>
      </w:r>
      <w:r>
        <w:rPr>
          <w:szCs w:val="26"/>
        </w:rPr>
        <w:t>sentenc</w:t>
      </w:r>
      <w:r>
        <w:rPr>
          <w:szCs w:val="26"/>
        </w:rPr>
        <w:t>e</w:t>
      </w:r>
      <w:r>
        <w:rPr>
          <w:szCs w:val="26"/>
        </w:rPr>
        <w:t xml:space="preserve"> enhancements alleged against Nazir</w:t>
      </w:r>
      <w:r w:rsidRPr="00ED760B">
        <w:rPr>
          <w:szCs w:val="26"/>
        </w:rPr>
        <w:t xml:space="preserve"> and to enter a new order scheduling a hearing t</w:t>
      </w:r>
      <w:r>
        <w:rPr>
          <w:szCs w:val="26"/>
        </w:rPr>
        <w:t xml:space="preserve">o </w:t>
      </w:r>
      <w:r w:rsidRPr="00ED760B">
        <w:rPr>
          <w:szCs w:val="26"/>
        </w:rPr>
        <w:t xml:space="preserve">determine whether </w:t>
      </w:r>
      <w:r w:rsidRPr="00CA7BBA">
        <w:rPr>
          <w:szCs w:val="26"/>
        </w:rPr>
        <w:t>this is an appropriate case in which to dismiss the sentenc</w:t>
      </w:r>
      <w:r>
        <w:rPr>
          <w:szCs w:val="26"/>
        </w:rPr>
        <w:t>e</w:t>
      </w:r>
      <w:r>
        <w:rPr>
          <w:szCs w:val="26"/>
        </w:rPr>
        <w:t xml:space="preserve"> enhancements under section</w:t>
      </w:r>
      <w:r>
        <w:rPr>
          <w:szCs w:val="26"/>
        </w:rPr>
        <w:t>s</w:t>
      </w:r>
      <w:r>
        <w:rPr>
          <w:szCs w:val="26"/>
        </w:rPr>
        <w:t xml:space="preserve"> 1385</w:t>
      </w:r>
      <w:r>
        <w:rPr>
          <w:szCs w:val="26"/>
        </w:rPr>
        <w:t>, as amended</w:t>
      </w:r>
      <w:r>
        <w:rPr>
          <w:szCs w:val="26"/>
        </w:rPr>
        <w:t xml:space="preserve">, </w:t>
      </w:r>
      <w:r>
        <w:rPr>
          <w:szCs w:val="26"/>
        </w:rPr>
        <w:t>12022.5, subdivision </w:t>
      </w:r>
      <w:r>
        <w:rPr>
          <w:szCs w:val="26"/>
        </w:rPr>
        <w:t xml:space="preserve">(c), and </w:t>
      </w:r>
      <w:r w:rsidRPr="001958A9">
        <w:rPr>
          <w:szCs w:val="26"/>
        </w:rPr>
        <w:t>12022.53</w:t>
      </w:r>
      <w:r>
        <w:rPr>
          <w:szCs w:val="26"/>
        </w:rPr>
        <w:t>, subdivision </w:t>
      </w:r>
      <w:r>
        <w:rPr>
          <w:szCs w:val="26"/>
        </w:rPr>
        <w:t>(h)</w:t>
      </w:r>
      <w:r w:rsidRPr="00CA7BBA">
        <w:rPr>
          <w:szCs w:val="26"/>
        </w:rPr>
        <w:t>.</w:t>
      </w:r>
      <w:r>
        <w:rPr>
          <w:szCs w:val="26"/>
        </w:rPr>
        <w:t xml:space="preserve">  In so doing, the </w:t>
      </w:r>
      <w:r>
        <w:rPr>
          <w:szCs w:val="26"/>
        </w:rPr>
        <w:t>court must</w:t>
      </w:r>
      <w:r>
        <w:rPr>
          <w:szCs w:val="26"/>
        </w:rPr>
        <w:t xml:space="preserve"> consider Special Directive 20</w:t>
      </w:r>
      <w:r>
        <w:rPr>
          <w:szCs w:val="26"/>
        </w:rPr>
        <w:noBreakHyphen/>
      </w:r>
      <w:r>
        <w:rPr>
          <w:szCs w:val="26"/>
        </w:rPr>
        <w:t>08</w:t>
      </w:r>
      <w:r>
        <w:rPr>
          <w:szCs w:val="26"/>
        </w:rPr>
        <w:t>, among other factors,</w:t>
      </w:r>
      <w:r>
        <w:rPr>
          <w:szCs w:val="26"/>
        </w:rPr>
        <w:t xml:space="preserve"> in determining whether </w:t>
      </w:r>
      <w:r>
        <w:rPr>
          <w:szCs w:val="26"/>
        </w:rPr>
        <w:t xml:space="preserve">dismissing the firearm enhancements </w:t>
      </w:r>
      <w:r>
        <w:rPr>
          <w:szCs w:val="26"/>
        </w:rPr>
        <w:t>is in furtherance of justice.</w:t>
      </w:r>
    </w:p>
    <w:p w14:paraId="5B62217C" w14:textId="77777777" w:rsidR="004D01D3" w:rsidRDefault="00861473" w:rsidP="00E56242">
      <w:pPr>
        <w:ind w:left="1440"/>
        <w:rPr>
          <w:szCs w:val="26"/>
        </w:rPr>
      </w:pPr>
    </w:p>
    <w:p w14:paraId="5EAB82F6" w14:textId="77777777" w:rsidR="00C11497" w:rsidRDefault="00861473" w:rsidP="00E56242">
      <w:pPr>
        <w:ind w:left="1440"/>
        <w:rPr>
          <w:szCs w:val="26"/>
        </w:rPr>
      </w:pPr>
    </w:p>
    <w:p w14:paraId="74CC0D4D" w14:textId="77777777" w:rsidR="0007254D" w:rsidRDefault="00861473" w:rsidP="00E56242">
      <w:pPr>
        <w:ind w:left="1440"/>
        <w:rPr>
          <w:szCs w:val="26"/>
        </w:rPr>
      </w:pPr>
    </w:p>
    <w:p w14:paraId="53273F6D" w14:textId="77777777" w:rsidR="000C26AA" w:rsidRPr="00140718" w:rsidRDefault="00861473" w:rsidP="004D01D3">
      <w:pPr>
        <w:ind w:left="3600" w:firstLine="720"/>
        <w:rPr>
          <w:szCs w:val="26"/>
        </w:rPr>
      </w:pPr>
      <w:r>
        <w:rPr>
          <w:szCs w:val="26"/>
        </w:rPr>
        <w:t>SEGAL, </w:t>
      </w:r>
      <w:r w:rsidRPr="00140718">
        <w:rPr>
          <w:szCs w:val="26"/>
        </w:rPr>
        <w:t>J.</w:t>
      </w:r>
    </w:p>
    <w:p w14:paraId="23B92D90" w14:textId="77777777" w:rsidR="008801F4" w:rsidRDefault="00861473" w:rsidP="00E56242">
      <w:pPr>
        <w:ind w:left="1440"/>
        <w:rPr>
          <w:szCs w:val="26"/>
        </w:rPr>
      </w:pPr>
    </w:p>
    <w:p w14:paraId="1215B58C" w14:textId="77777777" w:rsidR="004D01D3" w:rsidRDefault="00861473" w:rsidP="004D01D3">
      <w:pPr>
        <w:ind w:left="720" w:firstLine="720"/>
        <w:rPr>
          <w:szCs w:val="26"/>
        </w:rPr>
      </w:pPr>
    </w:p>
    <w:p w14:paraId="65E2733B" w14:textId="77777777" w:rsidR="000C26AA" w:rsidRPr="00140718" w:rsidRDefault="00861473" w:rsidP="004D01D3">
      <w:pPr>
        <w:ind w:firstLine="720"/>
        <w:rPr>
          <w:szCs w:val="26"/>
        </w:rPr>
      </w:pPr>
      <w:r w:rsidRPr="00140718">
        <w:rPr>
          <w:szCs w:val="26"/>
        </w:rPr>
        <w:t>We concur:</w:t>
      </w:r>
    </w:p>
    <w:p w14:paraId="3B6B8131" w14:textId="77777777" w:rsidR="009457F2" w:rsidRDefault="00861473" w:rsidP="004D01D3">
      <w:pPr>
        <w:ind w:left="1440" w:firstLine="720"/>
        <w:contextualSpacing/>
        <w:rPr>
          <w:szCs w:val="26"/>
        </w:rPr>
      </w:pPr>
    </w:p>
    <w:p w14:paraId="2647F7B7" w14:textId="77777777" w:rsidR="009457F2" w:rsidRDefault="00861473" w:rsidP="004D01D3">
      <w:pPr>
        <w:ind w:left="1440" w:firstLine="720"/>
        <w:contextualSpacing/>
        <w:rPr>
          <w:szCs w:val="26"/>
        </w:rPr>
      </w:pPr>
    </w:p>
    <w:p w14:paraId="31F6E2D3" w14:textId="77777777" w:rsidR="00D13DE3" w:rsidRPr="00632016" w:rsidRDefault="00861473" w:rsidP="009457F2">
      <w:pPr>
        <w:ind w:left="1440"/>
        <w:contextualSpacing/>
        <w:rPr>
          <w:szCs w:val="26"/>
        </w:rPr>
      </w:pPr>
      <w:r>
        <w:rPr>
          <w:szCs w:val="26"/>
        </w:rPr>
        <w:t>PERLUSS</w:t>
      </w:r>
      <w:r w:rsidRPr="00140718">
        <w:rPr>
          <w:szCs w:val="26"/>
        </w:rPr>
        <w:t>,</w:t>
      </w:r>
      <w:r>
        <w:rPr>
          <w:szCs w:val="26"/>
        </w:rPr>
        <w:t> </w:t>
      </w:r>
      <w:r>
        <w:rPr>
          <w:szCs w:val="26"/>
        </w:rPr>
        <w:t>P. </w:t>
      </w:r>
      <w:r w:rsidRPr="00140718">
        <w:rPr>
          <w:szCs w:val="26"/>
        </w:rPr>
        <w:t>J.</w:t>
      </w:r>
      <w:r>
        <w:rPr>
          <w:szCs w:val="26"/>
        </w:rPr>
        <w:tab/>
      </w:r>
      <w:r>
        <w:rPr>
          <w:szCs w:val="26"/>
        </w:rPr>
        <w:tab/>
      </w:r>
      <w:r>
        <w:rPr>
          <w:szCs w:val="26"/>
        </w:rPr>
        <w:tab/>
      </w:r>
      <w:r>
        <w:rPr>
          <w:szCs w:val="26"/>
        </w:rPr>
        <w:t>WISE</w:t>
      </w:r>
      <w:r>
        <w:rPr>
          <w:szCs w:val="26"/>
        </w:rPr>
        <w:t>, </w:t>
      </w:r>
      <w:r w:rsidRPr="00140718">
        <w:rPr>
          <w:szCs w:val="26"/>
        </w:rPr>
        <w:t>J.</w:t>
      </w:r>
      <w:r w:rsidRPr="00EC3397">
        <w:rPr>
          <w:rStyle w:val="pmterms11"/>
          <w:szCs w:val="26"/>
        </w:rPr>
        <w:t xml:space="preserve"> </w:t>
      </w:r>
      <w:r>
        <w:rPr>
          <w:rStyle w:val="FootnoteReference"/>
          <w:szCs w:val="26"/>
        </w:rPr>
        <w:footnoteReference w:customMarkFollows="1" w:id="10"/>
        <w:t>*</w:t>
      </w:r>
    </w:p>
    <w:sectPr w:rsidR="00D13DE3" w:rsidRPr="00632016" w:rsidSect="00DF0B2E">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AB6E" w14:textId="77777777" w:rsidR="00000000" w:rsidRDefault="00861473">
      <w:pPr>
        <w:spacing w:line="240" w:lineRule="auto"/>
      </w:pPr>
      <w:r>
        <w:separator/>
      </w:r>
    </w:p>
  </w:endnote>
  <w:endnote w:type="continuationSeparator" w:id="0">
    <w:p w14:paraId="0816943A" w14:textId="77777777" w:rsidR="00000000" w:rsidRDefault="00861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8D2" w14:textId="77777777" w:rsidR="00500C17" w:rsidRDefault="00861473" w:rsidP="00DF0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E7FA0F4" w14:textId="77777777" w:rsidR="00500C17" w:rsidRDefault="00861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1285" w14:textId="77777777" w:rsidR="00500C17" w:rsidRPr="00E81A56" w:rsidRDefault="00861473" w:rsidP="00DF0B2E">
    <w:pPr>
      <w:pStyle w:val="Footer"/>
      <w:framePr w:wrap="around" w:vAnchor="text" w:hAnchor="margin" w:xAlign="center" w:y="1"/>
      <w:rPr>
        <w:rStyle w:val="PageNumber"/>
        <w:szCs w:val="26"/>
      </w:rPr>
    </w:pPr>
    <w:r w:rsidRPr="00E81A56">
      <w:rPr>
        <w:rStyle w:val="PageNumber"/>
        <w:szCs w:val="26"/>
      </w:rPr>
      <w:fldChar w:fldCharType="begin"/>
    </w:r>
    <w:r w:rsidRPr="00E81A56">
      <w:rPr>
        <w:rStyle w:val="PageNumber"/>
        <w:szCs w:val="26"/>
      </w:rPr>
      <w:instrText xml:space="preserve">PAGE  </w:instrText>
    </w:r>
    <w:r w:rsidRPr="00E81A56">
      <w:rPr>
        <w:rStyle w:val="PageNumber"/>
        <w:szCs w:val="26"/>
      </w:rPr>
      <w:fldChar w:fldCharType="separate"/>
    </w:r>
    <w:r>
      <w:rPr>
        <w:rStyle w:val="PageNumber"/>
        <w:noProof/>
        <w:szCs w:val="26"/>
      </w:rPr>
      <w:t>31</w:t>
    </w:r>
    <w:r w:rsidRPr="00E81A56">
      <w:rPr>
        <w:rStyle w:val="PageNumber"/>
        <w:szCs w:val="26"/>
      </w:rPr>
      <w:fldChar w:fldCharType="end"/>
    </w:r>
  </w:p>
  <w:p w14:paraId="791F621D" w14:textId="77777777" w:rsidR="00500C17" w:rsidRDefault="00861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14D8" w14:textId="77777777" w:rsidR="00633FD7" w:rsidRDefault="0086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8D18" w14:textId="77777777" w:rsidR="00703A51" w:rsidRDefault="00861473" w:rsidP="000C26AA">
      <w:pPr>
        <w:spacing w:line="240" w:lineRule="auto"/>
      </w:pPr>
      <w:r>
        <w:separator/>
      </w:r>
    </w:p>
  </w:footnote>
  <w:footnote w:type="continuationSeparator" w:id="0">
    <w:p w14:paraId="794ACFAC" w14:textId="77777777" w:rsidR="00703A51" w:rsidRDefault="00861473" w:rsidP="000C26AA">
      <w:pPr>
        <w:spacing w:line="240" w:lineRule="auto"/>
      </w:pPr>
      <w:r>
        <w:continuationSeparator/>
      </w:r>
    </w:p>
  </w:footnote>
  <w:footnote w:type="continuationNotice" w:id="1">
    <w:p w14:paraId="21280700" w14:textId="77777777" w:rsidR="00703A51" w:rsidRDefault="00861473">
      <w:pPr>
        <w:spacing w:line="240" w:lineRule="auto"/>
      </w:pPr>
    </w:p>
  </w:footnote>
  <w:footnote w:id="2">
    <w:p w14:paraId="2E06A267" w14:textId="77777777" w:rsidR="00C13A27" w:rsidRDefault="00861473" w:rsidP="00C13A27">
      <w:pPr>
        <w:pStyle w:val="FootnoteText"/>
        <w:rPr>
          <w:sz w:val="26"/>
          <w:szCs w:val="26"/>
        </w:rPr>
      </w:pPr>
      <w:r w:rsidRPr="00F408C5">
        <w:rPr>
          <w:rStyle w:val="FootnoteReference"/>
          <w:sz w:val="26"/>
          <w:szCs w:val="26"/>
        </w:rPr>
        <w:footnoteRef/>
      </w:r>
      <w:r w:rsidRPr="00F408C5">
        <w:rPr>
          <w:sz w:val="26"/>
          <w:szCs w:val="26"/>
        </w:rPr>
        <w:t xml:space="preserve"> </w:t>
      </w:r>
      <w:r w:rsidRPr="00F408C5">
        <w:rPr>
          <w:sz w:val="26"/>
          <w:szCs w:val="26"/>
        </w:rPr>
        <w:tab/>
      </w:r>
      <w:r>
        <w:rPr>
          <w:sz w:val="26"/>
          <w:szCs w:val="26"/>
        </w:rPr>
        <w:t>Undesignated</w:t>
      </w:r>
      <w:r>
        <w:rPr>
          <w:sz w:val="26"/>
          <w:szCs w:val="26"/>
        </w:rPr>
        <w:t xml:space="preserve"> s</w:t>
      </w:r>
      <w:r w:rsidRPr="00F408C5">
        <w:rPr>
          <w:sz w:val="26"/>
          <w:szCs w:val="26"/>
        </w:rPr>
        <w:t>tatutory references are to the Penal Code.</w:t>
      </w:r>
    </w:p>
    <w:p w14:paraId="4F9110F9" w14:textId="77777777" w:rsidR="00521C0A" w:rsidRPr="00F408C5" w:rsidRDefault="00861473" w:rsidP="00C13A27">
      <w:pPr>
        <w:pStyle w:val="FootnoteText"/>
        <w:rPr>
          <w:sz w:val="26"/>
          <w:szCs w:val="26"/>
        </w:rPr>
      </w:pPr>
    </w:p>
  </w:footnote>
  <w:footnote w:id="3">
    <w:p w14:paraId="0B450C35" w14:textId="77777777" w:rsidR="00A15356" w:rsidRDefault="00861473">
      <w:pPr>
        <w:pStyle w:val="FootnoteText"/>
        <w:rPr>
          <w:sz w:val="26"/>
          <w:szCs w:val="26"/>
        </w:rPr>
      </w:pPr>
      <w:r w:rsidRPr="00A15356">
        <w:rPr>
          <w:rStyle w:val="FootnoteReference"/>
          <w:sz w:val="26"/>
          <w:szCs w:val="26"/>
        </w:rPr>
        <w:footnoteRef/>
      </w:r>
      <w:r w:rsidRPr="00A15356">
        <w:rPr>
          <w:sz w:val="26"/>
          <w:szCs w:val="26"/>
        </w:rPr>
        <w:t xml:space="preserve"> </w:t>
      </w:r>
      <w:r>
        <w:rPr>
          <w:sz w:val="26"/>
          <w:szCs w:val="26"/>
        </w:rPr>
        <w:tab/>
      </w:r>
      <w:r>
        <w:rPr>
          <w:sz w:val="26"/>
          <w:szCs w:val="26"/>
        </w:rPr>
        <w:t xml:space="preserve">We take judicial notice </w:t>
      </w:r>
      <w:r>
        <w:rPr>
          <w:sz w:val="26"/>
          <w:szCs w:val="26"/>
        </w:rPr>
        <w:t>under Evidence</w:t>
      </w:r>
      <w:r>
        <w:rPr>
          <w:sz w:val="26"/>
          <w:szCs w:val="26"/>
        </w:rPr>
        <w:t xml:space="preserve"> Code sections 452, subdivision </w:t>
      </w:r>
      <w:r>
        <w:rPr>
          <w:sz w:val="26"/>
          <w:szCs w:val="26"/>
        </w:rPr>
        <w:t xml:space="preserve">(c), and 459 </w:t>
      </w:r>
      <w:r>
        <w:rPr>
          <w:sz w:val="26"/>
          <w:szCs w:val="26"/>
        </w:rPr>
        <w:t xml:space="preserve">of Special </w:t>
      </w:r>
      <w:r>
        <w:rPr>
          <w:sz w:val="26"/>
          <w:szCs w:val="26"/>
        </w:rPr>
        <w:t>Directive 20</w:t>
      </w:r>
      <w:r>
        <w:rPr>
          <w:sz w:val="26"/>
          <w:szCs w:val="26"/>
        </w:rPr>
        <w:noBreakHyphen/>
      </w:r>
      <w:r>
        <w:rPr>
          <w:sz w:val="26"/>
          <w:szCs w:val="26"/>
        </w:rPr>
        <w:t>08.1</w:t>
      </w:r>
      <w:r>
        <w:rPr>
          <w:sz w:val="26"/>
          <w:szCs w:val="26"/>
        </w:rPr>
        <w:t>.</w:t>
      </w:r>
      <w:r>
        <w:rPr>
          <w:sz w:val="26"/>
          <w:szCs w:val="26"/>
        </w:rPr>
        <w:t xml:space="preserve"> </w:t>
      </w:r>
      <w:r>
        <w:rPr>
          <w:sz w:val="26"/>
          <w:szCs w:val="26"/>
        </w:rPr>
        <w:t xml:space="preserve"> T</w:t>
      </w:r>
      <w:r>
        <w:rPr>
          <w:sz w:val="26"/>
          <w:szCs w:val="26"/>
        </w:rPr>
        <w:t xml:space="preserve">he prosecutor cited </w:t>
      </w:r>
      <w:r>
        <w:rPr>
          <w:sz w:val="26"/>
          <w:szCs w:val="26"/>
        </w:rPr>
        <w:t>Special Directive 20</w:t>
      </w:r>
      <w:r>
        <w:rPr>
          <w:sz w:val="26"/>
          <w:szCs w:val="26"/>
        </w:rPr>
        <w:noBreakHyphen/>
      </w:r>
      <w:r>
        <w:rPr>
          <w:sz w:val="26"/>
          <w:szCs w:val="26"/>
        </w:rPr>
        <w:t xml:space="preserve">08.1 in the trial court, but </w:t>
      </w:r>
      <w:r>
        <w:rPr>
          <w:sz w:val="26"/>
          <w:szCs w:val="26"/>
        </w:rPr>
        <w:t xml:space="preserve">Nazir did not include </w:t>
      </w:r>
      <w:r>
        <w:rPr>
          <w:sz w:val="26"/>
          <w:szCs w:val="26"/>
        </w:rPr>
        <w:t xml:space="preserve">it </w:t>
      </w:r>
      <w:r>
        <w:rPr>
          <w:sz w:val="26"/>
          <w:szCs w:val="26"/>
        </w:rPr>
        <w:t xml:space="preserve">in the record. </w:t>
      </w:r>
      <w:r>
        <w:rPr>
          <w:sz w:val="26"/>
          <w:szCs w:val="26"/>
        </w:rPr>
        <w:t xml:space="preserve"> (See </w:t>
      </w:r>
      <w:r w:rsidRPr="003E31D1">
        <w:rPr>
          <w:i/>
          <w:iCs/>
          <w:sz w:val="26"/>
          <w:szCs w:val="26"/>
        </w:rPr>
        <w:t>Western States Petroleum Ass</w:t>
      </w:r>
      <w:r>
        <w:rPr>
          <w:i/>
          <w:iCs/>
          <w:sz w:val="26"/>
          <w:szCs w:val="26"/>
        </w:rPr>
        <w:t>n.</w:t>
      </w:r>
      <w:r w:rsidRPr="003E31D1">
        <w:rPr>
          <w:i/>
          <w:iCs/>
          <w:sz w:val="26"/>
          <w:szCs w:val="26"/>
        </w:rPr>
        <w:t xml:space="preserve"> v. </w:t>
      </w:r>
      <w:r>
        <w:rPr>
          <w:i/>
          <w:iCs/>
          <w:sz w:val="26"/>
          <w:szCs w:val="26"/>
        </w:rPr>
        <w:t xml:space="preserve">State </w:t>
      </w:r>
      <w:r>
        <w:rPr>
          <w:i/>
          <w:iCs/>
          <w:sz w:val="26"/>
          <w:szCs w:val="26"/>
        </w:rPr>
        <w:t>Dept.</w:t>
      </w:r>
      <w:r w:rsidRPr="003E31D1">
        <w:rPr>
          <w:i/>
          <w:iCs/>
          <w:sz w:val="26"/>
          <w:szCs w:val="26"/>
        </w:rPr>
        <w:t xml:space="preserve"> of Health Services</w:t>
      </w:r>
      <w:r>
        <w:rPr>
          <w:sz w:val="26"/>
          <w:szCs w:val="26"/>
        </w:rPr>
        <w:t xml:space="preserve"> </w:t>
      </w:r>
      <w:r w:rsidRPr="003E31D1">
        <w:rPr>
          <w:sz w:val="26"/>
          <w:szCs w:val="26"/>
        </w:rPr>
        <w:t>(2002) 99</w:t>
      </w:r>
      <w:r>
        <w:rPr>
          <w:sz w:val="26"/>
          <w:szCs w:val="26"/>
        </w:rPr>
        <w:t> </w:t>
      </w:r>
      <w:r w:rsidRPr="003E31D1">
        <w:rPr>
          <w:sz w:val="26"/>
          <w:szCs w:val="26"/>
        </w:rPr>
        <w:t>Cal.App.4th 999, 1002</w:t>
      </w:r>
      <w:r>
        <w:rPr>
          <w:sz w:val="26"/>
          <w:szCs w:val="26"/>
        </w:rPr>
        <w:t>, fn. 1</w:t>
      </w:r>
      <w:r>
        <w:rPr>
          <w:sz w:val="26"/>
          <w:szCs w:val="26"/>
        </w:rPr>
        <w:t xml:space="preserve"> [taking judicial notice of a policy of an executive agency]</w:t>
      </w:r>
      <w:r>
        <w:rPr>
          <w:sz w:val="26"/>
          <w:szCs w:val="26"/>
        </w:rPr>
        <w:t>.)</w:t>
      </w:r>
    </w:p>
    <w:p w14:paraId="72F2085F" w14:textId="77777777" w:rsidR="00521C0A" w:rsidRPr="00791DB6" w:rsidRDefault="00861473">
      <w:pPr>
        <w:pStyle w:val="FootnoteText"/>
        <w:rPr>
          <w:sz w:val="26"/>
          <w:szCs w:val="26"/>
        </w:rPr>
      </w:pPr>
    </w:p>
  </w:footnote>
  <w:footnote w:id="4">
    <w:p w14:paraId="4A380A6A" w14:textId="77777777" w:rsidR="00D83A0C" w:rsidRPr="00D83A0C" w:rsidRDefault="00861473">
      <w:pPr>
        <w:pStyle w:val="FootnoteText"/>
        <w:rPr>
          <w:sz w:val="26"/>
          <w:szCs w:val="26"/>
        </w:rPr>
      </w:pPr>
      <w:r w:rsidRPr="00D83A0C">
        <w:rPr>
          <w:rStyle w:val="FootnoteReference"/>
          <w:sz w:val="26"/>
          <w:szCs w:val="26"/>
        </w:rPr>
        <w:footnoteRef/>
      </w:r>
      <w:r w:rsidRPr="00D83A0C">
        <w:rPr>
          <w:sz w:val="26"/>
          <w:szCs w:val="26"/>
        </w:rPr>
        <w:tab/>
        <w:t xml:space="preserve">We summarily denied the petition because we concluded Nazir, who was seeking writ review of the </w:t>
      </w:r>
      <w:r>
        <w:rPr>
          <w:sz w:val="26"/>
          <w:szCs w:val="26"/>
        </w:rPr>
        <w:t xml:space="preserve">trial court’s order denying the </w:t>
      </w:r>
      <w:r w:rsidRPr="00D83A0C">
        <w:rPr>
          <w:sz w:val="26"/>
          <w:szCs w:val="26"/>
        </w:rPr>
        <w:t>People’s motion</w:t>
      </w:r>
      <w:r>
        <w:rPr>
          <w:sz w:val="26"/>
          <w:szCs w:val="26"/>
        </w:rPr>
        <w:t xml:space="preserve"> (i.e., </w:t>
      </w:r>
      <w:r w:rsidRPr="00D83A0C">
        <w:rPr>
          <w:sz w:val="26"/>
          <w:szCs w:val="26"/>
        </w:rPr>
        <w:t xml:space="preserve">not his </w:t>
      </w:r>
      <w:r>
        <w:rPr>
          <w:sz w:val="26"/>
          <w:szCs w:val="26"/>
        </w:rPr>
        <w:t>motion</w:t>
      </w:r>
      <w:r>
        <w:rPr>
          <w:sz w:val="26"/>
          <w:szCs w:val="26"/>
        </w:rPr>
        <w:t>)</w:t>
      </w:r>
      <w:r w:rsidRPr="00D83A0C">
        <w:rPr>
          <w:sz w:val="26"/>
          <w:szCs w:val="26"/>
        </w:rPr>
        <w:t xml:space="preserve">, lacked standing. </w:t>
      </w:r>
      <w:r>
        <w:rPr>
          <w:sz w:val="26"/>
          <w:szCs w:val="26"/>
        </w:rPr>
        <w:t xml:space="preserve"> </w:t>
      </w:r>
      <w:r w:rsidRPr="00D83A0C">
        <w:rPr>
          <w:sz w:val="26"/>
          <w:szCs w:val="26"/>
        </w:rPr>
        <w:t xml:space="preserve">The </w:t>
      </w:r>
      <w:r w:rsidRPr="00D83A0C">
        <w:rPr>
          <w:sz w:val="26"/>
          <w:szCs w:val="26"/>
        </w:rPr>
        <w:t>Supreme Court apparently thought otherwise.</w:t>
      </w:r>
    </w:p>
    <w:p w14:paraId="62F45F8B" w14:textId="77777777" w:rsidR="00D83A0C" w:rsidRPr="00D83A0C" w:rsidRDefault="00861473">
      <w:pPr>
        <w:pStyle w:val="FootnoteText"/>
      </w:pPr>
    </w:p>
  </w:footnote>
  <w:footnote w:id="5">
    <w:p w14:paraId="54024BEF" w14:textId="77777777" w:rsidR="0071162F" w:rsidRDefault="00861473">
      <w:pPr>
        <w:pStyle w:val="FootnoteText"/>
        <w:rPr>
          <w:sz w:val="26"/>
          <w:szCs w:val="26"/>
        </w:rPr>
      </w:pPr>
      <w:r w:rsidRPr="0071162F">
        <w:rPr>
          <w:rStyle w:val="FootnoteReference"/>
          <w:sz w:val="26"/>
          <w:szCs w:val="26"/>
        </w:rPr>
        <w:footnoteRef/>
      </w:r>
      <w:r w:rsidRPr="0071162F">
        <w:rPr>
          <w:sz w:val="26"/>
          <w:szCs w:val="26"/>
        </w:rPr>
        <w:t xml:space="preserve"> </w:t>
      </w:r>
      <w:r>
        <w:rPr>
          <w:sz w:val="26"/>
          <w:szCs w:val="26"/>
        </w:rPr>
        <w:tab/>
      </w:r>
      <w:r>
        <w:rPr>
          <w:sz w:val="26"/>
          <w:szCs w:val="26"/>
        </w:rPr>
        <w:t>Article III, section </w:t>
      </w:r>
      <w:r>
        <w:rPr>
          <w:sz w:val="26"/>
          <w:szCs w:val="26"/>
        </w:rPr>
        <w:t>3 of the California Constitution states:  “</w:t>
      </w:r>
      <w:r w:rsidRPr="00447690">
        <w:rPr>
          <w:sz w:val="26"/>
          <w:szCs w:val="26"/>
        </w:rPr>
        <w:t xml:space="preserve">The powers of state government are legislative, executive, and judicial. </w:t>
      </w:r>
      <w:r>
        <w:rPr>
          <w:sz w:val="26"/>
          <w:szCs w:val="26"/>
        </w:rPr>
        <w:t xml:space="preserve"> </w:t>
      </w:r>
      <w:r w:rsidRPr="00447690">
        <w:rPr>
          <w:sz w:val="26"/>
          <w:szCs w:val="26"/>
        </w:rPr>
        <w:t xml:space="preserve">Persons charged with the exercise of one power may not </w:t>
      </w:r>
      <w:r w:rsidRPr="00447690">
        <w:rPr>
          <w:sz w:val="26"/>
          <w:szCs w:val="26"/>
        </w:rPr>
        <w:t>exercise either of the others except as permitted by this Constitution.</w:t>
      </w:r>
      <w:r>
        <w:rPr>
          <w:sz w:val="26"/>
          <w:szCs w:val="26"/>
        </w:rPr>
        <w:t>”</w:t>
      </w:r>
    </w:p>
    <w:p w14:paraId="7727F400" w14:textId="77777777" w:rsidR="0013004C" w:rsidRPr="0071162F" w:rsidRDefault="00861473">
      <w:pPr>
        <w:pStyle w:val="FootnoteText"/>
        <w:rPr>
          <w:sz w:val="26"/>
          <w:szCs w:val="26"/>
        </w:rPr>
      </w:pPr>
    </w:p>
  </w:footnote>
  <w:footnote w:id="6">
    <w:p w14:paraId="52C89E95" w14:textId="77777777" w:rsidR="00384DC3" w:rsidRDefault="00861473" w:rsidP="00384DC3">
      <w:pPr>
        <w:pStyle w:val="FootnoteText"/>
        <w:rPr>
          <w:sz w:val="26"/>
          <w:szCs w:val="26"/>
        </w:rPr>
      </w:pPr>
      <w:r w:rsidRPr="00A36E2B">
        <w:rPr>
          <w:rStyle w:val="FootnoteReference"/>
          <w:sz w:val="26"/>
          <w:szCs w:val="26"/>
        </w:rPr>
        <w:footnoteRef/>
      </w:r>
      <w:r w:rsidRPr="00A36E2B">
        <w:rPr>
          <w:sz w:val="26"/>
          <w:szCs w:val="26"/>
        </w:rPr>
        <w:t xml:space="preserve"> </w:t>
      </w:r>
      <w:r w:rsidRPr="00A36E2B">
        <w:rPr>
          <w:sz w:val="26"/>
          <w:szCs w:val="26"/>
        </w:rPr>
        <w:tab/>
        <w:t>Section 1386 provides</w:t>
      </w:r>
      <w:r>
        <w:rPr>
          <w:sz w:val="26"/>
          <w:szCs w:val="26"/>
        </w:rPr>
        <w:t xml:space="preserve">:  </w:t>
      </w:r>
      <w:r w:rsidRPr="00A36E2B">
        <w:rPr>
          <w:sz w:val="26"/>
          <w:szCs w:val="26"/>
        </w:rPr>
        <w:t>“</w:t>
      </w:r>
      <w:r w:rsidRPr="00A7042D">
        <w:rPr>
          <w:sz w:val="26"/>
          <w:szCs w:val="26"/>
        </w:rPr>
        <w:t>The entry of a nolle prosequi is abolished, and neither the Attorney General nor the</w:t>
      </w:r>
      <w:r>
        <w:rPr>
          <w:sz w:val="26"/>
          <w:szCs w:val="26"/>
        </w:rPr>
        <w:t xml:space="preserve"> </w:t>
      </w:r>
      <w:r w:rsidRPr="00A7042D">
        <w:rPr>
          <w:sz w:val="26"/>
          <w:szCs w:val="26"/>
        </w:rPr>
        <w:t>district</w:t>
      </w:r>
      <w:r>
        <w:rPr>
          <w:sz w:val="26"/>
          <w:szCs w:val="26"/>
        </w:rPr>
        <w:t xml:space="preserve"> </w:t>
      </w:r>
      <w:r w:rsidRPr="00A7042D">
        <w:rPr>
          <w:sz w:val="26"/>
          <w:szCs w:val="26"/>
        </w:rPr>
        <w:t xml:space="preserve">attorney can discontinue or abandon a prosecution </w:t>
      </w:r>
      <w:r w:rsidRPr="00A36E2B">
        <w:rPr>
          <w:sz w:val="26"/>
          <w:szCs w:val="26"/>
        </w:rPr>
        <w:t>for a publ</w:t>
      </w:r>
      <w:r w:rsidRPr="00A36E2B">
        <w:rPr>
          <w:sz w:val="26"/>
          <w:szCs w:val="26"/>
        </w:rPr>
        <w:t>ic offense</w:t>
      </w:r>
      <w:r w:rsidRPr="00A7042D">
        <w:rPr>
          <w:sz w:val="26"/>
          <w:szCs w:val="26"/>
        </w:rPr>
        <w:t>, except as provided in</w:t>
      </w:r>
      <w:r>
        <w:rPr>
          <w:sz w:val="26"/>
          <w:szCs w:val="26"/>
        </w:rPr>
        <w:t xml:space="preserve"> </w:t>
      </w:r>
      <w:r>
        <w:rPr>
          <w:sz w:val="26"/>
          <w:szCs w:val="26"/>
        </w:rPr>
        <w:t xml:space="preserve">Section </w:t>
      </w:r>
      <w:r w:rsidRPr="00A7042D">
        <w:rPr>
          <w:sz w:val="26"/>
          <w:szCs w:val="26"/>
        </w:rPr>
        <w:t>1385</w:t>
      </w:r>
      <w:r>
        <w:rPr>
          <w:sz w:val="26"/>
          <w:szCs w:val="26"/>
        </w:rPr>
        <w:t xml:space="preserve">.”  Nolle prosequi is “Latin </w:t>
      </w:r>
      <w:r w:rsidRPr="00384DC3">
        <w:rPr>
          <w:sz w:val="26"/>
          <w:szCs w:val="26"/>
        </w:rPr>
        <w:t xml:space="preserve">for </w:t>
      </w:r>
      <w:r>
        <w:rPr>
          <w:sz w:val="26"/>
          <w:szCs w:val="26"/>
        </w:rPr>
        <w:t>‘</w:t>
      </w:r>
      <w:r w:rsidRPr="00384DC3">
        <w:rPr>
          <w:sz w:val="26"/>
          <w:szCs w:val="26"/>
        </w:rPr>
        <w:t>not to wish to prosecute</w:t>
      </w:r>
      <w:r>
        <w:rPr>
          <w:sz w:val="26"/>
          <w:szCs w:val="26"/>
        </w:rPr>
        <w:t>.’</w:t>
      </w:r>
      <w:r w:rsidRPr="00384DC3">
        <w:rPr>
          <w:sz w:val="26"/>
          <w:szCs w:val="26"/>
        </w:rPr>
        <w:t>”</w:t>
      </w:r>
      <w:r>
        <w:rPr>
          <w:sz w:val="26"/>
          <w:szCs w:val="26"/>
        </w:rPr>
        <w:t xml:space="preserve">  (</w:t>
      </w:r>
      <w:r w:rsidRPr="00403D6F">
        <w:rPr>
          <w:i/>
          <w:iCs/>
          <w:sz w:val="26"/>
          <w:szCs w:val="26"/>
        </w:rPr>
        <w:t>Zike v. Advance America, Cash Advance Centers of Missouri, Inc.</w:t>
      </w:r>
      <w:r w:rsidRPr="00384DC3">
        <w:rPr>
          <w:sz w:val="26"/>
          <w:szCs w:val="26"/>
        </w:rPr>
        <w:t xml:space="preserve"> (</w:t>
      </w:r>
      <w:r>
        <w:rPr>
          <w:sz w:val="26"/>
          <w:szCs w:val="26"/>
        </w:rPr>
        <w:t>8th Cir. 2011) 646 </w:t>
      </w:r>
      <w:r>
        <w:rPr>
          <w:sz w:val="26"/>
          <w:szCs w:val="26"/>
        </w:rPr>
        <w:t>F.3d 504, 508</w:t>
      </w:r>
      <w:r>
        <w:rPr>
          <w:sz w:val="26"/>
          <w:szCs w:val="26"/>
        </w:rPr>
        <w:t>, fn. </w:t>
      </w:r>
      <w:r>
        <w:rPr>
          <w:sz w:val="26"/>
          <w:szCs w:val="26"/>
        </w:rPr>
        <w:t>4.)</w:t>
      </w:r>
    </w:p>
    <w:p w14:paraId="75789A42" w14:textId="77777777" w:rsidR="004A4ED3" w:rsidRPr="00A36E2B" w:rsidRDefault="00861473" w:rsidP="00384DC3">
      <w:pPr>
        <w:pStyle w:val="FootnoteText"/>
        <w:rPr>
          <w:sz w:val="26"/>
          <w:szCs w:val="26"/>
        </w:rPr>
      </w:pPr>
    </w:p>
  </w:footnote>
  <w:footnote w:id="7">
    <w:p w14:paraId="2EC2D7E7" w14:textId="77777777" w:rsidR="008B252C" w:rsidRDefault="00861473">
      <w:pPr>
        <w:pStyle w:val="FootnoteText"/>
        <w:rPr>
          <w:sz w:val="26"/>
          <w:szCs w:val="26"/>
        </w:rPr>
      </w:pPr>
      <w:r w:rsidRPr="008B252C">
        <w:rPr>
          <w:rStyle w:val="FootnoteReference"/>
          <w:sz w:val="26"/>
          <w:szCs w:val="26"/>
        </w:rPr>
        <w:footnoteRef/>
      </w:r>
      <w:r w:rsidRPr="008B252C">
        <w:rPr>
          <w:sz w:val="26"/>
          <w:szCs w:val="26"/>
        </w:rPr>
        <w:t xml:space="preserve"> </w:t>
      </w:r>
      <w:r>
        <w:rPr>
          <w:sz w:val="26"/>
          <w:szCs w:val="26"/>
        </w:rPr>
        <w:tab/>
      </w:r>
      <w:r>
        <w:rPr>
          <w:sz w:val="26"/>
          <w:szCs w:val="26"/>
        </w:rPr>
        <w:t xml:space="preserve">In </w:t>
      </w:r>
      <w:r w:rsidRPr="000F31DD">
        <w:rPr>
          <w:i/>
          <w:iCs/>
          <w:sz w:val="26"/>
          <w:szCs w:val="26"/>
        </w:rPr>
        <w:t xml:space="preserve">People v. Superior Court </w:t>
      </w:r>
      <w:r>
        <w:rPr>
          <w:i/>
          <w:iCs/>
          <w:sz w:val="26"/>
          <w:szCs w:val="26"/>
        </w:rPr>
        <w:t>(Howard)</w:t>
      </w:r>
      <w:r>
        <w:rPr>
          <w:sz w:val="26"/>
          <w:szCs w:val="26"/>
        </w:rPr>
        <w:t xml:space="preserve"> (1968) 69 </w:t>
      </w:r>
      <w:r w:rsidRPr="000F31DD">
        <w:rPr>
          <w:sz w:val="26"/>
          <w:szCs w:val="26"/>
        </w:rPr>
        <w:t>Cal.2d 491</w:t>
      </w:r>
      <w:r>
        <w:rPr>
          <w:sz w:val="26"/>
          <w:szCs w:val="26"/>
        </w:rPr>
        <w:t xml:space="preserve"> the Supreme Court appeared to question whether a trial </w:t>
      </w:r>
      <w:r>
        <w:rPr>
          <w:sz w:val="26"/>
          <w:szCs w:val="26"/>
        </w:rPr>
        <w:t>judge’s</w:t>
      </w:r>
      <w:r>
        <w:rPr>
          <w:sz w:val="26"/>
          <w:szCs w:val="26"/>
        </w:rPr>
        <w:t xml:space="preserve"> “discretion to dismiss on his own motion is not as great as his discretion to dismiss on the motion of the prosecutor.”  (</w:t>
      </w:r>
      <w:r>
        <w:rPr>
          <w:i/>
          <w:iCs/>
          <w:sz w:val="26"/>
          <w:szCs w:val="26"/>
        </w:rPr>
        <w:t>Id.</w:t>
      </w:r>
      <w:r>
        <w:rPr>
          <w:sz w:val="26"/>
          <w:szCs w:val="26"/>
        </w:rPr>
        <w:t xml:space="preserve"> at p</w:t>
      </w:r>
      <w:r>
        <w:rPr>
          <w:sz w:val="26"/>
          <w:szCs w:val="26"/>
        </w:rPr>
        <w:t>p. </w:t>
      </w:r>
      <w:r>
        <w:rPr>
          <w:sz w:val="26"/>
          <w:szCs w:val="26"/>
        </w:rPr>
        <w:t>503</w:t>
      </w:r>
      <w:r>
        <w:rPr>
          <w:sz w:val="26"/>
          <w:szCs w:val="26"/>
        </w:rPr>
        <w:noBreakHyphen/>
      </w:r>
      <w:r>
        <w:rPr>
          <w:sz w:val="26"/>
          <w:szCs w:val="26"/>
        </w:rPr>
        <w:t>5</w:t>
      </w:r>
      <w:r>
        <w:rPr>
          <w:sz w:val="26"/>
          <w:szCs w:val="26"/>
        </w:rPr>
        <w:t>04</w:t>
      </w:r>
      <w:r>
        <w:rPr>
          <w:sz w:val="26"/>
          <w:szCs w:val="26"/>
        </w:rPr>
        <w:t xml:space="preserve">, citing </w:t>
      </w:r>
      <w:r>
        <w:rPr>
          <w:i/>
          <w:iCs/>
          <w:sz w:val="26"/>
          <w:szCs w:val="26"/>
        </w:rPr>
        <w:t>King</w:t>
      </w:r>
      <w:r>
        <w:rPr>
          <w:sz w:val="26"/>
          <w:szCs w:val="26"/>
        </w:rPr>
        <w:t xml:space="preserve">, </w:t>
      </w:r>
      <w:r>
        <w:rPr>
          <w:i/>
          <w:iCs/>
          <w:sz w:val="26"/>
          <w:szCs w:val="26"/>
        </w:rPr>
        <w:t>supra</w:t>
      </w:r>
      <w:r>
        <w:rPr>
          <w:sz w:val="26"/>
          <w:szCs w:val="26"/>
        </w:rPr>
        <w:t>,</w:t>
      </w:r>
      <w:r>
        <w:rPr>
          <w:i/>
          <w:iCs/>
          <w:sz w:val="26"/>
          <w:szCs w:val="26"/>
        </w:rPr>
        <w:t xml:space="preserve"> </w:t>
      </w:r>
      <w:r w:rsidRPr="006B7FCD">
        <w:rPr>
          <w:sz w:val="26"/>
          <w:szCs w:val="26"/>
        </w:rPr>
        <w:t>249</w:t>
      </w:r>
      <w:r>
        <w:rPr>
          <w:sz w:val="26"/>
          <w:szCs w:val="26"/>
        </w:rPr>
        <w:t> </w:t>
      </w:r>
      <w:r w:rsidRPr="006B7FCD">
        <w:rPr>
          <w:sz w:val="26"/>
          <w:szCs w:val="26"/>
        </w:rPr>
        <w:t xml:space="preserve">Cal.App.2d </w:t>
      </w:r>
      <w:r>
        <w:rPr>
          <w:sz w:val="26"/>
          <w:szCs w:val="26"/>
        </w:rPr>
        <w:t xml:space="preserve">at </w:t>
      </w:r>
      <w:r>
        <w:rPr>
          <w:sz w:val="26"/>
          <w:szCs w:val="26"/>
        </w:rPr>
        <w:t>p. </w:t>
      </w:r>
      <w:r w:rsidRPr="006B7FCD">
        <w:rPr>
          <w:sz w:val="26"/>
          <w:szCs w:val="26"/>
        </w:rPr>
        <w:t>718</w:t>
      </w:r>
      <w:r>
        <w:rPr>
          <w:sz w:val="26"/>
          <w:szCs w:val="26"/>
        </w:rPr>
        <w:t xml:space="preserve">.) </w:t>
      </w:r>
      <w:r>
        <w:rPr>
          <w:sz w:val="26"/>
          <w:szCs w:val="26"/>
        </w:rPr>
        <w:t xml:space="preserve"> In </w:t>
      </w:r>
      <w:r>
        <w:rPr>
          <w:i/>
          <w:iCs/>
          <w:sz w:val="26"/>
          <w:szCs w:val="26"/>
        </w:rPr>
        <w:t>Howard</w:t>
      </w:r>
      <w:r>
        <w:rPr>
          <w:sz w:val="26"/>
          <w:szCs w:val="26"/>
        </w:rPr>
        <w:t xml:space="preserve">, however, the Supreme Court considered whether a trial court had discretion under section 1385 to dismiss an action on its own motion after a jury returned a guilty verdict. </w:t>
      </w:r>
      <w:r>
        <w:rPr>
          <w:i/>
          <w:iCs/>
          <w:sz w:val="26"/>
          <w:szCs w:val="26"/>
        </w:rPr>
        <w:t xml:space="preserve"> </w:t>
      </w:r>
      <w:r>
        <w:rPr>
          <w:sz w:val="26"/>
          <w:szCs w:val="26"/>
        </w:rPr>
        <w:t>In responding to th</w:t>
      </w:r>
      <w:r>
        <w:rPr>
          <w:sz w:val="26"/>
          <w:szCs w:val="26"/>
        </w:rPr>
        <w:t>e People’s argument</w:t>
      </w:r>
      <w:r>
        <w:rPr>
          <w:sz w:val="26"/>
          <w:szCs w:val="26"/>
        </w:rPr>
        <w:t xml:space="preserve"> that</w:t>
      </w:r>
      <w:r>
        <w:rPr>
          <w:sz w:val="26"/>
          <w:szCs w:val="26"/>
        </w:rPr>
        <w:t xml:space="preserve"> a trial court could only do so with the prosecutor’s </w:t>
      </w:r>
      <w:r>
        <w:rPr>
          <w:sz w:val="26"/>
          <w:szCs w:val="26"/>
        </w:rPr>
        <w:t>approval</w:t>
      </w:r>
      <w:r>
        <w:rPr>
          <w:sz w:val="26"/>
          <w:szCs w:val="26"/>
        </w:rPr>
        <w:t xml:space="preserve">, the Supreme Court made clear that, contrary to the suggestion in </w:t>
      </w:r>
      <w:r>
        <w:rPr>
          <w:i/>
          <w:iCs/>
          <w:sz w:val="26"/>
          <w:szCs w:val="26"/>
        </w:rPr>
        <w:t>King</w:t>
      </w:r>
      <w:r>
        <w:rPr>
          <w:sz w:val="26"/>
          <w:szCs w:val="26"/>
        </w:rPr>
        <w:t xml:space="preserve">, a trial court has discretion to dismiss an action under section 1385 before or during trial, “notwithstanding the fact that there is sufficient evidence of guilt,” so long as the court “is convinced </w:t>
      </w:r>
      <w:r>
        <w:rPr>
          <w:sz w:val="26"/>
          <w:szCs w:val="26"/>
        </w:rPr>
        <w:t xml:space="preserve">that </w:t>
      </w:r>
      <w:r>
        <w:rPr>
          <w:sz w:val="26"/>
          <w:szCs w:val="26"/>
        </w:rPr>
        <w:t>the only purpose to be served by a trial or a retr</w:t>
      </w:r>
      <w:r>
        <w:rPr>
          <w:sz w:val="26"/>
          <w:szCs w:val="26"/>
        </w:rPr>
        <w:t>ial is harassment of the defendant.”  (</w:t>
      </w:r>
      <w:r>
        <w:rPr>
          <w:i/>
          <w:iCs/>
          <w:sz w:val="26"/>
          <w:szCs w:val="26"/>
        </w:rPr>
        <w:t>Howard</w:t>
      </w:r>
      <w:r>
        <w:rPr>
          <w:sz w:val="26"/>
          <w:szCs w:val="26"/>
        </w:rPr>
        <w:t xml:space="preserve">, at </w:t>
      </w:r>
      <w:r>
        <w:rPr>
          <w:sz w:val="26"/>
          <w:szCs w:val="26"/>
        </w:rPr>
        <w:t>p. </w:t>
      </w:r>
      <w:r>
        <w:rPr>
          <w:sz w:val="26"/>
          <w:szCs w:val="26"/>
        </w:rPr>
        <w:t xml:space="preserve">504.)  The </w:t>
      </w:r>
      <w:r>
        <w:rPr>
          <w:sz w:val="26"/>
          <w:szCs w:val="26"/>
        </w:rPr>
        <w:t>Supreme Court</w:t>
      </w:r>
      <w:r>
        <w:rPr>
          <w:sz w:val="26"/>
          <w:szCs w:val="26"/>
        </w:rPr>
        <w:t xml:space="preserve"> did not address whether there were other circumstances in which a prosecutor’s legitimate motives for seeking a dismissal under section 1385 were broader than </w:t>
      </w:r>
      <w:r>
        <w:rPr>
          <w:sz w:val="26"/>
          <w:szCs w:val="26"/>
        </w:rPr>
        <w:t>a court’s</w:t>
      </w:r>
      <w:r>
        <w:rPr>
          <w:sz w:val="26"/>
          <w:szCs w:val="26"/>
        </w:rPr>
        <w:t xml:space="preserve"> motives</w:t>
      </w:r>
      <w:r>
        <w:rPr>
          <w:sz w:val="26"/>
          <w:szCs w:val="26"/>
        </w:rPr>
        <w:t>.</w:t>
      </w:r>
    </w:p>
    <w:p w14:paraId="03E19190" w14:textId="77777777" w:rsidR="00D13BB0" w:rsidRPr="0007487C" w:rsidRDefault="00861473">
      <w:pPr>
        <w:pStyle w:val="FootnoteText"/>
        <w:rPr>
          <w:sz w:val="26"/>
          <w:szCs w:val="26"/>
        </w:rPr>
      </w:pPr>
    </w:p>
  </w:footnote>
  <w:footnote w:id="8">
    <w:p w14:paraId="7F99F037" w14:textId="77777777" w:rsidR="00866E6F" w:rsidRDefault="00861473">
      <w:pPr>
        <w:pStyle w:val="FootnoteText"/>
        <w:rPr>
          <w:sz w:val="26"/>
          <w:szCs w:val="26"/>
        </w:rPr>
      </w:pPr>
      <w:r w:rsidRPr="00866E6F">
        <w:rPr>
          <w:rStyle w:val="FootnoteReference"/>
          <w:sz w:val="26"/>
          <w:szCs w:val="26"/>
        </w:rPr>
        <w:footnoteRef/>
      </w:r>
      <w:r w:rsidRPr="00866E6F">
        <w:rPr>
          <w:sz w:val="26"/>
          <w:szCs w:val="26"/>
        </w:rPr>
        <w:t xml:space="preserve"> </w:t>
      </w:r>
      <w:r w:rsidRPr="00866E6F">
        <w:rPr>
          <w:sz w:val="26"/>
          <w:szCs w:val="26"/>
        </w:rPr>
        <w:tab/>
        <w:t>No</w:t>
      </w:r>
      <w:r>
        <w:rPr>
          <w:sz w:val="26"/>
          <w:szCs w:val="26"/>
        </w:rPr>
        <w:t>ne of the parties</w:t>
      </w:r>
      <w:r>
        <w:rPr>
          <w:sz w:val="26"/>
          <w:szCs w:val="26"/>
        </w:rPr>
        <w:t>, n</w:t>
      </w:r>
      <w:r>
        <w:rPr>
          <w:sz w:val="26"/>
          <w:szCs w:val="26"/>
        </w:rPr>
        <w:t xml:space="preserve">or any of the </w:t>
      </w:r>
      <w:r w:rsidRPr="00866E6F">
        <w:rPr>
          <w:sz w:val="26"/>
          <w:szCs w:val="26"/>
        </w:rPr>
        <w:t>amicus curiae</w:t>
      </w:r>
      <w:r>
        <w:rPr>
          <w:sz w:val="26"/>
          <w:szCs w:val="26"/>
        </w:rPr>
        <w:t>,</w:t>
      </w:r>
      <w:r w:rsidRPr="00866E6F">
        <w:rPr>
          <w:sz w:val="26"/>
          <w:szCs w:val="26"/>
        </w:rPr>
        <w:t xml:space="preserve"> argues </w:t>
      </w:r>
      <w:r>
        <w:rPr>
          <w:sz w:val="26"/>
          <w:szCs w:val="26"/>
        </w:rPr>
        <w:t xml:space="preserve">section </w:t>
      </w:r>
      <w:r>
        <w:rPr>
          <w:sz w:val="26"/>
          <w:szCs w:val="26"/>
        </w:rPr>
        <w:t>12022</w:t>
      </w:r>
      <w:r>
        <w:rPr>
          <w:sz w:val="26"/>
          <w:szCs w:val="26"/>
        </w:rPr>
        <w:t>.5</w:t>
      </w:r>
      <w:r>
        <w:rPr>
          <w:sz w:val="26"/>
          <w:szCs w:val="26"/>
        </w:rPr>
        <w:t>, subdivision </w:t>
      </w:r>
      <w:r>
        <w:rPr>
          <w:sz w:val="26"/>
          <w:szCs w:val="26"/>
        </w:rPr>
        <w:t xml:space="preserve">(c), or </w:t>
      </w:r>
      <w:r>
        <w:rPr>
          <w:sz w:val="26"/>
          <w:szCs w:val="26"/>
        </w:rPr>
        <w:t xml:space="preserve">section </w:t>
      </w:r>
      <w:r>
        <w:rPr>
          <w:sz w:val="26"/>
          <w:szCs w:val="26"/>
        </w:rPr>
        <w:t>12022.53, subdivision </w:t>
      </w:r>
      <w:r>
        <w:rPr>
          <w:sz w:val="26"/>
          <w:szCs w:val="26"/>
        </w:rPr>
        <w:t xml:space="preserve">(h), precludes a trial court from dismissing a </w:t>
      </w:r>
      <w:r>
        <w:rPr>
          <w:sz w:val="26"/>
          <w:szCs w:val="26"/>
        </w:rPr>
        <w:t>firearm</w:t>
      </w:r>
      <w:r>
        <w:rPr>
          <w:sz w:val="26"/>
          <w:szCs w:val="26"/>
        </w:rPr>
        <w:t xml:space="preserve"> enhancement at a time other than “at the time of sentencing.”  </w:t>
      </w:r>
      <w:r>
        <w:rPr>
          <w:sz w:val="26"/>
          <w:szCs w:val="26"/>
        </w:rPr>
        <w:t>Although we do not reach this issue, we observe</w:t>
      </w:r>
      <w:r>
        <w:rPr>
          <w:sz w:val="26"/>
          <w:szCs w:val="26"/>
        </w:rPr>
        <w:t xml:space="preserve"> </w:t>
      </w:r>
      <w:r>
        <w:rPr>
          <w:sz w:val="26"/>
          <w:szCs w:val="26"/>
        </w:rPr>
        <w:t xml:space="preserve">that </w:t>
      </w:r>
      <w:r>
        <w:rPr>
          <w:sz w:val="26"/>
          <w:szCs w:val="26"/>
        </w:rPr>
        <w:t xml:space="preserve">the </w:t>
      </w:r>
      <w:r>
        <w:rPr>
          <w:sz w:val="26"/>
          <w:szCs w:val="26"/>
        </w:rPr>
        <w:t xml:space="preserve">statutory </w:t>
      </w:r>
      <w:r>
        <w:rPr>
          <w:sz w:val="26"/>
          <w:szCs w:val="26"/>
        </w:rPr>
        <w:t xml:space="preserve">language </w:t>
      </w:r>
      <w:r>
        <w:rPr>
          <w:sz w:val="26"/>
          <w:szCs w:val="26"/>
        </w:rPr>
        <w:t xml:space="preserve">does not </w:t>
      </w:r>
      <w:r>
        <w:rPr>
          <w:sz w:val="26"/>
          <w:szCs w:val="26"/>
        </w:rPr>
        <w:t>bar</w:t>
      </w:r>
      <w:r>
        <w:rPr>
          <w:sz w:val="26"/>
          <w:szCs w:val="26"/>
        </w:rPr>
        <w:t xml:space="preserve"> a trial court </w:t>
      </w:r>
      <w:r>
        <w:rPr>
          <w:sz w:val="26"/>
          <w:szCs w:val="26"/>
        </w:rPr>
        <w:t>from</w:t>
      </w:r>
      <w:r>
        <w:rPr>
          <w:sz w:val="26"/>
          <w:szCs w:val="26"/>
        </w:rPr>
        <w:t xml:space="preserve"> dismiss</w:t>
      </w:r>
      <w:r>
        <w:rPr>
          <w:sz w:val="26"/>
          <w:szCs w:val="26"/>
        </w:rPr>
        <w:t>ing</w:t>
      </w:r>
      <w:r>
        <w:rPr>
          <w:sz w:val="26"/>
          <w:szCs w:val="26"/>
        </w:rPr>
        <w:t xml:space="preserve"> a firearm enhancement before or during trial.  (See </w:t>
      </w:r>
      <w:r>
        <w:rPr>
          <w:i/>
          <w:iCs/>
          <w:sz w:val="26"/>
          <w:szCs w:val="26"/>
        </w:rPr>
        <w:t>Romero</w:t>
      </w:r>
      <w:r>
        <w:rPr>
          <w:sz w:val="26"/>
          <w:szCs w:val="26"/>
        </w:rPr>
        <w:t xml:space="preserve">, </w:t>
      </w:r>
      <w:r>
        <w:rPr>
          <w:i/>
          <w:iCs/>
          <w:sz w:val="26"/>
          <w:szCs w:val="26"/>
        </w:rPr>
        <w:t>supra</w:t>
      </w:r>
      <w:r>
        <w:rPr>
          <w:sz w:val="26"/>
          <w:szCs w:val="26"/>
        </w:rPr>
        <w:t>, 13</w:t>
      </w:r>
      <w:r>
        <w:rPr>
          <w:sz w:val="26"/>
          <w:szCs w:val="26"/>
        </w:rPr>
        <w:t> </w:t>
      </w:r>
      <w:r>
        <w:rPr>
          <w:sz w:val="26"/>
          <w:szCs w:val="26"/>
        </w:rPr>
        <w:t>Cal</w:t>
      </w:r>
      <w:r>
        <w:rPr>
          <w:sz w:val="26"/>
          <w:szCs w:val="26"/>
        </w:rPr>
        <w:t xml:space="preserve">.4th at </w:t>
      </w:r>
      <w:r>
        <w:rPr>
          <w:sz w:val="26"/>
          <w:szCs w:val="26"/>
        </w:rPr>
        <w:t>p. </w:t>
      </w:r>
      <w:r>
        <w:rPr>
          <w:sz w:val="26"/>
          <w:szCs w:val="26"/>
        </w:rPr>
        <w:t>518</w:t>
      </w:r>
      <w:r>
        <w:rPr>
          <w:sz w:val="26"/>
          <w:szCs w:val="26"/>
        </w:rPr>
        <w:t xml:space="preserve"> [“we will not interpret a statute as eliminating courts’ power under section 1385 ‘absent a clear legislative direction to the contrary’”].)</w:t>
      </w:r>
    </w:p>
    <w:p w14:paraId="4FA162F1" w14:textId="77777777" w:rsidR="009779E8" w:rsidRPr="00866E6F" w:rsidRDefault="00861473">
      <w:pPr>
        <w:pStyle w:val="FootnoteText"/>
        <w:rPr>
          <w:sz w:val="26"/>
          <w:szCs w:val="26"/>
        </w:rPr>
      </w:pPr>
    </w:p>
  </w:footnote>
  <w:footnote w:id="9">
    <w:p w14:paraId="7D5DA637" w14:textId="77777777" w:rsidR="005D625F" w:rsidRDefault="00861473" w:rsidP="005D625F">
      <w:pPr>
        <w:pStyle w:val="FootnoteText"/>
        <w:rPr>
          <w:sz w:val="26"/>
          <w:szCs w:val="26"/>
        </w:rPr>
      </w:pPr>
      <w:r w:rsidRPr="003639AC">
        <w:rPr>
          <w:rStyle w:val="FootnoteReference"/>
          <w:sz w:val="26"/>
          <w:szCs w:val="26"/>
        </w:rPr>
        <w:footnoteRef/>
      </w:r>
      <w:r w:rsidRPr="003639AC">
        <w:rPr>
          <w:sz w:val="26"/>
          <w:szCs w:val="26"/>
        </w:rPr>
        <w:t xml:space="preserve"> </w:t>
      </w:r>
      <w:r w:rsidRPr="003639AC">
        <w:rPr>
          <w:sz w:val="26"/>
          <w:szCs w:val="26"/>
        </w:rPr>
        <w:tab/>
        <w:t xml:space="preserve">The </w:t>
      </w:r>
      <w:r>
        <w:rPr>
          <w:sz w:val="26"/>
          <w:szCs w:val="26"/>
        </w:rPr>
        <w:t xml:space="preserve">respondent </w:t>
      </w:r>
      <w:r>
        <w:rPr>
          <w:sz w:val="26"/>
          <w:szCs w:val="26"/>
        </w:rPr>
        <w:t xml:space="preserve">superior </w:t>
      </w:r>
      <w:r>
        <w:rPr>
          <w:sz w:val="26"/>
          <w:szCs w:val="26"/>
        </w:rPr>
        <w:t xml:space="preserve">court and amici curiae in </w:t>
      </w:r>
      <w:r>
        <w:rPr>
          <w:sz w:val="26"/>
          <w:szCs w:val="26"/>
        </w:rPr>
        <w:t xml:space="preserve">support of the court </w:t>
      </w:r>
      <w:r w:rsidRPr="003639AC">
        <w:rPr>
          <w:sz w:val="26"/>
          <w:szCs w:val="26"/>
        </w:rPr>
        <w:t xml:space="preserve">argue </w:t>
      </w:r>
      <w:r w:rsidRPr="003639AC">
        <w:rPr>
          <w:sz w:val="26"/>
          <w:szCs w:val="26"/>
        </w:rPr>
        <w:t xml:space="preserve">that the party </w:t>
      </w:r>
      <w:r w:rsidRPr="003639AC">
        <w:rPr>
          <w:sz w:val="26"/>
          <w:szCs w:val="26"/>
        </w:rPr>
        <w:t>seeking a dismissal has the burden of offering evidence in support</w:t>
      </w:r>
      <w:r>
        <w:rPr>
          <w:sz w:val="26"/>
          <w:szCs w:val="26"/>
        </w:rPr>
        <w:t xml:space="preserve"> of a motion under section 13</w:t>
      </w:r>
      <w:r>
        <w:rPr>
          <w:sz w:val="26"/>
          <w:szCs w:val="26"/>
        </w:rPr>
        <w:t>8</w:t>
      </w:r>
      <w:r>
        <w:rPr>
          <w:sz w:val="26"/>
          <w:szCs w:val="26"/>
        </w:rPr>
        <w:t>5</w:t>
      </w:r>
      <w:r w:rsidRPr="003639AC">
        <w:rPr>
          <w:sz w:val="26"/>
          <w:szCs w:val="26"/>
        </w:rPr>
        <w:t xml:space="preserve"> and </w:t>
      </w:r>
      <w:r>
        <w:rPr>
          <w:sz w:val="26"/>
          <w:szCs w:val="26"/>
        </w:rPr>
        <w:t xml:space="preserve">that </w:t>
      </w:r>
      <w:r w:rsidRPr="003639AC">
        <w:rPr>
          <w:sz w:val="26"/>
          <w:szCs w:val="26"/>
        </w:rPr>
        <w:t>neither the People nor Nazir offered any evidence concerning Nazir’s background, character, prospects, or other circumstances</w:t>
      </w:r>
      <w:r>
        <w:rPr>
          <w:sz w:val="26"/>
          <w:szCs w:val="26"/>
        </w:rPr>
        <w:t xml:space="preserve"> </w:t>
      </w:r>
      <w:r w:rsidRPr="003639AC">
        <w:rPr>
          <w:sz w:val="26"/>
          <w:szCs w:val="26"/>
        </w:rPr>
        <w:t>relevant</w:t>
      </w:r>
      <w:r>
        <w:rPr>
          <w:sz w:val="26"/>
          <w:szCs w:val="26"/>
        </w:rPr>
        <w:t xml:space="preserve"> to the individ</w:t>
      </w:r>
      <w:r>
        <w:rPr>
          <w:sz w:val="26"/>
          <w:szCs w:val="26"/>
        </w:rPr>
        <w:t xml:space="preserve">ualized analysis required by </w:t>
      </w:r>
      <w:r>
        <w:rPr>
          <w:i/>
          <w:iCs/>
          <w:sz w:val="26"/>
          <w:szCs w:val="26"/>
        </w:rPr>
        <w:t>Williams</w:t>
      </w:r>
      <w:r w:rsidRPr="003639AC">
        <w:rPr>
          <w:sz w:val="26"/>
          <w:szCs w:val="26"/>
        </w:rPr>
        <w:t>.</w:t>
      </w:r>
      <w:r>
        <w:rPr>
          <w:sz w:val="26"/>
          <w:szCs w:val="26"/>
        </w:rPr>
        <w:t xml:space="preserve"> </w:t>
      </w:r>
      <w:r w:rsidRPr="003639AC">
        <w:rPr>
          <w:sz w:val="26"/>
          <w:szCs w:val="26"/>
        </w:rPr>
        <w:t xml:space="preserve"> </w:t>
      </w:r>
      <w:r>
        <w:rPr>
          <w:sz w:val="26"/>
          <w:szCs w:val="26"/>
        </w:rPr>
        <w:t>T</w:t>
      </w:r>
      <w:r>
        <w:rPr>
          <w:sz w:val="26"/>
          <w:szCs w:val="26"/>
        </w:rPr>
        <w:t xml:space="preserve">hey argue </w:t>
      </w:r>
      <w:r w:rsidRPr="003639AC">
        <w:rPr>
          <w:sz w:val="26"/>
          <w:szCs w:val="26"/>
        </w:rPr>
        <w:t xml:space="preserve">the People </w:t>
      </w:r>
      <w:r>
        <w:rPr>
          <w:sz w:val="26"/>
          <w:szCs w:val="26"/>
        </w:rPr>
        <w:t xml:space="preserve">instead </w:t>
      </w:r>
      <w:r w:rsidRPr="003639AC">
        <w:rPr>
          <w:sz w:val="26"/>
          <w:szCs w:val="26"/>
        </w:rPr>
        <w:t xml:space="preserve">relied solely on </w:t>
      </w:r>
      <w:r>
        <w:rPr>
          <w:sz w:val="26"/>
          <w:szCs w:val="26"/>
        </w:rPr>
        <w:t xml:space="preserve">the </w:t>
      </w:r>
      <w:r w:rsidRPr="003639AC">
        <w:rPr>
          <w:sz w:val="26"/>
          <w:szCs w:val="26"/>
        </w:rPr>
        <w:t xml:space="preserve">Special Directive, </w:t>
      </w:r>
      <w:r>
        <w:rPr>
          <w:sz w:val="26"/>
          <w:szCs w:val="26"/>
        </w:rPr>
        <w:t xml:space="preserve">which without more </w:t>
      </w:r>
      <w:r w:rsidRPr="003639AC">
        <w:rPr>
          <w:sz w:val="26"/>
          <w:szCs w:val="26"/>
        </w:rPr>
        <w:t xml:space="preserve">is not a sufficient basis to show that dismissing the </w:t>
      </w:r>
      <w:r>
        <w:rPr>
          <w:sz w:val="26"/>
          <w:szCs w:val="26"/>
        </w:rPr>
        <w:t>enhancements</w:t>
      </w:r>
      <w:r w:rsidRPr="003639AC">
        <w:rPr>
          <w:sz w:val="26"/>
          <w:szCs w:val="26"/>
        </w:rPr>
        <w:t xml:space="preserve"> was in furtherance of justice.  </w:t>
      </w:r>
      <w:r>
        <w:rPr>
          <w:sz w:val="26"/>
          <w:szCs w:val="26"/>
        </w:rPr>
        <w:t>The trial court, however, ma</w:t>
      </w:r>
      <w:r>
        <w:rPr>
          <w:sz w:val="26"/>
          <w:szCs w:val="26"/>
        </w:rPr>
        <w:t>de clear it would not consider the Special Directive</w:t>
      </w:r>
      <w:r>
        <w:rPr>
          <w:sz w:val="26"/>
          <w:szCs w:val="26"/>
        </w:rPr>
        <w:t xml:space="preserve"> </w:t>
      </w:r>
      <w:r>
        <w:rPr>
          <w:sz w:val="26"/>
          <w:szCs w:val="26"/>
        </w:rPr>
        <w:t>at all</w:t>
      </w:r>
      <w:r>
        <w:rPr>
          <w:sz w:val="26"/>
          <w:szCs w:val="26"/>
        </w:rPr>
        <w:t xml:space="preserve">, whether in conjunction with the </w:t>
      </w:r>
      <w:r>
        <w:rPr>
          <w:i/>
          <w:iCs/>
          <w:sz w:val="26"/>
          <w:szCs w:val="26"/>
        </w:rPr>
        <w:t xml:space="preserve">Williams </w:t>
      </w:r>
      <w:r>
        <w:rPr>
          <w:sz w:val="26"/>
          <w:szCs w:val="26"/>
        </w:rPr>
        <w:t>factors or otherwise</w:t>
      </w:r>
      <w:r>
        <w:rPr>
          <w:sz w:val="26"/>
          <w:szCs w:val="26"/>
        </w:rPr>
        <w:t>.  Thus, the court misunderstood the scope of its discretion by failing to apply the factors relevant to considering whether to dismis</w:t>
      </w:r>
      <w:r>
        <w:rPr>
          <w:sz w:val="26"/>
          <w:szCs w:val="26"/>
        </w:rPr>
        <w:t>s a sentence enhancement</w:t>
      </w:r>
      <w:r>
        <w:rPr>
          <w:sz w:val="26"/>
          <w:szCs w:val="26"/>
        </w:rPr>
        <w:t xml:space="preserve"> (see Cal. Rules of Court, rule </w:t>
      </w:r>
      <w:r>
        <w:rPr>
          <w:sz w:val="26"/>
          <w:szCs w:val="26"/>
        </w:rPr>
        <w:t xml:space="preserve">4.428(b)) and by </w:t>
      </w:r>
      <w:r>
        <w:rPr>
          <w:sz w:val="26"/>
          <w:szCs w:val="26"/>
        </w:rPr>
        <w:t>refusing to consider</w:t>
      </w:r>
      <w:r>
        <w:rPr>
          <w:sz w:val="26"/>
          <w:szCs w:val="26"/>
        </w:rPr>
        <w:t xml:space="preserve"> the Special Directive. </w:t>
      </w:r>
    </w:p>
    <w:p w14:paraId="0CBE970D" w14:textId="77777777" w:rsidR="00C16859" w:rsidRPr="003639AC" w:rsidRDefault="00861473" w:rsidP="005D625F">
      <w:pPr>
        <w:pStyle w:val="FootnoteText"/>
        <w:rPr>
          <w:sz w:val="26"/>
          <w:szCs w:val="26"/>
        </w:rPr>
      </w:pPr>
    </w:p>
  </w:footnote>
  <w:footnote w:id="10">
    <w:p w14:paraId="06B585FF" w14:textId="77777777" w:rsidR="00EC3397" w:rsidRPr="00C11497" w:rsidRDefault="00861473" w:rsidP="00EC3397">
      <w:pPr>
        <w:spacing w:line="240" w:lineRule="auto"/>
        <w:rPr>
          <w:szCs w:val="26"/>
        </w:rPr>
      </w:pPr>
      <w:r w:rsidRPr="00293AA6">
        <w:rPr>
          <w:rStyle w:val="FootnoteReference"/>
          <w:szCs w:val="26"/>
        </w:rPr>
        <w:t>*</w:t>
      </w:r>
      <w:r w:rsidRPr="00293AA6">
        <w:rPr>
          <w:szCs w:val="26"/>
        </w:rPr>
        <w:t xml:space="preserve"> </w:t>
      </w:r>
      <w:r>
        <w:rPr>
          <w:szCs w:val="26"/>
        </w:rPr>
        <w:tab/>
      </w:r>
      <w:r w:rsidRPr="00293AA6">
        <w:rPr>
          <w:szCs w:val="26"/>
        </w:rPr>
        <w:t xml:space="preserve">Judge of the </w:t>
      </w:r>
      <w:r>
        <w:rPr>
          <w:szCs w:val="26"/>
        </w:rPr>
        <w:t>Alameda</w:t>
      </w:r>
      <w:r w:rsidRPr="00293AA6">
        <w:rPr>
          <w:szCs w:val="26"/>
        </w:rPr>
        <w:t xml:space="preserve"> County Superior Court, assigned by the Ch</w:t>
      </w:r>
      <w:r>
        <w:rPr>
          <w:szCs w:val="26"/>
        </w:rPr>
        <w:t>ief Justice pursuant to article VI, section </w:t>
      </w:r>
      <w:r w:rsidRPr="00293AA6">
        <w:rPr>
          <w:szCs w:val="26"/>
        </w:rPr>
        <w:t xml:space="preserve">6 of the </w:t>
      </w:r>
      <w:r w:rsidRPr="00293AA6">
        <w:rPr>
          <w:szCs w:val="26"/>
        </w:rPr>
        <w:t>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D1F3" w14:textId="77777777" w:rsidR="00633FD7" w:rsidRDefault="0086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AA63" w14:textId="77777777" w:rsidR="00633FD7" w:rsidRDefault="00861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B110" w14:textId="77777777" w:rsidR="00633FD7" w:rsidRDefault="0086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8AB9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21233"/>
    <w:multiLevelType w:val="hybridMultilevel"/>
    <w:tmpl w:val="1AAA36E0"/>
    <w:lvl w:ilvl="0" w:tplc="721297E6">
      <w:start w:val="1"/>
      <w:numFmt w:val="decimal"/>
      <w:lvlText w:val="%1."/>
      <w:lvlJc w:val="left"/>
      <w:pPr>
        <w:ind w:left="1800" w:hanging="360"/>
      </w:pPr>
      <w:rPr>
        <w:rFonts w:hint="default"/>
      </w:rPr>
    </w:lvl>
    <w:lvl w:ilvl="1" w:tplc="DBC6CAC0" w:tentative="1">
      <w:start w:val="1"/>
      <w:numFmt w:val="lowerLetter"/>
      <w:lvlText w:val="%2."/>
      <w:lvlJc w:val="left"/>
      <w:pPr>
        <w:ind w:left="2520" w:hanging="360"/>
      </w:pPr>
    </w:lvl>
    <w:lvl w:ilvl="2" w:tplc="BC3CE278" w:tentative="1">
      <w:start w:val="1"/>
      <w:numFmt w:val="lowerRoman"/>
      <w:lvlText w:val="%3."/>
      <w:lvlJc w:val="right"/>
      <w:pPr>
        <w:ind w:left="3240" w:hanging="180"/>
      </w:pPr>
    </w:lvl>
    <w:lvl w:ilvl="3" w:tplc="C9F68CA6" w:tentative="1">
      <w:start w:val="1"/>
      <w:numFmt w:val="decimal"/>
      <w:lvlText w:val="%4."/>
      <w:lvlJc w:val="left"/>
      <w:pPr>
        <w:ind w:left="3960" w:hanging="360"/>
      </w:pPr>
    </w:lvl>
    <w:lvl w:ilvl="4" w:tplc="4F7CA3F0" w:tentative="1">
      <w:start w:val="1"/>
      <w:numFmt w:val="lowerLetter"/>
      <w:lvlText w:val="%5."/>
      <w:lvlJc w:val="left"/>
      <w:pPr>
        <w:ind w:left="4680" w:hanging="360"/>
      </w:pPr>
    </w:lvl>
    <w:lvl w:ilvl="5" w:tplc="BAF00DDE" w:tentative="1">
      <w:start w:val="1"/>
      <w:numFmt w:val="lowerRoman"/>
      <w:lvlText w:val="%6."/>
      <w:lvlJc w:val="right"/>
      <w:pPr>
        <w:ind w:left="5400" w:hanging="180"/>
      </w:pPr>
    </w:lvl>
    <w:lvl w:ilvl="6" w:tplc="56BE149E" w:tentative="1">
      <w:start w:val="1"/>
      <w:numFmt w:val="decimal"/>
      <w:lvlText w:val="%7."/>
      <w:lvlJc w:val="left"/>
      <w:pPr>
        <w:ind w:left="6120" w:hanging="360"/>
      </w:pPr>
    </w:lvl>
    <w:lvl w:ilvl="7" w:tplc="439C19D2" w:tentative="1">
      <w:start w:val="1"/>
      <w:numFmt w:val="lowerLetter"/>
      <w:lvlText w:val="%8."/>
      <w:lvlJc w:val="left"/>
      <w:pPr>
        <w:ind w:left="6840" w:hanging="360"/>
      </w:pPr>
    </w:lvl>
    <w:lvl w:ilvl="8" w:tplc="F2A097EE" w:tentative="1">
      <w:start w:val="1"/>
      <w:numFmt w:val="lowerRoman"/>
      <w:lvlText w:val="%9."/>
      <w:lvlJc w:val="right"/>
      <w:pPr>
        <w:ind w:left="7560" w:hanging="180"/>
      </w:pPr>
    </w:lvl>
  </w:abstractNum>
  <w:abstractNum w:abstractNumId="2" w15:restartNumberingAfterBreak="0">
    <w:nsid w:val="02B92EA2"/>
    <w:multiLevelType w:val="hybridMultilevel"/>
    <w:tmpl w:val="2FC4C496"/>
    <w:lvl w:ilvl="0" w:tplc="F1D893B8">
      <w:start w:val="1"/>
      <w:numFmt w:val="upperLetter"/>
      <w:lvlText w:val="%1."/>
      <w:lvlJc w:val="left"/>
      <w:pPr>
        <w:ind w:left="2880" w:hanging="360"/>
      </w:pPr>
      <w:rPr>
        <w:i w:val="0"/>
      </w:rPr>
    </w:lvl>
    <w:lvl w:ilvl="1" w:tplc="871EFA4A" w:tentative="1">
      <w:start w:val="1"/>
      <w:numFmt w:val="lowerLetter"/>
      <w:lvlText w:val="%2."/>
      <w:lvlJc w:val="left"/>
      <w:pPr>
        <w:ind w:left="3600" w:hanging="360"/>
      </w:pPr>
    </w:lvl>
    <w:lvl w:ilvl="2" w:tplc="76E24750" w:tentative="1">
      <w:start w:val="1"/>
      <w:numFmt w:val="lowerRoman"/>
      <w:lvlText w:val="%3."/>
      <w:lvlJc w:val="right"/>
      <w:pPr>
        <w:ind w:left="4320" w:hanging="180"/>
      </w:pPr>
    </w:lvl>
    <w:lvl w:ilvl="3" w:tplc="39A28120" w:tentative="1">
      <w:start w:val="1"/>
      <w:numFmt w:val="decimal"/>
      <w:lvlText w:val="%4."/>
      <w:lvlJc w:val="left"/>
      <w:pPr>
        <w:ind w:left="5040" w:hanging="360"/>
      </w:pPr>
    </w:lvl>
    <w:lvl w:ilvl="4" w:tplc="261C4B06" w:tentative="1">
      <w:start w:val="1"/>
      <w:numFmt w:val="lowerLetter"/>
      <w:lvlText w:val="%5."/>
      <w:lvlJc w:val="left"/>
      <w:pPr>
        <w:ind w:left="5760" w:hanging="360"/>
      </w:pPr>
    </w:lvl>
    <w:lvl w:ilvl="5" w:tplc="9CA03466" w:tentative="1">
      <w:start w:val="1"/>
      <w:numFmt w:val="lowerRoman"/>
      <w:lvlText w:val="%6."/>
      <w:lvlJc w:val="right"/>
      <w:pPr>
        <w:ind w:left="6480" w:hanging="180"/>
      </w:pPr>
    </w:lvl>
    <w:lvl w:ilvl="6" w:tplc="789A0C08" w:tentative="1">
      <w:start w:val="1"/>
      <w:numFmt w:val="decimal"/>
      <w:lvlText w:val="%7."/>
      <w:lvlJc w:val="left"/>
      <w:pPr>
        <w:ind w:left="7200" w:hanging="360"/>
      </w:pPr>
    </w:lvl>
    <w:lvl w:ilvl="7" w:tplc="E67814F2" w:tentative="1">
      <w:start w:val="1"/>
      <w:numFmt w:val="lowerLetter"/>
      <w:lvlText w:val="%8."/>
      <w:lvlJc w:val="left"/>
      <w:pPr>
        <w:ind w:left="7920" w:hanging="360"/>
      </w:pPr>
    </w:lvl>
    <w:lvl w:ilvl="8" w:tplc="EE827114" w:tentative="1">
      <w:start w:val="1"/>
      <w:numFmt w:val="lowerRoman"/>
      <w:lvlText w:val="%9."/>
      <w:lvlJc w:val="right"/>
      <w:pPr>
        <w:ind w:left="8640" w:hanging="180"/>
      </w:pPr>
    </w:lvl>
  </w:abstractNum>
  <w:abstractNum w:abstractNumId="3" w15:restartNumberingAfterBreak="0">
    <w:nsid w:val="04A570B1"/>
    <w:multiLevelType w:val="hybridMultilevel"/>
    <w:tmpl w:val="B69048C4"/>
    <w:lvl w:ilvl="0" w:tplc="822EA6C8">
      <w:start w:val="1"/>
      <w:numFmt w:val="decimal"/>
      <w:lvlText w:val="%1."/>
      <w:lvlJc w:val="left"/>
      <w:pPr>
        <w:ind w:left="720" w:hanging="360"/>
      </w:pPr>
      <w:rPr>
        <w:rFonts w:cs="Arial" w:hint="default"/>
        <w:i w:val="0"/>
      </w:rPr>
    </w:lvl>
    <w:lvl w:ilvl="1" w:tplc="D30C01FA" w:tentative="1">
      <w:start w:val="1"/>
      <w:numFmt w:val="lowerLetter"/>
      <w:lvlText w:val="%2."/>
      <w:lvlJc w:val="left"/>
      <w:pPr>
        <w:ind w:left="1440" w:hanging="360"/>
      </w:pPr>
    </w:lvl>
    <w:lvl w:ilvl="2" w:tplc="43B62C46" w:tentative="1">
      <w:start w:val="1"/>
      <w:numFmt w:val="lowerRoman"/>
      <w:lvlText w:val="%3."/>
      <w:lvlJc w:val="right"/>
      <w:pPr>
        <w:ind w:left="2160" w:hanging="180"/>
      </w:pPr>
    </w:lvl>
    <w:lvl w:ilvl="3" w:tplc="F6443D52" w:tentative="1">
      <w:start w:val="1"/>
      <w:numFmt w:val="decimal"/>
      <w:lvlText w:val="%4."/>
      <w:lvlJc w:val="left"/>
      <w:pPr>
        <w:ind w:left="2880" w:hanging="360"/>
      </w:pPr>
    </w:lvl>
    <w:lvl w:ilvl="4" w:tplc="C01C6784" w:tentative="1">
      <w:start w:val="1"/>
      <w:numFmt w:val="lowerLetter"/>
      <w:lvlText w:val="%5."/>
      <w:lvlJc w:val="left"/>
      <w:pPr>
        <w:ind w:left="3600" w:hanging="360"/>
      </w:pPr>
    </w:lvl>
    <w:lvl w:ilvl="5" w:tplc="A50C4FFE" w:tentative="1">
      <w:start w:val="1"/>
      <w:numFmt w:val="lowerRoman"/>
      <w:lvlText w:val="%6."/>
      <w:lvlJc w:val="right"/>
      <w:pPr>
        <w:ind w:left="4320" w:hanging="180"/>
      </w:pPr>
    </w:lvl>
    <w:lvl w:ilvl="6" w:tplc="286C1300" w:tentative="1">
      <w:start w:val="1"/>
      <w:numFmt w:val="decimal"/>
      <w:lvlText w:val="%7."/>
      <w:lvlJc w:val="left"/>
      <w:pPr>
        <w:ind w:left="5040" w:hanging="360"/>
      </w:pPr>
    </w:lvl>
    <w:lvl w:ilvl="7" w:tplc="48F6867A" w:tentative="1">
      <w:start w:val="1"/>
      <w:numFmt w:val="lowerLetter"/>
      <w:lvlText w:val="%8."/>
      <w:lvlJc w:val="left"/>
      <w:pPr>
        <w:ind w:left="5760" w:hanging="360"/>
      </w:pPr>
    </w:lvl>
    <w:lvl w:ilvl="8" w:tplc="612EB93C" w:tentative="1">
      <w:start w:val="1"/>
      <w:numFmt w:val="lowerRoman"/>
      <w:lvlText w:val="%9."/>
      <w:lvlJc w:val="right"/>
      <w:pPr>
        <w:ind w:left="6480" w:hanging="180"/>
      </w:pPr>
    </w:lvl>
  </w:abstractNum>
  <w:abstractNum w:abstractNumId="4" w15:restartNumberingAfterBreak="0">
    <w:nsid w:val="07C54781"/>
    <w:multiLevelType w:val="hybridMultilevel"/>
    <w:tmpl w:val="73A4B812"/>
    <w:lvl w:ilvl="0" w:tplc="D0B652D2">
      <w:start w:val="1"/>
      <w:numFmt w:val="upperLetter"/>
      <w:lvlText w:val="%1."/>
      <w:lvlJc w:val="left"/>
      <w:pPr>
        <w:ind w:left="720" w:hanging="360"/>
      </w:pPr>
      <w:rPr>
        <w:rFonts w:hint="default"/>
        <w:i w:val="0"/>
      </w:rPr>
    </w:lvl>
    <w:lvl w:ilvl="1" w:tplc="D630A6A8">
      <w:start w:val="1"/>
      <w:numFmt w:val="lowerLetter"/>
      <w:lvlText w:val="%2."/>
      <w:lvlJc w:val="left"/>
      <w:pPr>
        <w:ind w:left="1440" w:hanging="360"/>
      </w:pPr>
    </w:lvl>
    <w:lvl w:ilvl="2" w:tplc="006C698C" w:tentative="1">
      <w:start w:val="1"/>
      <w:numFmt w:val="lowerRoman"/>
      <w:lvlText w:val="%3."/>
      <w:lvlJc w:val="right"/>
      <w:pPr>
        <w:ind w:left="2160" w:hanging="180"/>
      </w:pPr>
    </w:lvl>
    <w:lvl w:ilvl="3" w:tplc="872E77D4" w:tentative="1">
      <w:start w:val="1"/>
      <w:numFmt w:val="decimal"/>
      <w:lvlText w:val="%4."/>
      <w:lvlJc w:val="left"/>
      <w:pPr>
        <w:ind w:left="2880" w:hanging="360"/>
      </w:pPr>
    </w:lvl>
    <w:lvl w:ilvl="4" w:tplc="86F021F0" w:tentative="1">
      <w:start w:val="1"/>
      <w:numFmt w:val="lowerLetter"/>
      <w:lvlText w:val="%5."/>
      <w:lvlJc w:val="left"/>
      <w:pPr>
        <w:ind w:left="3600" w:hanging="360"/>
      </w:pPr>
    </w:lvl>
    <w:lvl w:ilvl="5" w:tplc="454ABA68" w:tentative="1">
      <w:start w:val="1"/>
      <w:numFmt w:val="lowerRoman"/>
      <w:lvlText w:val="%6."/>
      <w:lvlJc w:val="right"/>
      <w:pPr>
        <w:ind w:left="4320" w:hanging="180"/>
      </w:pPr>
    </w:lvl>
    <w:lvl w:ilvl="6" w:tplc="AA2036A8" w:tentative="1">
      <w:start w:val="1"/>
      <w:numFmt w:val="decimal"/>
      <w:lvlText w:val="%7."/>
      <w:lvlJc w:val="left"/>
      <w:pPr>
        <w:ind w:left="5040" w:hanging="360"/>
      </w:pPr>
    </w:lvl>
    <w:lvl w:ilvl="7" w:tplc="1750D10A" w:tentative="1">
      <w:start w:val="1"/>
      <w:numFmt w:val="lowerLetter"/>
      <w:lvlText w:val="%8."/>
      <w:lvlJc w:val="left"/>
      <w:pPr>
        <w:ind w:left="5760" w:hanging="360"/>
      </w:pPr>
    </w:lvl>
    <w:lvl w:ilvl="8" w:tplc="F00A30D4" w:tentative="1">
      <w:start w:val="1"/>
      <w:numFmt w:val="lowerRoman"/>
      <w:lvlText w:val="%9."/>
      <w:lvlJc w:val="right"/>
      <w:pPr>
        <w:ind w:left="6480" w:hanging="180"/>
      </w:pPr>
    </w:lvl>
  </w:abstractNum>
  <w:abstractNum w:abstractNumId="5" w15:restartNumberingAfterBreak="0">
    <w:nsid w:val="08B41B51"/>
    <w:multiLevelType w:val="multilevel"/>
    <w:tmpl w:val="56B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061CE"/>
    <w:multiLevelType w:val="hybridMultilevel"/>
    <w:tmpl w:val="1A5EE484"/>
    <w:lvl w:ilvl="0" w:tplc="C05C0AE4">
      <w:start w:val="1"/>
      <w:numFmt w:val="decimal"/>
      <w:lvlText w:val="%1."/>
      <w:lvlJc w:val="left"/>
      <w:pPr>
        <w:ind w:left="720" w:hanging="360"/>
      </w:pPr>
      <w:rPr>
        <w:rFonts w:hint="default"/>
        <w:i w:val="0"/>
      </w:rPr>
    </w:lvl>
    <w:lvl w:ilvl="1" w:tplc="14C2BF34" w:tentative="1">
      <w:start w:val="1"/>
      <w:numFmt w:val="lowerLetter"/>
      <w:lvlText w:val="%2."/>
      <w:lvlJc w:val="left"/>
      <w:pPr>
        <w:ind w:left="1440" w:hanging="360"/>
      </w:pPr>
    </w:lvl>
    <w:lvl w:ilvl="2" w:tplc="B0E84EB8" w:tentative="1">
      <w:start w:val="1"/>
      <w:numFmt w:val="lowerRoman"/>
      <w:lvlText w:val="%3."/>
      <w:lvlJc w:val="right"/>
      <w:pPr>
        <w:ind w:left="2160" w:hanging="180"/>
      </w:pPr>
    </w:lvl>
    <w:lvl w:ilvl="3" w:tplc="666EF39A" w:tentative="1">
      <w:start w:val="1"/>
      <w:numFmt w:val="decimal"/>
      <w:lvlText w:val="%4."/>
      <w:lvlJc w:val="left"/>
      <w:pPr>
        <w:ind w:left="2880" w:hanging="360"/>
      </w:pPr>
    </w:lvl>
    <w:lvl w:ilvl="4" w:tplc="F852F996" w:tentative="1">
      <w:start w:val="1"/>
      <w:numFmt w:val="lowerLetter"/>
      <w:lvlText w:val="%5."/>
      <w:lvlJc w:val="left"/>
      <w:pPr>
        <w:ind w:left="3600" w:hanging="360"/>
      </w:pPr>
    </w:lvl>
    <w:lvl w:ilvl="5" w:tplc="71069072" w:tentative="1">
      <w:start w:val="1"/>
      <w:numFmt w:val="lowerRoman"/>
      <w:lvlText w:val="%6."/>
      <w:lvlJc w:val="right"/>
      <w:pPr>
        <w:ind w:left="4320" w:hanging="180"/>
      </w:pPr>
    </w:lvl>
    <w:lvl w:ilvl="6" w:tplc="FFD2CB3A" w:tentative="1">
      <w:start w:val="1"/>
      <w:numFmt w:val="decimal"/>
      <w:lvlText w:val="%7."/>
      <w:lvlJc w:val="left"/>
      <w:pPr>
        <w:ind w:left="5040" w:hanging="360"/>
      </w:pPr>
    </w:lvl>
    <w:lvl w:ilvl="7" w:tplc="14E2A30C" w:tentative="1">
      <w:start w:val="1"/>
      <w:numFmt w:val="lowerLetter"/>
      <w:lvlText w:val="%8."/>
      <w:lvlJc w:val="left"/>
      <w:pPr>
        <w:ind w:left="5760" w:hanging="360"/>
      </w:pPr>
    </w:lvl>
    <w:lvl w:ilvl="8" w:tplc="8DD0C540" w:tentative="1">
      <w:start w:val="1"/>
      <w:numFmt w:val="lowerRoman"/>
      <w:lvlText w:val="%9."/>
      <w:lvlJc w:val="right"/>
      <w:pPr>
        <w:ind w:left="6480" w:hanging="180"/>
      </w:pPr>
    </w:lvl>
  </w:abstractNum>
  <w:abstractNum w:abstractNumId="7" w15:restartNumberingAfterBreak="0">
    <w:nsid w:val="13B52E1E"/>
    <w:multiLevelType w:val="multilevel"/>
    <w:tmpl w:val="DC76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B2622"/>
    <w:multiLevelType w:val="hybridMultilevel"/>
    <w:tmpl w:val="F1C4856A"/>
    <w:lvl w:ilvl="0" w:tplc="D8FA958C">
      <w:start w:val="1"/>
      <w:numFmt w:val="decimal"/>
      <w:lvlText w:val="%1."/>
      <w:lvlJc w:val="left"/>
      <w:pPr>
        <w:ind w:left="1800" w:hanging="360"/>
      </w:pPr>
      <w:rPr>
        <w:rFonts w:hint="default"/>
      </w:rPr>
    </w:lvl>
    <w:lvl w:ilvl="1" w:tplc="855C9444" w:tentative="1">
      <w:start w:val="1"/>
      <w:numFmt w:val="lowerLetter"/>
      <w:lvlText w:val="%2."/>
      <w:lvlJc w:val="left"/>
      <w:pPr>
        <w:ind w:left="2520" w:hanging="360"/>
      </w:pPr>
    </w:lvl>
    <w:lvl w:ilvl="2" w:tplc="8BE69BC2" w:tentative="1">
      <w:start w:val="1"/>
      <w:numFmt w:val="lowerRoman"/>
      <w:lvlText w:val="%3."/>
      <w:lvlJc w:val="right"/>
      <w:pPr>
        <w:ind w:left="3240" w:hanging="180"/>
      </w:pPr>
    </w:lvl>
    <w:lvl w:ilvl="3" w:tplc="CCCC2A1E" w:tentative="1">
      <w:start w:val="1"/>
      <w:numFmt w:val="decimal"/>
      <w:lvlText w:val="%4."/>
      <w:lvlJc w:val="left"/>
      <w:pPr>
        <w:ind w:left="3960" w:hanging="360"/>
      </w:pPr>
    </w:lvl>
    <w:lvl w:ilvl="4" w:tplc="21F8AEE6" w:tentative="1">
      <w:start w:val="1"/>
      <w:numFmt w:val="lowerLetter"/>
      <w:lvlText w:val="%5."/>
      <w:lvlJc w:val="left"/>
      <w:pPr>
        <w:ind w:left="4680" w:hanging="360"/>
      </w:pPr>
    </w:lvl>
    <w:lvl w:ilvl="5" w:tplc="5A9C8A34" w:tentative="1">
      <w:start w:val="1"/>
      <w:numFmt w:val="lowerRoman"/>
      <w:lvlText w:val="%6."/>
      <w:lvlJc w:val="right"/>
      <w:pPr>
        <w:ind w:left="5400" w:hanging="180"/>
      </w:pPr>
    </w:lvl>
    <w:lvl w:ilvl="6" w:tplc="53CE5CD8" w:tentative="1">
      <w:start w:val="1"/>
      <w:numFmt w:val="decimal"/>
      <w:lvlText w:val="%7."/>
      <w:lvlJc w:val="left"/>
      <w:pPr>
        <w:ind w:left="6120" w:hanging="360"/>
      </w:pPr>
    </w:lvl>
    <w:lvl w:ilvl="7" w:tplc="5540E354" w:tentative="1">
      <w:start w:val="1"/>
      <w:numFmt w:val="lowerLetter"/>
      <w:lvlText w:val="%8."/>
      <w:lvlJc w:val="left"/>
      <w:pPr>
        <w:ind w:left="6840" w:hanging="360"/>
      </w:pPr>
    </w:lvl>
    <w:lvl w:ilvl="8" w:tplc="ABC8945C" w:tentative="1">
      <w:start w:val="1"/>
      <w:numFmt w:val="lowerRoman"/>
      <w:lvlText w:val="%9."/>
      <w:lvlJc w:val="right"/>
      <w:pPr>
        <w:ind w:left="7560" w:hanging="180"/>
      </w:pPr>
    </w:lvl>
  </w:abstractNum>
  <w:abstractNum w:abstractNumId="9" w15:restartNumberingAfterBreak="0">
    <w:nsid w:val="258D541E"/>
    <w:multiLevelType w:val="multilevel"/>
    <w:tmpl w:val="B66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24347"/>
    <w:multiLevelType w:val="multilevel"/>
    <w:tmpl w:val="5BB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E46E1"/>
    <w:multiLevelType w:val="hybridMultilevel"/>
    <w:tmpl w:val="D5907D76"/>
    <w:lvl w:ilvl="0" w:tplc="9DDEDECA">
      <w:start w:val="1"/>
      <w:numFmt w:val="lowerLetter"/>
      <w:lvlText w:val="%1."/>
      <w:lvlJc w:val="left"/>
      <w:pPr>
        <w:ind w:left="720" w:hanging="360"/>
      </w:pPr>
      <w:rPr>
        <w:rFonts w:hint="default"/>
      </w:rPr>
    </w:lvl>
    <w:lvl w:ilvl="1" w:tplc="82100912" w:tentative="1">
      <w:start w:val="1"/>
      <w:numFmt w:val="lowerLetter"/>
      <w:lvlText w:val="%2."/>
      <w:lvlJc w:val="left"/>
      <w:pPr>
        <w:ind w:left="1440" w:hanging="360"/>
      </w:pPr>
    </w:lvl>
    <w:lvl w:ilvl="2" w:tplc="5A5CEE16" w:tentative="1">
      <w:start w:val="1"/>
      <w:numFmt w:val="lowerRoman"/>
      <w:lvlText w:val="%3."/>
      <w:lvlJc w:val="right"/>
      <w:pPr>
        <w:ind w:left="2160" w:hanging="180"/>
      </w:pPr>
    </w:lvl>
    <w:lvl w:ilvl="3" w:tplc="5A26F920" w:tentative="1">
      <w:start w:val="1"/>
      <w:numFmt w:val="decimal"/>
      <w:lvlText w:val="%4."/>
      <w:lvlJc w:val="left"/>
      <w:pPr>
        <w:ind w:left="2880" w:hanging="360"/>
      </w:pPr>
    </w:lvl>
    <w:lvl w:ilvl="4" w:tplc="06D8E450" w:tentative="1">
      <w:start w:val="1"/>
      <w:numFmt w:val="lowerLetter"/>
      <w:lvlText w:val="%5."/>
      <w:lvlJc w:val="left"/>
      <w:pPr>
        <w:ind w:left="3600" w:hanging="360"/>
      </w:pPr>
    </w:lvl>
    <w:lvl w:ilvl="5" w:tplc="7D968314" w:tentative="1">
      <w:start w:val="1"/>
      <w:numFmt w:val="lowerRoman"/>
      <w:lvlText w:val="%6."/>
      <w:lvlJc w:val="right"/>
      <w:pPr>
        <w:ind w:left="4320" w:hanging="180"/>
      </w:pPr>
    </w:lvl>
    <w:lvl w:ilvl="6" w:tplc="2A9C071C" w:tentative="1">
      <w:start w:val="1"/>
      <w:numFmt w:val="decimal"/>
      <w:lvlText w:val="%7."/>
      <w:lvlJc w:val="left"/>
      <w:pPr>
        <w:ind w:left="5040" w:hanging="360"/>
      </w:pPr>
    </w:lvl>
    <w:lvl w:ilvl="7" w:tplc="410E4AEC" w:tentative="1">
      <w:start w:val="1"/>
      <w:numFmt w:val="lowerLetter"/>
      <w:lvlText w:val="%8."/>
      <w:lvlJc w:val="left"/>
      <w:pPr>
        <w:ind w:left="5760" w:hanging="360"/>
      </w:pPr>
    </w:lvl>
    <w:lvl w:ilvl="8" w:tplc="907C48BA" w:tentative="1">
      <w:start w:val="1"/>
      <w:numFmt w:val="lowerRoman"/>
      <w:lvlText w:val="%9."/>
      <w:lvlJc w:val="right"/>
      <w:pPr>
        <w:ind w:left="6480" w:hanging="180"/>
      </w:pPr>
    </w:lvl>
  </w:abstractNum>
  <w:abstractNum w:abstractNumId="12" w15:restartNumberingAfterBreak="0">
    <w:nsid w:val="2D2C1B6C"/>
    <w:multiLevelType w:val="hybridMultilevel"/>
    <w:tmpl w:val="7B84DF60"/>
    <w:lvl w:ilvl="0" w:tplc="9BFCA546">
      <w:start w:val="1"/>
      <w:numFmt w:val="upperLetter"/>
      <w:lvlText w:val="%1."/>
      <w:lvlJc w:val="left"/>
      <w:pPr>
        <w:ind w:left="720" w:hanging="360"/>
      </w:pPr>
      <w:rPr>
        <w:rFonts w:hint="default"/>
      </w:rPr>
    </w:lvl>
    <w:lvl w:ilvl="1" w:tplc="DD3A780C" w:tentative="1">
      <w:start w:val="1"/>
      <w:numFmt w:val="lowerLetter"/>
      <w:lvlText w:val="%2."/>
      <w:lvlJc w:val="left"/>
      <w:pPr>
        <w:ind w:left="1440" w:hanging="360"/>
      </w:pPr>
    </w:lvl>
    <w:lvl w:ilvl="2" w:tplc="ECC4B93A" w:tentative="1">
      <w:start w:val="1"/>
      <w:numFmt w:val="lowerRoman"/>
      <w:lvlText w:val="%3."/>
      <w:lvlJc w:val="right"/>
      <w:pPr>
        <w:ind w:left="2160" w:hanging="180"/>
      </w:pPr>
    </w:lvl>
    <w:lvl w:ilvl="3" w:tplc="757EFBBE" w:tentative="1">
      <w:start w:val="1"/>
      <w:numFmt w:val="decimal"/>
      <w:lvlText w:val="%4."/>
      <w:lvlJc w:val="left"/>
      <w:pPr>
        <w:ind w:left="2880" w:hanging="360"/>
      </w:pPr>
    </w:lvl>
    <w:lvl w:ilvl="4" w:tplc="314EF82A" w:tentative="1">
      <w:start w:val="1"/>
      <w:numFmt w:val="lowerLetter"/>
      <w:lvlText w:val="%5."/>
      <w:lvlJc w:val="left"/>
      <w:pPr>
        <w:ind w:left="3600" w:hanging="360"/>
      </w:pPr>
    </w:lvl>
    <w:lvl w:ilvl="5" w:tplc="F13058C0" w:tentative="1">
      <w:start w:val="1"/>
      <w:numFmt w:val="lowerRoman"/>
      <w:lvlText w:val="%6."/>
      <w:lvlJc w:val="right"/>
      <w:pPr>
        <w:ind w:left="4320" w:hanging="180"/>
      </w:pPr>
    </w:lvl>
    <w:lvl w:ilvl="6" w:tplc="21700EA4" w:tentative="1">
      <w:start w:val="1"/>
      <w:numFmt w:val="decimal"/>
      <w:lvlText w:val="%7."/>
      <w:lvlJc w:val="left"/>
      <w:pPr>
        <w:ind w:left="5040" w:hanging="360"/>
      </w:pPr>
    </w:lvl>
    <w:lvl w:ilvl="7" w:tplc="0682E236" w:tentative="1">
      <w:start w:val="1"/>
      <w:numFmt w:val="lowerLetter"/>
      <w:lvlText w:val="%8."/>
      <w:lvlJc w:val="left"/>
      <w:pPr>
        <w:ind w:left="5760" w:hanging="360"/>
      </w:pPr>
    </w:lvl>
    <w:lvl w:ilvl="8" w:tplc="E28CD788" w:tentative="1">
      <w:start w:val="1"/>
      <w:numFmt w:val="lowerRoman"/>
      <w:lvlText w:val="%9."/>
      <w:lvlJc w:val="right"/>
      <w:pPr>
        <w:ind w:left="6480" w:hanging="180"/>
      </w:pPr>
    </w:lvl>
  </w:abstractNum>
  <w:abstractNum w:abstractNumId="13" w15:restartNumberingAfterBreak="0">
    <w:nsid w:val="2DD20539"/>
    <w:multiLevelType w:val="hybridMultilevel"/>
    <w:tmpl w:val="BE58CD90"/>
    <w:lvl w:ilvl="0" w:tplc="34F29A1A">
      <w:start w:val="1"/>
      <w:numFmt w:val="decimal"/>
      <w:lvlText w:val="%1."/>
      <w:lvlJc w:val="left"/>
      <w:pPr>
        <w:ind w:left="1080" w:hanging="360"/>
      </w:pPr>
      <w:rPr>
        <w:rFonts w:hint="default"/>
      </w:rPr>
    </w:lvl>
    <w:lvl w:ilvl="1" w:tplc="3DC4F006" w:tentative="1">
      <w:start w:val="1"/>
      <w:numFmt w:val="lowerLetter"/>
      <w:lvlText w:val="%2."/>
      <w:lvlJc w:val="left"/>
      <w:pPr>
        <w:ind w:left="1800" w:hanging="360"/>
      </w:pPr>
    </w:lvl>
    <w:lvl w:ilvl="2" w:tplc="9B0226CC" w:tentative="1">
      <w:start w:val="1"/>
      <w:numFmt w:val="lowerRoman"/>
      <w:lvlText w:val="%3."/>
      <w:lvlJc w:val="right"/>
      <w:pPr>
        <w:ind w:left="2520" w:hanging="180"/>
      </w:pPr>
    </w:lvl>
    <w:lvl w:ilvl="3" w:tplc="E0CA28F8" w:tentative="1">
      <w:start w:val="1"/>
      <w:numFmt w:val="decimal"/>
      <w:lvlText w:val="%4."/>
      <w:lvlJc w:val="left"/>
      <w:pPr>
        <w:ind w:left="3240" w:hanging="360"/>
      </w:pPr>
    </w:lvl>
    <w:lvl w:ilvl="4" w:tplc="3FEA7464" w:tentative="1">
      <w:start w:val="1"/>
      <w:numFmt w:val="lowerLetter"/>
      <w:lvlText w:val="%5."/>
      <w:lvlJc w:val="left"/>
      <w:pPr>
        <w:ind w:left="3960" w:hanging="360"/>
      </w:pPr>
    </w:lvl>
    <w:lvl w:ilvl="5" w:tplc="8D6290DC" w:tentative="1">
      <w:start w:val="1"/>
      <w:numFmt w:val="lowerRoman"/>
      <w:lvlText w:val="%6."/>
      <w:lvlJc w:val="right"/>
      <w:pPr>
        <w:ind w:left="4680" w:hanging="180"/>
      </w:pPr>
    </w:lvl>
    <w:lvl w:ilvl="6" w:tplc="E8F0EF32" w:tentative="1">
      <w:start w:val="1"/>
      <w:numFmt w:val="decimal"/>
      <w:lvlText w:val="%7."/>
      <w:lvlJc w:val="left"/>
      <w:pPr>
        <w:ind w:left="5400" w:hanging="360"/>
      </w:pPr>
    </w:lvl>
    <w:lvl w:ilvl="7" w:tplc="F0B6071E" w:tentative="1">
      <w:start w:val="1"/>
      <w:numFmt w:val="lowerLetter"/>
      <w:lvlText w:val="%8."/>
      <w:lvlJc w:val="left"/>
      <w:pPr>
        <w:ind w:left="6120" w:hanging="360"/>
      </w:pPr>
    </w:lvl>
    <w:lvl w:ilvl="8" w:tplc="57BEA050" w:tentative="1">
      <w:start w:val="1"/>
      <w:numFmt w:val="lowerRoman"/>
      <w:lvlText w:val="%9."/>
      <w:lvlJc w:val="right"/>
      <w:pPr>
        <w:ind w:left="6840" w:hanging="180"/>
      </w:pPr>
    </w:lvl>
  </w:abstractNum>
  <w:abstractNum w:abstractNumId="14" w15:restartNumberingAfterBreak="0">
    <w:nsid w:val="333523BE"/>
    <w:multiLevelType w:val="hybridMultilevel"/>
    <w:tmpl w:val="8F2C3690"/>
    <w:lvl w:ilvl="0" w:tplc="9A3C8292">
      <w:start w:val="1"/>
      <w:numFmt w:val="upperLetter"/>
      <w:lvlText w:val="%1."/>
      <w:lvlJc w:val="left"/>
      <w:pPr>
        <w:ind w:left="1080" w:hanging="360"/>
      </w:pPr>
      <w:rPr>
        <w:rFonts w:hint="default"/>
        <w:i w:val="0"/>
      </w:rPr>
    </w:lvl>
    <w:lvl w:ilvl="1" w:tplc="8760E7F8">
      <w:start w:val="1"/>
      <w:numFmt w:val="lowerLetter"/>
      <w:lvlText w:val="%2."/>
      <w:lvlJc w:val="left"/>
      <w:pPr>
        <w:ind w:left="1800" w:hanging="360"/>
      </w:pPr>
    </w:lvl>
    <w:lvl w:ilvl="2" w:tplc="9F7CF7F8" w:tentative="1">
      <w:start w:val="1"/>
      <w:numFmt w:val="lowerRoman"/>
      <w:lvlText w:val="%3."/>
      <w:lvlJc w:val="right"/>
      <w:pPr>
        <w:ind w:left="2520" w:hanging="180"/>
      </w:pPr>
    </w:lvl>
    <w:lvl w:ilvl="3" w:tplc="6F28B700" w:tentative="1">
      <w:start w:val="1"/>
      <w:numFmt w:val="decimal"/>
      <w:lvlText w:val="%4."/>
      <w:lvlJc w:val="left"/>
      <w:pPr>
        <w:ind w:left="3240" w:hanging="360"/>
      </w:pPr>
    </w:lvl>
    <w:lvl w:ilvl="4" w:tplc="1C984E8A" w:tentative="1">
      <w:start w:val="1"/>
      <w:numFmt w:val="lowerLetter"/>
      <w:lvlText w:val="%5."/>
      <w:lvlJc w:val="left"/>
      <w:pPr>
        <w:ind w:left="3960" w:hanging="360"/>
      </w:pPr>
    </w:lvl>
    <w:lvl w:ilvl="5" w:tplc="5B4CF3AE" w:tentative="1">
      <w:start w:val="1"/>
      <w:numFmt w:val="lowerRoman"/>
      <w:lvlText w:val="%6."/>
      <w:lvlJc w:val="right"/>
      <w:pPr>
        <w:ind w:left="4680" w:hanging="180"/>
      </w:pPr>
    </w:lvl>
    <w:lvl w:ilvl="6" w:tplc="213E8D14" w:tentative="1">
      <w:start w:val="1"/>
      <w:numFmt w:val="decimal"/>
      <w:lvlText w:val="%7."/>
      <w:lvlJc w:val="left"/>
      <w:pPr>
        <w:ind w:left="5400" w:hanging="360"/>
      </w:pPr>
    </w:lvl>
    <w:lvl w:ilvl="7" w:tplc="DDBAB236" w:tentative="1">
      <w:start w:val="1"/>
      <w:numFmt w:val="lowerLetter"/>
      <w:lvlText w:val="%8."/>
      <w:lvlJc w:val="left"/>
      <w:pPr>
        <w:ind w:left="6120" w:hanging="360"/>
      </w:pPr>
    </w:lvl>
    <w:lvl w:ilvl="8" w:tplc="46127F80" w:tentative="1">
      <w:start w:val="1"/>
      <w:numFmt w:val="lowerRoman"/>
      <w:lvlText w:val="%9."/>
      <w:lvlJc w:val="right"/>
      <w:pPr>
        <w:ind w:left="6840" w:hanging="180"/>
      </w:pPr>
    </w:lvl>
  </w:abstractNum>
  <w:abstractNum w:abstractNumId="15" w15:restartNumberingAfterBreak="0">
    <w:nsid w:val="352911D4"/>
    <w:multiLevelType w:val="hybridMultilevel"/>
    <w:tmpl w:val="E73ED498"/>
    <w:lvl w:ilvl="0" w:tplc="0E9013C6">
      <w:start w:val="1"/>
      <w:numFmt w:val="decimal"/>
      <w:lvlText w:val="%1."/>
      <w:lvlJc w:val="left"/>
      <w:pPr>
        <w:ind w:left="720" w:hanging="360"/>
      </w:pPr>
      <w:rPr>
        <w:rFonts w:hint="default"/>
        <w:b w:val="0"/>
        <w:bCs/>
        <w:i/>
        <w:iCs/>
      </w:rPr>
    </w:lvl>
    <w:lvl w:ilvl="1" w:tplc="D08C0420" w:tentative="1">
      <w:start w:val="1"/>
      <w:numFmt w:val="lowerLetter"/>
      <w:lvlText w:val="%2."/>
      <w:lvlJc w:val="left"/>
      <w:pPr>
        <w:ind w:left="1440" w:hanging="360"/>
      </w:pPr>
    </w:lvl>
    <w:lvl w:ilvl="2" w:tplc="BE2C4558" w:tentative="1">
      <w:start w:val="1"/>
      <w:numFmt w:val="lowerRoman"/>
      <w:lvlText w:val="%3."/>
      <w:lvlJc w:val="right"/>
      <w:pPr>
        <w:ind w:left="2160" w:hanging="180"/>
      </w:pPr>
    </w:lvl>
    <w:lvl w:ilvl="3" w:tplc="BCEAE000" w:tentative="1">
      <w:start w:val="1"/>
      <w:numFmt w:val="decimal"/>
      <w:lvlText w:val="%4."/>
      <w:lvlJc w:val="left"/>
      <w:pPr>
        <w:ind w:left="2880" w:hanging="360"/>
      </w:pPr>
    </w:lvl>
    <w:lvl w:ilvl="4" w:tplc="24CAC1E4" w:tentative="1">
      <w:start w:val="1"/>
      <w:numFmt w:val="lowerLetter"/>
      <w:lvlText w:val="%5."/>
      <w:lvlJc w:val="left"/>
      <w:pPr>
        <w:ind w:left="3600" w:hanging="360"/>
      </w:pPr>
    </w:lvl>
    <w:lvl w:ilvl="5" w:tplc="CCA21CF2" w:tentative="1">
      <w:start w:val="1"/>
      <w:numFmt w:val="lowerRoman"/>
      <w:lvlText w:val="%6."/>
      <w:lvlJc w:val="right"/>
      <w:pPr>
        <w:ind w:left="4320" w:hanging="180"/>
      </w:pPr>
    </w:lvl>
    <w:lvl w:ilvl="6" w:tplc="D368F186" w:tentative="1">
      <w:start w:val="1"/>
      <w:numFmt w:val="decimal"/>
      <w:lvlText w:val="%7."/>
      <w:lvlJc w:val="left"/>
      <w:pPr>
        <w:ind w:left="5040" w:hanging="360"/>
      </w:pPr>
    </w:lvl>
    <w:lvl w:ilvl="7" w:tplc="2CA40492" w:tentative="1">
      <w:start w:val="1"/>
      <w:numFmt w:val="lowerLetter"/>
      <w:lvlText w:val="%8."/>
      <w:lvlJc w:val="left"/>
      <w:pPr>
        <w:ind w:left="5760" w:hanging="360"/>
      </w:pPr>
    </w:lvl>
    <w:lvl w:ilvl="8" w:tplc="B64AD4D6" w:tentative="1">
      <w:start w:val="1"/>
      <w:numFmt w:val="lowerRoman"/>
      <w:lvlText w:val="%9."/>
      <w:lvlJc w:val="right"/>
      <w:pPr>
        <w:ind w:left="6480" w:hanging="180"/>
      </w:pPr>
    </w:lvl>
  </w:abstractNum>
  <w:abstractNum w:abstractNumId="16" w15:restartNumberingAfterBreak="0">
    <w:nsid w:val="36D96B6A"/>
    <w:multiLevelType w:val="hybridMultilevel"/>
    <w:tmpl w:val="2AAEA6AE"/>
    <w:lvl w:ilvl="0" w:tplc="CA0CECB8">
      <w:start w:val="3"/>
      <w:numFmt w:val="bullet"/>
      <w:lvlText w:val="-"/>
      <w:lvlJc w:val="left"/>
      <w:pPr>
        <w:ind w:left="1800" w:hanging="360"/>
      </w:pPr>
      <w:rPr>
        <w:rFonts w:ascii="Century Schoolbook" w:eastAsia="Calibri" w:hAnsi="Century Schoolbook" w:cs="Times New Roman" w:hint="default"/>
      </w:rPr>
    </w:lvl>
    <w:lvl w:ilvl="1" w:tplc="EE48D8C0" w:tentative="1">
      <w:start w:val="1"/>
      <w:numFmt w:val="bullet"/>
      <w:lvlText w:val="o"/>
      <w:lvlJc w:val="left"/>
      <w:pPr>
        <w:ind w:left="2160" w:hanging="360"/>
      </w:pPr>
      <w:rPr>
        <w:rFonts w:ascii="Courier New" w:hAnsi="Courier New" w:hint="default"/>
      </w:rPr>
    </w:lvl>
    <w:lvl w:ilvl="2" w:tplc="C49AC4E6" w:tentative="1">
      <w:start w:val="1"/>
      <w:numFmt w:val="bullet"/>
      <w:lvlText w:val=""/>
      <w:lvlJc w:val="left"/>
      <w:pPr>
        <w:ind w:left="2880" w:hanging="360"/>
      </w:pPr>
      <w:rPr>
        <w:rFonts w:ascii="Wingdings" w:hAnsi="Wingdings" w:hint="default"/>
      </w:rPr>
    </w:lvl>
    <w:lvl w:ilvl="3" w:tplc="4BA69C84" w:tentative="1">
      <w:start w:val="1"/>
      <w:numFmt w:val="bullet"/>
      <w:lvlText w:val=""/>
      <w:lvlJc w:val="left"/>
      <w:pPr>
        <w:ind w:left="3600" w:hanging="360"/>
      </w:pPr>
      <w:rPr>
        <w:rFonts w:ascii="Symbol" w:hAnsi="Symbol" w:hint="default"/>
      </w:rPr>
    </w:lvl>
    <w:lvl w:ilvl="4" w:tplc="E82A4C40" w:tentative="1">
      <w:start w:val="1"/>
      <w:numFmt w:val="bullet"/>
      <w:lvlText w:val="o"/>
      <w:lvlJc w:val="left"/>
      <w:pPr>
        <w:ind w:left="4320" w:hanging="360"/>
      </w:pPr>
      <w:rPr>
        <w:rFonts w:ascii="Courier New" w:hAnsi="Courier New" w:hint="default"/>
      </w:rPr>
    </w:lvl>
    <w:lvl w:ilvl="5" w:tplc="C0146F14" w:tentative="1">
      <w:start w:val="1"/>
      <w:numFmt w:val="bullet"/>
      <w:lvlText w:val=""/>
      <w:lvlJc w:val="left"/>
      <w:pPr>
        <w:ind w:left="5040" w:hanging="360"/>
      </w:pPr>
      <w:rPr>
        <w:rFonts w:ascii="Wingdings" w:hAnsi="Wingdings" w:hint="default"/>
      </w:rPr>
    </w:lvl>
    <w:lvl w:ilvl="6" w:tplc="EFFE82E8" w:tentative="1">
      <w:start w:val="1"/>
      <w:numFmt w:val="bullet"/>
      <w:lvlText w:val=""/>
      <w:lvlJc w:val="left"/>
      <w:pPr>
        <w:ind w:left="5760" w:hanging="360"/>
      </w:pPr>
      <w:rPr>
        <w:rFonts w:ascii="Symbol" w:hAnsi="Symbol" w:hint="default"/>
      </w:rPr>
    </w:lvl>
    <w:lvl w:ilvl="7" w:tplc="8B9A1830" w:tentative="1">
      <w:start w:val="1"/>
      <w:numFmt w:val="bullet"/>
      <w:lvlText w:val="o"/>
      <w:lvlJc w:val="left"/>
      <w:pPr>
        <w:ind w:left="6480" w:hanging="360"/>
      </w:pPr>
      <w:rPr>
        <w:rFonts w:ascii="Courier New" w:hAnsi="Courier New" w:hint="default"/>
      </w:rPr>
    </w:lvl>
    <w:lvl w:ilvl="8" w:tplc="5E82FCD2" w:tentative="1">
      <w:start w:val="1"/>
      <w:numFmt w:val="bullet"/>
      <w:lvlText w:val=""/>
      <w:lvlJc w:val="left"/>
      <w:pPr>
        <w:ind w:left="7200" w:hanging="360"/>
      </w:pPr>
      <w:rPr>
        <w:rFonts w:ascii="Wingdings" w:hAnsi="Wingdings" w:hint="default"/>
      </w:rPr>
    </w:lvl>
  </w:abstractNum>
  <w:abstractNum w:abstractNumId="17" w15:restartNumberingAfterBreak="0">
    <w:nsid w:val="37573E4B"/>
    <w:multiLevelType w:val="hybridMultilevel"/>
    <w:tmpl w:val="6B7E3440"/>
    <w:lvl w:ilvl="0" w:tplc="DC82E9DA">
      <w:start w:val="1"/>
      <w:numFmt w:val="decimal"/>
      <w:lvlText w:val="%1."/>
      <w:lvlJc w:val="left"/>
      <w:pPr>
        <w:ind w:left="720" w:hanging="360"/>
      </w:pPr>
      <w:rPr>
        <w:rFonts w:hint="default"/>
      </w:rPr>
    </w:lvl>
    <w:lvl w:ilvl="1" w:tplc="0124097C" w:tentative="1">
      <w:start w:val="1"/>
      <w:numFmt w:val="lowerLetter"/>
      <w:lvlText w:val="%2."/>
      <w:lvlJc w:val="left"/>
      <w:pPr>
        <w:ind w:left="1440" w:hanging="360"/>
      </w:pPr>
    </w:lvl>
    <w:lvl w:ilvl="2" w:tplc="43D0FB7A" w:tentative="1">
      <w:start w:val="1"/>
      <w:numFmt w:val="lowerRoman"/>
      <w:lvlText w:val="%3."/>
      <w:lvlJc w:val="right"/>
      <w:pPr>
        <w:ind w:left="2160" w:hanging="180"/>
      </w:pPr>
    </w:lvl>
    <w:lvl w:ilvl="3" w:tplc="0F10159A" w:tentative="1">
      <w:start w:val="1"/>
      <w:numFmt w:val="decimal"/>
      <w:lvlText w:val="%4."/>
      <w:lvlJc w:val="left"/>
      <w:pPr>
        <w:ind w:left="2880" w:hanging="360"/>
      </w:pPr>
    </w:lvl>
    <w:lvl w:ilvl="4" w:tplc="1DB8A044" w:tentative="1">
      <w:start w:val="1"/>
      <w:numFmt w:val="lowerLetter"/>
      <w:lvlText w:val="%5."/>
      <w:lvlJc w:val="left"/>
      <w:pPr>
        <w:ind w:left="3600" w:hanging="360"/>
      </w:pPr>
    </w:lvl>
    <w:lvl w:ilvl="5" w:tplc="BA3ACDC8" w:tentative="1">
      <w:start w:val="1"/>
      <w:numFmt w:val="lowerRoman"/>
      <w:lvlText w:val="%6."/>
      <w:lvlJc w:val="right"/>
      <w:pPr>
        <w:ind w:left="4320" w:hanging="180"/>
      </w:pPr>
    </w:lvl>
    <w:lvl w:ilvl="6" w:tplc="2138D8BE" w:tentative="1">
      <w:start w:val="1"/>
      <w:numFmt w:val="decimal"/>
      <w:lvlText w:val="%7."/>
      <w:lvlJc w:val="left"/>
      <w:pPr>
        <w:ind w:left="5040" w:hanging="360"/>
      </w:pPr>
    </w:lvl>
    <w:lvl w:ilvl="7" w:tplc="84B21AF8" w:tentative="1">
      <w:start w:val="1"/>
      <w:numFmt w:val="lowerLetter"/>
      <w:lvlText w:val="%8."/>
      <w:lvlJc w:val="left"/>
      <w:pPr>
        <w:ind w:left="5760" w:hanging="360"/>
      </w:pPr>
    </w:lvl>
    <w:lvl w:ilvl="8" w:tplc="087CD5DA" w:tentative="1">
      <w:start w:val="1"/>
      <w:numFmt w:val="lowerRoman"/>
      <w:lvlText w:val="%9."/>
      <w:lvlJc w:val="right"/>
      <w:pPr>
        <w:ind w:left="6480" w:hanging="180"/>
      </w:pPr>
    </w:lvl>
  </w:abstractNum>
  <w:abstractNum w:abstractNumId="18" w15:restartNumberingAfterBreak="0">
    <w:nsid w:val="3A7152E4"/>
    <w:multiLevelType w:val="hybridMultilevel"/>
    <w:tmpl w:val="8E42DD16"/>
    <w:lvl w:ilvl="0" w:tplc="EA960A72">
      <w:start w:val="1"/>
      <w:numFmt w:val="upperLetter"/>
      <w:lvlText w:val="%1."/>
      <w:lvlJc w:val="left"/>
      <w:pPr>
        <w:ind w:left="720" w:hanging="360"/>
      </w:pPr>
      <w:rPr>
        <w:rFonts w:hint="default"/>
      </w:rPr>
    </w:lvl>
    <w:lvl w:ilvl="1" w:tplc="201407E0" w:tentative="1">
      <w:start w:val="1"/>
      <w:numFmt w:val="lowerLetter"/>
      <w:lvlText w:val="%2."/>
      <w:lvlJc w:val="left"/>
      <w:pPr>
        <w:ind w:left="1440" w:hanging="360"/>
      </w:pPr>
    </w:lvl>
    <w:lvl w:ilvl="2" w:tplc="6C2C381E" w:tentative="1">
      <w:start w:val="1"/>
      <w:numFmt w:val="lowerRoman"/>
      <w:lvlText w:val="%3."/>
      <w:lvlJc w:val="right"/>
      <w:pPr>
        <w:ind w:left="2160" w:hanging="180"/>
      </w:pPr>
    </w:lvl>
    <w:lvl w:ilvl="3" w:tplc="5BEAAE30" w:tentative="1">
      <w:start w:val="1"/>
      <w:numFmt w:val="decimal"/>
      <w:lvlText w:val="%4."/>
      <w:lvlJc w:val="left"/>
      <w:pPr>
        <w:ind w:left="2880" w:hanging="360"/>
      </w:pPr>
    </w:lvl>
    <w:lvl w:ilvl="4" w:tplc="05525358" w:tentative="1">
      <w:start w:val="1"/>
      <w:numFmt w:val="lowerLetter"/>
      <w:lvlText w:val="%5."/>
      <w:lvlJc w:val="left"/>
      <w:pPr>
        <w:ind w:left="3600" w:hanging="360"/>
      </w:pPr>
    </w:lvl>
    <w:lvl w:ilvl="5" w:tplc="E80A48D4" w:tentative="1">
      <w:start w:val="1"/>
      <w:numFmt w:val="lowerRoman"/>
      <w:lvlText w:val="%6."/>
      <w:lvlJc w:val="right"/>
      <w:pPr>
        <w:ind w:left="4320" w:hanging="180"/>
      </w:pPr>
    </w:lvl>
    <w:lvl w:ilvl="6" w:tplc="71AA22D4" w:tentative="1">
      <w:start w:val="1"/>
      <w:numFmt w:val="decimal"/>
      <w:lvlText w:val="%7."/>
      <w:lvlJc w:val="left"/>
      <w:pPr>
        <w:ind w:left="5040" w:hanging="360"/>
      </w:pPr>
    </w:lvl>
    <w:lvl w:ilvl="7" w:tplc="74BA8CF8" w:tentative="1">
      <w:start w:val="1"/>
      <w:numFmt w:val="lowerLetter"/>
      <w:lvlText w:val="%8."/>
      <w:lvlJc w:val="left"/>
      <w:pPr>
        <w:ind w:left="5760" w:hanging="360"/>
      </w:pPr>
    </w:lvl>
    <w:lvl w:ilvl="8" w:tplc="A4ACF644" w:tentative="1">
      <w:start w:val="1"/>
      <w:numFmt w:val="lowerRoman"/>
      <w:lvlText w:val="%9."/>
      <w:lvlJc w:val="right"/>
      <w:pPr>
        <w:ind w:left="6480" w:hanging="180"/>
      </w:pPr>
    </w:lvl>
  </w:abstractNum>
  <w:abstractNum w:abstractNumId="19" w15:restartNumberingAfterBreak="0">
    <w:nsid w:val="3B421220"/>
    <w:multiLevelType w:val="hybridMultilevel"/>
    <w:tmpl w:val="C3562BD4"/>
    <w:lvl w:ilvl="0" w:tplc="6FB27D84">
      <w:start w:val="1"/>
      <w:numFmt w:val="decimal"/>
      <w:lvlText w:val="%1."/>
      <w:lvlJc w:val="left"/>
      <w:pPr>
        <w:ind w:left="1080" w:hanging="360"/>
      </w:pPr>
      <w:rPr>
        <w:rFonts w:hint="default"/>
      </w:rPr>
    </w:lvl>
    <w:lvl w:ilvl="1" w:tplc="A18C0E50">
      <w:start w:val="1"/>
      <w:numFmt w:val="lowerLetter"/>
      <w:lvlText w:val="%2."/>
      <w:lvlJc w:val="left"/>
      <w:pPr>
        <w:ind w:left="1800" w:hanging="360"/>
      </w:pPr>
    </w:lvl>
    <w:lvl w:ilvl="2" w:tplc="9934FE7A">
      <w:start w:val="1"/>
      <w:numFmt w:val="upperRoman"/>
      <w:lvlText w:val="%3."/>
      <w:lvlJc w:val="left"/>
      <w:pPr>
        <w:ind w:left="3060" w:hanging="720"/>
      </w:pPr>
      <w:rPr>
        <w:rFonts w:hint="default"/>
        <w:u w:val="none"/>
      </w:rPr>
    </w:lvl>
    <w:lvl w:ilvl="3" w:tplc="2954F53C">
      <w:start w:val="1"/>
      <w:numFmt w:val="decimal"/>
      <w:lvlText w:val="%4."/>
      <w:lvlJc w:val="left"/>
      <w:pPr>
        <w:ind w:left="3240" w:hanging="360"/>
      </w:pPr>
    </w:lvl>
    <w:lvl w:ilvl="4" w:tplc="BC0CC7E8">
      <w:start w:val="1"/>
      <w:numFmt w:val="lowerLetter"/>
      <w:lvlText w:val="%5."/>
      <w:lvlJc w:val="left"/>
      <w:pPr>
        <w:ind w:left="3960" w:hanging="360"/>
      </w:pPr>
    </w:lvl>
    <w:lvl w:ilvl="5" w:tplc="9320C9E6">
      <w:start w:val="1"/>
      <w:numFmt w:val="lowerRoman"/>
      <w:lvlText w:val="%6."/>
      <w:lvlJc w:val="right"/>
      <w:pPr>
        <w:ind w:left="4680" w:hanging="180"/>
      </w:pPr>
    </w:lvl>
    <w:lvl w:ilvl="6" w:tplc="32F6676A" w:tentative="1">
      <w:start w:val="1"/>
      <w:numFmt w:val="decimal"/>
      <w:lvlText w:val="%7."/>
      <w:lvlJc w:val="left"/>
      <w:pPr>
        <w:ind w:left="5400" w:hanging="360"/>
      </w:pPr>
    </w:lvl>
    <w:lvl w:ilvl="7" w:tplc="D2188A3C" w:tentative="1">
      <w:start w:val="1"/>
      <w:numFmt w:val="lowerLetter"/>
      <w:lvlText w:val="%8."/>
      <w:lvlJc w:val="left"/>
      <w:pPr>
        <w:ind w:left="6120" w:hanging="360"/>
      </w:pPr>
    </w:lvl>
    <w:lvl w:ilvl="8" w:tplc="9626BDA0" w:tentative="1">
      <w:start w:val="1"/>
      <w:numFmt w:val="lowerRoman"/>
      <w:lvlText w:val="%9."/>
      <w:lvlJc w:val="right"/>
      <w:pPr>
        <w:ind w:left="6840" w:hanging="180"/>
      </w:pPr>
    </w:lvl>
  </w:abstractNum>
  <w:abstractNum w:abstractNumId="20" w15:restartNumberingAfterBreak="0">
    <w:nsid w:val="3E2B3BE8"/>
    <w:multiLevelType w:val="multilevel"/>
    <w:tmpl w:val="F7A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13A6D"/>
    <w:multiLevelType w:val="hybridMultilevel"/>
    <w:tmpl w:val="AD7AAFD8"/>
    <w:lvl w:ilvl="0" w:tplc="AB80FAFE">
      <w:start w:val="1"/>
      <w:numFmt w:val="upperLetter"/>
      <w:lvlText w:val="%1."/>
      <w:lvlJc w:val="left"/>
      <w:pPr>
        <w:ind w:left="720" w:hanging="360"/>
      </w:pPr>
      <w:rPr>
        <w:rFonts w:hint="default"/>
      </w:rPr>
    </w:lvl>
    <w:lvl w:ilvl="1" w:tplc="93AE1452" w:tentative="1">
      <w:start w:val="1"/>
      <w:numFmt w:val="lowerLetter"/>
      <w:lvlText w:val="%2."/>
      <w:lvlJc w:val="left"/>
      <w:pPr>
        <w:ind w:left="1440" w:hanging="360"/>
      </w:pPr>
    </w:lvl>
    <w:lvl w:ilvl="2" w:tplc="D57A5294" w:tentative="1">
      <w:start w:val="1"/>
      <w:numFmt w:val="lowerRoman"/>
      <w:lvlText w:val="%3."/>
      <w:lvlJc w:val="right"/>
      <w:pPr>
        <w:ind w:left="2160" w:hanging="180"/>
      </w:pPr>
    </w:lvl>
    <w:lvl w:ilvl="3" w:tplc="888844BA" w:tentative="1">
      <w:start w:val="1"/>
      <w:numFmt w:val="decimal"/>
      <w:lvlText w:val="%4."/>
      <w:lvlJc w:val="left"/>
      <w:pPr>
        <w:ind w:left="2880" w:hanging="360"/>
      </w:pPr>
    </w:lvl>
    <w:lvl w:ilvl="4" w:tplc="16C61E2A" w:tentative="1">
      <w:start w:val="1"/>
      <w:numFmt w:val="lowerLetter"/>
      <w:lvlText w:val="%5."/>
      <w:lvlJc w:val="left"/>
      <w:pPr>
        <w:ind w:left="3600" w:hanging="360"/>
      </w:pPr>
    </w:lvl>
    <w:lvl w:ilvl="5" w:tplc="79F2D6E0" w:tentative="1">
      <w:start w:val="1"/>
      <w:numFmt w:val="lowerRoman"/>
      <w:lvlText w:val="%6."/>
      <w:lvlJc w:val="right"/>
      <w:pPr>
        <w:ind w:left="4320" w:hanging="180"/>
      </w:pPr>
    </w:lvl>
    <w:lvl w:ilvl="6" w:tplc="0C628A4C" w:tentative="1">
      <w:start w:val="1"/>
      <w:numFmt w:val="decimal"/>
      <w:lvlText w:val="%7."/>
      <w:lvlJc w:val="left"/>
      <w:pPr>
        <w:ind w:left="5040" w:hanging="360"/>
      </w:pPr>
    </w:lvl>
    <w:lvl w:ilvl="7" w:tplc="FE442CB2" w:tentative="1">
      <w:start w:val="1"/>
      <w:numFmt w:val="lowerLetter"/>
      <w:lvlText w:val="%8."/>
      <w:lvlJc w:val="left"/>
      <w:pPr>
        <w:ind w:left="5760" w:hanging="360"/>
      </w:pPr>
    </w:lvl>
    <w:lvl w:ilvl="8" w:tplc="33ACA304" w:tentative="1">
      <w:start w:val="1"/>
      <w:numFmt w:val="lowerRoman"/>
      <w:lvlText w:val="%9."/>
      <w:lvlJc w:val="right"/>
      <w:pPr>
        <w:ind w:left="6480" w:hanging="180"/>
      </w:pPr>
    </w:lvl>
  </w:abstractNum>
  <w:abstractNum w:abstractNumId="22" w15:restartNumberingAfterBreak="0">
    <w:nsid w:val="3EB27D19"/>
    <w:multiLevelType w:val="hybridMultilevel"/>
    <w:tmpl w:val="C5A83544"/>
    <w:lvl w:ilvl="0" w:tplc="0338F8CA">
      <w:start w:val="1"/>
      <w:numFmt w:val="decimal"/>
      <w:lvlText w:val="%1."/>
      <w:lvlJc w:val="left"/>
      <w:pPr>
        <w:ind w:left="1800" w:hanging="360"/>
      </w:pPr>
      <w:rPr>
        <w:rFonts w:hint="default"/>
      </w:rPr>
    </w:lvl>
    <w:lvl w:ilvl="1" w:tplc="F1DE6D6C" w:tentative="1">
      <w:start w:val="1"/>
      <w:numFmt w:val="lowerLetter"/>
      <w:lvlText w:val="%2."/>
      <w:lvlJc w:val="left"/>
      <w:pPr>
        <w:ind w:left="2520" w:hanging="360"/>
      </w:pPr>
    </w:lvl>
    <w:lvl w:ilvl="2" w:tplc="678E4062" w:tentative="1">
      <w:start w:val="1"/>
      <w:numFmt w:val="lowerRoman"/>
      <w:lvlText w:val="%3."/>
      <w:lvlJc w:val="right"/>
      <w:pPr>
        <w:ind w:left="3240" w:hanging="180"/>
      </w:pPr>
    </w:lvl>
    <w:lvl w:ilvl="3" w:tplc="471681FA" w:tentative="1">
      <w:start w:val="1"/>
      <w:numFmt w:val="decimal"/>
      <w:lvlText w:val="%4."/>
      <w:lvlJc w:val="left"/>
      <w:pPr>
        <w:ind w:left="3960" w:hanging="360"/>
      </w:pPr>
    </w:lvl>
    <w:lvl w:ilvl="4" w:tplc="FC9EEDB8" w:tentative="1">
      <w:start w:val="1"/>
      <w:numFmt w:val="lowerLetter"/>
      <w:lvlText w:val="%5."/>
      <w:lvlJc w:val="left"/>
      <w:pPr>
        <w:ind w:left="4680" w:hanging="360"/>
      </w:pPr>
    </w:lvl>
    <w:lvl w:ilvl="5" w:tplc="50203E30" w:tentative="1">
      <w:start w:val="1"/>
      <w:numFmt w:val="lowerRoman"/>
      <w:lvlText w:val="%6."/>
      <w:lvlJc w:val="right"/>
      <w:pPr>
        <w:ind w:left="5400" w:hanging="180"/>
      </w:pPr>
    </w:lvl>
    <w:lvl w:ilvl="6" w:tplc="0C4E5806" w:tentative="1">
      <w:start w:val="1"/>
      <w:numFmt w:val="decimal"/>
      <w:lvlText w:val="%7."/>
      <w:lvlJc w:val="left"/>
      <w:pPr>
        <w:ind w:left="6120" w:hanging="360"/>
      </w:pPr>
    </w:lvl>
    <w:lvl w:ilvl="7" w:tplc="5052E348" w:tentative="1">
      <w:start w:val="1"/>
      <w:numFmt w:val="lowerLetter"/>
      <w:lvlText w:val="%8."/>
      <w:lvlJc w:val="left"/>
      <w:pPr>
        <w:ind w:left="6840" w:hanging="360"/>
      </w:pPr>
    </w:lvl>
    <w:lvl w:ilvl="8" w:tplc="04407488" w:tentative="1">
      <w:start w:val="1"/>
      <w:numFmt w:val="lowerRoman"/>
      <w:lvlText w:val="%9."/>
      <w:lvlJc w:val="right"/>
      <w:pPr>
        <w:ind w:left="7560" w:hanging="180"/>
      </w:pPr>
    </w:lvl>
  </w:abstractNum>
  <w:abstractNum w:abstractNumId="23" w15:restartNumberingAfterBreak="0">
    <w:nsid w:val="4F554563"/>
    <w:multiLevelType w:val="multilevel"/>
    <w:tmpl w:val="574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C7641"/>
    <w:multiLevelType w:val="hybridMultilevel"/>
    <w:tmpl w:val="1D98939C"/>
    <w:lvl w:ilvl="0" w:tplc="A7F63556">
      <w:start w:val="1"/>
      <w:numFmt w:val="decimal"/>
      <w:lvlText w:val="%1."/>
      <w:lvlJc w:val="left"/>
      <w:pPr>
        <w:ind w:left="1800" w:hanging="360"/>
      </w:pPr>
      <w:rPr>
        <w:rFonts w:hint="default"/>
      </w:rPr>
    </w:lvl>
    <w:lvl w:ilvl="1" w:tplc="B4047C94" w:tentative="1">
      <w:start w:val="1"/>
      <w:numFmt w:val="lowerLetter"/>
      <w:lvlText w:val="%2."/>
      <w:lvlJc w:val="left"/>
      <w:pPr>
        <w:ind w:left="2520" w:hanging="360"/>
      </w:pPr>
    </w:lvl>
    <w:lvl w:ilvl="2" w:tplc="95E86864" w:tentative="1">
      <w:start w:val="1"/>
      <w:numFmt w:val="lowerRoman"/>
      <w:lvlText w:val="%3."/>
      <w:lvlJc w:val="right"/>
      <w:pPr>
        <w:ind w:left="3240" w:hanging="180"/>
      </w:pPr>
    </w:lvl>
    <w:lvl w:ilvl="3" w:tplc="5B08D270" w:tentative="1">
      <w:start w:val="1"/>
      <w:numFmt w:val="decimal"/>
      <w:lvlText w:val="%4."/>
      <w:lvlJc w:val="left"/>
      <w:pPr>
        <w:ind w:left="3960" w:hanging="360"/>
      </w:pPr>
    </w:lvl>
    <w:lvl w:ilvl="4" w:tplc="C7186698" w:tentative="1">
      <w:start w:val="1"/>
      <w:numFmt w:val="lowerLetter"/>
      <w:lvlText w:val="%5."/>
      <w:lvlJc w:val="left"/>
      <w:pPr>
        <w:ind w:left="4680" w:hanging="360"/>
      </w:pPr>
    </w:lvl>
    <w:lvl w:ilvl="5" w:tplc="2F566B60" w:tentative="1">
      <w:start w:val="1"/>
      <w:numFmt w:val="lowerRoman"/>
      <w:lvlText w:val="%6."/>
      <w:lvlJc w:val="right"/>
      <w:pPr>
        <w:ind w:left="5400" w:hanging="180"/>
      </w:pPr>
    </w:lvl>
    <w:lvl w:ilvl="6" w:tplc="B9AEC59E" w:tentative="1">
      <w:start w:val="1"/>
      <w:numFmt w:val="decimal"/>
      <w:lvlText w:val="%7."/>
      <w:lvlJc w:val="left"/>
      <w:pPr>
        <w:ind w:left="6120" w:hanging="360"/>
      </w:pPr>
    </w:lvl>
    <w:lvl w:ilvl="7" w:tplc="F22ADE8E" w:tentative="1">
      <w:start w:val="1"/>
      <w:numFmt w:val="lowerLetter"/>
      <w:lvlText w:val="%8."/>
      <w:lvlJc w:val="left"/>
      <w:pPr>
        <w:ind w:left="6840" w:hanging="360"/>
      </w:pPr>
    </w:lvl>
    <w:lvl w:ilvl="8" w:tplc="8E12CEC0" w:tentative="1">
      <w:start w:val="1"/>
      <w:numFmt w:val="lowerRoman"/>
      <w:lvlText w:val="%9."/>
      <w:lvlJc w:val="right"/>
      <w:pPr>
        <w:ind w:left="7560" w:hanging="180"/>
      </w:pPr>
    </w:lvl>
  </w:abstractNum>
  <w:abstractNum w:abstractNumId="25" w15:restartNumberingAfterBreak="0">
    <w:nsid w:val="58394121"/>
    <w:multiLevelType w:val="multilevel"/>
    <w:tmpl w:val="815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76372"/>
    <w:multiLevelType w:val="hybridMultilevel"/>
    <w:tmpl w:val="DC289294"/>
    <w:lvl w:ilvl="0" w:tplc="F57AD0CC">
      <w:start w:val="1"/>
      <w:numFmt w:val="upperLetter"/>
      <w:lvlText w:val="%1."/>
      <w:lvlJc w:val="left"/>
      <w:pPr>
        <w:ind w:left="1440" w:hanging="720"/>
      </w:pPr>
      <w:rPr>
        <w:rFonts w:hint="default"/>
        <w:b w:val="0"/>
        <w:i w:val="0"/>
      </w:rPr>
    </w:lvl>
    <w:lvl w:ilvl="1" w:tplc="B72E099E">
      <w:start w:val="1"/>
      <w:numFmt w:val="lowerLetter"/>
      <w:lvlText w:val="%2."/>
      <w:lvlJc w:val="left"/>
      <w:pPr>
        <w:ind w:left="1800" w:hanging="360"/>
      </w:pPr>
    </w:lvl>
    <w:lvl w:ilvl="2" w:tplc="402E9662" w:tentative="1">
      <w:start w:val="1"/>
      <w:numFmt w:val="lowerRoman"/>
      <w:lvlText w:val="%3."/>
      <w:lvlJc w:val="right"/>
      <w:pPr>
        <w:ind w:left="2520" w:hanging="180"/>
      </w:pPr>
    </w:lvl>
    <w:lvl w:ilvl="3" w:tplc="B2CA71C6" w:tentative="1">
      <w:start w:val="1"/>
      <w:numFmt w:val="decimal"/>
      <w:lvlText w:val="%4."/>
      <w:lvlJc w:val="left"/>
      <w:pPr>
        <w:ind w:left="3240" w:hanging="360"/>
      </w:pPr>
    </w:lvl>
    <w:lvl w:ilvl="4" w:tplc="2098D90C" w:tentative="1">
      <w:start w:val="1"/>
      <w:numFmt w:val="lowerLetter"/>
      <w:lvlText w:val="%5."/>
      <w:lvlJc w:val="left"/>
      <w:pPr>
        <w:ind w:left="3960" w:hanging="360"/>
      </w:pPr>
    </w:lvl>
    <w:lvl w:ilvl="5" w:tplc="3B92AC9E" w:tentative="1">
      <w:start w:val="1"/>
      <w:numFmt w:val="lowerRoman"/>
      <w:lvlText w:val="%6."/>
      <w:lvlJc w:val="right"/>
      <w:pPr>
        <w:ind w:left="4680" w:hanging="180"/>
      </w:pPr>
    </w:lvl>
    <w:lvl w:ilvl="6" w:tplc="C6904000" w:tentative="1">
      <w:start w:val="1"/>
      <w:numFmt w:val="decimal"/>
      <w:lvlText w:val="%7."/>
      <w:lvlJc w:val="left"/>
      <w:pPr>
        <w:ind w:left="5400" w:hanging="360"/>
      </w:pPr>
    </w:lvl>
    <w:lvl w:ilvl="7" w:tplc="B7E2EDE4" w:tentative="1">
      <w:start w:val="1"/>
      <w:numFmt w:val="lowerLetter"/>
      <w:lvlText w:val="%8."/>
      <w:lvlJc w:val="left"/>
      <w:pPr>
        <w:ind w:left="6120" w:hanging="360"/>
      </w:pPr>
    </w:lvl>
    <w:lvl w:ilvl="8" w:tplc="C4E4FD82" w:tentative="1">
      <w:start w:val="1"/>
      <w:numFmt w:val="lowerRoman"/>
      <w:lvlText w:val="%9."/>
      <w:lvlJc w:val="right"/>
      <w:pPr>
        <w:ind w:left="6840" w:hanging="180"/>
      </w:pPr>
    </w:lvl>
  </w:abstractNum>
  <w:abstractNum w:abstractNumId="27" w15:restartNumberingAfterBreak="0">
    <w:nsid w:val="65972D04"/>
    <w:multiLevelType w:val="multilevel"/>
    <w:tmpl w:val="77B2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6695B"/>
    <w:multiLevelType w:val="hybridMultilevel"/>
    <w:tmpl w:val="F26258B2"/>
    <w:lvl w:ilvl="0" w:tplc="703E5B38">
      <w:start w:val="1"/>
      <w:numFmt w:val="decimal"/>
      <w:lvlText w:val="%1."/>
      <w:lvlJc w:val="left"/>
      <w:pPr>
        <w:ind w:left="1800" w:hanging="360"/>
      </w:pPr>
      <w:rPr>
        <w:rFonts w:hint="default"/>
      </w:rPr>
    </w:lvl>
    <w:lvl w:ilvl="1" w:tplc="F54E6662" w:tentative="1">
      <w:start w:val="1"/>
      <w:numFmt w:val="lowerLetter"/>
      <w:lvlText w:val="%2."/>
      <w:lvlJc w:val="left"/>
      <w:pPr>
        <w:ind w:left="2520" w:hanging="360"/>
      </w:pPr>
    </w:lvl>
    <w:lvl w:ilvl="2" w:tplc="5AB2F2A2" w:tentative="1">
      <w:start w:val="1"/>
      <w:numFmt w:val="lowerRoman"/>
      <w:lvlText w:val="%3."/>
      <w:lvlJc w:val="right"/>
      <w:pPr>
        <w:ind w:left="3240" w:hanging="180"/>
      </w:pPr>
    </w:lvl>
    <w:lvl w:ilvl="3" w:tplc="C36448B2" w:tentative="1">
      <w:start w:val="1"/>
      <w:numFmt w:val="decimal"/>
      <w:lvlText w:val="%4."/>
      <w:lvlJc w:val="left"/>
      <w:pPr>
        <w:ind w:left="3960" w:hanging="360"/>
      </w:pPr>
    </w:lvl>
    <w:lvl w:ilvl="4" w:tplc="2E500BEC" w:tentative="1">
      <w:start w:val="1"/>
      <w:numFmt w:val="lowerLetter"/>
      <w:lvlText w:val="%5."/>
      <w:lvlJc w:val="left"/>
      <w:pPr>
        <w:ind w:left="4680" w:hanging="360"/>
      </w:pPr>
    </w:lvl>
    <w:lvl w:ilvl="5" w:tplc="D9F6601E" w:tentative="1">
      <w:start w:val="1"/>
      <w:numFmt w:val="lowerRoman"/>
      <w:lvlText w:val="%6."/>
      <w:lvlJc w:val="right"/>
      <w:pPr>
        <w:ind w:left="5400" w:hanging="180"/>
      </w:pPr>
    </w:lvl>
    <w:lvl w:ilvl="6" w:tplc="C1DEF686" w:tentative="1">
      <w:start w:val="1"/>
      <w:numFmt w:val="decimal"/>
      <w:lvlText w:val="%7."/>
      <w:lvlJc w:val="left"/>
      <w:pPr>
        <w:ind w:left="6120" w:hanging="360"/>
      </w:pPr>
    </w:lvl>
    <w:lvl w:ilvl="7" w:tplc="35EAC2B2" w:tentative="1">
      <w:start w:val="1"/>
      <w:numFmt w:val="lowerLetter"/>
      <w:lvlText w:val="%8."/>
      <w:lvlJc w:val="left"/>
      <w:pPr>
        <w:ind w:left="6840" w:hanging="360"/>
      </w:pPr>
    </w:lvl>
    <w:lvl w:ilvl="8" w:tplc="DE644846" w:tentative="1">
      <w:start w:val="1"/>
      <w:numFmt w:val="lowerRoman"/>
      <w:lvlText w:val="%9."/>
      <w:lvlJc w:val="right"/>
      <w:pPr>
        <w:ind w:left="7560" w:hanging="180"/>
      </w:pPr>
    </w:lvl>
  </w:abstractNum>
  <w:abstractNum w:abstractNumId="29" w15:restartNumberingAfterBreak="0">
    <w:nsid w:val="69825CF4"/>
    <w:multiLevelType w:val="multilevel"/>
    <w:tmpl w:val="8EB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D19DB"/>
    <w:multiLevelType w:val="multilevel"/>
    <w:tmpl w:val="2ACA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375C3"/>
    <w:multiLevelType w:val="multilevel"/>
    <w:tmpl w:val="2D4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844DD"/>
    <w:multiLevelType w:val="multilevel"/>
    <w:tmpl w:val="118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25BBF"/>
    <w:multiLevelType w:val="multilevel"/>
    <w:tmpl w:val="FAD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F2387"/>
    <w:multiLevelType w:val="hybridMultilevel"/>
    <w:tmpl w:val="093C8F5A"/>
    <w:lvl w:ilvl="0" w:tplc="792CF39E">
      <w:start w:val="3"/>
      <w:numFmt w:val="bullet"/>
      <w:lvlText w:val="-"/>
      <w:lvlJc w:val="left"/>
      <w:pPr>
        <w:ind w:left="1080" w:hanging="360"/>
      </w:pPr>
      <w:rPr>
        <w:rFonts w:ascii="Century Schoolbook" w:eastAsia="Calibri" w:hAnsi="Century Schoolbook" w:cs="Times New Roman" w:hint="default"/>
      </w:rPr>
    </w:lvl>
    <w:lvl w:ilvl="1" w:tplc="8E0251B4" w:tentative="1">
      <w:start w:val="1"/>
      <w:numFmt w:val="bullet"/>
      <w:lvlText w:val="o"/>
      <w:lvlJc w:val="left"/>
      <w:pPr>
        <w:ind w:left="1800" w:hanging="360"/>
      </w:pPr>
      <w:rPr>
        <w:rFonts w:ascii="Courier New" w:hAnsi="Courier New" w:hint="default"/>
      </w:rPr>
    </w:lvl>
    <w:lvl w:ilvl="2" w:tplc="F9025A76" w:tentative="1">
      <w:start w:val="1"/>
      <w:numFmt w:val="bullet"/>
      <w:lvlText w:val=""/>
      <w:lvlJc w:val="left"/>
      <w:pPr>
        <w:ind w:left="2520" w:hanging="360"/>
      </w:pPr>
      <w:rPr>
        <w:rFonts w:ascii="Wingdings" w:hAnsi="Wingdings" w:hint="default"/>
      </w:rPr>
    </w:lvl>
    <w:lvl w:ilvl="3" w:tplc="D2FEF5C8" w:tentative="1">
      <w:start w:val="1"/>
      <w:numFmt w:val="bullet"/>
      <w:lvlText w:val=""/>
      <w:lvlJc w:val="left"/>
      <w:pPr>
        <w:ind w:left="3240" w:hanging="360"/>
      </w:pPr>
      <w:rPr>
        <w:rFonts w:ascii="Symbol" w:hAnsi="Symbol" w:hint="default"/>
      </w:rPr>
    </w:lvl>
    <w:lvl w:ilvl="4" w:tplc="B6BE1C4C" w:tentative="1">
      <w:start w:val="1"/>
      <w:numFmt w:val="bullet"/>
      <w:lvlText w:val="o"/>
      <w:lvlJc w:val="left"/>
      <w:pPr>
        <w:ind w:left="3960" w:hanging="360"/>
      </w:pPr>
      <w:rPr>
        <w:rFonts w:ascii="Courier New" w:hAnsi="Courier New" w:hint="default"/>
      </w:rPr>
    </w:lvl>
    <w:lvl w:ilvl="5" w:tplc="18F27F06" w:tentative="1">
      <w:start w:val="1"/>
      <w:numFmt w:val="bullet"/>
      <w:lvlText w:val=""/>
      <w:lvlJc w:val="left"/>
      <w:pPr>
        <w:ind w:left="4680" w:hanging="360"/>
      </w:pPr>
      <w:rPr>
        <w:rFonts w:ascii="Wingdings" w:hAnsi="Wingdings" w:hint="default"/>
      </w:rPr>
    </w:lvl>
    <w:lvl w:ilvl="6" w:tplc="9F46EEC8" w:tentative="1">
      <w:start w:val="1"/>
      <w:numFmt w:val="bullet"/>
      <w:lvlText w:val=""/>
      <w:lvlJc w:val="left"/>
      <w:pPr>
        <w:ind w:left="5400" w:hanging="360"/>
      </w:pPr>
      <w:rPr>
        <w:rFonts w:ascii="Symbol" w:hAnsi="Symbol" w:hint="default"/>
      </w:rPr>
    </w:lvl>
    <w:lvl w:ilvl="7" w:tplc="162AA8EC" w:tentative="1">
      <w:start w:val="1"/>
      <w:numFmt w:val="bullet"/>
      <w:lvlText w:val="o"/>
      <w:lvlJc w:val="left"/>
      <w:pPr>
        <w:ind w:left="6120" w:hanging="360"/>
      </w:pPr>
      <w:rPr>
        <w:rFonts w:ascii="Courier New" w:hAnsi="Courier New" w:hint="default"/>
      </w:rPr>
    </w:lvl>
    <w:lvl w:ilvl="8" w:tplc="D5C803EC" w:tentative="1">
      <w:start w:val="1"/>
      <w:numFmt w:val="bullet"/>
      <w:lvlText w:val=""/>
      <w:lvlJc w:val="left"/>
      <w:pPr>
        <w:ind w:left="6840" w:hanging="360"/>
      </w:pPr>
      <w:rPr>
        <w:rFonts w:ascii="Wingdings" w:hAnsi="Wingdings" w:hint="default"/>
      </w:rPr>
    </w:lvl>
  </w:abstractNum>
  <w:abstractNum w:abstractNumId="35" w15:restartNumberingAfterBreak="0">
    <w:nsid w:val="7AB65994"/>
    <w:multiLevelType w:val="hybridMultilevel"/>
    <w:tmpl w:val="02B67D10"/>
    <w:lvl w:ilvl="0" w:tplc="D9226828">
      <w:start w:val="1"/>
      <w:numFmt w:val="decimal"/>
      <w:lvlText w:val="%1."/>
      <w:lvlJc w:val="left"/>
      <w:pPr>
        <w:ind w:left="720" w:hanging="360"/>
      </w:pPr>
      <w:rPr>
        <w:rFonts w:hint="default"/>
      </w:rPr>
    </w:lvl>
    <w:lvl w:ilvl="1" w:tplc="4CD4B648" w:tentative="1">
      <w:start w:val="1"/>
      <w:numFmt w:val="lowerLetter"/>
      <w:lvlText w:val="%2."/>
      <w:lvlJc w:val="left"/>
      <w:pPr>
        <w:ind w:left="1440" w:hanging="360"/>
      </w:pPr>
    </w:lvl>
    <w:lvl w:ilvl="2" w:tplc="7054C15E" w:tentative="1">
      <w:start w:val="1"/>
      <w:numFmt w:val="lowerRoman"/>
      <w:lvlText w:val="%3."/>
      <w:lvlJc w:val="right"/>
      <w:pPr>
        <w:ind w:left="2160" w:hanging="180"/>
      </w:pPr>
    </w:lvl>
    <w:lvl w:ilvl="3" w:tplc="EE609406" w:tentative="1">
      <w:start w:val="1"/>
      <w:numFmt w:val="decimal"/>
      <w:lvlText w:val="%4."/>
      <w:lvlJc w:val="left"/>
      <w:pPr>
        <w:ind w:left="2880" w:hanging="360"/>
      </w:pPr>
    </w:lvl>
    <w:lvl w:ilvl="4" w:tplc="12E40998" w:tentative="1">
      <w:start w:val="1"/>
      <w:numFmt w:val="lowerLetter"/>
      <w:lvlText w:val="%5."/>
      <w:lvlJc w:val="left"/>
      <w:pPr>
        <w:ind w:left="3600" w:hanging="360"/>
      </w:pPr>
    </w:lvl>
    <w:lvl w:ilvl="5" w:tplc="62F484F6" w:tentative="1">
      <w:start w:val="1"/>
      <w:numFmt w:val="lowerRoman"/>
      <w:lvlText w:val="%6."/>
      <w:lvlJc w:val="right"/>
      <w:pPr>
        <w:ind w:left="4320" w:hanging="180"/>
      </w:pPr>
    </w:lvl>
    <w:lvl w:ilvl="6" w:tplc="32DC9532" w:tentative="1">
      <w:start w:val="1"/>
      <w:numFmt w:val="decimal"/>
      <w:lvlText w:val="%7."/>
      <w:lvlJc w:val="left"/>
      <w:pPr>
        <w:ind w:left="5040" w:hanging="360"/>
      </w:pPr>
    </w:lvl>
    <w:lvl w:ilvl="7" w:tplc="267CDBB0" w:tentative="1">
      <w:start w:val="1"/>
      <w:numFmt w:val="lowerLetter"/>
      <w:lvlText w:val="%8."/>
      <w:lvlJc w:val="left"/>
      <w:pPr>
        <w:ind w:left="5760" w:hanging="360"/>
      </w:pPr>
    </w:lvl>
    <w:lvl w:ilvl="8" w:tplc="91DE86B0" w:tentative="1">
      <w:start w:val="1"/>
      <w:numFmt w:val="lowerRoman"/>
      <w:lvlText w:val="%9."/>
      <w:lvlJc w:val="right"/>
      <w:pPr>
        <w:ind w:left="6480" w:hanging="180"/>
      </w:pPr>
    </w:lvl>
  </w:abstractNum>
  <w:abstractNum w:abstractNumId="36" w15:restartNumberingAfterBreak="0">
    <w:nsid w:val="7B024188"/>
    <w:multiLevelType w:val="hybridMultilevel"/>
    <w:tmpl w:val="901E4CAE"/>
    <w:lvl w:ilvl="0" w:tplc="20EE9F58">
      <w:start w:val="1"/>
      <w:numFmt w:val="upperLetter"/>
      <w:lvlText w:val="%1."/>
      <w:lvlJc w:val="left"/>
      <w:pPr>
        <w:ind w:left="720" w:hanging="360"/>
      </w:pPr>
      <w:rPr>
        <w:rFonts w:hint="default"/>
      </w:rPr>
    </w:lvl>
    <w:lvl w:ilvl="1" w:tplc="851E6F26" w:tentative="1">
      <w:start w:val="1"/>
      <w:numFmt w:val="lowerLetter"/>
      <w:lvlText w:val="%2."/>
      <w:lvlJc w:val="left"/>
      <w:pPr>
        <w:ind w:left="1440" w:hanging="360"/>
      </w:pPr>
    </w:lvl>
    <w:lvl w:ilvl="2" w:tplc="5D18CB6E" w:tentative="1">
      <w:start w:val="1"/>
      <w:numFmt w:val="lowerRoman"/>
      <w:lvlText w:val="%3."/>
      <w:lvlJc w:val="right"/>
      <w:pPr>
        <w:ind w:left="2160" w:hanging="180"/>
      </w:pPr>
    </w:lvl>
    <w:lvl w:ilvl="3" w:tplc="C714F3A6" w:tentative="1">
      <w:start w:val="1"/>
      <w:numFmt w:val="decimal"/>
      <w:lvlText w:val="%4."/>
      <w:lvlJc w:val="left"/>
      <w:pPr>
        <w:ind w:left="2880" w:hanging="360"/>
      </w:pPr>
    </w:lvl>
    <w:lvl w:ilvl="4" w:tplc="B8646C90" w:tentative="1">
      <w:start w:val="1"/>
      <w:numFmt w:val="lowerLetter"/>
      <w:lvlText w:val="%5."/>
      <w:lvlJc w:val="left"/>
      <w:pPr>
        <w:ind w:left="3600" w:hanging="360"/>
      </w:pPr>
    </w:lvl>
    <w:lvl w:ilvl="5" w:tplc="33A22038" w:tentative="1">
      <w:start w:val="1"/>
      <w:numFmt w:val="lowerRoman"/>
      <w:lvlText w:val="%6."/>
      <w:lvlJc w:val="right"/>
      <w:pPr>
        <w:ind w:left="4320" w:hanging="180"/>
      </w:pPr>
    </w:lvl>
    <w:lvl w:ilvl="6" w:tplc="63F4F96C" w:tentative="1">
      <w:start w:val="1"/>
      <w:numFmt w:val="decimal"/>
      <w:lvlText w:val="%7."/>
      <w:lvlJc w:val="left"/>
      <w:pPr>
        <w:ind w:left="5040" w:hanging="360"/>
      </w:pPr>
    </w:lvl>
    <w:lvl w:ilvl="7" w:tplc="48346388" w:tentative="1">
      <w:start w:val="1"/>
      <w:numFmt w:val="lowerLetter"/>
      <w:lvlText w:val="%8."/>
      <w:lvlJc w:val="left"/>
      <w:pPr>
        <w:ind w:left="5760" w:hanging="360"/>
      </w:pPr>
    </w:lvl>
    <w:lvl w:ilvl="8" w:tplc="C7FEFF96" w:tentative="1">
      <w:start w:val="1"/>
      <w:numFmt w:val="lowerRoman"/>
      <w:lvlText w:val="%9."/>
      <w:lvlJc w:val="right"/>
      <w:pPr>
        <w:ind w:left="6480" w:hanging="180"/>
      </w:pPr>
    </w:lvl>
  </w:abstractNum>
  <w:abstractNum w:abstractNumId="37" w15:restartNumberingAfterBreak="0">
    <w:nsid w:val="7F79234B"/>
    <w:multiLevelType w:val="multilevel"/>
    <w:tmpl w:val="5F08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908610">
    <w:abstractNumId w:val="2"/>
  </w:num>
  <w:num w:numId="2" w16cid:durableId="480194855">
    <w:abstractNumId w:val="26"/>
  </w:num>
  <w:num w:numId="3" w16cid:durableId="269507106">
    <w:abstractNumId w:val="11"/>
  </w:num>
  <w:num w:numId="4" w16cid:durableId="1844663480">
    <w:abstractNumId w:val="6"/>
  </w:num>
  <w:num w:numId="5" w16cid:durableId="703093123">
    <w:abstractNumId w:val="3"/>
  </w:num>
  <w:num w:numId="6" w16cid:durableId="169832583">
    <w:abstractNumId w:val="10"/>
  </w:num>
  <w:num w:numId="7" w16cid:durableId="2093113697">
    <w:abstractNumId w:val="32"/>
  </w:num>
  <w:num w:numId="8" w16cid:durableId="1352293028">
    <w:abstractNumId w:val="7"/>
  </w:num>
  <w:num w:numId="9" w16cid:durableId="974258249">
    <w:abstractNumId w:val="9"/>
  </w:num>
  <w:num w:numId="10" w16cid:durableId="2021614539">
    <w:abstractNumId w:val="23"/>
  </w:num>
  <w:num w:numId="11" w16cid:durableId="1369800003">
    <w:abstractNumId w:val="37"/>
  </w:num>
  <w:num w:numId="12" w16cid:durableId="3629267">
    <w:abstractNumId w:val="13"/>
  </w:num>
  <w:num w:numId="13" w16cid:durableId="1855456184">
    <w:abstractNumId w:val="4"/>
  </w:num>
  <w:num w:numId="14" w16cid:durableId="167210895">
    <w:abstractNumId w:val="4"/>
    <w:lvlOverride w:ilvl="0">
      <w:startOverride w:val="1"/>
    </w:lvlOverride>
  </w:num>
  <w:num w:numId="15" w16cid:durableId="734209563">
    <w:abstractNumId w:val="30"/>
  </w:num>
  <w:num w:numId="16" w16cid:durableId="425271169">
    <w:abstractNumId w:val="27"/>
  </w:num>
  <w:num w:numId="17" w16cid:durableId="1907257789">
    <w:abstractNumId w:val="25"/>
  </w:num>
  <w:num w:numId="18" w16cid:durableId="667904740">
    <w:abstractNumId w:val="17"/>
  </w:num>
  <w:num w:numId="19" w16cid:durableId="1516840398">
    <w:abstractNumId w:val="4"/>
    <w:lvlOverride w:ilvl="0">
      <w:startOverride w:val="1"/>
    </w:lvlOverride>
  </w:num>
  <w:num w:numId="20" w16cid:durableId="230628356">
    <w:abstractNumId w:val="4"/>
    <w:lvlOverride w:ilvl="0">
      <w:startOverride w:val="1"/>
    </w:lvlOverride>
  </w:num>
  <w:num w:numId="21" w16cid:durableId="704596853">
    <w:abstractNumId w:val="29"/>
  </w:num>
  <w:num w:numId="22" w16cid:durableId="2009212316">
    <w:abstractNumId w:val="35"/>
  </w:num>
  <w:num w:numId="23" w16cid:durableId="1248424900">
    <w:abstractNumId w:val="18"/>
  </w:num>
  <w:num w:numId="24" w16cid:durableId="187330760">
    <w:abstractNumId w:val="14"/>
  </w:num>
  <w:num w:numId="25" w16cid:durableId="69276269">
    <w:abstractNumId w:val="15"/>
  </w:num>
  <w:num w:numId="26" w16cid:durableId="565652880">
    <w:abstractNumId w:val="19"/>
  </w:num>
  <w:num w:numId="27" w16cid:durableId="1933465789">
    <w:abstractNumId w:val="12"/>
  </w:num>
  <w:num w:numId="28" w16cid:durableId="682362791">
    <w:abstractNumId w:val="36"/>
  </w:num>
  <w:num w:numId="29" w16cid:durableId="583879985">
    <w:abstractNumId w:val="21"/>
  </w:num>
  <w:num w:numId="30" w16cid:durableId="1571385993">
    <w:abstractNumId w:val="22"/>
  </w:num>
  <w:num w:numId="31" w16cid:durableId="1785886184">
    <w:abstractNumId w:val="1"/>
  </w:num>
  <w:num w:numId="32" w16cid:durableId="465007337">
    <w:abstractNumId w:val="8"/>
  </w:num>
  <w:num w:numId="33" w16cid:durableId="1554927311">
    <w:abstractNumId w:val="20"/>
  </w:num>
  <w:num w:numId="34" w16cid:durableId="2025134582">
    <w:abstractNumId w:val="33"/>
  </w:num>
  <w:num w:numId="35" w16cid:durableId="1434937747">
    <w:abstractNumId w:val="0"/>
  </w:num>
  <w:num w:numId="36" w16cid:durableId="52628961">
    <w:abstractNumId w:val="31"/>
  </w:num>
  <w:num w:numId="37" w16cid:durableId="1001279237">
    <w:abstractNumId w:val="5"/>
  </w:num>
  <w:num w:numId="38" w16cid:durableId="1202325651">
    <w:abstractNumId w:val="34"/>
  </w:num>
  <w:num w:numId="39" w16cid:durableId="1965579280">
    <w:abstractNumId w:val="16"/>
  </w:num>
  <w:num w:numId="40" w16cid:durableId="1915815572">
    <w:abstractNumId w:val="24"/>
  </w:num>
  <w:num w:numId="41" w16cid:durableId="20577010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09"/>
    <w:rsid w:val="004A2775"/>
    <w:rsid w:val="00861473"/>
    <w:rsid w:val="00BE3E09"/>
    <w:rsid w:val="00E3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E57441"/>
    <w:pPr>
      <w:jc w:val="center"/>
      <w:outlineLvl w:val="0"/>
    </w:pPr>
    <w:rPr>
      <w:b/>
    </w:rPr>
  </w:style>
  <w:style w:type="paragraph" w:styleId="Heading2">
    <w:name w:val="heading 2"/>
    <w:basedOn w:val="Normal"/>
    <w:next w:val="Normal"/>
    <w:link w:val="Heading2Char"/>
    <w:uiPriority w:val="9"/>
    <w:unhideWhenUsed/>
    <w:qFormat/>
    <w:rsid w:val="007017BD"/>
    <w:pPr>
      <w:keepNext/>
      <w:ind w:left="1440" w:hanging="720"/>
      <w:outlineLvl w:val="1"/>
    </w:pPr>
    <w:rPr>
      <w:rFonts w:eastAsia="Times New Roman"/>
      <w:bCs/>
      <w:i/>
      <w:iCs/>
      <w:szCs w:val="26"/>
    </w:rPr>
  </w:style>
  <w:style w:type="paragraph" w:styleId="Heading3">
    <w:name w:val="heading 3"/>
    <w:basedOn w:val="Heading2"/>
    <w:next w:val="Normal"/>
    <w:link w:val="Heading3Char"/>
    <w:uiPriority w:val="9"/>
    <w:unhideWhenUsed/>
    <w:qFormat/>
    <w:rsid w:val="007017BD"/>
    <w:pPr>
      <w:ind w:left="1800"/>
      <w:outlineLvl w:val="2"/>
    </w:pPr>
    <w:rPr>
      <w:iCs w:val="0"/>
    </w:rPr>
  </w:style>
  <w:style w:type="paragraph" w:styleId="Heading4">
    <w:name w:val="heading 4"/>
    <w:basedOn w:val="Heading3"/>
    <w:next w:val="Normal"/>
    <w:link w:val="Heading4Char"/>
    <w:uiPriority w:val="9"/>
    <w:unhideWhenUsed/>
    <w:qFormat/>
    <w:rsid w:val="00394792"/>
    <w:pPr>
      <w:ind w:left="2160"/>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AA"/>
    <w:pPr>
      <w:tabs>
        <w:tab w:val="center" w:pos="4680"/>
        <w:tab w:val="right" w:pos="9360"/>
      </w:tabs>
      <w:spacing w:line="240" w:lineRule="auto"/>
    </w:pPr>
    <w:rPr>
      <w:szCs w:val="20"/>
    </w:rPr>
  </w:style>
  <w:style w:type="character" w:customStyle="1" w:styleId="HeaderChar">
    <w:name w:val="Header Char"/>
    <w:link w:val="Header"/>
    <w:uiPriority w:val="99"/>
    <w:rsid w:val="000C26AA"/>
    <w:rPr>
      <w:rFonts w:ascii="Century Schoolbook" w:hAnsi="Century Schoolbook"/>
      <w:sz w:val="26"/>
    </w:rPr>
  </w:style>
  <w:style w:type="paragraph" w:styleId="Footer">
    <w:name w:val="footer"/>
    <w:basedOn w:val="Normal"/>
    <w:link w:val="FooterChar"/>
    <w:uiPriority w:val="99"/>
    <w:unhideWhenUsed/>
    <w:rsid w:val="000C26AA"/>
    <w:pPr>
      <w:tabs>
        <w:tab w:val="center" w:pos="4680"/>
        <w:tab w:val="right" w:pos="9360"/>
      </w:tabs>
      <w:spacing w:line="240" w:lineRule="auto"/>
    </w:pPr>
    <w:rPr>
      <w:szCs w:val="20"/>
    </w:rPr>
  </w:style>
  <w:style w:type="character" w:customStyle="1" w:styleId="FooterChar">
    <w:name w:val="Footer Char"/>
    <w:link w:val="Footer"/>
    <w:uiPriority w:val="99"/>
    <w:rsid w:val="000C26AA"/>
    <w:rPr>
      <w:rFonts w:ascii="Century Schoolbook" w:hAnsi="Century Schoolbook"/>
      <w:sz w:val="26"/>
    </w:rPr>
  </w:style>
  <w:style w:type="character" w:styleId="PageNumber">
    <w:name w:val="page number"/>
    <w:uiPriority w:val="99"/>
    <w:semiHidden/>
    <w:unhideWhenUsed/>
    <w:rsid w:val="000C26AA"/>
  </w:style>
  <w:style w:type="character" w:styleId="Hyperlink">
    <w:name w:val="Hyperlink"/>
    <w:uiPriority w:val="99"/>
    <w:unhideWhenUsed/>
    <w:rsid w:val="000C26AA"/>
    <w:rPr>
      <w:color w:val="0000FF"/>
      <w:u w:val="single"/>
    </w:rPr>
  </w:style>
  <w:style w:type="character" w:customStyle="1" w:styleId="pmterms11">
    <w:name w:val="pmterms11"/>
    <w:rsid w:val="000C26AA"/>
    <w:rPr>
      <w:b/>
      <w:bCs/>
      <w:i w:val="0"/>
      <w:iCs w:val="0"/>
      <w:color w:val="000000"/>
    </w:rPr>
  </w:style>
  <w:style w:type="character" w:customStyle="1" w:styleId="term1">
    <w:name w:val="term1"/>
    <w:rsid w:val="000C26AA"/>
    <w:rPr>
      <w:b/>
      <w:bCs/>
    </w:rPr>
  </w:style>
  <w:style w:type="paragraph" w:styleId="FootnoteText">
    <w:name w:val="footnote text"/>
    <w:basedOn w:val="Normal"/>
    <w:link w:val="FootnoteTextChar"/>
    <w:uiPriority w:val="99"/>
    <w:unhideWhenUsed/>
    <w:rsid w:val="000C26AA"/>
    <w:pPr>
      <w:spacing w:line="240" w:lineRule="auto"/>
    </w:pPr>
    <w:rPr>
      <w:sz w:val="20"/>
      <w:szCs w:val="20"/>
    </w:rPr>
  </w:style>
  <w:style w:type="character" w:customStyle="1" w:styleId="FootnoteTextChar">
    <w:name w:val="Footnote Text Char"/>
    <w:link w:val="FootnoteText"/>
    <w:uiPriority w:val="99"/>
    <w:rsid w:val="000C26AA"/>
    <w:rPr>
      <w:rFonts w:ascii="Century Schoolbook" w:hAnsi="Century Schoolbook"/>
    </w:rPr>
  </w:style>
  <w:style w:type="character" w:styleId="FootnoteReference">
    <w:name w:val="footnote reference"/>
    <w:uiPriority w:val="99"/>
    <w:unhideWhenUsed/>
    <w:qFormat/>
    <w:rsid w:val="000C26AA"/>
    <w:rPr>
      <w:vertAlign w:val="superscript"/>
    </w:rPr>
  </w:style>
  <w:style w:type="paragraph" w:styleId="BalloonText">
    <w:name w:val="Balloon Text"/>
    <w:basedOn w:val="Normal"/>
    <w:link w:val="BalloonTextChar"/>
    <w:uiPriority w:val="99"/>
    <w:semiHidden/>
    <w:unhideWhenUsed/>
    <w:rsid w:val="000C26AA"/>
    <w:pPr>
      <w:spacing w:line="240" w:lineRule="auto"/>
    </w:pPr>
    <w:rPr>
      <w:rFonts w:ascii="Tahoma" w:hAnsi="Tahoma"/>
      <w:sz w:val="16"/>
      <w:szCs w:val="16"/>
    </w:rPr>
  </w:style>
  <w:style w:type="character" w:customStyle="1" w:styleId="BalloonTextChar">
    <w:name w:val="Balloon Text Char"/>
    <w:link w:val="BalloonText"/>
    <w:uiPriority w:val="99"/>
    <w:semiHidden/>
    <w:rsid w:val="000C26AA"/>
    <w:rPr>
      <w:rFonts w:ascii="Tahoma" w:hAnsi="Tahoma"/>
      <w:sz w:val="16"/>
      <w:szCs w:val="16"/>
    </w:rPr>
  </w:style>
  <w:style w:type="character" w:customStyle="1" w:styleId="apple-converted-space">
    <w:name w:val="apple-converted-space"/>
    <w:rsid w:val="000C26AA"/>
  </w:style>
  <w:style w:type="character" w:customStyle="1" w:styleId="costarpage">
    <w:name w:val="co_starpage"/>
    <w:rsid w:val="000C26AA"/>
  </w:style>
  <w:style w:type="character" w:customStyle="1" w:styleId="ssrfcpassagedeactivated">
    <w:name w:val="ss_rfcpassage_deactivated"/>
    <w:rsid w:val="000C26AA"/>
  </w:style>
  <w:style w:type="character" w:customStyle="1" w:styleId="sssh">
    <w:name w:val="ss_sh"/>
    <w:rsid w:val="000C26AA"/>
  </w:style>
  <w:style w:type="character" w:customStyle="1" w:styleId="ssit2">
    <w:name w:val="ss_it2"/>
    <w:rsid w:val="000C26AA"/>
    <w:rPr>
      <w:i/>
      <w:iCs/>
    </w:rPr>
  </w:style>
  <w:style w:type="character" w:customStyle="1" w:styleId="injectednode">
    <w:name w:val="injectednode"/>
    <w:rsid w:val="000C26AA"/>
  </w:style>
  <w:style w:type="character" w:customStyle="1" w:styleId="query">
    <w:name w:val="query"/>
    <w:rsid w:val="000C26AA"/>
  </w:style>
  <w:style w:type="paragraph" w:styleId="ListParagraph">
    <w:name w:val="List Paragraph"/>
    <w:basedOn w:val="Normal"/>
    <w:uiPriority w:val="34"/>
    <w:qFormat/>
    <w:rsid w:val="00385A0A"/>
    <w:pPr>
      <w:ind w:left="720"/>
    </w:pPr>
  </w:style>
  <w:style w:type="character" w:customStyle="1" w:styleId="Heading2Char">
    <w:name w:val="Heading 2 Char"/>
    <w:link w:val="Heading2"/>
    <w:uiPriority w:val="9"/>
    <w:rsid w:val="007017BD"/>
    <w:rPr>
      <w:rFonts w:ascii="Century Schoolbook" w:eastAsia="Times New Roman" w:hAnsi="Century Schoolbook"/>
      <w:bCs/>
      <w:i/>
      <w:iCs/>
      <w:sz w:val="26"/>
      <w:szCs w:val="26"/>
    </w:rPr>
  </w:style>
  <w:style w:type="character" w:customStyle="1" w:styleId="Heading3Char">
    <w:name w:val="Heading 3 Char"/>
    <w:link w:val="Heading3"/>
    <w:uiPriority w:val="9"/>
    <w:rsid w:val="007017BD"/>
    <w:rPr>
      <w:rFonts w:ascii="Century Schoolbook" w:eastAsia="Times New Roman" w:hAnsi="Century Schoolbook"/>
      <w:bCs/>
      <w:i/>
      <w:sz w:val="26"/>
      <w:szCs w:val="26"/>
    </w:rPr>
  </w:style>
  <w:style w:type="character" w:styleId="Emphasis">
    <w:name w:val="Emphasis"/>
    <w:uiPriority w:val="20"/>
    <w:qFormat/>
    <w:rsid w:val="000838D8"/>
    <w:rPr>
      <w:i/>
      <w:iCs/>
    </w:rPr>
  </w:style>
  <w:style w:type="character" w:customStyle="1" w:styleId="UnresolvedMention1">
    <w:name w:val="Unresolved Mention1"/>
    <w:uiPriority w:val="99"/>
    <w:semiHidden/>
    <w:unhideWhenUsed/>
    <w:rsid w:val="001854F1"/>
    <w:rPr>
      <w:color w:val="605E5C"/>
      <w:shd w:val="clear" w:color="auto" w:fill="E1DFDD"/>
    </w:rPr>
  </w:style>
  <w:style w:type="character" w:customStyle="1" w:styleId="coinlinekeyciteflag">
    <w:name w:val="co_inlinekeyciteflag"/>
    <w:basedOn w:val="DefaultParagraphFont"/>
    <w:rsid w:val="008355E0"/>
  </w:style>
  <w:style w:type="character" w:customStyle="1" w:styleId="Heading1Char">
    <w:name w:val="Heading 1 Char"/>
    <w:link w:val="Heading1"/>
    <w:uiPriority w:val="9"/>
    <w:rsid w:val="00E57441"/>
    <w:rPr>
      <w:rFonts w:ascii="Century Schoolbook" w:hAnsi="Century Schoolbook"/>
      <w:b/>
      <w:sz w:val="26"/>
      <w:szCs w:val="22"/>
    </w:rPr>
  </w:style>
  <w:style w:type="character" w:customStyle="1" w:styleId="UnresolvedMention2">
    <w:name w:val="Unresolved Mention2"/>
    <w:uiPriority w:val="99"/>
    <w:semiHidden/>
    <w:unhideWhenUsed/>
    <w:rsid w:val="00327FD3"/>
    <w:rPr>
      <w:color w:val="605E5C"/>
      <w:shd w:val="clear" w:color="auto" w:fill="E1DFDD"/>
    </w:rPr>
  </w:style>
  <w:style w:type="paragraph" w:styleId="Revision">
    <w:name w:val="Revision"/>
    <w:hidden/>
    <w:uiPriority w:val="99"/>
    <w:semiHidden/>
    <w:rsid w:val="00A64A92"/>
    <w:rPr>
      <w:rFonts w:ascii="Century Schoolbook" w:hAnsi="Century Schoolbook"/>
      <w:sz w:val="26"/>
      <w:szCs w:val="22"/>
    </w:rPr>
  </w:style>
  <w:style w:type="character" w:styleId="CommentReference">
    <w:name w:val="annotation reference"/>
    <w:uiPriority w:val="99"/>
    <w:semiHidden/>
    <w:unhideWhenUsed/>
    <w:rsid w:val="00384488"/>
    <w:rPr>
      <w:sz w:val="16"/>
      <w:szCs w:val="16"/>
    </w:rPr>
  </w:style>
  <w:style w:type="paragraph" w:styleId="CommentText">
    <w:name w:val="annotation text"/>
    <w:basedOn w:val="Normal"/>
    <w:link w:val="CommentTextChar"/>
    <w:uiPriority w:val="99"/>
    <w:unhideWhenUsed/>
    <w:rsid w:val="00384488"/>
    <w:pPr>
      <w:spacing w:line="240" w:lineRule="auto"/>
    </w:pPr>
    <w:rPr>
      <w:sz w:val="20"/>
      <w:szCs w:val="20"/>
    </w:rPr>
  </w:style>
  <w:style w:type="character" w:customStyle="1" w:styleId="CommentTextChar">
    <w:name w:val="Comment Text Char"/>
    <w:link w:val="CommentText"/>
    <w:uiPriority w:val="99"/>
    <w:rsid w:val="00384488"/>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384488"/>
    <w:rPr>
      <w:b/>
      <w:bCs/>
    </w:rPr>
  </w:style>
  <w:style w:type="character" w:customStyle="1" w:styleId="CommentSubjectChar">
    <w:name w:val="Comment Subject Char"/>
    <w:link w:val="CommentSubject"/>
    <w:uiPriority w:val="99"/>
    <w:semiHidden/>
    <w:rsid w:val="00384488"/>
    <w:rPr>
      <w:rFonts w:ascii="Century Schoolbook" w:hAnsi="Century Schoolbook"/>
      <w:b/>
      <w:bCs/>
    </w:rPr>
  </w:style>
  <w:style w:type="paragraph" w:styleId="NoSpacing">
    <w:name w:val="No Spacing"/>
    <w:uiPriority w:val="1"/>
    <w:qFormat/>
    <w:rsid w:val="005706A2"/>
    <w:rPr>
      <w:rFonts w:ascii="Century Schoolbook" w:hAnsi="Century Schoolbook"/>
      <w:sz w:val="26"/>
      <w:szCs w:val="22"/>
    </w:rPr>
  </w:style>
  <w:style w:type="character" w:customStyle="1" w:styleId="UnresolvedMention3">
    <w:name w:val="Unresolved Mention3"/>
    <w:uiPriority w:val="99"/>
    <w:semiHidden/>
    <w:unhideWhenUsed/>
    <w:rsid w:val="00AD11A4"/>
    <w:rPr>
      <w:color w:val="605E5C"/>
      <w:shd w:val="clear" w:color="auto" w:fill="E1DFDD"/>
    </w:rPr>
  </w:style>
  <w:style w:type="character" w:customStyle="1" w:styleId="cosearchterm">
    <w:name w:val="co_searchterm"/>
    <w:basedOn w:val="DefaultParagraphFont"/>
    <w:rsid w:val="00C8521B"/>
  </w:style>
  <w:style w:type="table" w:styleId="TableGrid">
    <w:name w:val="Table Grid"/>
    <w:basedOn w:val="TableNormal"/>
    <w:uiPriority w:val="39"/>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rsid w:val="003123F2"/>
    <w:rPr>
      <w:color w:val="605E5C"/>
      <w:shd w:val="clear" w:color="auto" w:fill="E1DFDD"/>
    </w:rPr>
  </w:style>
  <w:style w:type="paragraph" w:styleId="EndnoteText">
    <w:name w:val="endnote text"/>
    <w:basedOn w:val="Normal"/>
    <w:link w:val="EndnoteTextChar"/>
    <w:uiPriority w:val="99"/>
    <w:semiHidden/>
    <w:unhideWhenUsed/>
    <w:rsid w:val="0090375F"/>
    <w:pPr>
      <w:spacing w:line="240" w:lineRule="auto"/>
    </w:pPr>
    <w:rPr>
      <w:sz w:val="20"/>
      <w:szCs w:val="20"/>
    </w:rPr>
  </w:style>
  <w:style w:type="character" w:customStyle="1" w:styleId="EndnoteTextChar">
    <w:name w:val="Endnote Text Char"/>
    <w:link w:val="EndnoteText"/>
    <w:uiPriority w:val="99"/>
    <w:semiHidden/>
    <w:rsid w:val="0090375F"/>
    <w:rPr>
      <w:rFonts w:ascii="Century Schoolbook" w:hAnsi="Century Schoolbook"/>
    </w:rPr>
  </w:style>
  <w:style w:type="character" w:styleId="EndnoteReference">
    <w:name w:val="endnote reference"/>
    <w:uiPriority w:val="99"/>
    <w:semiHidden/>
    <w:unhideWhenUsed/>
    <w:rsid w:val="0090375F"/>
    <w:rPr>
      <w:vertAlign w:val="superscript"/>
    </w:rPr>
  </w:style>
  <w:style w:type="paragraph" w:styleId="ListBullet">
    <w:name w:val="List Bullet"/>
    <w:basedOn w:val="Normal"/>
    <w:uiPriority w:val="99"/>
    <w:unhideWhenUsed/>
    <w:rsid w:val="00083B9D"/>
    <w:pPr>
      <w:numPr>
        <w:numId w:val="35"/>
      </w:numPr>
      <w:contextualSpacing/>
    </w:pPr>
  </w:style>
  <w:style w:type="character" w:customStyle="1" w:styleId="UnresolvedMention5">
    <w:name w:val="Unresolved Mention5"/>
    <w:uiPriority w:val="99"/>
    <w:semiHidden/>
    <w:unhideWhenUsed/>
    <w:rsid w:val="006B59EA"/>
    <w:rPr>
      <w:color w:val="605E5C"/>
      <w:shd w:val="clear" w:color="auto" w:fill="E1DFDD"/>
    </w:rPr>
  </w:style>
  <w:style w:type="character" w:customStyle="1" w:styleId="Heading4Char">
    <w:name w:val="Heading 4 Char"/>
    <w:link w:val="Heading4"/>
    <w:uiPriority w:val="9"/>
    <w:rsid w:val="00394792"/>
    <w:rPr>
      <w:rFonts w:ascii="Century Schoolbook" w:eastAsia="Times New Roman" w:hAnsi="Century Schoolbook"/>
      <w:bCs/>
      <w:iCs/>
      <w:sz w:val="26"/>
      <w:szCs w:val="26"/>
    </w:rPr>
  </w:style>
  <w:style w:type="character" w:customStyle="1" w:styleId="UnresolvedMention6">
    <w:name w:val="Unresolved Mention6"/>
    <w:basedOn w:val="DefaultParagraphFont"/>
    <w:uiPriority w:val="99"/>
    <w:semiHidden/>
    <w:unhideWhenUsed/>
    <w:rsid w:val="00A15356"/>
    <w:rPr>
      <w:color w:val="605E5C"/>
      <w:shd w:val="clear" w:color="auto" w:fill="E1DFDD"/>
    </w:rPr>
  </w:style>
  <w:style w:type="character" w:customStyle="1" w:styleId="cohl">
    <w:name w:val="co_hl"/>
    <w:basedOn w:val="DefaultParagraphFont"/>
    <w:rsid w:val="001E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7572</Words>
  <Characters>40590</Characters>
  <Application>Microsoft Office Word</Application>
  <DocSecurity>0</DocSecurity>
  <Lines>849</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2022-06-02T19:42:00Z</dcterms:created>
  <dcterms:modified xsi:type="dcterms:W3CDTF">2022-06-02T19:42:00Z</dcterms:modified>
  <cp:category/>
</cp:coreProperties>
</file>