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DC2265" w14:textId="549C21C1" w:rsidR="005A4A3D" w:rsidRPr="009E538E" w:rsidRDefault="009E538E" w:rsidP="009E538E">
      <w:pPr>
        <w:spacing w:line="240" w:lineRule="auto"/>
        <w:rPr>
          <w:rFonts w:ascii="Times" w:hAnsi="Times"/>
          <w:sz w:val="20"/>
          <w:szCs w:val="26"/>
        </w:rPr>
      </w:pPr>
      <w:r w:rsidRPr="009E538E">
        <w:rPr>
          <w:rFonts w:ascii="Times" w:hAnsi="Times"/>
          <w:sz w:val="20"/>
          <w:szCs w:val="26"/>
        </w:rPr>
        <w:t>Filed 3/28/19</w:t>
      </w:r>
    </w:p>
    <w:p w14:paraId="335DC9A6" w14:textId="300DA140" w:rsidR="00F20CA5" w:rsidRDefault="00F20CA5" w:rsidP="00F20CA5">
      <w:pPr>
        <w:spacing w:line="240" w:lineRule="auto"/>
        <w:rPr>
          <w:rFonts w:ascii="Times" w:hAnsi="Times"/>
          <w:szCs w:val="26"/>
        </w:rPr>
      </w:pPr>
    </w:p>
    <w:p w14:paraId="15EFD3B8" w14:textId="2C99E78D" w:rsidR="00F20CA5" w:rsidRPr="003D6E09" w:rsidRDefault="00F20CA5" w:rsidP="00F20CA5">
      <w:pPr>
        <w:spacing w:line="240" w:lineRule="auto"/>
        <w:jc w:val="center"/>
        <w:rPr>
          <w:rFonts w:ascii="Times" w:hAnsi="Times"/>
          <w:szCs w:val="26"/>
        </w:rPr>
      </w:pPr>
      <w:r>
        <w:rPr>
          <w:rFonts w:ascii="Times" w:hAnsi="Times"/>
          <w:szCs w:val="26"/>
        </w:rPr>
        <w:t>CERTIFIED FOR PUBLICATION</w:t>
      </w:r>
    </w:p>
    <w:p w14:paraId="1D2058A2" w14:textId="77777777" w:rsidR="00D456DF" w:rsidRPr="003D6E09" w:rsidRDefault="00D456DF" w:rsidP="00D456DF">
      <w:pPr>
        <w:spacing w:line="240" w:lineRule="auto"/>
        <w:rPr>
          <w:rFonts w:ascii="Times" w:hAnsi="Times"/>
          <w:szCs w:val="26"/>
        </w:rPr>
      </w:pPr>
    </w:p>
    <w:p w14:paraId="7CF4ED74" w14:textId="77777777" w:rsidR="00D456DF" w:rsidRPr="003D6E09" w:rsidRDefault="00D456DF" w:rsidP="00D456DF">
      <w:pPr>
        <w:spacing w:line="240" w:lineRule="auto"/>
        <w:rPr>
          <w:rFonts w:ascii="Times" w:hAnsi="Times"/>
          <w:szCs w:val="26"/>
        </w:rPr>
      </w:pPr>
    </w:p>
    <w:p w14:paraId="5B467A98" w14:textId="77777777" w:rsidR="00D456DF" w:rsidRPr="003D6E09" w:rsidRDefault="00D456DF" w:rsidP="00D456DF">
      <w:pPr>
        <w:spacing w:line="240" w:lineRule="auto"/>
        <w:jc w:val="center"/>
        <w:rPr>
          <w:rFonts w:ascii="Times" w:hAnsi="Times"/>
          <w:szCs w:val="26"/>
        </w:rPr>
      </w:pPr>
      <w:r w:rsidRPr="003D6E09">
        <w:rPr>
          <w:rFonts w:ascii="Times" w:hAnsi="Times"/>
          <w:szCs w:val="26"/>
        </w:rPr>
        <w:t>COURT OF APPEAL, FOURTH APPELLATE DISTRICT</w:t>
      </w:r>
    </w:p>
    <w:p w14:paraId="39D9F202" w14:textId="77777777" w:rsidR="00D456DF" w:rsidRPr="003D6E09" w:rsidRDefault="00D456DF" w:rsidP="00D456DF">
      <w:pPr>
        <w:spacing w:line="240" w:lineRule="auto"/>
        <w:jc w:val="center"/>
        <w:rPr>
          <w:rFonts w:ascii="Times" w:hAnsi="Times"/>
          <w:szCs w:val="26"/>
        </w:rPr>
      </w:pPr>
    </w:p>
    <w:p w14:paraId="792619EE" w14:textId="77777777" w:rsidR="00D456DF" w:rsidRPr="003D6E09" w:rsidRDefault="00D456DF" w:rsidP="00D456DF">
      <w:pPr>
        <w:spacing w:line="240" w:lineRule="auto"/>
        <w:jc w:val="center"/>
        <w:rPr>
          <w:rFonts w:ascii="Times" w:hAnsi="Times"/>
          <w:szCs w:val="26"/>
        </w:rPr>
      </w:pPr>
      <w:r w:rsidRPr="003D6E09">
        <w:rPr>
          <w:rFonts w:ascii="Times" w:hAnsi="Times"/>
          <w:szCs w:val="26"/>
        </w:rPr>
        <w:t>DIVISION ONE</w:t>
      </w:r>
    </w:p>
    <w:p w14:paraId="45BDAC2F" w14:textId="77777777" w:rsidR="00D456DF" w:rsidRPr="003D6E09" w:rsidRDefault="00D456DF" w:rsidP="00D456DF">
      <w:pPr>
        <w:spacing w:line="240" w:lineRule="auto"/>
        <w:jc w:val="center"/>
        <w:rPr>
          <w:rFonts w:ascii="Times" w:hAnsi="Times"/>
          <w:szCs w:val="26"/>
        </w:rPr>
      </w:pPr>
    </w:p>
    <w:p w14:paraId="18835022" w14:textId="77777777" w:rsidR="00D456DF" w:rsidRPr="003D6E09" w:rsidRDefault="00D456DF" w:rsidP="00D456DF">
      <w:pPr>
        <w:spacing w:line="240" w:lineRule="auto"/>
        <w:jc w:val="center"/>
        <w:rPr>
          <w:rFonts w:ascii="Times" w:hAnsi="Times"/>
          <w:szCs w:val="26"/>
        </w:rPr>
      </w:pPr>
      <w:r w:rsidRPr="003D6E09">
        <w:rPr>
          <w:rFonts w:ascii="Times" w:hAnsi="Times"/>
          <w:szCs w:val="26"/>
        </w:rPr>
        <w:t>STATE OF CALIFORNIA</w:t>
      </w:r>
    </w:p>
    <w:p w14:paraId="00A5DFA7" w14:textId="77777777" w:rsidR="00D456DF" w:rsidRPr="003D6E09" w:rsidRDefault="00D456DF" w:rsidP="00D456DF">
      <w:pPr>
        <w:spacing w:line="240" w:lineRule="auto"/>
        <w:jc w:val="center"/>
        <w:rPr>
          <w:rFonts w:ascii="Times" w:hAnsi="Times"/>
          <w:szCs w:val="26"/>
        </w:rPr>
      </w:pPr>
    </w:p>
    <w:p w14:paraId="7681BF17" w14:textId="77777777" w:rsidR="00D456DF" w:rsidRPr="003D6E09" w:rsidRDefault="00D456DF" w:rsidP="00D456DF">
      <w:pPr>
        <w:spacing w:line="240" w:lineRule="auto"/>
        <w:jc w:val="center"/>
        <w:rPr>
          <w:rFonts w:ascii="Times" w:hAnsi="Times"/>
          <w:szCs w:val="26"/>
        </w:rPr>
      </w:pPr>
    </w:p>
    <w:p w14:paraId="6A8CC2C0" w14:textId="77777777" w:rsidR="00D456DF" w:rsidRPr="003D6E09" w:rsidRDefault="00D456DF" w:rsidP="00D456DF">
      <w:pPr>
        <w:spacing w:line="240" w:lineRule="auto"/>
        <w:jc w:val="center"/>
        <w:rPr>
          <w:rFonts w:ascii="Times" w:hAnsi="Times"/>
          <w:szCs w:val="26"/>
        </w:rPr>
      </w:pPr>
    </w:p>
    <w:tbl>
      <w:tblPr>
        <w:tblW w:w="9360" w:type="dxa"/>
        <w:tblLayout w:type="fixed"/>
        <w:tblLook w:val="0000" w:firstRow="0" w:lastRow="0" w:firstColumn="0" w:lastColumn="0" w:noHBand="0" w:noVBand="0"/>
      </w:tblPr>
      <w:tblGrid>
        <w:gridCol w:w="5040"/>
        <w:gridCol w:w="4320"/>
      </w:tblGrid>
      <w:tr w:rsidR="00D456DF" w:rsidRPr="003D6E09" w14:paraId="598A8B91" w14:textId="77777777" w:rsidTr="00D456DF">
        <w:tc>
          <w:tcPr>
            <w:tcW w:w="5040" w:type="dxa"/>
            <w:tcBorders>
              <w:bottom w:val="single" w:sz="4" w:space="0" w:color="auto"/>
              <w:right w:val="single" w:sz="4" w:space="0" w:color="auto"/>
            </w:tcBorders>
            <w:shd w:val="clear" w:color="auto" w:fill="auto"/>
          </w:tcPr>
          <w:p w14:paraId="35182C9F" w14:textId="77777777" w:rsidR="00D456DF" w:rsidRPr="003D6E09" w:rsidRDefault="00D456DF" w:rsidP="00D456DF">
            <w:pPr>
              <w:spacing w:line="240" w:lineRule="auto"/>
              <w:rPr>
                <w:rFonts w:ascii="Times" w:hAnsi="Times"/>
                <w:szCs w:val="26"/>
              </w:rPr>
            </w:pPr>
            <w:r w:rsidRPr="003D6E09">
              <w:rPr>
                <w:rFonts w:ascii="Times" w:hAnsi="Times"/>
                <w:szCs w:val="26"/>
              </w:rPr>
              <w:t>JPMORGAN CHASE BANK, N.A.,</w:t>
            </w:r>
          </w:p>
          <w:p w14:paraId="7B74A6AD" w14:textId="77777777" w:rsidR="00D456DF" w:rsidRPr="003D6E09" w:rsidRDefault="00D456DF" w:rsidP="00D456DF">
            <w:pPr>
              <w:spacing w:line="240" w:lineRule="auto"/>
              <w:rPr>
                <w:rFonts w:ascii="Times" w:hAnsi="Times"/>
                <w:szCs w:val="26"/>
              </w:rPr>
            </w:pPr>
          </w:p>
          <w:p w14:paraId="452B2FA9" w14:textId="77777777" w:rsidR="00D456DF" w:rsidRPr="003D6E09" w:rsidRDefault="00D456DF" w:rsidP="00D456DF">
            <w:pPr>
              <w:spacing w:line="240" w:lineRule="auto"/>
              <w:rPr>
                <w:rFonts w:ascii="Times" w:hAnsi="Times"/>
                <w:szCs w:val="26"/>
              </w:rPr>
            </w:pPr>
            <w:r w:rsidRPr="003D6E09">
              <w:rPr>
                <w:rFonts w:ascii="Times" w:hAnsi="Times"/>
                <w:szCs w:val="26"/>
              </w:rPr>
              <w:tab/>
              <w:t>Plaintiff and Appellant,</w:t>
            </w:r>
          </w:p>
          <w:p w14:paraId="24D04721" w14:textId="77777777" w:rsidR="00D456DF" w:rsidRPr="003D6E09" w:rsidRDefault="00D456DF" w:rsidP="00D456DF">
            <w:pPr>
              <w:spacing w:line="240" w:lineRule="auto"/>
              <w:rPr>
                <w:rFonts w:ascii="Times" w:hAnsi="Times"/>
                <w:szCs w:val="26"/>
              </w:rPr>
            </w:pPr>
          </w:p>
          <w:p w14:paraId="65458392" w14:textId="77777777" w:rsidR="00D456DF" w:rsidRPr="003D6E09" w:rsidRDefault="00D456DF" w:rsidP="00D456DF">
            <w:pPr>
              <w:spacing w:line="240" w:lineRule="auto"/>
              <w:rPr>
                <w:rFonts w:ascii="Times" w:hAnsi="Times"/>
                <w:szCs w:val="26"/>
              </w:rPr>
            </w:pPr>
            <w:r w:rsidRPr="003D6E09">
              <w:rPr>
                <w:rFonts w:ascii="Times" w:hAnsi="Times"/>
                <w:szCs w:val="26"/>
              </w:rPr>
              <w:tab/>
              <w:t>v.</w:t>
            </w:r>
          </w:p>
          <w:p w14:paraId="36D555ED" w14:textId="77777777" w:rsidR="00D456DF" w:rsidRPr="003D6E09" w:rsidRDefault="00D456DF" w:rsidP="00D456DF">
            <w:pPr>
              <w:spacing w:line="240" w:lineRule="auto"/>
              <w:rPr>
                <w:rFonts w:ascii="Times" w:hAnsi="Times"/>
                <w:szCs w:val="26"/>
              </w:rPr>
            </w:pPr>
          </w:p>
          <w:p w14:paraId="314E2F6E" w14:textId="77777777" w:rsidR="00D456DF" w:rsidRDefault="005327D2" w:rsidP="00D456DF">
            <w:pPr>
              <w:spacing w:line="240" w:lineRule="auto"/>
              <w:rPr>
                <w:rFonts w:ascii="Times" w:hAnsi="Times"/>
                <w:szCs w:val="26"/>
              </w:rPr>
            </w:pPr>
            <w:r>
              <w:rPr>
                <w:rFonts w:ascii="Times" w:hAnsi="Times"/>
                <w:szCs w:val="26"/>
              </w:rPr>
              <w:t>DAVID WARD, as Successor Trustee, etc.</w:t>
            </w:r>
            <w:r w:rsidR="00B0064E">
              <w:rPr>
                <w:rFonts w:ascii="Times" w:hAnsi="Times"/>
                <w:szCs w:val="26"/>
              </w:rPr>
              <w:t>,</w:t>
            </w:r>
            <w:r>
              <w:rPr>
                <w:rFonts w:ascii="Times" w:hAnsi="Times"/>
                <w:szCs w:val="26"/>
              </w:rPr>
              <w:t xml:space="preserve"> </w:t>
            </w:r>
          </w:p>
          <w:p w14:paraId="1F7E49A2" w14:textId="77777777" w:rsidR="005327D2" w:rsidRPr="003D6E09" w:rsidRDefault="005327D2" w:rsidP="00D456DF">
            <w:pPr>
              <w:spacing w:line="240" w:lineRule="auto"/>
              <w:rPr>
                <w:rFonts w:ascii="Times" w:hAnsi="Times"/>
                <w:szCs w:val="26"/>
              </w:rPr>
            </w:pPr>
          </w:p>
          <w:p w14:paraId="4ADB87F2" w14:textId="77777777" w:rsidR="00D456DF" w:rsidRPr="003D6E09" w:rsidRDefault="00D456DF" w:rsidP="00D456DF">
            <w:pPr>
              <w:spacing w:line="240" w:lineRule="auto"/>
              <w:rPr>
                <w:rFonts w:ascii="Times" w:hAnsi="Times"/>
                <w:szCs w:val="26"/>
              </w:rPr>
            </w:pPr>
            <w:r w:rsidRPr="003D6E09">
              <w:rPr>
                <w:rFonts w:ascii="Times" w:hAnsi="Times"/>
                <w:szCs w:val="26"/>
              </w:rPr>
              <w:tab/>
              <w:t>Defendant and Respondent.</w:t>
            </w:r>
          </w:p>
          <w:p w14:paraId="62FB1C50" w14:textId="77777777" w:rsidR="00D456DF" w:rsidRPr="003D6E09" w:rsidRDefault="00D456DF" w:rsidP="00D456DF">
            <w:pPr>
              <w:spacing w:line="240" w:lineRule="auto"/>
              <w:rPr>
                <w:rFonts w:ascii="Times" w:hAnsi="Times"/>
                <w:szCs w:val="26"/>
              </w:rPr>
            </w:pPr>
          </w:p>
        </w:tc>
        <w:tc>
          <w:tcPr>
            <w:tcW w:w="4320" w:type="dxa"/>
            <w:tcBorders>
              <w:left w:val="single" w:sz="4" w:space="0" w:color="auto"/>
            </w:tcBorders>
            <w:shd w:val="clear" w:color="auto" w:fill="auto"/>
          </w:tcPr>
          <w:p w14:paraId="567A1B41" w14:textId="77777777" w:rsidR="00D456DF" w:rsidRPr="003D6E09" w:rsidRDefault="00D456DF" w:rsidP="00D456DF">
            <w:pPr>
              <w:tabs>
                <w:tab w:val="left" w:pos="144"/>
              </w:tabs>
              <w:spacing w:line="240" w:lineRule="auto"/>
              <w:rPr>
                <w:rFonts w:ascii="Times" w:hAnsi="Times"/>
                <w:szCs w:val="26"/>
              </w:rPr>
            </w:pPr>
            <w:r w:rsidRPr="003D6E09">
              <w:rPr>
                <w:rFonts w:ascii="Times" w:hAnsi="Times"/>
                <w:szCs w:val="26"/>
              </w:rPr>
              <w:t xml:space="preserve">  D073378</w:t>
            </w:r>
          </w:p>
          <w:p w14:paraId="25745F90" w14:textId="77777777" w:rsidR="00D456DF" w:rsidRPr="003D6E09" w:rsidRDefault="00D456DF" w:rsidP="00D456DF">
            <w:pPr>
              <w:tabs>
                <w:tab w:val="left" w:pos="144"/>
              </w:tabs>
              <w:spacing w:line="240" w:lineRule="auto"/>
              <w:rPr>
                <w:rFonts w:ascii="Times" w:hAnsi="Times"/>
                <w:szCs w:val="26"/>
              </w:rPr>
            </w:pPr>
          </w:p>
          <w:p w14:paraId="7C82CDB5" w14:textId="77777777" w:rsidR="00D456DF" w:rsidRPr="003D6E09" w:rsidRDefault="00D456DF" w:rsidP="00D456DF">
            <w:pPr>
              <w:tabs>
                <w:tab w:val="left" w:pos="144"/>
              </w:tabs>
              <w:spacing w:line="240" w:lineRule="auto"/>
              <w:rPr>
                <w:rFonts w:ascii="Times" w:hAnsi="Times"/>
                <w:szCs w:val="26"/>
              </w:rPr>
            </w:pPr>
          </w:p>
          <w:p w14:paraId="411A9403" w14:textId="77777777" w:rsidR="00D456DF" w:rsidRPr="003D6E09" w:rsidRDefault="00D456DF" w:rsidP="00D456DF">
            <w:pPr>
              <w:tabs>
                <w:tab w:val="left" w:pos="144"/>
              </w:tabs>
              <w:spacing w:line="240" w:lineRule="auto"/>
              <w:rPr>
                <w:rFonts w:ascii="Times" w:hAnsi="Times"/>
                <w:szCs w:val="26"/>
              </w:rPr>
            </w:pPr>
          </w:p>
          <w:p w14:paraId="33AD094A" w14:textId="77777777" w:rsidR="00655460" w:rsidRDefault="00D456DF" w:rsidP="00D456DF">
            <w:pPr>
              <w:tabs>
                <w:tab w:val="left" w:pos="144"/>
              </w:tabs>
              <w:spacing w:line="240" w:lineRule="auto"/>
              <w:rPr>
                <w:rFonts w:ascii="Times" w:hAnsi="Times"/>
                <w:szCs w:val="26"/>
              </w:rPr>
            </w:pPr>
            <w:r w:rsidRPr="003D6E09">
              <w:rPr>
                <w:rFonts w:ascii="Times" w:hAnsi="Times"/>
                <w:szCs w:val="26"/>
              </w:rPr>
              <w:t xml:space="preserve">  (Super. Ct. </w:t>
            </w:r>
          </w:p>
          <w:p w14:paraId="104A1954" w14:textId="77777777" w:rsidR="00D456DF" w:rsidRPr="003D6E09" w:rsidRDefault="00655460" w:rsidP="00D456DF">
            <w:pPr>
              <w:tabs>
                <w:tab w:val="left" w:pos="144"/>
              </w:tabs>
              <w:spacing w:line="240" w:lineRule="auto"/>
              <w:rPr>
                <w:rFonts w:ascii="Times" w:hAnsi="Times"/>
                <w:szCs w:val="26"/>
              </w:rPr>
            </w:pPr>
            <w:r>
              <w:rPr>
                <w:rFonts w:ascii="Times" w:hAnsi="Times"/>
                <w:szCs w:val="26"/>
              </w:rPr>
              <w:t xml:space="preserve">   </w:t>
            </w:r>
            <w:r w:rsidR="00D456DF" w:rsidRPr="003D6E09">
              <w:rPr>
                <w:rFonts w:ascii="Times" w:hAnsi="Times"/>
                <w:szCs w:val="26"/>
              </w:rPr>
              <w:t>No. 37-2013-00044721</w:t>
            </w:r>
            <w:r>
              <w:rPr>
                <w:rFonts w:ascii="Times" w:hAnsi="Times"/>
                <w:szCs w:val="26"/>
              </w:rPr>
              <w:t>-CU-OR-NC</w:t>
            </w:r>
            <w:r w:rsidR="00D456DF" w:rsidRPr="003D6E09">
              <w:rPr>
                <w:rFonts w:ascii="Times" w:hAnsi="Times"/>
                <w:szCs w:val="26"/>
              </w:rPr>
              <w:t>)</w:t>
            </w:r>
          </w:p>
          <w:p w14:paraId="05BA5CE6" w14:textId="77777777" w:rsidR="00D456DF" w:rsidRPr="003D6E09" w:rsidRDefault="00D456DF" w:rsidP="00D456DF">
            <w:pPr>
              <w:tabs>
                <w:tab w:val="left" w:pos="144"/>
              </w:tabs>
              <w:spacing w:line="240" w:lineRule="auto"/>
              <w:rPr>
                <w:rFonts w:ascii="Times" w:hAnsi="Times"/>
                <w:szCs w:val="26"/>
              </w:rPr>
            </w:pPr>
          </w:p>
        </w:tc>
      </w:tr>
    </w:tbl>
    <w:p w14:paraId="3319135E" w14:textId="77777777" w:rsidR="00D456DF" w:rsidRPr="003D6E09" w:rsidRDefault="00D456DF" w:rsidP="00D456DF">
      <w:pPr>
        <w:spacing w:line="240" w:lineRule="auto"/>
        <w:rPr>
          <w:rFonts w:ascii="Times" w:hAnsi="Times"/>
          <w:szCs w:val="26"/>
        </w:rPr>
      </w:pPr>
    </w:p>
    <w:p w14:paraId="6408C0E2" w14:textId="77777777" w:rsidR="00D456DF" w:rsidRPr="003D6E09" w:rsidRDefault="00D456DF" w:rsidP="00D456DF">
      <w:pPr>
        <w:rPr>
          <w:rFonts w:ascii="Times" w:hAnsi="Times"/>
          <w:szCs w:val="26"/>
        </w:rPr>
      </w:pPr>
      <w:r w:rsidRPr="003D6E09">
        <w:rPr>
          <w:rFonts w:ascii="Times" w:hAnsi="Times"/>
          <w:szCs w:val="26"/>
        </w:rPr>
        <w:tab/>
        <w:t>APPEAL from a judgment of the Superior Court of San Diego County, Timothy</w:t>
      </w:r>
      <w:r w:rsidR="00AC04D7">
        <w:rPr>
          <w:rFonts w:ascii="Times" w:hAnsi="Times"/>
          <w:szCs w:val="26"/>
        </w:rPr>
        <w:t> </w:t>
      </w:r>
      <w:r w:rsidRPr="003D6E09">
        <w:rPr>
          <w:rFonts w:ascii="Times" w:hAnsi="Times"/>
          <w:szCs w:val="26"/>
        </w:rPr>
        <w:t>M</w:t>
      </w:r>
      <w:r w:rsidR="00AC04D7" w:rsidRPr="003D6E09">
        <w:rPr>
          <w:rFonts w:ascii="Times" w:hAnsi="Times"/>
          <w:szCs w:val="26"/>
        </w:rPr>
        <w:t>.</w:t>
      </w:r>
      <w:r w:rsidR="00AC04D7">
        <w:rPr>
          <w:rFonts w:ascii="Times" w:hAnsi="Times"/>
          <w:szCs w:val="26"/>
        </w:rPr>
        <w:t> </w:t>
      </w:r>
      <w:proofErr w:type="spellStart"/>
      <w:r w:rsidRPr="003D6E09">
        <w:rPr>
          <w:rFonts w:ascii="Times" w:hAnsi="Times"/>
          <w:szCs w:val="26"/>
        </w:rPr>
        <w:t>Casserly</w:t>
      </w:r>
      <w:proofErr w:type="spellEnd"/>
      <w:r w:rsidRPr="003D6E09">
        <w:rPr>
          <w:rFonts w:ascii="Times" w:hAnsi="Times"/>
          <w:szCs w:val="26"/>
        </w:rPr>
        <w:t>, Judge.  Reversed.</w:t>
      </w:r>
    </w:p>
    <w:p w14:paraId="3EDC7FBC" w14:textId="6ED36CE5" w:rsidR="00D456DF" w:rsidRPr="003D6E09" w:rsidRDefault="00D456DF" w:rsidP="00D456DF">
      <w:pPr>
        <w:rPr>
          <w:rFonts w:ascii="Times" w:hAnsi="Times"/>
          <w:szCs w:val="26"/>
        </w:rPr>
      </w:pPr>
      <w:r w:rsidRPr="003D6E09">
        <w:rPr>
          <w:rFonts w:ascii="Times" w:hAnsi="Times"/>
          <w:szCs w:val="26"/>
        </w:rPr>
        <w:tab/>
      </w:r>
      <w:r w:rsidR="00EE213E" w:rsidRPr="003D6E09">
        <w:rPr>
          <w:rFonts w:ascii="Times" w:hAnsi="Times"/>
          <w:szCs w:val="26"/>
        </w:rPr>
        <w:t>Dillon Miller &amp; Ahuja, Scott Alan Miller and Jessica Rasmussen for Plaintiff and Appellant.</w:t>
      </w:r>
    </w:p>
    <w:p w14:paraId="2C1D1CC6" w14:textId="77777777" w:rsidR="00EE213E" w:rsidRPr="003D6E09" w:rsidRDefault="00EE213E" w:rsidP="00D456DF">
      <w:pPr>
        <w:rPr>
          <w:rFonts w:ascii="Times" w:hAnsi="Times"/>
          <w:szCs w:val="26"/>
        </w:rPr>
      </w:pPr>
      <w:r w:rsidRPr="003D6E09">
        <w:rPr>
          <w:rFonts w:ascii="Times" w:hAnsi="Times"/>
          <w:szCs w:val="26"/>
        </w:rPr>
        <w:tab/>
      </w:r>
      <w:proofErr w:type="spellStart"/>
      <w:r w:rsidRPr="003D6E09">
        <w:rPr>
          <w:rFonts w:ascii="Times" w:hAnsi="Times"/>
          <w:szCs w:val="26"/>
        </w:rPr>
        <w:t>Procopio</w:t>
      </w:r>
      <w:proofErr w:type="spellEnd"/>
      <w:r w:rsidRPr="003D6E09">
        <w:rPr>
          <w:rFonts w:ascii="Times" w:hAnsi="Times"/>
          <w:szCs w:val="26"/>
        </w:rPr>
        <w:t xml:space="preserve">, Cory, Hargreaves &amp; </w:t>
      </w:r>
      <w:proofErr w:type="spellStart"/>
      <w:r w:rsidRPr="003D6E09">
        <w:rPr>
          <w:rFonts w:ascii="Times" w:hAnsi="Times"/>
          <w:szCs w:val="26"/>
        </w:rPr>
        <w:t>Savitch</w:t>
      </w:r>
      <w:proofErr w:type="spellEnd"/>
      <w:r w:rsidRPr="003D6E09">
        <w:rPr>
          <w:rFonts w:ascii="Times" w:hAnsi="Times"/>
          <w:szCs w:val="26"/>
        </w:rPr>
        <w:t>, Ken</w:t>
      </w:r>
      <w:bookmarkStart w:id="0" w:name="_GoBack"/>
      <w:bookmarkEnd w:id="0"/>
      <w:r w:rsidRPr="003D6E09">
        <w:rPr>
          <w:rFonts w:ascii="Times" w:hAnsi="Times"/>
          <w:szCs w:val="26"/>
        </w:rPr>
        <w:t xml:space="preserve">dra J. Hall </w:t>
      </w:r>
      <w:r w:rsidR="00D63A34">
        <w:rPr>
          <w:rFonts w:ascii="Times" w:hAnsi="Times"/>
          <w:szCs w:val="26"/>
        </w:rPr>
        <w:t>and</w:t>
      </w:r>
      <w:r w:rsidRPr="003D6E09">
        <w:rPr>
          <w:rFonts w:ascii="Times" w:hAnsi="Times"/>
          <w:szCs w:val="26"/>
        </w:rPr>
        <w:t xml:space="preserve"> William A. </w:t>
      </w:r>
      <w:proofErr w:type="spellStart"/>
      <w:r w:rsidRPr="003D6E09">
        <w:rPr>
          <w:rFonts w:ascii="Times" w:hAnsi="Times"/>
          <w:szCs w:val="26"/>
        </w:rPr>
        <w:t>Smelko</w:t>
      </w:r>
      <w:proofErr w:type="spellEnd"/>
      <w:r w:rsidRPr="003D6E09">
        <w:rPr>
          <w:rFonts w:ascii="Times" w:hAnsi="Times"/>
          <w:szCs w:val="26"/>
        </w:rPr>
        <w:t xml:space="preserve"> for Defendant and Respondent.</w:t>
      </w:r>
    </w:p>
    <w:p w14:paraId="73E5AAB9" w14:textId="77777777" w:rsidR="00E7290A" w:rsidRPr="003D6E09" w:rsidRDefault="00E7290A" w:rsidP="00D456DF">
      <w:pPr>
        <w:rPr>
          <w:rFonts w:ascii="Times" w:hAnsi="Times"/>
          <w:szCs w:val="26"/>
        </w:rPr>
      </w:pPr>
    </w:p>
    <w:p w14:paraId="4CD37065" w14:textId="56BCBF3C" w:rsidR="00E7290A" w:rsidRPr="003D6E09" w:rsidRDefault="00E7290A" w:rsidP="00D456DF">
      <w:pPr>
        <w:rPr>
          <w:rFonts w:ascii="Times" w:hAnsi="Times"/>
          <w:szCs w:val="26"/>
        </w:rPr>
      </w:pPr>
      <w:r w:rsidRPr="003D6E09">
        <w:rPr>
          <w:rFonts w:ascii="Times" w:hAnsi="Times"/>
          <w:szCs w:val="26"/>
        </w:rPr>
        <w:lastRenderedPageBreak/>
        <w:tab/>
        <w:t xml:space="preserve">Walter Dean Ward </w:t>
      </w:r>
      <w:r w:rsidR="00A264B7">
        <w:rPr>
          <w:rFonts w:ascii="Times" w:hAnsi="Times"/>
          <w:szCs w:val="26"/>
        </w:rPr>
        <w:t xml:space="preserve">took out a </w:t>
      </w:r>
      <w:r w:rsidR="00322A64">
        <w:rPr>
          <w:rFonts w:ascii="Times" w:hAnsi="Times"/>
          <w:szCs w:val="26"/>
        </w:rPr>
        <w:t xml:space="preserve">secured </w:t>
      </w:r>
      <w:r w:rsidR="00A264B7">
        <w:rPr>
          <w:rFonts w:ascii="Times" w:hAnsi="Times"/>
          <w:szCs w:val="26"/>
        </w:rPr>
        <w:t>loan in 2007</w:t>
      </w:r>
      <w:r w:rsidRPr="003D6E09">
        <w:rPr>
          <w:rFonts w:ascii="Times" w:hAnsi="Times"/>
          <w:szCs w:val="26"/>
        </w:rPr>
        <w:t>.</w:t>
      </w:r>
      <w:r w:rsidR="00620138" w:rsidRPr="003D6E09">
        <w:rPr>
          <w:rStyle w:val="FootnoteReference"/>
          <w:rFonts w:ascii="Times" w:hAnsi="Times"/>
          <w:szCs w:val="26"/>
        </w:rPr>
        <w:footnoteReference w:id="1"/>
      </w:r>
      <w:r w:rsidRPr="003D6E09">
        <w:rPr>
          <w:rFonts w:ascii="Times" w:hAnsi="Times"/>
          <w:szCs w:val="26"/>
        </w:rPr>
        <w:t xml:space="preserve">  </w:t>
      </w:r>
      <w:r w:rsidR="00322A64">
        <w:rPr>
          <w:rFonts w:ascii="Times" w:hAnsi="Times"/>
          <w:szCs w:val="26"/>
        </w:rPr>
        <w:t>He did not indicate whether he signed the deed of trust conveying his property to the lender in his individual capacity or in his capacity as sole trustee of the trust in which his property was held. That deed of trust (DOT) was never recorded.  Years later, the lender</w:t>
      </w:r>
      <w:r w:rsidR="00F20CA5">
        <w:rPr>
          <w:rFonts w:ascii="Times" w:hAnsi="Times"/>
          <w:szCs w:val="26"/>
        </w:rPr>
        <w:t>'</w:t>
      </w:r>
      <w:r w:rsidR="00322A64">
        <w:rPr>
          <w:rFonts w:ascii="Times" w:hAnsi="Times"/>
          <w:szCs w:val="26"/>
        </w:rPr>
        <w:t>s successor (</w:t>
      </w:r>
      <w:r w:rsidR="00322A64" w:rsidRPr="003D6E09">
        <w:rPr>
          <w:rFonts w:ascii="Times" w:hAnsi="Times"/>
          <w:szCs w:val="26"/>
        </w:rPr>
        <w:t>JPMorgan Chase Bank, N.A. (Chase)</w:t>
      </w:r>
      <w:r w:rsidR="00322A64">
        <w:rPr>
          <w:rFonts w:ascii="Times" w:hAnsi="Times"/>
          <w:szCs w:val="26"/>
        </w:rPr>
        <w:t>) asked for a replacement to foreclose.  Walter</w:t>
      </w:r>
      <w:r w:rsidR="002E24C4">
        <w:rPr>
          <w:rFonts w:ascii="Times" w:hAnsi="Times"/>
          <w:szCs w:val="26"/>
        </w:rPr>
        <w:t xml:space="preserve"> refused</w:t>
      </w:r>
      <w:r w:rsidR="00322A64">
        <w:rPr>
          <w:rFonts w:ascii="Times" w:hAnsi="Times"/>
          <w:szCs w:val="26"/>
        </w:rPr>
        <w:t>, prompting Chase to sue</w:t>
      </w:r>
      <w:r w:rsidR="002E24C4">
        <w:rPr>
          <w:rFonts w:ascii="Times" w:hAnsi="Times"/>
          <w:szCs w:val="26"/>
        </w:rPr>
        <w:t>.</w:t>
      </w:r>
      <w:r w:rsidR="00322A64">
        <w:rPr>
          <w:rFonts w:ascii="Times" w:hAnsi="Times"/>
          <w:szCs w:val="26"/>
        </w:rPr>
        <w:t xml:space="preserve">  </w:t>
      </w:r>
      <w:r w:rsidR="00681F58" w:rsidRPr="003D6E09">
        <w:rPr>
          <w:rFonts w:ascii="Times" w:hAnsi="Times"/>
          <w:szCs w:val="26"/>
        </w:rPr>
        <w:t xml:space="preserve">The trial court sustained two general demurrers </w:t>
      </w:r>
      <w:r w:rsidR="00A264B7">
        <w:rPr>
          <w:rFonts w:ascii="Times" w:hAnsi="Times"/>
          <w:szCs w:val="26"/>
        </w:rPr>
        <w:t>to Chase</w:t>
      </w:r>
      <w:r w:rsidR="00F20CA5">
        <w:rPr>
          <w:rFonts w:ascii="Times" w:hAnsi="Times"/>
          <w:szCs w:val="26"/>
        </w:rPr>
        <w:t>'</w:t>
      </w:r>
      <w:r w:rsidR="00A264B7">
        <w:rPr>
          <w:rFonts w:ascii="Times" w:hAnsi="Times"/>
          <w:szCs w:val="26"/>
        </w:rPr>
        <w:t>s complaint</w:t>
      </w:r>
      <w:r w:rsidR="00322A64">
        <w:rPr>
          <w:rFonts w:ascii="Times" w:hAnsi="Times"/>
          <w:szCs w:val="26"/>
        </w:rPr>
        <w:t>, entered a judgment of dismissal, and awarded contractual attorney fees and costs to Walter</w:t>
      </w:r>
      <w:r w:rsidR="00F20CA5">
        <w:rPr>
          <w:rFonts w:ascii="Times" w:hAnsi="Times"/>
          <w:szCs w:val="26"/>
        </w:rPr>
        <w:t>'</w:t>
      </w:r>
      <w:r w:rsidR="00322A64">
        <w:rPr>
          <w:rFonts w:ascii="Times" w:hAnsi="Times"/>
          <w:szCs w:val="26"/>
        </w:rPr>
        <w:t xml:space="preserve">s son, </w:t>
      </w:r>
      <w:r w:rsidR="005327D2">
        <w:rPr>
          <w:rFonts w:ascii="Times" w:hAnsi="Times"/>
          <w:szCs w:val="26"/>
        </w:rPr>
        <w:t xml:space="preserve">David Ward, </w:t>
      </w:r>
      <w:r w:rsidR="00A264B7">
        <w:rPr>
          <w:rFonts w:ascii="Times" w:hAnsi="Times"/>
          <w:szCs w:val="26"/>
        </w:rPr>
        <w:t>the successor trustee</w:t>
      </w:r>
      <w:r w:rsidR="00322A64">
        <w:rPr>
          <w:rFonts w:ascii="Times" w:hAnsi="Times"/>
          <w:szCs w:val="26"/>
        </w:rPr>
        <w:t xml:space="preserve"> of the trust that held the property.</w:t>
      </w:r>
    </w:p>
    <w:p w14:paraId="668BAFD3" w14:textId="77777777" w:rsidR="0002407E" w:rsidRPr="003D6E09" w:rsidRDefault="0002407E" w:rsidP="00D456DF">
      <w:pPr>
        <w:rPr>
          <w:rFonts w:ascii="Times" w:hAnsi="Times"/>
          <w:szCs w:val="26"/>
        </w:rPr>
      </w:pPr>
      <w:r w:rsidRPr="003D6E09">
        <w:rPr>
          <w:rFonts w:ascii="Times" w:hAnsi="Times"/>
          <w:szCs w:val="26"/>
        </w:rPr>
        <w:tab/>
      </w:r>
      <w:r w:rsidR="00322A64">
        <w:rPr>
          <w:rFonts w:ascii="Times" w:hAnsi="Times"/>
          <w:szCs w:val="26"/>
        </w:rPr>
        <w:t xml:space="preserve">We believe the central issue on appeal </w:t>
      </w:r>
      <w:r w:rsidR="00836814" w:rsidRPr="003D6E09">
        <w:rPr>
          <w:rFonts w:ascii="Times" w:hAnsi="Times"/>
          <w:szCs w:val="26"/>
        </w:rPr>
        <w:t xml:space="preserve">is whether Chase </w:t>
      </w:r>
      <w:r w:rsidR="00A264B7">
        <w:rPr>
          <w:rFonts w:ascii="Times" w:hAnsi="Times"/>
          <w:szCs w:val="26"/>
        </w:rPr>
        <w:t xml:space="preserve">may </w:t>
      </w:r>
      <w:r w:rsidR="00836814" w:rsidRPr="003D6E09">
        <w:rPr>
          <w:rFonts w:ascii="Times" w:hAnsi="Times"/>
          <w:szCs w:val="26"/>
        </w:rPr>
        <w:t xml:space="preserve">reframe its action </w:t>
      </w:r>
      <w:r w:rsidR="00322A64">
        <w:rPr>
          <w:rFonts w:ascii="Times" w:hAnsi="Times"/>
          <w:szCs w:val="26"/>
        </w:rPr>
        <w:t xml:space="preserve">by amendment </w:t>
      </w:r>
      <w:r w:rsidR="00A264B7">
        <w:rPr>
          <w:rFonts w:ascii="Times" w:hAnsi="Times"/>
          <w:szCs w:val="26"/>
        </w:rPr>
        <w:t xml:space="preserve">to omit </w:t>
      </w:r>
      <w:r w:rsidR="005C150A" w:rsidRPr="003D6E09">
        <w:rPr>
          <w:rFonts w:ascii="Times" w:hAnsi="Times"/>
          <w:szCs w:val="26"/>
        </w:rPr>
        <w:t>a fatal allegation in its original complaint.  Because we conclude it can</w:t>
      </w:r>
      <w:r w:rsidR="00B46423">
        <w:rPr>
          <w:rFonts w:ascii="Times" w:hAnsi="Times"/>
          <w:szCs w:val="26"/>
        </w:rPr>
        <w:t>,</w:t>
      </w:r>
      <w:r w:rsidR="00A264B7">
        <w:rPr>
          <w:rFonts w:ascii="Times" w:hAnsi="Times"/>
          <w:szCs w:val="26"/>
        </w:rPr>
        <w:t xml:space="preserve"> notwithstanding the sham pleading doctrine</w:t>
      </w:r>
      <w:r w:rsidR="005C150A" w:rsidRPr="003D6E09">
        <w:rPr>
          <w:rFonts w:ascii="Times" w:hAnsi="Times"/>
          <w:szCs w:val="26"/>
        </w:rPr>
        <w:t xml:space="preserve">, the court </w:t>
      </w:r>
      <w:r w:rsidR="00A264B7">
        <w:rPr>
          <w:rFonts w:ascii="Times" w:hAnsi="Times"/>
          <w:szCs w:val="26"/>
        </w:rPr>
        <w:t xml:space="preserve">should have granted </w:t>
      </w:r>
      <w:r w:rsidR="005C150A" w:rsidRPr="003D6E09">
        <w:rPr>
          <w:rFonts w:ascii="Times" w:hAnsi="Times"/>
          <w:szCs w:val="26"/>
        </w:rPr>
        <w:t xml:space="preserve">leave to amend.  Accordingly, we reverse the judgment and the </w:t>
      </w:r>
      <w:proofErr w:type="spellStart"/>
      <w:r w:rsidR="005C150A" w:rsidRPr="003D6E09">
        <w:rPr>
          <w:rFonts w:ascii="Times" w:hAnsi="Times"/>
          <w:szCs w:val="26"/>
        </w:rPr>
        <w:t>postjudgment</w:t>
      </w:r>
      <w:proofErr w:type="spellEnd"/>
      <w:r w:rsidR="005C150A" w:rsidRPr="003D6E09">
        <w:rPr>
          <w:rFonts w:ascii="Times" w:hAnsi="Times"/>
          <w:szCs w:val="26"/>
        </w:rPr>
        <w:t xml:space="preserve"> order and direct the court to enter a new order sustaining the general demurrers </w:t>
      </w:r>
      <w:r w:rsidR="005C150A" w:rsidRPr="00322A64">
        <w:rPr>
          <w:rFonts w:ascii="Times" w:hAnsi="Times"/>
          <w:szCs w:val="26"/>
        </w:rPr>
        <w:t>with</w:t>
      </w:r>
      <w:r w:rsidR="005C150A" w:rsidRPr="003D6E09">
        <w:rPr>
          <w:rFonts w:ascii="Times" w:hAnsi="Times"/>
          <w:i/>
          <w:szCs w:val="26"/>
        </w:rPr>
        <w:t xml:space="preserve"> </w:t>
      </w:r>
      <w:r w:rsidR="005C150A" w:rsidRPr="003D6E09">
        <w:rPr>
          <w:rFonts w:ascii="Times" w:hAnsi="Times"/>
          <w:szCs w:val="26"/>
        </w:rPr>
        <w:t>leave to amend.</w:t>
      </w:r>
    </w:p>
    <w:p w14:paraId="17E52964" w14:textId="77777777" w:rsidR="005C150A" w:rsidRPr="003D6E09" w:rsidRDefault="005C150A" w:rsidP="00620138">
      <w:pPr>
        <w:keepNext/>
        <w:jc w:val="center"/>
        <w:rPr>
          <w:rFonts w:ascii="Times" w:hAnsi="Times"/>
          <w:szCs w:val="26"/>
        </w:rPr>
      </w:pPr>
      <w:r w:rsidRPr="003D6E09">
        <w:rPr>
          <w:rFonts w:ascii="Times" w:hAnsi="Times"/>
          <w:szCs w:val="26"/>
        </w:rPr>
        <w:t>FACTUAL AND PROCEDURAL BACKGROUND</w:t>
      </w:r>
    </w:p>
    <w:p w14:paraId="4D719ED8" w14:textId="063C6E60" w:rsidR="006E7A73" w:rsidRPr="003D6E09" w:rsidRDefault="006E7A73" w:rsidP="006E7A73">
      <w:pPr>
        <w:rPr>
          <w:rFonts w:ascii="Times" w:hAnsi="Times"/>
          <w:szCs w:val="26"/>
        </w:rPr>
      </w:pPr>
      <w:r w:rsidRPr="003D6E09">
        <w:rPr>
          <w:rFonts w:ascii="Times" w:hAnsi="Times"/>
          <w:szCs w:val="26"/>
        </w:rPr>
        <w:tab/>
      </w:r>
      <w:r w:rsidR="00322A64">
        <w:rPr>
          <w:rFonts w:ascii="Times" w:hAnsi="Times"/>
          <w:szCs w:val="26"/>
        </w:rPr>
        <w:t xml:space="preserve">In 1999 </w:t>
      </w:r>
      <w:r w:rsidRPr="003D6E09">
        <w:rPr>
          <w:rFonts w:ascii="Times" w:hAnsi="Times"/>
          <w:szCs w:val="26"/>
        </w:rPr>
        <w:t xml:space="preserve">Walter </w:t>
      </w:r>
      <w:r w:rsidR="00620138" w:rsidRPr="003D6E09">
        <w:rPr>
          <w:rFonts w:ascii="Times" w:hAnsi="Times"/>
          <w:szCs w:val="26"/>
        </w:rPr>
        <w:t xml:space="preserve">and </w:t>
      </w:r>
      <w:proofErr w:type="spellStart"/>
      <w:r w:rsidR="00620138" w:rsidRPr="003D6E09">
        <w:rPr>
          <w:rFonts w:ascii="Times" w:hAnsi="Times"/>
          <w:szCs w:val="26"/>
        </w:rPr>
        <w:t>Marijane</w:t>
      </w:r>
      <w:proofErr w:type="spellEnd"/>
      <w:r w:rsidR="00620138" w:rsidRPr="003D6E09">
        <w:rPr>
          <w:rFonts w:ascii="Times" w:hAnsi="Times"/>
          <w:szCs w:val="26"/>
        </w:rPr>
        <w:t xml:space="preserve"> Ward</w:t>
      </w:r>
      <w:r w:rsidRPr="003D6E09">
        <w:rPr>
          <w:rFonts w:ascii="Times" w:hAnsi="Times"/>
          <w:szCs w:val="26"/>
        </w:rPr>
        <w:t xml:space="preserve"> acquired real property in Valley Center</w:t>
      </w:r>
      <w:r w:rsidR="00620138" w:rsidRPr="003D6E09">
        <w:rPr>
          <w:rFonts w:ascii="Times" w:hAnsi="Times"/>
          <w:szCs w:val="26"/>
        </w:rPr>
        <w:t xml:space="preserve"> </w:t>
      </w:r>
      <w:r w:rsidR="00322A64">
        <w:rPr>
          <w:rFonts w:ascii="Times" w:hAnsi="Times"/>
          <w:szCs w:val="26"/>
        </w:rPr>
        <w:t>(the property)</w:t>
      </w:r>
      <w:r w:rsidRPr="003D6E09">
        <w:rPr>
          <w:rFonts w:ascii="Times" w:hAnsi="Times"/>
          <w:szCs w:val="26"/>
        </w:rPr>
        <w:t xml:space="preserve">.  </w:t>
      </w:r>
      <w:r w:rsidR="00322A64">
        <w:rPr>
          <w:rFonts w:ascii="Times" w:hAnsi="Times"/>
          <w:szCs w:val="26"/>
        </w:rPr>
        <w:t>T</w:t>
      </w:r>
      <w:r w:rsidRPr="003D6E09">
        <w:rPr>
          <w:rFonts w:ascii="Times" w:hAnsi="Times"/>
          <w:szCs w:val="26"/>
        </w:rPr>
        <w:t xml:space="preserve">hey created </w:t>
      </w:r>
      <w:r w:rsidR="00620138" w:rsidRPr="003D6E09">
        <w:rPr>
          <w:rFonts w:ascii="Times" w:hAnsi="Times"/>
          <w:szCs w:val="26"/>
        </w:rPr>
        <w:t xml:space="preserve">the </w:t>
      </w:r>
      <w:r w:rsidR="00A264B7" w:rsidRPr="00A264B7">
        <w:rPr>
          <w:rFonts w:ascii="Times" w:hAnsi="Times"/>
          <w:szCs w:val="26"/>
        </w:rPr>
        <w:t xml:space="preserve">Walter Dean Ward and </w:t>
      </w:r>
      <w:proofErr w:type="spellStart"/>
      <w:r w:rsidR="00A264B7" w:rsidRPr="00A264B7">
        <w:rPr>
          <w:rFonts w:ascii="Times" w:hAnsi="Times"/>
          <w:szCs w:val="26"/>
        </w:rPr>
        <w:t>Marijane</w:t>
      </w:r>
      <w:proofErr w:type="spellEnd"/>
      <w:r w:rsidR="00A264B7" w:rsidRPr="00A264B7">
        <w:rPr>
          <w:rFonts w:ascii="Times" w:hAnsi="Times"/>
          <w:szCs w:val="26"/>
        </w:rPr>
        <w:t xml:space="preserve"> Frances Ward Trust Dated January 5, 1996 </w:t>
      </w:r>
      <w:r w:rsidR="00A264B7">
        <w:rPr>
          <w:rFonts w:ascii="Times" w:hAnsi="Times"/>
          <w:szCs w:val="26"/>
        </w:rPr>
        <w:t>(</w:t>
      </w:r>
      <w:r w:rsidR="00322A64">
        <w:rPr>
          <w:rFonts w:ascii="Times" w:hAnsi="Times"/>
          <w:szCs w:val="26"/>
        </w:rPr>
        <w:t xml:space="preserve">the </w:t>
      </w:r>
      <w:r w:rsidR="00A264B7">
        <w:rPr>
          <w:rFonts w:ascii="Times" w:hAnsi="Times"/>
          <w:szCs w:val="26"/>
        </w:rPr>
        <w:t xml:space="preserve">Trust) </w:t>
      </w:r>
      <w:r w:rsidR="00322A64">
        <w:rPr>
          <w:rFonts w:ascii="Times" w:hAnsi="Times"/>
          <w:szCs w:val="26"/>
        </w:rPr>
        <w:t xml:space="preserve">in 2002 </w:t>
      </w:r>
      <w:r w:rsidRPr="003D6E09">
        <w:rPr>
          <w:rFonts w:ascii="Times" w:hAnsi="Times"/>
          <w:szCs w:val="26"/>
        </w:rPr>
        <w:t xml:space="preserve">and conveyed the property to it by grant deed.  When </w:t>
      </w:r>
      <w:proofErr w:type="spellStart"/>
      <w:r w:rsidRPr="003D6E09">
        <w:rPr>
          <w:rFonts w:ascii="Times" w:hAnsi="Times"/>
          <w:szCs w:val="26"/>
        </w:rPr>
        <w:t>Marijane</w:t>
      </w:r>
      <w:proofErr w:type="spellEnd"/>
      <w:r w:rsidRPr="003D6E09">
        <w:rPr>
          <w:rFonts w:ascii="Times" w:hAnsi="Times"/>
          <w:szCs w:val="26"/>
        </w:rPr>
        <w:t xml:space="preserve"> </w:t>
      </w:r>
      <w:r w:rsidR="00A264B7">
        <w:rPr>
          <w:rFonts w:ascii="Times" w:hAnsi="Times"/>
          <w:szCs w:val="26"/>
        </w:rPr>
        <w:t>passed away</w:t>
      </w:r>
      <w:r w:rsidRPr="003D6E09">
        <w:rPr>
          <w:rFonts w:ascii="Times" w:hAnsi="Times"/>
          <w:szCs w:val="26"/>
        </w:rPr>
        <w:t xml:space="preserve"> </w:t>
      </w:r>
      <w:r w:rsidR="00A264B7">
        <w:rPr>
          <w:rFonts w:ascii="Times" w:hAnsi="Times"/>
          <w:szCs w:val="26"/>
        </w:rPr>
        <w:t>in December 2002</w:t>
      </w:r>
      <w:r w:rsidRPr="003D6E09">
        <w:rPr>
          <w:rFonts w:ascii="Times" w:hAnsi="Times"/>
          <w:szCs w:val="26"/>
        </w:rPr>
        <w:t>, Walter became the sole successor trustee</w:t>
      </w:r>
      <w:r w:rsidR="00620138" w:rsidRPr="003D6E09">
        <w:rPr>
          <w:rFonts w:ascii="Times" w:hAnsi="Times"/>
          <w:szCs w:val="26"/>
        </w:rPr>
        <w:t xml:space="preserve"> </w:t>
      </w:r>
      <w:r w:rsidR="00322A64">
        <w:rPr>
          <w:rFonts w:ascii="Times" w:hAnsi="Times"/>
          <w:szCs w:val="26"/>
        </w:rPr>
        <w:t xml:space="preserve">and lifetime beneficiary </w:t>
      </w:r>
      <w:r w:rsidR="00620138" w:rsidRPr="003D6E09">
        <w:rPr>
          <w:rFonts w:ascii="Times" w:hAnsi="Times"/>
          <w:szCs w:val="26"/>
        </w:rPr>
        <w:t>of the Trust</w:t>
      </w:r>
      <w:r w:rsidRPr="003D6E09">
        <w:rPr>
          <w:rFonts w:ascii="Times" w:hAnsi="Times"/>
          <w:szCs w:val="26"/>
        </w:rPr>
        <w:t xml:space="preserve">. </w:t>
      </w:r>
    </w:p>
    <w:p w14:paraId="1AE7A32E" w14:textId="3CD7DF5F" w:rsidR="006E7A73" w:rsidRPr="003D6E09" w:rsidRDefault="006E7A73" w:rsidP="006E7A73">
      <w:pPr>
        <w:rPr>
          <w:rFonts w:ascii="Times" w:hAnsi="Times"/>
          <w:szCs w:val="26"/>
        </w:rPr>
      </w:pPr>
      <w:r w:rsidRPr="003D6E09">
        <w:rPr>
          <w:rFonts w:ascii="Times" w:hAnsi="Times"/>
          <w:szCs w:val="26"/>
        </w:rPr>
        <w:lastRenderedPageBreak/>
        <w:tab/>
        <w:t>In December 2007 Walter took out a loan for $402,876.  As security</w:t>
      </w:r>
      <w:r w:rsidR="00322A64">
        <w:rPr>
          <w:rFonts w:ascii="Times" w:hAnsi="Times"/>
          <w:szCs w:val="26"/>
        </w:rPr>
        <w:t xml:space="preserve"> he pledged </w:t>
      </w:r>
      <w:r w:rsidR="008334A4">
        <w:rPr>
          <w:rFonts w:ascii="Times" w:hAnsi="Times"/>
          <w:szCs w:val="26"/>
        </w:rPr>
        <w:t>the</w:t>
      </w:r>
      <w:r w:rsidR="00322A64">
        <w:rPr>
          <w:rFonts w:ascii="Times" w:hAnsi="Times"/>
          <w:szCs w:val="26"/>
        </w:rPr>
        <w:t xml:space="preserve"> property </w:t>
      </w:r>
      <w:r w:rsidRPr="003D6E09">
        <w:rPr>
          <w:rFonts w:ascii="Times" w:hAnsi="Times"/>
          <w:szCs w:val="26"/>
        </w:rPr>
        <w:t xml:space="preserve">to </w:t>
      </w:r>
      <w:r w:rsidR="008334A4">
        <w:rPr>
          <w:rFonts w:ascii="Times" w:hAnsi="Times"/>
          <w:szCs w:val="26"/>
        </w:rPr>
        <w:t xml:space="preserve">lender </w:t>
      </w:r>
      <w:r w:rsidRPr="003D6E09">
        <w:rPr>
          <w:rFonts w:ascii="Times" w:hAnsi="Times"/>
          <w:szCs w:val="26"/>
        </w:rPr>
        <w:t>Washington Mutual</w:t>
      </w:r>
      <w:r w:rsidR="00900A84">
        <w:rPr>
          <w:rFonts w:ascii="Times" w:hAnsi="Times"/>
          <w:szCs w:val="26"/>
        </w:rPr>
        <w:t xml:space="preserve"> Bank</w:t>
      </w:r>
      <w:r w:rsidRPr="003D6E09">
        <w:rPr>
          <w:rFonts w:ascii="Times" w:hAnsi="Times"/>
          <w:szCs w:val="26"/>
        </w:rPr>
        <w:t xml:space="preserve">.  The notary public certified </w:t>
      </w:r>
      <w:r w:rsidR="001A173A">
        <w:rPr>
          <w:rFonts w:ascii="Times" w:hAnsi="Times"/>
          <w:szCs w:val="26"/>
        </w:rPr>
        <w:t>t</w:t>
      </w:r>
      <w:r w:rsidRPr="003D6E09">
        <w:rPr>
          <w:rFonts w:ascii="Times" w:hAnsi="Times"/>
          <w:szCs w:val="26"/>
        </w:rPr>
        <w:t xml:space="preserve">hat Walter executed the security instrument in his </w:t>
      </w:r>
      <w:r w:rsidR="00F20CA5">
        <w:rPr>
          <w:rFonts w:ascii="Times" w:hAnsi="Times"/>
          <w:szCs w:val="26"/>
        </w:rPr>
        <w:t>"</w:t>
      </w:r>
      <w:r w:rsidRPr="003D6E09">
        <w:rPr>
          <w:rFonts w:ascii="Times" w:hAnsi="Times"/>
          <w:szCs w:val="26"/>
        </w:rPr>
        <w:t>authorized capacity.</w:t>
      </w:r>
      <w:r w:rsidR="00F20CA5">
        <w:rPr>
          <w:rFonts w:ascii="Times" w:hAnsi="Times"/>
          <w:szCs w:val="26"/>
        </w:rPr>
        <w:t>"</w:t>
      </w:r>
      <w:r w:rsidRPr="003D6E09">
        <w:rPr>
          <w:rFonts w:ascii="Times" w:hAnsi="Times"/>
          <w:szCs w:val="26"/>
        </w:rPr>
        <w:t xml:space="preserve">  </w:t>
      </w:r>
      <w:r w:rsidR="001A173A">
        <w:rPr>
          <w:rFonts w:ascii="Times" w:hAnsi="Times"/>
          <w:szCs w:val="26"/>
        </w:rPr>
        <w:t xml:space="preserve">Walter signed </w:t>
      </w:r>
      <w:r w:rsidR="00B67AD7" w:rsidRPr="003D6E09">
        <w:rPr>
          <w:rFonts w:ascii="Times" w:hAnsi="Times"/>
          <w:szCs w:val="26"/>
        </w:rPr>
        <w:t>the DOT in his name</w:t>
      </w:r>
      <w:r w:rsidR="001A173A">
        <w:rPr>
          <w:rFonts w:ascii="Times" w:hAnsi="Times"/>
          <w:szCs w:val="26"/>
        </w:rPr>
        <w:t xml:space="preserve"> and represented in the note</w:t>
      </w:r>
      <w:r w:rsidR="00B67AD7" w:rsidRPr="003D6E09">
        <w:rPr>
          <w:rFonts w:ascii="Times" w:hAnsi="Times"/>
          <w:szCs w:val="26"/>
        </w:rPr>
        <w:t xml:space="preserve"> that he </w:t>
      </w:r>
      <w:r w:rsidR="00F20CA5">
        <w:rPr>
          <w:rFonts w:ascii="Times" w:hAnsi="Times"/>
          <w:szCs w:val="26"/>
        </w:rPr>
        <w:t>"</w:t>
      </w:r>
      <w:r w:rsidR="00B67AD7" w:rsidRPr="003D6E09">
        <w:rPr>
          <w:rFonts w:ascii="Times" w:hAnsi="Times"/>
          <w:szCs w:val="26"/>
        </w:rPr>
        <w:t>ha</w:t>
      </w:r>
      <w:r w:rsidR="001A173A">
        <w:rPr>
          <w:rFonts w:ascii="Times" w:hAnsi="Times"/>
          <w:szCs w:val="26"/>
        </w:rPr>
        <w:t>[d]</w:t>
      </w:r>
      <w:r w:rsidR="00B67AD7" w:rsidRPr="003D6E09">
        <w:rPr>
          <w:rFonts w:ascii="Times" w:hAnsi="Times"/>
          <w:szCs w:val="26"/>
        </w:rPr>
        <w:t xml:space="preserve"> the right to grant and convey the Property.</w:t>
      </w:r>
      <w:r w:rsidR="00F20CA5">
        <w:rPr>
          <w:rFonts w:ascii="Times" w:hAnsi="Times"/>
          <w:szCs w:val="26"/>
        </w:rPr>
        <w:t>"</w:t>
      </w:r>
      <w:r w:rsidR="00B67AD7" w:rsidRPr="003D6E09">
        <w:rPr>
          <w:rFonts w:ascii="Times" w:hAnsi="Times"/>
          <w:szCs w:val="26"/>
        </w:rPr>
        <w:t xml:space="preserve"> </w:t>
      </w:r>
    </w:p>
    <w:p w14:paraId="436BE5F7" w14:textId="61CAAFE1" w:rsidR="006E7A73" w:rsidRPr="003D6E09" w:rsidRDefault="006E7A73" w:rsidP="006E7A73">
      <w:pPr>
        <w:rPr>
          <w:rFonts w:ascii="Times" w:hAnsi="Times"/>
          <w:szCs w:val="26"/>
        </w:rPr>
      </w:pPr>
      <w:r w:rsidRPr="003D6E09">
        <w:rPr>
          <w:rFonts w:ascii="Times" w:hAnsi="Times"/>
          <w:szCs w:val="26"/>
        </w:rPr>
        <w:tab/>
        <w:t xml:space="preserve">The original </w:t>
      </w:r>
      <w:r w:rsidR="00B67AD7" w:rsidRPr="003D6E09">
        <w:rPr>
          <w:rFonts w:ascii="Times" w:hAnsi="Times"/>
          <w:szCs w:val="26"/>
        </w:rPr>
        <w:t>DOT</w:t>
      </w:r>
      <w:r w:rsidRPr="003D6E09">
        <w:rPr>
          <w:rFonts w:ascii="Times" w:hAnsi="Times"/>
          <w:szCs w:val="26"/>
        </w:rPr>
        <w:t xml:space="preserve"> was never recorded and was later lost, damaged, or destroyed.  </w:t>
      </w:r>
      <w:r w:rsidR="00B67AD7" w:rsidRPr="003D6E09">
        <w:rPr>
          <w:rFonts w:ascii="Times" w:hAnsi="Times"/>
          <w:szCs w:val="26"/>
        </w:rPr>
        <w:t>The copy s</w:t>
      </w:r>
      <w:r w:rsidRPr="003D6E09">
        <w:rPr>
          <w:rFonts w:ascii="Times" w:hAnsi="Times"/>
          <w:szCs w:val="26"/>
        </w:rPr>
        <w:t>ent to</w:t>
      </w:r>
      <w:r w:rsidR="00A264B7">
        <w:rPr>
          <w:rFonts w:ascii="Times" w:hAnsi="Times"/>
          <w:szCs w:val="26"/>
        </w:rPr>
        <w:t xml:space="preserve"> Washington Mutual</w:t>
      </w:r>
      <w:r w:rsidR="00B67AD7" w:rsidRPr="003D6E09">
        <w:rPr>
          <w:rFonts w:ascii="Times" w:hAnsi="Times"/>
          <w:szCs w:val="26"/>
        </w:rPr>
        <w:t xml:space="preserve"> could not be recorded b</w:t>
      </w:r>
      <w:r w:rsidRPr="003D6E09">
        <w:rPr>
          <w:rFonts w:ascii="Times" w:hAnsi="Times"/>
          <w:szCs w:val="26"/>
        </w:rPr>
        <w:t>ecause it lacked Walter</w:t>
      </w:r>
      <w:r w:rsidR="00F20CA5">
        <w:rPr>
          <w:rFonts w:ascii="Times" w:hAnsi="Times"/>
          <w:szCs w:val="26"/>
        </w:rPr>
        <w:t>'</w:t>
      </w:r>
      <w:r w:rsidRPr="003D6E09">
        <w:rPr>
          <w:rFonts w:ascii="Times" w:hAnsi="Times"/>
          <w:szCs w:val="26"/>
        </w:rPr>
        <w:t xml:space="preserve">s original signature.  </w:t>
      </w:r>
      <w:r w:rsidR="00A264B7">
        <w:rPr>
          <w:rFonts w:ascii="Times" w:hAnsi="Times"/>
          <w:szCs w:val="26"/>
        </w:rPr>
        <w:t>Chase ultimately</w:t>
      </w:r>
      <w:r w:rsidR="00B67AD7" w:rsidRPr="003D6E09">
        <w:rPr>
          <w:rFonts w:ascii="Times" w:hAnsi="Times"/>
          <w:szCs w:val="26"/>
        </w:rPr>
        <w:t xml:space="preserve"> </w:t>
      </w:r>
      <w:r w:rsidRPr="003D6E09">
        <w:rPr>
          <w:rFonts w:ascii="Times" w:hAnsi="Times"/>
          <w:szCs w:val="26"/>
        </w:rPr>
        <w:t xml:space="preserve">acquired the </w:t>
      </w:r>
      <w:r w:rsidR="002E2BE3">
        <w:rPr>
          <w:rFonts w:ascii="Times" w:hAnsi="Times"/>
          <w:szCs w:val="26"/>
        </w:rPr>
        <w:t xml:space="preserve">promissory </w:t>
      </w:r>
      <w:r w:rsidR="00B67AD7" w:rsidRPr="003D6E09">
        <w:rPr>
          <w:rFonts w:ascii="Times" w:hAnsi="Times"/>
          <w:szCs w:val="26"/>
        </w:rPr>
        <w:t>note and DOT</w:t>
      </w:r>
      <w:r w:rsidRPr="003D6E09">
        <w:rPr>
          <w:rFonts w:ascii="Times" w:hAnsi="Times"/>
          <w:szCs w:val="26"/>
        </w:rPr>
        <w:t xml:space="preserve"> as </w:t>
      </w:r>
      <w:r w:rsidR="00A264B7">
        <w:rPr>
          <w:rFonts w:ascii="Times" w:hAnsi="Times"/>
          <w:szCs w:val="26"/>
        </w:rPr>
        <w:t xml:space="preserve">Washington </w:t>
      </w:r>
      <w:proofErr w:type="spellStart"/>
      <w:r w:rsidR="00A264B7">
        <w:rPr>
          <w:rFonts w:ascii="Times" w:hAnsi="Times"/>
          <w:szCs w:val="26"/>
        </w:rPr>
        <w:t>Mutual</w:t>
      </w:r>
      <w:r w:rsidR="00F20CA5">
        <w:rPr>
          <w:rFonts w:ascii="Times" w:hAnsi="Times"/>
          <w:szCs w:val="26"/>
        </w:rPr>
        <w:t>'</w:t>
      </w:r>
      <w:r w:rsidR="001A173A">
        <w:rPr>
          <w:rFonts w:ascii="Times" w:hAnsi="Times"/>
          <w:szCs w:val="26"/>
        </w:rPr>
        <w:t>s</w:t>
      </w:r>
      <w:proofErr w:type="spellEnd"/>
      <w:r w:rsidR="001A173A">
        <w:rPr>
          <w:rFonts w:ascii="Times" w:hAnsi="Times"/>
          <w:szCs w:val="26"/>
        </w:rPr>
        <w:t xml:space="preserve"> </w:t>
      </w:r>
      <w:r w:rsidR="001A173A" w:rsidRPr="003D6E09">
        <w:rPr>
          <w:rFonts w:ascii="Times" w:hAnsi="Times"/>
          <w:szCs w:val="26"/>
        </w:rPr>
        <w:t>successor</w:t>
      </w:r>
      <w:r w:rsidR="001A173A">
        <w:rPr>
          <w:rFonts w:ascii="Times" w:hAnsi="Times"/>
          <w:szCs w:val="26"/>
        </w:rPr>
        <w:t>-</w:t>
      </w:r>
      <w:r w:rsidR="001A173A" w:rsidRPr="003D6E09">
        <w:rPr>
          <w:rFonts w:ascii="Times" w:hAnsi="Times"/>
          <w:szCs w:val="26"/>
        </w:rPr>
        <w:t>in</w:t>
      </w:r>
      <w:r w:rsidR="001A173A">
        <w:rPr>
          <w:rFonts w:ascii="Times" w:hAnsi="Times"/>
          <w:szCs w:val="26"/>
        </w:rPr>
        <w:t>-</w:t>
      </w:r>
      <w:r w:rsidR="001A173A" w:rsidRPr="003D6E09">
        <w:rPr>
          <w:rFonts w:ascii="Times" w:hAnsi="Times"/>
          <w:szCs w:val="26"/>
        </w:rPr>
        <w:t>interest</w:t>
      </w:r>
      <w:r w:rsidR="00A264B7">
        <w:rPr>
          <w:rFonts w:ascii="Times" w:hAnsi="Times"/>
          <w:szCs w:val="26"/>
        </w:rPr>
        <w:t>.</w:t>
      </w:r>
    </w:p>
    <w:p w14:paraId="1D620ECC" w14:textId="75583181" w:rsidR="00334F8D" w:rsidRPr="003D6E09" w:rsidRDefault="006E7A73" w:rsidP="00334F8D">
      <w:pPr>
        <w:rPr>
          <w:rFonts w:ascii="Times" w:hAnsi="Times"/>
          <w:szCs w:val="26"/>
        </w:rPr>
      </w:pPr>
      <w:r w:rsidRPr="003D6E09">
        <w:rPr>
          <w:rFonts w:ascii="Times" w:hAnsi="Times"/>
          <w:szCs w:val="26"/>
        </w:rPr>
        <w:tab/>
      </w:r>
      <w:r w:rsidR="001A173A">
        <w:rPr>
          <w:rFonts w:ascii="Times" w:hAnsi="Times"/>
          <w:szCs w:val="26"/>
        </w:rPr>
        <w:t>A</w:t>
      </w:r>
      <w:r w:rsidRPr="003D6E09">
        <w:rPr>
          <w:rFonts w:ascii="Times" w:hAnsi="Times"/>
          <w:szCs w:val="26"/>
        </w:rPr>
        <w:t xml:space="preserve">s a precursor to foreclosure, Chase asked Walter to re-execute and notarize a replacement deed of trust for purposes of recordation.  Walter refused.  On April 18, 2013, Chase sued Walter in </w:t>
      </w:r>
      <w:r w:rsidR="001A173A">
        <w:rPr>
          <w:rFonts w:ascii="Times" w:hAnsi="Times"/>
          <w:szCs w:val="26"/>
        </w:rPr>
        <w:t xml:space="preserve">both </w:t>
      </w:r>
      <w:r w:rsidRPr="003D6E09">
        <w:rPr>
          <w:rFonts w:ascii="Times" w:hAnsi="Times"/>
          <w:szCs w:val="26"/>
        </w:rPr>
        <w:t xml:space="preserve">his individual capacity and </w:t>
      </w:r>
      <w:r w:rsidR="001A173A">
        <w:rPr>
          <w:rFonts w:ascii="Times" w:hAnsi="Times"/>
          <w:szCs w:val="26"/>
        </w:rPr>
        <w:t>his capacity as trustee of the Trust</w:t>
      </w:r>
      <w:r w:rsidRPr="003D6E09">
        <w:rPr>
          <w:rFonts w:ascii="Times" w:hAnsi="Times"/>
          <w:szCs w:val="26"/>
        </w:rPr>
        <w:t xml:space="preserve">. </w:t>
      </w:r>
      <w:r w:rsidR="00334F8D" w:rsidRPr="003D6E09">
        <w:rPr>
          <w:rFonts w:ascii="Times" w:hAnsi="Times"/>
          <w:szCs w:val="26"/>
        </w:rPr>
        <w:t xml:space="preserve"> </w:t>
      </w:r>
      <w:r w:rsidR="001A173A">
        <w:rPr>
          <w:rFonts w:ascii="Times" w:hAnsi="Times"/>
          <w:szCs w:val="26"/>
        </w:rPr>
        <w:t>Central to this appeal is the allegation at paragraph 18 of the verified complaint</w:t>
      </w:r>
      <w:r w:rsidR="00334F8D" w:rsidRPr="003D6E09">
        <w:rPr>
          <w:rFonts w:ascii="Times" w:hAnsi="Times"/>
          <w:szCs w:val="26"/>
        </w:rPr>
        <w:t>:</w:t>
      </w:r>
    </w:p>
    <w:p w14:paraId="55DE6852" w14:textId="630A4480" w:rsidR="00DC2727" w:rsidRDefault="00F20CA5" w:rsidP="00334F8D">
      <w:pPr>
        <w:pStyle w:val="IndentedQuote"/>
        <w:rPr>
          <w:rFonts w:ascii="Times" w:hAnsi="Times"/>
          <w:szCs w:val="26"/>
        </w:rPr>
      </w:pPr>
      <w:bookmarkStart w:id="1" w:name="_Hlk2075418"/>
      <w:r>
        <w:rPr>
          <w:rFonts w:ascii="Times" w:hAnsi="Times"/>
          <w:szCs w:val="26"/>
        </w:rPr>
        <w:t>"</w:t>
      </w:r>
      <w:r w:rsidR="00334F8D" w:rsidRPr="003D6E09">
        <w:rPr>
          <w:rFonts w:ascii="Times" w:hAnsi="Times"/>
          <w:szCs w:val="26"/>
        </w:rPr>
        <w:t>By an inadvertent error and misinformation, despite title being vested in Borrower in his capacity as the trustee of Borrower</w:t>
      </w:r>
      <w:r>
        <w:rPr>
          <w:rFonts w:ascii="Times" w:hAnsi="Times"/>
          <w:szCs w:val="26"/>
        </w:rPr>
        <w:t>'</w:t>
      </w:r>
      <w:r w:rsidR="00334F8D" w:rsidRPr="003D6E09">
        <w:rPr>
          <w:rFonts w:ascii="Times" w:hAnsi="Times"/>
          <w:szCs w:val="26"/>
        </w:rPr>
        <w:t>s Trust, Borrower executed Plaintiff</w:t>
      </w:r>
      <w:r>
        <w:rPr>
          <w:rFonts w:ascii="Times" w:hAnsi="Times"/>
          <w:szCs w:val="26"/>
        </w:rPr>
        <w:t>'</w:t>
      </w:r>
      <w:r w:rsidR="00334F8D" w:rsidRPr="003D6E09">
        <w:rPr>
          <w:rFonts w:ascii="Times" w:hAnsi="Times"/>
          <w:szCs w:val="26"/>
        </w:rPr>
        <w:t>s Deed of Trust in his individual capacity, and the true intent of the parties failed, in that, at the time of executing Plaintiff</w:t>
      </w:r>
      <w:r>
        <w:rPr>
          <w:rFonts w:ascii="Times" w:hAnsi="Times"/>
          <w:szCs w:val="26"/>
        </w:rPr>
        <w:t>'</w:t>
      </w:r>
      <w:r w:rsidR="00334F8D" w:rsidRPr="003D6E09">
        <w:rPr>
          <w:rFonts w:ascii="Times" w:hAnsi="Times"/>
          <w:szCs w:val="26"/>
        </w:rPr>
        <w:t>s Deed of Trust, Borrower did not hold title to the Property in his individual capacity.</w:t>
      </w:r>
      <w:r>
        <w:rPr>
          <w:rFonts w:ascii="Times" w:hAnsi="Times"/>
          <w:szCs w:val="26"/>
        </w:rPr>
        <w:t>"</w:t>
      </w:r>
      <w:r w:rsidR="00A264B7">
        <w:rPr>
          <w:rFonts w:ascii="Times" w:hAnsi="Times"/>
          <w:szCs w:val="26"/>
        </w:rPr>
        <w:t xml:space="preserve"> </w:t>
      </w:r>
      <w:r w:rsidR="00334F8D" w:rsidRPr="003D6E09">
        <w:rPr>
          <w:rFonts w:ascii="Times" w:hAnsi="Times"/>
          <w:szCs w:val="26"/>
        </w:rPr>
        <w:t xml:space="preserve"> </w:t>
      </w:r>
      <w:r w:rsidR="00DC2727" w:rsidRPr="003D6E09">
        <w:rPr>
          <w:rFonts w:ascii="Times" w:hAnsi="Times"/>
          <w:szCs w:val="26"/>
        </w:rPr>
        <w:t>(Hereafter paragraph 18</w:t>
      </w:r>
      <w:r w:rsidR="00742137">
        <w:rPr>
          <w:rFonts w:ascii="Times" w:hAnsi="Times"/>
          <w:szCs w:val="26"/>
        </w:rPr>
        <w:t>.</w:t>
      </w:r>
      <w:r w:rsidR="00DC2727" w:rsidRPr="003D6E09">
        <w:rPr>
          <w:rFonts w:ascii="Times" w:hAnsi="Times"/>
          <w:szCs w:val="26"/>
        </w:rPr>
        <w:t xml:space="preserve">) </w:t>
      </w:r>
    </w:p>
    <w:bookmarkEnd w:id="1"/>
    <w:p w14:paraId="5055052E" w14:textId="77777777" w:rsidR="001A173A" w:rsidRPr="003D6E09" w:rsidRDefault="001A173A" w:rsidP="00334F8D">
      <w:pPr>
        <w:pStyle w:val="IndentedQuote"/>
        <w:rPr>
          <w:rFonts w:ascii="Times" w:hAnsi="Times"/>
          <w:szCs w:val="26"/>
        </w:rPr>
      </w:pPr>
    </w:p>
    <w:p w14:paraId="68B4850F" w14:textId="5E725BC5" w:rsidR="00730877" w:rsidRPr="003D6E09" w:rsidRDefault="00DC2727" w:rsidP="00665772">
      <w:pPr>
        <w:rPr>
          <w:rFonts w:ascii="Times" w:hAnsi="Times"/>
          <w:szCs w:val="26"/>
        </w:rPr>
      </w:pPr>
      <w:r w:rsidRPr="003D6E09">
        <w:rPr>
          <w:rFonts w:ascii="Times" w:hAnsi="Times"/>
          <w:szCs w:val="26"/>
        </w:rPr>
        <w:tab/>
      </w:r>
      <w:r w:rsidR="001A173A">
        <w:rPr>
          <w:rFonts w:ascii="Times" w:hAnsi="Times"/>
          <w:szCs w:val="26"/>
        </w:rPr>
        <w:t xml:space="preserve">The complaint </w:t>
      </w:r>
      <w:r w:rsidRPr="003D6E09">
        <w:rPr>
          <w:rFonts w:ascii="Times" w:hAnsi="Times"/>
          <w:szCs w:val="26"/>
        </w:rPr>
        <w:t xml:space="preserve">asserted three causes of action.  First, </w:t>
      </w:r>
      <w:r w:rsidR="001A173A">
        <w:rPr>
          <w:rFonts w:ascii="Times" w:hAnsi="Times"/>
          <w:szCs w:val="26"/>
        </w:rPr>
        <w:t>Chase</w:t>
      </w:r>
      <w:r w:rsidRPr="003D6E09">
        <w:rPr>
          <w:rFonts w:ascii="Times" w:hAnsi="Times"/>
          <w:szCs w:val="26"/>
        </w:rPr>
        <w:t xml:space="preserve"> sought an order quieting title to the property </w:t>
      </w:r>
      <w:r w:rsidR="00A264B7">
        <w:rPr>
          <w:rFonts w:ascii="Times" w:hAnsi="Times"/>
          <w:szCs w:val="26"/>
        </w:rPr>
        <w:t xml:space="preserve">to ensure that </w:t>
      </w:r>
      <w:r w:rsidR="001A173A">
        <w:rPr>
          <w:rFonts w:ascii="Times" w:hAnsi="Times"/>
          <w:szCs w:val="26"/>
        </w:rPr>
        <w:t>it</w:t>
      </w:r>
      <w:r w:rsidRPr="003D6E09">
        <w:rPr>
          <w:rFonts w:ascii="Times" w:hAnsi="Times"/>
          <w:szCs w:val="26"/>
        </w:rPr>
        <w:t xml:space="preserve"> had the senior lien.  It next sought reformation of the DOT in two respects.  Believing Walter would challenge the level of detail in the DOT</w:t>
      </w:r>
      <w:r w:rsidR="00F20CA5">
        <w:rPr>
          <w:rFonts w:ascii="Times" w:hAnsi="Times"/>
          <w:szCs w:val="26"/>
        </w:rPr>
        <w:t>'</w:t>
      </w:r>
      <w:r w:rsidRPr="003D6E09">
        <w:rPr>
          <w:rFonts w:ascii="Times" w:hAnsi="Times"/>
          <w:szCs w:val="26"/>
        </w:rPr>
        <w:t xml:space="preserve">s property description, Chase sought to correct it to include </w:t>
      </w:r>
      <w:r w:rsidR="00F20CA5">
        <w:rPr>
          <w:rFonts w:ascii="Times" w:hAnsi="Times"/>
          <w:szCs w:val="26"/>
        </w:rPr>
        <w:t>"</w:t>
      </w:r>
      <w:r w:rsidRPr="003D6E09">
        <w:rPr>
          <w:rFonts w:ascii="Times" w:hAnsi="Times"/>
          <w:szCs w:val="26"/>
        </w:rPr>
        <w:t>certain metes and bounds information</w:t>
      </w:r>
      <w:r w:rsidR="00F20CA5">
        <w:rPr>
          <w:rFonts w:ascii="Times" w:hAnsi="Times"/>
          <w:szCs w:val="26"/>
        </w:rPr>
        <w:t>"</w:t>
      </w:r>
      <w:r w:rsidRPr="003D6E09">
        <w:rPr>
          <w:rFonts w:ascii="Times" w:hAnsi="Times"/>
          <w:szCs w:val="26"/>
        </w:rPr>
        <w:t xml:space="preserve"> </w:t>
      </w:r>
      <w:r w:rsidR="001A173A">
        <w:rPr>
          <w:rFonts w:ascii="Times" w:hAnsi="Times"/>
          <w:szCs w:val="26"/>
        </w:rPr>
        <w:t>to</w:t>
      </w:r>
      <w:r w:rsidRPr="003D6E09">
        <w:rPr>
          <w:rFonts w:ascii="Times" w:hAnsi="Times"/>
          <w:szCs w:val="26"/>
        </w:rPr>
        <w:t xml:space="preserve"> match the full legal description of the property in the 1999 grant deed.  Chase also sought to correct the DOT to reflect the </w:t>
      </w:r>
      <w:r w:rsidR="00F20CA5">
        <w:rPr>
          <w:rFonts w:ascii="Times" w:hAnsi="Times"/>
          <w:szCs w:val="26"/>
        </w:rPr>
        <w:t>"</w:t>
      </w:r>
      <w:r w:rsidRPr="003D6E09">
        <w:rPr>
          <w:rFonts w:ascii="Times" w:hAnsi="Times"/>
          <w:szCs w:val="26"/>
        </w:rPr>
        <w:t>true intent of the parties</w:t>
      </w:r>
      <w:r w:rsidR="00F20CA5">
        <w:rPr>
          <w:rFonts w:ascii="Times" w:hAnsi="Times"/>
          <w:szCs w:val="26"/>
        </w:rPr>
        <w:t>"</w:t>
      </w:r>
      <w:r w:rsidR="00B22720" w:rsidRPr="003D6E09">
        <w:rPr>
          <w:rFonts w:ascii="Times" w:hAnsi="Times"/>
          <w:szCs w:val="26"/>
        </w:rPr>
        <w:t xml:space="preserve"> </w:t>
      </w:r>
      <w:r w:rsidRPr="003D6E09">
        <w:rPr>
          <w:rFonts w:ascii="Times" w:hAnsi="Times"/>
          <w:szCs w:val="26"/>
        </w:rPr>
        <w:t xml:space="preserve">that the property would secure the loan. </w:t>
      </w:r>
      <w:r w:rsidR="00A264B7">
        <w:rPr>
          <w:rFonts w:ascii="Times" w:hAnsi="Times"/>
          <w:szCs w:val="26"/>
        </w:rPr>
        <w:t xml:space="preserve"> Finally</w:t>
      </w:r>
      <w:r w:rsidR="00662971">
        <w:rPr>
          <w:rFonts w:ascii="Times" w:hAnsi="Times"/>
          <w:szCs w:val="26"/>
        </w:rPr>
        <w:t>,</w:t>
      </w:r>
      <w:r w:rsidR="00A264B7">
        <w:rPr>
          <w:rFonts w:ascii="Times" w:hAnsi="Times"/>
          <w:szCs w:val="26"/>
        </w:rPr>
        <w:t xml:space="preserve"> </w:t>
      </w:r>
      <w:r w:rsidR="00665772">
        <w:rPr>
          <w:rFonts w:ascii="Times" w:hAnsi="Times"/>
          <w:szCs w:val="26"/>
        </w:rPr>
        <w:t xml:space="preserve">Chase sought declaratory relief as to the enforceability of the DOT, including a </w:t>
      </w:r>
      <w:r w:rsidR="00730877" w:rsidRPr="003D6E09">
        <w:rPr>
          <w:rFonts w:ascii="Times" w:hAnsi="Times"/>
          <w:szCs w:val="26"/>
        </w:rPr>
        <w:t>declaration that:</w:t>
      </w:r>
    </w:p>
    <w:p w14:paraId="706177FF" w14:textId="77777777" w:rsidR="00730877" w:rsidRPr="003D6E09" w:rsidRDefault="00730877" w:rsidP="001A173A">
      <w:pPr>
        <w:pStyle w:val="IndentedQuote"/>
        <w:numPr>
          <w:ilvl w:val="0"/>
          <w:numId w:val="3"/>
        </w:numPr>
        <w:ind w:left="1080"/>
      </w:pPr>
      <w:r w:rsidRPr="003D6E09">
        <w:t xml:space="preserve">As a revocable inter </w:t>
      </w:r>
      <w:proofErr w:type="spellStart"/>
      <w:r w:rsidRPr="003D6E09">
        <w:t>vivos</w:t>
      </w:r>
      <w:proofErr w:type="spellEnd"/>
      <w:r w:rsidRPr="003D6E09">
        <w:t xml:space="preserve"> trust, the Trust was merely a probate-avoiding device.  Walter did not dispose of the property when he conveyed it to the Trust in the 2002 grant deed.</w:t>
      </w:r>
    </w:p>
    <w:p w14:paraId="664572E3" w14:textId="77777777" w:rsidR="00730877" w:rsidRPr="003D6E09" w:rsidRDefault="00730877" w:rsidP="001A173A">
      <w:pPr>
        <w:pStyle w:val="IndentedQuote"/>
        <w:ind w:left="360"/>
      </w:pPr>
    </w:p>
    <w:p w14:paraId="1155550B" w14:textId="77777777" w:rsidR="00730877" w:rsidRPr="003D6E09" w:rsidRDefault="00730877" w:rsidP="001A173A">
      <w:pPr>
        <w:pStyle w:val="IndentedQuote"/>
        <w:numPr>
          <w:ilvl w:val="0"/>
          <w:numId w:val="3"/>
        </w:numPr>
        <w:ind w:left="1080"/>
      </w:pPr>
      <w:r w:rsidRPr="003D6E09">
        <w:t>Because Walter was the settlor and lifetime beneficiary of the Trust with power to direct Trust conveyances, he had the equivalent of full ownership.</w:t>
      </w:r>
    </w:p>
    <w:p w14:paraId="11AC5407" w14:textId="77777777" w:rsidR="00730877" w:rsidRPr="003D6E09" w:rsidRDefault="00730877" w:rsidP="001A173A">
      <w:pPr>
        <w:pStyle w:val="IndentedQuote"/>
        <w:ind w:left="360"/>
      </w:pPr>
    </w:p>
    <w:p w14:paraId="1B203988" w14:textId="77777777" w:rsidR="00730877" w:rsidRPr="003D6E09" w:rsidRDefault="00730877" w:rsidP="001A173A">
      <w:pPr>
        <w:pStyle w:val="IndentedQuote"/>
        <w:numPr>
          <w:ilvl w:val="0"/>
          <w:numId w:val="3"/>
        </w:numPr>
        <w:ind w:left="1080"/>
      </w:pPr>
      <w:r w:rsidRPr="003D6E09">
        <w:t xml:space="preserve">When he executed the DOT, Walter had full power to convey the property as security for the note, and the fact that it was held in the Trust did not prevent enforceability of the DOT to reach Trust property as security for the 2007 note. </w:t>
      </w:r>
    </w:p>
    <w:p w14:paraId="3E4BD798" w14:textId="77777777" w:rsidR="00730877" w:rsidRPr="003D6E09" w:rsidRDefault="00730877" w:rsidP="001A173A">
      <w:pPr>
        <w:pStyle w:val="IndentedQuote"/>
        <w:ind w:left="360"/>
      </w:pPr>
    </w:p>
    <w:p w14:paraId="7E9ABD1A" w14:textId="7ED805E4" w:rsidR="00730877" w:rsidRPr="003D6E09" w:rsidRDefault="00730877" w:rsidP="001A173A">
      <w:pPr>
        <w:pStyle w:val="IndentedQuote"/>
        <w:numPr>
          <w:ilvl w:val="0"/>
          <w:numId w:val="3"/>
        </w:numPr>
        <w:ind w:left="1080"/>
      </w:pPr>
      <w:r w:rsidRPr="003D6E09">
        <w:t>The DOT is valid and enforceable against any successor trustee of Walter</w:t>
      </w:r>
      <w:r w:rsidR="00F20CA5">
        <w:t>'</w:t>
      </w:r>
      <w:r w:rsidRPr="003D6E09">
        <w:t>s.</w:t>
      </w:r>
    </w:p>
    <w:p w14:paraId="11559B50" w14:textId="77777777" w:rsidR="00730877" w:rsidRPr="003D6E09" w:rsidRDefault="00730877" w:rsidP="001A173A">
      <w:pPr>
        <w:pStyle w:val="IndentedQuote"/>
        <w:ind w:left="360"/>
      </w:pPr>
    </w:p>
    <w:p w14:paraId="1C34121F" w14:textId="77777777" w:rsidR="00730877" w:rsidRPr="003D6E09" w:rsidRDefault="00730877" w:rsidP="001A173A">
      <w:pPr>
        <w:pStyle w:val="IndentedQuote"/>
        <w:numPr>
          <w:ilvl w:val="0"/>
          <w:numId w:val="3"/>
        </w:numPr>
        <w:ind w:left="1080"/>
      </w:pPr>
      <w:r w:rsidRPr="003D6E09">
        <w:t>The DOT was intended to secure the loan as a first lien against the property.</w:t>
      </w:r>
    </w:p>
    <w:p w14:paraId="14A802BC" w14:textId="77777777" w:rsidR="00730877" w:rsidRPr="003D6E09" w:rsidRDefault="00730877" w:rsidP="001A173A">
      <w:pPr>
        <w:pStyle w:val="IndentedQuote"/>
        <w:ind w:left="360"/>
      </w:pPr>
    </w:p>
    <w:p w14:paraId="0C7DA71D" w14:textId="54C81F4A" w:rsidR="00334F8D" w:rsidRPr="003D6E09" w:rsidRDefault="00730877" w:rsidP="001A173A">
      <w:pPr>
        <w:pStyle w:val="IndentedQuote"/>
        <w:numPr>
          <w:ilvl w:val="0"/>
          <w:numId w:val="3"/>
        </w:numPr>
        <w:ind w:left="1080"/>
      </w:pPr>
      <w:r w:rsidRPr="003D6E09">
        <w:t xml:space="preserve">The DOT </w:t>
      </w:r>
      <w:r w:rsidRPr="003D6E09">
        <w:rPr>
          <w:i/>
        </w:rPr>
        <w:t>in fact</w:t>
      </w:r>
      <w:r w:rsidRPr="003D6E09">
        <w:t xml:space="preserve"> secures the loan as a first lien against the property. </w:t>
      </w:r>
    </w:p>
    <w:p w14:paraId="4B80BB95" w14:textId="77777777" w:rsidR="00730877" w:rsidRPr="003D6E09" w:rsidRDefault="00730877" w:rsidP="00730877">
      <w:pPr>
        <w:pStyle w:val="IndentedQuote"/>
        <w:rPr>
          <w:rFonts w:ascii="Times" w:hAnsi="Times"/>
          <w:szCs w:val="26"/>
        </w:rPr>
      </w:pPr>
    </w:p>
    <w:p w14:paraId="24A917E0" w14:textId="1C65457B" w:rsidR="00334F8D" w:rsidRPr="003D6E09" w:rsidRDefault="00620138" w:rsidP="00334F8D">
      <w:pPr>
        <w:rPr>
          <w:rFonts w:ascii="Times" w:hAnsi="Times"/>
          <w:szCs w:val="26"/>
        </w:rPr>
      </w:pPr>
      <w:r w:rsidRPr="003D6E09">
        <w:rPr>
          <w:rFonts w:ascii="Times" w:hAnsi="Times"/>
          <w:szCs w:val="26"/>
        </w:rPr>
        <w:t xml:space="preserve">In connection with </w:t>
      </w:r>
      <w:r w:rsidR="00665772">
        <w:rPr>
          <w:rFonts w:ascii="Times" w:hAnsi="Times"/>
          <w:szCs w:val="26"/>
        </w:rPr>
        <w:t>these three</w:t>
      </w:r>
      <w:r w:rsidRPr="003D6E09">
        <w:rPr>
          <w:rFonts w:ascii="Times" w:hAnsi="Times"/>
          <w:szCs w:val="26"/>
        </w:rPr>
        <w:t xml:space="preserve"> </w:t>
      </w:r>
      <w:r w:rsidR="006B5075">
        <w:rPr>
          <w:rFonts w:ascii="Times" w:hAnsi="Times"/>
          <w:szCs w:val="26"/>
        </w:rPr>
        <w:t>causes of action</w:t>
      </w:r>
      <w:r w:rsidRPr="003D6E09">
        <w:rPr>
          <w:rFonts w:ascii="Times" w:hAnsi="Times"/>
          <w:szCs w:val="26"/>
        </w:rPr>
        <w:t xml:space="preserve">, Chase sought contractual attorney fees and costs. </w:t>
      </w:r>
    </w:p>
    <w:p w14:paraId="0605B090" w14:textId="2CFB73CE" w:rsidR="00074E50" w:rsidRPr="003D6E09" w:rsidRDefault="00620138" w:rsidP="00E70346">
      <w:pPr>
        <w:rPr>
          <w:rFonts w:ascii="Times" w:hAnsi="Times"/>
          <w:szCs w:val="26"/>
        </w:rPr>
      </w:pPr>
      <w:r w:rsidRPr="003D6E09">
        <w:rPr>
          <w:rFonts w:ascii="Times" w:hAnsi="Times"/>
          <w:szCs w:val="26"/>
        </w:rPr>
        <w:tab/>
      </w:r>
      <w:r w:rsidR="00665772">
        <w:rPr>
          <w:rFonts w:ascii="Times" w:hAnsi="Times"/>
          <w:szCs w:val="26"/>
        </w:rPr>
        <w:t>Walter passed away</w:t>
      </w:r>
      <w:r w:rsidRPr="003D6E09">
        <w:rPr>
          <w:rFonts w:ascii="Times" w:hAnsi="Times"/>
          <w:szCs w:val="26"/>
        </w:rPr>
        <w:t xml:space="preserve"> in </w:t>
      </w:r>
      <w:r w:rsidR="00AE6987">
        <w:rPr>
          <w:rFonts w:ascii="Times" w:hAnsi="Times"/>
          <w:szCs w:val="26"/>
        </w:rPr>
        <w:t xml:space="preserve">September </w:t>
      </w:r>
      <w:r w:rsidRPr="003D6E09">
        <w:rPr>
          <w:rFonts w:ascii="Times" w:hAnsi="Times"/>
          <w:szCs w:val="26"/>
        </w:rPr>
        <w:t xml:space="preserve">2016, </w:t>
      </w:r>
      <w:r w:rsidR="00665772">
        <w:rPr>
          <w:rFonts w:ascii="Times" w:hAnsi="Times"/>
          <w:szCs w:val="26"/>
        </w:rPr>
        <w:t xml:space="preserve">and </w:t>
      </w:r>
      <w:r w:rsidRPr="003D6E09">
        <w:rPr>
          <w:rFonts w:ascii="Times" w:hAnsi="Times"/>
          <w:szCs w:val="26"/>
        </w:rPr>
        <w:t>his son David</w:t>
      </w:r>
      <w:r w:rsidR="00074E50" w:rsidRPr="003D6E09">
        <w:rPr>
          <w:rFonts w:ascii="Times" w:hAnsi="Times"/>
          <w:szCs w:val="26"/>
        </w:rPr>
        <w:t xml:space="preserve"> became successor trustee of the Trust.  David filed two general demurrers to </w:t>
      </w:r>
      <w:r w:rsidR="00665772">
        <w:rPr>
          <w:rFonts w:ascii="Times" w:hAnsi="Times"/>
          <w:szCs w:val="26"/>
        </w:rPr>
        <w:t>Chase</w:t>
      </w:r>
      <w:r w:rsidR="00F20CA5">
        <w:rPr>
          <w:rFonts w:ascii="Times" w:hAnsi="Times"/>
          <w:szCs w:val="26"/>
        </w:rPr>
        <w:t>'</w:t>
      </w:r>
      <w:r w:rsidR="00665772">
        <w:rPr>
          <w:rFonts w:ascii="Times" w:hAnsi="Times"/>
          <w:szCs w:val="26"/>
        </w:rPr>
        <w:t>s</w:t>
      </w:r>
      <w:r w:rsidR="00074E50" w:rsidRPr="003D6E09">
        <w:rPr>
          <w:rFonts w:ascii="Times" w:hAnsi="Times"/>
          <w:szCs w:val="26"/>
        </w:rPr>
        <w:t xml:space="preserve"> complaint, arguing all causes of action were barred by the statute of frauds and the </w:t>
      </w:r>
      <w:r w:rsidR="00B95DF9">
        <w:rPr>
          <w:rFonts w:ascii="Times" w:hAnsi="Times"/>
          <w:szCs w:val="26"/>
        </w:rPr>
        <w:t xml:space="preserve">applicable </w:t>
      </w:r>
      <w:r w:rsidR="00074E50" w:rsidRPr="003D6E09">
        <w:rPr>
          <w:rFonts w:ascii="Times" w:hAnsi="Times"/>
          <w:szCs w:val="26"/>
        </w:rPr>
        <w:t>statute of limitations.</w:t>
      </w:r>
      <w:r w:rsidR="004B2381" w:rsidRPr="003D6E09">
        <w:rPr>
          <w:rStyle w:val="FootnoteReference"/>
          <w:rFonts w:ascii="Times" w:hAnsi="Times"/>
          <w:szCs w:val="26"/>
        </w:rPr>
        <w:footnoteReference w:id="2"/>
      </w:r>
      <w:r w:rsidR="00074E50" w:rsidRPr="003D6E09">
        <w:rPr>
          <w:rFonts w:ascii="Times" w:hAnsi="Times"/>
          <w:szCs w:val="26"/>
        </w:rPr>
        <w:t xml:space="preserve">  </w:t>
      </w:r>
      <w:r w:rsidR="00055539">
        <w:rPr>
          <w:rFonts w:ascii="Times" w:hAnsi="Times"/>
          <w:szCs w:val="26"/>
        </w:rPr>
        <w:t xml:space="preserve">He claimed </w:t>
      </w:r>
      <w:r w:rsidR="00665772">
        <w:rPr>
          <w:rFonts w:ascii="Times" w:hAnsi="Times"/>
          <w:szCs w:val="26"/>
        </w:rPr>
        <w:t>Chase</w:t>
      </w:r>
      <w:r w:rsidR="00F20CA5">
        <w:rPr>
          <w:rFonts w:ascii="Times" w:hAnsi="Times"/>
          <w:szCs w:val="26"/>
        </w:rPr>
        <w:t>'</w:t>
      </w:r>
      <w:r w:rsidR="00665772">
        <w:rPr>
          <w:rFonts w:ascii="Times" w:hAnsi="Times"/>
          <w:szCs w:val="26"/>
        </w:rPr>
        <w:t>s allegations confirmed that the Trust never executed any written instrument conveying the property</w:t>
      </w:r>
      <w:r w:rsidR="00B95DF9">
        <w:rPr>
          <w:rFonts w:ascii="Times" w:hAnsi="Times"/>
          <w:szCs w:val="26"/>
        </w:rPr>
        <w:t>.  He also asserted</w:t>
      </w:r>
      <w:r w:rsidR="00665772">
        <w:rPr>
          <w:rFonts w:ascii="Times" w:hAnsi="Times"/>
          <w:szCs w:val="26"/>
        </w:rPr>
        <w:t xml:space="preserve"> any action for relief from fraud or mistake </w:t>
      </w:r>
      <w:r w:rsidR="00055539">
        <w:rPr>
          <w:rFonts w:ascii="Times" w:hAnsi="Times"/>
          <w:szCs w:val="26"/>
        </w:rPr>
        <w:t xml:space="preserve">would be </w:t>
      </w:r>
      <w:r w:rsidR="00665772">
        <w:rPr>
          <w:rFonts w:ascii="Times" w:hAnsi="Times"/>
          <w:szCs w:val="26"/>
        </w:rPr>
        <w:t>time-barred</w:t>
      </w:r>
      <w:r w:rsidR="00074E50" w:rsidRPr="003D6E09">
        <w:rPr>
          <w:rFonts w:ascii="Times" w:hAnsi="Times"/>
          <w:szCs w:val="26"/>
        </w:rPr>
        <w:t xml:space="preserve">. </w:t>
      </w:r>
      <w:r w:rsidR="00055539">
        <w:rPr>
          <w:rFonts w:ascii="Times" w:hAnsi="Times"/>
          <w:szCs w:val="26"/>
        </w:rPr>
        <w:t>Because these allegations were fatal to Chase</w:t>
      </w:r>
      <w:r w:rsidR="00F20CA5">
        <w:rPr>
          <w:rFonts w:ascii="Times" w:hAnsi="Times"/>
          <w:szCs w:val="26"/>
        </w:rPr>
        <w:t>'</w:t>
      </w:r>
      <w:r w:rsidR="00055539">
        <w:rPr>
          <w:rFonts w:ascii="Times" w:hAnsi="Times"/>
          <w:szCs w:val="26"/>
        </w:rPr>
        <w:t xml:space="preserve">s action, David argued </w:t>
      </w:r>
      <w:r w:rsidR="009917B3">
        <w:rPr>
          <w:rFonts w:ascii="Times" w:hAnsi="Times"/>
          <w:szCs w:val="26"/>
        </w:rPr>
        <w:t xml:space="preserve">that </w:t>
      </w:r>
      <w:r w:rsidR="00055539">
        <w:rPr>
          <w:rFonts w:ascii="Times" w:hAnsi="Times"/>
          <w:szCs w:val="26"/>
        </w:rPr>
        <w:t xml:space="preserve">leave to amend should be denied. </w:t>
      </w:r>
    </w:p>
    <w:p w14:paraId="23534308" w14:textId="29C355CC" w:rsidR="00620138" w:rsidRPr="003D6E09" w:rsidRDefault="006161A9" w:rsidP="00334F8D">
      <w:pPr>
        <w:rPr>
          <w:rFonts w:ascii="Times" w:hAnsi="Times"/>
          <w:szCs w:val="26"/>
        </w:rPr>
      </w:pPr>
      <w:r w:rsidRPr="003D6E09">
        <w:rPr>
          <w:rFonts w:ascii="Times" w:hAnsi="Times"/>
          <w:szCs w:val="26"/>
        </w:rPr>
        <w:tab/>
      </w:r>
      <w:r w:rsidR="00B95DF9">
        <w:rPr>
          <w:rFonts w:ascii="Times" w:hAnsi="Times"/>
          <w:szCs w:val="26"/>
        </w:rPr>
        <w:t xml:space="preserve">Represented by new counsel, </w:t>
      </w:r>
      <w:r w:rsidRPr="003D6E09">
        <w:rPr>
          <w:rFonts w:ascii="Times" w:hAnsi="Times"/>
          <w:szCs w:val="26"/>
        </w:rPr>
        <w:t xml:space="preserve">Chase opposed the demurrers.  It </w:t>
      </w:r>
      <w:r w:rsidR="00055539">
        <w:rPr>
          <w:rFonts w:ascii="Times" w:hAnsi="Times"/>
          <w:szCs w:val="26"/>
        </w:rPr>
        <w:t xml:space="preserve">claimed the gravamen of its action was to enforce the DOT </w:t>
      </w:r>
      <w:r w:rsidR="00055539">
        <w:rPr>
          <w:rFonts w:ascii="Times" w:hAnsi="Times"/>
          <w:i/>
          <w:szCs w:val="26"/>
        </w:rPr>
        <w:t xml:space="preserve">as </w:t>
      </w:r>
      <w:r w:rsidR="00055539" w:rsidRPr="00055539">
        <w:rPr>
          <w:rFonts w:ascii="Times" w:hAnsi="Times"/>
          <w:i/>
          <w:szCs w:val="26"/>
        </w:rPr>
        <w:t>written</w:t>
      </w:r>
      <w:r w:rsidR="00055539">
        <w:rPr>
          <w:rFonts w:ascii="Times" w:hAnsi="Times"/>
          <w:szCs w:val="26"/>
        </w:rPr>
        <w:t>, not to correct a mistake in its execution</w:t>
      </w:r>
      <w:r w:rsidR="00C84169" w:rsidRPr="003D6E09">
        <w:rPr>
          <w:rFonts w:ascii="Times" w:hAnsi="Times"/>
          <w:szCs w:val="26"/>
        </w:rPr>
        <w:t xml:space="preserve">.  </w:t>
      </w:r>
      <w:r w:rsidR="009917B3">
        <w:rPr>
          <w:rFonts w:ascii="Times" w:hAnsi="Times"/>
          <w:szCs w:val="26"/>
        </w:rPr>
        <w:t>Relying on</w:t>
      </w:r>
      <w:r w:rsidR="00055539">
        <w:rPr>
          <w:rFonts w:ascii="Times" w:hAnsi="Times"/>
          <w:szCs w:val="26"/>
        </w:rPr>
        <w:t xml:space="preserve"> the same cases </w:t>
      </w:r>
      <w:r w:rsidR="00B95DF9">
        <w:rPr>
          <w:rFonts w:ascii="Times" w:hAnsi="Times"/>
          <w:szCs w:val="26"/>
        </w:rPr>
        <w:t xml:space="preserve">it </w:t>
      </w:r>
      <w:r w:rsidR="009917B3">
        <w:rPr>
          <w:rFonts w:ascii="Times" w:hAnsi="Times"/>
          <w:szCs w:val="26"/>
        </w:rPr>
        <w:t>cites</w:t>
      </w:r>
      <w:r w:rsidR="00055539">
        <w:rPr>
          <w:rFonts w:ascii="Times" w:hAnsi="Times"/>
          <w:szCs w:val="26"/>
        </w:rPr>
        <w:t xml:space="preserve"> on appeal</w:t>
      </w:r>
      <w:r w:rsidR="009917B3">
        <w:rPr>
          <w:rFonts w:ascii="Times" w:hAnsi="Times"/>
          <w:szCs w:val="26"/>
        </w:rPr>
        <w:t>,</w:t>
      </w:r>
      <w:r w:rsidR="00055539">
        <w:rPr>
          <w:rFonts w:ascii="Times" w:hAnsi="Times"/>
          <w:szCs w:val="26"/>
        </w:rPr>
        <w:t xml:space="preserve"> </w:t>
      </w:r>
      <w:r w:rsidR="00C84169" w:rsidRPr="003D6E09">
        <w:rPr>
          <w:rFonts w:ascii="Times" w:hAnsi="Times"/>
          <w:szCs w:val="26"/>
        </w:rPr>
        <w:t xml:space="preserve">Chase explained that it was </w:t>
      </w:r>
      <w:r w:rsidR="00F20CA5">
        <w:rPr>
          <w:rFonts w:ascii="Times" w:hAnsi="Times"/>
          <w:szCs w:val="26"/>
        </w:rPr>
        <w:t>"</w:t>
      </w:r>
      <w:r w:rsidR="00C84169" w:rsidRPr="003D6E09">
        <w:rPr>
          <w:rFonts w:ascii="Times" w:hAnsi="Times"/>
          <w:szCs w:val="26"/>
        </w:rPr>
        <w:t>of no legal consequence</w:t>
      </w:r>
      <w:r w:rsidR="00F20CA5">
        <w:rPr>
          <w:rFonts w:ascii="Times" w:hAnsi="Times"/>
          <w:szCs w:val="26"/>
        </w:rPr>
        <w:t>"</w:t>
      </w:r>
      <w:r w:rsidR="00C84169" w:rsidRPr="003D6E09">
        <w:rPr>
          <w:rFonts w:ascii="Times" w:hAnsi="Times"/>
          <w:szCs w:val="26"/>
        </w:rPr>
        <w:t xml:space="preserve"> that Walter did not expressly sign the DOT in his capacity as trustee of the Trust.  </w:t>
      </w:r>
      <w:r w:rsidR="00026749" w:rsidRPr="003D6E09">
        <w:rPr>
          <w:rFonts w:ascii="Times" w:hAnsi="Times"/>
          <w:szCs w:val="26"/>
        </w:rPr>
        <w:t xml:space="preserve">If </w:t>
      </w:r>
      <w:r w:rsidR="00C84169" w:rsidRPr="003D6E09">
        <w:rPr>
          <w:rFonts w:ascii="Times" w:hAnsi="Times"/>
          <w:szCs w:val="26"/>
        </w:rPr>
        <w:t xml:space="preserve">paragraph 18 suggested </w:t>
      </w:r>
      <w:r w:rsidR="00055539">
        <w:rPr>
          <w:rFonts w:ascii="Times" w:hAnsi="Times"/>
          <w:szCs w:val="26"/>
        </w:rPr>
        <w:t>he did so</w:t>
      </w:r>
      <w:r w:rsidR="00C84169" w:rsidRPr="003D6E09">
        <w:rPr>
          <w:rFonts w:ascii="Times" w:hAnsi="Times"/>
          <w:szCs w:val="26"/>
        </w:rPr>
        <w:t xml:space="preserve"> in his </w:t>
      </w:r>
      <w:r w:rsidR="00F20CA5">
        <w:rPr>
          <w:rFonts w:ascii="Times" w:hAnsi="Times"/>
          <w:szCs w:val="26"/>
        </w:rPr>
        <w:t>"</w:t>
      </w:r>
      <w:r w:rsidR="00C84169" w:rsidRPr="003D6E09">
        <w:rPr>
          <w:rFonts w:ascii="Times" w:hAnsi="Times"/>
          <w:szCs w:val="26"/>
        </w:rPr>
        <w:t>individual capacity,</w:t>
      </w:r>
      <w:r w:rsidR="00F20CA5">
        <w:rPr>
          <w:rFonts w:ascii="Times" w:hAnsi="Times"/>
          <w:szCs w:val="26"/>
        </w:rPr>
        <w:t>"</w:t>
      </w:r>
      <w:r w:rsidR="00C84169" w:rsidRPr="003D6E09">
        <w:rPr>
          <w:rFonts w:ascii="Times" w:hAnsi="Times"/>
          <w:szCs w:val="26"/>
        </w:rPr>
        <w:t xml:space="preserve"> </w:t>
      </w:r>
      <w:r w:rsidR="00026749" w:rsidRPr="003D6E09">
        <w:rPr>
          <w:rFonts w:ascii="Times" w:hAnsi="Times"/>
          <w:szCs w:val="26"/>
        </w:rPr>
        <w:t xml:space="preserve">the DOT did not support that allegation. </w:t>
      </w:r>
    </w:p>
    <w:p w14:paraId="4C3F3EA8" w14:textId="556B73D4" w:rsidR="006E7A73" w:rsidRPr="003D6E09" w:rsidRDefault="009C087B" w:rsidP="00D456DF">
      <w:pPr>
        <w:rPr>
          <w:rFonts w:ascii="Times" w:hAnsi="Times"/>
          <w:szCs w:val="26"/>
        </w:rPr>
      </w:pPr>
      <w:r w:rsidRPr="003D6E09">
        <w:rPr>
          <w:rFonts w:ascii="Times" w:hAnsi="Times"/>
          <w:szCs w:val="26"/>
        </w:rPr>
        <w:tab/>
        <w:t xml:space="preserve">The trial court sustained both general demurrers.  </w:t>
      </w:r>
      <w:r w:rsidR="00DA15F3" w:rsidRPr="003D6E09">
        <w:rPr>
          <w:rFonts w:ascii="Times" w:hAnsi="Times"/>
          <w:szCs w:val="26"/>
        </w:rPr>
        <w:t xml:space="preserve">It </w:t>
      </w:r>
      <w:r w:rsidR="00055539">
        <w:rPr>
          <w:rFonts w:ascii="Times" w:hAnsi="Times"/>
          <w:szCs w:val="26"/>
        </w:rPr>
        <w:t>observed</w:t>
      </w:r>
      <w:r w:rsidR="00DA15F3" w:rsidRPr="003D6E09">
        <w:rPr>
          <w:rFonts w:ascii="Times" w:hAnsi="Times"/>
          <w:szCs w:val="26"/>
        </w:rPr>
        <w:t xml:space="preserve"> that the parties had </w:t>
      </w:r>
      <w:r w:rsidR="00F20CA5">
        <w:rPr>
          <w:rFonts w:ascii="Times" w:hAnsi="Times"/>
          <w:szCs w:val="26"/>
        </w:rPr>
        <w:t>"</w:t>
      </w:r>
      <w:r w:rsidR="00DA15F3" w:rsidRPr="003D6E09">
        <w:rPr>
          <w:rFonts w:ascii="Times" w:hAnsi="Times"/>
          <w:szCs w:val="26"/>
        </w:rPr>
        <w:t>vastly different positions</w:t>
      </w:r>
      <w:r w:rsidR="00F20CA5">
        <w:rPr>
          <w:rFonts w:ascii="Times" w:hAnsi="Times"/>
          <w:szCs w:val="26"/>
        </w:rPr>
        <w:t>"</w:t>
      </w:r>
      <w:r w:rsidR="00DA15F3" w:rsidRPr="003D6E09">
        <w:rPr>
          <w:rFonts w:ascii="Times" w:hAnsi="Times"/>
          <w:szCs w:val="26"/>
        </w:rPr>
        <w:t xml:space="preserve"> as to the gravamen of Chase</w:t>
      </w:r>
      <w:r w:rsidR="00F20CA5">
        <w:rPr>
          <w:rFonts w:ascii="Times" w:hAnsi="Times"/>
          <w:szCs w:val="26"/>
        </w:rPr>
        <w:t>'</w:t>
      </w:r>
      <w:r w:rsidR="00DA15F3" w:rsidRPr="003D6E09">
        <w:rPr>
          <w:rFonts w:ascii="Times" w:hAnsi="Times"/>
          <w:szCs w:val="26"/>
        </w:rPr>
        <w:t xml:space="preserve">s action.  </w:t>
      </w:r>
      <w:r w:rsidR="00055539">
        <w:rPr>
          <w:rFonts w:ascii="Times" w:hAnsi="Times"/>
          <w:szCs w:val="26"/>
        </w:rPr>
        <w:t xml:space="preserve">But as the court read the complaint, Chase </w:t>
      </w:r>
      <w:r w:rsidR="0080134D" w:rsidRPr="003D6E09">
        <w:rPr>
          <w:rFonts w:ascii="Times" w:hAnsi="Times"/>
          <w:szCs w:val="26"/>
        </w:rPr>
        <w:t xml:space="preserve">contended the DOT </w:t>
      </w:r>
      <w:r w:rsidR="00DA15F3" w:rsidRPr="003D6E09">
        <w:rPr>
          <w:rFonts w:ascii="Times" w:hAnsi="Times"/>
          <w:szCs w:val="26"/>
        </w:rPr>
        <w:t xml:space="preserve">did not reflect the </w:t>
      </w:r>
      <w:r w:rsidR="0080134D" w:rsidRPr="003D6E09">
        <w:rPr>
          <w:rFonts w:ascii="Times" w:hAnsi="Times"/>
          <w:szCs w:val="26"/>
        </w:rPr>
        <w:t>parties</w:t>
      </w:r>
      <w:r w:rsidR="00F20CA5">
        <w:rPr>
          <w:rFonts w:ascii="Times" w:hAnsi="Times"/>
          <w:szCs w:val="26"/>
        </w:rPr>
        <w:t>'</w:t>
      </w:r>
      <w:r w:rsidR="0080134D" w:rsidRPr="003D6E09">
        <w:rPr>
          <w:rFonts w:ascii="Times" w:hAnsi="Times"/>
          <w:szCs w:val="26"/>
        </w:rPr>
        <w:t xml:space="preserve"> </w:t>
      </w:r>
      <w:r w:rsidR="00DA15F3" w:rsidRPr="003D6E09">
        <w:rPr>
          <w:rFonts w:ascii="Times" w:hAnsi="Times"/>
          <w:szCs w:val="26"/>
        </w:rPr>
        <w:t xml:space="preserve">true </w:t>
      </w:r>
      <w:r w:rsidR="0080134D" w:rsidRPr="003D6E09">
        <w:rPr>
          <w:rFonts w:ascii="Times" w:hAnsi="Times"/>
          <w:szCs w:val="26"/>
        </w:rPr>
        <w:t xml:space="preserve">intent because it did not indicate that Walter was executing </w:t>
      </w:r>
      <w:r w:rsidR="00DA15F3" w:rsidRPr="003D6E09">
        <w:rPr>
          <w:rFonts w:ascii="Times" w:hAnsi="Times"/>
          <w:szCs w:val="26"/>
        </w:rPr>
        <w:t>it</w:t>
      </w:r>
      <w:r w:rsidR="0080134D" w:rsidRPr="003D6E09">
        <w:rPr>
          <w:rFonts w:ascii="Times" w:hAnsi="Times"/>
          <w:szCs w:val="26"/>
        </w:rPr>
        <w:t xml:space="preserve"> in his capacity as trustee of the Trust.  </w:t>
      </w:r>
      <w:r w:rsidR="00DA15F3" w:rsidRPr="003D6E09">
        <w:rPr>
          <w:rFonts w:ascii="Times" w:hAnsi="Times"/>
          <w:szCs w:val="26"/>
        </w:rPr>
        <w:t>The court</w:t>
      </w:r>
      <w:r w:rsidR="0080134D" w:rsidRPr="003D6E09">
        <w:rPr>
          <w:rFonts w:ascii="Times" w:hAnsi="Times"/>
          <w:szCs w:val="26"/>
        </w:rPr>
        <w:t xml:space="preserve"> believed Chase </w:t>
      </w:r>
      <w:r w:rsidR="00DA15F3" w:rsidRPr="003D6E09">
        <w:rPr>
          <w:rFonts w:ascii="Times" w:hAnsi="Times"/>
          <w:szCs w:val="26"/>
        </w:rPr>
        <w:t>was seeking</w:t>
      </w:r>
      <w:r w:rsidR="0080134D" w:rsidRPr="003D6E09">
        <w:rPr>
          <w:rFonts w:ascii="Times" w:hAnsi="Times"/>
          <w:szCs w:val="26"/>
        </w:rPr>
        <w:t xml:space="preserve"> to reform the DOT to reflect the</w:t>
      </w:r>
      <w:r w:rsidR="00DA15F3" w:rsidRPr="003D6E09">
        <w:rPr>
          <w:rFonts w:ascii="Times" w:hAnsi="Times"/>
          <w:szCs w:val="26"/>
        </w:rPr>
        <w:t xml:space="preserve"> parties</w:t>
      </w:r>
      <w:r w:rsidR="00F20CA5">
        <w:rPr>
          <w:rFonts w:ascii="Times" w:hAnsi="Times"/>
          <w:szCs w:val="26"/>
        </w:rPr>
        <w:t>'</w:t>
      </w:r>
      <w:r w:rsidR="0080134D" w:rsidRPr="003D6E09">
        <w:rPr>
          <w:rFonts w:ascii="Times" w:hAnsi="Times"/>
          <w:szCs w:val="26"/>
        </w:rPr>
        <w:t xml:space="preserve"> true intent</w:t>
      </w:r>
      <w:r w:rsidR="00055539">
        <w:rPr>
          <w:rFonts w:ascii="Times" w:hAnsi="Times"/>
          <w:szCs w:val="26"/>
        </w:rPr>
        <w:t xml:space="preserve"> as a precursor to foreclosure</w:t>
      </w:r>
      <w:r w:rsidR="0080134D" w:rsidRPr="003D6E09">
        <w:rPr>
          <w:rFonts w:ascii="Times" w:hAnsi="Times"/>
          <w:szCs w:val="26"/>
        </w:rPr>
        <w:t xml:space="preserve">.   </w:t>
      </w:r>
      <w:r w:rsidR="00055539">
        <w:rPr>
          <w:rFonts w:ascii="Times" w:hAnsi="Times"/>
          <w:szCs w:val="26"/>
        </w:rPr>
        <w:t>Read in this manner, t</w:t>
      </w:r>
      <w:r w:rsidR="00DA15F3" w:rsidRPr="003D6E09">
        <w:rPr>
          <w:rFonts w:ascii="Times" w:hAnsi="Times"/>
          <w:szCs w:val="26"/>
        </w:rPr>
        <w:t>he lack of a writing was conceded, and</w:t>
      </w:r>
      <w:r w:rsidR="0080134D" w:rsidRPr="003D6E09">
        <w:rPr>
          <w:rFonts w:ascii="Times" w:hAnsi="Times"/>
          <w:szCs w:val="26"/>
        </w:rPr>
        <w:t xml:space="preserve"> an unrecorded and incorrect DOT could </w:t>
      </w:r>
      <w:r w:rsidR="00055539">
        <w:rPr>
          <w:rFonts w:ascii="Times" w:hAnsi="Times"/>
          <w:szCs w:val="26"/>
        </w:rPr>
        <w:t xml:space="preserve">not </w:t>
      </w:r>
      <w:r w:rsidR="0080134D" w:rsidRPr="003D6E09">
        <w:rPr>
          <w:rFonts w:ascii="Times" w:hAnsi="Times"/>
          <w:szCs w:val="26"/>
        </w:rPr>
        <w:t>satisfy the statute of frauds</w:t>
      </w:r>
      <w:r w:rsidR="00B95DF9">
        <w:rPr>
          <w:rFonts w:ascii="Times" w:hAnsi="Times"/>
          <w:szCs w:val="26"/>
        </w:rPr>
        <w:t xml:space="preserve"> (Civ. Code, § 1624, subd. (a))</w:t>
      </w:r>
      <w:r w:rsidR="0080134D" w:rsidRPr="003D6E09">
        <w:rPr>
          <w:rFonts w:ascii="Times" w:hAnsi="Times"/>
          <w:szCs w:val="26"/>
        </w:rPr>
        <w:t xml:space="preserve">.  </w:t>
      </w:r>
      <w:r w:rsidR="00B95DF9">
        <w:rPr>
          <w:rFonts w:ascii="Times" w:hAnsi="Times"/>
          <w:szCs w:val="26"/>
        </w:rPr>
        <w:t>Further</w:t>
      </w:r>
      <w:r w:rsidR="009917B3">
        <w:rPr>
          <w:rFonts w:ascii="Times" w:hAnsi="Times"/>
          <w:szCs w:val="26"/>
        </w:rPr>
        <w:t>,</w:t>
      </w:r>
      <w:r w:rsidR="00B95DF9">
        <w:rPr>
          <w:rFonts w:ascii="Times" w:hAnsi="Times"/>
          <w:szCs w:val="26"/>
        </w:rPr>
        <w:t xml:space="preserve"> the court </w:t>
      </w:r>
      <w:r w:rsidR="0080134D" w:rsidRPr="003D6E09">
        <w:rPr>
          <w:rFonts w:ascii="Times" w:hAnsi="Times"/>
          <w:szCs w:val="26"/>
        </w:rPr>
        <w:t>concluded the action was barred under the three-</w:t>
      </w:r>
      <w:r w:rsidR="00DA15F3" w:rsidRPr="003D6E09">
        <w:rPr>
          <w:rFonts w:ascii="Times" w:hAnsi="Times"/>
          <w:szCs w:val="26"/>
        </w:rPr>
        <w:t xml:space="preserve">year </w:t>
      </w:r>
      <w:r w:rsidR="0080134D" w:rsidRPr="003D6E09">
        <w:rPr>
          <w:rFonts w:ascii="Times" w:hAnsi="Times"/>
          <w:szCs w:val="26"/>
        </w:rPr>
        <w:t>limitation</w:t>
      </w:r>
      <w:r w:rsidR="00896A12" w:rsidRPr="003D6E09">
        <w:rPr>
          <w:rFonts w:ascii="Times" w:hAnsi="Times"/>
          <w:szCs w:val="26"/>
        </w:rPr>
        <w:t>s</w:t>
      </w:r>
      <w:r w:rsidR="0080134D" w:rsidRPr="003D6E09">
        <w:rPr>
          <w:rFonts w:ascii="Times" w:hAnsi="Times"/>
          <w:szCs w:val="26"/>
        </w:rPr>
        <w:t xml:space="preserve"> period for </w:t>
      </w:r>
      <w:r w:rsidR="00896A12" w:rsidRPr="003D6E09">
        <w:rPr>
          <w:rFonts w:ascii="Times" w:hAnsi="Times"/>
          <w:szCs w:val="26"/>
        </w:rPr>
        <w:t xml:space="preserve">relief from </w:t>
      </w:r>
      <w:r w:rsidR="0080134D" w:rsidRPr="003D6E09">
        <w:rPr>
          <w:rFonts w:ascii="Times" w:hAnsi="Times"/>
          <w:szCs w:val="26"/>
        </w:rPr>
        <w:t>mistake (</w:t>
      </w:r>
      <w:r w:rsidR="00665772">
        <w:rPr>
          <w:rFonts w:ascii="Times" w:hAnsi="Times"/>
          <w:szCs w:val="26"/>
        </w:rPr>
        <w:t xml:space="preserve">Code Civ. Proc., </w:t>
      </w:r>
      <w:r w:rsidR="0080134D" w:rsidRPr="003D6E09">
        <w:rPr>
          <w:rFonts w:ascii="Times" w:hAnsi="Times"/>
          <w:szCs w:val="26"/>
        </w:rPr>
        <w:t>§ 338, subd. (d))</w:t>
      </w:r>
      <w:r w:rsidR="00665772" w:rsidRPr="003D6E09">
        <w:rPr>
          <w:rStyle w:val="FootnoteReference"/>
          <w:rFonts w:ascii="Times" w:hAnsi="Times"/>
          <w:szCs w:val="26"/>
        </w:rPr>
        <w:footnoteReference w:id="3"/>
      </w:r>
      <w:r w:rsidR="00DA15F3" w:rsidRPr="003D6E09">
        <w:rPr>
          <w:rFonts w:ascii="Times" w:hAnsi="Times"/>
          <w:szCs w:val="26"/>
        </w:rPr>
        <w:t xml:space="preserve"> or the catch-all four-year limitations period for other actions (§ 343), implicitly </w:t>
      </w:r>
      <w:r w:rsidR="00055539">
        <w:rPr>
          <w:rFonts w:ascii="Times" w:hAnsi="Times"/>
          <w:szCs w:val="26"/>
        </w:rPr>
        <w:t>determining</w:t>
      </w:r>
      <w:r w:rsidR="00DA15F3" w:rsidRPr="003D6E09">
        <w:rPr>
          <w:rFonts w:ascii="Times" w:hAnsi="Times"/>
          <w:szCs w:val="26"/>
        </w:rPr>
        <w:t xml:space="preserve"> </w:t>
      </w:r>
      <w:r w:rsidR="00B95DF9">
        <w:rPr>
          <w:rFonts w:ascii="Times" w:hAnsi="Times"/>
          <w:szCs w:val="26"/>
        </w:rPr>
        <w:t xml:space="preserve">that </w:t>
      </w:r>
      <w:r w:rsidR="00DA15F3" w:rsidRPr="003D6E09">
        <w:rPr>
          <w:rFonts w:ascii="Times" w:hAnsi="Times"/>
          <w:szCs w:val="26"/>
        </w:rPr>
        <w:t xml:space="preserve">the action accrued when the DOT was </w:t>
      </w:r>
      <w:r w:rsidR="00B95DF9">
        <w:rPr>
          <w:rFonts w:ascii="Times" w:hAnsi="Times"/>
          <w:szCs w:val="26"/>
        </w:rPr>
        <w:t>signed</w:t>
      </w:r>
      <w:r w:rsidR="00DA15F3" w:rsidRPr="003D6E09">
        <w:rPr>
          <w:rFonts w:ascii="Times" w:hAnsi="Times"/>
          <w:szCs w:val="26"/>
        </w:rPr>
        <w:t xml:space="preserve"> in December 2007.  </w:t>
      </w:r>
      <w:r w:rsidR="00B95DF9">
        <w:rPr>
          <w:rFonts w:ascii="Times" w:hAnsi="Times"/>
          <w:szCs w:val="26"/>
        </w:rPr>
        <w:t xml:space="preserve">It </w:t>
      </w:r>
      <w:r w:rsidR="0091322E" w:rsidRPr="003D6E09">
        <w:rPr>
          <w:rFonts w:ascii="Times" w:hAnsi="Times"/>
          <w:szCs w:val="26"/>
        </w:rPr>
        <w:t xml:space="preserve">denied leave to amend. </w:t>
      </w:r>
    </w:p>
    <w:p w14:paraId="31538813" w14:textId="7EF7CF82" w:rsidR="0091322E" w:rsidRPr="003D6E09" w:rsidRDefault="0091322E" w:rsidP="00D456DF">
      <w:pPr>
        <w:rPr>
          <w:rFonts w:ascii="Times" w:hAnsi="Times"/>
          <w:szCs w:val="26"/>
        </w:rPr>
      </w:pPr>
      <w:r w:rsidRPr="003D6E09">
        <w:rPr>
          <w:rFonts w:ascii="Times" w:hAnsi="Times"/>
          <w:szCs w:val="26"/>
        </w:rPr>
        <w:tab/>
        <w:t>After a judgment of dismissal was entered</w:t>
      </w:r>
      <w:r w:rsidR="00925C9D" w:rsidRPr="003D6E09">
        <w:rPr>
          <w:rFonts w:ascii="Times" w:hAnsi="Times"/>
          <w:szCs w:val="26"/>
        </w:rPr>
        <w:t xml:space="preserve"> in </w:t>
      </w:r>
      <w:r w:rsidR="00675643">
        <w:rPr>
          <w:rFonts w:ascii="Times" w:hAnsi="Times"/>
          <w:szCs w:val="26"/>
        </w:rPr>
        <w:t>his favor, David</w:t>
      </w:r>
      <w:r w:rsidRPr="003D6E09">
        <w:rPr>
          <w:rFonts w:ascii="Times" w:hAnsi="Times"/>
          <w:szCs w:val="26"/>
        </w:rPr>
        <w:t xml:space="preserve"> </w:t>
      </w:r>
      <w:r w:rsidR="00675643">
        <w:rPr>
          <w:rFonts w:ascii="Times" w:hAnsi="Times"/>
          <w:szCs w:val="26"/>
        </w:rPr>
        <w:t xml:space="preserve">requested </w:t>
      </w:r>
      <w:r w:rsidR="00B95DF9">
        <w:rPr>
          <w:rFonts w:ascii="Times" w:hAnsi="Times"/>
          <w:szCs w:val="26"/>
        </w:rPr>
        <w:t xml:space="preserve">contractual </w:t>
      </w:r>
      <w:r w:rsidRPr="003D6E09">
        <w:rPr>
          <w:rFonts w:ascii="Times" w:hAnsi="Times"/>
          <w:szCs w:val="26"/>
        </w:rPr>
        <w:t xml:space="preserve">attorney fees and costs.  </w:t>
      </w:r>
      <w:r w:rsidR="007108A4" w:rsidRPr="003D6E09">
        <w:rPr>
          <w:rFonts w:ascii="Times" w:hAnsi="Times"/>
          <w:szCs w:val="26"/>
        </w:rPr>
        <w:t xml:space="preserve">The court granted </w:t>
      </w:r>
      <w:r w:rsidR="00925C9D" w:rsidRPr="003D6E09">
        <w:rPr>
          <w:rFonts w:ascii="Times" w:hAnsi="Times"/>
          <w:szCs w:val="26"/>
        </w:rPr>
        <w:t>his</w:t>
      </w:r>
      <w:r w:rsidR="007108A4" w:rsidRPr="003D6E09">
        <w:rPr>
          <w:rFonts w:ascii="Times" w:hAnsi="Times"/>
          <w:szCs w:val="26"/>
        </w:rPr>
        <w:t xml:space="preserve"> motion, awarding $82,325 in fees and $3,967 in costs. </w:t>
      </w:r>
      <w:r w:rsidR="004368A9" w:rsidRPr="003D6E09">
        <w:rPr>
          <w:rFonts w:ascii="Times" w:hAnsi="Times"/>
          <w:szCs w:val="26"/>
        </w:rPr>
        <w:t xml:space="preserve"> </w:t>
      </w:r>
    </w:p>
    <w:p w14:paraId="6C9820F5" w14:textId="77777777" w:rsidR="005D0A04" w:rsidRPr="003D6E09" w:rsidRDefault="005D0A04" w:rsidP="00D80358">
      <w:pPr>
        <w:keepNext/>
        <w:jc w:val="center"/>
        <w:rPr>
          <w:rFonts w:ascii="Times" w:hAnsi="Times"/>
          <w:szCs w:val="26"/>
        </w:rPr>
      </w:pPr>
      <w:r w:rsidRPr="003D6E09">
        <w:rPr>
          <w:rFonts w:ascii="Times" w:hAnsi="Times"/>
          <w:szCs w:val="26"/>
        </w:rPr>
        <w:t>DISCUSSION</w:t>
      </w:r>
    </w:p>
    <w:p w14:paraId="233551F7" w14:textId="5FB2AB22" w:rsidR="00675643" w:rsidRDefault="00675643" w:rsidP="00D456DF">
      <w:pPr>
        <w:rPr>
          <w:rFonts w:ascii="Times" w:hAnsi="Times"/>
          <w:szCs w:val="26"/>
        </w:rPr>
      </w:pPr>
      <w:r>
        <w:rPr>
          <w:rFonts w:ascii="Times" w:hAnsi="Times"/>
          <w:szCs w:val="26"/>
        </w:rPr>
        <w:tab/>
      </w:r>
      <w:r w:rsidRPr="003D6E09">
        <w:rPr>
          <w:rFonts w:ascii="Times" w:hAnsi="Times"/>
          <w:szCs w:val="26"/>
        </w:rPr>
        <w:t xml:space="preserve">Chase appeals the judgment, arguing the demurrers were erroneously sustained without leave to amend.  To the extent we accept this position, </w:t>
      </w:r>
      <w:r w:rsidR="000C7A31">
        <w:rPr>
          <w:rFonts w:ascii="Times" w:hAnsi="Times"/>
          <w:szCs w:val="26"/>
        </w:rPr>
        <w:t>it</w:t>
      </w:r>
      <w:r w:rsidRPr="003D6E09">
        <w:rPr>
          <w:rFonts w:ascii="Times" w:hAnsi="Times"/>
          <w:szCs w:val="26"/>
        </w:rPr>
        <w:t xml:space="preserve"> challenges the </w:t>
      </w:r>
      <w:proofErr w:type="spellStart"/>
      <w:r w:rsidRPr="003D6E09">
        <w:rPr>
          <w:rFonts w:ascii="Times" w:hAnsi="Times"/>
          <w:szCs w:val="26"/>
        </w:rPr>
        <w:t>postjudgment</w:t>
      </w:r>
      <w:proofErr w:type="spellEnd"/>
      <w:r w:rsidRPr="003D6E09">
        <w:rPr>
          <w:rFonts w:ascii="Times" w:hAnsi="Times"/>
          <w:szCs w:val="26"/>
        </w:rPr>
        <w:t xml:space="preserve"> award of fees and costs. </w:t>
      </w:r>
    </w:p>
    <w:p w14:paraId="4F96270E" w14:textId="6EBAF2F1" w:rsidR="005D0A04" w:rsidRPr="003D6E09" w:rsidRDefault="0091322E" w:rsidP="00D456DF">
      <w:pPr>
        <w:rPr>
          <w:rFonts w:ascii="Times" w:hAnsi="Times"/>
          <w:szCs w:val="26"/>
        </w:rPr>
      </w:pPr>
      <w:r w:rsidRPr="003D6E09">
        <w:rPr>
          <w:rFonts w:ascii="Times" w:hAnsi="Times"/>
          <w:szCs w:val="26"/>
        </w:rPr>
        <w:tab/>
      </w:r>
      <w:r w:rsidR="00AC6628" w:rsidRPr="003D6E09">
        <w:rPr>
          <w:rFonts w:ascii="Times" w:hAnsi="Times"/>
          <w:szCs w:val="26"/>
        </w:rPr>
        <w:t xml:space="preserve">The issues on appeal mirror those </w:t>
      </w:r>
      <w:r w:rsidR="00B95DF9">
        <w:rPr>
          <w:rFonts w:ascii="Times" w:hAnsi="Times"/>
          <w:szCs w:val="26"/>
        </w:rPr>
        <w:t>raised</w:t>
      </w:r>
      <w:r w:rsidR="008B2186">
        <w:rPr>
          <w:rFonts w:ascii="Times" w:hAnsi="Times"/>
          <w:szCs w:val="26"/>
        </w:rPr>
        <w:t xml:space="preserve"> </w:t>
      </w:r>
      <w:r w:rsidR="00AC6628" w:rsidRPr="003D6E09">
        <w:rPr>
          <w:rFonts w:ascii="Times" w:hAnsi="Times"/>
          <w:szCs w:val="26"/>
        </w:rPr>
        <w:t xml:space="preserve">below.  </w:t>
      </w:r>
      <w:r w:rsidR="008B2186">
        <w:rPr>
          <w:rFonts w:ascii="Times" w:hAnsi="Times"/>
          <w:szCs w:val="26"/>
        </w:rPr>
        <w:t>T</w:t>
      </w:r>
      <w:r w:rsidR="00AC6628" w:rsidRPr="003D6E09">
        <w:rPr>
          <w:rFonts w:ascii="Times" w:hAnsi="Times"/>
          <w:szCs w:val="26"/>
        </w:rPr>
        <w:t xml:space="preserve">he parties </w:t>
      </w:r>
      <w:r w:rsidR="008B2186">
        <w:rPr>
          <w:rFonts w:ascii="Times" w:hAnsi="Times"/>
          <w:szCs w:val="26"/>
        </w:rPr>
        <w:t>diverge</w:t>
      </w:r>
      <w:r w:rsidR="00AC6628" w:rsidRPr="003D6E09">
        <w:rPr>
          <w:rFonts w:ascii="Times" w:hAnsi="Times"/>
          <w:szCs w:val="26"/>
        </w:rPr>
        <w:t xml:space="preserve"> as to the gravamen of Chase</w:t>
      </w:r>
      <w:r w:rsidR="00F20CA5">
        <w:rPr>
          <w:rFonts w:ascii="Times" w:hAnsi="Times"/>
          <w:szCs w:val="26"/>
        </w:rPr>
        <w:t>'</w:t>
      </w:r>
      <w:r w:rsidR="00AC6628" w:rsidRPr="003D6E09">
        <w:rPr>
          <w:rFonts w:ascii="Times" w:hAnsi="Times"/>
          <w:szCs w:val="26"/>
        </w:rPr>
        <w:t>s action</w:t>
      </w:r>
      <w:r w:rsidR="008B2186">
        <w:rPr>
          <w:rFonts w:ascii="Times" w:hAnsi="Times"/>
          <w:szCs w:val="26"/>
        </w:rPr>
        <w:t xml:space="preserve">, offering </w:t>
      </w:r>
      <w:r w:rsidR="00BC784E" w:rsidRPr="003D6E09">
        <w:rPr>
          <w:rFonts w:ascii="Times" w:hAnsi="Times"/>
          <w:szCs w:val="26"/>
        </w:rPr>
        <w:t xml:space="preserve">competing </w:t>
      </w:r>
      <w:r w:rsidR="00AC6628" w:rsidRPr="003D6E09">
        <w:rPr>
          <w:rFonts w:ascii="Times" w:hAnsi="Times"/>
          <w:szCs w:val="26"/>
        </w:rPr>
        <w:t xml:space="preserve">interpretations of paragraph 18 </w:t>
      </w:r>
      <w:r w:rsidR="008B2186">
        <w:rPr>
          <w:rFonts w:ascii="Times" w:hAnsi="Times"/>
          <w:szCs w:val="26"/>
        </w:rPr>
        <w:t>of</w:t>
      </w:r>
      <w:r w:rsidR="00AC6628" w:rsidRPr="003D6E09">
        <w:rPr>
          <w:rFonts w:ascii="Times" w:hAnsi="Times"/>
          <w:szCs w:val="26"/>
        </w:rPr>
        <w:t xml:space="preserve"> </w:t>
      </w:r>
      <w:r w:rsidR="00BC784E" w:rsidRPr="003D6E09">
        <w:rPr>
          <w:rFonts w:ascii="Times" w:hAnsi="Times"/>
          <w:szCs w:val="26"/>
        </w:rPr>
        <w:t>the</w:t>
      </w:r>
      <w:r w:rsidR="00AC6628" w:rsidRPr="003D6E09">
        <w:rPr>
          <w:rFonts w:ascii="Times" w:hAnsi="Times"/>
          <w:szCs w:val="26"/>
        </w:rPr>
        <w:t xml:space="preserve"> verified complaint.  Chase minimizes </w:t>
      </w:r>
      <w:r w:rsidR="008B2186">
        <w:rPr>
          <w:rFonts w:ascii="Times" w:hAnsi="Times"/>
          <w:szCs w:val="26"/>
        </w:rPr>
        <w:t>th</w:t>
      </w:r>
      <w:r w:rsidR="000C7A31">
        <w:rPr>
          <w:rFonts w:ascii="Times" w:hAnsi="Times"/>
          <w:szCs w:val="26"/>
        </w:rPr>
        <w:t>e</w:t>
      </w:r>
      <w:r w:rsidR="008B2186">
        <w:rPr>
          <w:rFonts w:ascii="Times" w:hAnsi="Times"/>
          <w:szCs w:val="26"/>
        </w:rPr>
        <w:t xml:space="preserve"> paragraph</w:t>
      </w:r>
      <w:r w:rsidR="00AC6628" w:rsidRPr="003D6E09">
        <w:rPr>
          <w:rFonts w:ascii="Times" w:hAnsi="Times"/>
          <w:szCs w:val="26"/>
        </w:rPr>
        <w:t xml:space="preserve">, claiming </w:t>
      </w:r>
      <w:r w:rsidR="007D6DAC" w:rsidRPr="003D6E09">
        <w:rPr>
          <w:rFonts w:ascii="Times" w:hAnsi="Times"/>
          <w:szCs w:val="26"/>
        </w:rPr>
        <w:t>it</w:t>
      </w:r>
      <w:r w:rsidR="008B2186">
        <w:rPr>
          <w:rFonts w:ascii="Times" w:hAnsi="Times"/>
          <w:szCs w:val="26"/>
        </w:rPr>
        <w:t xml:space="preserve"> seeks</w:t>
      </w:r>
      <w:r w:rsidR="00AC6628" w:rsidRPr="003D6E09">
        <w:rPr>
          <w:rFonts w:ascii="Times" w:hAnsi="Times"/>
          <w:szCs w:val="26"/>
        </w:rPr>
        <w:t xml:space="preserve"> to enforce the DOT </w:t>
      </w:r>
      <w:r w:rsidR="00AC6628" w:rsidRPr="003D6E09">
        <w:rPr>
          <w:rFonts w:ascii="Times" w:hAnsi="Times"/>
          <w:i/>
          <w:szCs w:val="26"/>
        </w:rPr>
        <w:t>as written</w:t>
      </w:r>
      <w:r w:rsidR="00BC784E" w:rsidRPr="003D6E09">
        <w:rPr>
          <w:rFonts w:ascii="Times" w:hAnsi="Times"/>
          <w:szCs w:val="26"/>
        </w:rPr>
        <w:t xml:space="preserve"> despite </w:t>
      </w:r>
      <w:r w:rsidR="00F20CA5">
        <w:rPr>
          <w:rFonts w:ascii="Times" w:hAnsi="Times"/>
          <w:szCs w:val="26"/>
        </w:rPr>
        <w:t>"</w:t>
      </w:r>
      <w:proofErr w:type="spellStart"/>
      <w:r w:rsidR="007D6DAC" w:rsidRPr="003D6E09">
        <w:rPr>
          <w:rFonts w:ascii="Times" w:hAnsi="Times"/>
          <w:szCs w:val="26"/>
        </w:rPr>
        <w:t>inartfully</w:t>
      </w:r>
      <w:proofErr w:type="spellEnd"/>
      <w:r w:rsidR="00F20CA5">
        <w:rPr>
          <w:rFonts w:ascii="Times" w:hAnsi="Times"/>
          <w:szCs w:val="26"/>
        </w:rPr>
        <w:t>"</w:t>
      </w:r>
      <w:r w:rsidR="007D6DAC" w:rsidRPr="003D6E09">
        <w:rPr>
          <w:rFonts w:ascii="Times" w:hAnsi="Times"/>
          <w:szCs w:val="26"/>
        </w:rPr>
        <w:t xml:space="preserve"> pleading </w:t>
      </w:r>
      <w:r w:rsidR="00820ECA" w:rsidRPr="003D6E09">
        <w:rPr>
          <w:rFonts w:ascii="Times" w:hAnsi="Times"/>
          <w:szCs w:val="26"/>
        </w:rPr>
        <w:t xml:space="preserve">mistake </w:t>
      </w:r>
      <w:r w:rsidR="00BC784E" w:rsidRPr="003D6E09">
        <w:rPr>
          <w:rFonts w:ascii="Times" w:hAnsi="Times"/>
          <w:szCs w:val="26"/>
        </w:rPr>
        <w:t xml:space="preserve">in </w:t>
      </w:r>
      <w:r w:rsidR="007D6DAC" w:rsidRPr="003D6E09">
        <w:rPr>
          <w:rFonts w:ascii="Times" w:hAnsi="Times"/>
          <w:szCs w:val="26"/>
        </w:rPr>
        <w:t>its</w:t>
      </w:r>
      <w:r w:rsidR="00BC784E" w:rsidRPr="003D6E09">
        <w:rPr>
          <w:rFonts w:ascii="Times" w:hAnsi="Times"/>
          <w:szCs w:val="26"/>
        </w:rPr>
        <w:t xml:space="preserve"> execution</w:t>
      </w:r>
      <w:r w:rsidR="00AC6628" w:rsidRPr="003D6E09">
        <w:rPr>
          <w:rFonts w:ascii="Times" w:hAnsi="Times"/>
          <w:szCs w:val="26"/>
        </w:rPr>
        <w:t xml:space="preserve">.  Framed in this manner, </w:t>
      </w:r>
      <w:r w:rsidR="00BC784E" w:rsidRPr="003D6E09">
        <w:rPr>
          <w:rFonts w:ascii="Times" w:hAnsi="Times"/>
          <w:szCs w:val="26"/>
        </w:rPr>
        <w:t xml:space="preserve">Chase maintains </w:t>
      </w:r>
      <w:r w:rsidR="00AC6628" w:rsidRPr="003D6E09">
        <w:rPr>
          <w:rFonts w:ascii="Times" w:hAnsi="Times"/>
          <w:szCs w:val="26"/>
        </w:rPr>
        <w:t>the statute of frauds and statute of limitations p</w:t>
      </w:r>
      <w:r w:rsidR="008B2186">
        <w:rPr>
          <w:rFonts w:ascii="Times" w:hAnsi="Times"/>
          <w:szCs w:val="26"/>
        </w:rPr>
        <w:t>resent</w:t>
      </w:r>
      <w:r w:rsidR="00AC6628" w:rsidRPr="003D6E09">
        <w:rPr>
          <w:rFonts w:ascii="Times" w:hAnsi="Times"/>
          <w:szCs w:val="26"/>
        </w:rPr>
        <w:t xml:space="preserve"> no bar.  </w:t>
      </w:r>
      <w:r w:rsidR="007D6DAC" w:rsidRPr="003D6E09">
        <w:rPr>
          <w:rFonts w:ascii="Times" w:hAnsi="Times"/>
          <w:szCs w:val="26"/>
        </w:rPr>
        <w:t>To the extent the complaint was confusing</w:t>
      </w:r>
      <w:r w:rsidR="008B2186">
        <w:rPr>
          <w:rFonts w:ascii="Times" w:hAnsi="Times"/>
          <w:szCs w:val="26"/>
        </w:rPr>
        <w:t xml:space="preserve"> or unclear</w:t>
      </w:r>
      <w:r w:rsidR="007D6DAC" w:rsidRPr="003D6E09">
        <w:rPr>
          <w:rFonts w:ascii="Times" w:hAnsi="Times"/>
          <w:szCs w:val="26"/>
        </w:rPr>
        <w:t xml:space="preserve">, </w:t>
      </w:r>
      <w:r w:rsidR="008B2186">
        <w:rPr>
          <w:rFonts w:ascii="Times" w:hAnsi="Times"/>
          <w:szCs w:val="26"/>
        </w:rPr>
        <w:t>it argues</w:t>
      </w:r>
      <w:r w:rsidR="007D6DAC" w:rsidRPr="003D6E09">
        <w:rPr>
          <w:rFonts w:ascii="Times" w:hAnsi="Times"/>
          <w:szCs w:val="26"/>
        </w:rPr>
        <w:t xml:space="preserve"> </w:t>
      </w:r>
      <w:r w:rsidR="000C7A31">
        <w:rPr>
          <w:rFonts w:ascii="Times" w:hAnsi="Times"/>
          <w:szCs w:val="26"/>
        </w:rPr>
        <w:t xml:space="preserve">that </w:t>
      </w:r>
      <w:r w:rsidR="007D6DAC" w:rsidRPr="003D6E09">
        <w:rPr>
          <w:rFonts w:ascii="Times" w:hAnsi="Times"/>
          <w:szCs w:val="26"/>
        </w:rPr>
        <w:t xml:space="preserve">leave to amend was improperly denied.  </w:t>
      </w:r>
      <w:r w:rsidR="008B2186">
        <w:rPr>
          <w:rFonts w:ascii="Times" w:hAnsi="Times"/>
          <w:szCs w:val="26"/>
        </w:rPr>
        <w:t>In response</w:t>
      </w:r>
      <w:r w:rsidR="009917B3">
        <w:rPr>
          <w:rFonts w:ascii="Times" w:hAnsi="Times"/>
          <w:szCs w:val="26"/>
        </w:rPr>
        <w:t>,</w:t>
      </w:r>
      <w:r w:rsidR="008B2186">
        <w:rPr>
          <w:rFonts w:ascii="Times" w:hAnsi="Times"/>
          <w:szCs w:val="26"/>
        </w:rPr>
        <w:t xml:space="preserve"> </w:t>
      </w:r>
      <w:r w:rsidR="00BC784E" w:rsidRPr="003D6E09">
        <w:rPr>
          <w:rFonts w:ascii="Times" w:hAnsi="Times"/>
          <w:szCs w:val="26"/>
        </w:rPr>
        <w:t>David</w:t>
      </w:r>
      <w:r w:rsidR="007D6DAC" w:rsidRPr="003D6E09">
        <w:rPr>
          <w:rFonts w:ascii="Times" w:hAnsi="Times"/>
          <w:szCs w:val="26"/>
        </w:rPr>
        <w:t xml:space="preserve"> </w:t>
      </w:r>
      <w:r w:rsidR="00D60B70" w:rsidRPr="003D6E09">
        <w:rPr>
          <w:rFonts w:ascii="Times" w:hAnsi="Times"/>
          <w:szCs w:val="26"/>
        </w:rPr>
        <w:t>emphasizes paragraph 18</w:t>
      </w:r>
      <w:r w:rsidR="008B2186">
        <w:rPr>
          <w:rFonts w:ascii="Times" w:hAnsi="Times"/>
          <w:szCs w:val="26"/>
        </w:rPr>
        <w:t xml:space="preserve"> to claim</w:t>
      </w:r>
      <w:r w:rsidR="00DA21C4" w:rsidRPr="003D6E09">
        <w:rPr>
          <w:rFonts w:ascii="Times" w:hAnsi="Times"/>
          <w:szCs w:val="26"/>
        </w:rPr>
        <w:t xml:space="preserve"> </w:t>
      </w:r>
      <w:r w:rsidR="009917B3">
        <w:rPr>
          <w:rFonts w:ascii="Times" w:hAnsi="Times"/>
          <w:szCs w:val="26"/>
        </w:rPr>
        <w:t xml:space="preserve">that </w:t>
      </w:r>
      <w:r w:rsidR="00BC784E" w:rsidRPr="003D6E09">
        <w:rPr>
          <w:rFonts w:ascii="Times" w:hAnsi="Times"/>
          <w:szCs w:val="26"/>
        </w:rPr>
        <w:t xml:space="preserve">the </w:t>
      </w:r>
      <w:r w:rsidR="008B2186">
        <w:rPr>
          <w:rFonts w:ascii="Times" w:hAnsi="Times"/>
          <w:szCs w:val="26"/>
        </w:rPr>
        <w:t>heart</w:t>
      </w:r>
      <w:r w:rsidR="00BC784E" w:rsidRPr="003D6E09">
        <w:rPr>
          <w:rFonts w:ascii="Times" w:hAnsi="Times"/>
          <w:szCs w:val="26"/>
        </w:rPr>
        <w:t xml:space="preserve"> of </w:t>
      </w:r>
      <w:r w:rsidR="00DA21C4" w:rsidRPr="003D6E09">
        <w:rPr>
          <w:rFonts w:ascii="Times" w:hAnsi="Times"/>
          <w:szCs w:val="26"/>
        </w:rPr>
        <w:t>Chase</w:t>
      </w:r>
      <w:r w:rsidR="00F20CA5">
        <w:rPr>
          <w:rFonts w:ascii="Times" w:hAnsi="Times"/>
          <w:szCs w:val="26"/>
        </w:rPr>
        <w:t>'</w:t>
      </w:r>
      <w:r w:rsidR="00DA21C4" w:rsidRPr="003D6E09">
        <w:rPr>
          <w:rFonts w:ascii="Times" w:hAnsi="Times"/>
          <w:szCs w:val="26"/>
        </w:rPr>
        <w:t xml:space="preserve">s action is to correct a mistake in the execution of the DOT.  </w:t>
      </w:r>
      <w:r w:rsidR="00B95DF9">
        <w:rPr>
          <w:rFonts w:ascii="Times" w:hAnsi="Times"/>
          <w:szCs w:val="26"/>
        </w:rPr>
        <w:t>Invoking</w:t>
      </w:r>
      <w:r w:rsidR="00BC784E" w:rsidRPr="003D6E09">
        <w:rPr>
          <w:rFonts w:ascii="Times" w:hAnsi="Times"/>
          <w:szCs w:val="26"/>
        </w:rPr>
        <w:t xml:space="preserve"> </w:t>
      </w:r>
      <w:r w:rsidR="00DA21C4" w:rsidRPr="003D6E09">
        <w:rPr>
          <w:rFonts w:ascii="Times" w:hAnsi="Times"/>
          <w:szCs w:val="26"/>
        </w:rPr>
        <w:t>the sham pleading doctrine</w:t>
      </w:r>
      <w:r w:rsidR="00BC784E" w:rsidRPr="003D6E09">
        <w:rPr>
          <w:rFonts w:ascii="Times" w:hAnsi="Times"/>
          <w:szCs w:val="26"/>
        </w:rPr>
        <w:t xml:space="preserve">, </w:t>
      </w:r>
      <w:r w:rsidR="007D6DAC" w:rsidRPr="003D6E09">
        <w:rPr>
          <w:rFonts w:ascii="Times" w:hAnsi="Times"/>
          <w:szCs w:val="26"/>
        </w:rPr>
        <w:t>David</w:t>
      </w:r>
      <w:r w:rsidR="00BC784E" w:rsidRPr="003D6E09">
        <w:rPr>
          <w:rFonts w:ascii="Times" w:hAnsi="Times"/>
          <w:szCs w:val="26"/>
        </w:rPr>
        <w:t xml:space="preserve"> argues</w:t>
      </w:r>
      <w:r w:rsidR="00DA21C4" w:rsidRPr="003D6E09">
        <w:rPr>
          <w:rFonts w:ascii="Times" w:hAnsi="Times"/>
          <w:szCs w:val="26"/>
        </w:rPr>
        <w:t xml:space="preserve"> </w:t>
      </w:r>
      <w:r w:rsidR="007D6DAC" w:rsidRPr="003D6E09">
        <w:rPr>
          <w:rFonts w:ascii="Times" w:hAnsi="Times"/>
          <w:szCs w:val="26"/>
        </w:rPr>
        <w:t xml:space="preserve">that </w:t>
      </w:r>
      <w:r w:rsidR="00DA21C4" w:rsidRPr="003D6E09">
        <w:rPr>
          <w:rFonts w:ascii="Times" w:hAnsi="Times"/>
          <w:szCs w:val="26"/>
        </w:rPr>
        <w:t xml:space="preserve">Chase </w:t>
      </w:r>
      <w:r w:rsidR="009917B3">
        <w:rPr>
          <w:rFonts w:ascii="Times" w:hAnsi="Times"/>
          <w:szCs w:val="26"/>
        </w:rPr>
        <w:t>can</w:t>
      </w:r>
      <w:r w:rsidR="00DA21C4" w:rsidRPr="003D6E09">
        <w:rPr>
          <w:rFonts w:ascii="Times" w:hAnsi="Times"/>
          <w:szCs w:val="26"/>
        </w:rPr>
        <w:t xml:space="preserve">not simply omit </w:t>
      </w:r>
      <w:r w:rsidR="008B2186">
        <w:rPr>
          <w:rFonts w:ascii="Times" w:hAnsi="Times"/>
          <w:szCs w:val="26"/>
        </w:rPr>
        <w:t xml:space="preserve">that allegation </w:t>
      </w:r>
      <w:r w:rsidR="00DA21C4" w:rsidRPr="003D6E09">
        <w:rPr>
          <w:rFonts w:ascii="Times" w:hAnsi="Times"/>
          <w:szCs w:val="26"/>
        </w:rPr>
        <w:t xml:space="preserve">in an amended pleading. </w:t>
      </w:r>
    </w:p>
    <w:p w14:paraId="4E651203" w14:textId="7B8766C4" w:rsidR="0006226D" w:rsidRPr="003D6E09" w:rsidRDefault="00942D2E" w:rsidP="00D456DF">
      <w:pPr>
        <w:rPr>
          <w:rFonts w:ascii="Times" w:hAnsi="Times"/>
          <w:szCs w:val="26"/>
        </w:rPr>
      </w:pPr>
      <w:r w:rsidRPr="003D6E09">
        <w:rPr>
          <w:rFonts w:ascii="Times" w:hAnsi="Times"/>
          <w:szCs w:val="26"/>
        </w:rPr>
        <w:tab/>
        <w:t xml:space="preserve">As we explain, reframed in the manner urged on appeal, Chase could assert a viable cause of action.  Because a party may </w:t>
      </w:r>
      <w:r w:rsidR="008B2186">
        <w:rPr>
          <w:rFonts w:ascii="Times" w:hAnsi="Times"/>
          <w:szCs w:val="26"/>
        </w:rPr>
        <w:t>show</w:t>
      </w:r>
      <w:r w:rsidRPr="003D6E09">
        <w:rPr>
          <w:rFonts w:ascii="Times" w:hAnsi="Times"/>
          <w:szCs w:val="26"/>
        </w:rPr>
        <w:t xml:space="preserve"> that amendment is possib</w:t>
      </w:r>
      <w:r w:rsidR="00604B46" w:rsidRPr="003D6E09">
        <w:rPr>
          <w:rFonts w:ascii="Times" w:hAnsi="Times"/>
          <w:szCs w:val="26"/>
        </w:rPr>
        <w:t>le for the first time on appeal</w:t>
      </w:r>
      <w:r w:rsidRPr="003D6E09">
        <w:rPr>
          <w:rFonts w:ascii="Times" w:hAnsi="Times"/>
          <w:szCs w:val="26"/>
        </w:rPr>
        <w:t>, we conclude the denial of leave to amend was an abuse of discretion.</w:t>
      </w:r>
      <w:r w:rsidR="00604B46" w:rsidRPr="003D6E09">
        <w:rPr>
          <w:rFonts w:ascii="Times" w:hAnsi="Times"/>
          <w:szCs w:val="26"/>
        </w:rPr>
        <w:t xml:space="preserve">  </w:t>
      </w:r>
      <w:r w:rsidR="000C7A31">
        <w:rPr>
          <w:rFonts w:ascii="Times" w:hAnsi="Times"/>
          <w:szCs w:val="26"/>
        </w:rPr>
        <w:t xml:space="preserve">In doing so, we reject the contention that the proposed amendment would violate the sham pleading doctrine.  </w:t>
      </w:r>
      <w:r w:rsidR="00D8180E">
        <w:rPr>
          <w:rFonts w:ascii="Times" w:hAnsi="Times"/>
          <w:szCs w:val="26"/>
        </w:rPr>
        <w:t xml:space="preserve">Our </w:t>
      </w:r>
      <w:r w:rsidR="008B2186">
        <w:rPr>
          <w:rFonts w:ascii="Times" w:hAnsi="Times"/>
          <w:szCs w:val="26"/>
        </w:rPr>
        <w:t xml:space="preserve">result </w:t>
      </w:r>
      <w:r w:rsidR="00D8180E">
        <w:rPr>
          <w:rFonts w:ascii="Times" w:hAnsi="Times"/>
          <w:szCs w:val="26"/>
        </w:rPr>
        <w:t>further</w:t>
      </w:r>
      <w:r w:rsidR="008B2186">
        <w:rPr>
          <w:rFonts w:ascii="Times" w:hAnsi="Times"/>
          <w:szCs w:val="26"/>
        </w:rPr>
        <w:t xml:space="preserve"> </w:t>
      </w:r>
      <w:r w:rsidR="00604B46" w:rsidRPr="003D6E09">
        <w:rPr>
          <w:rFonts w:ascii="Times" w:hAnsi="Times"/>
          <w:szCs w:val="26"/>
        </w:rPr>
        <w:t xml:space="preserve">compels reversal of the </w:t>
      </w:r>
      <w:proofErr w:type="spellStart"/>
      <w:r w:rsidR="00604B46" w:rsidRPr="003D6E09">
        <w:rPr>
          <w:rFonts w:ascii="Times" w:hAnsi="Times"/>
          <w:szCs w:val="26"/>
        </w:rPr>
        <w:t>postjudgment</w:t>
      </w:r>
      <w:proofErr w:type="spellEnd"/>
      <w:r w:rsidR="00604B46" w:rsidRPr="003D6E09">
        <w:rPr>
          <w:rFonts w:ascii="Times" w:hAnsi="Times"/>
          <w:szCs w:val="26"/>
        </w:rPr>
        <w:t xml:space="preserve"> award of attorney fees and costs.</w:t>
      </w:r>
    </w:p>
    <w:p w14:paraId="1670D356" w14:textId="77777777" w:rsidR="008B2186" w:rsidRPr="004662B6" w:rsidRDefault="00054B21" w:rsidP="004662B6">
      <w:pPr>
        <w:keepNext/>
        <w:rPr>
          <w:rFonts w:ascii="Times" w:hAnsi="Times"/>
          <w:i/>
          <w:szCs w:val="26"/>
        </w:rPr>
      </w:pPr>
      <w:r w:rsidRPr="006F0493">
        <w:rPr>
          <w:rFonts w:ascii="Times" w:hAnsi="Times"/>
          <w:szCs w:val="26"/>
        </w:rPr>
        <w:t>1.</w:t>
      </w:r>
      <w:r>
        <w:rPr>
          <w:rFonts w:ascii="Times" w:hAnsi="Times"/>
          <w:i/>
          <w:szCs w:val="26"/>
        </w:rPr>
        <w:tab/>
      </w:r>
      <w:r w:rsidR="00BB4164">
        <w:rPr>
          <w:rFonts w:ascii="Times" w:hAnsi="Times"/>
          <w:i/>
          <w:szCs w:val="26"/>
        </w:rPr>
        <w:t>Standard of Review</w:t>
      </w:r>
    </w:p>
    <w:p w14:paraId="01684058" w14:textId="674A0257" w:rsidR="002E24C4" w:rsidRPr="00EA6451" w:rsidRDefault="00252500" w:rsidP="00252500">
      <w:pPr>
        <w:rPr>
          <w:rFonts w:ascii="Times" w:hAnsi="Times"/>
          <w:szCs w:val="26"/>
        </w:rPr>
      </w:pPr>
      <w:r w:rsidRPr="003D6E09">
        <w:rPr>
          <w:rFonts w:ascii="Times" w:hAnsi="Times"/>
          <w:szCs w:val="26"/>
        </w:rPr>
        <w:tab/>
        <w:t>A general demurrer tests the legal sufficiency of a complaint</w:t>
      </w:r>
      <w:r w:rsidR="00675643">
        <w:rPr>
          <w:rFonts w:ascii="Times" w:hAnsi="Times"/>
          <w:szCs w:val="26"/>
        </w:rPr>
        <w:t xml:space="preserve">.  On de novo review of an order sustaining of a demurrer, </w:t>
      </w:r>
      <w:r w:rsidR="00F20CA5">
        <w:rPr>
          <w:rFonts w:ascii="Times" w:hAnsi="Times"/>
          <w:szCs w:val="26"/>
        </w:rPr>
        <w:t>"</w:t>
      </w:r>
      <w:r w:rsidRPr="003D6E09">
        <w:rPr>
          <w:rFonts w:ascii="Times" w:hAnsi="Times"/>
          <w:szCs w:val="26"/>
        </w:rPr>
        <w:t xml:space="preserve">we are guided by long-settled rules.  </w:t>
      </w:r>
      <w:r w:rsidR="00F20CA5">
        <w:rPr>
          <w:rFonts w:ascii="Times" w:hAnsi="Times"/>
          <w:szCs w:val="26"/>
        </w:rPr>
        <w:t>'</w:t>
      </w:r>
      <w:r w:rsidRPr="003D6E09">
        <w:rPr>
          <w:rFonts w:ascii="Times" w:hAnsi="Times"/>
          <w:szCs w:val="26"/>
        </w:rPr>
        <w:t>We treat the demurrer as admitting all material facts properly pleaded, but not contentions, deductions or conclusions of fact or law.</w:t>
      </w:r>
      <w:r w:rsidR="00F20CA5">
        <w:rPr>
          <w:rFonts w:ascii="Times" w:hAnsi="Times"/>
          <w:szCs w:val="26"/>
        </w:rPr>
        <w:t>'</w:t>
      </w:r>
      <w:r w:rsidRPr="003D6E09">
        <w:rPr>
          <w:rFonts w:ascii="Times" w:hAnsi="Times"/>
          <w:szCs w:val="26"/>
        </w:rPr>
        <w:t xml:space="preserve"> </w:t>
      </w:r>
      <w:r w:rsidR="00F20CA5">
        <w:rPr>
          <w:rFonts w:ascii="Times" w:hAnsi="Times"/>
          <w:szCs w:val="26"/>
        </w:rPr>
        <w:t>"</w:t>
      </w:r>
      <w:r w:rsidRPr="00EA6451">
        <w:rPr>
          <w:rFonts w:ascii="Times New Roman" w:hAnsi="Times New Roman"/>
          <w:szCs w:val="26"/>
        </w:rPr>
        <w:t> </w:t>
      </w:r>
      <w:r w:rsidRPr="00EA6451">
        <w:rPr>
          <w:rFonts w:ascii="Times" w:hAnsi="Times"/>
          <w:szCs w:val="26"/>
        </w:rPr>
        <w:t xml:space="preserve"> (</w:t>
      </w:r>
      <w:r w:rsidRPr="00EA6451">
        <w:rPr>
          <w:rFonts w:ascii="Times" w:hAnsi="Times"/>
          <w:i/>
          <w:szCs w:val="26"/>
        </w:rPr>
        <w:t xml:space="preserve">Blank v. </w:t>
      </w:r>
      <w:proofErr w:type="spellStart"/>
      <w:r w:rsidRPr="00EA6451">
        <w:rPr>
          <w:rFonts w:ascii="Times" w:hAnsi="Times"/>
          <w:i/>
          <w:szCs w:val="26"/>
        </w:rPr>
        <w:t>Kirwan</w:t>
      </w:r>
      <w:proofErr w:type="spellEnd"/>
      <w:r w:rsidRPr="00EA6451">
        <w:rPr>
          <w:rFonts w:ascii="Times" w:hAnsi="Times"/>
          <w:szCs w:val="26"/>
        </w:rPr>
        <w:t xml:space="preserve"> (1985) 39 Cal.3d 311, 318</w:t>
      </w:r>
      <w:r w:rsidR="00675643" w:rsidRPr="00EA6451">
        <w:rPr>
          <w:rFonts w:ascii="Times" w:hAnsi="Times"/>
          <w:szCs w:val="26"/>
        </w:rPr>
        <w:t xml:space="preserve"> (</w:t>
      </w:r>
      <w:r w:rsidR="00675643" w:rsidRPr="00EA6451">
        <w:rPr>
          <w:rFonts w:ascii="Times" w:hAnsi="Times"/>
          <w:i/>
          <w:szCs w:val="26"/>
        </w:rPr>
        <w:t>Blank</w:t>
      </w:r>
      <w:r w:rsidR="00675643" w:rsidRPr="00EA6451">
        <w:rPr>
          <w:rFonts w:ascii="Times" w:hAnsi="Times"/>
          <w:szCs w:val="26"/>
        </w:rPr>
        <w:t xml:space="preserve">); </w:t>
      </w:r>
      <w:r w:rsidRPr="00EA6451">
        <w:rPr>
          <w:rFonts w:ascii="Times" w:hAnsi="Times"/>
          <w:i/>
          <w:szCs w:val="26"/>
        </w:rPr>
        <w:t>Evans v. City of Berkeley</w:t>
      </w:r>
      <w:r w:rsidRPr="00EA6451">
        <w:rPr>
          <w:rFonts w:ascii="Times" w:hAnsi="Times"/>
          <w:szCs w:val="26"/>
        </w:rPr>
        <w:t xml:space="preserve"> (2006) 38 Cal.4th 1, 6.) </w:t>
      </w:r>
      <w:r w:rsidR="00604B46" w:rsidRPr="00EA6451">
        <w:rPr>
          <w:rFonts w:ascii="Times" w:hAnsi="Times"/>
          <w:szCs w:val="26"/>
        </w:rPr>
        <w:t xml:space="preserve"> </w:t>
      </w:r>
    </w:p>
    <w:p w14:paraId="177928FE" w14:textId="025519F3" w:rsidR="00252500" w:rsidRPr="00E821A6" w:rsidRDefault="002E24C4" w:rsidP="00252500">
      <w:pPr>
        <w:rPr>
          <w:rFonts w:ascii="Times" w:hAnsi="Times"/>
          <w:szCs w:val="26"/>
        </w:rPr>
      </w:pPr>
      <w:r w:rsidRPr="00EA6451">
        <w:rPr>
          <w:rFonts w:ascii="Times" w:hAnsi="Times"/>
          <w:szCs w:val="26"/>
        </w:rPr>
        <w:tab/>
      </w:r>
      <w:r w:rsidR="00604B46" w:rsidRPr="00EA6451">
        <w:rPr>
          <w:rFonts w:ascii="Times" w:hAnsi="Times"/>
          <w:szCs w:val="26"/>
        </w:rPr>
        <w:t xml:space="preserve">A different standard applies to the denial of leave to amend. </w:t>
      </w:r>
      <w:r w:rsidR="00967CD2" w:rsidRPr="00EA6451">
        <w:rPr>
          <w:rFonts w:ascii="Times" w:hAnsi="Times"/>
          <w:szCs w:val="26"/>
        </w:rPr>
        <w:t xml:space="preserve"> </w:t>
      </w:r>
      <w:r w:rsidR="008B2186" w:rsidRPr="00EA6451">
        <w:rPr>
          <w:rFonts w:ascii="Times" w:hAnsi="Times"/>
          <w:szCs w:val="26"/>
        </w:rPr>
        <w:t>If the complaint, liberally construed, can state a cause of action under any theory or i</w:t>
      </w:r>
      <w:r w:rsidR="003E2F88" w:rsidRPr="00EA6451">
        <w:rPr>
          <w:rFonts w:ascii="Times" w:hAnsi="Times"/>
          <w:szCs w:val="26"/>
        </w:rPr>
        <w:t xml:space="preserve">f </w:t>
      </w:r>
      <w:r w:rsidR="00967CD2" w:rsidRPr="00EA6451">
        <w:rPr>
          <w:rFonts w:ascii="Times" w:hAnsi="Times"/>
          <w:szCs w:val="26"/>
        </w:rPr>
        <w:t xml:space="preserve">there is a reasonable possibility </w:t>
      </w:r>
      <w:r w:rsidR="003E2F88" w:rsidRPr="00EA6451">
        <w:rPr>
          <w:rFonts w:ascii="Times" w:hAnsi="Times"/>
          <w:szCs w:val="26"/>
        </w:rPr>
        <w:t xml:space="preserve">amendment could cure the defect, </w:t>
      </w:r>
      <w:r w:rsidRPr="00EA6451">
        <w:rPr>
          <w:rFonts w:ascii="Times" w:hAnsi="Times"/>
          <w:szCs w:val="26"/>
        </w:rPr>
        <w:t>a trial court abuses its discretion by denying leave to amend</w:t>
      </w:r>
      <w:r w:rsidR="003E2F88" w:rsidRPr="00EA6451">
        <w:rPr>
          <w:rFonts w:ascii="Times" w:hAnsi="Times"/>
          <w:szCs w:val="26"/>
        </w:rPr>
        <w:t>.  (</w:t>
      </w:r>
      <w:r w:rsidR="00967CD2" w:rsidRPr="00EA6451">
        <w:rPr>
          <w:rFonts w:ascii="Times" w:hAnsi="Times"/>
          <w:i/>
          <w:szCs w:val="26"/>
        </w:rPr>
        <w:t>Blank</w:t>
      </w:r>
      <w:r w:rsidR="00675643" w:rsidRPr="00EA6451">
        <w:rPr>
          <w:rFonts w:ascii="Times" w:hAnsi="Times"/>
          <w:szCs w:val="26"/>
        </w:rPr>
        <w:t>,</w:t>
      </w:r>
      <w:r w:rsidR="00675643" w:rsidRPr="00EA6451">
        <w:rPr>
          <w:rFonts w:ascii="Times" w:hAnsi="Times"/>
          <w:i/>
          <w:szCs w:val="26"/>
        </w:rPr>
        <w:t xml:space="preserve"> supra</w:t>
      </w:r>
      <w:r w:rsidR="00675643" w:rsidRPr="00EA6451">
        <w:rPr>
          <w:rFonts w:ascii="Times" w:hAnsi="Times"/>
          <w:szCs w:val="26"/>
        </w:rPr>
        <w:t>,</w:t>
      </w:r>
      <w:r w:rsidR="00675643" w:rsidRPr="00EA6451">
        <w:rPr>
          <w:rFonts w:ascii="Times" w:hAnsi="Times"/>
          <w:i/>
          <w:szCs w:val="26"/>
        </w:rPr>
        <w:t xml:space="preserve"> </w:t>
      </w:r>
      <w:r w:rsidR="00675643" w:rsidRPr="00EA6451">
        <w:rPr>
          <w:rFonts w:ascii="Times" w:hAnsi="Times"/>
          <w:szCs w:val="26"/>
        </w:rPr>
        <w:t>39</w:t>
      </w:r>
      <w:r w:rsidR="00675643">
        <w:rPr>
          <w:rFonts w:ascii="Times" w:hAnsi="Times"/>
          <w:szCs w:val="26"/>
        </w:rPr>
        <w:t xml:space="preserve"> Cal.3d at </w:t>
      </w:r>
      <w:r w:rsidR="00967CD2" w:rsidRPr="003D6E09">
        <w:rPr>
          <w:rFonts w:ascii="Times" w:hAnsi="Times"/>
          <w:szCs w:val="26"/>
        </w:rPr>
        <w:t xml:space="preserve">p. 318; </w:t>
      </w:r>
      <w:proofErr w:type="spellStart"/>
      <w:r w:rsidR="003E2F88" w:rsidRPr="003D6E09">
        <w:rPr>
          <w:rFonts w:ascii="Times" w:hAnsi="Times"/>
          <w:i/>
          <w:szCs w:val="26"/>
        </w:rPr>
        <w:t>Schifando</w:t>
      </w:r>
      <w:proofErr w:type="spellEnd"/>
      <w:r w:rsidR="003E2F88" w:rsidRPr="003D6E09">
        <w:rPr>
          <w:rFonts w:ascii="Times" w:hAnsi="Times"/>
          <w:i/>
          <w:szCs w:val="26"/>
        </w:rPr>
        <w:t xml:space="preserve"> v. City of Los Angeles </w:t>
      </w:r>
      <w:r w:rsidR="00967CD2" w:rsidRPr="003D6E09">
        <w:rPr>
          <w:rFonts w:ascii="Times" w:hAnsi="Times"/>
          <w:szCs w:val="26"/>
        </w:rPr>
        <w:t>(2003) 31 Cal.4th 1074, 1081</w:t>
      </w:r>
      <w:r w:rsidR="008B2186">
        <w:rPr>
          <w:rFonts w:ascii="Times" w:hAnsi="Times"/>
          <w:szCs w:val="26"/>
        </w:rPr>
        <w:t xml:space="preserve">; </w:t>
      </w:r>
      <w:r w:rsidR="008B2186" w:rsidRPr="003D6E09">
        <w:rPr>
          <w:rFonts w:ascii="Times" w:hAnsi="Times"/>
          <w:i/>
          <w:szCs w:val="26"/>
        </w:rPr>
        <w:t xml:space="preserve">Kong v. City of Hawaiian Gardens Redevelopment Agency </w:t>
      </w:r>
      <w:r w:rsidR="008B2186" w:rsidRPr="003D6E09">
        <w:rPr>
          <w:rFonts w:ascii="Times" w:hAnsi="Times"/>
          <w:szCs w:val="26"/>
        </w:rPr>
        <w:t xml:space="preserve">(2002) 108 Cal.App.4th 1028, </w:t>
      </w:r>
      <w:r w:rsidR="008B2186">
        <w:rPr>
          <w:rFonts w:ascii="Times" w:hAnsi="Times"/>
          <w:szCs w:val="26"/>
        </w:rPr>
        <w:t>1037</w:t>
      </w:r>
      <w:r w:rsidR="00967CD2" w:rsidRPr="003D6E09">
        <w:rPr>
          <w:rFonts w:ascii="Times" w:hAnsi="Times"/>
          <w:szCs w:val="26"/>
        </w:rPr>
        <w:t xml:space="preserve">.)  We address this issue </w:t>
      </w:r>
      <w:r>
        <w:rPr>
          <w:rFonts w:ascii="Times" w:hAnsi="Times"/>
          <w:szCs w:val="26"/>
        </w:rPr>
        <w:t xml:space="preserve">even if </w:t>
      </w:r>
      <w:r w:rsidR="00967CD2" w:rsidRPr="003D6E09">
        <w:rPr>
          <w:rFonts w:ascii="Times" w:hAnsi="Times"/>
          <w:szCs w:val="26"/>
        </w:rPr>
        <w:t xml:space="preserve">the plaintiff </w:t>
      </w:r>
      <w:r>
        <w:rPr>
          <w:rFonts w:ascii="Times" w:hAnsi="Times"/>
          <w:szCs w:val="26"/>
        </w:rPr>
        <w:t xml:space="preserve">failed to seek amendment before </w:t>
      </w:r>
      <w:r w:rsidR="00967CD2" w:rsidRPr="003D6E09">
        <w:rPr>
          <w:rFonts w:ascii="Times" w:hAnsi="Times"/>
          <w:szCs w:val="26"/>
        </w:rPr>
        <w:t>the trial court.  (</w:t>
      </w:r>
      <w:r w:rsidR="00967CD2" w:rsidRPr="003D6E09">
        <w:rPr>
          <w:rFonts w:ascii="Times" w:hAnsi="Times"/>
          <w:i/>
          <w:szCs w:val="26"/>
        </w:rPr>
        <w:t xml:space="preserve">City of Stockton v. Superior Court </w:t>
      </w:r>
      <w:r w:rsidR="00967CD2" w:rsidRPr="003D6E09">
        <w:rPr>
          <w:rFonts w:ascii="Times" w:hAnsi="Times"/>
          <w:szCs w:val="26"/>
        </w:rPr>
        <w:t>(2007) 42 Cal.4th 730, 746</w:t>
      </w:r>
      <w:r w:rsidR="00C92D95">
        <w:rPr>
          <w:rFonts w:ascii="Times" w:hAnsi="Times"/>
          <w:szCs w:val="26"/>
        </w:rPr>
        <w:t xml:space="preserve"> (</w:t>
      </w:r>
      <w:r w:rsidR="00C92D95" w:rsidRPr="003D6E09">
        <w:rPr>
          <w:rFonts w:ascii="Times" w:hAnsi="Times"/>
          <w:i/>
          <w:szCs w:val="26"/>
        </w:rPr>
        <w:t>City of Stockton</w:t>
      </w:r>
      <w:r w:rsidR="00C92D95">
        <w:rPr>
          <w:rFonts w:ascii="Times" w:hAnsi="Times"/>
          <w:szCs w:val="26"/>
        </w:rPr>
        <w:t>)</w:t>
      </w:r>
      <w:r w:rsidR="00967CD2" w:rsidRPr="003D6E09">
        <w:rPr>
          <w:rFonts w:ascii="Times" w:hAnsi="Times"/>
          <w:szCs w:val="26"/>
        </w:rPr>
        <w:t>;</w:t>
      </w:r>
      <w:r w:rsidR="008B2186">
        <w:rPr>
          <w:rFonts w:ascii="Times" w:hAnsi="Times"/>
          <w:szCs w:val="26"/>
        </w:rPr>
        <w:t xml:space="preserve"> </w:t>
      </w:r>
      <w:r w:rsidR="00967CD2" w:rsidRPr="003D6E09">
        <w:rPr>
          <w:rFonts w:ascii="Times" w:hAnsi="Times"/>
          <w:szCs w:val="26"/>
        </w:rPr>
        <w:t xml:space="preserve">§ 472c, subd. (a).)  </w:t>
      </w:r>
      <w:r>
        <w:rPr>
          <w:rFonts w:ascii="Times" w:hAnsi="Times"/>
          <w:szCs w:val="26"/>
        </w:rPr>
        <w:t xml:space="preserve">Unless a complaint is </w:t>
      </w:r>
      <w:r w:rsidR="00F20CA5">
        <w:rPr>
          <w:rFonts w:ascii="Times" w:hAnsi="Times"/>
          <w:szCs w:val="26"/>
        </w:rPr>
        <w:t>"</w:t>
      </w:r>
      <w:r>
        <w:rPr>
          <w:rFonts w:ascii="Times" w:hAnsi="Times"/>
          <w:szCs w:val="26"/>
        </w:rPr>
        <w:t>incapable of amendment</w:t>
      </w:r>
      <w:r w:rsidR="00B95DF9">
        <w:rPr>
          <w:rFonts w:ascii="Times" w:hAnsi="Times"/>
          <w:szCs w:val="26"/>
        </w:rPr>
        <w:t>,</w:t>
      </w:r>
      <w:r w:rsidR="00F20CA5">
        <w:rPr>
          <w:rFonts w:ascii="Times" w:hAnsi="Times"/>
          <w:szCs w:val="26"/>
        </w:rPr>
        <w:t>"</w:t>
      </w:r>
      <w:r>
        <w:rPr>
          <w:rFonts w:ascii="Times" w:hAnsi="Times"/>
          <w:szCs w:val="26"/>
        </w:rPr>
        <w:t xml:space="preserve"> leave to amend</w:t>
      </w:r>
      <w:r w:rsidR="00F109BC" w:rsidRPr="003D6E09">
        <w:rPr>
          <w:rFonts w:ascii="Times" w:hAnsi="Times"/>
          <w:szCs w:val="26"/>
        </w:rPr>
        <w:t xml:space="preserve"> should be </w:t>
      </w:r>
      <w:r w:rsidR="00F20CA5">
        <w:rPr>
          <w:rFonts w:ascii="Times" w:hAnsi="Times"/>
          <w:szCs w:val="26"/>
        </w:rPr>
        <w:t>"</w:t>
      </w:r>
      <w:r w:rsidR="00F109BC" w:rsidRPr="003D6E09">
        <w:rPr>
          <w:rFonts w:ascii="Times" w:hAnsi="Times"/>
          <w:szCs w:val="26"/>
        </w:rPr>
        <w:t>liberally allowed</w:t>
      </w:r>
      <w:r>
        <w:rPr>
          <w:rFonts w:ascii="Times" w:hAnsi="Times"/>
          <w:szCs w:val="26"/>
        </w:rPr>
        <w:t xml:space="preserve"> as a matter of fairness</w:t>
      </w:r>
      <w:r w:rsidR="00F20CA5">
        <w:rPr>
          <w:rFonts w:ascii="Times" w:hAnsi="Times"/>
          <w:szCs w:val="26"/>
        </w:rPr>
        <w:t>"</w:t>
      </w:r>
      <w:r>
        <w:rPr>
          <w:rFonts w:ascii="Times" w:hAnsi="Times"/>
          <w:szCs w:val="26"/>
        </w:rPr>
        <w:t xml:space="preserve"> </w:t>
      </w:r>
      <w:r w:rsidR="00B95DF9">
        <w:rPr>
          <w:rFonts w:ascii="Times" w:hAnsi="Times"/>
          <w:szCs w:val="26"/>
        </w:rPr>
        <w:t xml:space="preserve">where </w:t>
      </w:r>
      <w:r w:rsidR="00F109BC" w:rsidRPr="003D6E09">
        <w:rPr>
          <w:rFonts w:ascii="Times" w:hAnsi="Times"/>
          <w:szCs w:val="26"/>
        </w:rPr>
        <w:t xml:space="preserve">a plaintiff has </w:t>
      </w:r>
      <w:r>
        <w:rPr>
          <w:rFonts w:ascii="Times" w:hAnsi="Times"/>
          <w:szCs w:val="26"/>
        </w:rPr>
        <w:t>received no</w:t>
      </w:r>
      <w:r w:rsidR="00F109BC" w:rsidRPr="003D6E09">
        <w:rPr>
          <w:rFonts w:ascii="Times" w:hAnsi="Times"/>
          <w:szCs w:val="26"/>
        </w:rPr>
        <w:t xml:space="preserve"> opportunity to </w:t>
      </w:r>
      <w:r w:rsidR="00B95DF9">
        <w:rPr>
          <w:rFonts w:ascii="Times" w:hAnsi="Times"/>
          <w:szCs w:val="26"/>
        </w:rPr>
        <w:t>amend</w:t>
      </w:r>
      <w:r w:rsidR="00F109BC" w:rsidRPr="003D6E09">
        <w:rPr>
          <w:rFonts w:ascii="Times" w:hAnsi="Times"/>
          <w:szCs w:val="26"/>
        </w:rPr>
        <w:t xml:space="preserve"> </w:t>
      </w:r>
      <w:r w:rsidR="00B95DF9">
        <w:rPr>
          <w:rFonts w:ascii="Times" w:hAnsi="Times"/>
          <w:szCs w:val="26"/>
        </w:rPr>
        <w:t>after</w:t>
      </w:r>
      <w:r w:rsidR="00F109BC" w:rsidRPr="003D6E09">
        <w:rPr>
          <w:rFonts w:ascii="Times" w:hAnsi="Times"/>
          <w:szCs w:val="26"/>
        </w:rPr>
        <w:t xml:space="preserve"> a demurrer</w:t>
      </w:r>
      <w:r>
        <w:rPr>
          <w:rFonts w:ascii="Times" w:hAnsi="Times"/>
          <w:szCs w:val="26"/>
        </w:rPr>
        <w:t>.</w:t>
      </w:r>
      <w:r w:rsidR="00967CD2" w:rsidRPr="003D6E09">
        <w:rPr>
          <w:rFonts w:ascii="Times" w:hAnsi="Times"/>
          <w:szCs w:val="26"/>
        </w:rPr>
        <w:t xml:space="preserve">  (</w:t>
      </w:r>
      <w:r w:rsidR="00967CD2" w:rsidRPr="003D6E09">
        <w:rPr>
          <w:rFonts w:ascii="Times" w:hAnsi="Times"/>
          <w:i/>
          <w:szCs w:val="26"/>
        </w:rPr>
        <w:t>City of Stockton</w:t>
      </w:r>
      <w:r w:rsidR="00967CD2" w:rsidRPr="003D6E09">
        <w:rPr>
          <w:rFonts w:ascii="Times" w:hAnsi="Times"/>
          <w:szCs w:val="26"/>
        </w:rPr>
        <w:t>, at p.</w:t>
      </w:r>
      <w:r>
        <w:rPr>
          <w:rFonts w:ascii="Times" w:hAnsi="Times"/>
          <w:szCs w:val="26"/>
        </w:rPr>
        <w:t> </w:t>
      </w:r>
      <w:r w:rsidR="00967CD2" w:rsidRPr="003D6E09">
        <w:rPr>
          <w:rFonts w:ascii="Times" w:hAnsi="Times"/>
          <w:szCs w:val="26"/>
        </w:rPr>
        <w:t>747.)</w:t>
      </w:r>
      <w:r w:rsidR="00E821A6">
        <w:rPr>
          <w:rFonts w:ascii="Times" w:hAnsi="Times"/>
          <w:szCs w:val="26"/>
        </w:rPr>
        <w:t xml:space="preserve">  </w:t>
      </w:r>
    </w:p>
    <w:p w14:paraId="1E265485" w14:textId="55768736" w:rsidR="008B2186" w:rsidRPr="004662B6" w:rsidRDefault="00054B21" w:rsidP="004662B6">
      <w:pPr>
        <w:keepNext/>
        <w:rPr>
          <w:rFonts w:ascii="Times" w:hAnsi="Times"/>
          <w:i/>
          <w:szCs w:val="26"/>
        </w:rPr>
      </w:pPr>
      <w:r w:rsidRPr="006F0493">
        <w:rPr>
          <w:rFonts w:ascii="Times" w:hAnsi="Times"/>
          <w:szCs w:val="26"/>
        </w:rPr>
        <w:t>2.</w:t>
      </w:r>
      <w:r>
        <w:rPr>
          <w:rFonts w:ascii="Times" w:hAnsi="Times"/>
          <w:i/>
          <w:szCs w:val="26"/>
        </w:rPr>
        <w:tab/>
      </w:r>
      <w:r w:rsidR="00BB4164" w:rsidRPr="00EA6451">
        <w:rPr>
          <w:rFonts w:ascii="Times" w:hAnsi="Times"/>
          <w:i/>
          <w:szCs w:val="26"/>
        </w:rPr>
        <w:t xml:space="preserve">Chase </w:t>
      </w:r>
      <w:r w:rsidR="00D8180E" w:rsidRPr="00C77083">
        <w:rPr>
          <w:rFonts w:ascii="Times" w:hAnsi="Times"/>
          <w:i/>
          <w:szCs w:val="26"/>
        </w:rPr>
        <w:t>Articulates</w:t>
      </w:r>
      <w:r w:rsidR="00D8180E" w:rsidRPr="00EA6451">
        <w:rPr>
          <w:rFonts w:ascii="Times" w:hAnsi="Times"/>
          <w:i/>
          <w:szCs w:val="26"/>
        </w:rPr>
        <w:t xml:space="preserve"> </w:t>
      </w:r>
      <w:r w:rsidR="00BB4164" w:rsidRPr="00EA6451">
        <w:rPr>
          <w:rFonts w:ascii="Times" w:hAnsi="Times"/>
          <w:i/>
          <w:szCs w:val="26"/>
        </w:rPr>
        <w:t>a Viable Legal Theory</w:t>
      </w:r>
      <w:r w:rsidR="00D8180E" w:rsidRPr="00EA6451">
        <w:rPr>
          <w:rFonts w:ascii="Times" w:hAnsi="Times"/>
          <w:i/>
          <w:szCs w:val="26"/>
        </w:rPr>
        <w:t xml:space="preserve"> </w:t>
      </w:r>
      <w:r w:rsidR="00D8180E" w:rsidRPr="00C77083">
        <w:rPr>
          <w:rFonts w:ascii="Times" w:hAnsi="Times"/>
          <w:i/>
          <w:szCs w:val="26"/>
        </w:rPr>
        <w:t>on Appeal</w:t>
      </w:r>
    </w:p>
    <w:p w14:paraId="3F8532CB" w14:textId="5FD80520" w:rsidR="002A02E7" w:rsidRPr="00B95DF9" w:rsidRDefault="00F109BC" w:rsidP="00D456DF">
      <w:pPr>
        <w:rPr>
          <w:rFonts w:ascii="Times" w:hAnsi="Times"/>
          <w:szCs w:val="26"/>
        </w:rPr>
      </w:pPr>
      <w:r w:rsidRPr="003D6E09">
        <w:rPr>
          <w:rFonts w:ascii="Times" w:hAnsi="Times"/>
          <w:szCs w:val="26"/>
        </w:rPr>
        <w:tab/>
      </w:r>
      <w:r w:rsidR="00B95DF9">
        <w:rPr>
          <w:rFonts w:ascii="Times" w:hAnsi="Times"/>
          <w:szCs w:val="26"/>
        </w:rPr>
        <w:t>Chase</w:t>
      </w:r>
      <w:r w:rsidR="002A02E7" w:rsidRPr="003D6E09">
        <w:rPr>
          <w:rFonts w:ascii="Times" w:hAnsi="Times"/>
          <w:szCs w:val="26"/>
        </w:rPr>
        <w:t xml:space="preserve"> claims the gravamen of its action was </w:t>
      </w:r>
      <w:r w:rsidR="00D8180E">
        <w:rPr>
          <w:rFonts w:ascii="Times" w:hAnsi="Times"/>
          <w:szCs w:val="26"/>
        </w:rPr>
        <w:t xml:space="preserve">for declaratory relief </w:t>
      </w:r>
      <w:r w:rsidR="002A02E7" w:rsidRPr="003D6E09">
        <w:rPr>
          <w:rFonts w:ascii="Times" w:hAnsi="Times"/>
          <w:szCs w:val="26"/>
        </w:rPr>
        <w:t xml:space="preserve">to restore a lost deed pursuant to Civil Code, section 3415, subdivision (a).  That </w:t>
      </w:r>
      <w:r w:rsidR="00B95DF9">
        <w:rPr>
          <w:rFonts w:ascii="Times" w:hAnsi="Times"/>
          <w:szCs w:val="26"/>
        </w:rPr>
        <w:t>statute</w:t>
      </w:r>
      <w:r w:rsidR="002A02E7" w:rsidRPr="003D6E09">
        <w:rPr>
          <w:rFonts w:ascii="Times" w:hAnsi="Times"/>
          <w:szCs w:val="26"/>
        </w:rPr>
        <w:t xml:space="preserve"> provides: </w:t>
      </w:r>
      <w:r w:rsidR="00CC1F14">
        <w:rPr>
          <w:rFonts w:ascii="Times" w:hAnsi="Times"/>
          <w:szCs w:val="26"/>
        </w:rPr>
        <w:t xml:space="preserve"> </w:t>
      </w:r>
      <w:r w:rsidR="00F20CA5">
        <w:rPr>
          <w:rFonts w:ascii="Times" w:hAnsi="Times"/>
          <w:szCs w:val="26"/>
        </w:rPr>
        <w:t>"</w:t>
      </w:r>
      <w:r w:rsidR="002A02E7" w:rsidRPr="003D6E09">
        <w:rPr>
          <w:rFonts w:ascii="Times" w:hAnsi="Times"/>
          <w:szCs w:val="26"/>
        </w:rPr>
        <w:t>An action may be maintained by any person interested in any private document or instrument in writing, which has been lost or destroyed, to prove or establish the document or instrument or to compel the issuance, execution, and acknowledgment of a duplicate of the document or instrument.</w:t>
      </w:r>
      <w:r w:rsidR="00F20CA5">
        <w:rPr>
          <w:rFonts w:ascii="Times" w:hAnsi="Times"/>
          <w:szCs w:val="26"/>
        </w:rPr>
        <w:t>"</w:t>
      </w:r>
      <w:r w:rsidR="002A02E7" w:rsidRPr="003D6E09">
        <w:rPr>
          <w:rFonts w:ascii="Times" w:hAnsi="Times"/>
          <w:szCs w:val="26"/>
        </w:rPr>
        <w:t xml:space="preserve"> </w:t>
      </w:r>
      <w:r w:rsidR="00B95DF9">
        <w:rPr>
          <w:rFonts w:ascii="Times" w:hAnsi="Times"/>
          <w:szCs w:val="26"/>
        </w:rPr>
        <w:t xml:space="preserve"> Largely unchanged since </w:t>
      </w:r>
      <w:r w:rsidR="00BA624E">
        <w:rPr>
          <w:rFonts w:ascii="Times" w:hAnsi="Times"/>
          <w:szCs w:val="26"/>
        </w:rPr>
        <w:t>i</w:t>
      </w:r>
      <w:r w:rsidR="00B95DF9">
        <w:rPr>
          <w:rFonts w:ascii="Times" w:hAnsi="Times"/>
          <w:szCs w:val="26"/>
        </w:rPr>
        <w:t>ts enactment in 1</w:t>
      </w:r>
      <w:r w:rsidR="0000479E">
        <w:rPr>
          <w:rFonts w:ascii="Times" w:hAnsi="Times"/>
          <w:szCs w:val="26"/>
        </w:rPr>
        <w:t>90</w:t>
      </w:r>
      <w:r w:rsidR="00C54F66">
        <w:rPr>
          <w:rFonts w:ascii="Times" w:hAnsi="Times"/>
          <w:szCs w:val="26"/>
        </w:rPr>
        <w:t>6</w:t>
      </w:r>
      <w:r w:rsidR="00B95DF9">
        <w:rPr>
          <w:rFonts w:ascii="Times" w:hAnsi="Times"/>
          <w:szCs w:val="26"/>
        </w:rPr>
        <w:t xml:space="preserve">, the statute </w:t>
      </w:r>
      <w:r w:rsidR="00BA624E">
        <w:rPr>
          <w:rFonts w:ascii="Times" w:hAnsi="Times"/>
          <w:szCs w:val="26"/>
        </w:rPr>
        <w:t>reflects the</w:t>
      </w:r>
      <w:r w:rsidR="00B95DF9">
        <w:rPr>
          <w:rFonts w:ascii="Times" w:hAnsi="Times"/>
          <w:szCs w:val="26"/>
        </w:rPr>
        <w:t xml:space="preserve"> longstanding </w:t>
      </w:r>
      <w:r w:rsidR="00BA624E">
        <w:rPr>
          <w:rFonts w:ascii="Times" w:hAnsi="Times"/>
          <w:szCs w:val="26"/>
        </w:rPr>
        <w:t>remedy in equity for</w:t>
      </w:r>
      <w:r w:rsidR="00B95DF9">
        <w:rPr>
          <w:rFonts w:ascii="Times" w:hAnsi="Times"/>
          <w:szCs w:val="26"/>
        </w:rPr>
        <w:t xml:space="preserve"> restoring lost instruments.  (</w:t>
      </w:r>
      <w:r w:rsidR="00B95DF9">
        <w:rPr>
          <w:rFonts w:ascii="Times" w:hAnsi="Times"/>
          <w:i/>
          <w:szCs w:val="26"/>
        </w:rPr>
        <w:t>Brown v. Anderson-Cottonwood Irr</w:t>
      </w:r>
      <w:r w:rsidR="004610DC">
        <w:rPr>
          <w:rFonts w:ascii="Times" w:hAnsi="Times"/>
          <w:i/>
          <w:szCs w:val="26"/>
        </w:rPr>
        <w:t>igation</w:t>
      </w:r>
      <w:r w:rsidR="00B95DF9">
        <w:rPr>
          <w:rFonts w:ascii="Times" w:hAnsi="Times"/>
          <w:i/>
          <w:szCs w:val="26"/>
        </w:rPr>
        <w:t xml:space="preserve"> Dist.</w:t>
      </w:r>
      <w:r w:rsidR="00B95DF9">
        <w:rPr>
          <w:rFonts w:ascii="Times" w:hAnsi="Times"/>
          <w:szCs w:val="26"/>
        </w:rPr>
        <w:t xml:space="preserve"> (1920) 183 Cal. 186, </w:t>
      </w:r>
      <w:r w:rsidR="00B95DF9" w:rsidRPr="00EA6451">
        <w:rPr>
          <w:rFonts w:ascii="Times" w:hAnsi="Times"/>
          <w:szCs w:val="26"/>
        </w:rPr>
        <w:t>187</w:t>
      </w:r>
      <w:r w:rsidR="009F2B14" w:rsidRPr="00EA6451">
        <w:rPr>
          <w:rFonts w:ascii="Times" w:hAnsi="Times"/>
          <w:szCs w:val="26"/>
        </w:rPr>
        <w:t xml:space="preserve"> </w:t>
      </w:r>
      <w:r w:rsidR="009F2B14" w:rsidRPr="00C77083">
        <w:rPr>
          <w:rFonts w:ascii="Times" w:hAnsi="Times"/>
          <w:szCs w:val="26"/>
        </w:rPr>
        <w:t>(</w:t>
      </w:r>
      <w:r w:rsidR="009F2B14" w:rsidRPr="00C77083">
        <w:rPr>
          <w:rFonts w:ascii="Times" w:hAnsi="Times"/>
          <w:i/>
          <w:szCs w:val="26"/>
        </w:rPr>
        <w:t>Brown</w:t>
      </w:r>
      <w:r w:rsidR="009F2B14" w:rsidRPr="00C77083">
        <w:rPr>
          <w:rFonts w:ascii="Times" w:hAnsi="Times"/>
          <w:szCs w:val="26"/>
        </w:rPr>
        <w:t>)</w:t>
      </w:r>
      <w:r w:rsidR="00FA73AA" w:rsidRPr="00C77083">
        <w:rPr>
          <w:rFonts w:ascii="Times" w:hAnsi="Times"/>
          <w:szCs w:val="26"/>
        </w:rPr>
        <w:t xml:space="preserve">; </w:t>
      </w:r>
      <w:r w:rsidR="00FA73AA" w:rsidRPr="00C77083">
        <w:rPr>
          <w:rFonts w:ascii="Times" w:hAnsi="Times"/>
          <w:i/>
          <w:szCs w:val="26"/>
        </w:rPr>
        <w:t>Atkins Corp. v.</w:t>
      </w:r>
      <w:r w:rsidR="00667778" w:rsidRPr="00C77083">
        <w:rPr>
          <w:rFonts w:ascii="Times" w:hAnsi="Times"/>
          <w:i/>
          <w:szCs w:val="26"/>
        </w:rPr>
        <w:t xml:space="preserve"> </w:t>
      </w:r>
      <w:proofErr w:type="spellStart"/>
      <w:r w:rsidR="00667778" w:rsidRPr="00C77083">
        <w:rPr>
          <w:rFonts w:ascii="Times" w:hAnsi="Times"/>
          <w:i/>
          <w:szCs w:val="26"/>
        </w:rPr>
        <w:t>Tourny</w:t>
      </w:r>
      <w:proofErr w:type="spellEnd"/>
      <w:r w:rsidR="00667778" w:rsidRPr="00C77083">
        <w:rPr>
          <w:rFonts w:ascii="Times" w:hAnsi="Times"/>
          <w:i/>
          <w:szCs w:val="26"/>
        </w:rPr>
        <w:t xml:space="preserve"> </w:t>
      </w:r>
      <w:r w:rsidR="00667778" w:rsidRPr="00C77083">
        <w:rPr>
          <w:rFonts w:ascii="Times" w:hAnsi="Times"/>
          <w:szCs w:val="26"/>
        </w:rPr>
        <w:t>(1936) 6 Cal.2d 206, 216 [</w:t>
      </w:r>
      <w:r w:rsidR="00F20CA5">
        <w:rPr>
          <w:rFonts w:ascii="Times" w:hAnsi="Times"/>
          <w:szCs w:val="26"/>
        </w:rPr>
        <w:t>"</w:t>
      </w:r>
      <w:r w:rsidR="00667778" w:rsidRPr="00C77083">
        <w:rPr>
          <w:rFonts w:ascii="Times" w:hAnsi="Times"/>
          <w:szCs w:val="26"/>
        </w:rPr>
        <w:t>an equity court possesses full power physically to restore the [lost] document</w:t>
      </w:r>
      <w:r w:rsidR="00F20CA5">
        <w:rPr>
          <w:rFonts w:ascii="Times" w:hAnsi="Times"/>
          <w:szCs w:val="26"/>
        </w:rPr>
        <w:t>"</w:t>
      </w:r>
      <w:r w:rsidR="00667778" w:rsidRPr="00C77083">
        <w:rPr>
          <w:rFonts w:ascii="Times" w:hAnsi="Times"/>
          <w:szCs w:val="26"/>
        </w:rPr>
        <w:t>]</w:t>
      </w:r>
      <w:r w:rsidR="00B95DF9" w:rsidRPr="00EA6451">
        <w:rPr>
          <w:rFonts w:ascii="Times" w:hAnsi="Times"/>
          <w:szCs w:val="26"/>
        </w:rPr>
        <w:t>.)</w:t>
      </w:r>
    </w:p>
    <w:p w14:paraId="73FA67FA" w14:textId="5832DCC5" w:rsidR="00CE6891" w:rsidRPr="003D6E09" w:rsidRDefault="002A02E7" w:rsidP="002A02E7">
      <w:pPr>
        <w:rPr>
          <w:rFonts w:ascii="Times" w:hAnsi="Times"/>
          <w:szCs w:val="26"/>
        </w:rPr>
      </w:pPr>
      <w:r w:rsidRPr="003D6E09">
        <w:rPr>
          <w:rFonts w:ascii="Times" w:hAnsi="Times"/>
          <w:szCs w:val="26"/>
        </w:rPr>
        <w:tab/>
        <w:t xml:space="preserve">Chase </w:t>
      </w:r>
      <w:r w:rsidR="00675643">
        <w:rPr>
          <w:rFonts w:ascii="Times" w:hAnsi="Times"/>
          <w:szCs w:val="26"/>
        </w:rPr>
        <w:t>contends</w:t>
      </w:r>
      <w:r w:rsidRPr="003D6E09">
        <w:rPr>
          <w:rFonts w:ascii="Times" w:hAnsi="Times"/>
          <w:szCs w:val="26"/>
        </w:rPr>
        <w:t xml:space="preserve"> there is no statute of frauds problem </w:t>
      </w:r>
      <w:r w:rsidR="00B95DF9">
        <w:rPr>
          <w:rFonts w:ascii="Times" w:hAnsi="Times"/>
          <w:szCs w:val="26"/>
        </w:rPr>
        <w:t xml:space="preserve">with </w:t>
      </w:r>
      <w:r w:rsidR="00A946AA">
        <w:rPr>
          <w:rFonts w:ascii="Times" w:hAnsi="Times"/>
          <w:szCs w:val="26"/>
        </w:rPr>
        <w:t xml:space="preserve">such a </w:t>
      </w:r>
      <w:r w:rsidR="00B95DF9">
        <w:rPr>
          <w:rFonts w:ascii="Times" w:hAnsi="Times"/>
          <w:szCs w:val="26"/>
        </w:rPr>
        <w:t>claim</w:t>
      </w:r>
      <w:r w:rsidR="00BA624E">
        <w:rPr>
          <w:rFonts w:ascii="Times" w:hAnsi="Times"/>
          <w:szCs w:val="26"/>
        </w:rPr>
        <w:t xml:space="preserve"> since it</w:t>
      </w:r>
      <w:r w:rsidR="00B95DF9">
        <w:rPr>
          <w:rFonts w:ascii="Times" w:hAnsi="Times"/>
          <w:szCs w:val="26"/>
        </w:rPr>
        <w:t xml:space="preserve"> </w:t>
      </w:r>
      <w:r w:rsidRPr="003D6E09">
        <w:rPr>
          <w:rFonts w:ascii="Times" w:hAnsi="Times"/>
          <w:szCs w:val="26"/>
        </w:rPr>
        <w:t xml:space="preserve">seeks to restore and enforce the DOT </w:t>
      </w:r>
      <w:r w:rsidRPr="003D6E09">
        <w:rPr>
          <w:rFonts w:ascii="Times" w:hAnsi="Times"/>
          <w:i/>
          <w:szCs w:val="26"/>
        </w:rPr>
        <w:t>as written</w:t>
      </w:r>
      <w:r w:rsidRPr="003D6E09">
        <w:rPr>
          <w:rFonts w:ascii="Times" w:hAnsi="Times"/>
          <w:szCs w:val="26"/>
        </w:rPr>
        <w:t xml:space="preserve">.  </w:t>
      </w:r>
      <w:r w:rsidR="00BA624E">
        <w:rPr>
          <w:rFonts w:ascii="Times" w:hAnsi="Times"/>
          <w:szCs w:val="26"/>
        </w:rPr>
        <w:t>We agree</w:t>
      </w:r>
      <w:r w:rsidRPr="003D6E09">
        <w:rPr>
          <w:rFonts w:ascii="Times" w:hAnsi="Times"/>
          <w:szCs w:val="26"/>
        </w:rPr>
        <w:t xml:space="preserve">.  A trust is simply a fiduciary relationship with respect to property.  Legal title to property owned by a trust is held by the </w:t>
      </w:r>
      <w:r w:rsidRPr="003D6E09">
        <w:rPr>
          <w:rFonts w:ascii="Times" w:hAnsi="Times"/>
          <w:i/>
          <w:szCs w:val="26"/>
        </w:rPr>
        <w:t>trustee</w:t>
      </w:r>
      <w:r w:rsidRPr="003D6E09">
        <w:rPr>
          <w:rFonts w:ascii="Times" w:hAnsi="Times"/>
          <w:szCs w:val="26"/>
        </w:rPr>
        <w:t xml:space="preserve">, </w:t>
      </w:r>
      <w:r w:rsidR="000772C6">
        <w:rPr>
          <w:rFonts w:ascii="Times" w:hAnsi="Times"/>
          <w:szCs w:val="26"/>
        </w:rPr>
        <w:t>since</w:t>
      </w:r>
      <w:r w:rsidRPr="003D6E09">
        <w:rPr>
          <w:rFonts w:ascii="Times" w:hAnsi="Times"/>
          <w:szCs w:val="26"/>
        </w:rPr>
        <w:t xml:space="preserve"> the trust</w:t>
      </w:r>
      <w:r w:rsidR="000772C6">
        <w:rPr>
          <w:rFonts w:ascii="Times" w:hAnsi="Times"/>
          <w:szCs w:val="26"/>
        </w:rPr>
        <w:t xml:space="preserve"> itself </w:t>
      </w:r>
      <w:r w:rsidRPr="003D6E09">
        <w:rPr>
          <w:rFonts w:ascii="Times" w:hAnsi="Times"/>
          <w:szCs w:val="26"/>
        </w:rPr>
        <w:t>is simply a collection of assets and liabilities.  (</w:t>
      </w:r>
      <w:r w:rsidRPr="003D6E09">
        <w:rPr>
          <w:rFonts w:ascii="Times" w:hAnsi="Times"/>
          <w:i/>
          <w:szCs w:val="26"/>
        </w:rPr>
        <w:t>Portico Management Group</w:t>
      </w:r>
      <w:r w:rsidRPr="009F0708">
        <w:rPr>
          <w:rFonts w:ascii="Times" w:hAnsi="Times"/>
          <w:szCs w:val="26"/>
        </w:rPr>
        <w:t>,</w:t>
      </w:r>
      <w:r w:rsidRPr="003D6E09">
        <w:rPr>
          <w:rFonts w:ascii="Times" w:hAnsi="Times"/>
          <w:i/>
          <w:szCs w:val="26"/>
        </w:rPr>
        <w:t xml:space="preserve"> LLC v. Harrison </w:t>
      </w:r>
      <w:r w:rsidRPr="003D6E09">
        <w:rPr>
          <w:rFonts w:ascii="Times" w:hAnsi="Times"/>
          <w:szCs w:val="26"/>
        </w:rPr>
        <w:t xml:space="preserve">(2011) 202 Cal.App.4th 464, 473.)  </w:t>
      </w:r>
      <w:r w:rsidR="00CE6891" w:rsidRPr="003D6E09">
        <w:rPr>
          <w:rFonts w:ascii="Times" w:hAnsi="Times"/>
          <w:szCs w:val="26"/>
        </w:rPr>
        <w:t xml:space="preserve">A revocable inter </w:t>
      </w:r>
      <w:proofErr w:type="spellStart"/>
      <w:r w:rsidR="00CE6891" w:rsidRPr="003D6E09">
        <w:rPr>
          <w:rFonts w:ascii="Times" w:hAnsi="Times"/>
          <w:szCs w:val="26"/>
        </w:rPr>
        <w:t>vivos</w:t>
      </w:r>
      <w:proofErr w:type="spellEnd"/>
      <w:r w:rsidR="00CE6891" w:rsidRPr="003D6E09">
        <w:rPr>
          <w:rFonts w:ascii="Times" w:hAnsi="Times"/>
          <w:szCs w:val="26"/>
        </w:rPr>
        <w:t xml:space="preserve"> trust</w:t>
      </w:r>
      <w:r w:rsidR="000772C6">
        <w:rPr>
          <w:rFonts w:ascii="Times" w:hAnsi="Times"/>
          <w:szCs w:val="26"/>
        </w:rPr>
        <w:t>, like the Trust at issue here,</w:t>
      </w:r>
      <w:r w:rsidR="00CE6891" w:rsidRPr="003D6E09">
        <w:rPr>
          <w:rFonts w:ascii="Times" w:hAnsi="Times"/>
          <w:szCs w:val="26"/>
        </w:rPr>
        <w:t xml:space="preserve"> is </w:t>
      </w:r>
      <w:r w:rsidR="00F20CA5">
        <w:rPr>
          <w:rFonts w:ascii="Times" w:hAnsi="Times"/>
          <w:szCs w:val="26"/>
        </w:rPr>
        <w:t>"</w:t>
      </w:r>
      <w:r w:rsidR="00CE6891" w:rsidRPr="003D6E09">
        <w:rPr>
          <w:rFonts w:ascii="Times" w:hAnsi="Times"/>
          <w:szCs w:val="26"/>
        </w:rPr>
        <w:t>a probate avoidance device</w:t>
      </w:r>
      <w:r w:rsidR="00F20CA5">
        <w:rPr>
          <w:rFonts w:ascii="Times" w:hAnsi="Times"/>
          <w:szCs w:val="26"/>
        </w:rPr>
        <w:t>"</w:t>
      </w:r>
      <w:r w:rsidR="00CE6891" w:rsidRPr="003D6E09">
        <w:rPr>
          <w:rFonts w:ascii="Times" w:hAnsi="Times"/>
          <w:szCs w:val="26"/>
        </w:rPr>
        <w:t xml:space="preserve"> that </w:t>
      </w:r>
      <w:r w:rsidR="00F20CA5">
        <w:rPr>
          <w:rFonts w:ascii="Times" w:hAnsi="Times"/>
          <w:szCs w:val="26"/>
        </w:rPr>
        <w:t>"</w:t>
      </w:r>
      <w:r w:rsidR="00CE6891" w:rsidRPr="003D6E09">
        <w:rPr>
          <w:rFonts w:ascii="Times" w:hAnsi="Times"/>
          <w:szCs w:val="26"/>
        </w:rPr>
        <w:t>does not prevent creditors of the settlors</w:t>
      </w:r>
      <w:r w:rsidR="00CE6891" w:rsidRPr="003D6E09">
        <w:rPr>
          <w:rFonts w:ascii="Times" w:hAnsi="Times" w:cstheme="minorHAnsi"/>
          <w:szCs w:val="26"/>
        </w:rPr>
        <w:t>—</w:t>
      </w:r>
      <w:r w:rsidR="00CE6891" w:rsidRPr="003D6E09">
        <w:rPr>
          <w:rFonts w:ascii="Times" w:hAnsi="Times"/>
          <w:szCs w:val="26"/>
        </w:rPr>
        <w:t>who are often also the trustees and sole beneficiaries during their lifetimes</w:t>
      </w:r>
      <w:r w:rsidR="00CE6891" w:rsidRPr="003D6E09">
        <w:rPr>
          <w:rFonts w:ascii="Times" w:hAnsi="Times" w:cstheme="minorHAnsi"/>
          <w:szCs w:val="26"/>
        </w:rPr>
        <w:t>—</w:t>
      </w:r>
      <w:r w:rsidR="00CE6891" w:rsidRPr="003D6E09">
        <w:rPr>
          <w:rFonts w:ascii="Times" w:hAnsi="Times"/>
          <w:szCs w:val="26"/>
        </w:rPr>
        <w:t>from reaching trust property.</w:t>
      </w:r>
      <w:r w:rsidR="00F20CA5">
        <w:rPr>
          <w:rFonts w:ascii="Times" w:hAnsi="Times"/>
          <w:szCs w:val="26"/>
        </w:rPr>
        <w:t>"</w:t>
      </w:r>
      <w:r w:rsidR="00CE6891" w:rsidRPr="003D6E09">
        <w:rPr>
          <w:rFonts w:ascii="Times" w:hAnsi="Times"/>
          <w:szCs w:val="26"/>
        </w:rPr>
        <w:t xml:space="preserve">  (</w:t>
      </w:r>
      <w:proofErr w:type="spellStart"/>
      <w:r w:rsidR="00CE6891" w:rsidRPr="003D6E09">
        <w:rPr>
          <w:rFonts w:ascii="Times" w:hAnsi="Times"/>
          <w:i/>
          <w:szCs w:val="26"/>
        </w:rPr>
        <w:t>Galdjie</w:t>
      </w:r>
      <w:proofErr w:type="spellEnd"/>
      <w:r w:rsidR="00CE6891" w:rsidRPr="003D6E09">
        <w:rPr>
          <w:rFonts w:ascii="Times" w:hAnsi="Times"/>
          <w:i/>
          <w:szCs w:val="26"/>
        </w:rPr>
        <w:t xml:space="preserve"> v. </w:t>
      </w:r>
      <w:proofErr w:type="spellStart"/>
      <w:r w:rsidR="00CE6891" w:rsidRPr="003D6E09">
        <w:rPr>
          <w:rFonts w:ascii="Times" w:hAnsi="Times"/>
          <w:i/>
          <w:szCs w:val="26"/>
        </w:rPr>
        <w:t>Darwish</w:t>
      </w:r>
      <w:proofErr w:type="spellEnd"/>
      <w:r w:rsidR="00CE6891" w:rsidRPr="003D6E09">
        <w:rPr>
          <w:rFonts w:ascii="Times" w:hAnsi="Times"/>
          <w:i/>
          <w:szCs w:val="26"/>
        </w:rPr>
        <w:t xml:space="preserve"> </w:t>
      </w:r>
      <w:r w:rsidR="00CE6891" w:rsidRPr="003D6E09">
        <w:rPr>
          <w:rFonts w:ascii="Times" w:hAnsi="Times"/>
          <w:szCs w:val="26"/>
        </w:rPr>
        <w:t>(2003) 113 Cal.App.4th 1331, 1349 (</w:t>
      </w:r>
      <w:proofErr w:type="spellStart"/>
      <w:r w:rsidR="00CE6891" w:rsidRPr="003D6E09">
        <w:rPr>
          <w:rFonts w:ascii="Times" w:hAnsi="Times"/>
          <w:i/>
          <w:szCs w:val="26"/>
        </w:rPr>
        <w:t>Galdjie</w:t>
      </w:r>
      <w:proofErr w:type="spellEnd"/>
      <w:r w:rsidR="00CE6891" w:rsidRPr="003D6E09">
        <w:rPr>
          <w:rFonts w:ascii="Times" w:hAnsi="Times"/>
          <w:szCs w:val="26"/>
        </w:rPr>
        <w:t>).)</w:t>
      </w:r>
    </w:p>
    <w:p w14:paraId="6873DC40" w14:textId="37328C4A" w:rsidR="000772C6" w:rsidRDefault="00CE6891" w:rsidP="00F6735D">
      <w:pPr>
        <w:rPr>
          <w:rFonts w:ascii="Times" w:hAnsi="Times"/>
          <w:szCs w:val="26"/>
        </w:rPr>
      </w:pPr>
      <w:r w:rsidRPr="003D6E09">
        <w:rPr>
          <w:rFonts w:ascii="Times" w:hAnsi="Times"/>
          <w:szCs w:val="26"/>
        </w:rPr>
        <w:tab/>
        <w:t xml:space="preserve">It follows that </w:t>
      </w:r>
      <w:r w:rsidR="000772C6">
        <w:rPr>
          <w:rFonts w:ascii="Times" w:hAnsi="Times"/>
          <w:szCs w:val="26"/>
        </w:rPr>
        <w:t xml:space="preserve">a signature by the </w:t>
      </w:r>
      <w:r w:rsidR="002A02E7" w:rsidRPr="003D6E09">
        <w:rPr>
          <w:rFonts w:ascii="Times" w:hAnsi="Times"/>
          <w:szCs w:val="26"/>
        </w:rPr>
        <w:t>sole trustee and beneficiary</w:t>
      </w:r>
      <w:r w:rsidR="000772C6">
        <w:rPr>
          <w:rFonts w:ascii="Times" w:hAnsi="Times"/>
          <w:szCs w:val="26"/>
        </w:rPr>
        <w:t xml:space="preserve"> of an inter </w:t>
      </w:r>
      <w:proofErr w:type="spellStart"/>
      <w:r w:rsidR="000772C6">
        <w:rPr>
          <w:rFonts w:ascii="Times" w:hAnsi="Times"/>
          <w:szCs w:val="26"/>
        </w:rPr>
        <w:t>vivos</w:t>
      </w:r>
      <w:proofErr w:type="spellEnd"/>
      <w:r w:rsidR="000772C6">
        <w:rPr>
          <w:rFonts w:ascii="Times" w:hAnsi="Times"/>
          <w:szCs w:val="26"/>
        </w:rPr>
        <w:t xml:space="preserve"> revocable trust </w:t>
      </w:r>
      <w:r w:rsidR="002A02E7" w:rsidRPr="003D6E09">
        <w:rPr>
          <w:rFonts w:ascii="Times" w:hAnsi="Times"/>
          <w:szCs w:val="26"/>
        </w:rPr>
        <w:t xml:space="preserve">is sufficient to convey good title to </w:t>
      </w:r>
      <w:r w:rsidR="000772C6">
        <w:rPr>
          <w:rFonts w:ascii="Times" w:hAnsi="Times"/>
          <w:szCs w:val="26"/>
        </w:rPr>
        <w:t>trust property</w:t>
      </w:r>
      <w:r w:rsidR="002A02E7" w:rsidRPr="003D6E09">
        <w:rPr>
          <w:rFonts w:ascii="Times" w:hAnsi="Times"/>
          <w:szCs w:val="26"/>
        </w:rPr>
        <w:t>.  (</w:t>
      </w:r>
      <w:proofErr w:type="spellStart"/>
      <w:r w:rsidR="002A02E7" w:rsidRPr="003D6E09">
        <w:rPr>
          <w:rFonts w:ascii="Times" w:hAnsi="Times"/>
          <w:i/>
          <w:szCs w:val="26"/>
        </w:rPr>
        <w:t>Galdjie</w:t>
      </w:r>
      <w:proofErr w:type="spellEnd"/>
      <w:r w:rsidRPr="00E12132">
        <w:rPr>
          <w:rFonts w:ascii="Times" w:hAnsi="Times"/>
          <w:szCs w:val="26"/>
        </w:rPr>
        <w:t>,</w:t>
      </w:r>
      <w:r w:rsidRPr="003D6E09">
        <w:rPr>
          <w:rFonts w:ascii="Times" w:hAnsi="Times"/>
          <w:i/>
          <w:szCs w:val="26"/>
        </w:rPr>
        <w:t xml:space="preserve"> supra</w:t>
      </w:r>
      <w:r w:rsidRPr="00E12132">
        <w:rPr>
          <w:rFonts w:ascii="Times" w:hAnsi="Times"/>
          <w:szCs w:val="26"/>
        </w:rPr>
        <w:t>,</w:t>
      </w:r>
      <w:r w:rsidRPr="003D6E09">
        <w:rPr>
          <w:rFonts w:ascii="Times" w:hAnsi="Times"/>
          <w:i/>
          <w:szCs w:val="26"/>
        </w:rPr>
        <w:t xml:space="preserve"> </w:t>
      </w:r>
      <w:r w:rsidR="002A02E7" w:rsidRPr="003D6E09">
        <w:rPr>
          <w:rFonts w:ascii="Times" w:hAnsi="Times"/>
          <w:szCs w:val="26"/>
        </w:rPr>
        <w:t xml:space="preserve">113 Cal.App.4th </w:t>
      </w:r>
      <w:r w:rsidRPr="003D6E09">
        <w:rPr>
          <w:rFonts w:ascii="Times" w:hAnsi="Times"/>
          <w:szCs w:val="26"/>
        </w:rPr>
        <w:t>at pp. </w:t>
      </w:r>
      <w:r w:rsidR="002A02E7" w:rsidRPr="003D6E09">
        <w:rPr>
          <w:rFonts w:ascii="Times" w:hAnsi="Times"/>
          <w:szCs w:val="26"/>
        </w:rPr>
        <w:t>1349</w:t>
      </w:r>
      <w:r w:rsidR="002A02E7" w:rsidRPr="003D6E09">
        <w:rPr>
          <w:rFonts w:ascii="Times" w:hAnsi="Times" w:cstheme="minorHAnsi"/>
          <w:szCs w:val="26"/>
        </w:rPr>
        <w:t>−</w:t>
      </w:r>
      <w:r w:rsidR="002A02E7" w:rsidRPr="003D6E09">
        <w:rPr>
          <w:rFonts w:ascii="Times" w:hAnsi="Times"/>
          <w:szCs w:val="26"/>
        </w:rPr>
        <w:t>1350.)</w:t>
      </w:r>
      <w:r w:rsidR="00603B5C" w:rsidRPr="003D6E09">
        <w:rPr>
          <w:rFonts w:ascii="Times" w:hAnsi="Times"/>
          <w:szCs w:val="26"/>
        </w:rPr>
        <w:t xml:space="preserve">  </w:t>
      </w:r>
      <w:r w:rsidR="00F20CA5">
        <w:rPr>
          <w:rFonts w:ascii="Times" w:hAnsi="Times"/>
          <w:szCs w:val="26"/>
        </w:rPr>
        <w:t>"</w:t>
      </w:r>
      <w:r w:rsidR="00603B5C" w:rsidRPr="003D6E09">
        <w:rPr>
          <w:rFonts w:ascii="Times" w:hAnsi="Times"/>
          <w:szCs w:val="26"/>
        </w:rPr>
        <w:t>[W]here a trustee signs a contract of sale or deed without reference to his or her representative capacity, the contract or deed is enforceable against the trust.</w:t>
      </w:r>
      <w:r w:rsidR="00F20CA5">
        <w:rPr>
          <w:rFonts w:ascii="Times" w:hAnsi="Times"/>
          <w:szCs w:val="26"/>
        </w:rPr>
        <w:t>"</w:t>
      </w:r>
      <w:r w:rsidR="00603B5C" w:rsidRPr="003D6E09">
        <w:rPr>
          <w:rFonts w:ascii="Times" w:hAnsi="Times"/>
          <w:szCs w:val="26"/>
        </w:rPr>
        <w:t xml:space="preserve">  (</w:t>
      </w:r>
      <w:r w:rsidR="00603B5C" w:rsidRPr="003D6E09">
        <w:rPr>
          <w:rFonts w:ascii="Times" w:hAnsi="Times"/>
          <w:i/>
          <w:szCs w:val="26"/>
        </w:rPr>
        <w:t>Id.</w:t>
      </w:r>
      <w:r w:rsidR="00603B5C" w:rsidRPr="003D6E09">
        <w:rPr>
          <w:rFonts w:ascii="Times" w:hAnsi="Times"/>
          <w:szCs w:val="26"/>
        </w:rPr>
        <w:t xml:space="preserve"> at p. 1349; see </w:t>
      </w:r>
      <w:r w:rsidR="00603B5C" w:rsidRPr="003D6E09">
        <w:rPr>
          <w:rFonts w:ascii="Times" w:hAnsi="Times"/>
          <w:i/>
          <w:szCs w:val="26"/>
        </w:rPr>
        <w:t>Carne v. Worthington</w:t>
      </w:r>
      <w:r w:rsidR="00603B5C" w:rsidRPr="003D6E09">
        <w:rPr>
          <w:rFonts w:ascii="Times" w:hAnsi="Times"/>
          <w:szCs w:val="26"/>
        </w:rPr>
        <w:t xml:space="preserve"> (2016) 246 Cal.App.4th 548, 551 [because decedent as sole trustee of 1985 revocable inter </w:t>
      </w:r>
      <w:proofErr w:type="spellStart"/>
      <w:r w:rsidR="00603B5C" w:rsidRPr="003D6E09">
        <w:rPr>
          <w:rFonts w:ascii="Times" w:hAnsi="Times"/>
          <w:szCs w:val="26"/>
        </w:rPr>
        <w:t>vivos</w:t>
      </w:r>
      <w:proofErr w:type="spellEnd"/>
      <w:r w:rsidR="00603B5C" w:rsidRPr="003D6E09">
        <w:rPr>
          <w:rFonts w:ascii="Times" w:hAnsi="Times"/>
          <w:szCs w:val="26"/>
        </w:rPr>
        <w:t xml:space="preserve"> trust had power during his lifetime to convey </w:t>
      </w:r>
      <w:r w:rsidRPr="003D6E09">
        <w:rPr>
          <w:rFonts w:ascii="Times" w:hAnsi="Times"/>
          <w:szCs w:val="26"/>
        </w:rPr>
        <w:t xml:space="preserve">good </w:t>
      </w:r>
      <w:r w:rsidR="00603B5C" w:rsidRPr="003D6E09">
        <w:rPr>
          <w:rFonts w:ascii="Times" w:hAnsi="Times"/>
          <w:szCs w:val="26"/>
        </w:rPr>
        <w:t>title to real property held by the trust, his signature sufficed to convey title from that trust to a 2009 trust]</w:t>
      </w:r>
      <w:r w:rsidRPr="003D6E09">
        <w:rPr>
          <w:rFonts w:ascii="Times" w:hAnsi="Times"/>
          <w:szCs w:val="26"/>
        </w:rPr>
        <w:t xml:space="preserve">; </w:t>
      </w:r>
      <w:r w:rsidRPr="003D6E09">
        <w:rPr>
          <w:rFonts w:ascii="Times" w:hAnsi="Times"/>
          <w:i/>
          <w:szCs w:val="26"/>
        </w:rPr>
        <w:t xml:space="preserve">Christy v. Fisher </w:t>
      </w:r>
      <w:r w:rsidRPr="003D6E09">
        <w:rPr>
          <w:rFonts w:ascii="Times" w:hAnsi="Times"/>
          <w:szCs w:val="26"/>
        </w:rPr>
        <w:t xml:space="preserve">(1881) 58 Cal. 256, 258 [land conveyed to </w:t>
      </w:r>
      <w:r w:rsidR="00F20CA5">
        <w:rPr>
          <w:rFonts w:ascii="Times" w:hAnsi="Times"/>
          <w:szCs w:val="26"/>
        </w:rPr>
        <w:t>"</w:t>
      </w:r>
      <w:r w:rsidRPr="003D6E09">
        <w:rPr>
          <w:rFonts w:ascii="Times" w:hAnsi="Times"/>
          <w:szCs w:val="26"/>
        </w:rPr>
        <w:t>James Smith, as administrator of Robert Smith, deceased,</w:t>
      </w:r>
      <w:r w:rsidR="00F20CA5">
        <w:rPr>
          <w:rFonts w:ascii="Times" w:hAnsi="Times"/>
          <w:szCs w:val="26"/>
        </w:rPr>
        <w:t>"</w:t>
      </w:r>
      <w:r w:rsidRPr="003D6E09">
        <w:rPr>
          <w:rFonts w:ascii="Times" w:hAnsi="Times"/>
          <w:szCs w:val="26"/>
        </w:rPr>
        <w:t xml:space="preserve"> vest</w:t>
      </w:r>
      <w:r w:rsidR="000772C6">
        <w:rPr>
          <w:rFonts w:ascii="Times" w:hAnsi="Times"/>
          <w:szCs w:val="26"/>
        </w:rPr>
        <w:t>ed</w:t>
      </w:r>
      <w:r w:rsidRPr="003D6E09">
        <w:rPr>
          <w:rFonts w:ascii="Times" w:hAnsi="Times"/>
          <w:szCs w:val="26"/>
        </w:rPr>
        <w:t xml:space="preserve"> title in</w:t>
      </w:r>
      <w:r w:rsidR="000772C6">
        <w:rPr>
          <w:rFonts w:ascii="Times" w:hAnsi="Times"/>
          <w:szCs w:val="26"/>
        </w:rPr>
        <w:t xml:space="preserve"> Smith, and Smith</w:t>
      </w:r>
      <w:r w:rsidR="00F20CA5">
        <w:rPr>
          <w:rFonts w:ascii="Times" w:hAnsi="Times"/>
          <w:szCs w:val="26"/>
        </w:rPr>
        <w:t>'</w:t>
      </w:r>
      <w:r w:rsidR="000772C6">
        <w:rPr>
          <w:rFonts w:ascii="Times" w:hAnsi="Times"/>
          <w:szCs w:val="26"/>
        </w:rPr>
        <w:t>s</w:t>
      </w:r>
      <w:r w:rsidRPr="003D6E09">
        <w:rPr>
          <w:rFonts w:ascii="Times" w:hAnsi="Times"/>
          <w:szCs w:val="26"/>
        </w:rPr>
        <w:t xml:space="preserve"> later conveyance transferred legal title even though </w:t>
      </w:r>
      <w:r w:rsidR="000772C6">
        <w:rPr>
          <w:rFonts w:ascii="Times" w:hAnsi="Times"/>
          <w:szCs w:val="26"/>
        </w:rPr>
        <w:t xml:space="preserve">it was </w:t>
      </w:r>
      <w:r w:rsidRPr="003D6E09">
        <w:rPr>
          <w:rFonts w:ascii="Times" w:hAnsi="Times"/>
          <w:szCs w:val="26"/>
        </w:rPr>
        <w:t>not explic</w:t>
      </w:r>
      <w:r w:rsidR="00431399" w:rsidRPr="003D6E09">
        <w:rPr>
          <w:rFonts w:ascii="Times" w:hAnsi="Times"/>
          <w:szCs w:val="26"/>
        </w:rPr>
        <w:t>itly made in his capacity as administrator]</w:t>
      </w:r>
      <w:r w:rsidR="00603B5C" w:rsidRPr="003D6E09">
        <w:rPr>
          <w:rFonts w:ascii="Times" w:hAnsi="Times"/>
          <w:szCs w:val="26"/>
        </w:rPr>
        <w:t>.)</w:t>
      </w:r>
      <w:r w:rsidR="000772C6">
        <w:rPr>
          <w:rFonts w:ascii="Times" w:hAnsi="Times"/>
          <w:szCs w:val="26"/>
        </w:rPr>
        <w:t xml:space="preserve">  Accordingly, </w:t>
      </w:r>
      <w:r w:rsidR="002665E1" w:rsidRPr="003D6E09">
        <w:rPr>
          <w:rFonts w:ascii="Times" w:hAnsi="Times"/>
          <w:szCs w:val="26"/>
        </w:rPr>
        <w:t xml:space="preserve">even though Walter did not indicate his </w:t>
      </w:r>
      <w:r w:rsidR="000772C6">
        <w:rPr>
          <w:rFonts w:ascii="Times" w:hAnsi="Times"/>
          <w:szCs w:val="26"/>
        </w:rPr>
        <w:t xml:space="preserve">signing </w:t>
      </w:r>
      <w:r w:rsidR="002665E1" w:rsidRPr="003D6E09">
        <w:rPr>
          <w:rFonts w:ascii="Times" w:hAnsi="Times"/>
          <w:szCs w:val="26"/>
        </w:rPr>
        <w:t>capacity</w:t>
      </w:r>
      <w:r w:rsidR="00BA624E">
        <w:rPr>
          <w:rFonts w:ascii="Times" w:hAnsi="Times"/>
          <w:szCs w:val="26"/>
        </w:rPr>
        <w:t>, the DOT</w:t>
      </w:r>
      <w:r w:rsidR="002665E1" w:rsidRPr="003D6E09">
        <w:rPr>
          <w:rFonts w:ascii="Times" w:hAnsi="Times"/>
          <w:szCs w:val="26"/>
        </w:rPr>
        <w:t xml:space="preserve"> conveyed good title</w:t>
      </w:r>
      <w:r w:rsidR="006B5075">
        <w:rPr>
          <w:rFonts w:ascii="Times" w:hAnsi="Times"/>
          <w:szCs w:val="26"/>
        </w:rPr>
        <w:t xml:space="preserve"> to the property</w:t>
      </w:r>
      <w:r w:rsidR="002665E1" w:rsidRPr="003D6E09">
        <w:rPr>
          <w:rFonts w:ascii="Times" w:hAnsi="Times"/>
          <w:szCs w:val="26"/>
        </w:rPr>
        <w:t>.</w:t>
      </w:r>
      <w:r w:rsidR="000772C6">
        <w:rPr>
          <w:rStyle w:val="FootnoteReference"/>
          <w:szCs w:val="26"/>
        </w:rPr>
        <w:footnoteReference w:id="4"/>
      </w:r>
    </w:p>
    <w:p w14:paraId="3FD57BF6" w14:textId="1AA4720B" w:rsidR="002A02E7" w:rsidRPr="003D6E09" w:rsidRDefault="000772C6" w:rsidP="00F6735D">
      <w:pPr>
        <w:rPr>
          <w:rFonts w:ascii="Times" w:hAnsi="Times"/>
          <w:szCs w:val="26"/>
        </w:rPr>
      </w:pPr>
      <w:r>
        <w:rPr>
          <w:rFonts w:ascii="Times" w:hAnsi="Times"/>
          <w:szCs w:val="26"/>
        </w:rPr>
        <w:tab/>
        <w:t>David responds that the result should be different</w:t>
      </w:r>
      <w:r w:rsidR="00ED7EF8" w:rsidRPr="003D6E09">
        <w:rPr>
          <w:rFonts w:ascii="Times" w:hAnsi="Times"/>
          <w:szCs w:val="26"/>
        </w:rPr>
        <w:t xml:space="preserve"> where </w:t>
      </w:r>
      <w:r w:rsidR="00F20CA5">
        <w:rPr>
          <w:rFonts w:ascii="Times" w:hAnsi="Times"/>
          <w:szCs w:val="26"/>
        </w:rPr>
        <w:t>"</w:t>
      </w:r>
      <w:r w:rsidR="00ED7EF8" w:rsidRPr="003D6E09">
        <w:rPr>
          <w:rFonts w:ascii="Times" w:hAnsi="Times"/>
          <w:szCs w:val="26"/>
        </w:rPr>
        <w:t>a party specifically pleads that a conveyance did not occur in a representative capacity.</w:t>
      </w:r>
      <w:r w:rsidR="00F20CA5">
        <w:rPr>
          <w:rFonts w:ascii="Times" w:hAnsi="Times"/>
          <w:szCs w:val="26"/>
        </w:rPr>
        <w:t>"</w:t>
      </w:r>
      <w:r w:rsidR="00ED7EF8" w:rsidRPr="003D6E09">
        <w:rPr>
          <w:rFonts w:ascii="Times" w:hAnsi="Times"/>
          <w:szCs w:val="26"/>
        </w:rPr>
        <w:t xml:space="preserve"> </w:t>
      </w:r>
      <w:r w:rsidR="002665E1" w:rsidRPr="003D6E09">
        <w:rPr>
          <w:rFonts w:ascii="Times" w:hAnsi="Times"/>
          <w:szCs w:val="26"/>
        </w:rPr>
        <w:t xml:space="preserve"> </w:t>
      </w:r>
      <w:r w:rsidR="00BA624E">
        <w:rPr>
          <w:rFonts w:ascii="Times" w:hAnsi="Times"/>
          <w:szCs w:val="26"/>
        </w:rPr>
        <w:t xml:space="preserve">But </w:t>
      </w:r>
      <w:r>
        <w:rPr>
          <w:rFonts w:ascii="Times" w:hAnsi="Times"/>
          <w:szCs w:val="26"/>
        </w:rPr>
        <w:t xml:space="preserve">as we later explain, Chase may amend its pleading to omit </w:t>
      </w:r>
      <w:r w:rsidR="00BA624E">
        <w:rPr>
          <w:rFonts w:ascii="Times" w:hAnsi="Times"/>
          <w:szCs w:val="26"/>
        </w:rPr>
        <w:t>that</w:t>
      </w:r>
      <w:r>
        <w:rPr>
          <w:rFonts w:ascii="Times" w:hAnsi="Times"/>
          <w:szCs w:val="26"/>
        </w:rPr>
        <w:t xml:space="preserve"> allegation</w:t>
      </w:r>
      <w:r w:rsidR="002920FA" w:rsidRPr="003D6E09">
        <w:rPr>
          <w:rFonts w:ascii="Times" w:hAnsi="Times"/>
          <w:szCs w:val="26"/>
        </w:rPr>
        <w:t>.</w:t>
      </w:r>
      <w:r w:rsidR="002920FA" w:rsidRPr="003D6E09">
        <w:rPr>
          <w:rStyle w:val="FootnoteReference"/>
          <w:rFonts w:ascii="Times" w:hAnsi="Times"/>
          <w:szCs w:val="26"/>
        </w:rPr>
        <w:footnoteReference w:id="5"/>
      </w:r>
      <w:r w:rsidR="00241D93">
        <w:rPr>
          <w:rFonts w:ascii="Times" w:hAnsi="Times"/>
          <w:szCs w:val="26"/>
        </w:rPr>
        <w:t xml:space="preserve">  </w:t>
      </w:r>
      <w:r>
        <w:rPr>
          <w:rFonts w:ascii="Times" w:hAnsi="Times"/>
          <w:szCs w:val="26"/>
        </w:rPr>
        <w:t>W</w:t>
      </w:r>
      <w:r w:rsidR="00F6735D">
        <w:rPr>
          <w:rFonts w:ascii="Times" w:hAnsi="Times"/>
          <w:szCs w:val="26"/>
        </w:rPr>
        <w:t xml:space="preserve">e disagree that estate planning would be thrown </w:t>
      </w:r>
      <w:r w:rsidR="00F20CA5">
        <w:rPr>
          <w:rFonts w:ascii="Times" w:hAnsi="Times"/>
          <w:szCs w:val="26"/>
        </w:rPr>
        <w:t>"</w:t>
      </w:r>
      <w:r w:rsidR="00F6735D">
        <w:rPr>
          <w:rFonts w:ascii="Times" w:hAnsi="Times"/>
          <w:szCs w:val="26"/>
        </w:rPr>
        <w:t>into wholesale disarray</w:t>
      </w:r>
      <w:r w:rsidR="00F20CA5">
        <w:rPr>
          <w:rFonts w:ascii="Times" w:hAnsi="Times"/>
          <w:szCs w:val="26"/>
        </w:rPr>
        <w:t>"</w:t>
      </w:r>
      <w:r w:rsidR="00F6735D">
        <w:rPr>
          <w:rFonts w:ascii="Times" w:hAnsi="Times"/>
          <w:szCs w:val="26"/>
        </w:rPr>
        <w:t xml:space="preserve"> if Walter</w:t>
      </w:r>
      <w:r w:rsidR="00F20CA5">
        <w:rPr>
          <w:rFonts w:ascii="Times" w:hAnsi="Times"/>
          <w:szCs w:val="26"/>
        </w:rPr>
        <w:t>'</w:t>
      </w:r>
      <w:r w:rsidR="00F6735D">
        <w:rPr>
          <w:rFonts w:ascii="Times" w:hAnsi="Times"/>
          <w:szCs w:val="26"/>
        </w:rPr>
        <w:t>s signature on the DOT were sufficient to convey good title.</w:t>
      </w:r>
      <w:r w:rsidR="005D5C25">
        <w:rPr>
          <w:rFonts w:ascii="Times" w:hAnsi="Times"/>
          <w:szCs w:val="26"/>
        </w:rPr>
        <w:t xml:space="preserve">  </w:t>
      </w:r>
      <w:r w:rsidR="00241D93">
        <w:rPr>
          <w:rFonts w:ascii="Times" w:hAnsi="Times"/>
          <w:szCs w:val="26"/>
        </w:rPr>
        <w:t>California law sufficiently protects the interests of trustees and third parties.  (</w:t>
      </w:r>
      <w:r w:rsidR="006C3B1E">
        <w:rPr>
          <w:rFonts w:ascii="Times" w:hAnsi="Times"/>
          <w:szCs w:val="26"/>
        </w:rPr>
        <w:t xml:space="preserve">See </w:t>
      </w:r>
      <w:r w:rsidR="005D5C25">
        <w:rPr>
          <w:rFonts w:ascii="Times" w:hAnsi="Times"/>
          <w:i/>
          <w:szCs w:val="26"/>
        </w:rPr>
        <w:t xml:space="preserve">Moeller v. Superior Court </w:t>
      </w:r>
      <w:r w:rsidR="005D5C25">
        <w:rPr>
          <w:rFonts w:ascii="Times" w:hAnsi="Times"/>
          <w:szCs w:val="26"/>
        </w:rPr>
        <w:t>(1997) 16 Cal.4th 1124, 1133</w:t>
      </w:r>
      <w:r w:rsidR="005D5C25">
        <w:rPr>
          <w:rFonts w:ascii="Times" w:hAnsi="Times" w:cs="Times"/>
          <w:szCs w:val="26"/>
        </w:rPr>
        <w:t>−</w:t>
      </w:r>
      <w:r w:rsidR="005D5C25">
        <w:rPr>
          <w:rFonts w:ascii="Times" w:hAnsi="Times"/>
          <w:szCs w:val="26"/>
        </w:rPr>
        <w:t xml:space="preserve">1134; </w:t>
      </w:r>
      <w:r w:rsidR="00241D93">
        <w:rPr>
          <w:rFonts w:ascii="Times" w:hAnsi="Times"/>
          <w:szCs w:val="26"/>
        </w:rPr>
        <w:t>Prob. Code, §§ 1600</w:t>
      </w:r>
      <w:r w:rsidR="005D5C25">
        <w:rPr>
          <w:rFonts w:ascii="Times" w:hAnsi="Times"/>
          <w:szCs w:val="26"/>
        </w:rPr>
        <w:t>2</w:t>
      </w:r>
      <w:r w:rsidR="005D5C25">
        <w:rPr>
          <w:rFonts w:ascii="Times" w:hAnsi="Times" w:cs="Times"/>
          <w:szCs w:val="26"/>
        </w:rPr>
        <w:t>, subd. (a)</w:t>
      </w:r>
      <w:r w:rsidR="00241D93">
        <w:rPr>
          <w:rFonts w:ascii="Times" w:hAnsi="Times"/>
          <w:szCs w:val="26"/>
        </w:rPr>
        <w:t xml:space="preserve">, 16400, 18100.)  </w:t>
      </w:r>
      <w:r w:rsidR="00A7601D">
        <w:rPr>
          <w:rFonts w:ascii="Times" w:hAnsi="Times"/>
          <w:szCs w:val="26"/>
        </w:rPr>
        <w:t>Walter</w:t>
      </w:r>
      <w:r w:rsidR="00F20CA5">
        <w:rPr>
          <w:rFonts w:ascii="Times" w:hAnsi="Times"/>
          <w:szCs w:val="26"/>
        </w:rPr>
        <w:t>'</w:t>
      </w:r>
      <w:r w:rsidR="00A7601D">
        <w:rPr>
          <w:rFonts w:ascii="Times" w:hAnsi="Times"/>
          <w:szCs w:val="26"/>
        </w:rPr>
        <w:t xml:space="preserve">s status </w:t>
      </w:r>
      <w:r w:rsidR="00241D93">
        <w:rPr>
          <w:rFonts w:ascii="Times" w:hAnsi="Times"/>
          <w:szCs w:val="26"/>
        </w:rPr>
        <w:t xml:space="preserve">as the sole trustee and </w:t>
      </w:r>
      <w:r w:rsidR="00BA624E">
        <w:rPr>
          <w:rFonts w:ascii="Times" w:hAnsi="Times"/>
          <w:szCs w:val="26"/>
        </w:rPr>
        <w:t xml:space="preserve">lifetime </w:t>
      </w:r>
      <w:r w:rsidR="00241D93">
        <w:rPr>
          <w:rFonts w:ascii="Times" w:hAnsi="Times"/>
          <w:szCs w:val="26"/>
        </w:rPr>
        <w:t xml:space="preserve">beneficiary </w:t>
      </w:r>
      <w:r w:rsidR="00A7601D">
        <w:rPr>
          <w:rFonts w:ascii="Times" w:hAnsi="Times"/>
          <w:szCs w:val="26"/>
        </w:rPr>
        <w:t xml:space="preserve">further minimizes </w:t>
      </w:r>
      <w:r w:rsidR="004C1A65">
        <w:rPr>
          <w:rFonts w:ascii="Times" w:hAnsi="Times"/>
          <w:szCs w:val="26"/>
        </w:rPr>
        <w:t>any prejudice</w:t>
      </w:r>
      <w:r w:rsidR="005D5C25">
        <w:rPr>
          <w:rFonts w:ascii="Times" w:hAnsi="Times"/>
          <w:szCs w:val="26"/>
        </w:rPr>
        <w:t>.</w:t>
      </w:r>
    </w:p>
    <w:p w14:paraId="7C0157BE" w14:textId="08CB9338" w:rsidR="00E07D32" w:rsidRPr="00527A4A" w:rsidRDefault="002920FA" w:rsidP="004858EB">
      <w:pPr>
        <w:rPr>
          <w:rFonts w:ascii="Times" w:hAnsi="Times"/>
          <w:szCs w:val="26"/>
        </w:rPr>
      </w:pPr>
      <w:r w:rsidRPr="003D6E09">
        <w:rPr>
          <w:rFonts w:ascii="Times" w:hAnsi="Times"/>
          <w:szCs w:val="26"/>
        </w:rPr>
        <w:tab/>
      </w:r>
      <w:r w:rsidR="00D8180E" w:rsidRPr="00C77083">
        <w:rPr>
          <w:rFonts w:ascii="Times" w:hAnsi="Times"/>
          <w:szCs w:val="26"/>
        </w:rPr>
        <w:t xml:space="preserve">Although the analysis is more complex on this issue, we </w:t>
      </w:r>
      <w:r w:rsidR="00CD0BD9" w:rsidRPr="00C77083">
        <w:rPr>
          <w:rFonts w:ascii="Times" w:hAnsi="Times"/>
          <w:szCs w:val="26"/>
        </w:rPr>
        <w:t>also</w:t>
      </w:r>
      <w:r w:rsidR="00D8180E" w:rsidRPr="00C77083">
        <w:rPr>
          <w:rFonts w:ascii="Times" w:hAnsi="Times"/>
          <w:szCs w:val="26"/>
        </w:rPr>
        <w:t xml:space="preserve"> conclude</w:t>
      </w:r>
      <w:r w:rsidR="00031E5C" w:rsidRPr="00527A4A">
        <w:rPr>
          <w:rFonts w:ascii="Times" w:hAnsi="Times"/>
          <w:szCs w:val="26"/>
        </w:rPr>
        <w:t xml:space="preserve"> </w:t>
      </w:r>
      <w:r w:rsidRPr="00527A4A">
        <w:rPr>
          <w:rFonts w:ascii="Times" w:hAnsi="Times"/>
          <w:szCs w:val="26"/>
        </w:rPr>
        <w:t xml:space="preserve">an action to enforce the DOT </w:t>
      </w:r>
      <w:r w:rsidRPr="00527A4A">
        <w:rPr>
          <w:rFonts w:ascii="Times" w:hAnsi="Times"/>
          <w:i/>
          <w:szCs w:val="26"/>
        </w:rPr>
        <w:t>as written</w:t>
      </w:r>
      <w:r w:rsidRPr="00527A4A">
        <w:rPr>
          <w:rFonts w:ascii="Times" w:hAnsi="Times"/>
          <w:szCs w:val="26"/>
        </w:rPr>
        <w:t xml:space="preserve"> </w:t>
      </w:r>
      <w:r w:rsidR="00F063D4" w:rsidRPr="00527A4A">
        <w:rPr>
          <w:rFonts w:ascii="Times" w:hAnsi="Times"/>
          <w:szCs w:val="26"/>
        </w:rPr>
        <w:t>would not be untimely on its face</w:t>
      </w:r>
      <w:r w:rsidR="004858EB" w:rsidRPr="00527A4A">
        <w:rPr>
          <w:rFonts w:ascii="Times" w:hAnsi="Times"/>
          <w:szCs w:val="26"/>
        </w:rPr>
        <w:t xml:space="preserve">.  </w:t>
      </w:r>
      <w:bookmarkStart w:id="2" w:name="_Hlk4052673"/>
      <w:r w:rsidR="00E07D32" w:rsidRPr="00C77083">
        <w:rPr>
          <w:rFonts w:ascii="Times" w:hAnsi="Times"/>
          <w:szCs w:val="26"/>
        </w:rPr>
        <w:t xml:space="preserve">As we explain, a four-year </w:t>
      </w:r>
      <w:r w:rsidR="00C77083">
        <w:rPr>
          <w:rFonts w:ascii="Times" w:hAnsi="Times"/>
          <w:szCs w:val="26"/>
        </w:rPr>
        <w:t>statute of limitations</w:t>
      </w:r>
      <w:r w:rsidR="00E07D32" w:rsidRPr="00C77083">
        <w:rPr>
          <w:rFonts w:ascii="Times" w:hAnsi="Times"/>
          <w:szCs w:val="26"/>
        </w:rPr>
        <w:t xml:space="preserve"> applies </w:t>
      </w:r>
      <w:r w:rsidR="004A56DF" w:rsidRPr="00C77083">
        <w:rPr>
          <w:rFonts w:ascii="Times" w:hAnsi="Times"/>
          <w:szCs w:val="26"/>
        </w:rPr>
        <w:t>to Chase</w:t>
      </w:r>
      <w:r w:rsidR="00F20CA5">
        <w:rPr>
          <w:rFonts w:ascii="Times" w:hAnsi="Times"/>
          <w:szCs w:val="26"/>
        </w:rPr>
        <w:t>'</w:t>
      </w:r>
      <w:r w:rsidR="004A56DF" w:rsidRPr="00C77083">
        <w:rPr>
          <w:rFonts w:ascii="Times" w:hAnsi="Times"/>
          <w:szCs w:val="26"/>
        </w:rPr>
        <w:t xml:space="preserve">s reformulated action </w:t>
      </w:r>
      <w:r w:rsidR="00E07D32" w:rsidRPr="00C77083">
        <w:rPr>
          <w:rFonts w:ascii="Times" w:hAnsi="Times"/>
          <w:szCs w:val="26"/>
        </w:rPr>
        <w:t xml:space="preserve">and accrues </w:t>
      </w:r>
      <w:bookmarkEnd w:id="2"/>
      <w:r w:rsidR="00E07D32" w:rsidRPr="00C77083">
        <w:rPr>
          <w:rFonts w:ascii="Times" w:hAnsi="Times"/>
          <w:szCs w:val="26"/>
        </w:rPr>
        <w:t xml:space="preserve">from the date Walter refused to execute a replacement deed.  </w:t>
      </w:r>
      <w:r w:rsidR="004A56DF" w:rsidRPr="00C77083">
        <w:rPr>
          <w:rFonts w:ascii="Times" w:hAnsi="Times"/>
          <w:szCs w:val="26"/>
        </w:rPr>
        <w:t xml:space="preserve">Based on the allegations pleaded, </w:t>
      </w:r>
      <w:r w:rsidR="00D8180E" w:rsidRPr="00C77083">
        <w:rPr>
          <w:rFonts w:ascii="Times" w:hAnsi="Times"/>
          <w:szCs w:val="26"/>
        </w:rPr>
        <w:t>such an</w:t>
      </w:r>
      <w:r w:rsidR="004A56DF" w:rsidRPr="00C77083">
        <w:rPr>
          <w:rFonts w:ascii="Times" w:hAnsi="Times"/>
          <w:szCs w:val="26"/>
        </w:rPr>
        <w:t xml:space="preserve"> action would not be untimely</w:t>
      </w:r>
      <w:r w:rsidR="00D8180E" w:rsidRPr="00C77083">
        <w:rPr>
          <w:rFonts w:ascii="Times" w:hAnsi="Times"/>
          <w:szCs w:val="26"/>
        </w:rPr>
        <w:t xml:space="preserve"> on the face of the complaint</w:t>
      </w:r>
      <w:r w:rsidR="004A56DF" w:rsidRPr="00C77083">
        <w:rPr>
          <w:rFonts w:ascii="Times" w:hAnsi="Times"/>
          <w:szCs w:val="26"/>
        </w:rPr>
        <w:t>.</w:t>
      </w:r>
    </w:p>
    <w:p w14:paraId="5A9009E2" w14:textId="1E9A6B04" w:rsidR="009E45BF" w:rsidRDefault="00E07D32" w:rsidP="004858EB">
      <w:pPr>
        <w:rPr>
          <w:rFonts w:ascii="Times" w:hAnsi="Times"/>
          <w:szCs w:val="26"/>
        </w:rPr>
      </w:pPr>
      <w:r w:rsidRPr="00527A4A">
        <w:rPr>
          <w:rFonts w:ascii="Times" w:hAnsi="Times"/>
          <w:szCs w:val="26"/>
        </w:rPr>
        <w:tab/>
      </w:r>
      <w:r w:rsidR="00CB729D" w:rsidRPr="00527A4A">
        <w:rPr>
          <w:rFonts w:ascii="Times" w:hAnsi="Times"/>
          <w:szCs w:val="26"/>
        </w:rPr>
        <w:t>Chase claims</w:t>
      </w:r>
      <w:r w:rsidR="00F86D99" w:rsidRPr="00527A4A">
        <w:rPr>
          <w:rFonts w:ascii="Times" w:hAnsi="Times"/>
          <w:szCs w:val="26"/>
        </w:rPr>
        <w:t xml:space="preserve"> it </w:t>
      </w:r>
      <w:r w:rsidR="00F20CA5">
        <w:rPr>
          <w:rFonts w:ascii="Times" w:hAnsi="Times"/>
          <w:szCs w:val="26"/>
        </w:rPr>
        <w:t>"</w:t>
      </w:r>
      <w:r w:rsidR="00563CA9" w:rsidRPr="00527A4A">
        <w:rPr>
          <w:rFonts w:ascii="Times" w:hAnsi="Times"/>
          <w:szCs w:val="26"/>
        </w:rPr>
        <w:t xml:space="preserve">desires a judicial declaration establishing the existence of the [DOT] </w:t>
      </w:r>
      <w:r w:rsidR="00F86D99" w:rsidRPr="00527A4A">
        <w:rPr>
          <w:rFonts w:ascii="Times" w:hAnsi="Times"/>
          <w:szCs w:val="26"/>
        </w:rPr>
        <w:t>so that it may enforce its rights thereunder and non-judicially foreclose its lien.</w:t>
      </w:r>
      <w:r w:rsidR="00F20CA5">
        <w:rPr>
          <w:rFonts w:ascii="Times" w:hAnsi="Times"/>
          <w:szCs w:val="26"/>
        </w:rPr>
        <w:t>"</w:t>
      </w:r>
      <w:r w:rsidR="00B10153" w:rsidRPr="00527A4A">
        <w:rPr>
          <w:rFonts w:ascii="Times" w:hAnsi="Times"/>
          <w:szCs w:val="26"/>
        </w:rPr>
        <w:t xml:space="preserve">  </w:t>
      </w:r>
      <w:r w:rsidR="009E45BF" w:rsidRPr="00C77083">
        <w:rPr>
          <w:rFonts w:ascii="Times" w:hAnsi="Times"/>
          <w:szCs w:val="26"/>
        </w:rPr>
        <w:t>A</w:t>
      </w:r>
      <w:r w:rsidR="0081451D" w:rsidRPr="00C77083">
        <w:rPr>
          <w:rFonts w:ascii="Times" w:hAnsi="Times"/>
          <w:szCs w:val="26"/>
        </w:rPr>
        <w:t xml:space="preserve">n action seeking declaratory relief </w:t>
      </w:r>
      <w:r w:rsidR="009E45BF" w:rsidRPr="00C77083">
        <w:rPr>
          <w:rFonts w:ascii="Times" w:hAnsi="Times"/>
          <w:szCs w:val="26"/>
        </w:rPr>
        <w:t>has the same limitations period as the underlying legal or equitable claim.  (</w:t>
      </w:r>
      <w:r w:rsidR="009E45BF" w:rsidRPr="00C77083">
        <w:rPr>
          <w:rFonts w:ascii="Times" w:hAnsi="Times"/>
          <w:i/>
          <w:szCs w:val="26"/>
        </w:rPr>
        <w:t>Bank of New York Mellon v. Citibank</w:t>
      </w:r>
      <w:r w:rsidR="009E45BF" w:rsidRPr="005F48CF">
        <w:rPr>
          <w:rFonts w:ascii="Times" w:hAnsi="Times"/>
          <w:szCs w:val="26"/>
        </w:rPr>
        <w:t>,</w:t>
      </w:r>
      <w:r w:rsidR="009E45BF" w:rsidRPr="00C77083">
        <w:rPr>
          <w:rFonts w:ascii="Times" w:hAnsi="Times"/>
          <w:i/>
          <w:szCs w:val="26"/>
        </w:rPr>
        <w:t xml:space="preserve"> N.A. </w:t>
      </w:r>
      <w:r w:rsidR="009E45BF" w:rsidRPr="00C77083">
        <w:rPr>
          <w:rFonts w:ascii="Times" w:hAnsi="Times"/>
          <w:szCs w:val="26"/>
        </w:rPr>
        <w:t>(2017) 8</w:t>
      </w:r>
      <w:r w:rsidR="004D4727" w:rsidRPr="00C77083">
        <w:rPr>
          <w:rFonts w:ascii="Times" w:hAnsi="Times"/>
          <w:szCs w:val="26"/>
        </w:rPr>
        <w:t> </w:t>
      </w:r>
      <w:r w:rsidR="009E45BF" w:rsidRPr="00C77083">
        <w:rPr>
          <w:rFonts w:ascii="Times" w:hAnsi="Times"/>
          <w:szCs w:val="26"/>
        </w:rPr>
        <w:t xml:space="preserve">Cal.App.5th 935, 943.)  Here, the underlying </w:t>
      </w:r>
      <w:r w:rsidR="0081451D" w:rsidRPr="00C77083">
        <w:rPr>
          <w:rFonts w:ascii="Times" w:hAnsi="Times"/>
          <w:szCs w:val="26"/>
        </w:rPr>
        <w:t>claim</w:t>
      </w:r>
      <w:r w:rsidR="009E45BF" w:rsidRPr="00C77083">
        <w:rPr>
          <w:rFonts w:ascii="Times" w:hAnsi="Times"/>
          <w:szCs w:val="26"/>
        </w:rPr>
        <w:t xml:space="preserve"> </w:t>
      </w:r>
      <w:r w:rsidR="00123CED" w:rsidRPr="00C77083">
        <w:rPr>
          <w:rFonts w:ascii="Times" w:hAnsi="Times"/>
          <w:szCs w:val="26"/>
        </w:rPr>
        <w:t xml:space="preserve">is grounded </w:t>
      </w:r>
      <w:r w:rsidR="009E45BF" w:rsidRPr="00C77083">
        <w:rPr>
          <w:rFonts w:ascii="Times" w:hAnsi="Times"/>
          <w:szCs w:val="26"/>
        </w:rPr>
        <w:t xml:space="preserve">on Civil Code section 3415, subdivision (a). </w:t>
      </w:r>
    </w:p>
    <w:p w14:paraId="62D818AA" w14:textId="39CF1CCF" w:rsidR="00CD0BD9" w:rsidRPr="00527A4A" w:rsidRDefault="009E45BF" w:rsidP="0074372F">
      <w:pPr>
        <w:rPr>
          <w:rFonts w:ascii="Times" w:hAnsi="Times"/>
          <w:szCs w:val="26"/>
        </w:rPr>
      </w:pPr>
      <w:r>
        <w:rPr>
          <w:rFonts w:ascii="Times" w:hAnsi="Times"/>
          <w:szCs w:val="26"/>
        </w:rPr>
        <w:tab/>
      </w:r>
      <w:r w:rsidR="00F20CA5">
        <w:rPr>
          <w:rFonts w:ascii="Times" w:hAnsi="Times"/>
          <w:szCs w:val="26"/>
        </w:rPr>
        <w:t>"</w:t>
      </w:r>
      <w:r w:rsidR="00134B3E" w:rsidRPr="000D6FCB">
        <w:rPr>
          <w:rFonts w:ascii="Times" w:hAnsi="Times"/>
          <w:szCs w:val="26"/>
        </w:rPr>
        <w:t>A</w:t>
      </w:r>
      <w:r w:rsidR="00864C91" w:rsidRPr="000D6FCB">
        <w:rPr>
          <w:rFonts w:ascii="Times" w:hAnsi="Times"/>
          <w:szCs w:val="26"/>
        </w:rPr>
        <w:t xml:space="preserve">n action upon any contract, obligation, or liability </w:t>
      </w:r>
      <w:r w:rsidR="00B10153" w:rsidRPr="000D6FCB">
        <w:rPr>
          <w:rFonts w:ascii="Times" w:hAnsi="Times"/>
          <w:szCs w:val="26"/>
        </w:rPr>
        <w:t>founded upon an instrument in writing</w:t>
      </w:r>
      <w:r w:rsidR="00F20CA5">
        <w:rPr>
          <w:rFonts w:ascii="Times" w:hAnsi="Times"/>
          <w:szCs w:val="26"/>
        </w:rPr>
        <w:t>"</w:t>
      </w:r>
      <w:r w:rsidR="00B10153" w:rsidRPr="000D6FCB">
        <w:rPr>
          <w:rFonts w:ascii="Times" w:hAnsi="Times"/>
          <w:szCs w:val="26"/>
        </w:rPr>
        <w:t xml:space="preserve"> </w:t>
      </w:r>
      <w:r w:rsidRPr="000D6FCB">
        <w:rPr>
          <w:rFonts w:ascii="Times" w:hAnsi="Times"/>
          <w:szCs w:val="26"/>
        </w:rPr>
        <w:t xml:space="preserve">carries </w:t>
      </w:r>
      <w:r w:rsidR="00B10153" w:rsidRPr="000D6FCB">
        <w:rPr>
          <w:rFonts w:ascii="Times" w:hAnsi="Times"/>
          <w:szCs w:val="26"/>
        </w:rPr>
        <w:t>a</w:t>
      </w:r>
      <w:r w:rsidR="00521326" w:rsidRPr="000D6FCB">
        <w:rPr>
          <w:rFonts w:ascii="Times" w:hAnsi="Times"/>
          <w:szCs w:val="26"/>
        </w:rPr>
        <w:t xml:space="preserve"> four-year statute of limitations</w:t>
      </w:r>
      <w:r w:rsidR="00B10153" w:rsidRPr="000D6FCB">
        <w:rPr>
          <w:rFonts w:ascii="Times" w:hAnsi="Times"/>
          <w:szCs w:val="26"/>
        </w:rPr>
        <w:t>.</w:t>
      </w:r>
      <w:r w:rsidR="003B1354" w:rsidRPr="000D6FCB">
        <w:rPr>
          <w:rFonts w:ascii="Times" w:hAnsi="Times"/>
          <w:szCs w:val="26"/>
        </w:rPr>
        <w:t xml:space="preserve"> </w:t>
      </w:r>
      <w:r w:rsidR="00B10153" w:rsidRPr="000D6FCB">
        <w:rPr>
          <w:rFonts w:ascii="Times" w:hAnsi="Times"/>
          <w:szCs w:val="26"/>
        </w:rPr>
        <w:t xml:space="preserve"> </w:t>
      </w:r>
      <w:r w:rsidR="003B1354" w:rsidRPr="000D6FCB">
        <w:rPr>
          <w:rFonts w:ascii="Times" w:hAnsi="Times"/>
          <w:szCs w:val="26"/>
        </w:rPr>
        <w:t>(§ 337, subd. (a)</w:t>
      </w:r>
      <w:r w:rsidR="00864C91" w:rsidRPr="000D6FCB">
        <w:rPr>
          <w:rFonts w:ascii="Times" w:hAnsi="Times"/>
          <w:szCs w:val="26"/>
        </w:rPr>
        <w:t xml:space="preserve">.)  But a claim is </w:t>
      </w:r>
      <w:r w:rsidR="00864C91" w:rsidRPr="000D6FCB">
        <w:rPr>
          <w:rFonts w:ascii="Times" w:hAnsi="Times"/>
          <w:i/>
          <w:szCs w:val="26"/>
        </w:rPr>
        <w:t>founded upon</w:t>
      </w:r>
      <w:r w:rsidR="00864C91" w:rsidRPr="000D6FCB">
        <w:rPr>
          <w:rFonts w:ascii="Times" w:hAnsi="Times"/>
          <w:szCs w:val="26"/>
        </w:rPr>
        <w:t xml:space="preserve"> a writing </w:t>
      </w:r>
      <w:r w:rsidR="0081451D" w:rsidRPr="000D6FCB">
        <w:rPr>
          <w:rFonts w:ascii="Times" w:hAnsi="Times"/>
          <w:szCs w:val="26"/>
        </w:rPr>
        <w:t xml:space="preserve">only </w:t>
      </w:r>
      <w:r w:rsidR="00864C91" w:rsidRPr="000D6FCB">
        <w:rPr>
          <w:rFonts w:ascii="Times" w:hAnsi="Times"/>
          <w:szCs w:val="26"/>
        </w:rPr>
        <w:t xml:space="preserve">when it </w:t>
      </w:r>
      <w:r w:rsidR="00F20CA5">
        <w:rPr>
          <w:rFonts w:ascii="Times" w:hAnsi="Times"/>
          <w:szCs w:val="26"/>
        </w:rPr>
        <w:t>"</w:t>
      </w:r>
      <w:r w:rsidR="00864C91" w:rsidRPr="000D6FCB">
        <w:rPr>
          <w:rFonts w:ascii="Times" w:hAnsi="Times"/>
          <w:szCs w:val="26"/>
        </w:rPr>
        <w:t>relies upon the language within a written instrument or contract.</w:t>
      </w:r>
      <w:r w:rsidR="00F20CA5">
        <w:rPr>
          <w:rFonts w:ascii="Times" w:hAnsi="Times"/>
          <w:szCs w:val="26"/>
        </w:rPr>
        <w:t>"</w:t>
      </w:r>
      <w:r w:rsidR="00864C91" w:rsidRPr="000D6FCB">
        <w:rPr>
          <w:rFonts w:ascii="Times" w:hAnsi="Times"/>
          <w:szCs w:val="26"/>
        </w:rPr>
        <w:t xml:space="preserve">  (</w:t>
      </w:r>
      <w:proofErr w:type="spellStart"/>
      <w:r w:rsidR="00587F20" w:rsidRPr="000D6FCB">
        <w:rPr>
          <w:rFonts w:ascii="Times" w:hAnsi="Times"/>
          <w:i/>
          <w:szCs w:val="26"/>
        </w:rPr>
        <w:t>Smeaton</w:t>
      </w:r>
      <w:proofErr w:type="spellEnd"/>
      <w:r w:rsidR="00587F20" w:rsidRPr="000D6FCB">
        <w:rPr>
          <w:rFonts w:ascii="Times" w:hAnsi="Times"/>
          <w:i/>
          <w:szCs w:val="26"/>
        </w:rPr>
        <w:t xml:space="preserve"> v. Fidelity National Title</w:t>
      </w:r>
      <w:r w:rsidR="00587F20" w:rsidRPr="000D6FCB">
        <w:rPr>
          <w:rFonts w:ascii="Times" w:hAnsi="Times"/>
          <w:szCs w:val="26"/>
        </w:rPr>
        <w:t xml:space="preserve"> (1999) 72 Cal.App.4th 1000, 1004</w:t>
      </w:r>
      <w:r w:rsidR="00E07D32" w:rsidRPr="000D6FCB">
        <w:rPr>
          <w:rFonts w:ascii="Times" w:eastAsia="Times New Roman" w:hAnsi="Times"/>
          <w:color w:val="000000"/>
          <w:szCs w:val="26"/>
          <w:shd w:val="clear" w:color="auto" w:fill="FFFFFF"/>
        </w:rPr>
        <w:t>.)  T</w:t>
      </w:r>
      <w:r w:rsidRPr="000D6FCB">
        <w:rPr>
          <w:rFonts w:ascii="Times" w:eastAsia="Times New Roman" w:hAnsi="Times"/>
          <w:color w:val="000000"/>
          <w:szCs w:val="26"/>
          <w:shd w:val="clear" w:color="auto" w:fill="FFFFFF"/>
        </w:rPr>
        <w:t xml:space="preserve">he </w:t>
      </w:r>
      <w:r w:rsidR="00F20CA5">
        <w:rPr>
          <w:rFonts w:ascii="Times" w:eastAsia="Times New Roman" w:hAnsi="Times"/>
          <w:color w:val="000000"/>
          <w:szCs w:val="26"/>
          <w:shd w:val="clear" w:color="auto" w:fill="FFFFFF"/>
        </w:rPr>
        <w:t>"</w:t>
      </w:r>
      <w:r w:rsidRPr="000D6FCB">
        <w:rPr>
          <w:rFonts w:ascii="Times" w:eastAsia="Times New Roman" w:hAnsi="Times"/>
          <w:color w:val="000000"/>
          <w:szCs w:val="26"/>
          <w:shd w:val="clear" w:color="auto" w:fill="FFFFFF"/>
        </w:rPr>
        <w:t>sole object</w:t>
      </w:r>
      <w:r w:rsidR="00F20CA5">
        <w:rPr>
          <w:rFonts w:ascii="Times" w:eastAsia="Times New Roman" w:hAnsi="Times"/>
          <w:color w:val="000000"/>
          <w:szCs w:val="26"/>
          <w:shd w:val="clear" w:color="auto" w:fill="FFFFFF"/>
        </w:rPr>
        <w:t>"</w:t>
      </w:r>
      <w:r w:rsidRPr="000D6FCB">
        <w:rPr>
          <w:rFonts w:ascii="Times" w:eastAsia="Times New Roman" w:hAnsi="Times"/>
          <w:color w:val="000000"/>
          <w:szCs w:val="26"/>
          <w:shd w:val="clear" w:color="auto" w:fill="FFFFFF"/>
        </w:rPr>
        <w:t xml:space="preserve"> of Chase</w:t>
      </w:r>
      <w:r w:rsidR="00F20CA5">
        <w:rPr>
          <w:rFonts w:ascii="Times" w:eastAsia="Times New Roman" w:hAnsi="Times"/>
          <w:color w:val="000000"/>
          <w:szCs w:val="26"/>
          <w:shd w:val="clear" w:color="auto" w:fill="FFFFFF"/>
        </w:rPr>
        <w:t>'</w:t>
      </w:r>
      <w:r w:rsidRPr="000D6FCB">
        <w:rPr>
          <w:rFonts w:ascii="Times" w:eastAsia="Times New Roman" w:hAnsi="Times"/>
          <w:color w:val="000000"/>
          <w:szCs w:val="26"/>
          <w:shd w:val="clear" w:color="auto" w:fill="FFFFFF"/>
        </w:rPr>
        <w:t xml:space="preserve">s </w:t>
      </w:r>
      <w:r w:rsidR="00D8180E" w:rsidRPr="000D6FCB">
        <w:rPr>
          <w:rFonts w:ascii="Times" w:eastAsia="Times New Roman" w:hAnsi="Times"/>
          <w:color w:val="000000"/>
          <w:szCs w:val="26"/>
          <w:shd w:val="clear" w:color="auto" w:fill="FFFFFF"/>
        </w:rPr>
        <w:t>action</w:t>
      </w:r>
      <w:r w:rsidRPr="000D6FCB">
        <w:rPr>
          <w:rFonts w:ascii="Times" w:eastAsia="Times New Roman" w:hAnsi="Times"/>
          <w:color w:val="000000"/>
          <w:szCs w:val="26"/>
          <w:shd w:val="clear" w:color="auto" w:fill="FFFFFF"/>
        </w:rPr>
        <w:t xml:space="preserve"> would be to restore a lost instrument.  (</w:t>
      </w:r>
      <w:r w:rsidRPr="000D6FCB">
        <w:rPr>
          <w:rFonts w:ascii="Times" w:eastAsia="Times New Roman" w:hAnsi="Times"/>
          <w:i/>
          <w:color w:val="000000"/>
          <w:szCs w:val="26"/>
          <w:shd w:val="clear" w:color="auto" w:fill="FFFFFF"/>
        </w:rPr>
        <w:t xml:space="preserve">Shores v. Withers </w:t>
      </w:r>
      <w:r w:rsidRPr="000D6FCB">
        <w:rPr>
          <w:rFonts w:ascii="Times" w:eastAsia="Times New Roman" w:hAnsi="Times"/>
          <w:color w:val="000000"/>
          <w:szCs w:val="26"/>
          <w:shd w:val="clear" w:color="auto" w:fill="FFFFFF"/>
        </w:rPr>
        <w:t>(1913) 166 Cal. 403, 405.)</w:t>
      </w:r>
      <w:r w:rsidR="00123CED" w:rsidRPr="000D6FCB">
        <w:rPr>
          <w:rFonts w:ascii="Times" w:eastAsia="Times New Roman" w:hAnsi="Times"/>
          <w:color w:val="000000"/>
          <w:szCs w:val="26"/>
          <w:shd w:val="clear" w:color="auto" w:fill="FFFFFF"/>
        </w:rPr>
        <w:t xml:space="preserve">  </w:t>
      </w:r>
      <w:r w:rsidR="00D8180E" w:rsidRPr="000D6FCB">
        <w:rPr>
          <w:rFonts w:ascii="Times" w:eastAsia="Times New Roman" w:hAnsi="Times"/>
          <w:color w:val="000000"/>
          <w:szCs w:val="26"/>
          <w:shd w:val="clear" w:color="auto" w:fill="FFFFFF"/>
        </w:rPr>
        <w:t>Finding no other applicable limitations period</w:t>
      </w:r>
      <w:r w:rsidR="004A56DF" w:rsidRPr="000D6FCB">
        <w:rPr>
          <w:rFonts w:ascii="Times" w:eastAsia="Times New Roman" w:hAnsi="Times"/>
          <w:color w:val="000000"/>
          <w:szCs w:val="26"/>
          <w:shd w:val="clear" w:color="auto" w:fill="FFFFFF"/>
        </w:rPr>
        <w:t>, we believe</w:t>
      </w:r>
      <w:r w:rsidR="00E07D32" w:rsidRPr="000D6FCB">
        <w:rPr>
          <w:rFonts w:ascii="Times" w:eastAsia="Times New Roman" w:hAnsi="Times"/>
          <w:color w:val="000000"/>
          <w:szCs w:val="26"/>
          <w:shd w:val="clear" w:color="auto" w:fill="FFFFFF"/>
        </w:rPr>
        <w:t xml:space="preserve"> </w:t>
      </w:r>
      <w:r w:rsidR="00420A26" w:rsidRPr="000D6FCB">
        <w:rPr>
          <w:rFonts w:ascii="Times" w:eastAsia="Times New Roman" w:hAnsi="Times"/>
          <w:color w:val="000000"/>
          <w:szCs w:val="26"/>
          <w:shd w:val="clear" w:color="auto" w:fill="FFFFFF"/>
        </w:rPr>
        <w:t xml:space="preserve">the catch-all </w:t>
      </w:r>
      <w:r w:rsidR="00D8180E" w:rsidRPr="000D6FCB">
        <w:rPr>
          <w:rFonts w:ascii="Times" w:eastAsia="Times New Roman" w:hAnsi="Times"/>
          <w:color w:val="000000"/>
          <w:szCs w:val="26"/>
          <w:shd w:val="clear" w:color="auto" w:fill="FFFFFF"/>
        </w:rPr>
        <w:t xml:space="preserve">four-year period </w:t>
      </w:r>
      <w:r w:rsidR="00587F20" w:rsidRPr="000D6FCB">
        <w:rPr>
          <w:rFonts w:ascii="Times" w:eastAsia="Times New Roman" w:hAnsi="Times"/>
          <w:color w:val="000000"/>
          <w:szCs w:val="26"/>
          <w:shd w:val="clear" w:color="auto" w:fill="FFFFFF"/>
        </w:rPr>
        <w:t xml:space="preserve">for </w:t>
      </w:r>
      <w:r w:rsidR="00F20CA5">
        <w:rPr>
          <w:rFonts w:ascii="Times" w:eastAsia="Times New Roman" w:hAnsi="Times"/>
          <w:color w:val="000000"/>
          <w:szCs w:val="26"/>
          <w:shd w:val="clear" w:color="auto" w:fill="FFFFFF"/>
        </w:rPr>
        <w:t>"</w:t>
      </w:r>
      <w:r w:rsidR="00587F20" w:rsidRPr="000D6FCB">
        <w:rPr>
          <w:rFonts w:ascii="Times" w:eastAsia="Times New Roman" w:hAnsi="Times"/>
          <w:color w:val="000000"/>
          <w:szCs w:val="26"/>
          <w:shd w:val="clear" w:color="auto" w:fill="FFFFFF"/>
        </w:rPr>
        <w:t>[a]n action for relief not hereinbefore provided</w:t>
      </w:r>
      <w:r w:rsidR="00F20CA5">
        <w:rPr>
          <w:rFonts w:ascii="Times" w:eastAsia="Times New Roman" w:hAnsi="Times"/>
          <w:color w:val="000000"/>
          <w:szCs w:val="26"/>
          <w:shd w:val="clear" w:color="auto" w:fill="FFFFFF"/>
        </w:rPr>
        <w:t>"</w:t>
      </w:r>
      <w:r w:rsidR="00123CED" w:rsidRPr="000D6FCB">
        <w:rPr>
          <w:rFonts w:ascii="Times" w:eastAsia="Times New Roman" w:hAnsi="Times"/>
          <w:color w:val="000000"/>
          <w:szCs w:val="26"/>
          <w:shd w:val="clear" w:color="auto" w:fill="FFFFFF"/>
        </w:rPr>
        <w:t xml:space="preserve"> applies.</w:t>
      </w:r>
      <w:r w:rsidR="00587F20" w:rsidRPr="000D6FCB">
        <w:rPr>
          <w:rFonts w:ascii="Times" w:eastAsia="Times New Roman" w:hAnsi="Times"/>
          <w:color w:val="000000"/>
          <w:szCs w:val="26"/>
          <w:shd w:val="clear" w:color="auto" w:fill="FFFFFF"/>
        </w:rPr>
        <w:t xml:space="preserve">  (§ 343; see </w:t>
      </w:r>
      <w:proofErr w:type="spellStart"/>
      <w:r w:rsidR="00587F20" w:rsidRPr="000D6FCB">
        <w:rPr>
          <w:rFonts w:ascii="Times" w:eastAsia="Times New Roman" w:hAnsi="Times"/>
          <w:i/>
          <w:color w:val="000000"/>
          <w:szCs w:val="26"/>
          <w:shd w:val="clear" w:color="auto" w:fill="FFFFFF"/>
        </w:rPr>
        <w:t>Piller</w:t>
      </w:r>
      <w:proofErr w:type="spellEnd"/>
      <w:r w:rsidR="00587F20" w:rsidRPr="000D6FCB">
        <w:rPr>
          <w:rFonts w:ascii="Times" w:eastAsia="Times New Roman" w:hAnsi="Times"/>
          <w:i/>
          <w:color w:val="000000"/>
          <w:szCs w:val="26"/>
          <w:shd w:val="clear" w:color="auto" w:fill="FFFFFF"/>
        </w:rPr>
        <w:t xml:space="preserve"> v. Southern Pac. R. Co.</w:t>
      </w:r>
      <w:r w:rsidR="00587F20" w:rsidRPr="000D6FCB">
        <w:rPr>
          <w:rFonts w:ascii="Times" w:eastAsia="Times New Roman" w:hAnsi="Times"/>
          <w:color w:val="000000"/>
          <w:szCs w:val="26"/>
          <w:shd w:val="clear" w:color="auto" w:fill="FFFFFF"/>
        </w:rPr>
        <w:t xml:space="preserve"> (1877) 52 Cal. 42, 44 [</w:t>
      </w:r>
      <w:r w:rsidR="00123CED" w:rsidRPr="000D6FCB">
        <w:rPr>
          <w:rFonts w:ascii="Times" w:eastAsia="Times New Roman" w:hAnsi="Times"/>
          <w:color w:val="000000"/>
          <w:szCs w:val="26"/>
          <w:shd w:val="clear" w:color="auto" w:fill="FFFFFF"/>
        </w:rPr>
        <w:t>§ </w:t>
      </w:r>
      <w:r w:rsidR="00587F20" w:rsidRPr="000D6FCB">
        <w:rPr>
          <w:rFonts w:ascii="Times" w:eastAsia="Times New Roman" w:hAnsi="Times"/>
          <w:color w:val="000000"/>
          <w:szCs w:val="26"/>
          <w:shd w:val="clear" w:color="auto" w:fill="FFFFFF"/>
        </w:rPr>
        <w:t>343 can apply to any suit in equity]</w:t>
      </w:r>
      <w:r w:rsidR="00420A26" w:rsidRPr="000D6FCB">
        <w:rPr>
          <w:rFonts w:ascii="Times" w:eastAsia="Times New Roman" w:hAnsi="Times"/>
          <w:color w:val="000000"/>
          <w:szCs w:val="26"/>
          <w:shd w:val="clear" w:color="auto" w:fill="FFFFFF"/>
        </w:rPr>
        <w:t xml:space="preserve">; </w:t>
      </w:r>
      <w:r w:rsidR="00420A26" w:rsidRPr="000D6FCB">
        <w:rPr>
          <w:rFonts w:ascii="Times" w:eastAsia="Times New Roman" w:hAnsi="Times"/>
          <w:i/>
          <w:color w:val="000000"/>
          <w:szCs w:val="26"/>
          <w:shd w:val="clear" w:color="auto" w:fill="FFFFFF"/>
        </w:rPr>
        <w:t xml:space="preserve">Moss v. Moss </w:t>
      </w:r>
      <w:r w:rsidR="00420A26" w:rsidRPr="000D6FCB">
        <w:rPr>
          <w:rFonts w:ascii="Times" w:eastAsia="Times New Roman" w:hAnsi="Times"/>
          <w:color w:val="000000"/>
          <w:szCs w:val="26"/>
          <w:shd w:val="clear" w:color="auto" w:fill="FFFFFF"/>
        </w:rPr>
        <w:t xml:space="preserve">(1942) 20 Cal.2d 640, 645 [applying </w:t>
      </w:r>
      <w:r w:rsidR="00123CED" w:rsidRPr="000D6FCB">
        <w:rPr>
          <w:rFonts w:ascii="Times" w:eastAsia="Times New Roman" w:hAnsi="Times"/>
          <w:color w:val="000000"/>
          <w:szCs w:val="26"/>
          <w:shd w:val="clear" w:color="auto" w:fill="FFFFFF"/>
        </w:rPr>
        <w:t>§ </w:t>
      </w:r>
      <w:r w:rsidR="00420A26" w:rsidRPr="000D6FCB">
        <w:rPr>
          <w:rFonts w:ascii="Times" w:eastAsia="Times New Roman" w:hAnsi="Times"/>
          <w:color w:val="000000"/>
          <w:szCs w:val="26"/>
          <w:shd w:val="clear" w:color="auto" w:fill="FFFFFF"/>
        </w:rPr>
        <w:t xml:space="preserve">343 to </w:t>
      </w:r>
      <w:r w:rsidR="006C3B1E">
        <w:rPr>
          <w:rFonts w:ascii="Times" w:eastAsia="Times New Roman" w:hAnsi="Times"/>
          <w:color w:val="000000"/>
          <w:szCs w:val="26"/>
          <w:shd w:val="clear" w:color="auto" w:fill="FFFFFF"/>
        </w:rPr>
        <w:t xml:space="preserve">an </w:t>
      </w:r>
      <w:r w:rsidR="00D33A2B" w:rsidRPr="000D6FCB">
        <w:rPr>
          <w:rFonts w:ascii="Times" w:eastAsia="Times New Roman" w:hAnsi="Times"/>
          <w:color w:val="000000"/>
          <w:szCs w:val="26"/>
          <w:shd w:val="clear" w:color="auto" w:fill="FFFFFF"/>
        </w:rPr>
        <w:t>action to cancel an instrument as contrary to public policy]</w:t>
      </w:r>
      <w:r w:rsidR="00587F20" w:rsidRPr="000D6FCB">
        <w:rPr>
          <w:rFonts w:ascii="Times" w:eastAsia="Times New Roman" w:hAnsi="Times"/>
          <w:color w:val="000000"/>
          <w:szCs w:val="26"/>
          <w:shd w:val="clear" w:color="auto" w:fill="FFFFFF"/>
        </w:rPr>
        <w:t>.)</w:t>
      </w:r>
      <w:r w:rsidR="00521326" w:rsidRPr="00527A4A">
        <w:rPr>
          <w:rStyle w:val="FootnoteReference"/>
          <w:rFonts w:ascii="Times" w:hAnsi="Times"/>
          <w:szCs w:val="26"/>
        </w:rPr>
        <w:footnoteReference w:id="6"/>
      </w:r>
    </w:p>
    <w:p w14:paraId="17370B60" w14:textId="677F90CC" w:rsidR="00492F8C" w:rsidRPr="00527A4A" w:rsidRDefault="00CD0BD9" w:rsidP="0074372F">
      <w:pPr>
        <w:rPr>
          <w:rFonts w:ascii="Times" w:hAnsi="Times"/>
          <w:szCs w:val="26"/>
        </w:rPr>
      </w:pPr>
      <w:r w:rsidRPr="00527A4A">
        <w:rPr>
          <w:rFonts w:ascii="Times" w:hAnsi="Times"/>
          <w:szCs w:val="26"/>
        </w:rPr>
        <w:tab/>
      </w:r>
      <w:r w:rsidR="009F2B14" w:rsidRPr="000D6FCB">
        <w:rPr>
          <w:rFonts w:ascii="Times" w:hAnsi="Times"/>
          <w:szCs w:val="26"/>
        </w:rPr>
        <w:t xml:space="preserve">David did not </w:t>
      </w:r>
      <w:r w:rsidR="00D8180E" w:rsidRPr="000D6FCB">
        <w:rPr>
          <w:rFonts w:ascii="Times" w:hAnsi="Times"/>
          <w:szCs w:val="26"/>
        </w:rPr>
        <w:t>suggest</w:t>
      </w:r>
      <w:r w:rsidR="004A56DF" w:rsidRPr="000D6FCB">
        <w:rPr>
          <w:rFonts w:ascii="Times" w:hAnsi="Times"/>
          <w:szCs w:val="26"/>
        </w:rPr>
        <w:t xml:space="preserve"> a different limitations period in </w:t>
      </w:r>
      <w:r w:rsidR="009F2B14" w:rsidRPr="000D6FCB">
        <w:rPr>
          <w:rFonts w:ascii="Times" w:hAnsi="Times"/>
          <w:szCs w:val="26"/>
        </w:rPr>
        <w:t>his respondent</w:t>
      </w:r>
      <w:r w:rsidR="00F20CA5">
        <w:rPr>
          <w:rFonts w:ascii="Times" w:hAnsi="Times"/>
          <w:szCs w:val="26"/>
        </w:rPr>
        <w:t>'</w:t>
      </w:r>
      <w:r w:rsidR="009F2B14" w:rsidRPr="000D6FCB">
        <w:rPr>
          <w:rFonts w:ascii="Times" w:hAnsi="Times"/>
          <w:szCs w:val="26"/>
        </w:rPr>
        <w:t xml:space="preserve">s brief.  Instead, </w:t>
      </w:r>
      <w:r w:rsidR="000B5276" w:rsidRPr="000D6FCB">
        <w:rPr>
          <w:rFonts w:ascii="Times" w:hAnsi="Times"/>
          <w:szCs w:val="26"/>
        </w:rPr>
        <w:t>he</w:t>
      </w:r>
      <w:r w:rsidR="009F2B14" w:rsidRPr="000D6FCB">
        <w:rPr>
          <w:rFonts w:ascii="Times" w:hAnsi="Times"/>
          <w:szCs w:val="26"/>
        </w:rPr>
        <w:t xml:space="preserve"> focused on why, with mistake as the gravamen of the action, the demurrer was properly sustained on statute of limitations grounds.  </w:t>
      </w:r>
      <w:r w:rsidR="00420A26" w:rsidRPr="000D6FCB">
        <w:rPr>
          <w:rFonts w:ascii="Times" w:hAnsi="Times"/>
          <w:szCs w:val="26"/>
        </w:rPr>
        <w:t>David</w:t>
      </w:r>
      <w:r w:rsidR="009F2B14" w:rsidRPr="000D6FCB">
        <w:rPr>
          <w:rFonts w:ascii="Times" w:hAnsi="Times"/>
          <w:szCs w:val="26"/>
        </w:rPr>
        <w:t xml:space="preserve"> </w:t>
      </w:r>
      <w:r w:rsidR="000B5276" w:rsidRPr="000D6FCB">
        <w:rPr>
          <w:rFonts w:ascii="Times" w:hAnsi="Times"/>
          <w:szCs w:val="26"/>
        </w:rPr>
        <w:t>argued</w:t>
      </w:r>
      <w:r w:rsidR="009F2B14" w:rsidRPr="000D6FCB">
        <w:rPr>
          <w:rFonts w:ascii="Times" w:hAnsi="Times"/>
          <w:szCs w:val="26"/>
        </w:rPr>
        <w:t xml:space="preserve"> Chase was aware of the alleged mistake in December 2007, when Walter signed the DOT in his individual capacity, but </w:t>
      </w:r>
      <w:r w:rsidR="004A56DF" w:rsidRPr="000D6FCB">
        <w:rPr>
          <w:rFonts w:ascii="Times" w:hAnsi="Times"/>
          <w:szCs w:val="26"/>
        </w:rPr>
        <w:t>did not sue</w:t>
      </w:r>
      <w:r w:rsidR="009F2B14" w:rsidRPr="000D6FCB">
        <w:rPr>
          <w:rFonts w:ascii="Times" w:hAnsi="Times"/>
          <w:szCs w:val="26"/>
        </w:rPr>
        <w:t xml:space="preserve"> until April 2013</w:t>
      </w:r>
      <w:r w:rsidR="00F87C89" w:rsidRPr="000D6FCB">
        <w:rPr>
          <w:rFonts w:ascii="Times" w:hAnsi="Times"/>
          <w:szCs w:val="26"/>
        </w:rPr>
        <w:t>, well past the three-year period for actions founded on mistake (§ 338, subd. (d))</w:t>
      </w:r>
      <w:r w:rsidR="009F2B14" w:rsidRPr="000D6FCB">
        <w:rPr>
          <w:rFonts w:ascii="Times" w:hAnsi="Times"/>
          <w:szCs w:val="26"/>
        </w:rPr>
        <w:t xml:space="preserve">.  </w:t>
      </w:r>
      <w:r w:rsidR="0059399C" w:rsidRPr="000D6FCB">
        <w:rPr>
          <w:rFonts w:ascii="Times" w:hAnsi="Times"/>
          <w:szCs w:val="26"/>
        </w:rPr>
        <w:t>That said,</w:t>
      </w:r>
      <w:r w:rsidR="00935EEC" w:rsidRPr="000D6FCB">
        <w:rPr>
          <w:rFonts w:ascii="Times" w:hAnsi="Times"/>
          <w:szCs w:val="26"/>
        </w:rPr>
        <w:t xml:space="preserve"> plainly we cannot apply the three-year period for actions grounded on mistake, since Chase now </w:t>
      </w:r>
      <w:r w:rsidR="00935EEC" w:rsidRPr="000D6FCB">
        <w:rPr>
          <w:rFonts w:ascii="Times" w:hAnsi="Times"/>
          <w:i/>
          <w:szCs w:val="26"/>
        </w:rPr>
        <w:t xml:space="preserve">disavows </w:t>
      </w:r>
      <w:r w:rsidR="00935EEC" w:rsidRPr="000D6FCB">
        <w:rPr>
          <w:rFonts w:ascii="Times" w:hAnsi="Times"/>
          <w:szCs w:val="26"/>
        </w:rPr>
        <w:t>mistake in the DOT</w:t>
      </w:r>
      <w:r w:rsidR="00F20CA5">
        <w:rPr>
          <w:rFonts w:ascii="Times" w:hAnsi="Times"/>
          <w:szCs w:val="26"/>
        </w:rPr>
        <w:t>'</w:t>
      </w:r>
      <w:r w:rsidR="00935EEC" w:rsidRPr="000D6FCB">
        <w:rPr>
          <w:rFonts w:ascii="Times" w:hAnsi="Times"/>
          <w:szCs w:val="26"/>
        </w:rPr>
        <w:t xml:space="preserve">s execution.  (Compare </w:t>
      </w:r>
      <w:r w:rsidR="00935EEC" w:rsidRPr="000D6FCB">
        <w:rPr>
          <w:rFonts w:ascii="Times" w:hAnsi="Times"/>
          <w:i/>
          <w:szCs w:val="26"/>
        </w:rPr>
        <w:t xml:space="preserve">Federal Deposit Ins. Corp. v. </w:t>
      </w:r>
      <w:proofErr w:type="spellStart"/>
      <w:r w:rsidR="00935EEC" w:rsidRPr="000D6FCB">
        <w:rPr>
          <w:rFonts w:ascii="Times" w:hAnsi="Times"/>
          <w:i/>
          <w:szCs w:val="26"/>
        </w:rPr>
        <w:t>Dintino</w:t>
      </w:r>
      <w:proofErr w:type="spellEnd"/>
      <w:r w:rsidR="00935EEC" w:rsidRPr="000D6FCB">
        <w:rPr>
          <w:rFonts w:ascii="Times" w:hAnsi="Times"/>
          <w:i/>
          <w:szCs w:val="26"/>
        </w:rPr>
        <w:t xml:space="preserve"> </w:t>
      </w:r>
      <w:r w:rsidR="00935EEC" w:rsidRPr="000D6FCB">
        <w:rPr>
          <w:rFonts w:ascii="Times" w:hAnsi="Times"/>
          <w:szCs w:val="26"/>
        </w:rPr>
        <w:t xml:space="preserve">(2008) 167 Cal.App.4th 333, 347 [applying § 338, subd. (d)].)  </w:t>
      </w:r>
      <w:r w:rsidR="009F2B14" w:rsidRPr="000D6FCB">
        <w:rPr>
          <w:rFonts w:ascii="Times" w:hAnsi="Times"/>
          <w:szCs w:val="26"/>
        </w:rPr>
        <w:t xml:space="preserve">The only statute of limitations argument </w:t>
      </w:r>
      <w:r w:rsidR="004A56DF" w:rsidRPr="000D6FCB">
        <w:rPr>
          <w:rFonts w:ascii="Times" w:hAnsi="Times"/>
          <w:szCs w:val="26"/>
        </w:rPr>
        <w:t xml:space="preserve">David </w:t>
      </w:r>
      <w:r w:rsidR="009F2B14" w:rsidRPr="000D6FCB">
        <w:rPr>
          <w:rFonts w:ascii="Times" w:hAnsi="Times"/>
          <w:szCs w:val="26"/>
        </w:rPr>
        <w:t xml:space="preserve">raised as to </w:t>
      </w:r>
      <w:r w:rsidR="00420A26" w:rsidRPr="000D6FCB">
        <w:rPr>
          <w:rFonts w:ascii="Times" w:hAnsi="Times"/>
          <w:szCs w:val="26"/>
        </w:rPr>
        <w:t>Chase</w:t>
      </w:r>
      <w:r w:rsidR="00F20CA5">
        <w:rPr>
          <w:rFonts w:ascii="Times" w:hAnsi="Times"/>
          <w:szCs w:val="26"/>
        </w:rPr>
        <w:t>'</w:t>
      </w:r>
      <w:r w:rsidR="00420A26" w:rsidRPr="000D6FCB">
        <w:rPr>
          <w:rFonts w:ascii="Times" w:hAnsi="Times"/>
          <w:szCs w:val="26"/>
        </w:rPr>
        <w:t xml:space="preserve">s </w:t>
      </w:r>
      <w:proofErr w:type="spellStart"/>
      <w:r w:rsidR="009F2B14" w:rsidRPr="000D6FCB">
        <w:rPr>
          <w:rFonts w:ascii="Times" w:hAnsi="Times"/>
          <w:i/>
          <w:szCs w:val="26"/>
        </w:rPr>
        <w:t>re</w:t>
      </w:r>
      <w:r w:rsidR="00D8180E" w:rsidRPr="000D6FCB">
        <w:rPr>
          <w:rFonts w:ascii="Times" w:hAnsi="Times"/>
          <w:i/>
          <w:szCs w:val="26"/>
        </w:rPr>
        <w:t>characterized</w:t>
      </w:r>
      <w:proofErr w:type="spellEnd"/>
      <w:r w:rsidR="009F2B14" w:rsidRPr="000D6FCB">
        <w:rPr>
          <w:rFonts w:ascii="Times" w:hAnsi="Times"/>
          <w:szCs w:val="26"/>
        </w:rPr>
        <w:t xml:space="preserve"> </w:t>
      </w:r>
      <w:r w:rsidR="00D8180E" w:rsidRPr="000D6FCB">
        <w:rPr>
          <w:rFonts w:ascii="Times" w:hAnsi="Times"/>
          <w:szCs w:val="26"/>
        </w:rPr>
        <w:t xml:space="preserve">action </w:t>
      </w:r>
      <w:r w:rsidR="004A56DF" w:rsidRPr="000D6FCB">
        <w:rPr>
          <w:rFonts w:ascii="Times" w:hAnsi="Times"/>
          <w:szCs w:val="26"/>
        </w:rPr>
        <w:t>was that</w:t>
      </w:r>
      <w:r w:rsidR="009F2B14" w:rsidRPr="000D6FCB">
        <w:rPr>
          <w:rFonts w:ascii="Times" w:hAnsi="Times"/>
          <w:szCs w:val="26"/>
        </w:rPr>
        <w:t xml:space="preserve"> Walter</w:t>
      </w:r>
      <w:r w:rsidR="00F20CA5">
        <w:rPr>
          <w:rFonts w:ascii="Times" w:hAnsi="Times"/>
          <w:szCs w:val="26"/>
        </w:rPr>
        <w:t>'</w:t>
      </w:r>
      <w:r w:rsidR="009F2B14" w:rsidRPr="000D6FCB">
        <w:rPr>
          <w:rFonts w:ascii="Times" w:hAnsi="Times"/>
          <w:szCs w:val="26"/>
        </w:rPr>
        <w:t xml:space="preserve">s passing </w:t>
      </w:r>
      <w:r w:rsidR="00420A26" w:rsidRPr="000D6FCB">
        <w:rPr>
          <w:rFonts w:ascii="Times" w:hAnsi="Times"/>
          <w:szCs w:val="26"/>
        </w:rPr>
        <w:t xml:space="preserve">in 2016 </w:t>
      </w:r>
      <w:r w:rsidR="00F87C89" w:rsidRPr="000D6FCB">
        <w:rPr>
          <w:rFonts w:ascii="Times" w:hAnsi="Times"/>
          <w:szCs w:val="26"/>
        </w:rPr>
        <w:t xml:space="preserve">triggered </w:t>
      </w:r>
      <w:r w:rsidR="009F2B14" w:rsidRPr="000D6FCB">
        <w:rPr>
          <w:rFonts w:ascii="Times" w:hAnsi="Times"/>
          <w:szCs w:val="26"/>
        </w:rPr>
        <w:t>the probate statute of limitations.</w:t>
      </w:r>
      <w:r w:rsidR="009F2B14" w:rsidRPr="00527A4A">
        <w:rPr>
          <w:rStyle w:val="FootnoteReference"/>
          <w:szCs w:val="26"/>
        </w:rPr>
        <w:footnoteReference w:id="7"/>
      </w:r>
      <w:r w:rsidR="00CC4893" w:rsidRPr="00527A4A">
        <w:rPr>
          <w:rFonts w:ascii="Times" w:hAnsi="Times"/>
          <w:szCs w:val="26"/>
        </w:rPr>
        <w:t xml:space="preserve"> </w:t>
      </w:r>
    </w:p>
    <w:p w14:paraId="35BC1EA5" w14:textId="31F23659" w:rsidR="00935EEC" w:rsidRPr="00527A4A" w:rsidRDefault="009F2B14" w:rsidP="009F2B14">
      <w:pPr>
        <w:rPr>
          <w:rFonts w:ascii="Times" w:hAnsi="Times"/>
          <w:szCs w:val="26"/>
        </w:rPr>
      </w:pPr>
      <w:r w:rsidRPr="00527A4A">
        <w:rPr>
          <w:rFonts w:ascii="Times" w:hAnsi="Times"/>
          <w:szCs w:val="26"/>
        </w:rPr>
        <w:tab/>
        <w:t>For the first time during oral argument, David</w:t>
      </w:r>
      <w:r w:rsidR="00F20CA5">
        <w:rPr>
          <w:rFonts w:ascii="Times" w:hAnsi="Times"/>
          <w:szCs w:val="26"/>
        </w:rPr>
        <w:t>'</w:t>
      </w:r>
      <w:r w:rsidR="001B5B0A" w:rsidRPr="00527A4A">
        <w:rPr>
          <w:rFonts w:ascii="Times" w:hAnsi="Times"/>
          <w:szCs w:val="26"/>
        </w:rPr>
        <w:t>s counsel asserted</w:t>
      </w:r>
      <w:r w:rsidRPr="00527A4A">
        <w:rPr>
          <w:rFonts w:ascii="Times" w:hAnsi="Times"/>
          <w:szCs w:val="26"/>
        </w:rPr>
        <w:t xml:space="preserve"> a new statute of limitations defense.  He claim</w:t>
      </w:r>
      <w:r w:rsidR="00901E29" w:rsidRPr="00527A4A">
        <w:rPr>
          <w:rFonts w:ascii="Times" w:hAnsi="Times"/>
          <w:szCs w:val="26"/>
        </w:rPr>
        <w:t>ed</w:t>
      </w:r>
      <w:r w:rsidRPr="00527A4A">
        <w:rPr>
          <w:rFonts w:ascii="Times" w:hAnsi="Times"/>
          <w:szCs w:val="26"/>
        </w:rPr>
        <w:t xml:space="preserve"> </w:t>
      </w:r>
      <w:r w:rsidR="00420A26" w:rsidRPr="00527A4A">
        <w:rPr>
          <w:rFonts w:ascii="Times" w:hAnsi="Times"/>
          <w:szCs w:val="26"/>
        </w:rPr>
        <w:t>an</w:t>
      </w:r>
      <w:r w:rsidR="00901E29" w:rsidRPr="00527A4A">
        <w:rPr>
          <w:rFonts w:ascii="Times" w:hAnsi="Times"/>
          <w:szCs w:val="26"/>
        </w:rPr>
        <w:t xml:space="preserve"> action </w:t>
      </w:r>
      <w:r w:rsidR="003D4FC8" w:rsidRPr="00527A4A">
        <w:rPr>
          <w:rFonts w:ascii="Times" w:hAnsi="Times"/>
          <w:szCs w:val="26"/>
        </w:rPr>
        <w:t>based on</w:t>
      </w:r>
      <w:r w:rsidR="00420A26" w:rsidRPr="00527A4A">
        <w:rPr>
          <w:rFonts w:ascii="Times" w:hAnsi="Times"/>
          <w:szCs w:val="26"/>
        </w:rPr>
        <w:t xml:space="preserve"> Civil Code section 3415</w:t>
      </w:r>
      <w:r w:rsidR="00BA4D0E" w:rsidRPr="00527A4A">
        <w:rPr>
          <w:rFonts w:ascii="Times" w:hAnsi="Times"/>
          <w:szCs w:val="26"/>
        </w:rPr>
        <w:t>, subdivision (a)</w:t>
      </w:r>
      <w:r w:rsidR="00420A26" w:rsidRPr="00527A4A">
        <w:rPr>
          <w:rFonts w:ascii="Times" w:hAnsi="Times"/>
          <w:szCs w:val="26"/>
        </w:rPr>
        <w:t xml:space="preserve"> </w:t>
      </w:r>
      <w:r w:rsidRPr="00527A4A">
        <w:rPr>
          <w:rFonts w:ascii="Times" w:hAnsi="Times"/>
          <w:szCs w:val="26"/>
        </w:rPr>
        <w:t xml:space="preserve">would be barred under the three-year period </w:t>
      </w:r>
      <w:r w:rsidR="00901E29" w:rsidRPr="00527A4A">
        <w:rPr>
          <w:rFonts w:ascii="Times" w:hAnsi="Times"/>
          <w:szCs w:val="26"/>
        </w:rPr>
        <w:t xml:space="preserve">generally </w:t>
      </w:r>
      <w:r w:rsidRPr="00527A4A">
        <w:rPr>
          <w:rFonts w:ascii="Times" w:hAnsi="Times"/>
          <w:szCs w:val="26"/>
        </w:rPr>
        <w:t xml:space="preserve">applicable to </w:t>
      </w:r>
      <w:r w:rsidR="00901E29" w:rsidRPr="00527A4A">
        <w:rPr>
          <w:rFonts w:ascii="Times" w:hAnsi="Times"/>
          <w:szCs w:val="26"/>
        </w:rPr>
        <w:t xml:space="preserve">actions </w:t>
      </w:r>
      <w:r w:rsidR="00F20CA5">
        <w:rPr>
          <w:rFonts w:ascii="Times" w:hAnsi="Times"/>
          <w:szCs w:val="26"/>
        </w:rPr>
        <w:t>"</w:t>
      </w:r>
      <w:r w:rsidRPr="00527A4A">
        <w:rPr>
          <w:rFonts w:ascii="Times" w:hAnsi="Times"/>
          <w:szCs w:val="26"/>
        </w:rPr>
        <w:t>upon a liability created by statute.</w:t>
      </w:r>
      <w:r w:rsidR="00F20CA5">
        <w:rPr>
          <w:rFonts w:ascii="Times" w:hAnsi="Times"/>
          <w:szCs w:val="26"/>
        </w:rPr>
        <w:t>"</w:t>
      </w:r>
      <w:r w:rsidRPr="00527A4A">
        <w:rPr>
          <w:rFonts w:ascii="Times" w:hAnsi="Times"/>
          <w:szCs w:val="26"/>
        </w:rPr>
        <w:t xml:space="preserve">  (</w:t>
      </w:r>
      <w:r w:rsidR="00121F8C" w:rsidRPr="00527A4A">
        <w:rPr>
          <w:rFonts w:ascii="Times" w:hAnsi="Times"/>
          <w:szCs w:val="26"/>
        </w:rPr>
        <w:t xml:space="preserve">Code Civ. Proc. </w:t>
      </w:r>
      <w:r w:rsidRPr="00527A4A">
        <w:rPr>
          <w:rFonts w:ascii="Times" w:hAnsi="Times"/>
          <w:szCs w:val="26"/>
        </w:rPr>
        <w:t xml:space="preserve">§ 338, subd. (a).)  </w:t>
      </w:r>
      <w:r w:rsidR="00901E29" w:rsidRPr="00527A4A">
        <w:rPr>
          <w:rFonts w:ascii="Times" w:hAnsi="Times"/>
          <w:szCs w:val="26"/>
        </w:rPr>
        <w:t xml:space="preserve">But </w:t>
      </w:r>
      <w:r w:rsidR="00121F8C" w:rsidRPr="00527A4A">
        <w:rPr>
          <w:rFonts w:ascii="Times" w:hAnsi="Times"/>
          <w:szCs w:val="26"/>
        </w:rPr>
        <w:t xml:space="preserve">Civil Code </w:t>
      </w:r>
      <w:r w:rsidR="00553EBF" w:rsidRPr="00527A4A">
        <w:rPr>
          <w:rFonts w:ascii="Times" w:hAnsi="Times"/>
          <w:szCs w:val="26"/>
        </w:rPr>
        <w:t>section 3415</w:t>
      </w:r>
      <w:r w:rsidR="00935EEC" w:rsidRPr="00527A4A">
        <w:rPr>
          <w:rFonts w:ascii="Times" w:hAnsi="Times"/>
          <w:szCs w:val="26"/>
        </w:rPr>
        <w:t xml:space="preserve"> is not a liability statute; it provides for a means of obtaining judicial relief.  Moreover, </w:t>
      </w:r>
      <w:r w:rsidR="00F20CA5">
        <w:rPr>
          <w:rFonts w:ascii="Times" w:hAnsi="Times"/>
          <w:szCs w:val="26"/>
        </w:rPr>
        <w:t>"</w:t>
      </w:r>
      <w:r w:rsidR="003D4FC8" w:rsidRPr="00527A4A">
        <w:rPr>
          <w:rFonts w:ascii="Times" w:hAnsi="Times"/>
          <w:szCs w:val="26"/>
        </w:rPr>
        <w:t>[t]he restoration of lost instruments is an old and well-established function of courts of equity</w:t>
      </w:r>
      <w:r w:rsidR="0037510B" w:rsidRPr="00527A4A">
        <w:rPr>
          <w:rFonts w:ascii="Times" w:hAnsi="Times"/>
          <w:szCs w:val="26"/>
        </w:rPr>
        <w:t>.</w:t>
      </w:r>
      <w:r w:rsidR="00F20CA5">
        <w:rPr>
          <w:rFonts w:ascii="Times" w:hAnsi="Times"/>
          <w:szCs w:val="26"/>
        </w:rPr>
        <w:t>"</w:t>
      </w:r>
      <w:r w:rsidR="00886044">
        <w:rPr>
          <w:rFonts w:ascii="Times" w:hAnsi="Times"/>
          <w:szCs w:val="26"/>
        </w:rPr>
        <w:t xml:space="preserve"> </w:t>
      </w:r>
      <w:r w:rsidRPr="00527A4A">
        <w:rPr>
          <w:rFonts w:ascii="Times" w:hAnsi="Times"/>
          <w:szCs w:val="26"/>
        </w:rPr>
        <w:t xml:space="preserve"> (</w:t>
      </w:r>
      <w:r w:rsidRPr="00527A4A">
        <w:rPr>
          <w:rFonts w:ascii="Times" w:hAnsi="Times"/>
          <w:i/>
          <w:szCs w:val="26"/>
        </w:rPr>
        <w:t>Brown</w:t>
      </w:r>
      <w:r w:rsidRPr="00527A4A">
        <w:rPr>
          <w:rFonts w:ascii="Times" w:hAnsi="Times"/>
          <w:szCs w:val="26"/>
        </w:rPr>
        <w:t>,</w:t>
      </w:r>
      <w:r w:rsidRPr="00527A4A">
        <w:rPr>
          <w:rFonts w:ascii="Times" w:hAnsi="Times"/>
          <w:i/>
          <w:szCs w:val="26"/>
        </w:rPr>
        <w:t xml:space="preserve"> supra</w:t>
      </w:r>
      <w:r w:rsidRPr="00527A4A">
        <w:rPr>
          <w:rFonts w:ascii="Times" w:hAnsi="Times"/>
          <w:szCs w:val="26"/>
        </w:rPr>
        <w:t>, 183 Cal. at p. 187</w:t>
      </w:r>
      <w:r w:rsidR="006A1D7C" w:rsidRPr="00527A4A">
        <w:rPr>
          <w:rFonts w:ascii="Times" w:hAnsi="Times"/>
          <w:szCs w:val="26"/>
        </w:rPr>
        <w:t xml:space="preserve">; see </w:t>
      </w:r>
      <w:proofErr w:type="spellStart"/>
      <w:r w:rsidR="006A1D7C" w:rsidRPr="00527A4A">
        <w:rPr>
          <w:rFonts w:ascii="Times" w:hAnsi="Times"/>
          <w:i/>
          <w:szCs w:val="26"/>
        </w:rPr>
        <w:t>Conlin</w:t>
      </w:r>
      <w:proofErr w:type="spellEnd"/>
      <w:r w:rsidR="006A1D7C" w:rsidRPr="00527A4A">
        <w:rPr>
          <w:rFonts w:ascii="Times" w:hAnsi="Times"/>
          <w:i/>
          <w:szCs w:val="26"/>
        </w:rPr>
        <w:t xml:space="preserve"> v. Ryan </w:t>
      </w:r>
      <w:r w:rsidR="006A1D7C" w:rsidRPr="00527A4A">
        <w:rPr>
          <w:rFonts w:ascii="Times" w:hAnsi="Times"/>
          <w:szCs w:val="26"/>
        </w:rPr>
        <w:t xml:space="preserve">(1873) 47 Cal. 71, 73 [equitable </w:t>
      </w:r>
      <w:r w:rsidR="00E07D32" w:rsidRPr="00527A4A">
        <w:rPr>
          <w:rFonts w:ascii="Times" w:hAnsi="Times"/>
          <w:szCs w:val="26"/>
        </w:rPr>
        <w:t>action</w:t>
      </w:r>
      <w:r w:rsidR="006A1D7C" w:rsidRPr="00527A4A">
        <w:rPr>
          <w:rFonts w:ascii="Times" w:hAnsi="Times"/>
          <w:szCs w:val="26"/>
        </w:rPr>
        <w:t xml:space="preserve"> to restore a lost deed]</w:t>
      </w:r>
      <w:r w:rsidRPr="00527A4A">
        <w:rPr>
          <w:rFonts w:ascii="Times" w:hAnsi="Times"/>
          <w:szCs w:val="26"/>
        </w:rPr>
        <w:t xml:space="preserve">.)  </w:t>
      </w:r>
      <w:r w:rsidR="00935EEC" w:rsidRPr="00527A4A">
        <w:rPr>
          <w:rFonts w:ascii="Times" w:hAnsi="Times"/>
          <w:szCs w:val="26"/>
        </w:rPr>
        <w:t xml:space="preserve">Thus, </w:t>
      </w:r>
      <w:r w:rsidR="0037510B" w:rsidRPr="00527A4A">
        <w:rPr>
          <w:rFonts w:ascii="Times" w:hAnsi="Times"/>
          <w:szCs w:val="26"/>
        </w:rPr>
        <w:t>Civil Code section 3415 did not</w:t>
      </w:r>
      <w:r w:rsidR="00935EEC" w:rsidRPr="00527A4A">
        <w:rPr>
          <w:rFonts w:ascii="Times" w:hAnsi="Times"/>
          <w:szCs w:val="26"/>
        </w:rPr>
        <w:t xml:space="preserve"> really</w:t>
      </w:r>
      <w:r w:rsidR="0037510B" w:rsidRPr="00527A4A">
        <w:rPr>
          <w:rFonts w:ascii="Times" w:hAnsi="Times"/>
          <w:szCs w:val="26"/>
        </w:rPr>
        <w:t xml:space="preserve"> </w:t>
      </w:r>
      <w:r w:rsidR="0037510B" w:rsidRPr="00527A4A">
        <w:rPr>
          <w:rFonts w:ascii="Times" w:hAnsi="Times"/>
          <w:i/>
          <w:szCs w:val="26"/>
        </w:rPr>
        <w:t xml:space="preserve">create </w:t>
      </w:r>
      <w:r w:rsidR="00935EEC" w:rsidRPr="00527A4A">
        <w:rPr>
          <w:rFonts w:ascii="Times" w:hAnsi="Times"/>
          <w:szCs w:val="26"/>
        </w:rPr>
        <w:t>anything, but rather recognized and validated a power courts traditionally exercised</w:t>
      </w:r>
      <w:r w:rsidR="0037510B" w:rsidRPr="00527A4A">
        <w:rPr>
          <w:rFonts w:ascii="Times" w:hAnsi="Times"/>
          <w:szCs w:val="26"/>
        </w:rPr>
        <w:t xml:space="preserve">.  </w:t>
      </w:r>
    </w:p>
    <w:p w14:paraId="0CF05F56" w14:textId="0C4172A1" w:rsidR="000E16B3" w:rsidRPr="00527A4A" w:rsidRDefault="00935EEC" w:rsidP="004D671E">
      <w:pPr>
        <w:rPr>
          <w:rFonts w:ascii="Times" w:hAnsi="Times"/>
          <w:szCs w:val="26"/>
        </w:rPr>
      </w:pPr>
      <w:r w:rsidRPr="00527A4A">
        <w:rPr>
          <w:rFonts w:ascii="Times" w:hAnsi="Times"/>
          <w:szCs w:val="26"/>
        </w:rPr>
        <w:tab/>
      </w:r>
      <w:r w:rsidR="009F2B14" w:rsidRPr="00527A4A">
        <w:rPr>
          <w:rFonts w:ascii="Times" w:hAnsi="Times"/>
          <w:szCs w:val="26"/>
        </w:rPr>
        <w:t xml:space="preserve">Although </w:t>
      </w:r>
      <w:r w:rsidR="00625D2D" w:rsidRPr="00527A4A">
        <w:rPr>
          <w:rFonts w:ascii="Times" w:hAnsi="Times"/>
          <w:szCs w:val="26"/>
        </w:rPr>
        <w:t>we have not found</w:t>
      </w:r>
      <w:r w:rsidR="009F2B14" w:rsidRPr="00527A4A">
        <w:rPr>
          <w:rFonts w:ascii="Times" w:hAnsi="Times"/>
          <w:szCs w:val="26"/>
        </w:rPr>
        <w:t xml:space="preserve"> authorit</w:t>
      </w:r>
      <w:r w:rsidR="004A56DF" w:rsidRPr="00527A4A">
        <w:rPr>
          <w:rFonts w:ascii="Times" w:hAnsi="Times"/>
          <w:szCs w:val="26"/>
        </w:rPr>
        <w:t xml:space="preserve">y </w:t>
      </w:r>
      <w:r w:rsidR="00625D2D" w:rsidRPr="00527A4A">
        <w:rPr>
          <w:rFonts w:ascii="Times" w:hAnsi="Times"/>
          <w:szCs w:val="26"/>
        </w:rPr>
        <w:t xml:space="preserve">determining the </w:t>
      </w:r>
      <w:r w:rsidR="009F2B14" w:rsidRPr="00527A4A">
        <w:rPr>
          <w:rFonts w:ascii="Times" w:hAnsi="Times"/>
          <w:szCs w:val="26"/>
        </w:rPr>
        <w:t xml:space="preserve">limitations period </w:t>
      </w:r>
      <w:r w:rsidR="00CC4893" w:rsidRPr="00527A4A">
        <w:rPr>
          <w:rFonts w:ascii="Times" w:hAnsi="Times"/>
          <w:szCs w:val="26"/>
        </w:rPr>
        <w:t xml:space="preserve">for actions </w:t>
      </w:r>
      <w:r w:rsidR="00672DC2" w:rsidRPr="00527A4A">
        <w:rPr>
          <w:rFonts w:ascii="Times" w:hAnsi="Times"/>
          <w:szCs w:val="26"/>
        </w:rPr>
        <w:t>based on</w:t>
      </w:r>
      <w:r w:rsidR="00CC4893" w:rsidRPr="00527A4A">
        <w:rPr>
          <w:rFonts w:ascii="Times" w:hAnsi="Times"/>
          <w:szCs w:val="26"/>
        </w:rPr>
        <w:t xml:space="preserve"> </w:t>
      </w:r>
      <w:r w:rsidR="00901E29" w:rsidRPr="00527A4A">
        <w:rPr>
          <w:rFonts w:ascii="Times" w:hAnsi="Times"/>
          <w:szCs w:val="26"/>
        </w:rPr>
        <w:t xml:space="preserve">Civil Code </w:t>
      </w:r>
      <w:r w:rsidR="001B5B0A" w:rsidRPr="00527A4A">
        <w:rPr>
          <w:rFonts w:ascii="Times" w:hAnsi="Times"/>
          <w:szCs w:val="26"/>
        </w:rPr>
        <w:t>section 3415</w:t>
      </w:r>
      <w:r w:rsidR="009F2B14" w:rsidRPr="00527A4A">
        <w:rPr>
          <w:rFonts w:ascii="Times" w:hAnsi="Times"/>
          <w:szCs w:val="26"/>
        </w:rPr>
        <w:t xml:space="preserve">, </w:t>
      </w:r>
      <w:r w:rsidRPr="00527A4A">
        <w:rPr>
          <w:rFonts w:ascii="Times" w:hAnsi="Times"/>
          <w:szCs w:val="26"/>
        </w:rPr>
        <w:t xml:space="preserve">as we have </w:t>
      </w:r>
      <w:r w:rsidR="0059399C" w:rsidRPr="00527A4A">
        <w:rPr>
          <w:rFonts w:ascii="Times" w:hAnsi="Times"/>
          <w:szCs w:val="26"/>
        </w:rPr>
        <w:t>noted</w:t>
      </w:r>
      <w:r w:rsidRPr="00527A4A">
        <w:rPr>
          <w:rFonts w:ascii="Times" w:hAnsi="Times"/>
          <w:szCs w:val="26"/>
        </w:rPr>
        <w:t xml:space="preserve"> </w:t>
      </w:r>
      <w:r w:rsidR="001B5B0A" w:rsidRPr="00527A4A">
        <w:rPr>
          <w:rFonts w:ascii="Times" w:hAnsi="Times"/>
          <w:szCs w:val="26"/>
        </w:rPr>
        <w:t xml:space="preserve">we believe </w:t>
      </w:r>
      <w:r w:rsidRPr="00527A4A">
        <w:rPr>
          <w:rFonts w:ascii="Times" w:hAnsi="Times"/>
          <w:szCs w:val="26"/>
        </w:rPr>
        <w:t>the</w:t>
      </w:r>
      <w:r w:rsidR="001B5B0A" w:rsidRPr="00527A4A">
        <w:rPr>
          <w:rFonts w:ascii="Times" w:hAnsi="Times"/>
          <w:szCs w:val="26"/>
        </w:rPr>
        <w:t xml:space="preserve"> four-year period </w:t>
      </w:r>
      <w:r w:rsidRPr="00527A4A">
        <w:rPr>
          <w:rFonts w:ascii="Times" w:hAnsi="Times"/>
          <w:szCs w:val="26"/>
        </w:rPr>
        <w:t xml:space="preserve">in </w:t>
      </w:r>
      <w:r w:rsidR="004366F2" w:rsidRPr="00527A4A">
        <w:rPr>
          <w:rFonts w:ascii="Times" w:hAnsi="Times"/>
          <w:szCs w:val="26"/>
        </w:rPr>
        <w:t xml:space="preserve">Code of Civil Procedure </w:t>
      </w:r>
      <w:r w:rsidRPr="00527A4A">
        <w:rPr>
          <w:rFonts w:ascii="Times" w:hAnsi="Times"/>
          <w:szCs w:val="26"/>
        </w:rPr>
        <w:t xml:space="preserve">section 343 </w:t>
      </w:r>
      <w:r w:rsidR="004A56DF" w:rsidRPr="00527A4A">
        <w:rPr>
          <w:rFonts w:ascii="Times" w:hAnsi="Times"/>
          <w:szCs w:val="26"/>
        </w:rPr>
        <w:t>would apply</w:t>
      </w:r>
      <w:r w:rsidR="00123CED" w:rsidRPr="00527A4A">
        <w:rPr>
          <w:rFonts w:ascii="Times" w:hAnsi="Times"/>
          <w:szCs w:val="26"/>
        </w:rPr>
        <w:t xml:space="preserve"> to Chase</w:t>
      </w:r>
      <w:r w:rsidR="00F20CA5">
        <w:rPr>
          <w:rFonts w:ascii="Times" w:hAnsi="Times"/>
          <w:szCs w:val="26"/>
        </w:rPr>
        <w:t>'</w:t>
      </w:r>
      <w:r w:rsidR="00123CED" w:rsidRPr="00527A4A">
        <w:rPr>
          <w:rFonts w:ascii="Times" w:hAnsi="Times"/>
          <w:szCs w:val="26"/>
        </w:rPr>
        <w:t xml:space="preserve">s </w:t>
      </w:r>
      <w:r w:rsidR="006862BA" w:rsidRPr="00527A4A">
        <w:rPr>
          <w:rFonts w:ascii="Times" w:hAnsi="Times"/>
          <w:szCs w:val="26"/>
        </w:rPr>
        <w:t>action as articulated on appeal.</w:t>
      </w:r>
      <w:r w:rsidRPr="00527A4A">
        <w:rPr>
          <w:rFonts w:ascii="Times" w:hAnsi="Times"/>
          <w:szCs w:val="26"/>
        </w:rPr>
        <w:t xml:space="preserve">  But r</w:t>
      </w:r>
      <w:r w:rsidR="00671972" w:rsidRPr="00527A4A">
        <w:rPr>
          <w:rFonts w:ascii="Times" w:hAnsi="Times"/>
          <w:szCs w:val="26"/>
        </w:rPr>
        <w:t>egardless of which period applies</w:t>
      </w:r>
      <w:r w:rsidR="001B5B0A" w:rsidRPr="00527A4A">
        <w:rPr>
          <w:rFonts w:ascii="Times" w:hAnsi="Times"/>
          <w:szCs w:val="26"/>
        </w:rPr>
        <w:t xml:space="preserve">, David </w:t>
      </w:r>
      <w:r w:rsidR="00336CD7" w:rsidRPr="00527A4A">
        <w:rPr>
          <w:rFonts w:ascii="Times" w:hAnsi="Times"/>
          <w:szCs w:val="26"/>
        </w:rPr>
        <w:t>does</w:t>
      </w:r>
      <w:r w:rsidR="001B5B0A" w:rsidRPr="00527A4A">
        <w:rPr>
          <w:rFonts w:ascii="Times" w:hAnsi="Times"/>
          <w:szCs w:val="26"/>
        </w:rPr>
        <w:t xml:space="preserve"> not </w:t>
      </w:r>
      <w:r w:rsidR="000E16B3" w:rsidRPr="00527A4A">
        <w:rPr>
          <w:rFonts w:ascii="Times" w:hAnsi="Times"/>
          <w:szCs w:val="26"/>
        </w:rPr>
        <w:t>demonstrate</w:t>
      </w:r>
      <w:r w:rsidR="001B5B0A" w:rsidRPr="00527A4A">
        <w:rPr>
          <w:rFonts w:ascii="Times" w:hAnsi="Times"/>
          <w:szCs w:val="26"/>
        </w:rPr>
        <w:t xml:space="preserve"> </w:t>
      </w:r>
      <w:r w:rsidR="00EF6E50" w:rsidRPr="00527A4A">
        <w:rPr>
          <w:rFonts w:ascii="Times" w:hAnsi="Times"/>
          <w:szCs w:val="26"/>
        </w:rPr>
        <w:t xml:space="preserve">that </w:t>
      </w:r>
      <w:r w:rsidR="001B5B0A" w:rsidRPr="00527A4A">
        <w:rPr>
          <w:rFonts w:ascii="Times" w:hAnsi="Times"/>
          <w:szCs w:val="26"/>
        </w:rPr>
        <w:t>Chase</w:t>
      </w:r>
      <w:r w:rsidR="00F20CA5">
        <w:rPr>
          <w:rFonts w:ascii="Times" w:hAnsi="Times"/>
          <w:szCs w:val="26"/>
        </w:rPr>
        <w:t>'</w:t>
      </w:r>
      <w:r w:rsidR="001B5B0A" w:rsidRPr="00527A4A">
        <w:rPr>
          <w:rFonts w:ascii="Times" w:hAnsi="Times"/>
          <w:szCs w:val="26"/>
        </w:rPr>
        <w:t xml:space="preserve">s action would be </w:t>
      </w:r>
      <w:r w:rsidR="00336CD7" w:rsidRPr="00527A4A">
        <w:rPr>
          <w:rFonts w:ascii="Times" w:hAnsi="Times"/>
          <w:i/>
          <w:szCs w:val="26"/>
        </w:rPr>
        <w:t>barred</w:t>
      </w:r>
      <w:r w:rsidR="00227A35" w:rsidRPr="00527A4A">
        <w:rPr>
          <w:rFonts w:ascii="Times" w:hAnsi="Times"/>
          <w:szCs w:val="26"/>
        </w:rPr>
        <w:t xml:space="preserve"> </w:t>
      </w:r>
      <w:r w:rsidR="000E16B3" w:rsidRPr="00527A4A">
        <w:rPr>
          <w:rFonts w:ascii="Times" w:hAnsi="Times"/>
          <w:szCs w:val="26"/>
        </w:rPr>
        <w:t>by accrual</w:t>
      </w:r>
      <w:r w:rsidR="001B5B0A" w:rsidRPr="00527A4A">
        <w:rPr>
          <w:rFonts w:ascii="Times" w:hAnsi="Times"/>
          <w:szCs w:val="26"/>
        </w:rPr>
        <w:t xml:space="preserve">.  </w:t>
      </w:r>
      <w:r w:rsidR="00F20CA5">
        <w:rPr>
          <w:rFonts w:ascii="Times" w:hAnsi="Times"/>
          <w:szCs w:val="26"/>
        </w:rPr>
        <w:t>"</w:t>
      </w:r>
      <w:r w:rsidR="00983450" w:rsidRPr="00527A4A">
        <w:rPr>
          <w:rFonts w:ascii="Times" w:hAnsi="Times"/>
          <w:szCs w:val="26"/>
        </w:rPr>
        <w:t>Critical to applying a statute of limitations is determining the point when the limitations period begins to run.</w:t>
      </w:r>
      <w:r w:rsidR="00F20CA5">
        <w:rPr>
          <w:rFonts w:ascii="Times" w:hAnsi="Times"/>
          <w:szCs w:val="26"/>
        </w:rPr>
        <w:t>"</w:t>
      </w:r>
      <w:r w:rsidR="00983450" w:rsidRPr="00527A4A">
        <w:rPr>
          <w:rFonts w:ascii="Times" w:hAnsi="Times"/>
          <w:szCs w:val="26"/>
        </w:rPr>
        <w:t xml:space="preserve">  (</w:t>
      </w:r>
      <w:proofErr w:type="spellStart"/>
      <w:r w:rsidR="00983450" w:rsidRPr="00527A4A">
        <w:rPr>
          <w:rFonts w:ascii="Times" w:hAnsi="Times"/>
          <w:i/>
          <w:szCs w:val="26"/>
        </w:rPr>
        <w:t>Pooshs</w:t>
      </w:r>
      <w:proofErr w:type="spellEnd"/>
      <w:r w:rsidR="00983450" w:rsidRPr="00527A4A">
        <w:rPr>
          <w:rFonts w:ascii="Times" w:hAnsi="Times"/>
          <w:i/>
          <w:szCs w:val="26"/>
        </w:rPr>
        <w:t xml:space="preserve"> v. Philip Morris USA</w:t>
      </w:r>
      <w:r w:rsidR="00983450" w:rsidRPr="00527A4A">
        <w:rPr>
          <w:rFonts w:ascii="Times" w:hAnsi="Times"/>
          <w:szCs w:val="26"/>
        </w:rPr>
        <w:t>,</w:t>
      </w:r>
      <w:r w:rsidR="00983450" w:rsidRPr="00527A4A">
        <w:rPr>
          <w:rFonts w:ascii="Times" w:hAnsi="Times"/>
          <w:i/>
          <w:szCs w:val="26"/>
        </w:rPr>
        <w:t xml:space="preserve"> Inc.</w:t>
      </w:r>
      <w:r w:rsidR="00983450" w:rsidRPr="00527A4A">
        <w:rPr>
          <w:rFonts w:ascii="Times" w:hAnsi="Times"/>
          <w:szCs w:val="26"/>
        </w:rPr>
        <w:t xml:space="preserve"> (2011) 51 Cal.4th 788, 797.)  </w:t>
      </w:r>
      <w:r w:rsidR="00336CD7" w:rsidRPr="00527A4A">
        <w:rPr>
          <w:rFonts w:ascii="Times" w:hAnsi="Times"/>
          <w:szCs w:val="26"/>
        </w:rPr>
        <w:t>T</w:t>
      </w:r>
      <w:r w:rsidR="00901E29" w:rsidRPr="00527A4A">
        <w:rPr>
          <w:rFonts w:ascii="Times" w:hAnsi="Times"/>
          <w:szCs w:val="26"/>
        </w:rPr>
        <w:t>he</w:t>
      </w:r>
      <w:r w:rsidR="001B5B0A" w:rsidRPr="00527A4A">
        <w:rPr>
          <w:rFonts w:ascii="Times" w:hAnsi="Times"/>
          <w:szCs w:val="26"/>
        </w:rPr>
        <w:t xml:space="preserve"> complaint </w:t>
      </w:r>
      <w:r w:rsidR="00336CD7" w:rsidRPr="00527A4A">
        <w:rPr>
          <w:rFonts w:ascii="Times" w:hAnsi="Times"/>
          <w:szCs w:val="26"/>
        </w:rPr>
        <w:t>alleges that</w:t>
      </w:r>
      <w:r w:rsidR="00800DC3" w:rsidRPr="00527A4A">
        <w:rPr>
          <w:rFonts w:ascii="Times" w:hAnsi="Times"/>
          <w:szCs w:val="26"/>
        </w:rPr>
        <w:t xml:space="preserve"> before Chase filed suit,</w:t>
      </w:r>
      <w:r w:rsidR="00336CD7" w:rsidRPr="00527A4A">
        <w:rPr>
          <w:rFonts w:ascii="Times" w:hAnsi="Times"/>
          <w:szCs w:val="26"/>
        </w:rPr>
        <w:t xml:space="preserve"> </w:t>
      </w:r>
      <w:r w:rsidR="001B5B0A" w:rsidRPr="00527A4A">
        <w:rPr>
          <w:rFonts w:ascii="Times" w:hAnsi="Times"/>
          <w:szCs w:val="26"/>
        </w:rPr>
        <w:t>the original DOT was lost, damaged, or destroyed</w:t>
      </w:r>
      <w:r w:rsidR="00800DC3" w:rsidRPr="00527A4A">
        <w:rPr>
          <w:rFonts w:ascii="Times" w:hAnsi="Times"/>
          <w:szCs w:val="26"/>
        </w:rPr>
        <w:t xml:space="preserve">, and </w:t>
      </w:r>
      <w:r w:rsidR="001B5B0A" w:rsidRPr="00527A4A">
        <w:rPr>
          <w:rFonts w:ascii="Times" w:hAnsi="Times"/>
          <w:szCs w:val="26"/>
        </w:rPr>
        <w:t xml:space="preserve">Walter refused to execute and notarize a replacement. </w:t>
      </w:r>
      <w:r w:rsidR="00CC4893" w:rsidRPr="00527A4A">
        <w:rPr>
          <w:rFonts w:ascii="Times" w:hAnsi="Times"/>
          <w:szCs w:val="26"/>
        </w:rPr>
        <w:t xml:space="preserve"> </w:t>
      </w:r>
      <w:r w:rsidR="000E16B3" w:rsidRPr="00527A4A">
        <w:rPr>
          <w:rFonts w:ascii="Times" w:hAnsi="Times"/>
          <w:szCs w:val="26"/>
        </w:rPr>
        <w:t>It does not provide dates as to when</w:t>
      </w:r>
      <w:r w:rsidR="00123CED" w:rsidRPr="00527A4A">
        <w:rPr>
          <w:rFonts w:ascii="Times" w:hAnsi="Times"/>
          <w:szCs w:val="26"/>
        </w:rPr>
        <w:t xml:space="preserve"> </w:t>
      </w:r>
      <w:r w:rsidR="000E16B3" w:rsidRPr="00527A4A">
        <w:rPr>
          <w:rFonts w:ascii="Times" w:hAnsi="Times"/>
          <w:szCs w:val="26"/>
        </w:rPr>
        <w:t>these events occurred.</w:t>
      </w:r>
      <w:r w:rsidR="004A56DF" w:rsidRPr="00527A4A">
        <w:rPr>
          <w:rFonts w:ascii="Times" w:hAnsi="Times"/>
          <w:szCs w:val="26"/>
        </w:rPr>
        <w:t xml:space="preserve">  </w:t>
      </w:r>
      <w:r w:rsidR="006862BA" w:rsidRPr="00527A4A">
        <w:rPr>
          <w:rFonts w:ascii="Times" w:hAnsi="Times"/>
          <w:szCs w:val="26"/>
        </w:rPr>
        <w:t>Based on this silence</w:t>
      </w:r>
      <w:r w:rsidR="004A56DF" w:rsidRPr="00527A4A">
        <w:rPr>
          <w:rFonts w:ascii="Times" w:hAnsi="Times"/>
          <w:szCs w:val="26"/>
        </w:rPr>
        <w:t xml:space="preserve"> Chase argue</w:t>
      </w:r>
      <w:r w:rsidR="006862BA" w:rsidRPr="00527A4A">
        <w:rPr>
          <w:rFonts w:ascii="Times" w:hAnsi="Times"/>
          <w:szCs w:val="26"/>
        </w:rPr>
        <w:t>s</w:t>
      </w:r>
      <w:r w:rsidR="004A56DF" w:rsidRPr="00527A4A">
        <w:rPr>
          <w:rFonts w:ascii="Times" w:hAnsi="Times"/>
          <w:szCs w:val="26"/>
        </w:rPr>
        <w:t xml:space="preserve"> </w:t>
      </w:r>
      <w:r w:rsidR="00B141A9" w:rsidRPr="00527A4A">
        <w:rPr>
          <w:rFonts w:ascii="Times" w:hAnsi="Times"/>
          <w:szCs w:val="26"/>
        </w:rPr>
        <w:t xml:space="preserve">that </w:t>
      </w:r>
      <w:r w:rsidR="004A56DF" w:rsidRPr="00527A4A">
        <w:rPr>
          <w:rFonts w:ascii="Times" w:hAnsi="Times"/>
          <w:szCs w:val="26"/>
        </w:rPr>
        <w:t xml:space="preserve">a demurrer </w:t>
      </w:r>
      <w:r w:rsidR="00B141A9" w:rsidRPr="00527A4A">
        <w:rPr>
          <w:rFonts w:ascii="Times" w:hAnsi="Times"/>
          <w:szCs w:val="26"/>
        </w:rPr>
        <w:t xml:space="preserve">would </w:t>
      </w:r>
      <w:r w:rsidR="004A56DF" w:rsidRPr="00527A4A">
        <w:rPr>
          <w:rFonts w:ascii="Times" w:hAnsi="Times"/>
          <w:szCs w:val="26"/>
        </w:rPr>
        <w:t xml:space="preserve">not lie on statute of limitations grounds. </w:t>
      </w:r>
      <w:r w:rsidR="006862BA" w:rsidRPr="00527A4A">
        <w:rPr>
          <w:rFonts w:ascii="Times" w:hAnsi="Times"/>
          <w:szCs w:val="26"/>
        </w:rPr>
        <w:t xml:space="preserve"> </w:t>
      </w:r>
    </w:p>
    <w:p w14:paraId="7C860CFA" w14:textId="49A004E6" w:rsidR="00EE731F" w:rsidRPr="00527A4A" w:rsidRDefault="000E16B3" w:rsidP="004D671E">
      <w:pPr>
        <w:rPr>
          <w:rFonts w:ascii="Times" w:hAnsi="Times"/>
          <w:szCs w:val="26"/>
        </w:rPr>
      </w:pPr>
      <w:r w:rsidRPr="00527A4A">
        <w:rPr>
          <w:rFonts w:ascii="Times" w:hAnsi="Times"/>
          <w:szCs w:val="26"/>
        </w:rPr>
        <w:tab/>
      </w:r>
      <w:r w:rsidR="00F20CA5">
        <w:rPr>
          <w:rFonts w:ascii="Times" w:hAnsi="Times"/>
          <w:szCs w:val="26"/>
        </w:rPr>
        <w:t>"</w:t>
      </w:r>
      <w:r w:rsidR="001B5B0A" w:rsidRPr="00527A4A">
        <w:rPr>
          <w:rFonts w:ascii="Times" w:hAnsi="Times"/>
          <w:szCs w:val="26"/>
        </w:rPr>
        <w:t xml:space="preserve">Generally speaking, a cause of action accrues at </w:t>
      </w:r>
      <w:r w:rsidR="00F20CA5">
        <w:rPr>
          <w:rFonts w:ascii="Times" w:hAnsi="Times"/>
          <w:szCs w:val="26"/>
        </w:rPr>
        <w:t>'</w:t>
      </w:r>
      <w:r w:rsidR="001B5B0A" w:rsidRPr="00527A4A">
        <w:rPr>
          <w:rFonts w:ascii="Times" w:hAnsi="Times"/>
          <w:szCs w:val="26"/>
        </w:rPr>
        <w:t>the time when the cause of action is complete with all its elements.</w:t>
      </w:r>
      <w:r w:rsidR="00F20CA5">
        <w:rPr>
          <w:rFonts w:ascii="Times" w:hAnsi="Times"/>
          <w:szCs w:val="26"/>
        </w:rPr>
        <w:t>'</w:t>
      </w:r>
      <w:r w:rsidR="001B5B0A" w:rsidRPr="00527A4A">
        <w:rPr>
          <w:rFonts w:ascii="Times" w:hAnsi="Times"/>
          <w:szCs w:val="26"/>
        </w:rPr>
        <w:t> </w:t>
      </w:r>
      <w:r w:rsidR="00F20CA5">
        <w:rPr>
          <w:rFonts w:ascii="Times" w:hAnsi="Times"/>
          <w:szCs w:val="26"/>
        </w:rPr>
        <w:t>"</w:t>
      </w:r>
      <w:r w:rsidR="001B5B0A" w:rsidRPr="00527A4A">
        <w:rPr>
          <w:rFonts w:ascii="Times" w:hAnsi="Times"/>
          <w:szCs w:val="26"/>
        </w:rPr>
        <w:t xml:space="preserve">  (</w:t>
      </w:r>
      <w:r w:rsidR="001B5B0A" w:rsidRPr="00527A4A">
        <w:rPr>
          <w:rFonts w:ascii="Times" w:hAnsi="Times"/>
          <w:i/>
          <w:szCs w:val="26"/>
        </w:rPr>
        <w:t>Fox v. Ethicon Endo-Surgery</w:t>
      </w:r>
      <w:r w:rsidR="001B5B0A" w:rsidRPr="00527A4A">
        <w:rPr>
          <w:rFonts w:ascii="Times" w:hAnsi="Times"/>
          <w:szCs w:val="26"/>
        </w:rPr>
        <w:t>,</w:t>
      </w:r>
      <w:r w:rsidR="001B5B0A" w:rsidRPr="00527A4A">
        <w:rPr>
          <w:rFonts w:ascii="Times" w:hAnsi="Times"/>
          <w:i/>
          <w:szCs w:val="26"/>
        </w:rPr>
        <w:t xml:space="preserve"> Inc.</w:t>
      </w:r>
      <w:r w:rsidR="001B5B0A" w:rsidRPr="00527A4A">
        <w:rPr>
          <w:rFonts w:ascii="Times" w:hAnsi="Times"/>
          <w:szCs w:val="26"/>
        </w:rPr>
        <w:t xml:space="preserve"> (2005) 35 Cal.4th 797, 806 (</w:t>
      </w:r>
      <w:r w:rsidR="001B5B0A" w:rsidRPr="00527A4A">
        <w:rPr>
          <w:rFonts w:ascii="Times" w:hAnsi="Times"/>
          <w:i/>
          <w:szCs w:val="26"/>
        </w:rPr>
        <w:t>Fox</w:t>
      </w:r>
      <w:r w:rsidR="001B5B0A" w:rsidRPr="00527A4A">
        <w:rPr>
          <w:rFonts w:ascii="Times" w:hAnsi="Times"/>
          <w:szCs w:val="26"/>
        </w:rPr>
        <w:t>)</w:t>
      </w:r>
      <w:r w:rsidR="00291A9D" w:rsidRPr="00527A4A">
        <w:rPr>
          <w:rFonts w:ascii="Times" w:hAnsi="Times"/>
          <w:szCs w:val="26"/>
        </w:rPr>
        <w:t>; see § 312</w:t>
      </w:r>
      <w:r w:rsidR="001B5B0A" w:rsidRPr="00527A4A">
        <w:rPr>
          <w:rFonts w:ascii="Times" w:hAnsi="Times"/>
          <w:szCs w:val="26"/>
        </w:rPr>
        <w:t xml:space="preserve">.)  </w:t>
      </w:r>
      <w:r w:rsidR="00983450" w:rsidRPr="00527A4A">
        <w:rPr>
          <w:rFonts w:ascii="Times" w:hAnsi="Times"/>
          <w:szCs w:val="26"/>
        </w:rPr>
        <w:t>T</w:t>
      </w:r>
      <w:r w:rsidR="00EE731F" w:rsidRPr="00527A4A">
        <w:rPr>
          <w:rFonts w:ascii="Times" w:hAnsi="Times"/>
          <w:szCs w:val="26"/>
        </w:rPr>
        <w:t>raditionally,</w:t>
      </w:r>
      <w:r w:rsidR="00983450" w:rsidRPr="00527A4A">
        <w:rPr>
          <w:rFonts w:ascii="Times" w:hAnsi="Times"/>
          <w:szCs w:val="26"/>
        </w:rPr>
        <w:t xml:space="preserve"> </w:t>
      </w:r>
      <w:r w:rsidR="00F20CA5">
        <w:rPr>
          <w:rFonts w:ascii="Times" w:hAnsi="Times"/>
          <w:szCs w:val="26"/>
        </w:rPr>
        <w:t>"</w:t>
      </w:r>
      <w:r w:rsidR="00983450" w:rsidRPr="00527A4A">
        <w:rPr>
          <w:rFonts w:ascii="Times" w:hAnsi="Times"/>
          <w:szCs w:val="26"/>
        </w:rPr>
        <w:t xml:space="preserve">the statute of limitations runs from </w:t>
      </w:r>
      <w:r w:rsidR="00F20CA5">
        <w:rPr>
          <w:rFonts w:ascii="Times" w:hAnsi="Times"/>
          <w:szCs w:val="26"/>
        </w:rPr>
        <w:t>'</w:t>
      </w:r>
      <w:r w:rsidR="00983450" w:rsidRPr="00527A4A">
        <w:rPr>
          <w:rFonts w:ascii="Times" w:hAnsi="Times"/>
          <w:szCs w:val="26"/>
        </w:rPr>
        <w:t>the occurrence of the last element essential to the cause of action.</w:t>
      </w:r>
      <w:r w:rsidR="00F20CA5">
        <w:rPr>
          <w:rFonts w:ascii="Times" w:hAnsi="Times"/>
          <w:szCs w:val="26"/>
        </w:rPr>
        <w:t>'</w:t>
      </w:r>
      <w:r w:rsidR="00983450" w:rsidRPr="00527A4A">
        <w:rPr>
          <w:rFonts w:ascii="Times" w:hAnsi="Times"/>
          <w:szCs w:val="26"/>
        </w:rPr>
        <w:t> </w:t>
      </w:r>
      <w:r w:rsidR="00F20CA5">
        <w:rPr>
          <w:rFonts w:ascii="Times" w:hAnsi="Times"/>
          <w:szCs w:val="26"/>
        </w:rPr>
        <w:t>"</w:t>
      </w:r>
      <w:r w:rsidR="00983450" w:rsidRPr="00527A4A">
        <w:rPr>
          <w:rFonts w:ascii="Times" w:hAnsi="Times"/>
          <w:szCs w:val="26"/>
        </w:rPr>
        <w:t xml:space="preserve">  (</w:t>
      </w:r>
      <w:proofErr w:type="spellStart"/>
      <w:r w:rsidR="00983450" w:rsidRPr="00527A4A">
        <w:rPr>
          <w:rFonts w:ascii="Times" w:hAnsi="Times"/>
          <w:i/>
          <w:szCs w:val="26"/>
        </w:rPr>
        <w:t>Aryeh</w:t>
      </w:r>
      <w:proofErr w:type="spellEnd"/>
      <w:r w:rsidR="00983450" w:rsidRPr="00527A4A">
        <w:rPr>
          <w:rFonts w:ascii="Times" w:hAnsi="Times"/>
          <w:i/>
          <w:szCs w:val="26"/>
        </w:rPr>
        <w:t xml:space="preserve"> v. Cannon Business Solutions</w:t>
      </w:r>
      <w:r w:rsidR="00983450" w:rsidRPr="00527A4A">
        <w:rPr>
          <w:rFonts w:ascii="Times" w:hAnsi="Times"/>
          <w:szCs w:val="26"/>
        </w:rPr>
        <w:t>,</w:t>
      </w:r>
      <w:r w:rsidR="00983450" w:rsidRPr="00527A4A">
        <w:rPr>
          <w:rFonts w:ascii="Times" w:hAnsi="Times"/>
          <w:i/>
          <w:szCs w:val="26"/>
        </w:rPr>
        <w:t xml:space="preserve"> Inc.</w:t>
      </w:r>
      <w:r w:rsidR="00983450" w:rsidRPr="00527A4A">
        <w:rPr>
          <w:rFonts w:ascii="Times" w:hAnsi="Times"/>
          <w:szCs w:val="26"/>
        </w:rPr>
        <w:t xml:space="preserve"> (2013) 55 Cal.4th 1185, 1191.)  </w:t>
      </w:r>
      <w:r w:rsidR="00123CED" w:rsidRPr="00527A4A">
        <w:rPr>
          <w:rFonts w:ascii="Times" w:hAnsi="Times"/>
          <w:szCs w:val="26"/>
        </w:rPr>
        <w:t>During oral argument, David</w:t>
      </w:r>
      <w:r w:rsidR="00F20CA5">
        <w:rPr>
          <w:rFonts w:ascii="Times" w:hAnsi="Times"/>
          <w:szCs w:val="26"/>
        </w:rPr>
        <w:t>'</w:t>
      </w:r>
      <w:r w:rsidR="00123CED" w:rsidRPr="00527A4A">
        <w:rPr>
          <w:rFonts w:ascii="Times" w:hAnsi="Times"/>
          <w:szCs w:val="26"/>
        </w:rPr>
        <w:t>s counsel took the view that Chase</w:t>
      </w:r>
      <w:r w:rsidR="00F20CA5">
        <w:rPr>
          <w:rFonts w:ascii="Times" w:hAnsi="Times"/>
          <w:szCs w:val="26"/>
        </w:rPr>
        <w:t>'</w:t>
      </w:r>
      <w:r w:rsidR="00123CED" w:rsidRPr="00527A4A">
        <w:rPr>
          <w:rFonts w:ascii="Times" w:hAnsi="Times"/>
          <w:szCs w:val="26"/>
        </w:rPr>
        <w:t xml:space="preserve">s action accrued </w:t>
      </w:r>
      <w:r w:rsidR="00123CED" w:rsidRPr="00527A4A">
        <w:rPr>
          <w:rFonts w:ascii="Times" w:hAnsi="Times"/>
          <w:i/>
          <w:szCs w:val="26"/>
        </w:rPr>
        <w:t>when the deed</w:t>
      </w:r>
      <w:r w:rsidR="00123CED" w:rsidRPr="00527A4A">
        <w:rPr>
          <w:rFonts w:ascii="Times" w:hAnsi="Times"/>
          <w:szCs w:val="26"/>
        </w:rPr>
        <w:t xml:space="preserve"> </w:t>
      </w:r>
      <w:r w:rsidR="00123CED" w:rsidRPr="00527A4A">
        <w:rPr>
          <w:rFonts w:ascii="Times" w:hAnsi="Times"/>
          <w:i/>
          <w:szCs w:val="26"/>
        </w:rPr>
        <w:t>was lost</w:t>
      </w:r>
      <w:r w:rsidR="00123CED" w:rsidRPr="00527A4A">
        <w:rPr>
          <w:rFonts w:ascii="Times" w:hAnsi="Times"/>
          <w:szCs w:val="26"/>
        </w:rPr>
        <w:t xml:space="preserve">, conceding it was unclear from the record when that </w:t>
      </w:r>
      <w:r w:rsidR="006862BA" w:rsidRPr="00527A4A">
        <w:rPr>
          <w:rFonts w:ascii="Times" w:hAnsi="Times"/>
          <w:szCs w:val="26"/>
        </w:rPr>
        <w:t>happened</w:t>
      </w:r>
      <w:r w:rsidR="00123CED" w:rsidRPr="00527A4A">
        <w:rPr>
          <w:rFonts w:ascii="Times" w:hAnsi="Times"/>
          <w:szCs w:val="26"/>
        </w:rPr>
        <w:t xml:space="preserve">.  </w:t>
      </w:r>
      <w:r w:rsidR="003A4695" w:rsidRPr="00527A4A">
        <w:rPr>
          <w:rFonts w:ascii="Times" w:hAnsi="Times"/>
          <w:szCs w:val="26"/>
        </w:rPr>
        <w:t xml:space="preserve">We can conceive of certain actions </w:t>
      </w:r>
      <w:r w:rsidR="00EE731F" w:rsidRPr="00527A4A">
        <w:rPr>
          <w:rFonts w:ascii="Times" w:hAnsi="Times"/>
          <w:szCs w:val="26"/>
        </w:rPr>
        <w:t xml:space="preserve">where </w:t>
      </w:r>
      <w:r w:rsidR="006862BA" w:rsidRPr="00527A4A">
        <w:rPr>
          <w:rFonts w:ascii="Times" w:hAnsi="Times"/>
          <w:szCs w:val="26"/>
        </w:rPr>
        <w:t xml:space="preserve">such an </w:t>
      </w:r>
      <w:r w:rsidR="00EE731F" w:rsidRPr="00527A4A">
        <w:rPr>
          <w:rFonts w:ascii="Times" w:hAnsi="Times"/>
          <w:szCs w:val="26"/>
        </w:rPr>
        <w:t>accrual date might make sense</w:t>
      </w:r>
      <w:r w:rsidR="00EE731F" w:rsidRPr="00527A4A">
        <w:rPr>
          <w:rFonts w:ascii="Times" w:hAnsi="Times" w:cs="Times"/>
          <w:szCs w:val="26"/>
        </w:rPr>
        <w:t>—</w:t>
      </w:r>
      <w:r w:rsidR="00EE731F" w:rsidRPr="00527A4A">
        <w:rPr>
          <w:rFonts w:ascii="Times" w:hAnsi="Times"/>
          <w:szCs w:val="26"/>
        </w:rPr>
        <w:t xml:space="preserve">e.g., </w:t>
      </w:r>
      <w:r w:rsidR="003A4695" w:rsidRPr="00527A4A">
        <w:rPr>
          <w:rFonts w:ascii="Times" w:hAnsi="Times"/>
          <w:szCs w:val="26"/>
        </w:rPr>
        <w:t xml:space="preserve">when </w:t>
      </w:r>
      <w:r w:rsidR="00800DC3" w:rsidRPr="00527A4A">
        <w:rPr>
          <w:rFonts w:ascii="Times" w:hAnsi="Times" w:cs="Times"/>
          <w:szCs w:val="26"/>
        </w:rPr>
        <w:t>a</w:t>
      </w:r>
      <w:r w:rsidR="00685AAA" w:rsidRPr="00527A4A">
        <w:rPr>
          <w:rFonts w:ascii="Times" w:hAnsi="Times" w:cs="Times"/>
          <w:szCs w:val="26"/>
        </w:rPr>
        <w:t xml:space="preserve"> </w:t>
      </w:r>
      <w:r w:rsidR="00685AAA" w:rsidRPr="00527A4A">
        <w:rPr>
          <w:rFonts w:ascii="Times" w:hAnsi="Times" w:cs="Times"/>
          <w:i/>
          <w:szCs w:val="26"/>
        </w:rPr>
        <w:t xml:space="preserve">plaintiff </w:t>
      </w:r>
      <w:r w:rsidR="00685AAA" w:rsidRPr="00527A4A">
        <w:rPr>
          <w:rFonts w:ascii="Times" w:hAnsi="Times" w:cs="Times"/>
          <w:szCs w:val="26"/>
        </w:rPr>
        <w:t>loses the instrument</w:t>
      </w:r>
      <w:r w:rsidR="00800DC3" w:rsidRPr="00527A4A">
        <w:rPr>
          <w:rFonts w:ascii="Times" w:hAnsi="Times" w:cs="Times"/>
          <w:szCs w:val="26"/>
        </w:rPr>
        <w:t xml:space="preserve"> </w:t>
      </w:r>
      <w:r w:rsidR="003A4695" w:rsidRPr="00527A4A">
        <w:rPr>
          <w:rFonts w:ascii="Times" w:hAnsi="Times" w:cs="Times"/>
          <w:szCs w:val="26"/>
        </w:rPr>
        <w:t>and seeks reissuance</w:t>
      </w:r>
      <w:r w:rsidR="001B5B0A" w:rsidRPr="00527A4A">
        <w:rPr>
          <w:rFonts w:ascii="Times" w:hAnsi="Times"/>
          <w:szCs w:val="26"/>
        </w:rPr>
        <w:t xml:space="preserve">.  </w:t>
      </w:r>
      <w:r w:rsidR="003A4695" w:rsidRPr="00527A4A">
        <w:rPr>
          <w:rFonts w:ascii="Times" w:hAnsi="Times"/>
          <w:szCs w:val="26"/>
        </w:rPr>
        <w:t xml:space="preserve">(See </w:t>
      </w:r>
      <w:r w:rsidR="003A4695" w:rsidRPr="00527A4A">
        <w:rPr>
          <w:rFonts w:ascii="Times" w:hAnsi="Times"/>
          <w:i/>
          <w:szCs w:val="26"/>
        </w:rPr>
        <w:t>Brown</w:t>
      </w:r>
      <w:r w:rsidR="003A4695" w:rsidRPr="00527A4A">
        <w:rPr>
          <w:rFonts w:ascii="Times" w:hAnsi="Times"/>
          <w:szCs w:val="26"/>
        </w:rPr>
        <w:t>,</w:t>
      </w:r>
      <w:r w:rsidR="003A4695" w:rsidRPr="00527A4A">
        <w:rPr>
          <w:rFonts w:ascii="Times" w:hAnsi="Times"/>
          <w:i/>
          <w:szCs w:val="26"/>
        </w:rPr>
        <w:t xml:space="preserve"> supra</w:t>
      </w:r>
      <w:r w:rsidR="003A4695" w:rsidRPr="00527A4A">
        <w:rPr>
          <w:rFonts w:ascii="Times" w:hAnsi="Times"/>
          <w:szCs w:val="26"/>
        </w:rPr>
        <w:t>,</w:t>
      </w:r>
      <w:r w:rsidR="003A4695" w:rsidRPr="00527A4A">
        <w:rPr>
          <w:rFonts w:ascii="Times" w:hAnsi="Times"/>
          <w:i/>
          <w:szCs w:val="26"/>
        </w:rPr>
        <w:t xml:space="preserve"> </w:t>
      </w:r>
      <w:r w:rsidR="003A4695" w:rsidRPr="00527A4A">
        <w:rPr>
          <w:rFonts w:ascii="Times" w:hAnsi="Times"/>
          <w:szCs w:val="26"/>
        </w:rPr>
        <w:t>183 Cal. at p. 188 [plaintiff</w:t>
      </w:r>
      <w:r w:rsidR="00F20CA5">
        <w:rPr>
          <w:rFonts w:ascii="Times" w:hAnsi="Times"/>
          <w:szCs w:val="26"/>
        </w:rPr>
        <w:t>'</w:t>
      </w:r>
      <w:r w:rsidR="003A4695" w:rsidRPr="00527A4A">
        <w:rPr>
          <w:rFonts w:ascii="Times" w:hAnsi="Times"/>
          <w:szCs w:val="26"/>
        </w:rPr>
        <w:t xml:space="preserve">s equitable claim for a duplicate rested </w:t>
      </w:r>
      <w:r w:rsidR="00EE731F" w:rsidRPr="00527A4A">
        <w:rPr>
          <w:rFonts w:ascii="Times" w:hAnsi="Times"/>
          <w:szCs w:val="26"/>
        </w:rPr>
        <w:t>entirely</w:t>
      </w:r>
      <w:r w:rsidR="003A4695" w:rsidRPr="00527A4A">
        <w:rPr>
          <w:rFonts w:ascii="Times" w:hAnsi="Times"/>
          <w:szCs w:val="26"/>
        </w:rPr>
        <w:t xml:space="preserve"> on her loss of the original].)  </w:t>
      </w:r>
      <w:r w:rsidR="0059399C" w:rsidRPr="00527A4A">
        <w:rPr>
          <w:rFonts w:ascii="Times" w:hAnsi="Times"/>
          <w:szCs w:val="26"/>
        </w:rPr>
        <w:t>A</w:t>
      </w:r>
      <w:r w:rsidR="00EE731F" w:rsidRPr="00527A4A">
        <w:rPr>
          <w:rFonts w:ascii="Times" w:hAnsi="Times"/>
          <w:szCs w:val="26"/>
        </w:rPr>
        <w:t xml:space="preserve">s we explain, </w:t>
      </w:r>
      <w:r w:rsidR="0059399C" w:rsidRPr="00527A4A">
        <w:rPr>
          <w:rFonts w:ascii="Times" w:hAnsi="Times"/>
          <w:szCs w:val="26"/>
        </w:rPr>
        <w:t xml:space="preserve">however, </w:t>
      </w:r>
      <w:r w:rsidR="00625D2D" w:rsidRPr="00527A4A">
        <w:rPr>
          <w:rFonts w:ascii="Times" w:hAnsi="Times"/>
          <w:szCs w:val="26"/>
        </w:rPr>
        <w:t>t</w:t>
      </w:r>
      <w:r w:rsidR="00671972" w:rsidRPr="00527A4A">
        <w:rPr>
          <w:rFonts w:ascii="Times" w:hAnsi="Times"/>
          <w:szCs w:val="26"/>
        </w:rPr>
        <w:t xml:space="preserve">hat accrual theory is untenable </w:t>
      </w:r>
      <w:r w:rsidR="000744D8" w:rsidRPr="00527A4A">
        <w:rPr>
          <w:rFonts w:ascii="Times" w:hAnsi="Times"/>
          <w:szCs w:val="26"/>
        </w:rPr>
        <w:t>here</w:t>
      </w:r>
      <w:r w:rsidR="00CC4893" w:rsidRPr="00527A4A">
        <w:rPr>
          <w:rFonts w:ascii="Times" w:hAnsi="Times"/>
          <w:szCs w:val="26"/>
        </w:rPr>
        <w:t>.</w:t>
      </w:r>
      <w:r w:rsidR="00123CED" w:rsidRPr="00527A4A">
        <w:rPr>
          <w:rFonts w:ascii="Times" w:hAnsi="Times"/>
          <w:szCs w:val="26"/>
        </w:rPr>
        <w:t xml:space="preserve">  </w:t>
      </w:r>
    </w:p>
    <w:p w14:paraId="3DACCF80" w14:textId="0B548B6D" w:rsidR="00CC4893" w:rsidRPr="00527A4A" w:rsidRDefault="00EE731F" w:rsidP="004D671E">
      <w:pPr>
        <w:rPr>
          <w:rFonts w:ascii="Times" w:hAnsi="Times"/>
          <w:szCs w:val="26"/>
        </w:rPr>
      </w:pPr>
      <w:r w:rsidRPr="00527A4A">
        <w:rPr>
          <w:rFonts w:ascii="Times" w:hAnsi="Times"/>
          <w:szCs w:val="26"/>
        </w:rPr>
        <w:tab/>
      </w:r>
      <w:r w:rsidR="000E16B3" w:rsidRPr="00527A4A">
        <w:rPr>
          <w:rFonts w:ascii="Times" w:hAnsi="Times"/>
          <w:szCs w:val="26"/>
        </w:rPr>
        <w:t xml:space="preserve">The </w:t>
      </w:r>
      <w:r w:rsidR="001454A3">
        <w:rPr>
          <w:rFonts w:ascii="Times" w:hAnsi="Times"/>
          <w:szCs w:val="26"/>
        </w:rPr>
        <w:t xml:space="preserve">complaint gives </w:t>
      </w:r>
      <w:r w:rsidR="000E16B3" w:rsidRPr="00527A4A">
        <w:rPr>
          <w:rFonts w:ascii="Times" w:hAnsi="Times"/>
          <w:szCs w:val="26"/>
        </w:rPr>
        <w:t xml:space="preserve">no indication </w:t>
      </w:r>
      <w:r w:rsidR="000E16B3" w:rsidRPr="00527A4A">
        <w:rPr>
          <w:rFonts w:ascii="Times" w:hAnsi="Times"/>
          <w:i/>
          <w:szCs w:val="26"/>
        </w:rPr>
        <w:t>Chase</w:t>
      </w:r>
      <w:r w:rsidR="000E16B3" w:rsidRPr="00527A4A">
        <w:rPr>
          <w:rFonts w:ascii="Times" w:hAnsi="Times"/>
          <w:szCs w:val="26"/>
        </w:rPr>
        <w:t xml:space="preserve"> </w:t>
      </w:r>
      <w:r w:rsidR="00CC4893" w:rsidRPr="00527A4A">
        <w:rPr>
          <w:rFonts w:ascii="Times" w:hAnsi="Times"/>
          <w:szCs w:val="26"/>
        </w:rPr>
        <w:t xml:space="preserve">lost the original DOT; all it ever </w:t>
      </w:r>
      <w:r w:rsidR="00800DC3" w:rsidRPr="00527A4A">
        <w:rPr>
          <w:rFonts w:ascii="Times" w:hAnsi="Times"/>
          <w:szCs w:val="26"/>
        </w:rPr>
        <w:t>claimed to have</w:t>
      </w:r>
      <w:r w:rsidR="00CC4893" w:rsidRPr="00527A4A">
        <w:rPr>
          <w:rFonts w:ascii="Times" w:hAnsi="Times"/>
          <w:szCs w:val="26"/>
        </w:rPr>
        <w:t xml:space="preserve"> was a copy</w:t>
      </w:r>
      <w:r w:rsidR="000E16B3" w:rsidRPr="00527A4A">
        <w:rPr>
          <w:rFonts w:ascii="Times" w:hAnsi="Times"/>
          <w:szCs w:val="26"/>
        </w:rPr>
        <w:t xml:space="preserve"> that</w:t>
      </w:r>
      <w:r w:rsidR="00CC4893" w:rsidRPr="00527A4A">
        <w:rPr>
          <w:rFonts w:ascii="Times" w:hAnsi="Times"/>
          <w:szCs w:val="26"/>
        </w:rPr>
        <w:t xml:space="preserve"> could not be recorded. </w:t>
      </w:r>
      <w:r w:rsidR="008F7AB1" w:rsidRPr="00527A4A">
        <w:rPr>
          <w:rFonts w:ascii="Times" w:hAnsi="Times"/>
          <w:szCs w:val="26"/>
        </w:rPr>
        <w:t xml:space="preserve"> </w:t>
      </w:r>
      <w:r w:rsidRPr="00527A4A">
        <w:rPr>
          <w:rFonts w:ascii="Times" w:hAnsi="Times"/>
          <w:szCs w:val="26"/>
        </w:rPr>
        <w:t xml:space="preserve">Chase </w:t>
      </w:r>
      <w:r w:rsidR="00CC4893" w:rsidRPr="00527A4A">
        <w:rPr>
          <w:rFonts w:ascii="Times" w:hAnsi="Times"/>
          <w:szCs w:val="26"/>
        </w:rPr>
        <w:t>seeks</w:t>
      </w:r>
      <w:r w:rsidR="00291A9D" w:rsidRPr="00527A4A">
        <w:rPr>
          <w:rFonts w:ascii="Times" w:hAnsi="Times"/>
          <w:szCs w:val="26"/>
        </w:rPr>
        <w:t xml:space="preserve"> </w:t>
      </w:r>
      <w:r w:rsidR="00F20CA5">
        <w:rPr>
          <w:rFonts w:ascii="Times" w:hAnsi="Times"/>
          <w:szCs w:val="26"/>
        </w:rPr>
        <w:t>"</w:t>
      </w:r>
      <w:r w:rsidR="00291A9D" w:rsidRPr="00527A4A">
        <w:rPr>
          <w:rFonts w:ascii="Times" w:hAnsi="Times"/>
          <w:szCs w:val="26"/>
        </w:rPr>
        <w:t>a judicial declaration establishing the existence of the [DOT]</w:t>
      </w:r>
      <w:r w:rsidR="000E16B3" w:rsidRPr="00527A4A">
        <w:rPr>
          <w:rFonts w:ascii="Times" w:hAnsi="Times"/>
          <w:szCs w:val="26"/>
        </w:rPr>
        <w:t>.</w:t>
      </w:r>
      <w:r w:rsidR="00F20CA5">
        <w:rPr>
          <w:rFonts w:ascii="Times" w:hAnsi="Times"/>
          <w:szCs w:val="26"/>
        </w:rPr>
        <w:t>"</w:t>
      </w:r>
      <w:r w:rsidR="00291A9D" w:rsidRPr="00527A4A">
        <w:rPr>
          <w:rFonts w:ascii="Times" w:hAnsi="Times"/>
          <w:szCs w:val="26"/>
        </w:rPr>
        <w:t xml:space="preserve">  </w:t>
      </w:r>
      <w:r w:rsidR="003A4695" w:rsidRPr="00527A4A">
        <w:rPr>
          <w:rFonts w:ascii="Times" w:hAnsi="Times"/>
          <w:szCs w:val="26"/>
        </w:rPr>
        <w:t>In this context</w:t>
      </w:r>
      <w:r w:rsidR="000744D8" w:rsidRPr="00527A4A">
        <w:rPr>
          <w:rFonts w:ascii="Times" w:hAnsi="Times"/>
          <w:szCs w:val="26"/>
        </w:rPr>
        <w:t>,</w:t>
      </w:r>
      <w:r w:rsidR="00625D2D" w:rsidRPr="00527A4A">
        <w:rPr>
          <w:rFonts w:ascii="Times" w:hAnsi="Times"/>
          <w:szCs w:val="26"/>
        </w:rPr>
        <w:t xml:space="preserve"> t</w:t>
      </w:r>
      <w:r w:rsidR="00FE4FEF" w:rsidRPr="00527A4A">
        <w:rPr>
          <w:rFonts w:ascii="Times" w:hAnsi="Times"/>
          <w:szCs w:val="26"/>
        </w:rPr>
        <w:t>he requirements for</w:t>
      </w:r>
      <w:r w:rsidR="00800DC3" w:rsidRPr="00527A4A">
        <w:rPr>
          <w:rFonts w:ascii="Times" w:hAnsi="Times"/>
          <w:szCs w:val="26"/>
        </w:rPr>
        <w:t xml:space="preserve"> </w:t>
      </w:r>
      <w:r w:rsidR="00CC4893" w:rsidRPr="00527A4A">
        <w:rPr>
          <w:rFonts w:ascii="Times" w:hAnsi="Times"/>
          <w:szCs w:val="26"/>
        </w:rPr>
        <w:t xml:space="preserve">declaratory relief inform the accrual date.  </w:t>
      </w:r>
      <w:r w:rsidR="00F20CA5">
        <w:rPr>
          <w:rFonts w:ascii="Times" w:hAnsi="Times"/>
          <w:szCs w:val="26"/>
        </w:rPr>
        <w:t>"</w:t>
      </w:r>
      <w:r w:rsidR="00B252A5" w:rsidRPr="00527A4A">
        <w:rPr>
          <w:rFonts w:ascii="Times" w:hAnsi="Times"/>
          <w:szCs w:val="26"/>
        </w:rPr>
        <w:t> </w:t>
      </w:r>
      <w:r w:rsidR="00F20CA5">
        <w:rPr>
          <w:rFonts w:ascii="Times" w:hAnsi="Times"/>
          <w:szCs w:val="26"/>
        </w:rPr>
        <w:t>'</w:t>
      </w:r>
      <w:r w:rsidR="00B252A5" w:rsidRPr="00527A4A">
        <w:rPr>
          <w:rFonts w:ascii="Times" w:hAnsi="Times"/>
          <w:szCs w:val="26"/>
        </w:rPr>
        <w:t xml:space="preserve">The fundamental basis of declaratory relief is the existence of an </w:t>
      </w:r>
      <w:r w:rsidR="00B252A5" w:rsidRPr="00527A4A">
        <w:rPr>
          <w:rFonts w:ascii="Times" w:hAnsi="Times"/>
          <w:i/>
          <w:szCs w:val="26"/>
        </w:rPr>
        <w:t xml:space="preserve">actual, present controversy </w:t>
      </w:r>
      <w:r w:rsidR="00B252A5" w:rsidRPr="00527A4A">
        <w:rPr>
          <w:rFonts w:ascii="Times" w:hAnsi="Times"/>
          <w:szCs w:val="26"/>
        </w:rPr>
        <w:t>over a proper subject.</w:t>
      </w:r>
      <w:r w:rsidR="00F20CA5">
        <w:rPr>
          <w:rFonts w:ascii="Times" w:hAnsi="Times"/>
          <w:szCs w:val="26"/>
        </w:rPr>
        <w:t>'</w:t>
      </w:r>
      <w:r w:rsidR="00B252A5" w:rsidRPr="00527A4A">
        <w:rPr>
          <w:rFonts w:ascii="Times" w:hAnsi="Times"/>
          <w:szCs w:val="26"/>
        </w:rPr>
        <w:t> </w:t>
      </w:r>
      <w:r w:rsidR="00F20CA5">
        <w:rPr>
          <w:rFonts w:ascii="Times" w:hAnsi="Times"/>
          <w:szCs w:val="26"/>
        </w:rPr>
        <w:t>"</w:t>
      </w:r>
      <w:r w:rsidR="00B252A5" w:rsidRPr="00527A4A">
        <w:rPr>
          <w:rFonts w:ascii="Times" w:hAnsi="Times"/>
          <w:szCs w:val="26"/>
        </w:rPr>
        <w:t xml:space="preserve">  (</w:t>
      </w:r>
      <w:r w:rsidR="00B252A5" w:rsidRPr="00527A4A">
        <w:rPr>
          <w:rFonts w:ascii="Times" w:hAnsi="Times"/>
          <w:i/>
          <w:szCs w:val="26"/>
        </w:rPr>
        <w:t xml:space="preserve">City of Cotati v. Cashman </w:t>
      </w:r>
      <w:r w:rsidR="00B252A5" w:rsidRPr="00527A4A">
        <w:rPr>
          <w:rFonts w:ascii="Times" w:hAnsi="Times"/>
          <w:szCs w:val="26"/>
        </w:rPr>
        <w:t>(2002) 29 Cal.4th 69, 79</w:t>
      </w:r>
      <w:r w:rsidR="000E16B3" w:rsidRPr="00527A4A">
        <w:rPr>
          <w:rFonts w:ascii="Times" w:hAnsi="Times"/>
          <w:szCs w:val="26"/>
        </w:rPr>
        <w:t>; see § 1060</w:t>
      </w:r>
      <w:r w:rsidR="00B252A5" w:rsidRPr="00527A4A">
        <w:rPr>
          <w:rFonts w:ascii="Times" w:hAnsi="Times"/>
          <w:szCs w:val="26"/>
        </w:rPr>
        <w:t xml:space="preserve">.)  </w:t>
      </w:r>
      <w:r w:rsidR="00F20CA5">
        <w:rPr>
          <w:rFonts w:ascii="Times" w:hAnsi="Times"/>
          <w:szCs w:val="26"/>
        </w:rPr>
        <w:t>"</w:t>
      </w:r>
      <w:r w:rsidR="00813CE0" w:rsidRPr="00527A4A">
        <w:rPr>
          <w:rFonts w:ascii="Times" w:hAnsi="Times"/>
          <w:szCs w:val="26"/>
        </w:rPr>
        <w:t>In the context of a demurrer, the courts evaluate whether</w:t>
      </w:r>
      <w:r w:rsidR="00813CE0" w:rsidRPr="00527A4A">
        <w:rPr>
          <w:rFonts w:ascii="Times" w:hAnsi="Times"/>
          <w:i/>
          <w:szCs w:val="26"/>
        </w:rPr>
        <w:t xml:space="preserve"> </w:t>
      </w:r>
      <w:r w:rsidR="00813CE0" w:rsidRPr="00527A4A">
        <w:rPr>
          <w:rFonts w:ascii="Times" w:hAnsi="Times"/>
          <w:szCs w:val="26"/>
        </w:rPr>
        <w:t>the factual allegations of a complaint for declaratory relief reveal an actual, ripe controversy exists between the parties.</w:t>
      </w:r>
      <w:r w:rsidR="00F20CA5">
        <w:rPr>
          <w:rFonts w:ascii="Times" w:hAnsi="Times"/>
          <w:szCs w:val="26"/>
        </w:rPr>
        <w:t>"</w:t>
      </w:r>
      <w:r w:rsidR="00813CE0" w:rsidRPr="00527A4A">
        <w:rPr>
          <w:rFonts w:ascii="Times" w:hAnsi="Times"/>
          <w:szCs w:val="26"/>
        </w:rPr>
        <w:t xml:space="preserve">  (</w:t>
      </w:r>
      <w:r w:rsidR="00192274" w:rsidRPr="00527A4A">
        <w:rPr>
          <w:rFonts w:ascii="Times" w:hAnsi="Times"/>
          <w:i/>
          <w:szCs w:val="26"/>
        </w:rPr>
        <w:t>Linda Vista Village San Diego Home</w:t>
      </w:r>
      <w:r w:rsidR="00B97949" w:rsidRPr="00527A4A">
        <w:rPr>
          <w:rFonts w:ascii="Times" w:hAnsi="Times"/>
          <w:i/>
          <w:szCs w:val="26"/>
        </w:rPr>
        <w:t>o</w:t>
      </w:r>
      <w:r w:rsidR="00192274" w:rsidRPr="00527A4A">
        <w:rPr>
          <w:rFonts w:ascii="Times" w:hAnsi="Times"/>
          <w:i/>
          <w:szCs w:val="26"/>
        </w:rPr>
        <w:t>wners Assn</w:t>
      </w:r>
      <w:r w:rsidR="00192274" w:rsidRPr="00527A4A">
        <w:rPr>
          <w:rFonts w:ascii="Times" w:hAnsi="Times"/>
          <w:szCs w:val="26"/>
        </w:rPr>
        <w:t>.,</w:t>
      </w:r>
      <w:r w:rsidR="00192274" w:rsidRPr="00527A4A">
        <w:rPr>
          <w:rFonts w:ascii="Times" w:hAnsi="Times"/>
          <w:i/>
          <w:szCs w:val="26"/>
        </w:rPr>
        <w:t xml:space="preserve"> Inc. v. </w:t>
      </w:r>
      <w:proofErr w:type="spellStart"/>
      <w:r w:rsidR="00192274" w:rsidRPr="00527A4A">
        <w:rPr>
          <w:rFonts w:ascii="Times" w:hAnsi="Times"/>
          <w:i/>
          <w:szCs w:val="26"/>
        </w:rPr>
        <w:t>Tecolote</w:t>
      </w:r>
      <w:proofErr w:type="spellEnd"/>
      <w:r w:rsidR="00192274" w:rsidRPr="00527A4A">
        <w:rPr>
          <w:rFonts w:ascii="Times" w:hAnsi="Times"/>
          <w:i/>
          <w:szCs w:val="26"/>
        </w:rPr>
        <w:t xml:space="preserve"> Investors</w:t>
      </w:r>
      <w:r w:rsidR="00192274" w:rsidRPr="00527A4A">
        <w:rPr>
          <w:rFonts w:ascii="Times" w:hAnsi="Times"/>
          <w:szCs w:val="26"/>
        </w:rPr>
        <w:t>,</w:t>
      </w:r>
      <w:r w:rsidR="00192274" w:rsidRPr="00527A4A">
        <w:rPr>
          <w:rFonts w:ascii="Times" w:hAnsi="Times"/>
          <w:i/>
          <w:szCs w:val="26"/>
        </w:rPr>
        <w:t xml:space="preserve"> LLC </w:t>
      </w:r>
      <w:r w:rsidR="00192274" w:rsidRPr="00527A4A">
        <w:rPr>
          <w:rFonts w:ascii="Times" w:hAnsi="Times"/>
          <w:szCs w:val="26"/>
        </w:rPr>
        <w:t xml:space="preserve">(2015) 234 Cal.App.4th 166, </w:t>
      </w:r>
      <w:r w:rsidR="00813CE0" w:rsidRPr="00527A4A">
        <w:rPr>
          <w:rFonts w:ascii="Times" w:hAnsi="Times"/>
          <w:szCs w:val="26"/>
        </w:rPr>
        <w:t>181</w:t>
      </w:r>
      <w:r w:rsidR="00291A9D" w:rsidRPr="00527A4A">
        <w:rPr>
          <w:rFonts w:ascii="Times" w:hAnsi="Times"/>
          <w:szCs w:val="26"/>
        </w:rPr>
        <w:t xml:space="preserve">.)  </w:t>
      </w:r>
      <w:r w:rsidR="00800DC3" w:rsidRPr="00527A4A">
        <w:rPr>
          <w:rFonts w:ascii="Times" w:hAnsi="Times"/>
          <w:szCs w:val="26"/>
        </w:rPr>
        <w:t>C</w:t>
      </w:r>
      <w:r w:rsidR="009234B8" w:rsidRPr="00527A4A">
        <w:rPr>
          <w:rFonts w:ascii="Times" w:hAnsi="Times"/>
          <w:szCs w:val="26"/>
        </w:rPr>
        <w:t xml:space="preserve">ritically, </w:t>
      </w:r>
      <w:r w:rsidR="00291A9D" w:rsidRPr="00527A4A">
        <w:rPr>
          <w:rFonts w:ascii="Times" w:hAnsi="Times"/>
          <w:i/>
          <w:szCs w:val="26"/>
        </w:rPr>
        <w:t xml:space="preserve">Brown </w:t>
      </w:r>
      <w:r w:rsidR="00291A9D" w:rsidRPr="00527A4A">
        <w:rPr>
          <w:rFonts w:ascii="Times" w:hAnsi="Times"/>
          <w:szCs w:val="26"/>
        </w:rPr>
        <w:t xml:space="preserve">makes clear that </w:t>
      </w:r>
      <w:r w:rsidR="003A4695" w:rsidRPr="00527A4A">
        <w:rPr>
          <w:rFonts w:ascii="Times" w:hAnsi="Times"/>
          <w:szCs w:val="26"/>
        </w:rPr>
        <w:t>when</w:t>
      </w:r>
      <w:r w:rsidR="00532C70" w:rsidRPr="00527A4A">
        <w:rPr>
          <w:rFonts w:ascii="Times" w:hAnsi="Times"/>
          <w:szCs w:val="26"/>
        </w:rPr>
        <w:t xml:space="preserve"> a plaintiff seeks </w:t>
      </w:r>
      <w:r w:rsidR="000744D8" w:rsidRPr="00527A4A">
        <w:rPr>
          <w:rFonts w:ascii="Times" w:hAnsi="Times"/>
          <w:szCs w:val="26"/>
        </w:rPr>
        <w:t xml:space="preserve">to restore </w:t>
      </w:r>
      <w:r w:rsidR="00532C70" w:rsidRPr="00527A4A">
        <w:rPr>
          <w:rFonts w:ascii="Times" w:hAnsi="Times"/>
          <w:szCs w:val="26"/>
        </w:rPr>
        <w:t xml:space="preserve">a lost instrument, </w:t>
      </w:r>
      <w:r w:rsidR="00F20CA5">
        <w:rPr>
          <w:rFonts w:ascii="Times" w:hAnsi="Times"/>
          <w:szCs w:val="26"/>
        </w:rPr>
        <w:t>"</w:t>
      </w:r>
      <w:r w:rsidR="003A4695" w:rsidRPr="00527A4A">
        <w:rPr>
          <w:rFonts w:ascii="Times" w:hAnsi="Times"/>
          <w:szCs w:val="26"/>
        </w:rPr>
        <w:t>the</w:t>
      </w:r>
      <w:r w:rsidR="00532C70" w:rsidRPr="00527A4A">
        <w:rPr>
          <w:rFonts w:ascii="Times" w:hAnsi="Times"/>
          <w:szCs w:val="26"/>
        </w:rPr>
        <w:t xml:space="preserve"> defendant w</w:t>
      </w:r>
      <w:r w:rsidR="00291A9D" w:rsidRPr="00527A4A">
        <w:rPr>
          <w:rFonts w:ascii="Times" w:hAnsi="Times"/>
          <w:szCs w:val="26"/>
        </w:rPr>
        <w:t xml:space="preserve">ould not be in the </w:t>
      </w:r>
      <w:r w:rsidR="00291A9D" w:rsidRPr="00527A4A">
        <w:rPr>
          <w:rFonts w:ascii="Times" w:hAnsi="Times"/>
          <w:i/>
          <w:szCs w:val="26"/>
        </w:rPr>
        <w:t>wrong</w:t>
      </w:r>
      <w:r w:rsidR="00F20CA5">
        <w:rPr>
          <w:rFonts w:ascii="Times" w:hAnsi="Times"/>
          <w:szCs w:val="26"/>
        </w:rPr>
        <w:t>"</w:t>
      </w:r>
      <w:r w:rsidR="00291A9D" w:rsidRPr="00527A4A">
        <w:rPr>
          <w:rFonts w:ascii="Times" w:hAnsi="Times"/>
          <w:szCs w:val="26"/>
        </w:rPr>
        <w:t xml:space="preserve"> until </w:t>
      </w:r>
      <w:r w:rsidR="00BE313B" w:rsidRPr="00527A4A">
        <w:rPr>
          <w:rFonts w:ascii="Times" w:hAnsi="Times"/>
          <w:szCs w:val="26"/>
        </w:rPr>
        <w:t xml:space="preserve">it had </w:t>
      </w:r>
      <w:r w:rsidR="00BE313B" w:rsidRPr="00527A4A">
        <w:rPr>
          <w:rFonts w:ascii="Times" w:hAnsi="Times"/>
          <w:i/>
          <w:szCs w:val="26"/>
        </w:rPr>
        <w:t>refused</w:t>
      </w:r>
      <w:r w:rsidR="00BE313B" w:rsidRPr="00527A4A">
        <w:rPr>
          <w:rFonts w:ascii="Times" w:hAnsi="Times"/>
          <w:szCs w:val="26"/>
        </w:rPr>
        <w:t xml:space="preserve"> the plaintiff</w:t>
      </w:r>
      <w:r w:rsidR="00F20CA5">
        <w:rPr>
          <w:rFonts w:ascii="Times" w:hAnsi="Times"/>
          <w:szCs w:val="26"/>
        </w:rPr>
        <w:t>'</w:t>
      </w:r>
      <w:r w:rsidR="00BE313B" w:rsidRPr="00527A4A">
        <w:rPr>
          <w:rFonts w:ascii="Times" w:hAnsi="Times"/>
          <w:szCs w:val="26"/>
        </w:rPr>
        <w:t>s demand</w:t>
      </w:r>
      <w:r w:rsidR="000744D8" w:rsidRPr="00527A4A">
        <w:rPr>
          <w:rFonts w:ascii="Times" w:hAnsi="Times"/>
          <w:szCs w:val="26"/>
        </w:rPr>
        <w:t xml:space="preserve"> </w:t>
      </w:r>
      <w:r w:rsidR="00A82A4E" w:rsidRPr="00527A4A">
        <w:rPr>
          <w:rFonts w:ascii="Times" w:hAnsi="Times"/>
          <w:szCs w:val="26"/>
        </w:rPr>
        <w:t xml:space="preserve">for </w:t>
      </w:r>
      <w:r w:rsidR="00984370" w:rsidRPr="00527A4A">
        <w:rPr>
          <w:rFonts w:ascii="Times" w:hAnsi="Times"/>
          <w:szCs w:val="26"/>
        </w:rPr>
        <w:t>reissuance</w:t>
      </w:r>
      <w:r w:rsidR="00291A9D" w:rsidRPr="00527A4A">
        <w:rPr>
          <w:rFonts w:ascii="Times" w:hAnsi="Times"/>
          <w:szCs w:val="26"/>
        </w:rPr>
        <w:t>.  (</w:t>
      </w:r>
      <w:r w:rsidR="00291A9D" w:rsidRPr="00527A4A">
        <w:rPr>
          <w:rFonts w:ascii="Times" w:hAnsi="Times"/>
          <w:i/>
          <w:szCs w:val="26"/>
        </w:rPr>
        <w:t>Brown</w:t>
      </w:r>
      <w:r w:rsidR="00291A9D" w:rsidRPr="00527A4A">
        <w:rPr>
          <w:rFonts w:ascii="Times" w:hAnsi="Times"/>
          <w:szCs w:val="26"/>
        </w:rPr>
        <w:t>,</w:t>
      </w:r>
      <w:r w:rsidR="00291A9D" w:rsidRPr="00527A4A">
        <w:rPr>
          <w:rFonts w:ascii="Times" w:hAnsi="Times"/>
          <w:i/>
          <w:szCs w:val="26"/>
        </w:rPr>
        <w:t xml:space="preserve"> supra</w:t>
      </w:r>
      <w:r w:rsidR="00291A9D" w:rsidRPr="00527A4A">
        <w:rPr>
          <w:rFonts w:ascii="Times" w:hAnsi="Times"/>
          <w:szCs w:val="26"/>
        </w:rPr>
        <w:t>,</w:t>
      </w:r>
      <w:r w:rsidR="00291A9D" w:rsidRPr="00527A4A">
        <w:rPr>
          <w:rFonts w:ascii="Times" w:hAnsi="Times"/>
          <w:i/>
          <w:szCs w:val="26"/>
        </w:rPr>
        <w:t xml:space="preserve"> </w:t>
      </w:r>
      <w:r w:rsidR="00291A9D" w:rsidRPr="00527A4A">
        <w:rPr>
          <w:rFonts w:ascii="Times" w:hAnsi="Times"/>
          <w:szCs w:val="26"/>
        </w:rPr>
        <w:t>183 Cal. at p. 188</w:t>
      </w:r>
      <w:r w:rsidR="004C27E1" w:rsidRPr="00527A4A">
        <w:rPr>
          <w:rFonts w:ascii="Times" w:hAnsi="Times"/>
          <w:szCs w:val="26"/>
        </w:rPr>
        <w:t>, italics added</w:t>
      </w:r>
      <w:r w:rsidR="00291A9D" w:rsidRPr="00527A4A">
        <w:rPr>
          <w:rFonts w:ascii="Times" w:hAnsi="Times"/>
          <w:szCs w:val="26"/>
        </w:rPr>
        <w:t>.)</w:t>
      </w:r>
      <w:r w:rsidR="00B97949" w:rsidRPr="00527A4A">
        <w:rPr>
          <w:rFonts w:ascii="Times" w:hAnsi="Times"/>
          <w:szCs w:val="26"/>
        </w:rPr>
        <w:t xml:space="preserve"> </w:t>
      </w:r>
      <w:r w:rsidR="003E345B" w:rsidRPr="00527A4A">
        <w:rPr>
          <w:rFonts w:ascii="Times" w:hAnsi="Times"/>
          <w:szCs w:val="26"/>
        </w:rPr>
        <w:t xml:space="preserve"> </w:t>
      </w:r>
    </w:p>
    <w:p w14:paraId="29A144EE" w14:textId="6D352A20" w:rsidR="004D671E" w:rsidRPr="00527A4A" w:rsidRDefault="00CC4893" w:rsidP="004D671E">
      <w:pPr>
        <w:rPr>
          <w:rFonts w:ascii="Times" w:hAnsi="Times"/>
          <w:szCs w:val="26"/>
        </w:rPr>
      </w:pPr>
      <w:r w:rsidRPr="00527A4A">
        <w:rPr>
          <w:rFonts w:ascii="Times" w:hAnsi="Times"/>
          <w:szCs w:val="26"/>
        </w:rPr>
        <w:tab/>
      </w:r>
      <w:r w:rsidR="009234B8" w:rsidRPr="00527A4A">
        <w:rPr>
          <w:rFonts w:ascii="Times" w:hAnsi="Times"/>
          <w:szCs w:val="26"/>
        </w:rPr>
        <w:t>Drawing on</w:t>
      </w:r>
      <w:r w:rsidR="004C27E1" w:rsidRPr="00527A4A">
        <w:rPr>
          <w:rFonts w:ascii="Times" w:hAnsi="Times"/>
          <w:szCs w:val="26"/>
        </w:rPr>
        <w:t xml:space="preserve"> </w:t>
      </w:r>
      <w:r w:rsidR="00BE313B" w:rsidRPr="00527A4A">
        <w:rPr>
          <w:rFonts w:ascii="Times" w:hAnsi="Times"/>
          <w:i/>
          <w:szCs w:val="26"/>
        </w:rPr>
        <w:t>Brown</w:t>
      </w:r>
      <w:r w:rsidR="00813CE0" w:rsidRPr="00527A4A">
        <w:rPr>
          <w:rFonts w:ascii="Times" w:hAnsi="Times"/>
          <w:i/>
          <w:szCs w:val="26"/>
        </w:rPr>
        <w:t xml:space="preserve"> </w:t>
      </w:r>
      <w:r w:rsidR="00CF6BB2" w:rsidRPr="00527A4A">
        <w:rPr>
          <w:rFonts w:ascii="Times" w:hAnsi="Times"/>
          <w:szCs w:val="26"/>
        </w:rPr>
        <w:t>and</w:t>
      </w:r>
      <w:r w:rsidR="009234B8" w:rsidRPr="00527A4A">
        <w:rPr>
          <w:rFonts w:ascii="Times" w:hAnsi="Times"/>
          <w:szCs w:val="26"/>
        </w:rPr>
        <w:t xml:space="preserve"> </w:t>
      </w:r>
      <w:r w:rsidR="00813CE0" w:rsidRPr="00527A4A">
        <w:rPr>
          <w:rFonts w:ascii="Times" w:hAnsi="Times"/>
          <w:szCs w:val="26"/>
        </w:rPr>
        <w:t>section 1060</w:t>
      </w:r>
      <w:r w:rsidR="00F20CA5">
        <w:rPr>
          <w:rFonts w:ascii="Times" w:hAnsi="Times"/>
          <w:szCs w:val="26"/>
        </w:rPr>
        <w:t>'</w:t>
      </w:r>
      <w:r w:rsidR="009234B8" w:rsidRPr="00527A4A">
        <w:rPr>
          <w:rFonts w:ascii="Times" w:hAnsi="Times"/>
          <w:szCs w:val="26"/>
        </w:rPr>
        <w:t xml:space="preserve">s </w:t>
      </w:r>
      <w:r w:rsidR="00F20CA5">
        <w:rPr>
          <w:rFonts w:ascii="Times" w:hAnsi="Times"/>
          <w:szCs w:val="26"/>
        </w:rPr>
        <w:t>"</w:t>
      </w:r>
      <w:r w:rsidR="00D3639D" w:rsidRPr="00527A4A">
        <w:rPr>
          <w:rFonts w:ascii="Times" w:hAnsi="Times"/>
          <w:szCs w:val="26"/>
        </w:rPr>
        <w:t>actual controversy</w:t>
      </w:r>
      <w:r w:rsidR="00F20CA5">
        <w:rPr>
          <w:rFonts w:ascii="Times" w:hAnsi="Times"/>
          <w:szCs w:val="26"/>
        </w:rPr>
        <w:t>"</w:t>
      </w:r>
      <w:r w:rsidR="00291A9D" w:rsidRPr="00527A4A">
        <w:rPr>
          <w:rFonts w:ascii="Times" w:hAnsi="Times"/>
          <w:szCs w:val="26"/>
        </w:rPr>
        <w:t xml:space="preserve"> </w:t>
      </w:r>
      <w:r w:rsidR="00D3639D" w:rsidRPr="00527A4A">
        <w:rPr>
          <w:rFonts w:ascii="Times" w:hAnsi="Times"/>
          <w:szCs w:val="26"/>
        </w:rPr>
        <w:t xml:space="preserve">requirement, </w:t>
      </w:r>
      <w:r w:rsidR="009234B8" w:rsidRPr="00527A4A">
        <w:rPr>
          <w:rFonts w:ascii="Times" w:hAnsi="Times"/>
          <w:szCs w:val="26"/>
        </w:rPr>
        <w:t>C</w:t>
      </w:r>
      <w:r w:rsidR="00B252A5" w:rsidRPr="00527A4A">
        <w:rPr>
          <w:rFonts w:ascii="Times" w:hAnsi="Times"/>
          <w:szCs w:val="26"/>
        </w:rPr>
        <w:t xml:space="preserve">hase is correct </w:t>
      </w:r>
      <w:r w:rsidR="004D671E" w:rsidRPr="00527A4A">
        <w:rPr>
          <w:rFonts w:ascii="Times" w:hAnsi="Times"/>
          <w:szCs w:val="26"/>
        </w:rPr>
        <w:t xml:space="preserve">that the </w:t>
      </w:r>
      <w:r w:rsidR="009234B8" w:rsidRPr="00527A4A">
        <w:rPr>
          <w:rFonts w:ascii="Times" w:hAnsi="Times"/>
          <w:szCs w:val="26"/>
        </w:rPr>
        <w:t>limitations period</w:t>
      </w:r>
      <w:r w:rsidR="004D671E" w:rsidRPr="00527A4A">
        <w:rPr>
          <w:rFonts w:ascii="Times" w:hAnsi="Times"/>
          <w:szCs w:val="26"/>
        </w:rPr>
        <w:t xml:space="preserve"> for its </w:t>
      </w:r>
      <w:r w:rsidR="005A2132" w:rsidRPr="00527A4A">
        <w:rPr>
          <w:rFonts w:ascii="Times" w:hAnsi="Times"/>
          <w:szCs w:val="26"/>
        </w:rPr>
        <w:t xml:space="preserve">reformulated </w:t>
      </w:r>
      <w:r w:rsidR="004D671E" w:rsidRPr="00527A4A">
        <w:rPr>
          <w:rFonts w:ascii="Times" w:hAnsi="Times"/>
          <w:szCs w:val="26"/>
        </w:rPr>
        <w:t xml:space="preserve">declaratory relief action </w:t>
      </w:r>
      <w:r w:rsidR="005A2132" w:rsidRPr="00527A4A">
        <w:rPr>
          <w:rFonts w:ascii="Times" w:hAnsi="Times"/>
          <w:szCs w:val="26"/>
        </w:rPr>
        <w:t>would accrue</w:t>
      </w:r>
      <w:r w:rsidR="004D671E" w:rsidRPr="00527A4A">
        <w:rPr>
          <w:rFonts w:ascii="Times" w:hAnsi="Times"/>
          <w:szCs w:val="26"/>
        </w:rPr>
        <w:t xml:space="preserve"> from the date Walter refused to execute </w:t>
      </w:r>
      <w:r w:rsidR="00BE313B" w:rsidRPr="00527A4A">
        <w:rPr>
          <w:rFonts w:ascii="Times" w:hAnsi="Times"/>
          <w:szCs w:val="26"/>
        </w:rPr>
        <w:t xml:space="preserve">the replacement </w:t>
      </w:r>
      <w:r w:rsidR="00813CE0" w:rsidRPr="00527A4A">
        <w:rPr>
          <w:rFonts w:ascii="Times" w:hAnsi="Times"/>
          <w:szCs w:val="26"/>
        </w:rPr>
        <w:t xml:space="preserve">DOT </w:t>
      </w:r>
      <w:r w:rsidR="009234B8" w:rsidRPr="00527A4A">
        <w:rPr>
          <w:rFonts w:ascii="Times" w:hAnsi="Times"/>
          <w:szCs w:val="26"/>
        </w:rPr>
        <w:t xml:space="preserve">following </w:t>
      </w:r>
      <w:r w:rsidR="00813CE0" w:rsidRPr="00527A4A">
        <w:rPr>
          <w:rFonts w:ascii="Times" w:hAnsi="Times"/>
          <w:szCs w:val="26"/>
        </w:rPr>
        <w:t>Chase</w:t>
      </w:r>
      <w:r w:rsidR="00F20CA5">
        <w:rPr>
          <w:rFonts w:ascii="Times" w:hAnsi="Times"/>
          <w:szCs w:val="26"/>
        </w:rPr>
        <w:t>'</w:t>
      </w:r>
      <w:r w:rsidR="00813CE0" w:rsidRPr="00527A4A">
        <w:rPr>
          <w:rFonts w:ascii="Times" w:hAnsi="Times"/>
          <w:szCs w:val="26"/>
        </w:rPr>
        <w:t>s demand</w:t>
      </w:r>
      <w:r w:rsidR="004D671E" w:rsidRPr="00527A4A">
        <w:rPr>
          <w:rFonts w:ascii="Times" w:hAnsi="Times"/>
          <w:szCs w:val="26"/>
        </w:rPr>
        <w:t xml:space="preserve">.  </w:t>
      </w:r>
      <w:r w:rsidR="003A4695" w:rsidRPr="00527A4A">
        <w:rPr>
          <w:rFonts w:ascii="Times" w:hAnsi="Times"/>
          <w:szCs w:val="26"/>
        </w:rPr>
        <w:t>A</w:t>
      </w:r>
      <w:r w:rsidR="00EE731F" w:rsidRPr="00527A4A">
        <w:rPr>
          <w:rFonts w:ascii="Times" w:hAnsi="Times"/>
          <w:szCs w:val="26"/>
        </w:rPr>
        <w:t>s it notes,</w:t>
      </w:r>
      <w:r w:rsidR="003A4695" w:rsidRPr="00527A4A">
        <w:rPr>
          <w:rFonts w:ascii="Times" w:hAnsi="Times"/>
          <w:szCs w:val="26"/>
        </w:rPr>
        <w:t xml:space="preserve"> </w:t>
      </w:r>
      <w:r w:rsidR="004D671E" w:rsidRPr="00527A4A">
        <w:rPr>
          <w:rFonts w:ascii="Times" w:hAnsi="Times"/>
          <w:szCs w:val="26"/>
        </w:rPr>
        <w:t xml:space="preserve">the complaint is silent </w:t>
      </w:r>
      <w:r w:rsidR="00B252A5" w:rsidRPr="00527A4A">
        <w:rPr>
          <w:rFonts w:ascii="Times" w:hAnsi="Times"/>
          <w:szCs w:val="26"/>
        </w:rPr>
        <w:t>as to</w:t>
      </w:r>
      <w:r w:rsidR="004D671E" w:rsidRPr="00527A4A">
        <w:rPr>
          <w:rFonts w:ascii="Times" w:hAnsi="Times"/>
          <w:szCs w:val="26"/>
        </w:rPr>
        <w:t xml:space="preserve"> when that occurred.</w:t>
      </w:r>
      <w:r w:rsidR="00E11063" w:rsidRPr="00527A4A">
        <w:rPr>
          <w:rStyle w:val="FootnoteReference"/>
          <w:szCs w:val="26"/>
        </w:rPr>
        <w:footnoteReference w:id="8"/>
      </w:r>
      <w:r w:rsidR="004D671E" w:rsidRPr="00527A4A">
        <w:rPr>
          <w:rFonts w:ascii="Times" w:hAnsi="Times"/>
          <w:szCs w:val="26"/>
        </w:rPr>
        <w:t xml:space="preserve"> </w:t>
      </w:r>
    </w:p>
    <w:p w14:paraId="2ADE39BA" w14:textId="77777777" w:rsidR="003548BC" w:rsidRPr="00527A4A" w:rsidRDefault="004D671E" w:rsidP="00901E29">
      <w:pPr>
        <w:rPr>
          <w:rFonts w:ascii="Times" w:hAnsi="Times"/>
          <w:szCs w:val="26"/>
        </w:rPr>
      </w:pPr>
      <w:r w:rsidRPr="00527A4A">
        <w:rPr>
          <w:rFonts w:ascii="Times" w:hAnsi="Times"/>
          <w:szCs w:val="26"/>
        </w:rPr>
        <w:tab/>
      </w:r>
      <w:r w:rsidR="001B5B0A" w:rsidRPr="00527A4A">
        <w:rPr>
          <w:rFonts w:ascii="Times" w:hAnsi="Times"/>
          <w:szCs w:val="26"/>
        </w:rPr>
        <w:t>Where a complaint does not reveal on its face that it is barred by the statute of limitations, a plaintiff has no obligation to plead around the defense.  (</w:t>
      </w:r>
      <w:r w:rsidR="001B5B0A" w:rsidRPr="00527A4A">
        <w:rPr>
          <w:rFonts w:ascii="Times" w:hAnsi="Times"/>
          <w:i/>
          <w:szCs w:val="26"/>
        </w:rPr>
        <w:t>Union Carbide Corp.</w:t>
      </w:r>
      <w:r w:rsidR="001B5B0A" w:rsidRPr="00527A4A">
        <w:rPr>
          <w:rFonts w:ascii="Times" w:hAnsi="Times"/>
          <w:szCs w:val="26"/>
        </w:rPr>
        <w:t xml:space="preserve"> </w:t>
      </w:r>
      <w:r w:rsidR="001B5B0A" w:rsidRPr="00527A4A">
        <w:rPr>
          <w:rFonts w:ascii="Times" w:hAnsi="Times"/>
          <w:i/>
          <w:szCs w:val="26"/>
        </w:rPr>
        <w:t xml:space="preserve">v. Superior Court </w:t>
      </w:r>
      <w:r w:rsidR="001B5B0A" w:rsidRPr="00527A4A">
        <w:rPr>
          <w:rFonts w:ascii="Times" w:hAnsi="Times"/>
          <w:szCs w:val="26"/>
        </w:rPr>
        <w:t>(1984) 36 Cal.3d 15, 25</w:t>
      </w:r>
      <w:r w:rsidR="00BD0C72" w:rsidRPr="00527A4A">
        <w:rPr>
          <w:rFonts w:ascii="Times" w:hAnsi="Times"/>
          <w:szCs w:val="26"/>
        </w:rPr>
        <w:t xml:space="preserve"> (</w:t>
      </w:r>
      <w:r w:rsidR="00BD0C72" w:rsidRPr="00527A4A">
        <w:rPr>
          <w:rFonts w:ascii="Times" w:hAnsi="Times"/>
          <w:i/>
          <w:szCs w:val="26"/>
        </w:rPr>
        <w:t>Union Carbide</w:t>
      </w:r>
      <w:r w:rsidR="00BD0C72" w:rsidRPr="00527A4A">
        <w:rPr>
          <w:rFonts w:ascii="Times" w:hAnsi="Times"/>
          <w:szCs w:val="26"/>
        </w:rPr>
        <w:t>)</w:t>
      </w:r>
      <w:r w:rsidR="001B5B0A" w:rsidRPr="00527A4A">
        <w:rPr>
          <w:rFonts w:ascii="Times" w:hAnsi="Times"/>
          <w:szCs w:val="26"/>
        </w:rPr>
        <w:t xml:space="preserve">; </w:t>
      </w:r>
      <w:r w:rsidR="001B5B0A" w:rsidRPr="00527A4A">
        <w:rPr>
          <w:rFonts w:ascii="Times" w:hAnsi="Times"/>
          <w:i/>
          <w:szCs w:val="26"/>
        </w:rPr>
        <w:t>Spray, Gould &amp; Bowers v. Assoc</w:t>
      </w:r>
      <w:r w:rsidR="00C00F94" w:rsidRPr="00527A4A">
        <w:rPr>
          <w:rFonts w:ascii="Times" w:hAnsi="Times"/>
          <w:i/>
          <w:szCs w:val="26"/>
        </w:rPr>
        <w:t>iated</w:t>
      </w:r>
      <w:r w:rsidR="001B5B0A" w:rsidRPr="00527A4A">
        <w:rPr>
          <w:rFonts w:ascii="Times" w:hAnsi="Times"/>
          <w:i/>
          <w:szCs w:val="26"/>
        </w:rPr>
        <w:t xml:space="preserve"> </w:t>
      </w:r>
      <w:proofErr w:type="spellStart"/>
      <w:r w:rsidR="001B5B0A" w:rsidRPr="00527A4A">
        <w:rPr>
          <w:rFonts w:ascii="Times" w:hAnsi="Times"/>
          <w:i/>
          <w:szCs w:val="26"/>
        </w:rPr>
        <w:t>Internat</w:t>
      </w:r>
      <w:r w:rsidR="001B5B0A" w:rsidRPr="00527A4A">
        <w:rPr>
          <w:rFonts w:ascii="Times" w:hAnsi="Times"/>
          <w:szCs w:val="26"/>
        </w:rPr>
        <w:t>.</w:t>
      </w:r>
      <w:proofErr w:type="spellEnd"/>
      <w:r w:rsidR="001B5B0A" w:rsidRPr="00527A4A">
        <w:rPr>
          <w:rFonts w:ascii="Times" w:hAnsi="Times"/>
          <w:i/>
          <w:szCs w:val="26"/>
        </w:rPr>
        <w:t xml:space="preserve"> Ins. Co.</w:t>
      </w:r>
      <w:r w:rsidR="001B5B0A" w:rsidRPr="00527A4A">
        <w:rPr>
          <w:rFonts w:ascii="Times" w:hAnsi="Times"/>
          <w:szCs w:val="26"/>
        </w:rPr>
        <w:t xml:space="preserve"> (1999) 71 Cal.App.4th 1260, 1266, fn. 4</w:t>
      </w:r>
      <w:r w:rsidR="00EE731F" w:rsidRPr="00527A4A">
        <w:rPr>
          <w:rFonts w:ascii="Times" w:hAnsi="Times"/>
          <w:szCs w:val="26"/>
        </w:rPr>
        <w:t xml:space="preserve">; see generally, </w:t>
      </w:r>
      <w:proofErr w:type="spellStart"/>
      <w:r w:rsidR="00EE731F" w:rsidRPr="00527A4A">
        <w:rPr>
          <w:rFonts w:ascii="Times" w:hAnsi="Times"/>
          <w:i/>
          <w:szCs w:val="26"/>
        </w:rPr>
        <w:t>Norgart</w:t>
      </w:r>
      <w:proofErr w:type="spellEnd"/>
      <w:r w:rsidR="00EE731F" w:rsidRPr="00527A4A">
        <w:rPr>
          <w:rFonts w:ascii="Times" w:hAnsi="Times"/>
          <w:i/>
          <w:szCs w:val="26"/>
        </w:rPr>
        <w:t xml:space="preserve"> v. Upjohn Co.</w:t>
      </w:r>
      <w:r w:rsidR="00EE731F" w:rsidRPr="00527A4A">
        <w:rPr>
          <w:rFonts w:ascii="Times" w:hAnsi="Times"/>
          <w:szCs w:val="26"/>
        </w:rPr>
        <w:t xml:space="preserve"> (1999) 21 Cal.4th 383, 396 [</w:t>
      </w:r>
      <w:r w:rsidR="00E11300" w:rsidRPr="00527A4A">
        <w:rPr>
          <w:rFonts w:ascii="Times" w:hAnsi="Times"/>
          <w:szCs w:val="26"/>
        </w:rPr>
        <w:t>statute of limitations is an affirmative defense</w:t>
      </w:r>
      <w:r w:rsidR="00EE731F" w:rsidRPr="00527A4A">
        <w:rPr>
          <w:rFonts w:ascii="Times" w:hAnsi="Times"/>
          <w:szCs w:val="26"/>
        </w:rPr>
        <w:t>]</w:t>
      </w:r>
      <w:r w:rsidR="001B5B0A" w:rsidRPr="00527A4A">
        <w:rPr>
          <w:rFonts w:ascii="Times" w:hAnsi="Times"/>
          <w:szCs w:val="26"/>
        </w:rPr>
        <w:t>.)</w:t>
      </w:r>
      <w:r w:rsidR="00FB361A" w:rsidRPr="00527A4A">
        <w:rPr>
          <w:rFonts w:ascii="Times" w:hAnsi="Times"/>
          <w:szCs w:val="26"/>
        </w:rPr>
        <w:t xml:space="preserve">  </w:t>
      </w:r>
      <w:r w:rsidR="008944F9" w:rsidRPr="00527A4A">
        <w:rPr>
          <w:rFonts w:ascii="Times" w:hAnsi="Times"/>
          <w:szCs w:val="26"/>
        </w:rPr>
        <w:t xml:space="preserve">Accordingly, if Chase </w:t>
      </w:r>
      <w:r w:rsidR="006B3727" w:rsidRPr="00527A4A">
        <w:rPr>
          <w:rFonts w:ascii="Times" w:hAnsi="Times"/>
          <w:szCs w:val="26"/>
        </w:rPr>
        <w:t>brought</w:t>
      </w:r>
      <w:r w:rsidR="00E11300" w:rsidRPr="00527A4A">
        <w:rPr>
          <w:rFonts w:ascii="Times" w:hAnsi="Times"/>
          <w:szCs w:val="26"/>
        </w:rPr>
        <w:t xml:space="preserve"> </w:t>
      </w:r>
      <w:r w:rsidR="006B3727" w:rsidRPr="00527A4A">
        <w:rPr>
          <w:rFonts w:ascii="Times" w:hAnsi="Times"/>
          <w:szCs w:val="26"/>
        </w:rPr>
        <w:t>the action articulated on appeal</w:t>
      </w:r>
      <w:r w:rsidR="00FB361A" w:rsidRPr="00527A4A">
        <w:rPr>
          <w:rFonts w:ascii="Times" w:hAnsi="Times"/>
          <w:szCs w:val="26"/>
        </w:rPr>
        <w:t xml:space="preserve">, </w:t>
      </w:r>
      <w:r w:rsidR="006B3727" w:rsidRPr="00527A4A">
        <w:rPr>
          <w:rFonts w:ascii="Times" w:hAnsi="Times"/>
          <w:szCs w:val="26"/>
        </w:rPr>
        <w:t>that action</w:t>
      </w:r>
      <w:r w:rsidR="00FB361A" w:rsidRPr="00527A4A">
        <w:rPr>
          <w:rFonts w:ascii="Times" w:hAnsi="Times"/>
          <w:szCs w:val="26"/>
        </w:rPr>
        <w:t xml:space="preserve"> would not be </w:t>
      </w:r>
      <w:r w:rsidR="006B3727" w:rsidRPr="00527A4A">
        <w:rPr>
          <w:rFonts w:ascii="Times" w:hAnsi="Times"/>
          <w:szCs w:val="26"/>
        </w:rPr>
        <w:t>untimely based on</w:t>
      </w:r>
      <w:r w:rsidR="008944F9" w:rsidRPr="00527A4A">
        <w:rPr>
          <w:rFonts w:ascii="Times" w:hAnsi="Times"/>
          <w:szCs w:val="26"/>
        </w:rPr>
        <w:t xml:space="preserve"> </w:t>
      </w:r>
      <w:r w:rsidR="00FB361A" w:rsidRPr="00527A4A">
        <w:rPr>
          <w:rFonts w:ascii="Times" w:hAnsi="Times"/>
          <w:szCs w:val="26"/>
        </w:rPr>
        <w:t xml:space="preserve">the facts </w:t>
      </w:r>
      <w:r w:rsidR="002D32B8" w:rsidRPr="00527A4A">
        <w:rPr>
          <w:rFonts w:ascii="Times" w:hAnsi="Times"/>
          <w:szCs w:val="26"/>
        </w:rPr>
        <w:t>alleged in the complaint</w:t>
      </w:r>
      <w:r w:rsidR="00FB361A" w:rsidRPr="00527A4A">
        <w:rPr>
          <w:rFonts w:ascii="Times" w:hAnsi="Times"/>
          <w:szCs w:val="26"/>
        </w:rPr>
        <w:t>.</w:t>
      </w:r>
      <w:r w:rsidR="00F94322" w:rsidRPr="00527A4A">
        <w:rPr>
          <w:rStyle w:val="FootnoteReference"/>
          <w:szCs w:val="26"/>
        </w:rPr>
        <w:footnoteReference w:id="9"/>
      </w:r>
      <w:r w:rsidR="00901E29" w:rsidRPr="00527A4A">
        <w:rPr>
          <w:rFonts w:ascii="Times" w:hAnsi="Times"/>
          <w:szCs w:val="26"/>
        </w:rPr>
        <w:t xml:space="preserve"> </w:t>
      </w:r>
    </w:p>
    <w:p w14:paraId="2A595130" w14:textId="7DB756EE" w:rsidR="00C63407" w:rsidRDefault="00711C59" w:rsidP="00A65168">
      <w:r w:rsidRPr="00527A4A">
        <w:tab/>
      </w:r>
      <w:r w:rsidR="002D32B8" w:rsidRPr="00527A4A">
        <w:t>In summary</w:t>
      </w:r>
      <w:r w:rsidR="00C63407" w:rsidRPr="00527A4A">
        <w:t xml:space="preserve">, recast as an action to enforce the DOT </w:t>
      </w:r>
      <w:r w:rsidR="00C63407" w:rsidRPr="00527A4A">
        <w:rPr>
          <w:i/>
        </w:rPr>
        <w:t>as written</w:t>
      </w:r>
      <w:r w:rsidR="00C63407" w:rsidRPr="00527A4A">
        <w:t>, Chase</w:t>
      </w:r>
      <w:r w:rsidR="00F20CA5">
        <w:t>'</w:t>
      </w:r>
      <w:r w:rsidR="00C63407" w:rsidRPr="00527A4A">
        <w:t>s suit would not be barred by the statute of frauds or statute of limitations</w:t>
      </w:r>
      <w:r w:rsidR="00892C08" w:rsidRPr="00527A4A">
        <w:t xml:space="preserve"> </w:t>
      </w:r>
      <w:r w:rsidR="004577DC" w:rsidRPr="00527A4A">
        <w:t>on our record</w:t>
      </w:r>
      <w:r w:rsidR="00C63407" w:rsidRPr="00527A4A">
        <w:t>.</w:t>
      </w:r>
    </w:p>
    <w:p w14:paraId="3F8C7641" w14:textId="62C480EF" w:rsidR="003F5403" w:rsidRPr="004662B6" w:rsidRDefault="00054B21" w:rsidP="00CD0BD9">
      <w:pPr>
        <w:keepNext/>
        <w:rPr>
          <w:i/>
        </w:rPr>
      </w:pPr>
      <w:r>
        <w:t>3.</w:t>
      </w:r>
      <w:r>
        <w:tab/>
      </w:r>
      <w:r w:rsidR="00BB4164">
        <w:rPr>
          <w:i/>
        </w:rPr>
        <w:t>The Demurrer Was Properly Sustained to the Complaint as Pleaded</w:t>
      </w:r>
    </w:p>
    <w:p w14:paraId="0AA170F6" w14:textId="06F52CA0" w:rsidR="00A65168" w:rsidRDefault="00A65168" w:rsidP="00A65168">
      <w:pPr>
        <w:rPr>
          <w:rFonts w:ascii="Times" w:eastAsia="Times New Roman" w:hAnsi="Times"/>
          <w:color w:val="000000"/>
          <w:szCs w:val="26"/>
          <w:shd w:val="clear" w:color="auto" w:fill="FFFFFF"/>
          <w:lang w:bidi="ar-SA"/>
        </w:rPr>
      </w:pPr>
      <w:r>
        <w:rPr>
          <w:rFonts w:ascii="Times" w:eastAsia="Times New Roman" w:hAnsi="Times"/>
          <w:szCs w:val="26"/>
          <w:lang w:bidi="ar-SA"/>
        </w:rPr>
        <w:tab/>
      </w:r>
      <w:r w:rsidR="00031E5C">
        <w:rPr>
          <w:rFonts w:ascii="Times" w:eastAsia="Times New Roman" w:hAnsi="Times"/>
          <w:szCs w:val="26"/>
          <w:lang w:bidi="ar-SA"/>
        </w:rPr>
        <w:t>To withstand a demurrer, it</w:t>
      </w:r>
      <w:r w:rsidR="004E2EF8">
        <w:rPr>
          <w:rFonts w:ascii="Times" w:eastAsia="Times New Roman" w:hAnsi="Times"/>
          <w:szCs w:val="26"/>
          <w:lang w:bidi="ar-SA"/>
        </w:rPr>
        <w:t xml:space="preserve"> is not enough that Chase </w:t>
      </w:r>
      <w:r w:rsidR="004E2EF8">
        <w:rPr>
          <w:rFonts w:ascii="Times" w:eastAsia="Times New Roman" w:hAnsi="Times"/>
          <w:i/>
          <w:szCs w:val="26"/>
          <w:lang w:bidi="ar-SA"/>
        </w:rPr>
        <w:t xml:space="preserve">could </w:t>
      </w:r>
      <w:r w:rsidR="004E2EF8">
        <w:rPr>
          <w:rFonts w:ascii="Times" w:eastAsia="Times New Roman" w:hAnsi="Times"/>
          <w:szCs w:val="26"/>
          <w:lang w:bidi="ar-SA"/>
        </w:rPr>
        <w:t xml:space="preserve">assert a viable theory.  </w:t>
      </w:r>
      <w:r w:rsidR="00F20CA5">
        <w:rPr>
          <w:rFonts w:ascii="Times" w:eastAsia="Times New Roman" w:hAnsi="Times"/>
          <w:szCs w:val="26"/>
          <w:lang w:bidi="ar-SA"/>
        </w:rPr>
        <w:t>"</w:t>
      </w:r>
      <w:r w:rsidR="004E2EF8">
        <w:rPr>
          <w:rFonts w:ascii="Times" w:eastAsia="Times New Roman" w:hAnsi="Times"/>
          <w:szCs w:val="26"/>
          <w:lang w:bidi="ar-SA"/>
        </w:rPr>
        <w:t>A</w:t>
      </w:r>
      <w:r w:rsidRPr="003D6E09">
        <w:rPr>
          <w:rFonts w:ascii="Times" w:eastAsia="Times New Roman" w:hAnsi="Times"/>
          <w:szCs w:val="26"/>
          <w:lang w:bidi="ar-SA"/>
        </w:rPr>
        <w:t xml:space="preserve"> demurrer tests the legal sufficiency of factual allegations </w:t>
      </w:r>
      <w:r w:rsidRPr="003D6E09">
        <w:rPr>
          <w:rFonts w:ascii="Times" w:eastAsia="Times New Roman" w:hAnsi="Times"/>
          <w:i/>
          <w:szCs w:val="26"/>
          <w:lang w:bidi="ar-SA"/>
        </w:rPr>
        <w:t>in the complaint</w:t>
      </w:r>
      <w:r w:rsidRPr="003D6E09">
        <w:rPr>
          <w:rFonts w:ascii="Times" w:eastAsia="Times New Roman" w:hAnsi="Times"/>
          <w:szCs w:val="26"/>
          <w:lang w:bidi="ar-SA"/>
        </w:rPr>
        <w:t>.</w:t>
      </w:r>
      <w:r w:rsidR="00F20CA5">
        <w:rPr>
          <w:rFonts w:ascii="Times" w:eastAsia="Times New Roman" w:hAnsi="Times"/>
          <w:szCs w:val="26"/>
          <w:lang w:bidi="ar-SA"/>
        </w:rPr>
        <w:t>"</w:t>
      </w:r>
      <w:r w:rsidRPr="003D6E09">
        <w:rPr>
          <w:rFonts w:ascii="Times" w:eastAsia="Times New Roman" w:hAnsi="Times"/>
          <w:szCs w:val="26"/>
          <w:lang w:bidi="ar-SA"/>
        </w:rPr>
        <w:t xml:space="preserve">  (</w:t>
      </w:r>
      <w:proofErr w:type="spellStart"/>
      <w:r w:rsidRPr="003D6E09">
        <w:rPr>
          <w:rFonts w:ascii="Times" w:eastAsia="Times New Roman" w:hAnsi="Times"/>
          <w:i/>
          <w:szCs w:val="26"/>
          <w:lang w:bidi="ar-SA"/>
        </w:rPr>
        <w:t>R</w:t>
      </w:r>
      <w:r w:rsidRPr="003D6E09">
        <w:rPr>
          <w:rFonts w:ascii="Times" w:eastAsia="Times New Roman" w:hAnsi="Times"/>
          <w:i/>
          <w:iCs/>
          <w:color w:val="000000"/>
          <w:szCs w:val="26"/>
          <w:shd w:val="clear" w:color="auto" w:fill="FFFFFF"/>
          <w:lang w:bidi="ar-SA"/>
        </w:rPr>
        <w:t>akestraw</w:t>
      </w:r>
      <w:proofErr w:type="spellEnd"/>
      <w:r w:rsidRPr="003D6E09">
        <w:rPr>
          <w:rFonts w:ascii="Times" w:eastAsia="Times New Roman" w:hAnsi="Times"/>
          <w:i/>
          <w:iCs/>
          <w:color w:val="000000"/>
          <w:szCs w:val="26"/>
          <w:shd w:val="clear" w:color="auto" w:fill="FFFFFF"/>
          <w:lang w:bidi="ar-SA"/>
        </w:rPr>
        <w:t> v. California Physicians</w:t>
      </w:r>
      <w:r w:rsidR="00F20CA5">
        <w:rPr>
          <w:rFonts w:ascii="Times" w:eastAsia="Times New Roman" w:hAnsi="Times"/>
          <w:i/>
          <w:iCs/>
          <w:color w:val="000000"/>
          <w:szCs w:val="26"/>
          <w:shd w:val="clear" w:color="auto" w:fill="FFFFFF"/>
          <w:lang w:bidi="ar-SA"/>
        </w:rPr>
        <w:t>'</w:t>
      </w:r>
      <w:r w:rsidRPr="003D6E09">
        <w:rPr>
          <w:rFonts w:ascii="Times" w:eastAsia="Times New Roman" w:hAnsi="Times"/>
          <w:i/>
          <w:iCs/>
          <w:color w:val="000000"/>
          <w:szCs w:val="26"/>
          <w:shd w:val="clear" w:color="auto" w:fill="FFFFFF"/>
          <w:lang w:bidi="ar-SA"/>
        </w:rPr>
        <w:t xml:space="preserve"> Service </w:t>
      </w:r>
      <w:r w:rsidRPr="003D6E09">
        <w:rPr>
          <w:rFonts w:ascii="Times" w:eastAsia="Times New Roman" w:hAnsi="Times"/>
          <w:color w:val="000000"/>
          <w:szCs w:val="26"/>
          <w:shd w:val="clear" w:color="auto" w:fill="FFFFFF"/>
          <w:lang w:bidi="ar-SA"/>
        </w:rPr>
        <w:t>(2000) 81 Cal.App.4th 39, 42</w:t>
      </w:r>
      <w:r>
        <w:rPr>
          <w:rFonts w:ascii="Times" w:eastAsia="Times New Roman" w:hAnsi="Times"/>
          <w:color w:val="000000"/>
          <w:szCs w:val="26"/>
          <w:shd w:val="clear" w:color="auto" w:fill="FFFFFF"/>
          <w:lang w:bidi="ar-SA"/>
        </w:rPr>
        <w:t>, italics added</w:t>
      </w:r>
      <w:r w:rsidRPr="003D6E09">
        <w:rPr>
          <w:rFonts w:ascii="Times" w:eastAsia="Times New Roman" w:hAnsi="Times"/>
          <w:color w:val="000000"/>
          <w:szCs w:val="26"/>
          <w:shd w:val="clear" w:color="auto" w:fill="FFFFFF"/>
          <w:lang w:bidi="ar-SA"/>
        </w:rPr>
        <w:t xml:space="preserve">.)  The allegation that Walter mistakenly executed the trust deed in his individual capacity </w:t>
      </w:r>
      <w:r w:rsidR="004579FB">
        <w:rPr>
          <w:rFonts w:ascii="Times" w:eastAsia="Times New Roman" w:hAnsi="Times"/>
          <w:color w:val="000000"/>
          <w:szCs w:val="26"/>
          <w:shd w:val="clear" w:color="auto" w:fill="FFFFFF"/>
          <w:lang w:bidi="ar-SA"/>
        </w:rPr>
        <w:t>is arguably</w:t>
      </w:r>
      <w:r w:rsidRPr="003D6E09">
        <w:rPr>
          <w:rFonts w:ascii="Times" w:eastAsia="Times New Roman" w:hAnsi="Times"/>
          <w:color w:val="000000"/>
          <w:szCs w:val="26"/>
          <w:shd w:val="clear" w:color="auto" w:fill="FFFFFF"/>
          <w:lang w:bidi="ar-SA"/>
        </w:rPr>
        <w:t xml:space="preserve"> a well-pleaded fact</w:t>
      </w:r>
      <w:r w:rsidR="004579FB">
        <w:rPr>
          <w:rFonts w:ascii="Times" w:eastAsia="Times New Roman" w:hAnsi="Times"/>
          <w:color w:val="000000"/>
          <w:szCs w:val="26"/>
          <w:shd w:val="clear" w:color="auto" w:fill="FFFFFF"/>
          <w:lang w:bidi="ar-SA"/>
        </w:rPr>
        <w:t xml:space="preserve">, </w:t>
      </w:r>
      <w:r w:rsidR="00580CE5">
        <w:rPr>
          <w:rFonts w:ascii="Times" w:eastAsia="Times New Roman" w:hAnsi="Times"/>
          <w:color w:val="000000"/>
          <w:szCs w:val="26"/>
          <w:shd w:val="clear" w:color="auto" w:fill="FFFFFF"/>
          <w:lang w:bidi="ar-SA"/>
        </w:rPr>
        <w:t>assumed true on</w:t>
      </w:r>
      <w:r w:rsidR="004579FB">
        <w:rPr>
          <w:rFonts w:ascii="Times" w:eastAsia="Times New Roman" w:hAnsi="Times"/>
          <w:color w:val="000000"/>
          <w:szCs w:val="26"/>
          <w:shd w:val="clear" w:color="auto" w:fill="FFFFFF"/>
          <w:lang w:bidi="ar-SA"/>
        </w:rPr>
        <w:t xml:space="preserve"> demurrer</w:t>
      </w:r>
      <w:r w:rsidRPr="003D6E09">
        <w:rPr>
          <w:rFonts w:ascii="Times" w:eastAsia="Times New Roman" w:hAnsi="Times"/>
          <w:color w:val="000000"/>
          <w:szCs w:val="26"/>
          <w:shd w:val="clear" w:color="auto" w:fill="FFFFFF"/>
          <w:lang w:bidi="ar-SA"/>
        </w:rPr>
        <w:t>.</w:t>
      </w:r>
      <w:r w:rsidRPr="003D6E09">
        <w:rPr>
          <w:rStyle w:val="FootnoteReference"/>
          <w:rFonts w:ascii="Times" w:eastAsia="Times New Roman" w:hAnsi="Times"/>
          <w:color w:val="000000"/>
          <w:szCs w:val="26"/>
          <w:shd w:val="clear" w:color="auto" w:fill="FFFFFF"/>
          <w:lang w:bidi="ar-SA"/>
        </w:rPr>
        <w:footnoteReference w:id="10"/>
      </w:r>
    </w:p>
    <w:p w14:paraId="6E773C92" w14:textId="3870B5AC" w:rsidR="006B0A70" w:rsidRPr="003D6E09" w:rsidRDefault="009A3FF6" w:rsidP="006B0A70">
      <w:pPr>
        <w:rPr>
          <w:rFonts w:ascii="Times" w:eastAsia="Times New Roman" w:hAnsi="Times"/>
          <w:color w:val="000000"/>
          <w:szCs w:val="26"/>
          <w:shd w:val="clear" w:color="auto" w:fill="FFFFFF"/>
          <w:lang w:bidi="ar-SA"/>
        </w:rPr>
      </w:pPr>
      <w:r>
        <w:rPr>
          <w:rFonts w:ascii="Times" w:hAnsi="Times"/>
          <w:szCs w:val="26"/>
        </w:rPr>
        <w:tab/>
      </w:r>
      <w:r w:rsidR="00DA5CEC">
        <w:rPr>
          <w:rFonts w:ascii="Times" w:hAnsi="Times"/>
          <w:szCs w:val="26"/>
        </w:rPr>
        <w:t xml:space="preserve">We agree with the trial court that </w:t>
      </w:r>
      <w:r w:rsidR="00A65168">
        <w:rPr>
          <w:rFonts w:ascii="Times" w:hAnsi="Times"/>
          <w:szCs w:val="26"/>
        </w:rPr>
        <w:t>p</w:t>
      </w:r>
      <w:r w:rsidR="008C03BA" w:rsidRPr="003D6E09">
        <w:rPr>
          <w:rFonts w:ascii="Times" w:hAnsi="Times"/>
          <w:szCs w:val="26"/>
        </w:rPr>
        <w:t xml:space="preserve">aragraph 18 </w:t>
      </w:r>
      <w:r w:rsidR="00DA5CEC">
        <w:rPr>
          <w:rFonts w:ascii="Times" w:hAnsi="Times"/>
          <w:szCs w:val="26"/>
        </w:rPr>
        <w:t>is central to Chase</w:t>
      </w:r>
      <w:r w:rsidR="00F20CA5">
        <w:rPr>
          <w:rFonts w:ascii="Times" w:hAnsi="Times"/>
          <w:szCs w:val="26"/>
        </w:rPr>
        <w:t>'</w:t>
      </w:r>
      <w:r w:rsidR="00DA5CEC">
        <w:rPr>
          <w:rFonts w:ascii="Times" w:hAnsi="Times"/>
          <w:szCs w:val="26"/>
        </w:rPr>
        <w:t xml:space="preserve">s </w:t>
      </w:r>
      <w:r w:rsidR="008C03BA" w:rsidRPr="003D6E09">
        <w:rPr>
          <w:rFonts w:ascii="Times" w:hAnsi="Times"/>
          <w:szCs w:val="26"/>
        </w:rPr>
        <w:t xml:space="preserve">complaint.  </w:t>
      </w:r>
      <w:r w:rsidR="00DA5CEC">
        <w:rPr>
          <w:rFonts w:ascii="Times" w:hAnsi="Times"/>
          <w:szCs w:val="26"/>
        </w:rPr>
        <w:t>Chase</w:t>
      </w:r>
      <w:r w:rsidR="008C03BA" w:rsidRPr="003D6E09">
        <w:rPr>
          <w:rFonts w:ascii="Times" w:hAnsi="Times"/>
          <w:szCs w:val="26"/>
        </w:rPr>
        <w:t xml:space="preserve"> sought an order quieting title to reflect that it had the senior lien. </w:t>
      </w:r>
      <w:r w:rsidR="008C03BA" w:rsidRPr="003D6E09">
        <w:rPr>
          <w:rFonts w:ascii="Times" w:eastAsia="Times New Roman" w:hAnsi="Times"/>
          <w:szCs w:val="26"/>
          <w:lang w:bidi="ar-SA"/>
        </w:rPr>
        <w:t xml:space="preserve"> </w:t>
      </w:r>
      <w:r w:rsidR="008C03BA" w:rsidRPr="003D6E09">
        <w:rPr>
          <w:rFonts w:ascii="Times" w:eastAsia="Times New Roman" w:hAnsi="Times"/>
          <w:color w:val="000000"/>
          <w:szCs w:val="26"/>
          <w:shd w:val="clear" w:color="auto" w:fill="FFFFFF"/>
          <w:lang w:bidi="ar-SA"/>
        </w:rPr>
        <w:t xml:space="preserve">Believing Walter would challenge the sufficiency of the legal description, </w:t>
      </w:r>
      <w:r w:rsidR="005B7690">
        <w:rPr>
          <w:rFonts w:ascii="Times" w:eastAsia="Times New Roman" w:hAnsi="Times"/>
          <w:color w:val="000000"/>
          <w:szCs w:val="26"/>
          <w:shd w:val="clear" w:color="auto" w:fill="FFFFFF"/>
          <w:lang w:bidi="ar-SA"/>
        </w:rPr>
        <w:t>it</w:t>
      </w:r>
      <w:r w:rsidR="008C03BA" w:rsidRPr="003D6E09">
        <w:rPr>
          <w:rFonts w:ascii="Times" w:eastAsia="Times New Roman" w:hAnsi="Times"/>
          <w:color w:val="000000"/>
          <w:szCs w:val="26"/>
          <w:shd w:val="clear" w:color="auto" w:fill="FFFFFF"/>
          <w:lang w:bidi="ar-SA"/>
        </w:rPr>
        <w:t xml:space="preserve"> sought to correct it to reflect the true intent of the parties</w:t>
      </w:r>
      <w:r w:rsidR="005B7690">
        <w:rPr>
          <w:rFonts w:ascii="Times" w:eastAsia="Times New Roman" w:hAnsi="Times" w:cs="Times"/>
          <w:color w:val="000000"/>
          <w:szCs w:val="26"/>
          <w:shd w:val="clear" w:color="auto" w:fill="FFFFFF"/>
          <w:lang w:bidi="ar-SA"/>
        </w:rPr>
        <w:t>—</w:t>
      </w:r>
      <w:r w:rsidR="008C03BA" w:rsidRPr="003D6E09">
        <w:rPr>
          <w:rFonts w:ascii="Times" w:eastAsia="Times New Roman" w:hAnsi="Times"/>
          <w:color w:val="000000"/>
          <w:szCs w:val="26"/>
          <w:shd w:val="clear" w:color="auto" w:fill="FFFFFF"/>
          <w:lang w:bidi="ar-SA"/>
        </w:rPr>
        <w:t xml:space="preserve">i.e., that the property would secure the loan.   Although </w:t>
      </w:r>
      <w:r w:rsidR="005B7690">
        <w:rPr>
          <w:rFonts w:ascii="Times" w:eastAsia="Times New Roman" w:hAnsi="Times"/>
          <w:color w:val="000000"/>
          <w:szCs w:val="26"/>
          <w:shd w:val="clear" w:color="auto" w:fill="FFFFFF"/>
          <w:lang w:bidi="ar-SA"/>
        </w:rPr>
        <w:t xml:space="preserve">it sought declaratory relief </w:t>
      </w:r>
      <w:r w:rsidR="008C03BA" w:rsidRPr="003D6E09">
        <w:rPr>
          <w:rFonts w:ascii="Times" w:eastAsia="Times New Roman" w:hAnsi="Times"/>
          <w:color w:val="000000"/>
          <w:szCs w:val="26"/>
          <w:shd w:val="clear" w:color="auto" w:fill="FFFFFF"/>
          <w:lang w:bidi="ar-SA"/>
        </w:rPr>
        <w:t xml:space="preserve">that the DOT </w:t>
      </w:r>
      <w:r w:rsidR="008C03BA" w:rsidRPr="003D6E09">
        <w:rPr>
          <w:rFonts w:ascii="Times" w:eastAsia="Times New Roman" w:hAnsi="Times"/>
          <w:i/>
          <w:color w:val="000000"/>
          <w:szCs w:val="26"/>
          <w:shd w:val="clear" w:color="auto" w:fill="FFFFFF"/>
          <w:lang w:bidi="ar-SA"/>
        </w:rPr>
        <w:t>in fact</w:t>
      </w:r>
      <w:r w:rsidR="008C03BA" w:rsidRPr="003D6E09">
        <w:rPr>
          <w:rFonts w:ascii="Times" w:eastAsia="Times New Roman" w:hAnsi="Times"/>
          <w:color w:val="000000"/>
          <w:szCs w:val="26"/>
          <w:shd w:val="clear" w:color="auto" w:fill="FFFFFF"/>
          <w:lang w:bidi="ar-SA"/>
        </w:rPr>
        <w:t xml:space="preserve"> secured the loan as a first lien, </w:t>
      </w:r>
      <w:r w:rsidR="00F95195">
        <w:rPr>
          <w:rFonts w:ascii="Times" w:eastAsia="Times New Roman" w:hAnsi="Times"/>
          <w:color w:val="000000"/>
          <w:szCs w:val="26"/>
          <w:shd w:val="clear" w:color="auto" w:fill="FFFFFF"/>
          <w:lang w:bidi="ar-SA"/>
        </w:rPr>
        <w:t xml:space="preserve">even that cause of action highlighted the need to </w:t>
      </w:r>
      <w:r w:rsidR="00F20CA5">
        <w:rPr>
          <w:rFonts w:ascii="Times" w:eastAsia="Times New Roman" w:hAnsi="Times"/>
          <w:color w:val="000000"/>
          <w:szCs w:val="26"/>
          <w:shd w:val="clear" w:color="auto" w:fill="FFFFFF"/>
          <w:lang w:bidi="ar-SA"/>
        </w:rPr>
        <w:t>"</w:t>
      </w:r>
      <w:r w:rsidR="00F95195">
        <w:rPr>
          <w:rFonts w:ascii="Times" w:eastAsia="Times New Roman" w:hAnsi="Times"/>
          <w:color w:val="000000"/>
          <w:szCs w:val="26"/>
          <w:shd w:val="clear" w:color="auto" w:fill="FFFFFF"/>
          <w:lang w:bidi="ar-SA"/>
        </w:rPr>
        <w:t>correct the public records</w:t>
      </w:r>
      <w:r w:rsidR="00C7512D">
        <w:rPr>
          <w:rFonts w:ascii="Times" w:eastAsia="Times New Roman" w:hAnsi="Times"/>
          <w:color w:val="000000"/>
          <w:szCs w:val="26"/>
          <w:shd w:val="clear" w:color="auto" w:fill="FFFFFF"/>
          <w:lang w:bidi="ar-SA"/>
        </w:rPr>
        <w:t xml:space="preserve"> before third persons without knowledge of the errors and mistakes in the public records rely thereon to their detriment</w:t>
      </w:r>
      <w:r w:rsidR="00F95195">
        <w:rPr>
          <w:rFonts w:ascii="Times" w:eastAsia="Times New Roman" w:hAnsi="Times"/>
          <w:color w:val="000000"/>
          <w:szCs w:val="26"/>
          <w:shd w:val="clear" w:color="auto" w:fill="FFFFFF"/>
          <w:lang w:bidi="ar-SA"/>
        </w:rPr>
        <w:t>.</w:t>
      </w:r>
      <w:r w:rsidR="00F20CA5">
        <w:rPr>
          <w:rFonts w:ascii="Times" w:eastAsia="Times New Roman" w:hAnsi="Times"/>
          <w:color w:val="000000"/>
          <w:szCs w:val="26"/>
          <w:shd w:val="clear" w:color="auto" w:fill="FFFFFF"/>
          <w:lang w:bidi="ar-SA"/>
        </w:rPr>
        <w:t>"</w:t>
      </w:r>
      <w:r w:rsidR="00F95195">
        <w:rPr>
          <w:rFonts w:ascii="Times" w:eastAsia="Times New Roman" w:hAnsi="Times"/>
          <w:color w:val="000000"/>
          <w:szCs w:val="26"/>
          <w:shd w:val="clear" w:color="auto" w:fill="FFFFFF"/>
          <w:lang w:bidi="ar-SA"/>
        </w:rPr>
        <w:t xml:space="preserve"> </w:t>
      </w:r>
      <w:r w:rsidR="00C7512D">
        <w:rPr>
          <w:rFonts w:ascii="Times" w:hAnsi="Times"/>
          <w:szCs w:val="26"/>
        </w:rPr>
        <w:t xml:space="preserve"> </w:t>
      </w:r>
      <w:r w:rsidR="001A1032">
        <w:rPr>
          <w:rFonts w:ascii="Times" w:hAnsi="Times"/>
          <w:szCs w:val="26"/>
        </w:rPr>
        <w:t>The</w:t>
      </w:r>
      <w:r w:rsidR="00C7512D">
        <w:rPr>
          <w:rFonts w:ascii="Times" w:hAnsi="Times"/>
          <w:szCs w:val="26"/>
        </w:rPr>
        <w:t xml:space="preserve"> complaint</w:t>
      </w:r>
      <w:r w:rsidR="00F20CA5">
        <w:rPr>
          <w:rFonts w:ascii="Times" w:hAnsi="Times"/>
          <w:szCs w:val="26"/>
        </w:rPr>
        <w:t>'</w:t>
      </w:r>
      <w:r w:rsidR="001A1032">
        <w:rPr>
          <w:rFonts w:ascii="Times" w:hAnsi="Times"/>
          <w:szCs w:val="26"/>
        </w:rPr>
        <w:t xml:space="preserve">s focus is </w:t>
      </w:r>
      <w:r w:rsidR="008C03BA" w:rsidRPr="003D6E09">
        <w:rPr>
          <w:rFonts w:ascii="Times" w:eastAsia="Times New Roman" w:hAnsi="Times"/>
          <w:color w:val="000000"/>
          <w:szCs w:val="26"/>
          <w:shd w:val="clear" w:color="auto" w:fill="FFFFFF"/>
          <w:lang w:bidi="ar-SA"/>
        </w:rPr>
        <w:t>correcting the mistake alleged in paragraph 18.</w:t>
      </w:r>
      <w:r w:rsidR="001A1032">
        <w:rPr>
          <w:rFonts w:ascii="Times" w:eastAsia="Times New Roman" w:hAnsi="Times"/>
          <w:color w:val="000000"/>
          <w:szCs w:val="26"/>
          <w:shd w:val="clear" w:color="auto" w:fill="FFFFFF"/>
          <w:lang w:bidi="ar-SA"/>
        </w:rPr>
        <w:t xml:space="preserve">  </w:t>
      </w:r>
      <w:r w:rsidR="001A1032">
        <w:rPr>
          <w:rFonts w:ascii="Times" w:eastAsia="Times New Roman" w:hAnsi="Times"/>
          <w:color w:val="000000"/>
          <w:szCs w:val="26"/>
          <w:shd w:val="clear" w:color="auto" w:fill="FFFFFF"/>
        </w:rPr>
        <w:t>Chase</w:t>
      </w:r>
      <w:r w:rsidR="00F20CA5">
        <w:rPr>
          <w:rFonts w:ascii="Times" w:eastAsia="Times New Roman" w:hAnsi="Times"/>
          <w:color w:val="000000"/>
          <w:szCs w:val="26"/>
          <w:shd w:val="clear" w:color="auto" w:fill="FFFFFF"/>
        </w:rPr>
        <w:t>'</w:t>
      </w:r>
      <w:r w:rsidR="001A1032">
        <w:rPr>
          <w:rFonts w:ascii="Times" w:eastAsia="Times New Roman" w:hAnsi="Times"/>
          <w:color w:val="000000"/>
          <w:szCs w:val="26"/>
          <w:shd w:val="clear" w:color="auto" w:fill="FFFFFF"/>
        </w:rPr>
        <w:t xml:space="preserve">s contention that </w:t>
      </w:r>
      <w:r w:rsidR="001A1032" w:rsidRPr="00D67325">
        <w:rPr>
          <w:rFonts w:ascii="Times" w:eastAsia="Times New Roman" w:hAnsi="Times"/>
          <w:color w:val="000000"/>
          <w:szCs w:val="26"/>
          <w:shd w:val="clear" w:color="auto" w:fill="FFFFFF"/>
        </w:rPr>
        <w:t>the gravamen of its complaint is for restoration of a lost deed under Civil Code section 3415</w:t>
      </w:r>
      <w:r w:rsidR="00BA4D0E" w:rsidRPr="00D67325">
        <w:rPr>
          <w:rFonts w:ascii="Times" w:eastAsia="Times New Roman" w:hAnsi="Times"/>
          <w:color w:val="000000"/>
          <w:szCs w:val="26"/>
          <w:shd w:val="clear" w:color="auto" w:fill="FFFFFF"/>
        </w:rPr>
        <w:t>, subdivision (a)</w:t>
      </w:r>
      <w:r w:rsidR="001A1032" w:rsidRPr="00D67325">
        <w:rPr>
          <w:rFonts w:ascii="Times" w:eastAsia="Times New Roman" w:hAnsi="Times"/>
          <w:color w:val="000000"/>
          <w:szCs w:val="26"/>
          <w:shd w:val="clear" w:color="auto" w:fill="FFFFFF"/>
        </w:rPr>
        <w:t xml:space="preserve"> is unpersuasive; the complaint neither references that statute nor any request to restore a lost deed.</w:t>
      </w:r>
      <w:r w:rsidR="00B63F53" w:rsidRPr="00D67325">
        <w:rPr>
          <w:rFonts w:ascii="Times" w:eastAsia="Times New Roman" w:hAnsi="Times"/>
          <w:color w:val="000000"/>
          <w:szCs w:val="26"/>
          <w:shd w:val="clear" w:color="auto" w:fill="FFFFFF"/>
        </w:rPr>
        <w:t xml:space="preserve">  </w:t>
      </w:r>
      <w:r w:rsidR="00DA012A" w:rsidRPr="00D67325">
        <w:rPr>
          <w:rFonts w:ascii="Times" w:eastAsia="Times New Roman" w:hAnsi="Times"/>
          <w:color w:val="000000"/>
          <w:szCs w:val="26"/>
          <w:shd w:val="clear" w:color="auto" w:fill="FFFFFF"/>
        </w:rPr>
        <w:t>Accordingly, t</w:t>
      </w:r>
      <w:r w:rsidR="00580CE5" w:rsidRPr="00D67325">
        <w:rPr>
          <w:rFonts w:ascii="Times" w:eastAsia="Times New Roman" w:hAnsi="Times"/>
          <w:color w:val="000000"/>
          <w:szCs w:val="26"/>
          <w:shd w:val="clear" w:color="auto" w:fill="FFFFFF"/>
        </w:rPr>
        <w:t>he demurrers were properly sustained</w:t>
      </w:r>
      <w:r w:rsidR="00B63F53" w:rsidRPr="00D67325">
        <w:rPr>
          <w:rFonts w:ascii="Times" w:eastAsia="Times New Roman" w:hAnsi="Times"/>
          <w:color w:val="000000"/>
          <w:szCs w:val="26"/>
          <w:shd w:val="clear" w:color="auto" w:fill="FFFFFF"/>
        </w:rPr>
        <w:t xml:space="preserve"> on statute of limitations grounds</w:t>
      </w:r>
      <w:r w:rsidR="003E6B1F">
        <w:rPr>
          <w:rFonts w:ascii="Times" w:eastAsia="Times New Roman" w:hAnsi="Times"/>
          <w:color w:val="000000"/>
          <w:szCs w:val="26"/>
          <w:shd w:val="clear" w:color="auto" w:fill="FFFFFF"/>
        </w:rPr>
        <w:t>.</w:t>
      </w:r>
      <w:r w:rsidR="003E6B1F" w:rsidRPr="00D67325">
        <w:rPr>
          <w:rStyle w:val="FootnoteReference"/>
          <w:rFonts w:eastAsia="Times New Roman"/>
          <w:color w:val="000000"/>
          <w:szCs w:val="26"/>
          <w:shd w:val="clear" w:color="auto" w:fill="FFFFFF"/>
          <w:lang w:bidi="ar-SA"/>
        </w:rPr>
        <w:footnoteReference w:id="11"/>
      </w:r>
      <w:r w:rsidR="00580CE5" w:rsidRPr="00D67325">
        <w:rPr>
          <w:rFonts w:ascii="Times" w:eastAsia="Times New Roman" w:hAnsi="Times"/>
          <w:color w:val="000000"/>
          <w:szCs w:val="26"/>
          <w:shd w:val="clear" w:color="auto" w:fill="FFFFFF"/>
        </w:rPr>
        <w:t xml:space="preserve">, </w:t>
      </w:r>
      <w:r w:rsidR="003E6B1F">
        <w:rPr>
          <w:rFonts w:ascii="Times" w:eastAsia="Times New Roman" w:hAnsi="Times"/>
          <w:color w:val="000000"/>
          <w:szCs w:val="26"/>
          <w:shd w:val="clear" w:color="auto" w:fill="FFFFFF"/>
        </w:rPr>
        <w:t>T</w:t>
      </w:r>
      <w:r w:rsidR="00580CE5" w:rsidRPr="00D67325">
        <w:rPr>
          <w:rFonts w:ascii="Times" w:eastAsia="Times New Roman" w:hAnsi="Times"/>
          <w:color w:val="000000"/>
          <w:szCs w:val="26"/>
          <w:shd w:val="clear" w:color="auto" w:fill="FFFFFF"/>
        </w:rPr>
        <w:t xml:space="preserve">he </w:t>
      </w:r>
      <w:r w:rsidR="006B0A70" w:rsidRPr="00D67325">
        <w:rPr>
          <w:rFonts w:ascii="Times" w:eastAsia="Times New Roman" w:hAnsi="Times"/>
          <w:color w:val="000000"/>
          <w:szCs w:val="26"/>
          <w:shd w:val="clear" w:color="auto" w:fill="FFFFFF"/>
          <w:lang w:bidi="ar-SA"/>
        </w:rPr>
        <w:t xml:space="preserve">question becomes whether Chase </w:t>
      </w:r>
      <w:r w:rsidR="00580CE5" w:rsidRPr="00D67325">
        <w:rPr>
          <w:rFonts w:ascii="Times" w:eastAsia="Times New Roman" w:hAnsi="Times"/>
          <w:color w:val="000000"/>
          <w:szCs w:val="26"/>
          <w:shd w:val="clear" w:color="auto" w:fill="FFFFFF"/>
          <w:lang w:bidi="ar-SA"/>
        </w:rPr>
        <w:t>could cure the defect by amendment.</w:t>
      </w:r>
    </w:p>
    <w:p w14:paraId="6F5B9782" w14:textId="17428C4E" w:rsidR="008B2186" w:rsidRDefault="00054B21" w:rsidP="006F0493">
      <w:pPr>
        <w:keepNext/>
        <w:spacing w:line="240" w:lineRule="auto"/>
        <w:ind w:left="720" w:hanging="720"/>
        <w:rPr>
          <w:rFonts w:ascii="Times" w:eastAsia="Times New Roman" w:hAnsi="Times"/>
          <w:i/>
          <w:color w:val="000000"/>
          <w:szCs w:val="26"/>
          <w:shd w:val="clear" w:color="auto" w:fill="FFFFFF"/>
          <w:lang w:bidi="ar-SA"/>
        </w:rPr>
      </w:pPr>
      <w:r>
        <w:rPr>
          <w:rFonts w:ascii="Times" w:eastAsia="Times New Roman" w:hAnsi="Times"/>
          <w:color w:val="000000"/>
          <w:szCs w:val="26"/>
          <w:shd w:val="clear" w:color="auto" w:fill="FFFFFF"/>
          <w:lang w:bidi="ar-SA"/>
        </w:rPr>
        <w:t>4.</w:t>
      </w:r>
      <w:r>
        <w:rPr>
          <w:rFonts w:ascii="Times" w:eastAsia="Times New Roman" w:hAnsi="Times"/>
          <w:color w:val="000000"/>
          <w:szCs w:val="26"/>
          <w:shd w:val="clear" w:color="auto" w:fill="FFFFFF"/>
          <w:lang w:bidi="ar-SA"/>
        </w:rPr>
        <w:tab/>
      </w:r>
      <w:r w:rsidR="00BB4164">
        <w:rPr>
          <w:rFonts w:ascii="Times" w:eastAsia="Times New Roman" w:hAnsi="Times"/>
          <w:i/>
          <w:color w:val="000000"/>
          <w:szCs w:val="26"/>
          <w:shd w:val="clear" w:color="auto" w:fill="FFFFFF"/>
          <w:lang w:bidi="ar-SA"/>
        </w:rPr>
        <w:t>Chase Should Be Granted Leave to Amend Notwithstanding the Sham Pleading Doctrine</w:t>
      </w:r>
    </w:p>
    <w:p w14:paraId="27D05AC7" w14:textId="77777777" w:rsidR="00BB4164" w:rsidRPr="004662B6" w:rsidRDefault="00BB4164" w:rsidP="00BB4164">
      <w:pPr>
        <w:keepNext/>
        <w:spacing w:line="240" w:lineRule="auto"/>
        <w:rPr>
          <w:rFonts w:ascii="Times" w:eastAsia="Times New Roman" w:hAnsi="Times"/>
          <w:i/>
          <w:color w:val="000000"/>
          <w:szCs w:val="26"/>
          <w:shd w:val="clear" w:color="auto" w:fill="FFFFFF"/>
          <w:lang w:bidi="ar-SA"/>
        </w:rPr>
      </w:pPr>
    </w:p>
    <w:p w14:paraId="7F374434" w14:textId="77777777" w:rsidR="00513B07" w:rsidRPr="003D6E09" w:rsidRDefault="00513B07" w:rsidP="00513B07">
      <w:pPr>
        <w:ind w:firstLine="720"/>
        <w:rPr>
          <w:rFonts w:ascii="Times" w:eastAsia="Times New Roman" w:hAnsi="Times"/>
          <w:szCs w:val="26"/>
          <w:lang w:bidi="ar-SA"/>
        </w:rPr>
      </w:pPr>
      <w:r w:rsidRPr="003D6E09">
        <w:rPr>
          <w:rFonts w:ascii="Times" w:eastAsia="Times New Roman" w:hAnsi="Times"/>
          <w:szCs w:val="26"/>
          <w:lang w:bidi="ar-SA"/>
        </w:rPr>
        <w:t>Generally, if a verified complaint contains allegations fatal to a cause of action, a plaintiff cannot cure the defect by simply omitting those allegations in an amended pleading without explanation.</w:t>
      </w:r>
      <w:r w:rsidRPr="003D6E09">
        <w:rPr>
          <w:rFonts w:ascii="Times New Roman" w:eastAsia="Times New Roman" w:hAnsi="Times New Roman"/>
          <w:szCs w:val="26"/>
          <w:lang w:bidi="ar-SA"/>
        </w:rPr>
        <w:t> </w:t>
      </w:r>
      <w:r w:rsidRPr="003D6E09">
        <w:rPr>
          <w:rFonts w:ascii="Times" w:eastAsia="Times New Roman" w:hAnsi="Times"/>
          <w:szCs w:val="26"/>
          <w:lang w:bidi="ar-SA"/>
        </w:rPr>
        <w:t xml:space="preserve"> (</w:t>
      </w:r>
      <w:r w:rsidRPr="003D6E09">
        <w:rPr>
          <w:rFonts w:ascii="Times" w:eastAsia="Times New Roman" w:hAnsi="Times"/>
          <w:i/>
          <w:szCs w:val="26"/>
          <w:lang w:bidi="ar-SA"/>
        </w:rPr>
        <w:t xml:space="preserve">Hendy v. </w:t>
      </w:r>
      <w:proofErr w:type="spellStart"/>
      <w:r w:rsidRPr="003D6E09">
        <w:rPr>
          <w:rFonts w:ascii="Times" w:eastAsia="Times New Roman" w:hAnsi="Times"/>
          <w:i/>
          <w:szCs w:val="26"/>
          <w:lang w:bidi="ar-SA"/>
        </w:rPr>
        <w:t>Losse</w:t>
      </w:r>
      <w:proofErr w:type="spellEnd"/>
      <w:r w:rsidRPr="003D6E09">
        <w:rPr>
          <w:rFonts w:ascii="Times" w:eastAsia="Times New Roman" w:hAnsi="Times"/>
          <w:szCs w:val="26"/>
          <w:lang w:bidi="ar-SA"/>
        </w:rPr>
        <w:t xml:space="preserve"> (1991) 54 Cal.3d 723, 742 (</w:t>
      </w:r>
      <w:r w:rsidRPr="003D6E09">
        <w:rPr>
          <w:rFonts w:ascii="Times" w:eastAsia="Times New Roman" w:hAnsi="Times"/>
          <w:i/>
          <w:szCs w:val="26"/>
          <w:lang w:bidi="ar-SA"/>
        </w:rPr>
        <w:t>Hendy</w:t>
      </w:r>
      <w:r w:rsidRPr="003D6E09">
        <w:rPr>
          <w:rFonts w:ascii="Times" w:eastAsia="Times New Roman" w:hAnsi="Times"/>
          <w:szCs w:val="26"/>
          <w:lang w:bidi="ar-SA"/>
        </w:rPr>
        <w:t>).)</w:t>
      </w:r>
      <w:r w:rsidR="003D6E09" w:rsidRPr="003D6E09">
        <w:rPr>
          <w:rFonts w:ascii="Times" w:eastAsia="Times New Roman" w:hAnsi="Times"/>
          <w:szCs w:val="26"/>
          <w:lang w:bidi="ar-SA"/>
        </w:rPr>
        <w:t xml:space="preserve"> </w:t>
      </w:r>
      <w:r w:rsidRPr="003D6E09">
        <w:rPr>
          <w:rFonts w:ascii="Times" w:eastAsia="Times New Roman" w:hAnsi="Times"/>
          <w:szCs w:val="26"/>
          <w:lang w:bidi="ar-SA"/>
        </w:rPr>
        <w:t xml:space="preserve"> </w:t>
      </w:r>
      <w:r w:rsidR="003D6E09" w:rsidRPr="003D6E09">
        <w:rPr>
          <w:rFonts w:ascii="Times" w:eastAsia="Times New Roman" w:hAnsi="Times"/>
          <w:szCs w:val="26"/>
          <w:lang w:bidi="ar-SA"/>
        </w:rPr>
        <w:t xml:space="preserve">This principle is </w:t>
      </w:r>
      <w:r w:rsidR="00B34A46">
        <w:rPr>
          <w:rFonts w:ascii="Times" w:eastAsia="Times New Roman" w:hAnsi="Times"/>
          <w:szCs w:val="26"/>
          <w:lang w:bidi="ar-SA"/>
        </w:rPr>
        <w:t>known</w:t>
      </w:r>
      <w:r w:rsidR="003D6E09" w:rsidRPr="003D6E09">
        <w:rPr>
          <w:rFonts w:ascii="Times" w:eastAsia="Times New Roman" w:hAnsi="Times"/>
          <w:szCs w:val="26"/>
          <w:lang w:bidi="ar-SA"/>
        </w:rPr>
        <w:t xml:space="preserve"> as the sham pleading doctrine. </w:t>
      </w:r>
      <w:r w:rsidR="003D6E09">
        <w:rPr>
          <w:rFonts w:ascii="Times" w:eastAsia="Times New Roman" w:hAnsi="Times"/>
          <w:szCs w:val="26"/>
          <w:lang w:bidi="ar-SA"/>
        </w:rPr>
        <w:t xml:space="preserve"> </w:t>
      </w:r>
      <w:r w:rsidRPr="003D6E09">
        <w:rPr>
          <w:rFonts w:ascii="Times" w:eastAsia="Times New Roman" w:hAnsi="Times"/>
          <w:szCs w:val="26"/>
          <w:lang w:bidi="ar-SA"/>
        </w:rPr>
        <w:t xml:space="preserve">But </w:t>
      </w:r>
      <w:r w:rsidR="003D6E09" w:rsidRPr="003D6E09">
        <w:rPr>
          <w:rFonts w:ascii="Times" w:eastAsia="Times New Roman" w:hAnsi="Times"/>
          <w:szCs w:val="26"/>
          <w:lang w:bidi="ar-SA"/>
        </w:rPr>
        <w:t>amendment in this manner is allowed</w:t>
      </w:r>
      <w:r w:rsidRPr="003D6E09">
        <w:rPr>
          <w:rFonts w:ascii="Times" w:eastAsia="Times New Roman" w:hAnsi="Times"/>
          <w:szCs w:val="26"/>
          <w:lang w:bidi="ar-SA"/>
        </w:rPr>
        <w:t xml:space="preserve"> where a plaintiff clearly shows that the earlier pleading is the result of mistake or inadvertence.</w:t>
      </w:r>
      <w:r w:rsidRPr="003D6E09">
        <w:rPr>
          <w:rFonts w:ascii="Times New Roman" w:eastAsia="Times New Roman" w:hAnsi="Times New Roman"/>
          <w:szCs w:val="26"/>
          <w:lang w:bidi="ar-SA"/>
        </w:rPr>
        <w:t> </w:t>
      </w:r>
      <w:r w:rsidRPr="003D6E09">
        <w:rPr>
          <w:rFonts w:ascii="Times" w:eastAsia="Times New Roman" w:hAnsi="Times"/>
          <w:szCs w:val="26"/>
          <w:lang w:bidi="ar-SA"/>
        </w:rPr>
        <w:t xml:space="preserve"> (</w:t>
      </w:r>
      <w:r w:rsidRPr="003D6E09">
        <w:rPr>
          <w:rFonts w:ascii="Times" w:eastAsia="Times New Roman" w:hAnsi="Times"/>
          <w:i/>
          <w:szCs w:val="26"/>
          <w:lang w:bidi="ar-SA"/>
        </w:rPr>
        <w:t>Id</w:t>
      </w:r>
      <w:r w:rsidRPr="003D6E09">
        <w:rPr>
          <w:rFonts w:ascii="Times" w:eastAsia="Times New Roman" w:hAnsi="Times"/>
          <w:szCs w:val="26"/>
          <w:lang w:bidi="ar-SA"/>
        </w:rPr>
        <w:t xml:space="preserve">. at p. 743; </w:t>
      </w:r>
      <w:r w:rsidRPr="003D6E09">
        <w:rPr>
          <w:rFonts w:ascii="Times" w:eastAsia="Times New Roman" w:hAnsi="Times"/>
          <w:i/>
          <w:szCs w:val="26"/>
          <w:lang w:bidi="ar-SA"/>
        </w:rPr>
        <w:t>Meyer v. State Bd. of Equalization</w:t>
      </w:r>
      <w:r w:rsidRPr="003D6E09">
        <w:rPr>
          <w:rFonts w:ascii="Times" w:eastAsia="Times New Roman" w:hAnsi="Times"/>
          <w:szCs w:val="26"/>
          <w:lang w:bidi="ar-SA"/>
        </w:rPr>
        <w:t xml:space="preserve"> (1954) 42 Cal.2d 376, 386; </w:t>
      </w:r>
      <w:r w:rsidR="003D6E09">
        <w:rPr>
          <w:rFonts w:ascii="Times" w:eastAsia="Times New Roman" w:hAnsi="Times"/>
          <w:i/>
          <w:szCs w:val="26"/>
          <w:lang w:bidi="ar-SA"/>
        </w:rPr>
        <w:t>Am</w:t>
      </w:r>
      <w:r w:rsidR="00FB4C23">
        <w:rPr>
          <w:rFonts w:ascii="Times" w:eastAsia="Times New Roman" w:hAnsi="Times"/>
          <w:i/>
          <w:szCs w:val="26"/>
          <w:lang w:bidi="ar-SA"/>
        </w:rPr>
        <w:t>erican</w:t>
      </w:r>
      <w:r w:rsidRPr="003D6E09">
        <w:rPr>
          <w:rFonts w:ascii="Times" w:eastAsia="Times New Roman" w:hAnsi="Times"/>
          <w:i/>
          <w:szCs w:val="26"/>
          <w:lang w:bidi="ar-SA"/>
        </w:rPr>
        <w:t xml:space="preserve"> Advertising &amp; Sales Co. v. Mid-Western Transport</w:t>
      </w:r>
      <w:r w:rsidRPr="003D6E09">
        <w:rPr>
          <w:rFonts w:ascii="Times" w:eastAsia="Times New Roman" w:hAnsi="Times"/>
          <w:szCs w:val="26"/>
          <w:lang w:bidi="ar-SA"/>
        </w:rPr>
        <w:t xml:space="preserve"> (1984) 152 Cal.App.3d 875, 879.)  A plaintiff may </w:t>
      </w:r>
      <w:r w:rsidR="003D6E09" w:rsidRPr="003D6E09">
        <w:rPr>
          <w:rFonts w:ascii="Times" w:eastAsia="Times New Roman" w:hAnsi="Times"/>
          <w:szCs w:val="26"/>
          <w:lang w:bidi="ar-SA"/>
        </w:rPr>
        <w:t>show</w:t>
      </w:r>
      <w:r w:rsidRPr="003D6E09">
        <w:rPr>
          <w:rFonts w:ascii="Times" w:eastAsia="Times New Roman" w:hAnsi="Times"/>
          <w:szCs w:val="26"/>
          <w:lang w:bidi="ar-SA"/>
        </w:rPr>
        <w:t xml:space="preserve"> </w:t>
      </w:r>
      <w:r w:rsidR="003D6E09" w:rsidRPr="003D6E09">
        <w:rPr>
          <w:rFonts w:ascii="Times" w:eastAsia="Times New Roman" w:hAnsi="Times"/>
          <w:szCs w:val="26"/>
          <w:lang w:bidi="ar-SA"/>
        </w:rPr>
        <w:t>mistake or inadvertence</w:t>
      </w:r>
      <w:r w:rsidR="003D6E09">
        <w:rPr>
          <w:rFonts w:ascii="Times" w:eastAsia="Times New Roman" w:hAnsi="Times"/>
          <w:szCs w:val="26"/>
          <w:lang w:bidi="ar-SA"/>
        </w:rPr>
        <w:t>,</w:t>
      </w:r>
      <w:r w:rsidRPr="003D6E09">
        <w:rPr>
          <w:rFonts w:ascii="Times" w:eastAsia="Times New Roman" w:hAnsi="Times"/>
          <w:szCs w:val="26"/>
          <w:lang w:bidi="ar-SA"/>
        </w:rPr>
        <w:t xml:space="preserve"> or </w:t>
      </w:r>
      <w:r w:rsidR="003D6E09" w:rsidRPr="003D6E09">
        <w:rPr>
          <w:rFonts w:ascii="Times" w:eastAsia="Times New Roman" w:hAnsi="Times"/>
          <w:szCs w:val="26"/>
          <w:lang w:bidi="ar-SA"/>
        </w:rPr>
        <w:t>demonstrate</w:t>
      </w:r>
      <w:r w:rsidRPr="003D6E09">
        <w:rPr>
          <w:rFonts w:ascii="Times" w:eastAsia="Times New Roman" w:hAnsi="Times"/>
          <w:szCs w:val="26"/>
          <w:lang w:bidi="ar-SA"/>
        </w:rPr>
        <w:t xml:space="preserve"> a factual b</w:t>
      </w:r>
      <w:r w:rsidR="003D6E09" w:rsidRPr="003D6E09">
        <w:rPr>
          <w:rFonts w:ascii="Times" w:eastAsia="Times New Roman" w:hAnsi="Times"/>
          <w:szCs w:val="26"/>
          <w:lang w:bidi="ar-SA"/>
        </w:rPr>
        <w:t>asis for the revised allegation</w:t>
      </w:r>
      <w:r w:rsidR="003D6E09">
        <w:rPr>
          <w:rFonts w:ascii="Times" w:eastAsia="Times New Roman" w:hAnsi="Times"/>
          <w:szCs w:val="26"/>
          <w:lang w:bidi="ar-SA"/>
        </w:rPr>
        <w:t>,</w:t>
      </w:r>
      <w:r w:rsidRPr="003D6E09">
        <w:rPr>
          <w:rFonts w:ascii="Times" w:eastAsia="Times New Roman" w:hAnsi="Times"/>
          <w:szCs w:val="26"/>
          <w:lang w:bidi="ar-SA"/>
        </w:rPr>
        <w:t xml:space="preserve"> for the first time on appeal.  (See </w:t>
      </w:r>
      <w:r w:rsidRPr="003D6E09">
        <w:rPr>
          <w:rFonts w:ascii="Times" w:eastAsia="Times New Roman" w:hAnsi="Times"/>
          <w:i/>
          <w:szCs w:val="26"/>
          <w:lang w:bidi="ar-SA"/>
        </w:rPr>
        <w:t>Hendy</w:t>
      </w:r>
      <w:r w:rsidR="003D6E09">
        <w:rPr>
          <w:rFonts w:ascii="Times" w:eastAsia="Times New Roman" w:hAnsi="Times"/>
          <w:szCs w:val="26"/>
          <w:lang w:bidi="ar-SA"/>
        </w:rPr>
        <w:t>, at p. </w:t>
      </w:r>
      <w:r w:rsidRPr="003D6E09">
        <w:rPr>
          <w:rFonts w:ascii="Times" w:eastAsia="Times New Roman" w:hAnsi="Times"/>
          <w:szCs w:val="26"/>
          <w:lang w:bidi="ar-SA"/>
        </w:rPr>
        <w:t>743.)</w:t>
      </w:r>
    </w:p>
    <w:p w14:paraId="06407CC6" w14:textId="652560EA" w:rsidR="003D6E09" w:rsidRPr="003D6E09" w:rsidRDefault="00F176F5" w:rsidP="003D6E09">
      <w:pPr>
        <w:ind w:firstLine="720"/>
        <w:rPr>
          <w:rFonts w:ascii="Times" w:eastAsia="Times New Roman" w:hAnsi="Times"/>
          <w:color w:val="000000"/>
          <w:szCs w:val="26"/>
          <w:shd w:val="clear" w:color="auto" w:fill="FFFFFF"/>
          <w:lang w:bidi="ar-SA"/>
        </w:rPr>
      </w:pPr>
      <w:r>
        <w:rPr>
          <w:rFonts w:ascii="Times" w:eastAsia="Times New Roman" w:hAnsi="Times"/>
          <w:szCs w:val="26"/>
          <w:lang w:bidi="ar-SA"/>
        </w:rPr>
        <w:t>Critically</w:t>
      </w:r>
      <w:r w:rsidR="003D6E09" w:rsidRPr="003D6E09">
        <w:rPr>
          <w:rFonts w:ascii="Times" w:eastAsia="Times New Roman" w:hAnsi="Times"/>
          <w:szCs w:val="26"/>
          <w:lang w:bidi="ar-SA"/>
        </w:rPr>
        <w:t xml:space="preserve">, </w:t>
      </w:r>
      <w:r w:rsidR="00B34A46">
        <w:rPr>
          <w:rFonts w:ascii="Times" w:hAnsi="Times"/>
          <w:szCs w:val="26"/>
        </w:rPr>
        <w:t xml:space="preserve">the sham pleading doctrine </w:t>
      </w:r>
      <w:r w:rsidR="00F20CA5">
        <w:rPr>
          <w:rFonts w:ascii="Times" w:hAnsi="Times"/>
          <w:szCs w:val="26"/>
        </w:rPr>
        <w:t>"</w:t>
      </w:r>
      <w:r w:rsidR="00B34A46">
        <w:rPr>
          <w:rFonts w:ascii="Times" w:hAnsi="Times"/>
          <w:szCs w:val="26"/>
        </w:rPr>
        <w:t>cannot be mechanically applied.</w:t>
      </w:r>
      <w:r w:rsidR="00F20CA5">
        <w:rPr>
          <w:rFonts w:ascii="Times" w:hAnsi="Times"/>
          <w:szCs w:val="26"/>
        </w:rPr>
        <w:t>"</w:t>
      </w:r>
      <w:r w:rsidR="00B34A46">
        <w:rPr>
          <w:rFonts w:ascii="Times" w:hAnsi="Times"/>
          <w:szCs w:val="26"/>
        </w:rPr>
        <w:t xml:space="preserve">  (</w:t>
      </w:r>
      <w:r w:rsidR="00B34A46" w:rsidRPr="002D629F">
        <w:rPr>
          <w:rFonts w:ascii="Times New Roman" w:eastAsia="Times New Roman" w:hAnsi="Times New Roman"/>
          <w:i/>
          <w:iCs/>
          <w:color w:val="000000"/>
          <w:szCs w:val="26"/>
          <w:shd w:val="clear" w:color="auto" w:fill="FFFFFF"/>
          <w:lang w:bidi="ar-SA"/>
        </w:rPr>
        <w:t>Avalon Painting Co. v. Alert Lumber Co</w:t>
      </w:r>
      <w:r w:rsidR="00B34A46" w:rsidRPr="002D629F">
        <w:rPr>
          <w:rFonts w:ascii="Times New Roman" w:eastAsia="Times New Roman" w:hAnsi="Times New Roman"/>
          <w:color w:val="000000"/>
          <w:szCs w:val="26"/>
          <w:shd w:val="clear" w:color="auto" w:fill="FFFFFF"/>
          <w:lang w:bidi="ar-SA"/>
        </w:rPr>
        <w:t>. (1965) 234 Cal.App.2d 17</w:t>
      </w:r>
      <w:r w:rsidR="00B34A46">
        <w:rPr>
          <w:rFonts w:ascii="Times New Roman" w:eastAsia="Times New Roman" w:hAnsi="Times New Roman"/>
          <w:color w:val="000000"/>
          <w:szCs w:val="26"/>
          <w:shd w:val="clear" w:color="auto" w:fill="FFFFFF"/>
          <w:lang w:bidi="ar-SA"/>
        </w:rPr>
        <w:t>8, 185 (</w:t>
      </w:r>
      <w:r w:rsidR="00B34A46">
        <w:rPr>
          <w:rFonts w:ascii="Times New Roman" w:eastAsia="Times New Roman" w:hAnsi="Times New Roman"/>
          <w:i/>
          <w:color w:val="000000"/>
          <w:szCs w:val="26"/>
          <w:shd w:val="clear" w:color="auto" w:fill="FFFFFF"/>
          <w:lang w:bidi="ar-SA"/>
        </w:rPr>
        <w:t>Avalon</w:t>
      </w:r>
      <w:r w:rsidR="00B34A46">
        <w:rPr>
          <w:rFonts w:ascii="Times New Roman" w:eastAsia="Times New Roman" w:hAnsi="Times New Roman"/>
          <w:color w:val="000000"/>
          <w:szCs w:val="26"/>
          <w:shd w:val="clear" w:color="auto" w:fill="FFFFFF"/>
          <w:lang w:bidi="ar-SA"/>
        </w:rPr>
        <w:t>)</w:t>
      </w:r>
      <w:r w:rsidR="00B34A46">
        <w:rPr>
          <w:rFonts w:ascii="Times" w:hAnsi="Times"/>
          <w:szCs w:val="26"/>
        </w:rPr>
        <w:t xml:space="preserve">.)  </w:t>
      </w:r>
      <w:r w:rsidR="000D45B4">
        <w:rPr>
          <w:rFonts w:ascii="Times" w:eastAsia="Times New Roman" w:hAnsi="Times"/>
          <w:color w:val="000000"/>
          <w:szCs w:val="26"/>
          <w:shd w:val="clear" w:color="auto" w:fill="FFFFFF"/>
          <w:lang w:bidi="ar-SA"/>
        </w:rPr>
        <w:t>It</w:t>
      </w:r>
      <w:r w:rsidR="003D6E09" w:rsidRPr="003D6E09">
        <w:rPr>
          <w:rFonts w:ascii="Times" w:eastAsia="Times New Roman" w:hAnsi="Times"/>
          <w:color w:val="000000"/>
          <w:szCs w:val="26"/>
          <w:shd w:val="clear" w:color="auto" w:fill="FFFFFF"/>
          <w:lang w:bidi="ar-SA"/>
        </w:rPr>
        <w:t xml:space="preserve"> </w:t>
      </w:r>
      <w:r w:rsidR="00F20CA5">
        <w:rPr>
          <w:rFonts w:ascii="Times" w:eastAsia="Times New Roman" w:hAnsi="Times"/>
          <w:color w:val="000000"/>
          <w:szCs w:val="26"/>
          <w:shd w:val="clear" w:color="auto" w:fill="FFFFFF"/>
          <w:lang w:bidi="ar-SA"/>
        </w:rPr>
        <w:t>"</w:t>
      </w:r>
      <w:r w:rsidR="003D6E09" w:rsidRPr="003D6E09">
        <w:rPr>
          <w:rFonts w:ascii="Times" w:eastAsia="Times New Roman" w:hAnsi="Times"/>
          <w:color w:val="000000"/>
          <w:szCs w:val="26"/>
          <w:shd w:val="clear" w:color="auto" w:fill="FFFFFF"/>
          <w:lang w:bidi="ar-SA"/>
        </w:rPr>
        <w:t>is not intended to prevent honest complainants from correcting erroneous allegations or prevent the correction of ambiguous facts.</w:t>
      </w:r>
      <w:r w:rsidR="00F20CA5">
        <w:rPr>
          <w:rFonts w:ascii="Times" w:eastAsia="Times New Roman" w:hAnsi="Times"/>
          <w:color w:val="000000"/>
          <w:szCs w:val="26"/>
          <w:shd w:val="clear" w:color="auto" w:fill="FFFFFF"/>
          <w:lang w:bidi="ar-SA"/>
        </w:rPr>
        <w:t>"</w:t>
      </w:r>
      <w:r w:rsidR="003D6E09" w:rsidRPr="003D6E09">
        <w:rPr>
          <w:rFonts w:ascii="Times" w:eastAsia="Times New Roman" w:hAnsi="Times"/>
          <w:color w:val="000000"/>
          <w:szCs w:val="26"/>
          <w:shd w:val="clear" w:color="auto" w:fill="FFFFFF"/>
          <w:lang w:bidi="ar-SA"/>
        </w:rPr>
        <w:t xml:space="preserve">  (</w:t>
      </w:r>
      <w:r w:rsidR="003D6E09" w:rsidRPr="003D6E09">
        <w:rPr>
          <w:rFonts w:ascii="Times" w:eastAsia="Times New Roman" w:hAnsi="Times"/>
          <w:i/>
          <w:color w:val="000000"/>
          <w:szCs w:val="26"/>
          <w:shd w:val="clear" w:color="auto" w:fill="FFFFFF"/>
          <w:lang w:bidi="ar-SA"/>
        </w:rPr>
        <w:t xml:space="preserve">Hahn v. </w:t>
      </w:r>
      <w:proofErr w:type="spellStart"/>
      <w:r w:rsidR="003D6E09" w:rsidRPr="003D6E09">
        <w:rPr>
          <w:rFonts w:ascii="Times" w:eastAsia="Times New Roman" w:hAnsi="Times"/>
          <w:i/>
          <w:color w:val="000000"/>
          <w:szCs w:val="26"/>
          <w:shd w:val="clear" w:color="auto" w:fill="FFFFFF"/>
          <w:lang w:bidi="ar-SA"/>
        </w:rPr>
        <w:t>Mirda</w:t>
      </w:r>
      <w:proofErr w:type="spellEnd"/>
      <w:r w:rsidR="003D6E09" w:rsidRPr="003D6E09">
        <w:rPr>
          <w:rFonts w:ascii="Times" w:eastAsia="Times New Roman" w:hAnsi="Times"/>
          <w:color w:val="000000"/>
          <w:szCs w:val="26"/>
          <w:shd w:val="clear" w:color="auto" w:fill="FFFFFF"/>
          <w:lang w:bidi="ar-SA"/>
        </w:rPr>
        <w:t xml:space="preserve"> (2007) 147 Cal.App.4th 740, 751.)</w:t>
      </w:r>
      <w:r w:rsidR="000D45B4">
        <w:rPr>
          <w:rFonts w:ascii="Times" w:eastAsia="Times New Roman" w:hAnsi="Times"/>
          <w:color w:val="000000"/>
          <w:szCs w:val="26"/>
          <w:shd w:val="clear" w:color="auto" w:fill="FFFFFF"/>
          <w:lang w:bidi="ar-SA"/>
        </w:rPr>
        <w:t xml:space="preserve">  Instead </w:t>
      </w:r>
      <w:r w:rsidR="00F20CA5">
        <w:rPr>
          <w:rFonts w:ascii="Times" w:eastAsia="Times New Roman" w:hAnsi="Times"/>
          <w:szCs w:val="26"/>
          <w:lang w:bidi="ar-SA"/>
        </w:rPr>
        <w:t>"</w:t>
      </w:r>
      <w:r w:rsidR="000D45B4">
        <w:rPr>
          <w:rFonts w:ascii="Times" w:eastAsia="Times New Roman" w:hAnsi="Times"/>
          <w:szCs w:val="26"/>
          <w:lang w:bidi="ar-SA"/>
        </w:rPr>
        <w:t>t</w:t>
      </w:r>
      <w:r w:rsidR="000D45B4" w:rsidRPr="003D6E09">
        <w:rPr>
          <w:rFonts w:ascii="Times" w:eastAsia="Times New Roman" w:hAnsi="Times"/>
          <w:szCs w:val="26"/>
          <w:lang w:bidi="ar-SA"/>
        </w:rPr>
        <w:t xml:space="preserve">he rule must be taken together with its purpose, which is to prevent </w:t>
      </w:r>
      <w:r w:rsidR="005F1515">
        <w:rPr>
          <w:rFonts w:ascii="Times" w:eastAsia="Times New Roman" w:hAnsi="Times"/>
          <w:szCs w:val="26"/>
          <w:lang w:bidi="ar-SA"/>
        </w:rPr>
        <w:t xml:space="preserve">[an] </w:t>
      </w:r>
      <w:r w:rsidR="000D45B4" w:rsidRPr="003D6E09">
        <w:rPr>
          <w:rFonts w:ascii="Times" w:eastAsia="Times New Roman" w:hAnsi="Times"/>
          <w:szCs w:val="26"/>
          <w:lang w:bidi="ar-SA"/>
        </w:rPr>
        <w:t>amended pleading which is only a sham, when it is apparent that no cause of action can be stated truthfully.</w:t>
      </w:r>
      <w:r w:rsidR="00F20CA5">
        <w:rPr>
          <w:rFonts w:ascii="Times" w:eastAsia="Times New Roman" w:hAnsi="Times"/>
          <w:szCs w:val="26"/>
          <w:lang w:bidi="ar-SA"/>
        </w:rPr>
        <w:t>"</w:t>
      </w:r>
      <w:r w:rsidR="000D45B4" w:rsidRPr="003D6E09">
        <w:rPr>
          <w:rFonts w:ascii="Times" w:eastAsia="Times New Roman" w:hAnsi="Times"/>
          <w:szCs w:val="26"/>
          <w:lang w:bidi="ar-SA"/>
        </w:rPr>
        <w:t xml:space="preserve">  (</w:t>
      </w:r>
      <w:r w:rsidR="000D45B4" w:rsidRPr="003D6E09">
        <w:rPr>
          <w:rFonts w:ascii="Times" w:eastAsia="Times New Roman" w:hAnsi="Times"/>
          <w:i/>
          <w:iCs/>
          <w:color w:val="000000"/>
          <w:szCs w:val="26"/>
          <w:shd w:val="clear" w:color="auto" w:fill="FFFFFF"/>
          <w:lang w:bidi="ar-SA"/>
        </w:rPr>
        <w:t>Callahan v. City and County of San Francisco</w:t>
      </w:r>
      <w:r w:rsidR="000D45B4" w:rsidRPr="003D6E09">
        <w:rPr>
          <w:rFonts w:ascii="Times" w:eastAsia="Times New Roman" w:hAnsi="Times"/>
          <w:color w:val="000000"/>
          <w:szCs w:val="26"/>
          <w:shd w:val="clear" w:color="auto" w:fill="FFFFFF"/>
          <w:lang w:bidi="ar-SA"/>
        </w:rPr>
        <w:t> (1967) 249 Cal.App.2d 696, 699</w:t>
      </w:r>
      <w:r w:rsidR="0045297D">
        <w:rPr>
          <w:rFonts w:ascii="Times" w:eastAsia="Times New Roman" w:hAnsi="Times"/>
          <w:color w:val="000000"/>
          <w:szCs w:val="26"/>
          <w:shd w:val="clear" w:color="auto" w:fill="FFFFFF"/>
          <w:lang w:bidi="ar-SA"/>
        </w:rPr>
        <w:t xml:space="preserve"> (</w:t>
      </w:r>
      <w:r w:rsidR="0045297D">
        <w:rPr>
          <w:rFonts w:ascii="Times" w:eastAsia="Times New Roman" w:hAnsi="Times"/>
          <w:i/>
          <w:color w:val="000000"/>
          <w:szCs w:val="26"/>
          <w:shd w:val="clear" w:color="auto" w:fill="FFFFFF"/>
          <w:lang w:bidi="ar-SA"/>
        </w:rPr>
        <w:t>Callahan</w:t>
      </w:r>
      <w:r w:rsidR="0045297D">
        <w:rPr>
          <w:rFonts w:ascii="Times" w:eastAsia="Times New Roman" w:hAnsi="Times"/>
          <w:color w:val="000000"/>
          <w:szCs w:val="26"/>
          <w:shd w:val="clear" w:color="auto" w:fill="FFFFFF"/>
          <w:lang w:bidi="ar-SA"/>
        </w:rPr>
        <w:t>)</w:t>
      </w:r>
      <w:r w:rsidR="000D45B4">
        <w:rPr>
          <w:rFonts w:ascii="Times" w:eastAsia="Times New Roman" w:hAnsi="Times"/>
          <w:color w:val="000000"/>
          <w:szCs w:val="26"/>
          <w:shd w:val="clear" w:color="auto" w:fill="FFFFFF"/>
          <w:lang w:bidi="ar-SA"/>
        </w:rPr>
        <w:t xml:space="preserve">; </w:t>
      </w:r>
      <w:r w:rsidR="000D45B4" w:rsidRPr="003D6E09">
        <w:rPr>
          <w:rFonts w:ascii="Times" w:eastAsia="Times New Roman" w:hAnsi="Times"/>
          <w:color w:val="000000"/>
          <w:szCs w:val="26"/>
          <w:shd w:val="clear" w:color="auto" w:fill="FFFFFF"/>
          <w:lang w:bidi="ar-SA"/>
        </w:rPr>
        <w:t xml:space="preserve">see </w:t>
      </w:r>
      <w:r w:rsidR="000D45B4" w:rsidRPr="003D6E09">
        <w:rPr>
          <w:rFonts w:ascii="Times" w:eastAsia="Times New Roman" w:hAnsi="Times"/>
          <w:i/>
          <w:color w:val="000000"/>
          <w:szCs w:val="26"/>
          <w:shd w:val="clear" w:color="auto" w:fill="FFFFFF"/>
          <w:lang w:bidi="ar-SA"/>
        </w:rPr>
        <w:t>McGee v. McNally</w:t>
      </w:r>
      <w:r w:rsidR="000D45B4" w:rsidRPr="003D6E09">
        <w:rPr>
          <w:rFonts w:ascii="Times" w:eastAsia="Times New Roman" w:hAnsi="Times"/>
          <w:color w:val="000000"/>
          <w:szCs w:val="26"/>
          <w:shd w:val="clear" w:color="auto" w:fill="FFFFFF"/>
          <w:lang w:bidi="ar-SA"/>
        </w:rPr>
        <w:t xml:space="preserve"> (1981) 119 Cal.App.3d 891, 897 </w:t>
      </w:r>
      <w:r w:rsidR="0045297D">
        <w:rPr>
          <w:rFonts w:ascii="Times" w:eastAsia="Times New Roman" w:hAnsi="Times"/>
          <w:color w:val="000000"/>
          <w:szCs w:val="26"/>
          <w:shd w:val="clear" w:color="auto" w:fill="FFFFFF"/>
          <w:lang w:bidi="ar-SA"/>
        </w:rPr>
        <w:t>(</w:t>
      </w:r>
      <w:r w:rsidR="0045297D">
        <w:rPr>
          <w:rFonts w:ascii="Times" w:eastAsia="Times New Roman" w:hAnsi="Times"/>
          <w:i/>
          <w:color w:val="000000"/>
          <w:szCs w:val="26"/>
          <w:shd w:val="clear" w:color="auto" w:fill="FFFFFF"/>
          <w:lang w:bidi="ar-SA"/>
        </w:rPr>
        <w:t>McGee</w:t>
      </w:r>
      <w:r w:rsidR="0045297D">
        <w:rPr>
          <w:rFonts w:ascii="Times" w:eastAsia="Times New Roman" w:hAnsi="Times"/>
          <w:color w:val="000000"/>
          <w:szCs w:val="26"/>
          <w:shd w:val="clear" w:color="auto" w:fill="FFFFFF"/>
          <w:lang w:bidi="ar-SA"/>
        </w:rPr>
        <w:t xml:space="preserve">) </w:t>
      </w:r>
      <w:r w:rsidR="000D45B4" w:rsidRPr="003D6E09">
        <w:rPr>
          <w:rFonts w:ascii="Times" w:eastAsia="Times New Roman" w:hAnsi="Times"/>
          <w:color w:val="000000"/>
          <w:szCs w:val="26"/>
          <w:shd w:val="clear" w:color="auto" w:fill="FFFFFF"/>
          <w:lang w:bidi="ar-SA"/>
        </w:rPr>
        <w:t>[</w:t>
      </w:r>
      <w:r w:rsidR="000D45B4">
        <w:rPr>
          <w:rFonts w:ascii="Times" w:eastAsia="Times New Roman" w:hAnsi="Times"/>
          <w:color w:val="000000"/>
          <w:szCs w:val="26"/>
          <w:shd w:val="clear" w:color="auto" w:fill="FFFFFF"/>
          <w:lang w:bidi="ar-SA"/>
        </w:rPr>
        <w:t>where omission did not</w:t>
      </w:r>
      <w:r w:rsidR="000D45B4" w:rsidRPr="003D6E09">
        <w:rPr>
          <w:rFonts w:ascii="Times" w:eastAsia="Times New Roman" w:hAnsi="Times"/>
          <w:color w:val="000000"/>
          <w:szCs w:val="26"/>
          <w:shd w:val="clear" w:color="auto" w:fill="FFFFFF"/>
          <w:lang w:bidi="ar-SA"/>
        </w:rPr>
        <w:t xml:space="preserve"> </w:t>
      </w:r>
      <w:r w:rsidR="00F20CA5">
        <w:rPr>
          <w:rFonts w:ascii="Times" w:eastAsia="Times New Roman" w:hAnsi="Times"/>
          <w:color w:val="000000"/>
          <w:szCs w:val="26"/>
          <w:shd w:val="clear" w:color="auto" w:fill="FFFFFF"/>
          <w:lang w:bidi="ar-SA"/>
        </w:rPr>
        <w:t>"</w:t>
      </w:r>
      <w:r w:rsidR="000D45B4" w:rsidRPr="003D6E09">
        <w:rPr>
          <w:rFonts w:ascii="Times" w:eastAsia="Times New Roman" w:hAnsi="Times"/>
          <w:color w:val="000000"/>
          <w:szCs w:val="26"/>
          <w:shd w:val="clear" w:color="auto" w:fill="FFFFFF"/>
          <w:lang w:bidi="ar-SA"/>
        </w:rPr>
        <w:t>impugn[] the credibility of appellants</w:t>
      </w:r>
      <w:r w:rsidR="00F20CA5">
        <w:rPr>
          <w:rFonts w:ascii="Times" w:eastAsia="Times New Roman" w:hAnsi="Times"/>
          <w:color w:val="000000"/>
          <w:szCs w:val="26"/>
          <w:shd w:val="clear" w:color="auto" w:fill="FFFFFF"/>
          <w:lang w:bidi="ar-SA"/>
        </w:rPr>
        <w:t>'</w:t>
      </w:r>
      <w:r w:rsidR="000D45B4" w:rsidRPr="003D6E09">
        <w:rPr>
          <w:rFonts w:ascii="Times" w:eastAsia="Times New Roman" w:hAnsi="Times"/>
          <w:color w:val="000000"/>
          <w:szCs w:val="26"/>
          <w:shd w:val="clear" w:color="auto" w:fill="FFFFFF"/>
          <w:lang w:bidi="ar-SA"/>
        </w:rPr>
        <w:t xml:space="preserve"> cause of action</w:t>
      </w:r>
      <w:r w:rsidR="000D45B4">
        <w:rPr>
          <w:rFonts w:ascii="Times" w:eastAsia="Times New Roman" w:hAnsi="Times"/>
          <w:color w:val="000000"/>
          <w:szCs w:val="26"/>
          <w:shd w:val="clear" w:color="auto" w:fill="FFFFFF"/>
          <w:lang w:bidi="ar-SA"/>
        </w:rPr>
        <w:t>,</w:t>
      </w:r>
      <w:r w:rsidR="00F20CA5">
        <w:rPr>
          <w:rFonts w:ascii="Times" w:eastAsia="Times New Roman" w:hAnsi="Times"/>
          <w:color w:val="000000"/>
          <w:szCs w:val="26"/>
          <w:shd w:val="clear" w:color="auto" w:fill="FFFFFF"/>
          <w:lang w:bidi="ar-SA"/>
        </w:rPr>
        <w:t>"</w:t>
      </w:r>
      <w:r w:rsidR="000D45B4">
        <w:rPr>
          <w:rFonts w:ascii="Times" w:eastAsia="Times New Roman" w:hAnsi="Times"/>
          <w:color w:val="000000"/>
          <w:szCs w:val="26"/>
          <w:shd w:val="clear" w:color="auto" w:fill="FFFFFF"/>
          <w:lang w:bidi="ar-SA"/>
        </w:rPr>
        <w:t xml:space="preserve"> amendment should have been allowed</w:t>
      </w:r>
      <w:r w:rsidR="000D45B4" w:rsidRPr="003D6E09">
        <w:rPr>
          <w:rFonts w:ascii="Times" w:eastAsia="Times New Roman" w:hAnsi="Times"/>
          <w:color w:val="000000"/>
          <w:szCs w:val="26"/>
          <w:shd w:val="clear" w:color="auto" w:fill="FFFFFF"/>
          <w:lang w:bidi="ar-SA"/>
        </w:rPr>
        <w:t>]</w:t>
      </w:r>
      <w:r w:rsidR="000D45B4">
        <w:rPr>
          <w:rFonts w:ascii="Times" w:eastAsia="Times New Roman" w:hAnsi="Times"/>
          <w:color w:val="000000"/>
          <w:szCs w:val="26"/>
          <w:shd w:val="clear" w:color="auto" w:fill="FFFFFF"/>
          <w:lang w:bidi="ar-SA"/>
        </w:rPr>
        <w:t>.)</w:t>
      </w:r>
    </w:p>
    <w:p w14:paraId="72FF7166" w14:textId="7CB88112" w:rsidR="0045297D" w:rsidRPr="008F7615" w:rsidRDefault="00F52F29" w:rsidP="0066411D">
      <w:pPr>
        <w:ind w:firstLine="720"/>
        <w:rPr>
          <w:rFonts w:ascii="Times" w:eastAsia="Times New Roman" w:hAnsi="Times"/>
          <w:szCs w:val="26"/>
          <w:lang w:bidi="ar-SA"/>
        </w:rPr>
      </w:pPr>
      <w:r>
        <w:rPr>
          <w:rFonts w:ascii="Times" w:eastAsia="Times New Roman" w:hAnsi="Times"/>
          <w:szCs w:val="26"/>
          <w:lang w:bidi="ar-SA"/>
        </w:rPr>
        <w:t>Contrary to David</w:t>
      </w:r>
      <w:r w:rsidR="00F20CA5">
        <w:rPr>
          <w:rFonts w:ascii="Times" w:eastAsia="Times New Roman" w:hAnsi="Times"/>
          <w:szCs w:val="26"/>
          <w:lang w:bidi="ar-SA"/>
        </w:rPr>
        <w:t>'</w:t>
      </w:r>
      <w:r>
        <w:rPr>
          <w:rFonts w:ascii="Times" w:eastAsia="Times New Roman" w:hAnsi="Times"/>
          <w:szCs w:val="26"/>
          <w:lang w:bidi="ar-SA"/>
        </w:rPr>
        <w:t xml:space="preserve">s </w:t>
      </w:r>
      <w:r w:rsidR="00781517">
        <w:rPr>
          <w:rFonts w:ascii="Times" w:eastAsia="Times New Roman" w:hAnsi="Times"/>
          <w:szCs w:val="26"/>
          <w:lang w:bidi="ar-SA"/>
        </w:rPr>
        <w:t>contention</w:t>
      </w:r>
      <w:r>
        <w:rPr>
          <w:rFonts w:ascii="Times" w:eastAsia="Times New Roman" w:hAnsi="Times"/>
          <w:szCs w:val="26"/>
          <w:lang w:bidi="ar-SA"/>
        </w:rPr>
        <w:t>, t</w:t>
      </w:r>
      <w:r w:rsidR="00E00A37">
        <w:rPr>
          <w:rFonts w:ascii="Times" w:eastAsia="Times New Roman" w:hAnsi="Times"/>
          <w:szCs w:val="26"/>
          <w:lang w:bidi="ar-SA"/>
        </w:rPr>
        <w:t xml:space="preserve">he sham pleading doctrine does not preclude Chase </w:t>
      </w:r>
      <w:r w:rsidR="00446089">
        <w:rPr>
          <w:rFonts w:ascii="Times" w:eastAsia="Times New Roman" w:hAnsi="Times"/>
          <w:szCs w:val="26"/>
          <w:lang w:bidi="ar-SA"/>
        </w:rPr>
        <w:t xml:space="preserve">from </w:t>
      </w:r>
      <w:r w:rsidR="006B0A70">
        <w:rPr>
          <w:rFonts w:ascii="Times" w:eastAsia="Times New Roman" w:hAnsi="Times"/>
          <w:szCs w:val="26"/>
          <w:lang w:bidi="ar-SA"/>
        </w:rPr>
        <w:t xml:space="preserve">omitting allegations of mistake </w:t>
      </w:r>
      <w:r w:rsidR="00446089">
        <w:rPr>
          <w:rFonts w:ascii="Times" w:eastAsia="Times New Roman" w:hAnsi="Times"/>
          <w:szCs w:val="26"/>
          <w:lang w:bidi="ar-SA"/>
        </w:rPr>
        <w:t xml:space="preserve">in </w:t>
      </w:r>
      <w:r w:rsidR="006B0A70">
        <w:rPr>
          <w:rFonts w:ascii="Times" w:eastAsia="Times New Roman" w:hAnsi="Times"/>
          <w:szCs w:val="26"/>
          <w:lang w:bidi="ar-SA"/>
        </w:rPr>
        <w:t xml:space="preserve">its complaint and reframing its </w:t>
      </w:r>
      <w:r w:rsidR="006B0A70" w:rsidRPr="00D67325">
        <w:rPr>
          <w:rFonts w:ascii="Times" w:eastAsia="Times New Roman" w:hAnsi="Times"/>
          <w:szCs w:val="26"/>
          <w:lang w:bidi="ar-SA"/>
        </w:rPr>
        <w:t xml:space="preserve">action </w:t>
      </w:r>
      <w:r w:rsidR="00E621B8" w:rsidRPr="00D67325">
        <w:rPr>
          <w:rFonts w:ascii="Times" w:eastAsia="Times New Roman" w:hAnsi="Times"/>
          <w:szCs w:val="26"/>
          <w:lang w:bidi="ar-SA"/>
        </w:rPr>
        <w:t>in the manner urged on appeal</w:t>
      </w:r>
      <w:r w:rsidR="00E00A37" w:rsidRPr="00D67325">
        <w:rPr>
          <w:rFonts w:ascii="Times" w:eastAsia="Times New Roman" w:hAnsi="Times"/>
          <w:szCs w:val="26"/>
          <w:lang w:bidi="ar-SA"/>
        </w:rPr>
        <w:t xml:space="preserve">.  </w:t>
      </w:r>
      <w:r w:rsidR="008F7615" w:rsidRPr="00D67325">
        <w:rPr>
          <w:rFonts w:ascii="Times" w:eastAsia="Times New Roman" w:hAnsi="Times"/>
          <w:szCs w:val="26"/>
          <w:lang w:bidi="ar-SA"/>
        </w:rPr>
        <w:t xml:space="preserve">In </w:t>
      </w:r>
      <w:r w:rsidR="008F7615" w:rsidRPr="00D67325">
        <w:rPr>
          <w:rFonts w:ascii="Times" w:eastAsia="Times New Roman" w:hAnsi="Times"/>
          <w:i/>
          <w:szCs w:val="26"/>
          <w:lang w:bidi="ar-SA"/>
        </w:rPr>
        <w:t>Callahan</w:t>
      </w:r>
      <w:r w:rsidR="008F7615" w:rsidRPr="00D67325">
        <w:rPr>
          <w:rFonts w:ascii="Times" w:eastAsia="Times New Roman" w:hAnsi="Times"/>
          <w:szCs w:val="26"/>
          <w:lang w:bidi="ar-SA"/>
        </w:rPr>
        <w:t>,</w:t>
      </w:r>
      <w:r w:rsidR="008F7615" w:rsidRPr="00D67325">
        <w:rPr>
          <w:rFonts w:ascii="Times" w:eastAsia="Times New Roman" w:hAnsi="Times"/>
          <w:i/>
          <w:szCs w:val="26"/>
          <w:lang w:bidi="ar-SA"/>
        </w:rPr>
        <w:t xml:space="preserve"> supra</w:t>
      </w:r>
      <w:r w:rsidR="008F7615" w:rsidRPr="00D67325">
        <w:rPr>
          <w:rFonts w:ascii="Times" w:eastAsia="Times New Roman" w:hAnsi="Times"/>
          <w:szCs w:val="26"/>
          <w:lang w:bidi="ar-SA"/>
        </w:rPr>
        <w:t xml:space="preserve">, 249 Cal.App.2d 696, </w:t>
      </w:r>
      <w:r w:rsidR="00B33525" w:rsidRPr="00D67325">
        <w:rPr>
          <w:rFonts w:ascii="Times" w:eastAsia="Times New Roman" w:hAnsi="Times"/>
          <w:szCs w:val="26"/>
          <w:lang w:bidi="ar-SA"/>
        </w:rPr>
        <w:t xml:space="preserve">698, </w:t>
      </w:r>
      <w:r w:rsidR="008F7615" w:rsidRPr="00D67325">
        <w:rPr>
          <w:rFonts w:ascii="Times" w:eastAsia="Times New Roman" w:hAnsi="Times"/>
          <w:szCs w:val="26"/>
          <w:lang w:bidi="ar-SA"/>
        </w:rPr>
        <w:t>a plaintiff sued the City of San Francisco</w:t>
      </w:r>
      <w:r w:rsidR="0045297D" w:rsidRPr="00D67325">
        <w:rPr>
          <w:rFonts w:ascii="Times" w:eastAsia="Times New Roman" w:hAnsi="Times"/>
          <w:szCs w:val="26"/>
          <w:lang w:bidi="ar-SA"/>
        </w:rPr>
        <w:t xml:space="preserve"> for negligently maintaining </w:t>
      </w:r>
      <w:r w:rsidR="00F279DD" w:rsidRPr="00D67325">
        <w:rPr>
          <w:rFonts w:ascii="Times" w:eastAsia="Times New Roman" w:hAnsi="Times"/>
          <w:szCs w:val="26"/>
          <w:lang w:bidi="ar-SA"/>
        </w:rPr>
        <w:t>its roads</w:t>
      </w:r>
      <w:r w:rsidR="0045297D" w:rsidRPr="00D67325">
        <w:rPr>
          <w:rFonts w:ascii="Times" w:eastAsia="Times New Roman" w:hAnsi="Times"/>
          <w:szCs w:val="26"/>
          <w:lang w:bidi="ar-SA"/>
        </w:rPr>
        <w:t xml:space="preserve"> after </w:t>
      </w:r>
      <w:r w:rsidR="00824069" w:rsidRPr="00D67325">
        <w:rPr>
          <w:rFonts w:ascii="Times" w:eastAsia="Times New Roman" w:hAnsi="Times"/>
          <w:szCs w:val="26"/>
          <w:lang w:bidi="ar-SA"/>
        </w:rPr>
        <w:t xml:space="preserve">the </w:t>
      </w:r>
      <w:r w:rsidR="0045297D" w:rsidRPr="00D67325">
        <w:rPr>
          <w:rFonts w:ascii="Times" w:eastAsia="Times New Roman" w:hAnsi="Times"/>
          <w:szCs w:val="26"/>
          <w:lang w:bidi="ar-SA"/>
        </w:rPr>
        <w:t xml:space="preserve">car </w:t>
      </w:r>
      <w:r w:rsidR="00824069" w:rsidRPr="00D67325">
        <w:rPr>
          <w:rFonts w:ascii="Times" w:eastAsia="Times New Roman" w:hAnsi="Times"/>
          <w:szCs w:val="26"/>
          <w:lang w:bidi="ar-SA"/>
        </w:rPr>
        <w:t xml:space="preserve">she was a passenger in </w:t>
      </w:r>
      <w:r w:rsidR="0045297D" w:rsidRPr="00D67325">
        <w:rPr>
          <w:rFonts w:ascii="Times" w:eastAsia="Times New Roman" w:hAnsi="Times"/>
          <w:szCs w:val="26"/>
          <w:lang w:bidi="ar-SA"/>
        </w:rPr>
        <w:t>careened into a lake, paralyzing her.  In a prior complaint</w:t>
      </w:r>
      <w:r w:rsidR="0045297D">
        <w:rPr>
          <w:rFonts w:ascii="Times" w:eastAsia="Times New Roman" w:hAnsi="Times"/>
          <w:szCs w:val="26"/>
          <w:lang w:bidi="ar-SA"/>
        </w:rPr>
        <w:t xml:space="preserve"> against only the driver</w:t>
      </w:r>
      <w:r w:rsidR="00A73581">
        <w:rPr>
          <w:rFonts w:ascii="Times" w:eastAsia="Times New Roman" w:hAnsi="Times"/>
          <w:szCs w:val="26"/>
          <w:lang w:bidi="ar-SA"/>
        </w:rPr>
        <w:t xml:space="preserve"> of her car</w:t>
      </w:r>
      <w:r w:rsidR="0045297D">
        <w:rPr>
          <w:rFonts w:ascii="Times" w:eastAsia="Times New Roman" w:hAnsi="Times"/>
          <w:szCs w:val="26"/>
          <w:lang w:bidi="ar-SA"/>
        </w:rPr>
        <w:t xml:space="preserve">, she alleged that he engaged in willful misconduct.  That allegation was dropped in the </w:t>
      </w:r>
      <w:r w:rsidR="00800524">
        <w:rPr>
          <w:rFonts w:ascii="Times" w:eastAsia="Times New Roman" w:hAnsi="Times"/>
          <w:szCs w:val="26"/>
          <w:lang w:bidi="ar-SA"/>
        </w:rPr>
        <w:t>operative complaint</w:t>
      </w:r>
      <w:r w:rsidR="0045297D">
        <w:rPr>
          <w:rFonts w:ascii="Times" w:eastAsia="Times New Roman" w:hAnsi="Times"/>
          <w:szCs w:val="26"/>
          <w:lang w:bidi="ar-SA"/>
        </w:rPr>
        <w:t>.  (</w:t>
      </w:r>
      <w:r w:rsidR="0045297D">
        <w:rPr>
          <w:rFonts w:ascii="Times" w:eastAsia="Times New Roman" w:hAnsi="Times"/>
          <w:i/>
          <w:szCs w:val="26"/>
          <w:lang w:bidi="ar-SA"/>
        </w:rPr>
        <w:t>Id.</w:t>
      </w:r>
      <w:r w:rsidR="0045297D">
        <w:rPr>
          <w:rFonts w:ascii="Times" w:eastAsia="Times New Roman" w:hAnsi="Times"/>
          <w:szCs w:val="26"/>
          <w:lang w:bidi="ar-SA"/>
        </w:rPr>
        <w:t xml:space="preserve"> at pp.</w:t>
      </w:r>
      <w:r w:rsidR="00824069">
        <w:rPr>
          <w:rFonts w:ascii="Times" w:eastAsia="Times New Roman" w:hAnsi="Times"/>
          <w:szCs w:val="26"/>
          <w:lang w:bidi="ar-SA"/>
        </w:rPr>
        <w:t> </w:t>
      </w:r>
      <w:r w:rsidR="0045297D">
        <w:rPr>
          <w:rFonts w:ascii="Times" w:eastAsia="Times New Roman" w:hAnsi="Times"/>
          <w:szCs w:val="26"/>
          <w:lang w:bidi="ar-SA"/>
        </w:rPr>
        <w:t>698</w:t>
      </w:r>
      <w:r w:rsidR="0045297D">
        <w:rPr>
          <w:rFonts w:ascii="Times" w:eastAsia="Times New Roman" w:hAnsi="Times" w:cs="Times"/>
          <w:szCs w:val="26"/>
          <w:lang w:bidi="ar-SA"/>
        </w:rPr>
        <w:t>−</w:t>
      </w:r>
      <w:r w:rsidR="0045297D">
        <w:rPr>
          <w:rFonts w:ascii="Times" w:eastAsia="Times New Roman" w:hAnsi="Times"/>
          <w:szCs w:val="26"/>
          <w:lang w:bidi="ar-SA"/>
        </w:rPr>
        <w:t>699.)  Relying on the earlier allegation, the court sustained the demurrer.  (</w:t>
      </w:r>
      <w:r w:rsidR="0045297D">
        <w:rPr>
          <w:rFonts w:ascii="Times" w:eastAsia="Times New Roman" w:hAnsi="Times"/>
          <w:i/>
          <w:szCs w:val="26"/>
          <w:lang w:bidi="ar-SA"/>
        </w:rPr>
        <w:t>Id.</w:t>
      </w:r>
      <w:r w:rsidR="0045297D">
        <w:rPr>
          <w:rFonts w:ascii="Times" w:eastAsia="Times New Roman" w:hAnsi="Times"/>
          <w:szCs w:val="26"/>
          <w:lang w:bidi="ar-SA"/>
        </w:rPr>
        <w:t xml:space="preserve"> at p.</w:t>
      </w:r>
      <w:r w:rsidR="00824069">
        <w:rPr>
          <w:rFonts w:ascii="Times" w:eastAsia="Times New Roman" w:hAnsi="Times"/>
          <w:szCs w:val="26"/>
          <w:lang w:bidi="ar-SA"/>
        </w:rPr>
        <w:t> </w:t>
      </w:r>
      <w:r w:rsidR="00800524">
        <w:rPr>
          <w:rFonts w:ascii="Times" w:eastAsia="Times New Roman" w:hAnsi="Times"/>
          <w:szCs w:val="26"/>
          <w:lang w:bidi="ar-SA"/>
        </w:rPr>
        <w:t>698</w:t>
      </w:r>
      <w:r w:rsidR="0045297D">
        <w:rPr>
          <w:rFonts w:ascii="Times" w:eastAsia="Times New Roman" w:hAnsi="Times"/>
          <w:szCs w:val="26"/>
          <w:lang w:bidi="ar-SA"/>
        </w:rPr>
        <w:t xml:space="preserve">.)  </w:t>
      </w:r>
      <w:r w:rsidR="00A73581">
        <w:rPr>
          <w:rFonts w:ascii="Times" w:eastAsia="Times New Roman" w:hAnsi="Times"/>
          <w:szCs w:val="26"/>
          <w:lang w:bidi="ar-SA"/>
        </w:rPr>
        <w:t xml:space="preserve">Reversing, the appellate court explained that </w:t>
      </w:r>
      <w:r w:rsidR="0045297D">
        <w:rPr>
          <w:rFonts w:ascii="Times" w:eastAsia="Times New Roman" w:hAnsi="Times"/>
          <w:szCs w:val="26"/>
          <w:lang w:bidi="ar-SA"/>
        </w:rPr>
        <w:t xml:space="preserve">the sham pleading doctrine did not apply.  </w:t>
      </w:r>
      <w:r w:rsidR="0045297D" w:rsidRPr="0045297D">
        <w:rPr>
          <w:rFonts w:ascii="Times" w:eastAsia="Times New Roman" w:hAnsi="Times"/>
          <w:szCs w:val="26"/>
        </w:rPr>
        <w:t xml:space="preserve">The allegation of willful misconduct in the earlier complaint was </w:t>
      </w:r>
      <w:r w:rsidR="00F20CA5">
        <w:rPr>
          <w:rFonts w:ascii="Times" w:eastAsia="Times New Roman" w:hAnsi="Times"/>
          <w:szCs w:val="26"/>
        </w:rPr>
        <w:t>"</w:t>
      </w:r>
      <w:r w:rsidR="0045297D" w:rsidRPr="0045297D">
        <w:rPr>
          <w:rFonts w:ascii="Times" w:eastAsia="Times New Roman" w:hAnsi="Times"/>
          <w:szCs w:val="26"/>
        </w:rPr>
        <w:t>but an allegation of a conclusion</w:t>
      </w:r>
      <w:r w:rsidR="00F20CA5">
        <w:rPr>
          <w:rFonts w:ascii="Times" w:eastAsia="Times New Roman" w:hAnsi="Times"/>
          <w:szCs w:val="26"/>
        </w:rPr>
        <w:t>"</w:t>
      </w:r>
      <w:r w:rsidR="0045297D" w:rsidRPr="0045297D">
        <w:rPr>
          <w:rFonts w:ascii="Times" w:eastAsia="Times New Roman" w:hAnsi="Times"/>
          <w:szCs w:val="26"/>
        </w:rPr>
        <w:t xml:space="preserve"> on a question that was </w:t>
      </w:r>
      <w:r w:rsidR="00F20CA5">
        <w:rPr>
          <w:rFonts w:ascii="Times" w:eastAsia="Times New Roman" w:hAnsi="Times"/>
          <w:szCs w:val="26"/>
        </w:rPr>
        <w:t>"</w:t>
      </w:r>
      <w:r w:rsidR="0045297D" w:rsidRPr="0045297D">
        <w:rPr>
          <w:rFonts w:ascii="Times" w:eastAsia="Times New Roman" w:hAnsi="Times"/>
          <w:szCs w:val="26"/>
        </w:rPr>
        <w:t>essentially a question of fact.</w:t>
      </w:r>
      <w:r w:rsidR="00F20CA5">
        <w:rPr>
          <w:rFonts w:ascii="Times" w:eastAsia="Times New Roman" w:hAnsi="Times"/>
          <w:szCs w:val="26"/>
        </w:rPr>
        <w:t>"</w:t>
      </w:r>
      <w:r w:rsidR="0045297D" w:rsidRPr="0045297D">
        <w:rPr>
          <w:rFonts w:ascii="Times" w:eastAsia="Times New Roman" w:hAnsi="Times"/>
          <w:szCs w:val="26"/>
        </w:rPr>
        <w:t xml:space="preserve">  (</w:t>
      </w:r>
      <w:r w:rsidR="0045297D" w:rsidRPr="0045297D">
        <w:rPr>
          <w:rFonts w:ascii="Times" w:eastAsia="Times New Roman" w:hAnsi="Times"/>
          <w:i/>
          <w:szCs w:val="26"/>
        </w:rPr>
        <w:t>Id.</w:t>
      </w:r>
      <w:r w:rsidR="0045297D" w:rsidRPr="0045297D">
        <w:rPr>
          <w:rFonts w:ascii="Times" w:eastAsia="Times New Roman" w:hAnsi="Times"/>
          <w:szCs w:val="26"/>
        </w:rPr>
        <w:t xml:space="preserve"> at p</w:t>
      </w:r>
      <w:r w:rsidR="007E4111">
        <w:rPr>
          <w:rFonts w:ascii="Times" w:eastAsia="Times New Roman" w:hAnsi="Times"/>
          <w:szCs w:val="26"/>
        </w:rPr>
        <w:t>p</w:t>
      </w:r>
      <w:r w:rsidR="0045297D" w:rsidRPr="0045297D">
        <w:rPr>
          <w:rFonts w:ascii="Times" w:eastAsia="Times New Roman" w:hAnsi="Times"/>
          <w:szCs w:val="26"/>
        </w:rPr>
        <w:t>.</w:t>
      </w:r>
      <w:r w:rsidR="0006070C">
        <w:rPr>
          <w:rFonts w:ascii="Times" w:eastAsia="Times New Roman" w:hAnsi="Times"/>
          <w:szCs w:val="26"/>
        </w:rPr>
        <w:t> </w:t>
      </w:r>
      <w:r w:rsidR="0045297D" w:rsidRPr="0045297D">
        <w:rPr>
          <w:rFonts w:ascii="Times" w:eastAsia="Times New Roman" w:hAnsi="Times"/>
          <w:szCs w:val="26"/>
        </w:rPr>
        <w:t>699</w:t>
      </w:r>
      <w:r w:rsidR="00971A29">
        <w:rPr>
          <w:rFonts w:ascii="Times" w:eastAsia="Times New Roman" w:hAnsi="Times"/>
          <w:szCs w:val="26"/>
        </w:rPr>
        <w:t>–</w:t>
      </w:r>
      <w:r w:rsidR="0045297D" w:rsidRPr="0045297D">
        <w:rPr>
          <w:rFonts w:ascii="Times" w:eastAsia="Times New Roman" w:hAnsi="Times"/>
          <w:szCs w:val="26"/>
        </w:rPr>
        <w:t xml:space="preserve">700.)  </w:t>
      </w:r>
      <w:r w:rsidR="00F20CA5">
        <w:rPr>
          <w:rFonts w:ascii="Times" w:eastAsia="Times New Roman" w:hAnsi="Times"/>
          <w:szCs w:val="26"/>
        </w:rPr>
        <w:t>"</w:t>
      </w:r>
      <w:r w:rsidR="0045297D" w:rsidRPr="0045297D">
        <w:rPr>
          <w:rFonts w:ascii="Times" w:eastAsia="Times New Roman" w:hAnsi="Times"/>
          <w:szCs w:val="26"/>
        </w:rPr>
        <w:t>It would be unfair to give the city the benefit, at the pleading stage, of assuming that these generic allegations against another may be taken as proved.</w:t>
      </w:r>
      <w:r w:rsidR="00F20CA5">
        <w:rPr>
          <w:rFonts w:ascii="Times" w:eastAsia="Times New Roman" w:hAnsi="Times"/>
          <w:szCs w:val="26"/>
        </w:rPr>
        <w:t>"</w:t>
      </w:r>
      <w:r w:rsidR="0045297D" w:rsidRPr="0045297D">
        <w:rPr>
          <w:rFonts w:ascii="Times" w:eastAsia="Times New Roman" w:hAnsi="Times"/>
          <w:szCs w:val="26"/>
        </w:rPr>
        <w:t xml:space="preserve">  (</w:t>
      </w:r>
      <w:r w:rsidR="0045297D" w:rsidRPr="0045297D">
        <w:rPr>
          <w:rFonts w:ascii="Times" w:eastAsia="Times New Roman" w:hAnsi="Times"/>
          <w:i/>
          <w:szCs w:val="26"/>
        </w:rPr>
        <w:t>Id.</w:t>
      </w:r>
      <w:r w:rsidR="0045297D" w:rsidRPr="0045297D">
        <w:rPr>
          <w:rFonts w:ascii="Times" w:eastAsia="Times New Roman" w:hAnsi="Times"/>
          <w:szCs w:val="26"/>
        </w:rPr>
        <w:t xml:space="preserve"> at p.</w:t>
      </w:r>
      <w:r w:rsidR="0006070C">
        <w:rPr>
          <w:rFonts w:ascii="Times" w:eastAsia="Times New Roman" w:hAnsi="Times"/>
          <w:szCs w:val="26"/>
        </w:rPr>
        <w:t> </w:t>
      </w:r>
      <w:r w:rsidR="0045297D" w:rsidRPr="0045297D">
        <w:rPr>
          <w:rFonts w:ascii="Times" w:eastAsia="Times New Roman" w:hAnsi="Times"/>
          <w:szCs w:val="26"/>
        </w:rPr>
        <w:t>700.)</w:t>
      </w:r>
    </w:p>
    <w:p w14:paraId="4CAE3C1B" w14:textId="79F8F766" w:rsidR="00B5681C" w:rsidRDefault="002D629F" w:rsidP="00235E18">
      <w:pPr>
        <w:ind w:firstLine="720"/>
        <w:rPr>
          <w:rFonts w:ascii="Times New Roman" w:eastAsia="Times New Roman" w:hAnsi="Times New Roman"/>
          <w:color w:val="000000"/>
          <w:szCs w:val="26"/>
          <w:shd w:val="clear" w:color="auto" w:fill="FFFFFF"/>
          <w:lang w:bidi="ar-SA"/>
        </w:rPr>
      </w:pPr>
      <w:r>
        <w:rPr>
          <w:rFonts w:ascii="Times" w:eastAsia="Times New Roman" w:hAnsi="Times"/>
          <w:szCs w:val="26"/>
          <w:lang w:bidi="ar-SA"/>
        </w:rPr>
        <w:t xml:space="preserve">The sham pleading doctrine likewise did not apply in </w:t>
      </w:r>
      <w:r w:rsidRPr="002D629F">
        <w:rPr>
          <w:rFonts w:ascii="Times New Roman" w:eastAsia="Times New Roman" w:hAnsi="Times New Roman"/>
          <w:i/>
          <w:iCs/>
          <w:color w:val="000000"/>
          <w:szCs w:val="26"/>
          <w:shd w:val="clear" w:color="auto" w:fill="FFFFFF"/>
          <w:lang w:bidi="ar-SA"/>
        </w:rPr>
        <w:t>Avalon</w:t>
      </w:r>
      <w:r w:rsidR="00B34A46" w:rsidRPr="00E12132">
        <w:rPr>
          <w:rFonts w:ascii="Times New Roman" w:eastAsia="Times New Roman" w:hAnsi="Times New Roman"/>
          <w:iCs/>
          <w:color w:val="000000"/>
          <w:szCs w:val="26"/>
          <w:shd w:val="clear" w:color="auto" w:fill="FFFFFF"/>
          <w:lang w:bidi="ar-SA"/>
        </w:rPr>
        <w:t>,</w:t>
      </w:r>
      <w:r w:rsidR="00B34A46">
        <w:rPr>
          <w:rFonts w:ascii="Times New Roman" w:eastAsia="Times New Roman" w:hAnsi="Times New Roman"/>
          <w:i/>
          <w:iCs/>
          <w:color w:val="000000"/>
          <w:szCs w:val="26"/>
          <w:shd w:val="clear" w:color="auto" w:fill="FFFFFF"/>
          <w:lang w:bidi="ar-SA"/>
        </w:rPr>
        <w:t xml:space="preserve"> supra</w:t>
      </w:r>
      <w:r w:rsidR="00B34A46" w:rsidRPr="00E12132">
        <w:rPr>
          <w:rFonts w:ascii="Times New Roman" w:eastAsia="Times New Roman" w:hAnsi="Times New Roman"/>
          <w:iCs/>
          <w:color w:val="000000"/>
          <w:szCs w:val="26"/>
          <w:shd w:val="clear" w:color="auto" w:fill="FFFFFF"/>
          <w:lang w:bidi="ar-SA"/>
        </w:rPr>
        <w:t>,</w:t>
      </w:r>
      <w:r w:rsidR="00B34A46">
        <w:rPr>
          <w:rFonts w:ascii="Times New Roman" w:eastAsia="Times New Roman" w:hAnsi="Times New Roman"/>
          <w:i/>
          <w:iCs/>
          <w:color w:val="000000"/>
          <w:szCs w:val="26"/>
          <w:shd w:val="clear" w:color="auto" w:fill="FFFFFF"/>
          <w:lang w:bidi="ar-SA"/>
        </w:rPr>
        <w:t xml:space="preserve"> </w:t>
      </w:r>
      <w:r w:rsidRPr="002D629F">
        <w:rPr>
          <w:rFonts w:ascii="Times New Roman" w:eastAsia="Times New Roman" w:hAnsi="Times New Roman"/>
          <w:color w:val="000000"/>
          <w:szCs w:val="26"/>
          <w:shd w:val="clear" w:color="auto" w:fill="FFFFFF"/>
          <w:lang w:bidi="ar-SA"/>
        </w:rPr>
        <w:t>234 Cal.App.2d 17</w:t>
      </w:r>
      <w:r>
        <w:rPr>
          <w:rFonts w:ascii="Times New Roman" w:eastAsia="Times New Roman" w:hAnsi="Times New Roman"/>
          <w:color w:val="000000"/>
          <w:szCs w:val="26"/>
          <w:shd w:val="clear" w:color="auto" w:fill="FFFFFF"/>
          <w:lang w:bidi="ar-SA"/>
        </w:rPr>
        <w:t xml:space="preserve">8.  In its original cross-complaint, painting subcontractor Avalon alleged an agency relationship between the paint manufacturer and retailer.  This allegation was fatal to its breach of warranty </w:t>
      </w:r>
      <w:r w:rsidR="00235E18">
        <w:rPr>
          <w:rFonts w:ascii="Times New Roman" w:eastAsia="Times New Roman" w:hAnsi="Times New Roman"/>
          <w:color w:val="000000"/>
          <w:szCs w:val="26"/>
          <w:shd w:val="clear" w:color="auto" w:fill="FFFFFF"/>
          <w:lang w:bidi="ar-SA"/>
        </w:rPr>
        <w:t>cross-</w:t>
      </w:r>
      <w:r>
        <w:rPr>
          <w:rFonts w:ascii="Times New Roman" w:eastAsia="Times New Roman" w:hAnsi="Times New Roman"/>
          <w:color w:val="000000"/>
          <w:szCs w:val="26"/>
          <w:shd w:val="clear" w:color="auto" w:fill="FFFFFF"/>
          <w:lang w:bidi="ar-SA"/>
        </w:rPr>
        <w:t>claim against the retailer</w:t>
      </w:r>
      <w:r w:rsidR="006B0A70">
        <w:rPr>
          <w:rFonts w:ascii="Times New Roman" w:eastAsia="Times New Roman" w:hAnsi="Times New Roman"/>
          <w:color w:val="000000"/>
          <w:szCs w:val="26"/>
          <w:shd w:val="clear" w:color="auto" w:fill="FFFFFF"/>
          <w:lang w:bidi="ar-SA"/>
        </w:rPr>
        <w:t>;</w:t>
      </w:r>
      <w:r w:rsidR="00B5681C">
        <w:rPr>
          <w:rFonts w:ascii="Times New Roman" w:eastAsia="Times New Roman" w:hAnsi="Times New Roman"/>
          <w:color w:val="000000"/>
          <w:szCs w:val="26"/>
          <w:shd w:val="clear" w:color="auto" w:fill="FFFFFF"/>
          <w:lang w:bidi="ar-SA"/>
        </w:rPr>
        <w:t xml:space="preserve"> a known agent of a disclosed principal could not be liable for warranty breach</w:t>
      </w:r>
      <w:r>
        <w:rPr>
          <w:rFonts w:ascii="Times New Roman" w:eastAsia="Times New Roman" w:hAnsi="Times New Roman"/>
          <w:color w:val="000000"/>
          <w:szCs w:val="26"/>
          <w:shd w:val="clear" w:color="auto" w:fill="FFFFFF"/>
          <w:lang w:bidi="ar-SA"/>
        </w:rPr>
        <w:t>.  (</w:t>
      </w:r>
      <w:r>
        <w:rPr>
          <w:rFonts w:ascii="Times New Roman" w:eastAsia="Times New Roman" w:hAnsi="Times New Roman"/>
          <w:i/>
          <w:color w:val="000000"/>
          <w:szCs w:val="26"/>
          <w:shd w:val="clear" w:color="auto" w:fill="FFFFFF"/>
          <w:lang w:bidi="ar-SA"/>
        </w:rPr>
        <w:t>Id.</w:t>
      </w:r>
      <w:r>
        <w:rPr>
          <w:rFonts w:ascii="Times New Roman" w:eastAsia="Times New Roman" w:hAnsi="Times New Roman"/>
          <w:color w:val="000000"/>
          <w:szCs w:val="26"/>
          <w:shd w:val="clear" w:color="auto" w:fill="FFFFFF"/>
          <w:lang w:bidi="ar-SA"/>
        </w:rPr>
        <w:t xml:space="preserve"> at p. 182.)  Nevertheless, </w:t>
      </w:r>
      <w:r w:rsidR="002E1C47">
        <w:rPr>
          <w:rFonts w:ascii="Times New Roman" w:eastAsia="Times New Roman" w:hAnsi="Times New Roman"/>
          <w:color w:val="000000"/>
          <w:szCs w:val="26"/>
          <w:shd w:val="clear" w:color="auto" w:fill="FFFFFF"/>
          <w:lang w:bidi="ar-SA"/>
        </w:rPr>
        <w:t>an amended pleading could omit that allegation and simply allege a manufacturer-retailer relationship</w:t>
      </w:r>
      <w:r>
        <w:rPr>
          <w:rFonts w:ascii="Times New Roman" w:eastAsia="Times New Roman" w:hAnsi="Times New Roman"/>
          <w:color w:val="000000"/>
          <w:szCs w:val="26"/>
          <w:shd w:val="clear" w:color="auto" w:fill="FFFFFF"/>
          <w:lang w:bidi="ar-SA"/>
        </w:rPr>
        <w:t xml:space="preserve"> without </w:t>
      </w:r>
      <w:r w:rsidR="001A2F04">
        <w:rPr>
          <w:rFonts w:ascii="Times New Roman" w:eastAsia="Times New Roman" w:hAnsi="Times New Roman"/>
          <w:color w:val="000000"/>
          <w:szCs w:val="26"/>
          <w:shd w:val="clear" w:color="auto" w:fill="FFFFFF"/>
          <w:lang w:bidi="ar-SA"/>
        </w:rPr>
        <w:t xml:space="preserve">triggering </w:t>
      </w:r>
      <w:r>
        <w:rPr>
          <w:rFonts w:ascii="Times New Roman" w:eastAsia="Times New Roman" w:hAnsi="Times New Roman"/>
          <w:color w:val="000000"/>
          <w:szCs w:val="26"/>
          <w:shd w:val="clear" w:color="auto" w:fill="FFFFFF"/>
          <w:lang w:bidi="ar-SA"/>
        </w:rPr>
        <w:t>the sham pleading doctrine</w:t>
      </w:r>
      <w:r w:rsidR="002E1C47">
        <w:rPr>
          <w:rFonts w:ascii="Times New Roman" w:eastAsia="Times New Roman" w:hAnsi="Times New Roman"/>
          <w:color w:val="000000"/>
          <w:szCs w:val="26"/>
          <w:shd w:val="clear" w:color="auto" w:fill="FFFFFF"/>
          <w:lang w:bidi="ar-SA"/>
        </w:rPr>
        <w:t>.  (</w:t>
      </w:r>
      <w:r w:rsidR="002E1C47">
        <w:rPr>
          <w:rFonts w:ascii="Times New Roman" w:eastAsia="Times New Roman" w:hAnsi="Times New Roman"/>
          <w:i/>
          <w:color w:val="000000"/>
          <w:szCs w:val="26"/>
          <w:shd w:val="clear" w:color="auto" w:fill="FFFFFF"/>
          <w:lang w:bidi="ar-SA"/>
        </w:rPr>
        <w:t>Id.</w:t>
      </w:r>
      <w:r w:rsidR="002E1C47">
        <w:rPr>
          <w:rFonts w:ascii="Times New Roman" w:eastAsia="Times New Roman" w:hAnsi="Times New Roman"/>
          <w:color w:val="000000"/>
          <w:szCs w:val="26"/>
          <w:shd w:val="clear" w:color="auto" w:fill="FFFFFF"/>
          <w:lang w:bidi="ar-SA"/>
        </w:rPr>
        <w:t xml:space="preserve"> at pp. 184</w:t>
      </w:r>
      <w:r w:rsidR="00446089">
        <w:rPr>
          <w:rFonts w:ascii="Times New Roman" w:eastAsia="Times New Roman" w:hAnsi="Times New Roman"/>
          <w:color w:val="000000"/>
          <w:szCs w:val="26"/>
          <w:shd w:val="clear" w:color="auto" w:fill="FFFFFF"/>
          <w:lang w:bidi="ar-SA"/>
        </w:rPr>
        <w:t>−</w:t>
      </w:r>
      <w:r w:rsidR="002E1C47">
        <w:rPr>
          <w:rFonts w:ascii="Times New Roman" w:eastAsia="Times New Roman" w:hAnsi="Times New Roman"/>
          <w:color w:val="000000"/>
          <w:szCs w:val="26"/>
          <w:shd w:val="clear" w:color="auto" w:fill="FFFFFF"/>
          <w:lang w:bidi="ar-SA"/>
        </w:rPr>
        <w:t xml:space="preserve">185.)  As the court explained, omitting reference to the agency relationship was not the sort of omission that </w:t>
      </w:r>
      <w:r w:rsidR="00F20CA5">
        <w:rPr>
          <w:rFonts w:ascii="Times New Roman" w:eastAsia="Times New Roman" w:hAnsi="Times New Roman"/>
          <w:color w:val="000000"/>
          <w:szCs w:val="26"/>
          <w:shd w:val="clear" w:color="auto" w:fill="FFFFFF"/>
          <w:lang w:bidi="ar-SA"/>
        </w:rPr>
        <w:t>"</w:t>
      </w:r>
      <w:r w:rsidR="002E1C47">
        <w:rPr>
          <w:rFonts w:ascii="Times New Roman" w:eastAsia="Times New Roman" w:hAnsi="Times New Roman"/>
          <w:color w:val="000000"/>
          <w:szCs w:val="26"/>
          <w:shd w:val="clear" w:color="auto" w:fill="FFFFFF"/>
          <w:lang w:bidi="ar-SA"/>
        </w:rPr>
        <w:t>carries with it the onus of untruthfulness.</w:t>
      </w:r>
      <w:r w:rsidR="00F20CA5">
        <w:rPr>
          <w:rFonts w:ascii="Times New Roman" w:eastAsia="Times New Roman" w:hAnsi="Times New Roman"/>
          <w:color w:val="000000"/>
          <w:szCs w:val="26"/>
          <w:shd w:val="clear" w:color="auto" w:fill="FFFFFF"/>
          <w:lang w:bidi="ar-SA"/>
        </w:rPr>
        <w:t>"</w:t>
      </w:r>
      <w:r w:rsidR="002E1C47">
        <w:rPr>
          <w:rFonts w:ascii="Times New Roman" w:eastAsia="Times New Roman" w:hAnsi="Times New Roman"/>
          <w:color w:val="000000"/>
          <w:szCs w:val="26"/>
          <w:shd w:val="clear" w:color="auto" w:fill="FFFFFF"/>
          <w:lang w:bidi="ar-SA"/>
        </w:rPr>
        <w:t xml:space="preserve">  (</w:t>
      </w:r>
      <w:r w:rsidR="002E1C47">
        <w:rPr>
          <w:rFonts w:ascii="Times New Roman" w:eastAsia="Times New Roman" w:hAnsi="Times New Roman"/>
          <w:i/>
          <w:color w:val="000000"/>
          <w:szCs w:val="26"/>
          <w:shd w:val="clear" w:color="auto" w:fill="FFFFFF"/>
          <w:lang w:bidi="ar-SA"/>
        </w:rPr>
        <w:t>Id.</w:t>
      </w:r>
      <w:r w:rsidR="002E1C47">
        <w:rPr>
          <w:rFonts w:ascii="Times New Roman" w:eastAsia="Times New Roman" w:hAnsi="Times New Roman"/>
          <w:color w:val="000000"/>
          <w:szCs w:val="26"/>
          <w:shd w:val="clear" w:color="auto" w:fill="FFFFFF"/>
          <w:lang w:bidi="ar-SA"/>
        </w:rPr>
        <w:t xml:space="preserve"> at p. 184.)  </w:t>
      </w:r>
    </w:p>
    <w:p w14:paraId="5344C0EF" w14:textId="2421199D" w:rsidR="00AD3557" w:rsidRDefault="002E1C47" w:rsidP="00250205">
      <w:pPr>
        <w:ind w:firstLine="720"/>
        <w:rPr>
          <w:rFonts w:ascii="Times New Roman" w:eastAsia="Times New Roman" w:hAnsi="Times New Roman"/>
          <w:color w:val="000000"/>
          <w:szCs w:val="26"/>
          <w:shd w:val="clear" w:color="auto" w:fill="FFFFFF"/>
          <w:lang w:bidi="ar-SA"/>
        </w:rPr>
      </w:pPr>
      <w:r>
        <w:rPr>
          <w:rFonts w:ascii="Times New Roman" w:eastAsia="Times New Roman" w:hAnsi="Times New Roman"/>
          <w:color w:val="000000"/>
          <w:szCs w:val="26"/>
          <w:shd w:val="clear" w:color="auto" w:fill="FFFFFF"/>
          <w:lang w:bidi="ar-SA"/>
        </w:rPr>
        <w:t xml:space="preserve">Similarly, in </w:t>
      </w:r>
      <w:r w:rsidRPr="002E1C47">
        <w:rPr>
          <w:rFonts w:ascii="Times New Roman" w:eastAsia="Times New Roman" w:hAnsi="Times New Roman"/>
          <w:i/>
          <w:color w:val="000000"/>
          <w:szCs w:val="26"/>
          <w:shd w:val="clear" w:color="auto" w:fill="FFFFFF"/>
          <w:lang w:bidi="ar-SA"/>
        </w:rPr>
        <w:t>Jackson v. Pacific Gas &amp; Electric Co</w:t>
      </w:r>
      <w:r w:rsidRPr="002E1C47">
        <w:rPr>
          <w:rFonts w:ascii="Times New Roman" w:eastAsia="Times New Roman" w:hAnsi="Times New Roman"/>
          <w:color w:val="000000"/>
          <w:szCs w:val="26"/>
          <w:shd w:val="clear" w:color="auto" w:fill="FFFFFF"/>
          <w:lang w:bidi="ar-SA"/>
        </w:rPr>
        <w:t>. (1949) 95 Cal.App.2d 204</w:t>
      </w:r>
      <w:r>
        <w:rPr>
          <w:rFonts w:ascii="Times New Roman" w:eastAsia="Times New Roman" w:hAnsi="Times New Roman"/>
          <w:color w:val="000000"/>
          <w:szCs w:val="26"/>
          <w:shd w:val="clear" w:color="auto" w:fill="FFFFFF"/>
          <w:lang w:bidi="ar-SA"/>
        </w:rPr>
        <w:t xml:space="preserve">, </w:t>
      </w:r>
      <w:r w:rsidR="006B0A70">
        <w:rPr>
          <w:rFonts w:ascii="Times New Roman" w:eastAsia="Times New Roman" w:hAnsi="Times New Roman"/>
          <w:color w:val="000000"/>
          <w:szCs w:val="26"/>
          <w:shd w:val="clear" w:color="auto" w:fill="FFFFFF"/>
          <w:lang w:bidi="ar-SA"/>
        </w:rPr>
        <w:t>an allegation of an employment relationship precluded a personal injury plaintiff</w:t>
      </w:r>
      <w:r w:rsidR="00F20CA5">
        <w:rPr>
          <w:rFonts w:ascii="Times New Roman" w:eastAsia="Times New Roman" w:hAnsi="Times New Roman"/>
          <w:color w:val="000000"/>
          <w:szCs w:val="26"/>
          <w:shd w:val="clear" w:color="auto" w:fill="FFFFFF"/>
          <w:lang w:bidi="ar-SA"/>
        </w:rPr>
        <w:t>'</w:t>
      </w:r>
      <w:r w:rsidR="006B0A70">
        <w:rPr>
          <w:rFonts w:ascii="Times New Roman" w:eastAsia="Times New Roman" w:hAnsi="Times New Roman"/>
          <w:color w:val="000000"/>
          <w:szCs w:val="26"/>
          <w:shd w:val="clear" w:color="auto" w:fill="FFFFFF"/>
          <w:lang w:bidi="ar-SA"/>
        </w:rPr>
        <w:t xml:space="preserve">s lawsuit against the defendant.  But he </w:t>
      </w:r>
      <w:r>
        <w:rPr>
          <w:rFonts w:ascii="Times New Roman" w:eastAsia="Times New Roman" w:hAnsi="Times New Roman"/>
          <w:color w:val="000000"/>
          <w:szCs w:val="26"/>
          <w:shd w:val="clear" w:color="auto" w:fill="FFFFFF"/>
          <w:lang w:bidi="ar-SA"/>
        </w:rPr>
        <w:t>co</w:t>
      </w:r>
      <w:r w:rsidR="006B0A70">
        <w:rPr>
          <w:rFonts w:ascii="Times New Roman" w:eastAsia="Times New Roman" w:hAnsi="Times New Roman"/>
          <w:color w:val="000000"/>
          <w:szCs w:val="26"/>
          <w:shd w:val="clear" w:color="auto" w:fill="FFFFFF"/>
          <w:lang w:bidi="ar-SA"/>
        </w:rPr>
        <w:t>uld</w:t>
      </w:r>
      <w:r>
        <w:rPr>
          <w:rFonts w:ascii="Times New Roman" w:eastAsia="Times New Roman" w:hAnsi="Times New Roman"/>
          <w:color w:val="000000"/>
          <w:szCs w:val="26"/>
          <w:shd w:val="clear" w:color="auto" w:fill="FFFFFF"/>
          <w:lang w:bidi="ar-SA"/>
        </w:rPr>
        <w:t xml:space="preserve"> omit </w:t>
      </w:r>
      <w:r w:rsidR="00B5681C">
        <w:rPr>
          <w:rFonts w:ascii="Times New Roman" w:eastAsia="Times New Roman" w:hAnsi="Times New Roman"/>
          <w:color w:val="000000"/>
          <w:szCs w:val="26"/>
          <w:shd w:val="clear" w:color="auto" w:fill="FFFFFF"/>
          <w:lang w:bidi="ar-SA"/>
        </w:rPr>
        <w:t xml:space="preserve">that inadvertent allegation and </w:t>
      </w:r>
      <w:r w:rsidR="006B0A70">
        <w:rPr>
          <w:rFonts w:ascii="Times New Roman" w:eastAsia="Times New Roman" w:hAnsi="Times New Roman"/>
          <w:color w:val="000000"/>
          <w:szCs w:val="26"/>
          <w:shd w:val="clear" w:color="auto" w:fill="FFFFFF"/>
          <w:lang w:bidi="ar-SA"/>
        </w:rPr>
        <w:t>clarify the parties</w:t>
      </w:r>
      <w:r w:rsidR="00F20CA5">
        <w:rPr>
          <w:rFonts w:ascii="Times New Roman" w:eastAsia="Times New Roman" w:hAnsi="Times New Roman"/>
          <w:color w:val="000000"/>
          <w:szCs w:val="26"/>
          <w:shd w:val="clear" w:color="auto" w:fill="FFFFFF"/>
          <w:lang w:bidi="ar-SA"/>
        </w:rPr>
        <w:t>'</w:t>
      </w:r>
      <w:r w:rsidR="006B0A70">
        <w:rPr>
          <w:rFonts w:ascii="Times New Roman" w:eastAsia="Times New Roman" w:hAnsi="Times New Roman"/>
          <w:color w:val="000000"/>
          <w:szCs w:val="26"/>
          <w:shd w:val="clear" w:color="auto" w:fill="FFFFFF"/>
          <w:lang w:bidi="ar-SA"/>
        </w:rPr>
        <w:t xml:space="preserve"> relationship in an amended pleading</w:t>
      </w:r>
      <w:r>
        <w:rPr>
          <w:rFonts w:ascii="Times New Roman" w:eastAsia="Times New Roman" w:hAnsi="Times New Roman"/>
          <w:color w:val="000000"/>
          <w:szCs w:val="26"/>
          <w:shd w:val="clear" w:color="auto" w:fill="FFFFFF"/>
          <w:lang w:bidi="ar-SA"/>
        </w:rPr>
        <w:t>.  (</w:t>
      </w:r>
      <w:r>
        <w:rPr>
          <w:rFonts w:ascii="Times New Roman" w:eastAsia="Times New Roman" w:hAnsi="Times New Roman"/>
          <w:i/>
          <w:color w:val="000000"/>
          <w:szCs w:val="26"/>
          <w:shd w:val="clear" w:color="auto" w:fill="FFFFFF"/>
          <w:lang w:bidi="ar-SA"/>
        </w:rPr>
        <w:t>Id.</w:t>
      </w:r>
      <w:r>
        <w:rPr>
          <w:rFonts w:ascii="Times New Roman" w:eastAsia="Times New Roman" w:hAnsi="Times New Roman"/>
          <w:color w:val="000000"/>
          <w:szCs w:val="26"/>
          <w:shd w:val="clear" w:color="auto" w:fill="FFFFFF"/>
          <w:lang w:bidi="ar-SA"/>
        </w:rPr>
        <w:t xml:space="preserve"> at p. 207.)  </w:t>
      </w:r>
      <w:r w:rsidR="006B0A70">
        <w:rPr>
          <w:rFonts w:ascii="Times New Roman" w:eastAsia="Times New Roman" w:hAnsi="Times New Roman"/>
          <w:color w:val="000000"/>
          <w:szCs w:val="26"/>
          <w:shd w:val="clear" w:color="auto" w:fill="FFFFFF"/>
          <w:lang w:bidi="ar-SA"/>
        </w:rPr>
        <w:t xml:space="preserve">As the court cautioned, </w:t>
      </w:r>
      <w:r w:rsidR="00F20CA5">
        <w:rPr>
          <w:rFonts w:ascii="Times New Roman" w:eastAsia="Times New Roman" w:hAnsi="Times New Roman"/>
          <w:color w:val="000000"/>
          <w:szCs w:val="26"/>
          <w:shd w:val="clear" w:color="auto" w:fill="FFFFFF"/>
          <w:lang w:bidi="ar-SA"/>
        </w:rPr>
        <w:t>"</w:t>
      </w:r>
      <w:r>
        <w:rPr>
          <w:rFonts w:ascii="Times New Roman" w:eastAsia="Times New Roman" w:hAnsi="Times New Roman"/>
          <w:color w:val="000000"/>
          <w:szCs w:val="26"/>
          <w:shd w:val="clear" w:color="auto" w:fill="FFFFFF"/>
          <w:lang w:bidi="ar-SA"/>
        </w:rPr>
        <w:t>to bind litigants to inadvertent untrue statements of facts and forbid them the inherent right to correct the false by substituting the true facts</w:t>
      </w:r>
      <w:r w:rsidR="00F20CA5">
        <w:rPr>
          <w:rFonts w:ascii="Times New Roman" w:eastAsia="Times New Roman" w:hAnsi="Times New Roman"/>
          <w:color w:val="000000"/>
          <w:szCs w:val="26"/>
          <w:shd w:val="clear" w:color="auto" w:fill="FFFFFF"/>
          <w:lang w:bidi="ar-SA"/>
        </w:rPr>
        <w:t>"</w:t>
      </w:r>
      <w:r w:rsidR="006B0A70">
        <w:rPr>
          <w:rFonts w:ascii="Times New Roman" w:eastAsia="Times New Roman" w:hAnsi="Times New Roman"/>
          <w:color w:val="000000"/>
          <w:szCs w:val="26"/>
          <w:shd w:val="clear" w:color="auto" w:fill="FFFFFF"/>
          <w:lang w:bidi="ar-SA"/>
        </w:rPr>
        <w:t xml:space="preserve"> would be to condone </w:t>
      </w:r>
      <w:r w:rsidR="00F20CA5">
        <w:rPr>
          <w:rFonts w:ascii="Times New Roman" w:eastAsia="Times New Roman" w:hAnsi="Times New Roman"/>
          <w:color w:val="000000"/>
          <w:szCs w:val="26"/>
          <w:shd w:val="clear" w:color="auto" w:fill="FFFFFF"/>
          <w:lang w:bidi="ar-SA"/>
        </w:rPr>
        <w:t>"</w:t>
      </w:r>
      <w:r>
        <w:rPr>
          <w:rFonts w:ascii="Times New Roman" w:eastAsia="Times New Roman" w:hAnsi="Times New Roman"/>
          <w:color w:val="000000"/>
          <w:szCs w:val="26"/>
          <w:shd w:val="clear" w:color="auto" w:fill="FFFFFF"/>
          <w:lang w:bidi="ar-SA"/>
        </w:rPr>
        <w:t>miscarriages of justice.</w:t>
      </w:r>
      <w:r w:rsidR="00F20CA5">
        <w:rPr>
          <w:rFonts w:ascii="Times New Roman" w:eastAsia="Times New Roman" w:hAnsi="Times New Roman"/>
          <w:color w:val="000000"/>
          <w:szCs w:val="26"/>
          <w:shd w:val="clear" w:color="auto" w:fill="FFFFFF"/>
          <w:lang w:bidi="ar-SA"/>
        </w:rPr>
        <w:t>"</w:t>
      </w:r>
      <w:r>
        <w:rPr>
          <w:rFonts w:ascii="Times New Roman" w:eastAsia="Times New Roman" w:hAnsi="Times New Roman"/>
          <w:color w:val="000000"/>
          <w:szCs w:val="26"/>
          <w:shd w:val="clear" w:color="auto" w:fill="FFFFFF"/>
          <w:lang w:bidi="ar-SA"/>
        </w:rPr>
        <w:t xml:space="preserve">  (</w:t>
      </w:r>
      <w:r>
        <w:rPr>
          <w:rFonts w:ascii="Times New Roman" w:eastAsia="Times New Roman" w:hAnsi="Times New Roman"/>
          <w:i/>
          <w:color w:val="000000"/>
          <w:szCs w:val="26"/>
          <w:shd w:val="clear" w:color="auto" w:fill="FFFFFF"/>
          <w:lang w:bidi="ar-SA"/>
        </w:rPr>
        <w:t>Id.</w:t>
      </w:r>
      <w:r>
        <w:rPr>
          <w:rFonts w:ascii="Times New Roman" w:eastAsia="Times New Roman" w:hAnsi="Times New Roman"/>
          <w:color w:val="000000"/>
          <w:szCs w:val="26"/>
          <w:shd w:val="clear" w:color="auto" w:fill="FFFFFF"/>
          <w:lang w:bidi="ar-SA"/>
        </w:rPr>
        <w:t xml:space="preserve"> at p. 212.)</w:t>
      </w:r>
    </w:p>
    <w:p w14:paraId="0FAA6499" w14:textId="13DD6A1F" w:rsidR="00052319" w:rsidRPr="005C3BAF" w:rsidRDefault="00BF1A58" w:rsidP="00250205">
      <w:pPr>
        <w:ind w:firstLine="720"/>
        <w:rPr>
          <w:rFonts w:ascii="Times New Roman" w:eastAsia="Times New Roman" w:hAnsi="Times New Roman"/>
          <w:color w:val="000000"/>
          <w:szCs w:val="26"/>
          <w:shd w:val="clear" w:color="auto" w:fill="FFFFFF"/>
          <w:lang w:bidi="ar-SA"/>
        </w:rPr>
      </w:pPr>
      <w:r>
        <w:rPr>
          <w:rFonts w:ascii="Times New Roman" w:eastAsia="Times New Roman" w:hAnsi="Times New Roman"/>
          <w:color w:val="000000"/>
          <w:szCs w:val="26"/>
          <w:shd w:val="clear" w:color="auto" w:fill="FFFFFF"/>
          <w:lang w:bidi="ar-SA"/>
        </w:rPr>
        <w:t>Another helpful example</w:t>
      </w:r>
      <w:r w:rsidR="00D52D64">
        <w:rPr>
          <w:rFonts w:ascii="Times New Roman" w:eastAsia="Times New Roman" w:hAnsi="Times New Roman"/>
          <w:color w:val="000000"/>
          <w:szCs w:val="26"/>
          <w:shd w:val="clear" w:color="auto" w:fill="FFFFFF"/>
          <w:lang w:bidi="ar-SA"/>
        </w:rPr>
        <w:t xml:space="preserve"> is</w:t>
      </w:r>
      <w:r w:rsidR="00052319">
        <w:rPr>
          <w:rFonts w:ascii="Times New Roman" w:eastAsia="Times New Roman" w:hAnsi="Times New Roman"/>
          <w:color w:val="000000"/>
          <w:szCs w:val="26"/>
          <w:shd w:val="clear" w:color="auto" w:fill="FFFFFF"/>
          <w:lang w:bidi="ar-SA"/>
        </w:rPr>
        <w:t xml:space="preserve"> </w:t>
      </w:r>
      <w:r w:rsidR="00052319">
        <w:rPr>
          <w:rFonts w:ascii="Times New Roman" w:eastAsia="Times New Roman" w:hAnsi="Times New Roman"/>
          <w:i/>
          <w:color w:val="000000"/>
          <w:szCs w:val="26"/>
          <w:shd w:val="clear" w:color="auto" w:fill="FFFFFF"/>
          <w:lang w:bidi="ar-SA"/>
        </w:rPr>
        <w:t>McGee</w:t>
      </w:r>
      <w:r w:rsidR="00052319" w:rsidRPr="00E12132">
        <w:rPr>
          <w:rFonts w:ascii="Times New Roman" w:eastAsia="Times New Roman" w:hAnsi="Times New Roman"/>
          <w:color w:val="000000"/>
          <w:szCs w:val="26"/>
          <w:shd w:val="clear" w:color="auto" w:fill="FFFFFF"/>
          <w:lang w:bidi="ar-SA"/>
        </w:rPr>
        <w:t>,</w:t>
      </w:r>
      <w:r w:rsidR="00052319">
        <w:rPr>
          <w:rFonts w:ascii="Times New Roman" w:eastAsia="Times New Roman" w:hAnsi="Times New Roman"/>
          <w:i/>
          <w:color w:val="000000"/>
          <w:szCs w:val="26"/>
          <w:shd w:val="clear" w:color="auto" w:fill="FFFFFF"/>
          <w:lang w:bidi="ar-SA"/>
        </w:rPr>
        <w:t xml:space="preserve"> supra</w:t>
      </w:r>
      <w:r w:rsidR="00052319" w:rsidRPr="00E12132">
        <w:rPr>
          <w:rFonts w:ascii="Times New Roman" w:eastAsia="Times New Roman" w:hAnsi="Times New Roman"/>
          <w:color w:val="000000"/>
          <w:szCs w:val="26"/>
          <w:shd w:val="clear" w:color="auto" w:fill="FFFFFF"/>
          <w:lang w:bidi="ar-SA"/>
        </w:rPr>
        <w:t>,</w:t>
      </w:r>
      <w:r w:rsidR="00052319">
        <w:rPr>
          <w:rFonts w:ascii="Times New Roman" w:eastAsia="Times New Roman" w:hAnsi="Times New Roman"/>
          <w:i/>
          <w:color w:val="000000"/>
          <w:szCs w:val="26"/>
          <w:shd w:val="clear" w:color="auto" w:fill="FFFFFF"/>
          <w:lang w:bidi="ar-SA"/>
        </w:rPr>
        <w:t xml:space="preserve"> </w:t>
      </w:r>
      <w:r w:rsidR="00052319">
        <w:rPr>
          <w:rFonts w:ascii="Times New Roman" w:eastAsia="Times New Roman" w:hAnsi="Times New Roman"/>
          <w:color w:val="000000"/>
          <w:szCs w:val="26"/>
          <w:shd w:val="clear" w:color="auto" w:fill="FFFFFF"/>
          <w:lang w:bidi="ar-SA"/>
        </w:rPr>
        <w:t xml:space="preserve">119 Cal.App.3d 891.  </w:t>
      </w:r>
      <w:r>
        <w:rPr>
          <w:rFonts w:ascii="Times New Roman" w:eastAsia="Times New Roman" w:hAnsi="Times New Roman"/>
          <w:color w:val="000000"/>
          <w:szCs w:val="26"/>
          <w:shd w:val="clear" w:color="auto" w:fill="FFFFFF"/>
          <w:lang w:bidi="ar-SA"/>
        </w:rPr>
        <w:t>The</w:t>
      </w:r>
      <w:r w:rsidR="00052319">
        <w:rPr>
          <w:rFonts w:ascii="Times New Roman" w:eastAsia="Times New Roman" w:hAnsi="Times New Roman"/>
          <w:color w:val="000000"/>
          <w:szCs w:val="26"/>
          <w:shd w:val="clear" w:color="auto" w:fill="FFFFFF"/>
          <w:lang w:bidi="ar-SA"/>
        </w:rPr>
        <w:t xml:space="preserve"> plaintiff </w:t>
      </w:r>
      <w:r>
        <w:rPr>
          <w:rFonts w:ascii="Times New Roman" w:eastAsia="Times New Roman" w:hAnsi="Times New Roman"/>
          <w:color w:val="000000"/>
          <w:szCs w:val="26"/>
          <w:shd w:val="clear" w:color="auto" w:fill="FFFFFF"/>
          <w:lang w:bidi="ar-SA"/>
        </w:rPr>
        <w:t xml:space="preserve">in </w:t>
      </w:r>
      <w:r>
        <w:rPr>
          <w:rFonts w:ascii="Times New Roman" w:eastAsia="Times New Roman" w:hAnsi="Times New Roman"/>
          <w:i/>
          <w:color w:val="000000"/>
          <w:szCs w:val="26"/>
          <w:shd w:val="clear" w:color="auto" w:fill="FFFFFF"/>
          <w:lang w:bidi="ar-SA"/>
        </w:rPr>
        <w:t xml:space="preserve">McGee </w:t>
      </w:r>
      <w:r w:rsidR="00052319">
        <w:rPr>
          <w:rFonts w:ascii="Times New Roman" w:eastAsia="Times New Roman" w:hAnsi="Times New Roman"/>
          <w:color w:val="000000"/>
          <w:szCs w:val="26"/>
          <w:shd w:val="clear" w:color="auto" w:fill="FFFFFF"/>
          <w:lang w:bidi="ar-SA"/>
        </w:rPr>
        <w:t>sued his employer for intentional infliction of emotional distress, claiming a campaign of workplace harassment.  (</w:t>
      </w:r>
      <w:r w:rsidR="00052319">
        <w:rPr>
          <w:rFonts w:ascii="Times New Roman" w:eastAsia="Times New Roman" w:hAnsi="Times New Roman"/>
          <w:i/>
          <w:color w:val="000000"/>
          <w:szCs w:val="26"/>
          <w:shd w:val="clear" w:color="auto" w:fill="FFFFFF"/>
          <w:lang w:bidi="ar-SA"/>
        </w:rPr>
        <w:t>Id.</w:t>
      </w:r>
      <w:r w:rsidR="00052319">
        <w:rPr>
          <w:rFonts w:ascii="Times New Roman" w:eastAsia="Times New Roman" w:hAnsi="Times New Roman"/>
          <w:color w:val="000000"/>
          <w:szCs w:val="26"/>
          <w:shd w:val="clear" w:color="auto" w:fill="FFFFFF"/>
          <w:lang w:bidi="ar-SA"/>
        </w:rPr>
        <w:t xml:space="preserve"> at p. 893.)  His original complaint made </w:t>
      </w:r>
      <w:r>
        <w:rPr>
          <w:rFonts w:ascii="Times New Roman" w:eastAsia="Times New Roman" w:hAnsi="Times New Roman"/>
          <w:color w:val="000000"/>
          <w:szCs w:val="26"/>
          <w:shd w:val="clear" w:color="auto" w:fill="FFFFFF"/>
          <w:lang w:bidi="ar-SA"/>
        </w:rPr>
        <w:t xml:space="preserve">an </w:t>
      </w:r>
      <w:r w:rsidR="00052319">
        <w:rPr>
          <w:rFonts w:ascii="Times New Roman" w:eastAsia="Times New Roman" w:hAnsi="Times New Roman"/>
          <w:color w:val="000000"/>
          <w:szCs w:val="26"/>
          <w:shd w:val="clear" w:color="auto" w:fill="FFFFFF"/>
          <w:lang w:bidi="ar-SA"/>
        </w:rPr>
        <w:t xml:space="preserve">oblique reference to </w:t>
      </w:r>
      <w:r>
        <w:rPr>
          <w:rFonts w:ascii="Times New Roman" w:eastAsia="Times New Roman" w:hAnsi="Times New Roman"/>
          <w:color w:val="000000"/>
          <w:szCs w:val="26"/>
          <w:shd w:val="clear" w:color="auto" w:fill="FFFFFF"/>
          <w:lang w:bidi="ar-SA"/>
        </w:rPr>
        <w:t xml:space="preserve">suffering </w:t>
      </w:r>
      <w:r w:rsidR="00052319">
        <w:rPr>
          <w:rFonts w:ascii="Times New Roman" w:eastAsia="Times New Roman" w:hAnsi="Times New Roman"/>
          <w:color w:val="000000"/>
          <w:szCs w:val="26"/>
          <w:shd w:val="clear" w:color="auto" w:fill="FFFFFF"/>
          <w:lang w:bidi="ar-SA"/>
        </w:rPr>
        <w:t xml:space="preserve">physical harm, but its thrust was emotional injury.  The trial court sustained </w:t>
      </w:r>
      <w:r>
        <w:rPr>
          <w:rFonts w:ascii="Times New Roman" w:eastAsia="Times New Roman" w:hAnsi="Times New Roman"/>
          <w:color w:val="000000"/>
          <w:szCs w:val="26"/>
          <w:shd w:val="clear" w:color="auto" w:fill="FFFFFF"/>
          <w:lang w:bidi="ar-SA"/>
        </w:rPr>
        <w:t>the employer</w:t>
      </w:r>
      <w:r w:rsidR="00F20CA5">
        <w:rPr>
          <w:rFonts w:ascii="Times New Roman" w:eastAsia="Times New Roman" w:hAnsi="Times New Roman"/>
          <w:color w:val="000000"/>
          <w:szCs w:val="26"/>
          <w:shd w:val="clear" w:color="auto" w:fill="FFFFFF"/>
          <w:lang w:bidi="ar-SA"/>
        </w:rPr>
        <w:t>'</w:t>
      </w:r>
      <w:r>
        <w:rPr>
          <w:rFonts w:ascii="Times New Roman" w:eastAsia="Times New Roman" w:hAnsi="Times New Roman"/>
          <w:color w:val="000000"/>
          <w:szCs w:val="26"/>
          <w:shd w:val="clear" w:color="auto" w:fill="FFFFFF"/>
          <w:lang w:bidi="ar-SA"/>
        </w:rPr>
        <w:t>s</w:t>
      </w:r>
      <w:r w:rsidR="00052319">
        <w:rPr>
          <w:rFonts w:ascii="Times New Roman" w:eastAsia="Times New Roman" w:hAnsi="Times New Roman"/>
          <w:color w:val="000000"/>
          <w:szCs w:val="26"/>
          <w:shd w:val="clear" w:color="auto" w:fill="FFFFFF"/>
          <w:lang w:bidi="ar-SA"/>
        </w:rPr>
        <w:t xml:space="preserve"> demurrer without leave to amend, concluding worker</w:t>
      </w:r>
      <w:r w:rsidR="00F20CA5">
        <w:rPr>
          <w:rFonts w:ascii="Times New Roman" w:eastAsia="Times New Roman" w:hAnsi="Times New Roman"/>
          <w:color w:val="000000"/>
          <w:szCs w:val="26"/>
          <w:shd w:val="clear" w:color="auto" w:fill="FFFFFF"/>
          <w:lang w:bidi="ar-SA"/>
        </w:rPr>
        <w:t>'</w:t>
      </w:r>
      <w:r w:rsidR="00052319">
        <w:rPr>
          <w:rFonts w:ascii="Times New Roman" w:eastAsia="Times New Roman" w:hAnsi="Times New Roman"/>
          <w:color w:val="000000"/>
          <w:szCs w:val="26"/>
          <w:shd w:val="clear" w:color="auto" w:fill="FFFFFF"/>
          <w:lang w:bidi="ar-SA"/>
        </w:rPr>
        <w:t xml:space="preserve">s compensation provided </w:t>
      </w:r>
      <w:r>
        <w:rPr>
          <w:rFonts w:ascii="Times New Roman" w:eastAsia="Times New Roman" w:hAnsi="Times New Roman"/>
          <w:color w:val="000000"/>
          <w:szCs w:val="26"/>
          <w:shd w:val="clear" w:color="auto" w:fill="FFFFFF"/>
          <w:lang w:bidi="ar-SA"/>
        </w:rPr>
        <w:t>the</w:t>
      </w:r>
      <w:r w:rsidR="00052319">
        <w:rPr>
          <w:rFonts w:ascii="Times New Roman" w:eastAsia="Times New Roman" w:hAnsi="Times New Roman"/>
          <w:color w:val="000000"/>
          <w:szCs w:val="26"/>
          <w:shd w:val="clear" w:color="auto" w:fill="FFFFFF"/>
          <w:lang w:bidi="ar-SA"/>
        </w:rPr>
        <w:t xml:space="preserve"> exclusive </w:t>
      </w:r>
      <w:r w:rsidR="00052319" w:rsidRPr="007768F5">
        <w:rPr>
          <w:rFonts w:ascii="Times New Roman" w:eastAsia="Times New Roman" w:hAnsi="Times New Roman"/>
          <w:color w:val="000000"/>
          <w:szCs w:val="26"/>
          <w:shd w:val="clear" w:color="auto" w:fill="FFFFFF"/>
          <w:lang w:bidi="ar-SA"/>
        </w:rPr>
        <w:t>remedy.  (</w:t>
      </w:r>
      <w:r w:rsidR="00052319" w:rsidRPr="007768F5">
        <w:rPr>
          <w:rFonts w:ascii="Times New Roman" w:eastAsia="Times New Roman" w:hAnsi="Times New Roman"/>
          <w:i/>
          <w:color w:val="000000"/>
          <w:szCs w:val="26"/>
          <w:shd w:val="clear" w:color="auto" w:fill="FFFFFF"/>
          <w:lang w:bidi="ar-SA"/>
        </w:rPr>
        <w:t>I</w:t>
      </w:r>
      <w:r w:rsidR="00E23537" w:rsidRPr="007768F5">
        <w:rPr>
          <w:rFonts w:ascii="Times New Roman" w:eastAsia="Times New Roman" w:hAnsi="Times New Roman"/>
          <w:i/>
          <w:color w:val="000000"/>
          <w:szCs w:val="26"/>
          <w:shd w:val="clear" w:color="auto" w:fill="FFFFFF"/>
          <w:lang w:bidi="ar-SA"/>
        </w:rPr>
        <w:t>bi</w:t>
      </w:r>
      <w:r w:rsidR="00052319" w:rsidRPr="007768F5">
        <w:rPr>
          <w:rFonts w:ascii="Times New Roman" w:eastAsia="Times New Roman" w:hAnsi="Times New Roman"/>
          <w:i/>
          <w:color w:val="000000"/>
          <w:szCs w:val="26"/>
          <w:shd w:val="clear" w:color="auto" w:fill="FFFFFF"/>
          <w:lang w:bidi="ar-SA"/>
        </w:rPr>
        <w:t>d</w:t>
      </w:r>
      <w:r w:rsidR="00052319" w:rsidRPr="007768F5">
        <w:rPr>
          <w:rFonts w:ascii="Times New Roman" w:eastAsia="Times New Roman" w:hAnsi="Times New Roman"/>
          <w:color w:val="000000"/>
          <w:szCs w:val="26"/>
          <w:shd w:val="clear" w:color="auto" w:fill="FFFFFF"/>
          <w:lang w:bidi="ar-SA"/>
        </w:rPr>
        <w:t>.)  Reversing</w:t>
      </w:r>
      <w:r w:rsidR="00052319">
        <w:rPr>
          <w:rFonts w:ascii="Times New Roman" w:eastAsia="Times New Roman" w:hAnsi="Times New Roman"/>
          <w:color w:val="000000"/>
          <w:szCs w:val="26"/>
          <w:shd w:val="clear" w:color="auto" w:fill="FFFFFF"/>
          <w:lang w:bidi="ar-SA"/>
        </w:rPr>
        <w:t xml:space="preserve">, the appellate court reasoned that the plaintiff should have been granted leave to amend.  Allegations of physical injury were </w:t>
      </w:r>
      <w:r w:rsidR="00F20CA5">
        <w:rPr>
          <w:rFonts w:ascii="Times New Roman" w:eastAsia="Times New Roman" w:hAnsi="Times New Roman"/>
          <w:color w:val="000000"/>
          <w:szCs w:val="26"/>
          <w:shd w:val="clear" w:color="auto" w:fill="FFFFFF"/>
          <w:lang w:bidi="ar-SA"/>
        </w:rPr>
        <w:t>"</w:t>
      </w:r>
      <w:r w:rsidR="00052319">
        <w:rPr>
          <w:rFonts w:ascii="Times New Roman" w:eastAsia="Times New Roman" w:hAnsi="Times New Roman"/>
          <w:color w:val="000000"/>
          <w:szCs w:val="26"/>
          <w:shd w:val="clear" w:color="auto" w:fill="FFFFFF"/>
          <w:lang w:bidi="ar-SA"/>
        </w:rPr>
        <w:t xml:space="preserve">mere </w:t>
      </w:r>
      <w:r w:rsidR="00F20CA5">
        <w:rPr>
          <w:rFonts w:ascii="Times New Roman" w:eastAsia="Times New Roman" w:hAnsi="Times New Roman"/>
          <w:color w:val="000000"/>
          <w:szCs w:val="26"/>
          <w:shd w:val="clear" w:color="auto" w:fill="FFFFFF"/>
          <w:lang w:bidi="ar-SA"/>
        </w:rPr>
        <w:t>'</w:t>
      </w:r>
      <w:r w:rsidR="00052319">
        <w:rPr>
          <w:rFonts w:ascii="Times New Roman" w:eastAsia="Times New Roman" w:hAnsi="Times New Roman"/>
          <w:color w:val="000000"/>
          <w:szCs w:val="26"/>
          <w:shd w:val="clear" w:color="auto" w:fill="FFFFFF"/>
          <w:lang w:bidi="ar-SA"/>
        </w:rPr>
        <w:t>makeweight,</w:t>
      </w:r>
      <w:r w:rsidR="00F20CA5">
        <w:rPr>
          <w:rFonts w:ascii="Times New Roman" w:eastAsia="Times New Roman" w:hAnsi="Times New Roman"/>
          <w:color w:val="000000"/>
          <w:szCs w:val="26"/>
          <w:shd w:val="clear" w:color="auto" w:fill="FFFFFF"/>
          <w:lang w:bidi="ar-SA"/>
        </w:rPr>
        <w:t>'</w:t>
      </w:r>
      <w:r w:rsidR="00052319">
        <w:rPr>
          <w:rFonts w:ascii="Times New Roman" w:eastAsia="Times New Roman" w:hAnsi="Times New Roman"/>
          <w:color w:val="000000"/>
          <w:szCs w:val="26"/>
          <w:shd w:val="clear" w:color="auto" w:fill="FFFFFF"/>
          <w:lang w:bidi="ar-SA"/>
        </w:rPr>
        <w:t> </w:t>
      </w:r>
      <w:r w:rsidR="00F20CA5">
        <w:rPr>
          <w:rFonts w:ascii="Times New Roman" w:eastAsia="Times New Roman" w:hAnsi="Times New Roman"/>
          <w:color w:val="000000"/>
          <w:szCs w:val="26"/>
          <w:shd w:val="clear" w:color="auto" w:fill="FFFFFF"/>
          <w:lang w:bidi="ar-SA"/>
        </w:rPr>
        <w:t>"</w:t>
      </w:r>
      <w:r w:rsidR="00052319">
        <w:rPr>
          <w:rFonts w:ascii="Times New Roman" w:eastAsia="Times New Roman" w:hAnsi="Times New Roman"/>
          <w:color w:val="000000"/>
          <w:szCs w:val="26"/>
          <w:shd w:val="clear" w:color="auto" w:fill="FFFFFF"/>
          <w:lang w:bidi="ar-SA"/>
        </w:rPr>
        <w:t xml:space="preserve"> and no actual disability claim was made.  (</w:t>
      </w:r>
      <w:r w:rsidR="00052319">
        <w:rPr>
          <w:rFonts w:ascii="Times New Roman" w:eastAsia="Times New Roman" w:hAnsi="Times New Roman"/>
          <w:i/>
          <w:color w:val="000000"/>
          <w:szCs w:val="26"/>
          <w:shd w:val="clear" w:color="auto" w:fill="FFFFFF"/>
          <w:lang w:bidi="ar-SA"/>
        </w:rPr>
        <w:t>Id.</w:t>
      </w:r>
      <w:r w:rsidR="00052319">
        <w:rPr>
          <w:rFonts w:ascii="Times New Roman" w:eastAsia="Times New Roman" w:hAnsi="Times New Roman"/>
          <w:color w:val="000000"/>
          <w:szCs w:val="26"/>
          <w:shd w:val="clear" w:color="auto" w:fill="FFFFFF"/>
          <w:lang w:bidi="ar-SA"/>
        </w:rPr>
        <w:t xml:space="preserve"> at </w:t>
      </w:r>
      <w:r w:rsidR="00052319" w:rsidRPr="007768F5">
        <w:rPr>
          <w:rFonts w:ascii="Times New Roman" w:eastAsia="Times New Roman" w:hAnsi="Times New Roman"/>
          <w:color w:val="000000"/>
          <w:szCs w:val="26"/>
          <w:shd w:val="clear" w:color="auto" w:fill="FFFFFF"/>
          <w:lang w:bidi="ar-SA"/>
        </w:rPr>
        <w:t xml:space="preserve">p. </w:t>
      </w:r>
      <w:r w:rsidR="00052319" w:rsidRPr="005C3BAF">
        <w:rPr>
          <w:rFonts w:ascii="Times New Roman" w:eastAsia="Times New Roman" w:hAnsi="Times New Roman"/>
          <w:color w:val="000000"/>
          <w:szCs w:val="26"/>
          <w:shd w:val="clear" w:color="auto" w:fill="FFFFFF"/>
          <w:lang w:bidi="ar-SA"/>
        </w:rPr>
        <w:t>89</w:t>
      </w:r>
      <w:r w:rsidR="0007422E" w:rsidRPr="005C3BAF">
        <w:rPr>
          <w:rFonts w:ascii="Times New Roman" w:eastAsia="Times New Roman" w:hAnsi="Times New Roman"/>
          <w:color w:val="000000"/>
          <w:szCs w:val="26"/>
          <w:shd w:val="clear" w:color="auto" w:fill="FFFFFF"/>
          <w:lang w:bidi="ar-SA"/>
        </w:rPr>
        <w:t>5</w:t>
      </w:r>
      <w:r w:rsidR="00052319" w:rsidRPr="007768F5">
        <w:rPr>
          <w:rFonts w:ascii="Times New Roman" w:eastAsia="Times New Roman" w:hAnsi="Times New Roman"/>
          <w:color w:val="000000"/>
          <w:szCs w:val="26"/>
          <w:shd w:val="clear" w:color="auto" w:fill="FFFFFF"/>
          <w:lang w:bidi="ar-SA"/>
        </w:rPr>
        <w:t xml:space="preserve">.)  </w:t>
      </w:r>
      <w:r w:rsidRPr="007768F5">
        <w:rPr>
          <w:rFonts w:ascii="Times New Roman" w:eastAsia="Times New Roman" w:hAnsi="Times New Roman"/>
          <w:color w:val="000000"/>
          <w:szCs w:val="26"/>
          <w:shd w:val="clear" w:color="auto" w:fill="FFFFFF"/>
          <w:lang w:bidi="ar-SA"/>
        </w:rPr>
        <w:t>T</w:t>
      </w:r>
      <w:r w:rsidR="00D52D64" w:rsidRPr="000D6FCB">
        <w:rPr>
          <w:rFonts w:ascii="Times New Roman" w:eastAsia="Times New Roman" w:hAnsi="Times New Roman"/>
          <w:color w:val="000000"/>
          <w:szCs w:val="26"/>
          <w:shd w:val="clear" w:color="auto" w:fill="FFFFFF"/>
          <w:lang w:bidi="ar-SA"/>
        </w:rPr>
        <w:t xml:space="preserve">he court could conceive reasons why the plaintiff mentioned physical injury, and excluding those tangential allegations </w:t>
      </w:r>
      <w:r w:rsidR="00052319" w:rsidRPr="005C3BAF">
        <w:rPr>
          <w:rFonts w:ascii="Times New Roman" w:eastAsia="Times New Roman" w:hAnsi="Times New Roman"/>
          <w:color w:val="000000"/>
          <w:szCs w:val="26"/>
          <w:shd w:val="clear" w:color="auto" w:fill="FFFFFF"/>
          <w:lang w:bidi="ar-SA"/>
        </w:rPr>
        <w:t xml:space="preserve">in an amended pleading would not impugn the trustworthiness of </w:t>
      </w:r>
      <w:r w:rsidR="00D52D64" w:rsidRPr="005C3BAF">
        <w:rPr>
          <w:rFonts w:ascii="Times New Roman" w:eastAsia="Times New Roman" w:hAnsi="Times New Roman"/>
          <w:color w:val="000000"/>
          <w:szCs w:val="26"/>
          <w:shd w:val="clear" w:color="auto" w:fill="FFFFFF"/>
          <w:lang w:bidi="ar-SA"/>
        </w:rPr>
        <w:t>his</w:t>
      </w:r>
      <w:r w:rsidR="00052319" w:rsidRPr="005C3BAF">
        <w:rPr>
          <w:rFonts w:ascii="Times New Roman" w:eastAsia="Times New Roman" w:hAnsi="Times New Roman"/>
          <w:color w:val="000000"/>
          <w:szCs w:val="26"/>
          <w:shd w:val="clear" w:color="auto" w:fill="FFFFFF"/>
          <w:lang w:bidi="ar-SA"/>
        </w:rPr>
        <w:t xml:space="preserve"> action.  (</w:t>
      </w:r>
      <w:r w:rsidR="00052319" w:rsidRPr="005C3BAF">
        <w:rPr>
          <w:rFonts w:ascii="Times New Roman" w:eastAsia="Times New Roman" w:hAnsi="Times New Roman"/>
          <w:i/>
          <w:color w:val="000000"/>
          <w:szCs w:val="26"/>
          <w:shd w:val="clear" w:color="auto" w:fill="FFFFFF"/>
          <w:lang w:bidi="ar-SA"/>
        </w:rPr>
        <w:t>Id.</w:t>
      </w:r>
      <w:r w:rsidR="00052319" w:rsidRPr="005C3BAF">
        <w:rPr>
          <w:rFonts w:ascii="Times New Roman" w:eastAsia="Times New Roman" w:hAnsi="Times New Roman"/>
          <w:color w:val="000000"/>
          <w:szCs w:val="26"/>
          <w:shd w:val="clear" w:color="auto" w:fill="FFFFFF"/>
          <w:lang w:bidi="ar-SA"/>
        </w:rPr>
        <w:t xml:space="preserve"> at p. 897.)</w:t>
      </w:r>
    </w:p>
    <w:p w14:paraId="16E1F7E8" w14:textId="77777777" w:rsidR="006B0A70" w:rsidRDefault="00B5681C" w:rsidP="00C7081C">
      <w:pPr>
        <w:ind w:firstLine="720"/>
        <w:rPr>
          <w:rFonts w:ascii="Times New Roman" w:eastAsia="Times New Roman" w:hAnsi="Times New Roman"/>
          <w:color w:val="000000"/>
          <w:szCs w:val="26"/>
          <w:shd w:val="clear" w:color="auto" w:fill="FFFFFF"/>
          <w:lang w:bidi="ar-SA"/>
        </w:rPr>
      </w:pPr>
      <w:r w:rsidRPr="005C3BAF">
        <w:rPr>
          <w:rFonts w:ascii="Times New Roman" w:eastAsia="Times New Roman" w:hAnsi="Times New Roman"/>
          <w:i/>
          <w:color w:val="000000"/>
          <w:szCs w:val="26"/>
          <w:shd w:val="clear" w:color="auto" w:fill="FFFFFF"/>
          <w:lang w:bidi="ar-SA"/>
        </w:rPr>
        <w:t xml:space="preserve">Smyth v. Berman </w:t>
      </w:r>
      <w:r w:rsidRPr="005C3BAF">
        <w:rPr>
          <w:rFonts w:ascii="Times New Roman" w:eastAsia="Times New Roman" w:hAnsi="Times New Roman"/>
          <w:color w:val="000000"/>
          <w:szCs w:val="26"/>
          <w:shd w:val="clear" w:color="auto" w:fill="FFFFFF"/>
          <w:lang w:bidi="ar-SA"/>
        </w:rPr>
        <w:t>(2019) 31 Cal.App.5th 183</w:t>
      </w:r>
      <w:r w:rsidR="006B0A70" w:rsidRPr="005C3BAF">
        <w:rPr>
          <w:rFonts w:ascii="Times New Roman" w:eastAsia="Times New Roman" w:hAnsi="Times New Roman"/>
          <w:color w:val="000000"/>
          <w:szCs w:val="26"/>
          <w:shd w:val="clear" w:color="auto" w:fill="FFFFFF"/>
          <w:lang w:bidi="ar-SA"/>
        </w:rPr>
        <w:t xml:space="preserve"> offers a useful counterexample</w:t>
      </w:r>
      <w:r w:rsidRPr="005C3BAF">
        <w:rPr>
          <w:rFonts w:ascii="Times New Roman" w:eastAsia="Times New Roman" w:hAnsi="Times New Roman"/>
          <w:color w:val="000000"/>
          <w:szCs w:val="26"/>
          <w:shd w:val="clear" w:color="auto" w:fill="FFFFFF"/>
          <w:lang w:bidi="ar-SA"/>
        </w:rPr>
        <w:t>.  There, the sham pleading doctrine prevented plaintiffs from making a factually inconsistent allegation in their second and third amended complaints where there was no plausible explanation for the change.  (</w:t>
      </w:r>
      <w:r w:rsidRPr="005C3BAF">
        <w:rPr>
          <w:rFonts w:ascii="Times New Roman" w:eastAsia="Times New Roman" w:hAnsi="Times New Roman"/>
          <w:i/>
          <w:color w:val="000000"/>
          <w:szCs w:val="26"/>
          <w:shd w:val="clear" w:color="auto" w:fill="FFFFFF"/>
          <w:lang w:bidi="ar-SA"/>
        </w:rPr>
        <w:t>Id.</w:t>
      </w:r>
      <w:r w:rsidRPr="005C3BAF">
        <w:rPr>
          <w:rFonts w:ascii="Times New Roman" w:eastAsia="Times New Roman" w:hAnsi="Times New Roman"/>
          <w:color w:val="000000"/>
          <w:szCs w:val="26"/>
          <w:shd w:val="clear" w:color="auto" w:fill="FFFFFF"/>
          <w:lang w:bidi="ar-SA"/>
        </w:rPr>
        <w:t xml:space="preserve"> at p. </w:t>
      </w:r>
      <w:r w:rsidR="00F279DD" w:rsidRPr="005C3BAF">
        <w:rPr>
          <w:rFonts w:ascii="Times New Roman" w:eastAsia="Times New Roman" w:hAnsi="Times New Roman"/>
          <w:color w:val="000000"/>
          <w:szCs w:val="26"/>
          <w:shd w:val="clear" w:color="auto" w:fill="FFFFFF"/>
          <w:lang w:bidi="ar-SA"/>
        </w:rPr>
        <w:t>196</w:t>
      </w:r>
      <w:r w:rsidRPr="007768F5">
        <w:rPr>
          <w:rFonts w:ascii="Times New Roman" w:eastAsia="Times New Roman" w:hAnsi="Times New Roman"/>
          <w:color w:val="000000"/>
          <w:szCs w:val="26"/>
          <w:shd w:val="clear" w:color="auto" w:fill="FFFFFF"/>
          <w:lang w:bidi="ar-SA"/>
        </w:rPr>
        <w:t>.)  In earlier complaints</w:t>
      </w:r>
      <w:r w:rsidRPr="00B5681C">
        <w:rPr>
          <w:rFonts w:ascii="Times New Roman" w:eastAsia="Times New Roman" w:hAnsi="Times New Roman"/>
          <w:color w:val="000000"/>
          <w:szCs w:val="26"/>
          <w:shd w:val="clear" w:color="auto" w:fill="FFFFFF"/>
          <w:lang w:bidi="ar-SA"/>
        </w:rPr>
        <w:t xml:space="preserve"> the plaintiffs alleged they had not extended their lease; in later complaints they alleged they had.  Their claim that recently located documents supported the change was not plausible; plaintiffs claimed to be present when the oral lease extension was made, and documentary evidence was unnecessary to allege an extension.  (</w:t>
      </w:r>
      <w:r w:rsidRPr="00B5681C">
        <w:rPr>
          <w:rFonts w:ascii="Times New Roman" w:eastAsia="Times New Roman" w:hAnsi="Times New Roman"/>
          <w:i/>
          <w:color w:val="000000"/>
          <w:szCs w:val="26"/>
          <w:shd w:val="clear" w:color="auto" w:fill="FFFFFF"/>
          <w:lang w:bidi="ar-SA"/>
        </w:rPr>
        <w:t>Ibid.</w:t>
      </w:r>
      <w:r w:rsidRPr="00B5681C">
        <w:rPr>
          <w:rFonts w:ascii="Times New Roman" w:eastAsia="Times New Roman" w:hAnsi="Times New Roman"/>
          <w:color w:val="000000"/>
          <w:szCs w:val="26"/>
          <w:shd w:val="clear" w:color="auto" w:fill="FFFFFF"/>
          <w:lang w:bidi="ar-SA"/>
        </w:rPr>
        <w:t>)</w:t>
      </w:r>
    </w:p>
    <w:p w14:paraId="75F04D34" w14:textId="0FBE929F" w:rsidR="006C67FE" w:rsidRPr="006B0A70" w:rsidRDefault="00580CE5" w:rsidP="00C7081C">
      <w:pPr>
        <w:ind w:firstLine="720"/>
        <w:rPr>
          <w:rFonts w:ascii="Times New Roman" w:eastAsia="Times New Roman" w:hAnsi="Times New Roman"/>
          <w:color w:val="000000"/>
          <w:szCs w:val="26"/>
          <w:shd w:val="clear" w:color="auto" w:fill="FFFFFF"/>
          <w:lang w:bidi="ar-SA"/>
        </w:rPr>
      </w:pPr>
      <w:r>
        <w:rPr>
          <w:rFonts w:ascii="Times" w:eastAsia="Times New Roman" w:hAnsi="Times"/>
          <w:szCs w:val="26"/>
          <w:lang w:bidi="ar-SA"/>
        </w:rPr>
        <w:t>We conclude t</w:t>
      </w:r>
      <w:r w:rsidR="00250205">
        <w:rPr>
          <w:rFonts w:ascii="Times" w:eastAsia="Times New Roman" w:hAnsi="Times"/>
          <w:szCs w:val="26"/>
          <w:lang w:bidi="ar-SA"/>
        </w:rPr>
        <w:t xml:space="preserve">he sham pleading doctrine does not prevent Chase from </w:t>
      </w:r>
      <w:r w:rsidR="006B0A70">
        <w:rPr>
          <w:rFonts w:ascii="Times" w:eastAsia="Times New Roman" w:hAnsi="Times"/>
          <w:szCs w:val="26"/>
          <w:lang w:bidi="ar-SA"/>
        </w:rPr>
        <w:t>omitting its allegations of mistake in a reformulated action</w:t>
      </w:r>
      <w:r w:rsidR="00250205">
        <w:rPr>
          <w:rFonts w:ascii="Times" w:eastAsia="Times New Roman" w:hAnsi="Times"/>
          <w:szCs w:val="26"/>
          <w:lang w:bidi="ar-SA"/>
        </w:rPr>
        <w:t xml:space="preserve">.  </w:t>
      </w:r>
      <w:r w:rsidR="006B0A70">
        <w:rPr>
          <w:rFonts w:ascii="Times" w:eastAsia="Times New Roman" w:hAnsi="Times"/>
          <w:szCs w:val="26"/>
          <w:lang w:bidi="ar-SA"/>
        </w:rPr>
        <w:t xml:space="preserve">The complaint was drafted by prior counsel, and </w:t>
      </w:r>
      <w:r w:rsidR="00250205">
        <w:rPr>
          <w:rFonts w:ascii="Times" w:eastAsia="Times New Roman" w:hAnsi="Times"/>
          <w:szCs w:val="26"/>
          <w:lang w:bidi="ar-SA"/>
        </w:rPr>
        <w:t xml:space="preserve">Chase immediately distanced itself from </w:t>
      </w:r>
      <w:r w:rsidR="006B0A70">
        <w:rPr>
          <w:rFonts w:ascii="Times" w:eastAsia="Times New Roman" w:hAnsi="Times"/>
          <w:szCs w:val="26"/>
          <w:lang w:bidi="ar-SA"/>
        </w:rPr>
        <w:t xml:space="preserve">such allegations </w:t>
      </w:r>
      <w:r w:rsidR="00AE24F8">
        <w:rPr>
          <w:rFonts w:ascii="Times" w:eastAsia="Times New Roman" w:hAnsi="Times"/>
          <w:szCs w:val="26"/>
          <w:lang w:bidi="ar-SA"/>
        </w:rPr>
        <w:t>in responding to the</w:t>
      </w:r>
      <w:r w:rsidR="006B0A70">
        <w:rPr>
          <w:rFonts w:ascii="Times" w:eastAsia="Times New Roman" w:hAnsi="Times"/>
          <w:szCs w:val="26"/>
          <w:lang w:bidi="ar-SA"/>
        </w:rPr>
        <w:t xml:space="preserve"> demurrer</w:t>
      </w:r>
      <w:r w:rsidR="00250205">
        <w:rPr>
          <w:rFonts w:ascii="Times" w:eastAsia="Times New Roman" w:hAnsi="Times"/>
          <w:szCs w:val="26"/>
          <w:lang w:bidi="ar-SA"/>
        </w:rPr>
        <w:t xml:space="preserve">. </w:t>
      </w:r>
      <w:r w:rsidR="00250205">
        <w:rPr>
          <w:rFonts w:ascii="Times" w:hAnsi="Times"/>
          <w:szCs w:val="26"/>
        </w:rPr>
        <w:t xml:space="preserve"> This is not a situation where </w:t>
      </w:r>
      <w:r w:rsidR="003608F4">
        <w:rPr>
          <w:rFonts w:ascii="Times" w:hAnsi="Times"/>
          <w:szCs w:val="26"/>
        </w:rPr>
        <w:t xml:space="preserve">the proposed </w:t>
      </w:r>
      <w:r w:rsidR="00250205">
        <w:rPr>
          <w:rFonts w:ascii="Times" w:hAnsi="Times"/>
          <w:szCs w:val="26"/>
        </w:rPr>
        <w:t xml:space="preserve">amendment impugns the trustworthiness of the pleading; new counsel and further </w:t>
      </w:r>
      <w:r w:rsidR="001D117C">
        <w:rPr>
          <w:rFonts w:ascii="Times" w:hAnsi="Times"/>
          <w:szCs w:val="26"/>
        </w:rPr>
        <w:t xml:space="preserve">legal </w:t>
      </w:r>
      <w:r w:rsidR="00250205">
        <w:rPr>
          <w:rFonts w:ascii="Times" w:hAnsi="Times"/>
          <w:szCs w:val="26"/>
        </w:rPr>
        <w:t xml:space="preserve">research </w:t>
      </w:r>
      <w:r w:rsidR="006B0A70">
        <w:rPr>
          <w:rFonts w:ascii="Times" w:hAnsi="Times"/>
          <w:szCs w:val="26"/>
        </w:rPr>
        <w:t xml:space="preserve">presumably </w:t>
      </w:r>
      <w:r w:rsidR="00250205">
        <w:rPr>
          <w:rFonts w:ascii="Times" w:hAnsi="Times"/>
          <w:szCs w:val="26"/>
        </w:rPr>
        <w:t xml:space="preserve">revealed the fallacy of </w:t>
      </w:r>
      <w:r w:rsidR="006B0A70">
        <w:rPr>
          <w:rFonts w:ascii="Times" w:hAnsi="Times"/>
          <w:szCs w:val="26"/>
        </w:rPr>
        <w:t>t</w:t>
      </w:r>
      <w:r w:rsidR="00E821A6">
        <w:rPr>
          <w:rFonts w:ascii="Times" w:hAnsi="Times"/>
          <w:szCs w:val="26"/>
        </w:rPr>
        <w:t>he</w:t>
      </w:r>
      <w:r w:rsidR="00250205">
        <w:rPr>
          <w:rFonts w:ascii="Times" w:hAnsi="Times"/>
          <w:szCs w:val="26"/>
        </w:rPr>
        <w:t xml:space="preserve"> assumption that Walter</w:t>
      </w:r>
      <w:r w:rsidR="00F20CA5">
        <w:rPr>
          <w:rFonts w:ascii="Times" w:hAnsi="Times"/>
          <w:szCs w:val="26"/>
        </w:rPr>
        <w:t>'</w:t>
      </w:r>
      <w:r w:rsidR="00250205">
        <w:rPr>
          <w:rFonts w:ascii="Times" w:hAnsi="Times"/>
          <w:szCs w:val="26"/>
        </w:rPr>
        <w:t xml:space="preserve">s signature had to </w:t>
      </w:r>
      <w:r w:rsidR="00BB4164">
        <w:rPr>
          <w:rFonts w:ascii="Times" w:hAnsi="Times"/>
          <w:szCs w:val="26"/>
        </w:rPr>
        <w:t>specify that he signed as trustee</w:t>
      </w:r>
      <w:r w:rsidR="00250205">
        <w:rPr>
          <w:rFonts w:ascii="Times" w:hAnsi="Times"/>
          <w:szCs w:val="26"/>
        </w:rPr>
        <w:t xml:space="preserve"> in the name of the </w:t>
      </w:r>
      <w:r w:rsidR="00E821A6">
        <w:rPr>
          <w:rFonts w:ascii="Times" w:hAnsi="Times"/>
          <w:szCs w:val="26"/>
        </w:rPr>
        <w:t>T</w:t>
      </w:r>
      <w:r w:rsidR="00250205">
        <w:rPr>
          <w:rFonts w:ascii="Times" w:hAnsi="Times"/>
          <w:szCs w:val="26"/>
        </w:rPr>
        <w:t>rust.</w:t>
      </w:r>
      <w:r w:rsidR="00E821A6">
        <w:rPr>
          <w:rFonts w:ascii="Times" w:hAnsi="Times"/>
          <w:szCs w:val="26"/>
        </w:rPr>
        <w:t xml:space="preserve">  </w:t>
      </w:r>
      <w:r w:rsidR="00AF066C">
        <w:rPr>
          <w:rFonts w:ascii="Times" w:hAnsi="Times"/>
          <w:szCs w:val="26"/>
        </w:rPr>
        <w:t xml:space="preserve">Indeed, paragraph 18 is best read as </w:t>
      </w:r>
      <w:r w:rsidR="00BF1A58">
        <w:rPr>
          <w:rFonts w:ascii="Times" w:hAnsi="Times"/>
          <w:szCs w:val="26"/>
        </w:rPr>
        <w:t xml:space="preserve">a </w:t>
      </w:r>
      <w:r w:rsidR="00AF066C">
        <w:rPr>
          <w:rFonts w:ascii="Times" w:hAnsi="Times"/>
          <w:szCs w:val="26"/>
        </w:rPr>
        <w:t>characterization of Walter</w:t>
      </w:r>
      <w:r w:rsidR="00F20CA5">
        <w:rPr>
          <w:rFonts w:ascii="Times" w:hAnsi="Times"/>
          <w:szCs w:val="26"/>
        </w:rPr>
        <w:t>'</w:t>
      </w:r>
      <w:r w:rsidR="00AF066C">
        <w:rPr>
          <w:rFonts w:ascii="Times" w:hAnsi="Times"/>
          <w:szCs w:val="26"/>
        </w:rPr>
        <w:t xml:space="preserve">s signature on the underlying DOT, not as </w:t>
      </w:r>
      <w:r w:rsidR="004450DB">
        <w:rPr>
          <w:rFonts w:ascii="Times" w:hAnsi="Times"/>
          <w:szCs w:val="26"/>
        </w:rPr>
        <w:t>the</w:t>
      </w:r>
      <w:r w:rsidR="00AF066C">
        <w:rPr>
          <w:rFonts w:ascii="Times" w:hAnsi="Times"/>
          <w:szCs w:val="26"/>
        </w:rPr>
        <w:t xml:space="preserve"> assertion </w:t>
      </w:r>
      <w:r w:rsidR="004450DB">
        <w:rPr>
          <w:rFonts w:ascii="Times" w:hAnsi="Times"/>
          <w:szCs w:val="26"/>
        </w:rPr>
        <w:t xml:space="preserve">of a foundational fact </w:t>
      </w:r>
      <w:r w:rsidR="00AF066C">
        <w:rPr>
          <w:rFonts w:ascii="Times" w:hAnsi="Times"/>
          <w:szCs w:val="26"/>
        </w:rPr>
        <w:t xml:space="preserve">that should bind Chase in </w:t>
      </w:r>
      <w:r w:rsidR="00054B21">
        <w:rPr>
          <w:rFonts w:ascii="Times" w:hAnsi="Times"/>
          <w:szCs w:val="26"/>
        </w:rPr>
        <w:t>all subsequent</w:t>
      </w:r>
      <w:r w:rsidR="00AF066C">
        <w:rPr>
          <w:rFonts w:ascii="Times" w:hAnsi="Times"/>
          <w:szCs w:val="26"/>
        </w:rPr>
        <w:t xml:space="preserve"> pleadings.  </w:t>
      </w:r>
      <w:r w:rsidR="00770D24">
        <w:rPr>
          <w:rFonts w:ascii="Times" w:hAnsi="Times"/>
          <w:szCs w:val="26"/>
        </w:rPr>
        <w:t>(</w:t>
      </w:r>
      <w:r w:rsidR="00770D24">
        <w:rPr>
          <w:rFonts w:ascii="Times" w:hAnsi="Times"/>
          <w:i/>
          <w:szCs w:val="26"/>
        </w:rPr>
        <w:t>Callahan</w:t>
      </w:r>
      <w:r w:rsidR="00770D24" w:rsidRPr="00E12132">
        <w:rPr>
          <w:rFonts w:ascii="Times" w:hAnsi="Times"/>
          <w:szCs w:val="26"/>
        </w:rPr>
        <w:t>,</w:t>
      </w:r>
      <w:r w:rsidR="00770D24">
        <w:rPr>
          <w:rFonts w:ascii="Times" w:hAnsi="Times"/>
          <w:i/>
          <w:szCs w:val="26"/>
        </w:rPr>
        <w:t xml:space="preserve"> supra</w:t>
      </w:r>
      <w:r w:rsidR="00770D24" w:rsidRPr="00E12132">
        <w:rPr>
          <w:rFonts w:ascii="Times" w:hAnsi="Times"/>
          <w:szCs w:val="26"/>
        </w:rPr>
        <w:t>,</w:t>
      </w:r>
      <w:r w:rsidR="00770D24">
        <w:rPr>
          <w:rFonts w:ascii="Times" w:hAnsi="Times"/>
          <w:i/>
          <w:szCs w:val="26"/>
        </w:rPr>
        <w:t xml:space="preserve"> </w:t>
      </w:r>
      <w:r w:rsidR="00770D24">
        <w:rPr>
          <w:rFonts w:ascii="Times" w:hAnsi="Times"/>
          <w:szCs w:val="26"/>
        </w:rPr>
        <w:t xml:space="preserve">249 Cal.App.2d at </w:t>
      </w:r>
      <w:r w:rsidR="007E4111" w:rsidRPr="0045297D">
        <w:rPr>
          <w:rFonts w:ascii="Times" w:eastAsia="Times New Roman" w:hAnsi="Times"/>
          <w:szCs w:val="26"/>
        </w:rPr>
        <w:t>p</w:t>
      </w:r>
      <w:r w:rsidR="007E4111">
        <w:rPr>
          <w:rFonts w:ascii="Times" w:eastAsia="Times New Roman" w:hAnsi="Times"/>
          <w:szCs w:val="26"/>
        </w:rPr>
        <w:t>p</w:t>
      </w:r>
      <w:r w:rsidR="007E4111" w:rsidRPr="0045297D">
        <w:rPr>
          <w:rFonts w:ascii="Times" w:eastAsia="Times New Roman" w:hAnsi="Times"/>
          <w:szCs w:val="26"/>
        </w:rPr>
        <w:t>. 699</w:t>
      </w:r>
      <w:r w:rsidR="006C7E42">
        <w:rPr>
          <w:rFonts w:ascii="Times" w:eastAsia="Times New Roman" w:hAnsi="Times"/>
          <w:szCs w:val="26"/>
        </w:rPr>
        <w:t>–</w:t>
      </w:r>
      <w:r w:rsidR="007E4111" w:rsidRPr="0045297D">
        <w:rPr>
          <w:rFonts w:ascii="Times" w:eastAsia="Times New Roman" w:hAnsi="Times"/>
          <w:szCs w:val="26"/>
        </w:rPr>
        <w:t>700</w:t>
      </w:r>
      <w:r w:rsidR="001D0750">
        <w:rPr>
          <w:rFonts w:ascii="Times" w:hAnsi="Times"/>
          <w:szCs w:val="26"/>
        </w:rPr>
        <w:t xml:space="preserve">; </w:t>
      </w:r>
      <w:r w:rsidR="00BF1A58">
        <w:rPr>
          <w:rFonts w:ascii="Times" w:hAnsi="Times"/>
          <w:szCs w:val="26"/>
        </w:rPr>
        <w:t xml:space="preserve">see, e.g., </w:t>
      </w:r>
      <w:r w:rsidR="001D0750">
        <w:rPr>
          <w:rFonts w:ascii="Times" w:hAnsi="Times"/>
          <w:i/>
          <w:szCs w:val="26"/>
        </w:rPr>
        <w:t xml:space="preserve">Lim v. The.TV Corp. </w:t>
      </w:r>
      <w:proofErr w:type="spellStart"/>
      <w:r w:rsidR="001D0750">
        <w:rPr>
          <w:rFonts w:ascii="Times" w:hAnsi="Times"/>
          <w:i/>
          <w:szCs w:val="26"/>
        </w:rPr>
        <w:t>Intern</w:t>
      </w:r>
      <w:r w:rsidR="00286EAD">
        <w:rPr>
          <w:rFonts w:ascii="Times" w:hAnsi="Times"/>
          <w:i/>
          <w:szCs w:val="26"/>
        </w:rPr>
        <w:t>at</w:t>
      </w:r>
      <w:r w:rsidR="001D0750">
        <w:rPr>
          <w:rFonts w:ascii="Times" w:hAnsi="Times"/>
          <w:i/>
          <w:szCs w:val="26"/>
        </w:rPr>
        <w:t>.</w:t>
      </w:r>
      <w:proofErr w:type="spellEnd"/>
      <w:r w:rsidR="001D0750">
        <w:rPr>
          <w:rFonts w:ascii="Times" w:hAnsi="Times"/>
          <w:i/>
          <w:szCs w:val="26"/>
        </w:rPr>
        <w:t xml:space="preserve"> </w:t>
      </w:r>
      <w:r w:rsidR="001D0750">
        <w:rPr>
          <w:rFonts w:ascii="Times" w:hAnsi="Times"/>
          <w:szCs w:val="26"/>
        </w:rPr>
        <w:t>(2002) 99 Cal.App.4th 684, 691 [</w:t>
      </w:r>
      <w:r w:rsidR="00F20CA5">
        <w:rPr>
          <w:rFonts w:ascii="Times" w:hAnsi="Times"/>
          <w:szCs w:val="26"/>
        </w:rPr>
        <w:t>"</w:t>
      </w:r>
      <w:r w:rsidR="001D0750">
        <w:rPr>
          <w:rFonts w:ascii="Times" w:hAnsi="Times"/>
          <w:szCs w:val="26"/>
        </w:rPr>
        <w:t xml:space="preserve">[t]he rule is aimed at averments of </w:t>
      </w:r>
      <w:r w:rsidR="001D0750">
        <w:rPr>
          <w:rFonts w:ascii="Times" w:hAnsi="Times"/>
          <w:i/>
          <w:szCs w:val="26"/>
        </w:rPr>
        <w:t xml:space="preserve">fact </w:t>
      </w:r>
      <w:r w:rsidR="001D0750">
        <w:rPr>
          <w:rFonts w:ascii="Times" w:hAnsi="Times"/>
          <w:szCs w:val="26"/>
        </w:rPr>
        <w:t>the pleading party attempts to avoid in a later pleading</w:t>
      </w:r>
      <w:r w:rsidR="00F20CA5">
        <w:rPr>
          <w:rFonts w:ascii="Times" w:hAnsi="Times"/>
          <w:szCs w:val="26"/>
        </w:rPr>
        <w:t>"</w:t>
      </w:r>
      <w:r w:rsidR="001D0750">
        <w:rPr>
          <w:rFonts w:ascii="Times" w:hAnsi="Times"/>
          <w:szCs w:val="26"/>
        </w:rPr>
        <w:t>]</w:t>
      </w:r>
      <w:r w:rsidR="003C48DB">
        <w:rPr>
          <w:rFonts w:ascii="Times" w:hAnsi="Times"/>
          <w:szCs w:val="26"/>
        </w:rPr>
        <w:t xml:space="preserve">.)  </w:t>
      </w:r>
      <w:r w:rsidR="00E821A6">
        <w:rPr>
          <w:rFonts w:ascii="Times" w:hAnsi="Times"/>
          <w:szCs w:val="26"/>
        </w:rPr>
        <w:t xml:space="preserve">On our </w:t>
      </w:r>
      <w:r w:rsidR="001A2F04">
        <w:rPr>
          <w:rFonts w:ascii="Times" w:hAnsi="Times"/>
          <w:szCs w:val="26"/>
        </w:rPr>
        <w:t>record</w:t>
      </w:r>
      <w:r w:rsidR="00E821A6">
        <w:rPr>
          <w:rFonts w:ascii="Times" w:hAnsi="Times"/>
          <w:szCs w:val="26"/>
        </w:rPr>
        <w:t xml:space="preserve">, </w:t>
      </w:r>
      <w:r w:rsidR="001D117C">
        <w:rPr>
          <w:rFonts w:ascii="Times" w:hAnsi="Times"/>
          <w:szCs w:val="26"/>
        </w:rPr>
        <w:t xml:space="preserve">Chase is entitled to amend its complaint to omit </w:t>
      </w:r>
      <w:r w:rsidR="00E821A6">
        <w:rPr>
          <w:rFonts w:ascii="Times" w:hAnsi="Times"/>
          <w:szCs w:val="26"/>
        </w:rPr>
        <w:t xml:space="preserve">these </w:t>
      </w:r>
      <w:r w:rsidR="001D117C">
        <w:rPr>
          <w:rFonts w:ascii="Times" w:hAnsi="Times"/>
          <w:szCs w:val="26"/>
        </w:rPr>
        <w:t>defective allegation</w:t>
      </w:r>
      <w:r w:rsidR="00E821A6">
        <w:rPr>
          <w:rFonts w:ascii="Times" w:hAnsi="Times"/>
          <w:szCs w:val="26"/>
        </w:rPr>
        <w:t>s</w:t>
      </w:r>
      <w:r w:rsidR="001D117C">
        <w:rPr>
          <w:rFonts w:ascii="Times" w:hAnsi="Times"/>
          <w:szCs w:val="26"/>
        </w:rPr>
        <w:t xml:space="preserve">.  </w:t>
      </w:r>
      <w:r w:rsidR="003608F4">
        <w:rPr>
          <w:rFonts w:ascii="Times" w:hAnsi="Times"/>
          <w:szCs w:val="26"/>
        </w:rPr>
        <w:t>L</w:t>
      </w:r>
      <w:r w:rsidR="00E821A6">
        <w:rPr>
          <w:rFonts w:ascii="Times" w:hAnsi="Times"/>
          <w:szCs w:val="26"/>
        </w:rPr>
        <w:t>eave to amend</w:t>
      </w:r>
      <w:r w:rsidR="003608F4">
        <w:rPr>
          <w:rFonts w:ascii="Times" w:hAnsi="Times"/>
          <w:szCs w:val="26"/>
        </w:rPr>
        <w:t xml:space="preserve"> should have been granted</w:t>
      </w:r>
      <w:r w:rsidR="00BF65F8">
        <w:rPr>
          <w:rFonts w:ascii="Times" w:hAnsi="Times"/>
          <w:szCs w:val="26"/>
        </w:rPr>
        <w:t>.</w:t>
      </w:r>
      <w:r w:rsidR="00E821A6">
        <w:rPr>
          <w:rFonts w:ascii="Times" w:hAnsi="Times"/>
          <w:szCs w:val="26"/>
        </w:rPr>
        <w:t xml:space="preserve">  (</w:t>
      </w:r>
      <w:r w:rsidR="00E821A6">
        <w:rPr>
          <w:rFonts w:ascii="Times" w:hAnsi="Times"/>
          <w:i/>
          <w:szCs w:val="26"/>
        </w:rPr>
        <w:t>City of Stockton</w:t>
      </w:r>
      <w:r w:rsidR="00E821A6" w:rsidRPr="00E12132">
        <w:rPr>
          <w:rFonts w:ascii="Times" w:hAnsi="Times"/>
          <w:szCs w:val="26"/>
        </w:rPr>
        <w:t>,</w:t>
      </w:r>
      <w:r w:rsidR="00E821A6">
        <w:rPr>
          <w:rFonts w:ascii="Times" w:hAnsi="Times"/>
          <w:i/>
          <w:szCs w:val="26"/>
        </w:rPr>
        <w:t xml:space="preserve"> supra</w:t>
      </w:r>
      <w:r w:rsidR="00E821A6" w:rsidRPr="00E12132">
        <w:rPr>
          <w:rFonts w:ascii="Times" w:hAnsi="Times"/>
          <w:szCs w:val="26"/>
        </w:rPr>
        <w:t>,</w:t>
      </w:r>
      <w:r w:rsidR="00E821A6">
        <w:rPr>
          <w:rFonts w:ascii="Times" w:hAnsi="Times"/>
          <w:i/>
          <w:szCs w:val="26"/>
        </w:rPr>
        <w:t xml:space="preserve"> </w:t>
      </w:r>
      <w:r w:rsidR="00E821A6">
        <w:rPr>
          <w:rFonts w:ascii="Times" w:hAnsi="Times"/>
          <w:szCs w:val="26"/>
        </w:rPr>
        <w:t>42 Cal.4th at p. 746.)</w:t>
      </w:r>
      <w:r w:rsidR="00C7081C">
        <w:rPr>
          <w:rStyle w:val="FootnoteReference"/>
          <w:szCs w:val="26"/>
        </w:rPr>
        <w:footnoteReference w:id="12"/>
      </w:r>
      <w:r w:rsidR="00C7081C">
        <w:rPr>
          <w:rFonts w:ascii="Times" w:hAnsi="Times"/>
          <w:szCs w:val="26"/>
        </w:rPr>
        <w:t xml:space="preserve">  </w:t>
      </w:r>
    </w:p>
    <w:p w14:paraId="1ECEC080" w14:textId="617F7C88" w:rsidR="00606ABC" w:rsidRPr="00334C66" w:rsidRDefault="006C67FE" w:rsidP="00C7081C">
      <w:pPr>
        <w:ind w:firstLine="720"/>
        <w:rPr>
          <w:rFonts w:ascii="Times" w:hAnsi="Times"/>
          <w:szCs w:val="26"/>
        </w:rPr>
      </w:pPr>
      <w:r>
        <w:rPr>
          <w:rFonts w:ascii="Times" w:hAnsi="Times"/>
          <w:szCs w:val="26"/>
        </w:rPr>
        <w:t xml:space="preserve">Our </w:t>
      </w:r>
      <w:r w:rsidR="00E821A6">
        <w:rPr>
          <w:rFonts w:ascii="Times" w:hAnsi="Times"/>
          <w:szCs w:val="26"/>
        </w:rPr>
        <w:t>analysis does not depend on allegations in Chase</w:t>
      </w:r>
      <w:r w:rsidR="00F20CA5">
        <w:rPr>
          <w:rFonts w:ascii="Times" w:hAnsi="Times"/>
          <w:szCs w:val="26"/>
        </w:rPr>
        <w:t>'</w:t>
      </w:r>
      <w:r w:rsidR="00E821A6">
        <w:rPr>
          <w:rFonts w:ascii="Times" w:hAnsi="Times"/>
          <w:szCs w:val="26"/>
        </w:rPr>
        <w:t xml:space="preserve">s separate </w:t>
      </w:r>
      <w:r w:rsidR="00A003AA">
        <w:rPr>
          <w:rFonts w:ascii="Times" w:hAnsi="Times"/>
          <w:szCs w:val="26"/>
        </w:rPr>
        <w:t xml:space="preserve">action </w:t>
      </w:r>
      <w:r w:rsidR="00CC25F5">
        <w:rPr>
          <w:rFonts w:ascii="Times" w:hAnsi="Times"/>
          <w:szCs w:val="26"/>
        </w:rPr>
        <w:t xml:space="preserve">for </w:t>
      </w:r>
      <w:r w:rsidR="00A003AA">
        <w:rPr>
          <w:rFonts w:ascii="Times" w:hAnsi="Times"/>
          <w:szCs w:val="26"/>
        </w:rPr>
        <w:t xml:space="preserve">equitable subrogation and an equitable lien.  David </w:t>
      </w:r>
      <w:r w:rsidR="002E0BCF">
        <w:rPr>
          <w:rFonts w:ascii="Times" w:hAnsi="Times"/>
          <w:szCs w:val="26"/>
        </w:rPr>
        <w:t>requests</w:t>
      </w:r>
      <w:r w:rsidR="00A003AA">
        <w:rPr>
          <w:rFonts w:ascii="Times" w:hAnsi="Times"/>
          <w:szCs w:val="26"/>
        </w:rPr>
        <w:t xml:space="preserve"> judicial notice of th</w:t>
      </w:r>
      <w:r w:rsidR="002E0BCF">
        <w:rPr>
          <w:rFonts w:ascii="Times" w:hAnsi="Times"/>
          <w:szCs w:val="26"/>
        </w:rPr>
        <w:t>e</w:t>
      </w:r>
      <w:r w:rsidR="00CC25F5">
        <w:rPr>
          <w:rFonts w:ascii="Times" w:hAnsi="Times"/>
          <w:szCs w:val="26"/>
        </w:rPr>
        <w:t xml:space="preserve"> complaint</w:t>
      </w:r>
      <w:r w:rsidR="00A003AA">
        <w:rPr>
          <w:rFonts w:ascii="Times" w:hAnsi="Times"/>
          <w:szCs w:val="26"/>
        </w:rPr>
        <w:t xml:space="preserve"> </w:t>
      </w:r>
      <w:r w:rsidR="002E0BCF">
        <w:rPr>
          <w:rFonts w:ascii="Times" w:hAnsi="Times"/>
          <w:szCs w:val="26"/>
        </w:rPr>
        <w:t xml:space="preserve">in that action </w:t>
      </w:r>
      <w:r w:rsidR="00A003AA">
        <w:rPr>
          <w:rFonts w:ascii="Times" w:hAnsi="Times"/>
          <w:szCs w:val="26"/>
        </w:rPr>
        <w:t xml:space="preserve">to </w:t>
      </w:r>
      <w:r w:rsidR="00E821A6">
        <w:rPr>
          <w:rFonts w:ascii="Times" w:hAnsi="Times"/>
          <w:szCs w:val="26"/>
        </w:rPr>
        <w:t>argue</w:t>
      </w:r>
      <w:r w:rsidR="00A003AA">
        <w:rPr>
          <w:rFonts w:ascii="Times" w:hAnsi="Times"/>
          <w:szCs w:val="26"/>
        </w:rPr>
        <w:t xml:space="preserve"> </w:t>
      </w:r>
      <w:r w:rsidR="003608F4">
        <w:rPr>
          <w:rFonts w:ascii="Times" w:hAnsi="Times"/>
          <w:szCs w:val="26"/>
        </w:rPr>
        <w:t xml:space="preserve">that </w:t>
      </w:r>
      <w:r w:rsidR="00A003AA">
        <w:rPr>
          <w:rFonts w:ascii="Times" w:hAnsi="Times"/>
          <w:szCs w:val="26"/>
        </w:rPr>
        <w:t xml:space="preserve">Chase cannot allege </w:t>
      </w:r>
      <w:r w:rsidR="00606ABC">
        <w:rPr>
          <w:rFonts w:ascii="Times" w:hAnsi="Times"/>
          <w:szCs w:val="26"/>
        </w:rPr>
        <w:t xml:space="preserve">new facts </w:t>
      </w:r>
      <w:r w:rsidR="00A003AA">
        <w:rPr>
          <w:rFonts w:ascii="Times" w:hAnsi="Times"/>
          <w:szCs w:val="26"/>
        </w:rPr>
        <w:t>if given leave to amend</w:t>
      </w:r>
      <w:r w:rsidR="00606ABC">
        <w:rPr>
          <w:rFonts w:ascii="Times" w:hAnsi="Times"/>
          <w:szCs w:val="26"/>
        </w:rPr>
        <w:t xml:space="preserve">. </w:t>
      </w:r>
      <w:r w:rsidR="00A003AA">
        <w:rPr>
          <w:rFonts w:ascii="Times" w:hAnsi="Times"/>
          <w:szCs w:val="26"/>
        </w:rPr>
        <w:t xml:space="preserve"> </w:t>
      </w:r>
      <w:r w:rsidR="006E0453">
        <w:rPr>
          <w:rFonts w:ascii="Times" w:hAnsi="Times"/>
          <w:szCs w:val="26"/>
        </w:rPr>
        <w:t xml:space="preserve">In our view, no new facts </w:t>
      </w:r>
      <w:r w:rsidR="00E821A6">
        <w:rPr>
          <w:rFonts w:ascii="Times" w:hAnsi="Times"/>
          <w:szCs w:val="26"/>
        </w:rPr>
        <w:t xml:space="preserve">are </w:t>
      </w:r>
      <w:r w:rsidR="006E0453" w:rsidRPr="007768F5">
        <w:rPr>
          <w:rFonts w:ascii="Times" w:hAnsi="Times"/>
          <w:szCs w:val="26"/>
        </w:rPr>
        <w:t>need</w:t>
      </w:r>
      <w:r w:rsidR="00E821A6" w:rsidRPr="007768F5">
        <w:rPr>
          <w:rFonts w:ascii="Times" w:hAnsi="Times"/>
          <w:szCs w:val="26"/>
        </w:rPr>
        <w:t xml:space="preserve">ed: </w:t>
      </w:r>
      <w:r w:rsidR="006E0453" w:rsidRPr="000D6FCB">
        <w:rPr>
          <w:rFonts w:ascii="Times" w:hAnsi="Times"/>
          <w:szCs w:val="26"/>
        </w:rPr>
        <w:t xml:space="preserve"> Chase could omit the allegation</w:t>
      </w:r>
      <w:r w:rsidR="00CC25F5" w:rsidRPr="000D6FCB">
        <w:rPr>
          <w:rFonts w:ascii="Times" w:hAnsi="Times"/>
          <w:szCs w:val="26"/>
        </w:rPr>
        <w:t>s</w:t>
      </w:r>
      <w:r w:rsidR="006E0453" w:rsidRPr="000D6FCB">
        <w:rPr>
          <w:rFonts w:ascii="Times" w:hAnsi="Times"/>
          <w:szCs w:val="26"/>
        </w:rPr>
        <w:t xml:space="preserve"> of mistake and reformulate </w:t>
      </w:r>
      <w:r w:rsidR="002E0BCF" w:rsidRPr="000D6FCB">
        <w:rPr>
          <w:rFonts w:ascii="Times" w:hAnsi="Times"/>
          <w:szCs w:val="26"/>
        </w:rPr>
        <w:t>this</w:t>
      </w:r>
      <w:r w:rsidR="006E0453" w:rsidRPr="000D6FCB">
        <w:rPr>
          <w:rFonts w:ascii="Times" w:hAnsi="Times"/>
          <w:szCs w:val="26"/>
        </w:rPr>
        <w:t xml:space="preserve"> action as one </w:t>
      </w:r>
      <w:r w:rsidR="00E621B8" w:rsidRPr="000D6FCB">
        <w:rPr>
          <w:rFonts w:ascii="Times" w:hAnsi="Times"/>
          <w:szCs w:val="26"/>
        </w:rPr>
        <w:t>for declaratory relief</w:t>
      </w:r>
      <w:r w:rsidR="00E621B8" w:rsidRPr="007768F5">
        <w:rPr>
          <w:rFonts w:ascii="Times" w:hAnsi="Times"/>
          <w:szCs w:val="26"/>
        </w:rPr>
        <w:t xml:space="preserve"> </w:t>
      </w:r>
      <w:r w:rsidR="006E0453" w:rsidRPr="007768F5">
        <w:rPr>
          <w:rFonts w:ascii="Times" w:hAnsi="Times"/>
          <w:szCs w:val="26"/>
        </w:rPr>
        <w:t>based on Civil Code section 3415</w:t>
      </w:r>
      <w:r w:rsidR="00BA4D0E" w:rsidRPr="000D6FCB">
        <w:rPr>
          <w:rFonts w:ascii="Times" w:hAnsi="Times"/>
          <w:szCs w:val="26"/>
        </w:rPr>
        <w:t>, subdivision (a)</w:t>
      </w:r>
      <w:r w:rsidR="006E0453" w:rsidRPr="007768F5">
        <w:rPr>
          <w:rFonts w:ascii="Times" w:hAnsi="Times"/>
          <w:szCs w:val="26"/>
        </w:rPr>
        <w:t xml:space="preserve">.  </w:t>
      </w:r>
      <w:r w:rsidR="00EB3106" w:rsidRPr="007768F5">
        <w:rPr>
          <w:rFonts w:ascii="Times" w:hAnsi="Times"/>
          <w:szCs w:val="26"/>
        </w:rPr>
        <w:t xml:space="preserve">Because the </w:t>
      </w:r>
      <w:r w:rsidR="00CC25F5" w:rsidRPr="000D6FCB">
        <w:rPr>
          <w:rFonts w:ascii="Times" w:hAnsi="Times"/>
          <w:szCs w:val="26"/>
        </w:rPr>
        <w:t>related</w:t>
      </w:r>
      <w:r w:rsidR="00CC25F5">
        <w:rPr>
          <w:rFonts w:ascii="Times" w:hAnsi="Times"/>
          <w:szCs w:val="26"/>
        </w:rPr>
        <w:t xml:space="preserve"> pleading</w:t>
      </w:r>
      <w:r w:rsidR="00EB3106">
        <w:rPr>
          <w:rFonts w:ascii="Times" w:hAnsi="Times"/>
          <w:szCs w:val="26"/>
        </w:rPr>
        <w:t xml:space="preserve"> </w:t>
      </w:r>
      <w:r w:rsidR="00F23923">
        <w:rPr>
          <w:rFonts w:ascii="Times" w:hAnsi="Times"/>
          <w:szCs w:val="26"/>
        </w:rPr>
        <w:t>is not relevant to</w:t>
      </w:r>
      <w:r w:rsidR="00EB3106">
        <w:rPr>
          <w:rFonts w:ascii="Times" w:hAnsi="Times"/>
          <w:szCs w:val="26"/>
        </w:rPr>
        <w:t xml:space="preserve"> our analysis, </w:t>
      </w:r>
      <w:r w:rsidR="002E0BCF">
        <w:rPr>
          <w:rFonts w:ascii="Times" w:hAnsi="Times"/>
          <w:szCs w:val="26"/>
        </w:rPr>
        <w:t>David</w:t>
      </w:r>
      <w:r w:rsidR="00F20CA5">
        <w:rPr>
          <w:rFonts w:ascii="Times" w:hAnsi="Times"/>
          <w:szCs w:val="26"/>
        </w:rPr>
        <w:t>'</w:t>
      </w:r>
      <w:r w:rsidR="002E0BCF">
        <w:rPr>
          <w:rFonts w:ascii="Times" w:hAnsi="Times"/>
          <w:szCs w:val="26"/>
        </w:rPr>
        <w:t xml:space="preserve">s </w:t>
      </w:r>
      <w:r w:rsidR="00334C66">
        <w:rPr>
          <w:rFonts w:ascii="Times" w:hAnsi="Times"/>
          <w:szCs w:val="26"/>
        </w:rPr>
        <w:t>request for judicial notice is denied.  (</w:t>
      </w:r>
      <w:proofErr w:type="spellStart"/>
      <w:r w:rsidR="00334C66">
        <w:rPr>
          <w:rFonts w:ascii="Times" w:hAnsi="Times"/>
          <w:i/>
          <w:szCs w:val="26"/>
        </w:rPr>
        <w:t>Mangini</w:t>
      </w:r>
      <w:proofErr w:type="spellEnd"/>
      <w:r w:rsidR="00334C66">
        <w:rPr>
          <w:rFonts w:ascii="Times" w:hAnsi="Times"/>
          <w:i/>
          <w:szCs w:val="26"/>
        </w:rPr>
        <w:t xml:space="preserve"> v. R.J. Reynolds Tobacco</w:t>
      </w:r>
      <w:r w:rsidR="00995F0F">
        <w:rPr>
          <w:rFonts w:ascii="Times" w:hAnsi="Times"/>
          <w:i/>
          <w:szCs w:val="26"/>
        </w:rPr>
        <w:t> </w:t>
      </w:r>
      <w:r w:rsidR="00334C66">
        <w:rPr>
          <w:rFonts w:ascii="Times" w:hAnsi="Times"/>
          <w:i/>
          <w:szCs w:val="26"/>
        </w:rPr>
        <w:t>Co.</w:t>
      </w:r>
      <w:r w:rsidR="00334C66">
        <w:rPr>
          <w:rFonts w:ascii="Times" w:hAnsi="Times"/>
          <w:szCs w:val="26"/>
        </w:rPr>
        <w:t xml:space="preserve"> (1994) 7 Cal.4th 1057, 1063 [</w:t>
      </w:r>
      <w:r w:rsidR="00F20CA5">
        <w:rPr>
          <w:rFonts w:ascii="Times" w:hAnsi="Times"/>
          <w:szCs w:val="26"/>
        </w:rPr>
        <w:t>"</w:t>
      </w:r>
      <w:r w:rsidR="00334C66">
        <w:rPr>
          <w:rFonts w:ascii="Times" w:hAnsi="Times"/>
          <w:szCs w:val="26"/>
        </w:rPr>
        <w:t xml:space="preserve">only </w:t>
      </w:r>
      <w:r w:rsidR="00334C66">
        <w:rPr>
          <w:rFonts w:ascii="Times" w:hAnsi="Times"/>
          <w:i/>
          <w:szCs w:val="26"/>
        </w:rPr>
        <w:t xml:space="preserve">relevant </w:t>
      </w:r>
      <w:r w:rsidR="00334C66">
        <w:rPr>
          <w:rFonts w:ascii="Times" w:hAnsi="Times"/>
          <w:szCs w:val="26"/>
        </w:rPr>
        <w:t>material may be noticed</w:t>
      </w:r>
      <w:r w:rsidR="00F20CA5">
        <w:rPr>
          <w:rFonts w:ascii="Times" w:hAnsi="Times"/>
          <w:szCs w:val="26"/>
        </w:rPr>
        <w:t>"</w:t>
      </w:r>
      <w:r w:rsidR="00334C66">
        <w:rPr>
          <w:rFonts w:ascii="Times" w:hAnsi="Times"/>
          <w:szCs w:val="26"/>
        </w:rPr>
        <w:t>].)</w:t>
      </w:r>
    </w:p>
    <w:p w14:paraId="7CBBA4AB" w14:textId="147E5C53" w:rsidR="00606ABC" w:rsidRPr="0066260B" w:rsidRDefault="002E0BCF" w:rsidP="00C7081C">
      <w:pPr>
        <w:ind w:firstLine="720"/>
        <w:rPr>
          <w:rFonts w:ascii="Times" w:hAnsi="Times"/>
          <w:szCs w:val="26"/>
        </w:rPr>
      </w:pPr>
      <w:r>
        <w:rPr>
          <w:rFonts w:ascii="Times" w:hAnsi="Times"/>
          <w:szCs w:val="26"/>
        </w:rPr>
        <w:t xml:space="preserve">Because we reverse </w:t>
      </w:r>
      <w:r w:rsidR="0066260B">
        <w:rPr>
          <w:rFonts w:ascii="Times" w:hAnsi="Times"/>
          <w:szCs w:val="26"/>
        </w:rPr>
        <w:t>the underlying judgment that was the basis of the award</w:t>
      </w:r>
      <w:r>
        <w:rPr>
          <w:rFonts w:ascii="Times" w:hAnsi="Times"/>
          <w:szCs w:val="26"/>
        </w:rPr>
        <w:t xml:space="preserve">, we also reverse the </w:t>
      </w:r>
      <w:proofErr w:type="spellStart"/>
      <w:r>
        <w:rPr>
          <w:rFonts w:ascii="Times" w:hAnsi="Times"/>
          <w:szCs w:val="26"/>
        </w:rPr>
        <w:t>postjudgment</w:t>
      </w:r>
      <w:proofErr w:type="spellEnd"/>
      <w:r>
        <w:rPr>
          <w:rFonts w:ascii="Times" w:hAnsi="Times"/>
          <w:szCs w:val="26"/>
        </w:rPr>
        <w:t xml:space="preserve"> order awarding attorney fees and costs to David</w:t>
      </w:r>
      <w:r w:rsidR="0066260B">
        <w:rPr>
          <w:rFonts w:ascii="Times" w:hAnsi="Times"/>
          <w:szCs w:val="26"/>
        </w:rPr>
        <w:t xml:space="preserve">.  (See </w:t>
      </w:r>
      <w:r w:rsidR="0066260B">
        <w:rPr>
          <w:rFonts w:ascii="Times" w:hAnsi="Times"/>
          <w:i/>
          <w:szCs w:val="26"/>
        </w:rPr>
        <w:t xml:space="preserve">Lafferty v. Wells Fargo Bank </w:t>
      </w:r>
      <w:r w:rsidR="0066260B">
        <w:rPr>
          <w:rFonts w:ascii="Times" w:hAnsi="Times"/>
          <w:szCs w:val="26"/>
        </w:rPr>
        <w:t>(2013) 213 Cal.App.4th 545, 572.)</w:t>
      </w:r>
    </w:p>
    <w:p w14:paraId="45A940D6" w14:textId="77777777" w:rsidR="00C7081C" w:rsidRDefault="00C558A2" w:rsidP="005E5918">
      <w:pPr>
        <w:keepNext/>
        <w:keepLines/>
        <w:jc w:val="center"/>
        <w:rPr>
          <w:rFonts w:ascii="Times" w:hAnsi="Times"/>
          <w:szCs w:val="26"/>
        </w:rPr>
      </w:pPr>
      <w:r>
        <w:rPr>
          <w:rFonts w:ascii="Times" w:hAnsi="Times"/>
          <w:szCs w:val="26"/>
        </w:rPr>
        <w:t>DISPOSITION</w:t>
      </w:r>
    </w:p>
    <w:p w14:paraId="09293061" w14:textId="4857D6A4" w:rsidR="00C558A2" w:rsidRDefault="00C558A2" w:rsidP="005E5918">
      <w:pPr>
        <w:keepNext/>
        <w:keepLines/>
        <w:rPr>
          <w:rFonts w:ascii="Times" w:hAnsi="Times"/>
          <w:szCs w:val="26"/>
        </w:rPr>
      </w:pPr>
      <w:r>
        <w:rPr>
          <w:rFonts w:ascii="Times" w:hAnsi="Times"/>
          <w:szCs w:val="26"/>
        </w:rPr>
        <w:tab/>
        <w:t xml:space="preserve">The judgment and </w:t>
      </w:r>
      <w:proofErr w:type="spellStart"/>
      <w:r>
        <w:rPr>
          <w:rFonts w:ascii="Times" w:hAnsi="Times"/>
          <w:szCs w:val="26"/>
        </w:rPr>
        <w:t>postjudgment</w:t>
      </w:r>
      <w:proofErr w:type="spellEnd"/>
      <w:r>
        <w:rPr>
          <w:rFonts w:ascii="Times" w:hAnsi="Times"/>
          <w:szCs w:val="26"/>
        </w:rPr>
        <w:t xml:space="preserve"> order are reversed</w:t>
      </w:r>
      <w:r w:rsidR="00F969B4">
        <w:rPr>
          <w:rFonts w:ascii="Times" w:hAnsi="Times"/>
          <w:szCs w:val="26"/>
        </w:rPr>
        <w:t xml:space="preserve">, and the </w:t>
      </w:r>
      <w:r>
        <w:rPr>
          <w:rFonts w:ascii="Times" w:hAnsi="Times"/>
          <w:szCs w:val="26"/>
        </w:rPr>
        <w:t>court is directed to enter a new order granting C</w:t>
      </w:r>
      <w:r w:rsidR="00F303CE">
        <w:rPr>
          <w:rFonts w:ascii="Times" w:hAnsi="Times"/>
          <w:szCs w:val="26"/>
        </w:rPr>
        <w:t>hase leave to amend its complaint.</w:t>
      </w:r>
      <w:r w:rsidR="0036207E">
        <w:rPr>
          <w:rFonts w:ascii="Times" w:hAnsi="Times"/>
          <w:szCs w:val="26"/>
        </w:rPr>
        <w:t xml:space="preserve">  Chase is entitled to recover its costs on appeal.</w:t>
      </w:r>
    </w:p>
    <w:p w14:paraId="0C31BC87" w14:textId="2754DE6C" w:rsidR="003F136E" w:rsidRDefault="003F136E" w:rsidP="005E5918">
      <w:pPr>
        <w:keepNext/>
        <w:keepLines/>
        <w:rPr>
          <w:rFonts w:ascii="Times" w:hAnsi="Times"/>
          <w:szCs w:val="26"/>
        </w:rPr>
      </w:pPr>
    </w:p>
    <w:p w14:paraId="7DE592AC" w14:textId="77777777" w:rsidR="00F20CA5" w:rsidRDefault="00F20CA5" w:rsidP="005E5918">
      <w:pPr>
        <w:keepNext/>
        <w:keepLines/>
        <w:rPr>
          <w:rFonts w:ascii="Times" w:hAnsi="Times"/>
          <w:szCs w:val="26"/>
        </w:rPr>
      </w:pPr>
    </w:p>
    <w:p w14:paraId="6B1A3EDD" w14:textId="77777777" w:rsidR="003F136E" w:rsidRDefault="003F136E" w:rsidP="005E5918">
      <w:pPr>
        <w:keepNext/>
        <w:keepLines/>
        <w:spacing w:line="240" w:lineRule="auto"/>
        <w:rPr>
          <w:rFonts w:ascii="Times" w:hAnsi="Times"/>
          <w:szCs w:val="26"/>
        </w:rPr>
      </w:pPr>
    </w:p>
    <w:p w14:paraId="08CFADF6" w14:textId="77777777" w:rsidR="003F136E" w:rsidRDefault="003F136E" w:rsidP="005E5918">
      <w:pPr>
        <w:keepNext/>
        <w:keepLines/>
        <w:spacing w:line="240" w:lineRule="auto"/>
        <w:jc w:val="right"/>
        <w:rPr>
          <w:rFonts w:ascii="Times" w:hAnsi="Times"/>
          <w:szCs w:val="26"/>
        </w:rPr>
      </w:pPr>
      <w:r>
        <w:rPr>
          <w:rFonts w:ascii="Times" w:hAnsi="Times"/>
          <w:szCs w:val="26"/>
        </w:rPr>
        <w:t>DATO, J.</w:t>
      </w:r>
    </w:p>
    <w:p w14:paraId="225173F6" w14:textId="77777777" w:rsidR="003F136E" w:rsidRDefault="003F136E" w:rsidP="005E5918">
      <w:pPr>
        <w:keepNext/>
        <w:keepLines/>
        <w:tabs>
          <w:tab w:val="right" w:pos="3600"/>
        </w:tabs>
        <w:spacing w:line="240" w:lineRule="auto"/>
        <w:rPr>
          <w:rFonts w:ascii="Times" w:hAnsi="Times"/>
          <w:szCs w:val="26"/>
        </w:rPr>
      </w:pPr>
    </w:p>
    <w:p w14:paraId="29DA63AF" w14:textId="77777777" w:rsidR="003F136E" w:rsidRDefault="003F136E" w:rsidP="005E5918">
      <w:pPr>
        <w:keepNext/>
        <w:keepLines/>
        <w:tabs>
          <w:tab w:val="right" w:pos="3600"/>
        </w:tabs>
        <w:spacing w:line="240" w:lineRule="auto"/>
        <w:rPr>
          <w:rFonts w:ascii="Times" w:hAnsi="Times"/>
          <w:szCs w:val="26"/>
        </w:rPr>
      </w:pPr>
      <w:r>
        <w:rPr>
          <w:rFonts w:ascii="Times" w:hAnsi="Times"/>
          <w:szCs w:val="26"/>
        </w:rPr>
        <w:t>WE CONCUR:</w:t>
      </w:r>
    </w:p>
    <w:p w14:paraId="3A2EF6B5" w14:textId="77777777" w:rsidR="003F136E" w:rsidRDefault="003F136E" w:rsidP="005E5918">
      <w:pPr>
        <w:keepNext/>
        <w:keepLines/>
        <w:tabs>
          <w:tab w:val="right" w:pos="3600"/>
        </w:tabs>
        <w:spacing w:line="240" w:lineRule="auto"/>
        <w:rPr>
          <w:rFonts w:ascii="Times" w:hAnsi="Times"/>
          <w:szCs w:val="26"/>
        </w:rPr>
      </w:pPr>
    </w:p>
    <w:p w14:paraId="36BB5831" w14:textId="77777777" w:rsidR="003F136E" w:rsidRDefault="003F136E" w:rsidP="005E5918">
      <w:pPr>
        <w:keepNext/>
        <w:keepLines/>
        <w:tabs>
          <w:tab w:val="right" w:pos="3600"/>
        </w:tabs>
        <w:spacing w:line="240" w:lineRule="auto"/>
        <w:rPr>
          <w:rFonts w:ascii="Times" w:hAnsi="Times"/>
          <w:szCs w:val="26"/>
        </w:rPr>
      </w:pPr>
    </w:p>
    <w:p w14:paraId="4C3332DB" w14:textId="77777777" w:rsidR="003F136E" w:rsidRDefault="003F136E" w:rsidP="005E5918">
      <w:pPr>
        <w:keepNext/>
        <w:keepLines/>
        <w:tabs>
          <w:tab w:val="right" w:pos="3600"/>
        </w:tabs>
        <w:spacing w:line="240" w:lineRule="auto"/>
        <w:rPr>
          <w:rFonts w:ascii="Times" w:hAnsi="Times"/>
          <w:szCs w:val="26"/>
        </w:rPr>
      </w:pPr>
    </w:p>
    <w:p w14:paraId="30EF3331" w14:textId="360540F2" w:rsidR="003F136E" w:rsidRDefault="003F136E" w:rsidP="005E5918">
      <w:pPr>
        <w:keepNext/>
        <w:keepLines/>
        <w:tabs>
          <w:tab w:val="right" w:pos="3600"/>
        </w:tabs>
        <w:spacing w:line="240" w:lineRule="auto"/>
        <w:rPr>
          <w:rFonts w:ascii="Times" w:hAnsi="Times"/>
          <w:szCs w:val="26"/>
        </w:rPr>
      </w:pPr>
      <w:proofErr w:type="spellStart"/>
      <w:r>
        <w:rPr>
          <w:rFonts w:ascii="Times" w:hAnsi="Times"/>
          <w:szCs w:val="26"/>
        </w:rPr>
        <w:t>McCONNELL</w:t>
      </w:r>
      <w:proofErr w:type="spellEnd"/>
      <w:r>
        <w:rPr>
          <w:rFonts w:ascii="Times" w:hAnsi="Times"/>
          <w:szCs w:val="26"/>
        </w:rPr>
        <w:t>, P. J.</w:t>
      </w:r>
    </w:p>
    <w:p w14:paraId="638BB4BE" w14:textId="77777777" w:rsidR="003F136E" w:rsidRDefault="003F136E" w:rsidP="005E5918">
      <w:pPr>
        <w:keepNext/>
        <w:keepLines/>
        <w:tabs>
          <w:tab w:val="right" w:pos="3600"/>
        </w:tabs>
        <w:spacing w:line="240" w:lineRule="auto"/>
        <w:rPr>
          <w:rFonts w:ascii="Times" w:hAnsi="Times"/>
          <w:szCs w:val="26"/>
        </w:rPr>
      </w:pPr>
    </w:p>
    <w:p w14:paraId="01A1C3FB" w14:textId="77777777" w:rsidR="003F136E" w:rsidRDefault="003F136E" w:rsidP="005E5918">
      <w:pPr>
        <w:keepNext/>
        <w:keepLines/>
        <w:tabs>
          <w:tab w:val="right" w:pos="3600"/>
        </w:tabs>
        <w:spacing w:line="240" w:lineRule="auto"/>
        <w:rPr>
          <w:rFonts w:ascii="Times" w:hAnsi="Times"/>
          <w:szCs w:val="26"/>
        </w:rPr>
      </w:pPr>
    </w:p>
    <w:p w14:paraId="35E81753" w14:textId="77777777" w:rsidR="003F136E" w:rsidRDefault="003F136E" w:rsidP="005E5918">
      <w:pPr>
        <w:keepNext/>
        <w:keepLines/>
        <w:tabs>
          <w:tab w:val="right" w:pos="3600"/>
        </w:tabs>
        <w:spacing w:line="240" w:lineRule="auto"/>
        <w:rPr>
          <w:rFonts w:ascii="Times" w:hAnsi="Times"/>
          <w:szCs w:val="26"/>
        </w:rPr>
      </w:pPr>
    </w:p>
    <w:p w14:paraId="11B889EA" w14:textId="02994914" w:rsidR="003F136E" w:rsidRPr="003F136E" w:rsidRDefault="00523E06" w:rsidP="005E5918">
      <w:pPr>
        <w:keepNext/>
        <w:keepLines/>
        <w:tabs>
          <w:tab w:val="right" w:pos="3600"/>
        </w:tabs>
        <w:spacing w:line="240" w:lineRule="auto"/>
        <w:rPr>
          <w:rFonts w:ascii="Times" w:hAnsi="Times"/>
          <w:szCs w:val="26"/>
        </w:rPr>
      </w:pPr>
      <w:r>
        <w:rPr>
          <w:rFonts w:ascii="Times" w:hAnsi="Times"/>
          <w:szCs w:val="26"/>
        </w:rPr>
        <w:t>BENKE</w:t>
      </w:r>
      <w:r w:rsidR="003F136E">
        <w:rPr>
          <w:rFonts w:ascii="Times" w:hAnsi="Times"/>
          <w:szCs w:val="26"/>
        </w:rPr>
        <w:t>, J.</w:t>
      </w:r>
    </w:p>
    <w:sectPr w:rsidR="003F136E" w:rsidRPr="003F136E" w:rsidSect="0003284A">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D1471D" w14:textId="77777777" w:rsidR="00E14C16" w:rsidRDefault="00E14C16" w:rsidP="0003284A">
      <w:pPr>
        <w:spacing w:line="240" w:lineRule="auto"/>
      </w:pPr>
      <w:r>
        <w:separator/>
      </w:r>
    </w:p>
  </w:endnote>
  <w:endnote w:type="continuationSeparator" w:id="0">
    <w:p w14:paraId="47BAECFF" w14:textId="77777777" w:rsidR="00E14C16" w:rsidRDefault="00E14C16" w:rsidP="0003284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77DCC3" w14:textId="77777777" w:rsidR="00A64880" w:rsidRDefault="00A6488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096672"/>
      <w:docPartObj>
        <w:docPartGallery w:val="Page Numbers (Bottom of Page)"/>
        <w:docPartUnique/>
      </w:docPartObj>
    </w:sdtPr>
    <w:sdtEndPr/>
    <w:sdtContent>
      <w:p w14:paraId="75C6649A" w14:textId="77777777" w:rsidR="00C7081C" w:rsidRDefault="00C7081C">
        <w:pPr>
          <w:pStyle w:val="Footer"/>
          <w:jc w:val="center"/>
        </w:pPr>
        <w:r>
          <w:fldChar w:fldCharType="begin"/>
        </w:r>
        <w:r>
          <w:instrText xml:space="preserve"> PAGE   \* MERGEFORMAT </w:instrText>
        </w:r>
        <w:r>
          <w:fldChar w:fldCharType="separate"/>
        </w:r>
        <w:r w:rsidR="00F1584C">
          <w:rPr>
            <w:noProof/>
          </w:rPr>
          <w:t>2</w:t>
        </w:r>
        <w:r>
          <w:rPr>
            <w:noProof/>
          </w:rPr>
          <w:fldChar w:fldCharType="end"/>
        </w:r>
      </w:p>
    </w:sdtContent>
  </w:sdt>
  <w:p w14:paraId="570E6D04" w14:textId="77777777" w:rsidR="00C7081C" w:rsidRDefault="00C7081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43439A" w14:textId="77777777" w:rsidR="00C7081C" w:rsidRDefault="00C7081C" w:rsidP="0003284A">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5F38C0" w14:textId="77777777" w:rsidR="00E14C16" w:rsidRDefault="00E14C16" w:rsidP="0003284A">
      <w:pPr>
        <w:spacing w:line="240" w:lineRule="auto"/>
      </w:pPr>
      <w:r>
        <w:separator/>
      </w:r>
    </w:p>
  </w:footnote>
  <w:footnote w:type="continuationSeparator" w:id="0">
    <w:p w14:paraId="2FD4AF15" w14:textId="77777777" w:rsidR="00E14C16" w:rsidRDefault="00E14C16" w:rsidP="0003284A">
      <w:pPr>
        <w:spacing w:line="240" w:lineRule="auto"/>
      </w:pPr>
      <w:r>
        <w:continuationSeparator/>
      </w:r>
    </w:p>
  </w:footnote>
  <w:footnote w:id="1">
    <w:p w14:paraId="5BF9451A" w14:textId="77777777" w:rsidR="00C7081C" w:rsidRDefault="00C7081C">
      <w:pPr>
        <w:pStyle w:val="FootnoteText"/>
      </w:pPr>
      <w:r>
        <w:rPr>
          <w:rStyle w:val="FootnoteReference"/>
        </w:rPr>
        <w:footnoteRef/>
      </w:r>
      <w:r>
        <w:t xml:space="preserve"> </w:t>
      </w:r>
      <w:r>
        <w:tab/>
        <w:t>We refer to members of the Ward family by their first names for clarity</w:t>
      </w:r>
      <w:r w:rsidR="00B46423">
        <w:t>,</w:t>
      </w:r>
      <w:r>
        <w:t xml:space="preserve"> intend</w:t>
      </w:r>
      <w:r w:rsidR="00B46423">
        <w:t>ing</w:t>
      </w:r>
      <w:r>
        <w:t xml:space="preserve"> no disrespect.</w:t>
      </w:r>
    </w:p>
  </w:footnote>
  <w:footnote w:id="2">
    <w:p w14:paraId="04DCDE00" w14:textId="77777777" w:rsidR="00C7081C" w:rsidRDefault="00C7081C">
      <w:pPr>
        <w:pStyle w:val="FootnoteText"/>
      </w:pPr>
      <w:r>
        <w:rPr>
          <w:rStyle w:val="FootnoteReference"/>
        </w:rPr>
        <w:footnoteRef/>
      </w:r>
      <w:r>
        <w:t xml:space="preserve"> </w:t>
      </w:r>
      <w:r>
        <w:tab/>
        <w:t>The record does not indicate</w:t>
      </w:r>
      <w:r w:rsidR="00665772">
        <w:t xml:space="preserve"> what transpired in the litigation after the</w:t>
      </w:r>
      <w:r>
        <w:t xml:space="preserve"> complaint was filed in April 2013 and </w:t>
      </w:r>
      <w:r w:rsidR="00665772">
        <w:t>before David filed the</w:t>
      </w:r>
      <w:r>
        <w:t xml:space="preserve"> general demurrers in July 2017.</w:t>
      </w:r>
    </w:p>
  </w:footnote>
  <w:footnote w:id="3">
    <w:p w14:paraId="283D5A87" w14:textId="77777777" w:rsidR="00665772" w:rsidRDefault="00665772" w:rsidP="00665772">
      <w:pPr>
        <w:pStyle w:val="FootnoteText"/>
      </w:pPr>
      <w:r>
        <w:rPr>
          <w:rStyle w:val="FootnoteReference"/>
        </w:rPr>
        <w:footnoteRef/>
      </w:r>
      <w:r>
        <w:t xml:space="preserve"> </w:t>
      </w:r>
      <w:r>
        <w:tab/>
        <w:t>Further statutory references are to the Code of Civil Procedure unless otherwise indicated.</w:t>
      </w:r>
    </w:p>
  </w:footnote>
  <w:footnote w:id="4">
    <w:p w14:paraId="64EEAA21" w14:textId="5B476B86" w:rsidR="000772C6" w:rsidRDefault="000772C6">
      <w:pPr>
        <w:pStyle w:val="FootnoteText"/>
      </w:pPr>
      <w:r>
        <w:rPr>
          <w:rStyle w:val="FootnoteReference"/>
        </w:rPr>
        <w:footnoteRef/>
      </w:r>
      <w:r>
        <w:t xml:space="preserve"> </w:t>
      </w:r>
      <w:r>
        <w:tab/>
        <w:t>This conclusion</w:t>
      </w:r>
      <w:r w:rsidR="00BA624E">
        <w:t xml:space="preserve"> comports with our facts.  Walter represented </w:t>
      </w:r>
      <w:r>
        <w:t xml:space="preserve">that he had the right to grant and convey the property, </w:t>
      </w:r>
      <w:r w:rsidR="00BA624E">
        <w:t>and the notary public certified having</w:t>
      </w:r>
      <w:r>
        <w:t xml:space="preserve"> satisfactory evidence that Walter executed the instrument in his </w:t>
      </w:r>
      <w:r w:rsidR="00F20CA5">
        <w:t>"</w:t>
      </w:r>
      <w:r>
        <w:t>authorized capacity.</w:t>
      </w:r>
      <w:r w:rsidR="00F20CA5">
        <w:t>"</w:t>
      </w:r>
      <w:r>
        <w:t xml:space="preserve"> </w:t>
      </w:r>
    </w:p>
    <w:p w14:paraId="5DF4E5A5" w14:textId="77777777" w:rsidR="00E6033D" w:rsidRDefault="00E6033D">
      <w:pPr>
        <w:pStyle w:val="FootnoteText"/>
      </w:pPr>
    </w:p>
  </w:footnote>
  <w:footnote w:id="5">
    <w:p w14:paraId="3301ADD3" w14:textId="21F7C9C4" w:rsidR="004858EB" w:rsidRPr="00B4448C" w:rsidRDefault="00C7081C" w:rsidP="002920FA">
      <w:pPr>
        <w:pStyle w:val="FootnoteText"/>
      </w:pPr>
      <w:r>
        <w:rPr>
          <w:rStyle w:val="FootnoteReference"/>
        </w:rPr>
        <w:footnoteRef/>
      </w:r>
      <w:r>
        <w:t xml:space="preserve"> </w:t>
      </w:r>
      <w:r>
        <w:tab/>
      </w:r>
      <w:proofErr w:type="spellStart"/>
      <w:r>
        <w:rPr>
          <w:i/>
        </w:rPr>
        <w:t>Malerbi</w:t>
      </w:r>
      <w:proofErr w:type="spellEnd"/>
      <w:r>
        <w:rPr>
          <w:i/>
        </w:rPr>
        <w:t xml:space="preserve"> &amp; Associates v. </w:t>
      </w:r>
      <w:proofErr w:type="spellStart"/>
      <w:r>
        <w:rPr>
          <w:i/>
        </w:rPr>
        <w:t>Seivert</w:t>
      </w:r>
      <w:proofErr w:type="spellEnd"/>
      <w:r>
        <w:rPr>
          <w:i/>
        </w:rPr>
        <w:t xml:space="preserve"> </w:t>
      </w:r>
      <w:r>
        <w:t>(1961) 191 Cal.App.</w:t>
      </w:r>
      <w:r w:rsidRPr="00527A4A">
        <w:t>2d 760</w:t>
      </w:r>
      <w:r w:rsidR="00A946AA" w:rsidRPr="000D6FCB">
        <w:t>, cited by David,</w:t>
      </w:r>
      <w:r w:rsidRPr="00527A4A">
        <w:t xml:space="preserve"> is</w:t>
      </w:r>
      <w:r>
        <w:t xml:space="preserve"> not on point.  A purported contract for the sale of real property was invalid because it completely omitted the name of a purchaser.  The seller tried to enforce a document that read, </w:t>
      </w:r>
      <w:r w:rsidR="00F20CA5">
        <w:t>"</w:t>
      </w:r>
      <w:r>
        <w:t>Received from ____ the purchaser, the sum of ____ Dollars,</w:t>
      </w:r>
      <w:r w:rsidR="00D616A4">
        <w:t> . . . </w:t>
      </w:r>
      <w:r>
        <w:t>as a deposit on account of the purchase price of ($122,500.00).</w:t>
      </w:r>
      <w:r w:rsidR="00F20CA5">
        <w:t>"</w:t>
      </w:r>
      <w:r>
        <w:t xml:space="preserve">  (</w:t>
      </w:r>
      <w:r>
        <w:rPr>
          <w:i/>
        </w:rPr>
        <w:t>Id.</w:t>
      </w:r>
      <w:r>
        <w:t xml:space="preserve"> at p. 761.)  There is no dispute</w:t>
      </w:r>
      <w:r w:rsidR="00943D7A">
        <w:t xml:space="preserve"> here that</w:t>
      </w:r>
      <w:r>
        <w:t xml:space="preserve"> the DOT was signed by Walter; the question is whether it matters that he did not indicate he was signing </w:t>
      </w:r>
      <w:r w:rsidR="00F20CA5">
        <w:t>"</w:t>
      </w:r>
      <w:r>
        <w:t>as trustee.</w:t>
      </w:r>
      <w:r w:rsidR="00F20CA5">
        <w:t>"</w:t>
      </w:r>
    </w:p>
  </w:footnote>
  <w:footnote w:id="6">
    <w:p w14:paraId="62763877" w14:textId="6225C9C2" w:rsidR="00BE313B" w:rsidRDefault="00521326" w:rsidP="00521326">
      <w:pPr>
        <w:pStyle w:val="FootnoteText"/>
      </w:pPr>
      <w:r w:rsidRPr="00AB2D7D">
        <w:rPr>
          <w:rStyle w:val="FootnoteReference"/>
        </w:rPr>
        <w:footnoteRef/>
      </w:r>
      <w:r w:rsidRPr="00AB2D7D">
        <w:t xml:space="preserve"> </w:t>
      </w:r>
      <w:r w:rsidRPr="00AB2D7D">
        <w:tab/>
      </w:r>
      <w:r w:rsidR="004858EB" w:rsidRPr="00AB2D7D">
        <w:t xml:space="preserve">Chase </w:t>
      </w:r>
      <w:r w:rsidR="00657CE5">
        <w:t>invokes</w:t>
      </w:r>
      <w:r w:rsidR="004858EB" w:rsidRPr="00AB2D7D">
        <w:t xml:space="preserve"> the 10-year period from the date of maturity </w:t>
      </w:r>
      <w:r w:rsidR="00657CE5">
        <w:t xml:space="preserve">under </w:t>
      </w:r>
      <w:r w:rsidR="004858EB" w:rsidRPr="00AB2D7D">
        <w:t>section 882.020, subdivision (a)(1) of the Civil Code</w:t>
      </w:r>
      <w:r w:rsidR="00657CE5">
        <w:t xml:space="preserve">. </w:t>
      </w:r>
      <w:r w:rsidR="004858EB" w:rsidRPr="00AB2D7D">
        <w:t xml:space="preserve"> </w:t>
      </w:r>
      <w:r w:rsidR="00657CE5">
        <w:t>T</w:t>
      </w:r>
      <w:r w:rsidR="004858EB" w:rsidRPr="00AB2D7D">
        <w:t xml:space="preserve">hat </w:t>
      </w:r>
      <w:r w:rsidR="00657CE5">
        <w:t xml:space="preserve">statute requires the maturity date to be </w:t>
      </w:r>
      <w:r w:rsidR="00F20CA5">
        <w:t>"</w:t>
      </w:r>
      <w:r w:rsidR="004858EB" w:rsidRPr="00AB2D7D">
        <w:t xml:space="preserve">ascertainable from the </w:t>
      </w:r>
      <w:r w:rsidR="004858EB" w:rsidRPr="00657CE5">
        <w:t>recorded</w:t>
      </w:r>
      <w:r w:rsidR="004858EB" w:rsidRPr="00AB2D7D">
        <w:t xml:space="preserve"> evidence of indebtedness.</w:t>
      </w:r>
      <w:r w:rsidR="00F20CA5">
        <w:t>"</w:t>
      </w:r>
      <w:r w:rsidR="004858EB" w:rsidRPr="00AB2D7D">
        <w:t xml:space="preserve">  </w:t>
      </w:r>
      <w:r w:rsidR="00657CE5">
        <w:t>Thus, a</w:t>
      </w:r>
      <w:r w:rsidR="004858EB" w:rsidRPr="00AB2D7D">
        <w:t xml:space="preserve"> </w:t>
      </w:r>
      <w:r w:rsidR="004858EB" w:rsidRPr="00AB2D7D">
        <w:rPr>
          <w:i/>
        </w:rPr>
        <w:t>recorded</w:t>
      </w:r>
      <w:r w:rsidR="004858EB" w:rsidRPr="00AB2D7D">
        <w:t xml:space="preserve"> document must </w:t>
      </w:r>
      <w:r w:rsidR="00657CE5">
        <w:t>state the note</w:t>
      </w:r>
      <w:r w:rsidR="00F20CA5">
        <w:t>'</w:t>
      </w:r>
      <w:r w:rsidR="00657CE5">
        <w:t>s</w:t>
      </w:r>
      <w:r w:rsidR="004858EB" w:rsidRPr="00AB2D7D">
        <w:t xml:space="preserve"> maturity date.  (</w:t>
      </w:r>
      <w:r w:rsidR="004858EB" w:rsidRPr="00AB2D7D">
        <w:rPr>
          <w:i/>
        </w:rPr>
        <w:t xml:space="preserve">Miller v. Provost </w:t>
      </w:r>
      <w:r w:rsidR="004858EB" w:rsidRPr="00AB2D7D">
        <w:t xml:space="preserve">(1994) 26 Cal.App.4th 1703, 1707; </w:t>
      </w:r>
      <w:proofErr w:type="spellStart"/>
      <w:r w:rsidR="004858EB" w:rsidRPr="00AB2D7D">
        <w:rPr>
          <w:i/>
        </w:rPr>
        <w:t>Nicolopulos</w:t>
      </w:r>
      <w:proofErr w:type="spellEnd"/>
      <w:r w:rsidR="004858EB" w:rsidRPr="00AB2D7D">
        <w:rPr>
          <w:i/>
        </w:rPr>
        <w:t xml:space="preserve"> v. Superior Court </w:t>
      </w:r>
      <w:r w:rsidR="004858EB" w:rsidRPr="00AB2D7D">
        <w:t>(2003) 106 Cal.App.4th 304, 310</w:t>
      </w:r>
      <w:r w:rsidR="00954E8C">
        <w:t>–</w:t>
      </w:r>
      <w:r w:rsidR="004858EB" w:rsidRPr="00AB2D7D">
        <w:t>311.)</w:t>
      </w:r>
    </w:p>
  </w:footnote>
  <w:footnote w:id="7">
    <w:p w14:paraId="6C610BA3" w14:textId="466810AC" w:rsidR="009F2B14" w:rsidRDefault="009F2B14" w:rsidP="009F2B14">
      <w:pPr>
        <w:pStyle w:val="FootnoteText"/>
      </w:pPr>
      <w:r w:rsidRPr="00527A4A">
        <w:rPr>
          <w:rStyle w:val="FootnoteReference"/>
        </w:rPr>
        <w:footnoteRef/>
      </w:r>
      <w:r w:rsidRPr="00527A4A">
        <w:t xml:space="preserve"> </w:t>
      </w:r>
      <w:r w:rsidRPr="00527A4A">
        <w:tab/>
      </w:r>
      <w:r w:rsidR="00F87C89" w:rsidRPr="00527A4A">
        <w:t>Relying</w:t>
      </w:r>
      <w:r w:rsidRPr="00527A4A">
        <w:t xml:space="preserve"> on sections 366.1, 366.2, subdivision (a), and 366.3, subdivision (a), </w:t>
      </w:r>
      <w:r w:rsidR="00F87C89" w:rsidRPr="00527A4A">
        <w:t>David contends the probate limitations period</w:t>
      </w:r>
      <w:r w:rsidRPr="00527A4A">
        <w:t xml:space="preserve"> prevent</w:t>
      </w:r>
      <w:r w:rsidR="006C3B1E">
        <w:t>s</w:t>
      </w:r>
      <w:r w:rsidRPr="00527A4A">
        <w:t xml:space="preserve"> Chase from reformulating its claim against Walter</w:t>
      </w:r>
      <w:r w:rsidR="00F20CA5">
        <w:t>'</w:t>
      </w:r>
      <w:r w:rsidRPr="00527A4A">
        <w:t xml:space="preserve">s estate.  This argument </w:t>
      </w:r>
      <w:r w:rsidR="00420A26" w:rsidRPr="00527A4A">
        <w:t xml:space="preserve">fails because </w:t>
      </w:r>
      <w:r w:rsidRPr="00527A4A">
        <w:t xml:space="preserve">an action against Walter is not </w:t>
      </w:r>
      <w:r w:rsidR="00F20CA5">
        <w:t>"</w:t>
      </w:r>
      <w:r w:rsidRPr="00527A4A">
        <w:t>lost by reason of [his] death.</w:t>
      </w:r>
      <w:r w:rsidR="00F20CA5">
        <w:t>"</w:t>
      </w:r>
      <w:r w:rsidRPr="00527A4A">
        <w:t xml:space="preserve">  (§ 377.20, subd. (a); see § 377.41; </w:t>
      </w:r>
      <w:r w:rsidR="003D4FC8" w:rsidRPr="00527A4A">
        <w:t xml:space="preserve">see </w:t>
      </w:r>
      <w:r w:rsidRPr="00527A4A">
        <w:rPr>
          <w:i/>
        </w:rPr>
        <w:t xml:space="preserve">Union Savings Bank v. Barrett </w:t>
      </w:r>
      <w:r w:rsidRPr="00527A4A">
        <w:t>(1901) 132 Cal. 453, 454−455 [suit to foreclose a mortgage survives against the decedent</w:t>
      </w:r>
      <w:r w:rsidR="00F20CA5">
        <w:t>'</w:t>
      </w:r>
      <w:r w:rsidRPr="00527A4A">
        <w:t>s estate].)  Chase</w:t>
      </w:r>
      <w:r w:rsidR="00F20CA5">
        <w:t>'</w:t>
      </w:r>
      <w:r w:rsidRPr="00527A4A">
        <w:t xml:space="preserve">s amended </w:t>
      </w:r>
      <w:r w:rsidR="003D4FC8" w:rsidRPr="00527A4A">
        <w:t>complaint</w:t>
      </w:r>
      <w:r w:rsidRPr="00527A4A">
        <w:t xml:space="preserve"> would seek recovery </w:t>
      </w:r>
      <w:r w:rsidR="00F20CA5">
        <w:t>"</w:t>
      </w:r>
      <w:r w:rsidRPr="00527A4A">
        <w:t>on the same general set of facts</w:t>
      </w:r>
      <w:r w:rsidR="00F20CA5">
        <w:t>"</w:t>
      </w:r>
      <w:r w:rsidRPr="00527A4A">
        <w:t xml:space="preserve"> and therefore relate back to </w:t>
      </w:r>
      <w:r w:rsidR="003D4FC8" w:rsidRPr="00527A4A">
        <w:t>the</w:t>
      </w:r>
      <w:r w:rsidRPr="00527A4A">
        <w:t xml:space="preserve"> original for statute of limitations purposes.  (</w:t>
      </w:r>
      <w:r w:rsidRPr="00527A4A">
        <w:rPr>
          <w:i/>
        </w:rPr>
        <w:t>Austin v. Massachusetts Bonding &amp; Ins. Co</w:t>
      </w:r>
      <w:r w:rsidRPr="00527A4A">
        <w:t>. (1961) 56 Cal.2d 596, 600.)</w:t>
      </w:r>
    </w:p>
  </w:footnote>
  <w:footnote w:id="8">
    <w:p w14:paraId="36A06B31" w14:textId="609751D8" w:rsidR="00E11063" w:rsidRPr="005C3BAF" w:rsidRDefault="00E11063">
      <w:pPr>
        <w:pStyle w:val="FootnoteText"/>
      </w:pPr>
      <w:r w:rsidRPr="005C3BAF">
        <w:rPr>
          <w:rStyle w:val="FootnoteReference"/>
        </w:rPr>
        <w:footnoteRef/>
      </w:r>
      <w:r w:rsidRPr="005C3BAF">
        <w:t xml:space="preserve"> </w:t>
      </w:r>
      <w:r w:rsidRPr="005C3BAF">
        <w:tab/>
        <w:t>During oral argument, Chase</w:t>
      </w:r>
      <w:r w:rsidR="00F20CA5">
        <w:t>'</w:t>
      </w:r>
      <w:r w:rsidRPr="005C3BAF">
        <w:t xml:space="preserve">s counsel ventured that Walter likely refused to execute a replacement shortly before Chase filed </w:t>
      </w:r>
      <w:r w:rsidR="00EE731F" w:rsidRPr="005C3BAF">
        <w:t>s</w:t>
      </w:r>
      <w:r w:rsidRPr="005C3BAF">
        <w:t xml:space="preserve">uit in April 2013.  </w:t>
      </w:r>
      <w:r w:rsidR="00EE731F" w:rsidRPr="005C3BAF">
        <w:t xml:space="preserve">Additional clarity on the exact date </w:t>
      </w:r>
      <w:r w:rsidR="00D578B3" w:rsidRPr="005C3BAF">
        <w:t>m</w:t>
      </w:r>
      <w:r w:rsidR="00EE731F" w:rsidRPr="005C3BAF">
        <w:t>ay</w:t>
      </w:r>
      <w:r w:rsidRPr="005C3BAF">
        <w:t xml:space="preserve">, of course, be revealed through </w:t>
      </w:r>
      <w:r w:rsidR="00800DC3" w:rsidRPr="005C3BAF">
        <w:t>the discovery process</w:t>
      </w:r>
      <w:r w:rsidRPr="005C3BAF">
        <w:t xml:space="preserve"> or at trial.</w:t>
      </w:r>
    </w:p>
    <w:p w14:paraId="433D0DF1" w14:textId="77777777" w:rsidR="000222FF" w:rsidRPr="00527A4A" w:rsidRDefault="000222FF">
      <w:pPr>
        <w:pStyle w:val="FootnoteText"/>
      </w:pPr>
    </w:p>
  </w:footnote>
  <w:footnote w:id="9">
    <w:p w14:paraId="184CB9E9" w14:textId="15B7B8DB" w:rsidR="00F94322" w:rsidRDefault="00F94322">
      <w:pPr>
        <w:pStyle w:val="FootnoteText"/>
      </w:pPr>
      <w:r w:rsidRPr="005C3BAF">
        <w:rPr>
          <w:rStyle w:val="FootnoteReference"/>
        </w:rPr>
        <w:footnoteRef/>
      </w:r>
      <w:r w:rsidRPr="005C3BAF">
        <w:t xml:space="preserve"> </w:t>
      </w:r>
      <w:r w:rsidRPr="005C3BAF">
        <w:tab/>
      </w:r>
      <w:r w:rsidR="00983450" w:rsidRPr="005C3BAF">
        <w:t xml:space="preserve">An important exception to the general rule defining accrual is the </w:t>
      </w:r>
      <w:r w:rsidRPr="005C3BAF">
        <w:t>discovery rule</w:t>
      </w:r>
      <w:r w:rsidR="00983450" w:rsidRPr="005C3BAF">
        <w:t xml:space="preserve">, which </w:t>
      </w:r>
      <w:r w:rsidR="00F20CA5">
        <w:t>"</w:t>
      </w:r>
      <w:r w:rsidRPr="005C3BAF">
        <w:t>postpones accrual of a cause of action until the plaintiff discovers, or has reason to discover, the cause of action.</w:t>
      </w:r>
      <w:r w:rsidR="00F20CA5">
        <w:t>"</w:t>
      </w:r>
      <w:r w:rsidRPr="005C3BAF">
        <w:t xml:space="preserve">  (</w:t>
      </w:r>
      <w:r w:rsidRPr="005C3BAF">
        <w:rPr>
          <w:i/>
        </w:rPr>
        <w:t>Fox</w:t>
      </w:r>
      <w:r w:rsidR="00CD5AD6" w:rsidRPr="005C3BAF">
        <w:t>,</w:t>
      </w:r>
      <w:r w:rsidR="00CD5AD6" w:rsidRPr="005C3BAF">
        <w:rPr>
          <w:i/>
        </w:rPr>
        <w:t xml:space="preserve"> supra</w:t>
      </w:r>
      <w:r w:rsidR="00CD5AD6" w:rsidRPr="005C3BAF">
        <w:t>,</w:t>
      </w:r>
      <w:r w:rsidR="00CD5AD6" w:rsidRPr="005C3BAF">
        <w:rPr>
          <w:i/>
        </w:rPr>
        <w:t xml:space="preserve"> </w:t>
      </w:r>
      <w:r w:rsidRPr="005C3BAF">
        <w:t xml:space="preserve">35 Cal.4th </w:t>
      </w:r>
      <w:r w:rsidR="00CD5AD6" w:rsidRPr="005C3BAF">
        <w:t>at p. </w:t>
      </w:r>
      <w:r w:rsidRPr="005C3BAF">
        <w:t xml:space="preserve">807.)  </w:t>
      </w:r>
      <w:r w:rsidR="00BD0C72" w:rsidRPr="005C3BAF">
        <w:t>This rule</w:t>
      </w:r>
      <w:r w:rsidR="008944F9" w:rsidRPr="005C3BAF">
        <w:t xml:space="preserve"> </w:t>
      </w:r>
      <w:r w:rsidR="00E35C1C" w:rsidRPr="005C3BAF">
        <w:t>may be</w:t>
      </w:r>
      <w:r w:rsidR="008944F9" w:rsidRPr="005C3BAF">
        <w:t xml:space="preserve"> </w:t>
      </w:r>
      <w:r w:rsidRPr="005C3BAF">
        <w:t xml:space="preserve">judicially implied </w:t>
      </w:r>
      <w:r w:rsidR="00F20CA5">
        <w:t>"</w:t>
      </w:r>
      <w:r w:rsidRPr="005C3BAF">
        <w:t> </w:t>
      </w:r>
      <w:r w:rsidR="00F20CA5">
        <w:t>'</w:t>
      </w:r>
      <w:r w:rsidRPr="005C3BAF">
        <w:t>in situations where the plaintiff is unable to see or appreciate a breach has occurred.</w:t>
      </w:r>
      <w:r w:rsidR="00F20CA5">
        <w:t>'</w:t>
      </w:r>
      <w:r w:rsidRPr="005C3BAF">
        <w:t xml:space="preserve"> </w:t>
      </w:r>
      <w:r w:rsidR="00F20CA5">
        <w:t>"</w:t>
      </w:r>
      <w:r w:rsidRPr="005C3BAF">
        <w:t xml:space="preserve">  (</w:t>
      </w:r>
      <w:r w:rsidRPr="005C3BAF">
        <w:rPr>
          <w:i/>
        </w:rPr>
        <w:t>E-Fab</w:t>
      </w:r>
      <w:r w:rsidRPr="005C3BAF">
        <w:t>,</w:t>
      </w:r>
      <w:r w:rsidRPr="005C3BAF">
        <w:rPr>
          <w:i/>
        </w:rPr>
        <w:t xml:space="preserve"> Inc. v. Accountants</w:t>
      </w:r>
      <w:r w:rsidRPr="005C3BAF">
        <w:t>,</w:t>
      </w:r>
      <w:r w:rsidRPr="005C3BAF">
        <w:rPr>
          <w:i/>
        </w:rPr>
        <w:t xml:space="preserve"> Inc. Services</w:t>
      </w:r>
      <w:r w:rsidRPr="005C3BAF">
        <w:t xml:space="preserve"> (2007) 153 Cal.App.4th 1308, 1318.)  </w:t>
      </w:r>
      <w:r w:rsidR="00BD0C72" w:rsidRPr="005C3BAF">
        <w:t>If the discovery rule applies</w:t>
      </w:r>
      <w:r w:rsidR="00F30E16" w:rsidRPr="005C3BAF">
        <w:t xml:space="preserve">, accrual </w:t>
      </w:r>
      <w:r w:rsidR="00BD0C72" w:rsidRPr="005C3BAF">
        <w:t>begins only when a</w:t>
      </w:r>
      <w:r w:rsidR="00F30E16" w:rsidRPr="005C3BAF">
        <w:t xml:space="preserve"> plaintiff has reason at least to suspect a factual basis for the elements of its action</w:t>
      </w:r>
      <w:r w:rsidR="006B3727" w:rsidRPr="005C3BAF">
        <w:t>.</w:t>
      </w:r>
      <w:r w:rsidR="00F30E16" w:rsidRPr="005C3BAF">
        <w:t xml:space="preserve">  (</w:t>
      </w:r>
      <w:r w:rsidR="00F30E16" w:rsidRPr="005C3BAF">
        <w:rPr>
          <w:i/>
        </w:rPr>
        <w:t>Fox</w:t>
      </w:r>
      <w:r w:rsidR="0057180C" w:rsidRPr="005C3BAF">
        <w:t>,</w:t>
      </w:r>
      <w:r w:rsidR="00F30E16" w:rsidRPr="005C3BAF">
        <w:t xml:space="preserve"> </w:t>
      </w:r>
      <w:r w:rsidR="0057180C" w:rsidRPr="005C3BAF">
        <w:t>at </w:t>
      </w:r>
      <w:r w:rsidR="00F30E16" w:rsidRPr="005C3BAF">
        <w:t xml:space="preserve">p. 807.)  A plaintiff seeking to rely on the discovery rule to excuse an action time-barred on its face </w:t>
      </w:r>
      <w:r w:rsidR="00F20CA5">
        <w:t>"</w:t>
      </w:r>
      <w:r w:rsidR="00F30E16" w:rsidRPr="005C3BAF">
        <w:t xml:space="preserve">must specifically plead facts to show (1) the time and manner of discovery </w:t>
      </w:r>
      <w:r w:rsidR="00F30E16" w:rsidRPr="005C3BAF">
        <w:rPr>
          <w:i/>
        </w:rPr>
        <w:t>and</w:t>
      </w:r>
      <w:r w:rsidR="00F30E16" w:rsidRPr="005C3BAF">
        <w:t xml:space="preserve"> (2) the inability to have made earlier discovery despite reasonable diligence.</w:t>
      </w:r>
      <w:r w:rsidR="00F20CA5">
        <w:t>'</w:t>
      </w:r>
      <w:r w:rsidR="00F30E16" w:rsidRPr="005C3BAF">
        <w:t> </w:t>
      </w:r>
      <w:r w:rsidR="00F20CA5">
        <w:t>"</w:t>
      </w:r>
      <w:r w:rsidR="00F30E16" w:rsidRPr="005C3BAF">
        <w:t xml:space="preserve">  (</w:t>
      </w:r>
      <w:r w:rsidR="00F30E16" w:rsidRPr="005C3BAF">
        <w:rPr>
          <w:i/>
        </w:rPr>
        <w:t>Id.</w:t>
      </w:r>
      <w:r w:rsidR="00F30E16" w:rsidRPr="005C3BAF">
        <w:t xml:space="preserve"> at p. 808.)  Because </w:t>
      </w:r>
      <w:r w:rsidR="006B3727" w:rsidRPr="005C3BAF">
        <w:t xml:space="preserve">on our record </w:t>
      </w:r>
      <w:r w:rsidR="00F30E16" w:rsidRPr="005C3BAF">
        <w:t>Chase</w:t>
      </w:r>
      <w:r w:rsidR="00F20CA5">
        <w:t>'</w:t>
      </w:r>
      <w:r w:rsidR="00F30E16" w:rsidRPr="005C3BAF">
        <w:t xml:space="preserve">s </w:t>
      </w:r>
      <w:r w:rsidR="00CD5AD6" w:rsidRPr="005C3BAF">
        <w:t xml:space="preserve">proposed </w:t>
      </w:r>
      <w:r w:rsidR="00BD0C72" w:rsidRPr="005C3BAF">
        <w:t xml:space="preserve">action </w:t>
      </w:r>
      <w:r w:rsidR="006B3727" w:rsidRPr="005C3BAF">
        <w:t>would not be</w:t>
      </w:r>
      <w:r w:rsidR="00BD0C72" w:rsidRPr="005C3BAF">
        <w:t xml:space="preserve"> untimely </w:t>
      </w:r>
      <w:r w:rsidR="006B3727" w:rsidRPr="005C3BAF">
        <w:t>on its face,</w:t>
      </w:r>
      <w:r w:rsidR="00F30E16" w:rsidRPr="005C3BAF">
        <w:t xml:space="preserve"> we need not resort to the discovery rule to assess its viability.  </w:t>
      </w:r>
      <w:r w:rsidR="00BD0C72" w:rsidRPr="005C3BAF">
        <w:t xml:space="preserve">(See </w:t>
      </w:r>
      <w:r w:rsidR="00BD0C72" w:rsidRPr="005C3BAF">
        <w:rPr>
          <w:i/>
        </w:rPr>
        <w:t>Union Carbide</w:t>
      </w:r>
      <w:r w:rsidR="00BD0C72" w:rsidRPr="005C3BAF">
        <w:t>,</w:t>
      </w:r>
      <w:r w:rsidR="00BD0C72" w:rsidRPr="005C3BAF">
        <w:rPr>
          <w:i/>
        </w:rPr>
        <w:t xml:space="preserve"> supra</w:t>
      </w:r>
      <w:r w:rsidR="00BD0C72" w:rsidRPr="005C3BAF">
        <w:t>,</w:t>
      </w:r>
      <w:r w:rsidR="00BD0C72" w:rsidRPr="005C3BAF">
        <w:rPr>
          <w:i/>
        </w:rPr>
        <w:t xml:space="preserve"> </w:t>
      </w:r>
      <w:r w:rsidR="00BD0C72" w:rsidRPr="005C3BAF">
        <w:t xml:space="preserve">36 Cal.3d at p. 25.)  </w:t>
      </w:r>
      <w:r w:rsidR="00CD5AD6" w:rsidRPr="005C3BAF">
        <w:t>T</w:t>
      </w:r>
      <w:r w:rsidR="00F30E16" w:rsidRPr="005C3BAF">
        <w:t xml:space="preserve">o the extent Chase intends to rely on the discovery rule to excuse </w:t>
      </w:r>
      <w:r w:rsidR="00BD0C72" w:rsidRPr="005C3BAF">
        <w:t xml:space="preserve">causes of action that </w:t>
      </w:r>
      <w:r w:rsidR="00BD0C72" w:rsidRPr="005C3BAF">
        <w:rPr>
          <w:i/>
        </w:rPr>
        <w:t xml:space="preserve">are </w:t>
      </w:r>
      <w:r w:rsidR="006B3727" w:rsidRPr="005C3BAF">
        <w:t>patently untimely</w:t>
      </w:r>
      <w:r w:rsidR="00F30E16" w:rsidRPr="005C3BAF">
        <w:t xml:space="preserve"> in an amended pleading, it would of course need to </w:t>
      </w:r>
      <w:r w:rsidR="00CD5AD6" w:rsidRPr="005C3BAF">
        <w:t>satisfy</w:t>
      </w:r>
      <w:r w:rsidR="00F30E16" w:rsidRPr="005C3BAF">
        <w:t xml:space="preserve"> </w:t>
      </w:r>
      <w:r w:rsidR="00E35C1C" w:rsidRPr="005C3BAF">
        <w:t xml:space="preserve">the </w:t>
      </w:r>
      <w:r w:rsidR="00BD0C72" w:rsidRPr="005C3BAF">
        <w:t>applicable</w:t>
      </w:r>
      <w:r w:rsidR="00F30E16" w:rsidRPr="005C3BAF">
        <w:t xml:space="preserve"> pleading requirements.</w:t>
      </w:r>
    </w:p>
    <w:p w14:paraId="443B54A4" w14:textId="77777777" w:rsidR="00B719BC" w:rsidRPr="00F30E16" w:rsidRDefault="00B719BC">
      <w:pPr>
        <w:pStyle w:val="FootnoteText"/>
      </w:pPr>
    </w:p>
  </w:footnote>
  <w:footnote w:id="10">
    <w:p w14:paraId="5284CD93" w14:textId="05070407" w:rsidR="005F15B5" w:rsidRDefault="00A65168" w:rsidP="000E625B">
      <w:pPr>
        <w:pStyle w:val="FootnoteText"/>
        <w:keepLines w:val="0"/>
      </w:pPr>
      <w:r>
        <w:rPr>
          <w:rStyle w:val="FootnoteReference"/>
        </w:rPr>
        <w:footnoteRef/>
      </w:r>
      <w:r>
        <w:t xml:space="preserve"> </w:t>
      </w:r>
      <w:r>
        <w:tab/>
      </w:r>
      <w:r w:rsidR="000E625B">
        <w:t>Courts have held</w:t>
      </w:r>
      <w:r w:rsidR="001A1032">
        <w:t xml:space="preserve"> that </w:t>
      </w:r>
      <w:r w:rsidR="000E625B">
        <w:t xml:space="preserve">an </w:t>
      </w:r>
      <w:r w:rsidR="001A1032">
        <w:t>allegation as to a contracting party</w:t>
      </w:r>
      <w:r w:rsidR="00F20CA5">
        <w:t>'</w:t>
      </w:r>
      <w:r w:rsidR="001A1032">
        <w:t xml:space="preserve">s intent </w:t>
      </w:r>
      <w:r w:rsidR="00F20CA5">
        <w:t>"</w:t>
      </w:r>
      <w:r>
        <w:t>is a conclusion of fact, which need not be accepted for purposes of demurrer.</w:t>
      </w:r>
      <w:r w:rsidR="00F20CA5">
        <w:t>"</w:t>
      </w:r>
      <w:r>
        <w:t xml:space="preserve">  </w:t>
      </w:r>
      <w:r w:rsidRPr="00254F9B">
        <w:t>(</w:t>
      </w:r>
      <w:r w:rsidRPr="00254F9B">
        <w:rPr>
          <w:i/>
        </w:rPr>
        <w:t>Poseidon Development</w:t>
      </w:r>
      <w:r w:rsidRPr="00FB34EF">
        <w:t>,</w:t>
      </w:r>
      <w:r w:rsidRPr="00254F9B">
        <w:rPr>
          <w:i/>
        </w:rPr>
        <w:t xml:space="preserve"> Inc. v. Woodland Lane Estates</w:t>
      </w:r>
      <w:r w:rsidRPr="00FB34EF">
        <w:t>,</w:t>
      </w:r>
      <w:r w:rsidRPr="00254F9B">
        <w:rPr>
          <w:i/>
        </w:rPr>
        <w:t xml:space="preserve"> LLC</w:t>
      </w:r>
      <w:r w:rsidRPr="00254F9B">
        <w:t xml:space="preserve"> (20</w:t>
      </w:r>
      <w:r>
        <w:t xml:space="preserve">07) 152 Cal.App.4th 1106, 1114; see </w:t>
      </w:r>
      <w:r w:rsidRPr="00254F9B">
        <w:rPr>
          <w:i/>
        </w:rPr>
        <w:t>Morris v. Redwood Empire Bancorp</w:t>
      </w:r>
      <w:r w:rsidRPr="00254F9B">
        <w:t xml:space="preserve"> (2005) 128 Cal.App.4th 1305, 1314</w:t>
      </w:r>
      <w:r>
        <w:t>.)  But</w:t>
      </w:r>
      <w:r w:rsidR="001A1032">
        <w:t xml:space="preserve"> th</w:t>
      </w:r>
      <w:r w:rsidR="000E625B">
        <w:t>e</w:t>
      </w:r>
      <w:r w:rsidR="001A1032">
        <w:t xml:space="preserve">se cases involve plaintiffs who </w:t>
      </w:r>
      <w:r w:rsidR="000E625B">
        <w:rPr>
          <w:i/>
        </w:rPr>
        <w:t>invoke</w:t>
      </w:r>
      <w:r w:rsidR="001A1032">
        <w:t xml:space="preserve"> conclusory allegations</w:t>
      </w:r>
      <w:r w:rsidR="000E625B">
        <w:t xml:space="preserve"> on appeal</w:t>
      </w:r>
      <w:r>
        <w:t xml:space="preserve">.  We have not found </w:t>
      </w:r>
      <w:r w:rsidR="001A1032">
        <w:t xml:space="preserve">cases taking this approach </w:t>
      </w:r>
      <w:r w:rsidR="000E625B">
        <w:t>where a</w:t>
      </w:r>
      <w:r>
        <w:t xml:space="preserve"> plaintiff</w:t>
      </w:r>
      <w:r w:rsidR="001A1032">
        <w:t xml:space="preserve"> </w:t>
      </w:r>
      <w:r w:rsidR="000E625B">
        <w:rPr>
          <w:i/>
        </w:rPr>
        <w:t>d</w:t>
      </w:r>
      <w:r>
        <w:rPr>
          <w:i/>
        </w:rPr>
        <w:t>isavows</w:t>
      </w:r>
      <w:r>
        <w:t xml:space="preserve"> </w:t>
      </w:r>
      <w:r w:rsidR="00DA5CEC">
        <w:t>allegations to reformulate its legal theory.</w:t>
      </w:r>
      <w:r w:rsidR="001A1032">
        <w:t xml:space="preserve">  Nor can we disregard </w:t>
      </w:r>
      <w:r w:rsidR="000E625B">
        <w:t>the allegation</w:t>
      </w:r>
      <w:r w:rsidR="001A1032">
        <w:t xml:space="preserve"> as contradicting an exhibit</w:t>
      </w:r>
      <w:r w:rsidR="000E625B">
        <w:t xml:space="preserve"> to the complaint</w:t>
      </w:r>
      <w:r w:rsidR="001A1032">
        <w:t xml:space="preserve">.  </w:t>
      </w:r>
      <w:r w:rsidR="001A1032" w:rsidRPr="001A1032">
        <w:t>(</w:t>
      </w:r>
      <w:r w:rsidR="001A1032" w:rsidRPr="001A1032">
        <w:rPr>
          <w:i/>
        </w:rPr>
        <w:t>M</w:t>
      </w:r>
      <w:r w:rsidR="001A1032" w:rsidRPr="001A1032">
        <w:rPr>
          <w:i/>
          <w:iCs/>
        </w:rPr>
        <w:t>oran v. Prime Healthcare Mgmt</w:t>
      </w:r>
      <w:r w:rsidR="001A1032" w:rsidRPr="00FB34EF">
        <w:rPr>
          <w:iCs/>
        </w:rPr>
        <w:t>.,</w:t>
      </w:r>
      <w:r w:rsidR="001A1032" w:rsidRPr="001A1032">
        <w:rPr>
          <w:i/>
          <w:iCs/>
        </w:rPr>
        <w:t xml:space="preserve"> Inc.</w:t>
      </w:r>
      <w:r w:rsidR="001A1032" w:rsidRPr="001A1032">
        <w:t> (2016) 3 Cal.App.5th 1131, 1145</w:t>
      </w:r>
      <w:r w:rsidR="005F15B5">
        <w:t>−</w:t>
      </w:r>
      <w:r w:rsidR="001A1032" w:rsidRPr="001A1032">
        <w:t xml:space="preserve">1146; </w:t>
      </w:r>
      <w:proofErr w:type="spellStart"/>
      <w:r w:rsidR="001A1032" w:rsidRPr="001A1032">
        <w:rPr>
          <w:i/>
        </w:rPr>
        <w:t>Sarale</w:t>
      </w:r>
      <w:proofErr w:type="spellEnd"/>
      <w:r w:rsidR="001A1032" w:rsidRPr="001A1032">
        <w:rPr>
          <w:i/>
        </w:rPr>
        <w:t xml:space="preserve"> v. Pacific Gas &amp; Electric Co.</w:t>
      </w:r>
      <w:r w:rsidR="001A1032" w:rsidRPr="001A1032">
        <w:t xml:space="preserve"> (2010) 189 Cal.App.4th 225, 245.)  The fact </w:t>
      </w:r>
      <w:r w:rsidR="005F15B5">
        <w:t xml:space="preserve">that </w:t>
      </w:r>
      <w:r w:rsidR="001A1032" w:rsidRPr="001A1032">
        <w:t>Walter signed his name without</w:t>
      </w:r>
      <w:r w:rsidR="005F15B5">
        <w:t xml:space="preserve"> specifying the </w:t>
      </w:r>
      <w:r w:rsidR="001A1032" w:rsidRPr="001A1032">
        <w:t xml:space="preserve">capacity does not negate the allegation </w:t>
      </w:r>
      <w:r w:rsidR="005F15B5">
        <w:t xml:space="preserve">that </w:t>
      </w:r>
      <w:r w:rsidR="001A1032" w:rsidRPr="001A1032">
        <w:t xml:space="preserve">he mistakenly </w:t>
      </w:r>
      <w:r w:rsidR="001A1032">
        <w:t>signed</w:t>
      </w:r>
      <w:r w:rsidR="001A1032" w:rsidRPr="001A1032">
        <w:t xml:space="preserve"> in his individual capacity.</w:t>
      </w:r>
    </w:p>
    <w:p w14:paraId="79323211" w14:textId="77777777" w:rsidR="00B719BC" w:rsidRPr="00254F9B" w:rsidRDefault="00B719BC" w:rsidP="000E625B">
      <w:pPr>
        <w:pStyle w:val="FootnoteText"/>
        <w:keepLines w:val="0"/>
      </w:pPr>
    </w:p>
  </w:footnote>
  <w:footnote w:id="11">
    <w:p w14:paraId="2D3987DC" w14:textId="77777777" w:rsidR="003E6B1F" w:rsidRDefault="003E6B1F" w:rsidP="003E6B1F">
      <w:pPr>
        <w:pStyle w:val="FootnoteText"/>
      </w:pPr>
      <w:r w:rsidRPr="00527A4A">
        <w:rPr>
          <w:rStyle w:val="FootnoteReference"/>
        </w:rPr>
        <w:footnoteRef/>
      </w:r>
      <w:r w:rsidRPr="00527A4A">
        <w:t xml:space="preserve"> </w:t>
      </w:r>
      <w:r w:rsidRPr="00527A4A">
        <w:tab/>
        <w:t xml:space="preserve">See </w:t>
      </w:r>
      <w:r w:rsidRPr="00527A4A">
        <w:rPr>
          <w:i/>
        </w:rPr>
        <w:t xml:space="preserve">Salazar v. Thomas </w:t>
      </w:r>
      <w:r w:rsidRPr="00527A4A">
        <w:t xml:space="preserve">(2015) 236 Cal.App.4th 467, 476 [three years for quiet title based on mistake]; </w:t>
      </w:r>
      <w:r w:rsidRPr="00527A4A">
        <w:rPr>
          <w:i/>
        </w:rPr>
        <w:t xml:space="preserve">Welsher v. Glickman </w:t>
      </w:r>
      <w:r w:rsidRPr="00527A4A">
        <w:t>(1969) 272 Cal.App.2d 134, 140 [three years for reformation based on mistake].</w:t>
      </w:r>
    </w:p>
  </w:footnote>
  <w:footnote w:id="12">
    <w:p w14:paraId="6EC2974D" w14:textId="77777777" w:rsidR="00C7081C" w:rsidRPr="00E821A6" w:rsidRDefault="00C7081C">
      <w:pPr>
        <w:pStyle w:val="FootnoteText"/>
      </w:pPr>
      <w:r>
        <w:rPr>
          <w:rStyle w:val="FootnoteReference"/>
        </w:rPr>
        <w:footnoteRef/>
      </w:r>
      <w:r>
        <w:t xml:space="preserve"> </w:t>
      </w:r>
      <w:r>
        <w:tab/>
        <w:t xml:space="preserve">We do not fault the trial court for denying leave to amend.  Chase did not seek leave or cite any case law dealing with the sham pleading doctrine.  </w:t>
      </w:r>
      <w:r w:rsidR="002E0BCF">
        <w:t>Even so,</w:t>
      </w:r>
      <w:r>
        <w:t xml:space="preserve"> a plaintiff may claim for the first time on appeal that amendment is possible, and on our record the sham pleading doctrine does not prevent Chase from omitting its prior allegation of mistake in paragraph 18.</w:t>
      </w:r>
      <w:r w:rsidR="00E821A6">
        <w:t xml:space="preserve">  (See </w:t>
      </w:r>
      <w:r w:rsidR="00E821A6">
        <w:rPr>
          <w:i/>
        </w:rPr>
        <w:t>Hendy</w:t>
      </w:r>
      <w:r w:rsidR="00E821A6" w:rsidRPr="00E12132">
        <w:t>,</w:t>
      </w:r>
      <w:r w:rsidR="00E821A6">
        <w:rPr>
          <w:i/>
        </w:rPr>
        <w:t xml:space="preserve"> supra</w:t>
      </w:r>
      <w:r w:rsidR="00E821A6" w:rsidRPr="00E12132">
        <w:t>,</w:t>
      </w:r>
      <w:r w:rsidR="00E821A6">
        <w:rPr>
          <w:i/>
        </w:rPr>
        <w:t xml:space="preserve"> </w:t>
      </w:r>
      <w:r w:rsidR="00E821A6">
        <w:t>54 Cal.3d at p. 743.)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A13B01" w14:textId="77777777" w:rsidR="00A64880" w:rsidRDefault="00A6488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C82377" w14:textId="77777777" w:rsidR="00A64880" w:rsidRDefault="00A6488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C9373D" w14:textId="77777777" w:rsidR="00A64880" w:rsidRDefault="00A648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260D5C"/>
    <w:multiLevelType w:val="hybridMultilevel"/>
    <w:tmpl w:val="514C670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2DA66AD9"/>
    <w:multiLevelType w:val="hybridMultilevel"/>
    <w:tmpl w:val="32348112"/>
    <w:lvl w:ilvl="0" w:tplc="16483DD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34532160"/>
    <w:multiLevelType w:val="hybridMultilevel"/>
    <w:tmpl w:val="18281F0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stylePaneSortMethod w:val="00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6DF"/>
    <w:rsid w:val="00002A86"/>
    <w:rsid w:val="0000479E"/>
    <w:rsid w:val="000160DE"/>
    <w:rsid w:val="000222FF"/>
    <w:rsid w:val="0002407E"/>
    <w:rsid w:val="00026749"/>
    <w:rsid w:val="00030D48"/>
    <w:rsid w:val="00031E5C"/>
    <w:rsid w:val="0003284A"/>
    <w:rsid w:val="00036196"/>
    <w:rsid w:val="00047190"/>
    <w:rsid w:val="00052319"/>
    <w:rsid w:val="00052E76"/>
    <w:rsid w:val="00054B21"/>
    <w:rsid w:val="00055539"/>
    <w:rsid w:val="000602ED"/>
    <w:rsid w:val="0006070C"/>
    <w:rsid w:val="00061E40"/>
    <w:rsid w:val="0006226D"/>
    <w:rsid w:val="000667F6"/>
    <w:rsid w:val="0007422E"/>
    <w:rsid w:val="000744D8"/>
    <w:rsid w:val="00074E50"/>
    <w:rsid w:val="0007620F"/>
    <w:rsid w:val="000772C6"/>
    <w:rsid w:val="00090008"/>
    <w:rsid w:val="00091664"/>
    <w:rsid w:val="00094CD8"/>
    <w:rsid w:val="00096C0D"/>
    <w:rsid w:val="000A0485"/>
    <w:rsid w:val="000A468F"/>
    <w:rsid w:val="000A4FC8"/>
    <w:rsid w:val="000B1693"/>
    <w:rsid w:val="000B5276"/>
    <w:rsid w:val="000B7A5C"/>
    <w:rsid w:val="000C7A31"/>
    <w:rsid w:val="000D45B4"/>
    <w:rsid w:val="000D6FCB"/>
    <w:rsid w:val="000E16B3"/>
    <w:rsid w:val="000E625B"/>
    <w:rsid w:val="000F3CC0"/>
    <w:rsid w:val="00100DF7"/>
    <w:rsid w:val="00105570"/>
    <w:rsid w:val="00116D5A"/>
    <w:rsid w:val="00121841"/>
    <w:rsid w:val="00121F8C"/>
    <w:rsid w:val="00123CED"/>
    <w:rsid w:val="00134B3E"/>
    <w:rsid w:val="00136ACD"/>
    <w:rsid w:val="001434DC"/>
    <w:rsid w:val="001454A3"/>
    <w:rsid w:val="001456AE"/>
    <w:rsid w:val="00160CC9"/>
    <w:rsid w:val="0016342C"/>
    <w:rsid w:val="0016555D"/>
    <w:rsid w:val="00167834"/>
    <w:rsid w:val="0018798B"/>
    <w:rsid w:val="00192274"/>
    <w:rsid w:val="001A1032"/>
    <w:rsid w:val="001A16B3"/>
    <w:rsid w:val="001A173A"/>
    <w:rsid w:val="001A2F04"/>
    <w:rsid w:val="001B2A9E"/>
    <w:rsid w:val="001B5B0A"/>
    <w:rsid w:val="001B792F"/>
    <w:rsid w:val="001C09EF"/>
    <w:rsid w:val="001C510F"/>
    <w:rsid w:val="001C774D"/>
    <w:rsid w:val="001D01BD"/>
    <w:rsid w:val="001D0750"/>
    <w:rsid w:val="001D117C"/>
    <w:rsid w:val="001E4D6E"/>
    <w:rsid w:val="00200538"/>
    <w:rsid w:val="002140EE"/>
    <w:rsid w:val="002151E0"/>
    <w:rsid w:val="00224236"/>
    <w:rsid w:val="00227A35"/>
    <w:rsid w:val="00235E18"/>
    <w:rsid w:val="00241D93"/>
    <w:rsid w:val="00242B94"/>
    <w:rsid w:val="002467E4"/>
    <w:rsid w:val="00250205"/>
    <w:rsid w:val="00252500"/>
    <w:rsid w:val="00254F9B"/>
    <w:rsid w:val="002665E1"/>
    <w:rsid w:val="0026768C"/>
    <w:rsid w:val="00267C25"/>
    <w:rsid w:val="00286EAD"/>
    <w:rsid w:val="00291A9D"/>
    <w:rsid w:val="002920FA"/>
    <w:rsid w:val="002A02E7"/>
    <w:rsid w:val="002A08AF"/>
    <w:rsid w:val="002A289E"/>
    <w:rsid w:val="002B7973"/>
    <w:rsid w:val="002D32B8"/>
    <w:rsid w:val="002D629F"/>
    <w:rsid w:val="002E0BCF"/>
    <w:rsid w:val="002E1C47"/>
    <w:rsid w:val="002E24C4"/>
    <w:rsid w:val="002E2BE3"/>
    <w:rsid w:val="002F595F"/>
    <w:rsid w:val="00302640"/>
    <w:rsid w:val="003032F0"/>
    <w:rsid w:val="00306F6A"/>
    <w:rsid w:val="00307943"/>
    <w:rsid w:val="00310278"/>
    <w:rsid w:val="003106C8"/>
    <w:rsid w:val="003139BE"/>
    <w:rsid w:val="00322A64"/>
    <w:rsid w:val="003244F3"/>
    <w:rsid w:val="003303C8"/>
    <w:rsid w:val="00333B61"/>
    <w:rsid w:val="00334C66"/>
    <w:rsid w:val="00334F8D"/>
    <w:rsid w:val="00336CD7"/>
    <w:rsid w:val="003548BC"/>
    <w:rsid w:val="003608F4"/>
    <w:rsid w:val="00361F63"/>
    <w:rsid w:val="0036207E"/>
    <w:rsid w:val="00373933"/>
    <w:rsid w:val="0037510B"/>
    <w:rsid w:val="0038351E"/>
    <w:rsid w:val="003A4695"/>
    <w:rsid w:val="003B1354"/>
    <w:rsid w:val="003B2A8F"/>
    <w:rsid w:val="003C227D"/>
    <w:rsid w:val="003C2C58"/>
    <w:rsid w:val="003C48DB"/>
    <w:rsid w:val="003D2818"/>
    <w:rsid w:val="003D41A5"/>
    <w:rsid w:val="003D44EE"/>
    <w:rsid w:val="003D48FF"/>
    <w:rsid w:val="003D4FC8"/>
    <w:rsid w:val="003D6975"/>
    <w:rsid w:val="003D6E09"/>
    <w:rsid w:val="003E2F88"/>
    <w:rsid w:val="003E345B"/>
    <w:rsid w:val="003E6B1F"/>
    <w:rsid w:val="003F136E"/>
    <w:rsid w:val="003F5403"/>
    <w:rsid w:val="003F7127"/>
    <w:rsid w:val="00411359"/>
    <w:rsid w:val="00416EF8"/>
    <w:rsid w:val="0041776F"/>
    <w:rsid w:val="00420A26"/>
    <w:rsid w:val="00431399"/>
    <w:rsid w:val="00434BA0"/>
    <w:rsid w:val="004366F2"/>
    <w:rsid w:val="004368A9"/>
    <w:rsid w:val="004440D8"/>
    <w:rsid w:val="004450DB"/>
    <w:rsid w:val="00446089"/>
    <w:rsid w:val="0045078C"/>
    <w:rsid w:val="00451DB2"/>
    <w:rsid w:val="0045297D"/>
    <w:rsid w:val="004577DC"/>
    <w:rsid w:val="004579FB"/>
    <w:rsid w:val="004610DC"/>
    <w:rsid w:val="00462B2A"/>
    <w:rsid w:val="004662B6"/>
    <w:rsid w:val="00475FAD"/>
    <w:rsid w:val="004858EB"/>
    <w:rsid w:val="0048674B"/>
    <w:rsid w:val="00492F8C"/>
    <w:rsid w:val="004A4D8E"/>
    <w:rsid w:val="004A56DF"/>
    <w:rsid w:val="004B132E"/>
    <w:rsid w:val="004B2381"/>
    <w:rsid w:val="004C1A65"/>
    <w:rsid w:val="004C27E1"/>
    <w:rsid w:val="004D4727"/>
    <w:rsid w:val="004D671E"/>
    <w:rsid w:val="004E2EF8"/>
    <w:rsid w:val="004E4503"/>
    <w:rsid w:val="00512522"/>
    <w:rsid w:val="00513B07"/>
    <w:rsid w:val="00521326"/>
    <w:rsid w:val="00523E06"/>
    <w:rsid w:val="00527A4A"/>
    <w:rsid w:val="005327D2"/>
    <w:rsid w:val="00532C70"/>
    <w:rsid w:val="005420CC"/>
    <w:rsid w:val="00547CFD"/>
    <w:rsid w:val="00553EBF"/>
    <w:rsid w:val="00554000"/>
    <w:rsid w:val="00563CA9"/>
    <w:rsid w:val="005667E1"/>
    <w:rsid w:val="00566BD6"/>
    <w:rsid w:val="00567C01"/>
    <w:rsid w:val="0057180C"/>
    <w:rsid w:val="00580C9D"/>
    <w:rsid w:val="00580CE5"/>
    <w:rsid w:val="00587113"/>
    <w:rsid w:val="00587E1B"/>
    <w:rsid w:val="00587F20"/>
    <w:rsid w:val="00590CB6"/>
    <w:rsid w:val="0059399C"/>
    <w:rsid w:val="00596C0F"/>
    <w:rsid w:val="005A1B87"/>
    <w:rsid w:val="005A2132"/>
    <w:rsid w:val="005A3F95"/>
    <w:rsid w:val="005A4A3D"/>
    <w:rsid w:val="005B2A78"/>
    <w:rsid w:val="005B7690"/>
    <w:rsid w:val="005C150A"/>
    <w:rsid w:val="005C3BAF"/>
    <w:rsid w:val="005C4986"/>
    <w:rsid w:val="005D0A04"/>
    <w:rsid w:val="005D5BDB"/>
    <w:rsid w:val="005D5C25"/>
    <w:rsid w:val="005E5918"/>
    <w:rsid w:val="005F1515"/>
    <w:rsid w:val="005F15B5"/>
    <w:rsid w:val="005F48CF"/>
    <w:rsid w:val="00603B5C"/>
    <w:rsid w:val="006042DB"/>
    <w:rsid w:val="00604B46"/>
    <w:rsid w:val="00604B7B"/>
    <w:rsid w:val="0060597A"/>
    <w:rsid w:val="00606ABC"/>
    <w:rsid w:val="006138E0"/>
    <w:rsid w:val="006161A9"/>
    <w:rsid w:val="00620138"/>
    <w:rsid w:val="00625D2D"/>
    <w:rsid w:val="00625DAB"/>
    <w:rsid w:val="00636700"/>
    <w:rsid w:val="00641975"/>
    <w:rsid w:val="0064328F"/>
    <w:rsid w:val="00655460"/>
    <w:rsid w:val="00657310"/>
    <w:rsid w:val="00657CE5"/>
    <w:rsid w:val="0066260B"/>
    <w:rsid w:val="00662971"/>
    <w:rsid w:val="0066411D"/>
    <w:rsid w:val="00665772"/>
    <w:rsid w:val="00667778"/>
    <w:rsid w:val="00671972"/>
    <w:rsid w:val="00672DC2"/>
    <w:rsid w:val="00673CA4"/>
    <w:rsid w:val="00675643"/>
    <w:rsid w:val="006764A6"/>
    <w:rsid w:val="00677127"/>
    <w:rsid w:val="00681656"/>
    <w:rsid w:val="00681F58"/>
    <w:rsid w:val="00685AAA"/>
    <w:rsid w:val="006862BA"/>
    <w:rsid w:val="006A1D7C"/>
    <w:rsid w:val="006B0A70"/>
    <w:rsid w:val="006B3727"/>
    <w:rsid w:val="006B5075"/>
    <w:rsid w:val="006B55B6"/>
    <w:rsid w:val="006C3B1E"/>
    <w:rsid w:val="006C67FE"/>
    <w:rsid w:val="006C7E42"/>
    <w:rsid w:val="006D1CD8"/>
    <w:rsid w:val="006D2D15"/>
    <w:rsid w:val="006E0453"/>
    <w:rsid w:val="006E1999"/>
    <w:rsid w:val="006E7A73"/>
    <w:rsid w:val="006F0493"/>
    <w:rsid w:val="006F36D8"/>
    <w:rsid w:val="006F3F84"/>
    <w:rsid w:val="006F73CA"/>
    <w:rsid w:val="007033A3"/>
    <w:rsid w:val="007108A4"/>
    <w:rsid w:val="00711C59"/>
    <w:rsid w:val="00721B0D"/>
    <w:rsid w:val="00730877"/>
    <w:rsid w:val="0073214B"/>
    <w:rsid w:val="0073483A"/>
    <w:rsid w:val="00742137"/>
    <w:rsid w:val="0074372F"/>
    <w:rsid w:val="00745E9F"/>
    <w:rsid w:val="00746A21"/>
    <w:rsid w:val="00753B7C"/>
    <w:rsid w:val="0076236F"/>
    <w:rsid w:val="00770D24"/>
    <w:rsid w:val="007768F5"/>
    <w:rsid w:val="00781517"/>
    <w:rsid w:val="00783E61"/>
    <w:rsid w:val="007A00D1"/>
    <w:rsid w:val="007A3D15"/>
    <w:rsid w:val="007A4129"/>
    <w:rsid w:val="007A7DEF"/>
    <w:rsid w:val="007B50D0"/>
    <w:rsid w:val="007D6DAC"/>
    <w:rsid w:val="007E052F"/>
    <w:rsid w:val="007E3F22"/>
    <w:rsid w:val="007E4111"/>
    <w:rsid w:val="007F3E69"/>
    <w:rsid w:val="00800524"/>
    <w:rsid w:val="00800DC3"/>
    <w:rsid w:val="0080134D"/>
    <w:rsid w:val="00807ABA"/>
    <w:rsid w:val="00813CE0"/>
    <w:rsid w:val="0081451D"/>
    <w:rsid w:val="00814CC5"/>
    <w:rsid w:val="0081523F"/>
    <w:rsid w:val="00820853"/>
    <w:rsid w:val="00820ECA"/>
    <w:rsid w:val="00824069"/>
    <w:rsid w:val="00830C87"/>
    <w:rsid w:val="00831A07"/>
    <w:rsid w:val="008334A4"/>
    <w:rsid w:val="00834AB8"/>
    <w:rsid w:val="00836814"/>
    <w:rsid w:val="00841573"/>
    <w:rsid w:val="00845D86"/>
    <w:rsid w:val="00847F3E"/>
    <w:rsid w:val="00853A21"/>
    <w:rsid w:val="008559BA"/>
    <w:rsid w:val="008575FA"/>
    <w:rsid w:val="00864C91"/>
    <w:rsid w:val="00866EE9"/>
    <w:rsid w:val="00872707"/>
    <w:rsid w:val="00872E62"/>
    <w:rsid w:val="008776F3"/>
    <w:rsid w:val="0088020B"/>
    <w:rsid w:val="00882C01"/>
    <w:rsid w:val="00886044"/>
    <w:rsid w:val="00892C08"/>
    <w:rsid w:val="008939CE"/>
    <w:rsid w:val="00894396"/>
    <w:rsid w:val="008944F9"/>
    <w:rsid w:val="00896A12"/>
    <w:rsid w:val="008A78CC"/>
    <w:rsid w:val="008B2186"/>
    <w:rsid w:val="008C03BA"/>
    <w:rsid w:val="008C4183"/>
    <w:rsid w:val="008E3E90"/>
    <w:rsid w:val="008F3428"/>
    <w:rsid w:val="008F7615"/>
    <w:rsid w:val="008F7AB1"/>
    <w:rsid w:val="008F7B6E"/>
    <w:rsid w:val="00900A84"/>
    <w:rsid w:val="00901E29"/>
    <w:rsid w:val="009052FB"/>
    <w:rsid w:val="0091322E"/>
    <w:rsid w:val="00916676"/>
    <w:rsid w:val="009234B8"/>
    <w:rsid w:val="00925C9D"/>
    <w:rsid w:val="00935EEC"/>
    <w:rsid w:val="00942D2E"/>
    <w:rsid w:val="009439FE"/>
    <w:rsid w:val="00943D7A"/>
    <w:rsid w:val="00944A09"/>
    <w:rsid w:val="009479B4"/>
    <w:rsid w:val="00952FB4"/>
    <w:rsid w:val="00954E8C"/>
    <w:rsid w:val="00960E21"/>
    <w:rsid w:val="009665FA"/>
    <w:rsid w:val="00967CD2"/>
    <w:rsid w:val="00971A29"/>
    <w:rsid w:val="00971BA5"/>
    <w:rsid w:val="00977D22"/>
    <w:rsid w:val="00983450"/>
    <w:rsid w:val="00983D8D"/>
    <w:rsid w:val="00984370"/>
    <w:rsid w:val="009917B3"/>
    <w:rsid w:val="00991C96"/>
    <w:rsid w:val="00993796"/>
    <w:rsid w:val="00995F0F"/>
    <w:rsid w:val="009A3FF6"/>
    <w:rsid w:val="009A45BA"/>
    <w:rsid w:val="009A78AD"/>
    <w:rsid w:val="009B4F6A"/>
    <w:rsid w:val="009C087B"/>
    <w:rsid w:val="009C59AC"/>
    <w:rsid w:val="009D6DAD"/>
    <w:rsid w:val="009E08C2"/>
    <w:rsid w:val="009E45BF"/>
    <w:rsid w:val="009E538E"/>
    <w:rsid w:val="009F0708"/>
    <w:rsid w:val="009F2B14"/>
    <w:rsid w:val="009F69E0"/>
    <w:rsid w:val="00A003AA"/>
    <w:rsid w:val="00A0525B"/>
    <w:rsid w:val="00A12082"/>
    <w:rsid w:val="00A264B7"/>
    <w:rsid w:val="00A321A5"/>
    <w:rsid w:val="00A50CDA"/>
    <w:rsid w:val="00A61B52"/>
    <w:rsid w:val="00A64880"/>
    <w:rsid w:val="00A65168"/>
    <w:rsid w:val="00A71DED"/>
    <w:rsid w:val="00A7309D"/>
    <w:rsid w:val="00A73581"/>
    <w:rsid w:val="00A7601D"/>
    <w:rsid w:val="00A82A4E"/>
    <w:rsid w:val="00A86BAB"/>
    <w:rsid w:val="00A86D05"/>
    <w:rsid w:val="00A946AA"/>
    <w:rsid w:val="00A96C95"/>
    <w:rsid w:val="00AA34BB"/>
    <w:rsid w:val="00AB1920"/>
    <w:rsid w:val="00AB2D7D"/>
    <w:rsid w:val="00AB4F0C"/>
    <w:rsid w:val="00AC04D7"/>
    <w:rsid w:val="00AC065D"/>
    <w:rsid w:val="00AC6628"/>
    <w:rsid w:val="00AD3557"/>
    <w:rsid w:val="00AE24F8"/>
    <w:rsid w:val="00AE2D1C"/>
    <w:rsid w:val="00AE6987"/>
    <w:rsid w:val="00AF066C"/>
    <w:rsid w:val="00AF3FE7"/>
    <w:rsid w:val="00B0064E"/>
    <w:rsid w:val="00B04972"/>
    <w:rsid w:val="00B0523D"/>
    <w:rsid w:val="00B10153"/>
    <w:rsid w:val="00B141A9"/>
    <w:rsid w:val="00B1765D"/>
    <w:rsid w:val="00B21F67"/>
    <w:rsid w:val="00B22720"/>
    <w:rsid w:val="00B24B63"/>
    <w:rsid w:val="00B252A5"/>
    <w:rsid w:val="00B33525"/>
    <w:rsid w:val="00B34A46"/>
    <w:rsid w:val="00B4448C"/>
    <w:rsid w:val="00B46423"/>
    <w:rsid w:val="00B5681C"/>
    <w:rsid w:val="00B63F53"/>
    <w:rsid w:val="00B650B6"/>
    <w:rsid w:val="00B67AD7"/>
    <w:rsid w:val="00B719BC"/>
    <w:rsid w:val="00B75CFC"/>
    <w:rsid w:val="00B761CC"/>
    <w:rsid w:val="00B95DF9"/>
    <w:rsid w:val="00B97949"/>
    <w:rsid w:val="00BA2943"/>
    <w:rsid w:val="00BA4D0E"/>
    <w:rsid w:val="00BA624E"/>
    <w:rsid w:val="00BB1E50"/>
    <w:rsid w:val="00BB4164"/>
    <w:rsid w:val="00BB42B1"/>
    <w:rsid w:val="00BB718A"/>
    <w:rsid w:val="00BC784E"/>
    <w:rsid w:val="00BD0C72"/>
    <w:rsid w:val="00BE313B"/>
    <w:rsid w:val="00BF1A58"/>
    <w:rsid w:val="00BF65F8"/>
    <w:rsid w:val="00C00F94"/>
    <w:rsid w:val="00C15FA3"/>
    <w:rsid w:val="00C351DF"/>
    <w:rsid w:val="00C42BD6"/>
    <w:rsid w:val="00C506E4"/>
    <w:rsid w:val="00C54F66"/>
    <w:rsid w:val="00C55596"/>
    <w:rsid w:val="00C558A2"/>
    <w:rsid w:val="00C63407"/>
    <w:rsid w:val="00C638B8"/>
    <w:rsid w:val="00C7081C"/>
    <w:rsid w:val="00C7454F"/>
    <w:rsid w:val="00C7512D"/>
    <w:rsid w:val="00C76A67"/>
    <w:rsid w:val="00C77083"/>
    <w:rsid w:val="00C84169"/>
    <w:rsid w:val="00C92D95"/>
    <w:rsid w:val="00CA35AF"/>
    <w:rsid w:val="00CB301B"/>
    <w:rsid w:val="00CB729D"/>
    <w:rsid w:val="00CC1D43"/>
    <w:rsid w:val="00CC1F14"/>
    <w:rsid w:val="00CC25F5"/>
    <w:rsid w:val="00CC4893"/>
    <w:rsid w:val="00CD0BD9"/>
    <w:rsid w:val="00CD5AD6"/>
    <w:rsid w:val="00CD668B"/>
    <w:rsid w:val="00CD7E0B"/>
    <w:rsid w:val="00CE1F04"/>
    <w:rsid w:val="00CE6116"/>
    <w:rsid w:val="00CE6891"/>
    <w:rsid w:val="00CF31B4"/>
    <w:rsid w:val="00CF37B6"/>
    <w:rsid w:val="00CF6BB2"/>
    <w:rsid w:val="00D048BB"/>
    <w:rsid w:val="00D0647B"/>
    <w:rsid w:val="00D06AF8"/>
    <w:rsid w:val="00D074DF"/>
    <w:rsid w:val="00D13569"/>
    <w:rsid w:val="00D21F15"/>
    <w:rsid w:val="00D33A2B"/>
    <w:rsid w:val="00D35D01"/>
    <w:rsid w:val="00D3639D"/>
    <w:rsid w:val="00D44D03"/>
    <w:rsid w:val="00D456DF"/>
    <w:rsid w:val="00D52D64"/>
    <w:rsid w:val="00D578B3"/>
    <w:rsid w:val="00D60B70"/>
    <w:rsid w:val="00D616A4"/>
    <w:rsid w:val="00D63A34"/>
    <w:rsid w:val="00D67325"/>
    <w:rsid w:val="00D72394"/>
    <w:rsid w:val="00D7336E"/>
    <w:rsid w:val="00D80358"/>
    <w:rsid w:val="00D8180E"/>
    <w:rsid w:val="00D8655C"/>
    <w:rsid w:val="00D91E39"/>
    <w:rsid w:val="00D9696F"/>
    <w:rsid w:val="00DA012A"/>
    <w:rsid w:val="00DA15F3"/>
    <w:rsid w:val="00DA21C4"/>
    <w:rsid w:val="00DA2388"/>
    <w:rsid w:val="00DA5CEC"/>
    <w:rsid w:val="00DA7D5B"/>
    <w:rsid w:val="00DC22AB"/>
    <w:rsid w:val="00DC2727"/>
    <w:rsid w:val="00DC40E1"/>
    <w:rsid w:val="00DD24DC"/>
    <w:rsid w:val="00DE3C5E"/>
    <w:rsid w:val="00DE4AFD"/>
    <w:rsid w:val="00E00A37"/>
    <w:rsid w:val="00E07D32"/>
    <w:rsid w:val="00E11063"/>
    <w:rsid w:val="00E11300"/>
    <w:rsid w:val="00E12132"/>
    <w:rsid w:val="00E12BDD"/>
    <w:rsid w:val="00E14569"/>
    <w:rsid w:val="00E14C16"/>
    <w:rsid w:val="00E20AE5"/>
    <w:rsid w:val="00E21BB5"/>
    <w:rsid w:val="00E23537"/>
    <w:rsid w:val="00E33D7B"/>
    <w:rsid w:val="00E34727"/>
    <w:rsid w:val="00E35C1C"/>
    <w:rsid w:val="00E36698"/>
    <w:rsid w:val="00E47610"/>
    <w:rsid w:val="00E500F0"/>
    <w:rsid w:val="00E55E53"/>
    <w:rsid w:val="00E6033D"/>
    <w:rsid w:val="00E621B8"/>
    <w:rsid w:val="00E662F4"/>
    <w:rsid w:val="00E70346"/>
    <w:rsid w:val="00E7290A"/>
    <w:rsid w:val="00E7746D"/>
    <w:rsid w:val="00E821A6"/>
    <w:rsid w:val="00E848CC"/>
    <w:rsid w:val="00E87E04"/>
    <w:rsid w:val="00EA6451"/>
    <w:rsid w:val="00EB3106"/>
    <w:rsid w:val="00ED7EF8"/>
    <w:rsid w:val="00EE213E"/>
    <w:rsid w:val="00EE284D"/>
    <w:rsid w:val="00EE731F"/>
    <w:rsid w:val="00EF412E"/>
    <w:rsid w:val="00EF6E50"/>
    <w:rsid w:val="00F00AFB"/>
    <w:rsid w:val="00F063D4"/>
    <w:rsid w:val="00F06590"/>
    <w:rsid w:val="00F109BC"/>
    <w:rsid w:val="00F1584C"/>
    <w:rsid w:val="00F176F5"/>
    <w:rsid w:val="00F20CA5"/>
    <w:rsid w:val="00F21AC8"/>
    <w:rsid w:val="00F23923"/>
    <w:rsid w:val="00F279DD"/>
    <w:rsid w:val="00F303CE"/>
    <w:rsid w:val="00F30E16"/>
    <w:rsid w:val="00F404F1"/>
    <w:rsid w:val="00F41845"/>
    <w:rsid w:val="00F4350D"/>
    <w:rsid w:val="00F52F29"/>
    <w:rsid w:val="00F62F48"/>
    <w:rsid w:val="00F6735D"/>
    <w:rsid w:val="00F72F4D"/>
    <w:rsid w:val="00F83036"/>
    <w:rsid w:val="00F85A6D"/>
    <w:rsid w:val="00F86D99"/>
    <w:rsid w:val="00F87C89"/>
    <w:rsid w:val="00F94322"/>
    <w:rsid w:val="00F95195"/>
    <w:rsid w:val="00F969B4"/>
    <w:rsid w:val="00FA0138"/>
    <w:rsid w:val="00FA08DF"/>
    <w:rsid w:val="00FA2806"/>
    <w:rsid w:val="00FA73AA"/>
    <w:rsid w:val="00FB10CD"/>
    <w:rsid w:val="00FB34EF"/>
    <w:rsid w:val="00FB361A"/>
    <w:rsid w:val="00FB3AC9"/>
    <w:rsid w:val="00FB4C23"/>
    <w:rsid w:val="00FC126C"/>
    <w:rsid w:val="00FC3073"/>
    <w:rsid w:val="00FC443F"/>
    <w:rsid w:val="00FC735A"/>
    <w:rsid w:val="00FE1DC4"/>
    <w:rsid w:val="00FE4F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7291E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6"/>
        <w:szCs w:val="26"/>
        <w:lang w:val="en-US" w:eastAsia="en-US" w:bidi="en-US"/>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F412E"/>
    <w:rPr>
      <w:szCs w:val="24"/>
    </w:rPr>
  </w:style>
  <w:style w:type="paragraph" w:styleId="Heading1">
    <w:name w:val="heading 1"/>
    <w:basedOn w:val="Normal"/>
    <w:next w:val="Normal"/>
    <w:link w:val="Heading1Char"/>
    <w:uiPriority w:val="9"/>
    <w:qFormat/>
    <w:rsid w:val="00EF412E"/>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EF412E"/>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EF412E"/>
    <w:pPr>
      <w:keepNext/>
      <w:spacing w:before="240" w:after="60"/>
      <w:outlineLvl w:val="2"/>
    </w:pPr>
    <w:rPr>
      <w:rFonts w:asciiTheme="majorHAnsi" w:eastAsiaTheme="majorEastAsia" w:hAnsiTheme="majorHAnsi"/>
      <w:b/>
      <w:bCs/>
      <w:szCs w:val="26"/>
    </w:rPr>
  </w:style>
  <w:style w:type="paragraph" w:styleId="Heading6">
    <w:name w:val="heading 6"/>
    <w:basedOn w:val="Normal"/>
    <w:next w:val="Normal"/>
    <w:link w:val="Heading6Char"/>
    <w:uiPriority w:val="9"/>
    <w:semiHidden/>
    <w:unhideWhenUsed/>
    <w:qFormat/>
    <w:rsid w:val="00EF412E"/>
    <w:pPr>
      <w:spacing w:before="240" w:after="60"/>
      <w:outlineLvl w:val="5"/>
    </w:pPr>
    <w:rPr>
      <w:b/>
      <w:bCs/>
      <w:szCs w:val="26"/>
    </w:rPr>
  </w:style>
  <w:style w:type="paragraph" w:styleId="Heading7">
    <w:name w:val="heading 7"/>
    <w:basedOn w:val="Normal"/>
    <w:next w:val="Normal"/>
    <w:link w:val="Heading7Char"/>
    <w:uiPriority w:val="9"/>
    <w:semiHidden/>
    <w:unhideWhenUsed/>
    <w:qFormat/>
    <w:rsid w:val="00EF412E"/>
    <w:pPr>
      <w:spacing w:before="240" w:after="60"/>
      <w:outlineLvl w:val="6"/>
    </w:pPr>
    <w:rPr>
      <w:sz w:val="24"/>
    </w:rPr>
  </w:style>
  <w:style w:type="paragraph" w:styleId="Heading8">
    <w:name w:val="heading 8"/>
    <w:basedOn w:val="Normal"/>
    <w:next w:val="Normal"/>
    <w:link w:val="Heading8Char"/>
    <w:uiPriority w:val="9"/>
    <w:semiHidden/>
    <w:unhideWhenUsed/>
    <w:qFormat/>
    <w:rsid w:val="00EF412E"/>
    <w:pPr>
      <w:spacing w:before="240" w:after="60"/>
      <w:outlineLvl w:val="7"/>
    </w:pPr>
    <w:rPr>
      <w:i/>
      <w:iCs/>
      <w:sz w:val="24"/>
    </w:rPr>
  </w:style>
  <w:style w:type="paragraph" w:styleId="Heading9">
    <w:name w:val="heading 9"/>
    <w:basedOn w:val="Normal"/>
    <w:next w:val="Normal"/>
    <w:link w:val="Heading9Char"/>
    <w:uiPriority w:val="9"/>
    <w:semiHidden/>
    <w:unhideWhenUsed/>
    <w:qFormat/>
    <w:rsid w:val="00EF412E"/>
    <w:pPr>
      <w:spacing w:before="240" w:after="60"/>
      <w:outlineLvl w:val="8"/>
    </w:pPr>
    <w:rPr>
      <w:rFonts w:asciiTheme="majorHAnsi" w:eastAsiaTheme="majorEastAsia" w:hAnsiTheme="majorHAns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412E"/>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EF412E"/>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EF412E"/>
    <w:rPr>
      <w:rFonts w:asciiTheme="majorHAnsi" w:eastAsiaTheme="majorEastAsia" w:hAnsiTheme="majorHAnsi"/>
      <w:b/>
      <w:bCs/>
    </w:rPr>
  </w:style>
  <w:style w:type="character" w:customStyle="1" w:styleId="Heading6Char">
    <w:name w:val="Heading 6 Char"/>
    <w:basedOn w:val="DefaultParagraphFont"/>
    <w:link w:val="Heading6"/>
    <w:uiPriority w:val="9"/>
    <w:semiHidden/>
    <w:rsid w:val="00EF412E"/>
    <w:rPr>
      <w:b/>
      <w:bCs/>
    </w:rPr>
  </w:style>
  <w:style w:type="character" w:customStyle="1" w:styleId="Heading7Char">
    <w:name w:val="Heading 7 Char"/>
    <w:basedOn w:val="DefaultParagraphFont"/>
    <w:link w:val="Heading7"/>
    <w:uiPriority w:val="9"/>
    <w:semiHidden/>
    <w:rsid w:val="00EF412E"/>
    <w:rPr>
      <w:sz w:val="24"/>
      <w:szCs w:val="24"/>
    </w:rPr>
  </w:style>
  <w:style w:type="character" w:customStyle="1" w:styleId="Heading8Char">
    <w:name w:val="Heading 8 Char"/>
    <w:basedOn w:val="DefaultParagraphFont"/>
    <w:link w:val="Heading8"/>
    <w:uiPriority w:val="9"/>
    <w:semiHidden/>
    <w:rsid w:val="00EF412E"/>
    <w:rPr>
      <w:i/>
      <w:iCs/>
      <w:sz w:val="24"/>
      <w:szCs w:val="24"/>
    </w:rPr>
  </w:style>
  <w:style w:type="character" w:customStyle="1" w:styleId="Heading9Char">
    <w:name w:val="Heading 9 Char"/>
    <w:basedOn w:val="DefaultParagraphFont"/>
    <w:link w:val="Heading9"/>
    <w:uiPriority w:val="9"/>
    <w:semiHidden/>
    <w:rsid w:val="00EF412E"/>
    <w:rPr>
      <w:rFonts w:asciiTheme="majorHAnsi" w:eastAsiaTheme="majorEastAsia" w:hAnsiTheme="majorHAnsi"/>
    </w:rPr>
  </w:style>
  <w:style w:type="paragraph" w:styleId="Title">
    <w:name w:val="Title"/>
    <w:basedOn w:val="Normal"/>
    <w:next w:val="Normal"/>
    <w:link w:val="TitleChar"/>
    <w:uiPriority w:val="10"/>
    <w:qFormat/>
    <w:rsid w:val="00EF412E"/>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EF412E"/>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EF412E"/>
    <w:pPr>
      <w:spacing w:after="60"/>
      <w:jc w:val="center"/>
      <w:outlineLvl w:val="1"/>
    </w:pPr>
    <w:rPr>
      <w:rFonts w:asciiTheme="majorHAnsi" w:eastAsiaTheme="majorEastAsia" w:hAnsiTheme="majorHAnsi"/>
      <w:sz w:val="24"/>
    </w:rPr>
  </w:style>
  <w:style w:type="character" w:customStyle="1" w:styleId="SubtitleChar">
    <w:name w:val="Subtitle Char"/>
    <w:basedOn w:val="DefaultParagraphFont"/>
    <w:link w:val="Subtitle"/>
    <w:uiPriority w:val="11"/>
    <w:rsid w:val="00EF412E"/>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EF412E"/>
    <w:pPr>
      <w:outlineLvl w:val="9"/>
    </w:pPr>
  </w:style>
  <w:style w:type="paragraph" w:styleId="Header">
    <w:name w:val="header"/>
    <w:basedOn w:val="Normal"/>
    <w:link w:val="HeaderChar"/>
    <w:uiPriority w:val="99"/>
    <w:unhideWhenUsed/>
    <w:rsid w:val="00EF412E"/>
    <w:pPr>
      <w:tabs>
        <w:tab w:val="center" w:pos="4680"/>
        <w:tab w:val="right" w:pos="9360"/>
      </w:tabs>
      <w:spacing w:line="240" w:lineRule="auto"/>
    </w:pPr>
  </w:style>
  <w:style w:type="character" w:customStyle="1" w:styleId="HeaderChar">
    <w:name w:val="Header Char"/>
    <w:basedOn w:val="DefaultParagraphFont"/>
    <w:link w:val="Header"/>
    <w:uiPriority w:val="99"/>
    <w:rsid w:val="00EF412E"/>
    <w:rPr>
      <w:szCs w:val="24"/>
    </w:rPr>
  </w:style>
  <w:style w:type="paragraph" w:styleId="Footer">
    <w:name w:val="footer"/>
    <w:basedOn w:val="Normal"/>
    <w:link w:val="FooterChar"/>
    <w:uiPriority w:val="99"/>
    <w:unhideWhenUsed/>
    <w:rsid w:val="00EF412E"/>
    <w:pPr>
      <w:tabs>
        <w:tab w:val="center" w:pos="4680"/>
        <w:tab w:val="right" w:pos="9360"/>
      </w:tabs>
      <w:spacing w:line="240" w:lineRule="auto"/>
    </w:pPr>
  </w:style>
  <w:style w:type="character" w:customStyle="1" w:styleId="FooterChar">
    <w:name w:val="Footer Char"/>
    <w:basedOn w:val="DefaultParagraphFont"/>
    <w:link w:val="Footer"/>
    <w:uiPriority w:val="99"/>
    <w:rsid w:val="00EF412E"/>
    <w:rPr>
      <w:szCs w:val="24"/>
    </w:rPr>
  </w:style>
  <w:style w:type="character" w:styleId="FootnoteReference">
    <w:name w:val="footnote reference"/>
    <w:basedOn w:val="DefaultParagraphFont"/>
    <w:uiPriority w:val="99"/>
    <w:unhideWhenUsed/>
    <w:rsid w:val="00EF412E"/>
    <w:rPr>
      <w:rFonts w:ascii="Times New Roman" w:hAnsi="Times New Roman"/>
      <w:position w:val="6"/>
      <w:sz w:val="26"/>
      <w:vertAlign w:val="baseline"/>
    </w:rPr>
  </w:style>
  <w:style w:type="paragraph" w:styleId="FootnoteText">
    <w:name w:val="footnote text"/>
    <w:link w:val="FootnoteTextChar"/>
    <w:uiPriority w:val="99"/>
    <w:unhideWhenUsed/>
    <w:rsid w:val="00EF412E"/>
    <w:pPr>
      <w:keepLines/>
      <w:spacing w:line="240" w:lineRule="auto"/>
    </w:pPr>
    <w:rPr>
      <w:rFonts w:ascii="Times New Roman" w:hAnsi="Times New Roman"/>
      <w:szCs w:val="20"/>
    </w:rPr>
  </w:style>
  <w:style w:type="character" w:customStyle="1" w:styleId="FootnoteTextChar">
    <w:name w:val="Footnote Text Char"/>
    <w:basedOn w:val="DefaultParagraphFont"/>
    <w:link w:val="FootnoteText"/>
    <w:uiPriority w:val="99"/>
    <w:rsid w:val="00EF412E"/>
    <w:rPr>
      <w:rFonts w:ascii="Times New Roman" w:hAnsi="Times New Roman"/>
      <w:szCs w:val="20"/>
    </w:rPr>
  </w:style>
  <w:style w:type="paragraph" w:customStyle="1" w:styleId="IndentedQuote">
    <w:name w:val="IndentedQuote"/>
    <w:basedOn w:val="Normal"/>
    <w:link w:val="IndentedQuoteChar"/>
    <w:rsid w:val="00334F8D"/>
    <w:pPr>
      <w:spacing w:line="240" w:lineRule="auto"/>
      <w:ind w:left="1080" w:right="1080"/>
    </w:pPr>
  </w:style>
  <w:style w:type="character" w:customStyle="1" w:styleId="IndentedQuoteChar">
    <w:name w:val="IndentedQuote Char"/>
    <w:basedOn w:val="DefaultParagraphFont"/>
    <w:link w:val="IndentedQuote"/>
    <w:rsid w:val="00334F8D"/>
    <w:rPr>
      <w:szCs w:val="24"/>
    </w:rPr>
  </w:style>
  <w:style w:type="paragraph" w:styleId="ListParagraph">
    <w:name w:val="List Paragraph"/>
    <w:basedOn w:val="Normal"/>
    <w:uiPriority w:val="34"/>
    <w:rsid w:val="00DC2727"/>
    <w:pPr>
      <w:ind w:left="720"/>
      <w:contextualSpacing/>
    </w:pPr>
  </w:style>
  <w:style w:type="paragraph" w:styleId="BodyText">
    <w:name w:val="Body Text"/>
    <w:basedOn w:val="Normal"/>
    <w:link w:val="BodyTextChar"/>
    <w:uiPriority w:val="99"/>
    <w:unhideWhenUsed/>
    <w:rsid w:val="00F109BC"/>
    <w:pPr>
      <w:spacing w:after="120"/>
    </w:pPr>
  </w:style>
  <w:style w:type="character" w:customStyle="1" w:styleId="BodyTextChar">
    <w:name w:val="Body Text Char"/>
    <w:basedOn w:val="DefaultParagraphFont"/>
    <w:link w:val="BodyText"/>
    <w:uiPriority w:val="99"/>
    <w:rsid w:val="00F109BC"/>
    <w:rPr>
      <w:szCs w:val="24"/>
    </w:rPr>
  </w:style>
  <w:style w:type="paragraph" w:styleId="BodyTextFirstIndent">
    <w:name w:val="Body Text First Indent"/>
    <w:basedOn w:val="BodyText"/>
    <w:link w:val="BodyTextFirstIndentChar"/>
    <w:uiPriority w:val="99"/>
    <w:unhideWhenUsed/>
    <w:rsid w:val="00F109BC"/>
    <w:pPr>
      <w:spacing w:after="0"/>
      <w:ind w:firstLine="360"/>
    </w:pPr>
  </w:style>
  <w:style w:type="character" w:customStyle="1" w:styleId="BodyTextFirstIndentChar">
    <w:name w:val="Body Text First Indent Char"/>
    <w:basedOn w:val="BodyTextChar"/>
    <w:link w:val="BodyTextFirstIndent"/>
    <w:uiPriority w:val="99"/>
    <w:rsid w:val="00F109BC"/>
    <w:rPr>
      <w:szCs w:val="24"/>
    </w:rPr>
  </w:style>
  <w:style w:type="character" w:customStyle="1" w:styleId="normaltextrun">
    <w:name w:val="normaltextrun"/>
    <w:basedOn w:val="DefaultParagraphFont"/>
    <w:rsid w:val="008C03BA"/>
  </w:style>
  <w:style w:type="character" w:customStyle="1" w:styleId="contextualspellingandgrammarerror">
    <w:name w:val="contextualspellingandgrammarerror"/>
    <w:basedOn w:val="DefaultParagraphFont"/>
    <w:rsid w:val="008C03BA"/>
  </w:style>
  <w:style w:type="character" w:customStyle="1" w:styleId="spellingerror">
    <w:name w:val="spellingerror"/>
    <w:basedOn w:val="DefaultParagraphFont"/>
    <w:rsid w:val="00254F9B"/>
  </w:style>
  <w:style w:type="paragraph" w:styleId="BalloonText">
    <w:name w:val="Balloon Text"/>
    <w:basedOn w:val="Normal"/>
    <w:link w:val="BalloonTextChar"/>
    <w:uiPriority w:val="99"/>
    <w:semiHidden/>
    <w:unhideWhenUsed/>
    <w:rsid w:val="002A08A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08AF"/>
    <w:rPr>
      <w:rFonts w:ascii="Segoe UI" w:hAnsi="Segoe UI" w:cs="Segoe UI"/>
      <w:sz w:val="18"/>
      <w:szCs w:val="18"/>
    </w:rPr>
  </w:style>
  <w:style w:type="character" w:styleId="CommentReference">
    <w:name w:val="annotation reference"/>
    <w:basedOn w:val="DefaultParagraphFont"/>
    <w:uiPriority w:val="99"/>
    <w:semiHidden/>
    <w:unhideWhenUsed/>
    <w:rsid w:val="00814CC5"/>
    <w:rPr>
      <w:sz w:val="16"/>
      <w:szCs w:val="16"/>
    </w:rPr>
  </w:style>
  <w:style w:type="paragraph" w:styleId="CommentText">
    <w:name w:val="annotation text"/>
    <w:basedOn w:val="Normal"/>
    <w:link w:val="CommentTextChar"/>
    <w:uiPriority w:val="99"/>
    <w:semiHidden/>
    <w:unhideWhenUsed/>
    <w:rsid w:val="00814CC5"/>
    <w:pPr>
      <w:spacing w:line="240" w:lineRule="auto"/>
    </w:pPr>
    <w:rPr>
      <w:sz w:val="20"/>
      <w:szCs w:val="20"/>
    </w:rPr>
  </w:style>
  <w:style w:type="character" w:customStyle="1" w:styleId="CommentTextChar">
    <w:name w:val="Comment Text Char"/>
    <w:basedOn w:val="DefaultParagraphFont"/>
    <w:link w:val="CommentText"/>
    <w:uiPriority w:val="99"/>
    <w:semiHidden/>
    <w:rsid w:val="00814CC5"/>
    <w:rPr>
      <w:sz w:val="20"/>
      <w:szCs w:val="20"/>
    </w:rPr>
  </w:style>
  <w:style w:type="paragraph" w:styleId="CommentSubject">
    <w:name w:val="annotation subject"/>
    <w:basedOn w:val="CommentText"/>
    <w:next w:val="CommentText"/>
    <w:link w:val="CommentSubjectChar"/>
    <w:uiPriority w:val="99"/>
    <w:semiHidden/>
    <w:unhideWhenUsed/>
    <w:rsid w:val="00814CC5"/>
    <w:rPr>
      <w:b/>
      <w:bCs/>
    </w:rPr>
  </w:style>
  <w:style w:type="character" w:customStyle="1" w:styleId="CommentSubjectChar">
    <w:name w:val="Comment Subject Char"/>
    <w:basedOn w:val="CommentTextChar"/>
    <w:link w:val="CommentSubject"/>
    <w:uiPriority w:val="99"/>
    <w:semiHidden/>
    <w:rsid w:val="00814CC5"/>
    <w:rPr>
      <w:b/>
      <w:bCs/>
      <w:sz w:val="20"/>
      <w:szCs w:val="20"/>
    </w:rPr>
  </w:style>
  <w:style w:type="paragraph" w:styleId="Revision">
    <w:name w:val="Revision"/>
    <w:hidden/>
    <w:uiPriority w:val="99"/>
    <w:semiHidden/>
    <w:rsid w:val="00EA6451"/>
    <w:pPr>
      <w:spacing w:line="240" w:lineRule="auto"/>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6"/>
        <w:szCs w:val="26"/>
        <w:lang w:val="en-US" w:eastAsia="en-US" w:bidi="en-US"/>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F412E"/>
    <w:rPr>
      <w:szCs w:val="24"/>
    </w:rPr>
  </w:style>
  <w:style w:type="paragraph" w:styleId="Heading1">
    <w:name w:val="heading 1"/>
    <w:basedOn w:val="Normal"/>
    <w:next w:val="Normal"/>
    <w:link w:val="Heading1Char"/>
    <w:uiPriority w:val="9"/>
    <w:qFormat/>
    <w:rsid w:val="00EF412E"/>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EF412E"/>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EF412E"/>
    <w:pPr>
      <w:keepNext/>
      <w:spacing w:before="240" w:after="60"/>
      <w:outlineLvl w:val="2"/>
    </w:pPr>
    <w:rPr>
      <w:rFonts w:asciiTheme="majorHAnsi" w:eastAsiaTheme="majorEastAsia" w:hAnsiTheme="majorHAnsi"/>
      <w:b/>
      <w:bCs/>
      <w:szCs w:val="26"/>
    </w:rPr>
  </w:style>
  <w:style w:type="paragraph" w:styleId="Heading6">
    <w:name w:val="heading 6"/>
    <w:basedOn w:val="Normal"/>
    <w:next w:val="Normal"/>
    <w:link w:val="Heading6Char"/>
    <w:uiPriority w:val="9"/>
    <w:semiHidden/>
    <w:unhideWhenUsed/>
    <w:qFormat/>
    <w:rsid w:val="00EF412E"/>
    <w:pPr>
      <w:spacing w:before="240" w:after="60"/>
      <w:outlineLvl w:val="5"/>
    </w:pPr>
    <w:rPr>
      <w:b/>
      <w:bCs/>
      <w:szCs w:val="26"/>
    </w:rPr>
  </w:style>
  <w:style w:type="paragraph" w:styleId="Heading7">
    <w:name w:val="heading 7"/>
    <w:basedOn w:val="Normal"/>
    <w:next w:val="Normal"/>
    <w:link w:val="Heading7Char"/>
    <w:uiPriority w:val="9"/>
    <w:semiHidden/>
    <w:unhideWhenUsed/>
    <w:qFormat/>
    <w:rsid w:val="00EF412E"/>
    <w:pPr>
      <w:spacing w:before="240" w:after="60"/>
      <w:outlineLvl w:val="6"/>
    </w:pPr>
    <w:rPr>
      <w:sz w:val="24"/>
    </w:rPr>
  </w:style>
  <w:style w:type="paragraph" w:styleId="Heading8">
    <w:name w:val="heading 8"/>
    <w:basedOn w:val="Normal"/>
    <w:next w:val="Normal"/>
    <w:link w:val="Heading8Char"/>
    <w:uiPriority w:val="9"/>
    <w:semiHidden/>
    <w:unhideWhenUsed/>
    <w:qFormat/>
    <w:rsid w:val="00EF412E"/>
    <w:pPr>
      <w:spacing w:before="240" w:after="60"/>
      <w:outlineLvl w:val="7"/>
    </w:pPr>
    <w:rPr>
      <w:i/>
      <w:iCs/>
      <w:sz w:val="24"/>
    </w:rPr>
  </w:style>
  <w:style w:type="paragraph" w:styleId="Heading9">
    <w:name w:val="heading 9"/>
    <w:basedOn w:val="Normal"/>
    <w:next w:val="Normal"/>
    <w:link w:val="Heading9Char"/>
    <w:uiPriority w:val="9"/>
    <w:semiHidden/>
    <w:unhideWhenUsed/>
    <w:qFormat/>
    <w:rsid w:val="00EF412E"/>
    <w:pPr>
      <w:spacing w:before="240" w:after="60"/>
      <w:outlineLvl w:val="8"/>
    </w:pPr>
    <w:rPr>
      <w:rFonts w:asciiTheme="majorHAnsi" w:eastAsiaTheme="majorEastAsia" w:hAnsiTheme="majorHAns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412E"/>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EF412E"/>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EF412E"/>
    <w:rPr>
      <w:rFonts w:asciiTheme="majorHAnsi" w:eastAsiaTheme="majorEastAsia" w:hAnsiTheme="majorHAnsi"/>
      <w:b/>
      <w:bCs/>
    </w:rPr>
  </w:style>
  <w:style w:type="character" w:customStyle="1" w:styleId="Heading6Char">
    <w:name w:val="Heading 6 Char"/>
    <w:basedOn w:val="DefaultParagraphFont"/>
    <w:link w:val="Heading6"/>
    <w:uiPriority w:val="9"/>
    <w:semiHidden/>
    <w:rsid w:val="00EF412E"/>
    <w:rPr>
      <w:b/>
      <w:bCs/>
    </w:rPr>
  </w:style>
  <w:style w:type="character" w:customStyle="1" w:styleId="Heading7Char">
    <w:name w:val="Heading 7 Char"/>
    <w:basedOn w:val="DefaultParagraphFont"/>
    <w:link w:val="Heading7"/>
    <w:uiPriority w:val="9"/>
    <w:semiHidden/>
    <w:rsid w:val="00EF412E"/>
    <w:rPr>
      <w:sz w:val="24"/>
      <w:szCs w:val="24"/>
    </w:rPr>
  </w:style>
  <w:style w:type="character" w:customStyle="1" w:styleId="Heading8Char">
    <w:name w:val="Heading 8 Char"/>
    <w:basedOn w:val="DefaultParagraphFont"/>
    <w:link w:val="Heading8"/>
    <w:uiPriority w:val="9"/>
    <w:semiHidden/>
    <w:rsid w:val="00EF412E"/>
    <w:rPr>
      <w:i/>
      <w:iCs/>
      <w:sz w:val="24"/>
      <w:szCs w:val="24"/>
    </w:rPr>
  </w:style>
  <w:style w:type="character" w:customStyle="1" w:styleId="Heading9Char">
    <w:name w:val="Heading 9 Char"/>
    <w:basedOn w:val="DefaultParagraphFont"/>
    <w:link w:val="Heading9"/>
    <w:uiPriority w:val="9"/>
    <w:semiHidden/>
    <w:rsid w:val="00EF412E"/>
    <w:rPr>
      <w:rFonts w:asciiTheme="majorHAnsi" w:eastAsiaTheme="majorEastAsia" w:hAnsiTheme="majorHAnsi"/>
    </w:rPr>
  </w:style>
  <w:style w:type="paragraph" w:styleId="Title">
    <w:name w:val="Title"/>
    <w:basedOn w:val="Normal"/>
    <w:next w:val="Normal"/>
    <w:link w:val="TitleChar"/>
    <w:uiPriority w:val="10"/>
    <w:qFormat/>
    <w:rsid w:val="00EF412E"/>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EF412E"/>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EF412E"/>
    <w:pPr>
      <w:spacing w:after="60"/>
      <w:jc w:val="center"/>
      <w:outlineLvl w:val="1"/>
    </w:pPr>
    <w:rPr>
      <w:rFonts w:asciiTheme="majorHAnsi" w:eastAsiaTheme="majorEastAsia" w:hAnsiTheme="majorHAnsi"/>
      <w:sz w:val="24"/>
    </w:rPr>
  </w:style>
  <w:style w:type="character" w:customStyle="1" w:styleId="SubtitleChar">
    <w:name w:val="Subtitle Char"/>
    <w:basedOn w:val="DefaultParagraphFont"/>
    <w:link w:val="Subtitle"/>
    <w:uiPriority w:val="11"/>
    <w:rsid w:val="00EF412E"/>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EF412E"/>
    <w:pPr>
      <w:outlineLvl w:val="9"/>
    </w:pPr>
  </w:style>
  <w:style w:type="paragraph" w:styleId="Header">
    <w:name w:val="header"/>
    <w:basedOn w:val="Normal"/>
    <w:link w:val="HeaderChar"/>
    <w:uiPriority w:val="99"/>
    <w:unhideWhenUsed/>
    <w:rsid w:val="00EF412E"/>
    <w:pPr>
      <w:tabs>
        <w:tab w:val="center" w:pos="4680"/>
        <w:tab w:val="right" w:pos="9360"/>
      </w:tabs>
      <w:spacing w:line="240" w:lineRule="auto"/>
    </w:pPr>
  </w:style>
  <w:style w:type="character" w:customStyle="1" w:styleId="HeaderChar">
    <w:name w:val="Header Char"/>
    <w:basedOn w:val="DefaultParagraphFont"/>
    <w:link w:val="Header"/>
    <w:uiPriority w:val="99"/>
    <w:rsid w:val="00EF412E"/>
    <w:rPr>
      <w:szCs w:val="24"/>
    </w:rPr>
  </w:style>
  <w:style w:type="paragraph" w:styleId="Footer">
    <w:name w:val="footer"/>
    <w:basedOn w:val="Normal"/>
    <w:link w:val="FooterChar"/>
    <w:uiPriority w:val="99"/>
    <w:unhideWhenUsed/>
    <w:rsid w:val="00EF412E"/>
    <w:pPr>
      <w:tabs>
        <w:tab w:val="center" w:pos="4680"/>
        <w:tab w:val="right" w:pos="9360"/>
      </w:tabs>
      <w:spacing w:line="240" w:lineRule="auto"/>
    </w:pPr>
  </w:style>
  <w:style w:type="character" w:customStyle="1" w:styleId="FooterChar">
    <w:name w:val="Footer Char"/>
    <w:basedOn w:val="DefaultParagraphFont"/>
    <w:link w:val="Footer"/>
    <w:uiPriority w:val="99"/>
    <w:rsid w:val="00EF412E"/>
    <w:rPr>
      <w:szCs w:val="24"/>
    </w:rPr>
  </w:style>
  <w:style w:type="character" w:styleId="FootnoteReference">
    <w:name w:val="footnote reference"/>
    <w:basedOn w:val="DefaultParagraphFont"/>
    <w:uiPriority w:val="99"/>
    <w:unhideWhenUsed/>
    <w:rsid w:val="00EF412E"/>
    <w:rPr>
      <w:rFonts w:ascii="Times New Roman" w:hAnsi="Times New Roman"/>
      <w:position w:val="6"/>
      <w:sz w:val="26"/>
      <w:vertAlign w:val="baseline"/>
    </w:rPr>
  </w:style>
  <w:style w:type="paragraph" w:styleId="FootnoteText">
    <w:name w:val="footnote text"/>
    <w:link w:val="FootnoteTextChar"/>
    <w:uiPriority w:val="99"/>
    <w:unhideWhenUsed/>
    <w:rsid w:val="00EF412E"/>
    <w:pPr>
      <w:keepLines/>
      <w:spacing w:line="240" w:lineRule="auto"/>
    </w:pPr>
    <w:rPr>
      <w:rFonts w:ascii="Times New Roman" w:hAnsi="Times New Roman"/>
      <w:szCs w:val="20"/>
    </w:rPr>
  </w:style>
  <w:style w:type="character" w:customStyle="1" w:styleId="FootnoteTextChar">
    <w:name w:val="Footnote Text Char"/>
    <w:basedOn w:val="DefaultParagraphFont"/>
    <w:link w:val="FootnoteText"/>
    <w:uiPriority w:val="99"/>
    <w:rsid w:val="00EF412E"/>
    <w:rPr>
      <w:rFonts w:ascii="Times New Roman" w:hAnsi="Times New Roman"/>
      <w:szCs w:val="20"/>
    </w:rPr>
  </w:style>
  <w:style w:type="paragraph" w:customStyle="1" w:styleId="IndentedQuote">
    <w:name w:val="IndentedQuote"/>
    <w:basedOn w:val="Normal"/>
    <w:link w:val="IndentedQuoteChar"/>
    <w:rsid w:val="00334F8D"/>
    <w:pPr>
      <w:spacing w:line="240" w:lineRule="auto"/>
      <w:ind w:left="1080" w:right="1080"/>
    </w:pPr>
  </w:style>
  <w:style w:type="character" w:customStyle="1" w:styleId="IndentedQuoteChar">
    <w:name w:val="IndentedQuote Char"/>
    <w:basedOn w:val="DefaultParagraphFont"/>
    <w:link w:val="IndentedQuote"/>
    <w:rsid w:val="00334F8D"/>
    <w:rPr>
      <w:szCs w:val="24"/>
    </w:rPr>
  </w:style>
  <w:style w:type="paragraph" w:styleId="ListParagraph">
    <w:name w:val="List Paragraph"/>
    <w:basedOn w:val="Normal"/>
    <w:uiPriority w:val="34"/>
    <w:rsid w:val="00DC2727"/>
    <w:pPr>
      <w:ind w:left="720"/>
      <w:contextualSpacing/>
    </w:pPr>
  </w:style>
  <w:style w:type="paragraph" w:styleId="BodyText">
    <w:name w:val="Body Text"/>
    <w:basedOn w:val="Normal"/>
    <w:link w:val="BodyTextChar"/>
    <w:uiPriority w:val="99"/>
    <w:unhideWhenUsed/>
    <w:rsid w:val="00F109BC"/>
    <w:pPr>
      <w:spacing w:after="120"/>
    </w:pPr>
  </w:style>
  <w:style w:type="character" w:customStyle="1" w:styleId="BodyTextChar">
    <w:name w:val="Body Text Char"/>
    <w:basedOn w:val="DefaultParagraphFont"/>
    <w:link w:val="BodyText"/>
    <w:uiPriority w:val="99"/>
    <w:rsid w:val="00F109BC"/>
    <w:rPr>
      <w:szCs w:val="24"/>
    </w:rPr>
  </w:style>
  <w:style w:type="paragraph" w:styleId="BodyTextFirstIndent">
    <w:name w:val="Body Text First Indent"/>
    <w:basedOn w:val="BodyText"/>
    <w:link w:val="BodyTextFirstIndentChar"/>
    <w:uiPriority w:val="99"/>
    <w:unhideWhenUsed/>
    <w:rsid w:val="00F109BC"/>
    <w:pPr>
      <w:spacing w:after="0"/>
      <w:ind w:firstLine="360"/>
    </w:pPr>
  </w:style>
  <w:style w:type="character" w:customStyle="1" w:styleId="BodyTextFirstIndentChar">
    <w:name w:val="Body Text First Indent Char"/>
    <w:basedOn w:val="BodyTextChar"/>
    <w:link w:val="BodyTextFirstIndent"/>
    <w:uiPriority w:val="99"/>
    <w:rsid w:val="00F109BC"/>
    <w:rPr>
      <w:szCs w:val="24"/>
    </w:rPr>
  </w:style>
  <w:style w:type="character" w:customStyle="1" w:styleId="normaltextrun">
    <w:name w:val="normaltextrun"/>
    <w:basedOn w:val="DefaultParagraphFont"/>
    <w:rsid w:val="008C03BA"/>
  </w:style>
  <w:style w:type="character" w:customStyle="1" w:styleId="contextualspellingandgrammarerror">
    <w:name w:val="contextualspellingandgrammarerror"/>
    <w:basedOn w:val="DefaultParagraphFont"/>
    <w:rsid w:val="008C03BA"/>
  </w:style>
  <w:style w:type="character" w:customStyle="1" w:styleId="spellingerror">
    <w:name w:val="spellingerror"/>
    <w:basedOn w:val="DefaultParagraphFont"/>
    <w:rsid w:val="00254F9B"/>
  </w:style>
  <w:style w:type="paragraph" w:styleId="BalloonText">
    <w:name w:val="Balloon Text"/>
    <w:basedOn w:val="Normal"/>
    <w:link w:val="BalloonTextChar"/>
    <w:uiPriority w:val="99"/>
    <w:semiHidden/>
    <w:unhideWhenUsed/>
    <w:rsid w:val="002A08A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08AF"/>
    <w:rPr>
      <w:rFonts w:ascii="Segoe UI" w:hAnsi="Segoe UI" w:cs="Segoe UI"/>
      <w:sz w:val="18"/>
      <w:szCs w:val="18"/>
    </w:rPr>
  </w:style>
  <w:style w:type="character" w:styleId="CommentReference">
    <w:name w:val="annotation reference"/>
    <w:basedOn w:val="DefaultParagraphFont"/>
    <w:uiPriority w:val="99"/>
    <w:semiHidden/>
    <w:unhideWhenUsed/>
    <w:rsid w:val="00814CC5"/>
    <w:rPr>
      <w:sz w:val="16"/>
      <w:szCs w:val="16"/>
    </w:rPr>
  </w:style>
  <w:style w:type="paragraph" w:styleId="CommentText">
    <w:name w:val="annotation text"/>
    <w:basedOn w:val="Normal"/>
    <w:link w:val="CommentTextChar"/>
    <w:uiPriority w:val="99"/>
    <w:semiHidden/>
    <w:unhideWhenUsed/>
    <w:rsid w:val="00814CC5"/>
    <w:pPr>
      <w:spacing w:line="240" w:lineRule="auto"/>
    </w:pPr>
    <w:rPr>
      <w:sz w:val="20"/>
      <w:szCs w:val="20"/>
    </w:rPr>
  </w:style>
  <w:style w:type="character" w:customStyle="1" w:styleId="CommentTextChar">
    <w:name w:val="Comment Text Char"/>
    <w:basedOn w:val="DefaultParagraphFont"/>
    <w:link w:val="CommentText"/>
    <w:uiPriority w:val="99"/>
    <w:semiHidden/>
    <w:rsid w:val="00814CC5"/>
    <w:rPr>
      <w:sz w:val="20"/>
      <w:szCs w:val="20"/>
    </w:rPr>
  </w:style>
  <w:style w:type="paragraph" w:styleId="CommentSubject">
    <w:name w:val="annotation subject"/>
    <w:basedOn w:val="CommentText"/>
    <w:next w:val="CommentText"/>
    <w:link w:val="CommentSubjectChar"/>
    <w:uiPriority w:val="99"/>
    <w:semiHidden/>
    <w:unhideWhenUsed/>
    <w:rsid w:val="00814CC5"/>
    <w:rPr>
      <w:b/>
      <w:bCs/>
    </w:rPr>
  </w:style>
  <w:style w:type="character" w:customStyle="1" w:styleId="CommentSubjectChar">
    <w:name w:val="Comment Subject Char"/>
    <w:basedOn w:val="CommentTextChar"/>
    <w:link w:val="CommentSubject"/>
    <w:uiPriority w:val="99"/>
    <w:semiHidden/>
    <w:rsid w:val="00814CC5"/>
    <w:rPr>
      <w:b/>
      <w:bCs/>
      <w:sz w:val="20"/>
      <w:szCs w:val="20"/>
    </w:rPr>
  </w:style>
  <w:style w:type="paragraph" w:styleId="Revision">
    <w:name w:val="Revision"/>
    <w:hidden/>
    <w:uiPriority w:val="99"/>
    <w:semiHidden/>
    <w:rsid w:val="00EA6451"/>
    <w:pPr>
      <w:spacing w:line="240" w:lineRule="auto"/>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019101">
      <w:bodyDiv w:val="1"/>
      <w:marLeft w:val="0"/>
      <w:marRight w:val="0"/>
      <w:marTop w:val="0"/>
      <w:marBottom w:val="0"/>
      <w:divBdr>
        <w:top w:val="none" w:sz="0" w:space="0" w:color="auto"/>
        <w:left w:val="none" w:sz="0" w:space="0" w:color="auto"/>
        <w:bottom w:val="none" w:sz="0" w:space="0" w:color="auto"/>
        <w:right w:val="none" w:sz="0" w:space="0" w:color="auto"/>
      </w:divBdr>
    </w:div>
    <w:div w:id="267351067">
      <w:bodyDiv w:val="1"/>
      <w:marLeft w:val="0"/>
      <w:marRight w:val="0"/>
      <w:marTop w:val="0"/>
      <w:marBottom w:val="0"/>
      <w:divBdr>
        <w:top w:val="none" w:sz="0" w:space="0" w:color="auto"/>
        <w:left w:val="none" w:sz="0" w:space="0" w:color="auto"/>
        <w:bottom w:val="none" w:sz="0" w:space="0" w:color="auto"/>
        <w:right w:val="none" w:sz="0" w:space="0" w:color="auto"/>
      </w:divBdr>
    </w:div>
    <w:div w:id="342588412">
      <w:bodyDiv w:val="1"/>
      <w:marLeft w:val="0"/>
      <w:marRight w:val="0"/>
      <w:marTop w:val="0"/>
      <w:marBottom w:val="0"/>
      <w:divBdr>
        <w:top w:val="none" w:sz="0" w:space="0" w:color="auto"/>
        <w:left w:val="none" w:sz="0" w:space="0" w:color="auto"/>
        <w:bottom w:val="none" w:sz="0" w:space="0" w:color="auto"/>
        <w:right w:val="none" w:sz="0" w:space="0" w:color="auto"/>
      </w:divBdr>
    </w:div>
    <w:div w:id="445152551">
      <w:bodyDiv w:val="1"/>
      <w:marLeft w:val="0"/>
      <w:marRight w:val="0"/>
      <w:marTop w:val="0"/>
      <w:marBottom w:val="0"/>
      <w:divBdr>
        <w:top w:val="none" w:sz="0" w:space="0" w:color="auto"/>
        <w:left w:val="none" w:sz="0" w:space="0" w:color="auto"/>
        <w:bottom w:val="none" w:sz="0" w:space="0" w:color="auto"/>
        <w:right w:val="none" w:sz="0" w:space="0" w:color="auto"/>
      </w:divBdr>
    </w:div>
    <w:div w:id="543954065">
      <w:bodyDiv w:val="1"/>
      <w:marLeft w:val="0"/>
      <w:marRight w:val="0"/>
      <w:marTop w:val="0"/>
      <w:marBottom w:val="0"/>
      <w:divBdr>
        <w:top w:val="none" w:sz="0" w:space="0" w:color="auto"/>
        <w:left w:val="none" w:sz="0" w:space="0" w:color="auto"/>
        <w:bottom w:val="none" w:sz="0" w:space="0" w:color="auto"/>
        <w:right w:val="none" w:sz="0" w:space="0" w:color="auto"/>
      </w:divBdr>
    </w:div>
    <w:div w:id="619653104">
      <w:bodyDiv w:val="1"/>
      <w:marLeft w:val="0"/>
      <w:marRight w:val="0"/>
      <w:marTop w:val="0"/>
      <w:marBottom w:val="0"/>
      <w:divBdr>
        <w:top w:val="none" w:sz="0" w:space="0" w:color="auto"/>
        <w:left w:val="none" w:sz="0" w:space="0" w:color="auto"/>
        <w:bottom w:val="none" w:sz="0" w:space="0" w:color="auto"/>
        <w:right w:val="none" w:sz="0" w:space="0" w:color="auto"/>
      </w:divBdr>
    </w:div>
    <w:div w:id="644967026">
      <w:bodyDiv w:val="1"/>
      <w:marLeft w:val="0"/>
      <w:marRight w:val="0"/>
      <w:marTop w:val="0"/>
      <w:marBottom w:val="0"/>
      <w:divBdr>
        <w:top w:val="none" w:sz="0" w:space="0" w:color="auto"/>
        <w:left w:val="none" w:sz="0" w:space="0" w:color="auto"/>
        <w:bottom w:val="none" w:sz="0" w:space="0" w:color="auto"/>
        <w:right w:val="none" w:sz="0" w:space="0" w:color="auto"/>
      </w:divBdr>
    </w:div>
    <w:div w:id="663630220">
      <w:bodyDiv w:val="1"/>
      <w:marLeft w:val="0"/>
      <w:marRight w:val="0"/>
      <w:marTop w:val="0"/>
      <w:marBottom w:val="0"/>
      <w:divBdr>
        <w:top w:val="none" w:sz="0" w:space="0" w:color="auto"/>
        <w:left w:val="none" w:sz="0" w:space="0" w:color="auto"/>
        <w:bottom w:val="none" w:sz="0" w:space="0" w:color="auto"/>
        <w:right w:val="none" w:sz="0" w:space="0" w:color="auto"/>
      </w:divBdr>
    </w:div>
    <w:div w:id="751780550">
      <w:bodyDiv w:val="1"/>
      <w:marLeft w:val="0"/>
      <w:marRight w:val="0"/>
      <w:marTop w:val="0"/>
      <w:marBottom w:val="0"/>
      <w:divBdr>
        <w:top w:val="none" w:sz="0" w:space="0" w:color="auto"/>
        <w:left w:val="none" w:sz="0" w:space="0" w:color="auto"/>
        <w:bottom w:val="none" w:sz="0" w:space="0" w:color="auto"/>
        <w:right w:val="none" w:sz="0" w:space="0" w:color="auto"/>
      </w:divBdr>
    </w:div>
    <w:div w:id="858011051">
      <w:bodyDiv w:val="1"/>
      <w:marLeft w:val="0"/>
      <w:marRight w:val="0"/>
      <w:marTop w:val="0"/>
      <w:marBottom w:val="0"/>
      <w:divBdr>
        <w:top w:val="none" w:sz="0" w:space="0" w:color="auto"/>
        <w:left w:val="none" w:sz="0" w:space="0" w:color="auto"/>
        <w:bottom w:val="none" w:sz="0" w:space="0" w:color="auto"/>
        <w:right w:val="none" w:sz="0" w:space="0" w:color="auto"/>
      </w:divBdr>
    </w:div>
    <w:div w:id="1081827998">
      <w:bodyDiv w:val="1"/>
      <w:marLeft w:val="0"/>
      <w:marRight w:val="0"/>
      <w:marTop w:val="0"/>
      <w:marBottom w:val="0"/>
      <w:divBdr>
        <w:top w:val="none" w:sz="0" w:space="0" w:color="auto"/>
        <w:left w:val="none" w:sz="0" w:space="0" w:color="auto"/>
        <w:bottom w:val="none" w:sz="0" w:space="0" w:color="auto"/>
        <w:right w:val="none" w:sz="0" w:space="0" w:color="auto"/>
      </w:divBdr>
    </w:div>
    <w:div w:id="1188832513">
      <w:bodyDiv w:val="1"/>
      <w:marLeft w:val="0"/>
      <w:marRight w:val="0"/>
      <w:marTop w:val="0"/>
      <w:marBottom w:val="0"/>
      <w:divBdr>
        <w:top w:val="none" w:sz="0" w:space="0" w:color="auto"/>
        <w:left w:val="none" w:sz="0" w:space="0" w:color="auto"/>
        <w:bottom w:val="none" w:sz="0" w:space="0" w:color="auto"/>
        <w:right w:val="none" w:sz="0" w:space="0" w:color="auto"/>
      </w:divBdr>
    </w:div>
    <w:div w:id="1209532450">
      <w:bodyDiv w:val="1"/>
      <w:marLeft w:val="0"/>
      <w:marRight w:val="0"/>
      <w:marTop w:val="0"/>
      <w:marBottom w:val="0"/>
      <w:divBdr>
        <w:top w:val="none" w:sz="0" w:space="0" w:color="auto"/>
        <w:left w:val="none" w:sz="0" w:space="0" w:color="auto"/>
        <w:bottom w:val="none" w:sz="0" w:space="0" w:color="auto"/>
        <w:right w:val="none" w:sz="0" w:space="0" w:color="auto"/>
      </w:divBdr>
    </w:div>
    <w:div w:id="1454709303">
      <w:bodyDiv w:val="1"/>
      <w:marLeft w:val="0"/>
      <w:marRight w:val="0"/>
      <w:marTop w:val="0"/>
      <w:marBottom w:val="0"/>
      <w:divBdr>
        <w:top w:val="none" w:sz="0" w:space="0" w:color="auto"/>
        <w:left w:val="none" w:sz="0" w:space="0" w:color="auto"/>
        <w:bottom w:val="none" w:sz="0" w:space="0" w:color="auto"/>
        <w:right w:val="none" w:sz="0" w:space="0" w:color="auto"/>
      </w:divBdr>
    </w:div>
    <w:div w:id="1510751358">
      <w:bodyDiv w:val="1"/>
      <w:marLeft w:val="0"/>
      <w:marRight w:val="0"/>
      <w:marTop w:val="0"/>
      <w:marBottom w:val="0"/>
      <w:divBdr>
        <w:top w:val="none" w:sz="0" w:space="0" w:color="auto"/>
        <w:left w:val="none" w:sz="0" w:space="0" w:color="auto"/>
        <w:bottom w:val="none" w:sz="0" w:space="0" w:color="auto"/>
        <w:right w:val="none" w:sz="0" w:space="0" w:color="auto"/>
      </w:divBdr>
    </w:div>
    <w:div w:id="1582375906">
      <w:bodyDiv w:val="1"/>
      <w:marLeft w:val="0"/>
      <w:marRight w:val="0"/>
      <w:marTop w:val="0"/>
      <w:marBottom w:val="0"/>
      <w:divBdr>
        <w:top w:val="none" w:sz="0" w:space="0" w:color="auto"/>
        <w:left w:val="none" w:sz="0" w:space="0" w:color="auto"/>
        <w:bottom w:val="none" w:sz="0" w:space="0" w:color="auto"/>
        <w:right w:val="none" w:sz="0" w:space="0" w:color="auto"/>
      </w:divBdr>
    </w:div>
    <w:div w:id="1714227013">
      <w:bodyDiv w:val="1"/>
      <w:marLeft w:val="0"/>
      <w:marRight w:val="0"/>
      <w:marTop w:val="0"/>
      <w:marBottom w:val="0"/>
      <w:divBdr>
        <w:top w:val="none" w:sz="0" w:space="0" w:color="auto"/>
        <w:left w:val="none" w:sz="0" w:space="0" w:color="auto"/>
        <w:bottom w:val="none" w:sz="0" w:space="0" w:color="auto"/>
        <w:right w:val="none" w:sz="0" w:space="0" w:color="auto"/>
      </w:divBdr>
    </w:div>
    <w:div w:id="1729567967">
      <w:bodyDiv w:val="1"/>
      <w:marLeft w:val="0"/>
      <w:marRight w:val="0"/>
      <w:marTop w:val="0"/>
      <w:marBottom w:val="0"/>
      <w:divBdr>
        <w:top w:val="none" w:sz="0" w:space="0" w:color="auto"/>
        <w:left w:val="none" w:sz="0" w:space="0" w:color="auto"/>
        <w:bottom w:val="none" w:sz="0" w:space="0" w:color="auto"/>
        <w:right w:val="none" w:sz="0" w:space="0" w:color="auto"/>
      </w:divBdr>
    </w:div>
    <w:div w:id="1903559825">
      <w:bodyDiv w:val="1"/>
      <w:marLeft w:val="0"/>
      <w:marRight w:val="0"/>
      <w:marTop w:val="0"/>
      <w:marBottom w:val="0"/>
      <w:divBdr>
        <w:top w:val="none" w:sz="0" w:space="0" w:color="auto"/>
        <w:left w:val="none" w:sz="0" w:space="0" w:color="auto"/>
        <w:bottom w:val="none" w:sz="0" w:space="0" w:color="auto"/>
        <w:right w:val="none" w:sz="0" w:space="0" w:color="auto"/>
      </w:divBdr>
    </w:div>
    <w:div w:id="1982226227">
      <w:bodyDiv w:val="1"/>
      <w:marLeft w:val="0"/>
      <w:marRight w:val="0"/>
      <w:marTop w:val="0"/>
      <w:marBottom w:val="0"/>
      <w:divBdr>
        <w:top w:val="none" w:sz="0" w:space="0" w:color="auto"/>
        <w:left w:val="none" w:sz="0" w:space="0" w:color="auto"/>
        <w:bottom w:val="none" w:sz="0" w:space="0" w:color="auto"/>
        <w:right w:val="none" w:sz="0" w:space="0" w:color="auto"/>
      </w:divBdr>
    </w:div>
    <w:div w:id="1986466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Court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OC Standard">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4846</Words>
  <Characters>25589</Characters>
  <Application>Microsoft Office Word</Application>
  <DocSecurity>0</DocSecurity>
  <Lines>556</Lines>
  <Paragraphs>82</Paragraphs>
  <ScaleCrop>false</ScaleCrop>
  <HeadingPairs>
    <vt:vector size="2" baseType="variant">
      <vt:variant>
        <vt:lpstr>Title</vt:lpstr>
      </vt:variant>
      <vt:variant>
        <vt:i4>1</vt:i4>
      </vt:variant>
    </vt:vector>
  </HeadingPairs>
  <TitlesOfParts>
    <vt:vector size="1" baseType="lpstr">
      <vt:lpstr>
  </vt:lpstr>
    </vt:vector>
  </TitlesOfParts>
  <LinksUpToDate>false</LinksUpToDate>
  <CharactersWithSpaces>30353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2019-03-28T17:35:00Z</cp:lastPrinted>
  <dcterms:created xsi:type="dcterms:W3CDTF">2019-03-28T18:20:00Z</dcterms:created>
  <dcterms:modified xsi:type="dcterms:W3CDTF">2019-03-28T18:20:00Z</dcterms:modified>
</cp:coreProperties>
</file>