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07446" w14:textId="1F3DB0BB" w:rsidR="00AF7025" w:rsidRPr="00882552" w:rsidRDefault="00882552" w:rsidP="00882552">
      <w:pPr>
        <w:keepNext/>
        <w:tabs>
          <w:tab w:val="left" w:pos="180"/>
        </w:tabs>
        <w:rPr>
          <w:sz w:val="20"/>
          <w:szCs w:val="26"/>
        </w:rPr>
      </w:pPr>
      <w:r w:rsidRPr="00882552">
        <w:rPr>
          <w:sz w:val="20"/>
          <w:szCs w:val="26"/>
        </w:rPr>
        <w:t xml:space="preserve">Filed </w:t>
      </w:r>
      <w:proofErr w:type="gramStart"/>
      <w:r w:rsidRPr="00882552">
        <w:rPr>
          <w:sz w:val="20"/>
          <w:szCs w:val="26"/>
        </w:rPr>
        <w:t>7/20/23</w:t>
      </w:r>
      <w:proofErr w:type="gramEnd"/>
    </w:p>
    <w:p w14:paraId="304E6BE4" w14:textId="1E04FCAA" w:rsidR="00281C01" w:rsidRPr="0038179C" w:rsidRDefault="00AF7025" w:rsidP="00AF7025">
      <w:pPr>
        <w:keepNext/>
        <w:tabs>
          <w:tab w:val="left" w:pos="180"/>
        </w:tabs>
        <w:jc w:val="center"/>
        <w:rPr>
          <w:szCs w:val="26"/>
        </w:rPr>
      </w:pPr>
      <w:r>
        <w:rPr>
          <w:szCs w:val="26"/>
        </w:rPr>
        <w:t>CERTIFIED FOR PUBLICATION</w:t>
      </w:r>
      <w:r w:rsidR="00281C01" w:rsidRPr="0038179C">
        <w:rPr>
          <w:szCs w:val="26"/>
        </w:rPr>
        <w:t xml:space="preserve">   </w:t>
      </w:r>
    </w:p>
    <w:p w14:paraId="4B8DD129" w14:textId="16D883E2" w:rsidR="00096537" w:rsidRPr="0038179C" w:rsidRDefault="00096537" w:rsidP="00882F89">
      <w:pPr>
        <w:keepNext/>
        <w:rPr>
          <w:szCs w:val="26"/>
        </w:rPr>
      </w:pPr>
    </w:p>
    <w:p w14:paraId="1A9DE8BD" w14:textId="4195CCCF" w:rsidR="00096537" w:rsidRPr="0038179C" w:rsidRDefault="00096537" w:rsidP="00882F89">
      <w:pPr>
        <w:keepNext/>
        <w:jc w:val="center"/>
        <w:outlineLvl w:val="0"/>
        <w:rPr>
          <w:szCs w:val="26"/>
        </w:rPr>
      </w:pPr>
      <w:r w:rsidRPr="0038179C">
        <w:rPr>
          <w:szCs w:val="26"/>
        </w:rPr>
        <w:t>COURT OF APPEAL, FOURTH APPELLATE DISTRICT</w:t>
      </w:r>
    </w:p>
    <w:p w14:paraId="36F66225" w14:textId="3472BDDF" w:rsidR="00096537" w:rsidRPr="0038179C" w:rsidRDefault="00096537" w:rsidP="00882F89">
      <w:pPr>
        <w:keepNext/>
        <w:jc w:val="center"/>
        <w:rPr>
          <w:szCs w:val="26"/>
        </w:rPr>
      </w:pPr>
    </w:p>
    <w:p w14:paraId="251FE3DC" w14:textId="70918AC3" w:rsidR="00096537" w:rsidRPr="0038179C" w:rsidRDefault="00096537" w:rsidP="00882F89">
      <w:pPr>
        <w:keepNext/>
        <w:jc w:val="center"/>
        <w:outlineLvl w:val="0"/>
        <w:rPr>
          <w:szCs w:val="26"/>
        </w:rPr>
      </w:pPr>
      <w:r w:rsidRPr="0038179C">
        <w:rPr>
          <w:szCs w:val="26"/>
        </w:rPr>
        <w:t>DIVISION ONE</w:t>
      </w:r>
    </w:p>
    <w:p w14:paraId="53752E29" w14:textId="728BE529" w:rsidR="00096537" w:rsidRPr="0038179C" w:rsidRDefault="00096537" w:rsidP="00882F89">
      <w:pPr>
        <w:keepNext/>
        <w:jc w:val="center"/>
        <w:rPr>
          <w:szCs w:val="26"/>
        </w:rPr>
      </w:pPr>
    </w:p>
    <w:p w14:paraId="5178C06C" w14:textId="23EA9E37" w:rsidR="003C25E3" w:rsidRPr="0038179C" w:rsidRDefault="00096537" w:rsidP="00882F89">
      <w:pPr>
        <w:keepNext/>
        <w:jc w:val="center"/>
        <w:outlineLvl w:val="0"/>
        <w:rPr>
          <w:szCs w:val="26"/>
        </w:rPr>
      </w:pPr>
      <w:r w:rsidRPr="0038179C">
        <w:rPr>
          <w:szCs w:val="26"/>
        </w:rPr>
        <w:t>STATE OF CALIFORNIA</w:t>
      </w:r>
    </w:p>
    <w:p w14:paraId="207ACDCC" w14:textId="4DCB298D" w:rsidR="00096537" w:rsidRPr="0038179C" w:rsidRDefault="00096537" w:rsidP="00882F89">
      <w:pPr>
        <w:keepNext/>
        <w:jc w:val="center"/>
        <w:rPr>
          <w:szCs w:val="26"/>
        </w:rPr>
      </w:pPr>
    </w:p>
    <w:p w14:paraId="2F1BFF32" w14:textId="11B0B634" w:rsidR="00D93CFC" w:rsidRPr="0038179C" w:rsidRDefault="00F632DD" w:rsidP="00882F89">
      <w:pPr>
        <w:widowControl w:val="0"/>
        <w:spacing w:before="240" w:line="360" w:lineRule="auto"/>
        <w:rPr>
          <w:szCs w:val="26"/>
        </w:rPr>
      </w:pPr>
      <w:r w:rsidRPr="0038179C">
        <w:rPr>
          <w:szCs w:val="26"/>
        </w:rPr>
        <w:tab/>
      </w:r>
    </w:p>
    <w:tbl>
      <w:tblPr>
        <w:tblW w:w="9990" w:type="dxa"/>
        <w:tblLayout w:type="fixed"/>
        <w:tblLook w:val="04A0" w:firstRow="1" w:lastRow="0" w:firstColumn="1" w:lastColumn="0" w:noHBand="0" w:noVBand="1"/>
      </w:tblPr>
      <w:tblGrid>
        <w:gridCol w:w="5039"/>
        <w:gridCol w:w="4951"/>
      </w:tblGrid>
      <w:tr w:rsidR="00D93CFC" w:rsidRPr="0038179C" w14:paraId="5DD76F15" w14:textId="77777777" w:rsidTr="009E71C4">
        <w:tc>
          <w:tcPr>
            <w:tcW w:w="5039" w:type="dxa"/>
            <w:tcBorders>
              <w:top w:val="nil"/>
              <w:left w:val="nil"/>
              <w:bottom w:val="single" w:sz="4" w:space="0" w:color="000000"/>
              <w:right w:val="nil"/>
            </w:tcBorders>
            <w:shd w:val="clear" w:color="auto" w:fill="FFFFFF"/>
          </w:tcPr>
          <w:p w14:paraId="04434A18" w14:textId="2A9E1D1E" w:rsidR="00D93CFC" w:rsidRPr="0038179C" w:rsidRDefault="00D93CFC" w:rsidP="009E71C4">
            <w:pPr>
              <w:rPr>
                <w:rFonts w:eastAsia="Calibri"/>
              </w:rPr>
            </w:pPr>
            <w:r w:rsidRPr="0038179C">
              <w:rPr>
                <w:rFonts w:eastAsia="Calibri"/>
              </w:rPr>
              <w:t>DALIA ROJAS,</w:t>
            </w:r>
          </w:p>
          <w:p w14:paraId="247E2B80" w14:textId="77777777" w:rsidR="00D93CFC" w:rsidRPr="0038179C" w:rsidRDefault="00D93CFC" w:rsidP="009E71C4">
            <w:pPr>
              <w:rPr>
                <w:rFonts w:eastAsia="Calibri"/>
              </w:rPr>
            </w:pPr>
          </w:p>
          <w:p w14:paraId="17578A7F" w14:textId="0ECFCB90" w:rsidR="00D93CFC" w:rsidRPr="0038179C" w:rsidRDefault="00D93CFC" w:rsidP="009E71C4">
            <w:pPr>
              <w:rPr>
                <w:rFonts w:eastAsia="Calibri"/>
              </w:rPr>
            </w:pPr>
            <w:r w:rsidRPr="0038179C">
              <w:rPr>
                <w:rFonts w:eastAsia="Calibri"/>
              </w:rPr>
              <w:tab/>
              <w:t>Plaintiff and Appellant,</w:t>
            </w:r>
          </w:p>
          <w:p w14:paraId="1468D812" w14:textId="77777777" w:rsidR="00D93CFC" w:rsidRPr="0038179C" w:rsidRDefault="00D93CFC" w:rsidP="009E71C4">
            <w:pPr>
              <w:rPr>
                <w:rFonts w:eastAsia="Calibri"/>
              </w:rPr>
            </w:pPr>
          </w:p>
          <w:p w14:paraId="1535EB48" w14:textId="77777777" w:rsidR="00D93CFC" w:rsidRPr="0038179C" w:rsidRDefault="00D93CFC" w:rsidP="009E71C4">
            <w:pPr>
              <w:rPr>
                <w:rFonts w:eastAsia="Calibri"/>
              </w:rPr>
            </w:pPr>
            <w:r w:rsidRPr="0038179C">
              <w:rPr>
                <w:rFonts w:eastAsia="Calibri"/>
              </w:rPr>
              <w:tab/>
              <w:t>v.</w:t>
            </w:r>
          </w:p>
          <w:p w14:paraId="508FDA3C" w14:textId="77777777" w:rsidR="00D93CFC" w:rsidRPr="0038179C" w:rsidRDefault="00D93CFC" w:rsidP="009E71C4">
            <w:pPr>
              <w:rPr>
                <w:rFonts w:eastAsia="Calibri"/>
              </w:rPr>
            </w:pPr>
          </w:p>
          <w:p w14:paraId="39B408AA" w14:textId="4FC179FB" w:rsidR="00D93CFC" w:rsidRPr="0038179C" w:rsidRDefault="00D93CFC" w:rsidP="009E71C4">
            <w:pPr>
              <w:rPr>
                <w:rFonts w:eastAsia="Calibri"/>
              </w:rPr>
            </w:pPr>
            <w:r w:rsidRPr="0038179C">
              <w:rPr>
                <w:rFonts w:eastAsia="Calibri"/>
              </w:rPr>
              <w:t>HSBC CARD SERVICES INC. et al.,</w:t>
            </w:r>
          </w:p>
          <w:p w14:paraId="4ABD2591" w14:textId="77777777" w:rsidR="00D93CFC" w:rsidRPr="0038179C" w:rsidRDefault="00D93CFC" w:rsidP="009E71C4">
            <w:pPr>
              <w:rPr>
                <w:rFonts w:eastAsia="Calibri"/>
              </w:rPr>
            </w:pPr>
          </w:p>
          <w:p w14:paraId="55571446" w14:textId="54C1079D" w:rsidR="00D93CFC" w:rsidRPr="0038179C" w:rsidRDefault="00D93CFC" w:rsidP="009E71C4">
            <w:pPr>
              <w:rPr>
                <w:rFonts w:eastAsia="Calibri"/>
              </w:rPr>
            </w:pPr>
            <w:r w:rsidRPr="0038179C">
              <w:rPr>
                <w:rFonts w:eastAsia="Calibri"/>
              </w:rPr>
              <w:tab/>
              <w:t>Defendants and Appellants.</w:t>
            </w:r>
          </w:p>
          <w:p w14:paraId="08B1B127" w14:textId="77777777" w:rsidR="00D93CFC" w:rsidRPr="0038179C" w:rsidRDefault="00D93CFC" w:rsidP="009E71C4">
            <w:pPr>
              <w:rPr>
                <w:rFonts w:eastAsia="Calibri"/>
              </w:rPr>
            </w:pPr>
          </w:p>
        </w:tc>
        <w:tc>
          <w:tcPr>
            <w:tcW w:w="4951" w:type="dxa"/>
            <w:tcBorders>
              <w:top w:val="nil"/>
              <w:left w:val="single" w:sz="4" w:space="0" w:color="000000"/>
              <w:bottom w:val="nil"/>
              <w:right w:val="nil"/>
            </w:tcBorders>
            <w:shd w:val="clear" w:color="auto" w:fill="FFFFFF"/>
          </w:tcPr>
          <w:p w14:paraId="23E5D1FA" w14:textId="1D3D6042" w:rsidR="00D93CFC" w:rsidRPr="0038179C" w:rsidRDefault="00D93CFC" w:rsidP="009E71C4">
            <w:pPr>
              <w:rPr>
                <w:rFonts w:eastAsia="Calibri"/>
              </w:rPr>
            </w:pPr>
            <w:r w:rsidRPr="0038179C">
              <w:rPr>
                <w:rFonts w:eastAsia="Calibri"/>
              </w:rPr>
              <w:t xml:space="preserve">  D077931</w:t>
            </w:r>
          </w:p>
          <w:p w14:paraId="42B52F20" w14:textId="77777777" w:rsidR="00D93CFC" w:rsidRPr="0038179C" w:rsidRDefault="00D93CFC" w:rsidP="009E71C4">
            <w:pPr>
              <w:rPr>
                <w:rFonts w:eastAsia="Calibri"/>
              </w:rPr>
            </w:pPr>
          </w:p>
          <w:p w14:paraId="3BDDA728" w14:textId="77777777" w:rsidR="00D93CFC" w:rsidRPr="0038179C" w:rsidRDefault="00D93CFC" w:rsidP="009E71C4">
            <w:pPr>
              <w:rPr>
                <w:rFonts w:eastAsia="Calibri"/>
              </w:rPr>
            </w:pPr>
          </w:p>
          <w:p w14:paraId="41627CC7" w14:textId="6A4D3FA9" w:rsidR="00D93CFC" w:rsidRPr="0038179C" w:rsidRDefault="00D93CFC" w:rsidP="009E71C4">
            <w:pPr>
              <w:ind w:left="255" w:hanging="255"/>
              <w:rPr>
                <w:rFonts w:eastAsia="Calibri"/>
              </w:rPr>
            </w:pPr>
            <w:r w:rsidRPr="0038179C">
              <w:rPr>
                <w:rFonts w:eastAsia="Calibri"/>
              </w:rPr>
              <w:t xml:space="preserve">  (Super. Ct. No. 37-2014-00023795-</w:t>
            </w:r>
          </w:p>
          <w:p w14:paraId="7A59B090" w14:textId="23229046" w:rsidR="00D93CFC" w:rsidRPr="0038179C" w:rsidRDefault="00D93CFC" w:rsidP="009E71C4">
            <w:pPr>
              <w:ind w:left="255" w:hanging="255"/>
              <w:rPr>
                <w:rFonts w:eastAsia="Calibri"/>
              </w:rPr>
            </w:pPr>
            <w:r w:rsidRPr="0038179C">
              <w:rPr>
                <w:rFonts w:eastAsia="Calibri"/>
              </w:rPr>
              <w:t xml:space="preserve">  CU-MC-NC)</w:t>
            </w:r>
          </w:p>
        </w:tc>
      </w:tr>
      <w:tr w:rsidR="00D93CFC" w:rsidRPr="0038179C" w14:paraId="144A3F67" w14:textId="77777777" w:rsidTr="009E71C4">
        <w:tblPrEx>
          <w:tblLook w:val="0000" w:firstRow="0" w:lastRow="0" w:firstColumn="0" w:lastColumn="0" w:noHBand="0" w:noVBand="0"/>
        </w:tblPrEx>
        <w:tc>
          <w:tcPr>
            <w:tcW w:w="5040" w:type="dxa"/>
            <w:tcBorders>
              <w:right w:val="single" w:sz="4" w:space="0" w:color="auto"/>
            </w:tcBorders>
            <w:shd w:val="clear" w:color="auto" w:fill="auto"/>
          </w:tcPr>
          <w:p w14:paraId="60B59FA7" w14:textId="00059FC8" w:rsidR="00D93CFC" w:rsidRPr="0038179C" w:rsidRDefault="00D93CFC" w:rsidP="00AC6903">
            <w:pPr>
              <w:spacing w:before="240"/>
              <w:rPr>
                <w:rFonts w:eastAsia="Calibri"/>
              </w:rPr>
            </w:pPr>
            <w:r w:rsidRPr="0038179C">
              <w:rPr>
                <w:rFonts w:eastAsia="Calibri"/>
              </w:rPr>
              <w:t>DALIA ROJAS,</w:t>
            </w:r>
          </w:p>
          <w:p w14:paraId="32BAC214" w14:textId="77777777" w:rsidR="00D93CFC" w:rsidRPr="0038179C" w:rsidRDefault="00D93CFC" w:rsidP="009E71C4">
            <w:pPr>
              <w:rPr>
                <w:rFonts w:eastAsia="Calibri"/>
              </w:rPr>
            </w:pPr>
          </w:p>
          <w:p w14:paraId="41B44F22" w14:textId="460EDBF9" w:rsidR="00D93CFC" w:rsidRPr="0038179C" w:rsidRDefault="00D93CFC" w:rsidP="009E71C4">
            <w:pPr>
              <w:rPr>
                <w:rFonts w:eastAsia="Calibri"/>
              </w:rPr>
            </w:pPr>
            <w:r w:rsidRPr="0038179C">
              <w:rPr>
                <w:rFonts w:eastAsia="Calibri"/>
              </w:rPr>
              <w:tab/>
              <w:t>Plaintiff and Appellant,</w:t>
            </w:r>
          </w:p>
          <w:p w14:paraId="3D4CAB56" w14:textId="77777777" w:rsidR="00D93CFC" w:rsidRPr="0038179C" w:rsidRDefault="00D93CFC" w:rsidP="009E71C4">
            <w:pPr>
              <w:rPr>
                <w:rFonts w:eastAsia="Calibri"/>
              </w:rPr>
            </w:pPr>
          </w:p>
          <w:p w14:paraId="4155CFDE" w14:textId="77777777" w:rsidR="00D93CFC" w:rsidRPr="0038179C" w:rsidRDefault="00D93CFC" w:rsidP="009E71C4">
            <w:pPr>
              <w:rPr>
                <w:rFonts w:eastAsia="Calibri"/>
              </w:rPr>
            </w:pPr>
            <w:r w:rsidRPr="0038179C">
              <w:rPr>
                <w:rFonts w:eastAsia="Calibri"/>
              </w:rPr>
              <w:tab/>
              <w:t>v.</w:t>
            </w:r>
          </w:p>
          <w:p w14:paraId="14145862" w14:textId="77777777" w:rsidR="00D93CFC" w:rsidRPr="0038179C" w:rsidRDefault="00D93CFC" w:rsidP="009E71C4">
            <w:pPr>
              <w:rPr>
                <w:rFonts w:eastAsia="Calibri"/>
              </w:rPr>
            </w:pPr>
          </w:p>
          <w:p w14:paraId="6B8F6E2F" w14:textId="189F3905" w:rsidR="00D93CFC" w:rsidRPr="0038179C" w:rsidRDefault="00D93CFC" w:rsidP="009E71C4">
            <w:pPr>
              <w:rPr>
                <w:rFonts w:eastAsia="Calibri"/>
              </w:rPr>
            </w:pPr>
            <w:r w:rsidRPr="0038179C">
              <w:rPr>
                <w:rFonts w:eastAsia="Calibri"/>
              </w:rPr>
              <w:t>HSBC CARD SERVICES INC. et al.,</w:t>
            </w:r>
          </w:p>
          <w:p w14:paraId="7882DEF5" w14:textId="77777777" w:rsidR="00D93CFC" w:rsidRPr="0038179C" w:rsidRDefault="00D93CFC" w:rsidP="009E71C4">
            <w:pPr>
              <w:rPr>
                <w:rFonts w:eastAsia="Calibri"/>
              </w:rPr>
            </w:pPr>
          </w:p>
          <w:p w14:paraId="4FB04DC5" w14:textId="749CDC69" w:rsidR="00D93CFC" w:rsidRPr="0038179C" w:rsidRDefault="00D93CFC" w:rsidP="009E71C4">
            <w:pPr>
              <w:rPr>
                <w:rFonts w:eastAsia="Calibri"/>
              </w:rPr>
            </w:pPr>
            <w:r w:rsidRPr="0038179C">
              <w:rPr>
                <w:rFonts w:eastAsia="Calibri"/>
              </w:rPr>
              <w:tab/>
              <w:t>Defendant</w:t>
            </w:r>
            <w:r w:rsidR="000160B6">
              <w:rPr>
                <w:rFonts w:eastAsia="Calibri"/>
              </w:rPr>
              <w:t>s</w:t>
            </w:r>
            <w:r w:rsidR="00B65A8F">
              <w:rPr>
                <w:rFonts w:eastAsia="Calibri"/>
              </w:rPr>
              <w:t xml:space="preserve"> </w:t>
            </w:r>
            <w:r w:rsidR="001D2089" w:rsidRPr="0038179C">
              <w:rPr>
                <w:rFonts w:eastAsia="Calibri"/>
              </w:rPr>
              <w:t xml:space="preserve">and </w:t>
            </w:r>
            <w:r w:rsidRPr="0038179C">
              <w:rPr>
                <w:rFonts w:eastAsia="Calibri"/>
              </w:rPr>
              <w:t>Respondent</w:t>
            </w:r>
            <w:r w:rsidR="001D2089" w:rsidRPr="0038179C">
              <w:rPr>
                <w:rFonts w:eastAsia="Calibri"/>
              </w:rPr>
              <w:t>s</w:t>
            </w:r>
            <w:r w:rsidR="00312071">
              <w:rPr>
                <w:rFonts w:eastAsia="Calibri"/>
              </w:rPr>
              <w:t>.</w:t>
            </w:r>
          </w:p>
        </w:tc>
        <w:tc>
          <w:tcPr>
            <w:tcW w:w="4950" w:type="dxa"/>
            <w:tcBorders>
              <w:left w:val="single" w:sz="4" w:space="0" w:color="auto"/>
            </w:tcBorders>
            <w:shd w:val="clear" w:color="auto" w:fill="auto"/>
          </w:tcPr>
          <w:p w14:paraId="39A466A4" w14:textId="2EF4AB48" w:rsidR="00D93CFC" w:rsidRPr="0038179C" w:rsidRDefault="00D93CFC" w:rsidP="00AC6903">
            <w:pPr>
              <w:spacing w:before="240"/>
              <w:rPr>
                <w:rFonts w:eastAsia="Calibri"/>
                <w:b/>
                <w:bCs/>
              </w:rPr>
            </w:pPr>
            <w:r w:rsidRPr="0038179C">
              <w:rPr>
                <w:rFonts w:eastAsia="Calibri"/>
              </w:rPr>
              <w:t xml:space="preserve">  </w:t>
            </w:r>
            <w:r w:rsidR="00660EF2" w:rsidRPr="0038179C">
              <w:rPr>
                <w:rFonts w:eastAsia="Calibri"/>
              </w:rPr>
              <w:t>D078511</w:t>
            </w:r>
          </w:p>
          <w:p w14:paraId="730286E1" w14:textId="77777777" w:rsidR="00D93CFC" w:rsidRPr="0038179C" w:rsidRDefault="00D93CFC" w:rsidP="009E71C4">
            <w:pPr>
              <w:rPr>
                <w:rFonts w:eastAsia="Calibri"/>
              </w:rPr>
            </w:pPr>
          </w:p>
          <w:p w14:paraId="42FD55C2" w14:textId="77777777" w:rsidR="00D93CFC" w:rsidRPr="0038179C" w:rsidRDefault="00D93CFC" w:rsidP="009E71C4">
            <w:pPr>
              <w:rPr>
                <w:rFonts w:eastAsia="Calibri"/>
              </w:rPr>
            </w:pPr>
          </w:p>
          <w:p w14:paraId="4A876362" w14:textId="77777777" w:rsidR="00D93CFC" w:rsidRPr="0038179C" w:rsidRDefault="00D93CFC" w:rsidP="00D93CFC">
            <w:pPr>
              <w:ind w:left="255" w:hanging="255"/>
              <w:rPr>
                <w:rFonts w:eastAsia="Calibri"/>
              </w:rPr>
            </w:pPr>
            <w:r w:rsidRPr="0038179C">
              <w:rPr>
                <w:rFonts w:eastAsia="Calibri"/>
              </w:rPr>
              <w:t xml:space="preserve">  (Super. Ct. No. 37-2014-00023795-</w:t>
            </w:r>
          </w:p>
          <w:p w14:paraId="3B750B96" w14:textId="61B3C6EE" w:rsidR="00D93CFC" w:rsidRPr="0038179C" w:rsidRDefault="00D93CFC" w:rsidP="00D93CFC">
            <w:pPr>
              <w:ind w:left="255" w:hanging="255"/>
              <w:rPr>
                <w:rFonts w:eastAsia="Calibri"/>
              </w:rPr>
            </w:pPr>
            <w:r w:rsidRPr="0038179C">
              <w:rPr>
                <w:rFonts w:eastAsia="Calibri"/>
              </w:rPr>
              <w:t xml:space="preserve">  CU-MC-NC)</w:t>
            </w:r>
          </w:p>
        </w:tc>
      </w:tr>
      <w:tr w:rsidR="00D93CFC" w:rsidRPr="0038179C" w14:paraId="0A7EEE67" w14:textId="77777777" w:rsidTr="009E71C4">
        <w:tblPrEx>
          <w:tblLook w:val="0000" w:firstRow="0" w:lastRow="0" w:firstColumn="0" w:lastColumn="0" w:noHBand="0" w:noVBand="0"/>
        </w:tblPrEx>
        <w:tc>
          <w:tcPr>
            <w:tcW w:w="5040" w:type="dxa"/>
            <w:tcBorders>
              <w:bottom w:val="single" w:sz="4" w:space="0" w:color="auto"/>
              <w:right w:val="single" w:sz="4" w:space="0" w:color="auto"/>
            </w:tcBorders>
            <w:shd w:val="clear" w:color="auto" w:fill="auto"/>
          </w:tcPr>
          <w:p w14:paraId="7F6F17F3" w14:textId="77777777" w:rsidR="00D93CFC" w:rsidRPr="0038179C" w:rsidRDefault="00D93CFC" w:rsidP="009E71C4">
            <w:pPr>
              <w:rPr>
                <w:rFonts w:eastAsia="Calibri"/>
              </w:rPr>
            </w:pPr>
          </w:p>
        </w:tc>
        <w:tc>
          <w:tcPr>
            <w:tcW w:w="4950" w:type="dxa"/>
            <w:tcBorders>
              <w:left w:val="single" w:sz="4" w:space="0" w:color="auto"/>
            </w:tcBorders>
            <w:shd w:val="clear" w:color="auto" w:fill="auto"/>
          </w:tcPr>
          <w:p w14:paraId="63F6B4B2" w14:textId="77777777" w:rsidR="00D93CFC" w:rsidRPr="0038179C" w:rsidRDefault="00D93CFC" w:rsidP="009E71C4">
            <w:pPr>
              <w:rPr>
                <w:rFonts w:eastAsia="Calibri"/>
              </w:rPr>
            </w:pPr>
          </w:p>
        </w:tc>
      </w:tr>
    </w:tbl>
    <w:p w14:paraId="428CA1CF" w14:textId="77777777" w:rsidR="00D93CFC" w:rsidRPr="0038179C" w:rsidRDefault="00D93CFC" w:rsidP="00D93CFC">
      <w:pPr>
        <w:rPr>
          <w:rFonts w:eastAsia="Calibri"/>
        </w:rPr>
      </w:pPr>
    </w:p>
    <w:p w14:paraId="558BDBF5" w14:textId="39725E52" w:rsidR="00F632DD" w:rsidRPr="0038179C" w:rsidRDefault="00D93CFC" w:rsidP="00882F89">
      <w:pPr>
        <w:widowControl w:val="0"/>
        <w:spacing w:before="240" w:line="360" w:lineRule="auto"/>
        <w:rPr>
          <w:szCs w:val="26"/>
        </w:rPr>
      </w:pPr>
      <w:r w:rsidRPr="0038179C">
        <w:rPr>
          <w:rFonts w:eastAsia="Calibri"/>
        </w:rPr>
        <w:tab/>
        <w:t>CONSOLIDATED APPEALS from a judgment and postjudgment order</w:t>
      </w:r>
      <w:r w:rsidRPr="0038179C">
        <w:rPr>
          <w:szCs w:val="26"/>
        </w:rPr>
        <w:t xml:space="preserve"> </w:t>
      </w:r>
      <w:r w:rsidR="00096537" w:rsidRPr="0038179C">
        <w:rPr>
          <w:szCs w:val="26"/>
        </w:rPr>
        <w:t>of the Superior Court of San Diego C</w:t>
      </w:r>
      <w:r w:rsidR="00227C82" w:rsidRPr="0038179C">
        <w:rPr>
          <w:szCs w:val="26"/>
        </w:rPr>
        <w:t xml:space="preserve">ounty, </w:t>
      </w:r>
      <w:r w:rsidR="002D71FB" w:rsidRPr="0038179C">
        <w:rPr>
          <w:szCs w:val="26"/>
        </w:rPr>
        <w:t>Jacqueline M. Stern, Judge</w:t>
      </w:r>
      <w:r w:rsidR="00B511F5" w:rsidRPr="0038179C">
        <w:rPr>
          <w:szCs w:val="26"/>
        </w:rPr>
        <w:t>,</w:t>
      </w:r>
      <w:r w:rsidR="00D36C9F" w:rsidRPr="0038179C">
        <w:rPr>
          <w:szCs w:val="26"/>
        </w:rPr>
        <w:t xml:space="preserve"> and Cynthia A. Freeland, Judge.</w:t>
      </w:r>
      <w:r w:rsidR="003F5446" w:rsidRPr="0038179C">
        <w:rPr>
          <w:szCs w:val="26"/>
        </w:rPr>
        <w:t xml:space="preserve"> </w:t>
      </w:r>
      <w:r w:rsidR="008A6C73" w:rsidRPr="0038179C">
        <w:rPr>
          <w:szCs w:val="26"/>
        </w:rPr>
        <w:t xml:space="preserve"> Affirmed.</w:t>
      </w:r>
    </w:p>
    <w:p w14:paraId="7BEC225A" w14:textId="77777777" w:rsidR="00B65A8F" w:rsidRDefault="00B65A8F" w:rsidP="00B65A8F">
      <w:pPr>
        <w:widowControl w:val="0"/>
        <w:spacing w:before="240" w:line="360" w:lineRule="auto"/>
        <w:rPr>
          <w:szCs w:val="26"/>
        </w:rPr>
      </w:pPr>
    </w:p>
    <w:p w14:paraId="50D3B93C" w14:textId="22A7015D" w:rsidR="00457EFC" w:rsidRPr="0038179C" w:rsidRDefault="00781612" w:rsidP="00B65A8F">
      <w:pPr>
        <w:widowControl w:val="0"/>
        <w:spacing w:before="240" w:line="360" w:lineRule="auto"/>
        <w:rPr>
          <w:szCs w:val="26"/>
        </w:rPr>
      </w:pPr>
      <w:r w:rsidRPr="0038179C">
        <w:rPr>
          <w:szCs w:val="26"/>
        </w:rPr>
        <w:lastRenderedPageBreak/>
        <w:tab/>
      </w:r>
      <w:r w:rsidR="00577453" w:rsidRPr="0038179C">
        <w:rPr>
          <w:szCs w:val="26"/>
        </w:rPr>
        <w:t>Law Offices of Deborah L. Raymond and Deborah L. Raymond, for Plaintiff and Appellant.</w:t>
      </w:r>
    </w:p>
    <w:p w14:paraId="7D3DD04F" w14:textId="5BF0A788" w:rsidR="00577453" w:rsidRPr="0038179C" w:rsidRDefault="00577453" w:rsidP="00B65A8F">
      <w:pPr>
        <w:widowControl w:val="0"/>
        <w:spacing w:after="240" w:line="360" w:lineRule="auto"/>
        <w:rPr>
          <w:szCs w:val="26"/>
        </w:rPr>
      </w:pPr>
      <w:r w:rsidRPr="0038179C">
        <w:rPr>
          <w:szCs w:val="26"/>
        </w:rPr>
        <w:tab/>
        <w:t xml:space="preserve">Stroock &amp; Stroock &amp; Lavan, Julia B. Strickland, John R. Loftus, David W. Moon and Christine E. Ellice for Defendants, </w:t>
      </w:r>
      <w:r w:rsidR="001D2089" w:rsidRPr="0038179C">
        <w:rPr>
          <w:szCs w:val="26"/>
        </w:rPr>
        <w:t>Cross-</w:t>
      </w:r>
      <w:proofErr w:type="gramStart"/>
      <w:r w:rsidR="00B65A8F">
        <w:rPr>
          <w:szCs w:val="26"/>
        </w:rPr>
        <w:t>appellants</w:t>
      </w:r>
      <w:proofErr w:type="gramEnd"/>
      <w:r w:rsidR="001D2089" w:rsidRPr="0038179C">
        <w:rPr>
          <w:szCs w:val="26"/>
        </w:rPr>
        <w:t xml:space="preserve"> and </w:t>
      </w:r>
      <w:r w:rsidRPr="0038179C">
        <w:rPr>
          <w:szCs w:val="26"/>
        </w:rPr>
        <w:t>Respondents</w:t>
      </w:r>
      <w:r w:rsidR="001D2089" w:rsidRPr="0038179C">
        <w:rPr>
          <w:szCs w:val="26"/>
        </w:rPr>
        <w:t>.</w:t>
      </w:r>
    </w:p>
    <w:p w14:paraId="029FC407" w14:textId="77777777" w:rsidR="000F4B2E" w:rsidRPr="0038179C" w:rsidRDefault="00425599" w:rsidP="00882F89">
      <w:pPr>
        <w:widowControl w:val="0"/>
        <w:spacing w:line="360" w:lineRule="auto"/>
      </w:pPr>
      <w:r w:rsidRPr="0038179C">
        <w:rPr>
          <w:szCs w:val="26"/>
        </w:rPr>
        <w:tab/>
        <w:t xml:space="preserve">This is the second </w:t>
      </w:r>
      <w:r w:rsidR="00C25199" w:rsidRPr="0038179C">
        <w:rPr>
          <w:szCs w:val="26"/>
        </w:rPr>
        <w:t xml:space="preserve">round of </w:t>
      </w:r>
      <w:r w:rsidRPr="0038179C">
        <w:rPr>
          <w:szCs w:val="26"/>
        </w:rPr>
        <w:t>appeal</w:t>
      </w:r>
      <w:r w:rsidR="00C25199" w:rsidRPr="0038179C">
        <w:rPr>
          <w:szCs w:val="26"/>
        </w:rPr>
        <w:t>s</w:t>
      </w:r>
      <w:r w:rsidRPr="0038179C">
        <w:rPr>
          <w:szCs w:val="26"/>
        </w:rPr>
        <w:t xml:space="preserve"> arising from </w:t>
      </w:r>
      <w:r w:rsidR="009C09B9" w:rsidRPr="0038179C">
        <w:rPr>
          <w:szCs w:val="26"/>
        </w:rPr>
        <w:t xml:space="preserve">Dalia Rojas’s </w:t>
      </w:r>
      <w:r w:rsidR="00B511F5" w:rsidRPr="0038179C">
        <w:rPr>
          <w:szCs w:val="26"/>
        </w:rPr>
        <w:t xml:space="preserve">lawsuit against </w:t>
      </w:r>
      <w:r w:rsidR="009C09B9" w:rsidRPr="0038179C">
        <w:t>HSBC Card Services, Inc. (</w:t>
      </w:r>
      <w:r w:rsidR="00DE3495" w:rsidRPr="0038179C">
        <w:t>HSBC Card Services</w:t>
      </w:r>
      <w:r w:rsidR="009C09B9" w:rsidRPr="0038179C">
        <w:t>)</w:t>
      </w:r>
      <w:r w:rsidR="00C37879" w:rsidRPr="0038179C">
        <w:t xml:space="preserve"> and HSBC Technology &amp; Services (USA) Inc. (</w:t>
      </w:r>
      <w:r w:rsidR="00695D5F" w:rsidRPr="0038179C">
        <w:t xml:space="preserve">HSBC Tech Services; </w:t>
      </w:r>
      <w:r w:rsidR="00C37879" w:rsidRPr="0038179C">
        <w:t>together, HSBC)</w:t>
      </w:r>
      <w:r w:rsidR="00B511F5" w:rsidRPr="0038179C">
        <w:t xml:space="preserve"> for</w:t>
      </w:r>
      <w:r w:rsidR="00C37879" w:rsidRPr="0038179C">
        <w:t xml:space="preserve"> </w:t>
      </w:r>
      <w:r w:rsidR="009C09B9" w:rsidRPr="0038179C">
        <w:t>violat</w:t>
      </w:r>
      <w:r w:rsidR="00B511F5" w:rsidRPr="0038179C">
        <w:t>ions of</w:t>
      </w:r>
      <w:r w:rsidR="009C09B9" w:rsidRPr="0038179C">
        <w:t xml:space="preserve"> the California </w:t>
      </w:r>
      <w:r w:rsidR="00023A8B" w:rsidRPr="0038179C">
        <w:t xml:space="preserve">Invasion </w:t>
      </w:r>
      <w:r w:rsidR="009C09B9" w:rsidRPr="0038179C">
        <w:t>of Privacy Act (Privacy Act</w:t>
      </w:r>
      <w:r w:rsidR="00B511F5" w:rsidRPr="0038179C">
        <w:t>;</w:t>
      </w:r>
      <w:r w:rsidR="009C09B9" w:rsidRPr="0038179C">
        <w:t xml:space="preserve"> Pen</w:t>
      </w:r>
      <w:r w:rsidR="000F4B2E" w:rsidRPr="0038179C">
        <w:t>.</w:t>
      </w:r>
      <w:r w:rsidR="009C09B9" w:rsidRPr="0038179C">
        <w:t xml:space="preserve"> Code</w:t>
      </w:r>
      <w:r w:rsidR="000F4B2E" w:rsidRPr="0038179C">
        <w:t>, </w:t>
      </w:r>
    </w:p>
    <w:p w14:paraId="2CA70E07" w14:textId="6A957469" w:rsidR="00725058" w:rsidRPr="0038179C" w:rsidRDefault="00695D5F" w:rsidP="00882F89">
      <w:pPr>
        <w:widowControl w:val="0"/>
        <w:spacing w:line="360" w:lineRule="auto"/>
      </w:pPr>
      <w:r w:rsidRPr="0038179C">
        <w:t>§</w:t>
      </w:r>
      <w:r w:rsidR="009C09B9" w:rsidRPr="0038179C">
        <w:t xml:space="preserve"> 630</w:t>
      </w:r>
      <w:r w:rsidRPr="0038179C">
        <w:t>,</w:t>
      </w:r>
      <w:r w:rsidR="009C09B9" w:rsidRPr="0038179C">
        <w:t xml:space="preserve"> et seq.)</w:t>
      </w:r>
      <w:r w:rsidR="00725058" w:rsidRPr="0038179C">
        <w:rPr>
          <w:rStyle w:val="FootnoteReference"/>
        </w:rPr>
        <w:footnoteReference w:id="1"/>
      </w:r>
      <w:r w:rsidR="00725058" w:rsidRPr="0038179C">
        <w:t xml:space="preserve">  Rojas received hundreds of</w:t>
      </w:r>
      <w:r w:rsidR="0030100A" w:rsidRPr="0038179C">
        <w:t xml:space="preserve"> personal</w:t>
      </w:r>
      <w:r w:rsidR="00725058" w:rsidRPr="0038179C">
        <w:t xml:space="preserve"> calls from her daughter</w:t>
      </w:r>
      <w:r w:rsidR="00CD53D4" w:rsidRPr="0038179C">
        <w:t xml:space="preserve"> Alejandra</w:t>
      </w:r>
      <w:r w:rsidR="00725058" w:rsidRPr="0038179C">
        <w:t>, an employee at an HSBC call center, which</w:t>
      </w:r>
      <w:r w:rsidR="00CD53D4" w:rsidRPr="0038179C">
        <w:t xml:space="preserve"> </w:t>
      </w:r>
      <w:r w:rsidR="00725058" w:rsidRPr="0038179C">
        <w:t xml:space="preserve">were </w:t>
      </w:r>
      <w:r w:rsidR="00CD53D4" w:rsidRPr="0038179C">
        <w:t>recorded by HSBC’s full-time recording system</w:t>
      </w:r>
      <w:r w:rsidR="00725058" w:rsidRPr="0038179C">
        <w:t xml:space="preserve">.  Rojas </w:t>
      </w:r>
      <w:r w:rsidR="009C09B9" w:rsidRPr="0038179C">
        <w:t>allege</w:t>
      </w:r>
      <w:r w:rsidR="0044712E" w:rsidRPr="0038179C">
        <w:t>s</w:t>
      </w:r>
      <w:r w:rsidR="009C09B9" w:rsidRPr="0038179C">
        <w:t xml:space="preserve"> </w:t>
      </w:r>
      <w:r w:rsidR="009C09B9" w:rsidRPr="0038179C">
        <w:rPr>
          <w:szCs w:val="26"/>
        </w:rPr>
        <w:t xml:space="preserve">HSBC </w:t>
      </w:r>
      <w:r w:rsidR="001A2EEE" w:rsidRPr="0038179C">
        <w:rPr>
          <w:szCs w:val="26"/>
        </w:rPr>
        <w:t xml:space="preserve">intentionally </w:t>
      </w:r>
      <w:r w:rsidR="009C09B9" w:rsidRPr="0038179C">
        <w:rPr>
          <w:szCs w:val="26"/>
        </w:rPr>
        <w:t xml:space="preserve">recorded </w:t>
      </w:r>
      <w:r w:rsidR="001A2EEE" w:rsidRPr="0038179C">
        <w:rPr>
          <w:szCs w:val="26"/>
        </w:rPr>
        <w:t xml:space="preserve">confidential </w:t>
      </w:r>
      <w:r w:rsidR="00B511F5" w:rsidRPr="0038179C">
        <w:rPr>
          <w:szCs w:val="26"/>
        </w:rPr>
        <w:t xml:space="preserve">calls without </w:t>
      </w:r>
      <w:r w:rsidR="00725058" w:rsidRPr="0038179C">
        <w:rPr>
          <w:szCs w:val="26"/>
        </w:rPr>
        <w:t>her consent</w:t>
      </w:r>
      <w:r w:rsidR="00296B96" w:rsidRPr="0038179C">
        <w:rPr>
          <w:szCs w:val="26"/>
        </w:rPr>
        <w:t>,</w:t>
      </w:r>
      <w:r w:rsidR="001A2EEE" w:rsidRPr="0038179C">
        <w:rPr>
          <w:szCs w:val="26"/>
        </w:rPr>
        <w:t xml:space="preserve"> </w:t>
      </w:r>
      <w:r w:rsidR="009C09B9" w:rsidRPr="0038179C">
        <w:rPr>
          <w:szCs w:val="26"/>
        </w:rPr>
        <w:t>in violation of section 632, subdivision (a)</w:t>
      </w:r>
      <w:r w:rsidR="001A2EEE" w:rsidRPr="0038179C">
        <w:rPr>
          <w:szCs w:val="26"/>
        </w:rPr>
        <w:t xml:space="preserve">.  She </w:t>
      </w:r>
      <w:r w:rsidR="00296B96" w:rsidRPr="0038179C">
        <w:rPr>
          <w:szCs w:val="26"/>
        </w:rPr>
        <w:t>also</w:t>
      </w:r>
      <w:r w:rsidR="001A2EEE" w:rsidRPr="0038179C">
        <w:rPr>
          <w:szCs w:val="26"/>
        </w:rPr>
        <w:t xml:space="preserve"> alleges HSBC intentionally recorded calls to her cellular </w:t>
      </w:r>
      <w:r w:rsidR="000457B2" w:rsidRPr="0038179C">
        <w:rPr>
          <w:szCs w:val="26"/>
        </w:rPr>
        <w:t>and</w:t>
      </w:r>
      <w:r w:rsidR="001A2EEE" w:rsidRPr="0038179C">
        <w:rPr>
          <w:szCs w:val="26"/>
        </w:rPr>
        <w:t xml:space="preserve"> cordless phones</w:t>
      </w:r>
      <w:r w:rsidR="00296B96" w:rsidRPr="0038179C">
        <w:rPr>
          <w:szCs w:val="26"/>
        </w:rPr>
        <w:t xml:space="preserve"> without her consent</w:t>
      </w:r>
      <w:r w:rsidR="001A2EEE" w:rsidRPr="0038179C">
        <w:rPr>
          <w:szCs w:val="26"/>
        </w:rPr>
        <w:t>, in violation of section 632.7, subdivision (a).</w:t>
      </w:r>
    </w:p>
    <w:p w14:paraId="283BBFB9" w14:textId="3298E798" w:rsidR="00FE4F84" w:rsidRPr="0038179C" w:rsidRDefault="009C09B9" w:rsidP="00882F89">
      <w:pPr>
        <w:widowControl w:val="0"/>
        <w:spacing w:line="360" w:lineRule="auto"/>
      </w:pPr>
      <w:r w:rsidRPr="0038179C">
        <w:rPr>
          <w:szCs w:val="26"/>
        </w:rPr>
        <w:tab/>
        <w:t>The trial court granted summary judgment to HSBC</w:t>
      </w:r>
      <w:r w:rsidR="0030100A" w:rsidRPr="0038179C">
        <w:rPr>
          <w:szCs w:val="26"/>
        </w:rPr>
        <w:t>, and Rojas appealed</w:t>
      </w:r>
      <w:r w:rsidR="00296B96" w:rsidRPr="0038179C">
        <w:rPr>
          <w:szCs w:val="26"/>
        </w:rPr>
        <w:t>.</w:t>
      </w:r>
      <w:r w:rsidR="00311684" w:rsidRPr="0038179C">
        <w:rPr>
          <w:szCs w:val="26"/>
        </w:rPr>
        <w:t xml:space="preserve">  (</w:t>
      </w:r>
      <w:bookmarkStart w:id="0" w:name="dabmci_f267aa6798d541c2a30eee1270546d33"/>
      <w:r w:rsidR="00311684" w:rsidRPr="0038179C">
        <w:rPr>
          <w:i/>
          <w:iCs/>
        </w:rPr>
        <w:t>Rojas v. HSBC Card Services Inc.</w:t>
      </w:r>
      <w:r w:rsidR="00311684" w:rsidRPr="0038179C">
        <w:t xml:space="preserve"> (2018) 20 Cal.App.5th 427, 431 (</w:t>
      </w:r>
      <w:r w:rsidR="00311684" w:rsidRPr="0038179C">
        <w:rPr>
          <w:i/>
          <w:iCs/>
        </w:rPr>
        <w:t>Rojas I</w:t>
      </w:r>
      <w:r w:rsidR="00311684" w:rsidRPr="0038179C">
        <w:t>)</w:t>
      </w:r>
      <w:bookmarkEnd w:id="0"/>
      <w:r w:rsidR="00311684" w:rsidRPr="0038179C">
        <w:t xml:space="preserve">.)  </w:t>
      </w:r>
      <w:r w:rsidR="0030100A" w:rsidRPr="0038179C">
        <w:t>W</w:t>
      </w:r>
      <w:r w:rsidR="00311684" w:rsidRPr="0038179C">
        <w:t xml:space="preserve">e reversed, concluding HSBC had not met its </w:t>
      </w:r>
      <w:r w:rsidR="00FE4F84" w:rsidRPr="0038179C">
        <w:t xml:space="preserve">initial </w:t>
      </w:r>
      <w:r w:rsidR="00311684" w:rsidRPr="0038179C">
        <w:t>burden to show there was no triable issue of material fact on intent.  (</w:t>
      </w:r>
      <w:bookmarkStart w:id="1" w:name="dabmci_3244c5eff92843d5bdbe2a618861f070"/>
      <w:r w:rsidR="000457B2" w:rsidRPr="0038179C">
        <w:rPr>
          <w:i/>
          <w:iCs/>
        </w:rPr>
        <w:t>Id.</w:t>
      </w:r>
      <w:r w:rsidR="00311684" w:rsidRPr="0038179C">
        <w:t>, at pp. 429, 432</w:t>
      </w:r>
      <w:bookmarkEnd w:id="1"/>
      <w:r w:rsidR="00311684" w:rsidRPr="0038179C">
        <w:t>.)</w:t>
      </w:r>
    </w:p>
    <w:p w14:paraId="795A93D4" w14:textId="6071352E" w:rsidR="004A2D5C" w:rsidRPr="0038179C" w:rsidRDefault="0044712E" w:rsidP="00882F89">
      <w:pPr>
        <w:widowControl w:val="0"/>
        <w:spacing w:line="360" w:lineRule="auto"/>
      </w:pPr>
      <w:r w:rsidRPr="0038179C">
        <w:rPr>
          <w:szCs w:val="26"/>
        </w:rPr>
        <w:tab/>
        <w:t xml:space="preserve">On remand, HSBC </w:t>
      </w:r>
      <w:r w:rsidR="00B743C1" w:rsidRPr="0038179C">
        <w:t>made</w:t>
      </w:r>
      <w:r w:rsidR="000457B2" w:rsidRPr="0038179C">
        <w:t xml:space="preserve"> a</w:t>
      </w:r>
      <w:r w:rsidR="00B743C1" w:rsidRPr="0038179C">
        <w:t xml:space="preserve"> </w:t>
      </w:r>
      <w:bookmarkStart w:id="2" w:name="dabmci_4825be31bd944cbca90f175694e66cc7"/>
      <w:r w:rsidR="00B743C1" w:rsidRPr="0038179C">
        <w:t>Code of Civil Procedure section 998</w:t>
      </w:r>
      <w:bookmarkEnd w:id="2"/>
      <w:r w:rsidR="00B743C1" w:rsidRPr="0038179C">
        <w:t xml:space="preserve"> offer, which Rojas did not accept.</w:t>
      </w:r>
      <w:r w:rsidR="000457B2" w:rsidRPr="0038179C">
        <w:t xml:space="preserve">  </w:t>
      </w:r>
      <w:r w:rsidR="00B743C1" w:rsidRPr="0038179C">
        <w:t>The case proceeded to a bench trial</w:t>
      </w:r>
      <w:r w:rsidR="000457B2" w:rsidRPr="0038179C">
        <w:t>, where HSBC</w:t>
      </w:r>
      <w:r w:rsidR="008575A7" w:rsidRPr="0038179C">
        <w:t xml:space="preserve"> </w:t>
      </w:r>
      <w:r w:rsidR="00127610" w:rsidRPr="0038179C">
        <w:t>relied</w:t>
      </w:r>
      <w:r w:rsidR="00DB624D" w:rsidRPr="0038179C">
        <w:t>,</w:t>
      </w:r>
      <w:r w:rsidR="00127610" w:rsidRPr="0038179C">
        <w:t xml:space="preserve"> </w:t>
      </w:r>
      <w:r w:rsidR="00616E51" w:rsidRPr="0038179C">
        <w:t>in part</w:t>
      </w:r>
      <w:r w:rsidR="00DB624D" w:rsidRPr="0038179C">
        <w:t>,</w:t>
      </w:r>
      <w:r w:rsidR="00616E51" w:rsidRPr="0038179C">
        <w:t xml:space="preserve"> </w:t>
      </w:r>
      <w:r w:rsidR="00127610" w:rsidRPr="0038179C">
        <w:t xml:space="preserve">on workplace policies that purportedly barred </w:t>
      </w:r>
      <w:r w:rsidR="002C2BC5" w:rsidRPr="0038179C">
        <w:t xml:space="preserve">call center </w:t>
      </w:r>
      <w:r w:rsidR="002C2BC5" w:rsidRPr="0038179C">
        <w:lastRenderedPageBreak/>
        <w:t xml:space="preserve">agents from making </w:t>
      </w:r>
      <w:r w:rsidR="00127610" w:rsidRPr="0038179C">
        <w:t>personal calls</w:t>
      </w:r>
      <w:r w:rsidR="00C61F57" w:rsidRPr="0038179C">
        <w:t xml:space="preserve"> at their desks</w:t>
      </w:r>
      <w:r w:rsidR="00127610" w:rsidRPr="0038179C">
        <w:t xml:space="preserve"> to </w:t>
      </w:r>
      <w:r w:rsidR="0058764C" w:rsidRPr="0038179C">
        <w:t>show</w:t>
      </w:r>
      <w:r w:rsidR="00127610" w:rsidRPr="0038179C">
        <w:t xml:space="preserve"> </w:t>
      </w:r>
      <w:r w:rsidR="00E31ACB" w:rsidRPr="0038179C">
        <w:t>it</w:t>
      </w:r>
      <w:r w:rsidR="0058764C" w:rsidRPr="0038179C">
        <w:t xml:space="preserve"> did</w:t>
      </w:r>
      <w:r w:rsidR="00127610" w:rsidRPr="0038179C">
        <w:t xml:space="preserve"> </w:t>
      </w:r>
      <w:r w:rsidR="0058764C" w:rsidRPr="0038179C">
        <w:t xml:space="preserve">not </w:t>
      </w:r>
      <w:r w:rsidR="00127610" w:rsidRPr="0038179C">
        <w:t>intend to record the calls</w:t>
      </w:r>
      <w:r w:rsidR="00507311" w:rsidRPr="0038179C">
        <w:t>.</w:t>
      </w:r>
      <w:r w:rsidR="00C61F57" w:rsidRPr="0038179C">
        <w:t xml:space="preserve">  HSBC also presented evidence that Rojas received recording disclosures in connection with her HSBC credit card, through the cardmember agreement and her monthly payment calls to HSBC</w:t>
      </w:r>
      <w:r w:rsidR="00294731" w:rsidRPr="0038179C">
        <w:t>.</w:t>
      </w:r>
      <w:r w:rsidR="0058764C" w:rsidRPr="0038179C">
        <w:t xml:space="preserve">  </w:t>
      </w:r>
      <w:r w:rsidR="006D1A46" w:rsidRPr="0038179C">
        <w:t xml:space="preserve">Rojas </w:t>
      </w:r>
      <w:r w:rsidR="005267B5" w:rsidRPr="0038179C">
        <w:t>elicited testimony</w:t>
      </w:r>
      <w:r w:rsidR="006D1A46" w:rsidRPr="0038179C">
        <w:t xml:space="preserve"> that HSBC managers knew personal calls were being made</w:t>
      </w:r>
      <w:r w:rsidR="001D667D" w:rsidRPr="0038179C">
        <w:t xml:space="preserve"> by call center agents</w:t>
      </w:r>
      <w:r w:rsidR="002D34A2" w:rsidRPr="0038179C">
        <w:t>, including by Alejandra</w:t>
      </w:r>
      <w:r w:rsidR="0058764C" w:rsidRPr="0038179C">
        <w:t xml:space="preserve">, and denied she consented to recording. </w:t>
      </w:r>
      <w:r w:rsidR="00DB5196" w:rsidRPr="0038179C">
        <w:t xml:space="preserve"> </w:t>
      </w:r>
      <w:r w:rsidR="0058764C" w:rsidRPr="0038179C">
        <w:t xml:space="preserve">The trial court entered judgment for HSBC.  Pertinent here, the court found Rojas did not prove </w:t>
      </w:r>
      <w:r w:rsidR="003E6AA2" w:rsidRPr="0038179C">
        <w:t xml:space="preserve">HSBC’s </w:t>
      </w:r>
      <w:r w:rsidR="0058764C" w:rsidRPr="0038179C">
        <w:t xml:space="preserve">intent to record.  The court </w:t>
      </w:r>
      <w:r w:rsidR="00507311" w:rsidRPr="0038179C">
        <w:t xml:space="preserve">also </w:t>
      </w:r>
      <w:r w:rsidR="0058764C" w:rsidRPr="0038179C">
        <w:t>found</w:t>
      </w:r>
      <w:r w:rsidR="00294731" w:rsidRPr="0038179C">
        <w:t xml:space="preserve"> </w:t>
      </w:r>
      <w:r w:rsidR="0058764C" w:rsidRPr="0038179C">
        <w:t>Rojas</w:t>
      </w:r>
      <w:r w:rsidR="00507311" w:rsidRPr="0038179C">
        <w:t xml:space="preserve"> impliedly consented to being </w:t>
      </w:r>
      <w:proofErr w:type="gramStart"/>
      <w:r w:rsidR="00507311" w:rsidRPr="0038179C">
        <w:t>recorded, and</w:t>
      </w:r>
      <w:proofErr w:type="gramEnd"/>
      <w:r w:rsidR="00507311" w:rsidRPr="0038179C">
        <w:t xml:space="preserve"> did not prove lack of consent.</w:t>
      </w:r>
      <w:r w:rsidR="0058764C" w:rsidRPr="0038179C">
        <w:t xml:space="preserve">  </w:t>
      </w:r>
      <w:r w:rsidR="00B743C1" w:rsidRPr="0038179C">
        <w:t xml:space="preserve">HSBC </w:t>
      </w:r>
      <w:r w:rsidR="004A2D5C" w:rsidRPr="0038179C">
        <w:t xml:space="preserve">sought costs, including pursuant to its </w:t>
      </w:r>
      <w:bookmarkStart w:id="3" w:name="dabmci_bcdbcb5cb92747c3b50e52d6e41cf78a"/>
      <w:r w:rsidR="00695D5F" w:rsidRPr="0038179C">
        <w:t>s</w:t>
      </w:r>
      <w:r w:rsidR="004A2D5C" w:rsidRPr="0038179C">
        <w:t>ection 998</w:t>
      </w:r>
      <w:bookmarkEnd w:id="3"/>
      <w:r w:rsidR="004A2D5C" w:rsidRPr="0038179C">
        <w:t xml:space="preserve"> </w:t>
      </w:r>
      <w:r w:rsidR="00695D5F" w:rsidRPr="0038179C">
        <w:t>o</w:t>
      </w:r>
      <w:r w:rsidR="004A2D5C" w:rsidRPr="0038179C">
        <w:t xml:space="preserve">ffer, which Rojas moved to strike or tax.  The court ruled the </w:t>
      </w:r>
      <w:bookmarkStart w:id="4" w:name="dabmci_e1725ba839ae46e8bbc436a2d40fe988"/>
      <w:r w:rsidR="00616E51" w:rsidRPr="0038179C">
        <w:t>section 998</w:t>
      </w:r>
      <w:bookmarkEnd w:id="4"/>
      <w:r w:rsidR="00616E51" w:rsidRPr="0038179C">
        <w:t xml:space="preserve"> </w:t>
      </w:r>
      <w:r w:rsidR="004A2D5C" w:rsidRPr="0038179C">
        <w:t xml:space="preserve">offer was valid and denied </w:t>
      </w:r>
      <w:r w:rsidR="00616E51" w:rsidRPr="0038179C">
        <w:t>Rojas’s</w:t>
      </w:r>
      <w:r w:rsidR="004A2D5C" w:rsidRPr="0038179C">
        <w:t xml:space="preserve"> motion.</w:t>
      </w:r>
      <w:r w:rsidR="00E31ACB" w:rsidRPr="0038179C">
        <w:t xml:space="preserve">  </w:t>
      </w:r>
      <w:r w:rsidR="006D1A46" w:rsidRPr="0038179C">
        <w:t xml:space="preserve"> </w:t>
      </w:r>
    </w:p>
    <w:p w14:paraId="45BB8F6D" w14:textId="5A39E801" w:rsidR="00C535E5" w:rsidRPr="0038179C" w:rsidRDefault="00B743C1" w:rsidP="00E31ACB">
      <w:pPr>
        <w:pStyle w:val="Header1"/>
        <w:keepNext/>
        <w:widowControl/>
        <w:spacing w:line="360" w:lineRule="auto"/>
        <w:jc w:val="left"/>
      </w:pPr>
      <w:r w:rsidRPr="0038179C">
        <w:tab/>
      </w:r>
      <w:r w:rsidR="00E31ACB" w:rsidRPr="0038179C">
        <w:t>Rojas</w:t>
      </w:r>
      <w:r w:rsidR="0044712E" w:rsidRPr="0038179C">
        <w:t xml:space="preserve"> appeal</w:t>
      </w:r>
      <w:r w:rsidR="00E31ACB" w:rsidRPr="0038179C">
        <w:t>s</w:t>
      </w:r>
      <w:r w:rsidR="004A2D5C" w:rsidRPr="0038179C">
        <w:t xml:space="preserve"> from the judgment</w:t>
      </w:r>
      <w:r w:rsidR="0044712E" w:rsidRPr="0038179C">
        <w:t xml:space="preserve">, </w:t>
      </w:r>
      <w:r w:rsidRPr="0038179C">
        <w:t>contend</w:t>
      </w:r>
      <w:r w:rsidR="00E31ACB" w:rsidRPr="0038179C">
        <w:t>ing</w:t>
      </w:r>
      <w:r w:rsidRPr="0038179C">
        <w:t xml:space="preserve"> the trial court </w:t>
      </w:r>
      <w:r w:rsidR="00C535E5" w:rsidRPr="0038179C">
        <w:t xml:space="preserve">made </w:t>
      </w:r>
      <w:r w:rsidR="004A2D5C" w:rsidRPr="0038179C">
        <w:t>several</w:t>
      </w:r>
      <w:r w:rsidR="00C535E5" w:rsidRPr="0038179C">
        <w:t xml:space="preserve"> errors in determining she did not </w:t>
      </w:r>
      <w:r w:rsidR="004A2D5C" w:rsidRPr="0038179C">
        <w:t xml:space="preserve">prove her Privacy Act claims and </w:t>
      </w:r>
      <w:r w:rsidR="003E6AA2" w:rsidRPr="0038179C">
        <w:t xml:space="preserve">that </w:t>
      </w:r>
      <w:r w:rsidR="00C535E5" w:rsidRPr="0038179C">
        <w:t xml:space="preserve">the evidence did not support </w:t>
      </w:r>
      <w:r w:rsidR="00E31ACB" w:rsidRPr="0038179C">
        <w:t>its</w:t>
      </w:r>
      <w:r w:rsidR="00C535E5" w:rsidRPr="0038179C">
        <w:t xml:space="preserve"> </w:t>
      </w:r>
      <w:r w:rsidR="00A31D01" w:rsidRPr="0038179C">
        <w:t>findings</w:t>
      </w:r>
      <w:r w:rsidR="00507311" w:rsidRPr="0038179C">
        <w:t xml:space="preserve">.  </w:t>
      </w:r>
      <w:r w:rsidR="00E31ACB" w:rsidRPr="0038179C">
        <w:t>Roja</w:t>
      </w:r>
      <w:r w:rsidR="00A31D01" w:rsidRPr="0038179C">
        <w:t>s</w:t>
      </w:r>
      <w:r w:rsidR="00E31ACB" w:rsidRPr="0038179C">
        <w:t xml:space="preserve"> also</w:t>
      </w:r>
      <w:r w:rsidR="0044712E" w:rsidRPr="0038179C">
        <w:t xml:space="preserve"> appeal</w:t>
      </w:r>
      <w:r w:rsidR="00E31ACB" w:rsidRPr="0038179C">
        <w:t>s</w:t>
      </w:r>
      <w:r w:rsidR="0044712E" w:rsidRPr="0038179C">
        <w:t xml:space="preserve"> from the denial of her motion to</w:t>
      </w:r>
      <w:r w:rsidR="00E31ACB" w:rsidRPr="0038179C">
        <w:t xml:space="preserve"> strike or</w:t>
      </w:r>
      <w:r w:rsidR="0044712E" w:rsidRPr="0038179C">
        <w:t xml:space="preserve"> tax costs, </w:t>
      </w:r>
      <w:r w:rsidR="00E31ACB" w:rsidRPr="0038179C">
        <w:t>arguing</w:t>
      </w:r>
      <w:r w:rsidR="0044712E" w:rsidRPr="0038179C">
        <w:t xml:space="preserve"> </w:t>
      </w:r>
      <w:r w:rsidR="00E31ACB" w:rsidRPr="0038179C">
        <w:t xml:space="preserve">the </w:t>
      </w:r>
      <w:bookmarkStart w:id="5" w:name="dabmci_7008250cae364a0d8d74f68bca5fe90e"/>
      <w:r w:rsidR="00E31ACB" w:rsidRPr="0038179C">
        <w:t>section 998</w:t>
      </w:r>
      <w:bookmarkEnd w:id="5"/>
      <w:r w:rsidR="00E31ACB" w:rsidRPr="0038179C">
        <w:t xml:space="preserve"> offer was invalid and the court erred in</w:t>
      </w:r>
      <w:r w:rsidR="003E6AA2" w:rsidRPr="0038179C">
        <w:t xml:space="preserve"> awarding HSBC expert costs,</w:t>
      </w:r>
      <w:r w:rsidR="00C61F57" w:rsidRPr="0038179C">
        <w:t xml:space="preserve"> </w:t>
      </w:r>
      <w:r w:rsidR="003E6AA2" w:rsidRPr="0038179C">
        <w:t xml:space="preserve">failing to consider her limited resources in awarding </w:t>
      </w:r>
      <w:r w:rsidR="00C61F57" w:rsidRPr="0038179C">
        <w:t xml:space="preserve">those </w:t>
      </w:r>
      <w:r w:rsidR="003E6AA2" w:rsidRPr="0038179C">
        <w:t>costs</w:t>
      </w:r>
      <w:r w:rsidR="00C61F57" w:rsidRPr="0038179C">
        <w:t>, and awarding costs for unused trial exhibits</w:t>
      </w:r>
      <w:r w:rsidR="0044712E" w:rsidRPr="0038179C">
        <w:t>.</w:t>
      </w:r>
      <w:r w:rsidR="006C7A98" w:rsidRPr="0038179C">
        <w:rPr>
          <w:rStyle w:val="FootnoteReference"/>
        </w:rPr>
        <w:footnoteReference w:id="2"/>
      </w:r>
    </w:p>
    <w:p w14:paraId="3A6B1306" w14:textId="539075E6" w:rsidR="00E04EA8" w:rsidRPr="0038179C" w:rsidRDefault="00890B5C" w:rsidP="00463370">
      <w:pPr>
        <w:pStyle w:val="Header1"/>
        <w:spacing w:line="360" w:lineRule="auto"/>
        <w:jc w:val="left"/>
      </w:pPr>
      <w:r w:rsidRPr="0038179C">
        <w:tab/>
      </w:r>
      <w:r w:rsidR="00D13923" w:rsidRPr="0038179C">
        <w:t>W</w:t>
      </w:r>
      <w:r w:rsidR="0030100A" w:rsidRPr="0038179C">
        <w:t xml:space="preserve">e conclude </w:t>
      </w:r>
      <w:r w:rsidR="000E6B2C" w:rsidRPr="0038179C">
        <w:t xml:space="preserve">the trial court applied </w:t>
      </w:r>
      <w:r w:rsidR="00877CF0" w:rsidRPr="0038179C">
        <w:t>correct</w:t>
      </w:r>
      <w:r w:rsidR="000E6B2C" w:rsidRPr="0038179C">
        <w:t xml:space="preserve"> legal standards</w:t>
      </w:r>
      <w:r w:rsidR="0030100A" w:rsidRPr="0038179C">
        <w:t xml:space="preserve"> in assessing lack of consent</w:t>
      </w:r>
      <w:r w:rsidR="003E6AA2" w:rsidRPr="0038179C">
        <w:t xml:space="preserve"> and </w:t>
      </w:r>
      <w:r w:rsidR="0030100A" w:rsidRPr="0038179C">
        <w:t>substantial evidence supports its</w:t>
      </w:r>
      <w:r w:rsidR="00E5540F" w:rsidRPr="0038179C">
        <w:t xml:space="preserve"> </w:t>
      </w:r>
      <w:r w:rsidR="0030100A" w:rsidRPr="0038179C">
        <w:t>finding</w:t>
      </w:r>
      <w:r w:rsidR="00B90FF4" w:rsidRPr="0038179C">
        <w:t xml:space="preserve"> that </w:t>
      </w:r>
      <w:r w:rsidR="00D13923" w:rsidRPr="0038179C">
        <w:t>Rojas</w:t>
      </w:r>
      <w:r w:rsidR="00B90FF4" w:rsidRPr="0038179C">
        <w:t xml:space="preserve"> impliedly consented to being recorded</w:t>
      </w:r>
      <w:r w:rsidR="003E6AA2" w:rsidRPr="0038179C">
        <w:t xml:space="preserve">.  We </w:t>
      </w:r>
      <w:r w:rsidR="0078395D" w:rsidRPr="0038179C">
        <w:t>are compelled</w:t>
      </w:r>
      <w:r w:rsidR="003E6AA2" w:rsidRPr="0038179C">
        <w:t xml:space="preserve"> </w:t>
      </w:r>
      <w:r w:rsidR="0078395D" w:rsidRPr="0038179C">
        <w:t xml:space="preserve">to </w:t>
      </w:r>
      <w:r w:rsidR="00B90FF4" w:rsidRPr="0038179C">
        <w:t>affirm</w:t>
      </w:r>
      <w:r w:rsidR="00D13923" w:rsidRPr="0038179C">
        <w:t xml:space="preserve"> the </w:t>
      </w:r>
      <w:r w:rsidR="00D13923" w:rsidRPr="0038179C">
        <w:lastRenderedPageBreak/>
        <w:t>judgment</w:t>
      </w:r>
      <w:r w:rsidR="0078395D" w:rsidRPr="0038179C">
        <w:t xml:space="preserve"> under these circumstances</w:t>
      </w:r>
      <w:r w:rsidR="00E5540F" w:rsidRPr="0038179C">
        <w:t>.</w:t>
      </w:r>
      <w:r w:rsidR="00B90FF4" w:rsidRPr="0038179C">
        <w:t xml:space="preserve">  </w:t>
      </w:r>
      <w:r w:rsidR="003E6AA2" w:rsidRPr="0038179C">
        <w:t>A</w:t>
      </w:r>
      <w:r w:rsidR="00877CF0" w:rsidRPr="0038179C">
        <w:t>lthough</w:t>
      </w:r>
      <w:r w:rsidR="002D34A2" w:rsidRPr="0038179C">
        <w:t xml:space="preserve"> we </w:t>
      </w:r>
      <w:r w:rsidR="00D13923" w:rsidRPr="0038179C">
        <w:t xml:space="preserve">determine </w:t>
      </w:r>
      <w:r w:rsidR="00877CF0" w:rsidRPr="0038179C">
        <w:t xml:space="preserve">the </w:t>
      </w:r>
      <w:r w:rsidR="002E7D21" w:rsidRPr="0038179C">
        <w:t>record</w:t>
      </w:r>
      <w:r w:rsidR="00877CF0" w:rsidRPr="0038179C">
        <w:t xml:space="preserve"> does not support the court’s finding that HSBC did not intend to record</w:t>
      </w:r>
      <w:r w:rsidR="003E6AA2" w:rsidRPr="0038179C">
        <w:t xml:space="preserve"> the calls between Rojas and her daughter</w:t>
      </w:r>
      <w:r w:rsidR="00877CF0" w:rsidRPr="0038179C">
        <w:t>,</w:t>
      </w:r>
      <w:r w:rsidR="002D34A2" w:rsidRPr="0038179C">
        <w:t xml:space="preserve"> </w:t>
      </w:r>
      <w:r w:rsidR="00B90FF4" w:rsidRPr="0038179C">
        <w:t xml:space="preserve">that </w:t>
      </w:r>
      <w:r w:rsidR="00D13923" w:rsidRPr="0038179C">
        <w:t>determination</w:t>
      </w:r>
      <w:r w:rsidR="002D34A2" w:rsidRPr="0038179C">
        <w:t xml:space="preserve"> </w:t>
      </w:r>
      <w:r w:rsidR="00B90FF4" w:rsidRPr="0038179C">
        <w:t xml:space="preserve">does </w:t>
      </w:r>
      <w:r w:rsidR="002D34A2" w:rsidRPr="0038179C">
        <w:t xml:space="preserve">not </w:t>
      </w:r>
      <w:r w:rsidR="002E7D21" w:rsidRPr="0038179C">
        <w:t>require</w:t>
      </w:r>
      <w:r w:rsidR="00E31ACB" w:rsidRPr="0038179C">
        <w:t xml:space="preserve"> reversa</w:t>
      </w:r>
      <w:r w:rsidR="0030100A" w:rsidRPr="0038179C">
        <w:t>l</w:t>
      </w:r>
      <w:r w:rsidR="00E31ACB" w:rsidRPr="0038179C">
        <w:t>.</w:t>
      </w:r>
      <w:r w:rsidR="002D34A2" w:rsidRPr="0038179C">
        <w:t xml:space="preserve">  What it </w:t>
      </w:r>
      <w:r w:rsidR="00B90FF4" w:rsidRPr="0038179C">
        <w:t>underscore</w:t>
      </w:r>
      <w:r w:rsidR="00B62D2C" w:rsidRPr="0038179C">
        <w:t>s, however,</w:t>
      </w:r>
      <w:r w:rsidR="002E7D21" w:rsidRPr="0038179C">
        <w:t xml:space="preserve"> </w:t>
      </w:r>
      <w:r w:rsidR="002D34A2" w:rsidRPr="0038179C">
        <w:t>is that</w:t>
      </w:r>
      <w:r w:rsidR="00463370" w:rsidRPr="0038179C">
        <w:t xml:space="preserve"> </w:t>
      </w:r>
      <w:r w:rsidR="00B62D2C" w:rsidRPr="0038179C">
        <w:t xml:space="preserve">a business’s </w:t>
      </w:r>
      <w:r w:rsidR="002D34A2" w:rsidRPr="0038179C">
        <w:t>full</w:t>
      </w:r>
      <w:r w:rsidR="002E7D21" w:rsidRPr="0038179C">
        <w:t>-</w:t>
      </w:r>
      <w:r w:rsidR="002D34A2" w:rsidRPr="0038179C">
        <w:t>time recordin</w:t>
      </w:r>
      <w:r w:rsidR="00463370" w:rsidRPr="0038179C">
        <w:t>g</w:t>
      </w:r>
      <w:r w:rsidR="00B62D2C" w:rsidRPr="0038179C">
        <w:t xml:space="preserve"> of calls with</w:t>
      </w:r>
      <w:r w:rsidR="00382E8F" w:rsidRPr="0038179C">
        <w:t>out</w:t>
      </w:r>
      <w:r w:rsidR="00B62D2C" w:rsidRPr="0038179C">
        <w:t xml:space="preserve"> </w:t>
      </w:r>
      <w:r w:rsidR="0078395D" w:rsidRPr="0038179C">
        <w:t>adequate notice</w:t>
      </w:r>
      <w:r w:rsidR="00463370" w:rsidRPr="0038179C">
        <w:t xml:space="preserve"> </w:t>
      </w:r>
      <w:r w:rsidR="002D34A2" w:rsidRPr="0038179C">
        <w:t>creates conditions</w:t>
      </w:r>
      <w:r w:rsidR="00B62D2C" w:rsidRPr="0038179C">
        <w:t xml:space="preserve"> ripe</w:t>
      </w:r>
      <w:r w:rsidR="002D34A2" w:rsidRPr="0038179C">
        <w:t xml:space="preserve"> for </w:t>
      </w:r>
      <w:r w:rsidR="0058764C" w:rsidRPr="0038179C">
        <w:t xml:space="preserve">potential </w:t>
      </w:r>
      <w:r w:rsidR="00113140" w:rsidRPr="0038179C">
        <w:t xml:space="preserve">liability under the </w:t>
      </w:r>
      <w:r w:rsidR="002D34A2" w:rsidRPr="0038179C">
        <w:t>Privacy Act</w:t>
      </w:r>
      <w:r w:rsidR="002E7D21" w:rsidRPr="0038179C">
        <w:t xml:space="preserve">, and </w:t>
      </w:r>
      <w:r w:rsidR="00B62D2C" w:rsidRPr="0038179C">
        <w:t xml:space="preserve">workplace </w:t>
      </w:r>
      <w:r w:rsidR="002E7D21" w:rsidRPr="0038179C">
        <w:t xml:space="preserve">policies </w:t>
      </w:r>
      <w:r w:rsidR="00B62D2C" w:rsidRPr="0038179C">
        <w:t xml:space="preserve">prohibiting personal calls </w:t>
      </w:r>
      <w:r w:rsidR="002E7D21" w:rsidRPr="0038179C">
        <w:t xml:space="preserve">may not mitigate </w:t>
      </w:r>
      <w:r w:rsidR="00B62D2C" w:rsidRPr="0038179C">
        <w:t xml:space="preserve">that </w:t>
      </w:r>
      <w:r w:rsidR="002E7D21" w:rsidRPr="0038179C">
        <w:t>risk</w:t>
      </w:r>
      <w:r w:rsidR="002D34A2" w:rsidRPr="0038179C">
        <w:t>.</w:t>
      </w:r>
      <w:r w:rsidR="002E7D21" w:rsidRPr="0038179C">
        <w:t xml:space="preserve">  </w:t>
      </w:r>
      <w:r w:rsidR="00343A9C" w:rsidRPr="0038179C">
        <w:t>On the costs order, w</w:t>
      </w:r>
      <w:r w:rsidR="000E6B2C" w:rsidRPr="0038179C">
        <w:t xml:space="preserve">e conclude the court properly </w:t>
      </w:r>
      <w:r w:rsidR="00695D5F" w:rsidRPr="0038179C">
        <w:t>determined the</w:t>
      </w:r>
      <w:r w:rsidR="000E6B2C" w:rsidRPr="0038179C">
        <w:t xml:space="preserve"> </w:t>
      </w:r>
      <w:bookmarkStart w:id="8" w:name="dabmci_9c30495850cf4e9a8e08d6653b0e276f"/>
      <w:r w:rsidR="00695D5F" w:rsidRPr="0038179C">
        <w:t>s</w:t>
      </w:r>
      <w:r w:rsidR="000E6B2C" w:rsidRPr="0038179C">
        <w:t>ection 998</w:t>
      </w:r>
      <w:bookmarkEnd w:id="8"/>
      <w:r w:rsidR="000E6B2C" w:rsidRPr="0038179C">
        <w:t xml:space="preserve"> </w:t>
      </w:r>
      <w:r w:rsidR="00695D5F" w:rsidRPr="0038179C">
        <w:t>o</w:t>
      </w:r>
      <w:r w:rsidR="000E6B2C" w:rsidRPr="0038179C">
        <w:t xml:space="preserve">ffer </w:t>
      </w:r>
      <w:r w:rsidR="00695D5F" w:rsidRPr="0038179C">
        <w:t>was</w:t>
      </w:r>
      <w:r w:rsidR="000E6B2C" w:rsidRPr="0038179C">
        <w:t xml:space="preserve"> </w:t>
      </w:r>
      <w:proofErr w:type="gramStart"/>
      <w:r w:rsidR="000E6B2C" w:rsidRPr="0038179C">
        <w:t>valid, and</w:t>
      </w:r>
      <w:proofErr w:type="gramEnd"/>
      <w:r w:rsidR="000E6B2C" w:rsidRPr="0038179C">
        <w:t xml:space="preserve"> did not abuse its discretion in awarding costs.</w:t>
      </w:r>
      <w:r w:rsidR="00F4400B" w:rsidRPr="0038179C">
        <w:t xml:space="preserve">  </w:t>
      </w:r>
      <w:r w:rsidR="000E6B2C" w:rsidRPr="0038179C">
        <w:t xml:space="preserve">The judgment and postjudgment order are affirmed.  </w:t>
      </w:r>
    </w:p>
    <w:p w14:paraId="5759FE45" w14:textId="5CB45EB9" w:rsidR="00050E5B" w:rsidRPr="0038179C" w:rsidRDefault="00096537" w:rsidP="002E7D21">
      <w:pPr>
        <w:keepNext/>
        <w:widowControl w:val="0"/>
        <w:spacing w:line="360" w:lineRule="auto"/>
        <w:jc w:val="center"/>
        <w:outlineLvl w:val="0"/>
        <w:rPr>
          <w:szCs w:val="26"/>
        </w:rPr>
      </w:pPr>
      <w:r w:rsidRPr="0038179C">
        <w:rPr>
          <w:szCs w:val="26"/>
        </w:rPr>
        <w:t>FACTUAL AND PROCEDURAL BACKGROUND</w:t>
      </w:r>
    </w:p>
    <w:p w14:paraId="0CC39D67" w14:textId="38634BB8" w:rsidR="00F06980" w:rsidRPr="0038179C" w:rsidRDefault="00F06980" w:rsidP="00882F89">
      <w:pPr>
        <w:pStyle w:val="Heading1"/>
        <w:spacing w:line="360" w:lineRule="auto"/>
        <w:rPr>
          <w:rStyle w:val="Heading1Char"/>
          <w:i/>
          <w:iCs/>
        </w:rPr>
      </w:pPr>
      <w:r w:rsidRPr="0038179C">
        <w:t>I.</w:t>
      </w:r>
      <w:r w:rsidRPr="0038179C">
        <w:tab/>
      </w:r>
      <w:r w:rsidRPr="0038179C">
        <w:rPr>
          <w:rStyle w:val="Heading1Char"/>
          <w:i/>
          <w:iCs/>
        </w:rPr>
        <w:t>Underlying Events</w:t>
      </w:r>
      <w:r w:rsidRPr="0038179C">
        <w:rPr>
          <w:rStyle w:val="FootnoteReference"/>
          <w:szCs w:val="26"/>
        </w:rPr>
        <w:footnoteReference w:id="3"/>
      </w:r>
    </w:p>
    <w:p w14:paraId="545CA084" w14:textId="07C72DE9" w:rsidR="00764597" w:rsidRPr="0038179C" w:rsidRDefault="00764597" w:rsidP="007E6E3A">
      <w:pPr>
        <w:pStyle w:val="Heading2"/>
        <w:spacing w:before="60" w:after="60"/>
      </w:pPr>
      <w:r w:rsidRPr="0038179C">
        <w:t>A.</w:t>
      </w:r>
      <w:r w:rsidRPr="0038179C">
        <w:tab/>
      </w:r>
      <w:r w:rsidRPr="0038179C">
        <w:rPr>
          <w:rStyle w:val="Heading3Char"/>
        </w:rPr>
        <w:t>HSBC’s Salinas Facility</w:t>
      </w:r>
    </w:p>
    <w:p w14:paraId="0F312A5A" w14:textId="0B395FFA" w:rsidR="00552079" w:rsidRPr="0038179C" w:rsidRDefault="00A50BFD" w:rsidP="00882F89">
      <w:pPr>
        <w:spacing w:line="360" w:lineRule="auto"/>
        <w:rPr>
          <w:szCs w:val="26"/>
        </w:rPr>
      </w:pPr>
      <w:r w:rsidRPr="0038179C">
        <w:rPr>
          <w:szCs w:val="26"/>
        </w:rPr>
        <w:tab/>
      </w:r>
      <w:r w:rsidR="00764597" w:rsidRPr="0038179C">
        <w:rPr>
          <w:szCs w:val="26"/>
        </w:rPr>
        <w:t xml:space="preserve">During the relevant </w:t>
      </w:r>
      <w:proofErr w:type="gramStart"/>
      <w:r w:rsidR="00764597" w:rsidRPr="0038179C">
        <w:rPr>
          <w:szCs w:val="26"/>
        </w:rPr>
        <w:t>time period</w:t>
      </w:r>
      <w:proofErr w:type="gramEnd"/>
      <w:r w:rsidR="00764597" w:rsidRPr="0038179C">
        <w:rPr>
          <w:szCs w:val="26"/>
        </w:rPr>
        <w:t xml:space="preserve"> (</w:t>
      </w:r>
      <w:r w:rsidR="00580495" w:rsidRPr="0038179C">
        <w:rPr>
          <w:szCs w:val="26"/>
        </w:rPr>
        <w:t xml:space="preserve">March </w:t>
      </w:r>
      <w:r w:rsidR="00764597" w:rsidRPr="0038179C">
        <w:rPr>
          <w:szCs w:val="26"/>
        </w:rPr>
        <w:t xml:space="preserve">2009 to </w:t>
      </w:r>
      <w:r w:rsidR="00580495" w:rsidRPr="0038179C">
        <w:rPr>
          <w:szCs w:val="26"/>
        </w:rPr>
        <w:t xml:space="preserve">May </w:t>
      </w:r>
      <w:r w:rsidR="00764597" w:rsidRPr="0038179C">
        <w:rPr>
          <w:szCs w:val="26"/>
        </w:rPr>
        <w:t xml:space="preserve">2012), </w:t>
      </w:r>
      <w:r w:rsidR="00581EF5" w:rsidRPr="0038179C">
        <w:t xml:space="preserve">HSBC’s business included issuing credit cards. </w:t>
      </w:r>
      <w:r w:rsidR="00581EF5" w:rsidRPr="0038179C">
        <w:rPr>
          <w:szCs w:val="26"/>
        </w:rPr>
        <w:t xml:space="preserve"> </w:t>
      </w:r>
      <w:r w:rsidRPr="0038179C">
        <w:rPr>
          <w:szCs w:val="26"/>
        </w:rPr>
        <w:t>HSBC Tech Services provided telephone recording services to HSBC Card Services</w:t>
      </w:r>
      <w:r w:rsidRPr="0038179C">
        <w:t xml:space="preserve">. </w:t>
      </w:r>
      <w:r w:rsidRPr="0038179C">
        <w:rPr>
          <w:szCs w:val="26"/>
        </w:rPr>
        <w:t xml:space="preserve"> </w:t>
      </w:r>
    </w:p>
    <w:p w14:paraId="707D38EF" w14:textId="24A0B62E" w:rsidR="00D43D86" w:rsidRPr="0038179C" w:rsidRDefault="00552079" w:rsidP="00552079">
      <w:pPr>
        <w:spacing w:line="360" w:lineRule="auto"/>
        <w:ind w:firstLine="720"/>
        <w:rPr>
          <w:szCs w:val="26"/>
        </w:rPr>
      </w:pPr>
      <w:r w:rsidRPr="0038179C">
        <w:rPr>
          <w:szCs w:val="26"/>
        </w:rPr>
        <w:t xml:space="preserve">Rojas’s daughter, Alejandra, worked at </w:t>
      </w:r>
      <w:r w:rsidR="0030100A" w:rsidRPr="0038179C">
        <w:rPr>
          <w:szCs w:val="26"/>
        </w:rPr>
        <w:t xml:space="preserve">the </w:t>
      </w:r>
      <w:r w:rsidRPr="0038179C">
        <w:t>HSBC Card Services call center in Salinas, California</w:t>
      </w:r>
      <w:r w:rsidR="00F143BB" w:rsidRPr="0038179C">
        <w:t xml:space="preserve"> (“the Salinas facility”)</w:t>
      </w:r>
      <w:r w:rsidRPr="0038179C">
        <w:rPr>
          <w:szCs w:val="26"/>
        </w:rPr>
        <w:t xml:space="preserve">.  </w:t>
      </w:r>
      <w:r w:rsidR="00A50BFD" w:rsidRPr="0038179C">
        <w:t xml:space="preserve">At </w:t>
      </w:r>
      <w:r w:rsidRPr="0038179C">
        <w:t xml:space="preserve">this facility, </w:t>
      </w:r>
      <w:r w:rsidR="00A50BFD" w:rsidRPr="0038179C">
        <w:t xml:space="preserve">all calls to </w:t>
      </w:r>
      <w:r w:rsidR="009B469E" w:rsidRPr="0038179C">
        <w:t>and</w:t>
      </w:r>
      <w:r w:rsidR="00A50BFD" w:rsidRPr="0038179C">
        <w:t xml:space="preserve"> from </w:t>
      </w:r>
      <w:r w:rsidR="00F143BB" w:rsidRPr="0038179C">
        <w:t>call center</w:t>
      </w:r>
      <w:r w:rsidR="00A50BFD" w:rsidRPr="0038179C">
        <w:t xml:space="preserve"> agent’s desk phones</w:t>
      </w:r>
      <w:r w:rsidR="00AD6E43" w:rsidRPr="0038179C">
        <w:t xml:space="preserve"> (i.e., customer-facing phones)</w:t>
      </w:r>
      <w:r w:rsidR="00A50BFD" w:rsidRPr="0038179C">
        <w:t xml:space="preserve"> were recorded. </w:t>
      </w:r>
      <w:r w:rsidR="009B469E" w:rsidRPr="0038179C">
        <w:t xml:space="preserve"> </w:t>
      </w:r>
      <w:r w:rsidR="00212D65" w:rsidRPr="0038179C">
        <w:t xml:space="preserve">There was no way for agents to disable recording on their desk telephones. </w:t>
      </w:r>
      <w:r w:rsidR="009B0ED3" w:rsidRPr="0038179C">
        <w:t xml:space="preserve"> </w:t>
      </w:r>
      <w:r w:rsidR="00E365E7" w:rsidRPr="0038179C">
        <w:t>There</w:t>
      </w:r>
      <w:r w:rsidR="00E365E7" w:rsidRPr="0038179C">
        <w:rPr>
          <w:szCs w:val="26"/>
        </w:rPr>
        <w:t xml:space="preserve"> was an automated disclosure for inbound calls, which stated </w:t>
      </w:r>
      <w:bookmarkStart w:id="9" w:name="dabmq_0"/>
      <w:r w:rsidR="00E365E7" w:rsidRPr="0038179C">
        <w:rPr>
          <w:szCs w:val="26"/>
        </w:rPr>
        <w:t>“This call is being recorded for quality purposes,”</w:t>
      </w:r>
      <w:bookmarkEnd w:id="9"/>
      <w:r w:rsidR="00E365E7" w:rsidRPr="0038179C">
        <w:rPr>
          <w:szCs w:val="26"/>
        </w:rPr>
        <w:t xml:space="preserve"> but no automatic outbound recording disclosure. </w:t>
      </w:r>
    </w:p>
    <w:p w14:paraId="5E54BEA8" w14:textId="33F5E96F" w:rsidR="00552079" w:rsidRPr="0038179C" w:rsidRDefault="00552079" w:rsidP="00552079">
      <w:pPr>
        <w:spacing w:line="360" w:lineRule="auto"/>
        <w:ind w:firstLine="720"/>
      </w:pPr>
      <w:r w:rsidRPr="0038179C">
        <w:rPr>
          <w:szCs w:val="26"/>
        </w:rPr>
        <w:lastRenderedPageBreak/>
        <w:t>James Ivey had managerial responsibilities for the fraud and dispute</w:t>
      </w:r>
      <w:r w:rsidR="007A1CA1" w:rsidRPr="0038179C">
        <w:rPr>
          <w:szCs w:val="26"/>
        </w:rPr>
        <w:t>s</w:t>
      </w:r>
      <w:r w:rsidR="001117D0" w:rsidRPr="0038179C">
        <w:rPr>
          <w:szCs w:val="26"/>
        </w:rPr>
        <w:t xml:space="preserve"> </w:t>
      </w:r>
      <w:r w:rsidRPr="0038179C">
        <w:rPr>
          <w:szCs w:val="26"/>
        </w:rPr>
        <w:t>department</w:t>
      </w:r>
      <w:r w:rsidR="00684889" w:rsidRPr="0038179C">
        <w:rPr>
          <w:szCs w:val="26"/>
        </w:rPr>
        <w:t>s</w:t>
      </w:r>
      <w:r w:rsidRPr="0038179C">
        <w:rPr>
          <w:szCs w:val="26"/>
        </w:rPr>
        <w:t xml:space="preserve"> in </w:t>
      </w:r>
      <w:r w:rsidR="00F143BB" w:rsidRPr="0038179C">
        <w:rPr>
          <w:szCs w:val="26"/>
        </w:rPr>
        <w:t xml:space="preserve">the </w:t>
      </w:r>
      <w:r w:rsidRPr="0038179C">
        <w:rPr>
          <w:szCs w:val="26"/>
        </w:rPr>
        <w:t>Salinas</w:t>
      </w:r>
      <w:r w:rsidR="00F143BB" w:rsidRPr="0038179C">
        <w:rPr>
          <w:szCs w:val="26"/>
        </w:rPr>
        <w:t xml:space="preserve"> facility</w:t>
      </w:r>
      <w:r w:rsidRPr="0038179C">
        <w:rPr>
          <w:szCs w:val="26"/>
        </w:rPr>
        <w:t xml:space="preserve">.  He oversaw department managers, who oversaw unit managers, who supervised the agents.  </w:t>
      </w:r>
      <w:r w:rsidRPr="0038179C">
        <w:t>Alma Escamilla was a unit manager</w:t>
      </w:r>
      <w:r w:rsidR="00DB624D" w:rsidRPr="0038179C">
        <w:t>,</w:t>
      </w:r>
      <w:r w:rsidRPr="0038179C">
        <w:t xml:space="preserve"> and then department manager in dispute processing.  Leticia Ramirez was a senior unit manager in dispute processing, and then a quality manager.  </w:t>
      </w:r>
    </w:p>
    <w:p w14:paraId="1AF0F075" w14:textId="6327C20D" w:rsidR="00552079" w:rsidRPr="0038179C" w:rsidRDefault="00552079" w:rsidP="00C524E8">
      <w:pPr>
        <w:pStyle w:val="Heading2"/>
        <w:spacing w:before="60" w:after="60"/>
      </w:pPr>
      <w:r w:rsidRPr="0038179C">
        <w:t>B.</w:t>
      </w:r>
      <w:r w:rsidRPr="0038179C">
        <w:tab/>
      </w:r>
      <w:r w:rsidR="00F143BB" w:rsidRPr="0038179C">
        <w:rPr>
          <w:i/>
          <w:iCs/>
        </w:rPr>
        <w:t xml:space="preserve">HSBC Workplace </w:t>
      </w:r>
      <w:r w:rsidRPr="0038179C">
        <w:rPr>
          <w:i/>
          <w:iCs/>
        </w:rPr>
        <w:t xml:space="preserve">Policies Applicable </w:t>
      </w:r>
      <w:proofErr w:type="gramStart"/>
      <w:r w:rsidRPr="0038179C">
        <w:rPr>
          <w:i/>
          <w:iCs/>
        </w:rPr>
        <w:t>To</w:t>
      </w:r>
      <w:proofErr w:type="gramEnd"/>
      <w:r w:rsidRPr="0038179C">
        <w:rPr>
          <w:i/>
          <w:iCs/>
        </w:rPr>
        <w:t xml:space="preserve"> </w:t>
      </w:r>
      <w:r w:rsidR="00F143BB" w:rsidRPr="0038179C">
        <w:rPr>
          <w:i/>
          <w:iCs/>
        </w:rPr>
        <w:t xml:space="preserve">The </w:t>
      </w:r>
      <w:r w:rsidRPr="0038179C">
        <w:rPr>
          <w:i/>
          <w:iCs/>
        </w:rPr>
        <w:t>Salinas Facility</w:t>
      </w:r>
    </w:p>
    <w:p w14:paraId="3D323472" w14:textId="07D2CF1A" w:rsidR="002D0B14" w:rsidRPr="0038179C" w:rsidRDefault="009B0ED3" w:rsidP="0062039C">
      <w:pPr>
        <w:widowControl w:val="0"/>
        <w:spacing w:line="360" w:lineRule="auto"/>
      </w:pPr>
      <w:r w:rsidRPr="0038179C">
        <w:tab/>
        <w:t xml:space="preserve">The Salinas facility was subject to two sets of written policies:  </w:t>
      </w:r>
      <w:r w:rsidR="00872D3E" w:rsidRPr="0038179C">
        <w:t>“</w:t>
      </w:r>
      <w:r w:rsidRPr="0038179C">
        <w:t>Inside HR,</w:t>
      </w:r>
      <w:r w:rsidR="00872D3E" w:rsidRPr="0038179C">
        <w:t>”</w:t>
      </w:r>
      <w:r w:rsidRPr="0038179C">
        <w:t xml:space="preserve"> and “Scout.”  Inside HR housed HSBC’s global</w:t>
      </w:r>
      <w:r w:rsidR="0085484A" w:rsidRPr="0038179C">
        <w:t>, companywide</w:t>
      </w:r>
      <w:r w:rsidRPr="0038179C">
        <w:t xml:space="preserve"> human resources policies.  These included an “Electronic Monitoring and Device Use” policy, which </w:t>
      </w:r>
      <w:r w:rsidR="0062039C" w:rsidRPr="0038179C">
        <w:t>stated</w:t>
      </w:r>
      <w:r w:rsidR="0085253F" w:rsidRPr="0038179C">
        <w:t xml:space="preserve"> </w:t>
      </w:r>
      <w:r w:rsidR="00EC38A6" w:rsidRPr="0038179C">
        <w:t xml:space="preserve">HBSC </w:t>
      </w:r>
      <w:bookmarkStart w:id="10" w:name="dabmq_1"/>
      <w:r w:rsidR="00EC38A6" w:rsidRPr="0038179C">
        <w:t>“periodically monitors and/or records certain employee telephone conversations.”</w:t>
      </w:r>
      <w:bookmarkEnd w:id="10"/>
      <w:r w:rsidR="00EC38A6" w:rsidRPr="0038179C">
        <w:t xml:space="preserve">  The policy </w:t>
      </w:r>
      <w:r w:rsidR="0062039C" w:rsidRPr="0038179C">
        <w:t>also stated</w:t>
      </w:r>
      <w:r w:rsidR="00EC38A6" w:rsidRPr="0038179C">
        <w:t xml:space="preserve"> </w:t>
      </w:r>
      <w:r w:rsidRPr="0038179C">
        <w:t>employees “may use” telephones “for occasional non-work purposes</w:t>
      </w:r>
      <w:r w:rsidR="0062039C" w:rsidRPr="0038179C">
        <w:t>,” and explained,</w:t>
      </w:r>
      <w:r w:rsidR="002D0B14" w:rsidRPr="0038179C">
        <w:t xml:space="preserve"> </w:t>
      </w:r>
      <w:bookmarkStart w:id="11" w:name="dabmq_2"/>
      <w:r w:rsidR="002D0B14" w:rsidRPr="0038179C">
        <w:t>“</w:t>
      </w:r>
      <w:r w:rsidR="0062039C" w:rsidRPr="0038179C">
        <w:t>[P]</w:t>
      </w:r>
      <w:r w:rsidR="002D0B14" w:rsidRPr="0038179C">
        <w:t>ersonal calls may be recorded, but should never be monitored; if you identify a personal call in the course of monitoring an employee, the monitoring should be discontinued immediately.”</w:t>
      </w:r>
      <w:bookmarkEnd w:id="11"/>
      <w:r w:rsidR="002D0B14" w:rsidRPr="0038179C">
        <w:t xml:space="preserve"> </w:t>
      </w:r>
    </w:p>
    <w:p w14:paraId="1F09DFFA" w14:textId="1E333903" w:rsidR="00F143BB" w:rsidRPr="0038179C" w:rsidRDefault="00E365E7" w:rsidP="00882F89">
      <w:pPr>
        <w:widowControl w:val="0"/>
        <w:spacing w:line="360" w:lineRule="auto"/>
      </w:pPr>
      <w:r w:rsidRPr="0038179C">
        <w:tab/>
      </w:r>
      <w:r w:rsidR="009B0ED3" w:rsidRPr="0038179C">
        <w:t xml:space="preserve">Scout was a </w:t>
      </w:r>
      <w:bookmarkStart w:id="12" w:name="dabmq_3"/>
      <w:r w:rsidR="009B0ED3" w:rsidRPr="0038179C">
        <w:t>“database of policies and procedures</w:t>
      </w:r>
      <w:r w:rsidR="0062039C" w:rsidRPr="0038179C">
        <w:t xml:space="preserve"> </w:t>
      </w:r>
      <w:r w:rsidR="009B0ED3" w:rsidRPr="0038179C">
        <w:t xml:space="preserve">for </w:t>
      </w:r>
      <w:r w:rsidR="0062039C" w:rsidRPr="0038179C">
        <w:t xml:space="preserve">all </w:t>
      </w:r>
      <w:r w:rsidR="009B0ED3" w:rsidRPr="0038179C">
        <w:t>operational units,</w:t>
      </w:r>
      <w:r w:rsidR="0062039C" w:rsidRPr="0038179C">
        <w:t>”</w:t>
      </w:r>
      <w:bookmarkEnd w:id="12"/>
      <w:r w:rsidR="009B0ED3" w:rsidRPr="0038179C">
        <w:t xml:space="preserve"> and had </w:t>
      </w:r>
      <w:bookmarkStart w:id="13" w:name="dabmq_4"/>
      <w:r w:rsidR="009B0ED3" w:rsidRPr="0038179C">
        <w:t xml:space="preserve">“more relevant information . . . specific to </w:t>
      </w:r>
      <w:r w:rsidR="00581EF5" w:rsidRPr="0038179C">
        <w:t>. . .</w:t>
      </w:r>
      <w:r w:rsidR="009B0ED3" w:rsidRPr="0038179C">
        <w:t xml:space="preserve"> operational areas . . . within the call centers.”</w:t>
      </w:r>
      <w:bookmarkEnd w:id="13"/>
      <w:r w:rsidR="009B0ED3" w:rsidRPr="0038179C">
        <w:t xml:space="preserve">  </w:t>
      </w:r>
      <w:r w:rsidR="00872D3E" w:rsidRPr="0038179C">
        <w:t>These policies</w:t>
      </w:r>
      <w:r w:rsidRPr="0038179C">
        <w:t xml:space="preserve"> </w:t>
      </w:r>
      <w:r w:rsidR="009B0ED3" w:rsidRPr="0038179C">
        <w:t>included</w:t>
      </w:r>
      <w:r w:rsidR="00581EF5" w:rsidRPr="0038179C">
        <w:t xml:space="preserve"> a </w:t>
      </w:r>
      <w:r w:rsidR="00A54873" w:rsidRPr="0038179C">
        <w:t xml:space="preserve">“Call Avoidance” policy, which barred </w:t>
      </w:r>
      <w:r w:rsidR="001B6035" w:rsidRPr="0038179C">
        <w:t xml:space="preserve">employees </w:t>
      </w:r>
      <w:r w:rsidR="00DB624D" w:rsidRPr="0038179C">
        <w:t xml:space="preserve">from </w:t>
      </w:r>
      <w:r w:rsidR="00A54873" w:rsidRPr="0038179C">
        <w:t xml:space="preserve">making outbound calls to avoid taking inbound ones; </w:t>
      </w:r>
      <w:r w:rsidR="00DD4552" w:rsidRPr="0038179C">
        <w:t xml:space="preserve">a “Recording Disclosure to Third Parties” policy, which applied when a non-cardmember was on the line; and </w:t>
      </w:r>
      <w:r w:rsidR="00A54873" w:rsidRPr="0038179C">
        <w:t xml:space="preserve">a </w:t>
      </w:r>
      <w:r w:rsidR="00581EF5" w:rsidRPr="0038179C">
        <w:t xml:space="preserve">“Call Cardmember Procedure,” </w:t>
      </w:r>
      <w:r w:rsidR="00DD4552" w:rsidRPr="0038179C">
        <w:t>for</w:t>
      </w:r>
      <w:r w:rsidR="0085253F" w:rsidRPr="0038179C">
        <w:t xml:space="preserve"> </w:t>
      </w:r>
      <w:r w:rsidR="00DD4552" w:rsidRPr="0038179C">
        <w:t>calls</w:t>
      </w:r>
      <w:r w:rsidR="0085253F" w:rsidRPr="0038179C">
        <w:t xml:space="preserve"> to resolve disputes</w:t>
      </w:r>
      <w:r w:rsidR="00D926FF" w:rsidRPr="0038179C">
        <w:t xml:space="preserve">, </w:t>
      </w:r>
      <w:r w:rsidR="00DD4552" w:rsidRPr="0038179C">
        <w:t xml:space="preserve">which said to </w:t>
      </w:r>
      <w:bookmarkStart w:id="14" w:name="dabmq_5"/>
      <w:r w:rsidR="00DD4552" w:rsidRPr="0038179C">
        <w:t xml:space="preserve">“[u]se the </w:t>
      </w:r>
      <w:r w:rsidR="00872D3E" w:rsidRPr="0038179C">
        <w:t>following</w:t>
      </w:r>
      <w:r w:rsidR="00DD4552" w:rsidRPr="0038179C">
        <w:t xml:space="preserve"> suggested dialogue . . . [¶]</w:t>
      </w:r>
      <w:r w:rsidR="00872D3E" w:rsidRPr="0038179C">
        <w:t xml:space="preserve"> [T]</w:t>
      </w:r>
      <w:r w:rsidR="00DD4552" w:rsidRPr="0038179C">
        <w:t>his call may be recorded and monitored</w:t>
      </w:r>
      <w:r w:rsidR="00872D3E" w:rsidRPr="0038179C">
        <w:t xml:space="preserve"> for quality assurance purposes</w:t>
      </w:r>
      <w:r w:rsidR="00DD4552" w:rsidRPr="0038179C">
        <w:t>”</w:t>
      </w:r>
      <w:bookmarkEnd w:id="14"/>
      <w:r w:rsidR="00DD4552" w:rsidRPr="0038179C">
        <w:t xml:space="preserve"> </w:t>
      </w:r>
      <w:r w:rsidR="0085253F" w:rsidRPr="0038179C">
        <w:t xml:space="preserve">and required </w:t>
      </w:r>
      <w:r w:rsidR="00DD4552" w:rsidRPr="0038179C">
        <w:t>a</w:t>
      </w:r>
      <w:r w:rsidR="0062039C" w:rsidRPr="0038179C">
        <w:t xml:space="preserve"> recording</w:t>
      </w:r>
      <w:r w:rsidR="0085253F" w:rsidRPr="0038179C">
        <w:t xml:space="preserve"> disclosure to third parties</w:t>
      </w:r>
      <w:r w:rsidR="00581EF5" w:rsidRPr="0038179C">
        <w:t xml:space="preserve">. </w:t>
      </w:r>
      <w:r w:rsidR="00764597" w:rsidRPr="0038179C">
        <w:t xml:space="preserve"> </w:t>
      </w:r>
    </w:p>
    <w:p w14:paraId="6475C94B" w14:textId="77777777" w:rsidR="006B101E" w:rsidRDefault="006B101E" w:rsidP="00D54098">
      <w:pPr>
        <w:widowControl w:val="0"/>
        <w:spacing w:line="360" w:lineRule="auto"/>
        <w:ind w:firstLine="720"/>
      </w:pPr>
    </w:p>
    <w:p w14:paraId="37E9BE2E" w14:textId="568FC497" w:rsidR="00CC42DE" w:rsidRPr="0038179C" w:rsidRDefault="00D54098" w:rsidP="00D54098">
      <w:pPr>
        <w:widowControl w:val="0"/>
        <w:spacing w:line="360" w:lineRule="auto"/>
        <w:ind w:firstLine="720"/>
      </w:pPr>
      <w:r w:rsidRPr="0038179C">
        <w:lastRenderedPageBreak/>
        <w:t xml:space="preserve">As we discuss </w:t>
      </w:r>
      <w:r w:rsidRPr="0038179C">
        <w:rPr>
          <w:i/>
          <w:iCs/>
        </w:rPr>
        <w:t>post</w:t>
      </w:r>
      <w:r w:rsidRPr="0038179C">
        <w:t xml:space="preserve">, </w:t>
      </w:r>
      <w:r w:rsidR="0085253F" w:rsidRPr="0038179C">
        <w:t>HSBC</w:t>
      </w:r>
      <w:r w:rsidRPr="0038179C">
        <w:t xml:space="preserve"> </w:t>
      </w:r>
      <w:r w:rsidR="00E33064" w:rsidRPr="0038179C">
        <w:t>also had a practice of sending</w:t>
      </w:r>
      <w:r w:rsidRPr="0038179C">
        <w:t xml:space="preserve"> a</w:t>
      </w:r>
      <w:r w:rsidR="0085253F" w:rsidRPr="0038179C">
        <w:t xml:space="preserve"> cardmember agreement</w:t>
      </w:r>
      <w:r w:rsidR="00872D3E" w:rsidRPr="0038179C">
        <w:t xml:space="preserve"> </w:t>
      </w:r>
      <w:r w:rsidRPr="0038179C">
        <w:t xml:space="preserve">to all cardholders, which </w:t>
      </w:r>
      <w:r w:rsidR="0085253F" w:rsidRPr="0038179C">
        <w:t xml:space="preserve">contained </w:t>
      </w:r>
      <w:r w:rsidR="00D44E91" w:rsidRPr="0038179C">
        <w:t xml:space="preserve">a </w:t>
      </w:r>
      <w:r w:rsidR="0085253F" w:rsidRPr="0038179C">
        <w:t xml:space="preserve">recording disclosure. </w:t>
      </w:r>
    </w:p>
    <w:p w14:paraId="2B93B6FE" w14:textId="0B826BAF" w:rsidR="00764597" w:rsidRPr="0038179C" w:rsidRDefault="00AD7B1B" w:rsidP="007E6E3A">
      <w:pPr>
        <w:pStyle w:val="Heading2"/>
        <w:spacing w:before="120" w:after="60"/>
      </w:pPr>
      <w:r w:rsidRPr="0038179C">
        <w:t>C</w:t>
      </w:r>
      <w:r w:rsidR="00764597" w:rsidRPr="0038179C">
        <w:t>.</w:t>
      </w:r>
      <w:r w:rsidR="00764597" w:rsidRPr="0038179C">
        <w:tab/>
      </w:r>
      <w:r w:rsidR="00764597" w:rsidRPr="0038179C">
        <w:rPr>
          <w:i/>
          <w:iCs/>
        </w:rPr>
        <w:t xml:space="preserve">HSBC Records Calls </w:t>
      </w:r>
      <w:proofErr w:type="gramStart"/>
      <w:r w:rsidR="00764597" w:rsidRPr="0038179C">
        <w:rPr>
          <w:i/>
          <w:iCs/>
        </w:rPr>
        <w:t>To</w:t>
      </w:r>
      <w:proofErr w:type="gramEnd"/>
      <w:r w:rsidR="00764597" w:rsidRPr="0038179C">
        <w:rPr>
          <w:i/>
          <w:iCs/>
        </w:rPr>
        <w:t xml:space="preserve"> Rojas</w:t>
      </w:r>
    </w:p>
    <w:p w14:paraId="7042CBDA" w14:textId="3A90C21D" w:rsidR="00D957F7" w:rsidRPr="0038179C" w:rsidRDefault="00880685" w:rsidP="00882F89">
      <w:pPr>
        <w:spacing w:line="360" w:lineRule="auto"/>
        <w:rPr>
          <w:szCs w:val="26"/>
        </w:rPr>
      </w:pPr>
      <w:r w:rsidRPr="0038179C">
        <w:rPr>
          <w:szCs w:val="26"/>
        </w:rPr>
        <w:tab/>
      </w:r>
      <w:r w:rsidR="00A11F15" w:rsidRPr="0038179C">
        <w:t>HSBC recorded</w:t>
      </w:r>
      <w:r w:rsidR="00752F7C" w:rsidRPr="0038179C">
        <w:t xml:space="preserve"> over </w:t>
      </w:r>
      <w:proofErr w:type="gramStart"/>
      <w:r w:rsidR="00752F7C" w:rsidRPr="0038179C">
        <w:t>300</w:t>
      </w:r>
      <w:proofErr w:type="gramEnd"/>
      <w:r w:rsidR="00752F7C" w:rsidRPr="0038179C">
        <w:t xml:space="preserve"> calls from Alejandra to Rojas</w:t>
      </w:r>
      <w:r w:rsidR="00A11F15" w:rsidRPr="0038179C">
        <w:t>.</w:t>
      </w:r>
      <w:r w:rsidR="00A11F15" w:rsidRPr="0038179C">
        <w:rPr>
          <w:rStyle w:val="FootnoteReference"/>
        </w:rPr>
        <w:footnoteReference w:id="4"/>
      </w:r>
      <w:r w:rsidR="00A11F15" w:rsidRPr="0038179C">
        <w:t xml:space="preserve">  </w:t>
      </w:r>
      <w:r w:rsidR="00001D09" w:rsidRPr="0038179C">
        <w:t xml:space="preserve">Some calls were </w:t>
      </w:r>
      <w:r w:rsidR="00F143BB" w:rsidRPr="0038179C">
        <w:t xml:space="preserve">made </w:t>
      </w:r>
      <w:r w:rsidR="00001D09" w:rsidRPr="0038179C">
        <w:t>to Rojas’s cell phone; others</w:t>
      </w:r>
      <w:r w:rsidR="00752F7C" w:rsidRPr="0038179C">
        <w:t xml:space="preserve"> were</w:t>
      </w:r>
      <w:r w:rsidR="00001D09" w:rsidRPr="0038179C">
        <w:t xml:space="preserve"> </w:t>
      </w:r>
      <w:r w:rsidR="00F143BB" w:rsidRPr="0038179C">
        <w:t xml:space="preserve">made </w:t>
      </w:r>
      <w:r w:rsidR="00001D09" w:rsidRPr="0038179C">
        <w:t>to her home telephone</w:t>
      </w:r>
      <w:r w:rsidR="00154E4C" w:rsidRPr="0038179C">
        <w:t xml:space="preserve"> line</w:t>
      </w:r>
      <w:r w:rsidR="00001D09" w:rsidRPr="0038179C">
        <w:t xml:space="preserve">, which had both corded and cordless handsets; and still others </w:t>
      </w:r>
      <w:r w:rsidR="00752F7C" w:rsidRPr="0038179C">
        <w:t xml:space="preserve">were </w:t>
      </w:r>
      <w:r w:rsidR="00001D09" w:rsidRPr="0038179C">
        <w:t xml:space="preserve">to </w:t>
      </w:r>
      <w:r w:rsidR="00154E4C" w:rsidRPr="0038179C">
        <w:t>her</w:t>
      </w:r>
      <w:r w:rsidR="00001D09" w:rsidRPr="0038179C">
        <w:t xml:space="preserve"> work telephone at J.C. Penney.  </w:t>
      </w:r>
    </w:p>
    <w:p w14:paraId="7D8B6495" w14:textId="6123CBC3" w:rsidR="004343CE" w:rsidRPr="0038179C" w:rsidRDefault="00E96921" w:rsidP="00C524E8">
      <w:pPr>
        <w:pStyle w:val="Heading1"/>
        <w:spacing w:before="60" w:line="360" w:lineRule="auto"/>
      </w:pPr>
      <w:r w:rsidRPr="0038179C">
        <w:t>II.</w:t>
      </w:r>
      <w:r w:rsidRPr="0038179C">
        <w:tab/>
      </w:r>
      <w:r w:rsidR="002F79F4" w:rsidRPr="0038179C">
        <w:rPr>
          <w:i/>
          <w:iCs/>
        </w:rPr>
        <w:t>Litigation</w:t>
      </w:r>
      <w:r w:rsidR="002F79F4" w:rsidRPr="0038179C">
        <w:t xml:space="preserve"> </w:t>
      </w:r>
    </w:p>
    <w:p w14:paraId="597B617B" w14:textId="20041BFD" w:rsidR="00A70657" w:rsidRPr="0038179C" w:rsidRDefault="005F3AAB" w:rsidP="00C524E8">
      <w:pPr>
        <w:pStyle w:val="Heading2"/>
        <w:spacing w:before="60" w:after="60"/>
        <w:rPr>
          <w:i/>
          <w:iCs/>
        </w:rPr>
      </w:pPr>
      <w:r w:rsidRPr="0038179C">
        <w:t>A.</w:t>
      </w:r>
      <w:r w:rsidRPr="0038179C">
        <w:tab/>
      </w:r>
      <w:r w:rsidR="00383AAD" w:rsidRPr="0038179C">
        <w:rPr>
          <w:i/>
          <w:iCs/>
        </w:rPr>
        <w:t>Lawsuit</w:t>
      </w:r>
      <w:r w:rsidR="0042338D" w:rsidRPr="0038179C">
        <w:rPr>
          <w:i/>
          <w:iCs/>
        </w:rPr>
        <w:t>, Summary Judgment, And First Appeal</w:t>
      </w:r>
    </w:p>
    <w:p w14:paraId="6C4F52F5" w14:textId="15B8266E" w:rsidR="0043517A" w:rsidRPr="0038179C" w:rsidRDefault="002A04A5" w:rsidP="00882F89">
      <w:pPr>
        <w:spacing w:line="360" w:lineRule="auto"/>
      </w:pPr>
      <w:r w:rsidRPr="0038179C">
        <w:tab/>
      </w:r>
      <w:r w:rsidR="00A70657" w:rsidRPr="0038179C">
        <w:t>Rojas sued HSBC for Privacy Act</w:t>
      </w:r>
      <w:r w:rsidR="006F2A8C" w:rsidRPr="0038179C">
        <w:t xml:space="preserve"> violations</w:t>
      </w:r>
      <w:r w:rsidR="00175B0F" w:rsidRPr="0038179C">
        <w:t xml:space="preserve"> in 2014</w:t>
      </w:r>
      <w:r w:rsidR="006F2A8C" w:rsidRPr="0038179C">
        <w:t>.  In her operative</w:t>
      </w:r>
      <w:r w:rsidR="00AA53CA" w:rsidRPr="0038179C">
        <w:t xml:space="preserve"> first amended</w:t>
      </w:r>
      <w:r w:rsidR="006F2A8C" w:rsidRPr="0038179C">
        <w:t xml:space="preserve"> complaint, she alleged HSBC </w:t>
      </w:r>
      <w:bookmarkStart w:id="15" w:name="dabmq_6"/>
      <w:r w:rsidR="00AA53CA" w:rsidRPr="0038179C">
        <w:t>“willfully employ[ed] . . . recording . . . equipment”</w:t>
      </w:r>
      <w:bookmarkEnd w:id="15"/>
      <w:r w:rsidR="00AA53CA" w:rsidRPr="0038179C">
        <w:t xml:space="preserve"> to record her communications </w:t>
      </w:r>
      <w:bookmarkStart w:id="16" w:name="dabmq_7"/>
      <w:r w:rsidR="00AA53CA" w:rsidRPr="0038179C">
        <w:t>“without [her] knowledge or consent . . . .”</w:t>
      </w:r>
      <w:bookmarkEnd w:id="16"/>
      <w:r w:rsidR="00AA53CA" w:rsidRPr="0038179C">
        <w:t xml:space="preserve"> </w:t>
      </w:r>
      <w:r w:rsidR="006F2A8C" w:rsidRPr="0038179C">
        <w:t xml:space="preserve"> She asserted one cause of action under section 632</w:t>
      </w:r>
      <w:r w:rsidR="00AA53CA" w:rsidRPr="0038179C">
        <w:t xml:space="preserve"> (which covers “confidential communication[s]”), and </w:t>
      </w:r>
      <w:r w:rsidR="006F2A8C" w:rsidRPr="0038179C">
        <w:t>a second cause of action under section 632.7</w:t>
      </w:r>
      <w:r w:rsidR="00AA53CA" w:rsidRPr="0038179C">
        <w:t xml:space="preserve"> </w:t>
      </w:r>
      <w:r w:rsidR="006F2A8C" w:rsidRPr="0038179C">
        <w:t xml:space="preserve">(which </w:t>
      </w:r>
      <w:r w:rsidR="00AA53CA" w:rsidRPr="0038179C">
        <w:t>applies</w:t>
      </w:r>
      <w:r w:rsidR="006F2A8C" w:rsidRPr="0038179C">
        <w:t xml:space="preserve"> to cellular or cordless </w:t>
      </w:r>
      <w:proofErr w:type="gramStart"/>
      <w:r w:rsidR="006F2A8C" w:rsidRPr="0038179C">
        <w:t>phones, and</w:t>
      </w:r>
      <w:proofErr w:type="gramEnd"/>
      <w:r w:rsidR="006F2A8C" w:rsidRPr="0038179C">
        <w:t xml:space="preserve"> does not require confidentiality)</w:t>
      </w:r>
      <w:r w:rsidR="00A70657" w:rsidRPr="0038179C">
        <w:t>.</w:t>
      </w:r>
      <w:r w:rsidR="00463D27" w:rsidRPr="0038179C">
        <w:t xml:space="preserve"> </w:t>
      </w:r>
      <w:r w:rsidR="00AA53CA" w:rsidRPr="0038179C">
        <w:t xml:space="preserve"> (§ 632, subds. (a), (c);</w:t>
      </w:r>
      <w:r w:rsidR="00463D27" w:rsidRPr="0038179C">
        <w:t> </w:t>
      </w:r>
      <w:r w:rsidR="00AA53CA" w:rsidRPr="0038179C">
        <w:t>§ 632.7, subd. (a).)</w:t>
      </w:r>
      <w:r w:rsidR="00A17E7A" w:rsidRPr="0038179C">
        <w:rPr>
          <w:rStyle w:val="FootnoteReference"/>
        </w:rPr>
        <w:footnoteReference w:id="5"/>
      </w:r>
      <w:r w:rsidR="00C3353D" w:rsidRPr="0038179C">
        <w:t xml:space="preserve"> </w:t>
      </w:r>
      <w:r w:rsidR="00144162" w:rsidRPr="0038179C">
        <w:t xml:space="preserve"> </w:t>
      </w:r>
    </w:p>
    <w:p w14:paraId="25CDE08C" w14:textId="51565F4B" w:rsidR="0042338D" w:rsidRPr="0038179C" w:rsidRDefault="009324D6" w:rsidP="00882F89">
      <w:pPr>
        <w:spacing w:line="360" w:lineRule="auto"/>
      </w:pPr>
      <w:r w:rsidRPr="0038179C">
        <w:tab/>
        <w:t>HSBC moved for summary judgment</w:t>
      </w:r>
      <w:r w:rsidR="00175B0F" w:rsidRPr="0038179C">
        <w:t xml:space="preserve"> in 2016</w:t>
      </w:r>
      <w:r w:rsidRPr="0038179C">
        <w:t xml:space="preserve">.  </w:t>
      </w:r>
      <w:r w:rsidR="007F6DE2" w:rsidRPr="0038179C">
        <w:t>T</w:t>
      </w:r>
      <w:r w:rsidRPr="0038179C">
        <w:t>he trial court granted summary judgment, Rojas appealed, and we reversed. (</w:t>
      </w:r>
      <w:bookmarkStart w:id="17" w:name="dabmci_baf8b45ceeae4baf9ae2470a53423b65"/>
      <w:r w:rsidRPr="0038179C">
        <w:rPr>
          <w:i/>
          <w:iCs/>
        </w:rPr>
        <w:t>Rojas</w:t>
      </w:r>
      <w:r w:rsidR="006F2A8C" w:rsidRPr="0038179C">
        <w:rPr>
          <w:i/>
          <w:iCs/>
        </w:rPr>
        <w:t xml:space="preserve"> I</w:t>
      </w:r>
      <w:r w:rsidRPr="0038179C">
        <w:rPr>
          <w:i/>
          <w:iCs/>
        </w:rPr>
        <w:t xml:space="preserve">, supra, </w:t>
      </w:r>
      <w:r w:rsidRPr="0038179C">
        <w:t>20 Cal.App.5th at p. 431</w:t>
      </w:r>
      <w:bookmarkEnd w:id="17"/>
      <w:r w:rsidRPr="0038179C">
        <w:t xml:space="preserve">.)  </w:t>
      </w:r>
      <w:r w:rsidR="004972DA" w:rsidRPr="0038179C">
        <w:t xml:space="preserve">We discuss </w:t>
      </w:r>
      <w:r w:rsidR="004972DA" w:rsidRPr="0038179C">
        <w:rPr>
          <w:i/>
          <w:iCs/>
        </w:rPr>
        <w:t>Rojas I</w:t>
      </w:r>
      <w:r w:rsidR="004972DA" w:rsidRPr="0038179C">
        <w:t xml:space="preserve"> in addressing intent, </w:t>
      </w:r>
      <w:r w:rsidR="004972DA" w:rsidRPr="0038179C">
        <w:rPr>
          <w:i/>
          <w:iCs/>
        </w:rPr>
        <w:t>post</w:t>
      </w:r>
      <w:r w:rsidR="004972DA" w:rsidRPr="0038179C">
        <w:t xml:space="preserve">.  Here, it suffices to say we held </w:t>
      </w:r>
      <w:r w:rsidRPr="0038179C">
        <w:t xml:space="preserve">HSBC </w:t>
      </w:r>
      <w:r w:rsidR="000D291C" w:rsidRPr="0038179C">
        <w:t xml:space="preserve">did not establish as a matter of law that it </w:t>
      </w:r>
      <w:r w:rsidR="000D291C" w:rsidRPr="0038179C">
        <w:lastRenderedPageBreak/>
        <w:t xml:space="preserve">lacked </w:t>
      </w:r>
      <w:r w:rsidR="00F143BB" w:rsidRPr="0038179C">
        <w:t xml:space="preserve">the </w:t>
      </w:r>
      <w:r w:rsidR="000D291C" w:rsidRPr="0038179C">
        <w:t>intent to record</w:t>
      </w:r>
      <w:r w:rsidR="004972DA" w:rsidRPr="0038179C">
        <w:t>,</w:t>
      </w:r>
      <w:r w:rsidR="000D291C" w:rsidRPr="0038179C">
        <w:t xml:space="preserve"> and</w:t>
      </w:r>
      <w:r w:rsidR="004972DA" w:rsidRPr="0038179C">
        <w:t xml:space="preserve"> </w:t>
      </w:r>
      <w:r w:rsidR="000D291C" w:rsidRPr="0038179C">
        <w:t xml:space="preserve">that a reasonable trier of fact could find it did have such </w:t>
      </w:r>
      <w:r w:rsidR="00F143BB" w:rsidRPr="0038179C">
        <w:t xml:space="preserve">an </w:t>
      </w:r>
      <w:r w:rsidR="000D291C" w:rsidRPr="0038179C">
        <w:t>intent.  (</w:t>
      </w:r>
      <w:bookmarkStart w:id="18" w:name="dabmci_6c4f0ec7d49f4feca0581d72103da498"/>
      <w:r w:rsidR="000D291C" w:rsidRPr="0038179C">
        <w:rPr>
          <w:i/>
          <w:iCs/>
        </w:rPr>
        <w:t>Id.</w:t>
      </w:r>
      <w:r w:rsidR="000D291C" w:rsidRPr="0038179C">
        <w:t xml:space="preserve"> at p. 435</w:t>
      </w:r>
      <w:bookmarkEnd w:id="18"/>
      <w:r w:rsidR="000D291C" w:rsidRPr="0038179C">
        <w:t xml:space="preserve">.)  </w:t>
      </w:r>
      <w:r w:rsidR="00F74CC2" w:rsidRPr="0038179C">
        <w:t>The remittitur issued in 2019.</w:t>
      </w:r>
      <w:r w:rsidR="00AB7CAB" w:rsidRPr="0038179C">
        <w:t xml:space="preserve"> </w:t>
      </w:r>
    </w:p>
    <w:p w14:paraId="60946022" w14:textId="4AC1BB95" w:rsidR="005F3AAB" w:rsidRPr="0038179C" w:rsidRDefault="003D2B72" w:rsidP="00C524E8">
      <w:pPr>
        <w:pStyle w:val="Heading2"/>
        <w:spacing w:before="60" w:after="60"/>
      </w:pPr>
      <w:r w:rsidRPr="0038179C">
        <w:t>B</w:t>
      </w:r>
      <w:r w:rsidR="005F3AAB" w:rsidRPr="0038179C">
        <w:t>.</w:t>
      </w:r>
      <w:r w:rsidR="005F3AAB" w:rsidRPr="0038179C">
        <w:tab/>
      </w:r>
      <w:r w:rsidR="005F3AAB" w:rsidRPr="0038179C">
        <w:rPr>
          <w:i/>
          <w:iCs/>
        </w:rPr>
        <w:t>Trial</w:t>
      </w:r>
      <w:r w:rsidR="0076658D" w:rsidRPr="0038179C">
        <w:t xml:space="preserve"> </w:t>
      </w:r>
    </w:p>
    <w:p w14:paraId="41FD03E0" w14:textId="7992B308" w:rsidR="00E365E7" w:rsidRPr="0038179C" w:rsidRDefault="00DA4904" w:rsidP="00882F89">
      <w:pPr>
        <w:widowControl w:val="0"/>
        <w:spacing w:line="360" w:lineRule="auto"/>
        <w:rPr>
          <w:szCs w:val="26"/>
        </w:rPr>
      </w:pPr>
      <w:r w:rsidRPr="0038179C">
        <w:rPr>
          <w:szCs w:val="26"/>
        </w:rPr>
        <w:tab/>
        <w:t xml:space="preserve">The </w:t>
      </w:r>
      <w:r w:rsidR="003D2B72" w:rsidRPr="0038179C">
        <w:rPr>
          <w:szCs w:val="26"/>
        </w:rPr>
        <w:t>case</w:t>
      </w:r>
      <w:r w:rsidRPr="0038179C">
        <w:rPr>
          <w:szCs w:val="26"/>
        </w:rPr>
        <w:t xml:space="preserve"> proceeded to a</w:t>
      </w:r>
      <w:r w:rsidR="003819B6" w:rsidRPr="0038179C">
        <w:rPr>
          <w:szCs w:val="26"/>
        </w:rPr>
        <w:t>n</w:t>
      </w:r>
      <w:r w:rsidR="00144162" w:rsidRPr="0038179C">
        <w:rPr>
          <w:szCs w:val="26"/>
        </w:rPr>
        <w:t xml:space="preserve"> eight-day</w:t>
      </w:r>
      <w:r w:rsidRPr="0038179C">
        <w:rPr>
          <w:szCs w:val="26"/>
        </w:rPr>
        <w:t xml:space="preserve"> </w:t>
      </w:r>
      <w:r w:rsidR="0042338D" w:rsidRPr="0038179C">
        <w:rPr>
          <w:szCs w:val="26"/>
        </w:rPr>
        <w:t>bench</w:t>
      </w:r>
      <w:r w:rsidRPr="0038179C">
        <w:rPr>
          <w:szCs w:val="26"/>
        </w:rPr>
        <w:t xml:space="preserve"> trial in </w:t>
      </w:r>
      <w:r w:rsidR="00144162" w:rsidRPr="0038179C">
        <w:rPr>
          <w:szCs w:val="26"/>
        </w:rPr>
        <w:t>2020</w:t>
      </w:r>
      <w:r w:rsidR="00605350" w:rsidRPr="0038179C">
        <w:rPr>
          <w:szCs w:val="26"/>
        </w:rPr>
        <w:t xml:space="preserve">.  </w:t>
      </w:r>
      <w:r w:rsidR="001B6035" w:rsidRPr="0038179C">
        <w:rPr>
          <w:szCs w:val="26"/>
        </w:rPr>
        <w:t xml:space="preserve">One hundred and nine </w:t>
      </w:r>
      <w:r w:rsidR="002E085E" w:rsidRPr="0038179C">
        <w:rPr>
          <w:szCs w:val="26"/>
        </w:rPr>
        <w:t>call recordings were played</w:t>
      </w:r>
      <w:r w:rsidR="00F143BB" w:rsidRPr="0038179C">
        <w:rPr>
          <w:szCs w:val="26"/>
        </w:rPr>
        <w:t xml:space="preserve"> at trial</w:t>
      </w:r>
      <w:r w:rsidR="002E085E" w:rsidRPr="0038179C">
        <w:rPr>
          <w:szCs w:val="26"/>
        </w:rPr>
        <w:t>, and s</w:t>
      </w:r>
      <w:r w:rsidR="00462454" w:rsidRPr="0038179C">
        <w:rPr>
          <w:szCs w:val="26"/>
        </w:rPr>
        <w:t>everal witnesses testified</w:t>
      </w:r>
      <w:r w:rsidRPr="0038179C">
        <w:rPr>
          <w:szCs w:val="26"/>
        </w:rPr>
        <w:t>.</w:t>
      </w:r>
      <w:r w:rsidR="00462454" w:rsidRPr="0038179C">
        <w:rPr>
          <w:rStyle w:val="FootnoteReference"/>
          <w:szCs w:val="26"/>
        </w:rPr>
        <w:footnoteReference w:id="6"/>
      </w:r>
      <w:r w:rsidR="00EC7947" w:rsidRPr="0038179C">
        <w:rPr>
          <w:szCs w:val="26"/>
        </w:rPr>
        <w:t xml:space="preserve"> </w:t>
      </w:r>
    </w:p>
    <w:p w14:paraId="5A26734F" w14:textId="10D4A16D" w:rsidR="00E93077" w:rsidRPr="00B61C99" w:rsidRDefault="009C3B94" w:rsidP="00B61C99">
      <w:pPr>
        <w:widowControl w:val="0"/>
        <w:spacing w:line="360" w:lineRule="auto"/>
        <w:ind w:firstLine="720"/>
        <w:rPr>
          <w:szCs w:val="26"/>
        </w:rPr>
      </w:pPr>
      <w:r w:rsidRPr="0038179C">
        <w:rPr>
          <w:szCs w:val="26"/>
        </w:rPr>
        <w:t xml:space="preserve">Richard Marcy, HSBC Tech Services’ head of telecommunications for the United States and Latin America, </w:t>
      </w:r>
      <w:r w:rsidR="00E32CBC" w:rsidRPr="0038179C">
        <w:rPr>
          <w:szCs w:val="26"/>
        </w:rPr>
        <w:t>confirmed</w:t>
      </w:r>
      <w:r w:rsidRPr="0038179C">
        <w:rPr>
          <w:szCs w:val="26"/>
        </w:rPr>
        <w:t xml:space="preserve"> the Salinas facility</w:t>
      </w:r>
      <w:r w:rsidR="00E32CBC" w:rsidRPr="0038179C">
        <w:rPr>
          <w:szCs w:val="26"/>
        </w:rPr>
        <w:t xml:space="preserve"> used </w:t>
      </w:r>
      <w:r w:rsidR="00462454" w:rsidRPr="0038179C">
        <w:rPr>
          <w:szCs w:val="26"/>
        </w:rPr>
        <w:t xml:space="preserve">an </w:t>
      </w:r>
      <w:r w:rsidR="00E32CBC" w:rsidRPr="0038179C">
        <w:rPr>
          <w:szCs w:val="26"/>
        </w:rPr>
        <w:t xml:space="preserve">automatic recording disclosure on inbound calls, and </w:t>
      </w:r>
      <w:r w:rsidRPr="0038179C">
        <w:rPr>
          <w:szCs w:val="26"/>
        </w:rPr>
        <w:t xml:space="preserve">testified they used </w:t>
      </w:r>
      <w:r w:rsidR="00E32CBC" w:rsidRPr="0038179C">
        <w:rPr>
          <w:szCs w:val="26"/>
        </w:rPr>
        <w:t>employee disclosures for outbound calls.</w:t>
      </w:r>
      <w:r w:rsidRPr="0038179C">
        <w:rPr>
          <w:szCs w:val="26"/>
        </w:rPr>
        <w:t xml:space="preserve"> </w:t>
      </w:r>
      <w:r w:rsidR="00B107F8" w:rsidRPr="0038179C">
        <w:rPr>
          <w:szCs w:val="26"/>
        </w:rPr>
        <w:t xml:space="preserve"> </w:t>
      </w:r>
      <w:r w:rsidRPr="0038179C">
        <w:rPr>
          <w:szCs w:val="26"/>
        </w:rPr>
        <w:t>He</w:t>
      </w:r>
      <w:r w:rsidR="00E32CBC" w:rsidRPr="0038179C">
        <w:rPr>
          <w:szCs w:val="26"/>
        </w:rPr>
        <w:t xml:space="preserve"> </w:t>
      </w:r>
      <w:r w:rsidR="00DA62BA" w:rsidRPr="0038179C">
        <w:rPr>
          <w:szCs w:val="26"/>
        </w:rPr>
        <w:t xml:space="preserve">acknowledged they </w:t>
      </w:r>
      <w:r w:rsidR="00E32CBC" w:rsidRPr="0038179C">
        <w:rPr>
          <w:szCs w:val="26"/>
        </w:rPr>
        <w:t>were able</w:t>
      </w:r>
      <w:r w:rsidR="00DA62BA" w:rsidRPr="0038179C">
        <w:rPr>
          <w:szCs w:val="26"/>
        </w:rPr>
        <w:t xml:space="preserve"> to include </w:t>
      </w:r>
      <w:r w:rsidR="00462454" w:rsidRPr="0038179C">
        <w:rPr>
          <w:szCs w:val="26"/>
        </w:rPr>
        <w:t xml:space="preserve">an </w:t>
      </w:r>
      <w:r w:rsidR="00DA62BA" w:rsidRPr="0038179C">
        <w:rPr>
          <w:szCs w:val="26"/>
        </w:rPr>
        <w:t>automatic disclosure</w:t>
      </w:r>
      <w:r w:rsidR="00462454" w:rsidRPr="0038179C">
        <w:rPr>
          <w:szCs w:val="26"/>
        </w:rPr>
        <w:t xml:space="preserve"> or beep</w:t>
      </w:r>
      <w:r w:rsidR="00DA62BA" w:rsidRPr="0038179C">
        <w:rPr>
          <w:szCs w:val="26"/>
        </w:rPr>
        <w:t xml:space="preserve"> on outbound calls, but HSBC Card Services decided not to do so. </w:t>
      </w:r>
      <w:r w:rsidR="00DA62BA" w:rsidRPr="0038179C">
        <w:t xml:space="preserve"> </w:t>
      </w:r>
      <w:r w:rsidR="00B107F8" w:rsidRPr="0038179C">
        <w:t xml:space="preserve">HSBC expert witness Darlene Geller-Stoff testified </w:t>
      </w:r>
      <w:r w:rsidR="00462454" w:rsidRPr="0038179C">
        <w:t xml:space="preserve">this was consistent with best </w:t>
      </w:r>
      <w:proofErr w:type="gramStart"/>
      <w:r w:rsidR="00462454" w:rsidRPr="0038179C">
        <w:t>practices, and</w:t>
      </w:r>
      <w:proofErr w:type="gramEnd"/>
      <w:r w:rsidR="00462454" w:rsidRPr="0038179C">
        <w:t xml:space="preserve"> explained that</w:t>
      </w:r>
      <w:r w:rsidR="00B107F8" w:rsidRPr="0038179C">
        <w:t xml:space="preserve"> </w:t>
      </w:r>
      <w:bookmarkStart w:id="19" w:name="dabmq_8"/>
      <w:r w:rsidR="00B107F8" w:rsidRPr="0038179C">
        <w:t xml:space="preserve">“launching the call with an automated message very, very significantly decreases the chance that the call will be answered </w:t>
      </w:r>
      <w:r w:rsidR="00462454" w:rsidRPr="0038179C">
        <w:t xml:space="preserve">. . . </w:t>
      </w:r>
      <w:r w:rsidR="00B107F8" w:rsidRPr="0038179C">
        <w:t>.”</w:t>
      </w:r>
      <w:bookmarkEnd w:id="19"/>
      <w:r w:rsidR="00B107F8" w:rsidRPr="0038179C">
        <w:t xml:space="preserve"> </w:t>
      </w:r>
      <w:r w:rsidR="00D43D86" w:rsidRPr="0038179C">
        <w:t xml:space="preserve"> </w:t>
      </w:r>
    </w:p>
    <w:p w14:paraId="48E3BD93" w14:textId="1B9B48A8" w:rsidR="00D927A1" w:rsidRPr="0038179C" w:rsidRDefault="00B107F8" w:rsidP="00882F89">
      <w:pPr>
        <w:widowControl w:val="0"/>
        <w:spacing w:line="360" w:lineRule="auto"/>
        <w:rPr>
          <w:szCs w:val="26"/>
        </w:rPr>
      </w:pPr>
      <w:r w:rsidRPr="0038179C">
        <w:tab/>
      </w:r>
      <w:r w:rsidR="00E365E7" w:rsidRPr="0038179C">
        <w:rPr>
          <w:szCs w:val="26"/>
        </w:rPr>
        <w:t xml:space="preserve">Peter Garcia, Jr., a </w:t>
      </w:r>
      <w:bookmarkStart w:id="20" w:name="_Hlk128495137"/>
      <w:r w:rsidR="00E365E7" w:rsidRPr="0038179C">
        <w:rPr>
          <w:szCs w:val="26"/>
        </w:rPr>
        <w:t xml:space="preserve">senior branch manager </w:t>
      </w:r>
      <w:bookmarkEnd w:id="20"/>
      <w:r w:rsidR="00E365E7" w:rsidRPr="0038179C">
        <w:rPr>
          <w:szCs w:val="26"/>
        </w:rPr>
        <w:t xml:space="preserve">who </w:t>
      </w:r>
      <w:r w:rsidR="00462454" w:rsidRPr="0038179C">
        <w:rPr>
          <w:szCs w:val="26"/>
        </w:rPr>
        <w:t>had</w:t>
      </w:r>
      <w:r w:rsidR="00E365E7" w:rsidRPr="0038179C">
        <w:rPr>
          <w:szCs w:val="26"/>
        </w:rPr>
        <w:t xml:space="preserve"> worked at call centers including </w:t>
      </w:r>
      <w:r w:rsidR="001A7740" w:rsidRPr="0038179C">
        <w:rPr>
          <w:szCs w:val="26"/>
        </w:rPr>
        <w:t xml:space="preserve">the </w:t>
      </w:r>
      <w:r w:rsidR="00E365E7" w:rsidRPr="0038179C">
        <w:rPr>
          <w:szCs w:val="26"/>
        </w:rPr>
        <w:t>Salinas</w:t>
      </w:r>
      <w:r w:rsidR="001A7740" w:rsidRPr="0038179C">
        <w:rPr>
          <w:szCs w:val="26"/>
        </w:rPr>
        <w:t xml:space="preserve"> facility</w:t>
      </w:r>
      <w:r w:rsidR="00E365E7" w:rsidRPr="0038179C">
        <w:rPr>
          <w:szCs w:val="26"/>
        </w:rPr>
        <w:t xml:space="preserve">, testified HSBC trained </w:t>
      </w:r>
      <w:r w:rsidR="001A7740" w:rsidRPr="0038179C">
        <w:rPr>
          <w:szCs w:val="26"/>
        </w:rPr>
        <w:t xml:space="preserve">call center </w:t>
      </w:r>
      <w:r w:rsidR="00E365E7" w:rsidRPr="0038179C">
        <w:rPr>
          <w:szCs w:val="26"/>
        </w:rPr>
        <w:t xml:space="preserve">agents to make recording disclosures on </w:t>
      </w:r>
      <w:r w:rsidR="00944DE1" w:rsidRPr="0038179C">
        <w:rPr>
          <w:szCs w:val="26"/>
        </w:rPr>
        <w:t xml:space="preserve">all </w:t>
      </w:r>
      <w:r w:rsidR="00E365E7" w:rsidRPr="0038179C">
        <w:rPr>
          <w:szCs w:val="26"/>
        </w:rPr>
        <w:t>outbound calls.</w:t>
      </w:r>
      <w:r w:rsidR="0084033F" w:rsidRPr="0038179C">
        <w:rPr>
          <w:szCs w:val="26"/>
        </w:rPr>
        <w:t xml:space="preserve"> </w:t>
      </w:r>
      <w:r w:rsidR="00E365E7" w:rsidRPr="0038179C">
        <w:rPr>
          <w:szCs w:val="26"/>
        </w:rPr>
        <w:t xml:space="preserve"> Ivey, who led fraud and disputes at </w:t>
      </w:r>
      <w:r w:rsidR="001A7740" w:rsidRPr="0038179C">
        <w:rPr>
          <w:szCs w:val="26"/>
        </w:rPr>
        <w:t xml:space="preserve">the </w:t>
      </w:r>
      <w:r w:rsidR="00E365E7" w:rsidRPr="0038179C">
        <w:rPr>
          <w:szCs w:val="26"/>
        </w:rPr>
        <w:t>Salinas</w:t>
      </w:r>
      <w:r w:rsidR="001A7740" w:rsidRPr="0038179C">
        <w:rPr>
          <w:szCs w:val="26"/>
        </w:rPr>
        <w:t xml:space="preserve"> facility</w:t>
      </w:r>
      <w:r w:rsidR="00E365E7" w:rsidRPr="0038179C">
        <w:rPr>
          <w:szCs w:val="26"/>
        </w:rPr>
        <w:t xml:space="preserve">, </w:t>
      </w:r>
      <w:r w:rsidR="00462454" w:rsidRPr="0038179C">
        <w:rPr>
          <w:szCs w:val="26"/>
        </w:rPr>
        <w:t>explained</w:t>
      </w:r>
      <w:r w:rsidR="00E365E7" w:rsidRPr="0038179C">
        <w:rPr>
          <w:szCs w:val="26"/>
        </w:rPr>
        <w:t xml:space="preserve"> call disclosures were a </w:t>
      </w:r>
      <w:r w:rsidR="00572B2D" w:rsidRPr="0038179C">
        <w:rPr>
          <w:szCs w:val="26"/>
        </w:rPr>
        <w:t>“</w:t>
      </w:r>
      <w:r w:rsidR="00E365E7" w:rsidRPr="0038179C">
        <w:rPr>
          <w:szCs w:val="26"/>
        </w:rPr>
        <w:t>critical</w:t>
      </w:r>
      <w:r w:rsidR="00572B2D" w:rsidRPr="0038179C">
        <w:rPr>
          <w:szCs w:val="26"/>
        </w:rPr>
        <w:t>” training item,</w:t>
      </w:r>
      <w:r w:rsidR="00462454" w:rsidRPr="0038179C">
        <w:rPr>
          <w:szCs w:val="26"/>
        </w:rPr>
        <w:t xml:space="preserve"> </w:t>
      </w:r>
      <w:r w:rsidR="00572B2D" w:rsidRPr="0038179C">
        <w:rPr>
          <w:szCs w:val="26"/>
        </w:rPr>
        <w:t>and</w:t>
      </w:r>
      <w:r w:rsidR="00E365E7" w:rsidRPr="0038179C">
        <w:rPr>
          <w:szCs w:val="26"/>
        </w:rPr>
        <w:t xml:space="preserve"> </w:t>
      </w:r>
      <w:bookmarkStart w:id="21" w:name="dabmq_9"/>
      <w:r w:rsidR="00E365E7" w:rsidRPr="0038179C">
        <w:rPr>
          <w:szCs w:val="26"/>
        </w:rPr>
        <w:t>“one of the things that [they] paid the most attention to.”</w:t>
      </w:r>
      <w:bookmarkEnd w:id="21"/>
      <w:r w:rsidR="00E365E7" w:rsidRPr="0038179C">
        <w:rPr>
          <w:szCs w:val="26"/>
        </w:rPr>
        <w:t xml:space="preserve">  </w:t>
      </w:r>
      <w:r w:rsidR="00E32CBC" w:rsidRPr="0038179C">
        <w:rPr>
          <w:szCs w:val="26"/>
        </w:rPr>
        <w:t xml:space="preserve">He acknowledged it was a “risk” the </w:t>
      </w:r>
      <w:bookmarkStart w:id="22" w:name="dabmq_10"/>
      <w:r w:rsidR="00E32CBC" w:rsidRPr="0038179C">
        <w:rPr>
          <w:szCs w:val="26"/>
        </w:rPr>
        <w:t>“agent won’t make the proper disclosure to a merchant . . . .”</w:t>
      </w:r>
      <w:bookmarkEnd w:id="22"/>
      <w:r w:rsidR="00E32CBC" w:rsidRPr="0038179C">
        <w:rPr>
          <w:szCs w:val="26"/>
        </w:rPr>
        <w:t xml:space="preserve">  </w:t>
      </w:r>
      <w:r w:rsidR="00E365E7" w:rsidRPr="0038179C">
        <w:t>Marcy</w:t>
      </w:r>
      <w:r w:rsidR="00DA62BA" w:rsidRPr="0038179C">
        <w:t xml:space="preserve"> </w:t>
      </w:r>
      <w:r w:rsidR="00E32CBC" w:rsidRPr="0038179C">
        <w:t xml:space="preserve">similarly </w:t>
      </w:r>
      <w:r w:rsidR="00DA62BA" w:rsidRPr="0038179C">
        <w:rPr>
          <w:szCs w:val="26"/>
        </w:rPr>
        <w:t xml:space="preserve">testified outbound calls were a concern, </w:t>
      </w:r>
      <w:bookmarkStart w:id="23" w:name="dabmq_11"/>
      <w:r w:rsidR="00DA62BA" w:rsidRPr="0038179C">
        <w:rPr>
          <w:szCs w:val="26"/>
        </w:rPr>
        <w:t xml:space="preserve">“because they </w:t>
      </w:r>
      <w:r w:rsidR="00A649FD" w:rsidRPr="0038179C">
        <w:rPr>
          <w:szCs w:val="26"/>
        </w:rPr>
        <w:t>knew</w:t>
      </w:r>
      <w:r w:rsidR="00DA62BA" w:rsidRPr="0038179C">
        <w:rPr>
          <w:szCs w:val="26"/>
        </w:rPr>
        <w:t xml:space="preserve"> that not all agents were doing [the </w:t>
      </w:r>
      <w:r w:rsidR="00DA62BA" w:rsidRPr="0038179C">
        <w:rPr>
          <w:szCs w:val="26"/>
        </w:rPr>
        <w:lastRenderedPageBreak/>
        <w:t>disclosure], and there was a risk.”</w:t>
      </w:r>
      <w:bookmarkEnd w:id="23"/>
      <w:r w:rsidR="00DA62BA" w:rsidRPr="0038179C">
        <w:rPr>
          <w:szCs w:val="26"/>
        </w:rPr>
        <w:t xml:space="preserve">  </w:t>
      </w:r>
      <w:r w:rsidR="0000018B" w:rsidRPr="0038179C">
        <w:rPr>
          <w:szCs w:val="26"/>
        </w:rPr>
        <w:t>All three</w:t>
      </w:r>
      <w:r w:rsidR="00E32CBC" w:rsidRPr="0038179C">
        <w:rPr>
          <w:szCs w:val="26"/>
        </w:rPr>
        <w:t xml:space="preserve"> </w:t>
      </w:r>
      <w:r w:rsidR="0000018B" w:rsidRPr="0038179C">
        <w:rPr>
          <w:szCs w:val="26"/>
        </w:rPr>
        <w:t xml:space="preserve">witnesses </w:t>
      </w:r>
      <w:r w:rsidRPr="0038179C">
        <w:rPr>
          <w:szCs w:val="26"/>
        </w:rPr>
        <w:t>indicated</w:t>
      </w:r>
      <w:r w:rsidR="00E32CBC" w:rsidRPr="0038179C">
        <w:rPr>
          <w:szCs w:val="26"/>
        </w:rPr>
        <w:t xml:space="preserve"> </w:t>
      </w:r>
      <w:r w:rsidRPr="0038179C">
        <w:rPr>
          <w:szCs w:val="26"/>
        </w:rPr>
        <w:t>agent calls were monitored to ensure compliance</w:t>
      </w:r>
      <w:r w:rsidR="00462454" w:rsidRPr="0038179C">
        <w:rPr>
          <w:szCs w:val="26"/>
        </w:rPr>
        <w:t xml:space="preserve">.  </w:t>
      </w:r>
      <w:r w:rsidR="00E32CBC" w:rsidRPr="0038179C">
        <w:rPr>
          <w:szCs w:val="26"/>
        </w:rPr>
        <w:t xml:space="preserve">Ivey and Garcia </w:t>
      </w:r>
      <w:r w:rsidR="00462454" w:rsidRPr="0038179C">
        <w:rPr>
          <w:szCs w:val="26"/>
        </w:rPr>
        <w:t xml:space="preserve">further </w:t>
      </w:r>
      <w:r w:rsidR="00E32CBC" w:rsidRPr="0038179C">
        <w:rPr>
          <w:szCs w:val="26"/>
        </w:rPr>
        <w:t xml:space="preserve">testified failure to provide an outbound recording disclosure was grounds for </w:t>
      </w:r>
      <w:r w:rsidR="001A7740" w:rsidRPr="0038179C">
        <w:rPr>
          <w:szCs w:val="26"/>
        </w:rPr>
        <w:t xml:space="preserve">employee </w:t>
      </w:r>
      <w:r w:rsidR="00E32CBC" w:rsidRPr="0038179C">
        <w:rPr>
          <w:szCs w:val="26"/>
        </w:rPr>
        <w:t xml:space="preserve">discipline. </w:t>
      </w:r>
      <w:r w:rsidRPr="0038179C">
        <w:rPr>
          <w:szCs w:val="26"/>
        </w:rPr>
        <w:t xml:space="preserve"> </w:t>
      </w:r>
    </w:p>
    <w:p w14:paraId="07D18FD0" w14:textId="2F3F0CB4" w:rsidR="001D1FAD" w:rsidRPr="0038179C" w:rsidRDefault="00572B2D" w:rsidP="00882F89">
      <w:pPr>
        <w:widowControl w:val="0"/>
        <w:spacing w:line="360" w:lineRule="auto"/>
        <w:rPr>
          <w:szCs w:val="26"/>
        </w:rPr>
      </w:pPr>
      <w:r w:rsidRPr="0038179C">
        <w:rPr>
          <w:szCs w:val="26"/>
        </w:rPr>
        <w:tab/>
      </w:r>
      <w:r w:rsidR="00B107F8" w:rsidRPr="0038179C">
        <w:rPr>
          <w:szCs w:val="26"/>
        </w:rPr>
        <w:t>Ivey and Garcia</w:t>
      </w:r>
      <w:r w:rsidR="00D43D86" w:rsidRPr="0038179C">
        <w:rPr>
          <w:szCs w:val="26"/>
        </w:rPr>
        <w:t>, as well as Salinas</w:t>
      </w:r>
      <w:r w:rsidR="001A7740" w:rsidRPr="0038179C">
        <w:rPr>
          <w:szCs w:val="26"/>
        </w:rPr>
        <w:t xml:space="preserve"> department</w:t>
      </w:r>
      <w:r w:rsidR="00D43D86" w:rsidRPr="0038179C">
        <w:rPr>
          <w:szCs w:val="26"/>
        </w:rPr>
        <w:t xml:space="preserve"> manager Escamilla,</w:t>
      </w:r>
      <w:r w:rsidR="00B107F8" w:rsidRPr="0038179C">
        <w:rPr>
          <w:szCs w:val="26"/>
        </w:rPr>
        <w:t xml:space="preserve"> also testified HSBC </w:t>
      </w:r>
      <w:r w:rsidR="00D927A1" w:rsidRPr="0038179C">
        <w:rPr>
          <w:szCs w:val="26"/>
        </w:rPr>
        <w:t>polic</w:t>
      </w:r>
      <w:r w:rsidR="00462454" w:rsidRPr="0038179C">
        <w:rPr>
          <w:szCs w:val="26"/>
        </w:rPr>
        <w:t>y</w:t>
      </w:r>
      <w:r w:rsidR="00D927A1" w:rsidRPr="0038179C">
        <w:rPr>
          <w:szCs w:val="26"/>
        </w:rPr>
        <w:t xml:space="preserve"> </w:t>
      </w:r>
      <w:r w:rsidR="00462454" w:rsidRPr="0038179C">
        <w:rPr>
          <w:szCs w:val="26"/>
        </w:rPr>
        <w:t>barred</w:t>
      </w:r>
      <w:r w:rsidR="00B107F8" w:rsidRPr="0038179C">
        <w:rPr>
          <w:szCs w:val="26"/>
        </w:rPr>
        <w:t xml:space="preserve"> </w:t>
      </w:r>
      <w:r w:rsidR="001A7740" w:rsidRPr="0038179C">
        <w:rPr>
          <w:szCs w:val="26"/>
        </w:rPr>
        <w:t xml:space="preserve">call center </w:t>
      </w:r>
      <w:r w:rsidR="00B107F8" w:rsidRPr="0038179C">
        <w:rPr>
          <w:szCs w:val="26"/>
        </w:rPr>
        <w:t>agents from making personal calls from their desks</w:t>
      </w:r>
      <w:r w:rsidR="00EC38A6" w:rsidRPr="0038179C">
        <w:rPr>
          <w:szCs w:val="26"/>
        </w:rPr>
        <w:t xml:space="preserve"> and agents would be disciplined or subject to corrective action for this</w:t>
      </w:r>
      <w:r w:rsidR="001A7740" w:rsidRPr="0038179C">
        <w:rPr>
          <w:szCs w:val="26"/>
        </w:rPr>
        <w:t xml:space="preserve"> conduct</w:t>
      </w:r>
      <w:r w:rsidR="00B107F8" w:rsidRPr="0038179C">
        <w:rPr>
          <w:szCs w:val="26"/>
        </w:rPr>
        <w:t>.</w:t>
      </w:r>
      <w:r w:rsidR="007E2F66" w:rsidRPr="0038179C">
        <w:rPr>
          <w:rStyle w:val="FootnoteReference"/>
        </w:rPr>
        <w:footnoteReference w:id="7"/>
      </w:r>
      <w:r w:rsidR="008E5F48" w:rsidRPr="0038179C">
        <w:rPr>
          <w:szCs w:val="26"/>
        </w:rPr>
        <w:t xml:space="preserve">  </w:t>
      </w:r>
    </w:p>
    <w:p w14:paraId="63901D70" w14:textId="2C29D1C4" w:rsidR="00440904" w:rsidRPr="0038179C" w:rsidRDefault="001D1FAD" w:rsidP="00255202">
      <w:pPr>
        <w:widowControl w:val="0"/>
        <w:spacing w:line="360" w:lineRule="auto"/>
        <w:ind w:firstLine="720"/>
        <w:rPr>
          <w:szCs w:val="26"/>
        </w:rPr>
      </w:pPr>
      <w:r w:rsidRPr="0038179C">
        <w:rPr>
          <w:szCs w:val="26"/>
        </w:rPr>
        <w:t xml:space="preserve">Rojas </w:t>
      </w:r>
      <w:r w:rsidR="00605350" w:rsidRPr="0038179C">
        <w:rPr>
          <w:szCs w:val="26"/>
        </w:rPr>
        <w:t xml:space="preserve">and Alejandra also testified at trial.  Rojas lived </w:t>
      </w:r>
      <w:r w:rsidR="00440904" w:rsidRPr="0038179C">
        <w:rPr>
          <w:szCs w:val="26"/>
        </w:rPr>
        <w:t xml:space="preserve">with Alejandra, </w:t>
      </w:r>
      <w:r w:rsidR="001A7740" w:rsidRPr="0038179C">
        <w:rPr>
          <w:szCs w:val="26"/>
        </w:rPr>
        <w:t>and</w:t>
      </w:r>
      <w:r w:rsidR="00440904" w:rsidRPr="0038179C">
        <w:rPr>
          <w:szCs w:val="26"/>
        </w:rPr>
        <w:t xml:space="preserve"> Alejandra’s two children (Rojas’s grandchildren); Alejandra’s boyfriend</w:t>
      </w:r>
      <w:r w:rsidR="00080DBF" w:rsidRPr="0038179C">
        <w:rPr>
          <w:szCs w:val="26"/>
        </w:rPr>
        <w:t xml:space="preserve"> Enrique</w:t>
      </w:r>
      <w:r w:rsidR="001A7740" w:rsidRPr="0038179C">
        <w:rPr>
          <w:szCs w:val="26"/>
        </w:rPr>
        <w:t xml:space="preserve"> (</w:t>
      </w:r>
      <w:r w:rsidR="00440904" w:rsidRPr="0038179C">
        <w:rPr>
          <w:szCs w:val="26"/>
        </w:rPr>
        <w:t>the children</w:t>
      </w:r>
      <w:r w:rsidR="002F6375" w:rsidRPr="0038179C">
        <w:rPr>
          <w:szCs w:val="26"/>
        </w:rPr>
        <w:t>’</w:t>
      </w:r>
      <w:r w:rsidR="00440904" w:rsidRPr="0038179C">
        <w:rPr>
          <w:szCs w:val="26"/>
        </w:rPr>
        <w:t>s</w:t>
      </w:r>
      <w:r w:rsidR="00C9535C" w:rsidRPr="0038179C">
        <w:rPr>
          <w:szCs w:val="26"/>
        </w:rPr>
        <w:t xml:space="preserve"> </w:t>
      </w:r>
      <w:r w:rsidR="00440904" w:rsidRPr="0038179C">
        <w:rPr>
          <w:szCs w:val="26"/>
        </w:rPr>
        <w:t>father</w:t>
      </w:r>
      <w:r w:rsidR="001A7740" w:rsidRPr="0038179C">
        <w:rPr>
          <w:szCs w:val="26"/>
        </w:rPr>
        <w:t>)</w:t>
      </w:r>
      <w:r w:rsidR="00440904" w:rsidRPr="0038179C">
        <w:rPr>
          <w:szCs w:val="26"/>
        </w:rPr>
        <w:t xml:space="preserve">; and Rojas’s boyfriend.  </w:t>
      </w:r>
      <w:r w:rsidR="001821F5" w:rsidRPr="0038179C">
        <w:rPr>
          <w:szCs w:val="26"/>
        </w:rPr>
        <w:t xml:space="preserve">Rojas </w:t>
      </w:r>
      <w:r w:rsidR="00552079" w:rsidRPr="0038179C">
        <w:rPr>
          <w:szCs w:val="26"/>
        </w:rPr>
        <w:t>worked at J.C. Penney and assisted</w:t>
      </w:r>
      <w:r w:rsidRPr="0038179C">
        <w:rPr>
          <w:szCs w:val="26"/>
        </w:rPr>
        <w:t xml:space="preserve"> Alejandra with childcare </w:t>
      </w:r>
      <w:r w:rsidR="00552079" w:rsidRPr="0038179C">
        <w:rPr>
          <w:szCs w:val="26"/>
        </w:rPr>
        <w:t>on her days off</w:t>
      </w:r>
      <w:r w:rsidRPr="0038179C">
        <w:rPr>
          <w:szCs w:val="26"/>
        </w:rPr>
        <w:t xml:space="preserve">.  </w:t>
      </w:r>
      <w:r w:rsidR="00572B2D" w:rsidRPr="0038179C">
        <w:t>Rojas</w:t>
      </w:r>
      <w:r w:rsidR="00440904" w:rsidRPr="0038179C">
        <w:t xml:space="preserve"> knew Alejandra worked for HSBC Card Services</w:t>
      </w:r>
      <w:r w:rsidR="008E5F48" w:rsidRPr="0038179C">
        <w:t xml:space="preserve">.  </w:t>
      </w:r>
      <w:r w:rsidR="00261EA0" w:rsidRPr="0038179C">
        <w:t>Rojas</w:t>
      </w:r>
      <w:r w:rsidR="00572B2D" w:rsidRPr="0038179C">
        <w:t xml:space="preserve"> </w:t>
      </w:r>
      <w:r w:rsidR="00440904" w:rsidRPr="0038179C">
        <w:t xml:space="preserve">had </w:t>
      </w:r>
      <w:r w:rsidR="00572B2D" w:rsidRPr="0038179C">
        <w:t>a</w:t>
      </w:r>
      <w:r w:rsidR="00E826A3" w:rsidRPr="0038179C">
        <w:t xml:space="preserve">n HSBC </w:t>
      </w:r>
      <w:r w:rsidR="00572B2D" w:rsidRPr="0038179C">
        <w:t>Mastercard</w:t>
      </w:r>
      <w:r w:rsidR="008E5F48" w:rsidRPr="0038179C">
        <w:t xml:space="preserve">, and </w:t>
      </w:r>
      <w:r w:rsidR="00440904" w:rsidRPr="0038179C">
        <w:t xml:space="preserve">received a recording disclosure when she </w:t>
      </w:r>
      <w:r w:rsidR="00572B2D" w:rsidRPr="0038179C">
        <w:t xml:space="preserve">called </w:t>
      </w:r>
      <w:r w:rsidR="00C014D9" w:rsidRPr="0038179C">
        <w:t xml:space="preserve">HSBC </w:t>
      </w:r>
      <w:r w:rsidR="00572B2D" w:rsidRPr="0038179C">
        <w:t>to pay</w:t>
      </w:r>
      <w:r w:rsidR="00440904" w:rsidRPr="0038179C">
        <w:t xml:space="preserve"> her bill each month.</w:t>
      </w:r>
      <w:r w:rsidR="00DB52A8" w:rsidRPr="0038179C">
        <w:t xml:space="preserve"> </w:t>
      </w:r>
      <w:r w:rsidR="008E5F48" w:rsidRPr="0038179C">
        <w:t xml:space="preserve"> </w:t>
      </w:r>
      <w:r w:rsidR="00440904" w:rsidRPr="0038179C">
        <w:rPr>
          <w:szCs w:val="26"/>
        </w:rPr>
        <w:t xml:space="preserve">Rojas </w:t>
      </w:r>
      <w:r w:rsidR="00255202" w:rsidRPr="0038179C">
        <w:rPr>
          <w:szCs w:val="26"/>
        </w:rPr>
        <w:t>testified</w:t>
      </w:r>
      <w:r w:rsidR="00440904" w:rsidRPr="0038179C">
        <w:rPr>
          <w:szCs w:val="26"/>
        </w:rPr>
        <w:t xml:space="preserve"> that if she needed to </w:t>
      </w:r>
      <w:r w:rsidR="001A7740" w:rsidRPr="0038179C">
        <w:rPr>
          <w:szCs w:val="26"/>
        </w:rPr>
        <w:t xml:space="preserve">talk to </w:t>
      </w:r>
      <w:r w:rsidR="00440904" w:rsidRPr="0038179C">
        <w:rPr>
          <w:szCs w:val="26"/>
        </w:rPr>
        <w:t xml:space="preserve">Alejandra, she would call </w:t>
      </w:r>
      <w:r w:rsidR="00F32A92" w:rsidRPr="0038179C">
        <w:rPr>
          <w:szCs w:val="26"/>
        </w:rPr>
        <w:t>Alejandra’s</w:t>
      </w:r>
      <w:r w:rsidR="00440904" w:rsidRPr="0038179C">
        <w:rPr>
          <w:szCs w:val="26"/>
        </w:rPr>
        <w:t xml:space="preserve"> cell phone</w:t>
      </w:r>
      <w:r w:rsidR="00255202" w:rsidRPr="0038179C">
        <w:rPr>
          <w:szCs w:val="26"/>
        </w:rPr>
        <w:t>, Alejandra would see the missed call, and would call back</w:t>
      </w:r>
      <w:r w:rsidR="001A7740" w:rsidRPr="0038179C">
        <w:rPr>
          <w:szCs w:val="26"/>
        </w:rPr>
        <w:t xml:space="preserve"> on </w:t>
      </w:r>
      <w:r w:rsidR="001D667D" w:rsidRPr="0038179C">
        <w:rPr>
          <w:szCs w:val="26"/>
        </w:rPr>
        <w:t>her</w:t>
      </w:r>
      <w:r w:rsidR="001A7740" w:rsidRPr="0038179C">
        <w:rPr>
          <w:szCs w:val="26"/>
        </w:rPr>
        <w:t xml:space="preserve"> desk phone</w:t>
      </w:r>
      <w:r w:rsidR="00255202" w:rsidRPr="0038179C">
        <w:rPr>
          <w:szCs w:val="26"/>
        </w:rPr>
        <w:t xml:space="preserve">.  </w:t>
      </w:r>
      <w:r w:rsidR="00255202" w:rsidRPr="0038179C">
        <w:t xml:space="preserve">When Alejandra called her, </w:t>
      </w:r>
      <w:r w:rsidR="0000018B" w:rsidRPr="0038179C">
        <w:t>Rojas</w:t>
      </w:r>
      <w:r w:rsidR="00255202" w:rsidRPr="0038179C">
        <w:t xml:space="preserve"> did not receive “any indication” her calls were being recorded. </w:t>
      </w:r>
      <w:r w:rsidR="00255202" w:rsidRPr="0038179C">
        <w:rPr>
          <w:szCs w:val="26"/>
        </w:rPr>
        <w:t xml:space="preserve"> Rojas said </w:t>
      </w:r>
      <w:r w:rsidR="00440904" w:rsidRPr="0038179C">
        <w:rPr>
          <w:szCs w:val="26"/>
        </w:rPr>
        <w:t xml:space="preserve">she </w:t>
      </w:r>
      <w:bookmarkStart w:id="24" w:name="dabmq_12"/>
      <w:r w:rsidR="00440904" w:rsidRPr="0038179C">
        <w:rPr>
          <w:szCs w:val="26"/>
        </w:rPr>
        <w:t xml:space="preserve">“didn’t have a phone number for </w:t>
      </w:r>
      <w:r w:rsidR="001A7740" w:rsidRPr="0038179C">
        <w:rPr>
          <w:szCs w:val="26"/>
        </w:rPr>
        <w:t>Alejandra</w:t>
      </w:r>
      <w:r w:rsidR="00440904" w:rsidRPr="0038179C">
        <w:rPr>
          <w:szCs w:val="26"/>
        </w:rPr>
        <w:t xml:space="preserve"> at her work.”</w:t>
      </w:r>
      <w:bookmarkEnd w:id="24"/>
      <w:r w:rsidR="00440904" w:rsidRPr="0038179C">
        <w:rPr>
          <w:szCs w:val="26"/>
        </w:rPr>
        <w:t xml:space="preserve"> </w:t>
      </w:r>
    </w:p>
    <w:p w14:paraId="57AD27CC" w14:textId="77777777" w:rsidR="00076503" w:rsidRDefault="00A42DA5" w:rsidP="00882F89">
      <w:pPr>
        <w:widowControl w:val="0"/>
        <w:spacing w:line="360" w:lineRule="auto"/>
      </w:pPr>
      <w:r w:rsidRPr="0038179C">
        <w:rPr>
          <w:szCs w:val="26"/>
        </w:rPr>
        <w:tab/>
        <w:t>Alejandr</w:t>
      </w:r>
      <w:r w:rsidR="008E5F48" w:rsidRPr="0038179C">
        <w:rPr>
          <w:szCs w:val="26"/>
        </w:rPr>
        <w:t>a</w:t>
      </w:r>
      <w:r w:rsidR="00C46868" w:rsidRPr="0038179C">
        <w:rPr>
          <w:szCs w:val="26"/>
        </w:rPr>
        <w:t xml:space="preserve"> </w:t>
      </w:r>
      <w:r w:rsidR="00255202" w:rsidRPr="0038179C">
        <w:rPr>
          <w:szCs w:val="26"/>
        </w:rPr>
        <w:t>explained she would call Rojas back from her work phone</w:t>
      </w:r>
      <w:r w:rsidR="0003290C" w:rsidRPr="0038179C">
        <w:t xml:space="preserve">, because they </w:t>
      </w:r>
      <w:bookmarkStart w:id="25" w:name="dabmq_13"/>
      <w:r w:rsidR="0003290C" w:rsidRPr="0038179C">
        <w:t>“weren’t allowed to use [their] cell phones.”</w:t>
      </w:r>
      <w:bookmarkEnd w:id="25"/>
      <w:r w:rsidR="0003290C" w:rsidRPr="0038179C">
        <w:t xml:space="preserve">  </w:t>
      </w:r>
      <w:bookmarkStart w:id="26" w:name="_Hlk126928088"/>
      <w:r w:rsidR="0003290C" w:rsidRPr="0038179C">
        <w:t xml:space="preserve">She </w:t>
      </w:r>
      <w:bookmarkEnd w:id="26"/>
      <w:r w:rsidR="0003290C" w:rsidRPr="0038179C">
        <w:t>subsequently testified her boyfriend</w:t>
      </w:r>
      <w:r w:rsidR="00A13B41" w:rsidRPr="0038179C">
        <w:t xml:space="preserve"> Enrique</w:t>
      </w:r>
      <w:r w:rsidR="0003290C" w:rsidRPr="0038179C">
        <w:t xml:space="preserve"> had her </w:t>
      </w:r>
      <w:r w:rsidR="00326856" w:rsidRPr="0038179C">
        <w:t xml:space="preserve">HSBC landline </w:t>
      </w:r>
      <w:proofErr w:type="gramStart"/>
      <w:r w:rsidR="0003290C" w:rsidRPr="0038179C">
        <w:t>extension, and</w:t>
      </w:r>
      <w:proofErr w:type="gramEnd"/>
      <w:r w:rsidR="0003290C" w:rsidRPr="0038179C">
        <w:t xml:space="preserve"> would call her</w:t>
      </w:r>
      <w:r w:rsidR="00F32A92" w:rsidRPr="0038179C">
        <w:t xml:space="preserve"> </w:t>
      </w:r>
      <w:r w:rsidR="00C92ACF" w:rsidRPr="0038179C">
        <w:t>at that number</w:t>
      </w:r>
      <w:r w:rsidR="0003290C" w:rsidRPr="0038179C">
        <w:t xml:space="preserve">.  Alejandra acknowledged that if her </w:t>
      </w:r>
      <w:r w:rsidR="00DA2925" w:rsidRPr="0038179C">
        <w:t xml:space="preserve">“mother . . . </w:t>
      </w:r>
    </w:p>
    <w:p w14:paraId="140DBDD8" w14:textId="28DCAFE7" w:rsidR="00DA2925" w:rsidRPr="0038179C" w:rsidRDefault="00DA2925" w:rsidP="00882F89">
      <w:pPr>
        <w:widowControl w:val="0"/>
        <w:spacing w:line="360" w:lineRule="auto"/>
      </w:pPr>
      <w:r w:rsidRPr="0038179C">
        <w:t xml:space="preserve">boyfriend, anyone . . . called in on the incoming line,” the </w:t>
      </w:r>
      <w:r w:rsidR="00D877E0" w:rsidRPr="0038179C">
        <w:t xml:space="preserve">incoming </w:t>
      </w:r>
      <w:r w:rsidRPr="0038179C">
        <w:t xml:space="preserve">call would </w:t>
      </w:r>
      <w:r w:rsidR="00D877E0" w:rsidRPr="0038179C">
        <w:lastRenderedPageBreak/>
        <w:t>receive</w:t>
      </w:r>
      <w:r w:rsidRPr="0038179C">
        <w:t xml:space="preserve"> a recording disclosure. </w:t>
      </w:r>
    </w:p>
    <w:p w14:paraId="4E944EE3" w14:textId="7EFB6C36" w:rsidR="00F21F90" w:rsidRPr="0038179C" w:rsidRDefault="00816D7D" w:rsidP="000252A3">
      <w:pPr>
        <w:widowControl w:val="0"/>
        <w:spacing w:line="360" w:lineRule="auto"/>
        <w:ind w:firstLine="720"/>
      </w:pPr>
      <w:r w:rsidRPr="0038179C">
        <w:t xml:space="preserve">The call recordings played at trial included </w:t>
      </w:r>
      <w:r w:rsidR="00A13B41" w:rsidRPr="0038179C">
        <w:t>a</w:t>
      </w:r>
      <w:r w:rsidRPr="0038179C">
        <w:t xml:space="preserve"> </w:t>
      </w:r>
      <w:proofErr w:type="gramStart"/>
      <w:r w:rsidRPr="0038179C">
        <w:t>call in</w:t>
      </w:r>
      <w:proofErr w:type="gramEnd"/>
      <w:r w:rsidRPr="0038179C">
        <w:t xml:space="preserve"> which Rojas completed a sale </w:t>
      </w:r>
      <w:r w:rsidR="00A13B41" w:rsidRPr="0038179C">
        <w:t>to</w:t>
      </w:r>
      <w:r w:rsidRPr="0038179C">
        <w:t xml:space="preserve"> a J.C. Penney customer while talking to Alejandra</w:t>
      </w:r>
      <w:r w:rsidR="00095FB9" w:rsidRPr="0038179C">
        <w:t xml:space="preserve">, </w:t>
      </w:r>
      <w:r w:rsidRPr="0038179C">
        <w:t>and call</w:t>
      </w:r>
      <w:r w:rsidR="00095FB9" w:rsidRPr="0038179C">
        <w:t>s</w:t>
      </w:r>
      <w:r w:rsidRPr="0038179C">
        <w:t xml:space="preserve"> to her home</w:t>
      </w:r>
      <w:r w:rsidR="00095FB9" w:rsidRPr="0038179C">
        <w:t xml:space="preserve"> with others present, including one</w:t>
      </w:r>
      <w:r w:rsidRPr="0038179C">
        <w:t xml:space="preserve"> </w:t>
      </w:r>
      <w:r w:rsidR="00A13B41" w:rsidRPr="0038179C">
        <w:t xml:space="preserve">call </w:t>
      </w:r>
      <w:r w:rsidRPr="0038179C">
        <w:t xml:space="preserve">that was </w:t>
      </w:r>
      <w:bookmarkStart w:id="27" w:name="dabmq_14"/>
      <w:r w:rsidRPr="0038179C">
        <w:t>“mostly a conversation between [Enrique] and Alejandra,”</w:t>
      </w:r>
      <w:bookmarkEnd w:id="27"/>
      <w:r w:rsidRPr="0038179C">
        <w:t xml:space="preserve"> with Rojas joining at the end.  The </w:t>
      </w:r>
      <w:r w:rsidR="00095FB9" w:rsidRPr="0038179C">
        <w:t xml:space="preserve">recordings also </w:t>
      </w:r>
      <w:r w:rsidRPr="0038179C">
        <w:t xml:space="preserve">reflected background noise at the call center, including a </w:t>
      </w:r>
      <w:bookmarkStart w:id="28" w:name="dabmq_15"/>
      <w:r w:rsidRPr="0038179C">
        <w:t xml:space="preserve">“voice speaking in the background on </w:t>
      </w:r>
      <w:r w:rsidR="00213194" w:rsidRPr="0038179C">
        <w:t>[</w:t>
      </w:r>
      <w:r w:rsidRPr="0038179C">
        <w:t>one</w:t>
      </w:r>
      <w:r w:rsidR="00213194" w:rsidRPr="0038179C">
        <w:t>]</w:t>
      </w:r>
      <w:r w:rsidRPr="0038179C">
        <w:t xml:space="preserve"> call,”</w:t>
      </w:r>
      <w:bookmarkEnd w:id="28"/>
      <w:r w:rsidRPr="0038179C">
        <w:t xml:space="preserve"> and Rojas acknowledged Alejandra sometimes “</w:t>
      </w:r>
      <w:r w:rsidR="00FD72F4" w:rsidRPr="0038179C">
        <w:t>had to speak softly</w:t>
      </w:r>
      <w:r w:rsidRPr="0038179C">
        <w:t xml:space="preserve">” because she </w:t>
      </w:r>
      <w:bookmarkStart w:id="29" w:name="dabmq_16"/>
      <w:r w:rsidRPr="0038179C">
        <w:t>“didn’t want the conversation to be overheard”</w:t>
      </w:r>
      <w:bookmarkEnd w:id="29"/>
      <w:r w:rsidRPr="0038179C">
        <w:t xml:space="preserve"> and that</w:t>
      </w:r>
      <w:r w:rsidR="00A13B41" w:rsidRPr="0038179C">
        <w:t>,</w:t>
      </w:r>
      <w:r w:rsidRPr="0038179C">
        <w:t xml:space="preserve"> at one point, Rojas said</w:t>
      </w:r>
      <w:r w:rsidR="00E93077" w:rsidRPr="0038179C">
        <w:t>,</w:t>
      </w:r>
      <w:r w:rsidRPr="0038179C">
        <w:t xml:space="preserve"> “Talk to me louder” and Alejandra responded, “I can’t, I’m at work.” </w:t>
      </w:r>
    </w:p>
    <w:p w14:paraId="752AAAE1" w14:textId="7A2F87ED" w:rsidR="00552079" w:rsidRPr="0038179C" w:rsidRDefault="001D1FAD" w:rsidP="00882F89">
      <w:pPr>
        <w:widowControl w:val="0"/>
        <w:spacing w:line="360" w:lineRule="auto"/>
      </w:pPr>
      <w:r w:rsidRPr="0038179C">
        <w:tab/>
      </w:r>
      <w:r w:rsidR="00DA2925" w:rsidRPr="0038179C">
        <w:t>Ramirez,</w:t>
      </w:r>
      <w:r w:rsidR="00552079" w:rsidRPr="0038179C">
        <w:t xml:space="preserve"> who was</w:t>
      </w:r>
      <w:r w:rsidR="00DA2925" w:rsidRPr="0038179C">
        <w:t xml:space="preserve"> Alejandra’s direct </w:t>
      </w:r>
      <w:r w:rsidR="00E306FA" w:rsidRPr="0038179C">
        <w:t>manager</w:t>
      </w:r>
      <w:r w:rsidR="00DA2925" w:rsidRPr="0038179C">
        <w:t xml:space="preserve">, </w:t>
      </w:r>
      <w:r w:rsidR="008A69FA" w:rsidRPr="0038179C">
        <w:t xml:space="preserve">testified she </w:t>
      </w:r>
      <w:r w:rsidR="00DA2925" w:rsidRPr="0038179C">
        <w:t xml:space="preserve">was aware </w:t>
      </w:r>
      <w:r w:rsidR="00D877E0" w:rsidRPr="0038179C">
        <w:t>Alejandra</w:t>
      </w:r>
      <w:r w:rsidR="00DA2925" w:rsidRPr="0038179C">
        <w:t xml:space="preserve"> was making personal calls from her desk.  Escamilla, who was </w:t>
      </w:r>
      <w:r w:rsidR="00326856" w:rsidRPr="0038179C">
        <w:t>Alejandra’s</w:t>
      </w:r>
      <w:r w:rsidR="00DA2925" w:rsidRPr="0038179C">
        <w:t xml:space="preserve"> </w:t>
      </w:r>
      <w:r w:rsidR="00DB5196" w:rsidRPr="0038179C">
        <w:t>“</w:t>
      </w:r>
      <w:r w:rsidR="004E5726" w:rsidRPr="0038179C">
        <w:t xml:space="preserve">next-level manager” </w:t>
      </w:r>
      <w:r w:rsidR="00A13B41" w:rsidRPr="0038179C">
        <w:t>for a time</w:t>
      </w:r>
      <w:r w:rsidR="00DA2925" w:rsidRPr="0038179C">
        <w:t xml:space="preserve">, testified Alejandra was not permitted to make </w:t>
      </w:r>
      <w:r w:rsidR="00326856" w:rsidRPr="0038179C">
        <w:t>personal</w:t>
      </w:r>
      <w:r w:rsidR="00DA2925" w:rsidRPr="0038179C">
        <w:t xml:space="preserve"> calls</w:t>
      </w:r>
      <w:r w:rsidR="00394055" w:rsidRPr="0038179C">
        <w:t xml:space="preserve"> from her </w:t>
      </w:r>
      <w:r w:rsidR="00DB4BD5" w:rsidRPr="0038179C">
        <w:t>cubicle</w:t>
      </w:r>
      <w:r w:rsidR="00DA2925" w:rsidRPr="0038179C">
        <w:t xml:space="preserve">, but </w:t>
      </w:r>
      <w:r w:rsidR="00552079" w:rsidRPr="0038179C">
        <w:t xml:space="preserve">she </w:t>
      </w:r>
      <w:r w:rsidR="00326856" w:rsidRPr="0038179C">
        <w:t xml:space="preserve">was not aware of </w:t>
      </w:r>
      <w:r w:rsidR="005F4C75" w:rsidRPr="0038179C">
        <w:t>such calls</w:t>
      </w:r>
      <w:r w:rsidR="00DA2925" w:rsidRPr="0038179C">
        <w:t xml:space="preserve">. </w:t>
      </w:r>
    </w:p>
    <w:p w14:paraId="133EA96A" w14:textId="246FE832" w:rsidR="00DB3CC9" w:rsidRPr="0038179C" w:rsidRDefault="009763CF" w:rsidP="00C524E8">
      <w:pPr>
        <w:pStyle w:val="Heading2"/>
        <w:spacing w:before="60" w:after="60"/>
        <w:rPr>
          <w:i/>
          <w:iCs/>
        </w:rPr>
      </w:pPr>
      <w:bookmarkStart w:id="30" w:name="_Hlk83104763"/>
      <w:r w:rsidRPr="0038179C">
        <w:t>C</w:t>
      </w:r>
      <w:r w:rsidR="00DB3CC9" w:rsidRPr="0038179C">
        <w:t>.</w:t>
      </w:r>
      <w:r w:rsidR="00DB3CC9" w:rsidRPr="0038179C">
        <w:tab/>
      </w:r>
      <w:r w:rsidR="0042338D" w:rsidRPr="0038179C">
        <w:rPr>
          <w:i/>
          <w:iCs/>
        </w:rPr>
        <w:t>Statement of Decision</w:t>
      </w:r>
    </w:p>
    <w:bookmarkEnd w:id="30"/>
    <w:p w14:paraId="08653EF7" w14:textId="43AF567D" w:rsidR="006E7DF4" w:rsidRPr="0038179C" w:rsidRDefault="007F6DE2" w:rsidP="00882F89">
      <w:pPr>
        <w:spacing w:line="360" w:lineRule="auto"/>
        <w:rPr>
          <w:szCs w:val="26"/>
        </w:rPr>
      </w:pPr>
      <w:r w:rsidRPr="0038179C">
        <w:tab/>
        <w:t>After the bench trial</w:t>
      </w:r>
      <w:r w:rsidRPr="0038179C">
        <w:rPr>
          <w:szCs w:val="26"/>
        </w:rPr>
        <w:t xml:space="preserve">, the trial court issued </w:t>
      </w:r>
      <w:r w:rsidR="009C31FA" w:rsidRPr="0038179C">
        <w:rPr>
          <w:szCs w:val="26"/>
        </w:rPr>
        <w:t>a</w:t>
      </w:r>
      <w:r w:rsidRPr="0038179C">
        <w:rPr>
          <w:szCs w:val="26"/>
        </w:rPr>
        <w:t xml:space="preserve"> proposed statement of decision</w:t>
      </w:r>
      <w:r w:rsidR="009C31FA" w:rsidRPr="0038179C">
        <w:rPr>
          <w:szCs w:val="26"/>
        </w:rPr>
        <w:t xml:space="preserve"> finding in favor of HSBC</w:t>
      </w:r>
      <w:r w:rsidRPr="0038179C">
        <w:rPr>
          <w:szCs w:val="26"/>
        </w:rPr>
        <w:t>.  Rojas filed objections.  The court adopted its proposed statement as the final statement of decisio</w:t>
      </w:r>
      <w:r w:rsidR="002C68E2" w:rsidRPr="0038179C">
        <w:rPr>
          <w:szCs w:val="26"/>
        </w:rPr>
        <w:t>n</w:t>
      </w:r>
      <w:r w:rsidRPr="0038179C">
        <w:rPr>
          <w:szCs w:val="26"/>
        </w:rPr>
        <w:t xml:space="preserve">. </w:t>
      </w:r>
      <w:r w:rsidR="009C31FA" w:rsidRPr="0038179C">
        <w:rPr>
          <w:szCs w:val="26"/>
        </w:rPr>
        <w:t xml:space="preserve"> </w:t>
      </w:r>
    </w:p>
    <w:p w14:paraId="23266976" w14:textId="77777777" w:rsidR="00424981" w:rsidRDefault="006E7DF4" w:rsidP="0097521C">
      <w:pPr>
        <w:spacing w:line="360" w:lineRule="auto"/>
        <w:rPr>
          <w:szCs w:val="26"/>
        </w:rPr>
      </w:pPr>
      <w:r w:rsidRPr="0038179C">
        <w:rPr>
          <w:szCs w:val="26"/>
        </w:rPr>
        <w:tab/>
        <w:t xml:space="preserve">The </w:t>
      </w:r>
      <w:r w:rsidRPr="0038179C">
        <w:t xml:space="preserve">trial court </w:t>
      </w:r>
      <w:r w:rsidR="002E085E" w:rsidRPr="0038179C">
        <w:t>explained</w:t>
      </w:r>
      <w:r w:rsidR="00AF21A2" w:rsidRPr="0038179C">
        <w:t xml:space="preserve"> there were 106 call recordings at issue, as </w:t>
      </w:r>
      <w:r w:rsidR="002E085E" w:rsidRPr="0038179C">
        <w:t>it</w:t>
      </w:r>
      <w:r w:rsidR="00AF21A2" w:rsidRPr="0038179C">
        <w:t xml:space="preserve"> accepted into evidence</w:t>
      </w:r>
      <w:r w:rsidR="002E085E" w:rsidRPr="0038179C">
        <w:t xml:space="preserve"> </w:t>
      </w:r>
      <w:r w:rsidR="00AF21A2" w:rsidRPr="0038179C">
        <w:t xml:space="preserve">only the 109 </w:t>
      </w:r>
      <w:r w:rsidR="002E085E" w:rsidRPr="0038179C">
        <w:t>recordings</w:t>
      </w:r>
      <w:r w:rsidR="00AF21A2" w:rsidRPr="0038179C">
        <w:t xml:space="preserve"> played during trial and Rojas declined to pursue three calls to her J.C. Penney work </w:t>
      </w:r>
      <w:r w:rsidR="00B27C8F" w:rsidRPr="0038179C">
        <w:t xml:space="preserve">phone </w:t>
      </w:r>
      <w:r w:rsidR="00AF21A2" w:rsidRPr="0038179C">
        <w:t xml:space="preserve">line.  </w:t>
      </w:r>
      <w:r w:rsidR="00E04D32" w:rsidRPr="0038179C">
        <w:t>In ruling on Rojas’s Privacy Act claims, t</w:t>
      </w:r>
      <w:r w:rsidR="00AF21A2" w:rsidRPr="0038179C">
        <w:t xml:space="preserve">he court </w:t>
      </w:r>
      <w:r w:rsidRPr="0038179C">
        <w:t xml:space="preserve">determined Rojas </w:t>
      </w:r>
      <w:bookmarkStart w:id="31" w:name="dabmq_17"/>
      <w:r w:rsidRPr="0038179C">
        <w:t>“fail</w:t>
      </w:r>
      <w:r w:rsidR="0047725D" w:rsidRPr="0038179C">
        <w:t>[ed]</w:t>
      </w:r>
      <w:r w:rsidRPr="0038179C">
        <w:t xml:space="preserve"> to prove the necessary elements of intent and lack of consent,”</w:t>
      </w:r>
      <w:bookmarkEnd w:id="31"/>
      <w:r w:rsidRPr="0038179C">
        <w:t xml:space="preserve"> which </w:t>
      </w:r>
      <w:r w:rsidR="0047725D" w:rsidRPr="0038179C">
        <w:t>are “essential elements” under both section 632 and 632.7, and this</w:t>
      </w:r>
      <w:r w:rsidRPr="0038179C">
        <w:t xml:space="preserve"> </w:t>
      </w:r>
      <w:bookmarkStart w:id="32" w:name="dabmq_18"/>
      <w:r w:rsidRPr="0038179C">
        <w:t xml:space="preserve">“requires a finding in HSBC’s favor on all of </w:t>
      </w:r>
      <w:r w:rsidR="0047725D" w:rsidRPr="0038179C">
        <w:t>[her]</w:t>
      </w:r>
      <w:r w:rsidRPr="0038179C">
        <w:t xml:space="preserve"> claims.”</w:t>
      </w:r>
      <w:bookmarkEnd w:id="32"/>
      <w:r w:rsidRPr="0038179C">
        <w:t xml:space="preserve">  </w:t>
      </w:r>
      <w:r w:rsidR="00105ACC" w:rsidRPr="0038179C">
        <w:rPr>
          <w:szCs w:val="26"/>
        </w:rPr>
        <w:t xml:space="preserve">The court </w:t>
      </w:r>
      <w:r w:rsidR="00013E62" w:rsidRPr="0038179C">
        <w:rPr>
          <w:szCs w:val="26"/>
        </w:rPr>
        <w:t>also</w:t>
      </w:r>
      <w:r w:rsidR="00105ACC" w:rsidRPr="0038179C">
        <w:rPr>
          <w:szCs w:val="26"/>
        </w:rPr>
        <w:t xml:space="preserve"> found Rojas did not establish </w:t>
      </w:r>
      <w:r w:rsidR="00FF1FEC" w:rsidRPr="0038179C">
        <w:rPr>
          <w:szCs w:val="26"/>
        </w:rPr>
        <w:t>the landline communications were</w:t>
      </w:r>
      <w:r w:rsidR="00AF21A2" w:rsidRPr="0038179C">
        <w:rPr>
          <w:szCs w:val="26"/>
        </w:rPr>
        <w:t xml:space="preserve"> confidential </w:t>
      </w:r>
      <w:r w:rsidR="00105ACC" w:rsidRPr="0038179C">
        <w:rPr>
          <w:szCs w:val="26"/>
        </w:rPr>
        <w:t xml:space="preserve">for purposes of </w:t>
      </w:r>
      <w:r w:rsidR="00105ACC" w:rsidRPr="0038179C">
        <w:rPr>
          <w:szCs w:val="26"/>
        </w:rPr>
        <w:lastRenderedPageBreak/>
        <w:t>section 632</w:t>
      </w:r>
      <w:r w:rsidR="00AF21A2" w:rsidRPr="0038179C">
        <w:rPr>
          <w:szCs w:val="26"/>
        </w:rPr>
        <w:t>,</w:t>
      </w:r>
      <w:r w:rsidR="00013E62" w:rsidRPr="0038179C">
        <w:rPr>
          <w:szCs w:val="26"/>
        </w:rPr>
        <w:t xml:space="preserve"> </w:t>
      </w:r>
      <w:r w:rsidR="00AF21A2" w:rsidRPr="0038179C">
        <w:rPr>
          <w:szCs w:val="26"/>
        </w:rPr>
        <w:t xml:space="preserve">and could not </w:t>
      </w:r>
      <w:r w:rsidR="00FF1FEC" w:rsidRPr="0038179C">
        <w:rPr>
          <w:szCs w:val="26"/>
        </w:rPr>
        <w:t>recover for cellular or cordless calls under</w:t>
      </w:r>
      <w:r w:rsidR="00AF21A2" w:rsidRPr="0038179C">
        <w:rPr>
          <w:szCs w:val="26"/>
        </w:rPr>
        <w:t xml:space="preserve"> section 632.7 </w:t>
      </w:r>
      <w:r w:rsidR="00FF1FEC" w:rsidRPr="0038179C">
        <w:rPr>
          <w:szCs w:val="26"/>
        </w:rPr>
        <w:t xml:space="preserve">for additional reasons (or seek alternative relief </w:t>
      </w:r>
      <w:r w:rsidR="00D90048" w:rsidRPr="0038179C">
        <w:rPr>
          <w:szCs w:val="26"/>
        </w:rPr>
        <w:t xml:space="preserve">for those calls </w:t>
      </w:r>
      <w:r w:rsidR="005F7F44" w:rsidRPr="0038179C">
        <w:rPr>
          <w:szCs w:val="26"/>
        </w:rPr>
        <w:t>under</w:t>
      </w:r>
      <w:r w:rsidR="00424981">
        <w:rPr>
          <w:szCs w:val="26"/>
        </w:rPr>
        <w:t> </w:t>
      </w:r>
    </w:p>
    <w:p w14:paraId="0BD1E3F4" w14:textId="5FE3043C" w:rsidR="00113140" w:rsidRPr="0038179C" w:rsidRDefault="00051FB9" w:rsidP="0097521C">
      <w:pPr>
        <w:spacing w:line="360" w:lineRule="auto"/>
        <w:rPr>
          <w:szCs w:val="26"/>
        </w:rPr>
      </w:pPr>
      <w:r w:rsidRPr="0038179C">
        <w:rPr>
          <w:szCs w:val="26"/>
        </w:rPr>
        <w:t>§</w:t>
      </w:r>
      <w:r w:rsidR="00FF1FEC" w:rsidRPr="0038179C">
        <w:rPr>
          <w:szCs w:val="26"/>
        </w:rPr>
        <w:t xml:space="preserve"> 632)</w:t>
      </w:r>
      <w:r w:rsidR="00AF21A2" w:rsidRPr="0038179C">
        <w:rPr>
          <w:szCs w:val="26"/>
        </w:rPr>
        <w:t xml:space="preserve">. </w:t>
      </w:r>
      <w:r w:rsidR="00080DBF" w:rsidRPr="0038179C">
        <w:t xml:space="preserve"> In rejecting Rojas’s testimony that certain calls to her home were received on the cordless handset, the court expressly found she was </w:t>
      </w:r>
      <w:r w:rsidR="00393803" w:rsidRPr="0038179C">
        <w:t>“</w:t>
      </w:r>
      <w:r w:rsidR="00080DBF" w:rsidRPr="0038179C">
        <w:t>not credible.</w:t>
      </w:r>
      <w:r w:rsidR="00393803" w:rsidRPr="0038179C">
        <w:t>”</w:t>
      </w:r>
      <w:r w:rsidR="00080DBF" w:rsidRPr="0038179C">
        <w:t xml:space="preserve">  </w:t>
      </w:r>
      <w:r w:rsidR="0097521C" w:rsidRPr="0038179C">
        <w:t xml:space="preserve">The court also noted during trial that it </w:t>
      </w:r>
      <w:r w:rsidR="00080DBF" w:rsidRPr="0038179C">
        <w:rPr>
          <w:szCs w:val="26"/>
        </w:rPr>
        <w:t xml:space="preserve">had a </w:t>
      </w:r>
      <w:bookmarkStart w:id="33" w:name="dabmq_19"/>
      <w:r w:rsidR="00080DBF" w:rsidRPr="0038179C">
        <w:rPr>
          <w:szCs w:val="26"/>
        </w:rPr>
        <w:t>“hard time believing</w:t>
      </w:r>
      <w:r w:rsidR="0097521C" w:rsidRPr="0038179C">
        <w:rPr>
          <w:szCs w:val="26"/>
        </w:rPr>
        <w:t xml:space="preserve"> some of [Rojas’s] testimony</w:t>
      </w:r>
      <w:r w:rsidR="00080DBF" w:rsidRPr="0038179C">
        <w:rPr>
          <w:szCs w:val="26"/>
        </w:rPr>
        <w:t>”</w:t>
      </w:r>
      <w:bookmarkEnd w:id="33"/>
      <w:r w:rsidR="00080DBF" w:rsidRPr="0038179C">
        <w:rPr>
          <w:szCs w:val="26"/>
        </w:rPr>
        <w:t xml:space="preserve"> </w:t>
      </w:r>
      <w:r w:rsidR="0097521C" w:rsidRPr="0038179C">
        <w:rPr>
          <w:szCs w:val="26"/>
        </w:rPr>
        <w:t>regarding</w:t>
      </w:r>
      <w:r w:rsidR="00080DBF" w:rsidRPr="0038179C">
        <w:rPr>
          <w:szCs w:val="26"/>
        </w:rPr>
        <w:t xml:space="preserve"> calls</w:t>
      </w:r>
      <w:r w:rsidR="0097521C" w:rsidRPr="0038179C">
        <w:rPr>
          <w:szCs w:val="26"/>
        </w:rPr>
        <w:t xml:space="preserve"> not played at trial</w:t>
      </w:r>
      <w:r w:rsidR="00080DBF" w:rsidRPr="0038179C">
        <w:rPr>
          <w:szCs w:val="26"/>
        </w:rPr>
        <w:t xml:space="preserve">. </w:t>
      </w:r>
    </w:p>
    <w:p w14:paraId="066DEB60" w14:textId="199401B4" w:rsidR="0076658D" w:rsidRPr="0038179C" w:rsidRDefault="009763CF" w:rsidP="00C524E8">
      <w:pPr>
        <w:pStyle w:val="Heading2"/>
        <w:spacing w:before="60" w:after="60"/>
      </w:pPr>
      <w:r w:rsidRPr="0038179C">
        <w:t>D</w:t>
      </w:r>
      <w:r w:rsidR="0076658D" w:rsidRPr="0038179C">
        <w:t>.</w:t>
      </w:r>
      <w:r w:rsidR="0076658D" w:rsidRPr="0038179C">
        <w:tab/>
      </w:r>
      <w:r w:rsidR="007F6DE2" w:rsidRPr="0038179C">
        <w:rPr>
          <w:i/>
          <w:iCs/>
        </w:rPr>
        <w:t xml:space="preserve">Judgment and </w:t>
      </w:r>
      <w:r w:rsidR="0076658D" w:rsidRPr="0038179C">
        <w:rPr>
          <w:i/>
          <w:iCs/>
        </w:rPr>
        <w:t>Post</w:t>
      </w:r>
      <w:r w:rsidR="00E93077" w:rsidRPr="0038179C">
        <w:rPr>
          <w:i/>
          <w:iCs/>
        </w:rPr>
        <w:t>j</w:t>
      </w:r>
      <w:r w:rsidR="0076658D" w:rsidRPr="0038179C">
        <w:rPr>
          <w:i/>
          <w:iCs/>
        </w:rPr>
        <w:t>udgment Proceedings</w:t>
      </w:r>
    </w:p>
    <w:p w14:paraId="4CAAE601" w14:textId="05D9156E" w:rsidR="0088219E" w:rsidRPr="0038179C" w:rsidRDefault="007F6DE2" w:rsidP="00882F89">
      <w:pPr>
        <w:widowControl w:val="0"/>
        <w:spacing w:line="360" w:lineRule="auto"/>
        <w:rPr>
          <w:szCs w:val="26"/>
        </w:rPr>
      </w:pPr>
      <w:r w:rsidRPr="0038179C">
        <w:rPr>
          <w:szCs w:val="26"/>
        </w:rPr>
        <w:tab/>
      </w:r>
      <w:r w:rsidR="00012763" w:rsidRPr="0038179C">
        <w:rPr>
          <w:szCs w:val="26"/>
        </w:rPr>
        <w:t>In July 2020, t</w:t>
      </w:r>
      <w:r w:rsidRPr="0038179C">
        <w:rPr>
          <w:szCs w:val="26"/>
        </w:rPr>
        <w:t xml:space="preserve">he trial court entered judgment for HSBC.  </w:t>
      </w:r>
      <w:r w:rsidR="0042338D" w:rsidRPr="0038179C">
        <w:t>HSBC filed its memorandum of costs.</w:t>
      </w:r>
      <w:r w:rsidR="00D437F2" w:rsidRPr="0038179C">
        <w:t xml:space="preserve"> </w:t>
      </w:r>
      <w:r w:rsidR="0042338D" w:rsidRPr="0038179C">
        <w:t xml:space="preserve"> Rojas moved to</w:t>
      </w:r>
      <w:r w:rsidR="002E085E" w:rsidRPr="0038179C">
        <w:t xml:space="preserve"> strike or</w:t>
      </w:r>
      <w:r w:rsidR="0042338D" w:rsidRPr="0038179C">
        <w:t xml:space="preserve"> tax costs, which the trial court denied.</w:t>
      </w:r>
      <w:r w:rsidR="00237583" w:rsidRPr="0038179C">
        <w:t xml:space="preserve"> </w:t>
      </w:r>
      <w:r w:rsidR="0042338D" w:rsidRPr="0038179C">
        <w:t xml:space="preserve"> </w:t>
      </w:r>
    </w:p>
    <w:p w14:paraId="6414A91A" w14:textId="7417C438" w:rsidR="00D73651" w:rsidRPr="0038179C" w:rsidRDefault="0042338D" w:rsidP="00882F89">
      <w:pPr>
        <w:spacing w:line="360" w:lineRule="auto"/>
      </w:pPr>
      <w:r w:rsidRPr="0038179C">
        <w:tab/>
        <w:t>Rojas appealed from the judgment</w:t>
      </w:r>
      <w:r w:rsidR="00AF21A2" w:rsidRPr="0038179C">
        <w:t>,</w:t>
      </w:r>
      <w:r w:rsidRPr="0038179C">
        <w:t xml:space="preserve"> and </w:t>
      </w:r>
      <w:r w:rsidR="00AF21A2" w:rsidRPr="0038179C">
        <w:t xml:space="preserve">subsequently appealed from the </w:t>
      </w:r>
      <w:r w:rsidRPr="0038179C">
        <w:t>order denying her motion to tax costs.</w:t>
      </w:r>
      <w:r w:rsidR="008B2E29" w:rsidRPr="0038179C">
        <w:t xml:space="preserve"> </w:t>
      </w:r>
      <w:r w:rsidR="008B70AC" w:rsidRPr="0038179C">
        <w:t xml:space="preserve"> We requested supplemental briefing from the parties regarding a recent California Supreme Court decision </w:t>
      </w:r>
      <w:r w:rsidR="00FA28B6" w:rsidRPr="0038179C">
        <w:t>concerning</w:t>
      </w:r>
      <w:r w:rsidR="008B70AC" w:rsidRPr="0038179C">
        <w:t xml:space="preserve"> recoverable costs for unused trial exhibits.  (</w:t>
      </w:r>
      <w:bookmarkStart w:id="34" w:name="dabmci_5dec3c82f75e46bcbd2f139c564ca12f"/>
      <w:r w:rsidR="008B70AC" w:rsidRPr="0038179C">
        <w:rPr>
          <w:i/>
          <w:iCs/>
        </w:rPr>
        <w:t>Segal v. ASICS</w:t>
      </w:r>
      <w:r w:rsidR="008B70AC" w:rsidRPr="0038179C">
        <w:t xml:space="preserve"> (2022) 12 Cal.5th 651</w:t>
      </w:r>
      <w:r w:rsidR="002E085E" w:rsidRPr="0038179C">
        <w:t xml:space="preserve"> (</w:t>
      </w:r>
      <w:r w:rsidR="002E085E" w:rsidRPr="0038179C">
        <w:rPr>
          <w:i/>
          <w:iCs/>
        </w:rPr>
        <w:t>Segal</w:t>
      </w:r>
      <w:r w:rsidR="002E085E" w:rsidRPr="0038179C">
        <w:t>)</w:t>
      </w:r>
      <w:bookmarkEnd w:id="34"/>
      <w:r w:rsidR="008B70AC" w:rsidRPr="0038179C">
        <w:t>.)</w:t>
      </w:r>
    </w:p>
    <w:p w14:paraId="3496FA6B" w14:textId="727A978B" w:rsidR="00096537" w:rsidRPr="0038179C" w:rsidRDefault="00096537" w:rsidP="00882F89">
      <w:pPr>
        <w:widowControl w:val="0"/>
        <w:spacing w:line="360" w:lineRule="auto"/>
        <w:jc w:val="center"/>
        <w:outlineLvl w:val="0"/>
        <w:rPr>
          <w:szCs w:val="26"/>
        </w:rPr>
      </w:pPr>
      <w:r w:rsidRPr="0038179C">
        <w:rPr>
          <w:szCs w:val="26"/>
        </w:rPr>
        <w:t>DISCUSSION</w:t>
      </w:r>
    </w:p>
    <w:p w14:paraId="546EEC72" w14:textId="4C003BAC" w:rsidR="00263ED9" w:rsidRPr="0038179C" w:rsidRDefault="00096537" w:rsidP="00C524E8">
      <w:pPr>
        <w:pStyle w:val="Heading1"/>
        <w:spacing w:before="60" w:after="60" w:line="360" w:lineRule="auto"/>
        <w:rPr>
          <w:i/>
          <w:iCs/>
        </w:rPr>
      </w:pPr>
      <w:r w:rsidRPr="0038179C">
        <w:t>I.</w:t>
      </w:r>
      <w:r w:rsidR="003C7E90" w:rsidRPr="0038179C">
        <w:tab/>
      </w:r>
      <w:r w:rsidR="006B7BCA" w:rsidRPr="0038179C">
        <w:rPr>
          <w:i/>
          <w:iCs/>
        </w:rPr>
        <w:t xml:space="preserve">Rojas’s Appeal </w:t>
      </w:r>
      <w:proofErr w:type="gramStart"/>
      <w:r w:rsidR="006B7BCA" w:rsidRPr="0038179C">
        <w:rPr>
          <w:i/>
          <w:iCs/>
        </w:rPr>
        <w:t>From</w:t>
      </w:r>
      <w:proofErr w:type="gramEnd"/>
      <w:r w:rsidR="006B7BCA" w:rsidRPr="0038179C">
        <w:rPr>
          <w:i/>
          <w:iCs/>
        </w:rPr>
        <w:t xml:space="preserve"> Judgment After Court Trial</w:t>
      </w:r>
    </w:p>
    <w:p w14:paraId="00A6F6F8" w14:textId="77143D4D" w:rsidR="007757F8" w:rsidRPr="0038179C" w:rsidRDefault="00E45F0A" w:rsidP="00882F89">
      <w:pPr>
        <w:spacing w:line="360" w:lineRule="auto"/>
      </w:pPr>
      <w:r w:rsidRPr="0038179C">
        <w:tab/>
        <w:t xml:space="preserve">Rojas challenges the </w:t>
      </w:r>
      <w:r w:rsidR="00D5270B" w:rsidRPr="0038179C">
        <w:t xml:space="preserve">trial </w:t>
      </w:r>
      <w:r w:rsidRPr="0038179C">
        <w:t xml:space="preserve">court’s </w:t>
      </w:r>
      <w:r w:rsidR="00D5270B" w:rsidRPr="0038179C">
        <w:t>determinations regarding</w:t>
      </w:r>
      <w:r w:rsidRPr="0038179C">
        <w:t xml:space="preserve"> intent</w:t>
      </w:r>
      <w:r w:rsidR="005F7F44" w:rsidRPr="0038179C">
        <w:t xml:space="preserve">, </w:t>
      </w:r>
      <w:r w:rsidRPr="0038179C">
        <w:t>consent, confidentiality</w:t>
      </w:r>
      <w:r w:rsidR="00D5270B" w:rsidRPr="0038179C">
        <w:t xml:space="preserve"> under section 632</w:t>
      </w:r>
      <w:r w:rsidRPr="0038179C">
        <w:t>, and</w:t>
      </w:r>
      <w:r w:rsidR="00C13BF2" w:rsidRPr="0038179C">
        <w:t xml:space="preserve"> additional rulings regarding </w:t>
      </w:r>
      <w:r w:rsidRPr="0038179C">
        <w:t xml:space="preserve">section 632.7.  </w:t>
      </w:r>
      <w:r w:rsidR="00C13BF2" w:rsidRPr="0038179C">
        <w:t>She</w:t>
      </w:r>
      <w:r w:rsidRPr="0038179C">
        <w:t xml:space="preserve"> further contends the court abused its discretion by admitting into evidence and considering only call recordings played in court.  </w:t>
      </w:r>
      <w:r w:rsidR="007757F8" w:rsidRPr="0038179C">
        <w:t>We conclude that although</w:t>
      </w:r>
      <w:r w:rsidRPr="0038179C">
        <w:t xml:space="preserve"> the </w:t>
      </w:r>
      <w:r w:rsidR="007757F8" w:rsidRPr="0038179C">
        <w:t xml:space="preserve">court’s intent findings are not supported by the record, </w:t>
      </w:r>
      <w:r w:rsidR="007F4C4B" w:rsidRPr="0038179C">
        <w:t>the court properly analyzed</w:t>
      </w:r>
      <w:r w:rsidR="00B27C8F" w:rsidRPr="0038179C">
        <w:t xml:space="preserve"> the issue of</w:t>
      </w:r>
      <w:r w:rsidR="007F4C4B" w:rsidRPr="0038179C">
        <w:t xml:space="preserve"> consent</w:t>
      </w:r>
      <w:r w:rsidR="00B27C8F" w:rsidRPr="0038179C">
        <w:t xml:space="preserve"> to record</w:t>
      </w:r>
      <w:r w:rsidR="007F4C4B" w:rsidRPr="0038179C">
        <w:t xml:space="preserve"> and substantial evidence supports </w:t>
      </w:r>
      <w:r w:rsidR="003F6DDC" w:rsidRPr="0038179C">
        <w:t>its finding of implied consent</w:t>
      </w:r>
      <w:r w:rsidR="007F4C4B" w:rsidRPr="0038179C">
        <w:t>, requiring affirmance of the judgment</w:t>
      </w:r>
      <w:r w:rsidR="007757F8" w:rsidRPr="0038179C">
        <w:t xml:space="preserve">.  We </w:t>
      </w:r>
      <w:r w:rsidR="00DB5196" w:rsidRPr="0038179C">
        <w:t xml:space="preserve">need not and </w:t>
      </w:r>
      <w:r w:rsidR="000252A3" w:rsidRPr="0038179C">
        <w:t xml:space="preserve">do </w:t>
      </w:r>
      <w:r w:rsidR="00DB5196" w:rsidRPr="0038179C">
        <w:t xml:space="preserve">not reach Rojas’s </w:t>
      </w:r>
      <w:r w:rsidR="00632EA5" w:rsidRPr="0038179C">
        <w:t xml:space="preserve">remaining </w:t>
      </w:r>
      <w:r w:rsidR="00DB5196" w:rsidRPr="0038179C">
        <w:t>arguments</w:t>
      </w:r>
      <w:r w:rsidR="007757F8" w:rsidRPr="0038179C">
        <w:t xml:space="preserve">. </w:t>
      </w:r>
    </w:p>
    <w:p w14:paraId="15D1816E" w14:textId="137AB49E" w:rsidR="002D7207" w:rsidRPr="0038179C" w:rsidRDefault="00575843" w:rsidP="00A77324">
      <w:pPr>
        <w:pStyle w:val="Heading2"/>
        <w:spacing w:after="60"/>
      </w:pPr>
      <w:r w:rsidRPr="0038179C">
        <w:lastRenderedPageBreak/>
        <w:t>A.</w:t>
      </w:r>
      <w:r w:rsidRPr="0038179C">
        <w:tab/>
      </w:r>
      <w:r w:rsidR="002D7207" w:rsidRPr="0038179C">
        <w:rPr>
          <w:i/>
          <w:iCs/>
        </w:rPr>
        <w:t>Overview of Applicable Law</w:t>
      </w:r>
    </w:p>
    <w:p w14:paraId="656FCC5D" w14:textId="49F6E672" w:rsidR="002D7207" w:rsidRPr="0038179C" w:rsidRDefault="002D7207" w:rsidP="00A77324">
      <w:pPr>
        <w:pStyle w:val="Heading3"/>
        <w:spacing w:before="60" w:after="60"/>
      </w:pPr>
      <w:r w:rsidRPr="0038179C">
        <w:rPr>
          <w:i w:val="0"/>
          <w:iCs w:val="0"/>
        </w:rPr>
        <w:t>1.</w:t>
      </w:r>
      <w:r w:rsidRPr="0038179C">
        <w:rPr>
          <w:i w:val="0"/>
          <w:iCs w:val="0"/>
        </w:rPr>
        <w:tab/>
      </w:r>
      <w:bookmarkStart w:id="35" w:name="_Hlk121575513"/>
      <w:r w:rsidR="00365176" w:rsidRPr="0038179C">
        <w:t xml:space="preserve">California Invasion of Privacy Act </w:t>
      </w:r>
      <w:bookmarkEnd w:id="35"/>
    </w:p>
    <w:p w14:paraId="6E9AC374" w14:textId="508AEA72" w:rsidR="007A6562" w:rsidRPr="0038179C" w:rsidRDefault="0045409A" w:rsidP="00882F89">
      <w:pPr>
        <w:shd w:val="clear" w:color="auto" w:fill="FFFFFF"/>
        <w:spacing w:line="360" w:lineRule="auto"/>
        <w:textAlignment w:val="baseline"/>
      </w:pPr>
      <w:r w:rsidRPr="0038179C">
        <w:rPr>
          <w:szCs w:val="26"/>
        </w:rPr>
        <w:tab/>
        <w:t xml:space="preserve">The California Invasion of Privacy Act was enacted to </w:t>
      </w:r>
      <w:bookmarkStart w:id="36" w:name="dabmq_20"/>
      <w:r w:rsidRPr="0038179C">
        <w:rPr>
          <w:szCs w:val="26"/>
        </w:rPr>
        <w:t>“</w:t>
      </w:r>
      <w:r w:rsidR="00FF09DD" w:rsidRPr="0038179C">
        <w:rPr>
          <w:szCs w:val="26"/>
        </w:rPr>
        <w:t xml:space="preserve"> ‘</w:t>
      </w:r>
      <w:r w:rsidRPr="0038179C">
        <w:rPr>
          <w:szCs w:val="26"/>
        </w:rPr>
        <w:t>protect the right of privacy by, among other things, requiring that all parties consent to a recording of their conversation.</w:t>
      </w:r>
      <w:r w:rsidR="00FF09DD" w:rsidRPr="0038179C">
        <w:rPr>
          <w:szCs w:val="26"/>
        </w:rPr>
        <w:t xml:space="preserve">’ </w:t>
      </w:r>
      <w:r w:rsidRPr="0038179C">
        <w:rPr>
          <w:szCs w:val="26"/>
        </w:rPr>
        <w:t>”</w:t>
      </w:r>
      <w:bookmarkEnd w:id="36"/>
      <w:r w:rsidRPr="0038179C">
        <w:rPr>
          <w:szCs w:val="26"/>
        </w:rPr>
        <w:t xml:space="preserve">  (</w:t>
      </w:r>
      <w:bookmarkStart w:id="37" w:name="dabmci_1c57c4f875b24331a0094f7a24af4623"/>
      <w:r w:rsidR="00FF09DD" w:rsidRPr="0038179C">
        <w:rPr>
          <w:i/>
          <w:iCs/>
        </w:rPr>
        <w:t>Smith v. LoanMe</w:t>
      </w:r>
      <w:r w:rsidR="00FF09DD" w:rsidRPr="0038179C">
        <w:t xml:space="preserve"> (2021) 11 Cal.5th 183, 191 (</w:t>
      </w:r>
      <w:r w:rsidR="00FF09DD" w:rsidRPr="0038179C">
        <w:rPr>
          <w:i/>
          <w:iCs/>
        </w:rPr>
        <w:t>LoanMe</w:t>
      </w:r>
      <w:r w:rsidR="00FF09DD" w:rsidRPr="0038179C">
        <w:t>)</w:t>
      </w:r>
      <w:bookmarkEnd w:id="37"/>
      <w:r w:rsidR="00FF09DD" w:rsidRPr="0038179C">
        <w:t xml:space="preserve">, citing </w:t>
      </w:r>
      <w:bookmarkStart w:id="38" w:name="dabmci_112c435434ea4b19847ab773931a9493"/>
      <w:r w:rsidRPr="0038179C">
        <w:rPr>
          <w:i/>
          <w:iCs/>
          <w:szCs w:val="26"/>
        </w:rPr>
        <w:t>Flanagan v. Flanagan</w:t>
      </w:r>
      <w:r w:rsidRPr="0038179C">
        <w:rPr>
          <w:szCs w:val="26"/>
        </w:rPr>
        <w:t xml:space="preserve"> (2002) 27 Cal.4th 766, </w:t>
      </w:r>
      <w:r w:rsidR="00AF3215" w:rsidRPr="0038179C">
        <w:rPr>
          <w:szCs w:val="26"/>
        </w:rPr>
        <w:t>768–</w:t>
      </w:r>
      <w:r w:rsidRPr="0038179C">
        <w:rPr>
          <w:szCs w:val="26"/>
        </w:rPr>
        <w:t>769 (</w:t>
      </w:r>
      <w:r w:rsidRPr="0038179C">
        <w:rPr>
          <w:i/>
          <w:iCs/>
          <w:szCs w:val="26"/>
        </w:rPr>
        <w:t>Flanagan</w:t>
      </w:r>
      <w:r w:rsidRPr="0038179C">
        <w:rPr>
          <w:szCs w:val="26"/>
        </w:rPr>
        <w:t>)</w:t>
      </w:r>
      <w:bookmarkEnd w:id="38"/>
      <w:r w:rsidR="007A6562" w:rsidRPr="0038179C">
        <w:t xml:space="preserve">; see </w:t>
      </w:r>
      <w:bookmarkStart w:id="39" w:name="dabmci_6aebbc47450d4064a041ef535cd19a6d"/>
      <w:r w:rsidR="007A6562" w:rsidRPr="0038179C">
        <w:rPr>
          <w:i/>
          <w:iCs/>
        </w:rPr>
        <w:t>Kearney v. Salomon Smith Barney, Inc.</w:t>
      </w:r>
      <w:r w:rsidR="007A6562" w:rsidRPr="0038179C">
        <w:t xml:space="preserve"> (2006) 39 Cal.4th 95, 122 (</w:t>
      </w:r>
      <w:r w:rsidR="007A6562" w:rsidRPr="0038179C">
        <w:rPr>
          <w:i/>
          <w:iCs/>
        </w:rPr>
        <w:t>Kearney</w:t>
      </w:r>
      <w:r w:rsidR="007A6562" w:rsidRPr="0038179C">
        <w:t>)</w:t>
      </w:r>
      <w:bookmarkEnd w:id="39"/>
      <w:r w:rsidR="007A6562" w:rsidRPr="0038179C">
        <w:t xml:space="preserve"> [</w:t>
      </w:r>
      <w:bookmarkStart w:id="40" w:name="dabmq_21"/>
      <w:r w:rsidR="007A6562" w:rsidRPr="0038179C">
        <w:t>“it is unlawful under California law for a party to a telephone conversation to record the conversation without the knowledge of all other parties to the conversation”</w:t>
      </w:r>
      <w:bookmarkEnd w:id="40"/>
      <w:r w:rsidR="007A6562" w:rsidRPr="0038179C">
        <w:t>]</w:t>
      </w:r>
      <w:r w:rsidR="00A618CA" w:rsidRPr="0038179C">
        <w:t xml:space="preserve">; </w:t>
      </w:r>
      <w:bookmarkStart w:id="41" w:name="dabmci_d940eae59f0944b6883bd61c5e77a776"/>
      <w:r w:rsidR="00A618CA" w:rsidRPr="0038179C">
        <w:rPr>
          <w:i/>
          <w:iCs/>
        </w:rPr>
        <w:t>id.</w:t>
      </w:r>
      <w:r w:rsidR="00A618CA" w:rsidRPr="0038179C">
        <w:t xml:space="preserve"> at p. 125</w:t>
      </w:r>
      <w:bookmarkEnd w:id="41"/>
      <w:r w:rsidR="00A618CA" w:rsidRPr="0038179C">
        <w:t xml:space="preserve"> [state has </w:t>
      </w:r>
      <w:bookmarkStart w:id="42" w:name="dabmq_22"/>
      <w:r w:rsidR="00A618CA" w:rsidRPr="0038179C">
        <w:t>“strong and continuing interest in the full and vigorous application</w:t>
      </w:r>
      <w:r w:rsidR="00755A44" w:rsidRPr="0038179C">
        <w:t>”</w:t>
      </w:r>
      <w:bookmarkEnd w:id="42"/>
      <w:r w:rsidR="00A618CA" w:rsidRPr="0038179C">
        <w:t xml:space="preserve"> of the</w:t>
      </w:r>
      <w:r w:rsidR="00755A44" w:rsidRPr="0038179C">
        <w:t xml:space="preserve"> Privacy Act</w:t>
      </w:r>
      <w:r w:rsidR="00A618CA" w:rsidRPr="0038179C">
        <w:t>]</w:t>
      </w:r>
      <w:r w:rsidR="007A6562" w:rsidRPr="0038179C">
        <w:t>.)</w:t>
      </w:r>
    </w:p>
    <w:p w14:paraId="1CF74D69" w14:textId="5877AF00" w:rsidR="00EE176E" w:rsidRPr="0038179C" w:rsidRDefault="0045409A" w:rsidP="00882F89">
      <w:pPr>
        <w:shd w:val="clear" w:color="auto" w:fill="FFFFFF"/>
        <w:spacing w:line="360" w:lineRule="auto"/>
        <w:textAlignment w:val="baseline"/>
      </w:pPr>
      <w:r w:rsidRPr="0038179C">
        <w:rPr>
          <w:szCs w:val="26"/>
        </w:rPr>
        <w:tab/>
      </w:r>
      <w:r w:rsidR="006E4F2D" w:rsidRPr="0038179C">
        <w:rPr>
          <w:szCs w:val="26"/>
        </w:rPr>
        <w:t>Section 632</w:t>
      </w:r>
      <w:r w:rsidR="00D06D2F" w:rsidRPr="0038179C">
        <w:rPr>
          <w:szCs w:val="26"/>
        </w:rPr>
        <w:t>, subdivision (a)</w:t>
      </w:r>
      <w:r w:rsidR="00876E18" w:rsidRPr="0038179C">
        <w:rPr>
          <w:szCs w:val="26"/>
        </w:rPr>
        <w:t>,</w:t>
      </w:r>
      <w:r w:rsidR="006E4F2D" w:rsidRPr="0038179C">
        <w:rPr>
          <w:szCs w:val="26"/>
        </w:rPr>
        <w:t xml:space="preserve"> </w:t>
      </w:r>
      <w:bookmarkStart w:id="43" w:name="dabmq_23"/>
      <w:r w:rsidR="006E4F2D" w:rsidRPr="0038179C">
        <w:rPr>
          <w:szCs w:val="26"/>
        </w:rPr>
        <w:t xml:space="preserve">“provides for liability when ‘[a] person </w:t>
      </w:r>
      <w:r w:rsidR="0006334C" w:rsidRPr="0038179C">
        <w:rPr>
          <w:szCs w:val="26"/>
        </w:rPr>
        <w:t>. . .</w:t>
      </w:r>
      <w:r w:rsidR="006E4F2D" w:rsidRPr="0038179C">
        <w:rPr>
          <w:szCs w:val="26"/>
        </w:rPr>
        <w:t xml:space="preserve"> intentionally and without the consent of all parties to a confidential communication </w:t>
      </w:r>
      <w:r w:rsidR="0006334C" w:rsidRPr="0038179C">
        <w:rPr>
          <w:szCs w:val="26"/>
        </w:rPr>
        <w:t>. . .</w:t>
      </w:r>
      <w:r w:rsidR="006E4F2D" w:rsidRPr="0038179C">
        <w:rPr>
          <w:szCs w:val="26"/>
        </w:rPr>
        <w:t xml:space="preserve"> uses a</w:t>
      </w:r>
      <w:r w:rsidR="00D90048" w:rsidRPr="0038179C">
        <w:rPr>
          <w:szCs w:val="26"/>
        </w:rPr>
        <w:t>[]</w:t>
      </w:r>
      <w:r w:rsidR="006E4F2D" w:rsidRPr="0038179C">
        <w:rPr>
          <w:szCs w:val="26"/>
        </w:rPr>
        <w:t xml:space="preserve"> </w:t>
      </w:r>
      <w:r w:rsidR="00D90048" w:rsidRPr="0038179C">
        <w:rPr>
          <w:szCs w:val="26"/>
        </w:rPr>
        <w:t>. . .</w:t>
      </w:r>
      <w:r w:rsidR="006E4F2D" w:rsidRPr="0038179C">
        <w:rPr>
          <w:szCs w:val="26"/>
        </w:rPr>
        <w:t xml:space="preserve"> recording device to </w:t>
      </w:r>
      <w:r w:rsidR="00D90048" w:rsidRPr="0038179C">
        <w:rPr>
          <w:szCs w:val="26"/>
        </w:rPr>
        <w:t>. . .</w:t>
      </w:r>
      <w:r w:rsidR="006E4F2D" w:rsidRPr="0038179C">
        <w:rPr>
          <w:szCs w:val="26"/>
        </w:rPr>
        <w:t xml:space="preserve"> record the confidential communication, whether the communication is carried on among the parties in the presence of one another or by means of a </w:t>
      </w:r>
      <w:r w:rsidR="00D90048" w:rsidRPr="0038179C">
        <w:rPr>
          <w:szCs w:val="26"/>
        </w:rPr>
        <w:t>. . .</w:t>
      </w:r>
      <w:r w:rsidR="006E4F2D" w:rsidRPr="0038179C">
        <w:rPr>
          <w:szCs w:val="26"/>
        </w:rPr>
        <w:t xml:space="preserve"> telephone</w:t>
      </w:r>
      <w:r w:rsidR="00D90048" w:rsidRPr="0038179C">
        <w:rPr>
          <w:szCs w:val="26"/>
        </w:rPr>
        <w:t>[]</w:t>
      </w:r>
      <w:r w:rsidR="006E4F2D" w:rsidRPr="0038179C">
        <w:rPr>
          <w:szCs w:val="26"/>
        </w:rPr>
        <w:t xml:space="preserve"> or other device, except a radio.’ ”</w:t>
      </w:r>
      <w:bookmarkEnd w:id="43"/>
      <w:r w:rsidR="006E4F2D" w:rsidRPr="0038179C">
        <w:rPr>
          <w:szCs w:val="26"/>
        </w:rPr>
        <w:t xml:space="preserve">  (</w:t>
      </w:r>
      <w:bookmarkStart w:id="44" w:name="dabmci_291f4f1598e74f759c37a56466180121"/>
      <w:r w:rsidR="006E4F2D" w:rsidRPr="0038179C">
        <w:rPr>
          <w:i/>
          <w:iCs/>
        </w:rPr>
        <w:t>LoanMe</w:t>
      </w:r>
      <w:r w:rsidR="00FF09DD" w:rsidRPr="0038179C">
        <w:t xml:space="preserve">, </w:t>
      </w:r>
      <w:r w:rsidR="00FF09DD" w:rsidRPr="0038179C">
        <w:rPr>
          <w:i/>
          <w:iCs/>
        </w:rPr>
        <w:t>supra</w:t>
      </w:r>
      <w:r w:rsidR="00FF09DD" w:rsidRPr="0038179C">
        <w:t xml:space="preserve">, </w:t>
      </w:r>
      <w:r w:rsidR="006E4F2D" w:rsidRPr="0038179C">
        <w:t xml:space="preserve">11 Cal.5th </w:t>
      </w:r>
      <w:r w:rsidR="00FF09DD" w:rsidRPr="0038179C">
        <w:t>at p. 191</w:t>
      </w:r>
      <w:bookmarkEnd w:id="44"/>
      <w:r w:rsidR="006E4F2D" w:rsidRPr="0038179C">
        <w:t>.)</w:t>
      </w:r>
      <w:r w:rsidR="00EE176E" w:rsidRPr="0038179C">
        <w:t xml:space="preserve">  A “conversation is confidential” for purposes of section 632 </w:t>
      </w:r>
      <w:bookmarkStart w:id="45" w:name="dabmq_24"/>
      <w:r w:rsidR="00EE176E" w:rsidRPr="0038179C">
        <w:t>“if a party to that conversation has an objectively reasonable expectation that the conversation is not being overheard or recorded.”</w:t>
      </w:r>
      <w:bookmarkEnd w:id="45"/>
      <w:r w:rsidR="00EE176E" w:rsidRPr="0038179C">
        <w:t xml:space="preserve">  (</w:t>
      </w:r>
      <w:bookmarkStart w:id="46" w:name="dabmci_afc6807705cb4f5e89574f4053e9dc38"/>
      <w:r w:rsidR="00EE176E" w:rsidRPr="0038179C">
        <w:rPr>
          <w:i/>
          <w:iCs/>
        </w:rPr>
        <w:t>Flanagan</w:t>
      </w:r>
      <w:r w:rsidR="00EE176E" w:rsidRPr="0038179C">
        <w:t xml:space="preserve">, </w:t>
      </w:r>
      <w:r w:rsidR="00EE176E" w:rsidRPr="0038179C">
        <w:rPr>
          <w:i/>
          <w:iCs/>
        </w:rPr>
        <w:t>supra</w:t>
      </w:r>
      <w:r w:rsidR="00EE176E" w:rsidRPr="0038179C">
        <w:t>, 27 Cal.4th at p. 768</w:t>
      </w:r>
      <w:bookmarkEnd w:id="46"/>
      <w:r w:rsidR="00EE176E" w:rsidRPr="0038179C">
        <w:t>; see § 632, subd. (c) [</w:t>
      </w:r>
      <w:r w:rsidR="00276E77" w:rsidRPr="0038179C">
        <w:t xml:space="preserve">full </w:t>
      </w:r>
      <w:r w:rsidR="00EE176E" w:rsidRPr="0038179C">
        <w:t>definition of “confidential communication”].)</w:t>
      </w:r>
    </w:p>
    <w:p w14:paraId="73542ED9" w14:textId="3A0867FA" w:rsidR="00B3001F" w:rsidRPr="0038179C" w:rsidRDefault="00896902" w:rsidP="00882F89">
      <w:pPr>
        <w:shd w:val="clear" w:color="auto" w:fill="FFFFFF"/>
        <w:spacing w:line="360" w:lineRule="auto"/>
        <w:textAlignment w:val="baseline"/>
      </w:pPr>
      <w:r w:rsidRPr="0038179C">
        <w:rPr>
          <w:szCs w:val="26"/>
        </w:rPr>
        <w:tab/>
      </w:r>
      <w:bookmarkStart w:id="47" w:name="dabmq_25"/>
      <w:r w:rsidRPr="0038179C">
        <w:rPr>
          <w:szCs w:val="26"/>
        </w:rPr>
        <w:t>“</w:t>
      </w:r>
      <w:r w:rsidR="0045409A" w:rsidRPr="0038179C">
        <w:t>Other provisions within the statutory scheme reflect updates that have been made from time to time in response to the emergence of new communication devices.</w:t>
      </w:r>
      <w:r w:rsidRPr="0038179C">
        <w:t>”</w:t>
      </w:r>
      <w:bookmarkEnd w:id="47"/>
      <w:r w:rsidRPr="0038179C">
        <w:t xml:space="preserve">  (</w:t>
      </w:r>
      <w:bookmarkStart w:id="48" w:name="dabmci_6a0933aa55474f3d8c13fd38595c1217"/>
      <w:r w:rsidR="0006334C" w:rsidRPr="0038179C">
        <w:rPr>
          <w:i/>
          <w:iCs/>
        </w:rPr>
        <w:t>LoanMe</w:t>
      </w:r>
      <w:r w:rsidR="006E4F2D" w:rsidRPr="0038179C">
        <w:rPr>
          <w:i/>
          <w:iCs/>
        </w:rPr>
        <w:t xml:space="preserve">, supra, </w:t>
      </w:r>
      <w:r w:rsidRPr="0038179C">
        <w:t xml:space="preserve">11 Cal.5th </w:t>
      </w:r>
      <w:r w:rsidR="006E4F2D" w:rsidRPr="0038179C">
        <w:t>at p.</w:t>
      </w:r>
      <w:r w:rsidRPr="0038179C">
        <w:t xml:space="preserve"> 191</w:t>
      </w:r>
      <w:bookmarkEnd w:id="48"/>
      <w:r w:rsidRPr="0038179C">
        <w:t xml:space="preserve">; </w:t>
      </w:r>
      <w:bookmarkStart w:id="49" w:name="dabmci_ff041337a4fd430284845f5edefe4cdc"/>
      <w:r w:rsidRPr="0038179C">
        <w:rPr>
          <w:i/>
          <w:iCs/>
        </w:rPr>
        <w:t>ibid</w:t>
      </w:r>
      <w:r w:rsidRPr="0038179C">
        <w:t>.</w:t>
      </w:r>
      <w:bookmarkEnd w:id="49"/>
      <w:r w:rsidRPr="0038179C">
        <w:t xml:space="preserve"> [</w:t>
      </w:r>
      <w:bookmarkStart w:id="50" w:name="dabmq_26"/>
      <w:r w:rsidRPr="0038179C">
        <w:t>“</w:t>
      </w:r>
      <w:r w:rsidR="0045409A" w:rsidRPr="0038179C">
        <w:t xml:space="preserve">The Legislature augmented the statutory scheme in 1985, 1990, and 1992 </w:t>
      </w:r>
      <w:r w:rsidRPr="0038179C">
        <w:t>‘</w:t>
      </w:r>
      <w:r w:rsidR="0045409A" w:rsidRPr="0038179C">
        <w:t>to take account of privacy issues raised by the increased use of cellular and cordless telephones.</w:t>
      </w:r>
      <w:r w:rsidRPr="0038179C">
        <w:t>’ ”</w:t>
      </w:r>
      <w:bookmarkEnd w:id="50"/>
      <w:r w:rsidRPr="0038179C">
        <w:t>].)</w:t>
      </w:r>
    </w:p>
    <w:p w14:paraId="578B4BF5" w14:textId="7B02E691" w:rsidR="00EE176E" w:rsidRPr="0038179C" w:rsidRDefault="00896902" w:rsidP="00882F89">
      <w:pPr>
        <w:shd w:val="clear" w:color="auto" w:fill="FFFFFF"/>
        <w:spacing w:line="360" w:lineRule="auto"/>
        <w:textAlignment w:val="baseline"/>
      </w:pPr>
      <w:r w:rsidRPr="0038179C">
        <w:lastRenderedPageBreak/>
        <w:tab/>
      </w:r>
      <w:r w:rsidR="0077105A" w:rsidRPr="0038179C">
        <w:t>Relevant here, s</w:t>
      </w:r>
      <w:r w:rsidRPr="0038179C">
        <w:t>ection 632.7</w:t>
      </w:r>
      <w:r w:rsidR="00D06D2F" w:rsidRPr="0038179C">
        <w:t>, subdivision (a)</w:t>
      </w:r>
      <w:r w:rsidRPr="0038179C">
        <w:t xml:space="preserve"> provides, </w:t>
      </w:r>
      <w:bookmarkStart w:id="51" w:name="dabmq_27"/>
      <w:r w:rsidR="00276206" w:rsidRPr="0038179C">
        <w:t>“Every person who, without the consent of all parties to a communication, intercepts or receives and intentionally records, or assists in the interception or reception and intentional recordation of, a communication transmitted between two cellular radio telephones, a cellular radio telephone and a landline telephone, two cordless telephones, a cordless telephone and a landline telephone, or a cordless telephone and a cellular radio telephone, shall be punished”</w:t>
      </w:r>
      <w:bookmarkEnd w:id="51"/>
      <w:r w:rsidR="00276206" w:rsidRPr="0038179C">
        <w:t xml:space="preserve"> with statutory damages and other remedies.  (See </w:t>
      </w:r>
      <w:bookmarkStart w:id="52" w:name="dabmci_001f931eb9a54da5b3130fa839a3e6b0"/>
      <w:r w:rsidR="0006334C" w:rsidRPr="0038179C">
        <w:rPr>
          <w:i/>
          <w:iCs/>
        </w:rPr>
        <w:t>LoanMe</w:t>
      </w:r>
      <w:r w:rsidR="00AD3A5C" w:rsidRPr="0038179C">
        <w:t xml:space="preserve">, </w:t>
      </w:r>
      <w:r w:rsidR="00AD3A5C" w:rsidRPr="0038179C">
        <w:rPr>
          <w:i/>
          <w:iCs/>
        </w:rPr>
        <w:t>supra</w:t>
      </w:r>
      <w:r w:rsidR="00AD3A5C" w:rsidRPr="0038179C">
        <w:t xml:space="preserve">, 11 Cal.5th at </w:t>
      </w:r>
      <w:r w:rsidR="00481C5B" w:rsidRPr="0038179C">
        <w:t>p</w:t>
      </w:r>
      <w:r w:rsidR="00AD3A5C" w:rsidRPr="0038179C">
        <w:t>p. 191</w:t>
      </w:r>
      <w:r w:rsidR="00481C5B" w:rsidRPr="0038179C">
        <w:t>–192</w:t>
      </w:r>
      <w:bookmarkEnd w:id="52"/>
      <w:r w:rsidR="000515FA" w:rsidRPr="0038179C">
        <w:t xml:space="preserve">; </w:t>
      </w:r>
      <w:bookmarkStart w:id="53" w:name="dabmci_918bc8877c674d7f89f1e4e5f90ceb03"/>
      <w:r w:rsidR="000515FA" w:rsidRPr="0038179C">
        <w:rPr>
          <w:i/>
          <w:iCs/>
        </w:rPr>
        <w:t>id.</w:t>
      </w:r>
      <w:r w:rsidR="000515FA" w:rsidRPr="0038179C">
        <w:t xml:space="preserve"> at p. 191,</w:t>
      </w:r>
      <w:r w:rsidR="00AD3A5C" w:rsidRPr="0038179C">
        <w:t xml:space="preserve"> fn. 2</w:t>
      </w:r>
      <w:bookmarkEnd w:id="53"/>
      <w:r w:rsidR="00AD3A5C" w:rsidRPr="0038179C">
        <w:t xml:space="preserve"> [</w:t>
      </w:r>
      <w:bookmarkStart w:id="54" w:name="dabmq_28"/>
      <w:r w:rsidR="00AD3A5C" w:rsidRPr="0038179C">
        <w:t>“</w:t>
      </w:r>
      <w:r w:rsidR="0045409A" w:rsidRPr="0038179C">
        <w:t>section 632.7 does not prohibit the</w:t>
      </w:r>
      <w:r w:rsidR="00AD3A5C" w:rsidRPr="0038179C">
        <w:t xml:space="preserve"> ‘</w:t>
      </w:r>
      <w:r w:rsidR="0045409A" w:rsidRPr="0038179C">
        <w:t>intentional interception or recording</w:t>
      </w:r>
      <w:r w:rsidR="00AD3A5C" w:rsidRPr="0038179C">
        <w:t>’</w:t>
      </w:r>
      <w:r w:rsidR="0045409A" w:rsidRPr="0038179C">
        <w:t xml:space="preserve"> of a covered communication </w:t>
      </w:r>
      <w:r w:rsidR="00AD3A5C" w:rsidRPr="0038179C">
        <w:t>[citation]</w:t>
      </w:r>
      <w:r w:rsidR="0045409A" w:rsidRPr="0038179C">
        <w:t>; it is concerned instead with the intentional recording of an intercepted or received communication</w:t>
      </w:r>
      <w:r w:rsidR="00AD3A5C" w:rsidRPr="0038179C">
        <w:t>”</w:t>
      </w:r>
      <w:bookmarkEnd w:id="54"/>
      <w:r w:rsidR="00AD3A5C" w:rsidRPr="0038179C">
        <w:t>]</w:t>
      </w:r>
      <w:r w:rsidR="007A6562" w:rsidRPr="0038179C">
        <w:t xml:space="preserve">; see also </w:t>
      </w:r>
      <w:bookmarkStart w:id="55" w:name="dabmci_20fefcd8d7d64192b10159bbb64b0c66"/>
      <w:r w:rsidR="007A6562" w:rsidRPr="0038179C">
        <w:rPr>
          <w:i/>
          <w:iCs/>
          <w:szCs w:val="26"/>
        </w:rPr>
        <w:t>Flanagan</w:t>
      </w:r>
      <w:r w:rsidR="007A6562" w:rsidRPr="0038179C">
        <w:rPr>
          <w:szCs w:val="26"/>
        </w:rPr>
        <w:t xml:space="preserve">, </w:t>
      </w:r>
      <w:r w:rsidR="007A6562" w:rsidRPr="00424981">
        <w:rPr>
          <w:i/>
          <w:iCs/>
          <w:szCs w:val="26"/>
        </w:rPr>
        <w:t>supra</w:t>
      </w:r>
      <w:r w:rsidR="007A6562" w:rsidRPr="0038179C">
        <w:rPr>
          <w:szCs w:val="26"/>
        </w:rPr>
        <w:t>, 27 Cal.4th at p. 771, fn.</w:t>
      </w:r>
      <w:r w:rsidR="00024DBA">
        <w:rPr>
          <w:szCs w:val="26"/>
        </w:rPr>
        <w:t> </w:t>
      </w:r>
      <w:r w:rsidR="007A6562" w:rsidRPr="0038179C">
        <w:rPr>
          <w:szCs w:val="26"/>
        </w:rPr>
        <w:t>2</w:t>
      </w:r>
      <w:bookmarkEnd w:id="55"/>
      <w:r w:rsidR="007A6562" w:rsidRPr="0038179C">
        <w:rPr>
          <w:szCs w:val="26"/>
        </w:rPr>
        <w:t xml:space="preserve"> </w:t>
      </w:r>
      <w:r w:rsidR="007A6562" w:rsidRPr="0038179C">
        <w:t>[</w:t>
      </w:r>
      <w:r w:rsidR="009238D7">
        <w:t>§</w:t>
      </w:r>
      <w:r w:rsidR="009238D7" w:rsidRPr="0038179C">
        <w:t xml:space="preserve"> </w:t>
      </w:r>
      <w:r w:rsidR="007A6562" w:rsidRPr="0038179C">
        <w:t xml:space="preserve">632.7 </w:t>
      </w:r>
      <w:bookmarkStart w:id="56" w:name="dabmq_29"/>
      <w:r w:rsidR="007A6562" w:rsidRPr="0038179C">
        <w:t>“applies to all communications, not just confidential communications”</w:t>
      </w:r>
      <w:bookmarkEnd w:id="56"/>
      <w:r w:rsidR="007A6562" w:rsidRPr="0038179C">
        <w:t>].)</w:t>
      </w:r>
      <w:r w:rsidR="00276206" w:rsidRPr="0038179C">
        <w:t xml:space="preserve"> </w:t>
      </w:r>
    </w:p>
    <w:p w14:paraId="0CCC1908" w14:textId="79CF35E5" w:rsidR="00575843" w:rsidRPr="0038179C" w:rsidRDefault="002D7207" w:rsidP="00A77324">
      <w:pPr>
        <w:pStyle w:val="Heading3"/>
        <w:spacing w:before="60" w:after="60"/>
      </w:pPr>
      <w:r w:rsidRPr="0038179C">
        <w:rPr>
          <w:i w:val="0"/>
          <w:iCs w:val="0"/>
        </w:rPr>
        <w:t>2.</w:t>
      </w:r>
      <w:r w:rsidRPr="0038179C">
        <w:rPr>
          <w:i w:val="0"/>
          <w:iCs w:val="0"/>
        </w:rPr>
        <w:tab/>
      </w:r>
      <w:r w:rsidR="00575843" w:rsidRPr="0038179C">
        <w:t>Standard of Review</w:t>
      </w:r>
      <w:r w:rsidR="00575843" w:rsidRPr="0038179C">
        <w:tab/>
        <w:t xml:space="preserve"> </w:t>
      </w:r>
    </w:p>
    <w:p w14:paraId="0F8DCBFA" w14:textId="7FECD665" w:rsidR="000A30DD" w:rsidRPr="0038179C" w:rsidRDefault="00365176" w:rsidP="00882F89">
      <w:pPr>
        <w:spacing w:line="360" w:lineRule="auto"/>
        <w:rPr>
          <w:szCs w:val="26"/>
        </w:rPr>
      </w:pPr>
      <w:r w:rsidRPr="0038179C">
        <w:rPr>
          <w:szCs w:val="26"/>
        </w:rPr>
        <w:tab/>
      </w:r>
      <w:bookmarkStart w:id="57" w:name="dabmq_30"/>
      <w:r w:rsidRPr="0038179C">
        <w:rPr>
          <w:szCs w:val="26"/>
        </w:rPr>
        <w:t>“It is a fundamental rule of appellate review that the judgment appealed from is presumed correct.”</w:t>
      </w:r>
      <w:bookmarkEnd w:id="57"/>
      <w:r w:rsidRPr="0038179C">
        <w:rPr>
          <w:szCs w:val="26"/>
        </w:rPr>
        <w:t xml:space="preserve">  (</w:t>
      </w:r>
      <w:bookmarkStart w:id="58" w:name="dabmci_54e198bf5c64400ba8ab4743dd25b214"/>
      <w:r w:rsidRPr="0038179C">
        <w:rPr>
          <w:i/>
          <w:szCs w:val="26"/>
        </w:rPr>
        <w:t>Benach v. County of Los Angeles</w:t>
      </w:r>
      <w:r w:rsidRPr="0038179C">
        <w:rPr>
          <w:szCs w:val="26"/>
        </w:rPr>
        <w:t xml:space="preserve"> (2007) 149 Cal.App.4th 836, 852</w:t>
      </w:r>
      <w:bookmarkEnd w:id="58"/>
      <w:r w:rsidRPr="0038179C">
        <w:rPr>
          <w:szCs w:val="26"/>
        </w:rPr>
        <w:t xml:space="preserve">.)  </w:t>
      </w:r>
    </w:p>
    <w:p w14:paraId="538F6C70" w14:textId="4B6003AA" w:rsidR="00742435" w:rsidRPr="0038179C" w:rsidRDefault="000A30DD" w:rsidP="00882F89">
      <w:pPr>
        <w:spacing w:line="360" w:lineRule="auto"/>
        <w:rPr>
          <w:szCs w:val="26"/>
        </w:rPr>
      </w:pPr>
      <w:r w:rsidRPr="0038179C">
        <w:rPr>
          <w:szCs w:val="26"/>
        </w:rPr>
        <w:tab/>
      </w:r>
      <w:bookmarkStart w:id="59" w:name="dabmq_31"/>
      <w:r w:rsidRPr="0038179C">
        <w:rPr>
          <w:szCs w:val="26"/>
        </w:rPr>
        <w:t>“We apply well-established standards of review to a judgment based upon a statement of decision issued after a bench trial.  [Citation.]  We review questions of law de novo and we review the trial court’s findings of fact under the substantial evidence standard.”</w:t>
      </w:r>
      <w:bookmarkEnd w:id="59"/>
      <w:r w:rsidRPr="0038179C">
        <w:rPr>
          <w:szCs w:val="26"/>
        </w:rPr>
        <w:t xml:space="preserve">  (</w:t>
      </w:r>
      <w:bookmarkStart w:id="60" w:name="dabmci_a0f1f2967d064210b6b7ed46a0e4f0c0"/>
      <w:r w:rsidRPr="0038179C">
        <w:rPr>
          <w:i/>
          <w:iCs/>
          <w:szCs w:val="26"/>
        </w:rPr>
        <w:t>Gajanan Inc. v. City and County of San Francisco</w:t>
      </w:r>
      <w:r w:rsidRPr="0038179C">
        <w:rPr>
          <w:szCs w:val="26"/>
        </w:rPr>
        <w:t xml:space="preserve"> (2022) 77 Cal.App.5th 780, 791</w:t>
      </w:r>
      <w:r w:rsidR="00F01830" w:rsidRPr="0038179C">
        <w:rPr>
          <w:szCs w:val="26"/>
        </w:rPr>
        <w:t>–</w:t>
      </w:r>
      <w:r w:rsidRPr="0038179C">
        <w:rPr>
          <w:szCs w:val="26"/>
        </w:rPr>
        <w:t>792</w:t>
      </w:r>
      <w:bookmarkEnd w:id="60"/>
      <w:r w:rsidRPr="0038179C">
        <w:rPr>
          <w:szCs w:val="26"/>
        </w:rPr>
        <w:t>.)</w:t>
      </w:r>
      <w:r w:rsidR="005E0ED2" w:rsidRPr="0038179C">
        <w:rPr>
          <w:szCs w:val="26"/>
        </w:rPr>
        <w:t xml:space="preserve">  </w:t>
      </w:r>
    </w:p>
    <w:p w14:paraId="361D36C2" w14:textId="1812A614" w:rsidR="005E0ED2" w:rsidRPr="0038179C" w:rsidRDefault="00742435" w:rsidP="00882F89">
      <w:pPr>
        <w:spacing w:line="360" w:lineRule="auto"/>
      </w:pPr>
      <w:r w:rsidRPr="0038179C">
        <w:rPr>
          <w:szCs w:val="26"/>
        </w:rPr>
        <w:tab/>
      </w:r>
      <w:bookmarkStart w:id="61" w:name="dabmq_32"/>
      <w:r w:rsidR="005E0ED2" w:rsidRPr="0038179C">
        <w:rPr>
          <w:szCs w:val="26"/>
        </w:rPr>
        <w:t>“</w:t>
      </w:r>
      <w:r w:rsidR="00890041" w:rsidRPr="0038179C">
        <w:rPr>
          <w:szCs w:val="26"/>
        </w:rPr>
        <w:t> ‘</w:t>
      </w:r>
      <w:r w:rsidR="005E0ED2" w:rsidRPr="0038179C">
        <w:rPr>
          <w:szCs w:val="26"/>
        </w:rPr>
        <w:t>When a finding of fact is attacked on the ground that there is not any substantial evidence to sustain it, the power of an appellate court begins and ends with the determination as to whether there is any substantial evidence contradicted or uncontradicted which will support the finding of fact.</w:t>
      </w:r>
      <w:r w:rsidR="00890041" w:rsidRPr="0038179C">
        <w:rPr>
          <w:szCs w:val="26"/>
        </w:rPr>
        <w:t>’ </w:t>
      </w:r>
      <w:r w:rsidR="005E0ED2" w:rsidRPr="0038179C">
        <w:rPr>
          <w:szCs w:val="26"/>
        </w:rPr>
        <w:t>”</w:t>
      </w:r>
      <w:bookmarkEnd w:id="61"/>
      <w:r w:rsidR="005E0ED2" w:rsidRPr="0038179C">
        <w:rPr>
          <w:szCs w:val="26"/>
        </w:rPr>
        <w:t xml:space="preserve"> </w:t>
      </w:r>
      <w:r w:rsidR="005E0ED2" w:rsidRPr="0038179C">
        <w:rPr>
          <w:szCs w:val="26"/>
        </w:rPr>
        <w:lastRenderedPageBreak/>
        <w:t>(</w:t>
      </w:r>
      <w:bookmarkStart w:id="62" w:name="dabmci_a016ce6cedab46a8845b7aaab0eaa6a4"/>
      <w:r w:rsidR="005E0ED2" w:rsidRPr="0038179C">
        <w:rPr>
          <w:i/>
          <w:iCs/>
        </w:rPr>
        <w:t>Foreman &amp; Clark Corp. v. Fallon</w:t>
      </w:r>
      <w:r w:rsidR="005E0ED2" w:rsidRPr="0038179C">
        <w:t xml:space="preserve"> (1971) 3 Cal.3d 875, 881</w:t>
      </w:r>
      <w:bookmarkEnd w:id="62"/>
      <w:r w:rsidR="004C3D2D" w:rsidRPr="0038179C">
        <w:t xml:space="preserve">, </w:t>
      </w:r>
      <w:r w:rsidR="00FD72F4" w:rsidRPr="0038179C">
        <w:t>italics omitted</w:t>
      </w:r>
      <w:r w:rsidR="005E0ED2" w:rsidRPr="0038179C">
        <w:t xml:space="preserve">; see </w:t>
      </w:r>
      <w:bookmarkStart w:id="63" w:name="dabmci_389c3d90cb5442e69ca30ac2ad59ebd0"/>
      <w:r w:rsidR="005E0ED2" w:rsidRPr="0038179C">
        <w:rPr>
          <w:i/>
          <w:iCs/>
          <w:szCs w:val="26"/>
        </w:rPr>
        <w:t>Durante v. County of Santa Clara</w:t>
      </w:r>
      <w:r w:rsidR="005E0ED2" w:rsidRPr="0038179C">
        <w:rPr>
          <w:szCs w:val="26"/>
        </w:rPr>
        <w:t xml:space="preserve"> (2018) 29 Cal.App.5th 839, 842 </w:t>
      </w:r>
      <w:r w:rsidR="005F71D6">
        <w:rPr>
          <w:szCs w:val="26"/>
        </w:rPr>
        <w:t xml:space="preserve"> (</w:t>
      </w:r>
      <w:r w:rsidR="005F71D6">
        <w:rPr>
          <w:i/>
          <w:iCs/>
          <w:szCs w:val="26"/>
        </w:rPr>
        <w:t>Durante</w:t>
      </w:r>
      <w:r w:rsidR="005F71D6">
        <w:rPr>
          <w:szCs w:val="26"/>
        </w:rPr>
        <w:t>)</w:t>
      </w:r>
      <w:bookmarkEnd w:id="63"/>
      <w:r w:rsidR="005F71D6">
        <w:rPr>
          <w:szCs w:val="26"/>
        </w:rPr>
        <w:t xml:space="preserve"> </w:t>
      </w:r>
      <w:r w:rsidR="005E0ED2" w:rsidRPr="0038179C">
        <w:rPr>
          <w:szCs w:val="26"/>
        </w:rPr>
        <w:t>[</w:t>
      </w:r>
      <w:bookmarkStart w:id="64" w:name="dabmq_33"/>
      <w:r w:rsidR="000A30DD" w:rsidRPr="0038179C">
        <w:rPr>
          <w:szCs w:val="26"/>
        </w:rPr>
        <w:t>“</w:t>
      </w:r>
      <w:r w:rsidR="00FD72F4" w:rsidRPr="0038179C">
        <w:rPr>
          <w:szCs w:val="26"/>
        </w:rPr>
        <w:t xml:space="preserve"> ‘findings of fact are </w:t>
      </w:r>
      <w:r w:rsidR="000A30DD" w:rsidRPr="0038179C">
        <w:rPr>
          <w:szCs w:val="26"/>
        </w:rPr>
        <w:t>liberally construe</w:t>
      </w:r>
      <w:r w:rsidR="00FD72F4" w:rsidRPr="0038179C">
        <w:rPr>
          <w:szCs w:val="26"/>
        </w:rPr>
        <w:t>d to support the judgment and</w:t>
      </w:r>
      <w:r w:rsidR="000A30DD" w:rsidRPr="0038179C">
        <w:rPr>
          <w:szCs w:val="26"/>
        </w:rPr>
        <w:t xml:space="preserve"> we consider the evidence in the light most favorable to the prevailing party, drawing all reasonable inferences in support of the findings’ ”</w:t>
      </w:r>
      <w:bookmarkEnd w:id="64"/>
      <w:r w:rsidR="005E0ED2" w:rsidRPr="0038179C">
        <w:rPr>
          <w:szCs w:val="26"/>
        </w:rPr>
        <w:t>]</w:t>
      </w:r>
      <w:r w:rsidRPr="0038179C">
        <w:rPr>
          <w:szCs w:val="26"/>
        </w:rPr>
        <w:t xml:space="preserve">; </w:t>
      </w:r>
      <w:bookmarkStart w:id="65" w:name="dabmci_3b1c4886cb2b4cbab002a36c56cd761e"/>
      <w:r w:rsidR="00B31E9D" w:rsidRPr="0038179C">
        <w:rPr>
          <w:i/>
          <w:iCs/>
        </w:rPr>
        <w:t>Thompson</w:t>
      </w:r>
      <w:r w:rsidRPr="0038179C">
        <w:rPr>
          <w:i/>
          <w:iCs/>
        </w:rPr>
        <w:t xml:space="preserve"> v. Asimos </w:t>
      </w:r>
      <w:r w:rsidRPr="0038179C">
        <w:t>(201</w:t>
      </w:r>
      <w:r w:rsidR="00B31E9D" w:rsidRPr="0038179C">
        <w:t>6</w:t>
      </w:r>
      <w:r w:rsidRPr="0038179C">
        <w:t>) 6 Cal.App.5th 970, 981 (</w:t>
      </w:r>
      <w:r w:rsidR="00FD72F4" w:rsidRPr="0038179C">
        <w:rPr>
          <w:i/>
          <w:iCs/>
        </w:rPr>
        <w:t>Thompson</w:t>
      </w:r>
      <w:r w:rsidRPr="0038179C">
        <w:t>)</w:t>
      </w:r>
      <w:bookmarkEnd w:id="65"/>
      <w:r w:rsidRPr="0038179C">
        <w:t xml:space="preserve"> [</w:t>
      </w:r>
      <w:bookmarkStart w:id="66" w:name="dabmq_34"/>
      <w:r w:rsidRPr="0038179C">
        <w:t>“It is not our role as a reviewing court to reweigh the evidence or to assess witness credibility.”</w:t>
      </w:r>
      <w:bookmarkEnd w:id="66"/>
      <w:r w:rsidRPr="0038179C">
        <w:t>]</w:t>
      </w:r>
      <w:r w:rsidR="005E0ED2" w:rsidRPr="0038179C">
        <w:rPr>
          <w:szCs w:val="26"/>
        </w:rPr>
        <w:t>.)</w:t>
      </w:r>
      <w:r w:rsidR="005E0ED2" w:rsidRPr="0038179C">
        <w:rPr>
          <w:rStyle w:val="FootnoteReference"/>
          <w:szCs w:val="26"/>
        </w:rPr>
        <w:footnoteReference w:id="8"/>
      </w:r>
    </w:p>
    <w:p w14:paraId="7147A29B" w14:textId="344A4DC4" w:rsidR="007931FC" w:rsidRPr="0038179C" w:rsidRDefault="00F91D98" w:rsidP="00882F89">
      <w:pPr>
        <w:spacing w:line="360" w:lineRule="auto"/>
        <w:rPr>
          <w:szCs w:val="26"/>
        </w:rPr>
      </w:pPr>
      <w:r w:rsidRPr="0038179C">
        <w:rPr>
          <w:szCs w:val="26"/>
        </w:rPr>
        <w:tab/>
      </w:r>
      <w:bookmarkStart w:id="67" w:name="_Hlk140396358"/>
      <w:r w:rsidR="007931FC" w:rsidRPr="0038179C">
        <w:rPr>
          <w:szCs w:val="26"/>
        </w:rPr>
        <w:t xml:space="preserve">We also </w:t>
      </w:r>
      <w:bookmarkStart w:id="68" w:name="dabmq_35"/>
      <w:r w:rsidR="007931FC" w:rsidRPr="0038179C">
        <w:rPr>
          <w:szCs w:val="26"/>
        </w:rPr>
        <w:t>“</w:t>
      </w:r>
      <w:r w:rsidRPr="0038179C">
        <w:rPr>
          <w:szCs w:val="26"/>
        </w:rPr>
        <w:t xml:space="preserve">must </w:t>
      </w:r>
      <w:r w:rsidR="007931FC" w:rsidRPr="0038179C">
        <w:rPr>
          <w:szCs w:val="26"/>
        </w:rPr>
        <w:t>infer, following a bench trial, that the trial court impliedly made every factual finding necessary to support its decision</w:t>
      </w:r>
      <w:r w:rsidR="00A969DA" w:rsidRPr="0038179C">
        <w:rPr>
          <w:szCs w:val="26"/>
        </w:rPr>
        <w:t>,</w:t>
      </w:r>
      <w:r w:rsidRPr="0038179C">
        <w:rPr>
          <w:szCs w:val="26"/>
        </w:rPr>
        <w:t>”</w:t>
      </w:r>
      <w:bookmarkEnd w:id="68"/>
      <w:r w:rsidR="001677F6" w:rsidRPr="0038179C">
        <w:rPr>
          <w:szCs w:val="26"/>
        </w:rPr>
        <w:t xml:space="preserve"> unless a party timely files objections identifying omissions or ambiguities.  </w:t>
      </w:r>
      <w:r w:rsidR="007931FC" w:rsidRPr="0038179C">
        <w:rPr>
          <w:szCs w:val="26"/>
        </w:rPr>
        <w:t>(</w:t>
      </w:r>
      <w:bookmarkStart w:id="69" w:name="dabmci_9485af74abe84518948ed218feac0339"/>
      <w:r w:rsidR="007931FC" w:rsidRPr="0038179C">
        <w:rPr>
          <w:i/>
          <w:iCs/>
          <w:szCs w:val="26"/>
        </w:rPr>
        <w:t xml:space="preserve">Fladeboe v. American Isuzu Motors Inc. </w:t>
      </w:r>
      <w:r w:rsidR="007931FC" w:rsidRPr="0038179C">
        <w:rPr>
          <w:szCs w:val="26"/>
        </w:rPr>
        <w:t>(2007) 150 Cal.App.4th 42, 48</w:t>
      </w:r>
      <w:r w:rsidR="001677F6" w:rsidRPr="0038179C">
        <w:rPr>
          <w:szCs w:val="26"/>
        </w:rPr>
        <w:t xml:space="preserve"> (</w:t>
      </w:r>
      <w:r w:rsidR="001677F6" w:rsidRPr="0038179C">
        <w:rPr>
          <w:i/>
          <w:iCs/>
          <w:szCs w:val="26"/>
        </w:rPr>
        <w:t>Fladeboe</w:t>
      </w:r>
      <w:r w:rsidR="001677F6" w:rsidRPr="0038179C">
        <w:rPr>
          <w:szCs w:val="26"/>
        </w:rPr>
        <w:t>)</w:t>
      </w:r>
      <w:bookmarkEnd w:id="69"/>
      <w:r w:rsidR="007931FC" w:rsidRPr="0038179C">
        <w:rPr>
          <w:szCs w:val="26"/>
        </w:rPr>
        <w:t xml:space="preserve">.)  We review </w:t>
      </w:r>
      <w:bookmarkStart w:id="70" w:name="dabmq_36"/>
      <w:r w:rsidR="00A969DA" w:rsidRPr="0038179C">
        <w:rPr>
          <w:szCs w:val="26"/>
        </w:rPr>
        <w:t>“</w:t>
      </w:r>
      <w:r w:rsidR="007931FC" w:rsidRPr="0038179C">
        <w:rPr>
          <w:szCs w:val="26"/>
        </w:rPr>
        <w:t>implied factual findings under the substantial evidence standard.”</w:t>
      </w:r>
      <w:bookmarkEnd w:id="70"/>
      <w:r w:rsidR="007931FC" w:rsidRPr="0038179C">
        <w:rPr>
          <w:szCs w:val="26"/>
        </w:rPr>
        <w:t xml:space="preserve">  (</w:t>
      </w:r>
      <w:bookmarkStart w:id="71" w:name="dabmci_2cb8224cdb534107977c32845fc6c3ab"/>
      <w:r w:rsidR="005F702B" w:rsidRPr="0038179C">
        <w:rPr>
          <w:i/>
          <w:iCs/>
          <w:szCs w:val="26"/>
        </w:rPr>
        <w:t>Id</w:t>
      </w:r>
      <w:r w:rsidR="005F702B" w:rsidRPr="0038179C">
        <w:rPr>
          <w:szCs w:val="26"/>
        </w:rPr>
        <w:t>.</w:t>
      </w:r>
      <w:r w:rsidR="007931FC" w:rsidRPr="0038179C">
        <w:rPr>
          <w:szCs w:val="26"/>
        </w:rPr>
        <w:t xml:space="preserve"> at pp. 59</w:t>
      </w:r>
      <w:r w:rsidR="003B0886" w:rsidRPr="0038179C">
        <w:rPr>
          <w:szCs w:val="26"/>
        </w:rPr>
        <w:t>–</w:t>
      </w:r>
      <w:r w:rsidR="007931FC" w:rsidRPr="0038179C">
        <w:rPr>
          <w:szCs w:val="26"/>
        </w:rPr>
        <w:t>60</w:t>
      </w:r>
      <w:bookmarkEnd w:id="71"/>
      <w:r w:rsidR="007931FC" w:rsidRPr="0038179C">
        <w:rPr>
          <w:szCs w:val="26"/>
        </w:rPr>
        <w:t>.)</w:t>
      </w:r>
    </w:p>
    <w:bookmarkEnd w:id="67"/>
    <w:p w14:paraId="471AA569" w14:textId="286A1382" w:rsidR="00362DFB" w:rsidRPr="0038179C" w:rsidRDefault="00821048" w:rsidP="00882F89">
      <w:pPr>
        <w:spacing w:line="360" w:lineRule="auto"/>
        <w:rPr>
          <w:szCs w:val="26"/>
        </w:rPr>
      </w:pPr>
      <w:r w:rsidRPr="0038179C">
        <w:rPr>
          <w:szCs w:val="26"/>
        </w:rPr>
        <w:tab/>
        <w:t>Only prejudicial error is grounds for reversal.  (</w:t>
      </w:r>
      <w:bookmarkStart w:id="72" w:name="dabmci_f6d138dda02b476e8cc24075e0281a64"/>
      <w:r w:rsidRPr="0038179C">
        <w:rPr>
          <w:i/>
          <w:iCs/>
          <w:szCs w:val="26"/>
        </w:rPr>
        <w:t>Soule v. General Motors</w:t>
      </w:r>
      <w:r w:rsidRPr="0038179C">
        <w:rPr>
          <w:szCs w:val="26"/>
        </w:rPr>
        <w:t xml:space="preserve"> Corp. (1994) 8 Cal.4th 548, 573</w:t>
      </w:r>
      <w:r w:rsidR="003B0886" w:rsidRPr="0038179C">
        <w:rPr>
          <w:szCs w:val="26"/>
        </w:rPr>
        <w:t>–</w:t>
      </w:r>
      <w:r w:rsidRPr="0038179C">
        <w:rPr>
          <w:szCs w:val="26"/>
        </w:rPr>
        <w:t>574 (</w:t>
      </w:r>
      <w:r w:rsidRPr="0038179C">
        <w:rPr>
          <w:i/>
          <w:iCs/>
          <w:szCs w:val="26"/>
        </w:rPr>
        <w:t>Soule</w:t>
      </w:r>
      <w:r w:rsidRPr="0038179C">
        <w:rPr>
          <w:szCs w:val="26"/>
        </w:rPr>
        <w:t>)</w:t>
      </w:r>
      <w:bookmarkEnd w:id="72"/>
      <w:r w:rsidRPr="0038179C">
        <w:rPr>
          <w:szCs w:val="26"/>
        </w:rPr>
        <w:t xml:space="preserve">.)  It is the appellant’s burden to </w:t>
      </w:r>
      <w:bookmarkStart w:id="73" w:name="dabmq_37"/>
      <w:r w:rsidRPr="0038179C">
        <w:rPr>
          <w:szCs w:val="26"/>
        </w:rPr>
        <w:t>“show not only that the trial court erred, but also that the error was prejudicial . . . .”</w:t>
      </w:r>
      <w:bookmarkEnd w:id="73"/>
      <w:r w:rsidRPr="0038179C">
        <w:rPr>
          <w:szCs w:val="26"/>
        </w:rPr>
        <w:t xml:space="preserve">  (</w:t>
      </w:r>
      <w:bookmarkStart w:id="74" w:name="dabmci_e4df63ed1dc544fe936bde7da5ce0e12"/>
      <w:r w:rsidRPr="0038179C">
        <w:rPr>
          <w:i/>
          <w:iCs/>
          <w:szCs w:val="26"/>
        </w:rPr>
        <w:t>Hoffman Street, LLC v. City of West Hollywood</w:t>
      </w:r>
      <w:r w:rsidRPr="0038179C">
        <w:rPr>
          <w:szCs w:val="26"/>
        </w:rPr>
        <w:t xml:space="preserve"> (2009) 179 Cal.App.4th 754, 772</w:t>
      </w:r>
      <w:bookmarkEnd w:id="74"/>
      <w:r w:rsidRPr="0038179C">
        <w:rPr>
          <w:szCs w:val="26"/>
        </w:rPr>
        <w:t xml:space="preserve">.) </w:t>
      </w:r>
    </w:p>
    <w:p w14:paraId="3BF072EF" w14:textId="77777777" w:rsidR="00076503" w:rsidRDefault="00076503">
      <w:pPr>
        <w:spacing w:after="160" w:line="259" w:lineRule="auto"/>
        <w:rPr>
          <w:rFonts w:eastAsiaTheme="majorEastAsia" w:cstheme="majorBidi"/>
        </w:rPr>
      </w:pPr>
      <w:r>
        <w:br w:type="page"/>
      </w:r>
    </w:p>
    <w:p w14:paraId="35A34460" w14:textId="5E9958CC" w:rsidR="00694DE4" w:rsidRPr="0038179C" w:rsidRDefault="00575843" w:rsidP="00A77324">
      <w:pPr>
        <w:pStyle w:val="Heading2"/>
        <w:spacing w:before="60" w:after="60"/>
        <w:rPr>
          <w:i/>
          <w:iCs/>
        </w:rPr>
      </w:pPr>
      <w:r w:rsidRPr="0038179C">
        <w:lastRenderedPageBreak/>
        <w:t>B</w:t>
      </w:r>
      <w:r w:rsidR="00F632DD" w:rsidRPr="0038179C">
        <w:t>.</w:t>
      </w:r>
      <w:r w:rsidR="00F632DD" w:rsidRPr="0038179C">
        <w:tab/>
      </w:r>
      <w:r w:rsidR="00694DE4" w:rsidRPr="0038179C">
        <w:rPr>
          <w:i/>
          <w:iCs/>
        </w:rPr>
        <w:t>Intent</w:t>
      </w:r>
      <w:r w:rsidR="0060213D" w:rsidRPr="0038179C">
        <w:rPr>
          <w:i/>
          <w:iCs/>
        </w:rPr>
        <w:t xml:space="preserve"> </w:t>
      </w:r>
      <w:r w:rsidR="000F530E" w:rsidRPr="0038179C">
        <w:rPr>
          <w:i/>
          <w:iCs/>
        </w:rPr>
        <w:t>to Record</w:t>
      </w:r>
    </w:p>
    <w:p w14:paraId="66FCACF4" w14:textId="4EEE6AEC" w:rsidR="00665E73" w:rsidRPr="0038179C" w:rsidRDefault="00AB50CD" w:rsidP="00882F89">
      <w:pPr>
        <w:spacing w:line="360" w:lineRule="auto"/>
      </w:pPr>
      <w:r w:rsidRPr="0038179C">
        <w:tab/>
        <w:t xml:space="preserve">Rojas contends the trial court erred </w:t>
      </w:r>
      <w:r w:rsidR="00665E73" w:rsidRPr="0038179C">
        <w:t xml:space="preserve">in </w:t>
      </w:r>
      <w:r w:rsidR="00AA6A42" w:rsidRPr="0038179C">
        <w:t xml:space="preserve">assessing intent to record under </w:t>
      </w:r>
    </w:p>
    <w:p w14:paraId="7AC8F500" w14:textId="6820AD2E" w:rsidR="00AA6A42" w:rsidRPr="0038179C" w:rsidRDefault="00AB50CD" w:rsidP="00882F89">
      <w:pPr>
        <w:spacing w:line="360" w:lineRule="auto"/>
      </w:pPr>
      <w:r w:rsidRPr="0038179C">
        <w:t>sections 632 and 632.7</w:t>
      </w:r>
      <w:r w:rsidR="00AA6A42" w:rsidRPr="0038179C">
        <w:t>, and</w:t>
      </w:r>
      <w:r w:rsidR="00D13747" w:rsidRPr="0038179C">
        <w:t xml:space="preserve"> substantial</w:t>
      </w:r>
      <w:r w:rsidR="00AA6A42" w:rsidRPr="0038179C">
        <w:t xml:space="preserve"> evidence does not support its finding</w:t>
      </w:r>
      <w:r w:rsidR="00C17DAB" w:rsidRPr="0038179C">
        <w:t xml:space="preserve"> </w:t>
      </w:r>
      <w:r w:rsidR="006F4B04" w:rsidRPr="0038179C">
        <w:t xml:space="preserve">that HSBC did not intend to record the calls between Rojas and Alejandra (see, trial court’s findings on </w:t>
      </w:r>
      <w:r w:rsidR="003B0886" w:rsidRPr="0038179C">
        <w:t>p</w:t>
      </w:r>
      <w:r w:rsidR="009238D7">
        <w:t>p</w:t>
      </w:r>
      <w:r w:rsidR="003B0886" w:rsidRPr="0038179C">
        <w:t>.</w:t>
      </w:r>
      <w:r w:rsidR="006F4B04" w:rsidRPr="0038179C">
        <w:t xml:space="preserve"> 1</w:t>
      </w:r>
      <w:r w:rsidR="00B65A8F">
        <w:t>6</w:t>
      </w:r>
      <w:r w:rsidR="00424981">
        <w:t>–</w:t>
      </w:r>
      <w:r w:rsidR="006F4B04" w:rsidRPr="0038179C">
        <w:t>1</w:t>
      </w:r>
      <w:r w:rsidR="00B65A8F">
        <w:t>7</w:t>
      </w:r>
      <w:r w:rsidR="006F4B04" w:rsidRPr="0038179C">
        <w:t xml:space="preserve">, </w:t>
      </w:r>
      <w:r w:rsidR="00C014D9" w:rsidRPr="0038179C">
        <w:rPr>
          <w:i/>
          <w:iCs/>
        </w:rPr>
        <w:t>post</w:t>
      </w:r>
      <w:r w:rsidR="006F4B04" w:rsidRPr="0038179C">
        <w:t>)</w:t>
      </w:r>
      <w:r w:rsidR="00C17DAB" w:rsidRPr="0038179C">
        <w:t>.</w:t>
      </w:r>
      <w:r w:rsidR="00AA6A42" w:rsidRPr="0038179C">
        <w:t xml:space="preserve">  We </w:t>
      </w:r>
      <w:r w:rsidR="00D13747" w:rsidRPr="0038179C">
        <w:t>agree</w:t>
      </w:r>
      <w:r w:rsidR="00AA6A42" w:rsidRPr="0038179C">
        <w:t xml:space="preserve"> substantial evidence does not support the court’s findings.</w:t>
      </w:r>
      <w:r w:rsidR="00AA6A42" w:rsidRPr="0038179C">
        <w:rPr>
          <w:rStyle w:val="FootnoteReference"/>
        </w:rPr>
        <w:footnoteReference w:id="9"/>
      </w:r>
    </w:p>
    <w:p w14:paraId="34DFD25E" w14:textId="6806302E" w:rsidR="00EB56FF" w:rsidRPr="0038179C" w:rsidRDefault="0060213D" w:rsidP="00A77324">
      <w:pPr>
        <w:pStyle w:val="Heading3"/>
        <w:spacing w:before="60" w:after="60"/>
      </w:pPr>
      <w:r w:rsidRPr="0038179C">
        <w:rPr>
          <w:i w:val="0"/>
          <w:iCs w:val="0"/>
        </w:rPr>
        <w:t>1.</w:t>
      </w:r>
      <w:r w:rsidRPr="0038179C">
        <w:rPr>
          <w:i w:val="0"/>
          <w:iCs w:val="0"/>
        </w:rPr>
        <w:tab/>
      </w:r>
      <w:r w:rsidRPr="0038179C">
        <w:t>Additional Facts</w:t>
      </w:r>
    </w:p>
    <w:p w14:paraId="6B5497C8" w14:textId="4ECF9F70" w:rsidR="006F2A8C" w:rsidRPr="0038179C" w:rsidRDefault="00D927A1" w:rsidP="00882F89">
      <w:pPr>
        <w:spacing w:line="360" w:lineRule="auto"/>
      </w:pPr>
      <w:r w:rsidRPr="0038179C">
        <w:tab/>
        <w:t xml:space="preserve">HSBC manager Ivey testified calls were recorded for </w:t>
      </w:r>
      <w:r w:rsidR="007274A4" w:rsidRPr="0038179C">
        <w:t>“</w:t>
      </w:r>
      <w:r w:rsidRPr="0038179C">
        <w:t>quality purposes</w:t>
      </w:r>
      <w:r w:rsidR="007274A4" w:rsidRPr="0038179C">
        <w:t>”</w:t>
      </w:r>
      <w:r w:rsidRPr="0038179C">
        <w:t xml:space="preserve"> and to have evidence </w:t>
      </w:r>
      <w:r w:rsidR="007274A4" w:rsidRPr="0038179C">
        <w:t xml:space="preserve">of what took place </w:t>
      </w:r>
      <w:r w:rsidR="00AD23CC" w:rsidRPr="0038179C">
        <w:t xml:space="preserve">in conversations </w:t>
      </w:r>
      <w:r w:rsidR="007274A4" w:rsidRPr="0038179C">
        <w:t>with merchants and consumers</w:t>
      </w:r>
      <w:r w:rsidRPr="0038179C">
        <w:t xml:space="preserve">. </w:t>
      </w:r>
      <w:r w:rsidR="00FE58E4" w:rsidRPr="0038179C">
        <w:t xml:space="preserve"> </w:t>
      </w:r>
      <w:r w:rsidRPr="0038179C">
        <w:t>Ivey</w:t>
      </w:r>
      <w:r w:rsidR="00C46868" w:rsidRPr="0038179C">
        <w:t xml:space="preserve">, as well as HSBC managers Garcia and Escamilla, </w:t>
      </w:r>
      <w:r w:rsidR="00E47D6B" w:rsidRPr="0038179C">
        <w:t xml:space="preserve">also </w:t>
      </w:r>
      <w:r w:rsidRPr="0038179C">
        <w:t xml:space="preserve">testified HSBC prohibited </w:t>
      </w:r>
      <w:r w:rsidR="00C014D9" w:rsidRPr="0038179C">
        <w:t>call center agents from making personal calls from their desks</w:t>
      </w:r>
      <w:r w:rsidRPr="0038179C">
        <w:t xml:space="preserve">.  </w:t>
      </w:r>
    </w:p>
    <w:p w14:paraId="68A09736" w14:textId="0E1BE161" w:rsidR="007D06D6" w:rsidRPr="0038179C" w:rsidRDefault="001F416A" w:rsidP="00882F89">
      <w:pPr>
        <w:widowControl w:val="0"/>
        <w:spacing w:line="360" w:lineRule="auto"/>
        <w:rPr>
          <w:szCs w:val="26"/>
        </w:rPr>
      </w:pPr>
      <w:r w:rsidRPr="0038179C">
        <w:rPr>
          <w:szCs w:val="26"/>
        </w:rPr>
        <w:tab/>
      </w:r>
      <w:r w:rsidR="00C46868" w:rsidRPr="0038179C">
        <w:rPr>
          <w:szCs w:val="26"/>
        </w:rPr>
        <w:t xml:space="preserve">Specifically, </w:t>
      </w:r>
      <w:r w:rsidRPr="0038179C">
        <w:rPr>
          <w:szCs w:val="26"/>
        </w:rPr>
        <w:t xml:space="preserve">Ivey </w:t>
      </w:r>
      <w:proofErr w:type="gramStart"/>
      <w:r w:rsidR="00902C32" w:rsidRPr="0038179C">
        <w:rPr>
          <w:szCs w:val="26"/>
        </w:rPr>
        <w:t>stated</w:t>
      </w:r>
      <w:proofErr w:type="gramEnd"/>
      <w:r w:rsidRPr="0038179C">
        <w:rPr>
          <w:szCs w:val="26"/>
        </w:rPr>
        <w:t xml:space="preserve"> </w:t>
      </w:r>
      <w:bookmarkStart w:id="75" w:name="dabmq_38"/>
      <w:r w:rsidR="00BA598A" w:rsidRPr="0038179C">
        <w:rPr>
          <w:szCs w:val="26"/>
        </w:rPr>
        <w:t>“</w:t>
      </w:r>
      <w:r w:rsidRPr="0038179C">
        <w:rPr>
          <w:szCs w:val="26"/>
        </w:rPr>
        <w:t>personal calls were a violation of the rules”</w:t>
      </w:r>
      <w:bookmarkEnd w:id="75"/>
      <w:r w:rsidR="00BA598A" w:rsidRPr="0038179C">
        <w:rPr>
          <w:szCs w:val="26"/>
        </w:rPr>
        <w:t xml:space="preserve"> and “not allowed.”</w:t>
      </w:r>
      <w:r w:rsidRPr="0038179C">
        <w:rPr>
          <w:szCs w:val="26"/>
        </w:rPr>
        <w:t xml:space="preserve">  </w:t>
      </w:r>
      <w:r w:rsidR="0049428C" w:rsidRPr="0038179C">
        <w:rPr>
          <w:szCs w:val="26"/>
        </w:rPr>
        <w:t>He</w:t>
      </w:r>
      <w:r w:rsidR="00B52A3B" w:rsidRPr="0038179C">
        <w:rPr>
          <w:szCs w:val="26"/>
        </w:rPr>
        <w:t xml:space="preserve"> explained it was covered in training that agents could </w:t>
      </w:r>
      <w:r w:rsidR="00870BDD" w:rsidRPr="0038179C">
        <w:rPr>
          <w:szCs w:val="26"/>
        </w:rPr>
        <w:t>make non-recorded calls from</w:t>
      </w:r>
      <w:r w:rsidR="00B52A3B" w:rsidRPr="0038179C">
        <w:rPr>
          <w:szCs w:val="26"/>
        </w:rPr>
        <w:t xml:space="preserve"> a manager’s desk </w:t>
      </w:r>
      <w:r w:rsidR="00870BDD" w:rsidRPr="0038179C">
        <w:rPr>
          <w:szCs w:val="26"/>
        </w:rPr>
        <w:t>(</w:t>
      </w:r>
      <w:r w:rsidR="00B52A3B" w:rsidRPr="0038179C">
        <w:rPr>
          <w:szCs w:val="26"/>
        </w:rPr>
        <w:t>for urgent calls</w:t>
      </w:r>
      <w:r w:rsidR="00870BDD" w:rsidRPr="0038179C">
        <w:rPr>
          <w:szCs w:val="26"/>
        </w:rPr>
        <w:t>)</w:t>
      </w:r>
      <w:r w:rsidR="00B52A3B" w:rsidRPr="0038179C">
        <w:rPr>
          <w:szCs w:val="26"/>
        </w:rPr>
        <w:t xml:space="preserve">, and a phone bank in the lobby </w:t>
      </w:r>
      <w:r w:rsidR="00870BDD" w:rsidRPr="0038179C">
        <w:rPr>
          <w:szCs w:val="26"/>
        </w:rPr>
        <w:t>(</w:t>
      </w:r>
      <w:r w:rsidR="00B52A3B" w:rsidRPr="0038179C">
        <w:rPr>
          <w:szCs w:val="26"/>
        </w:rPr>
        <w:t xml:space="preserve">for non-urgent </w:t>
      </w:r>
      <w:r w:rsidR="00870BDD" w:rsidRPr="0038179C">
        <w:rPr>
          <w:szCs w:val="26"/>
        </w:rPr>
        <w:t>ones)</w:t>
      </w:r>
      <w:r w:rsidR="00B52A3B" w:rsidRPr="0038179C">
        <w:rPr>
          <w:szCs w:val="26"/>
        </w:rPr>
        <w:t xml:space="preserve">. </w:t>
      </w:r>
      <w:r w:rsidR="007274A4" w:rsidRPr="0038179C">
        <w:rPr>
          <w:szCs w:val="26"/>
        </w:rPr>
        <w:t xml:space="preserve"> </w:t>
      </w:r>
      <w:r w:rsidR="00F7123D" w:rsidRPr="0038179C">
        <w:rPr>
          <w:szCs w:val="26"/>
        </w:rPr>
        <w:t>He</w:t>
      </w:r>
      <w:r w:rsidR="00B52A3B" w:rsidRPr="0038179C">
        <w:rPr>
          <w:szCs w:val="26"/>
        </w:rPr>
        <w:t xml:space="preserve"> agreed the Call Avoidance Policy, which barred </w:t>
      </w:r>
      <w:bookmarkStart w:id="76" w:name="dabmq_39"/>
      <w:r w:rsidR="00B52A3B" w:rsidRPr="0038179C">
        <w:rPr>
          <w:szCs w:val="26"/>
        </w:rPr>
        <w:t>“outbound personal calls from [one’s] desk”</w:t>
      </w:r>
      <w:bookmarkEnd w:id="76"/>
      <w:r w:rsidR="0049428C" w:rsidRPr="0038179C">
        <w:rPr>
          <w:szCs w:val="26"/>
        </w:rPr>
        <w:t xml:space="preserve"> </w:t>
      </w:r>
      <w:r w:rsidR="00B52A3B" w:rsidRPr="0038179C">
        <w:rPr>
          <w:szCs w:val="26"/>
        </w:rPr>
        <w:t xml:space="preserve">was </w:t>
      </w:r>
      <w:bookmarkStart w:id="77" w:name="dabmq_40"/>
      <w:r w:rsidR="00B52A3B" w:rsidRPr="0038179C">
        <w:rPr>
          <w:szCs w:val="26"/>
        </w:rPr>
        <w:t>“one of the written policies that instructed employees not to make personal calls</w:t>
      </w:r>
      <w:r w:rsidR="00F7123D" w:rsidRPr="0038179C">
        <w:rPr>
          <w:szCs w:val="26"/>
        </w:rPr>
        <w:t>,”</w:t>
      </w:r>
      <w:bookmarkEnd w:id="77"/>
      <w:r w:rsidR="00F7123D" w:rsidRPr="0038179C">
        <w:rPr>
          <w:szCs w:val="26"/>
        </w:rPr>
        <w:t xml:space="preserve"> while acknowledging it</w:t>
      </w:r>
      <w:r w:rsidR="0049428C" w:rsidRPr="0038179C">
        <w:rPr>
          <w:szCs w:val="26"/>
        </w:rPr>
        <w:t xml:space="preserve"> </w:t>
      </w:r>
      <w:bookmarkStart w:id="78" w:name="dabmq_41"/>
      <w:r w:rsidR="00752345" w:rsidRPr="0038179C">
        <w:rPr>
          <w:szCs w:val="26"/>
        </w:rPr>
        <w:t xml:space="preserve">“focused on employees who were receiving </w:t>
      </w:r>
      <w:r w:rsidR="0049428C" w:rsidRPr="0038179C">
        <w:rPr>
          <w:szCs w:val="26"/>
        </w:rPr>
        <w:t xml:space="preserve">[inbound] </w:t>
      </w:r>
      <w:r w:rsidR="00752345" w:rsidRPr="0038179C">
        <w:rPr>
          <w:szCs w:val="26"/>
        </w:rPr>
        <w:t>calls from customers.”</w:t>
      </w:r>
      <w:bookmarkEnd w:id="78"/>
      <w:r w:rsidR="00752345" w:rsidRPr="0038179C">
        <w:rPr>
          <w:szCs w:val="26"/>
        </w:rPr>
        <w:t xml:space="preserve"> </w:t>
      </w:r>
      <w:r w:rsidR="002A252E" w:rsidRPr="0038179C">
        <w:rPr>
          <w:szCs w:val="26"/>
        </w:rPr>
        <w:t xml:space="preserve"> </w:t>
      </w:r>
      <w:r w:rsidR="00B52A3B" w:rsidRPr="0038179C">
        <w:rPr>
          <w:szCs w:val="26"/>
        </w:rPr>
        <w:t xml:space="preserve">He </w:t>
      </w:r>
      <w:r w:rsidR="00F7123D" w:rsidRPr="0038179C">
        <w:rPr>
          <w:szCs w:val="26"/>
        </w:rPr>
        <w:t>said</w:t>
      </w:r>
      <w:r w:rsidR="00B52A3B" w:rsidRPr="0038179C">
        <w:rPr>
          <w:szCs w:val="26"/>
        </w:rPr>
        <w:t xml:space="preserve"> </w:t>
      </w:r>
      <w:r w:rsidR="00094AF3" w:rsidRPr="0038179C">
        <w:rPr>
          <w:szCs w:val="26"/>
        </w:rPr>
        <w:t xml:space="preserve">there were </w:t>
      </w:r>
      <w:r w:rsidR="002A252E" w:rsidRPr="0038179C">
        <w:rPr>
          <w:szCs w:val="26"/>
        </w:rPr>
        <w:t xml:space="preserve">also </w:t>
      </w:r>
      <w:bookmarkStart w:id="79" w:name="dabmq_42"/>
      <w:r w:rsidR="00094AF3" w:rsidRPr="0038179C">
        <w:rPr>
          <w:szCs w:val="26"/>
        </w:rPr>
        <w:t xml:space="preserve">“specific documents within Scout . . . that personal phone calls from </w:t>
      </w:r>
      <w:r w:rsidR="002A252E" w:rsidRPr="0038179C">
        <w:rPr>
          <w:szCs w:val="26"/>
        </w:rPr>
        <w:t>[one’s]</w:t>
      </w:r>
      <w:r w:rsidR="00094AF3" w:rsidRPr="0038179C">
        <w:rPr>
          <w:szCs w:val="26"/>
        </w:rPr>
        <w:t xml:space="preserve"> desk were not allowable,”</w:t>
      </w:r>
      <w:bookmarkEnd w:id="79"/>
      <w:r w:rsidR="00094AF3" w:rsidRPr="0038179C">
        <w:rPr>
          <w:szCs w:val="26"/>
        </w:rPr>
        <w:t xml:space="preserve"> but</w:t>
      </w:r>
      <w:r w:rsidR="00B52A3B" w:rsidRPr="0038179C">
        <w:rPr>
          <w:szCs w:val="26"/>
        </w:rPr>
        <w:t xml:space="preserve"> </w:t>
      </w:r>
      <w:r w:rsidR="00094AF3" w:rsidRPr="0038179C">
        <w:rPr>
          <w:szCs w:val="26"/>
        </w:rPr>
        <w:t xml:space="preserve">they “weren’t able to be found.” </w:t>
      </w:r>
      <w:r w:rsidR="00A913D7" w:rsidRPr="0038179C">
        <w:rPr>
          <w:szCs w:val="26"/>
        </w:rPr>
        <w:t xml:space="preserve"> </w:t>
      </w:r>
      <w:r w:rsidRPr="0038179C">
        <w:rPr>
          <w:szCs w:val="26"/>
        </w:rPr>
        <w:t>When asked about the</w:t>
      </w:r>
      <w:r w:rsidR="00F7123D" w:rsidRPr="0038179C">
        <w:rPr>
          <w:szCs w:val="26"/>
        </w:rPr>
        <w:t xml:space="preserve"> Inside HR</w:t>
      </w:r>
      <w:r w:rsidRPr="0038179C">
        <w:rPr>
          <w:szCs w:val="26"/>
        </w:rPr>
        <w:t xml:space="preserve"> Electronic Monitoring policy</w:t>
      </w:r>
      <w:r w:rsidR="002A252E" w:rsidRPr="0038179C">
        <w:rPr>
          <w:szCs w:val="26"/>
        </w:rPr>
        <w:t>’s treatment of personal calls</w:t>
      </w:r>
      <w:r w:rsidRPr="0038179C">
        <w:rPr>
          <w:szCs w:val="26"/>
        </w:rPr>
        <w:t xml:space="preserve"> (including that they “may be </w:t>
      </w:r>
      <w:r w:rsidRPr="0038179C">
        <w:rPr>
          <w:szCs w:val="26"/>
        </w:rPr>
        <w:lastRenderedPageBreak/>
        <w:t xml:space="preserve">recorded”), </w:t>
      </w:r>
      <w:r w:rsidR="00B52A3B" w:rsidRPr="0038179C">
        <w:rPr>
          <w:szCs w:val="26"/>
        </w:rPr>
        <w:t>he</w:t>
      </w:r>
      <w:r w:rsidRPr="0038179C">
        <w:rPr>
          <w:szCs w:val="26"/>
        </w:rPr>
        <w:t xml:space="preserve"> said </w:t>
      </w:r>
      <w:r w:rsidR="002A252E" w:rsidRPr="0038179C">
        <w:rPr>
          <w:szCs w:val="26"/>
        </w:rPr>
        <w:t xml:space="preserve">Scout </w:t>
      </w:r>
      <w:r w:rsidRPr="0038179C">
        <w:rPr>
          <w:szCs w:val="26"/>
        </w:rPr>
        <w:t>policies were “probably more specific</w:t>
      </w:r>
      <w:r w:rsidR="00F7123D" w:rsidRPr="0038179C">
        <w:rPr>
          <w:szCs w:val="26"/>
        </w:rPr>
        <w:t>.</w:t>
      </w:r>
      <w:r w:rsidRPr="0038179C">
        <w:rPr>
          <w:szCs w:val="26"/>
        </w:rPr>
        <w:t>”</w:t>
      </w:r>
      <w:r w:rsidR="001D6661" w:rsidRPr="0038179C">
        <w:rPr>
          <w:rStyle w:val="FootnoteReference"/>
          <w:szCs w:val="26"/>
        </w:rPr>
        <w:footnoteReference w:id="10"/>
      </w:r>
      <w:r w:rsidRPr="0038179C">
        <w:rPr>
          <w:szCs w:val="26"/>
        </w:rPr>
        <w:t xml:space="preserve"> </w:t>
      </w:r>
      <w:r w:rsidR="00B52A3B" w:rsidRPr="0038179C">
        <w:rPr>
          <w:szCs w:val="26"/>
        </w:rPr>
        <w:t xml:space="preserve"> </w:t>
      </w:r>
    </w:p>
    <w:p w14:paraId="66D638D9" w14:textId="306E16CC" w:rsidR="00EC38A6" w:rsidRPr="0038179C" w:rsidRDefault="001F416A" w:rsidP="007D06D6">
      <w:pPr>
        <w:widowControl w:val="0"/>
        <w:spacing w:line="360" w:lineRule="auto"/>
        <w:ind w:firstLine="720"/>
        <w:rPr>
          <w:szCs w:val="26"/>
        </w:rPr>
      </w:pPr>
      <w:r w:rsidRPr="0038179C">
        <w:rPr>
          <w:szCs w:val="26"/>
        </w:rPr>
        <w:t xml:space="preserve">Ivey </w:t>
      </w:r>
      <w:r w:rsidR="00A12CFA" w:rsidRPr="0038179C">
        <w:rPr>
          <w:szCs w:val="26"/>
        </w:rPr>
        <w:t xml:space="preserve">further </w:t>
      </w:r>
      <w:r w:rsidRPr="0038179C">
        <w:rPr>
          <w:szCs w:val="26"/>
        </w:rPr>
        <w:t>testified there was</w:t>
      </w:r>
      <w:r w:rsidR="00A12CFA" w:rsidRPr="0038179C">
        <w:rPr>
          <w:szCs w:val="26"/>
        </w:rPr>
        <w:t xml:space="preserve"> progressive</w:t>
      </w:r>
      <w:r w:rsidRPr="0038179C">
        <w:rPr>
          <w:szCs w:val="26"/>
        </w:rPr>
        <w:t xml:space="preserve"> disciplin</w:t>
      </w:r>
      <w:r w:rsidR="00F7123D" w:rsidRPr="0038179C">
        <w:rPr>
          <w:szCs w:val="26"/>
        </w:rPr>
        <w:t>e</w:t>
      </w:r>
      <w:r w:rsidRPr="0038179C">
        <w:rPr>
          <w:szCs w:val="26"/>
        </w:rPr>
        <w:t xml:space="preserve"> for </w:t>
      </w:r>
      <w:r w:rsidR="00A12CFA" w:rsidRPr="0038179C">
        <w:rPr>
          <w:szCs w:val="26"/>
        </w:rPr>
        <w:t>violating</w:t>
      </w:r>
      <w:r w:rsidRPr="0038179C">
        <w:rPr>
          <w:szCs w:val="26"/>
        </w:rPr>
        <w:t xml:space="preserve"> personal call</w:t>
      </w:r>
      <w:r w:rsidR="00A12CFA" w:rsidRPr="0038179C">
        <w:rPr>
          <w:szCs w:val="26"/>
        </w:rPr>
        <w:t xml:space="preserve"> policies, which could result in</w:t>
      </w:r>
      <w:r w:rsidR="006F4B04" w:rsidRPr="0038179C">
        <w:rPr>
          <w:szCs w:val="26"/>
        </w:rPr>
        <w:t xml:space="preserve"> an agent’s</w:t>
      </w:r>
      <w:r w:rsidR="00A12CFA" w:rsidRPr="0038179C">
        <w:rPr>
          <w:szCs w:val="26"/>
        </w:rPr>
        <w:t xml:space="preserve"> termination</w:t>
      </w:r>
      <w:r w:rsidRPr="0038179C">
        <w:rPr>
          <w:szCs w:val="26"/>
        </w:rPr>
        <w:t xml:space="preserve">.  </w:t>
      </w:r>
      <w:r w:rsidR="00F7123D" w:rsidRPr="0038179C">
        <w:rPr>
          <w:szCs w:val="26"/>
        </w:rPr>
        <w:t xml:space="preserve">He </w:t>
      </w:r>
      <w:bookmarkStart w:id="80" w:name="dabmq_43"/>
      <w:r w:rsidR="00F7123D" w:rsidRPr="0038179C">
        <w:rPr>
          <w:rFonts w:cs="Courier New"/>
          <w:szCs w:val="26"/>
        </w:rPr>
        <w:t>“</w:t>
      </w:r>
      <w:r w:rsidRPr="0038179C">
        <w:rPr>
          <w:rFonts w:cs="Courier New"/>
          <w:szCs w:val="26"/>
        </w:rPr>
        <w:t>knew</w:t>
      </w:r>
      <w:r w:rsidR="00EA4285" w:rsidRPr="0038179C">
        <w:rPr>
          <w:rFonts w:cs="Courier New"/>
          <w:szCs w:val="26"/>
        </w:rPr>
        <w:t xml:space="preserve"> that</w:t>
      </w:r>
      <w:r w:rsidRPr="0038179C">
        <w:rPr>
          <w:rFonts w:cs="Courier New"/>
          <w:szCs w:val="26"/>
        </w:rPr>
        <w:t xml:space="preserve"> call agents were making personal calls</w:t>
      </w:r>
      <w:r w:rsidR="00F7123D" w:rsidRPr="0038179C">
        <w:rPr>
          <w:rFonts w:cs="Courier New"/>
          <w:szCs w:val="26"/>
        </w:rPr>
        <w:t>,</w:t>
      </w:r>
      <w:r w:rsidRPr="0038179C">
        <w:rPr>
          <w:rFonts w:cs="Courier New"/>
          <w:szCs w:val="26"/>
        </w:rPr>
        <w:t>”</w:t>
      </w:r>
      <w:bookmarkEnd w:id="80"/>
      <w:r w:rsidR="00EC38A6" w:rsidRPr="0038179C">
        <w:rPr>
          <w:rFonts w:cs="Courier New"/>
          <w:szCs w:val="26"/>
        </w:rPr>
        <w:t xml:space="preserve"> and </w:t>
      </w:r>
      <w:r w:rsidRPr="0038179C">
        <w:rPr>
          <w:szCs w:val="26"/>
        </w:rPr>
        <w:t xml:space="preserve">was aware of a half-dozen employees who were terminated for </w:t>
      </w:r>
      <w:r w:rsidR="002A252E" w:rsidRPr="0038179C">
        <w:rPr>
          <w:szCs w:val="26"/>
        </w:rPr>
        <w:t>this</w:t>
      </w:r>
      <w:r w:rsidR="00CD7426" w:rsidRPr="0038179C">
        <w:rPr>
          <w:szCs w:val="26"/>
        </w:rPr>
        <w:t xml:space="preserve"> conduct</w:t>
      </w:r>
      <w:r w:rsidRPr="0038179C">
        <w:rPr>
          <w:szCs w:val="26"/>
        </w:rPr>
        <w:t xml:space="preserve"> during the relevant </w:t>
      </w:r>
      <w:proofErr w:type="gramStart"/>
      <w:r w:rsidRPr="0038179C">
        <w:rPr>
          <w:szCs w:val="26"/>
        </w:rPr>
        <w:t>time period</w:t>
      </w:r>
      <w:proofErr w:type="gramEnd"/>
      <w:r w:rsidRPr="0038179C">
        <w:rPr>
          <w:szCs w:val="26"/>
        </w:rPr>
        <w:t xml:space="preserve">.  </w:t>
      </w:r>
      <w:r w:rsidRPr="0038179C">
        <w:rPr>
          <w:rFonts w:cs="Courier New"/>
          <w:szCs w:val="26"/>
        </w:rPr>
        <w:t>He</w:t>
      </w:r>
      <w:r w:rsidR="00F7123D" w:rsidRPr="0038179C">
        <w:rPr>
          <w:rFonts w:cs="Courier New"/>
          <w:szCs w:val="26"/>
        </w:rPr>
        <w:t xml:space="preserve"> </w:t>
      </w:r>
      <w:r w:rsidRPr="0038179C">
        <w:rPr>
          <w:rFonts w:cs="Courier New"/>
          <w:szCs w:val="26"/>
        </w:rPr>
        <w:t xml:space="preserve">agreed there were “potentially others” </w:t>
      </w:r>
      <w:r w:rsidR="002A252E" w:rsidRPr="0038179C">
        <w:rPr>
          <w:rFonts w:cs="Courier New"/>
          <w:szCs w:val="26"/>
        </w:rPr>
        <w:t>who</w:t>
      </w:r>
      <w:r w:rsidRPr="0038179C">
        <w:rPr>
          <w:rFonts w:cs="Courier New"/>
          <w:szCs w:val="26"/>
        </w:rPr>
        <w:t xml:space="preserve"> would have been dealt with at lower management levels. </w:t>
      </w:r>
      <w:r w:rsidR="00CB5056" w:rsidRPr="0038179C">
        <w:rPr>
          <w:rFonts w:cs="Courier New"/>
          <w:szCs w:val="26"/>
        </w:rPr>
        <w:t xml:space="preserve"> </w:t>
      </w:r>
    </w:p>
    <w:p w14:paraId="07F4FA59" w14:textId="327115C8" w:rsidR="00F04E38" w:rsidRPr="0038179C" w:rsidRDefault="00CB5056" w:rsidP="00882F89">
      <w:pPr>
        <w:autoSpaceDE w:val="0"/>
        <w:autoSpaceDN w:val="0"/>
        <w:adjustRightInd w:val="0"/>
        <w:spacing w:line="360" w:lineRule="auto"/>
        <w:rPr>
          <w:rFonts w:cs="Courier New"/>
          <w:szCs w:val="26"/>
        </w:rPr>
      </w:pPr>
      <w:r w:rsidRPr="0038179C">
        <w:rPr>
          <w:rFonts w:cs="Courier New"/>
          <w:szCs w:val="26"/>
        </w:rPr>
        <w:tab/>
        <w:t>Garcia</w:t>
      </w:r>
      <w:r w:rsidR="00935EEB" w:rsidRPr="0038179C">
        <w:t xml:space="preserve">, a </w:t>
      </w:r>
      <w:r w:rsidR="00935EEB" w:rsidRPr="0038179C">
        <w:rPr>
          <w:rFonts w:cs="Courier New"/>
          <w:szCs w:val="26"/>
        </w:rPr>
        <w:t xml:space="preserve">senior branch manager who previously worked </w:t>
      </w:r>
      <w:r w:rsidR="000746E5" w:rsidRPr="0038179C">
        <w:rPr>
          <w:rFonts w:cs="Courier New"/>
          <w:szCs w:val="26"/>
        </w:rPr>
        <w:t>at</w:t>
      </w:r>
      <w:r w:rsidR="006F4B04" w:rsidRPr="0038179C">
        <w:rPr>
          <w:rFonts w:cs="Courier New"/>
          <w:szCs w:val="26"/>
        </w:rPr>
        <w:t xml:space="preserve"> the</w:t>
      </w:r>
      <w:r w:rsidR="000746E5" w:rsidRPr="0038179C">
        <w:rPr>
          <w:rFonts w:cs="Courier New"/>
          <w:szCs w:val="26"/>
        </w:rPr>
        <w:t xml:space="preserve"> Salinas</w:t>
      </w:r>
      <w:r w:rsidR="006F4B04" w:rsidRPr="0038179C">
        <w:rPr>
          <w:rFonts w:cs="Courier New"/>
          <w:szCs w:val="26"/>
        </w:rPr>
        <w:t xml:space="preserve"> facility</w:t>
      </w:r>
      <w:r w:rsidR="00935EEB" w:rsidRPr="0038179C">
        <w:rPr>
          <w:rFonts w:cs="Courier New"/>
          <w:szCs w:val="26"/>
        </w:rPr>
        <w:t>,</w:t>
      </w:r>
      <w:r w:rsidRPr="0038179C">
        <w:rPr>
          <w:rFonts w:cs="Courier New"/>
          <w:szCs w:val="26"/>
        </w:rPr>
        <w:t xml:space="preserve"> testified </w:t>
      </w:r>
      <w:r w:rsidRPr="0038179C">
        <w:rPr>
          <w:szCs w:val="26"/>
        </w:rPr>
        <w:t xml:space="preserve">new hires were told personal calls </w:t>
      </w:r>
      <w:r w:rsidR="00F04E38" w:rsidRPr="0038179C">
        <w:rPr>
          <w:szCs w:val="26"/>
        </w:rPr>
        <w:t xml:space="preserve">on desk phones </w:t>
      </w:r>
      <w:r w:rsidRPr="0038179C">
        <w:rPr>
          <w:szCs w:val="26"/>
        </w:rPr>
        <w:t>“were not allowed</w:t>
      </w:r>
      <w:r w:rsidR="002A252E" w:rsidRPr="0038179C">
        <w:rPr>
          <w:szCs w:val="26"/>
        </w:rPr>
        <w:t xml:space="preserve">.”  He agreed personal calls could lead to progressive discipline ending in </w:t>
      </w:r>
      <w:r w:rsidR="006F4B04" w:rsidRPr="0038179C">
        <w:rPr>
          <w:szCs w:val="26"/>
        </w:rPr>
        <w:t xml:space="preserve">an employee’s </w:t>
      </w:r>
      <w:r w:rsidR="002A252E" w:rsidRPr="0038179C">
        <w:rPr>
          <w:szCs w:val="26"/>
        </w:rPr>
        <w:t xml:space="preserve">termination, and he had </w:t>
      </w:r>
      <w:bookmarkStart w:id="81" w:name="dabmq_44"/>
      <w:r w:rsidR="002A252E" w:rsidRPr="0038179C">
        <w:rPr>
          <w:szCs w:val="26"/>
        </w:rPr>
        <w:t>“come across an employee making a personal call,”</w:t>
      </w:r>
      <w:bookmarkEnd w:id="81"/>
      <w:r w:rsidR="002A252E" w:rsidRPr="0038179C">
        <w:rPr>
          <w:szCs w:val="26"/>
        </w:rPr>
        <w:t xml:space="preserve"> and asked them to stop.  Like Ivey, he </w:t>
      </w:r>
      <w:r w:rsidR="002A252E" w:rsidRPr="0038179C">
        <w:rPr>
          <w:rFonts w:cs="Courier New"/>
          <w:szCs w:val="26"/>
        </w:rPr>
        <w:t>testified</w:t>
      </w:r>
      <w:r w:rsidRPr="0038179C">
        <w:rPr>
          <w:rFonts w:cs="Courier New"/>
          <w:szCs w:val="26"/>
        </w:rPr>
        <w:t xml:space="preserve"> </w:t>
      </w:r>
      <w:bookmarkStart w:id="82" w:name="dabmq_45"/>
      <w:r w:rsidR="001F416A" w:rsidRPr="0038179C">
        <w:rPr>
          <w:szCs w:val="26"/>
        </w:rPr>
        <w:t>“there was a written policy prohibiting personal calls</w:t>
      </w:r>
      <w:r w:rsidR="00F04E38" w:rsidRPr="0038179C">
        <w:rPr>
          <w:szCs w:val="26"/>
        </w:rPr>
        <w:t>”</w:t>
      </w:r>
      <w:bookmarkEnd w:id="82"/>
      <w:r w:rsidR="002A252E" w:rsidRPr="0038179C">
        <w:rPr>
          <w:szCs w:val="26"/>
        </w:rPr>
        <w:t xml:space="preserve"> in Scout,</w:t>
      </w:r>
      <w:r w:rsidR="00F04E38" w:rsidRPr="0038179C">
        <w:rPr>
          <w:szCs w:val="26"/>
        </w:rPr>
        <w:t xml:space="preserve"> but </w:t>
      </w:r>
      <w:r w:rsidR="002A252E" w:rsidRPr="0038179C">
        <w:rPr>
          <w:szCs w:val="26"/>
        </w:rPr>
        <w:t>it</w:t>
      </w:r>
      <w:r w:rsidR="00F04E38" w:rsidRPr="0038179C">
        <w:rPr>
          <w:szCs w:val="26"/>
        </w:rPr>
        <w:t xml:space="preserve"> was missing. </w:t>
      </w:r>
      <w:r w:rsidR="001F416A" w:rsidRPr="0038179C">
        <w:rPr>
          <w:szCs w:val="26"/>
        </w:rPr>
        <w:t xml:space="preserve"> </w:t>
      </w:r>
    </w:p>
    <w:p w14:paraId="0E0BE916" w14:textId="57FDF429" w:rsidR="002A252E" w:rsidRPr="0038179C" w:rsidRDefault="00D60944" w:rsidP="008A2780">
      <w:pPr>
        <w:widowControl w:val="0"/>
        <w:spacing w:line="360" w:lineRule="auto"/>
        <w:rPr>
          <w:szCs w:val="26"/>
        </w:rPr>
      </w:pPr>
      <w:r w:rsidRPr="0038179C">
        <w:rPr>
          <w:szCs w:val="26"/>
        </w:rPr>
        <w:tab/>
      </w:r>
      <w:r w:rsidR="000746E5" w:rsidRPr="0038179C">
        <w:rPr>
          <w:szCs w:val="26"/>
        </w:rPr>
        <w:t xml:space="preserve">Salinas </w:t>
      </w:r>
      <w:r w:rsidR="006F4B04" w:rsidRPr="0038179C">
        <w:rPr>
          <w:szCs w:val="26"/>
        </w:rPr>
        <w:t xml:space="preserve">facility </w:t>
      </w:r>
      <w:r w:rsidR="000746E5" w:rsidRPr="0038179C">
        <w:rPr>
          <w:szCs w:val="26"/>
        </w:rPr>
        <w:t xml:space="preserve">department manager </w:t>
      </w:r>
      <w:r w:rsidRPr="0038179C">
        <w:rPr>
          <w:szCs w:val="26"/>
        </w:rPr>
        <w:t>Escamill</w:t>
      </w:r>
      <w:r w:rsidR="00902C32" w:rsidRPr="0038179C">
        <w:rPr>
          <w:szCs w:val="26"/>
        </w:rPr>
        <w:t xml:space="preserve">a </w:t>
      </w:r>
      <w:r w:rsidR="007338C0" w:rsidRPr="0038179C">
        <w:rPr>
          <w:szCs w:val="26"/>
        </w:rPr>
        <w:t xml:space="preserve">similarly </w:t>
      </w:r>
      <w:r w:rsidR="00C46868" w:rsidRPr="0038179C">
        <w:rPr>
          <w:szCs w:val="26"/>
        </w:rPr>
        <w:t xml:space="preserve">testified personal calls </w:t>
      </w:r>
      <w:r w:rsidR="008A2780" w:rsidRPr="0038179C">
        <w:rPr>
          <w:szCs w:val="26"/>
        </w:rPr>
        <w:t>were not permitted</w:t>
      </w:r>
      <w:r w:rsidR="002A252E" w:rsidRPr="0038179C">
        <w:rPr>
          <w:szCs w:val="26"/>
        </w:rPr>
        <w:t xml:space="preserve"> </w:t>
      </w:r>
      <w:r w:rsidR="006F4B04" w:rsidRPr="0038179C">
        <w:rPr>
          <w:szCs w:val="26"/>
        </w:rPr>
        <w:t>in</w:t>
      </w:r>
      <w:r w:rsidR="006D0C94" w:rsidRPr="0038179C">
        <w:rPr>
          <w:szCs w:val="26"/>
        </w:rPr>
        <w:t xml:space="preserve"> employees’</w:t>
      </w:r>
      <w:r w:rsidR="006F4B04" w:rsidRPr="0038179C">
        <w:rPr>
          <w:szCs w:val="26"/>
        </w:rPr>
        <w:t xml:space="preserve"> </w:t>
      </w:r>
      <w:r w:rsidR="008A2780" w:rsidRPr="0038179C">
        <w:rPr>
          <w:szCs w:val="26"/>
        </w:rPr>
        <w:t xml:space="preserve">work </w:t>
      </w:r>
      <w:proofErr w:type="gramStart"/>
      <w:r w:rsidR="008A2780" w:rsidRPr="0038179C">
        <w:rPr>
          <w:szCs w:val="26"/>
        </w:rPr>
        <w:t>areas</w:t>
      </w:r>
      <w:r w:rsidR="002A252E" w:rsidRPr="0038179C">
        <w:rPr>
          <w:szCs w:val="26"/>
        </w:rPr>
        <w:t>, but</w:t>
      </w:r>
      <w:proofErr w:type="gramEnd"/>
      <w:r w:rsidR="002A252E" w:rsidRPr="0038179C">
        <w:rPr>
          <w:szCs w:val="26"/>
        </w:rPr>
        <w:t xml:space="preserve"> </w:t>
      </w:r>
      <w:r w:rsidR="008A2780" w:rsidRPr="0038179C">
        <w:rPr>
          <w:szCs w:val="26"/>
        </w:rPr>
        <w:t xml:space="preserve">were </w:t>
      </w:r>
      <w:r w:rsidR="005426F1" w:rsidRPr="0038179C">
        <w:rPr>
          <w:szCs w:val="26"/>
        </w:rPr>
        <w:t>allowed</w:t>
      </w:r>
      <w:r w:rsidR="002A252E" w:rsidRPr="0038179C">
        <w:rPr>
          <w:szCs w:val="26"/>
        </w:rPr>
        <w:t xml:space="preserve"> from the </w:t>
      </w:r>
      <w:r w:rsidR="008A2780" w:rsidRPr="0038179C">
        <w:rPr>
          <w:szCs w:val="26"/>
        </w:rPr>
        <w:t xml:space="preserve">lobby </w:t>
      </w:r>
      <w:r w:rsidR="002A252E" w:rsidRPr="0038179C">
        <w:rPr>
          <w:szCs w:val="26"/>
        </w:rPr>
        <w:t>phone bank</w:t>
      </w:r>
      <w:r w:rsidR="00C46868" w:rsidRPr="0038179C">
        <w:rPr>
          <w:szCs w:val="26"/>
        </w:rPr>
        <w:t>.  She also indicated employees</w:t>
      </w:r>
      <w:r w:rsidR="00665E73" w:rsidRPr="0038179C">
        <w:rPr>
          <w:szCs w:val="26"/>
        </w:rPr>
        <w:t xml:space="preserve"> </w:t>
      </w:r>
      <w:r w:rsidR="00C46868" w:rsidRPr="0038179C">
        <w:rPr>
          <w:szCs w:val="26"/>
        </w:rPr>
        <w:t xml:space="preserve">could make cell phone calls from the lobby, cafeteria, or patio.  </w:t>
      </w:r>
      <w:r w:rsidR="002A252E" w:rsidRPr="0038179C">
        <w:rPr>
          <w:szCs w:val="26"/>
        </w:rPr>
        <w:t>She recalled a</w:t>
      </w:r>
      <w:r w:rsidR="008A2780" w:rsidRPr="0038179C">
        <w:rPr>
          <w:szCs w:val="26"/>
        </w:rPr>
        <w:t xml:space="preserve"> written “policy against personal calls,” stating it </w:t>
      </w:r>
      <w:bookmarkStart w:id="83" w:name="dabmq_46"/>
      <w:r w:rsidR="008A2780" w:rsidRPr="0038179C">
        <w:rPr>
          <w:szCs w:val="26"/>
        </w:rPr>
        <w:t>“should be in one of the HR policies”</w:t>
      </w:r>
      <w:bookmarkEnd w:id="83"/>
      <w:r w:rsidR="008A2780" w:rsidRPr="0038179C">
        <w:rPr>
          <w:szCs w:val="26"/>
        </w:rPr>
        <w:t xml:space="preserve"> and her </w:t>
      </w:r>
      <w:r w:rsidR="002A252E" w:rsidRPr="0038179C">
        <w:rPr>
          <w:szCs w:val="26"/>
        </w:rPr>
        <w:t xml:space="preserve">best recollection was that it was </w:t>
      </w:r>
      <w:r w:rsidR="00CD7426" w:rsidRPr="0038179C">
        <w:rPr>
          <w:szCs w:val="26"/>
        </w:rPr>
        <w:t xml:space="preserve">a </w:t>
      </w:r>
      <w:r w:rsidR="008A2780" w:rsidRPr="0038179C">
        <w:rPr>
          <w:szCs w:val="26"/>
        </w:rPr>
        <w:t>“</w:t>
      </w:r>
      <w:r w:rsidR="002A252E" w:rsidRPr="0038179C">
        <w:rPr>
          <w:szCs w:val="26"/>
        </w:rPr>
        <w:t>company-wide</w:t>
      </w:r>
      <w:r w:rsidR="008A2780" w:rsidRPr="0038179C">
        <w:rPr>
          <w:szCs w:val="26"/>
        </w:rPr>
        <w:t>”</w:t>
      </w:r>
      <w:r w:rsidR="00CD7426" w:rsidRPr="0038179C">
        <w:rPr>
          <w:szCs w:val="26"/>
        </w:rPr>
        <w:t xml:space="preserve"> policy</w:t>
      </w:r>
      <w:r w:rsidR="002A252E" w:rsidRPr="0038179C">
        <w:rPr>
          <w:szCs w:val="26"/>
        </w:rPr>
        <w:t xml:space="preserve"> </w:t>
      </w:r>
      <w:proofErr w:type="gramStart"/>
      <w:r w:rsidR="008A2780" w:rsidRPr="0038179C">
        <w:rPr>
          <w:szCs w:val="26"/>
        </w:rPr>
        <w:t>and also</w:t>
      </w:r>
      <w:proofErr w:type="gramEnd"/>
      <w:r w:rsidR="008A2780" w:rsidRPr="0038179C">
        <w:rPr>
          <w:szCs w:val="26"/>
        </w:rPr>
        <w:t xml:space="preserve"> </w:t>
      </w:r>
      <w:r w:rsidR="00CD7426" w:rsidRPr="0038179C">
        <w:rPr>
          <w:szCs w:val="26"/>
        </w:rPr>
        <w:t>addressed</w:t>
      </w:r>
      <w:r w:rsidR="008A2780" w:rsidRPr="0038179C">
        <w:rPr>
          <w:szCs w:val="26"/>
        </w:rPr>
        <w:t xml:space="preserve"> cell phone</w:t>
      </w:r>
      <w:r w:rsidR="003F2242" w:rsidRPr="0038179C">
        <w:rPr>
          <w:szCs w:val="26"/>
        </w:rPr>
        <w:t xml:space="preserve"> use</w:t>
      </w:r>
      <w:r w:rsidR="008A2780" w:rsidRPr="0038179C">
        <w:rPr>
          <w:szCs w:val="26"/>
        </w:rPr>
        <w:t>.</w:t>
      </w:r>
      <w:r w:rsidR="002A252E" w:rsidRPr="0038179C">
        <w:rPr>
          <w:szCs w:val="26"/>
        </w:rPr>
        <w:t xml:space="preserve"> </w:t>
      </w:r>
    </w:p>
    <w:p w14:paraId="05B984D3" w14:textId="3A19FAD4" w:rsidR="00C46868" w:rsidRPr="0038179C" w:rsidRDefault="00C46868" w:rsidP="00882F89">
      <w:pPr>
        <w:widowControl w:val="0"/>
        <w:spacing w:line="360" w:lineRule="auto"/>
      </w:pPr>
      <w:r w:rsidRPr="0038179C">
        <w:rPr>
          <w:szCs w:val="26"/>
        </w:rPr>
        <w:tab/>
        <w:t xml:space="preserve">Ramirez, </w:t>
      </w:r>
      <w:r w:rsidR="00F4798C" w:rsidRPr="0038179C">
        <w:rPr>
          <w:szCs w:val="26"/>
        </w:rPr>
        <w:t xml:space="preserve">Alejandra’s </w:t>
      </w:r>
      <w:r w:rsidR="007338C0" w:rsidRPr="0038179C">
        <w:rPr>
          <w:szCs w:val="26"/>
        </w:rPr>
        <w:t>direct manager</w:t>
      </w:r>
      <w:r w:rsidR="000746E5" w:rsidRPr="0038179C">
        <w:rPr>
          <w:szCs w:val="26"/>
        </w:rPr>
        <w:t xml:space="preserve"> at </w:t>
      </w:r>
      <w:r w:rsidR="003B24F8" w:rsidRPr="0038179C">
        <w:rPr>
          <w:szCs w:val="26"/>
        </w:rPr>
        <w:t xml:space="preserve">the </w:t>
      </w:r>
      <w:r w:rsidR="000746E5" w:rsidRPr="0038179C">
        <w:rPr>
          <w:szCs w:val="26"/>
        </w:rPr>
        <w:t>Salinas</w:t>
      </w:r>
      <w:r w:rsidR="003B24F8" w:rsidRPr="0038179C">
        <w:rPr>
          <w:szCs w:val="26"/>
        </w:rPr>
        <w:t xml:space="preserve"> facility</w:t>
      </w:r>
      <w:r w:rsidRPr="0038179C">
        <w:rPr>
          <w:szCs w:val="26"/>
        </w:rPr>
        <w:t>, also testified about personal call policies and practices.</w:t>
      </w:r>
      <w:r w:rsidR="00FF2CF9" w:rsidRPr="0038179C">
        <w:rPr>
          <w:szCs w:val="26"/>
        </w:rPr>
        <w:t xml:space="preserve"> </w:t>
      </w:r>
      <w:r w:rsidRPr="0038179C">
        <w:rPr>
          <w:szCs w:val="26"/>
        </w:rPr>
        <w:t xml:space="preserve"> She recall</w:t>
      </w:r>
      <w:r w:rsidR="004D3A49" w:rsidRPr="0038179C">
        <w:rPr>
          <w:szCs w:val="26"/>
        </w:rPr>
        <w:t>ed</w:t>
      </w:r>
      <w:r w:rsidRPr="0038179C">
        <w:rPr>
          <w:szCs w:val="26"/>
        </w:rPr>
        <w:t xml:space="preserve"> that during her </w:t>
      </w:r>
      <w:r w:rsidR="00FF2CF9" w:rsidRPr="0038179C">
        <w:rPr>
          <w:szCs w:val="26"/>
        </w:rPr>
        <w:t xml:space="preserve">own </w:t>
      </w:r>
      <w:r w:rsidRPr="0038179C">
        <w:rPr>
          <w:szCs w:val="26"/>
        </w:rPr>
        <w:t xml:space="preserve">training, they were told they </w:t>
      </w:r>
      <w:bookmarkStart w:id="84" w:name="dabmq_47"/>
      <w:proofErr w:type="gramStart"/>
      <w:r w:rsidRPr="0038179C">
        <w:rPr>
          <w:szCs w:val="26"/>
        </w:rPr>
        <w:t>“really</w:t>
      </w:r>
      <w:proofErr w:type="gramEnd"/>
      <w:r w:rsidRPr="0038179C">
        <w:rPr>
          <w:szCs w:val="26"/>
        </w:rPr>
        <w:t xml:space="preserve"> shouldn’t use our phone on our desk to make personal calls,”</w:t>
      </w:r>
      <w:bookmarkEnd w:id="84"/>
      <w:r w:rsidRPr="0038179C">
        <w:rPr>
          <w:szCs w:val="26"/>
        </w:rPr>
        <w:t xml:space="preserve"> and there were </w:t>
      </w:r>
      <w:r w:rsidR="004D3A49" w:rsidRPr="0038179C">
        <w:rPr>
          <w:szCs w:val="26"/>
        </w:rPr>
        <w:t xml:space="preserve">lobby </w:t>
      </w:r>
      <w:r w:rsidRPr="0038179C">
        <w:rPr>
          <w:szCs w:val="26"/>
        </w:rPr>
        <w:t>phones they could use</w:t>
      </w:r>
      <w:r w:rsidR="00E306FA" w:rsidRPr="0038179C">
        <w:rPr>
          <w:szCs w:val="26"/>
        </w:rPr>
        <w:t>, but did not remember anything in writing</w:t>
      </w:r>
      <w:r w:rsidRPr="0038179C">
        <w:rPr>
          <w:szCs w:val="26"/>
        </w:rPr>
        <w:t xml:space="preserve">.  </w:t>
      </w:r>
      <w:r w:rsidR="00F56DF4" w:rsidRPr="0038179C">
        <w:rPr>
          <w:szCs w:val="26"/>
        </w:rPr>
        <w:t xml:space="preserve">She knew calls could be recorded.  </w:t>
      </w:r>
      <w:r w:rsidRPr="0038179C">
        <w:rPr>
          <w:szCs w:val="26"/>
        </w:rPr>
        <w:lastRenderedPageBreak/>
        <w:t xml:space="preserve">Ramirez testified </w:t>
      </w:r>
      <w:r w:rsidR="008837E9" w:rsidRPr="0038179C">
        <w:rPr>
          <w:szCs w:val="26"/>
        </w:rPr>
        <w:t xml:space="preserve">the employees she managed were “generalists,” who had more responsibility and flexibility, and they were </w:t>
      </w:r>
      <w:bookmarkStart w:id="85" w:name="dabmq_48"/>
      <w:r w:rsidR="008837E9" w:rsidRPr="0038179C">
        <w:rPr>
          <w:szCs w:val="26"/>
        </w:rPr>
        <w:t>“allowed to make personal phone calls</w:t>
      </w:r>
      <w:r w:rsidR="004D3A49" w:rsidRPr="0038179C">
        <w:rPr>
          <w:szCs w:val="26"/>
        </w:rPr>
        <w:t xml:space="preserve"> </w:t>
      </w:r>
      <w:r w:rsidR="008837E9" w:rsidRPr="0038179C">
        <w:rPr>
          <w:szCs w:val="26"/>
        </w:rPr>
        <w:t>. . . to check up on their children or if there was an emergency</w:t>
      </w:r>
      <w:r w:rsidR="00F4798C" w:rsidRPr="0038179C">
        <w:rPr>
          <w:szCs w:val="26"/>
        </w:rPr>
        <w:t>,”</w:t>
      </w:r>
      <w:bookmarkEnd w:id="85"/>
      <w:r w:rsidR="00F4798C" w:rsidRPr="0038179C">
        <w:rPr>
          <w:szCs w:val="26"/>
        </w:rPr>
        <w:t xml:space="preserve"> but not other types of calls.</w:t>
      </w:r>
      <w:r w:rsidR="008837E9" w:rsidRPr="0038179C">
        <w:rPr>
          <w:szCs w:val="26"/>
        </w:rPr>
        <w:t xml:space="preserve">  </w:t>
      </w:r>
      <w:r w:rsidR="00326856" w:rsidRPr="0038179C">
        <w:t>Ramirez was aware Alejandra was making personal calls</w:t>
      </w:r>
      <w:r w:rsidR="006253FA" w:rsidRPr="0038179C">
        <w:t xml:space="preserve"> from her work area</w:t>
      </w:r>
      <w:r w:rsidR="00F4798C" w:rsidRPr="0038179C">
        <w:t xml:space="preserve">. </w:t>
      </w:r>
      <w:r w:rsidR="00326856" w:rsidRPr="0038179C">
        <w:t xml:space="preserve"> </w:t>
      </w:r>
      <w:r w:rsidR="004D3A49" w:rsidRPr="0038179C">
        <w:t xml:space="preserve">She never stopped to listen, but </w:t>
      </w:r>
      <w:bookmarkStart w:id="86" w:name="dabmq_49"/>
      <w:r w:rsidR="004D3A49" w:rsidRPr="0038179C">
        <w:t>“could hear her checking up on her children, usually.”</w:t>
      </w:r>
      <w:bookmarkEnd w:id="86"/>
      <w:r w:rsidR="004D3A49" w:rsidRPr="0038179C">
        <w:t xml:space="preserve">  </w:t>
      </w:r>
      <w:r w:rsidR="006253FA" w:rsidRPr="0038179C">
        <w:t>When asked if she overheard conversations with Rojas, Ramirez said she</w:t>
      </w:r>
      <w:r w:rsidR="004D3A49" w:rsidRPr="0038179C">
        <w:t xml:space="preserve"> </w:t>
      </w:r>
      <w:bookmarkStart w:id="87" w:name="dabmq_50"/>
      <w:r w:rsidR="004D3A49" w:rsidRPr="0038179C">
        <w:t>“</w:t>
      </w:r>
      <w:r w:rsidR="00326856" w:rsidRPr="0038179C">
        <w:t xml:space="preserve">knew </w:t>
      </w:r>
      <w:r w:rsidR="006253FA" w:rsidRPr="0038179C">
        <w:t>[Alejandra]</w:t>
      </w:r>
      <w:r w:rsidR="00326856" w:rsidRPr="0038179C">
        <w:t xml:space="preserve"> was talking to her mother</w:t>
      </w:r>
      <w:r w:rsidR="004D3A49" w:rsidRPr="0038179C">
        <w:t>,”</w:t>
      </w:r>
      <w:bookmarkEnd w:id="87"/>
      <w:r w:rsidR="004D3A49" w:rsidRPr="0038179C">
        <w:t xml:space="preserve"> but did not</w:t>
      </w:r>
      <w:r w:rsidR="00326856" w:rsidRPr="0038179C">
        <w:t xml:space="preserve"> </w:t>
      </w:r>
      <w:bookmarkStart w:id="88" w:name="dabmq_51"/>
      <w:r w:rsidR="004D3A49" w:rsidRPr="0038179C">
        <w:t>“</w:t>
      </w:r>
      <w:r w:rsidR="00326856" w:rsidRPr="0038179C">
        <w:t>know what the conversation was about.”</w:t>
      </w:r>
      <w:bookmarkEnd w:id="88"/>
      <w:r w:rsidR="00326856" w:rsidRPr="0038179C">
        <w:t xml:space="preserve">  </w:t>
      </w:r>
      <w:r w:rsidR="004D3A49" w:rsidRPr="0038179C">
        <w:t xml:space="preserve">Ramirez </w:t>
      </w:r>
      <w:bookmarkStart w:id="89" w:name="dabmq_52"/>
      <w:r w:rsidR="004D3A49" w:rsidRPr="0038179C">
        <w:t>“</w:t>
      </w:r>
      <w:r w:rsidR="00326856" w:rsidRPr="0038179C">
        <w:t xml:space="preserve">did not feel that </w:t>
      </w:r>
      <w:r w:rsidR="004D3A49" w:rsidRPr="0038179C">
        <w:t>[Alejandra]</w:t>
      </w:r>
      <w:r w:rsidR="00326856" w:rsidRPr="0038179C">
        <w:t xml:space="preserve"> was making a large number of calls</w:t>
      </w:r>
      <w:r w:rsidR="004D3A49" w:rsidRPr="0038179C">
        <w:t>,”</w:t>
      </w:r>
      <w:bookmarkEnd w:id="89"/>
      <w:r w:rsidR="004D3A49" w:rsidRPr="0038179C">
        <w:t xml:space="preserve"> stating</w:t>
      </w:r>
      <w:r w:rsidR="00B55C8C" w:rsidRPr="0038179C">
        <w:t>,</w:t>
      </w:r>
      <w:r w:rsidR="004D3A49" w:rsidRPr="0038179C">
        <w:t xml:space="preserve"> </w:t>
      </w:r>
      <w:bookmarkStart w:id="90" w:name="dabmq_53"/>
      <w:r w:rsidR="004D3A49" w:rsidRPr="0038179C">
        <w:t>“</w:t>
      </w:r>
      <w:r w:rsidR="002942DF" w:rsidRPr="0038179C">
        <w:t>[I]</w:t>
      </w:r>
      <w:r w:rsidR="00326856" w:rsidRPr="0038179C">
        <w:t xml:space="preserve">f that had been the situation, </w:t>
      </w:r>
      <w:r w:rsidR="002942DF" w:rsidRPr="0038179C">
        <w:t>I</w:t>
      </w:r>
      <w:r w:rsidR="00326856" w:rsidRPr="0038179C">
        <w:t xml:space="preserve"> would have addressed it with her directly.”</w:t>
      </w:r>
      <w:bookmarkEnd w:id="90"/>
      <w:r w:rsidR="00326856" w:rsidRPr="0038179C">
        <w:t xml:space="preserve"> </w:t>
      </w:r>
    </w:p>
    <w:p w14:paraId="299D2FD1" w14:textId="77777777" w:rsidR="00076503" w:rsidRDefault="004D3A49" w:rsidP="00882F89">
      <w:pPr>
        <w:widowControl w:val="0"/>
        <w:spacing w:line="360" w:lineRule="auto"/>
      </w:pPr>
      <w:r w:rsidRPr="0038179C">
        <w:rPr>
          <w:szCs w:val="26"/>
        </w:rPr>
        <w:tab/>
      </w:r>
      <w:r w:rsidR="00C46868" w:rsidRPr="0038179C">
        <w:rPr>
          <w:szCs w:val="26"/>
        </w:rPr>
        <w:t>Alejandra</w:t>
      </w:r>
      <w:r w:rsidR="00485839" w:rsidRPr="0038179C">
        <w:rPr>
          <w:szCs w:val="26"/>
        </w:rPr>
        <w:t xml:space="preserve"> addressed</w:t>
      </w:r>
      <w:r w:rsidR="00C46868" w:rsidRPr="0038179C">
        <w:rPr>
          <w:szCs w:val="26"/>
        </w:rPr>
        <w:t xml:space="preserve"> personal call policies and practices</w:t>
      </w:r>
      <w:r w:rsidR="00485839" w:rsidRPr="0038179C">
        <w:rPr>
          <w:szCs w:val="26"/>
        </w:rPr>
        <w:t>, as well</w:t>
      </w:r>
      <w:r w:rsidR="00C46868" w:rsidRPr="0038179C">
        <w:rPr>
          <w:szCs w:val="26"/>
        </w:rPr>
        <w:t>.</w:t>
      </w:r>
      <w:r w:rsidR="001355C4" w:rsidRPr="0038179C">
        <w:rPr>
          <w:szCs w:val="26"/>
        </w:rPr>
        <w:t xml:space="preserve">  Her job duties at certain times included monitoring calls and updating policies, and she did not remember seeing a written policy </w:t>
      </w:r>
      <w:r w:rsidR="00485839" w:rsidRPr="0038179C">
        <w:rPr>
          <w:szCs w:val="26"/>
        </w:rPr>
        <w:t>barring</w:t>
      </w:r>
      <w:r w:rsidR="001355C4" w:rsidRPr="0038179C">
        <w:rPr>
          <w:szCs w:val="26"/>
        </w:rPr>
        <w:t xml:space="preserve"> personal calls from desk phones, and never worked on such a procedure. </w:t>
      </w:r>
      <w:r w:rsidR="000615BF" w:rsidRPr="0038179C">
        <w:rPr>
          <w:szCs w:val="26"/>
        </w:rPr>
        <w:t xml:space="preserve"> </w:t>
      </w:r>
      <w:r w:rsidR="00485839" w:rsidRPr="0038179C">
        <w:rPr>
          <w:szCs w:val="26"/>
        </w:rPr>
        <w:t>She</w:t>
      </w:r>
      <w:r w:rsidR="00326856" w:rsidRPr="0038179C">
        <w:rPr>
          <w:szCs w:val="26"/>
        </w:rPr>
        <w:t xml:space="preserve"> </w:t>
      </w:r>
      <w:r w:rsidR="001355C4" w:rsidRPr="0038179C">
        <w:rPr>
          <w:szCs w:val="26"/>
        </w:rPr>
        <w:t xml:space="preserve">also </w:t>
      </w:r>
      <w:r w:rsidR="00326856" w:rsidRPr="0038179C">
        <w:rPr>
          <w:szCs w:val="26"/>
        </w:rPr>
        <w:t xml:space="preserve">did not recall Ramirez telling her personal calls could not be made from </w:t>
      </w:r>
      <w:r w:rsidR="001355C4" w:rsidRPr="0038179C">
        <w:rPr>
          <w:szCs w:val="26"/>
        </w:rPr>
        <w:t>her</w:t>
      </w:r>
      <w:r w:rsidR="00326856" w:rsidRPr="0038179C">
        <w:rPr>
          <w:szCs w:val="26"/>
        </w:rPr>
        <w:t xml:space="preserve"> </w:t>
      </w:r>
      <w:proofErr w:type="gramStart"/>
      <w:r w:rsidR="00326856" w:rsidRPr="0038179C">
        <w:rPr>
          <w:szCs w:val="26"/>
        </w:rPr>
        <w:t>work</w:t>
      </w:r>
      <w:r w:rsidR="001355C4" w:rsidRPr="0038179C">
        <w:rPr>
          <w:szCs w:val="26"/>
        </w:rPr>
        <w:t xml:space="preserve"> </w:t>
      </w:r>
      <w:r w:rsidR="00326856" w:rsidRPr="0038179C">
        <w:rPr>
          <w:szCs w:val="26"/>
        </w:rPr>
        <w:t>space</w:t>
      </w:r>
      <w:proofErr w:type="gramEnd"/>
      <w:r w:rsidR="006A57B8" w:rsidRPr="0038179C">
        <w:rPr>
          <w:szCs w:val="26"/>
        </w:rPr>
        <w:t xml:space="preserve">, </w:t>
      </w:r>
      <w:r w:rsidR="006253FA" w:rsidRPr="0038179C">
        <w:rPr>
          <w:szCs w:val="26"/>
        </w:rPr>
        <w:t xml:space="preserve">and did not think personal calls had to be confined to </w:t>
      </w:r>
      <w:r w:rsidR="006A57B8" w:rsidRPr="0038179C">
        <w:rPr>
          <w:szCs w:val="26"/>
        </w:rPr>
        <w:t>emergenc</w:t>
      </w:r>
      <w:r w:rsidR="006253FA" w:rsidRPr="0038179C">
        <w:rPr>
          <w:szCs w:val="26"/>
        </w:rPr>
        <w:t>ies</w:t>
      </w:r>
      <w:r w:rsidR="006A57B8" w:rsidRPr="0038179C">
        <w:rPr>
          <w:szCs w:val="26"/>
        </w:rPr>
        <w:t xml:space="preserve"> or child care.  </w:t>
      </w:r>
      <w:r w:rsidR="006253FA" w:rsidRPr="0038179C">
        <w:t xml:space="preserve">Rather, she called Rojas when she “needed to talk to her,” but </w:t>
      </w:r>
      <w:r w:rsidR="00F56DF4" w:rsidRPr="0038179C">
        <w:t xml:space="preserve">acknowledged “no one ever told [her] . . . that this was </w:t>
      </w:r>
      <w:proofErr w:type="gramStart"/>
      <w:r w:rsidR="00F56DF4" w:rsidRPr="0038179C">
        <w:t>an acceptable</w:t>
      </w:r>
      <w:proofErr w:type="gramEnd"/>
      <w:r w:rsidR="00076503">
        <w:t> </w:t>
      </w:r>
    </w:p>
    <w:p w14:paraId="053DE352" w14:textId="7C3F75F5" w:rsidR="009D414F" w:rsidRPr="0038179C" w:rsidRDefault="00F56DF4" w:rsidP="00882F89">
      <w:pPr>
        <w:widowControl w:val="0"/>
        <w:spacing w:line="360" w:lineRule="auto"/>
      </w:pPr>
      <w:r w:rsidRPr="0038179C">
        <w:t>practice . . .</w:t>
      </w:r>
      <w:r w:rsidR="00A91236">
        <w:t xml:space="preserve"> .</w:t>
      </w:r>
      <w:r w:rsidR="009238D7">
        <w:t>”</w:t>
      </w:r>
      <w:r w:rsidR="003D0567">
        <w:t xml:space="preserve"> </w:t>
      </w:r>
      <w:r w:rsidRPr="0038179C">
        <w:t xml:space="preserve"> </w:t>
      </w:r>
      <w:r w:rsidR="001355C4" w:rsidRPr="0038179C">
        <w:t>She</w:t>
      </w:r>
      <w:r w:rsidR="00C46868" w:rsidRPr="0038179C">
        <w:rPr>
          <w:szCs w:val="26"/>
        </w:rPr>
        <w:t xml:space="preserve"> </w:t>
      </w:r>
      <w:r w:rsidRPr="0038179C">
        <w:rPr>
          <w:szCs w:val="26"/>
        </w:rPr>
        <w:t xml:space="preserve">also </w:t>
      </w:r>
      <w:r w:rsidR="00C46868" w:rsidRPr="0038179C">
        <w:rPr>
          <w:szCs w:val="26"/>
        </w:rPr>
        <w:t xml:space="preserve">acknowledged the </w:t>
      </w:r>
      <w:r w:rsidR="001355C4" w:rsidRPr="0038179C">
        <w:rPr>
          <w:szCs w:val="26"/>
        </w:rPr>
        <w:t>C</w:t>
      </w:r>
      <w:r w:rsidR="00C46868" w:rsidRPr="0038179C">
        <w:rPr>
          <w:szCs w:val="26"/>
        </w:rPr>
        <w:t xml:space="preserve">all </w:t>
      </w:r>
      <w:r w:rsidR="001355C4" w:rsidRPr="0038179C">
        <w:rPr>
          <w:szCs w:val="26"/>
        </w:rPr>
        <w:t>A</w:t>
      </w:r>
      <w:r w:rsidR="00C46868" w:rsidRPr="0038179C">
        <w:rPr>
          <w:szCs w:val="26"/>
        </w:rPr>
        <w:t xml:space="preserve">voidance </w:t>
      </w:r>
      <w:r w:rsidR="001355C4" w:rsidRPr="0038179C">
        <w:rPr>
          <w:szCs w:val="26"/>
        </w:rPr>
        <w:t>P</w:t>
      </w:r>
      <w:r w:rsidR="00C46868" w:rsidRPr="0038179C">
        <w:rPr>
          <w:szCs w:val="26"/>
        </w:rPr>
        <w:t xml:space="preserve">olicy applied to her when she was logged into the queue to receive calls. </w:t>
      </w:r>
    </w:p>
    <w:p w14:paraId="7BE1BD27" w14:textId="0E40297D" w:rsidR="006E7DF4" w:rsidRPr="0038179C" w:rsidRDefault="006E7DF4" w:rsidP="00882F89">
      <w:pPr>
        <w:spacing w:line="360" w:lineRule="auto"/>
      </w:pPr>
      <w:r w:rsidRPr="0038179C">
        <w:tab/>
      </w:r>
      <w:r w:rsidR="00137357" w:rsidRPr="0038179C">
        <w:t>T</w:t>
      </w:r>
      <w:r w:rsidRPr="0038179C">
        <w:t xml:space="preserve">he trial court found Rojas failed to prove </w:t>
      </w:r>
      <w:r w:rsidR="00BA5A4D" w:rsidRPr="0038179C">
        <w:t xml:space="preserve">HSBC’s </w:t>
      </w:r>
      <w:r w:rsidRPr="0038179C">
        <w:t>intent</w:t>
      </w:r>
      <w:r w:rsidR="00BA5A4D" w:rsidRPr="0038179C">
        <w:t xml:space="preserve"> to record the calls between Rojas and Alejandra</w:t>
      </w:r>
      <w:r w:rsidRPr="0038179C">
        <w:t xml:space="preserve">.  The court </w:t>
      </w:r>
      <w:r w:rsidR="008578D9" w:rsidRPr="0038179C">
        <w:t>explained</w:t>
      </w:r>
      <w:r w:rsidR="00BA5A4D" w:rsidRPr="0038179C">
        <w:t>:</w:t>
      </w:r>
      <w:r w:rsidRPr="0038179C">
        <w:t xml:space="preserve"> </w:t>
      </w:r>
      <w:r w:rsidR="00076503">
        <w:t xml:space="preserve"> </w:t>
      </w:r>
      <w:bookmarkStart w:id="91" w:name="dabmq_54"/>
      <w:r w:rsidRPr="0038179C">
        <w:t>“HSBC prohibited agents (such as Alejandra) from placing personal calls . . . at their desk,”</w:t>
      </w:r>
      <w:bookmarkEnd w:id="91"/>
      <w:r w:rsidRPr="0038179C">
        <w:t xml:space="preserve"> </w:t>
      </w:r>
      <w:r w:rsidR="002942DF" w:rsidRPr="0038179C">
        <w:t xml:space="preserve">noting the </w:t>
      </w:r>
      <w:r w:rsidR="002F31E8" w:rsidRPr="0038179C">
        <w:t>evidence</w:t>
      </w:r>
      <w:r w:rsidR="002942DF" w:rsidRPr="0038179C">
        <w:t xml:space="preserve"> that </w:t>
      </w:r>
      <w:bookmarkStart w:id="92" w:name="dabmq_55"/>
      <w:r w:rsidR="002942DF" w:rsidRPr="0038179C">
        <w:t>“</w:t>
      </w:r>
      <w:r w:rsidRPr="0038179C">
        <w:t>HSBC had a written policy prohibiting personal calls</w:t>
      </w:r>
      <w:r w:rsidR="002F31E8" w:rsidRPr="0038179C">
        <w:t>,”</w:t>
      </w:r>
      <w:bookmarkEnd w:id="92"/>
      <w:r w:rsidR="002942DF" w:rsidRPr="0038179C">
        <w:t xml:space="preserve"> </w:t>
      </w:r>
      <w:r w:rsidR="009D414F" w:rsidRPr="0038179C">
        <w:t>“</w:t>
      </w:r>
      <w:r w:rsidRPr="0038179C">
        <w:t>informed its employees</w:t>
      </w:r>
      <w:r w:rsidR="002F31E8" w:rsidRPr="0038179C">
        <w:t>” about it, and enforced it through progressive discipline</w:t>
      </w:r>
      <w:r w:rsidR="003B0B8A" w:rsidRPr="0038179C">
        <w:t xml:space="preserve"> “ending in potential termination.”  </w:t>
      </w:r>
      <w:r w:rsidRPr="0038179C">
        <w:t xml:space="preserve">The court </w:t>
      </w:r>
      <w:r w:rsidR="009D414F" w:rsidRPr="0038179C">
        <w:t>also found HSBC trained employees to make personal calls on “</w:t>
      </w:r>
      <w:r w:rsidRPr="0038179C">
        <w:t xml:space="preserve">managers’ non-recorded </w:t>
      </w:r>
      <w:r w:rsidRPr="0038179C">
        <w:lastRenderedPageBreak/>
        <w:t>phones</w:t>
      </w:r>
      <w:r w:rsidR="009D414F" w:rsidRPr="0038179C">
        <w:t xml:space="preserve">” or to </w:t>
      </w:r>
      <w:bookmarkStart w:id="93" w:name="dabmq_56"/>
      <w:r w:rsidR="009D414F" w:rsidRPr="0038179C">
        <w:t>“</w:t>
      </w:r>
      <w:r w:rsidRPr="0038179C">
        <w:t>use a non-recorded phone or their personal cell phone away from the call center floor.”</w:t>
      </w:r>
      <w:bookmarkEnd w:id="93"/>
      <w:r w:rsidRPr="0038179C">
        <w:t xml:space="preserve">  </w:t>
      </w:r>
      <w:bookmarkStart w:id="94" w:name="_Hlk128742176"/>
      <w:r w:rsidRPr="0038179C">
        <w:t xml:space="preserve">The court concluded </w:t>
      </w:r>
      <w:r w:rsidR="008578D9" w:rsidRPr="0038179C">
        <w:t xml:space="preserve">that </w:t>
      </w:r>
      <w:bookmarkStart w:id="95" w:name="dabmq_57"/>
      <w:r w:rsidRPr="0038179C">
        <w:t xml:space="preserve">“[w]hile HSBC operated a recording system on its customer-service lines and intended to record the calls made thereon, this only proves </w:t>
      </w:r>
      <w:r w:rsidR="003B0B8A" w:rsidRPr="0038179C">
        <w:t>[it]</w:t>
      </w:r>
      <w:r w:rsidRPr="0038179C">
        <w:t xml:space="preserve"> intended to record all business calls and is</w:t>
      </w:r>
      <w:r w:rsidR="009D414F" w:rsidRPr="0038179C">
        <w:t xml:space="preserve"> </w:t>
      </w:r>
      <w:r w:rsidRPr="0038179C">
        <w:t>insufficient to establish intent to record [Rojas’s] personal calls with her daughter made in violation of HSBC policy and without HSBC’s knowledge.”</w:t>
      </w:r>
      <w:bookmarkEnd w:id="95"/>
      <w:r w:rsidRPr="0038179C">
        <w:t xml:space="preserve"> </w:t>
      </w:r>
      <w:bookmarkEnd w:id="94"/>
    </w:p>
    <w:p w14:paraId="74DDE5D6" w14:textId="080939AE" w:rsidR="006E7DF4" w:rsidRPr="0038179C" w:rsidRDefault="006E7DF4" w:rsidP="00882F89">
      <w:pPr>
        <w:spacing w:line="360" w:lineRule="auto"/>
      </w:pPr>
      <w:r w:rsidRPr="0038179C">
        <w:tab/>
        <w:t xml:space="preserve">Addressing </w:t>
      </w:r>
      <w:r w:rsidR="008578D9" w:rsidRPr="0038179C">
        <w:t>an</w:t>
      </w:r>
      <w:r w:rsidRPr="0038179C">
        <w:t xml:space="preserve"> argument by Rojas that </w:t>
      </w:r>
      <w:r w:rsidR="003B0B8A" w:rsidRPr="0038179C">
        <w:t>recording is intentional if there is “</w:t>
      </w:r>
      <w:r w:rsidRPr="0038179C">
        <w:t>knowledge to a substantial certainty</w:t>
      </w:r>
      <w:r w:rsidR="003B0B8A" w:rsidRPr="0038179C">
        <w:t>”</w:t>
      </w:r>
      <w:r w:rsidRPr="0038179C">
        <w:t xml:space="preserve"> </w:t>
      </w:r>
      <w:r w:rsidR="003B0B8A" w:rsidRPr="0038179C">
        <w:t xml:space="preserve">that it will capture a </w:t>
      </w:r>
      <w:r w:rsidRPr="0038179C">
        <w:t xml:space="preserve">confidential communication, the </w:t>
      </w:r>
      <w:r w:rsidR="003B0B8A" w:rsidRPr="0038179C">
        <w:t xml:space="preserve">trial </w:t>
      </w:r>
      <w:r w:rsidRPr="0038179C">
        <w:t xml:space="preserve">court </w:t>
      </w:r>
      <w:r w:rsidR="008578D9" w:rsidRPr="0038179C">
        <w:t>said</w:t>
      </w:r>
      <w:r w:rsidRPr="0038179C">
        <w:t xml:space="preserve"> </w:t>
      </w:r>
      <w:r w:rsidR="008578D9" w:rsidRPr="0038179C">
        <w:t>the standard “</w:t>
      </w:r>
      <w:r w:rsidRPr="0038179C">
        <w:t xml:space="preserve">applies only to [s]ection 632” and Rojas </w:t>
      </w:r>
      <w:bookmarkStart w:id="96" w:name="dabmq_58"/>
      <w:r w:rsidRPr="0038179C">
        <w:t>“failed to satisfy [it] in any event . . . .”</w:t>
      </w:r>
      <w:bookmarkEnd w:id="96"/>
      <w:r w:rsidRPr="0038179C">
        <w:t xml:space="preserve">  Rather, the court </w:t>
      </w:r>
      <w:r w:rsidR="003B0B8A" w:rsidRPr="0038179C">
        <w:t>stated</w:t>
      </w:r>
      <w:r w:rsidRPr="0038179C">
        <w:t xml:space="preserve">, </w:t>
      </w:r>
      <w:bookmarkStart w:id="97" w:name="dabmq_59"/>
      <w:r w:rsidRPr="0038179C">
        <w:t>“HSBC implemented policies and procedures that would prevent ‘confidential’ communications</w:t>
      </w:r>
      <w:r w:rsidR="003B0B8A" w:rsidRPr="0038179C">
        <w:t xml:space="preserve"> . . . </w:t>
      </w:r>
      <w:r w:rsidRPr="0038179C">
        <w:t>from occurring,”</w:t>
      </w:r>
      <w:bookmarkEnd w:id="97"/>
      <w:r w:rsidRPr="0038179C">
        <w:t xml:space="preserve"> such as informing agents their desk phones were subject to recording, </w:t>
      </w:r>
      <w:r w:rsidR="008578D9" w:rsidRPr="0038179C">
        <w:t>using</w:t>
      </w:r>
      <w:r w:rsidRPr="0038179C">
        <w:t xml:space="preserve"> automated disclosures on incoming calls, and </w:t>
      </w:r>
      <w:r w:rsidR="00AE498A" w:rsidRPr="0038179C">
        <w:t xml:space="preserve">requiring </w:t>
      </w:r>
      <w:r w:rsidRPr="0038179C">
        <w:t xml:space="preserve">disclosures </w:t>
      </w:r>
      <w:r w:rsidR="008578D9" w:rsidRPr="0038179C">
        <w:t xml:space="preserve">on outbound calls </w:t>
      </w:r>
      <w:r w:rsidRPr="0038179C">
        <w:t>to third parties.</w:t>
      </w:r>
      <w:r w:rsidR="003B0B8A" w:rsidRPr="0038179C">
        <w:t xml:space="preserve"> </w:t>
      </w:r>
      <w:r w:rsidR="00BF03BB" w:rsidRPr="0038179C">
        <w:t xml:space="preserve"> The</w:t>
      </w:r>
      <w:r w:rsidRPr="0038179C">
        <w:t xml:space="preserve"> court </w:t>
      </w:r>
      <w:r w:rsidR="008578D9" w:rsidRPr="0038179C">
        <w:t>further stated</w:t>
      </w:r>
      <w:r w:rsidRPr="0038179C">
        <w:t xml:space="preserve">, </w:t>
      </w:r>
      <w:bookmarkStart w:id="98" w:name="dabmq_60"/>
      <w:r w:rsidRPr="0038179C">
        <w:t xml:space="preserve">“Even if HSBC knew that a personal call may occasionally take place and therefore be recorded, this does not, without more, lead to the conclusion that a </w:t>
      </w:r>
      <w:r w:rsidRPr="0038179C">
        <w:rPr>
          <w:i/>
          <w:iCs/>
        </w:rPr>
        <w:t>confidential</w:t>
      </w:r>
      <w:r w:rsidRPr="0038179C">
        <w:t xml:space="preserve"> communication within the meaning of Section 632 would take place because even the </w:t>
      </w:r>
      <w:bookmarkStart w:id="99" w:name="_Hlk126942606"/>
      <w:r w:rsidRPr="0038179C">
        <w:t>parties to a personal call should have reasonably expected</w:t>
      </w:r>
      <w:bookmarkEnd w:id="99"/>
      <w:r w:rsidRPr="0038179C">
        <w:t xml:space="preserve"> under these circumstances that it could be overheard, monitored, or recorded.</w:t>
      </w:r>
      <w:r w:rsidR="00BF03BB" w:rsidRPr="0038179C">
        <w:t>”</w:t>
      </w:r>
      <w:bookmarkEnd w:id="98"/>
      <w:r w:rsidR="00BF03BB" w:rsidRPr="0038179C">
        <w:t xml:space="preserve"> </w:t>
      </w:r>
      <w:r w:rsidR="003B0B8A" w:rsidRPr="0038179C">
        <w:t xml:space="preserve"> </w:t>
      </w:r>
    </w:p>
    <w:p w14:paraId="5D17B8E0" w14:textId="1661EC01" w:rsidR="006344F8" w:rsidRPr="0038179C" w:rsidRDefault="0060213D" w:rsidP="00A77324">
      <w:pPr>
        <w:pStyle w:val="Heading3"/>
        <w:spacing w:before="60" w:after="60"/>
      </w:pPr>
      <w:r w:rsidRPr="0038179C">
        <w:rPr>
          <w:i w:val="0"/>
          <w:iCs w:val="0"/>
        </w:rPr>
        <w:t>2.</w:t>
      </w:r>
      <w:r w:rsidRPr="0038179C">
        <w:rPr>
          <w:i w:val="0"/>
          <w:iCs w:val="0"/>
        </w:rPr>
        <w:tab/>
      </w:r>
      <w:r w:rsidRPr="0038179C">
        <w:t>Applicable Law</w:t>
      </w:r>
    </w:p>
    <w:p w14:paraId="2ED05C4A" w14:textId="620FFD0F" w:rsidR="001F65A3" w:rsidRPr="0038179C" w:rsidRDefault="0006334C" w:rsidP="00410D9E">
      <w:pPr>
        <w:spacing w:line="360" w:lineRule="auto"/>
        <w:rPr>
          <w:szCs w:val="26"/>
          <w:shd w:val="clear" w:color="auto" w:fill="FFFFFF"/>
        </w:rPr>
      </w:pPr>
      <w:r w:rsidRPr="0038179C">
        <w:rPr>
          <w:szCs w:val="26"/>
          <w:shd w:val="clear" w:color="auto" w:fill="FFFFFF"/>
        </w:rPr>
        <w:tab/>
      </w:r>
      <w:r w:rsidR="00410D9E" w:rsidRPr="0038179C">
        <w:rPr>
          <w:szCs w:val="26"/>
          <w:shd w:val="clear" w:color="auto" w:fill="FFFFFF"/>
        </w:rPr>
        <w:t>S</w:t>
      </w:r>
      <w:r w:rsidRPr="0038179C">
        <w:rPr>
          <w:szCs w:val="26"/>
          <w:shd w:val="clear" w:color="auto" w:fill="FFFFFF"/>
        </w:rPr>
        <w:t xml:space="preserve">ection 632 bars a person from </w:t>
      </w:r>
      <w:bookmarkStart w:id="100" w:name="dabmq_61"/>
      <w:r w:rsidRPr="0038179C">
        <w:rPr>
          <w:szCs w:val="26"/>
          <w:shd w:val="clear" w:color="auto" w:fill="FFFFFF"/>
        </w:rPr>
        <w:t>“</w:t>
      </w:r>
      <w:r w:rsidRPr="0038179C">
        <w:rPr>
          <w:i/>
          <w:iCs/>
          <w:szCs w:val="26"/>
          <w:shd w:val="clear" w:color="auto" w:fill="FFFFFF"/>
        </w:rPr>
        <w:t>intentionally</w:t>
      </w:r>
      <w:r w:rsidRPr="0038179C">
        <w:rPr>
          <w:szCs w:val="26"/>
          <w:shd w:val="clear" w:color="auto" w:fill="FFFFFF"/>
        </w:rPr>
        <w:t xml:space="preserve"> and without the consent of all parties to a confidential communication . . . record[ing] the confidential communication . . . .”</w:t>
      </w:r>
      <w:bookmarkEnd w:id="100"/>
      <w:r w:rsidR="004E4ACA" w:rsidRPr="0038179C">
        <w:rPr>
          <w:szCs w:val="26"/>
          <w:shd w:val="clear" w:color="auto" w:fill="FFFFFF"/>
        </w:rPr>
        <w:t xml:space="preserve"> </w:t>
      </w:r>
      <w:r w:rsidR="00BA59B3">
        <w:rPr>
          <w:szCs w:val="26"/>
          <w:shd w:val="clear" w:color="auto" w:fill="FFFFFF"/>
        </w:rPr>
        <w:t xml:space="preserve"> </w:t>
      </w:r>
      <w:r w:rsidR="004E4ACA" w:rsidRPr="0038179C">
        <w:rPr>
          <w:szCs w:val="26"/>
          <w:shd w:val="clear" w:color="auto" w:fill="FFFFFF"/>
        </w:rPr>
        <w:t>(§ 632, subd. (a)</w:t>
      </w:r>
      <w:r w:rsidR="00410D9E" w:rsidRPr="0038179C">
        <w:rPr>
          <w:szCs w:val="26"/>
          <w:shd w:val="clear" w:color="auto" w:fill="FFFFFF"/>
        </w:rPr>
        <w:t>, italics added</w:t>
      </w:r>
      <w:r w:rsidR="004E4ACA" w:rsidRPr="0038179C">
        <w:rPr>
          <w:szCs w:val="26"/>
          <w:shd w:val="clear" w:color="auto" w:fill="FFFFFF"/>
        </w:rPr>
        <w:t>.)</w:t>
      </w:r>
      <w:r w:rsidR="00410D9E" w:rsidRPr="0038179C">
        <w:rPr>
          <w:szCs w:val="26"/>
          <w:shd w:val="clear" w:color="auto" w:fill="FFFFFF"/>
        </w:rPr>
        <w:t xml:space="preserve">  </w:t>
      </w:r>
      <w:r w:rsidR="001F65A3" w:rsidRPr="0038179C">
        <w:rPr>
          <w:szCs w:val="26"/>
          <w:shd w:val="clear" w:color="auto" w:fill="FFFFFF"/>
        </w:rPr>
        <w:t xml:space="preserve">The </w:t>
      </w:r>
      <w:bookmarkStart w:id="101" w:name="dabmq_62"/>
      <w:r w:rsidR="001F65A3" w:rsidRPr="0038179C">
        <w:rPr>
          <w:szCs w:val="26"/>
          <w:shd w:val="clear" w:color="auto" w:fill="FFFFFF"/>
        </w:rPr>
        <w:t>“ ‘</w:t>
      </w:r>
      <w:r w:rsidR="00F91ADA" w:rsidRPr="0038179C">
        <w:rPr>
          <w:szCs w:val="26"/>
          <w:shd w:val="clear" w:color="auto" w:fill="FFFFFF"/>
        </w:rPr>
        <w:t xml:space="preserve">recording of a confidential conversation is intentional if the person using the recording equipment does so with the purpose or desire of recording a confidential </w:t>
      </w:r>
      <w:r w:rsidR="00F91ADA" w:rsidRPr="0038179C">
        <w:rPr>
          <w:szCs w:val="26"/>
          <w:shd w:val="clear" w:color="auto" w:fill="FFFFFF"/>
        </w:rPr>
        <w:lastRenderedPageBreak/>
        <w:t>conversation, or with the knowledge to a substantial certainty that his use of the equipment will result in the recordation of a confidential conversation.’ ”</w:t>
      </w:r>
      <w:bookmarkEnd w:id="101"/>
      <w:r w:rsidR="00F91ADA" w:rsidRPr="0038179C">
        <w:rPr>
          <w:szCs w:val="26"/>
          <w:shd w:val="clear" w:color="auto" w:fill="FFFFFF"/>
        </w:rPr>
        <w:t xml:space="preserve">  (</w:t>
      </w:r>
      <w:bookmarkStart w:id="102" w:name="dabmci_3b6e389711e146a3ac53554ead33d05e"/>
      <w:r w:rsidR="00220203" w:rsidRPr="0038179C">
        <w:rPr>
          <w:i/>
          <w:iCs/>
          <w:szCs w:val="26"/>
          <w:shd w:val="clear" w:color="auto" w:fill="FFFFFF"/>
        </w:rPr>
        <w:t>Rojas I</w:t>
      </w:r>
      <w:r w:rsidR="00220203" w:rsidRPr="0038179C">
        <w:rPr>
          <w:szCs w:val="26"/>
          <w:shd w:val="clear" w:color="auto" w:fill="FFFFFF"/>
        </w:rPr>
        <w:t xml:space="preserve">, </w:t>
      </w:r>
      <w:r w:rsidR="00220203" w:rsidRPr="0038179C">
        <w:rPr>
          <w:i/>
          <w:iCs/>
          <w:szCs w:val="26"/>
          <w:shd w:val="clear" w:color="auto" w:fill="FFFFFF"/>
        </w:rPr>
        <w:t>supra</w:t>
      </w:r>
      <w:r w:rsidR="00220203" w:rsidRPr="0038179C">
        <w:rPr>
          <w:szCs w:val="26"/>
          <w:shd w:val="clear" w:color="auto" w:fill="FFFFFF"/>
        </w:rPr>
        <w:t>,</w:t>
      </w:r>
      <w:r w:rsidRPr="0038179C">
        <w:rPr>
          <w:szCs w:val="26"/>
          <w:shd w:val="clear" w:color="auto" w:fill="FFFFFF"/>
        </w:rPr>
        <w:t xml:space="preserve"> </w:t>
      </w:r>
      <w:r w:rsidR="00220203" w:rsidRPr="0038179C">
        <w:rPr>
          <w:szCs w:val="26"/>
          <w:shd w:val="clear" w:color="auto" w:fill="FFFFFF"/>
        </w:rPr>
        <w:t>20 Cal.App.5</w:t>
      </w:r>
      <w:r w:rsidR="004C3D2D" w:rsidRPr="0038179C">
        <w:rPr>
          <w:szCs w:val="26"/>
          <w:shd w:val="clear" w:color="auto" w:fill="FFFFFF"/>
        </w:rPr>
        <w:t>th</w:t>
      </w:r>
      <w:r w:rsidR="00220203" w:rsidRPr="0038179C">
        <w:rPr>
          <w:szCs w:val="26"/>
          <w:shd w:val="clear" w:color="auto" w:fill="FFFFFF"/>
          <w:vertAlign w:val="superscript"/>
        </w:rPr>
        <w:t xml:space="preserve"> </w:t>
      </w:r>
      <w:r w:rsidR="00220203" w:rsidRPr="0038179C">
        <w:rPr>
          <w:szCs w:val="26"/>
          <w:shd w:val="clear" w:color="auto" w:fill="FFFFFF"/>
        </w:rPr>
        <w:t>at p. 435</w:t>
      </w:r>
      <w:bookmarkEnd w:id="102"/>
      <w:r w:rsidRPr="0038179C">
        <w:rPr>
          <w:szCs w:val="26"/>
          <w:shd w:val="clear" w:color="auto" w:fill="FFFFFF"/>
        </w:rPr>
        <w:t xml:space="preserve"> </w:t>
      </w:r>
      <w:r w:rsidR="00F91ADA" w:rsidRPr="0038179C">
        <w:rPr>
          <w:szCs w:val="26"/>
          <w:shd w:val="clear" w:color="auto" w:fill="FFFFFF"/>
        </w:rPr>
        <w:t xml:space="preserve">citing </w:t>
      </w:r>
      <w:bookmarkStart w:id="103" w:name="dabmci_c8e9e0adca5d48399386c645238676eb"/>
      <w:r w:rsidR="00220203" w:rsidRPr="0038179C">
        <w:rPr>
          <w:i/>
          <w:iCs/>
          <w:szCs w:val="26"/>
          <w:shd w:val="clear" w:color="auto" w:fill="FFFFFF"/>
        </w:rPr>
        <w:t>Estate of Kramme</w:t>
      </w:r>
      <w:r w:rsidR="00220203" w:rsidRPr="0038179C">
        <w:rPr>
          <w:szCs w:val="26"/>
          <w:shd w:val="clear" w:color="auto" w:fill="FFFFFF"/>
        </w:rPr>
        <w:t xml:space="preserve"> (1978) 20 Cal.3d 567, 572</w:t>
      </w:r>
      <w:r w:rsidR="004C3D2D" w:rsidRPr="0038179C">
        <w:rPr>
          <w:szCs w:val="26"/>
          <w:shd w:val="clear" w:color="auto" w:fill="FFFFFF"/>
        </w:rPr>
        <w:t>,</w:t>
      </w:r>
      <w:r w:rsidR="00220203" w:rsidRPr="0038179C">
        <w:rPr>
          <w:szCs w:val="26"/>
          <w:shd w:val="clear" w:color="auto" w:fill="FFFFFF"/>
        </w:rPr>
        <w:t xml:space="preserve"> fn. 5</w:t>
      </w:r>
      <w:bookmarkEnd w:id="103"/>
      <w:r w:rsidR="00220203" w:rsidRPr="0038179C">
        <w:rPr>
          <w:szCs w:val="26"/>
          <w:shd w:val="clear" w:color="auto" w:fill="FFFFFF"/>
        </w:rPr>
        <w:t xml:space="preserve"> </w:t>
      </w:r>
      <w:r w:rsidR="00F91ADA" w:rsidRPr="0038179C">
        <w:rPr>
          <w:szCs w:val="26"/>
          <w:shd w:val="clear" w:color="auto" w:fill="FFFFFF"/>
        </w:rPr>
        <w:t>[</w:t>
      </w:r>
      <w:r w:rsidR="00220203" w:rsidRPr="0038179C">
        <w:rPr>
          <w:szCs w:val="26"/>
          <w:shd w:val="clear" w:color="auto" w:fill="FFFFFF"/>
        </w:rPr>
        <w:t xml:space="preserve">requisite intent is </w:t>
      </w:r>
      <w:bookmarkStart w:id="104" w:name="dabmq_63"/>
      <w:r w:rsidR="00220203" w:rsidRPr="0038179C">
        <w:rPr>
          <w:szCs w:val="26"/>
          <w:shd w:val="clear" w:color="auto" w:fill="FFFFFF"/>
        </w:rPr>
        <w:t>“to record a confidential communication, rather than simply an intent</w:t>
      </w:r>
      <w:r w:rsidR="00C04660" w:rsidRPr="0038179C">
        <w:rPr>
          <w:szCs w:val="26"/>
          <w:shd w:val="clear" w:color="auto" w:fill="FFFFFF"/>
        </w:rPr>
        <w:t xml:space="preserve"> </w:t>
      </w:r>
      <w:r w:rsidR="00220203" w:rsidRPr="0038179C">
        <w:rPr>
          <w:szCs w:val="26"/>
          <w:shd w:val="clear" w:color="auto" w:fill="FFFFFF"/>
        </w:rPr>
        <w:t>to turn on a recording apparatus which happened to record a confidential communication”</w:t>
      </w:r>
      <w:bookmarkEnd w:id="104"/>
      <w:r w:rsidR="00F91ADA" w:rsidRPr="0038179C">
        <w:rPr>
          <w:szCs w:val="26"/>
          <w:shd w:val="clear" w:color="auto" w:fill="FFFFFF"/>
        </w:rPr>
        <w:t>]</w:t>
      </w:r>
      <w:r w:rsidR="004C3D2D" w:rsidRPr="0038179C">
        <w:rPr>
          <w:szCs w:val="26"/>
          <w:shd w:val="clear" w:color="auto" w:fill="FFFFFF"/>
        </w:rPr>
        <w:t xml:space="preserve">, </w:t>
      </w:r>
      <w:r w:rsidR="00C04660" w:rsidRPr="0038179C">
        <w:rPr>
          <w:szCs w:val="26"/>
          <w:shd w:val="clear" w:color="auto" w:fill="FFFFFF"/>
        </w:rPr>
        <w:t>italics omitted</w:t>
      </w:r>
      <w:r w:rsidR="00160093" w:rsidRPr="0038179C">
        <w:rPr>
          <w:szCs w:val="26"/>
          <w:shd w:val="clear" w:color="auto" w:fill="FFFFFF"/>
        </w:rPr>
        <w:t>)</w:t>
      </w:r>
      <w:r w:rsidR="00C04660" w:rsidRPr="0038179C">
        <w:rPr>
          <w:szCs w:val="26"/>
          <w:shd w:val="clear" w:color="auto" w:fill="FFFFFF"/>
        </w:rPr>
        <w:t>.</w:t>
      </w:r>
    </w:p>
    <w:p w14:paraId="1F5B036F" w14:textId="699A9F9F" w:rsidR="001F65A3" w:rsidRPr="0038179C" w:rsidRDefault="001F65A3" w:rsidP="00882F89">
      <w:pPr>
        <w:spacing w:line="360" w:lineRule="auto"/>
        <w:rPr>
          <w:szCs w:val="26"/>
          <w:shd w:val="clear" w:color="auto" w:fill="FFFFFF"/>
        </w:rPr>
      </w:pPr>
      <w:r w:rsidRPr="0038179C">
        <w:rPr>
          <w:szCs w:val="26"/>
          <w:shd w:val="clear" w:color="auto" w:fill="FFFFFF"/>
        </w:rPr>
        <w:tab/>
      </w:r>
      <w:r w:rsidR="00085FCA" w:rsidRPr="0038179C">
        <w:rPr>
          <w:szCs w:val="26"/>
          <w:shd w:val="clear" w:color="auto" w:fill="FFFFFF"/>
        </w:rPr>
        <w:t xml:space="preserve">Section 632.7 </w:t>
      </w:r>
      <w:r w:rsidR="00410D9E" w:rsidRPr="0038179C">
        <w:rPr>
          <w:szCs w:val="26"/>
          <w:shd w:val="clear" w:color="auto" w:fill="FFFFFF"/>
        </w:rPr>
        <w:t xml:space="preserve">also </w:t>
      </w:r>
      <w:r w:rsidR="00085FCA" w:rsidRPr="0038179C">
        <w:rPr>
          <w:szCs w:val="26"/>
          <w:shd w:val="clear" w:color="auto" w:fill="FFFFFF"/>
        </w:rPr>
        <w:t xml:space="preserve">requires a </w:t>
      </w:r>
      <w:bookmarkStart w:id="105" w:name="dabmq_64"/>
      <w:r w:rsidR="00085FCA" w:rsidRPr="0038179C">
        <w:rPr>
          <w:szCs w:val="26"/>
          <w:shd w:val="clear" w:color="auto" w:fill="FFFFFF"/>
        </w:rPr>
        <w:t>“showing that [the defendant] ‘</w:t>
      </w:r>
      <w:r w:rsidR="00085FCA" w:rsidRPr="0038179C">
        <w:rPr>
          <w:i/>
          <w:iCs/>
          <w:szCs w:val="26"/>
          <w:shd w:val="clear" w:color="auto" w:fill="FFFFFF"/>
        </w:rPr>
        <w:t>intentionally’</w:t>
      </w:r>
      <w:r w:rsidR="00085FCA" w:rsidRPr="0038179C">
        <w:rPr>
          <w:szCs w:val="26"/>
          <w:shd w:val="clear" w:color="auto" w:fill="FFFFFF"/>
        </w:rPr>
        <w:t xml:space="preserve"> recorded”</w:t>
      </w:r>
      <w:bookmarkEnd w:id="105"/>
      <w:r w:rsidR="00085FCA" w:rsidRPr="0038179C">
        <w:rPr>
          <w:szCs w:val="26"/>
          <w:shd w:val="clear" w:color="auto" w:fill="FFFFFF"/>
        </w:rPr>
        <w:t xml:space="preserve"> the communications at iss</w:t>
      </w:r>
      <w:r w:rsidRPr="0038179C">
        <w:rPr>
          <w:szCs w:val="26"/>
          <w:shd w:val="clear" w:color="auto" w:fill="FFFFFF"/>
        </w:rPr>
        <w:t>u</w:t>
      </w:r>
      <w:r w:rsidR="00085FCA" w:rsidRPr="0038179C">
        <w:rPr>
          <w:szCs w:val="26"/>
          <w:shd w:val="clear" w:color="auto" w:fill="FFFFFF"/>
        </w:rPr>
        <w:t>e.  (</w:t>
      </w:r>
      <w:bookmarkStart w:id="106" w:name="dabmci_e347ecb405484d26a5a4547ab85f6c67"/>
      <w:r w:rsidR="00085FCA" w:rsidRPr="0038179C">
        <w:rPr>
          <w:i/>
          <w:iCs/>
          <w:szCs w:val="26"/>
          <w:shd w:val="clear" w:color="auto" w:fill="FFFFFF"/>
        </w:rPr>
        <w:t>Rojas I</w:t>
      </w:r>
      <w:r w:rsidR="00085FCA" w:rsidRPr="0038179C">
        <w:rPr>
          <w:szCs w:val="26"/>
          <w:shd w:val="clear" w:color="auto" w:fill="FFFFFF"/>
        </w:rPr>
        <w:t xml:space="preserve">, </w:t>
      </w:r>
      <w:r w:rsidR="00085FCA" w:rsidRPr="0038179C">
        <w:rPr>
          <w:i/>
          <w:iCs/>
          <w:szCs w:val="26"/>
          <w:shd w:val="clear" w:color="auto" w:fill="FFFFFF"/>
        </w:rPr>
        <w:t>supra</w:t>
      </w:r>
      <w:r w:rsidR="00085FCA" w:rsidRPr="0038179C">
        <w:rPr>
          <w:szCs w:val="26"/>
          <w:shd w:val="clear" w:color="auto" w:fill="FFFFFF"/>
        </w:rPr>
        <w:t>, 20 Cal.App.5th at p. 432</w:t>
      </w:r>
      <w:bookmarkEnd w:id="106"/>
      <w:r w:rsidR="00410D9E" w:rsidRPr="0038179C">
        <w:rPr>
          <w:szCs w:val="26"/>
          <w:shd w:val="clear" w:color="auto" w:fill="FFFFFF"/>
        </w:rPr>
        <w:t>, citing § 632.7, subd. (a)</w:t>
      </w:r>
      <w:r w:rsidR="00085FCA" w:rsidRPr="0038179C">
        <w:rPr>
          <w:szCs w:val="26"/>
          <w:shd w:val="clear" w:color="auto" w:fill="FFFFFF"/>
        </w:rPr>
        <w:t>.)</w:t>
      </w:r>
    </w:p>
    <w:p w14:paraId="1DF6F9F7" w14:textId="77777777" w:rsidR="006F7B4F" w:rsidRDefault="00F91ADA" w:rsidP="00882F89">
      <w:pPr>
        <w:spacing w:line="360" w:lineRule="auto"/>
        <w:rPr>
          <w:szCs w:val="26"/>
          <w:shd w:val="clear" w:color="auto" w:fill="FFFFFF"/>
        </w:rPr>
      </w:pPr>
      <w:r w:rsidRPr="0038179C">
        <w:rPr>
          <w:szCs w:val="26"/>
          <w:shd w:val="clear" w:color="auto" w:fill="FFFFFF"/>
        </w:rPr>
        <w:tab/>
        <w:t xml:space="preserve">In </w:t>
      </w:r>
      <w:bookmarkStart w:id="107" w:name="dabmci_887517ea4b654d8cbc46245e7fb0542e"/>
      <w:r w:rsidRPr="0038179C">
        <w:rPr>
          <w:i/>
          <w:iCs/>
          <w:szCs w:val="26"/>
          <w:shd w:val="clear" w:color="auto" w:fill="FFFFFF"/>
        </w:rPr>
        <w:t>Rojas I</w:t>
      </w:r>
      <w:bookmarkEnd w:id="107"/>
      <w:r w:rsidR="00085FCA" w:rsidRPr="0038179C">
        <w:rPr>
          <w:szCs w:val="26"/>
          <w:shd w:val="clear" w:color="auto" w:fill="FFFFFF"/>
        </w:rPr>
        <w:t xml:space="preserve">, </w:t>
      </w:r>
      <w:r w:rsidR="00582E6A" w:rsidRPr="0038179C">
        <w:rPr>
          <w:szCs w:val="26"/>
          <w:shd w:val="clear" w:color="auto" w:fill="FFFFFF"/>
        </w:rPr>
        <w:t xml:space="preserve">this court </w:t>
      </w:r>
      <w:r w:rsidR="00B74CE7" w:rsidRPr="0038179C">
        <w:rPr>
          <w:szCs w:val="26"/>
          <w:shd w:val="clear" w:color="auto" w:fill="FFFFFF"/>
        </w:rPr>
        <w:t>reversed summary judgment for HSBC, focusing solely on intent to record.</w:t>
      </w:r>
      <w:r w:rsidR="00085FCA" w:rsidRPr="0038179C">
        <w:rPr>
          <w:szCs w:val="26"/>
          <w:shd w:val="clear" w:color="auto" w:fill="FFFFFF"/>
        </w:rPr>
        <w:t xml:space="preserve">  (</w:t>
      </w:r>
      <w:bookmarkStart w:id="108" w:name="dabmci_3fa3e2f0c9544bd4a3965e173b176f8d"/>
      <w:r w:rsidR="00085FCA" w:rsidRPr="0038179C">
        <w:rPr>
          <w:i/>
          <w:iCs/>
          <w:szCs w:val="26"/>
          <w:shd w:val="clear" w:color="auto" w:fill="FFFFFF"/>
        </w:rPr>
        <w:t>Rojas I</w:t>
      </w:r>
      <w:r w:rsidR="00085FCA" w:rsidRPr="0038179C">
        <w:rPr>
          <w:szCs w:val="26"/>
          <w:shd w:val="clear" w:color="auto" w:fill="FFFFFF"/>
        </w:rPr>
        <w:t xml:space="preserve">, </w:t>
      </w:r>
      <w:r w:rsidR="00085FCA" w:rsidRPr="0038179C">
        <w:rPr>
          <w:i/>
          <w:iCs/>
          <w:szCs w:val="26"/>
          <w:shd w:val="clear" w:color="auto" w:fill="FFFFFF"/>
        </w:rPr>
        <w:t>supra</w:t>
      </w:r>
      <w:r w:rsidR="00085FCA" w:rsidRPr="0038179C">
        <w:rPr>
          <w:szCs w:val="26"/>
          <w:shd w:val="clear" w:color="auto" w:fill="FFFFFF"/>
        </w:rPr>
        <w:t>, 20 Cal.App.5th at p. 432</w:t>
      </w:r>
      <w:bookmarkEnd w:id="108"/>
      <w:r w:rsidR="00085FCA" w:rsidRPr="0038179C">
        <w:rPr>
          <w:szCs w:val="26"/>
          <w:shd w:val="clear" w:color="auto" w:fill="FFFFFF"/>
        </w:rPr>
        <w:t>.)</w:t>
      </w:r>
      <w:r w:rsidR="00005C2D" w:rsidRPr="0038179C">
        <w:rPr>
          <w:szCs w:val="26"/>
          <w:shd w:val="clear" w:color="auto" w:fill="FFFFFF"/>
        </w:rPr>
        <w:t xml:space="preserve">  </w:t>
      </w:r>
      <w:r w:rsidR="00582E6A" w:rsidRPr="0038179C">
        <w:rPr>
          <w:szCs w:val="26"/>
          <w:shd w:val="clear" w:color="auto" w:fill="FFFFFF"/>
        </w:rPr>
        <w:t>At the time, t</w:t>
      </w:r>
      <w:r w:rsidR="00005C2D" w:rsidRPr="0038179C">
        <w:rPr>
          <w:szCs w:val="26"/>
          <w:shd w:val="clear" w:color="auto" w:fill="FFFFFF"/>
        </w:rPr>
        <w:t xml:space="preserve">he undisputed facts </w:t>
      </w:r>
      <w:r w:rsidR="00582E6A" w:rsidRPr="0038179C">
        <w:rPr>
          <w:szCs w:val="26"/>
          <w:shd w:val="clear" w:color="auto" w:fill="FFFFFF"/>
        </w:rPr>
        <w:t>were</w:t>
      </w:r>
      <w:r w:rsidR="00005C2D" w:rsidRPr="0038179C">
        <w:rPr>
          <w:szCs w:val="26"/>
          <w:shd w:val="clear" w:color="auto" w:fill="FFFFFF"/>
        </w:rPr>
        <w:t xml:space="preserve"> that HSBC used a “full-time telephone call recording system”; </w:t>
      </w:r>
      <w:r w:rsidR="00582E6A" w:rsidRPr="0038179C">
        <w:rPr>
          <w:szCs w:val="26"/>
          <w:shd w:val="clear" w:color="auto" w:fill="FFFFFF"/>
        </w:rPr>
        <w:t>it</w:t>
      </w:r>
      <w:r w:rsidR="00005C2D" w:rsidRPr="0038179C">
        <w:rPr>
          <w:szCs w:val="26"/>
          <w:shd w:val="clear" w:color="auto" w:fill="FFFFFF"/>
        </w:rPr>
        <w:t xml:space="preserve"> recorded the calls </w:t>
      </w:r>
      <w:r w:rsidR="00AE498A" w:rsidRPr="0038179C">
        <w:rPr>
          <w:szCs w:val="26"/>
          <w:shd w:val="clear" w:color="auto" w:fill="FFFFFF"/>
        </w:rPr>
        <w:t xml:space="preserve">“ </w:t>
      </w:r>
      <w:r w:rsidR="00005C2D" w:rsidRPr="0038179C">
        <w:rPr>
          <w:szCs w:val="26"/>
          <w:shd w:val="clear" w:color="auto" w:fill="FFFFFF"/>
        </w:rPr>
        <w:t>‘on purpose’ ”; and</w:t>
      </w:r>
      <w:r w:rsidR="00AE498A" w:rsidRPr="0038179C">
        <w:rPr>
          <w:szCs w:val="26"/>
          <w:shd w:val="clear" w:color="auto" w:fill="FFFFFF"/>
        </w:rPr>
        <w:t xml:space="preserve"> </w:t>
      </w:r>
      <w:r w:rsidR="00582E6A" w:rsidRPr="0038179C">
        <w:rPr>
          <w:szCs w:val="26"/>
          <w:shd w:val="clear" w:color="auto" w:fill="FFFFFF"/>
        </w:rPr>
        <w:t xml:space="preserve">its Electronic Monitoring policy </w:t>
      </w:r>
      <w:r w:rsidR="00005C2D" w:rsidRPr="0038179C">
        <w:rPr>
          <w:szCs w:val="26"/>
          <w:shd w:val="clear" w:color="auto" w:fill="FFFFFF"/>
        </w:rPr>
        <w:t>authorized employees to use company telephones for personal calls</w:t>
      </w:r>
      <w:r w:rsidR="00AE498A" w:rsidRPr="0038179C">
        <w:rPr>
          <w:szCs w:val="26"/>
          <w:shd w:val="clear" w:color="auto" w:fill="FFFFFF"/>
        </w:rPr>
        <w:t xml:space="preserve"> and </w:t>
      </w:r>
      <w:r w:rsidR="00005C2D" w:rsidRPr="0038179C">
        <w:rPr>
          <w:szCs w:val="26"/>
          <w:shd w:val="clear" w:color="auto" w:fill="FFFFFF"/>
        </w:rPr>
        <w:t>advis</w:t>
      </w:r>
      <w:r w:rsidR="00AE498A" w:rsidRPr="0038179C">
        <w:rPr>
          <w:szCs w:val="26"/>
          <w:shd w:val="clear" w:color="auto" w:fill="FFFFFF"/>
        </w:rPr>
        <w:t>ed</w:t>
      </w:r>
      <w:r w:rsidR="00005C2D" w:rsidRPr="0038179C">
        <w:rPr>
          <w:szCs w:val="26"/>
          <w:shd w:val="clear" w:color="auto" w:fill="FFFFFF"/>
        </w:rPr>
        <w:t xml:space="preserve"> them </w:t>
      </w:r>
      <w:bookmarkStart w:id="109" w:name="dabmq_65"/>
      <w:r w:rsidR="00CF3459" w:rsidRPr="0038179C">
        <w:rPr>
          <w:szCs w:val="26"/>
          <w:shd w:val="clear" w:color="auto" w:fill="FFFFFF"/>
        </w:rPr>
        <w:t>“ ‘</w:t>
      </w:r>
      <w:r w:rsidR="00005C2D" w:rsidRPr="0038179C">
        <w:rPr>
          <w:szCs w:val="26"/>
          <w:shd w:val="clear" w:color="auto" w:fill="FFFFFF"/>
        </w:rPr>
        <w:t>personal calls may be recorded.’ ”</w:t>
      </w:r>
      <w:bookmarkEnd w:id="109"/>
      <w:r w:rsidR="00005C2D" w:rsidRPr="0038179C">
        <w:rPr>
          <w:szCs w:val="26"/>
          <w:shd w:val="clear" w:color="auto" w:fill="FFFFFF"/>
        </w:rPr>
        <w:t xml:space="preserve">  (</w:t>
      </w:r>
      <w:bookmarkStart w:id="110" w:name="dabmci_5e4746d9e352453e9a8e3e250788f2ec"/>
      <w:r w:rsidR="00005C2D" w:rsidRPr="0038179C">
        <w:rPr>
          <w:i/>
          <w:iCs/>
          <w:szCs w:val="26"/>
          <w:shd w:val="clear" w:color="auto" w:fill="FFFFFF"/>
        </w:rPr>
        <w:t>Id</w:t>
      </w:r>
      <w:r w:rsidR="00005C2D" w:rsidRPr="0038179C">
        <w:rPr>
          <w:szCs w:val="26"/>
          <w:shd w:val="clear" w:color="auto" w:fill="FFFFFF"/>
        </w:rPr>
        <w:t>.</w:t>
      </w:r>
      <w:bookmarkEnd w:id="110"/>
      <w:r w:rsidR="00005C2D" w:rsidRPr="0038179C">
        <w:rPr>
          <w:szCs w:val="26"/>
          <w:shd w:val="clear" w:color="auto" w:fill="FFFFFF"/>
        </w:rPr>
        <w:t xml:space="preserve"> at</w:t>
      </w:r>
      <w:r w:rsidR="006F7B4F">
        <w:rPr>
          <w:szCs w:val="26"/>
          <w:shd w:val="clear" w:color="auto" w:fill="FFFFFF"/>
        </w:rPr>
        <w:t> </w:t>
      </w:r>
    </w:p>
    <w:p w14:paraId="11311849" w14:textId="2BAE4243" w:rsidR="00297254" w:rsidRPr="0038179C" w:rsidRDefault="00005C2D" w:rsidP="00882F89">
      <w:pPr>
        <w:spacing w:line="360" w:lineRule="auto"/>
        <w:rPr>
          <w:szCs w:val="26"/>
          <w:shd w:val="clear" w:color="auto" w:fill="FFFFFF"/>
        </w:rPr>
      </w:pPr>
      <w:r w:rsidRPr="0038179C">
        <w:rPr>
          <w:szCs w:val="26"/>
          <w:shd w:val="clear" w:color="auto" w:fill="FFFFFF"/>
        </w:rPr>
        <w:t>p. 433.)</w:t>
      </w:r>
      <w:r w:rsidR="00B74CE7" w:rsidRPr="0038179C">
        <w:rPr>
          <w:szCs w:val="26"/>
          <w:shd w:val="clear" w:color="auto" w:fill="FFFFFF"/>
        </w:rPr>
        <w:t xml:space="preserve">  </w:t>
      </w:r>
      <w:r w:rsidR="00F071C3" w:rsidRPr="0038179C">
        <w:rPr>
          <w:szCs w:val="26"/>
          <w:shd w:val="clear" w:color="auto" w:fill="FFFFFF"/>
        </w:rPr>
        <w:t>W</w:t>
      </w:r>
      <w:r w:rsidR="00C44740" w:rsidRPr="0038179C">
        <w:rPr>
          <w:szCs w:val="26"/>
          <w:shd w:val="clear" w:color="auto" w:fill="FFFFFF"/>
        </w:rPr>
        <w:t xml:space="preserve">e </w:t>
      </w:r>
      <w:r w:rsidR="005761F6" w:rsidRPr="0038179C">
        <w:rPr>
          <w:szCs w:val="26"/>
          <w:shd w:val="clear" w:color="auto" w:fill="FFFFFF"/>
        </w:rPr>
        <w:t>held</w:t>
      </w:r>
      <w:r w:rsidR="00F01B13" w:rsidRPr="0038179C">
        <w:rPr>
          <w:szCs w:val="26"/>
          <w:shd w:val="clear" w:color="auto" w:fill="FFFFFF"/>
        </w:rPr>
        <w:t xml:space="preserve"> </w:t>
      </w:r>
      <w:r w:rsidR="006F4EEE" w:rsidRPr="0038179C">
        <w:rPr>
          <w:szCs w:val="26"/>
          <w:shd w:val="clear" w:color="auto" w:fill="FFFFFF"/>
        </w:rPr>
        <w:t xml:space="preserve">HSBC did not </w:t>
      </w:r>
      <w:bookmarkStart w:id="111" w:name="dabmq_66"/>
      <w:r w:rsidR="006F4EEE" w:rsidRPr="0038179C">
        <w:rPr>
          <w:szCs w:val="26"/>
          <w:shd w:val="clear" w:color="auto" w:fill="FFFFFF"/>
        </w:rPr>
        <w:t>“establish[] as a matter of law that it did not have ‘knowledge to a substantial certainty that [its] use of the equipment w[ould] result in the recordation of a confidential conversation’ of an employee and a third party like Rojas.”</w:t>
      </w:r>
      <w:bookmarkEnd w:id="111"/>
      <w:r w:rsidR="006F4EEE" w:rsidRPr="0038179C">
        <w:rPr>
          <w:szCs w:val="26"/>
          <w:shd w:val="clear" w:color="auto" w:fill="FFFFFF"/>
        </w:rPr>
        <w:t xml:space="preserve"> </w:t>
      </w:r>
      <w:r w:rsidR="006F7B4F">
        <w:rPr>
          <w:szCs w:val="26"/>
          <w:shd w:val="clear" w:color="auto" w:fill="FFFFFF"/>
        </w:rPr>
        <w:t xml:space="preserve"> </w:t>
      </w:r>
      <w:r w:rsidR="006F4EEE" w:rsidRPr="0038179C">
        <w:rPr>
          <w:szCs w:val="26"/>
          <w:shd w:val="clear" w:color="auto" w:fill="FFFFFF"/>
        </w:rPr>
        <w:t>(</w:t>
      </w:r>
      <w:bookmarkStart w:id="112" w:name="dabmci_bd6a50d48f4e4bf2996cfbd94f20ecf2"/>
      <w:r w:rsidR="006F7B4F" w:rsidRPr="006F7B4F">
        <w:rPr>
          <w:i/>
          <w:iCs/>
          <w:szCs w:val="26"/>
          <w:shd w:val="clear" w:color="auto" w:fill="FFFFFF"/>
        </w:rPr>
        <w:t>Id</w:t>
      </w:r>
      <w:r w:rsidR="006F7B4F">
        <w:rPr>
          <w:szCs w:val="26"/>
          <w:shd w:val="clear" w:color="auto" w:fill="FFFFFF"/>
        </w:rPr>
        <w:t>.</w:t>
      </w:r>
      <w:r w:rsidR="006F4EEE" w:rsidRPr="0038179C">
        <w:rPr>
          <w:i/>
          <w:iCs/>
          <w:szCs w:val="26"/>
          <w:shd w:val="clear" w:color="auto" w:fill="FFFFFF"/>
        </w:rPr>
        <w:t xml:space="preserve"> </w:t>
      </w:r>
      <w:r w:rsidR="006F4EEE" w:rsidRPr="0038179C">
        <w:rPr>
          <w:szCs w:val="26"/>
          <w:shd w:val="clear" w:color="auto" w:fill="FFFFFF"/>
        </w:rPr>
        <w:t xml:space="preserve">at p. </w:t>
      </w:r>
      <w:r w:rsidR="00EC35A5" w:rsidRPr="0038179C">
        <w:rPr>
          <w:szCs w:val="26"/>
          <w:shd w:val="clear" w:color="auto" w:fill="FFFFFF"/>
        </w:rPr>
        <w:t>436</w:t>
      </w:r>
      <w:bookmarkEnd w:id="112"/>
      <w:r w:rsidR="006F4EEE" w:rsidRPr="0038179C">
        <w:rPr>
          <w:szCs w:val="26"/>
          <w:shd w:val="clear" w:color="auto" w:fill="FFFFFF"/>
        </w:rPr>
        <w:t xml:space="preserve">.)  </w:t>
      </w:r>
      <w:r w:rsidR="0076392B" w:rsidRPr="0038179C">
        <w:rPr>
          <w:szCs w:val="26"/>
          <w:shd w:val="clear" w:color="auto" w:fill="FFFFFF"/>
        </w:rPr>
        <w:t>Rather, we stated,</w:t>
      </w:r>
      <w:r w:rsidR="00F01B13" w:rsidRPr="0038179C">
        <w:rPr>
          <w:szCs w:val="26"/>
          <w:shd w:val="clear" w:color="auto" w:fill="FFFFFF"/>
        </w:rPr>
        <w:t xml:space="preserve"> a</w:t>
      </w:r>
      <w:bookmarkStart w:id="113" w:name="dabmq_67"/>
      <w:r w:rsidR="00AE49C9">
        <w:rPr>
          <w:szCs w:val="26"/>
          <w:shd w:val="clear" w:color="auto" w:fill="FFFFFF"/>
        </w:rPr>
        <w:t> </w:t>
      </w:r>
      <w:r w:rsidR="00C44740" w:rsidRPr="0038179C">
        <w:rPr>
          <w:szCs w:val="26"/>
          <w:shd w:val="clear" w:color="auto" w:fill="FFFFFF"/>
        </w:rPr>
        <w:t>“</w:t>
      </w:r>
      <w:r w:rsidR="00F01B13" w:rsidRPr="0038179C">
        <w:rPr>
          <w:szCs w:val="26"/>
          <w:shd w:val="clear" w:color="auto" w:fill="FFFFFF"/>
        </w:rPr>
        <w:t>reasonable trier of fact could find that HSBC had the requisite intent under sections 632(a) and 632.7(a)</w:t>
      </w:r>
      <w:r w:rsidR="006F4EEE" w:rsidRPr="0038179C">
        <w:rPr>
          <w:szCs w:val="26"/>
          <w:shd w:val="clear" w:color="auto" w:fill="FFFFFF"/>
        </w:rPr>
        <w:t>.</w:t>
      </w:r>
      <w:r w:rsidR="00F01B13" w:rsidRPr="0038179C">
        <w:rPr>
          <w:szCs w:val="26"/>
          <w:shd w:val="clear" w:color="auto" w:fill="FFFFFF"/>
        </w:rPr>
        <w:t>”</w:t>
      </w:r>
      <w:bookmarkEnd w:id="113"/>
      <w:r w:rsidR="006F7B4F">
        <w:rPr>
          <w:szCs w:val="26"/>
          <w:shd w:val="clear" w:color="auto" w:fill="FFFFFF"/>
        </w:rPr>
        <w:t xml:space="preserve"> </w:t>
      </w:r>
      <w:r w:rsidR="006F4EEE" w:rsidRPr="0038179C">
        <w:rPr>
          <w:szCs w:val="26"/>
          <w:shd w:val="clear" w:color="auto" w:fill="FFFFFF"/>
        </w:rPr>
        <w:t xml:space="preserve"> (</w:t>
      </w:r>
      <w:bookmarkStart w:id="114" w:name="dabmci_55a990b7dad642c5bd086215bf896801"/>
      <w:r w:rsidR="005761F6" w:rsidRPr="0038179C">
        <w:rPr>
          <w:i/>
          <w:iCs/>
          <w:szCs w:val="26"/>
          <w:shd w:val="clear" w:color="auto" w:fill="FFFFFF"/>
        </w:rPr>
        <w:t xml:space="preserve">Id. </w:t>
      </w:r>
      <w:r w:rsidR="00F01B13" w:rsidRPr="0038179C">
        <w:rPr>
          <w:szCs w:val="26"/>
          <w:shd w:val="clear" w:color="auto" w:fill="FFFFFF"/>
        </w:rPr>
        <w:t xml:space="preserve">at p. </w:t>
      </w:r>
      <w:r w:rsidR="00EC35A5" w:rsidRPr="0038179C">
        <w:rPr>
          <w:szCs w:val="26"/>
          <w:shd w:val="clear" w:color="auto" w:fill="FFFFFF"/>
        </w:rPr>
        <w:t>435</w:t>
      </w:r>
      <w:bookmarkEnd w:id="114"/>
      <w:r w:rsidR="00F01B13" w:rsidRPr="0038179C">
        <w:rPr>
          <w:szCs w:val="26"/>
          <w:shd w:val="clear" w:color="auto" w:fill="FFFFFF"/>
        </w:rPr>
        <w:t>.)  We explained</w:t>
      </w:r>
      <w:r w:rsidR="00F071C3" w:rsidRPr="0038179C">
        <w:rPr>
          <w:szCs w:val="26"/>
          <w:shd w:val="clear" w:color="auto" w:fill="FFFFFF"/>
        </w:rPr>
        <w:t xml:space="preserve">:  </w:t>
      </w:r>
      <w:bookmarkStart w:id="115" w:name="dabmq_68"/>
      <w:r w:rsidR="006F4EEE" w:rsidRPr="0038179C">
        <w:rPr>
          <w:szCs w:val="26"/>
          <w:shd w:val="clear" w:color="auto" w:fill="FFFFFF"/>
        </w:rPr>
        <w:t>“</w:t>
      </w:r>
      <w:r w:rsidR="00F01B13" w:rsidRPr="0038179C">
        <w:rPr>
          <w:szCs w:val="26"/>
          <w:shd w:val="clear" w:color="auto" w:fill="FFFFFF"/>
        </w:rPr>
        <w:t>[</w:t>
      </w:r>
      <w:r w:rsidR="00480133" w:rsidRPr="0038179C">
        <w:rPr>
          <w:szCs w:val="26"/>
          <w:shd w:val="clear" w:color="auto" w:fill="FFFFFF"/>
        </w:rPr>
        <w:t>T</w:t>
      </w:r>
      <w:r w:rsidR="00F071C3" w:rsidRPr="0038179C">
        <w:rPr>
          <w:szCs w:val="26"/>
          <w:shd w:val="clear" w:color="auto" w:fill="FFFFFF"/>
        </w:rPr>
        <w:t>]</w:t>
      </w:r>
      <w:r w:rsidR="00F01B13" w:rsidRPr="0038179C">
        <w:rPr>
          <w:szCs w:val="26"/>
          <w:shd w:val="clear" w:color="auto" w:fill="FFFFFF"/>
        </w:rPr>
        <w:t>he</w:t>
      </w:r>
      <w:r w:rsidR="00D3568F" w:rsidRPr="0038179C">
        <w:rPr>
          <w:szCs w:val="26"/>
          <w:shd w:val="clear" w:color="auto" w:fill="FFFFFF"/>
        </w:rPr>
        <w:t> . . . </w:t>
      </w:r>
      <w:r w:rsidR="00F01B13" w:rsidRPr="0038179C">
        <w:rPr>
          <w:szCs w:val="26"/>
          <w:shd w:val="clear" w:color="auto" w:fill="FFFFFF"/>
        </w:rPr>
        <w:t>calls at issue here were not recorded ‘ “by chance”</w:t>
      </w:r>
      <w:bookmarkEnd w:id="115"/>
      <w:r w:rsidR="00C44740" w:rsidRPr="0038179C">
        <w:rPr>
          <w:szCs w:val="26"/>
          <w:shd w:val="clear" w:color="auto" w:fill="FFFFFF"/>
        </w:rPr>
        <w:t xml:space="preserve"> ’</w:t>
      </w:r>
      <w:r w:rsidR="00F01B13" w:rsidRPr="0038179C">
        <w:rPr>
          <w:szCs w:val="26"/>
          <w:shd w:val="clear" w:color="auto" w:fill="FFFFFF"/>
        </w:rPr>
        <w:t xml:space="preserve"> or ‘</w:t>
      </w:r>
      <w:r w:rsidR="00AE49C9">
        <w:rPr>
          <w:szCs w:val="26"/>
          <w:shd w:val="clear" w:color="auto" w:fill="FFFFFF"/>
        </w:rPr>
        <w:t> </w:t>
      </w:r>
      <w:r w:rsidR="00480133" w:rsidRPr="0038179C">
        <w:rPr>
          <w:szCs w:val="26"/>
          <w:shd w:val="clear" w:color="auto" w:fill="FFFFFF"/>
        </w:rPr>
        <w:t>“</w:t>
      </w:r>
      <w:r w:rsidR="00F01B13" w:rsidRPr="0038179C">
        <w:rPr>
          <w:szCs w:val="26"/>
          <w:shd w:val="clear" w:color="auto" w:fill="FFFFFF"/>
        </w:rPr>
        <w:t>innocent[ly].</w:t>
      </w:r>
      <w:r w:rsidR="00480133" w:rsidRPr="0038179C">
        <w:rPr>
          <w:szCs w:val="26"/>
          <w:shd w:val="clear" w:color="auto" w:fill="FFFFFF"/>
        </w:rPr>
        <w:t xml:space="preserve">” </w:t>
      </w:r>
      <w:r w:rsidR="00F01B13" w:rsidRPr="0038179C">
        <w:rPr>
          <w:szCs w:val="26"/>
          <w:shd w:val="clear" w:color="auto" w:fill="FFFFFF"/>
        </w:rPr>
        <w:t>’  HSBC knew that it was recording—and, indeed, purposefully was recording—</w:t>
      </w:r>
      <w:proofErr w:type="gramStart"/>
      <w:r w:rsidR="00F01B13" w:rsidRPr="0038179C">
        <w:rPr>
          <w:i/>
          <w:iCs/>
          <w:szCs w:val="26"/>
          <w:shd w:val="clear" w:color="auto" w:fill="FFFFFF"/>
        </w:rPr>
        <w:t>all</w:t>
      </w:r>
      <w:r w:rsidR="00F01B13" w:rsidRPr="0038179C">
        <w:rPr>
          <w:szCs w:val="26"/>
          <w:shd w:val="clear" w:color="auto" w:fill="FFFFFF"/>
        </w:rPr>
        <w:t xml:space="preserve"> of</w:t>
      </w:r>
      <w:proofErr w:type="gramEnd"/>
      <w:r w:rsidR="00F01B13" w:rsidRPr="0038179C">
        <w:rPr>
          <w:szCs w:val="26"/>
          <w:shd w:val="clear" w:color="auto" w:fill="FFFFFF"/>
        </w:rPr>
        <w:t xml:space="preserve"> the calls, having previously told its employees that they were authorized to use HSBC telephones for personal use and that their personal calls might be recorded.</w:t>
      </w:r>
      <w:r w:rsidR="006F4EEE" w:rsidRPr="0038179C">
        <w:rPr>
          <w:szCs w:val="26"/>
          <w:shd w:val="clear" w:color="auto" w:fill="FFFFFF"/>
        </w:rPr>
        <w:t>”</w:t>
      </w:r>
      <w:r w:rsidR="00EC35A5" w:rsidRPr="0038179C">
        <w:rPr>
          <w:szCs w:val="26"/>
          <w:shd w:val="clear" w:color="auto" w:fill="FFFFFF"/>
        </w:rPr>
        <w:t xml:space="preserve">  (</w:t>
      </w:r>
      <w:bookmarkStart w:id="116" w:name="dabmci_c78eb66cbad14e1a97c1df952699a062"/>
      <w:r w:rsidR="00F071C3" w:rsidRPr="0038179C">
        <w:rPr>
          <w:i/>
          <w:iCs/>
          <w:szCs w:val="26"/>
          <w:shd w:val="clear" w:color="auto" w:fill="FFFFFF"/>
        </w:rPr>
        <w:t>Ibid</w:t>
      </w:r>
      <w:r w:rsidR="00EC35A5" w:rsidRPr="0038179C">
        <w:rPr>
          <w:i/>
          <w:iCs/>
          <w:szCs w:val="26"/>
          <w:shd w:val="clear" w:color="auto" w:fill="FFFFFF"/>
        </w:rPr>
        <w:t>.</w:t>
      </w:r>
      <w:bookmarkEnd w:id="116"/>
      <w:r w:rsidR="00EC35A5" w:rsidRPr="0038179C">
        <w:rPr>
          <w:szCs w:val="26"/>
          <w:shd w:val="clear" w:color="auto" w:fill="FFFFFF"/>
        </w:rPr>
        <w:t>)</w:t>
      </w:r>
    </w:p>
    <w:p w14:paraId="1D14E8AC" w14:textId="3C3D3EAA" w:rsidR="00EF5D63" w:rsidRPr="0038179C" w:rsidRDefault="008A2DD1" w:rsidP="00A77324">
      <w:pPr>
        <w:pStyle w:val="Heading3"/>
        <w:spacing w:after="220" w:line="240" w:lineRule="auto"/>
        <w:ind w:left="1440" w:hanging="720"/>
      </w:pPr>
      <w:r w:rsidRPr="0038179C">
        <w:rPr>
          <w:i w:val="0"/>
          <w:iCs w:val="0"/>
        </w:rPr>
        <w:lastRenderedPageBreak/>
        <w:t>3</w:t>
      </w:r>
      <w:r w:rsidR="00EF5D63" w:rsidRPr="0038179C">
        <w:rPr>
          <w:i w:val="0"/>
          <w:iCs w:val="0"/>
        </w:rPr>
        <w:t>.</w:t>
      </w:r>
      <w:r w:rsidR="00EF5D63" w:rsidRPr="0038179C">
        <w:rPr>
          <w:i w:val="0"/>
          <w:iCs w:val="0"/>
        </w:rPr>
        <w:tab/>
      </w:r>
      <w:r w:rsidR="00EF5D63" w:rsidRPr="0038179C">
        <w:t xml:space="preserve">Substantial Evidence Does Not Support </w:t>
      </w:r>
      <w:proofErr w:type="gramStart"/>
      <w:r w:rsidR="00EF5D63" w:rsidRPr="0038179C">
        <w:t>The</w:t>
      </w:r>
      <w:proofErr w:type="gramEnd"/>
      <w:r w:rsidR="00EF5D63" w:rsidRPr="0038179C">
        <w:t xml:space="preserve"> Trial’s Court’s Intent Finding</w:t>
      </w:r>
    </w:p>
    <w:p w14:paraId="23773291" w14:textId="3C0BE589" w:rsidR="008D1CE4" w:rsidRPr="0038179C" w:rsidRDefault="00F95175" w:rsidP="00882F89">
      <w:pPr>
        <w:spacing w:line="360" w:lineRule="auto"/>
      </w:pPr>
      <w:r w:rsidRPr="0038179C">
        <w:tab/>
        <w:t>Rojas contends the trial court</w:t>
      </w:r>
      <w:r w:rsidR="0080022F" w:rsidRPr="0038179C">
        <w:t xml:space="preserve"> finding that she failed to prove intent </w:t>
      </w:r>
      <w:bookmarkStart w:id="117" w:name="dabmq_69"/>
      <w:r w:rsidR="0080022F" w:rsidRPr="0038179C">
        <w:t>“</w:t>
      </w:r>
      <w:r w:rsidRPr="0038179C">
        <w:t>does not withstand the substantial evidence test.”</w:t>
      </w:r>
      <w:bookmarkEnd w:id="117"/>
      <w:r w:rsidR="00722B1A">
        <w:t xml:space="preserve"> </w:t>
      </w:r>
      <w:r w:rsidRPr="0038179C">
        <w:t xml:space="preserve"> </w:t>
      </w:r>
      <w:r w:rsidR="009046F5" w:rsidRPr="0038179C">
        <w:t>We agree</w:t>
      </w:r>
      <w:r w:rsidRPr="0038179C">
        <w:t>.</w:t>
      </w:r>
      <w:bookmarkStart w:id="118" w:name="_Hlk122524019"/>
      <w:r w:rsidR="00E61D90" w:rsidRPr="0038179C">
        <w:t xml:space="preserve">  </w:t>
      </w:r>
    </w:p>
    <w:p w14:paraId="12F0307C" w14:textId="77777777" w:rsidR="00722B1A" w:rsidRDefault="00EE10C4" w:rsidP="0023060E">
      <w:pPr>
        <w:spacing w:line="360" w:lineRule="auto"/>
        <w:ind w:firstLine="720"/>
      </w:pPr>
      <w:r w:rsidRPr="0038179C">
        <w:t xml:space="preserve">HSBC’s trial theory was that because its </w:t>
      </w:r>
      <w:r w:rsidR="00EE1B3E" w:rsidRPr="0038179C">
        <w:t xml:space="preserve">workplace </w:t>
      </w:r>
      <w:r w:rsidRPr="0038179C">
        <w:t xml:space="preserve">policies banned personal calls, </w:t>
      </w:r>
      <w:r w:rsidR="00B55C8C" w:rsidRPr="0038179C">
        <w:t>it did not</w:t>
      </w:r>
      <w:r w:rsidRPr="0038179C">
        <w:t xml:space="preserve"> intend to record those calls</w:t>
      </w:r>
      <w:r w:rsidR="00384448" w:rsidRPr="0038179C">
        <w:t>.  This</w:t>
      </w:r>
      <w:r w:rsidR="00B55C8C" w:rsidRPr="0038179C">
        <w:t xml:space="preserve"> theory rest</w:t>
      </w:r>
      <w:r w:rsidR="00384448" w:rsidRPr="0038179C">
        <w:t>s</w:t>
      </w:r>
      <w:r w:rsidR="00B55C8C" w:rsidRPr="0038179C">
        <w:t xml:space="preserve"> on </w:t>
      </w:r>
      <w:r w:rsidR="00384448" w:rsidRPr="0038179C">
        <w:t>the premise</w:t>
      </w:r>
      <w:r w:rsidR="00B55C8C" w:rsidRPr="0038179C">
        <w:t xml:space="preserve"> </w:t>
      </w:r>
      <w:r w:rsidR="000C4145" w:rsidRPr="0038179C">
        <w:t xml:space="preserve">that </w:t>
      </w:r>
      <w:r w:rsidR="00E61D90" w:rsidRPr="0038179C">
        <w:t xml:space="preserve">the ban </w:t>
      </w:r>
      <w:r w:rsidR="00E61D90" w:rsidRPr="0038179C">
        <w:rPr>
          <w:i/>
          <w:iCs/>
        </w:rPr>
        <w:t>worke</w:t>
      </w:r>
      <w:r w:rsidR="00B55C8C" w:rsidRPr="0038179C">
        <w:rPr>
          <w:i/>
          <w:iCs/>
        </w:rPr>
        <w:t>d</w:t>
      </w:r>
      <w:r w:rsidR="00E61D90" w:rsidRPr="0038179C">
        <w:t>, such that</w:t>
      </w:r>
      <w:r w:rsidR="00B55C8C" w:rsidRPr="0038179C">
        <w:t xml:space="preserve"> </w:t>
      </w:r>
      <w:r w:rsidR="00384448" w:rsidRPr="0038179C">
        <w:t>HSBC</w:t>
      </w:r>
      <w:r w:rsidR="00B55C8C" w:rsidRPr="0038179C">
        <w:t xml:space="preserve"> </w:t>
      </w:r>
      <w:r w:rsidR="00384448" w:rsidRPr="0038179C">
        <w:t>did not know</w:t>
      </w:r>
      <w:r w:rsidR="00E61D90" w:rsidRPr="0038179C">
        <w:t xml:space="preserve"> personal calls </w:t>
      </w:r>
      <w:r w:rsidR="00384448" w:rsidRPr="0038179C">
        <w:t>were being made and thus recorded</w:t>
      </w:r>
      <w:r w:rsidR="000C4145" w:rsidRPr="0038179C">
        <w:t>.</w:t>
      </w:r>
      <w:r w:rsidR="00E61D90" w:rsidRPr="0038179C">
        <w:t xml:space="preserve">  </w:t>
      </w:r>
      <w:r w:rsidR="001F4FC7" w:rsidRPr="0038179C">
        <w:t xml:space="preserve">The </w:t>
      </w:r>
      <w:r w:rsidR="0018639A" w:rsidRPr="0038179C">
        <w:t xml:space="preserve">trial </w:t>
      </w:r>
      <w:r w:rsidR="006530C7" w:rsidRPr="0038179C">
        <w:t xml:space="preserve">court </w:t>
      </w:r>
      <w:r w:rsidRPr="0038179C">
        <w:t xml:space="preserve">accepted </w:t>
      </w:r>
      <w:r w:rsidR="00E61D90" w:rsidRPr="0038179C">
        <w:t>HSBC’s</w:t>
      </w:r>
      <w:r w:rsidRPr="0038179C">
        <w:t xml:space="preserve"> theory, </w:t>
      </w:r>
      <w:r w:rsidR="00E61D90" w:rsidRPr="0038179C">
        <w:t>finding</w:t>
      </w:r>
      <w:r w:rsidR="006530C7" w:rsidRPr="0038179C">
        <w:t xml:space="preserve"> Rojas failed to prove intent</w:t>
      </w:r>
      <w:r w:rsidR="00D06D2F" w:rsidRPr="0038179C">
        <w:t xml:space="preserve"> because HSBC barred </w:t>
      </w:r>
      <w:r w:rsidR="00B55C8C" w:rsidRPr="0038179C">
        <w:t xml:space="preserve">agents from making personal calls at their desks and the calls at </w:t>
      </w:r>
      <w:r w:rsidR="004132FE" w:rsidRPr="0038179C">
        <w:t>issue</w:t>
      </w:r>
      <w:r w:rsidR="00384448" w:rsidRPr="0038179C">
        <w:t xml:space="preserve"> </w:t>
      </w:r>
      <w:proofErr w:type="gramStart"/>
      <w:r w:rsidR="00B55C8C" w:rsidRPr="0038179C">
        <w:t>were</w:t>
      </w:r>
      <w:proofErr w:type="gramEnd"/>
      <w:r w:rsidR="00722B1A">
        <w:t> </w:t>
      </w:r>
    </w:p>
    <w:p w14:paraId="0D63E30D" w14:textId="0B7141A6" w:rsidR="003D6F71" w:rsidRPr="0038179C" w:rsidRDefault="00B55C8C" w:rsidP="00722B1A">
      <w:pPr>
        <w:spacing w:line="360" w:lineRule="auto"/>
      </w:pPr>
      <w:bookmarkStart w:id="119" w:name="dabmq_70"/>
      <w:r w:rsidRPr="0038179C">
        <w:t>“</w:t>
      </w:r>
      <w:proofErr w:type="gramStart"/>
      <w:r w:rsidRPr="0038179C">
        <w:t>made</w:t>
      </w:r>
      <w:proofErr w:type="gramEnd"/>
      <w:r w:rsidRPr="0038179C">
        <w:t xml:space="preserve"> </w:t>
      </w:r>
      <w:r w:rsidR="00384448" w:rsidRPr="0038179C">
        <w:t>. . .</w:t>
      </w:r>
      <w:r w:rsidRPr="0038179C">
        <w:t xml:space="preserve"> without HSBC’s knowledge.”</w:t>
      </w:r>
      <w:bookmarkEnd w:id="119"/>
      <w:r w:rsidRPr="0038179C">
        <w:t xml:space="preserve">  </w:t>
      </w:r>
      <w:r w:rsidR="00D06D2F" w:rsidRPr="0038179C">
        <w:t xml:space="preserve">The court also disagreed HSBC </w:t>
      </w:r>
      <w:r w:rsidRPr="0038179C">
        <w:t>knew</w:t>
      </w:r>
      <w:r w:rsidR="00D06D2F" w:rsidRPr="0038179C">
        <w:t xml:space="preserve"> confidential calls were being recorded</w:t>
      </w:r>
      <w:r w:rsidR="0018639A" w:rsidRPr="0038179C">
        <w:t>,</w:t>
      </w:r>
      <w:r w:rsidR="006530C7" w:rsidRPr="0038179C">
        <w:t xml:space="preserve"> citing </w:t>
      </w:r>
      <w:r w:rsidR="0018639A" w:rsidRPr="0038179C">
        <w:t xml:space="preserve">its </w:t>
      </w:r>
      <w:r w:rsidR="00527EA4" w:rsidRPr="0038179C">
        <w:t xml:space="preserve">recording disclosures and </w:t>
      </w:r>
      <w:r w:rsidR="006530C7" w:rsidRPr="0038179C">
        <w:t xml:space="preserve">reasonable privacy expectations. </w:t>
      </w:r>
      <w:r w:rsidRPr="0038179C">
        <w:t xml:space="preserve"> </w:t>
      </w:r>
      <w:r w:rsidR="00E61D90" w:rsidRPr="0038179C">
        <w:t xml:space="preserve">But the record negates HSBC’s </w:t>
      </w:r>
      <w:r w:rsidR="004132FE" w:rsidRPr="0038179C">
        <w:t>theory</w:t>
      </w:r>
      <w:r w:rsidR="00384448" w:rsidRPr="0038179C">
        <w:t>, and the court’s findings.  N</w:t>
      </w:r>
      <w:r w:rsidR="00E61D90" w:rsidRPr="0038179C">
        <w:t xml:space="preserve">ot only did HSBC policies not prevent </w:t>
      </w:r>
      <w:r w:rsidR="000C4145" w:rsidRPr="0038179C">
        <w:t>personal calls</w:t>
      </w:r>
      <w:r w:rsidR="00E61D90" w:rsidRPr="0038179C">
        <w:t xml:space="preserve">, but </w:t>
      </w:r>
      <w:r w:rsidR="000C4145" w:rsidRPr="0038179C">
        <w:t>HSBC manager</w:t>
      </w:r>
      <w:r w:rsidR="00E61D90" w:rsidRPr="0038179C">
        <w:t>s</w:t>
      </w:r>
      <w:r w:rsidR="000C4145" w:rsidRPr="0038179C">
        <w:t xml:space="preserve"> </w:t>
      </w:r>
      <w:r w:rsidR="000C4145" w:rsidRPr="0038179C">
        <w:rPr>
          <w:i/>
          <w:iCs/>
        </w:rPr>
        <w:t>knew</w:t>
      </w:r>
      <w:r w:rsidR="000C4145" w:rsidRPr="0038179C">
        <w:t xml:space="preserve"> </w:t>
      </w:r>
      <w:r w:rsidR="00E61D90" w:rsidRPr="0038179C">
        <w:t>they</w:t>
      </w:r>
      <w:r w:rsidR="00384448" w:rsidRPr="0038179C">
        <w:t xml:space="preserve"> </w:t>
      </w:r>
      <w:r w:rsidR="00AB507A" w:rsidRPr="0038179C">
        <w:t xml:space="preserve">were </w:t>
      </w:r>
      <w:proofErr w:type="gramStart"/>
      <w:r w:rsidR="00384448" w:rsidRPr="0038179C">
        <w:t>happening</w:t>
      </w:r>
      <w:proofErr w:type="gramEnd"/>
      <w:r w:rsidR="00384448" w:rsidRPr="0038179C">
        <w:t xml:space="preserve"> and Alejandra’s manager even permitted them</w:t>
      </w:r>
      <w:r w:rsidR="000C4145" w:rsidRPr="0038179C">
        <w:t>.</w:t>
      </w:r>
      <w:r w:rsidR="00E61D90" w:rsidRPr="0038179C">
        <w:t xml:space="preserve">  These facts, </w:t>
      </w:r>
      <w:r w:rsidR="0023060E" w:rsidRPr="0038179C">
        <w:t>coupled with</w:t>
      </w:r>
      <w:r w:rsidR="003D6F71" w:rsidRPr="0038179C">
        <w:t xml:space="preserve"> </w:t>
      </w:r>
      <w:r w:rsidR="00384448" w:rsidRPr="0038179C">
        <w:t xml:space="preserve">HSBC’s full-time </w:t>
      </w:r>
      <w:r w:rsidR="0023060E" w:rsidRPr="0038179C">
        <w:t>recording system</w:t>
      </w:r>
      <w:r w:rsidR="003D6F71" w:rsidRPr="0038179C">
        <w:t>,</w:t>
      </w:r>
      <w:r w:rsidR="00E61D90" w:rsidRPr="0038179C">
        <w:t xml:space="preserve"> </w:t>
      </w:r>
      <w:r w:rsidR="00384448" w:rsidRPr="0038179C">
        <w:t>meant</w:t>
      </w:r>
      <w:r w:rsidR="00E61D90" w:rsidRPr="0038179C">
        <w:t xml:space="preserve"> </w:t>
      </w:r>
      <w:r w:rsidR="003D6F71" w:rsidRPr="0038179C">
        <w:t xml:space="preserve">HSBC knew personal calls were </w:t>
      </w:r>
      <w:r w:rsidR="0023060E" w:rsidRPr="0038179C">
        <w:t xml:space="preserve">being </w:t>
      </w:r>
      <w:r w:rsidR="003D6F71" w:rsidRPr="0038179C">
        <w:t xml:space="preserve">recorded—including any such calls that </w:t>
      </w:r>
      <w:r w:rsidR="00E61D90" w:rsidRPr="0038179C">
        <w:t>were</w:t>
      </w:r>
      <w:r w:rsidR="003D6F71" w:rsidRPr="0038179C">
        <w:t xml:space="preserve"> confidential (for § 632) or </w:t>
      </w:r>
      <w:r w:rsidR="00E61D90" w:rsidRPr="0038179C">
        <w:t>received</w:t>
      </w:r>
      <w:r w:rsidR="003D6F71" w:rsidRPr="0038179C">
        <w:t xml:space="preserve"> </w:t>
      </w:r>
      <w:r w:rsidR="00E61D90" w:rsidRPr="0038179C">
        <w:t>on a</w:t>
      </w:r>
      <w:r w:rsidR="003D6F71" w:rsidRPr="0038179C">
        <w:t xml:space="preserve"> cellular or cordless phone (for § 632.7).</w:t>
      </w:r>
      <w:r w:rsidR="000C4145" w:rsidRPr="0038179C">
        <w:t xml:space="preserve">  </w:t>
      </w:r>
      <w:r w:rsidR="003F2242" w:rsidRPr="0038179C">
        <w:t>The record also does not support the court’s further finding that HSBC lacked substantially certain knowledge that confidential calls were being recorded</w:t>
      </w:r>
      <w:r w:rsidR="00883FC0" w:rsidRPr="0038179C">
        <w:t>.  W</w:t>
      </w:r>
      <w:r w:rsidR="000C4145" w:rsidRPr="0038179C">
        <w:t xml:space="preserve">e </w:t>
      </w:r>
      <w:r w:rsidR="00E61D90" w:rsidRPr="0038179C">
        <w:t>explain</w:t>
      </w:r>
      <w:r w:rsidR="000C4145" w:rsidRPr="0038179C">
        <w:t>.</w:t>
      </w:r>
    </w:p>
    <w:p w14:paraId="4632C844" w14:textId="0F995FA3" w:rsidR="001D6661" w:rsidRPr="0038179C" w:rsidRDefault="00527EA4" w:rsidP="001D6661">
      <w:pPr>
        <w:spacing w:line="360" w:lineRule="auto"/>
      </w:pPr>
      <w:r w:rsidRPr="0038179C">
        <w:tab/>
        <w:t xml:space="preserve">First, </w:t>
      </w:r>
      <w:r w:rsidR="00FB74B3" w:rsidRPr="0038179C">
        <w:t>to the extent</w:t>
      </w:r>
      <w:r w:rsidRPr="0038179C">
        <w:t xml:space="preserve"> </w:t>
      </w:r>
      <w:r w:rsidR="00AE17D6" w:rsidRPr="0038179C">
        <w:t xml:space="preserve">HSBC </w:t>
      </w:r>
      <w:r w:rsidR="008A1B9C" w:rsidRPr="0038179C">
        <w:t xml:space="preserve">had </w:t>
      </w:r>
      <w:r w:rsidR="00496DED" w:rsidRPr="0038179C">
        <w:t>a</w:t>
      </w:r>
      <w:r w:rsidR="00DF4179" w:rsidRPr="0038179C">
        <w:t xml:space="preserve"> </w:t>
      </w:r>
      <w:r w:rsidRPr="0038179C">
        <w:t xml:space="preserve">policy </w:t>
      </w:r>
      <w:r w:rsidR="001D6661" w:rsidRPr="0038179C">
        <w:t>barring</w:t>
      </w:r>
      <w:r w:rsidR="0018639A" w:rsidRPr="0038179C">
        <w:t xml:space="preserve"> </w:t>
      </w:r>
      <w:r w:rsidRPr="0038179C">
        <w:t>personal calls</w:t>
      </w:r>
      <w:r w:rsidR="0018639A" w:rsidRPr="0038179C">
        <w:t xml:space="preserve"> from</w:t>
      </w:r>
      <w:r w:rsidRPr="0038179C">
        <w:t xml:space="preserve"> agents</w:t>
      </w:r>
      <w:r w:rsidR="0018639A" w:rsidRPr="0038179C">
        <w:t>’ desk phones</w:t>
      </w:r>
      <w:r w:rsidRPr="0038179C">
        <w:t>,</w:t>
      </w:r>
      <w:r w:rsidR="00496DED" w:rsidRPr="0038179C">
        <w:t xml:space="preserve"> that does not </w:t>
      </w:r>
      <w:r w:rsidR="001F4FC7" w:rsidRPr="0038179C">
        <w:t xml:space="preserve">establish </w:t>
      </w:r>
      <w:r w:rsidR="00AE17D6" w:rsidRPr="0038179C">
        <w:t>such calls</w:t>
      </w:r>
      <w:r w:rsidR="00512DB4" w:rsidRPr="0038179C">
        <w:t xml:space="preserve"> </w:t>
      </w:r>
      <w:proofErr w:type="gramStart"/>
      <w:r w:rsidR="00512DB4" w:rsidRPr="0038179C">
        <w:t>actually</w:t>
      </w:r>
      <w:r w:rsidR="00AE17D6" w:rsidRPr="0038179C">
        <w:t xml:space="preserve"> were</w:t>
      </w:r>
      <w:proofErr w:type="gramEnd"/>
      <w:r w:rsidR="00AE17D6" w:rsidRPr="0038179C">
        <w:t xml:space="preserve"> </w:t>
      </w:r>
      <w:r w:rsidR="0018639A" w:rsidRPr="0038179C">
        <w:t>prevented</w:t>
      </w:r>
      <w:r w:rsidR="00AE17D6" w:rsidRPr="0038179C">
        <w:t>—particularly in</w:t>
      </w:r>
      <w:r w:rsidR="005E5E0C" w:rsidRPr="0038179C">
        <w:t xml:space="preserve"> the</w:t>
      </w:r>
      <w:r w:rsidR="00AE17D6" w:rsidRPr="0038179C">
        <w:t xml:space="preserve"> absence of a single, clear policy</w:t>
      </w:r>
      <w:r w:rsidR="0018639A" w:rsidRPr="0038179C">
        <w:t xml:space="preserve"> </w:t>
      </w:r>
      <w:r w:rsidR="007D06D6" w:rsidRPr="0038179C">
        <w:t>governing</w:t>
      </w:r>
      <w:r w:rsidR="0018639A" w:rsidRPr="0038179C">
        <w:t xml:space="preserve"> personal calls</w:t>
      </w:r>
      <w:r w:rsidR="00517283" w:rsidRPr="0038179C">
        <w:t xml:space="preserve"> and uniform enforcement of those policies</w:t>
      </w:r>
      <w:r w:rsidR="00AE17D6" w:rsidRPr="0038179C">
        <w:t xml:space="preserve">.  </w:t>
      </w:r>
      <w:r w:rsidR="00496DED" w:rsidRPr="0038179C">
        <w:t xml:space="preserve">HSBC </w:t>
      </w:r>
      <w:r w:rsidR="007D06D6" w:rsidRPr="0038179C">
        <w:t>managers</w:t>
      </w:r>
      <w:r w:rsidR="00496DED" w:rsidRPr="0038179C">
        <w:t xml:space="preserve"> Ivey, Garcia, and Escamilla </w:t>
      </w:r>
      <w:r w:rsidR="0018639A" w:rsidRPr="0038179C">
        <w:t xml:space="preserve">did </w:t>
      </w:r>
      <w:r w:rsidR="00496DED" w:rsidRPr="0038179C">
        <w:t>testif</w:t>
      </w:r>
      <w:r w:rsidR="0018639A" w:rsidRPr="0038179C">
        <w:t>y</w:t>
      </w:r>
      <w:r w:rsidR="00496DED" w:rsidRPr="0038179C">
        <w:t xml:space="preserve"> there was a written policy</w:t>
      </w:r>
      <w:r w:rsidR="007D06D6" w:rsidRPr="0038179C">
        <w:t xml:space="preserve"> </w:t>
      </w:r>
      <w:r w:rsidR="00C05A6F" w:rsidRPr="0038179C">
        <w:t>prohibiting</w:t>
      </w:r>
      <w:r w:rsidR="007D06D6" w:rsidRPr="0038179C">
        <w:t xml:space="preserve"> such calls</w:t>
      </w:r>
      <w:r w:rsidR="0018639A" w:rsidRPr="0038179C">
        <w:t xml:space="preserve">, </w:t>
      </w:r>
      <w:r w:rsidR="00496DED" w:rsidRPr="0038179C">
        <w:t xml:space="preserve">but Ivey and Garcia </w:t>
      </w:r>
      <w:r w:rsidR="00AE17D6" w:rsidRPr="0038179C">
        <w:t>indicated</w:t>
      </w:r>
      <w:r w:rsidR="00496DED" w:rsidRPr="0038179C">
        <w:t xml:space="preserve"> it was a Scout policy which could no longer be found, while Escamilla thought it was a</w:t>
      </w:r>
      <w:r w:rsidR="008A1B9C" w:rsidRPr="0038179C">
        <w:t xml:space="preserve"> company-wide</w:t>
      </w:r>
      <w:r w:rsidR="00496DED" w:rsidRPr="0038179C">
        <w:t xml:space="preserve"> HR policy </w:t>
      </w:r>
      <w:r w:rsidR="00496DED" w:rsidRPr="0038179C">
        <w:lastRenderedPageBreak/>
        <w:t>that addressed cell phones</w:t>
      </w:r>
      <w:r w:rsidR="00224858" w:rsidRPr="0038179C">
        <w:t xml:space="preserve"> as well</w:t>
      </w:r>
      <w:r w:rsidR="00496DED" w:rsidRPr="0038179C">
        <w:t xml:space="preserve">.  </w:t>
      </w:r>
      <w:r w:rsidR="008A1B9C" w:rsidRPr="0038179C">
        <w:t xml:space="preserve"> Ivey also testified the Call Avoidance Policy was part of the personal call ban, but acknowledged it only applied to some agents</w:t>
      </w:r>
      <w:r w:rsidR="007D06D6" w:rsidRPr="0038179C">
        <w:t>:</w:t>
      </w:r>
      <w:r w:rsidR="008A1B9C" w:rsidRPr="0038179C">
        <w:t xml:space="preserve"> those receiving inbound calls.  </w:t>
      </w:r>
      <w:r w:rsidR="00924C2D" w:rsidRPr="0038179C">
        <w:t>And</w:t>
      </w:r>
      <w:r w:rsidR="00496DED" w:rsidRPr="0038179C">
        <w:t xml:space="preserve"> </w:t>
      </w:r>
      <w:r w:rsidR="008A1B9C" w:rsidRPr="0038179C">
        <w:t xml:space="preserve">HSBC still had </w:t>
      </w:r>
      <w:r w:rsidR="00924C2D" w:rsidRPr="0038179C">
        <w:t xml:space="preserve">in effect </w:t>
      </w:r>
      <w:r w:rsidR="008A1B9C" w:rsidRPr="0038179C">
        <w:t>its</w:t>
      </w:r>
      <w:r w:rsidR="00924C2D" w:rsidRPr="0038179C">
        <w:t xml:space="preserve"> global</w:t>
      </w:r>
      <w:r w:rsidR="003F2242" w:rsidRPr="0038179C">
        <w:t>, companywide</w:t>
      </w:r>
      <w:r w:rsidR="008A1B9C" w:rsidRPr="0038179C">
        <w:t xml:space="preserve"> </w:t>
      </w:r>
      <w:r w:rsidR="00496DED" w:rsidRPr="0038179C">
        <w:t xml:space="preserve">Electronic Monitoring </w:t>
      </w:r>
      <w:r w:rsidR="00AE17D6" w:rsidRPr="0038179C">
        <w:t>policy</w:t>
      </w:r>
      <w:r w:rsidR="008A1B9C" w:rsidRPr="0038179C">
        <w:t>, an</w:t>
      </w:r>
      <w:r w:rsidR="007D06D6" w:rsidRPr="0038179C">
        <w:t xml:space="preserve"> </w:t>
      </w:r>
      <w:r w:rsidR="008A1B9C" w:rsidRPr="0038179C">
        <w:t>HR policy that</w:t>
      </w:r>
      <w:r w:rsidR="00AE17D6" w:rsidRPr="0038179C">
        <w:t xml:space="preserve"> </w:t>
      </w:r>
      <w:r w:rsidR="008A1B9C" w:rsidRPr="0038179C">
        <w:t xml:space="preserve">stated employees “may use” telephones “for occasional non-work purposes,” and “personal calls may be recorded.”  </w:t>
      </w:r>
    </w:p>
    <w:p w14:paraId="00771281" w14:textId="552F17C4" w:rsidR="00F2568F" w:rsidRPr="0038179C" w:rsidRDefault="008A1B9C" w:rsidP="00A92A6D">
      <w:pPr>
        <w:spacing w:line="360" w:lineRule="auto"/>
        <w:ind w:firstLine="720"/>
      </w:pPr>
      <w:r w:rsidRPr="0038179C">
        <w:t>That Scout policies are more specific than HR policies, as Ivey testified</w:t>
      </w:r>
      <w:r w:rsidR="007D06D6" w:rsidRPr="0038179C">
        <w:t xml:space="preserve"> and HSBC urges here</w:t>
      </w:r>
      <w:r w:rsidRPr="0038179C">
        <w:t xml:space="preserve">, does not necessarily minimize confusion for a manager trying to implement both.  We also disagree with HSBC that the Electronic Monitoring policy instruction to avoid “listen[ing] to any personal calls” shows it </w:t>
      </w:r>
      <w:bookmarkStart w:id="120" w:name="dabmq_71"/>
      <w:r w:rsidRPr="0038179C">
        <w:t>“did not intend to record these calls in the first place.”</w:t>
      </w:r>
      <w:bookmarkEnd w:id="120"/>
      <w:r w:rsidRPr="0038179C">
        <w:t xml:space="preserve">  The instruction </w:t>
      </w:r>
      <w:r w:rsidRPr="0038179C">
        <w:rPr>
          <w:i/>
          <w:iCs/>
        </w:rPr>
        <w:t>implies</w:t>
      </w:r>
      <w:r w:rsidRPr="0038179C">
        <w:t xml:space="preserve"> HSBC anticipated personal calls would be recorded.</w:t>
      </w:r>
    </w:p>
    <w:p w14:paraId="09279E2F" w14:textId="2F0BB63B" w:rsidR="00566576" w:rsidRPr="0038179C" w:rsidRDefault="008A1B9C" w:rsidP="00882F89">
      <w:pPr>
        <w:spacing w:line="360" w:lineRule="auto"/>
      </w:pPr>
      <w:r w:rsidRPr="0038179C">
        <w:tab/>
        <w:t xml:space="preserve">Second, </w:t>
      </w:r>
      <w:r w:rsidR="001D6661" w:rsidRPr="0038179C">
        <w:t xml:space="preserve">and critically, </w:t>
      </w:r>
      <w:r w:rsidRPr="0038179C">
        <w:t xml:space="preserve">there was undisputed evidence HSBC managers knew </w:t>
      </w:r>
      <w:r w:rsidR="00E92596" w:rsidRPr="0038179C">
        <w:t xml:space="preserve">personal calls </w:t>
      </w:r>
      <w:r w:rsidR="00E92596" w:rsidRPr="0038179C">
        <w:rPr>
          <w:i/>
          <w:iCs/>
        </w:rPr>
        <w:t>were</w:t>
      </w:r>
      <w:r w:rsidR="00E92596" w:rsidRPr="0038179C">
        <w:t xml:space="preserve"> </w:t>
      </w:r>
      <w:r w:rsidR="00224858" w:rsidRPr="0038179C">
        <w:t>being made</w:t>
      </w:r>
      <w:r w:rsidR="00E60D62" w:rsidRPr="0038179C">
        <w:t>, including by Alejandra</w:t>
      </w:r>
      <w:r w:rsidR="005A2470" w:rsidRPr="0038179C">
        <w:t xml:space="preserve">, </w:t>
      </w:r>
      <w:r w:rsidR="00224858" w:rsidRPr="0038179C">
        <w:t>while</w:t>
      </w:r>
      <w:r w:rsidR="005A2470" w:rsidRPr="0038179C">
        <w:t xml:space="preserve"> HSBC</w:t>
      </w:r>
      <w:r w:rsidR="00224858" w:rsidRPr="0038179C">
        <w:t xml:space="preserve"> concededly</w:t>
      </w:r>
      <w:r w:rsidR="005A2470" w:rsidRPr="0038179C">
        <w:t xml:space="preserve"> </w:t>
      </w:r>
      <w:r w:rsidR="00224858" w:rsidRPr="0038179C">
        <w:t>recorded</w:t>
      </w:r>
      <w:r w:rsidR="005A2470" w:rsidRPr="0038179C">
        <w:t xml:space="preserve"> all </w:t>
      </w:r>
      <w:r w:rsidR="00483AC5" w:rsidRPr="0038179C">
        <w:t>calls from agent’s desk</w:t>
      </w:r>
      <w:r w:rsidR="005A2470" w:rsidRPr="0038179C">
        <w:t xml:space="preserve"> phones</w:t>
      </w:r>
      <w:r w:rsidR="00A64551" w:rsidRPr="0038179C">
        <w:t xml:space="preserve"> </w:t>
      </w:r>
      <w:r w:rsidR="005A2470" w:rsidRPr="0038179C">
        <w:t>at</w:t>
      </w:r>
      <w:r w:rsidR="00483AC5" w:rsidRPr="0038179C">
        <w:t xml:space="preserve"> the</w:t>
      </w:r>
      <w:r w:rsidR="005A2470" w:rsidRPr="0038179C">
        <w:t xml:space="preserve"> Salinas</w:t>
      </w:r>
      <w:r w:rsidR="00483AC5" w:rsidRPr="0038179C">
        <w:t xml:space="preserve"> facility</w:t>
      </w:r>
      <w:r w:rsidR="00E92596" w:rsidRPr="0038179C">
        <w:t>.</w:t>
      </w:r>
      <w:r w:rsidR="00405D95" w:rsidRPr="0038179C">
        <w:t xml:space="preserve">  (Cf. </w:t>
      </w:r>
      <w:bookmarkStart w:id="121" w:name="dabmci_ac9c474a804546f4a2b8e07306ea1edf"/>
      <w:r w:rsidR="00405D95" w:rsidRPr="0038179C">
        <w:rPr>
          <w:i/>
          <w:iCs/>
        </w:rPr>
        <w:t>Kight v. CashCall, Inc.</w:t>
      </w:r>
      <w:r w:rsidR="00405D95" w:rsidRPr="0038179C">
        <w:t xml:space="preserve"> (2011) 200 Cal.App.4th 1377 (</w:t>
      </w:r>
      <w:r w:rsidR="00405D95" w:rsidRPr="0038179C">
        <w:rPr>
          <w:i/>
          <w:iCs/>
        </w:rPr>
        <w:t>Kight I</w:t>
      </w:r>
      <w:r w:rsidR="00405D95" w:rsidRPr="0038179C">
        <w:t>)</w:t>
      </w:r>
      <w:bookmarkEnd w:id="121"/>
      <w:r w:rsidR="00405D95" w:rsidRPr="0038179C">
        <w:t xml:space="preserve"> [company was potentially liable under § 632 for supervisors’ secret, live monitoring of calls; </w:t>
      </w:r>
      <w:bookmarkStart w:id="122" w:name="dabmq_72"/>
      <w:r w:rsidR="00405D95" w:rsidRPr="0038179C">
        <w:t>“corporation is a legal fiction that cannot act except through its employees or agents”</w:t>
      </w:r>
      <w:bookmarkEnd w:id="122"/>
      <w:r w:rsidR="00405D95" w:rsidRPr="0038179C">
        <w:t xml:space="preserve">].)  </w:t>
      </w:r>
      <w:r w:rsidR="003B4D45" w:rsidRPr="0038179C">
        <w:t>Ivey and Garcia</w:t>
      </w:r>
      <w:r w:rsidR="00FD4337" w:rsidRPr="0038179C">
        <w:t xml:space="preserve"> were </w:t>
      </w:r>
      <w:r w:rsidR="003B4D45" w:rsidRPr="0038179C">
        <w:t>aware of employees who made personal calls (</w:t>
      </w:r>
      <w:r w:rsidR="00FD4337" w:rsidRPr="0038179C">
        <w:t xml:space="preserve">at least </w:t>
      </w:r>
      <w:r w:rsidR="003B4D45" w:rsidRPr="0038179C">
        <w:t>half a dozen in Ivey’s case).  Reg</w:t>
      </w:r>
      <w:r w:rsidR="00715E6E" w:rsidRPr="0038179C">
        <w:t>a</w:t>
      </w:r>
      <w:r w:rsidR="003B4D45" w:rsidRPr="0038179C">
        <w:t>rdless of whether th</w:t>
      </w:r>
      <w:r w:rsidR="00715E6E" w:rsidRPr="0038179C">
        <w:t>ose</w:t>
      </w:r>
      <w:r w:rsidR="003B4D45" w:rsidRPr="0038179C">
        <w:t xml:space="preserve"> </w:t>
      </w:r>
      <w:r w:rsidR="00E60D62" w:rsidRPr="0038179C">
        <w:t>employees</w:t>
      </w:r>
      <w:r w:rsidR="003B4D45" w:rsidRPr="0038179C">
        <w:t xml:space="preserve"> were subject to progressive discipline, </w:t>
      </w:r>
      <w:r w:rsidR="00E60D62" w:rsidRPr="0038179C">
        <w:t>HSBC</w:t>
      </w:r>
      <w:r w:rsidR="00A64551" w:rsidRPr="0038179C">
        <w:t>’s</w:t>
      </w:r>
      <w:r w:rsidR="003B4D45" w:rsidRPr="0038179C">
        <w:t xml:space="preserve"> policy </w:t>
      </w:r>
      <w:r w:rsidR="00715E6E" w:rsidRPr="0038179C">
        <w:t>did not prevent all</w:t>
      </w:r>
      <w:r w:rsidR="003B4D45" w:rsidRPr="0038179C">
        <w:t xml:space="preserve"> personal calls</w:t>
      </w:r>
      <w:r w:rsidR="00A64551" w:rsidRPr="0038179C">
        <w:t xml:space="preserve"> from being made</w:t>
      </w:r>
      <w:r w:rsidR="003B4D45" w:rsidRPr="0038179C">
        <w:t>.</w:t>
      </w:r>
      <w:r w:rsidR="00715E6E" w:rsidRPr="0038179C">
        <w:t xml:space="preserve">  </w:t>
      </w:r>
      <w:proofErr w:type="gramStart"/>
      <w:r w:rsidR="00715E6E" w:rsidRPr="0038179C">
        <w:t>And</w:t>
      </w:r>
      <w:r w:rsidR="00A64551" w:rsidRPr="0038179C">
        <w:t>,</w:t>
      </w:r>
      <w:proofErr w:type="gramEnd"/>
      <w:r w:rsidR="00715E6E" w:rsidRPr="0038179C">
        <w:t xml:space="preserve"> some </w:t>
      </w:r>
      <w:r w:rsidR="000252A3" w:rsidRPr="0038179C">
        <w:t>employees</w:t>
      </w:r>
      <w:r w:rsidR="00A64551" w:rsidRPr="0038179C">
        <w:t xml:space="preserve"> </w:t>
      </w:r>
      <w:r w:rsidR="00E92596" w:rsidRPr="0038179C">
        <w:t xml:space="preserve">were simply allowed to make </w:t>
      </w:r>
      <w:r w:rsidR="00715E6E" w:rsidRPr="0038179C">
        <w:t>personal calls.  Ramirez, Alejandra’s direct manager, let her agents make calls concerning children and emerg</w:t>
      </w:r>
      <w:r w:rsidR="00C9535C" w:rsidRPr="0038179C">
        <w:t>enc</w:t>
      </w:r>
      <w:r w:rsidR="00715E6E" w:rsidRPr="0038179C">
        <w:t xml:space="preserve">ies.  </w:t>
      </w:r>
      <w:r w:rsidR="00E60D62" w:rsidRPr="0038179C">
        <w:t>Further, and s</w:t>
      </w:r>
      <w:r w:rsidR="00E92596" w:rsidRPr="0038179C">
        <w:t>ignificantly,</w:t>
      </w:r>
      <w:r w:rsidR="00715E6E" w:rsidRPr="0038179C">
        <w:t xml:space="preserve"> Ramirez </w:t>
      </w:r>
      <w:r w:rsidR="003B4D45" w:rsidRPr="0038179C">
        <w:t xml:space="preserve">knew </w:t>
      </w:r>
      <w:r w:rsidR="00715E6E" w:rsidRPr="0038179C">
        <w:t>Alejandra</w:t>
      </w:r>
      <w:r w:rsidR="003B4D45" w:rsidRPr="0038179C">
        <w:t xml:space="preserve"> was making personal calls</w:t>
      </w:r>
      <w:r w:rsidR="00E60D62" w:rsidRPr="0038179C">
        <w:t xml:space="preserve">, including to her mother (Rojas) and on unknown topics, </w:t>
      </w:r>
      <w:r w:rsidR="003B4D45" w:rsidRPr="0038179C">
        <w:t xml:space="preserve">and </w:t>
      </w:r>
      <w:r w:rsidR="00715E6E" w:rsidRPr="0038179C">
        <w:t xml:space="preserve">did not try to </w:t>
      </w:r>
      <w:r w:rsidR="00E92596" w:rsidRPr="0038179C">
        <w:t>limit</w:t>
      </w:r>
      <w:r w:rsidR="00715E6E" w:rsidRPr="0038179C">
        <w:t xml:space="preserve"> this</w:t>
      </w:r>
      <w:r w:rsidR="00A64551" w:rsidRPr="0038179C">
        <w:t xml:space="preserve"> </w:t>
      </w:r>
      <w:r w:rsidR="00A64551" w:rsidRPr="0038179C">
        <w:lastRenderedPageBreak/>
        <w:t>practice</w:t>
      </w:r>
      <w:r w:rsidR="00715E6E" w:rsidRPr="0038179C">
        <w:t xml:space="preserve">. </w:t>
      </w:r>
      <w:r w:rsidR="003B4D45" w:rsidRPr="0038179C">
        <w:t xml:space="preserve"> </w:t>
      </w:r>
      <w:r w:rsidR="00E60D62" w:rsidRPr="0038179C">
        <w:t>Instead</w:t>
      </w:r>
      <w:r w:rsidR="00715E6E" w:rsidRPr="0038179C">
        <w:t>,</w:t>
      </w:r>
      <w:r w:rsidR="003B4D45" w:rsidRPr="0038179C">
        <w:t xml:space="preserve"> Ramirez</w:t>
      </w:r>
      <w:r w:rsidR="00E92596" w:rsidRPr="0038179C">
        <w:t xml:space="preserve"> said she</w:t>
      </w:r>
      <w:r w:rsidR="003B4D45" w:rsidRPr="0038179C">
        <w:t xml:space="preserve"> </w:t>
      </w:r>
      <w:bookmarkStart w:id="123" w:name="dabmq_73"/>
      <w:r w:rsidR="003B4D45" w:rsidRPr="0038179C">
        <w:t>“did</w:t>
      </w:r>
      <w:r w:rsidR="003B4D45" w:rsidRPr="0038179C">
        <w:rPr>
          <w:sz w:val="20"/>
        </w:rPr>
        <w:t xml:space="preserve"> </w:t>
      </w:r>
      <w:r w:rsidR="003B4D45" w:rsidRPr="0038179C">
        <w:t>not feel [Alejandra] was making a large number</w:t>
      </w:r>
      <w:r w:rsidR="00E92596" w:rsidRPr="0038179C">
        <w:t>”</w:t>
      </w:r>
      <w:bookmarkEnd w:id="123"/>
      <w:r w:rsidR="003B4D45" w:rsidRPr="0038179C">
        <w:t xml:space="preserve"> of calls</w:t>
      </w:r>
      <w:r w:rsidR="00E92596" w:rsidRPr="0038179C">
        <w:t>.</w:t>
      </w:r>
      <w:r w:rsidR="003B4D45" w:rsidRPr="0038179C">
        <w:rPr>
          <w:rStyle w:val="FootnoteReference"/>
        </w:rPr>
        <w:footnoteReference w:id="11"/>
      </w:r>
      <w:r w:rsidR="003B4D45" w:rsidRPr="0038179C">
        <w:t xml:space="preserve">  </w:t>
      </w:r>
    </w:p>
    <w:p w14:paraId="24A8EF6B" w14:textId="2B21047D" w:rsidR="00A80F91" w:rsidRPr="0038179C" w:rsidRDefault="00566576" w:rsidP="00661A3E">
      <w:pPr>
        <w:spacing w:line="360" w:lineRule="auto"/>
      </w:pPr>
      <w:r w:rsidRPr="0038179C">
        <w:tab/>
      </w:r>
      <w:bookmarkStart w:id="124" w:name="_Hlk136000378"/>
      <w:r w:rsidRPr="0038179C">
        <w:t>We thus</w:t>
      </w:r>
      <w:r w:rsidR="003B4D45" w:rsidRPr="0038179C">
        <w:t xml:space="preserve"> disagree with HSBC that Ramirez </w:t>
      </w:r>
      <w:bookmarkStart w:id="125" w:name="dabmq_74"/>
      <w:r w:rsidR="003B4D45" w:rsidRPr="0038179C">
        <w:t>“did not testify that she allowed [Alejandra] to make the hundreds of routine personal calls that are at issue</w:t>
      </w:r>
      <w:r w:rsidR="00A96567" w:rsidRPr="0038179C">
        <w:t>”</w:t>
      </w:r>
      <w:bookmarkEnd w:id="125"/>
      <w:r w:rsidR="00A96567" w:rsidRPr="0038179C">
        <w:t xml:space="preserve"> here</w:t>
      </w:r>
      <w:r w:rsidR="005D7D5D" w:rsidRPr="0038179C">
        <w:t>. (Emphasis omitted.)</w:t>
      </w:r>
      <w:r w:rsidR="00715E6E" w:rsidRPr="0038179C">
        <w:t xml:space="preserve">  T</w:t>
      </w:r>
      <w:r w:rsidR="003B4D45" w:rsidRPr="0038179C">
        <w:t xml:space="preserve">hat is </w:t>
      </w:r>
      <w:r w:rsidR="00FA372B" w:rsidRPr="0038179C">
        <w:t>the only reasonable inference from Ramirez’s testimony</w:t>
      </w:r>
      <w:r w:rsidR="003B4D45" w:rsidRPr="0038179C">
        <w:t xml:space="preserve">. </w:t>
      </w:r>
      <w:bookmarkEnd w:id="124"/>
      <w:r w:rsidRPr="0038179C">
        <w:t xml:space="preserve"> Nor are we persuaded by HSBC’s contention that Ramirez’s </w:t>
      </w:r>
      <w:bookmarkStart w:id="126" w:name="dabmq_75"/>
      <w:r w:rsidRPr="0038179C">
        <w:t>“allowance of personal calls in limited circumstances was contrary to HSBC’s official policy for call center employees,”</w:t>
      </w:r>
      <w:bookmarkEnd w:id="126"/>
      <w:r w:rsidRPr="0038179C">
        <w:t xml:space="preserve"> pursuant to which it notes Ramirez herself was trained to make personal calls from the lobby.  Ramirez </w:t>
      </w:r>
      <w:r w:rsidR="00FD4337" w:rsidRPr="0038179C">
        <w:t>did not remember</w:t>
      </w:r>
      <w:r w:rsidRPr="0038179C">
        <w:t xml:space="preserve"> a written policy barring personal calls, and presumably viewed her </w:t>
      </w:r>
      <w:r w:rsidR="00A96567" w:rsidRPr="0038179C">
        <w:t>management</w:t>
      </w:r>
      <w:r w:rsidRPr="0038179C">
        <w:t xml:space="preserve"> practices as acceptable.  If anything, </w:t>
      </w:r>
      <w:r w:rsidR="00A96567" w:rsidRPr="0038179C">
        <w:t>her</w:t>
      </w:r>
      <w:r w:rsidRPr="0038179C">
        <w:t xml:space="preserve"> apparent failure to implement HSBC’s </w:t>
      </w:r>
      <w:r w:rsidR="00A96567" w:rsidRPr="0038179C">
        <w:t xml:space="preserve">desired </w:t>
      </w:r>
      <w:r w:rsidRPr="0038179C">
        <w:t>personal call policy illustrates the</w:t>
      </w:r>
      <w:r w:rsidR="00A80F91" w:rsidRPr="0038179C">
        <w:t xml:space="preserve"> significant</w:t>
      </w:r>
      <w:r w:rsidR="00A64551" w:rsidRPr="0038179C">
        <w:t xml:space="preserve"> </w:t>
      </w:r>
      <w:r w:rsidRPr="0038179C">
        <w:t>risk in</w:t>
      </w:r>
      <w:r w:rsidR="00721DE1" w:rsidRPr="0038179C">
        <w:t xml:space="preserve"> </w:t>
      </w:r>
      <w:r w:rsidR="00A80F91" w:rsidRPr="0038179C">
        <w:t xml:space="preserve">relying on corporate </w:t>
      </w:r>
      <w:r w:rsidR="00483AC5" w:rsidRPr="0038179C">
        <w:t xml:space="preserve">workplace </w:t>
      </w:r>
      <w:r w:rsidR="00A80F91" w:rsidRPr="0038179C">
        <w:t xml:space="preserve">policies to limit Privacy Act liability. </w:t>
      </w:r>
    </w:p>
    <w:p w14:paraId="5CAF7CA0" w14:textId="0042F55D" w:rsidR="00661A3E" w:rsidRPr="0038179C" w:rsidRDefault="003B4D45" w:rsidP="00423D90">
      <w:pPr>
        <w:spacing w:line="360" w:lineRule="auto"/>
        <w:ind w:firstLine="720"/>
      </w:pPr>
      <w:r w:rsidRPr="0038179C">
        <w:t xml:space="preserve">Third, and </w:t>
      </w:r>
      <w:r w:rsidR="008A28A6" w:rsidRPr="0038179C">
        <w:t>in turn</w:t>
      </w:r>
      <w:r w:rsidRPr="0038179C">
        <w:t xml:space="preserve">, there is no support for the trial court’s finding that HSBC lacked </w:t>
      </w:r>
      <w:bookmarkStart w:id="127" w:name="dabmq_76"/>
      <w:r w:rsidRPr="0038179C">
        <w:t>“ ‘knowledge to a substantial certainty’ ”</w:t>
      </w:r>
      <w:bookmarkEnd w:id="127"/>
      <w:r w:rsidRPr="0038179C">
        <w:t xml:space="preserve"> that confidential calls were being recorded</w:t>
      </w:r>
      <w:r w:rsidR="00B23BFD" w:rsidRPr="0038179C">
        <w:t xml:space="preserve"> (i.e., the standard under section 632)</w:t>
      </w:r>
      <w:r w:rsidR="00FA372B" w:rsidRPr="0038179C">
        <w:t xml:space="preserve">.  </w:t>
      </w:r>
      <w:r w:rsidRPr="0038179C">
        <w:t xml:space="preserve">The court reasoned </w:t>
      </w:r>
      <w:r w:rsidR="00EB7142" w:rsidRPr="0038179C">
        <w:t>“</w:t>
      </w:r>
      <w:r w:rsidRPr="0038179C">
        <w:t>occasional</w:t>
      </w:r>
      <w:r w:rsidR="00EB7142" w:rsidRPr="0038179C">
        <w:t>[]”</w:t>
      </w:r>
      <w:r w:rsidRPr="0038179C">
        <w:t xml:space="preserve"> recording of personal calls did not mean</w:t>
      </w:r>
      <w:r w:rsidR="00B446AD" w:rsidRPr="0038179C">
        <w:t xml:space="preserve"> </w:t>
      </w:r>
      <w:r w:rsidR="00EB7142" w:rsidRPr="0038179C">
        <w:t xml:space="preserve">confidential calls would be recorded, </w:t>
      </w:r>
      <w:r w:rsidRPr="0038179C">
        <w:t xml:space="preserve">citing </w:t>
      </w:r>
      <w:r w:rsidR="00FA372B" w:rsidRPr="0038179C">
        <w:t xml:space="preserve">HSBC’s </w:t>
      </w:r>
      <w:r w:rsidRPr="0038179C">
        <w:t>disclosure</w:t>
      </w:r>
      <w:r w:rsidR="00FA372B" w:rsidRPr="0038179C">
        <w:t xml:space="preserve"> p</w:t>
      </w:r>
      <w:r w:rsidR="00870BDD" w:rsidRPr="0038179C">
        <w:t>ractices (</w:t>
      </w:r>
      <w:r w:rsidR="00410054" w:rsidRPr="0038179C">
        <w:t xml:space="preserve">e.g., </w:t>
      </w:r>
      <w:r w:rsidR="00870BDD" w:rsidRPr="0038179C">
        <w:t xml:space="preserve">requiring </w:t>
      </w:r>
      <w:r w:rsidR="00661A3E" w:rsidRPr="0038179C">
        <w:t xml:space="preserve">agents to give </w:t>
      </w:r>
      <w:r w:rsidR="00A92A6D" w:rsidRPr="0038179C">
        <w:t xml:space="preserve">third party </w:t>
      </w:r>
      <w:r w:rsidR="00870BDD" w:rsidRPr="0038179C">
        <w:t xml:space="preserve">disclosures) </w:t>
      </w:r>
      <w:r w:rsidRPr="0038179C">
        <w:t xml:space="preserve">and </w:t>
      </w:r>
      <w:r w:rsidR="00A92A6D" w:rsidRPr="0038179C">
        <w:t>stating</w:t>
      </w:r>
      <w:r w:rsidR="00410054" w:rsidRPr="0038179C">
        <w:t xml:space="preserve"> </w:t>
      </w:r>
      <w:bookmarkStart w:id="128" w:name="dabmq_77"/>
      <w:r w:rsidR="00410054" w:rsidRPr="0038179C">
        <w:t>“parties to a personal call should have reasonably expected”</w:t>
      </w:r>
      <w:bookmarkEnd w:id="128"/>
      <w:r w:rsidR="00410054" w:rsidRPr="0038179C">
        <w:t xml:space="preserve"> they could be recorded</w:t>
      </w:r>
      <w:r w:rsidRPr="0038179C">
        <w:t>.</w:t>
      </w:r>
      <w:r w:rsidR="00870BDD" w:rsidRPr="0038179C">
        <w:t xml:space="preserve"> </w:t>
      </w:r>
      <w:r w:rsidR="00A92A6D" w:rsidRPr="0038179C">
        <w:t xml:space="preserve"> But HSBC was recording </w:t>
      </w:r>
      <w:r w:rsidR="00A92A6D" w:rsidRPr="0038179C">
        <w:rPr>
          <w:i/>
          <w:iCs/>
        </w:rPr>
        <w:t>all</w:t>
      </w:r>
      <w:r w:rsidR="00A92A6D" w:rsidRPr="0038179C">
        <w:t xml:space="preserve"> calls; </w:t>
      </w:r>
      <w:r w:rsidR="00410054" w:rsidRPr="0038179C">
        <w:t xml:space="preserve">HSBC </w:t>
      </w:r>
      <w:r w:rsidR="00661A3E" w:rsidRPr="0038179C">
        <w:t>manager</w:t>
      </w:r>
      <w:r w:rsidR="00AB4C19" w:rsidRPr="0038179C">
        <w:t xml:space="preserve"> Ivey and </w:t>
      </w:r>
      <w:r w:rsidR="00661A3E" w:rsidRPr="0038179C">
        <w:t xml:space="preserve">HSBC executive </w:t>
      </w:r>
      <w:r w:rsidR="00AB4C19" w:rsidRPr="0038179C">
        <w:t>Marcy recognized there was a “risk” a disclosure would not be made</w:t>
      </w:r>
      <w:r w:rsidR="00A92A6D" w:rsidRPr="0038179C">
        <w:t>;</w:t>
      </w:r>
      <w:r w:rsidR="00AB4C19" w:rsidRPr="0038179C">
        <w:t xml:space="preserve"> and Marcy </w:t>
      </w:r>
      <w:r w:rsidR="008A28A6" w:rsidRPr="0038179C">
        <w:t>said</w:t>
      </w:r>
      <w:r w:rsidR="00AB4C19" w:rsidRPr="0038179C">
        <w:t xml:space="preserve"> </w:t>
      </w:r>
      <w:r w:rsidR="00AB4C19" w:rsidRPr="0038179C">
        <w:lastRenderedPageBreak/>
        <w:t>they “</w:t>
      </w:r>
      <w:r w:rsidR="00220203" w:rsidRPr="0038179C">
        <w:t>knew</w:t>
      </w:r>
      <w:r w:rsidR="00AB4C19" w:rsidRPr="0038179C">
        <w:t xml:space="preserve"> that not all agents” were </w:t>
      </w:r>
      <w:r w:rsidR="00A64551" w:rsidRPr="0038179C">
        <w:t>making disclosures</w:t>
      </w:r>
      <w:r w:rsidR="00A92A6D" w:rsidRPr="0038179C">
        <w:t xml:space="preserve">—meaning confidential calls </w:t>
      </w:r>
      <w:r w:rsidR="008A28A6" w:rsidRPr="0038179C">
        <w:t xml:space="preserve">without disclosures </w:t>
      </w:r>
      <w:r w:rsidR="00A64551" w:rsidRPr="0038179C">
        <w:t xml:space="preserve">would </w:t>
      </w:r>
      <w:r w:rsidR="00A92A6D" w:rsidRPr="0038179C">
        <w:t>be captured</w:t>
      </w:r>
      <w:r w:rsidR="00AB4C19" w:rsidRPr="0038179C">
        <w:t xml:space="preserve">.  </w:t>
      </w:r>
      <w:r w:rsidR="00EB7142" w:rsidRPr="0038179C">
        <w:t xml:space="preserve">And, as we </w:t>
      </w:r>
      <w:r w:rsidR="00283F74" w:rsidRPr="0038179C">
        <w:t>note below</w:t>
      </w:r>
      <w:r w:rsidR="00EB7142" w:rsidRPr="0038179C">
        <w:t xml:space="preserve">, </w:t>
      </w:r>
      <w:r w:rsidR="008E6702" w:rsidRPr="0038179C">
        <w:t>whether a party has reasonable privacy expectations</w:t>
      </w:r>
      <w:r w:rsidR="00A92A6D" w:rsidRPr="0038179C">
        <w:t xml:space="preserve"> for confidentiality purposes</w:t>
      </w:r>
      <w:r w:rsidR="008E6702" w:rsidRPr="0038179C">
        <w:t xml:space="preserve"> </w:t>
      </w:r>
      <w:r w:rsidR="00410054" w:rsidRPr="0038179C">
        <w:t>turns</w:t>
      </w:r>
      <w:r w:rsidR="00EB7142" w:rsidRPr="0038179C">
        <w:t xml:space="preserve"> </w:t>
      </w:r>
      <w:r w:rsidR="00410054" w:rsidRPr="0038179C">
        <w:t>on</w:t>
      </w:r>
      <w:r w:rsidR="008E6702" w:rsidRPr="0038179C">
        <w:t xml:space="preserve"> </w:t>
      </w:r>
      <w:r w:rsidR="00410054" w:rsidRPr="0038179C">
        <w:t xml:space="preserve">the </w:t>
      </w:r>
      <w:r w:rsidR="00746FAA" w:rsidRPr="0038179C">
        <w:t>“surrounding circumstances</w:t>
      </w:r>
      <w:r w:rsidR="00A92A6D" w:rsidRPr="0038179C">
        <w:t>,”</w:t>
      </w:r>
      <w:r w:rsidR="00746FAA" w:rsidRPr="0038179C">
        <w:t xml:space="preserve"> which </w:t>
      </w:r>
      <w:bookmarkStart w:id="129" w:name="dabmq_78"/>
      <w:r w:rsidR="00A92A6D" w:rsidRPr="0038179C">
        <w:t>“</w:t>
      </w:r>
      <w:r w:rsidR="00746FAA" w:rsidRPr="0038179C">
        <w:t>may include the party’s own conduct and background . . . .”</w:t>
      </w:r>
      <w:bookmarkEnd w:id="129"/>
      <w:r w:rsidR="00746FAA" w:rsidRPr="0038179C">
        <w:t xml:space="preserve">  (</w:t>
      </w:r>
      <w:bookmarkStart w:id="130" w:name="dabmci_4cbed436697a4f8eb2159d2b81c218f9"/>
      <w:r w:rsidR="00746FAA" w:rsidRPr="0038179C">
        <w:rPr>
          <w:i/>
          <w:iCs/>
        </w:rPr>
        <w:t>Kight v. CashCall</w:t>
      </w:r>
      <w:r w:rsidR="00746FAA" w:rsidRPr="0038179C">
        <w:t xml:space="preserve">, </w:t>
      </w:r>
      <w:r w:rsidR="00746FAA" w:rsidRPr="0038179C">
        <w:rPr>
          <w:i/>
          <w:iCs/>
        </w:rPr>
        <w:t>Inc</w:t>
      </w:r>
      <w:r w:rsidR="00746FAA" w:rsidRPr="0038179C">
        <w:t>. (2014) 231 Cal.App.4th 112, 133 (</w:t>
      </w:r>
      <w:r w:rsidR="00746FAA" w:rsidRPr="0038179C">
        <w:rPr>
          <w:i/>
          <w:iCs/>
        </w:rPr>
        <w:t>Kight II</w:t>
      </w:r>
      <w:r w:rsidR="00746FAA" w:rsidRPr="0038179C">
        <w:t>)</w:t>
      </w:r>
      <w:bookmarkEnd w:id="130"/>
      <w:r w:rsidR="00746FAA" w:rsidRPr="0038179C">
        <w:t>.)</w:t>
      </w:r>
      <w:r w:rsidR="009323C0" w:rsidRPr="0038179C">
        <w:rPr>
          <w:rStyle w:val="FootnoteReference"/>
        </w:rPr>
        <w:footnoteReference w:id="12"/>
      </w:r>
      <w:r w:rsidR="00DC67A8" w:rsidRPr="0038179C">
        <w:t xml:space="preserve">  </w:t>
      </w:r>
      <w:r w:rsidR="00566576" w:rsidRPr="0038179C">
        <w:tab/>
      </w:r>
    </w:p>
    <w:p w14:paraId="723F34E7" w14:textId="2E0836BB" w:rsidR="00796A3A" w:rsidRPr="0038179C" w:rsidRDefault="00743BD5" w:rsidP="00BE4A62">
      <w:pPr>
        <w:spacing w:line="360" w:lineRule="auto"/>
      </w:pPr>
      <w:r w:rsidRPr="0038179C">
        <w:tab/>
        <w:t xml:space="preserve">In sum, </w:t>
      </w:r>
      <w:r w:rsidR="008C7E38" w:rsidRPr="0038179C">
        <w:t xml:space="preserve">notwithstanding HSBC’s personal call policies, HSBC knew personal calls </w:t>
      </w:r>
      <w:r w:rsidR="007F74C7" w:rsidRPr="0038179C">
        <w:t>were being</w:t>
      </w:r>
      <w:r w:rsidR="008C7E38" w:rsidRPr="0038179C">
        <w:t xml:space="preserve"> made</w:t>
      </w:r>
      <w:r w:rsidR="00981F40" w:rsidRPr="0038179C">
        <w:t xml:space="preserve"> from call center agents’ desk </w:t>
      </w:r>
      <w:proofErr w:type="gramStart"/>
      <w:r w:rsidR="00981F40" w:rsidRPr="0038179C">
        <w:t>phones</w:t>
      </w:r>
      <w:r w:rsidR="007F74C7" w:rsidRPr="0038179C">
        <w:t>, and</w:t>
      </w:r>
      <w:proofErr w:type="gramEnd"/>
      <w:r w:rsidR="007F74C7" w:rsidRPr="0038179C">
        <w:t xml:space="preserve"> </w:t>
      </w:r>
      <w:r w:rsidR="00CA389C" w:rsidRPr="0038179C">
        <w:t>was</w:t>
      </w:r>
      <w:r w:rsidR="007F74C7" w:rsidRPr="0038179C">
        <w:t xml:space="preserve"> record</w:t>
      </w:r>
      <w:r w:rsidR="00CA389C" w:rsidRPr="0038179C">
        <w:t>ing</w:t>
      </w:r>
      <w:r w:rsidR="007F74C7" w:rsidRPr="0038179C">
        <w:t xml:space="preserve"> </w:t>
      </w:r>
      <w:r w:rsidR="00BE4A62" w:rsidRPr="0038179C">
        <w:t>any such calls that were made</w:t>
      </w:r>
      <w:r w:rsidR="007F74C7" w:rsidRPr="0038179C">
        <w:t xml:space="preserve">—whether </w:t>
      </w:r>
      <w:r w:rsidR="008C7E38" w:rsidRPr="0038179C">
        <w:t xml:space="preserve">confidential, </w:t>
      </w:r>
      <w:r w:rsidR="00CA389C" w:rsidRPr="0038179C">
        <w:t>to</w:t>
      </w:r>
      <w:r w:rsidR="008C7E38" w:rsidRPr="0038179C">
        <w:t xml:space="preserve"> a cellular or cordless phone, or otherwise.  We </w:t>
      </w:r>
      <w:r w:rsidRPr="0038179C">
        <w:t xml:space="preserve">conclude </w:t>
      </w:r>
      <w:r w:rsidR="008C7E38" w:rsidRPr="0038179C">
        <w:t xml:space="preserve">this </w:t>
      </w:r>
      <w:r w:rsidR="00B0087C" w:rsidRPr="0038179C">
        <w:t>undisputed</w:t>
      </w:r>
      <w:r w:rsidRPr="0038179C">
        <w:t xml:space="preserve"> evidence established HSBC had knowledge to a substantial certainty</w:t>
      </w:r>
      <w:r w:rsidR="004E4ACA" w:rsidRPr="0038179C">
        <w:t xml:space="preserve"> </w:t>
      </w:r>
      <w:r w:rsidRPr="0038179C">
        <w:t xml:space="preserve">that its full-time recording system in Salinas </w:t>
      </w:r>
      <w:r w:rsidR="00B0087C" w:rsidRPr="0038179C">
        <w:t>would result in</w:t>
      </w:r>
      <w:r w:rsidR="004E4ACA" w:rsidRPr="0038179C">
        <w:t xml:space="preserve"> the recording of a confidential conversation under </w:t>
      </w:r>
      <w:r w:rsidRPr="0038179C">
        <w:t>section 632, as well as a cellular or cordless conversation under section 632.7.</w:t>
      </w:r>
      <w:r w:rsidR="004E4ACA" w:rsidRPr="0038179C">
        <w:t xml:space="preserve">  </w:t>
      </w:r>
      <w:r w:rsidRPr="0038179C">
        <w:t xml:space="preserve">Rojas </w:t>
      </w:r>
      <w:r w:rsidR="004E4ACA" w:rsidRPr="0038179C">
        <w:t xml:space="preserve">therefore </w:t>
      </w:r>
      <w:r w:rsidRPr="0038179C">
        <w:t xml:space="preserve">met her burden of proof on intent, and there was no substantial evidence for the trial court’s findings to the contrary.  </w:t>
      </w:r>
    </w:p>
    <w:p w14:paraId="373E21D3" w14:textId="6AC95007" w:rsidR="00796A3A" w:rsidRPr="0038179C" w:rsidRDefault="00796A3A" w:rsidP="00882F89">
      <w:pPr>
        <w:spacing w:line="360" w:lineRule="auto"/>
      </w:pPr>
      <w:r w:rsidRPr="0038179C">
        <w:rPr>
          <w:szCs w:val="26"/>
          <w:shd w:val="clear" w:color="auto" w:fill="FFFFFF"/>
        </w:rPr>
        <w:lastRenderedPageBreak/>
        <w:tab/>
      </w:r>
      <w:r w:rsidR="00093DB6" w:rsidRPr="0038179C">
        <w:t xml:space="preserve">However, as we explain next, substantial evidence </w:t>
      </w:r>
      <w:r w:rsidR="00093DB6" w:rsidRPr="0038179C">
        <w:rPr>
          <w:i/>
          <w:iCs/>
        </w:rPr>
        <w:t>does</w:t>
      </w:r>
      <w:r w:rsidR="00093DB6" w:rsidRPr="0038179C">
        <w:t xml:space="preserve"> support the </w:t>
      </w:r>
      <w:r w:rsidRPr="0038179C">
        <w:t xml:space="preserve">trial </w:t>
      </w:r>
      <w:r w:rsidR="00093DB6" w:rsidRPr="0038179C">
        <w:t>court’s finding that Rojas</w:t>
      </w:r>
      <w:r w:rsidR="000B390E" w:rsidRPr="0038179C">
        <w:t xml:space="preserve"> failed to prove lack of consent</w:t>
      </w:r>
      <w:r w:rsidR="00701446" w:rsidRPr="0038179C">
        <w:t xml:space="preserve"> to record</w:t>
      </w:r>
      <w:r w:rsidR="00093DB6" w:rsidRPr="0038179C">
        <w:t>, meaning her</w:t>
      </w:r>
      <w:r w:rsidRPr="0038179C">
        <w:t xml:space="preserve"> </w:t>
      </w:r>
      <w:r w:rsidR="00093DB6" w:rsidRPr="0038179C">
        <w:t>Privacy Act claims</w:t>
      </w:r>
      <w:r w:rsidR="00701446" w:rsidRPr="0038179C">
        <w:t xml:space="preserve"> fail</w:t>
      </w:r>
      <w:r w:rsidR="00093DB6" w:rsidRPr="0038179C">
        <w:t>.</w:t>
      </w:r>
      <w:bookmarkEnd w:id="118"/>
    </w:p>
    <w:p w14:paraId="1B21B56C" w14:textId="7678F5DB" w:rsidR="00694DE4" w:rsidRPr="0038179C" w:rsidRDefault="00694DE4" w:rsidP="00A77324">
      <w:pPr>
        <w:pStyle w:val="Heading2"/>
        <w:spacing w:before="60" w:after="60"/>
        <w:rPr>
          <w:i/>
          <w:iCs/>
        </w:rPr>
      </w:pPr>
      <w:r w:rsidRPr="0038179C">
        <w:t>C.</w:t>
      </w:r>
      <w:r w:rsidR="0060213D" w:rsidRPr="0038179C">
        <w:tab/>
      </w:r>
      <w:r w:rsidR="000F530E" w:rsidRPr="0038179C">
        <w:rPr>
          <w:i/>
          <w:iCs/>
        </w:rPr>
        <w:t>Lack Of C</w:t>
      </w:r>
      <w:r w:rsidRPr="0038179C">
        <w:rPr>
          <w:i/>
          <w:iCs/>
        </w:rPr>
        <w:t>onsent</w:t>
      </w:r>
      <w:r w:rsidR="00C8404B" w:rsidRPr="0038179C">
        <w:rPr>
          <w:i/>
          <w:iCs/>
        </w:rPr>
        <w:t xml:space="preserve"> </w:t>
      </w:r>
    </w:p>
    <w:p w14:paraId="6D9D8865" w14:textId="343B22B6" w:rsidR="00272E3B" w:rsidRPr="0038179C" w:rsidRDefault="00AB50CD" w:rsidP="00882F89">
      <w:pPr>
        <w:spacing w:line="360" w:lineRule="auto"/>
      </w:pPr>
      <w:r w:rsidRPr="0038179C">
        <w:tab/>
        <w:t>Rojas contends the trial court applied incorrect legal standards in determining she did not prove</w:t>
      </w:r>
      <w:r w:rsidR="00D1603A" w:rsidRPr="0038179C">
        <w:t xml:space="preserve"> HSBC</w:t>
      </w:r>
      <w:r w:rsidRPr="0038179C">
        <w:t xml:space="preserve"> lack</w:t>
      </w:r>
      <w:r w:rsidR="00D1603A" w:rsidRPr="0038179C">
        <w:t>ed her</w:t>
      </w:r>
      <w:r w:rsidRPr="0038179C">
        <w:t xml:space="preserve"> consent</w:t>
      </w:r>
      <w:r w:rsidR="00D1603A" w:rsidRPr="0038179C">
        <w:t xml:space="preserve"> to record the conversations with Alejandra</w:t>
      </w:r>
      <w:r w:rsidRPr="0038179C">
        <w:t>.  We disagree</w:t>
      </w:r>
      <w:r w:rsidR="0083503D" w:rsidRPr="0038179C">
        <w:t>, and further conclude substantial evidence supports the court’s finding that Rojas impliedly consented to being recorded</w:t>
      </w:r>
      <w:r w:rsidR="00272E3B" w:rsidRPr="0038179C">
        <w:t>.</w:t>
      </w:r>
      <w:r w:rsidR="00936AAB" w:rsidRPr="0038179C">
        <w:rPr>
          <w:rStyle w:val="FootnoteReference"/>
        </w:rPr>
        <w:footnoteReference w:id="13"/>
      </w:r>
      <w:r w:rsidR="00272E3B" w:rsidRPr="0038179C">
        <w:t xml:space="preserve"> </w:t>
      </w:r>
    </w:p>
    <w:p w14:paraId="134C3EEB" w14:textId="61D1E11B" w:rsidR="00C539DE" w:rsidRPr="0038179C" w:rsidRDefault="00C539DE" w:rsidP="00A77324">
      <w:pPr>
        <w:pStyle w:val="Heading3"/>
        <w:spacing w:before="60" w:after="60"/>
      </w:pPr>
      <w:r w:rsidRPr="0038179C">
        <w:rPr>
          <w:i w:val="0"/>
          <w:iCs w:val="0"/>
        </w:rPr>
        <w:t>1.</w:t>
      </w:r>
      <w:r w:rsidRPr="0038179C">
        <w:rPr>
          <w:i w:val="0"/>
          <w:iCs w:val="0"/>
        </w:rPr>
        <w:tab/>
      </w:r>
      <w:r w:rsidRPr="0038179C">
        <w:t>Additional Facts</w:t>
      </w:r>
    </w:p>
    <w:p w14:paraId="4B4B5C23" w14:textId="2554FF95" w:rsidR="00E826A3" w:rsidRPr="0038179C" w:rsidRDefault="00E77282" w:rsidP="004650B5">
      <w:pPr>
        <w:spacing w:line="360" w:lineRule="auto"/>
        <w:ind w:firstLine="720"/>
      </w:pPr>
      <w:r w:rsidRPr="0038179C">
        <w:t xml:space="preserve">Rojas </w:t>
      </w:r>
      <w:r w:rsidR="00410D9E" w:rsidRPr="0038179C">
        <w:t xml:space="preserve">had an HSBC Mastercard, </w:t>
      </w:r>
      <w:r w:rsidR="004650B5" w:rsidRPr="0038179C">
        <w:t xml:space="preserve">and </w:t>
      </w:r>
      <w:r w:rsidR="00DB52A8" w:rsidRPr="0038179C">
        <w:t>knew Alejandra worked for HSBC Card Services</w:t>
      </w:r>
      <w:r w:rsidR="004650B5" w:rsidRPr="0038179C">
        <w:t xml:space="preserve"> at a call center</w:t>
      </w:r>
      <w:r w:rsidR="00DB52A8" w:rsidRPr="0038179C">
        <w:t xml:space="preserve">.  </w:t>
      </w:r>
      <w:r w:rsidR="00410D9E" w:rsidRPr="0038179C">
        <w:t>W</w:t>
      </w:r>
      <w:r w:rsidR="00E826A3" w:rsidRPr="0038179C">
        <w:rPr>
          <w:szCs w:val="26"/>
        </w:rPr>
        <w:t>hen asked if</w:t>
      </w:r>
      <w:r w:rsidR="00410D9E" w:rsidRPr="0038179C">
        <w:rPr>
          <w:szCs w:val="26"/>
        </w:rPr>
        <w:t xml:space="preserve"> she had a </w:t>
      </w:r>
      <w:bookmarkStart w:id="139" w:name="dabmq_79"/>
      <w:r w:rsidR="00410D9E" w:rsidRPr="0038179C">
        <w:rPr>
          <w:szCs w:val="26"/>
        </w:rPr>
        <w:t>“credit card</w:t>
      </w:r>
      <w:r w:rsidR="00E826A3" w:rsidRPr="0038179C">
        <w:rPr>
          <w:szCs w:val="26"/>
        </w:rPr>
        <w:t xml:space="preserve"> with HSBC Card Services,”</w:t>
      </w:r>
      <w:bookmarkEnd w:id="139"/>
      <w:r w:rsidR="00E826A3" w:rsidRPr="0038179C">
        <w:rPr>
          <w:szCs w:val="26"/>
        </w:rPr>
        <w:t xml:space="preserve"> </w:t>
      </w:r>
      <w:r w:rsidR="00DB52A8" w:rsidRPr="0038179C">
        <w:rPr>
          <w:szCs w:val="26"/>
        </w:rPr>
        <w:t>Rojas</w:t>
      </w:r>
      <w:r w:rsidR="00E826A3" w:rsidRPr="0038179C">
        <w:rPr>
          <w:szCs w:val="26"/>
        </w:rPr>
        <w:t xml:space="preserve"> said “yes.” </w:t>
      </w:r>
    </w:p>
    <w:p w14:paraId="013076B2" w14:textId="7F2B1CD5" w:rsidR="00C178DF" w:rsidRPr="0038179C" w:rsidRDefault="00C178DF" w:rsidP="00E826A3">
      <w:pPr>
        <w:spacing w:line="360" w:lineRule="auto"/>
        <w:ind w:firstLine="720"/>
        <w:rPr>
          <w:szCs w:val="26"/>
        </w:rPr>
      </w:pPr>
      <w:r w:rsidRPr="0038179C">
        <w:t xml:space="preserve">HSBC’s cardmember agreement </w:t>
      </w:r>
      <w:r w:rsidR="001A0641" w:rsidRPr="0038179C">
        <w:rPr>
          <w:szCs w:val="26"/>
        </w:rPr>
        <w:t>contained a section title</w:t>
      </w:r>
      <w:r w:rsidR="005547FF" w:rsidRPr="0038179C">
        <w:rPr>
          <w:szCs w:val="26"/>
        </w:rPr>
        <w:t>d</w:t>
      </w:r>
      <w:r w:rsidR="001A0641" w:rsidRPr="0038179C">
        <w:rPr>
          <w:szCs w:val="26"/>
        </w:rPr>
        <w:t xml:space="preserve"> “Monitoring Practices,” which stated, </w:t>
      </w:r>
      <w:bookmarkStart w:id="140" w:name="dabmq_80"/>
      <w:r w:rsidR="001A0641" w:rsidRPr="0038179C">
        <w:rPr>
          <w:szCs w:val="26"/>
        </w:rPr>
        <w:t>“You agree that we may listen to and record phone calls between you and our representatives.”</w:t>
      </w:r>
      <w:bookmarkEnd w:id="140"/>
      <w:r w:rsidR="001A0641" w:rsidRPr="0038179C">
        <w:rPr>
          <w:szCs w:val="26"/>
        </w:rPr>
        <w:t xml:space="preserve">  The agreement </w:t>
      </w:r>
      <w:r w:rsidR="00221E7B" w:rsidRPr="0038179C">
        <w:rPr>
          <w:szCs w:val="26"/>
        </w:rPr>
        <w:t>indicated</w:t>
      </w:r>
      <w:r w:rsidR="00CC496E" w:rsidRPr="0038179C">
        <w:rPr>
          <w:szCs w:val="26"/>
        </w:rPr>
        <w:t xml:space="preserve"> “we” and “our” meant </w:t>
      </w:r>
      <w:r w:rsidR="001A0641" w:rsidRPr="0038179C">
        <w:rPr>
          <w:szCs w:val="26"/>
        </w:rPr>
        <w:t>“HSBC Bank Nevada, N.A.</w:t>
      </w:r>
      <w:r w:rsidR="001415F4" w:rsidRPr="0038179C">
        <w:rPr>
          <w:szCs w:val="26"/>
        </w:rPr>
        <w:t>”</w:t>
      </w:r>
      <w:r w:rsidR="001A0641" w:rsidRPr="0038179C">
        <w:rPr>
          <w:szCs w:val="26"/>
        </w:rPr>
        <w:t xml:space="preserve"> </w:t>
      </w:r>
    </w:p>
    <w:p w14:paraId="407E7CBE" w14:textId="4C938454" w:rsidR="001A0641" w:rsidRPr="0038179C" w:rsidRDefault="00D926FF" w:rsidP="00D926FF">
      <w:pPr>
        <w:spacing w:line="360" w:lineRule="auto"/>
        <w:ind w:firstLine="720"/>
        <w:rPr>
          <w:szCs w:val="26"/>
        </w:rPr>
      </w:pPr>
      <w:r w:rsidRPr="0038179C">
        <w:t xml:space="preserve">HSBC manager Ivey testified it was a </w:t>
      </w:r>
      <w:bookmarkStart w:id="141" w:name="dabmq_81"/>
      <w:r w:rsidRPr="0038179C">
        <w:t>“normal course of action, and . . . within the requirements”</w:t>
      </w:r>
      <w:bookmarkEnd w:id="141"/>
      <w:r w:rsidRPr="0038179C">
        <w:t xml:space="preserve"> for the agreement to be sent to a cardmember.  </w:t>
      </w:r>
      <w:r w:rsidR="00C178DF" w:rsidRPr="0038179C">
        <w:rPr>
          <w:szCs w:val="26"/>
        </w:rPr>
        <w:t>Denise Mitchell, a</w:t>
      </w:r>
      <w:r w:rsidR="005547FF" w:rsidRPr="0038179C">
        <w:rPr>
          <w:szCs w:val="26"/>
        </w:rPr>
        <w:t>n HSBC</w:t>
      </w:r>
      <w:r w:rsidR="00C178DF" w:rsidRPr="0038179C">
        <w:rPr>
          <w:szCs w:val="26"/>
        </w:rPr>
        <w:t xml:space="preserve"> senior manager of relationship management, </w:t>
      </w:r>
      <w:r w:rsidR="005547FF" w:rsidRPr="0038179C">
        <w:rPr>
          <w:szCs w:val="26"/>
        </w:rPr>
        <w:t>offered similar stipulated testimony that</w:t>
      </w:r>
      <w:r w:rsidR="00C178DF" w:rsidRPr="0038179C">
        <w:rPr>
          <w:szCs w:val="26"/>
        </w:rPr>
        <w:t xml:space="preserve"> it was </w:t>
      </w:r>
      <w:bookmarkStart w:id="142" w:name="dabmq_82"/>
      <w:r w:rsidR="00C178DF" w:rsidRPr="0038179C">
        <w:rPr>
          <w:szCs w:val="26"/>
        </w:rPr>
        <w:t xml:space="preserve">“standard business procedure for </w:t>
      </w:r>
      <w:r w:rsidR="001A0641" w:rsidRPr="0038179C">
        <w:rPr>
          <w:szCs w:val="26"/>
        </w:rPr>
        <w:t>[C]</w:t>
      </w:r>
      <w:r w:rsidR="00C178DF" w:rsidRPr="0038179C">
        <w:rPr>
          <w:szCs w:val="26"/>
        </w:rPr>
        <w:t xml:space="preserve">ard </w:t>
      </w:r>
      <w:r w:rsidR="001A0641" w:rsidRPr="0038179C">
        <w:rPr>
          <w:szCs w:val="26"/>
        </w:rPr>
        <w:t>[S]</w:t>
      </w:r>
      <w:r w:rsidR="00C178DF" w:rsidRPr="0038179C">
        <w:rPr>
          <w:szCs w:val="26"/>
        </w:rPr>
        <w:t xml:space="preserve">ervices to send a copy of the cardmember agreement to the </w:t>
      </w:r>
      <w:r w:rsidR="00C178DF" w:rsidRPr="0038179C">
        <w:rPr>
          <w:szCs w:val="26"/>
        </w:rPr>
        <w:lastRenderedPageBreak/>
        <w:t>cardholder along with the credit card.”</w:t>
      </w:r>
      <w:bookmarkEnd w:id="142"/>
      <w:r w:rsidR="00C178DF" w:rsidRPr="0038179C">
        <w:rPr>
          <w:szCs w:val="26"/>
        </w:rPr>
        <w:t xml:space="preserve">  </w:t>
      </w:r>
      <w:r w:rsidR="001A0641" w:rsidRPr="0038179C">
        <w:rPr>
          <w:szCs w:val="26"/>
        </w:rPr>
        <w:t xml:space="preserve">She </w:t>
      </w:r>
      <w:r w:rsidRPr="0038179C">
        <w:rPr>
          <w:szCs w:val="26"/>
        </w:rPr>
        <w:t>said</w:t>
      </w:r>
      <w:r w:rsidR="00C178DF" w:rsidRPr="0038179C">
        <w:rPr>
          <w:szCs w:val="26"/>
        </w:rPr>
        <w:t xml:space="preserve"> the agreement </w:t>
      </w:r>
      <w:bookmarkStart w:id="143" w:name="dabmq_83"/>
      <w:r w:rsidR="00C178DF" w:rsidRPr="0038179C">
        <w:rPr>
          <w:szCs w:val="26"/>
        </w:rPr>
        <w:t>“would have been sent with all network credit cards, including Mastercards</w:t>
      </w:r>
      <w:r w:rsidR="001A0641" w:rsidRPr="0038179C">
        <w:rPr>
          <w:szCs w:val="26"/>
        </w:rPr>
        <w:t>,</w:t>
      </w:r>
      <w:r w:rsidR="00C178DF" w:rsidRPr="0038179C">
        <w:rPr>
          <w:szCs w:val="26"/>
        </w:rPr>
        <w:t>”</w:t>
      </w:r>
      <w:bookmarkEnd w:id="143"/>
      <w:r w:rsidR="00C178DF" w:rsidRPr="0038179C">
        <w:rPr>
          <w:szCs w:val="26"/>
        </w:rPr>
        <w:t xml:space="preserve"> during the relevant </w:t>
      </w:r>
      <w:proofErr w:type="gramStart"/>
      <w:r w:rsidR="00C178DF" w:rsidRPr="0038179C">
        <w:rPr>
          <w:szCs w:val="26"/>
        </w:rPr>
        <w:t>time</w:t>
      </w:r>
      <w:r w:rsidR="001415F4" w:rsidRPr="0038179C">
        <w:rPr>
          <w:szCs w:val="26"/>
        </w:rPr>
        <w:t xml:space="preserve"> period</w:t>
      </w:r>
      <w:proofErr w:type="gramEnd"/>
      <w:r w:rsidR="00C178DF" w:rsidRPr="0038179C">
        <w:rPr>
          <w:szCs w:val="26"/>
        </w:rPr>
        <w:t xml:space="preserve">.  </w:t>
      </w:r>
    </w:p>
    <w:p w14:paraId="2C39AA07" w14:textId="4E2A8745" w:rsidR="00C92B06" w:rsidRPr="0038179C" w:rsidRDefault="00AD2946" w:rsidP="00882F89">
      <w:pPr>
        <w:spacing w:line="360" w:lineRule="auto"/>
      </w:pPr>
      <w:r w:rsidRPr="0038179C">
        <w:rPr>
          <w:szCs w:val="26"/>
        </w:rPr>
        <w:tab/>
        <w:t xml:space="preserve">Rojas testified </w:t>
      </w:r>
      <w:r w:rsidR="00E77282" w:rsidRPr="0038179C">
        <w:rPr>
          <w:szCs w:val="26"/>
        </w:rPr>
        <w:t xml:space="preserve">that to </w:t>
      </w:r>
      <w:r w:rsidR="00E77282" w:rsidRPr="0038179C">
        <w:t>make her HSBC credit card payment, she call</w:t>
      </w:r>
      <w:r w:rsidR="00137357" w:rsidRPr="0038179C">
        <w:t>ed</w:t>
      </w:r>
      <w:r w:rsidR="00E77282" w:rsidRPr="0038179C">
        <w:t xml:space="preserve"> </w:t>
      </w:r>
      <w:r w:rsidR="00137357" w:rsidRPr="0038179C">
        <w:t>the “1-800 number</w:t>
      </w:r>
      <w:r w:rsidR="009505D3" w:rsidRPr="0038179C">
        <w:t>”</w:t>
      </w:r>
      <w:r w:rsidR="00137357" w:rsidRPr="0038179C">
        <w:t xml:space="preserve"> customer service</w:t>
      </w:r>
      <w:r w:rsidR="009505D3" w:rsidRPr="0038179C">
        <w:t xml:space="preserve"> line “once a month.” </w:t>
      </w:r>
      <w:r w:rsidR="00E77282" w:rsidRPr="0038179C">
        <w:t xml:space="preserve"> </w:t>
      </w:r>
      <w:r w:rsidR="00137357" w:rsidRPr="0038179C">
        <w:t>S</w:t>
      </w:r>
      <w:r w:rsidR="00E77282" w:rsidRPr="0038179C">
        <w:t xml:space="preserve">he would receive a disclosure that said, “This call may be recorded.”  When asked </w:t>
      </w:r>
      <w:bookmarkStart w:id="144" w:name="dabmq_84"/>
      <w:r w:rsidR="00F83BBA" w:rsidRPr="0038179C">
        <w:t xml:space="preserve">“what did you </w:t>
      </w:r>
      <w:r w:rsidR="00E77282" w:rsidRPr="0038179C">
        <w:t>underst</w:t>
      </w:r>
      <w:r w:rsidR="00F83BBA" w:rsidRPr="0038179C">
        <w:t>an</w:t>
      </w:r>
      <w:r w:rsidR="00E77282" w:rsidRPr="0038179C">
        <w:t>d with regard to that particular call,”</w:t>
      </w:r>
      <w:bookmarkEnd w:id="144"/>
      <w:r w:rsidR="00E77282" w:rsidRPr="0038179C">
        <w:t xml:space="preserve"> </w:t>
      </w:r>
      <w:r w:rsidR="00137357" w:rsidRPr="0038179C">
        <w:t>Rojas</w:t>
      </w:r>
      <w:r w:rsidR="00E77282" w:rsidRPr="0038179C">
        <w:t xml:space="preserve"> </w:t>
      </w:r>
      <w:r w:rsidR="00137357" w:rsidRPr="0038179C">
        <w:t>said</w:t>
      </w:r>
      <w:r w:rsidR="00E77282" w:rsidRPr="0038179C">
        <w:t xml:space="preserve">, </w:t>
      </w:r>
      <w:bookmarkStart w:id="145" w:name="dabmq_85"/>
      <w:r w:rsidR="00E77282" w:rsidRPr="0038179C">
        <w:t>“That my call will be recorded.”</w:t>
      </w:r>
      <w:bookmarkEnd w:id="145"/>
      <w:r w:rsidR="00E77282" w:rsidRPr="0038179C">
        <w:t xml:space="preserve">  </w:t>
      </w:r>
    </w:p>
    <w:p w14:paraId="180CF018" w14:textId="60E7EF2B" w:rsidR="00212D65" w:rsidRPr="0038179C" w:rsidRDefault="00137357" w:rsidP="00882F89">
      <w:pPr>
        <w:spacing w:line="360" w:lineRule="auto"/>
      </w:pPr>
      <w:r w:rsidRPr="0038179C">
        <w:tab/>
        <w:t xml:space="preserve">Rojas </w:t>
      </w:r>
      <w:r w:rsidR="00717BB1" w:rsidRPr="0038179C">
        <w:t xml:space="preserve">denied she </w:t>
      </w:r>
      <w:r w:rsidR="00F83BBA" w:rsidRPr="0038179C">
        <w:t xml:space="preserve">had </w:t>
      </w:r>
      <w:bookmarkStart w:id="146" w:name="dabmq_86"/>
      <w:r w:rsidR="00F83BBA" w:rsidRPr="0038179C">
        <w:t xml:space="preserve">“any knowledge that [her] personal telephone calls </w:t>
      </w:r>
      <w:r w:rsidR="008C6DD1" w:rsidRPr="0038179C">
        <w:t xml:space="preserve">[with Alejandra] </w:t>
      </w:r>
      <w:r w:rsidR="00F83BBA" w:rsidRPr="0038179C">
        <w:t>were being recorded by HSBC</w:t>
      </w:r>
      <w:r w:rsidR="001414A1" w:rsidRPr="0038179C">
        <w:t>”</w:t>
      </w:r>
      <w:bookmarkEnd w:id="146"/>
      <w:r w:rsidR="00F83BBA" w:rsidRPr="0038179C">
        <w:t xml:space="preserve"> </w:t>
      </w:r>
      <w:r w:rsidRPr="0038179C">
        <w:t xml:space="preserve">until this lawsuit. </w:t>
      </w:r>
      <w:r w:rsidR="00717BB1" w:rsidRPr="0038179C">
        <w:t xml:space="preserve"> She also denied giving HSBC permission to record her personal calls. </w:t>
      </w:r>
    </w:p>
    <w:p w14:paraId="69E24CC7" w14:textId="26BF5284" w:rsidR="00FA3380" w:rsidRPr="0038179C" w:rsidRDefault="00011483" w:rsidP="00882F89">
      <w:pPr>
        <w:spacing w:line="360" w:lineRule="auto"/>
      </w:pPr>
      <w:r w:rsidRPr="0038179C">
        <w:tab/>
      </w:r>
      <w:r w:rsidR="00137357" w:rsidRPr="0038179C">
        <w:t>T</w:t>
      </w:r>
      <w:r w:rsidRPr="0038179C">
        <w:t xml:space="preserve">he trial court found Rojas failed to </w:t>
      </w:r>
      <w:r w:rsidR="000E2132" w:rsidRPr="0038179C">
        <w:t>prove lack of consent</w:t>
      </w:r>
      <w:r w:rsidRPr="0038179C">
        <w:t xml:space="preserve">.  The court </w:t>
      </w:r>
      <w:r w:rsidR="000E2132" w:rsidRPr="0038179C">
        <w:t>explained</w:t>
      </w:r>
      <w:r w:rsidRPr="0038179C">
        <w:t xml:space="preserve"> she </w:t>
      </w:r>
      <w:bookmarkStart w:id="147" w:name="dabmq_87"/>
      <w:r w:rsidR="000E2132" w:rsidRPr="0038179C">
        <w:t>“</w:t>
      </w:r>
      <w:r w:rsidRPr="0038179C">
        <w:t>called HSBC every month to pay her HSBC Mastercard bill</w:t>
      </w:r>
      <w:r w:rsidR="000E2132" w:rsidRPr="0038179C">
        <w:t>,”</w:t>
      </w:r>
      <w:bookmarkEnd w:id="147"/>
      <w:r w:rsidR="000E2132" w:rsidRPr="0038179C">
        <w:t xml:space="preserve"> </w:t>
      </w:r>
      <w:bookmarkStart w:id="148" w:name="dabmq_88"/>
      <w:r w:rsidR="000E2132" w:rsidRPr="0038179C">
        <w:t>“</w:t>
      </w:r>
      <w:r w:rsidRPr="0038179C">
        <w:t>heard an automated call recording disclosure every time,”</w:t>
      </w:r>
      <w:bookmarkEnd w:id="148"/>
      <w:r w:rsidRPr="0038179C">
        <w:t xml:space="preserve"> and </w:t>
      </w:r>
      <w:bookmarkStart w:id="149" w:name="dabmq_89"/>
      <w:r w:rsidRPr="0038179C">
        <w:t>“was or should have been aware that calls to and from HSBC</w:t>
      </w:r>
      <w:r w:rsidR="00255DED" w:rsidRPr="0038179C">
        <w:t>’</w:t>
      </w:r>
      <w:r w:rsidRPr="0038179C">
        <w:t>s call center were likely to be recorded.”</w:t>
      </w:r>
      <w:bookmarkEnd w:id="149"/>
      <w:r w:rsidRPr="0038179C">
        <w:t xml:space="preserve">  The court further </w:t>
      </w:r>
      <w:r w:rsidR="000E2132" w:rsidRPr="0038179C">
        <w:t>explained</w:t>
      </w:r>
      <w:r w:rsidRPr="0038179C">
        <w:t xml:space="preserve"> </w:t>
      </w:r>
      <w:bookmarkStart w:id="150" w:name="dabmq_90"/>
      <w:r w:rsidRPr="0038179C">
        <w:t>“the HSBC cardmember agreement sent to cardmembers such as [Rojas]</w:t>
      </w:r>
      <w:r w:rsidR="000E2132" w:rsidRPr="0038179C">
        <w:t xml:space="preserve"> </w:t>
      </w:r>
      <w:r w:rsidRPr="0038179C">
        <w:t>. . . contained an express call recording disclosure.”</w:t>
      </w:r>
      <w:bookmarkEnd w:id="150"/>
      <w:r w:rsidRPr="0038179C">
        <w:t xml:space="preserve">   The court </w:t>
      </w:r>
      <w:r w:rsidR="000E2132" w:rsidRPr="0038179C">
        <w:t>found</w:t>
      </w:r>
      <w:r w:rsidRPr="0038179C">
        <w:t xml:space="preserve"> </w:t>
      </w:r>
      <w:bookmarkStart w:id="151" w:name="dabmq_91"/>
      <w:r w:rsidRPr="0038179C">
        <w:t>“[b]oth forms of disclosure would have placed [</w:t>
      </w:r>
      <w:r w:rsidR="000E2132" w:rsidRPr="0038179C">
        <w:t>Rojas</w:t>
      </w:r>
      <w:r w:rsidRPr="0038179C">
        <w:t>] on notice of recording and [she] therefore impliedly consented to the recording of her calls</w:t>
      </w:r>
      <w:r w:rsidR="00DA3A45" w:rsidRPr="0038179C">
        <w:t>,</w:t>
      </w:r>
      <w:r w:rsidRPr="0038179C">
        <w:t>”</w:t>
      </w:r>
      <w:bookmarkEnd w:id="151"/>
      <w:r w:rsidR="00DA3A45" w:rsidRPr="0038179C">
        <w:t xml:space="preserve"> citing </w:t>
      </w:r>
      <w:bookmarkStart w:id="152" w:name="dabmci_8a54444bacbd4b0da6a8f56b03846834"/>
      <w:proofErr w:type="gramStart"/>
      <w:r w:rsidR="00DA3A45" w:rsidRPr="0038179C">
        <w:rPr>
          <w:i/>
          <w:iCs/>
        </w:rPr>
        <w:t>Negro</w:t>
      </w:r>
      <w:proofErr w:type="gramEnd"/>
      <w:r w:rsidR="00DA3A45" w:rsidRPr="0038179C">
        <w:rPr>
          <w:i/>
          <w:iCs/>
        </w:rPr>
        <w:t xml:space="preserve"> v. Superior Court</w:t>
      </w:r>
      <w:r w:rsidR="00DA3A45" w:rsidRPr="0038179C">
        <w:t xml:space="preserve"> (2014) 230 Cal.App.4th 879</w:t>
      </w:r>
      <w:r w:rsidR="00390518" w:rsidRPr="0038179C">
        <w:t>, 892</w:t>
      </w:r>
      <w:r w:rsidR="00DA3A45" w:rsidRPr="0038179C">
        <w:t xml:space="preserve"> (</w:t>
      </w:r>
      <w:r w:rsidR="00DA3A45" w:rsidRPr="0038179C">
        <w:rPr>
          <w:i/>
          <w:iCs/>
        </w:rPr>
        <w:t>Negro</w:t>
      </w:r>
      <w:r w:rsidR="00DA3A45" w:rsidRPr="0038179C">
        <w:t>)</w:t>
      </w:r>
      <w:bookmarkEnd w:id="152"/>
      <w:r w:rsidR="00390518" w:rsidRPr="0038179C">
        <w:t xml:space="preserve"> and its discussion of implied-in-fact consent</w:t>
      </w:r>
      <w:r w:rsidR="00DA3A45" w:rsidRPr="0038179C">
        <w:t>.</w:t>
      </w:r>
      <w:r w:rsidR="0085204D" w:rsidRPr="0038179C">
        <w:t xml:space="preserve">  </w:t>
      </w:r>
      <w:r w:rsidRPr="0038179C">
        <w:t xml:space="preserve">The court </w:t>
      </w:r>
      <w:r w:rsidR="000E2132" w:rsidRPr="0038179C">
        <w:t>concluded</w:t>
      </w:r>
      <w:r w:rsidRPr="0038179C">
        <w:t xml:space="preserve"> the evidence </w:t>
      </w:r>
      <w:bookmarkStart w:id="153" w:name="dabmq_92"/>
      <w:r w:rsidRPr="0038179C">
        <w:t>“more than establishes this level of inquiry notice</w:t>
      </w:r>
      <w:r w:rsidR="000E2132" w:rsidRPr="0038179C">
        <w:t>,</w:t>
      </w:r>
      <w:r w:rsidRPr="0038179C">
        <w:t>”</w:t>
      </w:r>
      <w:bookmarkEnd w:id="153"/>
      <w:r w:rsidRPr="0038179C">
        <w:t xml:space="preserve"> and </w:t>
      </w:r>
      <w:r w:rsidR="000E2132" w:rsidRPr="0038179C">
        <w:t xml:space="preserve">at least </w:t>
      </w:r>
      <w:bookmarkStart w:id="154" w:name="dabmq_93"/>
      <w:r w:rsidR="000E2132" w:rsidRPr="0038179C">
        <w:t>“</w:t>
      </w:r>
      <w:r w:rsidRPr="0038179C">
        <w:t>precludes [Rojas] from meeting her burden of proving lack of consent under both Sections 632 and 632.7, as required.”</w:t>
      </w:r>
      <w:bookmarkEnd w:id="154"/>
      <w:r w:rsidRPr="0038179C">
        <w:t xml:space="preserve"> </w:t>
      </w:r>
      <w:r w:rsidR="000E2132" w:rsidRPr="0038179C">
        <w:t xml:space="preserve"> The court elsewhere noted Rojas </w:t>
      </w:r>
      <w:bookmarkStart w:id="155" w:name="dabmq_94"/>
      <w:r w:rsidR="000E2132" w:rsidRPr="0038179C">
        <w:t>“</w:t>
      </w:r>
      <w:r w:rsidR="00FA3380" w:rsidRPr="0038179C">
        <w:t>not only consented to receive the calls from HSBC</w:t>
      </w:r>
      <w:r w:rsidR="000E2132" w:rsidRPr="0038179C">
        <w:t>,”</w:t>
      </w:r>
      <w:bookmarkEnd w:id="155"/>
      <w:r w:rsidR="000E2132" w:rsidRPr="0038179C">
        <w:t xml:space="preserve"> </w:t>
      </w:r>
      <w:r w:rsidR="00FA3380" w:rsidRPr="0038179C">
        <w:t xml:space="preserve">but </w:t>
      </w:r>
      <w:r w:rsidR="000E2132" w:rsidRPr="0038179C">
        <w:t xml:space="preserve">she </w:t>
      </w:r>
      <w:bookmarkStart w:id="156" w:name="dabmq_95"/>
      <w:r w:rsidR="000E2132" w:rsidRPr="0038179C">
        <w:t>“</w:t>
      </w:r>
      <w:r w:rsidR="00FA3380" w:rsidRPr="0038179C">
        <w:t xml:space="preserve">also </w:t>
      </w:r>
      <w:r w:rsidR="00FA3380" w:rsidRPr="0038179C">
        <w:rPr>
          <w:i/>
          <w:iCs/>
        </w:rPr>
        <w:t>solicited</w:t>
      </w:r>
      <w:r w:rsidR="00FA3380" w:rsidRPr="0038179C">
        <w:t xml:space="preserve"> the calls from HSBC by triggering a request that Alejandra return her call from work.”</w:t>
      </w:r>
      <w:bookmarkEnd w:id="156"/>
      <w:r w:rsidR="000E2132" w:rsidRPr="0038179C">
        <w:t xml:space="preserve"> </w:t>
      </w:r>
      <w:r w:rsidR="00EA7A1A" w:rsidRPr="0038179C">
        <w:t xml:space="preserve"> </w:t>
      </w:r>
      <w:r w:rsidR="000E2132" w:rsidRPr="0038179C">
        <w:t>(</w:t>
      </w:r>
      <w:r w:rsidR="00EA7A1A" w:rsidRPr="0038179C">
        <w:t>S</w:t>
      </w:r>
      <w:r w:rsidR="00220203" w:rsidRPr="0038179C">
        <w:t>ome emphasis omitted</w:t>
      </w:r>
      <w:r w:rsidR="00EA7A1A" w:rsidRPr="0038179C">
        <w:t>.)</w:t>
      </w:r>
      <w:r w:rsidR="00220203" w:rsidRPr="0038179C">
        <w:t xml:space="preserve"> </w:t>
      </w:r>
    </w:p>
    <w:p w14:paraId="00F79F8E" w14:textId="01CB23D1" w:rsidR="00C539DE" w:rsidRPr="0038179C" w:rsidRDefault="00C539DE" w:rsidP="00A77324">
      <w:pPr>
        <w:pStyle w:val="Heading3"/>
        <w:spacing w:after="60"/>
      </w:pPr>
      <w:r w:rsidRPr="0038179C">
        <w:rPr>
          <w:i w:val="0"/>
          <w:iCs w:val="0"/>
        </w:rPr>
        <w:lastRenderedPageBreak/>
        <w:t>2.</w:t>
      </w:r>
      <w:r w:rsidRPr="0038179C">
        <w:rPr>
          <w:i w:val="0"/>
          <w:iCs w:val="0"/>
        </w:rPr>
        <w:tab/>
      </w:r>
      <w:r w:rsidRPr="0038179C">
        <w:t xml:space="preserve">The Trial Court Did Not Err </w:t>
      </w:r>
      <w:proofErr w:type="gramStart"/>
      <w:r w:rsidRPr="0038179C">
        <w:t>In</w:t>
      </w:r>
      <w:proofErr w:type="gramEnd"/>
      <w:r w:rsidRPr="0038179C">
        <w:t xml:space="preserve"> Assessing Consent </w:t>
      </w:r>
    </w:p>
    <w:p w14:paraId="0A7D56F2" w14:textId="77777777" w:rsidR="00C04660" w:rsidRPr="0038179C" w:rsidRDefault="00D36116" w:rsidP="00882F89">
      <w:pPr>
        <w:spacing w:line="360" w:lineRule="auto"/>
      </w:pPr>
      <w:r w:rsidRPr="0038179C">
        <w:tab/>
      </w:r>
      <w:r w:rsidR="005D6BF9" w:rsidRPr="0038179C">
        <w:t xml:space="preserve">Rojas argues the trial court erred in analyzing consent, because “binding law” purportedly requires an “ ‘explicit advisement’ at the </w:t>
      </w:r>
      <w:proofErr w:type="gramStart"/>
      <w:r w:rsidR="005D6BF9" w:rsidRPr="0038179C">
        <w:t>outset</w:t>
      </w:r>
      <w:proofErr w:type="gramEnd"/>
      <w:r w:rsidR="00C04660" w:rsidRPr="0038179C">
        <w:t> </w:t>
      </w:r>
    </w:p>
    <w:p w14:paraId="22B01941" w14:textId="22381B46" w:rsidR="006C642A" w:rsidRPr="0038179C" w:rsidRDefault="005D6BF9" w:rsidP="00882F89">
      <w:pPr>
        <w:spacing w:line="360" w:lineRule="auto"/>
      </w:pPr>
      <w:r w:rsidRPr="0038179C">
        <w:t xml:space="preserve">of . . . recorded conversations.”  She then argues the court’s </w:t>
      </w:r>
      <w:bookmarkStart w:id="157" w:name="dabmq_96"/>
      <w:r w:rsidRPr="0038179C">
        <w:t>“application of ‘implied consent’ is incorrect,”</w:t>
      </w:r>
      <w:bookmarkEnd w:id="157"/>
      <w:r w:rsidRPr="0038179C">
        <w:t xml:space="preserve"> and the court improperly </w:t>
      </w:r>
      <w:bookmarkStart w:id="158" w:name="dabmq_97"/>
      <w:r w:rsidRPr="0038179C">
        <w:t>“</w:t>
      </w:r>
      <w:r w:rsidR="00E202EF" w:rsidRPr="0038179C">
        <w:t>[</w:t>
      </w:r>
      <w:r w:rsidRPr="0038179C">
        <w:t>created</w:t>
      </w:r>
      <w:r w:rsidR="00E202EF" w:rsidRPr="0038179C">
        <w:t>]</w:t>
      </w:r>
      <w:r w:rsidRPr="0038179C">
        <w:t xml:space="preserve"> . . . a whole new construction of ‘consent’ ”</w:t>
      </w:r>
      <w:bookmarkEnd w:id="158"/>
      <w:r w:rsidRPr="0038179C">
        <w:t xml:space="preserve"> by </w:t>
      </w:r>
      <w:bookmarkStart w:id="159" w:name="dabmq_98"/>
      <w:r w:rsidRPr="0038179C">
        <w:t>“interpret[ing] . . . consent to mean implied consent based on ‘inquiry notice . . . .’ ”</w:t>
      </w:r>
      <w:bookmarkEnd w:id="159"/>
      <w:r w:rsidRPr="0038179C">
        <w:t xml:space="preserve">  Rojas </w:t>
      </w:r>
      <w:r w:rsidR="00240912" w:rsidRPr="0038179C">
        <w:t xml:space="preserve">arguably </w:t>
      </w:r>
      <w:r w:rsidRPr="0038179C">
        <w:t xml:space="preserve">appears to </w:t>
      </w:r>
      <w:r w:rsidR="00240912" w:rsidRPr="0038179C">
        <w:t>mean</w:t>
      </w:r>
      <w:r w:rsidR="007F74C7" w:rsidRPr="0038179C">
        <w:t xml:space="preserve"> that</w:t>
      </w:r>
      <w:r w:rsidR="00AD441C" w:rsidRPr="0038179C">
        <w:t>,</w:t>
      </w:r>
      <w:r w:rsidR="007F74C7" w:rsidRPr="0038179C">
        <w:t xml:space="preserve"> </w:t>
      </w:r>
      <w:r w:rsidRPr="0038179C">
        <w:t xml:space="preserve">to the extent implied consent even applies under the Privacy Act, the trial court </w:t>
      </w:r>
      <w:r w:rsidR="00240912" w:rsidRPr="0038179C">
        <w:t>got</w:t>
      </w:r>
      <w:r w:rsidRPr="0038179C">
        <w:t xml:space="preserve"> it wrong.  Her position lacks merit.</w:t>
      </w:r>
    </w:p>
    <w:p w14:paraId="463D30BE" w14:textId="77777777" w:rsidR="00443DD8" w:rsidRPr="0038179C" w:rsidRDefault="00790F2B" w:rsidP="00A77324">
      <w:pPr>
        <w:pStyle w:val="Heading4"/>
        <w:spacing w:before="60" w:after="60" w:line="360" w:lineRule="auto"/>
      </w:pPr>
      <w:r w:rsidRPr="0038179C">
        <w:t>a.</w:t>
      </w:r>
      <w:r w:rsidRPr="0038179C">
        <w:tab/>
      </w:r>
      <w:r w:rsidRPr="0038179C">
        <w:rPr>
          <w:i/>
          <w:iCs w:val="0"/>
        </w:rPr>
        <w:t>Implied Consent</w:t>
      </w:r>
      <w:r w:rsidR="00443DD8" w:rsidRPr="0038179C">
        <w:rPr>
          <w:i/>
          <w:iCs w:val="0"/>
        </w:rPr>
        <w:t xml:space="preserve"> Under </w:t>
      </w:r>
      <w:proofErr w:type="gramStart"/>
      <w:r w:rsidR="00443DD8" w:rsidRPr="0038179C">
        <w:rPr>
          <w:i/>
          <w:iCs w:val="0"/>
        </w:rPr>
        <w:t>The</w:t>
      </w:r>
      <w:proofErr w:type="gramEnd"/>
      <w:r w:rsidR="00443DD8" w:rsidRPr="0038179C">
        <w:rPr>
          <w:i/>
          <w:iCs w:val="0"/>
        </w:rPr>
        <w:t xml:space="preserve"> Privacy Act</w:t>
      </w:r>
    </w:p>
    <w:p w14:paraId="012DD3C9" w14:textId="1528FCE3" w:rsidR="00267E55" w:rsidRPr="0038179C" w:rsidRDefault="0073479B" w:rsidP="00DB2E42">
      <w:pPr>
        <w:spacing w:line="360" w:lineRule="auto"/>
        <w:ind w:firstLine="720"/>
      </w:pPr>
      <w:r w:rsidRPr="0038179C">
        <w:t xml:space="preserve"> </w:t>
      </w:r>
      <w:r w:rsidR="00443DD8" w:rsidRPr="0038179C">
        <w:t>As a preliminary matter,</w:t>
      </w:r>
      <w:r w:rsidR="00DB2E42" w:rsidRPr="0038179C">
        <w:t xml:space="preserve"> implied consent constitute</w:t>
      </w:r>
      <w:r w:rsidR="005D6BF9" w:rsidRPr="0038179C">
        <w:t>s</w:t>
      </w:r>
      <w:r w:rsidR="00DB2E42" w:rsidRPr="0038179C">
        <w:t xml:space="preserve"> </w:t>
      </w:r>
      <w:r w:rsidR="001415F4" w:rsidRPr="0038179C">
        <w:t>“</w:t>
      </w:r>
      <w:r w:rsidR="00DB2E42" w:rsidRPr="0038179C">
        <w:t>consent</w:t>
      </w:r>
      <w:r w:rsidR="001415F4" w:rsidRPr="0038179C">
        <w:t>”</w:t>
      </w:r>
      <w:r w:rsidR="00DB2E42" w:rsidRPr="0038179C">
        <w:t xml:space="preserve"> under the Privacy Act.  </w:t>
      </w:r>
      <w:r w:rsidR="00790F2B" w:rsidRPr="0038179C">
        <w:t xml:space="preserve">Sections 632 and 632.7 </w:t>
      </w:r>
      <w:r w:rsidR="00AD23CC" w:rsidRPr="0038179C">
        <w:t xml:space="preserve">both </w:t>
      </w:r>
      <w:r w:rsidR="00790F2B" w:rsidRPr="0038179C">
        <w:t>require a plaintiff to prove the recording</w:t>
      </w:r>
      <w:r w:rsidR="00F83BBA" w:rsidRPr="0038179C">
        <w:t xml:space="preserve"> was </w:t>
      </w:r>
      <w:r w:rsidR="00790F2B" w:rsidRPr="0038179C">
        <w:t xml:space="preserve">made </w:t>
      </w:r>
      <w:bookmarkStart w:id="160" w:name="dabmq_99"/>
      <w:r w:rsidR="00790F2B" w:rsidRPr="0038179C">
        <w:t>“without the consent of all parties</w:t>
      </w:r>
      <w:r w:rsidRPr="0038179C">
        <w:t>,</w:t>
      </w:r>
      <w:r w:rsidR="00790F2B" w:rsidRPr="0038179C">
        <w:t>”</w:t>
      </w:r>
      <w:bookmarkEnd w:id="160"/>
      <w:r w:rsidRPr="0038179C">
        <w:t xml:space="preserve"> but</w:t>
      </w:r>
      <w:r w:rsidR="00790F2B" w:rsidRPr="0038179C">
        <w:t xml:space="preserve"> </w:t>
      </w:r>
      <w:r w:rsidR="00AD23CC" w:rsidRPr="0038179C">
        <w:t>neither</w:t>
      </w:r>
      <w:r w:rsidR="00790F2B" w:rsidRPr="0038179C">
        <w:t xml:space="preserve"> </w:t>
      </w:r>
      <w:r w:rsidR="001415F4" w:rsidRPr="0038179C">
        <w:t xml:space="preserve">section </w:t>
      </w:r>
      <w:r w:rsidR="00790F2B" w:rsidRPr="0038179C">
        <w:t>require</w:t>
      </w:r>
      <w:r w:rsidR="00AD23CC" w:rsidRPr="0038179C">
        <w:t>s</w:t>
      </w:r>
      <w:r w:rsidR="00790F2B" w:rsidRPr="0038179C">
        <w:t xml:space="preserve"> express consent.</w:t>
      </w:r>
      <w:r w:rsidR="007B0087" w:rsidRPr="0038179C">
        <w:t xml:space="preserve">  </w:t>
      </w:r>
      <w:r w:rsidR="00AD23CC" w:rsidRPr="0038179C">
        <w:t>(§ 632, subd. (a); § 632.7, subd. (a).)</w:t>
      </w:r>
    </w:p>
    <w:p w14:paraId="6ADF44AA" w14:textId="66D19DB1" w:rsidR="007B0087" w:rsidRPr="0038179C" w:rsidRDefault="00267E55" w:rsidP="00443DD8">
      <w:pPr>
        <w:spacing w:line="360" w:lineRule="auto"/>
      </w:pPr>
      <w:r w:rsidRPr="0038179C">
        <w:tab/>
      </w:r>
      <w:r w:rsidR="0073479B" w:rsidRPr="0038179C">
        <w:t xml:space="preserve">In </w:t>
      </w:r>
      <w:bookmarkStart w:id="161" w:name="dabmci_dcbe618812164e83b7d204dbfb02b2ec"/>
      <w:r w:rsidR="0073479B" w:rsidRPr="0038179C">
        <w:rPr>
          <w:rFonts w:cstheme="minorBidi"/>
          <w:i/>
          <w:iCs/>
          <w:szCs w:val="22"/>
        </w:rPr>
        <w:t>Kearney</w:t>
      </w:r>
      <w:r w:rsidR="007B0087" w:rsidRPr="0038179C">
        <w:rPr>
          <w:rFonts w:cstheme="minorBidi"/>
          <w:i/>
          <w:iCs/>
          <w:szCs w:val="22"/>
        </w:rPr>
        <w:t>, supra</w:t>
      </w:r>
      <w:bookmarkEnd w:id="161"/>
      <w:r w:rsidR="007B0087" w:rsidRPr="0038179C">
        <w:rPr>
          <w:rFonts w:cstheme="minorBidi"/>
          <w:i/>
          <w:iCs/>
          <w:szCs w:val="22"/>
        </w:rPr>
        <w:t xml:space="preserve">, </w:t>
      </w:r>
      <w:r w:rsidR="0018380D" w:rsidRPr="0038179C">
        <w:rPr>
          <w:rFonts w:cstheme="minorBidi"/>
          <w:szCs w:val="22"/>
        </w:rPr>
        <w:t xml:space="preserve">a choice of law case, </w:t>
      </w:r>
      <w:r w:rsidR="0073479B" w:rsidRPr="0038179C">
        <w:rPr>
          <w:rFonts w:cstheme="minorBidi"/>
          <w:szCs w:val="22"/>
        </w:rPr>
        <w:t>the</w:t>
      </w:r>
      <w:r w:rsidR="0073479B" w:rsidRPr="0038179C">
        <w:t xml:space="preserve"> California Supreme Court</w:t>
      </w:r>
      <w:r w:rsidR="007F74C7" w:rsidRPr="0038179C">
        <w:t xml:space="preserve"> </w:t>
      </w:r>
      <w:r w:rsidR="00240912" w:rsidRPr="0038179C">
        <w:t>tacitly acknowledged a party’s consent to recording can be implied after adequate notice.</w:t>
      </w:r>
      <w:r w:rsidR="007B0087" w:rsidRPr="0038179C">
        <w:t xml:space="preserve">  </w:t>
      </w:r>
      <w:r w:rsidR="0018380D" w:rsidRPr="0038179C">
        <w:t>(</w:t>
      </w:r>
      <w:bookmarkStart w:id="162" w:name="dabmci_ddaa714de6c244799cfe22cc98800052"/>
      <w:r w:rsidR="007B0087" w:rsidRPr="0038179C">
        <w:rPr>
          <w:i/>
          <w:iCs/>
        </w:rPr>
        <w:t>Kearney</w:t>
      </w:r>
      <w:r w:rsidR="007B0087" w:rsidRPr="0038179C">
        <w:t xml:space="preserve">, </w:t>
      </w:r>
      <w:r w:rsidR="007B0087" w:rsidRPr="0038179C">
        <w:rPr>
          <w:i/>
          <w:iCs/>
        </w:rPr>
        <w:t>supra</w:t>
      </w:r>
      <w:r w:rsidR="007B0087" w:rsidRPr="0038179C">
        <w:t xml:space="preserve">, </w:t>
      </w:r>
      <w:r w:rsidR="007B0087" w:rsidRPr="0038179C">
        <w:rPr>
          <w:rFonts w:cstheme="minorBidi"/>
          <w:szCs w:val="22"/>
        </w:rPr>
        <w:t>39 Cal.4th</w:t>
      </w:r>
      <w:r w:rsidR="0018380D" w:rsidRPr="0038179C">
        <w:t xml:space="preserve"> at pp. </w:t>
      </w:r>
      <w:r w:rsidR="00E821AF" w:rsidRPr="0038179C">
        <w:t>99</w:t>
      </w:r>
      <w:r w:rsidR="00701FF9" w:rsidRPr="0038179C">
        <w:t>–</w:t>
      </w:r>
      <w:r w:rsidR="00E821AF" w:rsidRPr="0038179C">
        <w:t>100</w:t>
      </w:r>
      <w:r w:rsidR="0018380D" w:rsidRPr="0038179C">
        <w:t xml:space="preserve">, </w:t>
      </w:r>
      <w:r w:rsidR="009543E6" w:rsidRPr="0038179C">
        <w:t>120</w:t>
      </w:r>
      <w:bookmarkEnd w:id="162"/>
      <w:r w:rsidR="0018380D" w:rsidRPr="0038179C">
        <w:t xml:space="preserve"> [</w:t>
      </w:r>
      <w:r w:rsidR="0017079C" w:rsidRPr="0038179C">
        <w:t xml:space="preserve">reversing judgment </w:t>
      </w:r>
      <w:r w:rsidR="00A72F29" w:rsidRPr="0038179C">
        <w:t>after</w:t>
      </w:r>
      <w:r w:rsidR="0017079C" w:rsidRPr="0038179C">
        <w:t xml:space="preserve"> demurrer; </w:t>
      </w:r>
      <w:r w:rsidR="00A72F29" w:rsidRPr="0038179C">
        <w:t xml:space="preserve">California </w:t>
      </w:r>
      <w:r w:rsidR="0095490E" w:rsidRPr="0038179C">
        <w:t>broker clients</w:t>
      </w:r>
      <w:r w:rsidR="00A72F29" w:rsidRPr="0038179C">
        <w:t xml:space="preserve"> could sue Georgia company branch under § 632, which </w:t>
      </w:r>
      <w:bookmarkStart w:id="163" w:name="dabmq_100"/>
      <w:r w:rsidR="00A72F29" w:rsidRPr="0038179C">
        <w:t>“applies when a confidential communication takes place in part in California”</w:t>
      </w:r>
      <w:bookmarkEnd w:id="163"/>
      <w:r w:rsidR="0017079C" w:rsidRPr="0038179C">
        <w:t>]</w:t>
      </w:r>
      <w:r w:rsidR="0018380D" w:rsidRPr="0038179C">
        <w:t xml:space="preserve">.)  </w:t>
      </w:r>
      <w:r w:rsidR="00A72F29" w:rsidRPr="0038179C">
        <w:t>In describing section 632, t</w:t>
      </w:r>
      <w:r w:rsidR="0018380D" w:rsidRPr="0038179C">
        <w:t>he Court explained</w:t>
      </w:r>
      <w:r w:rsidR="00A72F29" w:rsidRPr="0038179C">
        <w:t xml:space="preserve"> that</w:t>
      </w:r>
      <w:r w:rsidR="0018380D" w:rsidRPr="0038179C">
        <w:t xml:space="preserve"> </w:t>
      </w:r>
      <w:r w:rsidR="0073479B" w:rsidRPr="0038179C">
        <w:t xml:space="preserve">a </w:t>
      </w:r>
      <w:bookmarkStart w:id="164" w:name="dabmq_101"/>
      <w:r w:rsidR="0073479B" w:rsidRPr="0038179C">
        <w:t>“business that adequately advises all parties to a telephone call, at the outset of the conversation, of its intent to record the call would not violate”</w:t>
      </w:r>
      <w:bookmarkEnd w:id="164"/>
      <w:r w:rsidR="0073479B" w:rsidRPr="0038179C">
        <w:t xml:space="preserve"> </w:t>
      </w:r>
      <w:r w:rsidR="00A72F29" w:rsidRPr="0038179C">
        <w:t xml:space="preserve">the </w:t>
      </w:r>
      <w:r w:rsidR="0073479B" w:rsidRPr="0038179C">
        <w:t xml:space="preserve">section, reasoning that if a </w:t>
      </w:r>
      <w:bookmarkStart w:id="165" w:name="dabmq_102"/>
      <w:r w:rsidR="0073479B" w:rsidRPr="0038179C">
        <w:t>“party does not wish to participate . . . he or she simply may decline to continue the communication.”</w:t>
      </w:r>
      <w:bookmarkEnd w:id="165"/>
      <w:r w:rsidR="0073479B" w:rsidRPr="0038179C">
        <w:t xml:space="preserve">  (</w:t>
      </w:r>
      <w:bookmarkStart w:id="166" w:name="dabmci_9ef7748a8f1b40c58fade94823326b90"/>
      <w:r w:rsidR="007F7749" w:rsidRPr="0038179C">
        <w:rPr>
          <w:i/>
          <w:iCs/>
        </w:rPr>
        <w:t>Kearney,</w:t>
      </w:r>
      <w:r w:rsidR="0073479B" w:rsidRPr="0038179C">
        <w:t xml:space="preserve"> at p. 118</w:t>
      </w:r>
      <w:bookmarkEnd w:id="166"/>
      <w:r w:rsidR="0018380D" w:rsidRPr="0038179C">
        <w:t xml:space="preserve">; </w:t>
      </w:r>
      <w:bookmarkStart w:id="167" w:name="dabmci_75ba100a2d09406ca7b9eb99c7fc68d2"/>
      <w:r w:rsidR="0018380D" w:rsidRPr="0038179C">
        <w:rPr>
          <w:i/>
          <w:iCs/>
        </w:rPr>
        <w:t>ibid</w:t>
      </w:r>
      <w:bookmarkEnd w:id="167"/>
      <w:r w:rsidR="0018380D" w:rsidRPr="0038179C">
        <w:t xml:space="preserve">. [§ 632 </w:t>
      </w:r>
      <w:bookmarkStart w:id="168" w:name="dabmq_103"/>
      <w:r w:rsidR="0018380D" w:rsidRPr="0038179C">
        <w:t xml:space="preserve">“simply prohibits . . . recording the conversation without first informing all parties . . . that [it] is being </w:t>
      </w:r>
      <w:r w:rsidR="0018380D" w:rsidRPr="0038179C">
        <w:lastRenderedPageBreak/>
        <w:t>recorded”</w:t>
      </w:r>
      <w:bookmarkEnd w:id="168"/>
      <w:r w:rsidR="0018380D" w:rsidRPr="0038179C">
        <w:t>].)</w:t>
      </w:r>
      <w:r w:rsidR="00443DD8" w:rsidRPr="0038179C">
        <w:t xml:space="preserve">  Thus, consent under the Privacy Act </w:t>
      </w:r>
      <w:r w:rsidR="00240912" w:rsidRPr="0038179C">
        <w:t>is</w:t>
      </w:r>
      <w:r w:rsidR="00443DD8" w:rsidRPr="0038179C">
        <w:t xml:space="preserve"> implied from continued participation</w:t>
      </w:r>
      <w:r w:rsidR="001415F4" w:rsidRPr="0038179C">
        <w:t xml:space="preserve"> in the call</w:t>
      </w:r>
      <w:r w:rsidR="00DB2E42" w:rsidRPr="0038179C">
        <w:t xml:space="preserve"> following adequate</w:t>
      </w:r>
      <w:r w:rsidR="00D54CDD" w:rsidRPr="0038179C">
        <w:t xml:space="preserve"> advisement or</w:t>
      </w:r>
      <w:r w:rsidR="00DB2E42" w:rsidRPr="0038179C">
        <w:t xml:space="preserve"> notice</w:t>
      </w:r>
      <w:r w:rsidR="001415F4" w:rsidRPr="0038179C">
        <w:t>.</w:t>
      </w:r>
      <w:r w:rsidR="007B0087" w:rsidRPr="0038179C">
        <w:rPr>
          <w:rStyle w:val="FootnoteReference"/>
        </w:rPr>
        <w:footnoteReference w:id="14"/>
      </w:r>
      <w:r w:rsidR="0073479B" w:rsidRPr="0038179C">
        <w:t xml:space="preserve"> </w:t>
      </w:r>
      <w:r w:rsidR="007B0087" w:rsidRPr="0038179C">
        <w:tab/>
      </w:r>
    </w:p>
    <w:p w14:paraId="3F0CFEA5" w14:textId="6873CB8F" w:rsidR="00AB0FDD" w:rsidRPr="0038179C" w:rsidRDefault="00790F2B" w:rsidP="00A77324">
      <w:pPr>
        <w:pStyle w:val="Heading4"/>
        <w:spacing w:before="60" w:after="220"/>
        <w:ind w:left="1987" w:hanging="547"/>
      </w:pPr>
      <w:r w:rsidRPr="0038179C">
        <w:t>b</w:t>
      </w:r>
      <w:r w:rsidR="006C642A" w:rsidRPr="0038179C">
        <w:t>.</w:t>
      </w:r>
      <w:r w:rsidR="006C642A" w:rsidRPr="0038179C">
        <w:tab/>
      </w:r>
      <w:r w:rsidR="00C539DE" w:rsidRPr="0038179C">
        <w:rPr>
          <w:i/>
          <w:iCs w:val="0"/>
        </w:rPr>
        <w:t>Explicit</w:t>
      </w:r>
      <w:r w:rsidR="006708D6" w:rsidRPr="0038179C">
        <w:rPr>
          <w:i/>
          <w:iCs w:val="0"/>
        </w:rPr>
        <w:t xml:space="preserve"> </w:t>
      </w:r>
      <w:r w:rsidR="00C539DE" w:rsidRPr="0038179C">
        <w:rPr>
          <w:i/>
          <w:iCs w:val="0"/>
        </w:rPr>
        <w:t xml:space="preserve">Advisement </w:t>
      </w:r>
      <w:proofErr w:type="gramStart"/>
      <w:r w:rsidR="00240912" w:rsidRPr="0038179C">
        <w:rPr>
          <w:i/>
          <w:iCs w:val="0"/>
        </w:rPr>
        <w:t>Of</w:t>
      </w:r>
      <w:proofErr w:type="gramEnd"/>
      <w:r w:rsidR="00240912" w:rsidRPr="0038179C">
        <w:rPr>
          <w:i/>
          <w:iCs w:val="0"/>
        </w:rPr>
        <w:t xml:space="preserve"> Recording </w:t>
      </w:r>
      <w:r w:rsidR="006708D6" w:rsidRPr="0038179C">
        <w:rPr>
          <w:i/>
          <w:iCs w:val="0"/>
        </w:rPr>
        <w:t xml:space="preserve">On Each Call </w:t>
      </w:r>
      <w:r w:rsidR="00C539DE" w:rsidRPr="0038179C">
        <w:rPr>
          <w:i/>
          <w:iCs w:val="0"/>
        </w:rPr>
        <w:t>Is Not Required</w:t>
      </w:r>
      <w:r w:rsidR="00C539DE" w:rsidRPr="0038179C">
        <w:t xml:space="preserve"> </w:t>
      </w:r>
    </w:p>
    <w:p w14:paraId="1FE7B3D6" w14:textId="2351C2C9" w:rsidR="00790F2B" w:rsidRPr="0038179C" w:rsidRDefault="00790F2B" w:rsidP="00B90FF4">
      <w:pPr>
        <w:spacing w:line="360" w:lineRule="auto"/>
      </w:pPr>
      <w:r w:rsidRPr="0038179C">
        <w:tab/>
        <w:t xml:space="preserve">Rojas </w:t>
      </w:r>
      <w:r w:rsidR="00267E55" w:rsidRPr="0038179C">
        <w:t>contends</w:t>
      </w:r>
      <w:r w:rsidRPr="0038179C">
        <w:t xml:space="preserve"> that </w:t>
      </w:r>
      <w:bookmarkStart w:id="170" w:name="dabmq_104"/>
      <w:r w:rsidRPr="0038179C">
        <w:t xml:space="preserve">“[t]o put a consumer on </w:t>
      </w:r>
      <w:r w:rsidR="00DB2E42" w:rsidRPr="0038179C">
        <w:t>‘</w:t>
      </w:r>
      <w:r w:rsidRPr="0038179C">
        <w:t>adequate notice</w:t>
      </w:r>
      <w:r w:rsidR="00DB2E42" w:rsidRPr="0038179C">
        <w:t>’</w:t>
      </w:r>
      <w:r w:rsidRPr="0038179C">
        <w:t xml:space="preserve"> that his or her call is being monitored or recorded, binding law holds there must be an ‘explicit advisement’ ”</w:t>
      </w:r>
      <w:bookmarkEnd w:id="170"/>
      <w:r w:rsidRPr="0038179C">
        <w:t xml:space="preserve"> </w:t>
      </w:r>
      <w:r w:rsidR="00240912" w:rsidRPr="0038179C">
        <w:t xml:space="preserve">at the </w:t>
      </w:r>
      <w:r w:rsidR="007F74C7" w:rsidRPr="0038179C">
        <w:t>“</w:t>
      </w:r>
      <w:r w:rsidR="00240912" w:rsidRPr="0038179C">
        <w:t>outset of the recorded conversations,”</w:t>
      </w:r>
      <w:r w:rsidR="00746A77" w:rsidRPr="0038179C">
        <w:t xml:space="preserve"> </w:t>
      </w:r>
      <w:r w:rsidRPr="0038179C">
        <w:t xml:space="preserve">citing </w:t>
      </w:r>
      <w:r w:rsidRPr="0038179C">
        <w:rPr>
          <w:i/>
          <w:iCs/>
        </w:rPr>
        <w:t>Kearney</w:t>
      </w:r>
      <w:r w:rsidRPr="0038179C">
        <w:t xml:space="preserve"> and </w:t>
      </w:r>
      <w:bookmarkStart w:id="171" w:name="dabmci_fc647dc4adbf4fec80e4555299d96472"/>
      <w:r w:rsidRPr="0038179C">
        <w:rPr>
          <w:i/>
          <w:iCs/>
        </w:rPr>
        <w:t>Kigh</w:t>
      </w:r>
      <w:r w:rsidR="00405D95" w:rsidRPr="0038179C">
        <w:rPr>
          <w:i/>
          <w:iCs/>
        </w:rPr>
        <w:t>t I, supra</w:t>
      </w:r>
      <w:r w:rsidR="00405D95" w:rsidRPr="0038179C">
        <w:t xml:space="preserve">, </w:t>
      </w:r>
      <w:r w:rsidRPr="0038179C">
        <w:t xml:space="preserve">200 Cal.App.4th </w:t>
      </w:r>
      <w:r w:rsidR="00405D95" w:rsidRPr="0038179C">
        <w:t>at p</w:t>
      </w:r>
      <w:r w:rsidR="00710E16">
        <w:t>age</w:t>
      </w:r>
      <w:r w:rsidR="00405D95" w:rsidRPr="0038179C">
        <w:t xml:space="preserve"> </w:t>
      </w:r>
      <w:r w:rsidRPr="0038179C">
        <w:t>1377</w:t>
      </w:r>
      <w:bookmarkEnd w:id="171"/>
      <w:r w:rsidRPr="0038179C">
        <w:t xml:space="preserve">. </w:t>
      </w:r>
      <w:r w:rsidR="0018380D" w:rsidRPr="0038179C">
        <w:t xml:space="preserve"> We disagree.  As we shall explain, neither </w:t>
      </w:r>
      <w:r w:rsidR="0018380D" w:rsidRPr="0038179C">
        <w:rPr>
          <w:i/>
          <w:iCs/>
        </w:rPr>
        <w:t>Kearney</w:t>
      </w:r>
      <w:r w:rsidR="0018380D" w:rsidRPr="0038179C">
        <w:t xml:space="preserve">, nor </w:t>
      </w:r>
      <w:r w:rsidR="0018380D" w:rsidRPr="0038179C">
        <w:rPr>
          <w:i/>
          <w:iCs/>
        </w:rPr>
        <w:t>Kight I</w:t>
      </w:r>
      <w:r w:rsidR="0018380D" w:rsidRPr="0038179C">
        <w:t>, stand</w:t>
      </w:r>
      <w:r w:rsidR="00F15D33" w:rsidRPr="0038179C">
        <w:t>s</w:t>
      </w:r>
      <w:r w:rsidR="0018380D" w:rsidRPr="0038179C">
        <w:t xml:space="preserve"> for this proposition, and </w:t>
      </w:r>
      <w:r w:rsidR="00F15D33" w:rsidRPr="0038179C">
        <w:t xml:space="preserve">multiple </w:t>
      </w:r>
      <w:r w:rsidR="0018380D" w:rsidRPr="0038179C">
        <w:t>federal courts</w:t>
      </w:r>
      <w:r w:rsidR="00F15D33" w:rsidRPr="0038179C">
        <w:t xml:space="preserve"> that</w:t>
      </w:r>
      <w:r w:rsidR="0018380D" w:rsidRPr="0038179C">
        <w:t xml:space="preserve"> have</w:t>
      </w:r>
      <w:r w:rsidR="00ED3980" w:rsidRPr="0038179C">
        <w:t xml:space="preserve"> addressed the issue </w:t>
      </w:r>
      <w:r w:rsidR="004F06FD" w:rsidRPr="0038179C">
        <w:t xml:space="preserve">have </w:t>
      </w:r>
      <w:r w:rsidR="00ED3980" w:rsidRPr="0038179C">
        <w:t>determined</w:t>
      </w:r>
      <w:r w:rsidR="0018380D" w:rsidRPr="0038179C">
        <w:t xml:space="preserve"> </w:t>
      </w:r>
      <w:r w:rsidR="00ED3980" w:rsidRPr="0038179C">
        <w:t>an explicit, on-call advisement is not required</w:t>
      </w:r>
      <w:r w:rsidR="00F15D33" w:rsidRPr="0038179C">
        <w:t xml:space="preserve"> under the Privacy Act</w:t>
      </w:r>
      <w:r w:rsidR="00ED3980" w:rsidRPr="0038179C">
        <w:t>.</w:t>
      </w:r>
    </w:p>
    <w:p w14:paraId="13E157AD" w14:textId="010A6307" w:rsidR="005906B1" w:rsidRPr="0038179C" w:rsidRDefault="0017079C" w:rsidP="0058687A">
      <w:pPr>
        <w:spacing w:line="360" w:lineRule="auto"/>
        <w:rPr>
          <w:rFonts w:cstheme="minorBidi"/>
          <w:szCs w:val="22"/>
        </w:rPr>
      </w:pPr>
      <w:r w:rsidRPr="0038179C">
        <w:tab/>
        <w:t>First,</w:t>
      </w:r>
      <w:r w:rsidR="00FD6B15" w:rsidRPr="0038179C">
        <w:t xml:space="preserve"> </w:t>
      </w:r>
      <w:r w:rsidR="005C3FC9" w:rsidRPr="0038179C">
        <w:t xml:space="preserve">the California Supreme Court </w:t>
      </w:r>
      <w:r w:rsidR="004F06FD" w:rsidRPr="0038179C">
        <w:t>stated</w:t>
      </w:r>
      <w:r w:rsidR="005C3FC9" w:rsidRPr="0038179C">
        <w:t xml:space="preserve"> in </w:t>
      </w:r>
      <w:bookmarkStart w:id="172" w:name="dabmci_ae653d848e264eaeabc3267fb6466ec8"/>
      <w:r w:rsidR="005C3FC9" w:rsidRPr="0038179C">
        <w:rPr>
          <w:i/>
          <w:iCs/>
        </w:rPr>
        <w:t>Kearney</w:t>
      </w:r>
      <w:bookmarkEnd w:id="172"/>
      <w:r w:rsidR="005C3FC9" w:rsidRPr="0038179C">
        <w:t xml:space="preserve"> that </w:t>
      </w:r>
      <w:r w:rsidR="004F06FD" w:rsidRPr="0038179C">
        <w:t>an</w:t>
      </w:r>
      <w:r w:rsidR="005C3FC9" w:rsidRPr="0038179C">
        <w:t xml:space="preserve"> on-call advisement </w:t>
      </w:r>
      <w:r w:rsidR="004F06FD" w:rsidRPr="0038179C">
        <w:t>was sufficient to avoid violating</w:t>
      </w:r>
      <w:r w:rsidR="005C3FC9" w:rsidRPr="0038179C">
        <w:t xml:space="preserve"> section 632</w:t>
      </w:r>
      <w:r w:rsidR="004F06FD" w:rsidRPr="0038179C">
        <w:t>—</w:t>
      </w:r>
      <w:r w:rsidR="005C3FC9" w:rsidRPr="0038179C">
        <w:t xml:space="preserve">not that </w:t>
      </w:r>
      <w:r w:rsidR="004F06FD" w:rsidRPr="0038179C">
        <w:t xml:space="preserve">such advisement was </w:t>
      </w:r>
      <w:r w:rsidR="005C3FC9" w:rsidRPr="0038179C">
        <w:rPr>
          <w:i/>
          <w:iCs/>
        </w:rPr>
        <w:t>required</w:t>
      </w:r>
      <w:r w:rsidR="004F06FD" w:rsidRPr="0038179C">
        <w:rPr>
          <w:i/>
          <w:iCs/>
        </w:rPr>
        <w:t xml:space="preserve"> </w:t>
      </w:r>
      <w:r w:rsidR="004F06FD" w:rsidRPr="0038179C">
        <w:t>to avoid liability</w:t>
      </w:r>
      <w:r w:rsidR="001415F4" w:rsidRPr="0038179C">
        <w:t xml:space="preserve"> under the Privacy Act</w:t>
      </w:r>
      <w:r w:rsidR="005C3FC9" w:rsidRPr="0038179C">
        <w:t>.  (</w:t>
      </w:r>
      <w:bookmarkStart w:id="173" w:name="dabmci_0c0e8d2a53b54be8b5f3b21fbc89ae75"/>
      <w:r w:rsidR="005C3FC9" w:rsidRPr="0038179C">
        <w:rPr>
          <w:i/>
          <w:iCs/>
        </w:rPr>
        <w:t>Kearney</w:t>
      </w:r>
      <w:r w:rsidR="005C3FC9" w:rsidRPr="0038179C">
        <w:rPr>
          <w:rFonts w:cstheme="minorBidi"/>
          <w:szCs w:val="22"/>
        </w:rPr>
        <w:t xml:space="preserve">, </w:t>
      </w:r>
      <w:r w:rsidR="005C3FC9" w:rsidRPr="0038179C">
        <w:rPr>
          <w:rFonts w:cstheme="minorBidi"/>
          <w:i/>
          <w:iCs/>
          <w:szCs w:val="22"/>
        </w:rPr>
        <w:t>supra</w:t>
      </w:r>
      <w:r w:rsidR="005C3FC9" w:rsidRPr="0038179C">
        <w:rPr>
          <w:rFonts w:cstheme="minorBidi"/>
          <w:szCs w:val="22"/>
        </w:rPr>
        <w:t>, 39 Cal.4th at p. 118</w:t>
      </w:r>
      <w:bookmarkEnd w:id="173"/>
      <w:r w:rsidR="005C3FC9" w:rsidRPr="0038179C">
        <w:t>.)</w:t>
      </w:r>
      <w:r w:rsidR="004F06FD" w:rsidRPr="0038179C">
        <w:t xml:space="preserve">  </w:t>
      </w:r>
      <w:r w:rsidRPr="0038179C">
        <w:t>Rojas cites language from a footnote</w:t>
      </w:r>
      <w:r w:rsidR="004F06FD" w:rsidRPr="0038179C">
        <w:t>,</w:t>
      </w:r>
      <w:r w:rsidRPr="0038179C">
        <w:t xml:space="preserve"> in which the </w:t>
      </w:r>
      <w:r w:rsidR="00804869">
        <w:t>c</w:t>
      </w:r>
      <w:r w:rsidRPr="0038179C">
        <w:t xml:space="preserve">ourt disagreed with the Court of Appeal </w:t>
      </w:r>
      <w:r w:rsidRPr="0038179C">
        <w:rPr>
          <w:rFonts w:cstheme="minorBidi"/>
          <w:szCs w:val="22"/>
        </w:rPr>
        <w:t xml:space="preserve">that </w:t>
      </w:r>
      <w:bookmarkStart w:id="174" w:name="dabmq_105"/>
      <w:r w:rsidRPr="0038179C">
        <w:rPr>
          <w:rFonts w:cstheme="minorBidi"/>
          <w:szCs w:val="22"/>
        </w:rPr>
        <w:t>“even in the absence of an explicit advisement,”</w:t>
      </w:r>
      <w:bookmarkEnd w:id="174"/>
      <w:r w:rsidRPr="0038179C">
        <w:rPr>
          <w:rFonts w:cstheme="minorBidi"/>
          <w:szCs w:val="22"/>
        </w:rPr>
        <w:t xml:space="preserve"> clients </w:t>
      </w:r>
      <w:bookmarkStart w:id="175" w:name="dabmq_106"/>
      <w:r w:rsidRPr="0038179C">
        <w:rPr>
          <w:rFonts w:cstheme="minorBidi"/>
          <w:szCs w:val="22"/>
        </w:rPr>
        <w:t>“ ‘know or have reason to know’</w:t>
      </w:r>
      <w:r w:rsidR="00FB23A2" w:rsidRPr="0038179C">
        <w:rPr>
          <w:rFonts w:cstheme="minorBidi"/>
          <w:szCs w:val="22"/>
        </w:rPr>
        <w:t xml:space="preserve"> ”</w:t>
      </w:r>
      <w:bookmarkEnd w:id="175"/>
      <w:r w:rsidR="00FB23A2" w:rsidRPr="0038179C">
        <w:rPr>
          <w:rFonts w:cstheme="minorBidi"/>
          <w:szCs w:val="22"/>
        </w:rPr>
        <w:t xml:space="preserve"> their broker calls are recorded</w:t>
      </w:r>
      <w:r w:rsidRPr="0038179C">
        <w:rPr>
          <w:rFonts w:cstheme="minorBidi"/>
          <w:szCs w:val="22"/>
        </w:rPr>
        <w:t>.  (</w:t>
      </w:r>
      <w:bookmarkStart w:id="176" w:name="dabmci_ce30b2b281834bab8356dbf20fe250d6"/>
      <w:r w:rsidR="00804869">
        <w:rPr>
          <w:rFonts w:cstheme="minorBidi"/>
          <w:i/>
          <w:iCs/>
          <w:szCs w:val="22"/>
        </w:rPr>
        <w:t>Id.</w:t>
      </w:r>
      <w:r w:rsidRPr="0038179C">
        <w:rPr>
          <w:rFonts w:cstheme="minorBidi"/>
          <w:szCs w:val="22"/>
        </w:rPr>
        <w:t xml:space="preserve"> at p. 118, fn. 10</w:t>
      </w:r>
      <w:bookmarkEnd w:id="176"/>
      <w:r w:rsidR="00FB23A2" w:rsidRPr="0038179C">
        <w:rPr>
          <w:rFonts w:cstheme="minorBidi"/>
          <w:szCs w:val="22"/>
        </w:rPr>
        <w:t>.</w:t>
      </w:r>
      <w:r w:rsidRPr="0038179C">
        <w:rPr>
          <w:rFonts w:cstheme="minorBidi"/>
          <w:szCs w:val="22"/>
        </w:rPr>
        <w:t xml:space="preserve">)  The </w:t>
      </w:r>
      <w:r w:rsidR="00804869">
        <w:rPr>
          <w:rFonts w:cstheme="minorBidi"/>
          <w:szCs w:val="22"/>
        </w:rPr>
        <w:t>c</w:t>
      </w:r>
      <w:r w:rsidRPr="0038179C">
        <w:rPr>
          <w:rFonts w:cstheme="minorBidi"/>
          <w:szCs w:val="22"/>
        </w:rPr>
        <w:t xml:space="preserve">ourt </w:t>
      </w:r>
      <w:r w:rsidR="00FB23A2" w:rsidRPr="0038179C">
        <w:rPr>
          <w:rFonts w:cstheme="minorBidi"/>
          <w:szCs w:val="22"/>
        </w:rPr>
        <w:t>explain</w:t>
      </w:r>
      <w:r w:rsidR="005066EC" w:rsidRPr="0038179C">
        <w:rPr>
          <w:rFonts w:cstheme="minorBidi"/>
          <w:szCs w:val="22"/>
        </w:rPr>
        <w:t>ed</w:t>
      </w:r>
      <w:r w:rsidRPr="0038179C">
        <w:rPr>
          <w:rFonts w:cstheme="minorBidi"/>
          <w:szCs w:val="22"/>
        </w:rPr>
        <w:t xml:space="preserve"> that </w:t>
      </w:r>
      <w:bookmarkStart w:id="177" w:name="dabmq_107"/>
      <w:r w:rsidRPr="0038179C">
        <w:rPr>
          <w:rFonts w:cstheme="minorBidi"/>
          <w:szCs w:val="22"/>
        </w:rPr>
        <w:t xml:space="preserve">“in light of the circumstance that California consumers are accustomed to being informed at the outset of a telephone call whenever a business entity intends to record the call, it appears </w:t>
      </w:r>
      <w:r w:rsidRPr="0038179C">
        <w:rPr>
          <w:rFonts w:cstheme="minorBidi"/>
          <w:b/>
          <w:bCs/>
          <w:i/>
          <w:iCs/>
          <w:szCs w:val="22"/>
        </w:rPr>
        <w:t>equally plausible</w:t>
      </w:r>
      <w:r w:rsidRPr="0038179C">
        <w:rPr>
          <w:rFonts w:cstheme="minorBidi"/>
          <w:szCs w:val="22"/>
        </w:rPr>
        <w:t xml:space="preserve"> that, in the absence of such an advisement, a California consumer reasonably would anticipate that such a telephone call is not being recorded . . . .”</w:t>
      </w:r>
      <w:bookmarkEnd w:id="177"/>
      <w:r w:rsidR="005C3FC9" w:rsidRPr="0038179C">
        <w:rPr>
          <w:rFonts w:cstheme="minorBidi"/>
          <w:szCs w:val="22"/>
        </w:rPr>
        <w:t xml:space="preserve">  (</w:t>
      </w:r>
      <w:bookmarkStart w:id="178" w:name="dabmci_6b28d9ecca2c4528a089d5e3e12fb712"/>
      <w:r w:rsidR="005C3FC9" w:rsidRPr="0038179C">
        <w:rPr>
          <w:rFonts w:cstheme="minorBidi"/>
          <w:i/>
          <w:iCs/>
          <w:szCs w:val="22"/>
        </w:rPr>
        <w:t>Ibid</w:t>
      </w:r>
      <w:r w:rsidR="005C3FC9" w:rsidRPr="0038179C">
        <w:rPr>
          <w:rFonts w:cstheme="minorBidi"/>
          <w:szCs w:val="22"/>
        </w:rPr>
        <w:t>.,</w:t>
      </w:r>
      <w:bookmarkEnd w:id="178"/>
      <w:r w:rsidR="005C3FC9" w:rsidRPr="0038179C">
        <w:rPr>
          <w:rFonts w:cstheme="minorBidi"/>
          <w:szCs w:val="22"/>
        </w:rPr>
        <w:t xml:space="preserve"> </w:t>
      </w:r>
      <w:r w:rsidR="008E181D" w:rsidRPr="0038179C">
        <w:rPr>
          <w:rFonts w:cstheme="minorBidi"/>
          <w:szCs w:val="22"/>
        </w:rPr>
        <w:t xml:space="preserve">emphasis </w:t>
      </w:r>
      <w:r w:rsidR="005C3FC9" w:rsidRPr="0038179C">
        <w:rPr>
          <w:rFonts w:cstheme="minorBidi"/>
          <w:szCs w:val="22"/>
        </w:rPr>
        <w:t xml:space="preserve">added.)  </w:t>
      </w:r>
      <w:r w:rsidR="004F06FD" w:rsidRPr="0038179C">
        <w:rPr>
          <w:rFonts w:cstheme="minorBidi"/>
          <w:szCs w:val="22"/>
        </w:rPr>
        <w:t xml:space="preserve">But by using the phrase “equally plausible,” the </w:t>
      </w:r>
      <w:r w:rsidR="00804869">
        <w:rPr>
          <w:rFonts w:cstheme="minorBidi"/>
          <w:szCs w:val="22"/>
        </w:rPr>
        <w:t>c</w:t>
      </w:r>
      <w:r w:rsidR="004F06FD" w:rsidRPr="0038179C">
        <w:rPr>
          <w:rFonts w:cstheme="minorBidi"/>
          <w:szCs w:val="22"/>
        </w:rPr>
        <w:t xml:space="preserve">ourt preserved the other option:  </w:t>
      </w:r>
      <w:r w:rsidR="004F06FD" w:rsidRPr="0038179C">
        <w:rPr>
          <w:rFonts w:cstheme="minorBidi"/>
          <w:szCs w:val="22"/>
        </w:rPr>
        <w:lastRenderedPageBreak/>
        <w:t>a</w:t>
      </w:r>
      <w:r w:rsidR="00F23077">
        <w:rPr>
          <w:rFonts w:cstheme="minorBidi"/>
          <w:szCs w:val="22"/>
        </w:rPr>
        <w:t> </w:t>
      </w:r>
      <w:r w:rsidR="004F06FD" w:rsidRPr="0038179C">
        <w:rPr>
          <w:rFonts w:cstheme="minorBidi"/>
          <w:szCs w:val="22"/>
        </w:rPr>
        <w:t xml:space="preserve">California consumer </w:t>
      </w:r>
      <w:r w:rsidR="004F06FD" w:rsidRPr="0038179C">
        <w:rPr>
          <w:rFonts w:cstheme="minorBidi"/>
          <w:i/>
          <w:iCs/>
          <w:szCs w:val="22"/>
        </w:rPr>
        <w:t>could</w:t>
      </w:r>
      <w:r w:rsidR="004F06FD" w:rsidRPr="0038179C">
        <w:rPr>
          <w:rFonts w:cstheme="minorBidi"/>
          <w:szCs w:val="22"/>
        </w:rPr>
        <w:t xml:space="preserve"> assume they were being recorded.  </w:t>
      </w:r>
      <w:r w:rsidR="005C3FC9" w:rsidRPr="0038179C">
        <w:rPr>
          <w:rFonts w:cstheme="minorBidi"/>
          <w:szCs w:val="22"/>
        </w:rPr>
        <w:t>Th</w:t>
      </w:r>
      <w:r w:rsidR="004F06FD" w:rsidRPr="0038179C">
        <w:rPr>
          <w:rFonts w:cstheme="minorBidi"/>
          <w:szCs w:val="22"/>
        </w:rPr>
        <w:t>us, this</w:t>
      </w:r>
      <w:r w:rsidR="005C3FC9" w:rsidRPr="0038179C">
        <w:rPr>
          <w:rFonts w:cstheme="minorBidi"/>
          <w:szCs w:val="22"/>
        </w:rPr>
        <w:t xml:space="preserve"> footnote does not </w:t>
      </w:r>
      <w:r w:rsidR="00FD6B15" w:rsidRPr="0038179C">
        <w:rPr>
          <w:rFonts w:cstheme="minorBidi"/>
          <w:szCs w:val="22"/>
        </w:rPr>
        <w:t>require an explicit advisement</w:t>
      </w:r>
      <w:r w:rsidR="002431DF" w:rsidRPr="0038179C">
        <w:rPr>
          <w:rFonts w:cstheme="minorBidi"/>
          <w:szCs w:val="22"/>
        </w:rPr>
        <w:t xml:space="preserve">; it </w:t>
      </w:r>
      <w:r w:rsidR="002607FB" w:rsidRPr="0038179C">
        <w:rPr>
          <w:rFonts w:cstheme="minorBidi"/>
          <w:szCs w:val="22"/>
        </w:rPr>
        <w:t>just</w:t>
      </w:r>
      <w:r w:rsidR="002431DF" w:rsidRPr="0038179C">
        <w:rPr>
          <w:rFonts w:cstheme="minorBidi"/>
          <w:szCs w:val="22"/>
        </w:rPr>
        <w:t xml:space="preserve"> forecloses imputed consent (i.e., </w:t>
      </w:r>
      <w:r w:rsidR="004F06FD" w:rsidRPr="0038179C">
        <w:rPr>
          <w:rFonts w:cstheme="minorBidi"/>
          <w:szCs w:val="22"/>
        </w:rPr>
        <w:t>one</w:t>
      </w:r>
      <w:r w:rsidR="002607FB" w:rsidRPr="0038179C">
        <w:rPr>
          <w:rFonts w:cstheme="minorBidi"/>
          <w:szCs w:val="22"/>
        </w:rPr>
        <w:t xml:space="preserve"> should have known</w:t>
      </w:r>
      <w:r w:rsidR="002431DF" w:rsidRPr="0038179C">
        <w:rPr>
          <w:rFonts w:cstheme="minorBidi"/>
          <w:szCs w:val="22"/>
        </w:rPr>
        <w:t>)</w:t>
      </w:r>
      <w:r w:rsidR="005C3FC9" w:rsidRPr="0038179C">
        <w:rPr>
          <w:rFonts w:cstheme="minorBidi"/>
          <w:szCs w:val="22"/>
        </w:rPr>
        <w:t>.</w:t>
      </w:r>
      <w:r w:rsidR="002607FB" w:rsidRPr="0038179C">
        <w:rPr>
          <w:rFonts w:cstheme="minorBidi"/>
          <w:szCs w:val="22"/>
        </w:rPr>
        <w:t xml:space="preserve">  (Cf. </w:t>
      </w:r>
      <w:bookmarkStart w:id="179" w:name="dabmci_ec122656bf6b4664b3c0a945694220b5"/>
      <w:proofErr w:type="gramStart"/>
      <w:r w:rsidR="002607FB" w:rsidRPr="0038179C">
        <w:rPr>
          <w:rFonts w:cstheme="minorBidi"/>
          <w:i/>
          <w:iCs/>
          <w:szCs w:val="22"/>
        </w:rPr>
        <w:t>Negro</w:t>
      </w:r>
      <w:proofErr w:type="gramEnd"/>
      <w:r w:rsidR="002607FB" w:rsidRPr="0038179C">
        <w:rPr>
          <w:rFonts w:cstheme="minorBidi"/>
          <w:szCs w:val="22"/>
        </w:rPr>
        <w:t xml:space="preserve">, </w:t>
      </w:r>
      <w:r w:rsidR="002607FB" w:rsidRPr="0038179C">
        <w:rPr>
          <w:rFonts w:cstheme="minorBidi"/>
          <w:i/>
          <w:iCs/>
          <w:szCs w:val="22"/>
        </w:rPr>
        <w:t>supra</w:t>
      </w:r>
      <w:r w:rsidR="002607FB" w:rsidRPr="0038179C">
        <w:rPr>
          <w:rFonts w:cstheme="minorBidi"/>
          <w:szCs w:val="22"/>
        </w:rPr>
        <w:t>, 230 Cal.App.4th at pp. 890</w:t>
      </w:r>
      <w:r w:rsidR="006E2FF9" w:rsidRPr="0038179C">
        <w:rPr>
          <w:rFonts w:cstheme="minorBidi"/>
          <w:szCs w:val="22"/>
        </w:rPr>
        <w:t>–</w:t>
      </w:r>
      <w:r w:rsidR="002607FB" w:rsidRPr="0038179C">
        <w:rPr>
          <w:rFonts w:cstheme="minorBidi"/>
          <w:szCs w:val="22"/>
        </w:rPr>
        <w:t>892</w:t>
      </w:r>
      <w:bookmarkEnd w:id="179"/>
      <w:r w:rsidR="002607FB" w:rsidRPr="0038179C">
        <w:rPr>
          <w:rFonts w:cstheme="minorBidi"/>
          <w:szCs w:val="22"/>
        </w:rPr>
        <w:t xml:space="preserve"> [distinguishing imputed</w:t>
      </w:r>
      <w:r w:rsidR="008B2AB4" w:rsidRPr="0038179C">
        <w:rPr>
          <w:rFonts w:cstheme="minorBidi"/>
          <w:szCs w:val="22"/>
        </w:rPr>
        <w:t xml:space="preserve"> or constructive</w:t>
      </w:r>
      <w:r w:rsidR="002607FB" w:rsidRPr="0038179C">
        <w:rPr>
          <w:rFonts w:cstheme="minorBidi"/>
          <w:szCs w:val="22"/>
        </w:rPr>
        <w:t xml:space="preserve"> consent</w:t>
      </w:r>
      <w:r w:rsidR="008B2AB4" w:rsidRPr="0038179C">
        <w:rPr>
          <w:rFonts w:cstheme="minorBidi"/>
          <w:szCs w:val="22"/>
        </w:rPr>
        <w:t>,</w:t>
      </w:r>
      <w:r w:rsidR="002607FB" w:rsidRPr="0038179C">
        <w:rPr>
          <w:rFonts w:cstheme="minorBidi"/>
          <w:szCs w:val="22"/>
        </w:rPr>
        <w:t xml:space="preserve"> from implied-in-fact</w:t>
      </w:r>
      <w:r w:rsidR="004F06FD" w:rsidRPr="0038179C">
        <w:rPr>
          <w:rFonts w:cstheme="minorBidi"/>
          <w:szCs w:val="22"/>
        </w:rPr>
        <w:t xml:space="preserve"> </w:t>
      </w:r>
      <w:r w:rsidR="008B2AB4" w:rsidRPr="0038179C">
        <w:rPr>
          <w:rFonts w:cstheme="minorBidi"/>
          <w:szCs w:val="22"/>
        </w:rPr>
        <w:t xml:space="preserve">consent </w:t>
      </w:r>
      <w:r w:rsidR="004F06FD" w:rsidRPr="0038179C">
        <w:rPr>
          <w:rFonts w:cstheme="minorBidi"/>
          <w:szCs w:val="22"/>
        </w:rPr>
        <w:t xml:space="preserve">based on </w:t>
      </w:r>
      <w:r w:rsidR="008B2AB4" w:rsidRPr="0038179C">
        <w:rPr>
          <w:rFonts w:cstheme="minorBidi"/>
          <w:szCs w:val="22"/>
        </w:rPr>
        <w:t xml:space="preserve">the </w:t>
      </w:r>
      <w:r w:rsidR="004F06FD" w:rsidRPr="0038179C">
        <w:rPr>
          <w:rFonts w:cstheme="minorBidi"/>
          <w:szCs w:val="22"/>
        </w:rPr>
        <w:t>circumstances</w:t>
      </w:r>
      <w:r w:rsidR="002607FB" w:rsidRPr="0038179C">
        <w:rPr>
          <w:rFonts w:cstheme="minorBidi"/>
          <w:szCs w:val="22"/>
        </w:rPr>
        <w:t>].)</w:t>
      </w:r>
      <w:r w:rsidR="00746A77" w:rsidRPr="0038179C">
        <w:rPr>
          <w:rFonts w:cstheme="minorBidi"/>
          <w:szCs w:val="22"/>
        </w:rPr>
        <w:t xml:space="preserve">  Further, </w:t>
      </w:r>
      <w:r w:rsidR="00746A77" w:rsidRPr="0038179C">
        <w:rPr>
          <w:rFonts w:cstheme="minorBidi"/>
          <w:i/>
          <w:iCs/>
          <w:szCs w:val="22"/>
        </w:rPr>
        <w:t>Kearney</w:t>
      </w:r>
      <w:r w:rsidR="00746A77" w:rsidRPr="0038179C">
        <w:rPr>
          <w:rFonts w:cstheme="minorBidi"/>
          <w:szCs w:val="22"/>
        </w:rPr>
        <w:t xml:space="preserve"> involved a judgment following demurrer, and observed </w:t>
      </w:r>
      <w:r w:rsidR="00AB0FDD" w:rsidRPr="0038179C">
        <w:rPr>
          <w:rFonts w:cstheme="minorBidi"/>
          <w:szCs w:val="22"/>
        </w:rPr>
        <w:t xml:space="preserve">the Court of Appeal there </w:t>
      </w:r>
      <w:bookmarkStart w:id="180" w:name="dabmq_108"/>
      <w:r w:rsidR="00AB0FDD" w:rsidRPr="0038179C">
        <w:rPr>
          <w:rFonts w:cstheme="minorBidi"/>
          <w:szCs w:val="22"/>
        </w:rPr>
        <w:t>“did</w:t>
      </w:r>
      <w:r w:rsidR="00F23077">
        <w:rPr>
          <w:rFonts w:cstheme="minorBidi"/>
          <w:szCs w:val="22"/>
        </w:rPr>
        <w:t> </w:t>
      </w:r>
      <w:r w:rsidR="00AB0FDD" w:rsidRPr="0038179C">
        <w:rPr>
          <w:rFonts w:cstheme="minorBidi"/>
          <w:szCs w:val="22"/>
        </w:rPr>
        <w:t>not cite anything in the record”</w:t>
      </w:r>
      <w:bookmarkEnd w:id="180"/>
      <w:r w:rsidR="00AB0FDD" w:rsidRPr="0038179C">
        <w:rPr>
          <w:rFonts w:cstheme="minorBidi"/>
          <w:szCs w:val="22"/>
        </w:rPr>
        <w:t xml:space="preserve"> for its point about client knowledge. </w:t>
      </w:r>
      <w:r w:rsidR="00746A77" w:rsidRPr="0038179C">
        <w:rPr>
          <w:rFonts w:cstheme="minorBidi"/>
          <w:szCs w:val="22"/>
        </w:rPr>
        <w:t xml:space="preserve"> (</w:t>
      </w:r>
      <w:bookmarkStart w:id="181" w:name="dabmci_f8683017a69e4307b7b6fc82510e4e31"/>
      <w:r w:rsidR="00746A77" w:rsidRPr="0038179C">
        <w:rPr>
          <w:rFonts w:cstheme="minorBidi"/>
          <w:i/>
          <w:iCs/>
          <w:szCs w:val="22"/>
        </w:rPr>
        <w:t>Kearney</w:t>
      </w:r>
      <w:r w:rsidR="00746A77" w:rsidRPr="0038179C">
        <w:rPr>
          <w:rFonts w:cstheme="minorBidi"/>
          <w:szCs w:val="22"/>
        </w:rPr>
        <w:t xml:space="preserve">, at p. </w:t>
      </w:r>
      <w:r w:rsidR="00AB0FDD" w:rsidRPr="0038179C">
        <w:rPr>
          <w:rFonts w:cstheme="minorBidi"/>
          <w:szCs w:val="22"/>
        </w:rPr>
        <w:t>118, fn. 10</w:t>
      </w:r>
      <w:bookmarkEnd w:id="181"/>
      <w:r w:rsidR="00AB0FDD" w:rsidRPr="0038179C">
        <w:rPr>
          <w:rFonts w:cstheme="minorBidi"/>
          <w:szCs w:val="22"/>
        </w:rPr>
        <w:t xml:space="preserve">.)  </w:t>
      </w:r>
      <w:r w:rsidR="00746A77" w:rsidRPr="0038179C">
        <w:rPr>
          <w:rFonts w:cstheme="minorBidi"/>
          <w:szCs w:val="22"/>
        </w:rPr>
        <w:t xml:space="preserve">In cases that proceed to trial, as here, there is evidence </w:t>
      </w:r>
      <w:r w:rsidR="001415F4" w:rsidRPr="0038179C">
        <w:rPr>
          <w:rFonts w:cstheme="minorBidi"/>
          <w:szCs w:val="22"/>
        </w:rPr>
        <w:t xml:space="preserve">from </w:t>
      </w:r>
      <w:r w:rsidR="00746A77" w:rsidRPr="0038179C">
        <w:rPr>
          <w:rFonts w:cstheme="minorBidi"/>
          <w:szCs w:val="22"/>
        </w:rPr>
        <w:t xml:space="preserve">which a court can assess </w:t>
      </w:r>
      <w:r w:rsidR="00AB0FDD" w:rsidRPr="0038179C">
        <w:rPr>
          <w:rFonts w:cstheme="minorBidi"/>
          <w:szCs w:val="22"/>
        </w:rPr>
        <w:t xml:space="preserve">a party’s knowledge </w:t>
      </w:r>
      <w:r w:rsidR="00837D7F" w:rsidRPr="0038179C">
        <w:rPr>
          <w:rFonts w:cstheme="minorBidi"/>
          <w:szCs w:val="22"/>
        </w:rPr>
        <w:t>about</w:t>
      </w:r>
      <w:r w:rsidR="00AB0FDD" w:rsidRPr="0038179C">
        <w:rPr>
          <w:rFonts w:cstheme="minorBidi"/>
          <w:szCs w:val="22"/>
        </w:rPr>
        <w:t xml:space="preserve"> being recorded</w:t>
      </w:r>
      <w:r w:rsidR="00746A77" w:rsidRPr="0038179C">
        <w:rPr>
          <w:rFonts w:cstheme="minorBidi"/>
          <w:szCs w:val="22"/>
        </w:rPr>
        <w:t>.</w:t>
      </w:r>
    </w:p>
    <w:p w14:paraId="2F92C1BB" w14:textId="7BB74CC9" w:rsidR="006B4B9B" w:rsidRPr="0038179C" w:rsidRDefault="00721BB4" w:rsidP="0058687A">
      <w:pPr>
        <w:spacing w:line="360" w:lineRule="auto"/>
        <w:rPr>
          <w:rFonts w:eastAsia="Times New Roman"/>
          <w:szCs w:val="26"/>
        </w:rPr>
      </w:pPr>
      <w:r w:rsidRPr="0038179C">
        <w:rPr>
          <w:rFonts w:cstheme="minorBidi"/>
          <w:szCs w:val="22"/>
        </w:rPr>
        <w:tab/>
      </w:r>
      <w:r w:rsidR="00FD6B15" w:rsidRPr="0038179C">
        <w:rPr>
          <w:rFonts w:cstheme="minorBidi"/>
          <w:szCs w:val="22"/>
        </w:rPr>
        <w:t>Second,</w:t>
      </w:r>
      <w:r w:rsidRPr="0038179C">
        <w:rPr>
          <w:rFonts w:cstheme="minorBidi"/>
          <w:i/>
          <w:iCs/>
          <w:szCs w:val="22"/>
        </w:rPr>
        <w:t xml:space="preserve"> </w:t>
      </w:r>
      <w:r w:rsidR="0058687A" w:rsidRPr="0038179C">
        <w:rPr>
          <w:rFonts w:cstheme="minorBidi"/>
          <w:szCs w:val="22"/>
        </w:rPr>
        <w:t xml:space="preserve">neither </w:t>
      </w:r>
      <w:r w:rsidR="00C45D54" w:rsidRPr="0038179C">
        <w:rPr>
          <w:rFonts w:cstheme="minorBidi"/>
          <w:i/>
          <w:iCs/>
          <w:szCs w:val="22"/>
        </w:rPr>
        <w:t>Kight I</w:t>
      </w:r>
      <w:r w:rsidR="0058687A" w:rsidRPr="0038179C">
        <w:rPr>
          <w:rFonts w:cstheme="minorBidi"/>
          <w:szCs w:val="22"/>
        </w:rPr>
        <w:t xml:space="preserve">, nor our later decision in </w:t>
      </w:r>
      <w:bookmarkStart w:id="182" w:name="dabmci_39c7087f9eeb45b0b61cd2103740bda3"/>
      <w:r w:rsidR="0058687A" w:rsidRPr="0038179C">
        <w:rPr>
          <w:rFonts w:cstheme="minorBidi"/>
          <w:i/>
          <w:iCs/>
          <w:szCs w:val="22"/>
        </w:rPr>
        <w:t>Kight</w:t>
      </w:r>
      <w:r w:rsidR="0058687A" w:rsidRPr="0038179C">
        <w:rPr>
          <w:rFonts w:cstheme="minorBidi"/>
          <w:szCs w:val="22"/>
        </w:rPr>
        <w:t xml:space="preserve"> </w:t>
      </w:r>
      <w:r w:rsidR="0058687A" w:rsidRPr="0038179C">
        <w:rPr>
          <w:rFonts w:cstheme="minorBidi"/>
          <w:i/>
          <w:iCs/>
          <w:szCs w:val="22"/>
        </w:rPr>
        <w:t>II</w:t>
      </w:r>
      <w:bookmarkEnd w:id="182"/>
      <w:r w:rsidR="0058687A" w:rsidRPr="0038179C">
        <w:rPr>
          <w:rFonts w:cstheme="minorBidi"/>
          <w:szCs w:val="22"/>
        </w:rPr>
        <w:t xml:space="preserve">, held an on-call </w:t>
      </w:r>
      <w:r w:rsidR="001415F4" w:rsidRPr="0038179C">
        <w:rPr>
          <w:rFonts w:cstheme="minorBidi"/>
          <w:szCs w:val="22"/>
        </w:rPr>
        <w:t xml:space="preserve">recording </w:t>
      </w:r>
      <w:r w:rsidR="0058687A" w:rsidRPr="0038179C">
        <w:rPr>
          <w:rFonts w:cstheme="minorBidi"/>
          <w:szCs w:val="22"/>
        </w:rPr>
        <w:t xml:space="preserve">disclosure is required; </w:t>
      </w:r>
      <w:r w:rsidR="00B07452" w:rsidRPr="0038179C">
        <w:rPr>
          <w:rFonts w:cstheme="minorBidi"/>
          <w:szCs w:val="22"/>
        </w:rPr>
        <w:t>indeed</w:t>
      </w:r>
      <w:r w:rsidR="0058687A" w:rsidRPr="0038179C">
        <w:rPr>
          <w:rFonts w:cstheme="minorBidi"/>
          <w:szCs w:val="22"/>
        </w:rPr>
        <w:t xml:space="preserve">, </w:t>
      </w:r>
      <w:r w:rsidR="00357D45" w:rsidRPr="0038179C">
        <w:rPr>
          <w:rFonts w:cstheme="minorBidi"/>
          <w:szCs w:val="22"/>
        </w:rPr>
        <w:t>these cases make clear that prior disclosures are relevant to expectations regarding monitoring and recording under the Privacy Act</w:t>
      </w:r>
      <w:r w:rsidR="003861B2" w:rsidRPr="0038179C">
        <w:rPr>
          <w:rFonts w:cstheme="minorBidi"/>
          <w:szCs w:val="22"/>
        </w:rPr>
        <w:t xml:space="preserve">.  </w:t>
      </w:r>
      <w:r w:rsidR="00220588" w:rsidRPr="0038179C">
        <w:rPr>
          <w:rFonts w:cstheme="minorBidi"/>
          <w:szCs w:val="22"/>
        </w:rPr>
        <w:t xml:space="preserve">In </w:t>
      </w:r>
      <w:bookmarkStart w:id="183" w:name="dabmci_02492fd1fd23427b8ed253ecc7b76da3"/>
      <w:r w:rsidR="00220588" w:rsidRPr="0038179C">
        <w:rPr>
          <w:rFonts w:cstheme="minorBidi"/>
          <w:i/>
          <w:iCs/>
          <w:szCs w:val="22"/>
        </w:rPr>
        <w:t>Kight I</w:t>
      </w:r>
      <w:bookmarkEnd w:id="183"/>
      <w:r w:rsidR="006708D6" w:rsidRPr="0038179C">
        <w:rPr>
          <w:rFonts w:cstheme="minorBidi"/>
          <w:szCs w:val="22"/>
        </w:rPr>
        <w:t xml:space="preserve">, </w:t>
      </w:r>
      <w:r w:rsidR="001A5411" w:rsidRPr="0038179C">
        <w:rPr>
          <w:rFonts w:cstheme="minorBidi"/>
          <w:szCs w:val="22"/>
        </w:rPr>
        <w:t xml:space="preserve">we reversed a summary adjudication </w:t>
      </w:r>
      <w:r w:rsidR="004D3270" w:rsidRPr="0038179C">
        <w:rPr>
          <w:rFonts w:cstheme="minorBidi"/>
          <w:szCs w:val="22"/>
        </w:rPr>
        <w:t>ruling</w:t>
      </w:r>
      <w:r w:rsidR="001A5411" w:rsidRPr="0038179C">
        <w:rPr>
          <w:rFonts w:cstheme="minorBidi"/>
          <w:szCs w:val="22"/>
        </w:rPr>
        <w:t xml:space="preserve"> that live, secret monitoring did not violate section 632, </w:t>
      </w:r>
      <w:r w:rsidR="0000071D" w:rsidRPr="0038179C">
        <w:rPr>
          <w:rFonts w:cstheme="minorBidi"/>
          <w:szCs w:val="22"/>
        </w:rPr>
        <w:t>holding</w:t>
      </w:r>
      <w:r w:rsidR="001A5411" w:rsidRPr="0038179C">
        <w:rPr>
          <w:rFonts w:cstheme="minorBidi"/>
          <w:szCs w:val="22"/>
        </w:rPr>
        <w:t xml:space="preserve"> the statute </w:t>
      </w:r>
      <w:r w:rsidR="003861B2" w:rsidRPr="0038179C">
        <w:rPr>
          <w:rFonts w:cstheme="minorBidi"/>
          <w:szCs w:val="22"/>
        </w:rPr>
        <w:t>applied</w:t>
      </w:r>
      <w:r w:rsidR="001A5411" w:rsidRPr="0038179C">
        <w:rPr>
          <w:rFonts w:cstheme="minorBidi"/>
          <w:szCs w:val="22"/>
        </w:rPr>
        <w:t xml:space="preserve"> and </w:t>
      </w:r>
      <w:r w:rsidR="0000071D" w:rsidRPr="0038179C">
        <w:rPr>
          <w:rFonts w:cstheme="minorBidi"/>
          <w:szCs w:val="22"/>
        </w:rPr>
        <w:t>there</w:t>
      </w:r>
      <w:r w:rsidR="001A5411" w:rsidRPr="0038179C">
        <w:rPr>
          <w:rFonts w:cstheme="minorBidi"/>
          <w:szCs w:val="22"/>
        </w:rPr>
        <w:t xml:space="preserve"> were triable issues</w:t>
      </w:r>
      <w:r w:rsidR="00C45D54" w:rsidRPr="0038179C">
        <w:rPr>
          <w:rFonts w:cstheme="minorBidi"/>
          <w:szCs w:val="22"/>
        </w:rPr>
        <w:t xml:space="preserve"> of material fact </w:t>
      </w:r>
      <w:r w:rsidR="003861B2" w:rsidRPr="0038179C">
        <w:rPr>
          <w:rFonts w:cstheme="minorBidi"/>
          <w:szCs w:val="22"/>
        </w:rPr>
        <w:t>as to</w:t>
      </w:r>
      <w:r w:rsidR="00C45D54" w:rsidRPr="0038179C">
        <w:rPr>
          <w:rFonts w:cstheme="minorBidi"/>
          <w:szCs w:val="22"/>
        </w:rPr>
        <w:t xml:space="preserve"> confidentiality</w:t>
      </w:r>
      <w:r w:rsidR="001A5411" w:rsidRPr="0038179C">
        <w:rPr>
          <w:rFonts w:cstheme="minorBidi"/>
          <w:szCs w:val="22"/>
        </w:rPr>
        <w:t xml:space="preserve">, including </w:t>
      </w:r>
      <w:r w:rsidR="00C45D54" w:rsidRPr="0038179C">
        <w:rPr>
          <w:rFonts w:cstheme="minorBidi"/>
          <w:szCs w:val="22"/>
        </w:rPr>
        <w:t>whether</w:t>
      </w:r>
      <w:r w:rsidR="001A5411" w:rsidRPr="0038179C">
        <w:rPr>
          <w:rFonts w:cstheme="minorBidi"/>
          <w:szCs w:val="22"/>
        </w:rPr>
        <w:t xml:space="preserve"> plaintiffs </w:t>
      </w:r>
      <w:r w:rsidR="001A5411" w:rsidRPr="0038179C">
        <w:rPr>
          <w:rFonts w:cstheme="minorBidi"/>
          <w:szCs w:val="26"/>
        </w:rPr>
        <w:t>reasonabl</w:t>
      </w:r>
      <w:r w:rsidR="002F77BD" w:rsidRPr="0038179C">
        <w:rPr>
          <w:rFonts w:cstheme="minorBidi"/>
          <w:szCs w:val="26"/>
        </w:rPr>
        <w:t>y expected</w:t>
      </w:r>
      <w:r w:rsidR="001A5411" w:rsidRPr="0038179C">
        <w:rPr>
          <w:rFonts w:cstheme="minorBidi"/>
          <w:szCs w:val="26"/>
        </w:rPr>
        <w:t xml:space="preserve"> </w:t>
      </w:r>
      <w:bookmarkStart w:id="184" w:name="dabmq_109"/>
      <w:r w:rsidR="001A5411" w:rsidRPr="0038179C">
        <w:rPr>
          <w:rFonts w:cstheme="minorBidi"/>
          <w:szCs w:val="26"/>
        </w:rPr>
        <w:t>“conversations would not be secretly monitored.”</w:t>
      </w:r>
      <w:bookmarkEnd w:id="184"/>
      <w:r w:rsidR="001A5411" w:rsidRPr="0038179C">
        <w:rPr>
          <w:rFonts w:cstheme="minorBidi"/>
          <w:szCs w:val="26"/>
        </w:rPr>
        <w:t xml:space="preserve">  (</w:t>
      </w:r>
      <w:bookmarkStart w:id="185" w:name="dabmci_9e5eee710cd44c64a0dd03aaa65f87d5"/>
      <w:r w:rsidR="00D93877" w:rsidRPr="0038179C">
        <w:rPr>
          <w:rFonts w:cstheme="minorBidi"/>
          <w:i/>
          <w:iCs/>
          <w:szCs w:val="26"/>
        </w:rPr>
        <w:t>Kight I</w:t>
      </w:r>
      <w:r w:rsidR="00D93877" w:rsidRPr="0038179C">
        <w:rPr>
          <w:rFonts w:cstheme="minorBidi"/>
          <w:szCs w:val="22"/>
        </w:rPr>
        <w:t xml:space="preserve">, </w:t>
      </w:r>
      <w:r w:rsidR="00D93877" w:rsidRPr="0038179C">
        <w:rPr>
          <w:rFonts w:cstheme="minorBidi"/>
          <w:i/>
          <w:iCs/>
          <w:szCs w:val="22"/>
        </w:rPr>
        <w:t>supra</w:t>
      </w:r>
      <w:r w:rsidR="00D93877" w:rsidRPr="0038179C">
        <w:rPr>
          <w:rFonts w:cstheme="minorBidi"/>
          <w:szCs w:val="22"/>
        </w:rPr>
        <w:t xml:space="preserve">, 200 Cal.App.4th at </w:t>
      </w:r>
      <w:r w:rsidR="001A5411" w:rsidRPr="0038179C">
        <w:rPr>
          <w:rFonts w:cstheme="minorBidi"/>
          <w:szCs w:val="26"/>
        </w:rPr>
        <w:t>p. 1383</w:t>
      </w:r>
      <w:bookmarkEnd w:id="185"/>
      <w:r w:rsidR="0000071D" w:rsidRPr="0038179C">
        <w:rPr>
          <w:rFonts w:cstheme="minorBidi"/>
          <w:szCs w:val="26"/>
        </w:rPr>
        <w:t xml:space="preserve">; </w:t>
      </w:r>
      <w:bookmarkStart w:id="186" w:name="dabmci_03787273a833411085e7c88f467f5606"/>
      <w:r w:rsidR="0000071D" w:rsidRPr="0038179C">
        <w:rPr>
          <w:rFonts w:cstheme="minorBidi"/>
          <w:i/>
          <w:iCs/>
          <w:szCs w:val="26"/>
        </w:rPr>
        <w:t>id.</w:t>
      </w:r>
      <w:r w:rsidR="0000071D" w:rsidRPr="0038179C">
        <w:rPr>
          <w:rFonts w:cstheme="minorBidi"/>
          <w:szCs w:val="26"/>
        </w:rPr>
        <w:t xml:space="preserve"> at </w:t>
      </w:r>
      <w:r w:rsidR="0000071D" w:rsidRPr="0038179C">
        <w:rPr>
          <w:rFonts w:eastAsia="Times New Roman"/>
          <w:szCs w:val="26"/>
        </w:rPr>
        <w:t>p. 1396</w:t>
      </w:r>
      <w:bookmarkEnd w:id="186"/>
      <w:r w:rsidR="0000071D" w:rsidRPr="0038179C">
        <w:rPr>
          <w:rFonts w:eastAsia="Times New Roman"/>
          <w:szCs w:val="26"/>
        </w:rPr>
        <w:t xml:space="preserve"> [</w:t>
      </w:r>
      <w:bookmarkStart w:id="187" w:name="dabmq_110"/>
      <w:r w:rsidR="00EE176E" w:rsidRPr="0038179C">
        <w:rPr>
          <w:rFonts w:eastAsia="Times New Roman"/>
          <w:szCs w:val="26"/>
        </w:rPr>
        <w:t>“The issue whether there exists a reasonable expectation that no one is secretly listening to a phone conversation is generally a question of fact that may depend on numerous specific factors, such as whether the call was initiated by the consumer or whether a corporate employee telephoned a customer, the length of the customer-business relationship, the customer’s prior experiences with business communications, and the nature and timing of any recorded disclosures”</w:t>
      </w:r>
      <w:bookmarkEnd w:id="187"/>
      <w:r w:rsidR="00EE176E" w:rsidRPr="0038179C">
        <w:rPr>
          <w:rFonts w:eastAsia="Times New Roman"/>
          <w:szCs w:val="26"/>
        </w:rPr>
        <w:t>].</w:t>
      </w:r>
      <w:r w:rsidR="0000071D" w:rsidRPr="0038179C">
        <w:rPr>
          <w:rFonts w:eastAsia="Times New Roman"/>
          <w:szCs w:val="26"/>
        </w:rPr>
        <w:t xml:space="preserve">)  In rejecting </w:t>
      </w:r>
      <w:r w:rsidR="00C45D54" w:rsidRPr="0038179C">
        <w:rPr>
          <w:rFonts w:cstheme="minorBidi"/>
          <w:szCs w:val="26"/>
        </w:rPr>
        <w:t xml:space="preserve">the defendant’s argument that a </w:t>
      </w:r>
      <w:bookmarkStart w:id="188" w:name="dabmq_111"/>
      <w:r w:rsidR="00C45D54" w:rsidRPr="0038179C">
        <w:rPr>
          <w:rFonts w:cstheme="minorBidi"/>
          <w:szCs w:val="26"/>
        </w:rPr>
        <w:t>“ ‘</w:t>
      </w:r>
      <w:r w:rsidR="00C45D54" w:rsidRPr="0038179C">
        <w:rPr>
          <w:rFonts w:eastAsia="Times New Roman"/>
          <w:szCs w:val="26"/>
        </w:rPr>
        <w:t>warning message ‘</w:t>
      </w:r>
      <w:r w:rsidR="00C45D54" w:rsidRPr="0038179C">
        <w:rPr>
          <w:rFonts w:eastAsia="Times New Roman"/>
          <w:szCs w:val="26"/>
          <w:bdr w:val="none" w:sz="0" w:space="0" w:color="auto" w:frame="1"/>
        </w:rPr>
        <w:t>at the outset</w:t>
      </w:r>
      <w:r w:rsidR="00C45D54" w:rsidRPr="0038179C">
        <w:rPr>
          <w:rFonts w:eastAsia="Times New Roman"/>
          <w:szCs w:val="26"/>
        </w:rPr>
        <w:t>’ of [the] ‘</w:t>
      </w:r>
      <w:r w:rsidR="00C45D54" w:rsidRPr="0038179C">
        <w:rPr>
          <w:rFonts w:eastAsia="Times New Roman"/>
          <w:szCs w:val="26"/>
          <w:bdr w:val="none" w:sz="0" w:space="0" w:color="auto" w:frame="1"/>
        </w:rPr>
        <w:t>borrower/lender relationship’ ”</w:t>
      </w:r>
      <w:bookmarkEnd w:id="188"/>
      <w:r w:rsidR="00C45D54" w:rsidRPr="0038179C">
        <w:rPr>
          <w:rFonts w:eastAsia="Times New Roman"/>
          <w:szCs w:val="26"/>
          <w:bdr w:val="none" w:sz="0" w:space="0" w:color="auto" w:frame="1"/>
        </w:rPr>
        <w:t xml:space="preserve"> precluded </w:t>
      </w:r>
      <w:r w:rsidR="00C45D54" w:rsidRPr="0038179C">
        <w:rPr>
          <w:rFonts w:cstheme="minorBidi"/>
          <w:szCs w:val="26"/>
        </w:rPr>
        <w:lastRenderedPageBreak/>
        <w:t xml:space="preserve">confidentiality, </w:t>
      </w:r>
      <w:r w:rsidR="00C45D54" w:rsidRPr="0038179C">
        <w:rPr>
          <w:rFonts w:eastAsia="Times New Roman"/>
          <w:szCs w:val="26"/>
          <w:bdr w:val="none" w:sz="0" w:space="0" w:color="auto" w:frame="1"/>
        </w:rPr>
        <w:t xml:space="preserve">we said this </w:t>
      </w:r>
      <w:r w:rsidR="00C45D54" w:rsidRPr="0038179C">
        <w:rPr>
          <w:rFonts w:eastAsia="Times New Roman"/>
          <w:szCs w:val="26"/>
        </w:rPr>
        <w:t xml:space="preserve">did </w:t>
      </w:r>
      <w:bookmarkStart w:id="189" w:name="dabmq_112"/>
      <w:r w:rsidR="00C45D54" w:rsidRPr="0038179C">
        <w:rPr>
          <w:rFonts w:eastAsia="Times New Roman"/>
          <w:szCs w:val="26"/>
        </w:rPr>
        <w:t xml:space="preserve">“not establish </w:t>
      </w:r>
      <w:r w:rsidR="00C45D54" w:rsidRPr="0038179C">
        <w:rPr>
          <w:rFonts w:eastAsia="Times New Roman"/>
          <w:i/>
          <w:iCs/>
          <w:szCs w:val="26"/>
        </w:rPr>
        <w:t>as a matter of law</w:t>
      </w:r>
      <w:r w:rsidR="00C45D54" w:rsidRPr="0038179C">
        <w:rPr>
          <w:rFonts w:eastAsia="Times New Roman"/>
          <w:szCs w:val="26"/>
        </w:rPr>
        <w:t xml:space="preserve"> plaintiffs were adequately warned</w:t>
      </w:r>
      <w:r w:rsidR="006B4B9B" w:rsidRPr="0038179C">
        <w:rPr>
          <w:rFonts w:eastAsia="Times New Roman"/>
          <w:szCs w:val="26"/>
        </w:rPr>
        <w:t xml:space="preserve"> . . . </w:t>
      </w:r>
      <w:r w:rsidR="00C45D54" w:rsidRPr="0038179C">
        <w:rPr>
          <w:rFonts w:eastAsia="Times New Roman"/>
          <w:szCs w:val="26"/>
        </w:rPr>
        <w:t>all future calls  . . . may be monitored and recorded”</w:t>
      </w:r>
      <w:bookmarkEnd w:id="189"/>
      <w:r w:rsidR="00C45D54" w:rsidRPr="0038179C">
        <w:rPr>
          <w:rFonts w:eastAsia="Times New Roman"/>
          <w:szCs w:val="26"/>
        </w:rPr>
        <w:t xml:space="preserve"> and cited </w:t>
      </w:r>
      <w:r w:rsidR="00C45D54" w:rsidRPr="0038179C">
        <w:rPr>
          <w:rFonts w:eastAsia="Times New Roman"/>
          <w:szCs w:val="26"/>
          <w:bdr w:val="none" w:sz="0" w:space="0" w:color="auto" w:frame="1"/>
        </w:rPr>
        <w:t xml:space="preserve">the </w:t>
      </w:r>
      <w:r w:rsidR="00C45D54" w:rsidRPr="0038179C">
        <w:rPr>
          <w:rFonts w:eastAsia="Times New Roman"/>
          <w:i/>
          <w:iCs/>
          <w:szCs w:val="26"/>
          <w:bdr w:val="none" w:sz="0" w:space="0" w:color="auto" w:frame="1"/>
        </w:rPr>
        <w:t>Kearney</w:t>
      </w:r>
      <w:r w:rsidR="00C45D54" w:rsidRPr="0038179C">
        <w:rPr>
          <w:rFonts w:eastAsia="Times New Roman"/>
          <w:szCs w:val="26"/>
          <w:bdr w:val="none" w:sz="0" w:space="0" w:color="auto" w:frame="1"/>
        </w:rPr>
        <w:t xml:space="preserve"> footnote.  </w:t>
      </w:r>
      <w:r w:rsidR="00C45D54" w:rsidRPr="0038179C">
        <w:rPr>
          <w:rFonts w:eastAsia="Times New Roman"/>
          <w:szCs w:val="26"/>
        </w:rPr>
        <w:t>(</w:t>
      </w:r>
      <w:bookmarkStart w:id="190" w:name="dabmci_7eb56f8ba2614029aeb9d6d3e53bd5be"/>
      <w:r w:rsidR="00C45D54" w:rsidRPr="0038179C">
        <w:rPr>
          <w:rFonts w:eastAsia="Times New Roman"/>
          <w:i/>
          <w:iCs/>
          <w:szCs w:val="26"/>
        </w:rPr>
        <w:t>Id.</w:t>
      </w:r>
      <w:r w:rsidR="00C45D54" w:rsidRPr="0038179C">
        <w:rPr>
          <w:rFonts w:eastAsia="Times New Roman"/>
          <w:szCs w:val="26"/>
        </w:rPr>
        <w:t xml:space="preserve"> at p. 1399</w:t>
      </w:r>
      <w:bookmarkEnd w:id="190"/>
      <w:r w:rsidR="00C45D54" w:rsidRPr="0038179C">
        <w:rPr>
          <w:rFonts w:eastAsia="Times New Roman"/>
          <w:szCs w:val="26"/>
        </w:rPr>
        <w:t xml:space="preserve">, italics </w:t>
      </w:r>
      <w:r w:rsidR="0000071D" w:rsidRPr="0038179C">
        <w:rPr>
          <w:rFonts w:eastAsia="Times New Roman"/>
          <w:szCs w:val="26"/>
        </w:rPr>
        <w:t>modified.)</w:t>
      </w:r>
      <w:r w:rsidR="003A0948" w:rsidRPr="0038179C">
        <w:rPr>
          <w:rFonts w:eastAsia="Times New Roman"/>
          <w:szCs w:val="26"/>
        </w:rPr>
        <w:t xml:space="preserve">  </w:t>
      </w:r>
    </w:p>
    <w:p w14:paraId="1A091D7B" w14:textId="5466FEBE" w:rsidR="006B4B9B" w:rsidRPr="0038179C" w:rsidRDefault="004D3270" w:rsidP="0058687A">
      <w:pPr>
        <w:spacing w:line="360" w:lineRule="auto"/>
        <w:ind w:firstLine="720"/>
        <w:rPr>
          <w:rFonts w:cstheme="minorBidi"/>
          <w:szCs w:val="22"/>
        </w:rPr>
      </w:pPr>
      <w:r w:rsidRPr="0038179C">
        <w:rPr>
          <w:rFonts w:eastAsia="Times New Roman"/>
          <w:szCs w:val="26"/>
        </w:rPr>
        <w:t xml:space="preserve">In </w:t>
      </w:r>
      <w:bookmarkStart w:id="191" w:name="dabmci_fdef984a2f704fbd911f53a5f7afcd0d"/>
      <w:r w:rsidRPr="0038179C">
        <w:rPr>
          <w:rFonts w:eastAsia="Times New Roman"/>
          <w:i/>
          <w:iCs/>
          <w:szCs w:val="26"/>
        </w:rPr>
        <w:t>Kight II</w:t>
      </w:r>
      <w:bookmarkEnd w:id="191"/>
      <w:r w:rsidRPr="0038179C">
        <w:rPr>
          <w:rFonts w:eastAsia="Times New Roman"/>
          <w:szCs w:val="26"/>
        </w:rPr>
        <w:t>, we affirmed</w:t>
      </w:r>
      <w:r w:rsidR="007A3470" w:rsidRPr="0038179C">
        <w:rPr>
          <w:rFonts w:eastAsia="Times New Roman"/>
          <w:szCs w:val="26"/>
        </w:rPr>
        <w:t xml:space="preserve"> </w:t>
      </w:r>
      <w:r w:rsidR="006B4B9B" w:rsidRPr="0038179C">
        <w:rPr>
          <w:rFonts w:eastAsia="Times New Roman"/>
          <w:szCs w:val="26"/>
        </w:rPr>
        <w:t>a decertification order</w:t>
      </w:r>
      <w:r w:rsidR="00EF44C0" w:rsidRPr="0038179C">
        <w:rPr>
          <w:rFonts w:eastAsia="Times New Roman"/>
          <w:szCs w:val="26"/>
        </w:rPr>
        <w:t xml:space="preserve">, </w:t>
      </w:r>
      <w:r w:rsidR="002F77BD" w:rsidRPr="0038179C">
        <w:rPr>
          <w:rFonts w:cstheme="minorBidi"/>
          <w:szCs w:val="22"/>
        </w:rPr>
        <w:t xml:space="preserve">and confirmed </w:t>
      </w:r>
      <w:r w:rsidR="00D93877" w:rsidRPr="0038179C">
        <w:rPr>
          <w:rFonts w:cstheme="minorBidi"/>
          <w:szCs w:val="22"/>
        </w:rPr>
        <w:t xml:space="preserve">monitoring </w:t>
      </w:r>
      <w:r w:rsidR="002F77BD" w:rsidRPr="0038179C">
        <w:rPr>
          <w:rFonts w:cstheme="minorBidi"/>
          <w:szCs w:val="22"/>
        </w:rPr>
        <w:t>expectations</w:t>
      </w:r>
      <w:r w:rsidR="00EF44C0" w:rsidRPr="0038179C">
        <w:rPr>
          <w:rFonts w:cstheme="minorBidi"/>
          <w:szCs w:val="22"/>
        </w:rPr>
        <w:t xml:space="preserve"> for</w:t>
      </w:r>
      <w:r w:rsidR="006B4B9B" w:rsidRPr="0038179C">
        <w:rPr>
          <w:rFonts w:cstheme="minorBidi"/>
          <w:szCs w:val="22"/>
        </w:rPr>
        <w:t xml:space="preserve"> confidentiality</w:t>
      </w:r>
      <w:r w:rsidR="00EF44C0" w:rsidRPr="0038179C">
        <w:rPr>
          <w:rFonts w:cstheme="minorBidi"/>
          <w:szCs w:val="22"/>
        </w:rPr>
        <w:t xml:space="preserve"> purposes </w:t>
      </w:r>
      <w:r w:rsidR="002F77BD" w:rsidRPr="0038179C">
        <w:rPr>
          <w:rFonts w:cstheme="minorBidi"/>
          <w:szCs w:val="22"/>
        </w:rPr>
        <w:t>tur</w:t>
      </w:r>
      <w:r w:rsidR="00D93877" w:rsidRPr="0038179C">
        <w:rPr>
          <w:rFonts w:cstheme="minorBidi"/>
          <w:szCs w:val="22"/>
        </w:rPr>
        <w:t>n</w:t>
      </w:r>
      <w:r w:rsidR="002F77BD" w:rsidRPr="0038179C">
        <w:rPr>
          <w:rFonts w:cstheme="minorBidi"/>
          <w:szCs w:val="22"/>
        </w:rPr>
        <w:t xml:space="preserve"> on </w:t>
      </w:r>
      <w:r w:rsidR="00D93877" w:rsidRPr="0038179C">
        <w:rPr>
          <w:rFonts w:cstheme="minorBidi"/>
          <w:szCs w:val="22"/>
        </w:rPr>
        <w:t>one’s</w:t>
      </w:r>
      <w:r w:rsidR="002F77BD" w:rsidRPr="0038179C">
        <w:rPr>
          <w:rFonts w:cstheme="minorBidi"/>
          <w:szCs w:val="22"/>
        </w:rPr>
        <w:t xml:space="preserve"> </w:t>
      </w:r>
      <w:proofErr w:type="gramStart"/>
      <w:r w:rsidR="00220588" w:rsidRPr="0038179C">
        <w:rPr>
          <w:rFonts w:cstheme="minorBidi"/>
          <w:szCs w:val="22"/>
        </w:rPr>
        <w:t xml:space="preserve">particular </w:t>
      </w:r>
      <w:r w:rsidR="002F77BD" w:rsidRPr="0038179C">
        <w:rPr>
          <w:rFonts w:cstheme="minorBidi"/>
          <w:szCs w:val="22"/>
        </w:rPr>
        <w:t>circumstances</w:t>
      </w:r>
      <w:proofErr w:type="gramEnd"/>
      <w:r w:rsidR="006B4B9B" w:rsidRPr="0038179C">
        <w:rPr>
          <w:rFonts w:cstheme="minorBidi"/>
          <w:szCs w:val="22"/>
        </w:rPr>
        <w:t xml:space="preserve">—including for those who did not receive on-call disclosures. </w:t>
      </w:r>
    </w:p>
    <w:p w14:paraId="795D14E3" w14:textId="77777777" w:rsidR="00804869" w:rsidRDefault="007A3470" w:rsidP="0058687A">
      <w:pPr>
        <w:spacing w:line="360" w:lineRule="auto"/>
        <w:rPr>
          <w:rFonts w:cstheme="minorBidi"/>
          <w:szCs w:val="22"/>
        </w:rPr>
      </w:pPr>
      <w:r w:rsidRPr="0038179C">
        <w:rPr>
          <w:rFonts w:cstheme="minorBidi"/>
          <w:szCs w:val="22"/>
        </w:rPr>
        <w:t>(</w:t>
      </w:r>
      <w:bookmarkStart w:id="192" w:name="dabmci_2b397736020e453b8d1c14eb06e0eabf"/>
      <w:r w:rsidRPr="0038179C">
        <w:rPr>
          <w:rFonts w:cstheme="minorBidi"/>
          <w:i/>
          <w:iCs/>
          <w:szCs w:val="22"/>
        </w:rPr>
        <w:t>Kight II</w:t>
      </w:r>
      <w:r w:rsidRPr="0038179C">
        <w:rPr>
          <w:rFonts w:cstheme="minorBidi"/>
          <w:szCs w:val="22"/>
        </w:rPr>
        <w:t xml:space="preserve">, </w:t>
      </w:r>
      <w:r w:rsidRPr="0038179C">
        <w:rPr>
          <w:rFonts w:cstheme="minorBidi"/>
          <w:i/>
          <w:iCs/>
          <w:szCs w:val="22"/>
        </w:rPr>
        <w:t>supra</w:t>
      </w:r>
      <w:r w:rsidRPr="0038179C">
        <w:rPr>
          <w:rFonts w:cstheme="minorBidi"/>
          <w:szCs w:val="22"/>
        </w:rPr>
        <w:t>, 231 Cal.App.4th at p</w:t>
      </w:r>
      <w:r w:rsidR="00EE176E" w:rsidRPr="0038179C">
        <w:rPr>
          <w:rFonts w:cstheme="minorBidi"/>
          <w:szCs w:val="22"/>
        </w:rPr>
        <w:t>. 133</w:t>
      </w:r>
      <w:bookmarkEnd w:id="192"/>
      <w:r w:rsidR="00EE176E" w:rsidRPr="0038179C">
        <w:rPr>
          <w:rFonts w:cstheme="minorBidi"/>
          <w:szCs w:val="22"/>
        </w:rPr>
        <w:t xml:space="preserve"> </w:t>
      </w:r>
      <w:r w:rsidR="00EE176E" w:rsidRPr="0038179C">
        <w:t>[</w:t>
      </w:r>
      <w:bookmarkStart w:id="193" w:name="dabmq_113"/>
      <w:r w:rsidR="00157F37" w:rsidRPr="0038179C">
        <w:t xml:space="preserve">“surrounding </w:t>
      </w:r>
      <w:r w:rsidR="00EE176E" w:rsidRPr="0038179C">
        <w:t>circumstances</w:t>
      </w:r>
      <w:r w:rsidR="00157F37" w:rsidRPr="0038179C">
        <w:t xml:space="preserve"> . . . </w:t>
      </w:r>
      <w:r w:rsidR="00EE176E" w:rsidRPr="0038179C">
        <w:t>may include the party’s own conduct and background”</w:t>
      </w:r>
      <w:bookmarkEnd w:id="193"/>
      <w:r w:rsidR="00EE176E" w:rsidRPr="0038179C">
        <w:t>];</w:t>
      </w:r>
      <w:r w:rsidR="00EE176E" w:rsidRPr="0038179C">
        <w:rPr>
          <w:rFonts w:cstheme="minorBidi"/>
          <w:szCs w:val="22"/>
        </w:rPr>
        <w:t xml:space="preserve"> </w:t>
      </w:r>
      <w:bookmarkStart w:id="194" w:name="dabmci_24855a734aee43faabd70a719ec2ceb5"/>
      <w:r w:rsidR="00EE176E" w:rsidRPr="0038179C">
        <w:rPr>
          <w:rFonts w:cstheme="minorBidi"/>
          <w:i/>
          <w:iCs/>
          <w:szCs w:val="22"/>
        </w:rPr>
        <w:t>id.</w:t>
      </w:r>
      <w:r w:rsidR="00EE176E" w:rsidRPr="0038179C">
        <w:rPr>
          <w:rFonts w:cstheme="minorBidi"/>
          <w:szCs w:val="22"/>
        </w:rPr>
        <w:t xml:space="preserve"> at p</w:t>
      </w:r>
      <w:r w:rsidRPr="0038179C">
        <w:rPr>
          <w:rFonts w:cstheme="minorBidi"/>
          <w:szCs w:val="22"/>
        </w:rPr>
        <w:t>.</w:t>
      </w:r>
      <w:r w:rsidR="0058687A" w:rsidRPr="0038179C">
        <w:rPr>
          <w:rFonts w:cstheme="minorBidi"/>
          <w:szCs w:val="22"/>
        </w:rPr>
        <w:t xml:space="preserve"> </w:t>
      </w:r>
      <w:r w:rsidR="002F77BD" w:rsidRPr="0038179C">
        <w:rPr>
          <w:rFonts w:cstheme="minorBidi"/>
          <w:szCs w:val="22"/>
        </w:rPr>
        <w:t>130</w:t>
      </w:r>
      <w:bookmarkEnd w:id="194"/>
      <w:r w:rsidR="00AD4AF2" w:rsidRPr="0038179C">
        <w:rPr>
          <w:rFonts w:cstheme="minorBidi"/>
          <w:szCs w:val="22"/>
        </w:rPr>
        <w:t xml:space="preserve"> [</w:t>
      </w:r>
      <w:r w:rsidR="00220588" w:rsidRPr="0038179C">
        <w:rPr>
          <w:rFonts w:cstheme="minorBidi"/>
          <w:szCs w:val="22"/>
        </w:rPr>
        <w:t xml:space="preserve">plaintiffs had </w:t>
      </w:r>
      <w:bookmarkStart w:id="195" w:name="dabmq_114"/>
      <w:r w:rsidR="00220588" w:rsidRPr="0038179C">
        <w:rPr>
          <w:rFonts w:cstheme="minorBidi"/>
          <w:szCs w:val="22"/>
        </w:rPr>
        <w:t>“ongoing business relationship with the defendant”</w:t>
      </w:r>
      <w:bookmarkEnd w:id="195"/>
      <w:r w:rsidR="00220588" w:rsidRPr="0038179C">
        <w:rPr>
          <w:rFonts w:cstheme="minorBidi"/>
          <w:szCs w:val="22"/>
        </w:rPr>
        <w:t xml:space="preserve"> and</w:t>
      </w:r>
      <w:r w:rsidR="00804869">
        <w:rPr>
          <w:rFonts w:cstheme="minorBidi"/>
          <w:szCs w:val="22"/>
        </w:rPr>
        <w:t> </w:t>
      </w:r>
    </w:p>
    <w:p w14:paraId="00479843" w14:textId="579E923D" w:rsidR="00EE176E" w:rsidRPr="0038179C" w:rsidRDefault="00220588" w:rsidP="0058687A">
      <w:pPr>
        <w:spacing w:line="360" w:lineRule="auto"/>
        <w:rPr>
          <w:rFonts w:cstheme="minorBidi"/>
          <w:szCs w:val="22"/>
        </w:rPr>
      </w:pPr>
      <w:bookmarkStart w:id="196" w:name="dabmq_115"/>
      <w:r w:rsidRPr="0038179C">
        <w:rPr>
          <w:rFonts w:cstheme="minorBidi"/>
          <w:szCs w:val="22"/>
        </w:rPr>
        <w:t>“</w:t>
      </w:r>
      <w:proofErr w:type="gramStart"/>
      <w:r w:rsidRPr="0038179C">
        <w:rPr>
          <w:rFonts w:cstheme="minorBidi"/>
          <w:szCs w:val="22"/>
        </w:rPr>
        <w:t>many</w:t>
      </w:r>
      <w:proofErr w:type="gramEnd"/>
      <w:r w:rsidRPr="0038179C">
        <w:rPr>
          <w:rFonts w:cstheme="minorBidi"/>
          <w:szCs w:val="22"/>
        </w:rPr>
        <w:t xml:space="preserve"> . . . may have heard a monitoring disclosure statement at least once</w:t>
      </w:r>
      <w:r w:rsidR="007A3470" w:rsidRPr="0038179C">
        <w:rPr>
          <w:szCs w:val="26"/>
          <w:shd w:val="clear" w:color="auto" w:fill="FFFFFF"/>
        </w:rPr>
        <w:t>”</w:t>
      </w:r>
      <w:bookmarkEnd w:id="196"/>
      <w:r w:rsidR="002F77BD" w:rsidRPr="0038179C">
        <w:rPr>
          <w:szCs w:val="26"/>
          <w:shd w:val="clear" w:color="auto" w:fill="FFFFFF"/>
        </w:rPr>
        <w:t>]</w:t>
      </w:r>
      <w:r w:rsidR="006B4B9B" w:rsidRPr="0038179C">
        <w:rPr>
          <w:szCs w:val="26"/>
          <w:shd w:val="clear" w:color="auto" w:fill="FFFFFF"/>
        </w:rPr>
        <w:t xml:space="preserve">; </w:t>
      </w:r>
      <w:bookmarkStart w:id="197" w:name="dabmci_71530d8db2994bd7a795cc201e31b6cf"/>
      <w:r w:rsidR="006B4B9B" w:rsidRPr="0038179C">
        <w:rPr>
          <w:i/>
          <w:iCs/>
          <w:szCs w:val="26"/>
          <w:shd w:val="clear" w:color="auto" w:fill="FFFFFF"/>
        </w:rPr>
        <w:t>id.</w:t>
      </w:r>
      <w:r w:rsidR="006B4B9B" w:rsidRPr="0038179C">
        <w:rPr>
          <w:szCs w:val="26"/>
          <w:shd w:val="clear" w:color="auto" w:fill="FFFFFF"/>
        </w:rPr>
        <w:t xml:space="preserve"> at p. 132</w:t>
      </w:r>
      <w:bookmarkEnd w:id="197"/>
      <w:r w:rsidR="006B4B9B" w:rsidRPr="0038179C">
        <w:rPr>
          <w:szCs w:val="26"/>
          <w:shd w:val="clear" w:color="auto" w:fill="FFFFFF"/>
        </w:rPr>
        <w:t xml:space="preserve"> [</w:t>
      </w:r>
      <w:bookmarkStart w:id="198" w:name="dabmq_116"/>
      <w:r w:rsidR="006B4B9B" w:rsidRPr="0038179C">
        <w:t xml:space="preserve">“Although the outbound calls did not include a disclosure message, </w:t>
      </w:r>
      <w:r w:rsidR="0058687A" w:rsidRPr="0038179C">
        <w:t>. . .</w:t>
      </w:r>
      <w:r w:rsidR="006B4B9B" w:rsidRPr="0038179C">
        <w:t xml:space="preserve"> individual issues remain for outbound</w:t>
      </w:r>
      <w:r w:rsidR="002F1C67" w:rsidRPr="0038179C">
        <w:t>-</w:t>
      </w:r>
      <w:r w:rsidR="006B4B9B" w:rsidRPr="0038179C">
        <w:t>call class members regarding the reasonableness of the claimed expectation of privacy under the circumstances.”</w:t>
      </w:r>
      <w:bookmarkEnd w:id="198"/>
      <w:r w:rsidR="006B4B9B" w:rsidRPr="0038179C">
        <w:t>]</w:t>
      </w:r>
      <w:r w:rsidR="0058687A" w:rsidRPr="0038179C">
        <w:t xml:space="preserve">; </w:t>
      </w:r>
      <w:r w:rsidR="00A92A6D" w:rsidRPr="0038179C">
        <w:t>cf.</w:t>
      </w:r>
      <w:r w:rsidR="0058687A" w:rsidRPr="0038179C">
        <w:t xml:space="preserve"> </w:t>
      </w:r>
      <w:bookmarkStart w:id="199" w:name="dabmci_ee008f83db2b4a52bdd50a8c2bd8cb0d"/>
      <w:r w:rsidR="003A0948" w:rsidRPr="0038179C">
        <w:rPr>
          <w:i/>
          <w:iCs/>
          <w:szCs w:val="26"/>
          <w:shd w:val="clear" w:color="auto" w:fill="FFFFFF"/>
        </w:rPr>
        <w:t>Hataishi v. First Am. Home Buyers Protection Corp.</w:t>
      </w:r>
      <w:r w:rsidR="003A0948" w:rsidRPr="0038179C">
        <w:rPr>
          <w:szCs w:val="26"/>
          <w:shd w:val="clear" w:color="auto" w:fill="FFFFFF"/>
        </w:rPr>
        <w:t xml:space="preserve"> (2014) 223 Cal.App.4th 1454, 1457</w:t>
      </w:r>
      <w:r w:rsidR="006F3D9E" w:rsidRPr="0038179C">
        <w:rPr>
          <w:szCs w:val="26"/>
          <w:shd w:val="clear" w:color="auto" w:fill="FFFFFF"/>
        </w:rPr>
        <w:t>,</w:t>
      </w:r>
      <w:r w:rsidR="003A0948" w:rsidRPr="0038179C">
        <w:rPr>
          <w:szCs w:val="26"/>
          <w:shd w:val="clear" w:color="auto" w:fill="FFFFFF"/>
        </w:rPr>
        <w:t xml:space="preserve"> 1467</w:t>
      </w:r>
      <w:bookmarkEnd w:id="199"/>
      <w:r w:rsidR="003A0948" w:rsidRPr="0038179C">
        <w:rPr>
          <w:szCs w:val="26"/>
          <w:shd w:val="clear" w:color="auto" w:fill="FFFFFF"/>
        </w:rPr>
        <w:t xml:space="preserve"> [</w:t>
      </w:r>
      <w:r w:rsidR="006F3D9E" w:rsidRPr="0038179C">
        <w:rPr>
          <w:szCs w:val="26"/>
          <w:shd w:val="clear" w:color="auto" w:fill="FFFFFF"/>
        </w:rPr>
        <w:t>affirm</w:t>
      </w:r>
      <w:r w:rsidR="006B4B9B" w:rsidRPr="0038179C">
        <w:rPr>
          <w:szCs w:val="26"/>
          <w:shd w:val="clear" w:color="auto" w:fill="FFFFFF"/>
        </w:rPr>
        <w:t>ing</w:t>
      </w:r>
      <w:r w:rsidR="006F3D9E" w:rsidRPr="0038179C">
        <w:rPr>
          <w:szCs w:val="26"/>
          <w:shd w:val="clear" w:color="auto" w:fill="FFFFFF"/>
        </w:rPr>
        <w:t xml:space="preserve"> </w:t>
      </w:r>
      <w:r w:rsidR="006F3D9E" w:rsidRPr="0038179C">
        <w:t>denial of class certification for outbound call recipients</w:t>
      </w:r>
      <w:r w:rsidR="003A0948" w:rsidRPr="0038179C">
        <w:t xml:space="preserve">; </w:t>
      </w:r>
      <w:bookmarkStart w:id="200" w:name="dabmq_117"/>
      <w:r w:rsidR="003A0948" w:rsidRPr="0038179C">
        <w:t xml:space="preserve">“[N]othing in the language of </w:t>
      </w:r>
      <w:r w:rsidR="0058687A" w:rsidRPr="0038179C">
        <w:t>[§]</w:t>
      </w:r>
      <w:r w:rsidR="003A0948" w:rsidRPr="0038179C">
        <w:t xml:space="preserve"> 632 or the case law interpreting ‘confidential communication’ suggests that recording a conversation without advising the other party constitutes a per se violation of the statute”</w:t>
      </w:r>
      <w:bookmarkEnd w:id="200"/>
      <w:r w:rsidR="003A0948" w:rsidRPr="0038179C">
        <w:t>]</w:t>
      </w:r>
      <w:r w:rsidR="006B4B9B" w:rsidRPr="0038179C">
        <w:t>.)</w:t>
      </w:r>
    </w:p>
    <w:p w14:paraId="312C2BC0" w14:textId="4C5BDF7E" w:rsidR="00CD0B7E" w:rsidRPr="0038179C" w:rsidRDefault="007A3470" w:rsidP="00051C17">
      <w:pPr>
        <w:spacing w:line="360" w:lineRule="auto"/>
        <w:ind w:firstLine="720"/>
      </w:pPr>
      <w:r w:rsidRPr="0038179C">
        <w:t>Finally, multiple federal court</w:t>
      </w:r>
      <w:r w:rsidR="00746A77" w:rsidRPr="0038179C">
        <w:t xml:space="preserve"> opinion</w:t>
      </w:r>
      <w:r w:rsidRPr="0038179C">
        <w:t>s</w:t>
      </w:r>
      <w:r w:rsidR="00746A77" w:rsidRPr="0038179C">
        <w:t>, which we find persuasive,</w:t>
      </w:r>
      <w:r w:rsidRPr="0038179C">
        <w:t xml:space="preserve"> </w:t>
      </w:r>
      <w:r w:rsidR="000D5FB3" w:rsidRPr="0038179C">
        <w:t>have</w:t>
      </w:r>
      <w:r w:rsidRPr="0038179C">
        <w:t xml:space="preserve"> </w:t>
      </w:r>
      <w:r w:rsidR="00B222E6" w:rsidRPr="0038179C">
        <w:t xml:space="preserve">held that </w:t>
      </w:r>
      <w:r w:rsidRPr="0038179C">
        <w:t>consent can be implied under the Privacy Act without an explicit advisement on each call.</w:t>
      </w:r>
      <w:r w:rsidR="00746A77" w:rsidRPr="0038179C">
        <w:rPr>
          <w:rStyle w:val="FootnoteReference"/>
        </w:rPr>
        <w:footnoteReference w:id="15"/>
      </w:r>
      <w:r w:rsidRPr="0038179C">
        <w:t xml:space="preserve">  </w:t>
      </w:r>
      <w:r w:rsidR="00C539DE" w:rsidRPr="0038179C">
        <w:t xml:space="preserve">(See, e.g., </w:t>
      </w:r>
      <w:bookmarkStart w:id="204" w:name="dabmci_07e86097d0dc4e05ae2c09d8f55bdc97"/>
      <w:r w:rsidR="00C539DE" w:rsidRPr="0038179C">
        <w:rPr>
          <w:i/>
          <w:iCs/>
        </w:rPr>
        <w:t>Maghen v. Quicken Loans Inc.</w:t>
      </w:r>
      <w:r w:rsidR="00C539DE" w:rsidRPr="0038179C">
        <w:t xml:space="preserve"> (S.D.Cal. 2015) 94 F.Supp.3d 1141 (</w:t>
      </w:r>
      <w:r w:rsidR="00C539DE" w:rsidRPr="0038179C">
        <w:rPr>
          <w:i/>
          <w:iCs/>
        </w:rPr>
        <w:t>Maghen I</w:t>
      </w:r>
      <w:r w:rsidR="00C539DE" w:rsidRPr="0038179C">
        <w:t>)</w:t>
      </w:r>
      <w:bookmarkEnd w:id="204"/>
      <w:r w:rsidR="00C539DE" w:rsidRPr="0038179C">
        <w:t xml:space="preserve">, affirmed at </w:t>
      </w:r>
      <w:bookmarkStart w:id="205" w:name="dabmci_333bb93b995b4966ae0d8f6790d507ec"/>
      <w:r w:rsidR="00ED73A2" w:rsidRPr="0038179C">
        <w:rPr>
          <w:i/>
          <w:iCs/>
        </w:rPr>
        <w:t xml:space="preserve">Maghen v. </w:t>
      </w:r>
      <w:r w:rsidR="00ED73A2" w:rsidRPr="0038179C">
        <w:rPr>
          <w:i/>
          <w:iCs/>
        </w:rPr>
        <w:lastRenderedPageBreak/>
        <w:t>Quicken Loans Inc.</w:t>
      </w:r>
      <w:r w:rsidR="00ED73A2" w:rsidRPr="0038179C">
        <w:t xml:space="preserve"> (2017) </w:t>
      </w:r>
      <w:r w:rsidR="00C539DE" w:rsidRPr="0038179C">
        <w:t>680 Fed.Appx. 554, 555 (</w:t>
      </w:r>
      <w:r w:rsidR="00C539DE" w:rsidRPr="0038179C">
        <w:rPr>
          <w:i/>
          <w:iCs/>
        </w:rPr>
        <w:t>Maghen II</w:t>
      </w:r>
      <w:r w:rsidR="00C539DE" w:rsidRPr="0038179C">
        <w:t>)</w:t>
      </w:r>
      <w:bookmarkEnd w:id="205"/>
      <w:r w:rsidR="00C539DE" w:rsidRPr="0038179C">
        <w:t xml:space="preserve"> [plaintiff’s consent to recording </w:t>
      </w:r>
      <w:r w:rsidR="00CD0B7E" w:rsidRPr="0038179C">
        <w:t>shown</w:t>
      </w:r>
      <w:r w:rsidR="00C539DE" w:rsidRPr="0038179C">
        <w:t xml:space="preserve"> by, inter alia, agreement to terms of service</w:t>
      </w:r>
      <w:r w:rsidR="00051C17" w:rsidRPr="0038179C">
        <w:t xml:space="preserve"> and employee informing plaintiff </w:t>
      </w:r>
      <w:r w:rsidR="00804720" w:rsidRPr="0038179C">
        <w:t xml:space="preserve">at outset </w:t>
      </w:r>
      <w:r w:rsidR="00051C17" w:rsidRPr="0038179C">
        <w:t>he worked for Quicken and was calling about online inquiry</w:t>
      </w:r>
      <w:r w:rsidR="00C539DE" w:rsidRPr="0038179C">
        <w:t xml:space="preserve">]; </w:t>
      </w:r>
      <w:r w:rsidR="00C539DE" w:rsidRPr="0038179C">
        <w:rPr>
          <w:i/>
          <w:iCs/>
        </w:rPr>
        <w:t>Moledina v. Marriott Int’l, Inc.</w:t>
      </w:r>
      <w:r w:rsidR="00C539DE" w:rsidRPr="0038179C">
        <w:t xml:space="preserve"> (C.D.Cal. Oct. </w:t>
      </w:r>
      <w:bookmarkStart w:id="206" w:name="dabmci_7aa8b74fced041fe8d0142209adc76f8"/>
      <w:r w:rsidR="00C539DE" w:rsidRPr="0038179C">
        <w:t xml:space="preserve">17, 2022) </w:t>
      </w:r>
      <w:r w:rsidR="00ED73A2" w:rsidRPr="0038179C">
        <w:t>___</w:t>
      </w:r>
      <w:r w:rsidR="00C539DE" w:rsidRPr="0038179C">
        <w:t>F.Supp.3d</w:t>
      </w:r>
      <w:r w:rsidR="00ED73A2" w:rsidRPr="0038179C">
        <w:t>___</w:t>
      </w:r>
      <w:r w:rsidR="00C539DE" w:rsidRPr="0038179C">
        <w:t>, 2022 WL 16630276, at *7 (</w:t>
      </w:r>
      <w:r w:rsidR="00C539DE" w:rsidRPr="0038179C">
        <w:rPr>
          <w:i/>
          <w:iCs/>
        </w:rPr>
        <w:t>Moledina</w:t>
      </w:r>
      <w:r w:rsidR="00C539DE" w:rsidRPr="0038179C">
        <w:t>)</w:t>
      </w:r>
      <w:bookmarkEnd w:id="206"/>
      <w:r w:rsidR="00C539DE" w:rsidRPr="0038179C">
        <w:t xml:space="preserve"> [“surrounding circumstances</w:t>
      </w:r>
      <w:r w:rsidR="003C21F4" w:rsidRPr="0038179C">
        <w:t>”</w:t>
      </w:r>
      <w:r w:rsidR="00C539DE" w:rsidRPr="0038179C">
        <w:t xml:space="preserve"> indicate</w:t>
      </w:r>
      <w:r w:rsidR="003C21F4" w:rsidRPr="0038179C">
        <w:t>d</w:t>
      </w:r>
      <w:r w:rsidR="00C539DE" w:rsidRPr="0038179C">
        <w:t xml:space="preserve"> </w:t>
      </w:r>
      <w:r w:rsidR="003C21F4" w:rsidRPr="0038179C">
        <w:t>p</w:t>
      </w:r>
      <w:r w:rsidR="00C539DE" w:rsidRPr="0038179C">
        <w:t xml:space="preserve">laintiff </w:t>
      </w:r>
      <w:r w:rsidR="003C21F4" w:rsidRPr="0038179C">
        <w:t>“</w:t>
      </w:r>
      <w:r w:rsidR="00C539DE" w:rsidRPr="0038179C">
        <w:t xml:space="preserve">implicitly consented to being recorded”]; </w:t>
      </w:r>
      <w:bookmarkStart w:id="207" w:name="dabmci_7a16ba40a9224c88886ea273686226a3"/>
      <w:r w:rsidR="00C539DE" w:rsidRPr="0038179C">
        <w:rPr>
          <w:i/>
          <w:iCs/>
        </w:rPr>
        <w:t>Torres v. Nutrisystem, Inc.</w:t>
      </w:r>
      <w:r w:rsidR="00C539DE" w:rsidRPr="0038179C">
        <w:t xml:space="preserve"> (C.D.Cal. 2013) 289 F.R.D. 587, </w:t>
      </w:r>
      <w:r w:rsidR="000616FD" w:rsidRPr="0038179C">
        <w:t>594</w:t>
      </w:r>
      <w:r w:rsidR="005C31DD" w:rsidRPr="0038179C">
        <w:rPr>
          <w:rFonts w:cstheme="minorBidi"/>
          <w:szCs w:val="22"/>
        </w:rPr>
        <w:t>–</w:t>
      </w:r>
      <w:r w:rsidR="00C539DE" w:rsidRPr="0038179C">
        <w:t>59</w:t>
      </w:r>
      <w:r w:rsidR="00ED73A2" w:rsidRPr="0038179C">
        <w:t>5</w:t>
      </w:r>
      <w:r w:rsidR="00C539DE" w:rsidRPr="0038179C">
        <w:t xml:space="preserve"> (</w:t>
      </w:r>
      <w:r w:rsidR="00C539DE" w:rsidRPr="0038179C">
        <w:rPr>
          <w:i/>
          <w:iCs/>
        </w:rPr>
        <w:t>Torres</w:t>
      </w:r>
      <w:r w:rsidR="00C539DE" w:rsidRPr="0038179C">
        <w:t>)</w:t>
      </w:r>
      <w:bookmarkEnd w:id="207"/>
      <w:r w:rsidR="00C539DE" w:rsidRPr="0038179C">
        <w:t xml:space="preserve"> [denying class certification; consent would require individualized inquiries].)</w:t>
      </w:r>
      <w:r w:rsidR="00C539DE" w:rsidRPr="0038179C">
        <w:rPr>
          <w:rStyle w:val="FootnoteReference"/>
        </w:rPr>
        <w:footnoteReference w:id="16"/>
      </w:r>
      <w:r w:rsidR="00C539DE" w:rsidRPr="0038179C">
        <w:t xml:space="preserve">  </w:t>
      </w:r>
    </w:p>
    <w:p w14:paraId="6D599BE1" w14:textId="77777777" w:rsidR="00804869" w:rsidRDefault="00C539DE" w:rsidP="00882F89">
      <w:pPr>
        <w:spacing w:line="360" w:lineRule="auto"/>
      </w:pPr>
      <w:r w:rsidRPr="0038179C">
        <w:rPr>
          <w:rFonts w:cstheme="minorBidi"/>
          <w:szCs w:val="22"/>
        </w:rPr>
        <w:tab/>
      </w:r>
      <w:r w:rsidRPr="0038179C">
        <w:rPr>
          <w:i/>
          <w:iCs/>
        </w:rPr>
        <w:t>Maghen</w:t>
      </w:r>
      <w:r w:rsidR="00991A93" w:rsidRPr="0038179C">
        <w:rPr>
          <w:i/>
          <w:iCs/>
        </w:rPr>
        <w:t xml:space="preserve"> I</w:t>
      </w:r>
      <w:r w:rsidRPr="0038179C">
        <w:t xml:space="preserve"> is instructive.  </w:t>
      </w:r>
      <w:r w:rsidR="0061503F" w:rsidRPr="0038179C">
        <w:t>The plaintiff</w:t>
      </w:r>
      <w:r w:rsidRPr="0038179C">
        <w:t xml:space="preserve"> requested information from Lending Tree and received calls from</w:t>
      </w:r>
      <w:r w:rsidR="0061503F" w:rsidRPr="0038179C">
        <w:t xml:space="preserve"> one of its </w:t>
      </w:r>
      <w:r w:rsidRPr="0038179C">
        <w:t xml:space="preserve">network </w:t>
      </w:r>
      <w:r w:rsidR="00CD0B7E" w:rsidRPr="0038179C">
        <w:t>lenders</w:t>
      </w:r>
      <w:r w:rsidR="003C21F4" w:rsidRPr="0038179C">
        <w:t>, Quicken</w:t>
      </w:r>
      <w:r w:rsidR="0061503F" w:rsidRPr="0038179C">
        <w:t>.</w:t>
      </w:r>
      <w:r w:rsidR="003C21F4" w:rsidRPr="0038179C">
        <w:t xml:space="preserve">  </w:t>
      </w:r>
      <w:r w:rsidR="0061503F" w:rsidRPr="0038179C">
        <w:t>(</w:t>
      </w:r>
      <w:bookmarkStart w:id="217" w:name="dabmci_d67a4ce290584b0d894e57ec8d01b91f"/>
      <w:r w:rsidR="0061503F" w:rsidRPr="0038179C">
        <w:rPr>
          <w:i/>
          <w:iCs/>
        </w:rPr>
        <w:t>Maghen I</w:t>
      </w:r>
      <w:r w:rsidR="0061503F" w:rsidRPr="0038179C">
        <w:t xml:space="preserve">, </w:t>
      </w:r>
      <w:r w:rsidR="0061503F" w:rsidRPr="0038179C">
        <w:rPr>
          <w:i/>
          <w:iCs/>
        </w:rPr>
        <w:t>supra</w:t>
      </w:r>
      <w:r w:rsidR="0061503F" w:rsidRPr="0038179C">
        <w:t>, 94 F.Supp.3d at p. 1143</w:t>
      </w:r>
      <w:bookmarkEnd w:id="217"/>
      <w:r w:rsidR="0061503F" w:rsidRPr="0038179C">
        <w:t>.)  T</w:t>
      </w:r>
      <w:r w:rsidRPr="0038179C">
        <w:t>he calls were recorded</w:t>
      </w:r>
      <w:r w:rsidR="0061503F" w:rsidRPr="0038179C">
        <w:t>,</w:t>
      </w:r>
      <w:r w:rsidRPr="0038179C">
        <w:t xml:space="preserve"> and Maghen sued </w:t>
      </w:r>
      <w:r w:rsidR="00CD0B7E" w:rsidRPr="0038179C">
        <w:t xml:space="preserve">Quicken </w:t>
      </w:r>
      <w:r w:rsidRPr="0038179C">
        <w:t>under the Privacy Act.  (</w:t>
      </w:r>
      <w:bookmarkStart w:id="218" w:name="dabmci_9c91f230350a46e9a0492962c172616a"/>
      <w:r w:rsidR="003C21F4" w:rsidRPr="0038179C">
        <w:rPr>
          <w:i/>
          <w:iCs/>
        </w:rPr>
        <w:t>Ibid</w:t>
      </w:r>
      <w:r w:rsidRPr="0038179C">
        <w:t>.</w:t>
      </w:r>
      <w:bookmarkEnd w:id="218"/>
      <w:r w:rsidRPr="0038179C">
        <w:t xml:space="preserve">)  The district court </w:t>
      </w:r>
      <w:r w:rsidRPr="0038179C">
        <w:lastRenderedPageBreak/>
        <w:t xml:space="preserve">granted summary judgment, ruling </w:t>
      </w:r>
      <w:r w:rsidR="003C21F4" w:rsidRPr="0038179C">
        <w:t xml:space="preserve">in part that </w:t>
      </w:r>
      <w:r w:rsidRPr="0038179C">
        <w:t xml:space="preserve">the plaintiff’s </w:t>
      </w:r>
      <w:bookmarkStart w:id="219" w:name="dabmq_118"/>
      <w:r w:rsidRPr="0038179C">
        <w:t>“agreement to Lending Tree’s Terms of Use [was] sufficient to establish consent.”</w:t>
      </w:r>
      <w:bookmarkEnd w:id="219"/>
      <w:r w:rsidRPr="0038179C">
        <w:t xml:space="preserve">  (</w:t>
      </w:r>
      <w:bookmarkStart w:id="220" w:name="dabmci_442f134b586246788c17d5bb68e28f15"/>
      <w:r w:rsidRPr="0038179C">
        <w:rPr>
          <w:i/>
          <w:iCs/>
        </w:rPr>
        <w:t>Id.</w:t>
      </w:r>
      <w:bookmarkEnd w:id="220"/>
      <w:r w:rsidRPr="0038179C">
        <w:t xml:space="preserve"> at</w:t>
      </w:r>
      <w:r w:rsidR="00804869">
        <w:t> </w:t>
      </w:r>
    </w:p>
    <w:p w14:paraId="560B78D7" w14:textId="6759713A" w:rsidR="00B222E6" w:rsidRPr="0038179C" w:rsidRDefault="00C539DE" w:rsidP="00882F89">
      <w:pPr>
        <w:spacing w:line="360" w:lineRule="auto"/>
      </w:pPr>
      <w:r w:rsidRPr="0038179C">
        <w:t>p. 1146</w:t>
      </w:r>
      <w:r w:rsidR="00CD0B7E" w:rsidRPr="0038179C">
        <w:t xml:space="preserve">; </w:t>
      </w:r>
      <w:bookmarkStart w:id="221" w:name="dabmci_64c8be2bdf37479495fe1a0df4d4d4e6"/>
      <w:r w:rsidR="00CD0B7E" w:rsidRPr="0038179C">
        <w:rPr>
          <w:i/>
          <w:iCs/>
        </w:rPr>
        <w:t>id.</w:t>
      </w:r>
      <w:r w:rsidR="00CD0B7E" w:rsidRPr="0038179C">
        <w:t xml:space="preserve"> at p. 1143</w:t>
      </w:r>
      <w:bookmarkEnd w:id="221"/>
      <w:r w:rsidR="00CD0B7E" w:rsidRPr="0038179C">
        <w:t xml:space="preserve"> [Terms of Use stated network lender </w:t>
      </w:r>
      <w:bookmarkStart w:id="222" w:name="dabmq_119"/>
      <w:r w:rsidR="00CD0B7E" w:rsidRPr="0038179C">
        <w:t>“may [contact you] . . . by telephone (on a recorded line)”</w:t>
      </w:r>
      <w:bookmarkEnd w:id="222"/>
      <w:r w:rsidR="00CD0B7E" w:rsidRPr="0038179C">
        <w:t xml:space="preserve">].)  </w:t>
      </w:r>
      <w:r w:rsidRPr="0038179C">
        <w:t xml:space="preserve">The court </w:t>
      </w:r>
      <w:r w:rsidR="00CD0B7E" w:rsidRPr="0038179C">
        <w:t>explained</w:t>
      </w:r>
      <w:r w:rsidRPr="0038179C">
        <w:t xml:space="preserve">: </w:t>
      </w:r>
      <w:r w:rsidR="00536807" w:rsidRPr="0038179C">
        <w:t xml:space="preserve"> </w:t>
      </w:r>
      <w:bookmarkStart w:id="223" w:name="dabmq_120"/>
      <w:r w:rsidRPr="0038179C">
        <w:t>“Although a warning at the outset of a conversation is sufficient to comply with Section 632.7, it is not necessary to do so in every circumstance</w:t>
      </w:r>
      <w:r w:rsidR="00151502" w:rsidRPr="0038179C">
        <w:t>,”</w:t>
      </w:r>
      <w:bookmarkEnd w:id="223"/>
      <w:r w:rsidR="00151502" w:rsidRPr="0038179C">
        <w:t xml:space="preserve"> noting </w:t>
      </w:r>
      <w:r w:rsidR="00151502" w:rsidRPr="0038179C">
        <w:rPr>
          <w:i/>
          <w:iCs/>
        </w:rPr>
        <w:t>Kearney</w:t>
      </w:r>
      <w:r w:rsidR="00151502" w:rsidRPr="0038179C">
        <w:t xml:space="preserve"> did</w:t>
      </w:r>
      <w:r w:rsidR="00151502" w:rsidRPr="0038179C">
        <w:rPr>
          <w:i/>
          <w:iCs/>
        </w:rPr>
        <w:t xml:space="preserve"> </w:t>
      </w:r>
      <w:bookmarkStart w:id="224" w:name="dabmq_121"/>
      <w:r w:rsidR="00151502" w:rsidRPr="0038179C">
        <w:t>“not hold[] that such advisement is required to the exclusion of all other forms of notification</w:t>
      </w:r>
      <w:r w:rsidRPr="0038179C">
        <w:t>.</w:t>
      </w:r>
      <w:r w:rsidR="00151502" w:rsidRPr="0038179C">
        <w:t>”</w:t>
      </w:r>
      <w:bookmarkEnd w:id="224"/>
      <w:r w:rsidR="00151502" w:rsidRPr="0038179C">
        <w:t xml:space="preserve">  (</w:t>
      </w:r>
      <w:bookmarkStart w:id="225" w:name="dabmci_adb08e9df8684ad4891fc8489f24ebe7"/>
      <w:r w:rsidR="00151502" w:rsidRPr="0038179C">
        <w:rPr>
          <w:i/>
          <w:iCs/>
        </w:rPr>
        <w:t>Ibid</w:t>
      </w:r>
      <w:r w:rsidR="00151502" w:rsidRPr="0038179C">
        <w:t>.</w:t>
      </w:r>
      <w:bookmarkEnd w:id="225"/>
      <w:r w:rsidR="00151502" w:rsidRPr="0038179C">
        <w:t xml:space="preserve">)  The court continued:  </w:t>
      </w:r>
      <w:bookmarkStart w:id="226" w:name="dabmq_122"/>
      <w:r w:rsidR="00151502" w:rsidRPr="0038179C">
        <w:t>“</w:t>
      </w:r>
      <w:r w:rsidRPr="0038179C">
        <w:t xml:space="preserve">To adopt such a requirement based on the language of </w:t>
      </w:r>
      <w:r w:rsidRPr="0038179C">
        <w:rPr>
          <w:i/>
          <w:iCs/>
        </w:rPr>
        <w:t>Kearney</w:t>
      </w:r>
      <w:r w:rsidRPr="0038179C">
        <w:t xml:space="preserve"> would be to impose a much more restrictive standard than that required on the face of Section 632.7.”</w:t>
      </w:r>
      <w:bookmarkEnd w:id="226"/>
      <w:r w:rsidR="00CD0B7E" w:rsidRPr="0038179C">
        <w:t xml:space="preserve">  </w:t>
      </w:r>
      <w:r w:rsidRPr="0038179C">
        <w:t>(</w:t>
      </w:r>
      <w:bookmarkStart w:id="227" w:name="dabmci_c52c90c66cde426b91030489bd6d17db"/>
      <w:r w:rsidRPr="0038179C">
        <w:rPr>
          <w:i/>
          <w:iCs/>
        </w:rPr>
        <w:t>Ibid</w:t>
      </w:r>
      <w:r w:rsidR="00CD0B7E" w:rsidRPr="0038179C">
        <w:t>.</w:t>
      </w:r>
      <w:bookmarkEnd w:id="227"/>
      <w:r w:rsidR="00CD0B7E" w:rsidRPr="0038179C">
        <w:t xml:space="preserve">; see also </w:t>
      </w:r>
      <w:bookmarkStart w:id="228" w:name="dabmci_6ec5f2c2a20a4c4b8666719366f4a907"/>
      <w:r w:rsidR="00CD0B7E" w:rsidRPr="0038179C">
        <w:rPr>
          <w:i/>
          <w:iCs/>
        </w:rPr>
        <w:t>White v. FIA Card Servs., N.A.</w:t>
      </w:r>
      <w:r w:rsidR="00CD0B7E" w:rsidRPr="0038179C">
        <w:t xml:space="preserve"> (S.D.Cal. Feb. 26, 2013) 2013 WL 756292, at *</w:t>
      </w:r>
      <w:r w:rsidR="004039DA" w:rsidRPr="0038179C">
        <w:t>5</w:t>
      </w:r>
      <w:r w:rsidR="00CD0B7E" w:rsidRPr="0038179C">
        <w:t xml:space="preserve"> (</w:t>
      </w:r>
      <w:r w:rsidR="00CD0B7E" w:rsidRPr="0038179C">
        <w:rPr>
          <w:i/>
          <w:iCs/>
        </w:rPr>
        <w:t>White</w:t>
      </w:r>
      <w:r w:rsidR="00CD0B7E" w:rsidRPr="0038179C">
        <w:t>)</w:t>
      </w:r>
      <w:bookmarkEnd w:id="228"/>
      <w:r w:rsidR="00CD0B7E" w:rsidRPr="0038179C">
        <w:t xml:space="preserve"> [rejecting reliance on </w:t>
      </w:r>
      <w:r w:rsidR="00CD0B7E" w:rsidRPr="0038179C">
        <w:rPr>
          <w:i/>
          <w:iCs/>
        </w:rPr>
        <w:t>Kearney</w:t>
      </w:r>
      <w:r w:rsidR="00CD0B7E" w:rsidRPr="0038179C">
        <w:t xml:space="preserve"> to preclude consent based on cardmember agreement; declining to create </w:t>
      </w:r>
      <w:bookmarkStart w:id="229" w:name="dabmq_123"/>
      <w:r w:rsidR="00CD0B7E" w:rsidRPr="0038179C">
        <w:t>“verbal disclosure requirement that is not expressly provided by the statute itself”</w:t>
      </w:r>
      <w:bookmarkEnd w:id="229"/>
      <w:r w:rsidR="00CD0B7E" w:rsidRPr="0038179C">
        <w:t>].)</w:t>
      </w:r>
    </w:p>
    <w:p w14:paraId="5A9844A8" w14:textId="00576848" w:rsidR="00E000DE" w:rsidRPr="0038179C" w:rsidRDefault="00E22CA2" w:rsidP="00750AA2">
      <w:pPr>
        <w:pStyle w:val="Heading4"/>
        <w:spacing w:before="60" w:after="60" w:line="360" w:lineRule="auto"/>
        <w:rPr>
          <w:i/>
          <w:iCs w:val="0"/>
        </w:rPr>
      </w:pPr>
      <w:r w:rsidRPr="0038179C">
        <w:t>c</w:t>
      </w:r>
      <w:r w:rsidR="00C539DE" w:rsidRPr="0038179C">
        <w:t>.</w:t>
      </w:r>
      <w:r w:rsidR="00C539DE" w:rsidRPr="0038179C">
        <w:tab/>
      </w:r>
      <w:r w:rsidR="00C539DE" w:rsidRPr="0038179C">
        <w:rPr>
          <w:i/>
          <w:iCs w:val="0"/>
        </w:rPr>
        <w:t>Trial Court Did Not Incorrectly Apply Implied Consent</w:t>
      </w:r>
    </w:p>
    <w:p w14:paraId="41E2E8BD" w14:textId="13EF1F19" w:rsidR="00DA3A45" w:rsidRPr="0038179C" w:rsidRDefault="00C539DE" w:rsidP="00882F89">
      <w:pPr>
        <w:spacing w:line="360" w:lineRule="auto"/>
      </w:pPr>
      <w:r w:rsidRPr="0038179C">
        <w:tab/>
        <w:t>Rojas</w:t>
      </w:r>
      <w:r w:rsidR="009C73D6" w:rsidRPr="0038179C">
        <w:t xml:space="preserve"> </w:t>
      </w:r>
      <w:r w:rsidR="00C9521B" w:rsidRPr="0038179C">
        <w:t xml:space="preserve">next </w:t>
      </w:r>
      <w:r w:rsidR="00733B86" w:rsidRPr="0038179C">
        <w:t xml:space="preserve">contends </w:t>
      </w:r>
      <w:r w:rsidR="009C73D6" w:rsidRPr="0038179C">
        <w:t xml:space="preserve">the “explanation of implied consent” in </w:t>
      </w:r>
      <w:bookmarkStart w:id="230" w:name="dabmci_3bd109764e3a43dd8a981e645dce1631"/>
      <w:r w:rsidR="00733B86" w:rsidRPr="0038179C">
        <w:rPr>
          <w:i/>
          <w:iCs/>
        </w:rPr>
        <w:t xml:space="preserve">Griggs-Ryan v. Smith </w:t>
      </w:r>
      <w:r w:rsidR="00733B86" w:rsidRPr="0038179C">
        <w:t xml:space="preserve">(1st Cir. 1990) 904 F.2d 112 </w:t>
      </w:r>
      <w:r w:rsidR="00FD76D2" w:rsidRPr="0038179C">
        <w:t>(</w:t>
      </w:r>
      <w:r w:rsidR="00FD76D2" w:rsidRPr="0038179C">
        <w:rPr>
          <w:i/>
          <w:iCs/>
        </w:rPr>
        <w:t>Griggs-Ryan</w:t>
      </w:r>
      <w:r w:rsidR="00FD76D2" w:rsidRPr="0038179C">
        <w:t>)</w:t>
      </w:r>
      <w:bookmarkEnd w:id="230"/>
      <w:r w:rsidR="009C73D6" w:rsidRPr="0038179C">
        <w:t xml:space="preserve"> is “instructive”; it </w:t>
      </w:r>
      <w:r w:rsidR="00733B86" w:rsidRPr="0038179C">
        <w:t xml:space="preserve">focuses on </w:t>
      </w:r>
      <w:bookmarkStart w:id="231" w:name="dabmq_124"/>
      <w:r w:rsidR="00733B86" w:rsidRPr="0038179C">
        <w:t xml:space="preserve">“knowing[] agree[ment] . . . to </w:t>
      </w:r>
      <w:r w:rsidR="002607FB" w:rsidRPr="0038179C">
        <w:t xml:space="preserve">the </w:t>
      </w:r>
      <w:r w:rsidR="00733B86" w:rsidRPr="0038179C">
        <w:t>surveillance</w:t>
      </w:r>
      <w:r w:rsidR="009C73D6" w:rsidRPr="0038179C">
        <w:t>”</w:t>
      </w:r>
      <w:bookmarkEnd w:id="231"/>
      <w:r w:rsidR="009C73D6" w:rsidRPr="0038179C">
        <w:t>; and the trial court “disregarded” this standard.</w:t>
      </w:r>
      <w:r w:rsidR="00733B86" w:rsidRPr="0038179C">
        <w:t xml:space="preserve">  </w:t>
      </w:r>
      <w:r w:rsidR="00B07452" w:rsidRPr="0038179C">
        <w:t>S</w:t>
      </w:r>
      <w:r w:rsidR="00733B86" w:rsidRPr="0038179C">
        <w:t xml:space="preserve">he </w:t>
      </w:r>
      <w:r w:rsidR="00595F2E" w:rsidRPr="0038179C">
        <w:t>argues</w:t>
      </w:r>
      <w:r w:rsidR="00733B86" w:rsidRPr="0038179C">
        <w:t xml:space="preserve"> </w:t>
      </w:r>
      <w:r w:rsidR="00B07452" w:rsidRPr="0038179C">
        <w:t xml:space="preserve">the </w:t>
      </w:r>
      <w:r w:rsidR="00267E55" w:rsidRPr="0038179C">
        <w:t xml:space="preserve">court improperly </w:t>
      </w:r>
      <w:bookmarkStart w:id="232" w:name="dabmq_125"/>
      <w:r w:rsidR="00C9521B" w:rsidRPr="0038179C">
        <w:t>“</w:t>
      </w:r>
      <w:r w:rsidR="00536807" w:rsidRPr="0038179C">
        <w:t>[</w:t>
      </w:r>
      <w:r w:rsidR="00267E55" w:rsidRPr="0038179C">
        <w:t>created</w:t>
      </w:r>
      <w:r w:rsidR="00536807" w:rsidRPr="0038179C">
        <w:t>] . . . </w:t>
      </w:r>
      <w:r w:rsidR="00267E55" w:rsidRPr="0038179C">
        <w:t>a whole new</w:t>
      </w:r>
      <w:r w:rsidR="00C9521B" w:rsidRPr="0038179C">
        <w:t xml:space="preserve"> . . .  </w:t>
      </w:r>
      <w:r w:rsidR="00267E55" w:rsidRPr="0038179C">
        <w:t>consent</w:t>
      </w:r>
      <w:r w:rsidR="00C9521B" w:rsidRPr="0038179C">
        <w:t>”</w:t>
      </w:r>
      <w:bookmarkEnd w:id="232"/>
      <w:r w:rsidR="00267E55" w:rsidRPr="0038179C">
        <w:t xml:space="preserve"> standard based on “</w:t>
      </w:r>
      <w:r w:rsidR="00536807" w:rsidRPr="0038179C">
        <w:t> ‘</w:t>
      </w:r>
      <w:r w:rsidR="00267E55" w:rsidRPr="0038179C">
        <w:t>inquiry notice,</w:t>
      </w:r>
      <w:r w:rsidR="00536807" w:rsidRPr="0038179C">
        <w:t>’ </w:t>
      </w:r>
      <w:r w:rsidR="00267E55" w:rsidRPr="0038179C">
        <w:t xml:space="preserve">” and factors like whether she “should have been aware” of recording.  </w:t>
      </w:r>
      <w:r w:rsidR="0085204D" w:rsidRPr="0038179C">
        <w:t xml:space="preserve">We agree </w:t>
      </w:r>
      <w:r w:rsidR="0085204D" w:rsidRPr="0038179C">
        <w:rPr>
          <w:i/>
          <w:iCs/>
        </w:rPr>
        <w:t>Griggs-Ryan</w:t>
      </w:r>
      <w:r w:rsidR="0085204D" w:rsidRPr="0038179C">
        <w:t xml:space="preserve"> </w:t>
      </w:r>
      <w:r w:rsidR="00C33646" w:rsidRPr="0038179C">
        <w:t xml:space="preserve">provides guidance </w:t>
      </w:r>
      <w:r w:rsidR="009C73D6" w:rsidRPr="0038179C">
        <w:t xml:space="preserve">on implied </w:t>
      </w:r>
      <w:proofErr w:type="gramStart"/>
      <w:r w:rsidR="009C73D6" w:rsidRPr="0038179C">
        <w:t>consent</w:t>
      </w:r>
      <w:r w:rsidR="00C33646" w:rsidRPr="0038179C">
        <w:t>, but</w:t>
      </w:r>
      <w:proofErr w:type="gramEnd"/>
      <w:r w:rsidR="00C33646" w:rsidRPr="0038179C">
        <w:t xml:space="preserve"> </w:t>
      </w:r>
      <w:r w:rsidR="004A0CCF" w:rsidRPr="0038179C">
        <w:t xml:space="preserve">disagree the trial court erred in analyzing </w:t>
      </w:r>
      <w:r w:rsidR="00CB3979" w:rsidRPr="0038179C">
        <w:t>implied consent here</w:t>
      </w:r>
      <w:r w:rsidR="004A0CCF" w:rsidRPr="0038179C">
        <w:t>.</w:t>
      </w:r>
    </w:p>
    <w:p w14:paraId="09176B72" w14:textId="77777777" w:rsidR="00C04660" w:rsidRPr="0038179C" w:rsidRDefault="00C33646" w:rsidP="00882F89">
      <w:pPr>
        <w:spacing w:line="360" w:lineRule="auto"/>
      </w:pPr>
      <w:r w:rsidRPr="0038179C">
        <w:tab/>
        <w:t xml:space="preserve">First, </w:t>
      </w:r>
      <w:r w:rsidR="00C539DE" w:rsidRPr="0038179C">
        <w:rPr>
          <w:i/>
          <w:iCs/>
        </w:rPr>
        <w:t>Griggs-Ryan</w:t>
      </w:r>
      <w:r w:rsidR="00C539DE" w:rsidRPr="0038179C">
        <w:t xml:space="preserve"> involved </w:t>
      </w:r>
      <w:r w:rsidR="001415F4" w:rsidRPr="0038179C">
        <w:t>the</w:t>
      </w:r>
      <w:r w:rsidR="0054534D" w:rsidRPr="0038179C">
        <w:t xml:space="preserve"> </w:t>
      </w:r>
      <w:r w:rsidR="00C539DE" w:rsidRPr="0038179C">
        <w:t>federal wiretap</w:t>
      </w:r>
      <w:r w:rsidR="00FD76D2" w:rsidRPr="0038179C">
        <w:t>ping</w:t>
      </w:r>
      <w:r w:rsidR="00C539DE" w:rsidRPr="0038179C">
        <w:t xml:space="preserve"> </w:t>
      </w:r>
      <w:r w:rsidR="00FD76D2" w:rsidRPr="0038179C">
        <w:t>law</w:t>
      </w:r>
      <w:r w:rsidR="00C539DE" w:rsidRPr="0038179C">
        <w:t xml:space="preserve">, </w:t>
      </w:r>
      <w:r w:rsidR="00FD76D2" w:rsidRPr="0038179C">
        <w:t xml:space="preserve">under </w:t>
      </w:r>
      <w:r w:rsidR="00C539DE" w:rsidRPr="0038179C">
        <w:t xml:space="preserve">which it is </w:t>
      </w:r>
      <w:bookmarkStart w:id="233" w:name="dabmq_126"/>
      <w:r w:rsidR="00C539DE" w:rsidRPr="0038179C">
        <w:t>“not unlawful . . . for a person . . . to intercept a . . . communication where such person is a party to the communication or where one of the parties to the communication has given prior consent to such interception.”</w:t>
      </w:r>
      <w:bookmarkEnd w:id="233"/>
      <w:r w:rsidR="00C539DE" w:rsidRPr="0038179C">
        <w:t xml:space="preserve"> (18 U.S.C.</w:t>
      </w:r>
      <w:r w:rsidR="00C04660" w:rsidRPr="0038179C">
        <w:t> </w:t>
      </w:r>
    </w:p>
    <w:p w14:paraId="68119B18" w14:textId="4998E1B3" w:rsidR="00C539DE" w:rsidRPr="0038179C" w:rsidRDefault="00C539DE" w:rsidP="00882F89">
      <w:pPr>
        <w:spacing w:line="360" w:lineRule="auto"/>
      </w:pPr>
      <w:r w:rsidRPr="0038179C">
        <w:lastRenderedPageBreak/>
        <w:t>§ 2511(2)(d).)</w:t>
      </w:r>
      <w:r w:rsidR="00FD76D2" w:rsidRPr="0038179C">
        <w:t xml:space="preserve">  </w:t>
      </w:r>
      <w:r w:rsidRPr="0038179C">
        <w:rPr>
          <w:lang w:bidi="en-US"/>
        </w:rPr>
        <w:t xml:space="preserve">Federal courts have </w:t>
      </w:r>
      <w:bookmarkStart w:id="234" w:name="dabmq_127"/>
      <w:r w:rsidRPr="0038179C">
        <w:rPr>
          <w:lang w:bidi="en-US"/>
        </w:rPr>
        <w:t xml:space="preserve">“uniformly held </w:t>
      </w:r>
      <w:r w:rsidR="00FD76D2" w:rsidRPr="0038179C">
        <w:rPr>
          <w:lang w:bidi="en-US"/>
        </w:rPr>
        <w:t>. . .</w:t>
      </w:r>
      <w:r w:rsidRPr="0038179C">
        <w:rPr>
          <w:lang w:bidi="en-US"/>
        </w:rPr>
        <w:t xml:space="preserve"> implicit consent will satisfy”</w:t>
      </w:r>
      <w:bookmarkEnd w:id="234"/>
      <w:r w:rsidRPr="0038179C">
        <w:rPr>
          <w:lang w:bidi="en-US"/>
        </w:rPr>
        <w:t xml:space="preserve"> </w:t>
      </w:r>
      <w:r w:rsidR="00FD76D2" w:rsidRPr="0038179C">
        <w:rPr>
          <w:lang w:bidi="en-US"/>
        </w:rPr>
        <w:t xml:space="preserve">such </w:t>
      </w:r>
      <w:r w:rsidRPr="0038179C">
        <w:rPr>
          <w:lang w:bidi="en-US"/>
        </w:rPr>
        <w:t>consent.  (</w:t>
      </w:r>
      <w:bookmarkStart w:id="235" w:name="dabmci_a2e815fc95f8446abdd80e1aedab33a8"/>
      <w:r w:rsidRPr="0038179C">
        <w:rPr>
          <w:i/>
          <w:iCs/>
          <w:lang w:bidi="en-US"/>
        </w:rPr>
        <w:t>Berry v. Funk</w:t>
      </w:r>
      <w:r w:rsidRPr="0038179C">
        <w:rPr>
          <w:lang w:bidi="en-US"/>
        </w:rPr>
        <w:t xml:space="preserve"> (D.C. Cir. 1998) 146 F.3d 1003, </w:t>
      </w:r>
      <w:r w:rsidR="00366400" w:rsidRPr="0038179C">
        <w:rPr>
          <w:lang w:bidi="en-US"/>
        </w:rPr>
        <w:t>1011</w:t>
      </w:r>
      <w:r w:rsidRPr="0038179C">
        <w:rPr>
          <w:lang w:bidi="en-US"/>
        </w:rPr>
        <w:t xml:space="preserve"> (</w:t>
      </w:r>
      <w:r w:rsidRPr="0038179C">
        <w:rPr>
          <w:i/>
          <w:iCs/>
          <w:lang w:bidi="en-US"/>
        </w:rPr>
        <w:t>Berry</w:t>
      </w:r>
      <w:r w:rsidRPr="0038179C">
        <w:rPr>
          <w:lang w:bidi="en-US"/>
        </w:rPr>
        <w:t>)</w:t>
      </w:r>
      <w:bookmarkEnd w:id="235"/>
      <w:r w:rsidRPr="0038179C">
        <w:rPr>
          <w:lang w:bidi="en-US"/>
        </w:rPr>
        <w:t xml:space="preserve">.)  In </w:t>
      </w:r>
      <w:bookmarkStart w:id="236" w:name="dabmci_e05841ec13d64596b60c466062b93a62"/>
      <w:r w:rsidRPr="0038179C">
        <w:rPr>
          <w:i/>
          <w:iCs/>
          <w:lang w:bidi="en-US"/>
        </w:rPr>
        <w:t>Griggs-Ryan</w:t>
      </w:r>
      <w:bookmarkEnd w:id="236"/>
      <w:r w:rsidRPr="0038179C">
        <w:rPr>
          <w:lang w:bidi="en-US"/>
        </w:rPr>
        <w:t xml:space="preserve">, the First Circuit affirmed summary judgment for defendants in an action by a tenant who impliedly consented to his </w:t>
      </w:r>
      <w:r w:rsidR="00FD76D2" w:rsidRPr="0038179C">
        <w:rPr>
          <w:lang w:bidi="en-US"/>
        </w:rPr>
        <w:t>landl</w:t>
      </w:r>
      <w:r w:rsidR="00090B27" w:rsidRPr="0038179C">
        <w:rPr>
          <w:lang w:bidi="en-US"/>
        </w:rPr>
        <w:t>ady</w:t>
      </w:r>
      <w:r w:rsidR="00FD76D2" w:rsidRPr="0038179C">
        <w:rPr>
          <w:lang w:bidi="en-US"/>
        </w:rPr>
        <w:t xml:space="preserve">’s </w:t>
      </w:r>
      <w:r w:rsidR="00090B27" w:rsidRPr="0038179C">
        <w:rPr>
          <w:lang w:bidi="en-US"/>
        </w:rPr>
        <w:t>interception of his calls</w:t>
      </w:r>
      <w:r w:rsidRPr="0038179C">
        <w:rPr>
          <w:lang w:bidi="en-US"/>
        </w:rPr>
        <w:t>.  (</w:t>
      </w:r>
      <w:bookmarkStart w:id="237" w:name="dabmci_5bdf2d017d1e4906bee7e4573397677c"/>
      <w:r w:rsidRPr="0038179C">
        <w:rPr>
          <w:i/>
          <w:iCs/>
          <w:lang w:bidi="en-US"/>
        </w:rPr>
        <w:t>Griggs-Ryan</w:t>
      </w:r>
      <w:r w:rsidRPr="0038179C">
        <w:rPr>
          <w:lang w:bidi="en-US"/>
        </w:rPr>
        <w:t xml:space="preserve">, </w:t>
      </w:r>
      <w:r w:rsidRPr="0038179C">
        <w:rPr>
          <w:i/>
          <w:iCs/>
          <w:lang w:bidi="en-US"/>
        </w:rPr>
        <w:t>supra</w:t>
      </w:r>
      <w:r w:rsidRPr="0038179C">
        <w:rPr>
          <w:lang w:bidi="en-US"/>
        </w:rPr>
        <w:t>, 904 F.2d at pp. 113, 119</w:t>
      </w:r>
      <w:bookmarkEnd w:id="237"/>
      <w:r w:rsidRPr="0038179C">
        <w:rPr>
          <w:lang w:bidi="en-US"/>
        </w:rPr>
        <w:t xml:space="preserve">; </w:t>
      </w:r>
      <w:bookmarkStart w:id="238" w:name="dabmci_3740966a5f184368ad258469e217156b"/>
      <w:r w:rsidRPr="0038179C">
        <w:rPr>
          <w:i/>
          <w:iCs/>
          <w:lang w:bidi="en-US"/>
        </w:rPr>
        <w:t>id.</w:t>
      </w:r>
      <w:r w:rsidRPr="0038179C">
        <w:rPr>
          <w:lang w:bidi="en-US"/>
        </w:rPr>
        <w:t xml:space="preserve"> at p. 117</w:t>
      </w:r>
      <w:bookmarkEnd w:id="238"/>
      <w:r w:rsidRPr="0038179C">
        <w:rPr>
          <w:lang w:bidi="en-US"/>
        </w:rPr>
        <w:t xml:space="preserve"> [</w:t>
      </w:r>
      <w:r w:rsidR="00FD76D2" w:rsidRPr="0038179C">
        <w:rPr>
          <w:lang w:bidi="en-US"/>
        </w:rPr>
        <w:t>tenant</w:t>
      </w:r>
      <w:r w:rsidRPr="0038179C">
        <w:rPr>
          <w:lang w:bidi="en-US"/>
        </w:rPr>
        <w:t xml:space="preserve"> was </w:t>
      </w:r>
      <w:bookmarkStart w:id="239" w:name="dabmq_128"/>
      <w:r w:rsidRPr="0038179C">
        <w:rPr>
          <w:lang w:bidi="en-US"/>
        </w:rPr>
        <w:t>“repeatedly informed that all incoming calls were being monitored”</w:t>
      </w:r>
      <w:bookmarkEnd w:id="239"/>
      <w:r w:rsidRPr="0038179C">
        <w:rPr>
          <w:lang w:bidi="en-US"/>
        </w:rPr>
        <w:t xml:space="preserve">].)  The court explained: </w:t>
      </w:r>
    </w:p>
    <w:p w14:paraId="0677D4D1" w14:textId="7E1260F0" w:rsidR="00C539DE" w:rsidRPr="0038179C" w:rsidRDefault="00C539DE" w:rsidP="009443F9">
      <w:pPr>
        <w:keepLines/>
        <w:ind w:left="720"/>
        <w:rPr>
          <w:lang w:bidi="en-US"/>
        </w:rPr>
      </w:pPr>
      <w:bookmarkStart w:id="240" w:name="dabmq_129"/>
      <w:r w:rsidRPr="0038179C">
        <w:rPr>
          <w:lang w:bidi="en-US"/>
        </w:rPr>
        <w:t>“[I]mplied consent is ‘consent in fact’ which is inferred ‘from surrounding circumstances indicating that the [party] knowingly agreed to the surveillance.’  [Citations.]</w:t>
      </w:r>
      <w:r w:rsidR="00090B27" w:rsidRPr="0038179C">
        <w:rPr>
          <w:lang w:bidi="en-US"/>
        </w:rPr>
        <w:t xml:space="preserve"> . . . </w:t>
      </w:r>
      <w:r w:rsidRPr="0038179C">
        <w:rPr>
          <w:lang w:bidi="en-US"/>
        </w:rPr>
        <w:t>The circumstances . . . will vary from case to case, but . . . will ordinarily include language or acts which tend to prove (or disprove) that a party knows of, or assents to, encroachments on the routine expectation that conversations are private.”</w:t>
      </w:r>
      <w:bookmarkEnd w:id="240"/>
      <w:r w:rsidRPr="0038179C">
        <w:rPr>
          <w:lang w:bidi="en-US"/>
        </w:rPr>
        <w:t xml:space="preserve">  </w:t>
      </w:r>
    </w:p>
    <w:p w14:paraId="221DD332" w14:textId="77777777" w:rsidR="002607FB" w:rsidRPr="0038179C" w:rsidRDefault="002607FB" w:rsidP="002607FB">
      <w:pPr>
        <w:ind w:left="720"/>
        <w:rPr>
          <w:lang w:bidi="en-US"/>
        </w:rPr>
      </w:pPr>
    </w:p>
    <w:p w14:paraId="6BB73F12" w14:textId="0EBEC419" w:rsidR="00DA3A45" w:rsidRPr="0038179C" w:rsidRDefault="00C539DE" w:rsidP="00882F89">
      <w:pPr>
        <w:spacing w:line="360" w:lineRule="auto"/>
        <w:rPr>
          <w:lang w:bidi="en-US"/>
        </w:rPr>
      </w:pPr>
      <w:r w:rsidRPr="0038179C">
        <w:rPr>
          <w:lang w:bidi="en-US"/>
        </w:rPr>
        <w:t>(</w:t>
      </w:r>
      <w:bookmarkStart w:id="241" w:name="dabmci_01216783d76547f1b4e646fb6b26639d"/>
      <w:r w:rsidRPr="0038179C">
        <w:rPr>
          <w:i/>
          <w:iCs/>
          <w:lang w:bidi="en-US"/>
        </w:rPr>
        <w:t>Griggs-Ryan</w:t>
      </w:r>
      <w:r w:rsidRPr="0038179C">
        <w:rPr>
          <w:lang w:bidi="en-US"/>
        </w:rPr>
        <w:t xml:space="preserve"> at pp. 11</w:t>
      </w:r>
      <w:r w:rsidR="00366400" w:rsidRPr="0038179C">
        <w:rPr>
          <w:lang w:bidi="en-US"/>
        </w:rPr>
        <w:t>6</w:t>
      </w:r>
      <w:r w:rsidR="00804869">
        <w:rPr>
          <w:lang w:bidi="en-US"/>
        </w:rPr>
        <w:t>–</w:t>
      </w:r>
      <w:r w:rsidRPr="0038179C">
        <w:rPr>
          <w:lang w:bidi="en-US"/>
        </w:rPr>
        <w:t>11</w:t>
      </w:r>
      <w:r w:rsidR="00366400" w:rsidRPr="0038179C">
        <w:rPr>
          <w:lang w:bidi="en-US"/>
        </w:rPr>
        <w:t>7</w:t>
      </w:r>
      <w:bookmarkEnd w:id="241"/>
      <w:r w:rsidRPr="0038179C">
        <w:rPr>
          <w:lang w:bidi="en-US"/>
        </w:rPr>
        <w:t>;</w:t>
      </w:r>
      <w:r w:rsidR="0072562D" w:rsidRPr="0038179C">
        <w:rPr>
          <w:lang w:bidi="en-US"/>
        </w:rPr>
        <w:t xml:space="preserve"> accord, </w:t>
      </w:r>
      <w:bookmarkStart w:id="242" w:name="dabmci_21100b127c04435fb464e270b41e5621"/>
      <w:proofErr w:type="gramStart"/>
      <w:r w:rsidR="0072562D" w:rsidRPr="0038179C">
        <w:rPr>
          <w:i/>
          <w:iCs/>
          <w:lang w:bidi="en-US"/>
        </w:rPr>
        <w:t>Negro</w:t>
      </w:r>
      <w:proofErr w:type="gramEnd"/>
      <w:r w:rsidR="0072562D" w:rsidRPr="0038179C">
        <w:rPr>
          <w:i/>
          <w:iCs/>
          <w:lang w:bidi="en-US"/>
        </w:rPr>
        <w:t xml:space="preserve">, supra, </w:t>
      </w:r>
      <w:r w:rsidR="0072562D" w:rsidRPr="0038179C">
        <w:rPr>
          <w:lang w:bidi="en-US"/>
        </w:rPr>
        <w:t>230 Cal.App.4th at p. 892</w:t>
      </w:r>
      <w:bookmarkEnd w:id="242"/>
      <w:r w:rsidR="0072562D" w:rsidRPr="0038179C">
        <w:rPr>
          <w:lang w:bidi="en-US"/>
        </w:rPr>
        <w:t xml:space="preserve"> [describing implied consent standard in wiretapping context</w:t>
      </w:r>
      <w:r w:rsidR="00CB3979" w:rsidRPr="0038179C">
        <w:rPr>
          <w:lang w:bidi="en-US"/>
        </w:rPr>
        <w:t xml:space="preserve">, </w:t>
      </w:r>
      <w:r w:rsidR="004E3AD7" w:rsidRPr="0038179C">
        <w:rPr>
          <w:lang w:bidi="en-US"/>
        </w:rPr>
        <w:t>quoting</w:t>
      </w:r>
      <w:r w:rsidR="00CB3979" w:rsidRPr="0038179C">
        <w:rPr>
          <w:lang w:bidi="en-US"/>
        </w:rPr>
        <w:t xml:space="preserve"> </w:t>
      </w:r>
      <w:r w:rsidR="00CB3979" w:rsidRPr="0038179C">
        <w:rPr>
          <w:i/>
          <w:iCs/>
          <w:lang w:bidi="en-US"/>
        </w:rPr>
        <w:t>Griggs-Ryan</w:t>
      </w:r>
      <w:r w:rsidR="0072562D" w:rsidRPr="0038179C">
        <w:rPr>
          <w:lang w:bidi="en-US"/>
        </w:rPr>
        <w:t>]; see</w:t>
      </w:r>
      <w:r w:rsidRPr="0038179C">
        <w:rPr>
          <w:lang w:bidi="en-US"/>
        </w:rPr>
        <w:t xml:space="preserve"> </w:t>
      </w:r>
      <w:bookmarkStart w:id="243" w:name="dabmci_93a269790d154e6aa119bba6cbe6fcca"/>
      <w:r w:rsidRPr="0038179C">
        <w:rPr>
          <w:i/>
          <w:iCs/>
          <w:lang w:bidi="en-US"/>
        </w:rPr>
        <w:t>Berry</w:t>
      </w:r>
      <w:r w:rsidRPr="0038179C">
        <w:rPr>
          <w:lang w:bidi="en-US"/>
        </w:rPr>
        <w:t>, at p. 1009</w:t>
      </w:r>
      <w:bookmarkEnd w:id="243"/>
      <w:r w:rsidRPr="0038179C">
        <w:rPr>
          <w:lang w:bidi="en-US"/>
        </w:rPr>
        <w:t xml:space="preserve"> [</w:t>
      </w:r>
      <w:bookmarkStart w:id="244" w:name="dabmq_130"/>
      <w:r w:rsidRPr="0038179C">
        <w:rPr>
          <w:lang w:bidi="en-US"/>
        </w:rPr>
        <w:t>“The key question in such an inquiry obviously is whether parties were given sufficient notice</w:t>
      </w:r>
      <w:r w:rsidR="004618F0" w:rsidRPr="0038179C">
        <w:rPr>
          <w:lang w:bidi="en-US"/>
        </w:rPr>
        <w:t>.</w:t>
      </w:r>
      <w:r w:rsidRPr="0038179C">
        <w:rPr>
          <w:lang w:bidi="en-US"/>
        </w:rPr>
        <w:t>”</w:t>
      </w:r>
      <w:bookmarkEnd w:id="244"/>
      <w:r w:rsidRPr="0038179C">
        <w:rPr>
          <w:lang w:bidi="en-US"/>
        </w:rPr>
        <w:t>]</w:t>
      </w:r>
      <w:r w:rsidR="0072562D" w:rsidRPr="0038179C">
        <w:rPr>
          <w:lang w:bidi="en-US"/>
        </w:rPr>
        <w:t>.)</w:t>
      </w:r>
      <w:r w:rsidR="00DA3A45" w:rsidRPr="0038179C">
        <w:rPr>
          <w:rStyle w:val="FootnoteReference"/>
          <w:lang w:bidi="en-US"/>
        </w:rPr>
        <w:footnoteReference w:id="17"/>
      </w:r>
    </w:p>
    <w:p w14:paraId="70D84755" w14:textId="79077118" w:rsidR="00520155" w:rsidRPr="0038179C" w:rsidRDefault="00DA3A45" w:rsidP="00882F89">
      <w:pPr>
        <w:spacing w:line="360" w:lineRule="auto"/>
        <w:rPr>
          <w:lang w:bidi="en-US"/>
        </w:rPr>
      </w:pPr>
      <w:r w:rsidRPr="0038179C">
        <w:rPr>
          <w:lang w:bidi="en-US"/>
        </w:rPr>
        <w:tab/>
      </w:r>
      <w:r w:rsidR="00090B27" w:rsidRPr="0038179C">
        <w:rPr>
          <w:lang w:bidi="en-US"/>
        </w:rPr>
        <w:t>Federal c</w:t>
      </w:r>
      <w:r w:rsidR="00C539DE" w:rsidRPr="0038179C">
        <w:rPr>
          <w:lang w:bidi="en-US"/>
        </w:rPr>
        <w:t xml:space="preserve">ases </w:t>
      </w:r>
      <w:r w:rsidR="001A5BAE" w:rsidRPr="0038179C">
        <w:rPr>
          <w:lang w:bidi="en-US"/>
        </w:rPr>
        <w:t xml:space="preserve">have </w:t>
      </w:r>
      <w:r w:rsidR="00CB3979" w:rsidRPr="0038179C">
        <w:rPr>
          <w:lang w:bidi="en-US"/>
        </w:rPr>
        <w:t>cited</w:t>
      </w:r>
      <w:r w:rsidR="001A5BAE" w:rsidRPr="0038179C">
        <w:rPr>
          <w:lang w:bidi="en-US"/>
        </w:rPr>
        <w:t xml:space="preserve"> </w:t>
      </w:r>
      <w:r w:rsidR="00674AF8" w:rsidRPr="0038179C">
        <w:rPr>
          <w:i/>
          <w:iCs/>
          <w:lang w:bidi="en-US"/>
        </w:rPr>
        <w:t>Griggs-Ryan</w:t>
      </w:r>
      <w:r w:rsidR="00CB3979" w:rsidRPr="0038179C">
        <w:rPr>
          <w:i/>
          <w:iCs/>
          <w:lang w:bidi="en-US"/>
        </w:rPr>
        <w:t xml:space="preserve"> </w:t>
      </w:r>
      <w:r w:rsidR="00CB3979" w:rsidRPr="0038179C">
        <w:rPr>
          <w:lang w:bidi="en-US"/>
        </w:rPr>
        <w:t>and</w:t>
      </w:r>
      <w:r w:rsidR="00674AF8" w:rsidRPr="0038179C">
        <w:rPr>
          <w:i/>
          <w:iCs/>
          <w:lang w:bidi="en-US"/>
        </w:rPr>
        <w:t xml:space="preserve"> </w:t>
      </w:r>
      <w:proofErr w:type="gramStart"/>
      <w:r w:rsidR="00674AF8" w:rsidRPr="0038179C">
        <w:rPr>
          <w:i/>
          <w:iCs/>
          <w:lang w:bidi="en-US"/>
        </w:rPr>
        <w:t>Negro</w:t>
      </w:r>
      <w:proofErr w:type="gramEnd"/>
      <w:r w:rsidR="00CB3979" w:rsidRPr="0038179C">
        <w:rPr>
          <w:lang w:bidi="en-US"/>
        </w:rPr>
        <w:t xml:space="preserve"> (or cases using similar language) in addressing </w:t>
      </w:r>
      <w:r w:rsidR="00674AF8" w:rsidRPr="0038179C">
        <w:rPr>
          <w:lang w:bidi="en-US"/>
        </w:rPr>
        <w:t xml:space="preserve">implied consent under </w:t>
      </w:r>
      <w:r w:rsidR="001A5BAE" w:rsidRPr="0038179C">
        <w:rPr>
          <w:lang w:bidi="en-US"/>
        </w:rPr>
        <w:t>the Privacy Act</w:t>
      </w:r>
      <w:r w:rsidR="00674AF8" w:rsidRPr="0038179C">
        <w:rPr>
          <w:lang w:bidi="en-US"/>
        </w:rPr>
        <w:t>, and we conclude this application was appropriate</w:t>
      </w:r>
      <w:r w:rsidR="00C539DE" w:rsidRPr="0038179C">
        <w:rPr>
          <w:lang w:bidi="en-US"/>
        </w:rPr>
        <w:t xml:space="preserve">.  (See, e.g., </w:t>
      </w:r>
      <w:bookmarkStart w:id="248" w:name="dabmci_671b3e7e729c4950900e002138239289"/>
      <w:r w:rsidR="001A5BAE" w:rsidRPr="0038179C">
        <w:rPr>
          <w:i/>
          <w:iCs/>
        </w:rPr>
        <w:t>Brinkley</w:t>
      </w:r>
      <w:r w:rsidR="00710FE3" w:rsidRPr="0038179C">
        <w:t xml:space="preserve">, </w:t>
      </w:r>
      <w:r w:rsidR="00710FE3" w:rsidRPr="0038179C">
        <w:rPr>
          <w:i/>
          <w:iCs/>
        </w:rPr>
        <w:t>supra</w:t>
      </w:r>
      <w:r w:rsidR="00710FE3" w:rsidRPr="0038179C">
        <w:t xml:space="preserve">, </w:t>
      </w:r>
      <w:r w:rsidR="001A5BAE" w:rsidRPr="0038179C">
        <w:t xml:space="preserve">2022 </w:t>
      </w:r>
      <w:r w:rsidR="001A5BAE" w:rsidRPr="0038179C">
        <w:lastRenderedPageBreak/>
        <w:t>WL 4111871, at *5</w:t>
      </w:r>
      <w:bookmarkEnd w:id="248"/>
      <w:r w:rsidR="00804720" w:rsidRPr="0038179C">
        <w:t xml:space="preserve"> </w:t>
      </w:r>
      <w:r w:rsidR="001A5BAE" w:rsidRPr="0038179C">
        <w:t xml:space="preserve"> [</w:t>
      </w:r>
      <w:bookmarkStart w:id="249" w:name="dabmq_131"/>
      <w:r w:rsidR="001A5BAE" w:rsidRPr="0038179C">
        <w:t>“[§] 632.7 does not define ‘consent,’ which may be implied”</w:t>
      </w:r>
      <w:bookmarkEnd w:id="249"/>
      <w:r w:rsidR="001A5BAE" w:rsidRPr="0038179C">
        <w:t xml:space="preserve">; citing </w:t>
      </w:r>
      <w:bookmarkStart w:id="250" w:name="dabmci_eb695c8091ef482abef3f3306eeaea89"/>
      <w:proofErr w:type="gramStart"/>
      <w:r w:rsidR="001A5BAE" w:rsidRPr="0038179C">
        <w:rPr>
          <w:i/>
          <w:iCs/>
        </w:rPr>
        <w:t>Negro</w:t>
      </w:r>
      <w:bookmarkEnd w:id="250"/>
      <w:proofErr w:type="gramEnd"/>
      <w:r w:rsidR="001A5BAE" w:rsidRPr="0038179C">
        <w:t>]</w:t>
      </w:r>
      <w:r w:rsidR="001A5BAE" w:rsidRPr="0038179C">
        <w:rPr>
          <w:lang w:bidi="en-US"/>
        </w:rPr>
        <w:t xml:space="preserve">; </w:t>
      </w:r>
      <w:bookmarkStart w:id="251" w:name="dabmci_c4bc5b4c356d436294e006e7ac6cb525"/>
      <w:r w:rsidR="00924F59" w:rsidRPr="0038179C">
        <w:rPr>
          <w:i/>
          <w:iCs/>
          <w:lang w:bidi="en-US"/>
        </w:rPr>
        <w:t>Nei Contracting &amp; Eng’g, Inc. v. Hanson Aggregates Pac. Sw., Inc.</w:t>
      </w:r>
      <w:r w:rsidR="00924F59" w:rsidRPr="0038179C">
        <w:rPr>
          <w:lang w:bidi="en-US"/>
        </w:rPr>
        <w:t xml:space="preserve"> (S.D.Cal.</w:t>
      </w:r>
      <w:r w:rsidR="00662A18" w:rsidRPr="0038179C">
        <w:rPr>
          <w:lang w:bidi="en-US"/>
        </w:rPr>
        <w:t xml:space="preserve">  </w:t>
      </w:r>
      <w:r w:rsidR="00924F59" w:rsidRPr="0038179C">
        <w:rPr>
          <w:lang w:bidi="en-US"/>
        </w:rPr>
        <w:t>Sept. 15, 2016) 2016 WL 4886933, at *3</w:t>
      </w:r>
      <w:bookmarkEnd w:id="251"/>
      <w:r w:rsidR="00924F59" w:rsidRPr="0038179C">
        <w:rPr>
          <w:lang w:bidi="en-US"/>
        </w:rPr>
        <w:t xml:space="preserve"> [citing </w:t>
      </w:r>
      <w:r w:rsidR="00924F59" w:rsidRPr="0038179C">
        <w:rPr>
          <w:i/>
          <w:iCs/>
          <w:lang w:bidi="en-US"/>
        </w:rPr>
        <w:t>Griggs-Ryan</w:t>
      </w:r>
      <w:r w:rsidR="00924F59" w:rsidRPr="0038179C">
        <w:rPr>
          <w:lang w:bidi="en-US"/>
        </w:rPr>
        <w:t xml:space="preserve"> and </w:t>
      </w:r>
      <w:r w:rsidR="00924F59" w:rsidRPr="0038179C">
        <w:rPr>
          <w:i/>
          <w:iCs/>
          <w:lang w:bidi="en-US"/>
        </w:rPr>
        <w:t>Negro</w:t>
      </w:r>
      <w:r w:rsidR="00924F59" w:rsidRPr="0038179C">
        <w:rPr>
          <w:lang w:bidi="en-US"/>
        </w:rPr>
        <w:t xml:space="preserve">, inter alia, for implied consent standards]; </w:t>
      </w:r>
      <w:r w:rsidR="00CB3979" w:rsidRPr="0038179C">
        <w:rPr>
          <w:lang w:bidi="en-US"/>
        </w:rPr>
        <w:t xml:space="preserve">cf. </w:t>
      </w:r>
      <w:bookmarkStart w:id="252" w:name="dabmci_410607b272ad4634a58f4ff2f5f1a891"/>
      <w:r w:rsidR="00C539DE" w:rsidRPr="0038179C">
        <w:rPr>
          <w:i/>
          <w:iCs/>
        </w:rPr>
        <w:t>Moledina, supra</w:t>
      </w:r>
      <w:r w:rsidR="00C539DE" w:rsidRPr="0038179C">
        <w:t>, 2022 WL 16630276, at *7</w:t>
      </w:r>
      <w:bookmarkEnd w:id="252"/>
      <w:r w:rsidR="00C539DE" w:rsidRPr="0038179C">
        <w:t xml:space="preserve"> [implied consent can exist where </w:t>
      </w:r>
      <w:bookmarkStart w:id="253" w:name="dabmq_132"/>
      <w:r w:rsidR="00C539DE" w:rsidRPr="0038179C">
        <w:t xml:space="preserve">“ ‘surrounding circumstances </w:t>
      </w:r>
      <w:r w:rsidR="000E3411" w:rsidRPr="0038179C">
        <w:t>indicat</w:t>
      </w:r>
      <w:r w:rsidR="000E3411">
        <w:t>[e]</w:t>
      </w:r>
      <w:r w:rsidR="000E3411" w:rsidRPr="0038179C">
        <w:t xml:space="preserve"> </w:t>
      </w:r>
      <w:r w:rsidR="00C539DE" w:rsidRPr="0038179C">
        <w:t>that the party to the call knowingly agreed to the surveillance’ ”</w:t>
      </w:r>
      <w:bookmarkEnd w:id="253"/>
      <w:r w:rsidR="00C539DE" w:rsidRPr="0038179C">
        <w:t>]</w:t>
      </w:r>
      <w:r w:rsidR="001A5BAE" w:rsidRPr="0038179C">
        <w:t>.)</w:t>
      </w:r>
      <w:r w:rsidR="005455DC" w:rsidRPr="0038179C">
        <w:rPr>
          <w:rStyle w:val="FootnoteReference"/>
          <w:rFonts w:cstheme="minorBidi"/>
          <w:szCs w:val="22"/>
        </w:rPr>
        <w:footnoteReference w:id="18"/>
      </w:r>
      <w:r w:rsidR="005455DC" w:rsidRPr="0038179C">
        <w:rPr>
          <w:lang w:bidi="en-US"/>
        </w:rPr>
        <w:t xml:space="preserve">  </w:t>
      </w:r>
      <w:r w:rsidR="00674AF8" w:rsidRPr="0038179C">
        <w:t xml:space="preserve">  </w:t>
      </w:r>
    </w:p>
    <w:p w14:paraId="104F9A5A" w14:textId="332DC124" w:rsidR="00804869" w:rsidRDefault="0072562D" w:rsidP="005455DC">
      <w:pPr>
        <w:spacing w:line="360" w:lineRule="auto"/>
        <w:rPr>
          <w:szCs w:val="26"/>
        </w:rPr>
      </w:pPr>
      <w:r w:rsidRPr="0038179C">
        <w:rPr>
          <w:lang w:bidi="en-US"/>
        </w:rPr>
        <w:tab/>
        <w:t>Second, Rojas does not es</w:t>
      </w:r>
      <w:r w:rsidR="00BD771D" w:rsidRPr="0038179C">
        <w:rPr>
          <w:lang w:bidi="en-US"/>
        </w:rPr>
        <w:t>tablish the trial court failed to apply the foregoing implied consent standards.</w:t>
      </w:r>
      <w:r w:rsidR="00520155" w:rsidRPr="0038179C">
        <w:rPr>
          <w:lang w:bidi="en-US"/>
        </w:rPr>
        <w:t xml:space="preserve">  The court’s analysis reflects it </w:t>
      </w:r>
      <w:r w:rsidR="00674AF8" w:rsidRPr="0038179C">
        <w:rPr>
          <w:lang w:bidi="en-US"/>
        </w:rPr>
        <w:t xml:space="preserve">focused on specific circumstances that </w:t>
      </w:r>
      <w:r w:rsidR="001848EC" w:rsidRPr="0038179C">
        <w:rPr>
          <w:lang w:bidi="en-US"/>
        </w:rPr>
        <w:t>showed</w:t>
      </w:r>
      <w:r w:rsidR="00674AF8" w:rsidRPr="0038179C">
        <w:rPr>
          <w:lang w:bidi="en-US"/>
        </w:rPr>
        <w:t xml:space="preserve"> Rojas</w:t>
      </w:r>
      <w:r w:rsidR="001848EC" w:rsidRPr="0038179C">
        <w:rPr>
          <w:lang w:bidi="en-US"/>
        </w:rPr>
        <w:t xml:space="preserve"> knew </w:t>
      </w:r>
      <w:r w:rsidR="00674AF8" w:rsidRPr="0038179C">
        <w:rPr>
          <w:lang w:bidi="en-US"/>
        </w:rPr>
        <w:t>HSBC record</w:t>
      </w:r>
      <w:r w:rsidR="001848EC" w:rsidRPr="0038179C">
        <w:rPr>
          <w:lang w:bidi="en-US"/>
        </w:rPr>
        <w:t>ed calls</w:t>
      </w:r>
      <w:r w:rsidR="00674AF8" w:rsidRPr="0038179C">
        <w:rPr>
          <w:lang w:bidi="en-US"/>
        </w:rPr>
        <w:t xml:space="preserve"> (e.g., disclosures in the cardmember agreement and </w:t>
      </w:r>
      <w:r w:rsidR="001848EC" w:rsidRPr="0038179C">
        <w:rPr>
          <w:lang w:bidi="en-US"/>
        </w:rPr>
        <w:t>her</w:t>
      </w:r>
      <w:r w:rsidR="00674AF8" w:rsidRPr="0038179C">
        <w:rPr>
          <w:lang w:bidi="en-US"/>
        </w:rPr>
        <w:t xml:space="preserve"> </w:t>
      </w:r>
      <w:r w:rsidR="001848EC" w:rsidRPr="0038179C">
        <w:rPr>
          <w:lang w:bidi="en-US"/>
        </w:rPr>
        <w:t xml:space="preserve">monthly </w:t>
      </w:r>
      <w:r w:rsidR="00674AF8" w:rsidRPr="0038179C">
        <w:rPr>
          <w:lang w:bidi="en-US"/>
        </w:rPr>
        <w:t>payment calls),</w:t>
      </w:r>
      <w:r w:rsidR="003E61E0">
        <w:rPr>
          <w:lang w:bidi="en-US"/>
        </w:rPr>
        <w:t xml:space="preserve"> and found </w:t>
      </w:r>
      <w:bookmarkStart w:id="258" w:name="dabmq_133"/>
      <w:r w:rsidR="003E61E0">
        <w:rPr>
          <w:lang w:bidi="en-US"/>
        </w:rPr>
        <w:t>“</w:t>
      </w:r>
      <w:r w:rsidR="003E61E0" w:rsidRPr="003E61E0">
        <w:rPr>
          <w:lang w:bidi="en-US"/>
        </w:rPr>
        <w:t>[b]oth forms of disclosure would have placed [her] on notice of recording</w:t>
      </w:r>
      <w:r w:rsidR="003E61E0">
        <w:rPr>
          <w:lang w:bidi="en-US"/>
        </w:rPr>
        <w:t>,”</w:t>
      </w:r>
      <w:bookmarkEnd w:id="258"/>
      <w:r w:rsidR="00674AF8" w:rsidRPr="0038179C">
        <w:rPr>
          <w:lang w:bidi="en-US"/>
        </w:rPr>
        <w:t xml:space="preserve"> such that her continued participation in </w:t>
      </w:r>
      <w:r w:rsidR="001848EC" w:rsidRPr="0038179C">
        <w:rPr>
          <w:lang w:bidi="en-US"/>
        </w:rPr>
        <w:t>calls from HSBC</w:t>
      </w:r>
      <w:r w:rsidR="00674AF8" w:rsidRPr="0038179C">
        <w:rPr>
          <w:lang w:bidi="en-US"/>
        </w:rPr>
        <w:t xml:space="preserve"> established </w:t>
      </w:r>
      <w:r w:rsidR="001848EC" w:rsidRPr="0038179C">
        <w:rPr>
          <w:lang w:bidi="en-US"/>
        </w:rPr>
        <w:t xml:space="preserve">her </w:t>
      </w:r>
      <w:r w:rsidR="00674AF8" w:rsidRPr="0038179C">
        <w:rPr>
          <w:lang w:bidi="en-US"/>
        </w:rPr>
        <w:t>implied consent</w:t>
      </w:r>
      <w:r w:rsidR="001848EC" w:rsidRPr="0038179C">
        <w:rPr>
          <w:lang w:bidi="en-US"/>
        </w:rPr>
        <w:t xml:space="preserve"> to recording of the calls</w:t>
      </w:r>
      <w:r w:rsidR="00674AF8" w:rsidRPr="0038179C">
        <w:rPr>
          <w:lang w:bidi="en-US"/>
        </w:rPr>
        <w:t xml:space="preserve">.  </w:t>
      </w:r>
      <w:r w:rsidR="008D2FF4" w:rsidRPr="0038179C">
        <w:rPr>
          <w:lang w:bidi="en-US"/>
        </w:rPr>
        <w:t xml:space="preserve">(See </w:t>
      </w:r>
      <w:bookmarkStart w:id="259" w:name="dabmci_8b635c8fbf2c4c2f8899e46677b1928d"/>
      <w:r w:rsidR="008D2FF4" w:rsidRPr="0038179C">
        <w:rPr>
          <w:i/>
          <w:iCs/>
          <w:lang w:bidi="en-US"/>
        </w:rPr>
        <w:t>Griggs-Ryan</w:t>
      </w:r>
      <w:r w:rsidR="008D2FF4" w:rsidRPr="0038179C">
        <w:rPr>
          <w:lang w:bidi="en-US"/>
        </w:rPr>
        <w:t xml:space="preserve">, </w:t>
      </w:r>
      <w:r w:rsidR="008D2FF4" w:rsidRPr="0038179C">
        <w:rPr>
          <w:i/>
          <w:iCs/>
          <w:lang w:bidi="en-US"/>
        </w:rPr>
        <w:t>supra</w:t>
      </w:r>
      <w:r w:rsidR="008D2FF4" w:rsidRPr="0038179C">
        <w:rPr>
          <w:lang w:bidi="en-US"/>
        </w:rPr>
        <w:t>, 904 F.2d at pp. 117</w:t>
      </w:r>
      <w:r w:rsidR="00D40552" w:rsidRPr="0038179C">
        <w:rPr>
          <w:lang w:bidi="en-US"/>
        </w:rPr>
        <w:t>–</w:t>
      </w:r>
      <w:r w:rsidR="008D2FF4" w:rsidRPr="0038179C">
        <w:rPr>
          <w:lang w:bidi="en-US"/>
        </w:rPr>
        <w:t>118</w:t>
      </w:r>
      <w:bookmarkEnd w:id="259"/>
      <w:r w:rsidR="00B445D5" w:rsidRPr="0038179C">
        <w:rPr>
          <w:lang w:bidi="en-US"/>
        </w:rPr>
        <w:t>;</w:t>
      </w:r>
      <w:r w:rsidR="00B445D5" w:rsidRPr="0038179C">
        <w:t xml:space="preserve"> </w:t>
      </w:r>
      <w:bookmarkStart w:id="260" w:name="dabmci_fce4ea7b57844bdfaf2d9695b5234b74"/>
      <w:proofErr w:type="gramStart"/>
      <w:r w:rsidR="00B445D5" w:rsidRPr="0038179C">
        <w:rPr>
          <w:i/>
          <w:iCs/>
          <w:lang w:bidi="en-US"/>
        </w:rPr>
        <w:t>Negro</w:t>
      </w:r>
      <w:proofErr w:type="gramEnd"/>
      <w:r w:rsidR="00B445D5" w:rsidRPr="0038179C">
        <w:rPr>
          <w:lang w:bidi="en-US"/>
        </w:rPr>
        <w:t xml:space="preserve">, </w:t>
      </w:r>
      <w:r w:rsidR="00B445D5" w:rsidRPr="0038179C">
        <w:rPr>
          <w:i/>
          <w:iCs/>
          <w:lang w:bidi="en-US"/>
        </w:rPr>
        <w:t>supra</w:t>
      </w:r>
      <w:r w:rsidR="00B445D5" w:rsidRPr="0038179C">
        <w:rPr>
          <w:lang w:bidi="en-US"/>
        </w:rPr>
        <w:t>, 230 Cal.App.4th at p. 892</w:t>
      </w:r>
      <w:bookmarkEnd w:id="260"/>
      <w:r w:rsidR="003E61E0">
        <w:rPr>
          <w:lang w:bidi="en-US"/>
        </w:rPr>
        <w:t xml:space="preserve">; see </w:t>
      </w:r>
      <w:bookmarkStart w:id="261" w:name="dabmci_f2f8077c1b6d4a9eacd6b54fa24b4542"/>
      <w:r w:rsidR="003E61E0" w:rsidRPr="00B40173">
        <w:rPr>
          <w:i/>
          <w:iCs/>
        </w:rPr>
        <w:t>Berry</w:t>
      </w:r>
      <w:r w:rsidR="003E61E0">
        <w:t xml:space="preserve">, </w:t>
      </w:r>
      <w:r w:rsidR="003E61E0" w:rsidRPr="00150B12">
        <w:rPr>
          <w:i/>
          <w:iCs/>
        </w:rPr>
        <w:t>supra</w:t>
      </w:r>
      <w:r w:rsidR="003E61E0">
        <w:t xml:space="preserve">, </w:t>
      </w:r>
      <w:r w:rsidR="003E61E0" w:rsidRPr="003F49FE">
        <w:t xml:space="preserve">146 F.3d 1003, at p. </w:t>
      </w:r>
      <w:r w:rsidR="00621E9B">
        <w:t>1011</w:t>
      </w:r>
      <w:bookmarkEnd w:id="261"/>
      <w:r w:rsidR="003E61E0" w:rsidRPr="003F49FE">
        <w:t xml:space="preserve"> [</w:t>
      </w:r>
      <w:r w:rsidR="003E61E0">
        <w:t xml:space="preserve">“key question” is </w:t>
      </w:r>
      <w:bookmarkStart w:id="262" w:name="dabmq_134"/>
      <w:r w:rsidR="003E61E0">
        <w:t>“</w:t>
      </w:r>
      <w:r w:rsidR="003E61E0" w:rsidRPr="003F49FE">
        <w:t xml:space="preserve">whether parties </w:t>
      </w:r>
      <w:r w:rsidR="003E61E0" w:rsidRPr="003F49FE">
        <w:lastRenderedPageBreak/>
        <w:t>were given sufficient notice”</w:t>
      </w:r>
      <w:bookmarkEnd w:id="262"/>
      <w:r w:rsidR="003E61E0" w:rsidRPr="003F49FE">
        <w:t>]</w:t>
      </w:r>
      <w:r w:rsidR="00F34EB0" w:rsidRPr="0038179C">
        <w:rPr>
          <w:lang w:bidi="en-US"/>
        </w:rPr>
        <w:t xml:space="preserve">.)  </w:t>
      </w:r>
      <w:r w:rsidR="00674AF8" w:rsidRPr="0038179C">
        <w:rPr>
          <w:lang w:bidi="en-US"/>
        </w:rPr>
        <w:t xml:space="preserve">Accordingly, although the court used the terms “inquiry notice” and “should have been aware,” </w:t>
      </w:r>
      <w:r w:rsidR="00073FAE">
        <w:rPr>
          <w:lang w:bidi="en-US"/>
        </w:rPr>
        <w:t>its</w:t>
      </w:r>
      <w:r w:rsidR="006C148F">
        <w:rPr>
          <w:lang w:bidi="en-US"/>
        </w:rPr>
        <w:t xml:space="preserve"> analysis </w:t>
      </w:r>
      <w:r w:rsidR="00150B12">
        <w:rPr>
          <w:lang w:bidi="en-US"/>
        </w:rPr>
        <w:t>shows</w:t>
      </w:r>
      <w:r w:rsidR="0077475F">
        <w:rPr>
          <w:lang w:bidi="en-US"/>
        </w:rPr>
        <w:t xml:space="preserve"> it properly considered implied-in-fact consent</w:t>
      </w:r>
      <w:r w:rsidR="006C148F">
        <w:rPr>
          <w:lang w:bidi="en-US"/>
        </w:rPr>
        <w:t>.  (</w:t>
      </w:r>
      <w:bookmarkStart w:id="263" w:name="dabmci_01d77460be734144b4993f13851c1125"/>
      <w:r w:rsidR="006C148F" w:rsidRPr="00B40173">
        <w:t>Civ. Code, § 3528</w:t>
      </w:r>
      <w:bookmarkEnd w:id="263"/>
      <w:r w:rsidR="006C148F" w:rsidRPr="00B40173">
        <w:t xml:space="preserve"> [</w:t>
      </w:r>
      <w:bookmarkStart w:id="264" w:name="dabmq_135"/>
      <w:r w:rsidR="006C148F" w:rsidRPr="00B40173">
        <w:t>“The law respects form less than substance”</w:t>
      </w:r>
      <w:bookmarkEnd w:id="264"/>
      <w:r w:rsidR="006C148F" w:rsidRPr="00B40173">
        <w:t xml:space="preserve">]; see </w:t>
      </w:r>
      <w:bookmarkStart w:id="265" w:name="dabmci_ecf63d6202094affb0f5b79b59f2b169"/>
      <w:r w:rsidR="006C148F" w:rsidRPr="00B40173">
        <w:rPr>
          <w:i/>
          <w:iCs/>
        </w:rPr>
        <w:t>Boysaw v. Superior Court</w:t>
      </w:r>
      <w:r w:rsidR="006C148F" w:rsidRPr="00B40173">
        <w:t xml:space="preserve"> (2000) 23</w:t>
      </w:r>
      <w:r w:rsidR="00FD50E9">
        <w:t> </w:t>
      </w:r>
      <w:r w:rsidR="006C148F" w:rsidRPr="00B40173">
        <w:t>Cal.4th 215, 220</w:t>
      </w:r>
      <w:bookmarkEnd w:id="265"/>
      <w:r w:rsidR="006C148F" w:rsidRPr="00B40173">
        <w:t xml:space="preserve"> [rejecting </w:t>
      </w:r>
      <w:r w:rsidR="006C148F">
        <w:t>interpretation of order</w:t>
      </w:r>
      <w:r w:rsidR="006C148F" w:rsidRPr="00B40173">
        <w:t xml:space="preserve"> that would “exalt form over substance”]</w:t>
      </w:r>
      <w:r w:rsidR="006C148F">
        <w:t>.)</w:t>
      </w:r>
      <w:r w:rsidR="005455DC">
        <w:rPr>
          <w:lang w:bidi="en-US"/>
        </w:rPr>
        <w:t xml:space="preserve">  </w:t>
      </w:r>
      <w:r w:rsidR="00150B12">
        <w:rPr>
          <w:lang w:bidi="en-US"/>
        </w:rPr>
        <w:t>Indeed, t</w:t>
      </w:r>
      <w:r w:rsidR="006C148F">
        <w:rPr>
          <w:lang w:bidi="en-US"/>
        </w:rPr>
        <w:t xml:space="preserve">he court </w:t>
      </w:r>
      <w:r w:rsidR="00710FE3" w:rsidRPr="0038179C">
        <w:rPr>
          <w:lang w:bidi="en-US"/>
        </w:rPr>
        <w:t xml:space="preserve">cited </w:t>
      </w:r>
      <w:proofErr w:type="gramStart"/>
      <w:r w:rsidR="00710FE3" w:rsidRPr="0038179C">
        <w:rPr>
          <w:i/>
          <w:iCs/>
          <w:lang w:bidi="en-US"/>
        </w:rPr>
        <w:t>Negro</w:t>
      </w:r>
      <w:r w:rsidR="00710FE3" w:rsidRPr="0038179C">
        <w:rPr>
          <w:lang w:bidi="en-US"/>
        </w:rPr>
        <w:t>’s</w:t>
      </w:r>
      <w:proofErr w:type="gramEnd"/>
      <w:r w:rsidR="00710FE3" w:rsidRPr="0038179C">
        <w:rPr>
          <w:lang w:bidi="en-US"/>
        </w:rPr>
        <w:t xml:space="preserve"> discussion of implied-in-fact consent</w:t>
      </w:r>
      <w:r w:rsidR="00B445D5" w:rsidRPr="0038179C">
        <w:rPr>
          <w:lang w:bidi="en-US"/>
        </w:rPr>
        <w:t xml:space="preserve"> </w:t>
      </w:r>
      <w:r w:rsidR="00710FE3" w:rsidRPr="0038179C">
        <w:rPr>
          <w:lang w:bidi="en-US"/>
        </w:rPr>
        <w:t xml:space="preserve">and </w:t>
      </w:r>
      <w:r w:rsidR="00674AF8" w:rsidRPr="0038179C">
        <w:rPr>
          <w:lang w:bidi="en-US"/>
        </w:rPr>
        <w:t>there is nothing to suggest it based its findings on</w:t>
      </w:r>
      <w:r w:rsidR="00E9331A" w:rsidRPr="0038179C">
        <w:rPr>
          <w:lang w:bidi="en-US"/>
        </w:rPr>
        <w:t xml:space="preserve"> Rojas’s</w:t>
      </w:r>
      <w:r w:rsidR="00674AF8" w:rsidRPr="0038179C">
        <w:rPr>
          <w:lang w:bidi="en-US"/>
        </w:rPr>
        <w:t xml:space="preserve"> hypothetical, rather than actual</w:t>
      </w:r>
      <w:r w:rsidR="00047962" w:rsidRPr="0038179C">
        <w:rPr>
          <w:lang w:bidi="en-US"/>
        </w:rPr>
        <w:t>,</w:t>
      </w:r>
      <w:r w:rsidR="00674AF8" w:rsidRPr="0038179C">
        <w:rPr>
          <w:lang w:bidi="en-US"/>
        </w:rPr>
        <w:t xml:space="preserve"> knowledge</w:t>
      </w:r>
      <w:r w:rsidR="0054534D" w:rsidRPr="0038179C">
        <w:rPr>
          <w:lang w:bidi="en-US"/>
        </w:rPr>
        <w:t xml:space="preserve"> of HSBC’s recording practices</w:t>
      </w:r>
      <w:r w:rsidR="00674AF8" w:rsidRPr="0038179C">
        <w:rPr>
          <w:lang w:bidi="en-US"/>
        </w:rPr>
        <w:t>.</w:t>
      </w:r>
      <w:r w:rsidR="0077475F">
        <w:rPr>
          <w:lang w:bidi="en-US"/>
        </w:rPr>
        <w:t xml:space="preserve">  (</w:t>
      </w:r>
      <w:r w:rsidR="0077475F" w:rsidRPr="0077475F">
        <w:rPr>
          <w:lang w:bidi="en-US"/>
        </w:rPr>
        <w:t xml:space="preserve">Compare </w:t>
      </w:r>
      <w:bookmarkStart w:id="266" w:name="dabmci_49d6d9667f1e487dac4936086998df47"/>
      <w:r w:rsidR="0077475F" w:rsidRPr="0077475F">
        <w:rPr>
          <w:i/>
          <w:iCs/>
          <w:lang w:bidi="en-US"/>
        </w:rPr>
        <w:t>Kearney</w:t>
      </w:r>
      <w:r w:rsidR="0077475F" w:rsidRPr="0077475F">
        <w:rPr>
          <w:lang w:bidi="en-US"/>
        </w:rPr>
        <w:t xml:space="preserve">, </w:t>
      </w:r>
      <w:r w:rsidR="0077475F" w:rsidRPr="00804869">
        <w:rPr>
          <w:i/>
          <w:iCs/>
          <w:lang w:bidi="en-US"/>
        </w:rPr>
        <w:t>supra</w:t>
      </w:r>
      <w:r w:rsidR="0077475F" w:rsidRPr="0077475F">
        <w:rPr>
          <w:lang w:bidi="en-US"/>
        </w:rPr>
        <w:t>, 39 Cal.4th at p. 118, fn. 10</w:t>
      </w:r>
      <w:bookmarkEnd w:id="266"/>
      <w:r w:rsidR="0077475F" w:rsidRPr="0077475F">
        <w:rPr>
          <w:lang w:bidi="en-US"/>
        </w:rPr>
        <w:t xml:space="preserve"> [Court of Appeal </w:t>
      </w:r>
      <w:bookmarkStart w:id="267" w:name="dabmq_136"/>
      <w:r w:rsidR="0077475F" w:rsidRPr="0077475F">
        <w:rPr>
          <w:lang w:bidi="en-US"/>
        </w:rPr>
        <w:t>“did not cite anything in the record”</w:t>
      </w:r>
      <w:bookmarkEnd w:id="267"/>
      <w:r w:rsidR="0077475F" w:rsidRPr="0077475F">
        <w:rPr>
          <w:lang w:bidi="en-US"/>
        </w:rPr>
        <w:t xml:space="preserve"> for its finding that clients </w:t>
      </w:r>
      <w:bookmarkStart w:id="268" w:name="dabmq_137"/>
      <w:r w:rsidR="0077475F" w:rsidRPr="0077475F">
        <w:rPr>
          <w:lang w:bidi="en-US"/>
        </w:rPr>
        <w:t>“ ‘know or have reason to know’ ”</w:t>
      </w:r>
      <w:bookmarkEnd w:id="268"/>
      <w:r w:rsidR="0077475F" w:rsidRPr="0077475F">
        <w:rPr>
          <w:lang w:bidi="en-US"/>
        </w:rPr>
        <w:t xml:space="preserve"> broker calls were recorded]</w:t>
      </w:r>
      <w:r w:rsidR="0077475F">
        <w:rPr>
          <w:lang w:bidi="en-US"/>
        </w:rPr>
        <w:t>.)</w:t>
      </w:r>
      <w:r w:rsidR="00126B47" w:rsidRPr="0038179C">
        <w:rPr>
          <w:lang w:bidi="en-US"/>
        </w:rPr>
        <w:t xml:space="preserve">  </w:t>
      </w:r>
      <w:r w:rsidR="00EA2F7D" w:rsidRPr="0038179C">
        <w:rPr>
          <w:lang w:bidi="en-US"/>
        </w:rPr>
        <w:t xml:space="preserve">Further, </w:t>
      </w:r>
      <w:r w:rsidR="008A75A3">
        <w:rPr>
          <w:lang w:bidi="en-US"/>
        </w:rPr>
        <w:t xml:space="preserve">while we conclude there was no legal error, </w:t>
      </w:r>
      <w:r w:rsidR="00EA2F7D" w:rsidRPr="0038179C">
        <w:rPr>
          <w:lang w:bidi="en-US"/>
        </w:rPr>
        <w:t>any such error</w:t>
      </w:r>
      <w:r w:rsidR="00783079" w:rsidRPr="0038179C">
        <w:rPr>
          <w:lang w:bidi="en-US"/>
        </w:rPr>
        <w:t xml:space="preserve"> (</w:t>
      </w:r>
      <w:r w:rsidR="00E9331A" w:rsidRPr="0038179C">
        <w:rPr>
          <w:lang w:bidi="en-US"/>
        </w:rPr>
        <w:t>assuming it occurred</w:t>
      </w:r>
      <w:r w:rsidR="00783079" w:rsidRPr="0038179C">
        <w:rPr>
          <w:lang w:bidi="en-US"/>
        </w:rPr>
        <w:t>)</w:t>
      </w:r>
      <w:r w:rsidR="00EA2F7D" w:rsidRPr="0038179C">
        <w:rPr>
          <w:lang w:bidi="en-US"/>
        </w:rPr>
        <w:t xml:space="preserve"> would have been harmless</w:t>
      </w:r>
      <w:r w:rsidR="00126B47" w:rsidRPr="0038179C">
        <w:rPr>
          <w:lang w:bidi="en-US"/>
        </w:rPr>
        <w:t>,</w:t>
      </w:r>
      <w:r w:rsidR="00EA2F7D" w:rsidRPr="0038179C">
        <w:rPr>
          <w:lang w:bidi="en-US"/>
        </w:rPr>
        <w:t xml:space="preserve"> </w:t>
      </w:r>
      <w:r w:rsidR="00783079" w:rsidRPr="0038179C">
        <w:rPr>
          <w:lang w:bidi="en-US"/>
        </w:rPr>
        <w:t>because</w:t>
      </w:r>
      <w:r w:rsidR="00126B47" w:rsidRPr="0038179C">
        <w:rPr>
          <w:lang w:bidi="en-US"/>
        </w:rPr>
        <w:t xml:space="preserve"> substantial evidence </w:t>
      </w:r>
      <w:r w:rsidR="00EA2F7D" w:rsidRPr="0038179C">
        <w:rPr>
          <w:lang w:bidi="en-US"/>
        </w:rPr>
        <w:t xml:space="preserve">still </w:t>
      </w:r>
      <w:r w:rsidR="00126B47" w:rsidRPr="0038179C">
        <w:rPr>
          <w:lang w:bidi="en-US"/>
        </w:rPr>
        <w:t xml:space="preserve">supports </w:t>
      </w:r>
      <w:r w:rsidR="00783079" w:rsidRPr="0038179C">
        <w:rPr>
          <w:lang w:bidi="en-US"/>
        </w:rPr>
        <w:t>the court’s</w:t>
      </w:r>
      <w:r w:rsidR="00126B47" w:rsidRPr="0038179C">
        <w:rPr>
          <w:lang w:bidi="en-US"/>
        </w:rPr>
        <w:t xml:space="preserve"> consent findings, as we discuss in the next section.  </w:t>
      </w:r>
      <w:r w:rsidR="00674AF8" w:rsidRPr="0038179C">
        <w:rPr>
          <w:lang w:bidi="en-US"/>
        </w:rPr>
        <w:t>(</w:t>
      </w:r>
      <w:r w:rsidR="00EA2F7D" w:rsidRPr="0038179C">
        <w:rPr>
          <w:i/>
          <w:iCs/>
          <w:lang w:bidi="en-US"/>
        </w:rPr>
        <w:t>Soule</w:t>
      </w:r>
      <w:r w:rsidR="00EA2F7D" w:rsidRPr="0038179C">
        <w:rPr>
          <w:lang w:bidi="en-US"/>
        </w:rPr>
        <w:t xml:space="preserve">, </w:t>
      </w:r>
      <w:r w:rsidR="00DE48AC" w:rsidRPr="0038179C">
        <w:rPr>
          <w:i/>
          <w:iCs/>
          <w:lang w:bidi="en-US"/>
        </w:rPr>
        <w:t>supra</w:t>
      </w:r>
      <w:r w:rsidR="00DE48AC" w:rsidRPr="0038179C">
        <w:rPr>
          <w:lang w:bidi="en-US"/>
        </w:rPr>
        <w:t xml:space="preserve">, </w:t>
      </w:r>
      <w:r w:rsidR="00EA2F7D" w:rsidRPr="0038179C">
        <w:rPr>
          <w:szCs w:val="26"/>
        </w:rPr>
        <w:t>8 Cal.4th at</w:t>
      </w:r>
      <w:r w:rsidR="00804869">
        <w:rPr>
          <w:szCs w:val="26"/>
        </w:rPr>
        <w:t> </w:t>
      </w:r>
    </w:p>
    <w:p w14:paraId="1C7AB0A2" w14:textId="3EF9CD8E" w:rsidR="00840340" w:rsidRPr="005455DC" w:rsidRDefault="00EA2F7D" w:rsidP="005455DC">
      <w:pPr>
        <w:spacing w:line="360" w:lineRule="auto"/>
        <w:rPr>
          <w:lang w:bidi="en-US"/>
        </w:rPr>
      </w:pPr>
      <w:r w:rsidRPr="0038179C">
        <w:rPr>
          <w:szCs w:val="26"/>
        </w:rPr>
        <w:t>pp. 573</w:t>
      </w:r>
      <w:r w:rsidR="00D40552" w:rsidRPr="0038179C">
        <w:rPr>
          <w:szCs w:val="26"/>
        </w:rPr>
        <w:t>–</w:t>
      </w:r>
      <w:r w:rsidRPr="0038179C">
        <w:rPr>
          <w:szCs w:val="26"/>
        </w:rPr>
        <w:t>574 [only prejudicial error supports reversal</w:t>
      </w:r>
      <w:proofErr w:type="gramStart"/>
      <w:r w:rsidRPr="0038179C">
        <w:rPr>
          <w:szCs w:val="26"/>
        </w:rPr>
        <w:t>];</w:t>
      </w:r>
      <w:proofErr w:type="gramEnd"/>
      <w:r w:rsidRPr="0038179C">
        <w:rPr>
          <w:lang w:bidi="en-US"/>
        </w:rPr>
        <w:t xml:space="preserve"> c</w:t>
      </w:r>
      <w:r w:rsidR="00674AF8" w:rsidRPr="0038179C">
        <w:rPr>
          <w:lang w:bidi="en-US"/>
        </w:rPr>
        <w:t xml:space="preserve">f. </w:t>
      </w:r>
      <w:bookmarkStart w:id="269" w:name="dabmci_aee4073932254a38a9e23b2bc866e791"/>
      <w:r w:rsidR="004F35D0" w:rsidRPr="0038179C">
        <w:rPr>
          <w:i/>
          <w:iCs/>
          <w:lang w:bidi="en-US"/>
        </w:rPr>
        <w:t xml:space="preserve">Am. </w:t>
      </w:r>
      <w:r w:rsidR="00674AF8" w:rsidRPr="0038179C">
        <w:rPr>
          <w:i/>
          <w:iCs/>
          <w:lang w:bidi="en-US"/>
        </w:rPr>
        <w:t>Federation of State etc. Employees v. County of Los Angeles</w:t>
      </w:r>
      <w:r w:rsidR="00674AF8" w:rsidRPr="0038179C">
        <w:rPr>
          <w:lang w:bidi="en-US"/>
        </w:rPr>
        <w:t xml:space="preserve"> (1983) 146 Cal.App.3d 879, 887</w:t>
      </w:r>
      <w:bookmarkEnd w:id="269"/>
      <w:r w:rsidR="00674AF8" w:rsidRPr="0038179C">
        <w:rPr>
          <w:lang w:bidi="en-US"/>
        </w:rPr>
        <w:t xml:space="preserve"> [affirming trial court despite erroneous collateral estoppel ruling, where record supported judgment, and deeming the error harmless].)</w:t>
      </w:r>
      <w:r w:rsidR="00E9331A" w:rsidRPr="0038179C">
        <w:rPr>
          <w:lang w:bidi="en-US"/>
        </w:rPr>
        <w:t xml:space="preserve"> </w:t>
      </w:r>
    </w:p>
    <w:p w14:paraId="302C73DF" w14:textId="1D32551C" w:rsidR="00533762" w:rsidRPr="0038179C" w:rsidRDefault="0093586E" w:rsidP="00750AA2">
      <w:pPr>
        <w:pStyle w:val="Heading3"/>
        <w:spacing w:before="60" w:after="60"/>
      </w:pPr>
      <w:r w:rsidRPr="0038179C">
        <w:rPr>
          <w:i w:val="0"/>
          <w:iCs w:val="0"/>
        </w:rPr>
        <w:t>3</w:t>
      </w:r>
      <w:r w:rsidR="00533762" w:rsidRPr="0038179C">
        <w:rPr>
          <w:i w:val="0"/>
          <w:iCs w:val="0"/>
        </w:rPr>
        <w:t>.</w:t>
      </w:r>
      <w:r w:rsidR="00533762" w:rsidRPr="0038179C">
        <w:rPr>
          <w:i w:val="0"/>
          <w:iCs w:val="0"/>
        </w:rPr>
        <w:tab/>
      </w:r>
      <w:r w:rsidR="00533762" w:rsidRPr="0038179C">
        <w:t xml:space="preserve">Substantial Evidence Supports </w:t>
      </w:r>
      <w:proofErr w:type="gramStart"/>
      <w:r w:rsidR="00533762" w:rsidRPr="0038179C">
        <w:t>The</w:t>
      </w:r>
      <w:proofErr w:type="gramEnd"/>
      <w:r w:rsidR="00533762" w:rsidRPr="0038179C">
        <w:t xml:space="preserve"> </w:t>
      </w:r>
      <w:r w:rsidR="00EC35A5" w:rsidRPr="0038179C">
        <w:t xml:space="preserve">Trial Court’s </w:t>
      </w:r>
      <w:r w:rsidR="00533762" w:rsidRPr="0038179C">
        <w:t>Consent Finding</w:t>
      </w:r>
    </w:p>
    <w:p w14:paraId="6930AC9F" w14:textId="0F518270" w:rsidR="00E402D4" w:rsidRPr="0038179C" w:rsidRDefault="00974C6E" w:rsidP="00882F89">
      <w:pPr>
        <w:spacing w:line="360" w:lineRule="auto"/>
      </w:pPr>
      <w:r w:rsidRPr="0038179C">
        <w:tab/>
      </w:r>
      <w:r w:rsidR="00E402D4" w:rsidRPr="0038179C">
        <w:t>We now turn to the record</w:t>
      </w:r>
      <w:r w:rsidR="005F71D6">
        <w:t xml:space="preserve"> and, as we must, we consider all evidence, and draw all inferences, in favor of the judgment</w:t>
      </w:r>
      <w:r w:rsidR="002C6286" w:rsidRPr="0038179C">
        <w:t>.</w:t>
      </w:r>
      <w:r w:rsidR="005F71D6">
        <w:t xml:space="preserve">  (</w:t>
      </w:r>
      <w:bookmarkStart w:id="270" w:name="dabmci_f4250d250bcf45099dd9a73e6b8a41d8"/>
      <w:r w:rsidR="005F71D6">
        <w:rPr>
          <w:i/>
          <w:iCs/>
        </w:rPr>
        <w:t>Durante</w:t>
      </w:r>
      <w:r w:rsidR="005F71D6">
        <w:t xml:space="preserve">, </w:t>
      </w:r>
      <w:r w:rsidR="005F71D6">
        <w:rPr>
          <w:i/>
          <w:iCs/>
          <w:szCs w:val="26"/>
        </w:rPr>
        <w:t xml:space="preserve">supra, </w:t>
      </w:r>
      <w:r w:rsidR="005F71D6" w:rsidRPr="0038179C">
        <w:rPr>
          <w:szCs w:val="26"/>
        </w:rPr>
        <w:t xml:space="preserve">29 </w:t>
      </w:r>
      <w:r w:rsidR="005F71D6" w:rsidRPr="0038179C">
        <w:rPr>
          <w:szCs w:val="26"/>
        </w:rPr>
        <w:lastRenderedPageBreak/>
        <w:t xml:space="preserve">Cal.App.5th </w:t>
      </w:r>
      <w:r w:rsidR="005F71D6">
        <w:rPr>
          <w:szCs w:val="26"/>
        </w:rPr>
        <w:t>at p.</w:t>
      </w:r>
      <w:r w:rsidR="005F71D6" w:rsidRPr="0038179C">
        <w:rPr>
          <w:szCs w:val="26"/>
        </w:rPr>
        <w:t xml:space="preserve"> 842</w:t>
      </w:r>
      <w:bookmarkEnd w:id="270"/>
      <w:r w:rsidR="005F71D6">
        <w:rPr>
          <w:szCs w:val="26"/>
        </w:rPr>
        <w:t>.)</w:t>
      </w:r>
      <w:r w:rsidR="00512AE1" w:rsidRPr="0038179C">
        <w:rPr>
          <w:rStyle w:val="FootnoteReference"/>
        </w:rPr>
        <w:footnoteReference w:id="19"/>
      </w:r>
      <w:r w:rsidR="009A7F4A" w:rsidRPr="0038179C">
        <w:t xml:space="preserve">  </w:t>
      </w:r>
      <w:r w:rsidR="005F702B" w:rsidRPr="0038179C">
        <w:t>Substantial evidence supports the trial court’s finding that Rojas impliedly consented to the recording of Alejandra’s calls from HSBC</w:t>
      </w:r>
      <w:r w:rsidR="009A7F4A" w:rsidRPr="0038179C">
        <w:t>, and therefore did not prove lack of consent</w:t>
      </w:r>
      <w:r w:rsidR="008C6DD1" w:rsidRPr="0038179C">
        <w:t xml:space="preserve"> under the Privacy Act (§ 632, subd (a); § 632.7, subd. (a).)</w:t>
      </w:r>
    </w:p>
    <w:p w14:paraId="33221FB3" w14:textId="5BCB616E" w:rsidR="005B71E2" w:rsidRPr="0038179C" w:rsidRDefault="00E402D4" w:rsidP="00ED3F2C">
      <w:pPr>
        <w:spacing w:line="360" w:lineRule="auto"/>
      </w:pPr>
      <w:r w:rsidRPr="0038179C">
        <w:tab/>
        <w:t>First</w:t>
      </w:r>
      <w:r w:rsidR="006A58DC" w:rsidRPr="0038179C">
        <w:t xml:space="preserve">, </w:t>
      </w:r>
      <w:r w:rsidR="005A4D7F" w:rsidRPr="0038179C">
        <w:t>the record supports the trial court’s finding that</w:t>
      </w:r>
      <w:r w:rsidR="005B71E2" w:rsidRPr="0038179C">
        <w:t xml:space="preserve"> Rojas </w:t>
      </w:r>
      <w:r w:rsidR="00904BD3" w:rsidRPr="0038179C">
        <w:t xml:space="preserve">was </w:t>
      </w:r>
      <w:bookmarkStart w:id="273" w:name="dabmq_138"/>
      <w:r w:rsidR="00904BD3" w:rsidRPr="0038179C">
        <w:t>“placed . . . on notice”</w:t>
      </w:r>
      <w:bookmarkEnd w:id="273"/>
      <w:r w:rsidR="00904BD3" w:rsidRPr="0038179C">
        <w:t xml:space="preserve">—that is, </w:t>
      </w:r>
      <w:r w:rsidR="0015444D" w:rsidRPr="0038179C">
        <w:t xml:space="preserve">she </w:t>
      </w:r>
      <w:r w:rsidR="00904BD3" w:rsidRPr="0038179C">
        <w:t xml:space="preserve">was notified—that </w:t>
      </w:r>
      <w:r w:rsidR="005B71E2" w:rsidRPr="0038179C">
        <w:t xml:space="preserve">the calls at issue were subject to recording.  </w:t>
      </w:r>
      <w:r w:rsidR="00ED3F2C" w:rsidRPr="0038179C">
        <w:t>Rojas</w:t>
      </w:r>
      <w:r w:rsidR="005B71E2" w:rsidRPr="0038179C">
        <w:t xml:space="preserve"> testi</w:t>
      </w:r>
      <w:r w:rsidR="00ED3F2C" w:rsidRPr="0038179C">
        <w:t>fied she</w:t>
      </w:r>
      <w:r w:rsidR="005B71E2" w:rsidRPr="0038179C">
        <w:t xml:space="preserve"> </w:t>
      </w:r>
      <w:r w:rsidR="00ED3F2C" w:rsidRPr="0038179C">
        <w:t xml:space="preserve">had an HSBC credit card, and </w:t>
      </w:r>
      <w:r w:rsidR="005B71E2" w:rsidRPr="0038179C">
        <w:t>knew Alejandra</w:t>
      </w:r>
      <w:r w:rsidR="00ED3F2C" w:rsidRPr="0038179C">
        <w:t xml:space="preserve"> worked </w:t>
      </w:r>
      <w:r w:rsidR="004650B5" w:rsidRPr="0038179C">
        <w:t>for</w:t>
      </w:r>
      <w:r w:rsidR="00ED3F2C" w:rsidRPr="0038179C">
        <w:t xml:space="preserve"> HSBC</w:t>
      </w:r>
      <w:r w:rsidR="004650B5" w:rsidRPr="0038179C">
        <w:t xml:space="preserve"> at a call center</w:t>
      </w:r>
      <w:r w:rsidR="00ED3F2C" w:rsidRPr="0038179C">
        <w:t>.</w:t>
      </w:r>
      <w:r w:rsidR="004650B5" w:rsidRPr="0038179C">
        <w:t xml:space="preserve"> </w:t>
      </w:r>
      <w:r w:rsidR="00ED3F2C" w:rsidRPr="0038179C">
        <w:t xml:space="preserve"> </w:t>
      </w:r>
      <w:r w:rsidR="0015444D" w:rsidRPr="0038179C">
        <w:t>Thus,</w:t>
      </w:r>
      <w:r w:rsidR="00ED3F2C" w:rsidRPr="0038179C">
        <w:t xml:space="preserve"> Rojas knew the </w:t>
      </w:r>
      <w:r w:rsidR="00ED3F2C" w:rsidRPr="0038179C">
        <w:rPr>
          <w:i/>
          <w:iCs/>
        </w:rPr>
        <w:t>same compan</w:t>
      </w:r>
      <w:r w:rsidR="004650B5" w:rsidRPr="0038179C">
        <w:rPr>
          <w:i/>
          <w:iCs/>
        </w:rPr>
        <w:t>y</w:t>
      </w:r>
      <w:r w:rsidR="00ED3F2C" w:rsidRPr="0038179C">
        <w:t xml:space="preserve"> </w:t>
      </w:r>
      <w:r w:rsidR="00F237F9" w:rsidRPr="0038179C">
        <w:t xml:space="preserve">both </w:t>
      </w:r>
      <w:r w:rsidR="00ED3F2C" w:rsidRPr="0038179C">
        <w:t>issued her credit card and ran the call center from which Alejandra called her.  And</w:t>
      </w:r>
      <w:r w:rsidR="005B71E2" w:rsidRPr="0038179C">
        <w:t xml:space="preserve">, as the trial court found, Rojas’s cardmember agreement for her HSBC credit card and her monthly payment calls </w:t>
      </w:r>
      <w:r w:rsidR="00ED3F2C" w:rsidRPr="0038179C">
        <w:t>disclosed</w:t>
      </w:r>
      <w:r w:rsidR="005B71E2" w:rsidRPr="0038179C">
        <w:t xml:space="preserve"> that HSBC record</w:t>
      </w:r>
      <w:r w:rsidR="00ED3F2C" w:rsidRPr="0038179C">
        <w:t>s</w:t>
      </w:r>
      <w:r w:rsidR="005B71E2" w:rsidRPr="0038179C">
        <w:t xml:space="preserve"> calls.  On these facts, the court could find Rojas </w:t>
      </w:r>
      <w:r w:rsidR="0015444D" w:rsidRPr="0038179C">
        <w:t>was notified</w:t>
      </w:r>
      <w:r w:rsidR="00F237F9" w:rsidRPr="0038179C">
        <w:t xml:space="preserve"> that</w:t>
      </w:r>
      <w:r w:rsidR="0015444D" w:rsidRPr="0038179C">
        <w:t>, and therefore knew,</w:t>
      </w:r>
      <w:r w:rsidR="005B71E2" w:rsidRPr="0038179C">
        <w:t xml:space="preserve"> </w:t>
      </w:r>
      <w:r w:rsidR="00ED3F2C" w:rsidRPr="0038179C">
        <w:t>the</w:t>
      </w:r>
      <w:r w:rsidR="005B71E2" w:rsidRPr="0038179C">
        <w:t xml:space="preserve"> calls from Alejandra at HSBC were subject to recording.</w:t>
      </w:r>
      <w:r w:rsidR="00305806" w:rsidRPr="0038179C">
        <w:t xml:space="preserve">  </w:t>
      </w:r>
    </w:p>
    <w:p w14:paraId="3433FF18" w14:textId="56710435" w:rsidR="008F56D5" w:rsidRPr="0038179C" w:rsidRDefault="007274A4" w:rsidP="005B71E2">
      <w:pPr>
        <w:spacing w:line="360" w:lineRule="auto"/>
      </w:pPr>
      <w:r w:rsidRPr="0038179C">
        <w:tab/>
        <w:t xml:space="preserve">We reject Rojas’s </w:t>
      </w:r>
      <w:r w:rsidR="009953E3" w:rsidRPr="0038179C">
        <w:t>c</w:t>
      </w:r>
      <w:r w:rsidRPr="0038179C">
        <w:t>laim that</w:t>
      </w:r>
      <w:r w:rsidR="009953E3" w:rsidRPr="0038179C">
        <w:t xml:space="preserve"> the disclosures did not provide meaningful notice of recording.  </w:t>
      </w:r>
      <w:r w:rsidR="009505D3" w:rsidRPr="0038179C">
        <w:t>W</w:t>
      </w:r>
      <w:r w:rsidR="008F56D5" w:rsidRPr="0038179C">
        <w:t>e do not reweigh the evidence (</w:t>
      </w:r>
      <w:bookmarkStart w:id="274" w:name="dabmci_425e8f4d7d2f4534898f9d0a520a341b"/>
      <w:r w:rsidR="009953E3" w:rsidRPr="0038179C">
        <w:rPr>
          <w:i/>
          <w:iCs/>
        </w:rPr>
        <w:t>Tho</w:t>
      </w:r>
      <w:r w:rsidR="00C04660" w:rsidRPr="0038179C">
        <w:rPr>
          <w:i/>
          <w:iCs/>
        </w:rPr>
        <w:t>mpson</w:t>
      </w:r>
      <w:r w:rsidR="009953E3" w:rsidRPr="0038179C">
        <w:t xml:space="preserve">, </w:t>
      </w:r>
      <w:r w:rsidR="009953E3" w:rsidRPr="0038179C">
        <w:rPr>
          <w:i/>
          <w:iCs/>
        </w:rPr>
        <w:t>supra</w:t>
      </w:r>
      <w:r w:rsidR="009953E3" w:rsidRPr="0038179C">
        <w:t>, 6 Cal.App.5th at p. 981</w:t>
      </w:r>
      <w:bookmarkEnd w:id="274"/>
      <w:r w:rsidR="008F56D5" w:rsidRPr="0038179C">
        <w:t xml:space="preserve">), and </w:t>
      </w:r>
      <w:r w:rsidR="0054534D" w:rsidRPr="0038179C">
        <w:t xml:space="preserve">Rojas’s </w:t>
      </w:r>
      <w:r w:rsidR="008F56D5" w:rsidRPr="0038179C">
        <w:t xml:space="preserve">specific objections lack merit.  </w:t>
      </w:r>
      <w:r w:rsidR="00403258" w:rsidRPr="0038179C">
        <w:t xml:space="preserve">On the cardmember agreement, she contends </w:t>
      </w:r>
      <w:r w:rsidR="008F56D5" w:rsidRPr="0038179C">
        <w:t>it</w:t>
      </w:r>
      <w:r w:rsidR="00403258" w:rsidRPr="0038179C">
        <w:t xml:space="preserve"> states, </w:t>
      </w:r>
      <w:bookmarkStart w:id="275" w:name="dabmq_139"/>
      <w:r w:rsidR="00403258" w:rsidRPr="0038179C">
        <w:t>“You agree that we may listen to and record phone calls between you and our representatives,”</w:t>
      </w:r>
      <w:bookmarkEnd w:id="275"/>
      <w:r w:rsidR="00403258" w:rsidRPr="0038179C">
        <w:t xml:space="preserve"> </w:t>
      </w:r>
      <w:r w:rsidR="008F56D5" w:rsidRPr="0038179C">
        <w:t>and</w:t>
      </w:r>
      <w:r w:rsidR="00403258" w:rsidRPr="0038179C">
        <w:t xml:space="preserve"> “</w:t>
      </w:r>
      <w:r w:rsidR="008F56D5" w:rsidRPr="0038179C">
        <w:t>we</w:t>
      </w:r>
      <w:r w:rsidR="00403258" w:rsidRPr="0038179C">
        <w:t xml:space="preserve">” is defined </w:t>
      </w:r>
      <w:r w:rsidR="00366FFE" w:rsidRPr="0038179C">
        <w:t xml:space="preserve">only </w:t>
      </w:r>
      <w:r w:rsidR="00403258" w:rsidRPr="0038179C">
        <w:t xml:space="preserve">as </w:t>
      </w:r>
      <w:r w:rsidR="00403258" w:rsidRPr="0038179C">
        <w:rPr>
          <w:szCs w:val="26"/>
        </w:rPr>
        <w:t>HSBC Bank Nevada, N.A.</w:t>
      </w:r>
      <w:r w:rsidR="00366FFE" w:rsidRPr="0038179C">
        <w:rPr>
          <w:szCs w:val="26"/>
        </w:rPr>
        <w:t xml:space="preserve">, not HSBC Card Services or </w:t>
      </w:r>
      <w:r w:rsidR="00366FFE" w:rsidRPr="0038179C">
        <w:rPr>
          <w:szCs w:val="26"/>
        </w:rPr>
        <w:lastRenderedPageBreak/>
        <w:t>HSBC Tech Services.</w:t>
      </w:r>
      <w:r w:rsidR="00403258" w:rsidRPr="0038179C">
        <w:rPr>
          <w:szCs w:val="26"/>
        </w:rPr>
        <w:t xml:space="preserve"> </w:t>
      </w:r>
      <w:r w:rsidR="008F56D5" w:rsidRPr="0038179C">
        <w:rPr>
          <w:szCs w:val="26"/>
        </w:rPr>
        <w:t xml:space="preserve"> But the agreement includes consent for “representatives,” which encompass</w:t>
      </w:r>
      <w:r w:rsidR="0054534D" w:rsidRPr="0038179C">
        <w:rPr>
          <w:szCs w:val="26"/>
        </w:rPr>
        <w:t>es</w:t>
      </w:r>
      <w:r w:rsidR="008F56D5" w:rsidRPr="0038179C">
        <w:rPr>
          <w:szCs w:val="26"/>
        </w:rPr>
        <w:t xml:space="preserve"> employees of HSBC Card Services</w:t>
      </w:r>
      <w:r w:rsidR="0054534D" w:rsidRPr="0038179C">
        <w:rPr>
          <w:szCs w:val="26"/>
        </w:rPr>
        <w:t>,</w:t>
      </w:r>
      <w:r w:rsidR="006F057B" w:rsidRPr="0038179C">
        <w:rPr>
          <w:szCs w:val="26"/>
        </w:rPr>
        <w:t xml:space="preserve"> like Alejandra</w:t>
      </w:r>
      <w:r w:rsidR="008E181D" w:rsidRPr="0038179C">
        <w:rPr>
          <w:szCs w:val="26"/>
        </w:rPr>
        <w:t>—and places no limit on the types of “phone calls” with such representative</w:t>
      </w:r>
      <w:r w:rsidR="00760811" w:rsidRPr="0038179C">
        <w:rPr>
          <w:szCs w:val="26"/>
        </w:rPr>
        <w:t>s</w:t>
      </w:r>
      <w:r w:rsidR="008E181D" w:rsidRPr="0038179C">
        <w:rPr>
          <w:szCs w:val="26"/>
        </w:rPr>
        <w:t xml:space="preserve"> being recorded</w:t>
      </w:r>
      <w:r w:rsidR="008F56D5" w:rsidRPr="0038179C">
        <w:rPr>
          <w:szCs w:val="26"/>
        </w:rPr>
        <w:t xml:space="preserve">.  Further, the issue is not </w:t>
      </w:r>
      <w:r w:rsidR="008E181D" w:rsidRPr="0038179C">
        <w:rPr>
          <w:szCs w:val="26"/>
        </w:rPr>
        <w:t>whether HSBC</w:t>
      </w:r>
      <w:r w:rsidR="008F56D5" w:rsidRPr="0038179C">
        <w:rPr>
          <w:szCs w:val="26"/>
        </w:rPr>
        <w:t xml:space="preserve"> </w:t>
      </w:r>
      <w:r w:rsidR="008E181D" w:rsidRPr="0038179C">
        <w:rPr>
          <w:szCs w:val="26"/>
        </w:rPr>
        <w:t xml:space="preserve">Card Services or HSBC Tech Services are </w:t>
      </w:r>
      <w:r w:rsidR="008F56D5" w:rsidRPr="0038179C">
        <w:rPr>
          <w:szCs w:val="26"/>
        </w:rPr>
        <w:t>part</w:t>
      </w:r>
      <w:r w:rsidR="008E181D" w:rsidRPr="0038179C">
        <w:rPr>
          <w:szCs w:val="26"/>
        </w:rPr>
        <w:t>ies</w:t>
      </w:r>
      <w:r w:rsidR="008F56D5" w:rsidRPr="0038179C">
        <w:rPr>
          <w:szCs w:val="26"/>
        </w:rPr>
        <w:t xml:space="preserve"> to the agreement</w:t>
      </w:r>
      <w:r w:rsidR="008F56D5" w:rsidRPr="0038179C">
        <w:t xml:space="preserve">.  It is whether </w:t>
      </w:r>
      <w:r w:rsidR="00A919B4" w:rsidRPr="0038179C">
        <w:t>this</w:t>
      </w:r>
      <w:r w:rsidR="008F56D5" w:rsidRPr="0038179C">
        <w:t xml:space="preserve"> </w:t>
      </w:r>
      <w:r w:rsidR="00806765" w:rsidRPr="0038179C">
        <w:t xml:space="preserve">HSBC </w:t>
      </w:r>
      <w:r w:rsidR="00A919B4" w:rsidRPr="0038179C">
        <w:t>document</w:t>
      </w:r>
      <w:r w:rsidR="008F56D5" w:rsidRPr="0038179C">
        <w:t xml:space="preserve"> made </w:t>
      </w:r>
      <w:r w:rsidR="009953E3" w:rsidRPr="0038179C">
        <w:rPr>
          <w:i/>
          <w:iCs/>
        </w:rPr>
        <w:t>Rojas</w:t>
      </w:r>
      <w:r w:rsidR="008F56D5" w:rsidRPr="0038179C">
        <w:t xml:space="preserve"> aware Alejandra’s </w:t>
      </w:r>
      <w:r w:rsidR="008F56D5" w:rsidRPr="0038179C">
        <w:rPr>
          <w:szCs w:val="26"/>
        </w:rPr>
        <w:t xml:space="preserve">calls </w:t>
      </w:r>
      <w:r w:rsidR="006F057B" w:rsidRPr="0038179C">
        <w:rPr>
          <w:szCs w:val="26"/>
        </w:rPr>
        <w:t xml:space="preserve">to her </w:t>
      </w:r>
      <w:r w:rsidR="00806765" w:rsidRPr="0038179C">
        <w:rPr>
          <w:szCs w:val="26"/>
        </w:rPr>
        <w:t>from</w:t>
      </w:r>
      <w:r w:rsidR="004650B5" w:rsidRPr="0038179C">
        <w:rPr>
          <w:szCs w:val="26"/>
        </w:rPr>
        <w:t xml:space="preserve"> </w:t>
      </w:r>
      <w:r w:rsidR="00806765" w:rsidRPr="0038179C">
        <w:rPr>
          <w:szCs w:val="26"/>
        </w:rPr>
        <w:t xml:space="preserve">HSBC </w:t>
      </w:r>
      <w:r w:rsidR="008F56D5" w:rsidRPr="0038179C">
        <w:rPr>
          <w:szCs w:val="26"/>
        </w:rPr>
        <w:t xml:space="preserve">were recorded, and the trial court could find </w:t>
      </w:r>
      <w:r w:rsidR="0054534D" w:rsidRPr="0038179C">
        <w:rPr>
          <w:szCs w:val="26"/>
        </w:rPr>
        <w:t xml:space="preserve">that </w:t>
      </w:r>
      <w:r w:rsidR="008F56D5" w:rsidRPr="0038179C">
        <w:rPr>
          <w:szCs w:val="26"/>
        </w:rPr>
        <w:t xml:space="preserve">it did.  (See </w:t>
      </w:r>
      <w:r w:rsidR="008F56D5" w:rsidRPr="0038179C">
        <w:rPr>
          <w:i/>
          <w:iCs/>
        </w:rPr>
        <w:t>Maghen I</w:t>
      </w:r>
      <w:r w:rsidR="008F56D5" w:rsidRPr="0038179C">
        <w:t xml:space="preserve">, </w:t>
      </w:r>
      <w:r w:rsidR="008F56D5" w:rsidRPr="0038179C">
        <w:rPr>
          <w:i/>
          <w:iCs/>
        </w:rPr>
        <w:t>supra</w:t>
      </w:r>
      <w:r w:rsidR="008F56D5" w:rsidRPr="0038179C">
        <w:t xml:space="preserve">, 94 F.Supp.3d </w:t>
      </w:r>
      <w:bookmarkStart w:id="276" w:name="dabmci_13fda5cfecf14de0a900d0a050504461"/>
      <w:r w:rsidR="008F56D5" w:rsidRPr="0038179C">
        <w:t>at p. 1145 and fn. 3</w:t>
      </w:r>
      <w:bookmarkEnd w:id="276"/>
      <w:r w:rsidR="008F56D5" w:rsidRPr="0038179C">
        <w:t xml:space="preserve"> [disagreeing </w:t>
      </w:r>
      <w:bookmarkStart w:id="277" w:name="dabmq_140"/>
      <w:r w:rsidR="008F56D5" w:rsidRPr="0038179C">
        <w:t>“Lending Tree’s Terms of Use [were] vague and ambiguous because [it] does not list Quicken”</w:t>
      </w:r>
      <w:bookmarkEnd w:id="277"/>
      <w:r w:rsidR="008F56D5" w:rsidRPr="0038179C">
        <w:t xml:space="preserve">; plaintiff’s </w:t>
      </w:r>
      <w:bookmarkStart w:id="278" w:name="dabmq_141"/>
      <w:r w:rsidR="008F56D5" w:rsidRPr="0038179C">
        <w:t>“argument that he did not connect his agreement to Lending Tree’s Terms of Use and Quicken’s phone call is unavailing”</w:t>
      </w:r>
      <w:bookmarkEnd w:id="278"/>
      <w:r w:rsidR="008F56D5" w:rsidRPr="0038179C">
        <w:t xml:space="preserve">]; </w:t>
      </w:r>
      <w:r w:rsidR="00C05657" w:rsidRPr="0038179C">
        <w:t xml:space="preserve">cf. </w:t>
      </w:r>
      <w:bookmarkStart w:id="279" w:name="dabmci_8645ea84f095410c8c230daba153fe58"/>
      <w:r w:rsidR="008F56D5" w:rsidRPr="0038179C">
        <w:rPr>
          <w:i/>
          <w:iCs/>
        </w:rPr>
        <w:t>White</w:t>
      </w:r>
      <w:r w:rsidR="008F56D5" w:rsidRPr="0038179C">
        <w:t xml:space="preserve">, </w:t>
      </w:r>
      <w:r w:rsidR="009953E3" w:rsidRPr="0038179C">
        <w:t xml:space="preserve">2013 WL 756292, at </w:t>
      </w:r>
      <w:r w:rsidR="00A161BE">
        <w:t xml:space="preserve">pp. </w:t>
      </w:r>
      <w:r w:rsidR="008F56D5" w:rsidRPr="0038179C">
        <w:t>*</w:t>
      </w:r>
      <w:r w:rsidR="0098434E" w:rsidRPr="0038179C">
        <w:t>3,</w:t>
      </w:r>
      <w:r w:rsidR="00A161BE">
        <w:t>*</w:t>
      </w:r>
      <w:r w:rsidR="00904BD3" w:rsidRPr="0038179C">
        <w:t>5</w:t>
      </w:r>
      <w:bookmarkEnd w:id="279"/>
      <w:r w:rsidR="008F56D5" w:rsidRPr="0038179C">
        <w:t xml:space="preserve"> [agreement </w:t>
      </w:r>
      <w:r w:rsidR="006A2B80" w:rsidRPr="0038179C">
        <w:t xml:space="preserve">stating defendant “may monitor and record” and </w:t>
      </w:r>
      <w:r w:rsidR="008F56D5" w:rsidRPr="0038179C">
        <w:t>referring to defendant’s “affiliates, or its marketing associates” sufficiently disclosed calls would be recorded]</w:t>
      </w:r>
      <w:r w:rsidR="006A2B80" w:rsidRPr="0038179C">
        <w:t xml:space="preserve">; cf. </w:t>
      </w:r>
      <w:r w:rsidR="006A2B80" w:rsidRPr="0038179C">
        <w:rPr>
          <w:i/>
          <w:iCs/>
        </w:rPr>
        <w:t>id</w:t>
      </w:r>
      <w:r w:rsidR="006A2B80" w:rsidRPr="0038179C">
        <w:t xml:space="preserve">. at p. *6 [rejecting argument that agreement did not state </w:t>
      </w:r>
      <w:bookmarkStart w:id="280" w:name="dabmq_142"/>
      <w:r w:rsidR="006A2B80" w:rsidRPr="0038179C">
        <w:t>“</w:t>
      </w:r>
      <w:r w:rsidR="006A2B80" w:rsidRPr="0038179C">
        <w:rPr>
          <w:i/>
          <w:iCs/>
        </w:rPr>
        <w:t>every</w:t>
      </w:r>
      <w:r w:rsidR="006A2B80" w:rsidRPr="0038179C">
        <w:t xml:space="preserve"> telephone call will be recorded”</w:t>
      </w:r>
      <w:bookmarkEnd w:id="280"/>
      <w:r w:rsidR="006A2B80" w:rsidRPr="0038179C">
        <w:t xml:space="preserve">; whether it </w:t>
      </w:r>
      <w:r w:rsidR="00760811" w:rsidRPr="0038179C">
        <w:t xml:space="preserve">stated </w:t>
      </w:r>
      <w:r w:rsidR="006A2B80" w:rsidRPr="0038179C">
        <w:t xml:space="preserve">defendant </w:t>
      </w:r>
      <w:bookmarkStart w:id="281" w:name="dabmq_143"/>
      <w:r w:rsidR="006A2B80" w:rsidRPr="0038179C">
        <w:t>“will record every . . . call or may record any . . . call ha[d] no effect,”</w:t>
      </w:r>
      <w:bookmarkEnd w:id="281"/>
      <w:r w:rsidR="006A2B80" w:rsidRPr="0038179C">
        <w:t xml:space="preserve"> as plaintiff </w:t>
      </w:r>
      <w:bookmarkStart w:id="282" w:name="dabmq_144"/>
      <w:r w:rsidR="006A2B80" w:rsidRPr="0038179C">
        <w:t>“consented to the possibility that her telephone calls will be recorded in either circumstance”</w:t>
      </w:r>
      <w:bookmarkEnd w:id="282"/>
      <w:r w:rsidR="006A2B80" w:rsidRPr="0038179C">
        <w:t>]</w:t>
      </w:r>
      <w:r w:rsidR="008F56D5" w:rsidRPr="0038179C">
        <w:t>.)</w:t>
      </w:r>
    </w:p>
    <w:p w14:paraId="49C53168" w14:textId="7347B39A" w:rsidR="005A6120" w:rsidRPr="0038179C" w:rsidRDefault="00403258" w:rsidP="00882F89">
      <w:pPr>
        <w:spacing w:line="360" w:lineRule="auto"/>
      </w:pPr>
      <w:r w:rsidRPr="0038179C">
        <w:tab/>
        <w:t>As for the payment call</w:t>
      </w:r>
      <w:r w:rsidR="009505D3" w:rsidRPr="0038179C">
        <w:t>s</w:t>
      </w:r>
      <w:r w:rsidRPr="0038179C">
        <w:t xml:space="preserve">, Rojas argues </w:t>
      </w:r>
      <w:r w:rsidR="00F13410" w:rsidRPr="0038179C">
        <w:t xml:space="preserve">the message only </w:t>
      </w:r>
      <w:proofErr w:type="gramStart"/>
      <w:r w:rsidR="00F13410" w:rsidRPr="0038179C">
        <w:t>said</w:t>
      </w:r>
      <w:proofErr w:type="gramEnd"/>
      <w:r w:rsidR="00F13410" w:rsidRPr="0038179C">
        <w:t xml:space="preserve"> “may be recorded,” and did no</w:t>
      </w:r>
      <w:r w:rsidR="009505D3" w:rsidRPr="0038179C">
        <w:t xml:space="preserve">t address future or </w:t>
      </w:r>
      <w:r w:rsidR="00F13410" w:rsidRPr="0038179C">
        <w:t xml:space="preserve">personal calls.  Rojas testified she </w:t>
      </w:r>
      <w:r w:rsidR="00806765" w:rsidRPr="0038179C">
        <w:t>understood</w:t>
      </w:r>
      <w:r w:rsidR="00F13410" w:rsidRPr="0038179C">
        <w:t xml:space="preserve"> “may be recorded” meant the </w:t>
      </w:r>
      <w:proofErr w:type="gramStart"/>
      <w:r w:rsidR="00F13410" w:rsidRPr="0038179C">
        <w:t>particular call</w:t>
      </w:r>
      <w:proofErr w:type="gramEnd"/>
      <w:r w:rsidR="00F13410" w:rsidRPr="0038179C">
        <w:t xml:space="preserve"> </w:t>
      </w:r>
      <w:r w:rsidR="00F13410" w:rsidRPr="0038179C">
        <w:rPr>
          <w:i/>
          <w:iCs/>
        </w:rPr>
        <w:t>was</w:t>
      </w:r>
      <w:r w:rsidR="00F13410" w:rsidRPr="0038179C">
        <w:t xml:space="preserve"> being recorded</w:t>
      </w:r>
      <w:r w:rsidR="009505D3" w:rsidRPr="0038179C">
        <w:t>, and that she made payment calls once per month—</w:t>
      </w:r>
      <w:r w:rsidR="001C0699" w:rsidRPr="0038179C">
        <w:t>meaning</w:t>
      </w:r>
      <w:r w:rsidR="009505D3" w:rsidRPr="0038179C">
        <w:t xml:space="preserve"> she was being reminded about </w:t>
      </w:r>
      <w:r w:rsidR="006D1C1E" w:rsidRPr="0038179C">
        <w:t xml:space="preserve">HSBC’s </w:t>
      </w:r>
      <w:r w:rsidR="009505D3" w:rsidRPr="0038179C">
        <w:t>recording</w:t>
      </w:r>
      <w:r w:rsidR="006D1C1E" w:rsidRPr="0038179C">
        <w:t xml:space="preserve"> practices</w:t>
      </w:r>
      <w:r w:rsidR="009505D3" w:rsidRPr="0038179C">
        <w:t xml:space="preserve"> on a continuing basis.  (</w:t>
      </w:r>
      <w:r w:rsidR="009B4906" w:rsidRPr="0038179C">
        <w:t>Cf.</w:t>
      </w:r>
      <w:r w:rsidR="009505D3" w:rsidRPr="0038179C">
        <w:t xml:space="preserve">, e.g., </w:t>
      </w:r>
      <w:bookmarkStart w:id="283" w:name="dabmci_3c3bb88af9be471399a0fa90de02c8ed"/>
      <w:r w:rsidR="009505D3" w:rsidRPr="0038179C">
        <w:rPr>
          <w:i/>
          <w:iCs/>
        </w:rPr>
        <w:t>Torres</w:t>
      </w:r>
      <w:r w:rsidR="009505D3" w:rsidRPr="0038179C">
        <w:t xml:space="preserve">, </w:t>
      </w:r>
      <w:r w:rsidR="009505D3" w:rsidRPr="0038179C">
        <w:rPr>
          <w:i/>
          <w:iCs/>
        </w:rPr>
        <w:t>supra</w:t>
      </w:r>
      <w:r w:rsidR="009505D3" w:rsidRPr="0038179C">
        <w:t>, 289 F.R.D. at p. 594</w:t>
      </w:r>
      <w:bookmarkEnd w:id="283"/>
      <w:r w:rsidR="009505D3" w:rsidRPr="0038179C">
        <w:t xml:space="preserve"> [</w:t>
      </w:r>
      <w:r w:rsidR="009B4906" w:rsidRPr="0038179C">
        <w:t xml:space="preserve">contrasting caller who heard disclosure “several months prior,” from caller who heard </w:t>
      </w:r>
      <w:r w:rsidR="0005746E" w:rsidRPr="0038179C">
        <w:t xml:space="preserve">disclosure </w:t>
      </w:r>
      <w:r w:rsidR="009B4906" w:rsidRPr="0038179C">
        <w:t xml:space="preserve">on preceding call].) </w:t>
      </w:r>
      <w:r w:rsidR="009505D3" w:rsidRPr="0038179C">
        <w:t xml:space="preserve"> The fact that the </w:t>
      </w:r>
      <w:r w:rsidR="0054534D" w:rsidRPr="0038179C">
        <w:t xml:space="preserve">recording </w:t>
      </w:r>
      <w:r w:rsidR="009505D3" w:rsidRPr="0038179C">
        <w:t>disclosure</w:t>
      </w:r>
      <w:r w:rsidR="0054534D" w:rsidRPr="0038179C">
        <w:t xml:space="preserve"> on her monthly calls to HSBC</w:t>
      </w:r>
      <w:r w:rsidR="009505D3" w:rsidRPr="0038179C">
        <w:t xml:space="preserve"> did not address </w:t>
      </w:r>
      <w:r w:rsidR="00C33129" w:rsidRPr="0038179C">
        <w:t xml:space="preserve">personal calls does not help </w:t>
      </w:r>
      <w:r w:rsidR="006D1C1E" w:rsidRPr="0038179C">
        <w:t>Rojas</w:t>
      </w:r>
      <w:r w:rsidR="00C33129" w:rsidRPr="0038179C">
        <w:t xml:space="preserve">, either.  By stating the call “may be </w:t>
      </w:r>
      <w:r w:rsidR="00C33129" w:rsidRPr="0038179C">
        <w:lastRenderedPageBreak/>
        <w:t xml:space="preserve">recorded,” the disclosure warns </w:t>
      </w:r>
      <w:r w:rsidR="00C33129" w:rsidRPr="0038179C">
        <w:rPr>
          <w:i/>
          <w:iCs/>
        </w:rPr>
        <w:t>all</w:t>
      </w:r>
      <w:r w:rsidR="00C33129" w:rsidRPr="0038179C">
        <w:t xml:space="preserve"> calls may be recorded, regardless of content.</w:t>
      </w:r>
      <w:r w:rsidR="00F87BD8" w:rsidRPr="0038179C">
        <w:t xml:space="preserve"> (Cf. </w:t>
      </w:r>
      <w:bookmarkStart w:id="284" w:name="dabmci_5305b99aef7a4347911a6735272d4430"/>
      <w:r w:rsidR="00F87BD8" w:rsidRPr="0038179C">
        <w:rPr>
          <w:i/>
          <w:iCs/>
        </w:rPr>
        <w:t>White</w:t>
      </w:r>
      <w:r w:rsidR="00F87BD8" w:rsidRPr="0038179C">
        <w:t xml:space="preserve">, </w:t>
      </w:r>
      <w:r w:rsidR="00F87BD8" w:rsidRPr="0038179C">
        <w:rPr>
          <w:i/>
          <w:iCs/>
        </w:rPr>
        <w:t>supra</w:t>
      </w:r>
      <w:r w:rsidR="00F87BD8" w:rsidRPr="0038179C">
        <w:t xml:space="preserve">, 2013 WL 756292, at </w:t>
      </w:r>
      <w:r w:rsidR="006C7E8A">
        <w:t xml:space="preserve">pp. </w:t>
      </w:r>
      <w:r w:rsidR="00F87BD8" w:rsidRPr="0038179C">
        <w:t>*5</w:t>
      </w:r>
      <w:r w:rsidR="005E2A59" w:rsidRPr="0038179C">
        <w:rPr>
          <w:lang w:bidi="en-US"/>
        </w:rPr>
        <w:t>–</w:t>
      </w:r>
      <w:r w:rsidR="006C7E8A">
        <w:rPr>
          <w:lang w:bidi="en-US"/>
        </w:rPr>
        <w:t>*</w:t>
      </w:r>
      <w:proofErr w:type="gramStart"/>
      <w:r w:rsidR="005E2A59" w:rsidRPr="0038179C">
        <w:rPr>
          <w:lang w:bidi="en-US"/>
        </w:rPr>
        <w:t>6</w:t>
      </w:r>
      <w:bookmarkEnd w:id="284"/>
      <w:proofErr w:type="gramEnd"/>
      <w:r w:rsidR="00F87BD8" w:rsidRPr="0038179C">
        <w:t>.)</w:t>
      </w:r>
      <w:r w:rsidR="002C6286" w:rsidRPr="0038179C">
        <w:rPr>
          <w:rStyle w:val="FootnoteReference"/>
        </w:rPr>
        <w:footnoteReference w:id="20"/>
      </w:r>
      <w:r w:rsidR="00411B91" w:rsidRPr="0038179C">
        <w:t xml:space="preserve">  </w:t>
      </w:r>
    </w:p>
    <w:p w14:paraId="0ED3B64F" w14:textId="7A2BA4B9" w:rsidR="00900A65" w:rsidRPr="0038179C" w:rsidRDefault="005A6120" w:rsidP="00882F89">
      <w:pPr>
        <w:spacing w:line="360" w:lineRule="auto"/>
      </w:pPr>
      <w:r w:rsidRPr="0038179C">
        <w:tab/>
        <w:t xml:space="preserve">Second, </w:t>
      </w:r>
      <w:r w:rsidR="00F154EB" w:rsidRPr="0038179C">
        <w:t xml:space="preserve">Rojas participated in numerous calls with Alejandra </w:t>
      </w:r>
      <w:r w:rsidR="0054534D" w:rsidRPr="0038179C">
        <w:t xml:space="preserve">made </w:t>
      </w:r>
      <w:r w:rsidR="00752D92" w:rsidRPr="0038179C">
        <w:t>from</w:t>
      </w:r>
      <w:r w:rsidR="00F154EB" w:rsidRPr="0038179C">
        <w:t xml:space="preserve"> </w:t>
      </w:r>
      <w:r w:rsidR="0054534D" w:rsidRPr="0038179C">
        <w:t xml:space="preserve">an </w:t>
      </w:r>
      <w:r w:rsidR="00F154EB" w:rsidRPr="0038179C">
        <w:t>HSBC</w:t>
      </w:r>
      <w:r w:rsidR="0054534D" w:rsidRPr="0038179C">
        <w:t xml:space="preserve"> call center phone</w:t>
      </w:r>
      <w:r w:rsidR="00752D92" w:rsidRPr="0038179C">
        <w:t xml:space="preserve">, </w:t>
      </w:r>
      <w:r w:rsidR="005F702B" w:rsidRPr="0038179C">
        <w:t>after receiving</w:t>
      </w:r>
      <w:r w:rsidR="00806765" w:rsidRPr="0038179C">
        <w:t xml:space="preserve"> the</w:t>
      </w:r>
      <w:r w:rsidR="005F702B" w:rsidRPr="0038179C">
        <w:t xml:space="preserve"> prior recording disclosures</w:t>
      </w:r>
      <w:r w:rsidR="00F82A4E" w:rsidRPr="0038179C">
        <w:t xml:space="preserve">.   (See </w:t>
      </w:r>
      <w:bookmarkStart w:id="289" w:name="dabmci_82dd40e217ef4ed0b6bbafe17a0cc0d9"/>
      <w:r w:rsidR="00F82A4E" w:rsidRPr="0038179C">
        <w:rPr>
          <w:i/>
          <w:iCs/>
        </w:rPr>
        <w:t>Griggs-Ryan</w:t>
      </w:r>
      <w:r w:rsidR="00F82A4E" w:rsidRPr="0038179C">
        <w:t xml:space="preserve">, </w:t>
      </w:r>
      <w:r w:rsidR="00F82A4E" w:rsidRPr="0038179C">
        <w:rPr>
          <w:i/>
          <w:iCs/>
          <w:lang w:bidi="en-US"/>
        </w:rPr>
        <w:t>supra</w:t>
      </w:r>
      <w:r w:rsidR="00F82A4E" w:rsidRPr="0038179C">
        <w:rPr>
          <w:lang w:bidi="en-US"/>
        </w:rPr>
        <w:t>, 904 F.2d at p. 114</w:t>
      </w:r>
      <w:bookmarkEnd w:id="289"/>
      <w:r w:rsidR="00F82A4E" w:rsidRPr="0038179C">
        <w:rPr>
          <w:lang w:bidi="en-US"/>
        </w:rPr>
        <w:t xml:space="preserve"> [tenant continued to receive calls after being advised of recording by landlady]; </w:t>
      </w:r>
      <w:r w:rsidR="00F82A4E" w:rsidRPr="0038179C">
        <w:t xml:space="preserve">cf. </w:t>
      </w:r>
      <w:bookmarkStart w:id="290" w:name="dabmci_6e929d0ea84e45dd8b5bcd9000dfa0de"/>
      <w:r w:rsidR="00F82A4E" w:rsidRPr="0038179C">
        <w:rPr>
          <w:i/>
          <w:iCs/>
        </w:rPr>
        <w:t>Kearney</w:t>
      </w:r>
      <w:r w:rsidR="00F82A4E" w:rsidRPr="0038179C">
        <w:t xml:space="preserve">, </w:t>
      </w:r>
      <w:r w:rsidR="00F82A4E" w:rsidRPr="0038179C">
        <w:rPr>
          <w:i/>
          <w:iCs/>
        </w:rPr>
        <w:t>supra</w:t>
      </w:r>
      <w:r w:rsidR="00F82A4E" w:rsidRPr="0038179C">
        <w:t>,</w:t>
      </w:r>
      <w:r w:rsidR="00F82A4E" w:rsidRPr="0038179C">
        <w:rPr>
          <w:i/>
          <w:iCs/>
        </w:rPr>
        <w:t xml:space="preserve"> </w:t>
      </w:r>
      <w:r w:rsidR="00F82A4E" w:rsidRPr="0038179C">
        <w:rPr>
          <w:rFonts w:cstheme="minorBidi"/>
          <w:szCs w:val="22"/>
        </w:rPr>
        <w:t>39 Cal.4th at p. 118</w:t>
      </w:r>
      <w:bookmarkEnd w:id="290"/>
      <w:r w:rsidR="00F82A4E" w:rsidRPr="0038179C">
        <w:t xml:space="preserve"> [if a </w:t>
      </w:r>
      <w:bookmarkStart w:id="291" w:name="dabmq_145"/>
      <w:r w:rsidR="00F82A4E" w:rsidRPr="0038179C">
        <w:t>“party does not wish to participate . . . he or she simply may decline to continue the communication”</w:t>
      </w:r>
      <w:bookmarkEnd w:id="291"/>
      <w:r w:rsidR="00F82A4E" w:rsidRPr="0038179C">
        <w:t xml:space="preserve">].)  </w:t>
      </w:r>
      <w:r w:rsidR="00F154EB" w:rsidRPr="0038179C">
        <w:t>Indeed,</w:t>
      </w:r>
      <w:r w:rsidR="00806765" w:rsidRPr="0038179C">
        <w:t xml:space="preserve"> as the trial court </w:t>
      </w:r>
      <w:r w:rsidR="000D0B4F" w:rsidRPr="0038179C">
        <w:t>found</w:t>
      </w:r>
      <w:r w:rsidR="00806765" w:rsidRPr="0038179C">
        <w:t>,</w:t>
      </w:r>
      <w:r w:rsidR="00F154EB" w:rsidRPr="0038179C">
        <w:t xml:space="preserve"> the record shows Rojas effectively </w:t>
      </w:r>
      <w:r w:rsidR="00F154EB" w:rsidRPr="0038179C">
        <w:rPr>
          <w:i/>
          <w:iCs/>
        </w:rPr>
        <w:t xml:space="preserve">solicited </w:t>
      </w:r>
      <w:r w:rsidR="00900A65" w:rsidRPr="0038179C">
        <w:t>such calls</w:t>
      </w:r>
      <w:r w:rsidR="00F154EB" w:rsidRPr="0038179C">
        <w:t xml:space="preserve">.  Although Alejandra </w:t>
      </w:r>
      <w:r w:rsidR="002C6286" w:rsidRPr="0038179C">
        <w:t>could receive</w:t>
      </w:r>
      <w:r w:rsidR="00F154EB" w:rsidRPr="0038179C">
        <w:t xml:space="preserve"> inbound calls</w:t>
      </w:r>
      <w:r w:rsidR="00900A65" w:rsidRPr="0038179C">
        <w:t>,</w:t>
      </w:r>
      <w:r w:rsidR="00F154EB" w:rsidRPr="0038179C">
        <w:t xml:space="preserve"> </w:t>
      </w:r>
      <w:r w:rsidR="00837D7F" w:rsidRPr="0038179C">
        <w:t xml:space="preserve">did </w:t>
      </w:r>
      <w:r w:rsidR="002C6286" w:rsidRPr="0038179C">
        <w:t>receive</w:t>
      </w:r>
      <w:r w:rsidR="00F154EB" w:rsidRPr="0038179C">
        <w:t xml:space="preserve"> them from her boyfriend, </w:t>
      </w:r>
      <w:r w:rsidR="00900A65" w:rsidRPr="0038179C">
        <w:t xml:space="preserve">and </w:t>
      </w:r>
      <w:r w:rsidR="002C6286" w:rsidRPr="0038179C">
        <w:t>agreed</w:t>
      </w:r>
      <w:r w:rsidR="00900A65" w:rsidRPr="0038179C">
        <w:t xml:space="preserve"> such calls </w:t>
      </w:r>
      <w:r w:rsidR="002C6286" w:rsidRPr="0038179C">
        <w:t>had automatic</w:t>
      </w:r>
      <w:r w:rsidR="00900A65" w:rsidRPr="0038179C">
        <w:t xml:space="preserve"> recording disclosures, </w:t>
      </w:r>
      <w:r w:rsidR="00F154EB" w:rsidRPr="0038179C">
        <w:t>Rojas would call Alejandra’s cell phone and Alejandra would call her bac</w:t>
      </w:r>
      <w:r w:rsidR="00900A65" w:rsidRPr="0038179C">
        <w:t>k</w:t>
      </w:r>
      <w:r w:rsidR="002C6286" w:rsidRPr="0038179C">
        <w:t xml:space="preserve"> from her HSBC line—with no automatic</w:t>
      </w:r>
      <w:r w:rsidR="0054534D" w:rsidRPr="0038179C">
        <w:t xml:space="preserve"> recording</w:t>
      </w:r>
      <w:r w:rsidR="002C6286" w:rsidRPr="0038179C">
        <w:t xml:space="preserve"> disclosure</w:t>
      </w:r>
      <w:r w:rsidR="00F154EB" w:rsidRPr="0038179C">
        <w:t>.</w:t>
      </w:r>
      <w:r w:rsidR="00900A65" w:rsidRPr="0038179C">
        <w:t xml:space="preserve">  Regardless of </w:t>
      </w:r>
      <w:r w:rsidR="002C6286" w:rsidRPr="0038179C">
        <w:t>why Rojas</w:t>
      </w:r>
      <w:r w:rsidR="00900A65" w:rsidRPr="0038179C">
        <w:t xml:space="preserve"> call</w:t>
      </w:r>
      <w:r w:rsidR="007F036E" w:rsidRPr="0038179C">
        <w:t>ed</w:t>
      </w:r>
      <w:r w:rsidR="002C6286" w:rsidRPr="0038179C">
        <w:t xml:space="preserve"> Alejandra</w:t>
      </w:r>
      <w:r w:rsidR="00900A65" w:rsidRPr="0038179C">
        <w:t xml:space="preserve"> </w:t>
      </w:r>
      <w:r w:rsidR="00F82A4E" w:rsidRPr="0038179C">
        <w:t xml:space="preserve">in </w:t>
      </w:r>
      <w:r w:rsidR="000D0B4F" w:rsidRPr="0038179C">
        <w:t xml:space="preserve">this </w:t>
      </w:r>
      <w:r w:rsidR="00F82A4E" w:rsidRPr="0038179C">
        <w:t>manner</w:t>
      </w:r>
      <w:r w:rsidR="00900A65" w:rsidRPr="0038179C">
        <w:t xml:space="preserve">, the trial court could find </w:t>
      </w:r>
      <w:r w:rsidR="002C6286" w:rsidRPr="0038179C">
        <w:t>she</w:t>
      </w:r>
      <w:r w:rsidR="00900A65" w:rsidRPr="0038179C">
        <w:t xml:space="preserve"> was aware of </w:t>
      </w:r>
      <w:r w:rsidR="000D0B4F" w:rsidRPr="0038179C">
        <w:t xml:space="preserve">HSBC’s </w:t>
      </w:r>
      <w:r w:rsidR="00900A65" w:rsidRPr="0038179C">
        <w:t>recording</w:t>
      </w:r>
      <w:r w:rsidR="000D0B4F" w:rsidRPr="0038179C">
        <w:t xml:space="preserve"> practices</w:t>
      </w:r>
      <w:r w:rsidR="00900A65" w:rsidRPr="0038179C">
        <w:t xml:space="preserve"> from </w:t>
      </w:r>
      <w:r w:rsidR="005F702B" w:rsidRPr="0038179C">
        <w:t>the</w:t>
      </w:r>
      <w:r w:rsidR="00900A65" w:rsidRPr="0038179C">
        <w:t xml:space="preserve"> prior </w:t>
      </w:r>
      <w:proofErr w:type="gramStart"/>
      <w:r w:rsidR="00900A65" w:rsidRPr="0038179C">
        <w:t>disclosures</w:t>
      </w:r>
      <w:r w:rsidR="002C6286" w:rsidRPr="0038179C">
        <w:t>, and</w:t>
      </w:r>
      <w:proofErr w:type="gramEnd"/>
      <w:r w:rsidR="002C6286" w:rsidRPr="0038179C">
        <w:t xml:space="preserve"> chose to </w:t>
      </w:r>
      <w:r w:rsidR="007F036E" w:rsidRPr="0038179C">
        <w:t>receive</w:t>
      </w:r>
      <w:r w:rsidR="002C6286" w:rsidRPr="0038179C">
        <w:t xml:space="preserve"> </w:t>
      </w:r>
      <w:r w:rsidR="000D0B4F" w:rsidRPr="0038179C">
        <w:t>calls from</w:t>
      </w:r>
      <w:r w:rsidR="002C6286" w:rsidRPr="0038179C">
        <w:t xml:space="preserve"> </w:t>
      </w:r>
      <w:r w:rsidR="00F94E60" w:rsidRPr="0038179C">
        <w:t xml:space="preserve">an </w:t>
      </w:r>
      <w:r w:rsidR="00317735" w:rsidRPr="0038179C">
        <w:t xml:space="preserve">employee at </w:t>
      </w:r>
      <w:r w:rsidR="002C6286" w:rsidRPr="0038179C">
        <w:t>HSBC</w:t>
      </w:r>
      <w:r w:rsidR="006E384E" w:rsidRPr="0038179C">
        <w:t xml:space="preserve"> (</w:t>
      </w:r>
      <w:r w:rsidR="000D0B4F" w:rsidRPr="0038179C">
        <w:t>Alejandra</w:t>
      </w:r>
      <w:r w:rsidR="006E384E" w:rsidRPr="0038179C">
        <w:t>)</w:t>
      </w:r>
      <w:r w:rsidR="00900A65" w:rsidRPr="0038179C">
        <w:t>.</w:t>
      </w:r>
      <w:r w:rsidR="00F22B62">
        <w:rPr>
          <w:rStyle w:val="FootnoteReference"/>
        </w:rPr>
        <w:footnoteReference w:id="21"/>
      </w:r>
      <w:r w:rsidR="00366FFE" w:rsidRPr="0038179C">
        <w:t xml:space="preserve"> </w:t>
      </w:r>
    </w:p>
    <w:p w14:paraId="799E722B" w14:textId="3A4A5363" w:rsidR="000B1C6B" w:rsidRPr="0038179C" w:rsidRDefault="002C6286" w:rsidP="00882F89">
      <w:pPr>
        <w:spacing w:line="360" w:lineRule="auto"/>
      </w:pPr>
      <w:r w:rsidRPr="0038179C">
        <w:tab/>
        <w:t xml:space="preserve">Finally, </w:t>
      </w:r>
      <w:r w:rsidR="00900A65" w:rsidRPr="0038179C">
        <w:t>we recognize</w:t>
      </w:r>
      <w:r w:rsidRPr="0038179C">
        <w:t xml:space="preserve"> </w:t>
      </w:r>
      <w:r w:rsidR="009953E3" w:rsidRPr="0038179C">
        <w:t xml:space="preserve">Rojas testified she did not know she was being </w:t>
      </w:r>
      <w:proofErr w:type="gramStart"/>
      <w:r w:rsidR="009953E3" w:rsidRPr="0038179C">
        <w:t>recorded, and</w:t>
      </w:r>
      <w:proofErr w:type="gramEnd"/>
      <w:r w:rsidR="009953E3" w:rsidRPr="0038179C">
        <w:t xml:space="preserve"> would not have continued the calls </w:t>
      </w:r>
      <w:r w:rsidR="0054534D" w:rsidRPr="0038179C">
        <w:t xml:space="preserve">had </w:t>
      </w:r>
      <w:r w:rsidR="009953E3" w:rsidRPr="0038179C">
        <w:t>she know</w:t>
      </w:r>
      <w:r w:rsidR="0054534D" w:rsidRPr="0038179C">
        <w:t>n</w:t>
      </w:r>
      <w:r w:rsidRPr="0038179C">
        <w:t xml:space="preserve">.  </w:t>
      </w:r>
      <w:r w:rsidR="009D585B" w:rsidRPr="0038179C">
        <w:t>But</w:t>
      </w:r>
      <w:r w:rsidR="00C567BA" w:rsidRPr="0038179C">
        <w:t xml:space="preserve"> the tr</w:t>
      </w:r>
      <w:r w:rsidR="00A031BC" w:rsidRPr="0038179C">
        <w:t>i</w:t>
      </w:r>
      <w:r w:rsidR="00C567BA" w:rsidRPr="0038179C">
        <w:t xml:space="preserve">al court could impliedly reject this testimony as not </w:t>
      </w:r>
      <w:proofErr w:type="gramStart"/>
      <w:r w:rsidR="00C567BA" w:rsidRPr="0038179C">
        <w:t>credible</w:t>
      </w:r>
      <w:r w:rsidR="00A031BC" w:rsidRPr="0038179C">
        <w:t>, or</w:t>
      </w:r>
      <w:proofErr w:type="gramEnd"/>
      <w:r w:rsidR="00A031BC" w:rsidRPr="0038179C">
        <w:t xml:space="preserve"> weigh the </w:t>
      </w:r>
      <w:r w:rsidR="00A031BC" w:rsidRPr="0038179C">
        <w:lastRenderedPageBreak/>
        <w:t>evidence regarding the prior disclosures more heavily than these denials.  We do not revisit credibility findings, or, as noted, reweigh the evidence</w:t>
      </w:r>
      <w:r w:rsidR="009953E3" w:rsidRPr="0038179C">
        <w:t>.</w:t>
      </w:r>
      <w:r w:rsidR="00A031BC" w:rsidRPr="0038179C">
        <w:t xml:space="preserve">  </w:t>
      </w:r>
      <w:r w:rsidR="009953E3" w:rsidRPr="0038179C">
        <w:t>(</w:t>
      </w:r>
      <w:bookmarkStart w:id="292" w:name="dabmci_8344fe62c16549f3b0bbec968d560d46"/>
      <w:r w:rsidR="009953E3" w:rsidRPr="0038179C">
        <w:rPr>
          <w:i/>
          <w:iCs/>
        </w:rPr>
        <w:t>Thom</w:t>
      </w:r>
      <w:r w:rsidR="00C04660" w:rsidRPr="0038179C">
        <w:rPr>
          <w:i/>
          <w:iCs/>
        </w:rPr>
        <w:t>pson</w:t>
      </w:r>
      <w:r w:rsidR="009953E3" w:rsidRPr="0038179C">
        <w:t xml:space="preserve">, </w:t>
      </w:r>
      <w:r w:rsidR="009953E3" w:rsidRPr="0038179C">
        <w:rPr>
          <w:i/>
          <w:iCs/>
        </w:rPr>
        <w:t>supra</w:t>
      </w:r>
      <w:r w:rsidR="009953E3" w:rsidRPr="0038179C">
        <w:t>, 6 Cal.App.5th at p. 981</w:t>
      </w:r>
      <w:bookmarkEnd w:id="292"/>
      <w:r w:rsidR="009953E3" w:rsidRPr="0038179C">
        <w:t>.)</w:t>
      </w:r>
    </w:p>
    <w:p w14:paraId="73D6DB65" w14:textId="0CF10085" w:rsidR="005D5260" w:rsidRPr="0038179C" w:rsidRDefault="00C567BA" w:rsidP="005D5260">
      <w:pPr>
        <w:keepNext/>
        <w:spacing w:line="360" w:lineRule="auto"/>
        <w:ind w:firstLine="720"/>
      </w:pPr>
      <w:r w:rsidRPr="0038179C">
        <w:t xml:space="preserve">We conclude substantial evidence </w:t>
      </w:r>
      <w:r w:rsidR="00A230FB" w:rsidRPr="0038179C">
        <w:t xml:space="preserve">amply </w:t>
      </w:r>
      <w:r w:rsidRPr="0038179C">
        <w:t>supports the trial court’s finding</w:t>
      </w:r>
      <w:r w:rsidR="007F036E" w:rsidRPr="0038179C">
        <w:t xml:space="preserve"> that Rojas impliedly consented to </w:t>
      </w:r>
      <w:r w:rsidR="00A230FB" w:rsidRPr="0038179C">
        <w:t xml:space="preserve">HSBC’s </w:t>
      </w:r>
      <w:r w:rsidR="007F036E" w:rsidRPr="0038179C">
        <w:t xml:space="preserve">recording, and thus did not </w:t>
      </w:r>
      <w:r w:rsidRPr="0038179C">
        <w:t>prove lack of conse</w:t>
      </w:r>
      <w:r w:rsidR="007F036E" w:rsidRPr="0038179C">
        <w:t xml:space="preserve">nt.  Because lack of consent is a required element under both section 632 and </w:t>
      </w:r>
      <w:r w:rsidR="00AD23CC" w:rsidRPr="0038179C">
        <w:t xml:space="preserve">section </w:t>
      </w:r>
      <w:r w:rsidR="007F036E" w:rsidRPr="0038179C">
        <w:t xml:space="preserve">632.7, we must affirm the judgment for HSBC.   </w:t>
      </w:r>
      <w:r w:rsidR="00806765" w:rsidRPr="0038179C">
        <w:t>As a result</w:t>
      </w:r>
      <w:r w:rsidR="007F036E" w:rsidRPr="0038179C">
        <w:t xml:space="preserve">, </w:t>
      </w:r>
      <w:r w:rsidR="00533762" w:rsidRPr="0038179C">
        <w:t xml:space="preserve">we need not reach </w:t>
      </w:r>
      <w:r w:rsidR="007F036E" w:rsidRPr="0038179C">
        <w:t>Rojas’s remaining arguments for reversal of the judgment</w:t>
      </w:r>
      <w:r w:rsidR="00533762" w:rsidRPr="0038179C">
        <w:t xml:space="preserve">.  </w:t>
      </w:r>
    </w:p>
    <w:p w14:paraId="0CEDF0B3" w14:textId="7FFE0B76" w:rsidR="006B7BCA" w:rsidRPr="0038179C" w:rsidRDefault="006B7BCA" w:rsidP="00750AA2">
      <w:pPr>
        <w:pStyle w:val="Heading1"/>
        <w:spacing w:before="60" w:after="60" w:line="360" w:lineRule="auto"/>
      </w:pPr>
      <w:r w:rsidRPr="0038179C">
        <w:t>II.</w:t>
      </w:r>
      <w:r w:rsidRPr="0038179C">
        <w:tab/>
      </w:r>
      <w:r w:rsidRPr="0038179C">
        <w:rPr>
          <w:i/>
          <w:iCs/>
        </w:rPr>
        <w:t xml:space="preserve">Rojas’s Appeal from Denial of Motion to </w:t>
      </w:r>
      <w:r w:rsidR="00EB4295" w:rsidRPr="0038179C">
        <w:rPr>
          <w:i/>
          <w:iCs/>
        </w:rPr>
        <w:t xml:space="preserve">Strike </w:t>
      </w:r>
      <w:proofErr w:type="gramStart"/>
      <w:r w:rsidR="00EB4295" w:rsidRPr="0038179C">
        <w:rPr>
          <w:i/>
          <w:iCs/>
        </w:rPr>
        <w:t>Or</w:t>
      </w:r>
      <w:proofErr w:type="gramEnd"/>
      <w:r w:rsidR="00EB4295" w:rsidRPr="0038179C">
        <w:rPr>
          <w:i/>
          <w:iCs/>
        </w:rPr>
        <w:t xml:space="preserve"> </w:t>
      </w:r>
      <w:r w:rsidRPr="0038179C">
        <w:rPr>
          <w:i/>
          <w:iCs/>
        </w:rPr>
        <w:t>Tax Costs</w:t>
      </w:r>
    </w:p>
    <w:p w14:paraId="13BC5137" w14:textId="09F0E47C" w:rsidR="00F412F4" w:rsidRPr="0038179C" w:rsidRDefault="00F4400B" w:rsidP="00882F89">
      <w:pPr>
        <w:spacing w:line="360" w:lineRule="auto"/>
      </w:pPr>
      <w:r w:rsidRPr="0038179C">
        <w:tab/>
        <w:t xml:space="preserve">Rojas appeals from the trial court’s postjudgment order denying her motion to </w:t>
      </w:r>
      <w:r w:rsidR="00EB4295" w:rsidRPr="0038179C">
        <w:t xml:space="preserve">strike or </w:t>
      </w:r>
      <w:r w:rsidRPr="0038179C">
        <w:t>tax costs.</w:t>
      </w:r>
      <w:r w:rsidR="00F412F4" w:rsidRPr="0038179C">
        <w:t xml:space="preserve">  She contends </w:t>
      </w:r>
      <w:r w:rsidR="00EB4295" w:rsidRPr="0038179C">
        <w:t>HSBC’s</w:t>
      </w:r>
      <w:r w:rsidR="00F412F4" w:rsidRPr="0038179C">
        <w:t xml:space="preserve"> section 998 order was invalid,</w:t>
      </w:r>
      <w:r w:rsidR="00A86574" w:rsidRPr="0038179C">
        <w:t xml:space="preserve"> and the court also erred in awarding certain expert cost</w:t>
      </w:r>
      <w:r w:rsidR="00332F3E" w:rsidRPr="0038179C">
        <w:t>s</w:t>
      </w:r>
      <w:r w:rsidR="00A86574" w:rsidRPr="0038179C">
        <w:t xml:space="preserve">, purportedly failing to consider her economic </w:t>
      </w:r>
      <w:r w:rsidR="00332F3E" w:rsidRPr="0038179C">
        <w:t>situation in setting those costs</w:t>
      </w:r>
      <w:r w:rsidR="00A86574" w:rsidRPr="0038179C">
        <w:t xml:space="preserve">, and awarding costs for unused trial exhibits.  </w:t>
      </w:r>
      <w:r w:rsidR="007C3EDD" w:rsidRPr="0038179C">
        <w:t>We reject each argument</w:t>
      </w:r>
      <w:r w:rsidR="00F412F4" w:rsidRPr="0038179C">
        <w:t xml:space="preserve">. </w:t>
      </w:r>
    </w:p>
    <w:p w14:paraId="6F181298" w14:textId="55EE9172" w:rsidR="006B7BCA" w:rsidRPr="0038179C" w:rsidRDefault="006B7BCA" w:rsidP="00750AA2">
      <w:pPr>
        <w:pStyle w:val="Heading2"/>
        <w:spacing w:before="60" w:after="60"/>
        <w:rPr>
          <w:i/>
          <w:iCs/>
        </w:rPr>
      </w:pPr>
      <w:r w:rsidRPr="0038179C">
        <w:t>A.</w:t>
      </w:r>
      <w:r w:rsidRPr="0038179C">
        <w:tab/>
      </w:r>
      <w:r w:rsidRPr="0038179C">
        <w:rPr>
          <w:i/>
          <w:iCs/>
        </w:rPr>
        <w:t>Additional Facts</w:t>
      </w:r>
    </w:p>
    <w:p w14:paraId="0434AD30" w14:textId="3C950831" w:rsidR="00181EE5" w:rsidRPr="0038179C" w:rsidRDefault="00181EE5" w:rsidP="00750AA2">
      <w:pPr>
        <w:pStyle w:val="Heading3"/>
        <w:spacing w:after="60"/>
      </w:pPr>
      <w:r w:rsidRPr="0038179C">
        <w:rPr>
          <w:i w:val="0"/>
          <w:iCs w:val="0"/>
        </w:rPr>
        <w:t>1.</w:t>
      </w:r>
      <w:r w:rsidRPr="0038179C">
        <w:rPr>
          <w:i w:val="0"/>
          <w:iCs w:val="0"/>
        </w:rPr>
        <w:tab/>
      </w:r>
      <w:r w:rsidRPr="0038179C">
        <w:t xml:space="preserve">HSBC Makes </w:t>
      </w:r>
      <w:proofErr w:type="gramStart"/>
      <w:r w:rsidRPr="0038179C">
        <w:t>A</w:t>
      </w:r>
      <w:proofErr w:type="gramEnd"/>
      <w:r w:rsidRPr="0038179C">
        <w:t xml:space="preserve"> Section 998 Offer And Later Seeks Costs</w:t>
      </w:r>
    </w:p>
    <w:p w14:paraId="2EAD121C" w14:textId="506DDC7F" w:rsidR="00365176" w:rsidRPr="0038179C" w:rsidRDefault="00F412F4" w:rsidP="00882F89">
      <w:pPr>
        <w:spacing w:line="360" w:lineRule="auto"/>
      </w:pPr>
      <w:r w:rsidRPr="0038179C">
        <w:tab/>
        <w:t>HSBC made a section 998 offer</w:t>
      </w:r>
      <w:r w:rsidR="00B26FA7" w:rsidRPr="0038179C">
        <w:t xml:space="preserve"> </w:t>
      </w:r>
      <w:r w:rsidRPr="0038179C">
        <w:t>to Rojas in June 2019</w:t>
      </w:r>
      <w:r w:rsidR="00B26FA7" w:rsidRPr="0038179C">
        <w:t xml:space="preserve">, after remand in </w:t>
      </w:r>
      <w:r w:rsidR="00B26FA7" w:rsidRPr="0038179C">
        <w:rPr>
          <w:i/>
          <w:iCs/>
        </w:rPr>
        <w:t>Rojas I</w:t>
      </w:r>
      <w:r w:rsidRPr="0038179C">
        <w:t xml:space="preserve">.  The offer stated in </w:t>
      </w:r>
      <w:r w:rsidR="00A86574" w:rsidRPr="0038179C">
        <w:t>relevant</w:t>
      </w:r>
      <w:r w:rsidRPr="0038179C">
        <w:t xml:space="preserve"> part:</w:t>
      </w:r>
    </w:p>
    <w:p w14:paraId="2FF36873" w14:textId="21B0E4AE" w:rsidR="00F412F4" w:rsidRPr="0038179C" w:rsidRDefault="004045F5" w:rsidP="00E2178F">
      <w:pPr>
        <w:ind w:left="720"/>
      </w:pPr>
      <w:bookmarkStart w:id="293" w:name="dabmq_146"/>
      <w:r w:rsidRPr="0038179C">
        <w:t>“[D]efendants [</w:t>
      </w:r>
      <w:r w:rsidR="00F412F4" w:rsidRPr="0038179C">
        <w:t>HSBC Card Services</w:t>
      </w:r>
      <w:r w:rsidRPr="0038179C">
        <w:t>]</w:t>
      </w:r>
      <w:r w:rsidR="00F412F4" w:rsidRPr="0038179C">
        <w:t xml:space="preserve"> and </w:t>
      </w:r>
      <w:r w:rsidRPr="0038179C">
        <w:t>[</w:t>
      </w:r>
      <w:r w:rsidR="00F412F4" w:rsidRPr="0038179C">
        <w:t>HSCB Tech Services] hereby offer to compromise and settle all claims of</w:t>
      </w:r>
      <w:r w:rsidR="00C245AE" w:rsidRPr="0038179C">
        <w:t xml:space="preserve"> </w:t>
      </w:r>
      <w:r w:rsidR="00F412F4" w:rsidRPr="0038179C">
        <w:t>plaintiff Dalia Rojas</w:t>
      </w:r>
      <w:r w:rsidR="00E2178F" w:rsidRPr="0038179C">
        <w:t xml:space="preserve"> (“Plaintiff”</w:t>
      </w:r>
      <w:bookmarkEnd w:id="293"/>
      <w:r w:rsidR="00E2178F" w:rsidRPr="0038179C">
        <w:t xml:space="preserve">) </w:t>
      </w:r>
      <w:r w:rsidR="00F412F4" w:rsidRPr="0038179C">
        <w:t>against HSBC in the above-captioned action, on the following terms:  1. Within thirty (30) days of written acceptance of this offer, HSBC agrees to pay $11,000.00 to Plaintiff; [¶] 2.</w:t>
      </w:r>
      <w:r w:rsidR="00E2178F" w:rsidRPr="0038179C">
        <w:t xml:space="preserve">  </w:t>
      </w:r>
      <w:r w:rsidR="00F412F4" w:rsidRPr="0038179C">
        <w:t>Upon acceptance of</w:t>
      </w:r>
      <w:r w:rsidR="00C245AE" w:rsidRPr="0038179C">
        <w:t xml:space="preserve"> </w:t>
      </w:r>
      <w:r w:rsidR="00F412F4" w:rsidRPr="0038179C">
        <w:t xml:space="preserve">this offer and within ten (10) days from receipt of the above-referenced payment, Plaintiff will dismiss with prejudice her claims in the above-captioned action, against HSBC and release HSBC of all liability to Plaintiff; and [¶] </w:t>
      </w:r>
      <w:proofErr w:type="gramStart"/>
      <w:r w:rsidR="00F412F4" w:rsidRPr="0038179C">
        <w:t>3</w:t>
      </w:r>
      <w:proofErr w:type="gramEnd"/>
      <w:r w:rsidR="00F412F4" w:rsidRPr="0038179C">
        <w:t>. Each party will bear its own attorneys</w:t>
      </w:r>
      <w:r w:rsidR="00143201" w:rsidRPr="0038179C">
        <w:t>’</w:t>
      </w:r>
      <w:r w:rsidR="00F412F4" w:rsidRPr="0038179C">
        <w:t xml:space="preserve"> fees and costs.” </w:t>
      </w:r>
    </w:p>
    <w:p w14:paraId="53731532" w14:textId="77777777" w:rsidR="00882F89" w:rsidRPr="0038179C" w:rsidRDefault="00882F89" w:rsidP="00882F89">
      <w:pPr>
        <w:ind w:left="720"/>
      </w:pPr>
    </w:p>
    <w:p w14:paraId="23734221" w14:textId="1A41BA4F" w:rsidR="00161CE2" w:rsidRPr="0038179C" w:rsidRDefault="00161CE2" w:rsidP="00882F89">
      <w:pPr>
        <w:spacing w:line="360" w:lineRule="auto"/>
      </w:pPr>
      <w:r w:rsidRPr="0038179C">
        <w:t xml:space="preserve">Rojas did not accept the offer.  </w:t>
      </w:r>
    </w:p>
    <w:p w14:paraId="1E001A4C" w14:textId="10436E1B" w:rsidR="00F412F4" w:rsidRPr="0038179C" w:rsidRDefault="00161CE2" w:rsidP="00161CE2">
      <w:pPr>
        <w:spacing w:line="360" w:lineRule="auto"/>
        <w:ind w:firstLine="720"/>
      </w:pPr>
      <w:r w:rsidRPr="0038179C">
        <w:lastRenderedPageBreak/>
        <w:t xml:space="preserve">After receiving a full defense judgment, </w:t>
      </w:r>
      <w:r w:rsidR="00F412F4" w:rsidRPr="0038179C">
        <w:t xml:space="preserve">HSBC filed </w:t>
      </w:r>
      <w:r w:rsidR="004045F5" w:rsidRPr="0038179C">
        <w:t>a</w:t>
      </w:r>
      <w:r w:rsidR="00F412F4" w:rsidRPr="0038179C">
        <w:t xml:space="preserve"> </w:t>
      </w:r>
      <w:r w:rsidR="004045F5" w:rsidRPr="0038179C">
        <w:t>memorandum of costs</w:t>
      </w:r>
      <w:r w:rsidR="0035102F" w:rsidRPr="0038179C">
        <w:t xml:space="preserve">, </w:t>
      </w:r>
      <w:r w:rsidR="004045F5" w:rsidRPr="0038179C">
        <w:t xml:space="preserve">seeking </w:t>
      </w:r>
      <w:r w:rsidR="0035102F" w:rsidRPr="0038179C">
        <w:t>$6</w:t>
      </w:r>
      <w:r w:rsidR="009C7D3B" w:rsidRPr="0038179C">
        <w:t>1</w:t>
      </w:r>
      <w:r w:rsidR="0035102F" w:rsidRPr="0038179C">
        <w:t>,</w:t>
      </w:r>
      <w:r w:rsidR="009C7D3B" w:rsidRPr="0038179C">
        <w:t>716.90</w:t>
      </w:r>
      <w:r w:rsidR="0035102F" w:rsidRPr="0038179C">
        <w:t xml:space="preserve">.  </w:t>
      </w:r>
      <w:r w:rsidR="009C7D3B" w:rsidRPr="0038179C">
        <w:t>Pertinent here, HSBC requested</w:t>
      </w:r>
      <w:r w:rsidR="001C2FB3" w:rsidRPr="0038179C">
        <w:t xml:space="preserve"> </w:t>
      </w:r>
      <w:r w:rsidR="0035102F" w:rsidRPr="0038179C">
        <w:t>$40,72</w:t>
      </w:r>
      <w:r w:rsidR="002C0720" w:rsidRPr="0038179C">
        <w:t>0</w:t>
      </w:r>
      <w:r w:rsidR="0035102F" w:rsidRPr="0038179C">
        <w:t xml:space="preserve">.09 </w:t>
      </w:r>
      <w:r w:rsidR="004045F5" w:rsidRPr="0038179C">
        <w:t>for</w:t>
      </w:r>
      <w:r w:rsidR="0035102F" w:rsidRPr="0038179C">
        <w:t xml:space="preserve"> </w:t>
      </w:r>
      <w:bookmarkStart w:id="294" w:name="dabmq_147"/>
      <w:r w:rsidR="0035102F" w:rsidRPr="0038179C">
        <w:t xml:space="preserve">“[e]xpert witness fees per </w:t>
      </w:r>
      <w:r w:rsidR="004045F5" w:rsidRPr="0038179C">
        <w:t>. . .</w:t>
      </w:r>
      <w:r w:rsidR="0035102F" w:rsidRPr="0038179C">
        <w:t xml:space="preserve"> section 998</w:t>
      </w:r>
      <w:r w:rsidR="009C7D3B" w:rsidRPr="0038179C">
        <w:t>,</w:t>
      </w:r>
      <w:r w:rsidR="0035102F" w:rsidRPr="0038179C">
        <w:t>”</w:t>
      </w:r>
      <w:bookmarkEnd w:id="294"/>
      <w:r w:rsidR="009C7D3B" w:rsidRPr="0038179C">
        <w:t xml:space="preserve"> for </w:t>
      </w:r>
      <w:r w:rsidR="00E2178F" w:rsidRPr="0038179C">
        <w:t xml:space="preserve">its expert </w:t>
      </w:r>
      <w:r w:rsidR="009C7D3B" w:rsidRPr="0038179C">
        <w:t>Darlene Geller-Stoff.</w:t>
      </w:r>
      <w:r w:rsidR="001C2FB3" w:rsidRPr="0038179C">
        <w:t xml:space="preserve">  </w:t>
      </w:r>
      <w:r w:rsidR="009C7D3B" w:rsidRPr="0038179C">
        <w:t xml:space="preserve">This included $34,800 for opinion services, $831.25 for testimony at trial, $2,400 for travel time, and $2,688.84 for expenses </w:t>
      </w:r>
      <w:r w:rsidR="004045F5" w:rsidRPr="0038179C">
        <w:t xml:space="preserve">(i.e., </w:t>
      </w:r>
      <w:bookmarkStart w:id="295" w:name="dabmq_148"/>
      <w:r w:rsidR="004045F5" w:rsidRPr="0038179C">
        <w:t>“</w:t>
      </w:r>
      <w:r w:rsidR="009C7D3B" w:rsidRPr="0038179C">
        <w:t xml:space="preserve">airfare, ground transportation, and </w:t>
      </w:r>
      <w:r w:rsidR="002F1C67" w:rsidRPr="0038179C">
        <w:t>lodging</w:t>
      </w:r>
      <w:r w:rsidR="009C7D3B" w:rsidRPr="0038179C">
        <w:t xml:space="preserve"> for trial”</w:t>
      </w:r>
      <w:bookmarkEnd w:id="295"/>
      <w:r w:rsidR="009C7D3B" w:rsidRPr="0038179C">
        <w:t>)</w:t>
      </w:r>
      <w:r w:rsidR="0032235D" w:rsidRPr="0038179C">
        <w:t xml:space="preserve"> (</w:t>
      </w:r>
      <w:r w:rsidR="00B92AC8" w:rsidRPr="0038179C">
        <w:t>expert costs</w:t>
      </w:r>
      <w:r w:rsidR="0032235D" w:rsidRPr="0038179C">
        <w:t>)</w:t>
      </w:r>
      <w:r w:rsidR="009C7D3B" w:rsidRPr="0038179C">
        <w:t>.  HSBC also requested</w:t>
      </w:r>
      <w:r w:rsidR="004045F5" w:rsidRPr="0038179C">
        <w:t xml:space="preserve"> </w:t>
      </w:r>
      <w:r w:rsidR="0035102F" w:rsidRPr="0038179C">
        <w:t xml:space="preserve">$8,528.97 for </w:t>
      </w:r>
      <w:bookmarkStart w:id="296" w:name="dabmq_149"/>
      <w:r w:rsidR="0035102F" w:rsidRPr="0038179C">
        <w:t>“[m]odels, enlargements, and photocopies of exhibits”</w:t>
      </w:r>
      <w:bookmarkEnd w:id="296"/>
      <w:r w:rsidR="0032235D" w:rsidRPr="0038179C">
        <w:t xml:space="preserve"> (</w:t>
      </w:r>
      <w:r w:rsidR="00EB4295" w:rsidRPr="0038179C">
        <w:t>exhibit</w:t>
      </w:r>
      <w:r w:rsidR="00B92AC8" w:rsidRPr="0038179C">
        <w:t xml:space="preserve"> costs</w:t>
      </w:r>
      <w:r w:rsidR="0032235D" w:rsidRPr="0038179C">
        <w:t>).</w:t>
      </w:r>
      <w:r w:rsidR="0035102F" w:rsidRPr="0038179C">
        <w:t xml:space="preserve"> </w:t>
      </w:r>
    </w:p>
    <w:p w14:paraId="202274E8" w14:textId="514B88E3" w:rsidR="00181EE5" w:rsidRPr="0038179C" w:rsidRDefault="00181EE5" w:rsidP="00750AA2">
      <w:pPr>
        <w:pStyle w:val="Heading3"/>
        <w:spacing w:before="60" w:after="60"/>
      </w:pPr>
      <w:r w:rsidRPr="0038179C">
        <w:rPr>
          <w:i w:val="0"/>
          <w:iCs w:val="0"/>
        </w:rPr>
        <w:t>2.</w:t>
      </w:r>
      <w:r w:rsidRPr="0038179C">
        <w:rPr>
          <w:i w:val="0"/>
          <w:iCs w:val="0"/>
        </w:rPr>
        <w:tab/>
      </w:r>
      <w:r w:rsidRPr="0038179C">
        <w:t xml:space="preserve">Rojas Moves </w:t>
      </w:r>
      <w:proofErr w:type="gramStart"/>
      <w:r w:rsidR="005B087D" w:rsidRPr="0038179C">
        <w:t>T</w:t>
      </w:r>
      <w:r w:rsidRPr="0038179C">
        <w:t>o</w:t>
      </w:r>
      <w:proofErr w:type="gramEnd"/>
      <w:r w:rsidRPr="0038179C">
        <w:t xml:space="preserve"> Strike </w:t>
      </w:r>
      <w:r w:rsidR="005B087D" w:rsidRPr="0038179C">
        <w:t>O</w:t>
      </w:r>
      <w:r w:rsidRPr="0038179C">
        <w:t>r Tax Costs</w:t>
      </w:r>
    </w:p>
    <w:p w14:paraId="218D0E48" w14:textId="69E26D3C" w:rsidR="001C2FB3" w:rsidRPr="0038179C" w:rsidRDefault="0032235D" w:rsidP="00143201">
      <w:pPr>
        <w:spacing w:line="360" w:lineRule="auto"/>
      </w:pPr>
      <w:r w:rsidRPr="0038179C">
        <w:tab/>
        <w:t xml:space="preserve">Rojas moved to strike </w:t>
      </w:r>
      <w:r w:rsidR="004045F5" w:rsidRPr="0038179C">
        <w:t xml:space="preserve">or tax </w:t>
      </w:r>
      <w:r w:rsidRPr="0038179C">
        <w:t xml:space="preserve">costs.  She </w:t>
      </w:r>
      <w:r w:rsidR="004045F5" w:rsidRPr="0038179C">
        <w:t>argued</w:t>
      </w:r>
      <w:r w:rsidRPr="0038179C">
        <w:t xml:space="preserve"> the </w:t>
      </w:r>
      <w:r w:rsidR="00B92AC8" w:rsidRPr="0038179C">
        <w:t>s</w:t>
      </w:r>
      <w:r w:rsidRPr="0038179C">
        <w:t xml:space="preserve">ection 998 </w:t>
      </w:r>
      <w:r w:rsidR="00B92AC8" w:rsidRPr="0038179C">
        <w:t>o</w:t>
      </w:r>
      <w:r w:rsidRPr="0038179C">
        <w:t xml:space="preserve">ffer did not </w:t>
      </w:r>
      <w:bookmarkStart w:id="297" w:name="dabmq_150"/>
      <w:r w:rsidR="00E715E6" w:rsidRPr="0038179C">
        <w:t>“limit the release to liability arising from . . . the pending lawsuit,”</w:t>
      </w:r>
      <w:bookmarkEnd w:id="297"/>
      <w:r w:rsidR="00E715E6" w:rsidRPr="0038179C">
        <w:t xml:space="preserve"> </w:t>
      </w:r>
      <w:r w:rsidRPr="0038179C">
        <w:t>and was invalid</w:t>
      </w:r>
      <w:r w:rsidR="00143201" w:rsidRPr="0038179C">
        <w:t xml:space="preserve">, HSBC’s expert costs were thus unavailable, and these costs also were not </w:t>
      </w:r>
      <w:r w:rsidR="00B92AC8" w:rsidRPr="0038179C">
        <w:t>necessary or reasonable</w:t>
      </w:r>
      <w:r w:rsidRPr="0038179C">
        <w:t xml:space="preserve">.  </w:t>
      </w:r>
      <w:r w:rsidR="00E715E6" w:rsidRPr="0038179C">
        <w:t>She</w:t>
      </w:r>
      <w:r w:rsidRPr="0038179C">
        <w:t xml:space="preserve"> </w:t>
      </w:r>
      <w:r w:rsidR="004045F5" w:rsidRPr="0038179C">
        <w:t>also</w:t>
      </w:r>
      <w:r w:rsidRPr="0038179C">
        <w:t xml:space="preserve"> </w:t>
      </w:r>
      <w:r w:rsidR="00961D09" w:rsidRPr="0038179C">
        <w:t>argued</w:t>
      </w:r>
      <w:r w:rsidRPr="0038179C">
        <w:t xml:space="preserve"> </w:t>
      </w:r>
      <w:r w:rsidR="00E715E6" w:rsidRPr="0038179C">
        <w:t>the</w:t>
      </w:r>
      <w:r w:rsidRPr="0038179C">
        <w:t xml:space="preserve"> court </w:t>
      </w:r>
      <w:r w:rsidR="00E715E6" w:rsidRPr="0038179C">
        <w:t>could</w:t>
      </w:r>
      <w:r w:rsidRPr="0038179C">
        <w:t xml:space="preserve"> consider </w:t>
      </w:r>
      <w:r w:rsidR="00143201" w:rsidRPr="0038179C">
        <w:t>her</w:t>
      </w:r>
      <w:r w:rsidRPr="0038179C">
        <w:t xml:space="preserve"> resources </w:t>
      </w:r>
      <w:r w:rsidR="00961D09" w:rsidRPr="0038179C">
        <w:t>to</w:t>
      </w:r>
      <w:r w:rsidRPr="0038179C">
        <w:t xml:space="preserve"> </w:t>
      </w:r>
      <w:r w:rsidR="00961D09" w:rsidRPr="0038179C">
        <w:t>assess</w:t>
      </w:r>
      <w:r w:rsidRPr="0038179C">
        <w:t xml:space="preserve"> the reasonableness of </w:t>
      </w:r>
      <w:r w:rsidR="006046E5" w:rsidRPr="0038179C">
        <w:t xml:space="preserve">the </w:t>
      </w:r>
      <w:r w:rsidR="00961D09" w:rsidRPr="0038179C">
        <w:t>award amount</w:t>
      </w:r>
      <w:r w:rsidRPr="0038179C">
        <w:t xml:space="preserve">, </w:t>
      </w:r>
      <w:r w:rsidR="00FA01B0" w:rsidRPr="0038179C">
        <w:t xml:space="preserve">and </w:t>
      </w:r>
      <w:r w:rsidR="00C8542E" w:rsidRPr="0038179C">
        <w:t xml:space="preserve">she was in the “ ‘extremely low’ income category” for her county.  </w:t>
      </w:r>
      <w:r w:rsidR="00E715E6" w:rsidRPr="0038179C">
        <w:t>She</w:t>
      </w:r>
      <w:r w:rsidR="004045F5" w:rsidRPr="0038179C">
        <w:t xml:space="preserve"> </w:t>
      </w:r>
      <w:r w:rsidR="00FA01B0" w:rsidRPr="0038179C">
        <w:t xml:space="preserve">provided a declaration </w:t>
      </w:r>
      <w:r w:rsidR="00961D09" w:rsidRPr="0038179C">
        <w:t>stating</w:t>
      </w:r>
      <w:r w:rsidR="00FA01B0" w:rsidRPr="0038179C">
        <w:t xml:space="preserve"> that since she retired from J.C. Penney in 2016, her only </w:t>
      </w:r>
      <w:r w:rsidR="00961D09" w:rsidRPr="0038179C">
        <w:t xml:space="preserve">income each month was </w:t>
      </w:r>
      <w:r w:rsidR="00FA01B0" w:rsidRPr="0038179C">
        <w:t>a military pension of $864.90 and an alimony payment of $300</w:t>
      </w:r>
      <w:r w:rsidR="00E715E6" w:rsidRPr="0038179C">
        <w:t xml:space="preserve">; </w:t>
      </w:r>
      <w:r w:rsidR="00FA01B0" w:rsidRPr="0038179C">
        <w:t xml:space="preserve">this </w:t>
      </w:r>
      <w:bookmarkStart w:id="298" w:name="dabmq_151"/>
      <w:r w:rsidR="00FA01B0" w:rsidRPr="0038179C">
        <w:t>“income barely covers [her] necessary living expenses”</w:t>
      </w:r>
      <w:bookmarkEnd w:id="298"/>
      <w:r w:rsidR="00E715E6" w:rsidRPr="0038179C">
        <w:t>;</w:t>
      </w:r>
      <w:r w:rsidR="00FA01B0" w:rsidRPr="0038179C">
        <w:t xml:space="preserve"> and she has </w:t>
      </w:r>
      <w:bookmarkStart w:id="299" w:name="dabmq_152"/>
      <w:r w:rsidR="00FA01B0" w:rsidRPr="0038179C">
        <w:t xml:space="preserve">“no other economic resources readily available to </w:t>
      </w:r>
      <w:r w:rsidR="00C8542E" w:rsidRPr="0038179C">
        <w:t>[her]</w:t>
      </w:r>
      <w:r w:rsidR="00FA01B0" w:rsidRPr="0038179C">
        <w:t>.”</w:t>
      </w:r>
      <w:bookmarkEnd w:id="299"/>
      <w:r w:rsidR="00FA01B0" w:rsidRPr="0038179C">
        <w:t xml:space="preserve">  </w:t>
      </w:r>
      <w:r w:rsidR="00B63518" w:rsidRPr="0038179C">
        <w:t xml:space="preserve">Finally, </w:t>
      </w:r>
      <w:r w:rsidR="00961D09" w:rsidRPr="0038179C">
        <w:t>Rojas</w:t>
      </w:r>
      <w:r w:rsidR="00837D7F" w:rsidRPr="0038179C">
        <w:t xml:space="preserve"> </w:t>
      </w:r>
      <w:r w:rsidR="00961D09" w:rsidRPr="0038179C">
        <w:t>contested</w:t>
      </w:r>
      <w:r w:rsidR="004045F5" w:rsidRPr="0038179C">
        <w:t xml:space="preserve"> the exhibit costs, </w:t>
      </w:r>
      <w:r w:rsidR="00961D09" w:rsidRPr="0038179C">
        <w:t>stating</w:t>
      </w:r>
      <w:r w:rsidR="004045F5" w:rsidRPr="0038179C">
        <w:t xml:space="preserve"> </w:t>
      </w:r>
      <w:bookmarkStart w:id="300" w:name="dabmq_153"/>
      <w:r w:rsidR="004045F5" w:rsidRPr="0038179C">
        <w:t>“HSBC used only approximately thirty percent of the exhibits”</w:t>
      </w:r>
      <w:bookmarkEnd w:id="300"/>
      <w:r w:rsidR="004045F5" w:rsidRPr="0038179C">
        <w:t xml:space="preserve"> at trial</w:t>
      </w:r>
      <w:r w:rsidR="007479A1" w:rsidRPr="0038179C">
        <w:t xml:space="preserve">, and provided a counsel declaration </w:t>
      </w:r>
      <w:r w:rsidR="00837D7F" w:rsidRPr="0038179C">
        <w:t>which</w:t>
      </w:r>
      <w:r w:rsidR="00B63518" w:rsidRPr="0038179C">
        <w:t xml:space="preserve"> asserted </w:t>
      </w:r>
      <w:r w:rsidR="00313723" w:rsidRPr="0038179C">
        <w:t>this</w:t>
      </w:r>
      <w:r w:rsidR="007479A1" w:rsidRPr="0038179C">
        <w:t xml:space="preserve"> </w:t>
      </w:r>
      <w:r w:rsidR="00837D7F" w:rsidRPr="0038179C">
        <w:t>thir</w:t>
      </w:r>
      <w:r w:rsidR="0086301C" w:rsidRPr="0038179C">
        <w:t>t</w:t>
      </w:r>
      <w:r w:rsidR="00837D7F" w:rsidRPr="0038179C">
        <w:t xml:space="preserve">y percent </w:t>
      </w:r>
      <w:r w:rsidR="007479A1" w:rsidRPr="0038179C">
        <w:t>figure</w:t>
      </w:r>
      <w:r w:rsidR="00837D7F" w:rsidRPr="0038179C">
        <w:t xml:space="preserve"> </w:t>
      </w:r>
      <w:r w:rsidR="007479A1" w:rsidRPr="0038179C">
        <w:t xml:space="preserve">and </w:t>
      </w:r>
      <w:r w:rsidR="00837D7F" w:rsidRPr="0038179C">
        <w:t>identified</w:t>
      </w:r>
      <w:r w:rsidR="00B63518" w:rsidRPr="0038179C">
        <w:t xml:space="preserve"> </w:t>
      </w:r>
      <w:r w:rsidR="007479A1" w:rsidRPr="0038179C">
        <w:t>the numbers of listed (488) and admitted exhibits (145).</w:t>
      </w:r>
      <w:r w:rsidR="004045F5" w:rsidRPr="0038179C">
        <w:t xml:space="preserve"> </w:t>
      </w:r>
      <w:r w:rsidR="00961D09" w:rsidRPr="0038179C">
        <w:t xml:space="preserve"> </w:t>
      </w:r>
    </w:p>
    <w:p w14:paraId="3F1F7308" w14:textId="6419F7E2" w:rsidR="00181EE5" w:rsidRPr="0038179C" w:rsidRDefault="00181EE5" w:rsidP="00750AA2">
      <w:pPr>
        <w:pStyle w:val="Heading3"/>
        <w:spacing w:before="60" w:after="60"/>
      </w:pPr>
      <w:r w:rsidRPr="0038179C">
        <w:rPr>
          <w:i w:val="0"/>
          <w:iCs w:val="0"/>
        </w:rPr>
        <w:t>3.</w:t>
      </w:r>
      <w:r w:rsidRPr="0038179C">
        <w:rPr>
          <w:i w:val="0"/>
          <w:iCs w:val="0"/>
        </w:rPr>
        <w:tab/>
      </w:r>
      <w:r w:rsidRPr="0038179C">
        <w:t xml:space="preserve">HSBC’s Opposes Rojas’s Motion </w:t>
      </w:r>
      <w:proofErr w:type="gramStart"/>
      <w:r w:rsidR="005B087D" w:rsidRPr="0038179C">
        <w:t>T</w:t>
      </w:r>
      <w:r w:rsidRPr="0038179C">
        <w:t>o</w:t>
      </w:r>
      <w:proofErr w:type="gramEnd"/>
      <w:r w:rsidRPr="0038179C">
        <w:t xml:space="preserve"> Strike</w:t>
      </w:r>
      <w:r w:rsidR="005B087D" w:rsidRPr="0038179C">
        <w:t xml:space="preserve"> Or Tax</w:t>
      </w:r>
      <w:r w:rsidRPr="0038179C">
        <w:t xml:space="preserve"> Costs</w:t>
      </w:r>
    </w:p>
    <w:p w14:paraId="59469E79" w14:textId="14987F90" w:rsidR="00132781" w:rsidRPr="0038179C" w:rsidRDefault="0032235D" w:rsidP="00882F89">
      <w:pPr>
        <w:spacing w:line="360" w:lineRule="auto"/>
      </w:pPr>
      <w:r w:rsidRPr="0038179C">
        <w:tab/>
        <w:t xml:space="preserve">HSBC </w:t>
      </w:r>
      <w:r w:rsidR="007479A1" w:rsidRPr="0038179C">
        <w:t xml:space="preserve">filed an </w:t>
      </w:r>
      <w:r w:rsidRPr="0038179C">
        <w:t>oppos</w:t>
      </w:r>
      <w:r w:rsidR="007479A1" w:rsidRPr="0038179C">
        <w:t>ition</w:t>
      </w:r>
      <w:r w:rsidRPr="0038179C">
        <w:t xml:space="preserve">, </w:t>
      </w:r>
      <w:r w:rsidR="007479A1" w:rsidRPr="0038179C">
        <w:t>which</w:t>
      </w:r>
      <w:r w:rsidRPr="0038179C">
        <w:t xml:space="preserve"> maintained the section 998 offer was valid and the claimed costs were reasonable.  </w:t>
      </w:r>
      <w:r w:rsidR="007479A1" w:rsidRPr="0038179C">
        <w:t xml:space="preserve">It noted 302 of the 488 listed exhibits were call recording transcripts which Rojas sought </w:t>
      </w:r>
      <w:r w:rsidR="0054534D" w:rsidRPr="0038179C">
        <w:t xml:space="preserve">to be admitted </w:t>
      </w:r>
      <w:r w:rsidR="007479A1" w:rsidRPr="0038179C">
        <w:lastRenderedPageBreak/>
        <w:t xml:space="preserve">into evidence.  </w:t>
      </w:r>
      <w:r w:rsidR="00961D09" w:rsidRPr="0038179C">
        <w:t>HSBC</w:t>
      </w:r>
      <w:r w:rsidRPr="0038179C">
        <w:t xml:space="preserve"> </w:t>
      </w:r>
      <w:r w:rsidR="007479A1" w:rsidRPr="0038179C">
        <w:t xml:space="preserve">also </w:t>
      </w:r>
      <w:r w:rsidRPr="0038179C">
        <w:t>prov</w:t>
      </w:r>
      <w:r w:rsidR="00961D09" w:rsidRPr="0038179C">
        <w:t>i</w:t>
      </w:r>
      <w:r w:rsidRPr="0038179C">
        <w:t>ded a declaration</w:t>
      </w:r>
      <w:r w:rsidR="00925B8E" w:rsidRPr="0038179C">
        <w:t xml:space="preserve"> from </w:t>
      </w:r>
      <w:r w:rsidR="007479A1" w:rsidRPr="0038179C">
        <w:t>counsel</w:t>
      </w:r>
      <w:r w:rsidR="00925B8E" w:rsidRPr="0038179C">
        <w:t xml:space="preserve"> John Loftus</w:t>
      </w:r>
      <w:r w:rsidRPr="0038179C">
        <w:t xml:space="preserve">, which attached </w:t>
      </w:r>
      <w:bookmarkStart w:id="301" w:name="dabmq_154"/>
      <w:r w:rsidR="00FA01B0" w:rsidRPr="0038179C">
        <w:t>“copies of the invoices for time spent by [expert] Geller-Stoff in preparing for trial, traveling to trial and testifying at trial.”</w:t>
      </w:r>
      <w:bookmarkEnd w:id="301"/>
      <w:r w:rsidRPr="0038179C">
        <w:t xml:space="preserve"> </w:t>
      </w:r>
      <w:r w:rsidR="00132781" w:rsidRPr="0038179C">
        <w:t xml:space="preserve"> </w:t>
      </w:r>
      <w:r w:rsidR="007479A1" w:rsidRPr="0038179C">
        <w:t>The declaration</w:t>
      </w:r>
      <w:r w:rsidR="00A1079E" w:rsidRPr="0038179C">
        <w:t xml:space="preserve"> attached receipts and invoices for photocopied trial exhibits</w:t>
      </w:r>
      <w:r w:rsidR="00313723" w:rsidRPr="0038179C">
        <w:t>, as well</w:t>
      </w:r>
      <w:r w:rsidR="00A1079E" w:rsidRPr="0038179C">
        <w:t xml:space="preserve">.  </w:t>
      </w:r>
    </w:p>
    <w:p w14:paraId="35400987" w14:textId="657FA6CB" w:rsidR="00181EE5" w:rsidRPr="0038179C" w:rsidRDefault="00181EE5" w:rsidP="00265AB2">
      <w:pPr>
        <w:pStyle w:val="Heading3"/>
        <w:spacing w:after="60"/>
        <w:ind w:left="1440" w:hanging="720"/>
      </w:pPr>
      <w:r w:rsidRPr="0038179C">
        <w:rPr>
          <w:i w:val="0"/>
          <w:iCs w:val="0"/>
        </w:rPr>
        <w:t>4.</w:t>
      </w:r>
      <w:r w:rsidRPr="0038179C">
        <w:rPr>
          <w:i w:val="0"/>
          <w:iCs w:val="0"/>
        </w:rPr>
        <w:tab/>
      </w:r>
      <w:r w:rsidR="008A1066" w:rsidRPr="0038179C">
        <w:t xml:space="preserve">Trial Court Denies Rojas’s Motion </w:t>
      </w:r>
      <w:proofErr w:type="gramStart"/>
      <w:r w:rsidR="008A1066" w:rsidRPr="0038179C">
        <w:t>And</w:t>
      </w:r>
      <w:proofErr w:type="gramEnd"/>
      <w:r w:rsidR="008A1066" w:rsidRPr="0038179C">
        <w:t xml:space="preserve"> Awards Costs</w:t>
      </w:r>
    </w:p>
    <w:p w14:paraId="62D78441" w14:textId="39626817" w:rsidR="00E715E6" w:rsidRPr="0038179C" w:rsidRDefault="00C8542E" w:rsidP="00882F89">
      <w:pPr>
        <w:spacing w:line="360" w:lineRule="auto"/>
      </w:pPr>
      <w:r w:rsidRPr="0038179C">
        <w:tab/>
        <w:t xml:space="preserve">The trial court </w:t>
      </w:r>
      <w:r w:rsidR="00C81351" w:rsidRPr="0038179C">
        <w:t xml:space="preserve">denied </w:t>
      </w:r>
      <w:r w:rsidR="00961D09" w:rsidRPr="0038179C">
        <w:t>Rojas’s</w:t>
      </w:r>
      <w:r w:rsidR="00C81351" w:rsidRPr="0038179C">
        <w:t xml:space="preserve"> </w:t>
      </w:r>
      <w:proofErr w:type="gramStart"/>
      <w:r w:rsidR="00C81351" w:rsidRPr="0038179C">
        <w:t>motion</w:t>
      </w:r>
      <w:r w:rsidR="00A3604C" w:rsidRPr="0038179C">
        <w:t>, and</w:t>
      </w:r>
      <w:proofErr w:type="gramEnd"/>
      <w:r w:rsidR="00A3604C" w:rsidRPr="0038179C">
        <w:t xml:space="preserve"> awarded HSBC’s requested costs of $61,716.90</w:t>
      </w:r>
      <w:r w:rsidRPr="0038179C">
        <w:t xml:space="preserve">.  </w:t>
      </w:r>
    </w:p>
    <w:p w14:paraId="4AE2473C" w14:textId="29C0A36A" w:rsidR="00C245AE" w:rsidRPr="0038179C" w:rsidRDefault="00E6356D" w:rsidP="00882F89">
      <w:pPr>
        <w:spacing w:line="360" w:lineRule="auto"/>
        <w:ind w:firstLine="720"/>
      </w:pPr>
      <w:r w:rsidRPr="0038179C">
        <w:t xml:space="preserve">First, the </w:t>
      </w:r>
      <w:r w:rsidR="00037A16" w:rsidRPr="0038179C">
        <w:t xml:space="preserve">trial </w:t>
      </w:r>
      <w:r w:rsidRPr="0038179C">
        <w:t xml:space="preserve">court </w:t>
      </w:r>
      <w:r w:rsidR="00037A16" w:rsidRPr="0038179C">
        <w:t>determined</w:t>
      </w:r>
      <w:r w:rsidRPr="0038179C">
        <w:t xml:space="preserve"> the </w:t>
      </w:r>
      <w:r w:rsidR="00037A16" w:rsidRPr="0038179C">
        <w:t>s</w:t>
      </w:r>
      <w:r w:rsidRPr="0038179C">
        <w:t xml:space="preserve">ection 998 </w:t>
      </w:r>
      <w:r w:rsidR="00037A16" w:rsidRPr="0038179C">
        <w:t>o</w:t>
      </w:r>
      <w:r w:rsidRPr="0038179C">
        <w:t>ffer was valid</w:t>
      </w:r>
      <w:r w:rsidR="00037A16" w:rsidRPr="0038179C">
        <w:t>.</w:t>
      </w:r>
      <w:r w:rsidRPr="0038179C">
        <w:t xml:space="preserve">  </w:t>
      </w:r>
      <w:r w:rsidR="00037A16" w:rsidRPr="0038179C">
        <w:t xml:space="preserve">The court stated the offer was </w:t>
      </w:r>
      <w:bookmarkStart w:id="302" w:name="dabmq_155"/>
      <w:r w:rsidR="00037A16" w:rsidRPr="0038179C">
        <w:t>“</w:t>
      </w:r>
      <w:r w:rsidR="00274657" w:rsidRPr="0038179C">
        <w:t xml:space="preserve">unambiguous and </w:t>
      </w:r>
      <w:r w:rsidR="00037A16" w:rsidRPr="0038179C">
        <w:t>not susceptible to [Rojas’s] interpretation,”</w:t>
      </w:r>
      <w:bookmarkEnd w:id="302"/>
      <w:r w:rsidR="00037A16" w:rsidRPr="0038179C">
        <w:t xml:space="preserve"> </w:t>
      </w:r>
      <w:r w:rsidR="006B60C1" w:rsidRPr="0038179C">
        <w:t>but</w:t>
      </w:r>
      <w:r w:rsidR="00037A16" w:rsidRPr="0038179C">
        <w:t xml:space="preserve">, rather, </w:t>
      </w:r>
      <w:bookmarkStart w:id="303" w:name="dabmq_156"/>
      <w:r w:rsidR="00037A16" w:rsidRPr="0038179C">
        <w:t xml:space="preserve">“applies to </w:t>
      </w:r>
      <w:r w:rsidR="00274657" w:rsidRPr="0038179C">
        <w:t>[her]</w:t>
      </w:r>
      <w:r w:rsidR="00037A16" w:rsidRPr="0038179C">
        <w:t xml:space="preserve"> claims in this action – not any other present or future claims she has or might have.”</w:t>
      </w:r>
      <w:bookmarkEnd w:id="303"/>
      <w:r w:rsidR="00037A16" w:rsidRPr="0038179C">
        <w:t xml:space="preserve">  </w:t>
      </w:r>
      <w:r w:rsidR="00C245AE" w:rsidRPr="0038179C">
        <w:t xml:space="preserve">The court </w:t>
      </w:r>
      <w:r w:rsidR="00037A16" w:rsidRPr="0038179C">
        <w:t>elaborated</w:t>
      </w:r>
      <w:r w:rsidR="00C245AE" w:rsidRPr="0038179C">
        <w:t>:</w:t>
      </w:r>
    </w:p>
    <w:p w14:paraId="42F75A12" w14:textId="5E49DA3F" w:rsidR="00C245AE" w:rsidRPr="0038179C" w:rsidRDefault="00C245AE" w:rsidP="00882F89">
      <w:pPr>
        <w:ind w:left="720"/>
      </w:pPr>
      <w:bookmarkStart w:id="304" w:name="dabmq_157"/>
      <w:r w:rsidRPr="0038179C">
        <w:t>“</w:t>
      </w:r>
      <w:r w:rsidR="00C8542E" w:rsidRPr="0038179C">
        <w:t>Here, the 998 Offer</w:t>
      </w:r>
      <w:r w:rsidRPr="0038179C">
        <w:t xml:space="preserve"> </w:t>
      </w:r>
      <w:r w:rsidR="00C8542E" w:rsidRPr="0038179C">
        <w:t>is plainly between Plaintiff and Defendants and facially references only this lawsuit.</w:t>
      </w:r>
      <w:r w:rsidR="00037A16" w:rsidRPr="0038179C">
        <w:t xml:space="preserve">  </w:t>
      </w:r>
      <w:r w:rsidR="00C8542E" w:rsidRPr="0038179C">
        <w:t>Defendants clearly</w:t>
      </w:r>
      <w:r w:rsidRPr="0038179C">
        <w:t xml:space="preserve"> </w:t>
      </w:r>
      <w:r w:rsidR="00C8542E" w:rsidRPr="0038179C">
        <w:t>intended that Paragraph 2</w:t>
      </w:r>
      <w:r w:rsidRPr="0038179C">
        <w:t>’</w:t>
      </w:r>
      <w:r w:rsidR="00C8542E" w:rsidRPr="0038179C">
        <w:t>s liability release provision be narrowly applied to Plaintiff</w:t>
      </w:r>
      <w:r w:rsidR="00037A16" w:rsidRPr="0038179C">
        <w:t>’</w:t>
      </w:r>
      <w:r w:rsidR="00C8542E" w:rsidRPr="0038179C">
        <w:t>s claims in this</w:t>
      </w:r>
      <w:r w:rsidRPr="0038179C">
        <w:t xml:space="preserve"> </w:t>
      </w:r>
      <w:r w:rsidR="00C8542E" w:rsidRPr="0038179C">
        <w:t xml:space="preserve">lawsuit rather than hypothetical claims in other current or future actions. </w:t>
      </w:r>
      <w:r w:rsidRPr="0038179C">
        <w:t xml:space="preserve"> </w:t>
      </w:r>
      <w:r w:rsidR="00C8542E" w:rsidRPr="0038179C">
        <w:t>Paragraph 2, read in</w:t>
      </w:r>
      <w:r w:rsidRPr="0038179C">
        <w:t xml:space="preserve"> </w:t>
      </w:r>
      <w:r w:rsidR="00C8542E" w:rsidRPr="0038179C">
        <w:t>conjunction with the introductory paragraph, is clearly one term to Defendants</w:t>
      </w:r>
      <w:r w:rsidRPr="0038179C">
        <w:t>’</w:t>
      </w:r>
      <w:r w:rsidR="00C8542E" w:rsidRPr="0038179C">
        <w:t xml:space="preserve"> </w:t>
      </w:r>
      <w:r w:rsidRPr="0038179C">
        <w:t>“</w:t>
      </w:r>
      <w:r w:rsidR="00C8542E" w:rsidRPr="0038179C">
        <w:t>offer to compromise and</w:t>
      </w:r>
      <w:r w:rsidRPr="0038179C">
        <w:t xml:space="preserve"> </w:t>
      </w:r>
      <w:r w:rsidR="00C8542E" w:rsidRPr="0038179C">
        <w:t xml:space="preserve">settle all claims of plaintiff Dalia Rojas against HSBC </w:t>
      </w:r>
      <w:r w:rsidR="00C8542E" w:rsidRPr="0038179C">
        <w:rPr>
          <w:i/>
          <w:iCs/>
        </w:rPr>
        <w:t>in the above-captioned action</w:t>
      </w:r>
      <w:r w:rsidR="00037A16" w:rsidRPr="0038179C">
        <w:t>.</w:t>
      </w:r>
      <w:r w:rsidR="00925B8E" w:rsidRPr="0038179C">
        <w:t xml:space="preserve"> . . .’</w:t>
      </w:r>
      <w:r w:rsidR="00037A16" w:rsidRPr="0038179C">
        <w:t xml:space="preserve">  Moreover, Paragraph 2’s language immediately preceding the liability release provision alludes only to Plaintiff’s ‘claims in the above-captioned action.’ ”</w:t>
      </w:r>
      <w:bookmarkEnd w:id="304"/>
      <w:r w:rsidR="00037A16" w:rsidRPr="0038179C">
        <w:t xml:space="preserve"> </w:t>
      </w:r>
    </w:p>
    <w:p w14:paraId="1DB68907" w14:textId="77777777" w:rsidR="00882F89" w:rsidRPr="0038179C" w:rsidRDefault="00882F89" w:rsidP="00882F89">
      <w:pPr>
        <w:ind w:left="720"/>
      </w:pPr>
    </w:p>
    <w:p w14:paraId="403FA06D" w14:textId="3836EC9D" w:rsidR="00C8542E" w:rsidRPr="0038179C" w:rsidRDefault="00327096" w:rsidP="00882F89">
      <w:pPr>
        <w:autoSpaceDE w:val="0"/>
        <w:autoSpaceDN w:val="0"/>
        <w:adjustRightInd w:val="0"/>
        <w:spacing w:line="360" w:lineRule="auto"/>
      </w:pPr>
      <w:r w:rsidRPr="0038179C">
        <w:tab/>
        <w:t xml:space="preserve">Second, the trial court denied Rojas’s request to strike or tax </w:t>
      </w:r>
      <w:r w:rsidR="00925B8E" w:rsidRPr="0038179C">
        <w:t xml:space="preserve">the </w:t>
      </w:r>
      <w:r w:rsidRPr="0038179C">
        <w:t xml:space="preserve">expert </w:t>
      </w:r>
      <w:r w:rsidR="00925B8E" w:rsidRPr="0038179C">
        <w:t>costs</w:t>
      </w:r>
      <w:r w:rsidRPr="0038179C">
        <w:t xml:space="preserve">.  </w:t>
      </w:r>
      <w:r w:rsidR="0002546A" w:rsidRPr="0038179C">
        <w:t>It</w:t>
      </w:r>
      <w:r w:rsidR="00D75F06" w:rsidRPr="0038179C">
        <w:t xml:space="preserve"> noted post-offer expert costs are </w:t>
      </w:r>
      <w:r w:rsidR="0002546A" w:rsidRPr="0038179C">
        <w:t>available</w:t>
      </w:r>
      <w:r w:rsidR="00D75F06" w:rsidRPr="0038179C">
        <w:t xml:space="preserve"> under section 998.  </w:t>
      </w:r>
      <w:r w:rsidR="0002546A" w:rsidRPr="0038179C">
        <w:t>It</w:t>
      </w:r>
      <w:r w:rsidR="00D75F06" w:rsidRPr="0038179C">
        <w:t xml:space="preserve"> then </w:t>
      </w:r>
      <w:r w:rsidR="001D0023" w:rsidRPr="0038179C">
        <w:t>found</w:t>
      </w:r>
      <w:r w:rsidRPr="0038179C">
        <w:t xml:space="preserve"> </w:t>
      </w:r>
      <w:r w:rsidR="001D0023" w:rsidRPr="0038179C">
        <w:t>the</w:t>
      </w:r>
      <w:r w:rsidR="00D75F06" w:rsidRPr="0038179C">
        <w:t xml:space="preserve"> costs</w:t>
      </w:r>
      <w:r w:rsidR="001D0023" w:rsidRPr="0038179C">
        <w:t xml:space="preserve"> were “</w:t>
      </w:r>
      <w:r w:rsidR="00C8542E" w:rsidRPr="0038179C">
        <w:t>facially proper charges</w:t>
      </w:r>
      <w:r w:rsidRPr="0038179C">
        <w:t>,”</w:t>
      </w:r>
      <w:r w:rsidR="004879A9" w:rsidRPr="0038179C">
        <w:t xml:space="preserve"> </w:t>
      </w:r>
      <w:r w:rsidR="005311CC" w:rsidRPr="0038179C">
        <w:t xml:space="preserve">and the costs memorandum </w:t>
      </w:r>
      <w:bookmarkStart w:id="305" w:name="dabmq_158"/>
      <w:r w:rsidR="005311CC" w:rsidRPr="0038179C">
        <w:t>“constitutes prima facie evidence that the costs are proper and necessarily incurred.”</w:t>
      </w:r>
      <w:bookmarkEnd w:id="305"/>
      <w:r w:rsidR="0002546A" w:rsidRPr="0038179C">
        <w:t xml:space="preserve">  </w:t>
      </w:r>
      <w:r w:rsidR="004879A9" w:rsidRPr="0038179C">
        <w:t xml:space="preserve">Rojas </w:t>
      </w:r>
      <w:bookmarkStart w:id="306" w:name="dabmq_159"/>
      <w:r w:rsidR="004879A9" w:rsidRPr="0038179C">
        <w:t>“</w:t>
      </w:r>
      <w:r w:rsidR="00372C39" w:rsidRPr="0038179C">
        <w:t>[</w:t>
      </w:r>
      <w:r w:rsidRPr="0038179C">
        <w:t>bore</w:t>
      </w:r>
      <w:r w:rsidR="00372C39" w:rsidRPr="0038179C">
        <w:t>]</w:t>
      </w:r>
      <w:r w:rsidRPr="0038179C">
        <w:t xml:space="preserve"> the burden </w:t>
      </w:r>
      <w:r w:rsidR="00C8542E" w:rsidRPr="0038179C">
        <w:t>of providing competent evidence that the costs are unnecessary or unreasonable</w:t>
      </w:r>
      <w:r w:rsidRPr="0038179C">
        <w:t>,”</w:t>
      </w:r>
      <w:bookmarkEnd w:id="306"/>
      <w:r w:rsidRPr="0038179C">
        <w:t xml:space="preserve"> but “</w:t>
      </w:r>
      <w:r w:rsidR="00C8542E" w:rsidRPr="0038179C">
        <w:t>fail</w:t>
      </w:r>
      <w:r w:rsidR="005B087D" w:rsidRPr="0038179C">
        <w:t>[ed]</w:t>
      </w:r>
      <w:r w:rsidR="00C8542E" w:rsidRPr="0038179C">
        <w:t xml:space="preserve"> to do so</w:t>
      </w:r>
      <w:r w:rsidRPr="0038179C">
        <w:t xml:space="preserve">” and </w:t>
      </w:r>
      <w:bookmarkStart w:id="307" w:name="dabmq_160"/>
      <w:r w:rsidRPr="0038179C">
        <w:t>“</w:t>
      </w:r>
      <w:r w:rsidR="00C8542E" w:rsidRPr="0038179C">
        <w:t>merely questions the reasonableness of various</w:t>
      </w:r>
      <w:r w:rsidR="001D0023" w:rsidRPr="0038179C">
        <w:t>”</w:t>
      </w:r>
      <w:bookmarkEnd w:id="307"/>
      <w:r w:rsidR="001D0023" w:rsidRPr="0038179C">
        <w:t xml:space="preserve"> cost</w:t>
      </w:r>
      <w:r w:rsidR="00C8542E" w:rsidRPr="0038179C">
        <w:t xml:space="preserve"> entries.</w:t>
      </w:r>
      <w:r w:rsidR="000A7EA4" w:rsidRPr="0038179C">
        <w:t xml:space="preserve"> </w:t>
      </w:r>
      <w:r w:rsidR="001D0023" w:rsidRPr="0038179C">
        <w:t xml:space="preserve"> </w:t>
      </w:r>
      <w:r w:rsidR="0002546A" w:rsidRPr="0038179C">
        <w:t>The court further</w:t>
      </w:r>
      <w:r w:rsidR="001D0023" w:rsidRPr="0038179C">
        <w:t xml:space="preserve"> </w:t>
      </w:r>
      <w:r w:rsidR="000A7EA4" w:rsidRPr="0038179C">
        <w:t xml:space="preserve">determined </w:t>
      </w:r>
      <w:r w:rsidR="001D0023" w:rsidRPr="0038179C">
        <w:t xml:space="preserve">that even if </w:t>
      </w:r>
      <w:r w:rsidR="00FD55F3" w:rsidRPr="0038179C">
        <w:t xml:space="preserve">Rojas had </w:t>
      </w:r>
      <w:r w:rsidR="001D0023" w:rsidRPr="0038179C">
        <w:t xml:space="preserve">met her burden, it would </w:t>
      </w:r>
      <w:r w:rsidR="00FD55F3" w:rsidRPr="0038179C">
        <w:t xml:space="preserve">have </w:t>
      </w:r>
      <w:r w:rsidR="001D0023" w:rsidRPr="0038179C">
        <w:t>den</w:t>
      </w:r>
      <w:r w:rsidR="00FD55F3" w:rsidRPr="0038179C">
        <w:t>ied</w:t>
      </w:r>
      <w:r w:rsidR="001D0023" w:rsidRPr="0038179C">
        <w:t xml:space="preserve"> </w:t>
      </w:r>
      <w:r w:rsidR="0002546A" w:rsidRPr="0038179C">
        <w:t>her</w:t>
      </w:r>
      <w:r w:rsidR="001D0023" w:rsidRPr="0038179C">
        <w:t xml:space="preserve"> </w:t>
      </w:r>
      <w:r w:rsidR="001D0023" w:rsidRPr="0038179C">
        <w:lastRenderedPageBreak/>
        <w:t>request</w:t>
      </w:r>
      <w:r w:rsidR="00C8542E" w:rsidRPr="0038179C">
        <w:t>.</w:t>
      </w:r>
      <w:r w:rsidR="00925B8E" w:rsidRPr="0038179C">
        <w:t xml:space="preserve"> </w:t>
      </w:r>
      <w:r w:rsidR="0002546A" w:rsidRPr="0038179C">
        <w:t xml:space="preserve"> The court</w:t>
      </w:r>
      <w:r w:rsidR="006D6B0D" w:rsidRPr="0038179C">
        <w:t xml:space="preserve"> </w:t>
      </w:r>
      <w:r w:rsidR="00925B8E" w:rsidRPr="0038179C">
        <w:t>explained</w:t>
      </w:r>
      <w:r w:rsidR="00760E9D" w:rsidRPr="0038179C">
        <w:t xml:space="preserve"> HSBC </w:t>
      </w:r>
      <w:bookmarkStart w:id="308" w:name="dabmq_161"/>
      <w:r w:rsidR="00760E9D" w:rsidRPr="0038179C">
        <w:t>“</w:t>
      </w:r>
      <w:r w:rsidR="00C8542E" w:rsidRPr="0038179C">
        <w:t>provided</w:t>
      </w:r>
      <w:r w:rsidR="006D6B0D" w:rsidRPr="0038179C">
        <w:t xml:space="preserve"> </w:t>
      </w:r>
      <w:r w:rsidR="00C8542E" w:rsidRPr="0038179C">
        <w:t xml:space="preserve">substantial evidence in </w:t>
      </w:r>
      <w:r w:rsidR="00760E9D" w:rsidRPr="0038179C">
        <w:t>[its]</w:t>
      </w:r>
      <w:r w:rsidR="00C8542E" w:rsidRPr="0038179C">
        <w:t xml:space="preserve"> opposition</w:t>
      </w:r>
      <w:r w:rsidR="00372C39" w:rsidRPr="0038179C">
        <w:t>—</w:t>
      </w:r>
      <w:r w:rsidR="00C8542E" w:rsidRPr="0038179C">
        <w:t>despite having no obligation to do so</w:t>
      </w:r>
      <w:r w:rsidR="00372C39" w:rsidRPr="0038179C">
        <w:t>—</w:t>
      </w:r>
      <w:r w:rsidR="00C8542E" w:rsidRPr="0038179C">
        <w:t xml:space="preserve">establishing that </w:t>
      </w:r>
      <w:r w:rsidR="0002546A" w:rsidRPr="0038179C">
        <w:t>[</w:t>
      </w:r>
      <w:r w:rsidR="00C8542E" w:rsidRPr="0038179C">
        <w:t>Geller-Stoff</w:t>
      </w:r>
      <w:r w:rsidR="0002546A" w:rsidRPr="0038179C">
        <w:t>]</w:t>
      </w:r>
      <w:r w:rsidR="004879A9" w:rsidRPr="0038179C">
        <w:t>’</w:t>
      </w:r>
      <w:r w:rsidR="00C8542E" w:rsidRPr="0038179C">
        <w:t>s fees were reasonably necessary to the conduct of the litigation and reasonable in amoun</w:t>
      </w:r>
      <w:r w:rsidR="006D6B0D" w:rsidRPr="0038179C">
        <w:t>t,”</w:t>
      </w:r>
      <w:bookmarkEnd w:id="308"/>
      <w:r w:rsidR="006D6B0D" w:rsidRPr="0038179C">
        <w:t xml:space="preserve"> citing the Loftus </w:t>
      </w:r>
      <w:r w:rsidR="00925B8E" w:rsidRPr="0038179C">
        <w:t>d</w:t>
      </w:r>
      <w:r w:rsidR="006D6B0D" w:rsidRPr="0038179C">
        <w:t>eclaration exhibits.</w:t>
      </w:r>
      <w:r w:rsidR="004879A9" w:rsidRPr="0038179C">
        <w:t xml:space="preserve"> </w:t>
      </w:r>
      <w:r w:rsidR="0002546A" w:rsidRPr="0038179C">
        <w:t xml:space="preserve"> </w:t>
      </w:r>
      <w:r w:rsidR="004D7A1A" w:rsidRPr="0038179C">
        <w:t xml:space="preserve">The court found this evidence was </w:t>
      </w:r>
      <w:bookmarkStart w:id="309" w:name="dabmq_162"/>
      <w:r w:rsidR="004D7A1A" w:rsidRPr="0038179C">
        <w:t xml:space="preserve">“sufficiently specific to allow </w:t>
      </w:r>
      <w:r w:rsidR="0002546A" w:rsidRPr="0038179C">
        <w:t>[Rojas]</w:t>
      </w:r>
      <w:r w:rsidR="004D7A1A" w:rsidRPr="0038179C">
        <w:t xml:space="preserve"> and the court to determine the reasonableness of </w:t>
      </w:r>
      <w:r w:rsidR="0002546A" w:rsidRPr="0038179C">
        <w:t>[</w:t>
      </w:r>
      <w:r w:rsidR="004D7A1A" w:rsidRPr="0038179C">
        <w:t>Geller-Stoff’s</w:t>
      </w:r>
      <w:r w:rsidR="00047B21" w:rsidRPr="0038179C">
        <w:t>]</w:t>
      </w:r>
      <w:r w:rsidR="004D7A1A" w:rsidRPr="0038179C">
        <w:t xml:space="preserve"> fees.”</w:t>
      </w:r>
      <w:bookmarkEnd w:id="309"/>
      <w:r w:rsidR="0002546A" w:rsidRPr="0038179C">
        <w:t xml:space="preserve">  It</w:t>
      </w:r>
      <w:r w:rsidR="004D7A1A" w:rsidRPr="0038179C">
        <w:t xml:space="preserve"> also </w:t>
      </w:r>
      <w:r w:rsidR="0002546A" w:rsidRPr="0038179C">
        <w:t>noted Geller-Stoff’s</w:t>
      </w:r>
      <w:r w:rsidR="001D0023" w:rsidRPr="0038179C">
        <w:t xml:space="preserve"> </w:t>
      </w:r>
      <w:bookmarkStart w:id="310" w:name="dabmq_163"/>
      <w:r w:rsidR="001D0023" w:rsidRPr="0038179C">
        <w:t>“</w:t>
      </w:r>
      <w:r w:rsidR="00C8542E" w:rsidRPr="0038179C">
        <w:t xml:space="preserve">lodging and meals should be allowable costs since she traveled from Georgia </w:t>
      </w:r>
      <w:r w:rsidR="001D0023" w:rsidRPr="0038179C">
        <w:t xml:space="preserve">. . . </w:t>
      </w:r>
      <w:r w:rsidR="00C8542E" w:rsidRPr="0038179C">
        <w:t>.</w:t>
      </w:r>
      <w:r w:rsidR="004879A9" w:rsidRPr="0038179C">
        <w:t>”</w:t>
      </w:r>
      <w:bookmarkEnd w:id="310"/>
      <w:r w:rsidR="004879A9" w:rsidRPr="0038179C">
        <w:t xml:space="preserve"> </w:t>
      </w:r>
    </w:p>
    <w:p w14:paraId="2C8F93A7" w14:textId="25E1087F" w:rsidR="00E715E6" w:rsidRPr="0038179C" w:rsidRDefault="00995F65" w:rsidP="00882F89">
      <w:pPr>
        <w:autoSpaceDE w:val="0"/>
        <w:autoSpaceDN w:val="0"/>
        <w:adjustRightInd w:val="0"/>
        <w:spacing w:line="360" w:lineRule="auto"/>
      </w:pPr>
      <w:r w:rsidRPr="0038179C">
        <w:tab/>
      </w:r>
      <w:r w:rsidR="004D7A1A" w:rsidRPr="0038179C">
        <w:t>Third, t</w:t>
      </w:r>
      <w:r w:rsidRPr="0038179C">
        <w:t xml:space="preserve">he trial court </w:t>
      </w:r>
      <w:r w:rsidR="0096263E" w:rsidRPr="0038179C">
        <w:t>indicated</w:t>
      </w:r>
      <w:r w:rsidRPr="0038179C">
        <w:t xml:space="preserve"> it had</w:t>
      </w:r>
      <w:r w:rsidR="004D7A1A" w:rsidRPr="0038179C">
        <w:t xml:space="preserve"> discretion to </w:t>
      </w:r>
      <w:bookmarkStart w:id="311" w:name="dabmq_164"/>
      <w:r w:rsidR="004D7A1A" w:rsidRPr="0038179C">
        <w:t>“consider [Rojas’s] economic situation in fashioning a reasonable award of costs”</w:t>
      </w:r>
      <w:bookmarkEnd w:id="311"/>
      <w:r w:rsidR="004D7A1A" w:rsidRPr="0038179C">
        <w:t xml:space="preserve"> under section 998</w:t>
      </w:r>
      <w:r w:rsidRPr="0038179C">
        <w:t xml:space="preserve">.   </w:t>
      </w:r>
      <w:r w:rsidR="00037A16" w:rsidRPr="0038179C">
        <w:t xml:space="preserve">However, </w:t>
      </w:r>
      <w:r w:rsidR="004D7A1A" w:rsidRPr="0038179C">
        <w:t xml:space="preserve">it could not </w:t>
      </w:r>
      <w:bookmarkStart w:id="312" w:name="dabmq_165"/>
      <w:r w:rsidR="004D7A1A" w:rsidRPr="0038179C">
        <w:t>“</w:t>
      </w:r>
      <w:r w:rsidRPr="0038179C">
        <w:t>conclude on the current record that [Rojas] is incapable of paying [HSBC’s] expert witness fees.”</w:t>
      </w:r>
      <w:bookmarkEnd w:id="312"/>
      <w:r w:rsidR="0096263E" w:rsidRPr="0038179C">
        <w:t xml:space="preserve"> </w:t>
      </w:r>
      <w:r w:rsidR="003B435F" w:rsidRPr="0038179C">
        <w:t xml:space="preserve"> </w:t>
      </w:r>
      <w:r w:rsidR="0096263E" w:rsidRPr="0038179C">
        <w:t>The court</w:t>
      </w:r>
      <w:r w:rsidRPr="0038179C">
        <w:t xml:space="preserve"> explained, </w:t>
      </w:r>
      <w:bookmarkStart w:id="313" w:name="dabmq_166"/>
      <w:r w:rsidRPr="0038179C">
        <w:t xml:space="preserve">“She provides bare declaratory testimony as to her monthly income, yet no information regarding, inter alia, her monthly expenses or ability to obtain financial assistance from third parties. </w:t>
      </w:r>
      <w:r w:rsidR="00037A16" w:rsidRPr="0038179C">
        <w:t xml:space="preserve"> </w:t>
      </w:r>
      <w:r w:rsidR="0096263E" w:rsidRPr="0038179C">
        <w:t>It</w:t>
      </w:r>
      <w:r w:rsidR="00E715E6" w:rsidRPr="0038179C">
        <w:t xml:space="preserve"> addressed this issue at the </w:t>
      </w:r>
      <w:r w:rsidR="0096263E" w:rsidRPr="0038179C">
        <w:t xml:space="preserve">costs </w:t>
      </w:r>
      <w:r w:rsidR="00E715E6" w:rsidRPr="0038179C">
        <w:t>hearing</w:t>
      </w:r>
      <w:r w:rsidR="004D7A1A" w:rsidRPr="0038179C">
        <w:t>, too,</w:t>
      </w:r>
      <w:r w:rsidR="00E715E6" w:rsidRPr="0038179C">
        <w:t xml:space="preserve"> </w:t>
      </w:r>
      <w:r w:rsidR="00037A16" w:rsidRPr="0038179C">
        <w:t xml:space="preserve">stating in part, </w:t>
      </w:r>
      <w:r w:rsidR="00E715E6" w:rsidRPr="0038179C">
        <w:t>“While I appreciate that [she] has indicated her monthly income is what it is,</w:t>
      </w:r>
      <w:r w:rsidR="004D7A1A" w:rsidRPr="0038179C">
        <w:t xml:space="preserve"> </w:t>
      </w:r>
      <w:r w:rsidR="00037A16" w:rsidRPr="0038179C">
        <w:t xml:space="preserve">. . . </w:t>
      </w:r>
      <w:r w:rsidR="00E715E6" w:rsidRPr="0038179C">
        <w:t xml:space="preserve">. </w:t>
      </w:r>
      <w:r w:rsidR="00037A16" w:rsidRPr="0038179C">
        <w:t>h</w:t>
      </w:r>
      <w:r w:rsidR="00E715E6" w:rsidRPr="0038179C">
        <w:t>er declaration was just too vague about her financial circumstances</w:t>
      </w:r>
      <w:r w:rsidR="004D7A1A" w:rsidRPr="0038179C">
        <w:t xml:space="preserve"> . . </w:t>
      </w:r>
      <w:r w:rsidR="00E715E6" w:rsidRPr="0038179C">
        <w:t>.</w:t>
      </w:r>
      <w:r w:rsidR="00047962" w:rsidRPr="0038179C">
        <w:t xml:space="preserve"> .</w:t>
      </w:r>
      <w:r w:rsidR="00E715E6" w:rsidRPr="0038179C">
        <w:t>”</w:t>
      </w:r>
      <w:bookmarkEnd w:id="313"/>
      <w:r w:rsidR="00E715E6" w:rsidRPr="0038179C">
        <w:t xml:space="preserve"> </w:t>
      </w:r>
    </w:p>
    <w:p w14:paraId="655FD744" w14:textId="6D058DDA" w:rsidR="00E268EC" w:rsidRPr="0038179C" w:rsidRDefault="00EE1976" w:rsidP="00882F89">
      <w:pPr>
        <w:autoSpaceDE w:val="0"/>
        <w:autoSpaceDN w:val="0"/>
        <w:adjustRightInd w:val="0"/>
        <w:spacing w:line="360" w:lineRule="auto"/>
      </w:pPr>
      <w:r w:rsidRPr="0038179C">
        <w:tab/>
      </w:r>
      <w:r w:rsidR="00995F65" w:rsidRPr="0038179C">
        <w:t>Finally</w:t>
      </w:r>
      <w:r w:rsidRPr="0038179C">
        <w:t xml:space="preserve">, the trial court denied Rojas’s request to strike or tax costs for </w:t>
      </w:r>
      <w:r w:rsidR="004D7A1A" w:rsidRPr="0038179C">
        <w:t>exhibits</w:t>
      </w:r>
      <w:r w:rsidRPr="0038179C">
        <w:t xml:space="preserve"> not used a</w:t>
      </w:r>
      <w:r w:rsidR="003E6008" w:rsidRPr="0038179C">
        <w:t>t</w:t>
      </w:r>
      <w:r w:rsidRPr="0038179C">
        <w:t xml:space="preserve"> trial</w:t>
      </w:r>
      <w:r w:rsidR="0096263E" w:rsidRPr="0038179C">
        <w:t>.</w:t>
      </w:r>
      <w:r w:rsidRPr="0038179C">
        <w:t xml:space="preserve">  </w:t>
      </w:r>
      <w:r w:rsidR="00871F9A" w:rsidRPr="0038179C">
        <w:t>It</w:t>
      </w:r>
      <w:r w:rsidRPr="0038179C">
        <w:t xml:space="preserve"> </w:t>
      </w:r>
      <w:r w:rsidR="00871F9A" w:rsidRPr="0038179C">
        <w:t xml:space="preserve">explained exhibit-related costs </w:t>
      </w:r>
      <w:bookmarkStart w:id="314" w:name="dabmq_167"/>
      <w:r w:rsidRPr="0038179C">
        <w:t xml:space="preserve">“are allowable </w:t>
      </w:r>
      <w:r w:rsidR="00871F9A" w:rsidRPr="0038179C">
        <w:t>. . .</w:t>
      </w:r>
      <w:r w:rsidRPr="0038179C">
        <w:t xml:space="preserve"> provided they were reasonably helpful to aid the trier of fact,”</w:t>
      </w:r>
      <w:bookmarkEnd w:id="314"/>
      <w:r w:rsidRPr="0038179C">
        <w:t xml:space="preserve"> citing </w:t>
      </w:r>
      <w:bookmarkStart w:id="315" w:name="dabmci_b96dc14d56f04fcd8289e34ae69a4f04"/>
      <w:r w:rsidRPr="0038179C">
        <w:t>Code of Civil Procedure section 1033.5, subdivision (a)(13)</w:t>
      </w:r>
      <w:bookmarkEnd w:id="315"/>
      <w:r w:rsidRPr="0038179C">
        <w:t xml:space="preserve">. </w:t>
      </w:r>
      <w:r w:rsidR="00F960BE" w:rsidRPr="0038179C">
        <w:t xml:space="preserve"> </w:t>
      </w:r>
      <w:r w:rsidR="00871F9A" w:rsidRPr="0038179C">
        <w:t>It acknowledged</w:t>
      </w:r>
      <w:r w:rsidR="003E3CD5" w:rsidRPr="0038179C">
        <w:t xml:space="preserve"> the then-existing</w:t>
      </w:r>
      <w:r w:rsidR="00871F9A" w:rsidRPr="0038179C">
        <w:t xml:space="preserve"> split of authority as to costs for unused </w:t>
      </w:r>
      <w:proofErr w:type="gramStart"/>
      <w:r w:rsidR="00871F9A" w:rsidRPr="0038179C">
        <w:t>exhibits, and</w:t>
      </w:r>
      <w:proofErr w:type="gramEnd"/>
      <w:r w:rsidR="00871F9A" w:rsidRPr="0038179C">
        <w:t xml:space="preserve"> stated the Court of Appeal decision in </w:t>
      </w:r>
      <w:bookmarkStart w:id="316" w:name="dabmci_208e0b5a7c5a48359c4a687312398be0"/>
      <w:r w:rsidR="00871F9A" w:rsidRPr="0038179C">
        <w:rPr>
          <w:i/>
          <w:iCs/>
        </w:rPr>
        <w:t>Segal v. Asics America Corp.</w:t>
      </w:r>
      <w:r w:rsidR="00871F9A" w:rsidRPr="0038179C">
        <w:t xml:space="preserve"> (2020) 50 Cal.App.5th 659</w:t>
      </w:r>
      <w:bookmarkEnd w:id="316"/>
      <w:r w:rsidR="00871F9A" w:rsidRPr="0038179C">
        <w:t xml:space="preserve">, which allowed them, was </w:t>
      </w:r>
      <w:r w:rsidR="002C0720" w:rsidRPr="0038179C">
        <w:t xml:space="preserve">the </w:t>
      </w:r>
      <w:r w:rsidR="00871F9A" w:rsidRPr="0038179C">
        <w:t xml:space="preserve">“most persuasive and well-reasoned.” </w:t>
      </w:r>
      <w:r w:rsidR="00F412DF" w:rsidRPr="0038179C">
        <w:t xml:space="preserve"> </w:t>
      </w:r>
      <w:r w:rsidRPr="0038179C">
        <w:t xml:space="preserve">The court </w:t>
      </w:r>
      <w:r w:rsidR="001A1CE0" w:rsidRPr="0038179C">
        <w:t xml:space="preserve">then </w:t>
      </w:r>
      <w:r w:rsidRPr="0038179C">
        <w:t xml:space="preserve">found the </w:t>
      </w:r>
      <w:r w:rsidR="00E268EC" w:rsidRPr="0038179C">
        <w:t xml:space="preserve">exhibit </w:t>
      </w:r>
      <w:r w:rsidRPr="0038179C">
        <w:t xml:space="preserve">costs here </w:t>
      </w:r>
      <w:r w:rsidR="00E268EC" w:rsidRPr="0038179C">
        <w:t xml:space="preserve">were </w:t>
      </w:r>
      <w:bookmarkStart w:id="317" w:name="dabmq_168"/>
      <w:r w:rsidR="00E268EC" w:rsidRPr="0038179C">
        <w:t>“</w:t>
      </w:r>
      <w:r w:rsidR="00C8542E" w:rsidRPr="0038179C">
        <w:t>reasonable and</w:t>
      </w:r>
      <w:r w:rsidRPr="0038179C">
        <w:t xml:space="preserve"> </w:t>
      </w:r>
      <w:r w:rsidR="00C8542E" w:rsidRPr="0038179C">
        <w:t>necessary, and reasonably helpful to aiding the trier of fact.</w:t>
      </w:r>
      <w:r w:rsidRPr="0038179C">
        <w:t>”</w:t>
      </w:r>
      <w:bookmarkEnd w:id="317"/>
      <w:r w:rsidRPr="0038179C">
        <w:t xml:space="preserve"> </w:t>
      </w:r>
      <w:r w:rsidR="00CB2452" w:rsidRPr="0038179C">
        <w:t xml:space="preserve"> </w:t>
      </w:r>
      <w:r w:rsidR="009749C5" w:rsidRPr="0038179C">
        <w:t xml:space="preserve">As we discuss </w:t>
      </w:r>
      <w:r w:rsidR="009749C5" w:rsidRPr="0038179C">
        <w:rPr>
          <w:i/>
          <w:iCs/>
        </w:rPr>
        <w:lastRenderedPageBreak/>
        <w:t>post,</w:t>
      </w:r>
      <w:r w:rsidR="009749C5" w:rsidRPr="0038179C">
        <w:t xml:space="preserve"> t</w:t>
      </w:r>
      <w:r w:rsidR="00E268EC" w:rsidRPr="0038179C">
        <w:t xml:space="preserve">he California Supreme Court </w:t>
      </w:r>
      <w:r w:rsidR="00F960BE" w:rsidRPr="0038179C">
        <w:t>subsequently</w:t>
      </w:r>
      <w:r w:rsidR="00E268EC" w:rsidRPr="0038179C">
        <w:t xml:space="preserve"> </w:t>
      </w:r>
      <w:r w:rsidR="00871F9A" w:rsidRPr="0038179C">
        <w:t>resolved the split</w:t>
      </w:r>
      <w:r w:rsidR="00E268EC" w:rsidRPr="0038179C">
        <w:t xml:space="preserve"> in </w:t>
      </w:r>
      <w:bookmarkStart w:id="318" w:name="dabmci_30541bb0f203416b9b183e6cfdc5a581"/>
      <w:r w:rsidR="00E268EC" w:rsidRPr="0038179C">
        <w:rPr>
          <w:rFonts w:cstheme="minorBidi"/>
          <w:i/>
          <w:iCs/>
          <w:szCs w:val="22"/>
        </w:rPr>
        <w:t>Segal</w:t>
      </w:r>
      <w:r w:rsidR="001A1CE0" w:rsidRPr="0038179C">
        <w:rPr>
          <w:rFonts w:cstheme="minorBidi"/>
          <w:i/>
          <w:iCs/>
          <w:szCs w:val="22"/>
        </w:rPr>
        <w:t xml:space="preserve">, supra, </w:t>
      </w:r>
      <w:r w:rsidR="00E268EC" w:rsidRPr="0038179C">
        <w:rPr>
          <w:rFonts w:cstheme="minorBidi"/>
          <w:szCs w:val="22"/>
        </w:rPr>
        <w:t xml:space="preserve">12 Cal.5th </w:t>
      </w:r>
      <w:r w:rsidR="001A1CE0" w:rsidRPr="0038179C">
        <w:rPr>
          <w:rFonts w:cstheme="minorBidi"/>
          <w:szCs w:val="22"/>
        </w:rPr>
        <w:t xml:space="preserve">at p. </w:t>
      </w:r>
      <w:r w:rsidR="00456973" w:rsidRPr="0038179C">
        <w:rPr>
          <w:rFonts w:cstheme="minorBidi"/>
          <w:szCs w:val="22"/>
        </w:rPr>
        <w:t>657</w:t>
      </w:r>
      <w:bookmarkEnd w:id="318"/>
      <w:r w:rsidR="001A1CE0" w:rsidRPr="0038179C">
        <w:rPr>
          <w:rFonts w:cstheme="minorBidi"/>
          <w:szCs w:val="22"/>
        </w:rPr>
        <w:t xml:space="preserve">, </w:t>
      </w:r>
      <w:r w:rsidR="00871F9A" w:rsidRPr="0038179C">
        <w:rPr>
          <w:rFonts w:cstheme="minorBidi"/>
          <w:szCs w:val="22"/>
        </w:rPr>
        <w:t>and held</w:t>
      </w:r>
      <w:r w:rsidR="00CB2452" w:rsidRPr="0038179C">
        <w:rPr>
          <w:rFonts w:cstheme="minorBidi"/>
          <w:szCs w:val="22"/>
        </w:rPr>
        <w:t xml:space="preserve"> </w:t>
      </w:r>
      <w:r w:rsidR="00E268EC" w:rsidRPr="0038179C">
        <w:t>unused exhibit costs may be recoverable</w:t>
      </w:r>
      <w:r w:rsidR="00F960BE" w:rsidRPr="0038179C">
        <w:t xml:space="preserve">, albeit on more limited grounds than </w:t>
      </w:r>
      <w:r w:rsidR="00047B21" w:rsidRPr="0038179C">
        <w:t xml:space="preserve">stated </w:t>
      </w:r>
      <w:r w:rsidR="00FD55F3" w:rsidRPr="0038179C">
        <w:t xml:space="preserve">in </w:t>
      </w:r>
      <w:r w:rsidR="00F960BE" w:rsidRPr="0038179C">
        <w:t>the Court of Appeal</w:t>
      </w:r>
      <w:r w:rsidR="00FD55F3" w:rsidRPr="0038179C">
        <w:t xml:space="preserve"> decision</w:t>
      </w:r>
      <w:r w:rsidR="00E268EC" w:rsidRPr="0038179C">
        <w:t xml:space="preserve">. </w:t>
      </w:r>
    </w:p>
    <w:p w14:paraId="3C7C725C" w14:textId="3B7456BD" w:rsidR="003F2757" w:rsidRPr="0038179C" w:rsidRDefault="006B7BCA" w:rsidP="002956D7">
      <w:pPr>
        <w:pStyle w:val="Heading2"/>
        <w:spacing w:before="60" w:after="60"/>
      </w:pPr>
      <w:r w:rsidRPr="0038179C">
        <w:t>B.</w:t>
      </w:r>
      <w:r w:rsidRPr="0038179C">
        <w:tab/>
      </w:r>
      <w:r w:rsidRPr="0038179C">
        <w:rPr>
          <w:i/>
          <w:iCs/>
        </w:rPr>
        <w:t>Applicable Law</w:t>
      </w:r>
    </w:p>
    <w:p w14:paraId="2331A619" w14:textId="01EA8E37" w:rsidR="009119B3" w:rsidRPr="0038179C" w:rsidRDefault="009119B3" w:rsidP="00882F89">
      <w:pPr>
        <w:spacing w:line="360" w:lineRule="auto"/>
        <w:rPr>
          <w:rFonts w:cs="Arial"/>
          <w:szCs w:val="26"/>
        </w:rPr>
      </w:pPr>
      <w:r w:rsidRPr="0038179C">
        <w:rPr>
          <w:rFonts w:cs="Arial"/>
          <w:szCs w:val="26"/>
        </w:rPr>
        <w:tab/>
      </w:r>
      <w:r w:rsidR="009749C5" w:rsidRPr="0038179C">
        <w:rPr>
          <w:rFonts w:cs="Arial"/>
          <w:szCs w:val="26"/>
        </w:rPr>
        <w:t>A</w:t>
      </w:r>
      <w:r w:rsidRPr="0038179C">
        <w:rPr>
          <w:rFonts w:cs="Arial"/>
          <w:szCs w:val="26"/>
        </w:rPr>
        <w:t xml:space="preserve"> </w:t>
      </w:r>
      <w:bookmarkStart w:id="319" w:name="dabmq_169"/>
      <w:r w:rsidRPr="0038179C">
        <w:rPr>
          <w:rFonts w:cs="Arial"/>
          <w:szCs w:val="26"/>
        </w:rPr>
        <w:t>“prevailing party is entitled as a matter of right to recover costs in any action or proceeding.”</w:t>
      </w:r>
      <w:bookmarkEnd w:id="319"/>
      <w:r w:rsidR="009749C5" w:rsidRPr="0038179C">
        <w:rPr>
          <w:rFonts w:cs="Arial"/>
          <w:szCs w:val="26"/>
        </w:rPr>
        <w:t xml:space="preserve">  (</w:t>
      </w:r>
      <w:bookmarkStart w:id="320" w:name="dabmci_60bd6623f10a4964abef67f19f6968fe"/>
      <w:r w:rsidR="009749C5" w:rsidRPr="0038179C">
        <w:rPr>
          <w:rFonts w:cs="Arial"/>
          <w:szCs w:val="26"/>
        </w:rPr>
        <w:t>Code Civil Proc.</w:t>
      </w:r>
      <w:r w:rsidR="00A34E45">
        <w:rPr>
          <w:rFonts w:cs="Arial"/>
          <w:szCs w:val="26"/>
        </w:rPr>
        <w:t>,</w:t>
      </w:r>
      <w:r w:rsidR="009749C5" w:rsidRPr="0038179C">
        <w:rPr>
          <w:rFonts w:cs="Arial"/>
          <w:szCs w:val="26"/>
        </w:rPr>
        <w:t xml:space="preserve"> § 1032, subd. (b)</w:t>
      </w:r>
      <w:bookmarkEnd w:id="320"/>
      <w:r w:rsidR="009749C5" w:rsidRPr="0038179C">
        <w:rPr>
          <w:rFonts w:cs="Arial"/>
          <w:szCs w:val="26"/>
        </w:rPr>
        <w:t>.)</w:t>
      </w:r>
    </w:p>
    <w:p w14:paraId="69DF996E" w14:textId="0BE7695F" w:rsidR="009749C5" w:rsidRPr="0038179C" w:rsidRDefault="009749C5" w:rsidP="00882F89">
      <w:pPr>
        <w:spacing w:line="360" w:lineRule="auto"/>
        <w:ind w:firstLine="720"/>
        <w:rPr>
          <w:i/>
          <w:iCs/>
        </w:rPr>
      </w:pPr>
      <w:bookmarkStart w:id="321" w:name="dabmq_170"/>
      <w:r w:rsidRPr="0038179C">
        <w:rPr>
          <w:rFonts w:cs="Arial"/>
          <w:szCs w:val="26"/>
        </w:rPr>
        <w:t>“</w:t>
      </w:r>
      <w:bookmarkStart w:id="322" w:name="dabmci_cc25636263874283b1fb67f8d63fdee3"/>
      <w:r w:rsidRPr="0038179C">
        <w:rPr>
          <w:rFonts w:cs="Arial"/>
          <w:szCs w:val="26"/>
        </w:rPr>
        <w:t>Code of Civil Procedure section 1033.5</w:t>
      </w:r>
      <w:bookmarkEnd w:id="322"/>
      <w:r w:rsidRPr="0038179C">
        <w:rPr>
          <w:rFonts w:cs="Arial"/>
          <w:szCs w:val="26"/>
        </w:rPr>
        <w:t xml:space="preserve"> sets forth the items that are and are not allowable as the costs recoverable by a prevailing party . . . . ‘</w:t>
      </w:r>
      <w:proofErr w:type="gramStart"/>
      <w:r w:rsidRPr="0038179C">
        <w:rPr>
          <w:rFonts w:cs="Arial"/>
          <w:szCs w:val="26"/>
        </w:rPr>
        <w:t>as</w:t>
      </w:r>
      <w:proofErr w:type="gramEnd"/>
      <w:r w:rsidRPr="0038179C">
        <w:rPr>
          <w:rFonts w:cs="Arial"/>
          <w:szCs w:val="26"/>
        </w:rPr>
        <w:t xml:space="preserve"> a matter of right.’ ”</w:t>
      </w:r>
      <w:bookmarkEnd w:id="321"/>
      <w:r w:rsidRPr="0038179C">
        <w:rPr>
          <w:rFonts w:cs="Arial"/>
          <w:szCs w:val="26"/>
        </w:rPr>
        <w:t xml:space="preserve">  (</w:t>
      </w:r>
      <w:bookmarkStart w:id="323" w:name="dabmci_d75f85b1d73b45ef8ea661e5909ece91"/>
      <w:r w:rsidRPr="0038179C">
        <w:rPr>
          <w:rFonts w:cs="Arial"/>
          <w:i/>
          <w:iCs/>
          <w:szCs w:val="26"/>
        </w:rPr>
        <w:t>Chaaban v. Wet Seal,</w:t>
      </w:r>
      <w:r w:rsidRPr="0038179C">
        <w:rPr>
          <w:rFonts w:cs="Arial"/>
          <w:szCs w:val="26"/>
        </w:rPr>
        <w:t xml:space="preserve"> </w:t>
      </w:r>
      <w:r w:rsidRPr="0038179C">
        <w:rPr>
          <w:rFonts w:cs="Arial"/>
          <w:i/>
          <w:iCs/>
          <w:szCs w:val="26"/>
        </w:rPr>
        <w:t xml:space="preserve">Inc. </w:t>
      </w:r>
      <w:r w:rsidRPr="0038179C">
        <w:rPr>
          <w:rFonts w:cs="Arial"/>
          <w:szCs w:val="26"/>
        </w:rPr>
        <w:t>(2012) 203 Cal.App.4th 49, 52 (</w:t>
      </w:r>
      <w:r w:rsidRPr="0038179C">
        <w:rPr>
          <w:rFonts w:cs="Arial"/>
          <w:i/>
          <w:iCs/>
          <w:szCs w:val="26"/>
        </w:rPr>
        <w:t>Chaaban</w:t>
      </w:r>
      <w:r w:rsidRPr="0038179C">
        <w:rPr>
          <w:rFonts w:cs="Arial"/>
          <w:szCs w:val="26"/>
        </w:rPr>
        <w:t>)</w:t>
      </w:r>
      <w:bookmarkEnd w:id="323"/>
      <w:r w:rsidRPr="0038179C">
        <w:rPr>
          <w:rFonts w:cs="Arial"/>
          <w:szCs w:val="26"/>
        </w:rPr>
        <w:t xml:space="preserve">; Code Civ Prov. </w:t>
      </w:r>
      <w:bookmarkStart w:id="324" w:name="dabmci_9421761287f846b985a509db7bd32a01"/>
      <w:r w:rsidRPr="0038179C">
        <w:rPr>
          <w:rFonts w:cs="Arial"/>
          <w:szCs w:val="26"/>
        </w:rPr>
        <w:t>§ 1033.5, subd. (a)</w:t>
      </w:r>
      <w:bookmarkEnd w:id="324"/>
      <w:r w:rsidRPr="0038179C">
        <w:rPr>
          <w:rFonts w:cs="Arial"/>
          <w:szCs w:val="26"/>
        </w:rPr>
        <w:t xml:space="preserve"> [items allowable </w:t>
      </w:r>
      <w:r w:rsidR="00205963" w:rsidRPr="0038179C">
        <w:rPr>
          <w:rFonts w:cs="Arial"/>
          <w:szCs w:val="26"/>
        </w:rPr>
        <w:t xml:space="preserve">as </w:t>
      </w:r>
      <w:r w:rsidRPr="0038179C">
        <w:rPr>
          <w:rFonts w:cs="Arial"/>
          <w:szCs w:val="26"/>
        </w:rPr>
        <w:t xml:space="preserve">costs], subd. (b) [items not allowable as costs].)  </w:t>
      </w:r>
      <w:bookmarkStart w:id="325" w:name="dabmq_171"/>
      <w:r w:rsidRPr="0038179C">
        <w:rPr>
          <w:rFonts w:cs="Arial"/>
          <w:szCs w:val="26"/>
        </w:rPr>
        <w:t>“The statute also authorizes the trial court in its discretion to award or deny an item of costs not mentioned in this section.”</w:t>
      </w:r>
      <w:bookmarkEnd w:id="325"/>
      <w:r w:rsidRPr="0038179C">
        <w:rPr>
          <w:rFonts w:cs="Arial"/>
          <w:szCs w:val="26"/>
        </w:rPr>
        <w:t xml:space="preserve">  (</w:t>
      </w:r>
      <w:bookmarkStart w:id="326" w:name="dabmci_de0550158e544e11810ade1ab28b814a"/>
      <w:r w:rsidRPr="0038179C">
        <w:rPr>
          <w:i/>
          <w:iCs/>
        </w:rPr>
        <w:t xml:space="preserve">Segal, supra, </w:t>
      </w:r>
      <w:r w:rsidRPr="0038179C">
        <w:t>12 Cal.5th at p. 658</w:t>
      </w:r>
      <w:bookmarkEnd w:id="326"/>
      <w:r w:rsidRPr="0038179C">
        <w:t xml:space="preserve">, citing </w:t>
      </w:r>
      <w:bookmarkStart w:id="327" w:name="dabmci_5801db4301ed41efacba88c8c8b9ab2a"/>
      <w:r w:rsidRPr="0038179C">
        <w:rPr>
          <w:rFonts w:cs="Arial"/>
          <w:szCs w:val="26"/>
        </w:rPr>
        <w:t>§ 1033.5, subd. (c)(4)</w:t>
      </w:r>
      <w:bookmarkEnd w:id="327"/>
      <w:r w:rsidRPr="0038179C">
        <w:rPr>
          <w:rFonts w:cs="Arial"/>
          <w:szCs w:val="26"/>
        </w:rPr>
        <w:t>.)</w:t>
      </w:r>
    </w:p>
    <w:p w14:paraId="03338FE5" w14:textId="6CA08046" w:rsidR="00F5527D" w:rsidRPr="0038179C" w:rsidRDefault="002F782E" w:rsidP="00882F89">
      <w:pPr>
        <w:spacing w:line="360" w:lineRule="auto"/>
      </w:pPr>
      <w:r w:rsidRPr="0038179C">
        <w:rPr>
          <w:rFonts w:cs="Arial"/>
          <w:szCs w:val="26"/>
        </w:rPr>
        <w:tab/>
      </w:r>
      <w:bookmarkStart w:id="328" w:name="dabmq_172"/>
      <w:r w:rsidR="009119B3" w:rsidRPr="0038179C">
        <w:rPr>
          <w:rFonts w:cs="Arial"/>
          <w:szCs w:val="26"/>
        </w:rPr>
        <w:t>“All costs</w:t>
      </w:r>
      <w:r w:rsidR="00DC1F7E" w:rsidRPr="0038179C">
        <w:rPr>
          <w:rFonts w:cs="Arial"/>
          <w:szCs w:val="26"/>
        </w:rPr>
        <w:t>, whether expressly permitted under</w:t>
      </w:r>
      <w:r w:rsidR="009749C5" w:rsidRPr="0038179C">
        <w:rPr>
          <w:rFonts w:cs="Arial"/>
          <w:szCs w:val="26"/>
        </w:rPr>
        <w:t xml:space="preserve"> </w:t>
      </w:r>
      <w:bookmarkStart w:id="329" w:name="dabmci_8b9ab19183a64e90a1e8ab7b788ba751"/>
      <w:r w:rsidR="00F5527D" w:rsidRPr="0038179C">
        <w:rPr>
          <w:rFonts w:cs="Arial"/>
          <w:szCs w:val="26"/>
        </w:rPr>
        <w:t xml:space="preserve">[Code of Civil Procedure] </w:t>
      </w:r>
      <w:r w:rsidR="00DC1F7E" w:rsidRPr="0038179C">
        <w:rPr>
          <w:rFonts w:cs="Arial"/>
          <w:szCs w:val="26"/>
        </w:rPr>
        <w:t>section 1033.5, subdivision (a)</w:t>
      </w:r>
      <w:bookmarkEnd w:id="329"/>
      <w:r w:rsidR="00DC1F7E" w:rsidRPr="0038179C">
        <w:rPr>
          <w:rFonts w:cs="Arial"/>
          <w:szCs w:val="26"/>
        </w:rPr>
        <w:t xml:space="preserve"> or awarded in the trial court</w:t>
      </w:r>
      <w:r w:rsidR="00B017BB" w:rsidRPr="0038179C">
        <w:rPr>
          <w:rFonts w:cs="Arial"/>
          <w:szCs w:val="26"/>
        </w:rPr>
        <w:t>’</w:t>
      </w:r>
      <w:r w:rsidR="00DC1F7E" w:rsidRPr="0038179C">
        <w:rPr>
          <w:rFonts w:cs="Arial"/>
          <w:szCs w:val="26"/>
        </w:rPr>
        <w:t xml:space="preserve">s discretion pursuant to </w:t>
      </w:r>
      <w:bookmarkStart w:id="330" w:name="dabmci_b9ecf73150c049988849eb3bc743700d"/>
      <w:r w:rsidR="00DC1F7E" w:rsidRPr="0038179C">
        <w:rPr>
          <w:rFonts w:cs="Arial"/>
          <w:szCs w:val="26"/>
        </w:rPr>
        <w:t>section 1033.5(c)(4)</w:t>
      </w:r>
      <w:bookmarkEnd w:id="330"/>
      <w:r w:rsidR="00DC1F7E" w:rsidRPr="0038179C">
        <w:rPr>
          <w:rFonts w:cs="Arial"/>
          <w:szCs w:val="26"/>
        </w:rPr>
        <w:t xml:space="preserve">, </w:t>
      </w:r>
      <w:r w:rsidR="009119B3" w:rsidRPr="0038179C">
        <w:rPr>
          <w:rFonts w:cs="Arial"/>
          <w:szCs w:val="26"/>
        </w:rPr>
        <w:t xml:space="preserve">must be </w:t>
      </w:r>
      <w:r w:rsidRPr="0038179C">
        <w:rPr>
          <w:rFonts w:cs="Arial"/>
          <w:szCs w:val="26"/>
        </w:rPr>
        <w:t>‘</w:t>
      </w:r>
      <w:r w:rsidR="009119B3" w:rsidRPr="0038179C">
        <w:rPr>
          <w:rFonts w:cs="Arial"/>
          <w:szCs w:val="26"/>
        </w:rPr>
        <w:t>reasonably necessary to the conduct of the litigation rather than merely convenient or beneficial to its preparation</w:t>
      </w:r>
      <w:r w:rsidRPr="0038179C">
        <w:rPr>
          <w:rFonts w:cs="Arial"/>
          <w:szCs w:val="26"/>
        </w:rPr>
        <w:t>’</w:t>
      </w:r>
      <w:r w:rsidR="009119B3" w:rsidRPr="0038179C">
        <w:rPr>
          <w:rFonts w:cs="Arial"/>
          <w:szCs w:val="26"/>
        </w:rPr>
        <w:t xml:space="preserve"> (</w:t>
      </w:r>
      <w:bookmarkStart w:id="331" w:name="dabmci_9747a9e54e8d4960ae50dba1d38adfc7"/>
      <w:r w:rsidR="009119B3" w:rsidRPr="0038179C">
        <w:rPr>
          <w:rFonts w:cs="Arial"/>
          <w:szCs w:val="26"/>
        </w:rPr>
        <w:t>§ 1033.5, subd. (c)(2)</w:t>
      </w:r>
      <w:bookmarkEnd w:id="331"/>
      <w:r w:rsidR="009119B3" w:rsidRPr="0038179C">
        <w:rPr>
          <w:rFonts w:cs="Arial"/>
          <w:szCs w:val="26"/>
        </w:rPr>
        <w:t xml:space="preserve">) and </w:t>
      </w:r>
      <w:r w:rsidRPr="0038179C">
        <w:rPr>
          <w:rFonts w:cs="Arial"/>
          <w:szCs w:val="26"/>
        </w:rPr>
        <w:t>‘</w:t>
      </w:r>
      <w:r w:rsidR="009119B3" w:rsidRPr="0038179C">
        <w:rPr>
          <w:rFonts w:cs="Arial"/>
          <w:szCs w:val="26"/>
        </w:rPr>
        <w:t>reasonable in amount</w:t>
      </w:r>
      <w:r w:rsidRPr="0038179C">
        <w:rPr>
          <w:rFonts w:cs="Arial"/>
          <w:szCs w:val="26"/>
        </w:rPr>
        <w:t xml:space="preserve">’ </w:t>
      </w:r>
      <w:r w:rsidR="009119B3" w:rsidRPr="0038179C">
        <w:rPr>
          <w:rFonts w:cs="Arial"/>
          <w:szCs w:val="26"/>
        </w:rPr>
        <w:t>(</w:t>
      </w:r>
      <w:bookmarkStart w:id="332" w:name="dabmci_2614220284a2432aa57f0cff2981ab4d"/>
      <w:r w:rsidR="009119B3" w:rsidRPr="0038179C">
        <w:rPr>
          <w:rFonts w:cs="Arial"/>
          <w:szCs w:val="26"/>
        </w:rPr>
        <w:t>§ 1033.5, subd. (c)(3)</w:t>
      </w:r>
      <w:bookmarkEnd w:id="332"/>
      <w:r w:rsidR="009119B3" w:rsidRPr="0038179C">
        <w:rPr>
          <w:rFonts w:cs="Arial"/>
          <w:szCs w:val="26"/>
        </w:rPr>
        <w:t>).</w:t>
      </w:r>
      <w:r w:rsidRPr="0038179C">
        <w:rPr>
          <w:rFonts w:cs="Arial"/>
          <w:szCs w:val="26"/>
        </w:rPr>
        <w:t>”</w:t>
      </w:r>
      <w:bookmarkEnd w:id="328"/>
      <w:r w:rsidRPr="0038179C">
        <w:rPr>
          <w:rFonts w:cs="Arial"/>
          <w:szCs w:val="26"/>
        </w:rPr>
        <w:t xml:space="preserve">  (</w:t>
      </w:r>
      <w:bookmarkStart w:id="333" w:name="dabmci_dc4dd23a99914d6da20a5a30f12dae87"/>
      <w:r w:rsidRPr="0038179C">
        <w:rPr>
          <w:i/>
          <w:iCs/>
        </w:rPr>
        <w:t>Segal</w:t>
      </w:r>
      <w:r w:rsidR="009749C5" w:rsidRPr="0038179C">
        <w:rPr>
          <w:i/>
          <w:iCs/>
        </w:rPr>
        <w:t xml:space="preserve">, supra, </w:t>
      </w:r>
      <w:r w:rsidRPr="0038179C">
        <w:t xml:space="preserve">12 Cal.5th </w:t>
      </w:r>
      <w:r w:rsidR="009749C5" w:rsidRPr="0038179C">
        <w:t>at p.</w:t>
      </w:r>
      <w:r w:rsidRPr="0038179C">
        <w:t xml:space="preserve"> 658</w:t>
      </w:r>
      <w:bookmarkEnd w:id="333"/>
      <w:r w:rsidRPr="0038179C">
        <w:t>.)</w:t>
      </w:r>
      <w:r w:rsidR="00F5527D" w:rsidRPr="0038179C">
        <w:t xml:space="preserve">  </w:t>
      </w:r>
    </w:p>
    <w:p w14:paraId="7AEC5E68" w14:textId="77777777" w:rsidR="002C0720" w:rsidRPr="0038179C" w:rsidRDefault="00995F65" w:rsidP="00F5527D">
      <w:pPr>
        <w:spacing w:line="360" w:lineRule="auto"/>
        <w:ind w:firstLine="720"/>
      </w:pPr>
      <w:r w:rsidRPr="0038179C">
        <w:t xml:space="preserve">The opposing party may </w:t>
      </w:r>
      <w:r w:rsidR="00A3604C" w:rsidRPr="0038179C">
        <w:t>move</w:t>
      </w:r>
      <w:r w:rsidRPr="0038179C">
        <w:t xml:space="preserve"> to strike or tax costs.  (</w:t>
      </w:r>
      <w:r w:rsidR="00A512E1" w:rsidRPr="0038179C">
        <w:t>Code Civ. Proc.</w:t>
      </w:r>
      <w:r w:rsidR="002C0720" w:rsidRPr="0038179C">
        <w:t> </w:t>
      </w:r>
    </w:p>
    <w:p w14:paraId="73243137" w14:textId="44EE096C" w:rsidR="00AB3199" w:rsidRPr="0038179C" w:rsidRDefault="00A512E1" w:rsidP="002C0720">
      <w:pPr>
        <w:spacing w:line="360" w:lineRule="auto"/>
      </w:pPr>
      <w:r w:rsidRPr="0038179C">
        <w:t>§ 1034 [</w:t>
      </w:r>
      <w:bookmarkStart w:id="334" w:name="dabmq_173"/>
      <w:r w:rsidRPr="0038179C">
        <w:t xml:space="preserve">“Prejudgment costs </w:t>
      </w:r>
      <w:r w:rsidR="002C53A5" w:rsidRPr="0038179C">
        <w:t>. . .</w:t>
      </w:r>
      <w:r w:rsidRPr="0038179C">
        <w:t xml:space="preserve"> shall be </w:t>
      </w:r>
      <w:r w:rsidR="002C53A5" w:rsidRPr="0038179C">
        <w:t>. . .</w:t>
      </w:r>
      <w:r w:rsidRPr="0038179C">
        <w:t xml:space="preserve"> contested in accordance with rules adopted by the Judicial Council.”</w:t>
      </w:r>
      <w:bookmarkEnd w:id="334"/>
      <w:r w:rsidRPr="0038179C">
        <w:t xml:space="preserve">]; </w:t>
      </w:r>
      <w:r w:rsidRPr="0038179C">
        <w:rPr>
          <w:i/>
          <w:iCs/>
        </w:rPr>
        <w:t>Kaufman v. Diskeeper Corp.</w:t>
      </w:r>
      <w:r w:rsidRPr="0038179C">
        <w:t xml:space="preserve"> (2014) 229 Cal.App.4th 1, 8 [</w:t>
      </w:r>
      <w:bookmarkStart w:id="335" w:name="dabmq_174"/>
      <w:r w:rsidRPr="0038179C">
        <w:t xml:space="preserve">“[California Rules of </w:t>
      </w:r>
      <w:bookmarkStart w:id="336" w:name="dabmci_0f99b8f37f2a4599b76722366da6a4c1"/>
      <w:r w:rsidRPr="0038179C">
        <w:t>Court,] [r]ule 3.1700(b)</w:t>
      </w:r>
      <w:bookmarkEnd w:id="336"/>
      <w:r w:rsidRPr="0038179C">
        <w:t xml:space="preserve"> establishes a procedure for contesting costs by means of a motion to tax costs”</w:t>
      </w:r>
      <w:bookmarkEnd w:id="335"/>
      <w:r w:rsidRPr="0038179C">
        <w:t>].)</w:t>
      </w:r>
      <w:r w:rsidR="00A3604C" w:rsidRPr="0038179C">
        <w:t xml:space="preserve"> </w:t>
      </w:r>
    </w:p>
    <w:p w14:paraId="08BFFFE5" w14:textId="1B748B02" w:rsidR="00166379" w:rsidRPr="0038179C" w:rsidRDefault="005E5C2D" w:rsidP="00166379">
      <w:pPr>
        <w:spacing w:line="360" w:lineRule="auto"/>
        <w:ind w:firstLine="720"/>
      </w:pPr>
      <w:r w:rsidRPr="0038179C">
        <w:t xml:space="preserve">We </w:t>
      </w:r>
      <w:bookmarkStart w:id="337" w:name="dabmq_175"/>
      <w:r w:rsidRPr="0038179C">
        <w:t>“review a trial court’s determination on which costs are reasonably necessary and reasonable in amount under the abuse of discretion standard.”</w:t>
      </w:r>
      <w:bookmarkEnd w:id="337"/>
      <w:r w:rsidRPr="0038179C">
        <w:t xml:space="preserve">  </w:t>
      </w:r>
      <w:r w:rsidRPr="0038179C">
        <w:lastRenderedPageBreak/>
        <w:t>(</w:t>
      </w:r>
      <w:bookmarkStart w:id="338" w:name="dabmci_913cda8b033e42c3a41e2024e53aa05e"/>
      <w:r w:rsidRPr="0038179C">
        <w:rPr>
          <w:i/>
          <w:iCs/>
        </w:rPr>
        <w:t>Charton v. Harkey</w:t>
      </w:r>
      <w:r w:rsidRPr="0038179C">
        <w:t xml:space="preserve"> (2016) 247 Cal.App.4th 730, 739</w:t>
      </w:r>
      <w:bookmarkEnd w:id="338"/>
      <w:r w:rsidR="00166379" w:rsidRPr="0038179C">
        <w:t xml:space="preserve">; see </w:t>
      </w:r>
      <w:bookmarkStart w:id="339" w:name="dabmci_17f92df107fd44c288936fd5b43a20f8"/>
      <w:r w:rsidR="00166379" w:rsidRPr="0038179C">
        <w:rPr>
          <w:i/>
          <w:iCs/>
        </w:rPr>
        <w:t>Goodman v. Lozano</w:t>
      </w:r>
      <w:r w:rsidR="00166379" w:rsidRPr="0038179C">
        <w:t xml:space="preserve"> (2010) 47 Cal.4th 1327, 1339</w:t>
      </w:r>
      <w:bookmarkEnd w:id="339"/>
      <w:r w:rsidR="00166379" w:rsidRPr="0038179C">
        <w:t xml:space="preserve"> [</w:t>
      </w:r>
      <w:bookmarkStart w:id="340" w:name="dabmq_176"/>
      <w:r w:rsidR="00166379" w:rsidRPr="0038179C">
        <w:t>“ ‘ “The appropriate test for abuse of discretion is whether the trial court exceeded the bounds of reason.”</w:t>
      </w:r>
      <w:bookmarkEnd w:id="340"/>
      <w:r w:rsidR="00166379" w:rsidRPr="0038179C">
        <w:t xml:space="preserve"> ’ ”].)</w:t>
      </w:r>
    </w:p>
    <w:p w14:paraId="0CEA72A4" w14:textId="77777777" w:rsidR="00A34E45" w:rsidRDefault="003A0B71" w:rsidP="00F5527D">
      <w:pPr>
        <w:spacing w:line="360" w:lineRule="auto"/>
        <w:ind w:firstLine="720"/>
      </w:pPr>
      <w:r w:rsidRPr="0038179C">
        <w:t xml:space="preserve">In addition, </w:t>
      </w:r>
      <w:bookmarkStart w:id="341" w:name="dabmq_177"/>
      <w:r w:rsidRPr="0038179C">
        <w:t xml:space="preserve">“ ‘[a] prevailing party who has made a valid pretrial offer pursuant to </w:t>
      </w:r>
      <w:bookmarkStart w:id="342" w:name="dabmci_fb506eccb5024374ad4edb2a5847674e"/>
      <w:r w:rsidRPr="0038179C">
        <w:t>Code of Civil Procedure section 998</w:t>
      </w:r>
      <w:bookmarkEnd w:id="342"/>
      <w:r w:rsidRPr="0038179C">
        <w:t xml:space="preserve"> is eligible for specified costs, so long as the offer was reasonable and made in good faith.’ ”</w:t>
      </w:r>
      <w:bookmarkEnd w:id="341"/>
      <w:r w:rsidRPr="0038179C">
        <w:t xml:space="preserve">  (</w:t>
      </w:r>
      <w:bookmarkStart w:id="343" w:name="dabmci_23fa384f17a2441b95703f63938dbaa9"/>
      <w:r w:rsidRPr="0038179C">
        <w:rPr>
          <w:i/>
          <w:iCs/>
        </w:rPr>
        <w:t>Najera v. Huerta</w:t>
      </w:r>
      <w:r w:rsidRPr="0038179C">
        <w:t xml:space="preserve"> (2011) 191 Cal.App.4th 872, 877 (</w:t>
      </w:r>
      <w:r w:rsidRPr="0038179C">
        <w:rPr>
          <w:i/>
          <w:iCs/>
        </w:rPr>
        <w:t>Najera</w:t>
      </w:r>
      <w:r w:rsidRPr="0038179C">
        <w:t>)</w:t>
      </w:r>
      <w:bookmarkEnd w:id="343"/>
      <w:r w:rsidRPr="0038179C">
        <w:t xml:space="preserve">.)  The purpose of </w:t>
      </w:r>
      <w:bookmarkStart w:id="344" w:name="dabmci_31b1bdef08604ade9d7d948db991bcea"/>
      <w:r w:rsidRPr="0038179C">
        <w:t>section 998</w:t>
      </w:r>
      <w:bookmarkEnd w:id="344"/>
      <w:r w:rsidRPr="0038179C">
        <w:t xml:space="preserve"> is to </w:t>
      </w:r>
      <w:bookmarkStart w:id="345" w:name="dabmq_178"/>
      <w:r w:rsidRPr="0038179C">
        <w:t>“encourage the settlement of litigation without trial, by punishing the party who fails to accept a reasonable settlement offer from its opponent.”</w:t>
      </w:r>
      <w:bookmarkEnd w:id="345"/>
      <w:r w:rsidRPr="0038179C">
        <w:t xml:space="preserve">  (</w:t>
      </w:r>
      <w:bookmarkStart w:id="346" w:name="dabmci_2b9dd27b5b5746f780e48ebae334aa86"/>
      <w:r w:rsidRPr="0038179C">
        <w:rPr>
          <w:i/>
          <w:iCs/>
        </w:rPr>
        <w:t xml:space="preserve">Elite Show Services, Inc. v. Staffpro, Inc. </w:t>
      </w:r>
      <w:r w:rsidRPr="0038179C">
        <w:t>(2004) 119 Cal.App.4th 263, 268 (</w:t>
      </w:r>
      <w:r w:rsidRPr="0038179C">
        <w:rPr>
          <w:i/>
          <w:iCs/>
        </w:rPr>
        <w:t>Staffpro</w:t>
      </w:r>
      <w:r w:rsidRPr="0038179C">
        <w:t>)</w:t>
      </w:r>
      <w:bookmarkEnd w:id="346"/>
      <w:r w:rsidR="00AB3199" w:rsidRPr="0038179C">
        <w:t xml:space="preserve">; see </w:t>
      </w:r>
      <w:bookmarkStart w:id="347" w:name="dabmci_bd6a26282d8847618ec7b2bc37cfc16e"/>
      <w:r w:rsidR="00AB3199" w:rsidRPr="0038179C">
        <w:rPr>
          <w:i/>
          <w:iCs/>
        </w:rPr>
        <w:t>Ignacio v. Caracciolo</w:t>
      </w:r>
      <w:r w:rsidR="00AB3199" w:rsidRPr="0038179C">
        <w:t xml:space="preserve"> (2016) 2 Cal.App.5th 81, 86 (</w:t>
      </w:r>
      <w:r w:rsidR="00AB3199" w:rsidRPr="0038179C">
        <w:rPr>
          <w:i/>
          <w:iCs/>
        </w:rPr>
        <w:t>Ignacio</w:t>
      </w:r>
      <w:r w:rsidR="00AB3199" w:rsidRPr="0038179C">
        <w:t>)</w:t>
      </w:r>
      <w:bookmarkEnd w:id="347"/>
      <w:r w:rsidR="00A34E45">
        <w:t> </w:t>
      </w:r>
    </w:p>
    <w:p w14:paraId="2E0682E7" w14:textId="64BB9FB3" w:rsidR="00F5527D" w:rsidRPr="0038179C" w:rsidRDefault="00AB3199" w:rsidP="00A34E45">
      <w:pPr>
        <w:spacing w:line="360" w:lineRule="auto"/>
      </w:pPr>
      <w:r w:rsidRPr="0038179C">
        <w:t>[</w:t>
      </w:r>
      <w:bookmarkStart w:id="348" w:name="dabmci_c0eca5aa604e4be3805cf980dcda7ed1"/>
      <w:r w:rsidRPr="0038179C">
        <w:t>§ 998</w:t>
      </w:r>
      <w:bookmarkEnd w:id="348"/>
      <w:r w:rsidRPr="0038179C">
        <w:t xml:space="preserve"> </w:t>
      </w:r>
      <w:bookmarkStart w:id="349" w:name="dabmq_179"/>
      <w:r w:rsidRPr="0038179C">
        <w:t>“establishes a procedure for shifting . . . costs upon a party’s refusal to settle”</w:t>
      </w:r>
      <w:bookmarkEnd w:id="349"/>
      <w:r w:rsidRPr="0038179C">
        <w:t>].</w:t>
      </w:r>
      <w:r w:rsidR="003A0B71" w:rsidRPr="0038179C">
        <w:t>)</w:t>
      </w:r>
      <w:r w:rsidR="00627E10" w:rsidRPr="0038179C">
        <w:t xml:space="preserve">  To be valid, a </w:t>
      </w:r>
      <w:bookmarkStart w:id="350" w:name="dabmci_fdd1a426b1924be3886c01352393ab53"/>
      <w:r w:rsidR="00627E10" w:rsidRPr="0038179C">
        <w:t>section 998</w:t>
      </w:r>
      <w:bookmarkEnd w:id="350"/>
      <w:r w:rsidR="00627E10" w:rsidRPr="0038179C">
        <w:t xml:space="preserve"> offer must, among other things, </w:t>
      </w:r>
      <w:bookmarkStart w:id="351" w:name="dabmq_180"/>
      <w:r w:rsidR="00627E10" w:rsidRPr="0038179C">
        <w:t>“not dispose of any claims beyond the claims at issue in the pending lawsuit.”</w:t>
      </w:r>
      <w:bookmarkEnd w:id="351"/>
      <w:r w:rsidR="00627E10" w:rsidRPr="0038179C">
        <w:t xml:space="preserve">  (</w:t>
      </w:r>
      <w:bookmarkStart w:id="352" w:name="dabmci_c5b93a7173d742af9f3f8b38785fe23f"/>
      <w:r w:rsidR="00627E10" w:rsidRPr="0038179C">
        <w:rPr>
          <w:i/>
          <w:iCs/>
        </w:rPr>
        <w:t>Chen v. Interinsurance Exchange of the Automobile Club</w:t>
      </w:r>
      <w:r w:rsidR="00627E10" w:rsidRPr="0038179C">
        <w:t xml:space="preserve"> (2008) 164 Cal.App.4th 117, 121 (</w:t>
      </w:r>
      <w:r w:rsidR="00627E10" w:rsidRPr="0038179C">
        <w:rPr>
          <w:i/>
          <w:iCs/>
        </w:rPr>
        <w:t>Chen</w:t>
      </w:r>
      <w:r w:rsidR="00627E10" w:rsidRPr="0038179C">
        <w:t>)</w:t>
      </w:r>
      <w:bookmarkEnd w:id="352"/>
      <w:r w:rsidR="00627E10" w:rsidRPr="0038179C">
        <w:t>.)</w:t>
      </w:r>
      <w:r w:rsidR="00F5527D" w:rsidRPr="0038179C">
        <w:t xml:space="preserve">  </w:t>
      </w:r>
      <w:bookmarkStart w:id="353" w:name="dabmq_181"/>
      <w:r w:rsidR="00656094" w:rsidRPr="0038179C">
        <w:t xml:space="preserve">“The burden is on the offering party to demonstrate that the offer is valid under </w:t>
      </w:r>
      <w:bookmarkStart w:id="354" w:name="dabmci_a64da0c3cb3345d3a5c5c54b73ef168b"/>
      <w:r w:rsidR="00656094" w:rsidRPr="0038179C">
        <w:t>section 998</w:t>
      </w:r>
      <w:bookmarkEnd w:id="354"/>
      <w:r w:rsidR="00656094" w:rsidRPr="0038179C">
        <w:t>.”</w:t>
      </w:r>
      <w:bookmarkEnd w:id="353"/>
      <w:r w:rsidR="00656094" w:rsidRPr="0038179C">
        <w:t xml:space="preserve">  (</w:t>
      </w:r>
      <w:bookmarkStart w:id="355" w:name="dabmci_5873f6fd39714336989d26cb07159941"/>
      <w:r w:rsidR="00656094" w:rsidRPr="0038179C">
        <w:rPr>
          <w:i/>
          <w:iCs/>
        </w:rPr>
        <w:t>Ignacio</w:t>
      </w:r>
      <w:r w:rsidR="00656094" w:rsidRPr="0038179C">
        <w:t>, at p. 86</w:t>
      </w:r>
      <w:bookmarkEnd w:id="355"/>
      <w:r w:rsidR="00656094" w:rsidRPr="0038179C">
        <w:t>.)</w:t>
      </w:r>
      <w:r w:rsidR="00F5527D" w:rsidRPr="0038179C">
        <w:t xml:space="preserve">  </w:t>
      </w:r>
    </w:p>
    <w:p w14:paraId="539C6420" w14:textId="25E8C6C7" w:rsidR="003D6D68" w:rsidRPr="0038179C" w:rsidRDefault="00656094" w:rsidP="00F5527D">
      <w:pPr>
        <w:spacing w:line="360" w:lineRule="auto"/>
        <w:ind w:firstLine="720"/>
      </w:pPr>
      <w:r w:rsidRPr="0038179C">
        <w:t xml:space="preserve">“We independently review whether a </w:t>
      </w:r>
      <w:bookmarkStart w:id="356" w:name="dabmci_ba7f81761dd646a091222cac50b3ae8e"/>
      <w:r w:rsidRPr="0038179C">
        <w:t>section 998</w:t>
      </w:r>
      <w:bookmarkEnd w:id="356"/>
      <w:r w:rsidRPr="0038179C">
        <w:t xml:space="preserve"> settlement offer was valid.</w:t>
      </w:r>
      <w:r w:rsidR="00B65A8F">
        <w:t>”</w:t>
      </w:r>
      <w:r w:rsidRPr="0038179C">
        <w:t xml:space="preserve">  (</w:t>
      </w:r>
      <w:bookmarkStart w:id="357" w:name="dabmci_98a8f335092647e085f3fd3ac9d244b0"/>
      <w:r w:rsidR="00F5527D" w:rsidRPr="0038179C">
        <w:rPr>
          <w:i/>
          <w:iCs/>
        </w:rPr>
        <w:t>Ignacio</w:t>
      </w:r>
      <w:r w:rsidR="00F5527D" w:rsidRPr="0038179C">
        <w:t xml:space="preserve">, </w:t>
      </w:r>
      <w:r w:rsidR="00F5527D" w:rsidRPr="0038179C">
        <w:rPr>
          <w:i/>
          <w:iCs/>
        </w:rPr>
        <w:t>supra</w:t>
      </w:r>
      <w:r w:rsidR="00F5527D" w:rsidRPr="0038179C">
        <w:t>, 2 Cal.App.5th at p. 86</w:t>
      </w:r>
      <w:bookmarkEnd w:id="357"/>
      <w:r w:rsidR="00C92095">
        <w:t>.</w:t>
      </w:r>
      <w:r w:rsidR="00E02DBC" w:rsidRPr="0038179C">
        <w:t>)</w:t>
      </w:r>
      <w:r w:rsidR="00AB3199" w:rsidRPr="0038179C">
        <w:rPr>
          <w:rStyle w:val="FootnoteReference"/>
        </w:rPr>
        <w:footnoteReference w:id="22"/>
      </w:r>
      <w:r w:rsidR="00B82EFE" w:rsidRPr="0038179C">
        <w:t xml:space="preserve"> </w:t>
      </w:r>
    </w:p>
    <w:p w14:paraId="4D2B0D03" w14:textId="2CE7C45D" w:rsidR="006B7BCA" w:rsidRPr="0038179C" w:rsidRDefault="006B7BCA" w:rsidP="00265AB2">
      <w:pPr>
        <w:pStyle w:val="Heading2"/>
        <w:spacing w:before="60"/>
      </w:pPr>
      <w:r w:rsidRPr="0038179C">
        <w:lastRenderedPageBreak/>
        <w:t>C.</w:t>
      </w:r>
      <w:r w:rsidRPr="0038179C">
        <w:tab/>
      </w:r>
      <w:r w:rsidRPr="0038179C">
        <w:rPr>
          <w:i/>
          <w:iCs/>
        </w:rPr>
        <w:t>Analysis</w:t>
      </w:r>
    </w:p>
    <w:p w14:paraId="2E247315" w14:textId="393B04C0" w:rsidR="00D437F2" w:rsidRPr="0038179C" w:rsidRDefault="00DA5529" w:rsidP="00265AB2">
      <w:pPr>
        <w:pStyle w:val="Heading3"/>
        <w:spacing w:before="60" w:after="60"/>
      </w:pPr>
      <w:r w:rsidRPr="0038179C">
        <w:rPr>
          <w:i w:val="0"/>
          <w:iCs w:val="0"/>
        </w:rPr>
        <w:t>1.</w:t>
      </w:r>
      <w:r w:rsidRPr="0038179C">
        <w:rPr>
          <w:i w:val="0"/>
          <w:iCs w:val="0"/>
        </w:rPr>
        <w:tab/>
      </w:r>
      <w:r w:rsidRPr="0038179C">
        <w:t xml:space="preserve">The </w:t>
      </w:r>
      <w:bookmarkStart w:id="362" w:name="dabmci_27f6a2519f3943cb9706ec1b46d25020"/>
      <w:r w:rsidR="00000EF2" w:rsidRPr="0038179C">
        <w:t xml:space="preserve">Section </w:t>
      </w:r>
      <w:r w:rsidRPr="0038179C">
        <w:t>998</w:t>
      </w:r>
      <w:bookmarkEnd w:id="362"/>
      <w:r w:rsidRPr="0038179C">
        <w:t xml:space="preserve"> </w:t>
      </w:r>
      <w:r w:rsidR="00176709" w:rsidRPr="0038179C">
        <w:t>Offer</w:t>
      </w:r>
      <w:r w:rsidRPr="0038179C">
        <w:t xml:space="preserve"> Was Valid</w:t>
      </w:r>
    </w:p>
    <w:p w14:paraId="4CAEE761" w14:textId="091FC3E2" w:rsidR="006A28F6" w:rsidRPr="0038179C" w:rsidRDefault="00176709" w:rsidP="00882F89">
      <w:pPr>
        <w:spacing w:line="360" w:lineRule="auto"/>
      </w:pPr>
      <w:r w:rsidRPr="0038179C">
        <w:tab/>
      </w:r>
      <w:r w:rsidR="007C3EDD" w:rsidRPr="0038179C">
        <w:t xml:space="preserve">Most of Rojas’s costs arguments involve the </w:t>
      </w:r>
      <w:bookmarkStart w:id="363" w:name="dabmci_5189bf41db17488b8df379e53fee28af"/>
      <w:r w:rsidR="007C3EDD" w:rsidRPr="0038179C">
        <w:t>section 998</w:t>
      </w:r>
      <w:bookmarkEnd w:id="363"/>
      <w:r w:rsidR="007C3EDD" w:rsidRPr="0038179C">
        <w:t xml:space="preserve"> offer, </w:t>
      </w:r>
      <w:r w:rsidR="00047B21" w:rsidRPr="0038179C">
        <w:t xml:space="preserve">thus </w:t>
      </w:r>
      <w:r w:rsidR="007C3EDD" w:rsidRPr="0038179C">
        <w:t xml:space="preserve">we </w:t>
      </w:r>
      <w:r w:rsidR="00047B21" w:rsidRPr="0038179C">
        <w:t xml:space="preserve">begin </w:t>
      </w:r>
      <w:r w:rsidR="007C3EDD" w:rsidRPr="0038179C">
        <w:t xml:space="preserve">there.  First, </w:t>
      </w:r>
      <w:r w:rsidR="0071274F" w:rsidRPr="0038179C">
        <w:t>she</w:t>
      </w:r>
      <w:r w:rsidRPr="0038179C">
        <w:t xml:space="preserve"> </w:t>
      </w:r>
      <w:r w:rsidR="007C3EDD" w:rsidRPr="0038179C">
        <w:t>argues</w:t>
      </w:r>
      <w:r w:rsidRPr="0038179C">
        <w:t xml:space="preserve"> the </w:t>
      </w:r>
      <w:r w:rsidR="007C3EDD" w:rsidRPr="0038179C">
        <w:t>o</w:t>
      </w:r>
      <w:r w:rsidRPr="0038179C">
        <w:t xml:space="preserve">ffer was invalid, </w:t>
      </w:r>
      <w:r w:rsidR="00A22286" w:rsidRPr="0038179C">
        <w:t xml:space="preserve">because </w:t>
      </w:r>
      <w:r w:rsidR="0071274F" w:rsidRPr="0038179C">
        <w:t xml:space="preserve">the “most logical interpretation” is that the phrase </w:t>
      </w:r>
      <w:bookmarkStart w:id="364" w:name="dabmq_182"/>
      <w:r w:rsidR="0071274F" w:rsidRPr="0038179C">
        <w:t>“</w:t>
      </w:r>
      <w:r w:rsidR="00AF0F09" w:rsidRPr="0038179C">
        <w:t xml:space="preserve"> ‘</w:t>
      </w:r>
      <w:r w:rsidR="0071274F" w:rsidRPr="0038179C">
        <w:t>release HSBC of all liability to Plaintiff’ goes beyond the scope of the current lawsuit</w:t>
      </w:r>
      <w:r w:rsidR="00656094" w:rsidRPr="0038179C">
        <w:t xml:space="preserve"> . . . .</w:t>
      </w:r>
      <w:r w:rsidR="005E5C2D" w:rsidRPr="0038179C">
        <w:t>”</w:t>
      </w:r>
      <w:bookmarkEnd w:id="364"/>
      <w:r w:rsidR="005E5C2D" w:rsidRPr="0038179C">
        <w:t xml:space="preserve">  </w:t>
      </w:r>
      <w:r w:rsidR="00D02DCB" w:rsidRPr="0038179C">
        <w:t>We disagree.</w:t>
      </w:r>
    </w:p>
    <w:p w14:paraId="772584BD" w14:textId="392054B6" w:rsidR="00AC0685" w:rsidRPr="0038179C" w:rsidRDefault="006A28F6" w:rsidP="00882F89">
      <w:pPr>
        <w:spacing w:line="360" w:lineRule="auto"/>
        <w:ind w:firstLine="720"/>
      </w:pPr>
      <w:bookmarkStart w:id="365" w:name="dabmq_183"/>
      <w:r w:rsidRPr="0038179C">
        <w:t xml:space="preserve">“In interpreting a </w:t>
      </w:r>
      <w:bookmarkStart w:id="366" w:name="dabmci_10297fd65cd0480bbabfda15a83eaec3"/>
      <w:r w:rsidRPr="0038179C">
        <w:t>section 998</w:t>
      </w:r>
      <w:bookmarkEnd w:id="366"/>
      <w:r w:rsidRPr="0038179C">
        <w:t xml:space="preserve"> offer, general contract principles apply when they neither conflict with nor defeat the statute’s purpose of encouraging the settlement of lawsuits prior to trial.”</w:t>
      </w:r>
      <w:bookmarkEnd w:id="365"/>
      <w:r w:rsidRPr="0038179C">
        <w:t xml:space="preserve">  (</w:t>
      </w:r>
      <w:bookmarkStart w:id="367" w:name="dabmci_a6404504ebce41d6b33823e1099e077c"/>
      <w:r w:rsidRPr="0038179C">
        <w:rPr>
          <w:i/>
          <w:iCs/>
        </w:rPr>
        <w:t>Staffpro</w:t>
      </w:r>
      <w:r w:rsidRPr="0038179C">
        <w:t xml:space="preserve">, </w:t>
      </w:r>
      <w:r w:rsidRPr="0038179C">
        <w:rPr>
          <w:i/>
          <w:iCs/>
        </w:rPr>
        <w:t>supra</w:t>
      </w:r>
      <w:r w:rsidRPr="0038179C">
        <w:t>, 119 Cal.App.4th at p. 268</w:t>
      </w:r>
      <w:bookmarkEnd w:id="367"/>
      <w:r w:rsidR="005E5C2D" w:rsidRPr="0038179C">
        <w:t xml:space="preserve">.)  </w:t>
      </w:r>
      <w:r w:rsidR="00A22286" w:rsidRPr="0038179C">
        <w:t xml:space="preserve">We </w:t>
      </w:r>
      <w:bookmarkStart w:id="368" w:name="dabmq_184"/>
      <w:r w:rsidR="00A22286" w:rsidRPr="0038179C">
        <w:t>“ ‘focus[] on the usual and ordinary meaning of the language used and the circumstances under which the agreement was made.’ ”</w:t>
      </w:r>
      <w:bookmarkEnd w:id="368"/>
      <w:r w:rsidR="00A22286" w:rsidRPr="0038179C">
        <w:t xml:space="preserve"> </w:t>
      </w:r>
      <w:r w:rsidR="001127FC" w:rsidRPr="0038179C">
        <w:t xml:space="preserve"> </w:t>
      </w:r>
      <w:r w:rsidR="00A22286" w:rsidRPr="0038179C">
        <w:t>(</w:t>
      </w:r>
      <w:bookmarkStart w:id="369" w:name="dabmci_8e184fc74ac74c3891314adf2c995791"/>
      <w:r w:rsidR="00A22286" w:rsidRPr="0038179C">
        <w:rPr>
          <w:i/>
          <w:iCs/>
        </w:rPr>
        <w:t>Chinn v. KMR Property Management</w:t>
      </w:r>
      <w:r w:rsidR="00A22286" w:rsidRPr="0038179C">
        <w:t xml:space="preserve"> (2008) 166 Cal.App.4th 175, 183</w:t>
      </w:r>
      <w:r w:rsidR="001127FC" w:rsidRPr="0038179C">
        <w:t>–</w:t>
      </w:r>
      <w:r w:rsidR="00A22286" w:rsidRPr="0038179C">
        <w:t>184</w:t>
      </w:r>
      <w:r w:rsidR="006D3FDF" w:rsidRPr="0038179C">
        <w:t xml:space="preserve"> (</w:t>
      </w:r>
      <w:r w:rsidR="006D3FDF" w:rsidRPr="0038179C">
        <w:rPr>
          <w:i/>
          <w:iCs/>
        </w:rPr>
        <w:t>Chinn</w:t>
      </w:r>
      <w:r w:rsidR="006D3FDF" w:rsidRPr="0038179C">
        <w:t>)</w:t>
      </w:r>
      <w:bookmarkEnd w:id="369"/>
      <w:r w:rsidR="00A22286" w:rsidRPr="0038179C">
        <w:t xml:space="preserve">, disapproved on another ground in </w:t>
      </w:r>
      <w:bookmarkStart w:id="370" w:name="dabmci_0f1957d44ce941eb981586021211d30f"/>
      <w:r w:rsidR="00A22286" w:rsidRPr="0038179C">
        <w:rPr>
          <w:i/>
          <w:iCs/>
        </w:rPr>
        <w:t>DeSaulles v. Community Hospital of Monterey Peninsula</w:t>
      </w:r>
      <w:r w:rsidR="00A22286" w:rsidRPr="0038179C">
        <w:t xml:space="preserve"> (2016) 62 Cal.4th 1140, 1158</w:t>
      </w:r>
      <w:bookmarkEnd w:id="370"/>
      <w:r w:rsidR="00A22286" w:rsidRPr="0038179C">
        <w:t>.)</w:t>
      </w:r>
      <w:r w:rsidR="000954F4" w:rsidRPr="0038179C">
        <w:t xml:space="preserve">  The </w:t>
      </w:r>
      <w:bookmarkStart w:id="371" w:name="dabmq_185"/>
      <w:r w:rsidR="000954F4" w:rsidRPr="0038179C">
        <w:t>“meaning of a contract must be derived from reading the whole of the contract, with individual provisions interpreted together . . . .”</w:t>
      </w:r>
      <w:bookmarkEnd w:id="371"/>
      <w:r w:rsidR="000954F4" w:rsidRPr="0038179C">
        <w:t xml:space="preserve">  (</w:t>
      </w:r>
      <w:bookmarkStart w:id="372" w:name="dabmci_dbd6d2dc53a8401c8bcabd6d0d632c23"/>
      <w:r w:rsidR="000954F4" w:rsidRPr="0038179C">
        <w:rPr>
          <w:i/>
          <w:iCs/>
        </w:rPr>
        <w:t>Zalkind v. Ceradyne, Inc.</w:t>
      </w:r>
      <w:r w:rsidR="000954F4" w:rsidRPr="0038179C">
        <w:t xml:space="preserve"> (2011) 194 Cal.App.4th 1010, 1027</w:t>
      </w:r>
      <w:bookmarkEnd w:id="372"/>
      <w:r w:rsidR="000954F4" w:rsidRPr="0038179C">
        <w:t xml:space="preserve">; see </w:t>
      </w:r>
      <w:bookmarkStart w:id="373" w:name="dabmci_c068f02c58c94ef5ab01008c98ea2702"/>
      <w:r w:rsidR="000954F4" w:rsidRPr="0038179C">
        <w:rPr>
          <w:i/>
          <w:iCs/>
        </w:rPr>
        <w:t>Bravo v. RADC Enterprises, Inc.</w:t>
      </w:r>
      <w:r w:rsidR="00A420BF" w:rsidRPr="0038179C">
        <w:t xml:space="preserve"> </w:t>
      </w:r>
      <w:r w:rsidR="000954F4" w:rsidRPr="0038179C">
        <w:t>(2019) 33 Cal.App.5th 920, 923</w:t>
      </w:r>
      <w:bookmarkEnd w:id="373"/>
      <w:r w:rsidR="000954F4" w:rsidRPr="0038179C">
        <w:t xml:space="preserve"> [</w:t>
      </w:r>
      <w:bookmarkStart w:id="374" w:name="dabmq_186"/>
      <w:r w:rsidR="000954F4" w:rsidRPr="0038179C">
        <w:t>“we read documents to effectuate and harmonize all contract provisions”</w:t>
      </w:r>
      <w:bookmarkEnd w:id="374"/>
      <w:r w:rsidR="000954F4" w:rsidRPr="0038179C">
        <w:t xml:space="preserve">].)  </w:t>
      </w:r>
      <w:r w:rsidR="00A22286" w:rsidRPr="0038179C">
        <w:t xml:space="preserve">A contract is ambiguous </w:t>
      </w:r>
      <w:r w:rsidR="00AC0685" w:rsidRPr="0038179C">
        <w:t xml:space="preserve">only </w:t>
      </w:r>
      <w:r w:rsidR="00A22286" w:rsidRPr="0038179C">
        <w:t xml:space="preserve">if it </w:t>
      </w:r>
      <w:bookmarkStart w:id="375" w:name="dabmq_187"/>
      <w:r w:rsidR="00A22286" w:rsidRPr="0038179C">
        <w:t>“is susceptible of more than one reasonable interpretation.”</w:t>
      </w:r>
      <w:bookmarkEnd w:id="375"/>
      <w:r w:rsidR="00A22286" w:rsidRPr="0038179C">
        <w:t xml:space="preserve"> </w:t>
      </w:r>
      <w:r w:rsidR="009238D7">
        <w:t xml:space="preserve"> </w:t>
      </w:r>
      <w:r w:rsidR="00A22286" w:rsidRPr="0038179C">
        <w:t>(</w:t>
      </w:r>
      <w:bookmarkStart w:id="376" w:name="dabmci_471a5750de8f4c31b7d9cb3acf37ac2c"/>
      <w:r w:rsidR="00A22286" w:rsidRPr="0038179C">
        <w:rPr>
          <w:i/>
          <w:iCs/>
        </w:rPr>
        <w:t>Fremont Indemnity Co v. Fremont General Corp.</w:t>
      </w:r>
      <w:r w:rsidR="00A22286" w:rsidRPr="0038179C">
        <w:t xml:space="preserve"> (2007) 148 Cal.App.4th 97, 114</w:t>
      </w:r>
      <w:bookmarkEnd w:id="376"/>
      <w:r w:rsidR="00AC0685" w:rsidRPr="0038179C">
        <w:t>.)</w:t>
      </w:r>
    </w:p>
    <w:p w14:paraId="5B09C9F7" w14:textId="4B0E9CE5" w:rsidR="00666185" w:rsidRPr="0038179C" w:rsidRDefault="005E5C2D" w:rsidP="00AF0F09">
      <w:pPr>
        <w:spacing w:line="360" w:lineRule="auto"/>
        <w:ind w:firstLine="720"/>
      </w:pPr>
      <w:r w:rsidRPr="0038179C">
        <w:t xml:space="preserve">Here, the opening paragraph of the </w:t>
      </w:r>
      <w:bookmarkStart w:id="377" w:name="dabmci_9c7250ddb741447fb678a09a5936d3f7"/>
      <w:r w:rsidRPr="0038179C">
        <w:t>section 998</w:t>
      </w:r>
      <w:bookmarkEnd w:id="377"/>
      <w:r w:rsidRPr="0038179C">
        <w:t xml:space="preserve"> offer states HSBC Card Services and HSBC Tech Services</w:t>
      </w:r>
      <w:r w:rsidR="001E70D3" w:rsidRPr="0038179C">
        <w:t xml:space="preserve"> </w:t>
      </w:r>
      <w:bookmarkStart w:id="378" w:name="dabmq_188"/>
      <w:r w:rsidR="001E70D3" w:rsidRPr="0038179C">
        <w:t>“offer to . . .  settle all claims of plaintiff Dalia Rojas  . . . against HSBC in the above-captioned action on the following terms.”</w:t>
      </w:r>
      <w:bookmarkEnd w:id="378"/>
      <w:r w:rsidR="00A420BF" w:rsidRPr="0038179C">
        <w:t xml:space="preserve"> </w:t>
      </w:r>
      <w:r w:rsidR="001E70D3" w:rsidRPr="0038179C">
        <w:t xml:space="preserve"> The</w:t>
      </w:r>
      <w:r w:rsidRPr="0038179C">
        <w:t xml:space="preserve"> offer then set</w:t>
      </w:r>
      <w:r w:rsidR="00AF0F09" w:rsidRPr="0038179C">
        <w:t>s</w:t>
      </w:r>
      <w:r w:rsidRPr="0038179C">
        <w:t xml:space="preserve"> forth the terms: </w:t>
      </w:r>
      <w:r w:rsidR="001E70D3" w:rsidRPr="0038179C">
        <w:t>a</w:t>
      </w:r>
      <w:r w:rsidR="00CA7932" w:rsidRPr="0038179C">
        <w:t xml:space="preserve">n $11,000 </w:t>
      </w:r>
      <w:r w:rsidR="00F45867" w:rsidRPr="0038179C">
        <w:t xml:space="preserve">payment </w:t>
      </w:r>
      <w:r w:rsidR="00D84E31" w:rsidRPr="0038179C">
        <w:t>to Rojas</w:t>
      </w:r>
      <w:r w:rsidR="001E70D3" w:rsidRPr="0038179C">
        <w:t xml:space="preserve"> (</w:t>
      </w:r>
      <w:r w:rsidR="00A420BF" w:rsidRPr="0038179C">
        <w:t>p</w:t>
      </w:r>
      <w:r w:rsidR="001E70D3" w:rsidRPr="0038179C">
        <w:t>aragraph 1)</w:t>
      </w:r>
      <w:r w:rsidRPr="0038179C">
        <w:t>;</w:t>
      </w:r>
      <w:r w:rsidR="001E70D3" w:rsidRPr="0038179C">
        <w:t xml:space="preserve"> a provision requiring each party to bear its own attorney</w:t>
      </w:r>
      <w:r w:rsidR="00AF0F09" w:rsidRPr="0038179C">
        <w:t>’s</w:t>
      </w:r>
      <w:r w:rsidR="001E70D3" w:rsidRPr="0038179C">
        <w:t xml:space="preserve"> fees and costs (</w:t>
      </w:r>
      <w:r w:rsidR="00A420BF" w:rsidRPr="0038179C">
        <w:t>p</w:t>
      </w:r>
      <w:r w:rsidR="001E70D3" w:rsidRPr="0038179C">
        <w:t>aragraph 3)</w:t>
      </w:r>
      <w:r w:rsidRPr="0038179C">
        <w:t>;</w:t>
      </w:r>
      <w:r w:rsidR="001E70D3" w:rsidRPr="0038179C">
        <w:t xml:space="preserve"> and, pertinent here, </w:t>
      </w:r>
      <w:r w:rsidR="00A420BF" w:rsidRPr="0038179C">
        <w:t>p</w:t>
      </w:r>
      <w:r w:rsidR="001E70D3" w:rsidRPr="0038179C">
        <w:t xml:space="preserve">aragraph 2:  </w:t>
      </w:r>
      <w:bookmarkStart w:id="379" w:name="dabmq_189"/>
      <w:r w:rsidR="001E70D3" w:rsidRPr="0038179C">
        <w:t>“</w:t>
      </w:r>
      <w:bookmarkStart w:id="380" w:name="_Hlk125268158"/>
      <w:r w:rsidR="001E70D3" w:rsidRPr="0038179C">
        <w:t xml:space="preserve">Plaintiff will </w:t>
      </w:r>
      <w:r w:rsidR="001E70D3" w:rsidRPr="0038179C">
        <w:lastRenderedPageBreak/>
        <w:t>dismiss with prejudice her claims in the above-captioned action, against HSBC</w:t>
      </w:r>
      <w:bookmarkEnd w:id="380"/>
      <w:r w:rsidR="001E70D3" w:rsidRPr="0038179C">
        <w:t xml:space="preserve"> and </w:t>
      </w:r>
      <w:bookmarkStart w:id="381" w:name="_Hlk125268213"/>
      <w:r w:rsidR="001E70D3" w:rsidRPr="0038179C">
        <w:t>release HSBC of all liability to Plaintiff</w:t>
      </w:r>
      <w:bookmarkEnd w:id="381"/>
      <w:r w:rsidR="001E70D3" w:rsidRPr="0038179C">
        <w:t>.”</w:t>
      </w:r>
      <w:bookmarkEnd w:id="379"/>
      <w:r w:rsidR="001E70D3" w:rsidRPr="0038179C">
        <w:t xml:space="preserve"> </w:t>
      </w:r>
      <w:r w:rsidR="0034053F" w:rsidRPr="0038179C">
        <w:t xml:space="preserve"> HSBC disagrees, contending </w:t>
      </w:r>
      <w:bookmarkStart w:id="382" w:name="dabmq_190"/>
      <w:r w:rsidR="0034053F" w:rsidRPr="0038179C">
        <w:t>“each of the numbered ‘terms’ in the offer plainly relates to the ‘claims of [Plaintiff] against HSBC in the above-captioned action’ ”</w:t>
      </w:r>
      <w:bookmarkEnd w:id="382"/>
      <w:r w:rsidR="0034053F" w:rsidRPr="0038179C">
        <w:t xml:space="preserve"> discussed in the </w:t>
      </w:r>
      <w:r w:rsidR="00D02DCB" w:rsidRPr="0038179C">
        <w:t>opening</w:t>
      </w:r>
      <w:r w:rsidR="0034053F" w:rsidRPr="0038179C">
        <w:t xml:space="preserve"> paragraph.</w:t>
      </w:r>
      <w:r w:rsidR="00575BE5" w:rsidRPr="0038179C">
        <w:t xml:space="preserve"> </w:t>
      </w:r>
      <w:r w:rsidR="00666185" w:rsidRPr="0038179C">
        <w:t xml:space="preserve"> </w:t>
      </w:r>
      <w:r w:rsidR="001E70D3" w:rsidRPr="0038179C">
        <w:t xml:space="preserve">Applying the </w:t>
      </w:r>
      <w:r w:rsidR="00666185" w:rsidRPr="0038179C">
        <w:t>interpretive</w:t>
      </w:r>
      <w:r w:rsidR="001E70D3" w:rsidRPr="0038179C">
        <w:t xml:space="preserve"> principles above, w</w:t>
      </w:r>
      <w:r w:rsidR="00D02DCB" w:rsidRPr="0038179C">
        <w:t xml:space="preserve">e conclude </w:t>
      </w:r>
      <w:r w:rsidR="00666185" w:rsidRPr="0038179C">
        <w:t>only</w:t>
      </w:r>
      <w:r w:rsidR="00AF0F09" w:rsidRPr="0038179C">
        <w:t xml:space="preserve"> HSBC’s</w:t>
      </w:r>
      <w:r w:rsidR="00666185" w:rsidRPr="0038179C">
        <w:t xml:space="preserve"> interpretation is reasonable and the offer is unambiguous.  </w:t>
      </w:r>
    </w:p>
    <w:p w14:paraId="64A61509" w14:textId="6553F08D" w:rsidR="00406B21" w:rsidRPr="0038179C" w:rsidRDefault="00666185" w:rsidP="00656094">
      <w:pPr>
        <w:spacing w:line="360" w:lineRule="auto"/>
        <w:ind w:firstLine="720"/>
      </w:pPr>
      <w:r w:rsidRPr="0038179C">
        <w:t xml:space="preserve">Both the plain language of the offer, and its structure, reflect it </w:t>
      </w:r>
      <w:r w:rsidR="00CA7932" w:rsidRPr="0038179C">
        <w:t>applies only to</w:t>
      </w:r>
      <w:r w:rsidRPr="0038179C">
        <w:t xml:space="preserve"> </w:t>
      </w:r>
      <w:r w:rsidR="00CA7932" w:rsidRPr="0038179C">
        <w:t>this case</w:t>
      </w:r>
      <w:r w:rsidRPr="0038179C">
        <w:t>.</w:t>
      </w:r>
      <w:r w:rsidR="00656094" w:rsidRPr="0038179C">
        <w:t xml:space="preserve">  </w:t>
      </w:r>
      <w:r w:rsidRPr="0038179C">
        <w:t xml:space="preserve">The opening paragraph expressly states the offer is to settle </w:t>
      </w:r>
      <w:bookmarkStart w:id="383" w:name="dabmq_191"/>
      <w:r w:rsidRPr="0038179C">
        <w:t>“claims . . . in the above-captioned action</w:t>
      </w:r>
      <w:r w:rsidR="00CA7932" w:rsidRPr="0038179C">
        <w:t>,”</w:t>
      </w:r>
      <w:bookmarkEnd w:id="383"/>
      <w:r w:rsidRPr="0038179C">
        <w:t xml:space="preserve"> </w:t>
      </w:r>
      <w:r w:rsidR="00CA7932" w:rsidRPr="0038179C">
        <w:t xml:space="preserve">based on terms it then sets forth. </w:t>
      </w:r>
      <w:r w:rsidRPr="0038179C">
        <w:t xml:space="preserve"> </w:t>
      </w:r>
      <w:r w:rsidR="00FB365C" w:rsidRPr="0038179C">
        <w:t xml:space="preserve">The terms in paragraphs 1 and 3 are plainly limited to this case.  </w:t>
      </w:r>
      <w:r w:rsidR="003B0DCD" w:rsidRPr="0038179C">
        <w:t xml:space="preserve">In </w:t>
      </w:r>
      <w:r w:rsidR="001117D0" w:rsidRPr="0038179C">
        <w:t>Paragraph</w:t>
      </w:r>
      <w:r w:rsidR="00FB365C" w:rsidRPr="0038179C">
        <w:t xml:space="preserve"> 1</w:t>
      </w:r>
      <w:r w:rsidR="003B0DCD" w:rsidRPr="0038179C">
        <w:t>, HSBC agrees to make an</w:t>
      </w:r>
      <w:r w:rsidR="00FB365C" w:rsidRPr="0038179C">
        <w:t xml:space="preserve"> $11,000 </w:t>
      </w:r>
      <w:r w:rsidR="003B0DCD" w:rsidRPr="0038179C">
        <w:t xml:space="preserve">payment </w:t>
      </w:r>
      <w:r w:rsidR="00FB365C" w:rsidRPr="0038179C">
        <w:t xml:space="preserve">to Rojas; HSBC was not promising </w:t>
      </w:r>
      <w:r w:rsidR="003B0DCD" w:rsidRPr="0038179C">
        <w:t xml:space="preserve">to make </w:t>
      </w:r>
      <w:r w:rsidR="00FB365C" w:rsidRPr="0038179C">
        <w:t>future payments</w:t>
      </w:r>
      <w:r w:rsidR="003B0DCD" w:rsidRPr="0038179C">
        <w:t xml:space="preserve"> to her</w:t>
      </w:r>
      <w:r w:rsidR="00FB365C" w:rsidRPr="0038179C">
        <w:t>.  Paragraph 3 requires the parties to bear their own fees and costs; the parties were not agreeing to forego fees and costs in future actions.</w:t>
      </w:r>
      <w:r w:rsidR="00CA7932" w:rsidRPr="0038179C">
        <w:t xml:space="preserve">  Viewing paragraph 2 </w:t>
      </w:r>
      <w:proofErr w:type="gramStart"/>
      <w:r w:rsidR="00CA7932" w:rsidRPr="0038179C">
        <w:t>in light of</w:t>
      </w:r>
      <w:proofErr w:type="gramEnd"/>
      <w:r w:rsidR="00CA7932" w:rsidRPr="0038179C">
        <w:t xml:space="preserve"> the opening paragraph</w:t>
      </w:r>
      <w:r w:rsidR="007907D8" w:rsidRPr="0038179C">
        <w:t>’s</w:t>
      </w:r>
      <w:r w:rsidR="00FE7279" w:rsidRPr="0038179C">
        <w:t xml:space="preserve"> language</w:t>
      </w:r>
      <w:r w:rsidR="00CA7932" w:rsidRPr="0038179C">
        <w:t xml:space="preserve">, and </w:t>
      </w:r>
      <w:r w:rsidR="00FE7279" w:rsidRPr="0038179C">
        <w:t xml:space="preserve">the </w:t>
      </w:r>
      <w:r w:rsidR="00CA7932" w:rsidRPr="0038179C">
        <w:t xml:space="preserve">operation of the other </w:t>
      </w:r>
      <w:r w:rsidR="00406B21" w:rsidRPr="0038179C">
        <w:t>terms</w:t>
      </w:r>
      <w:r w:rsidR="00CA7932" w:rsidRPr="0038179C">
        <w:t xml:space="preserve">, </w:t>
      </w:r>
      <w:r w:rsidR="00D84E31" w:rsidRPr="0038179C">
        <w:t>the entire paragraph</w:t>
      </w:r>
      <w:r w:rsidR="00CA7932" w:rsidRPr="0038179C">
        <w:t xml:space="preserve"> </w:t>
      </w:r>
      <w:r w:rsidR="00D84E31" w:rsidRPr="0038179C">
        <w:t>must</w:t>
      </w:r>
      <w:r w:rsidR="00CA7932" w:rsidRPr="0038179C">
        <w:t xml:space="preserve"> be </w:t>
      </w:r>
      <w:r w:rsidR="00406B21" w:rsidRPr="0038179C">
        <w:t>construed</w:t>
      </w:r>
      <w:r w:rsidR="00CA7932" w:rsidRPr="0038179C">
        <w:t xml:space="preserve"> as limited to this case</w:t>
      </w:r>
      <w:r w:rsidR="00077895" w:rsidRPr="0038179C">
        <w:t>—</w:t>
      </w:r>
      <w:r w:rsidR="00D84E31" w:rsidRPr="0038179C">
        <w:t>not just the “will dismiss” portion</w:t>
      </w:r>
      <w:r w:rsidR="00077895" w:rsidRPr="0038179C">
        <w:t>, as Rojas urges</w:t>
      </w:r>
      <w:r w:rsidR="00B07B0F" w:rsidRPr="0038179C">
        <w:t>.</w:t>
      </w:r>
      <w:r w:rsidR="00656094" w:rsidRPr="0038179C">
        <w:t xml:space="preserve">  </w:t>
      </w:r>
      <w:r w:rsidR="00B07B0F" w:rsidRPr="0038179C">
        <w:t>If anything, the repetition of “above-captioned action”</w:t>
      </w:r>
      <w:r w:rsidR="00656094" w:rsidRPr="0038179C">
        <w:t xml:space="preserve"> </w:t>
      </w:r>
      <w:r w:rsidR="00AF0F09" w:rsidRPr="0038179C">
        <w:t xml:space="preserve">in paragraph 2 </w:t>
      </w:r>
      <w:r w:rsidR="00B07B0F" w:rsidRPr="0038179C">
        <w:t xml:space="preserve">emphasizes the offer’s limits.  </w:t>
      </w:r>
      <w:r w:rsidR="006F514B" w:rsidRPr="0038179C">
        <w:t>(</w:t>
      </w:r>
      <w:r w:rsidR="00D84E31" w:rsidRPr="0038179C">
        <w:t>Cf.</w:t>
      </w:r>
      <w:r w:rsidR="006F514B" w:rsidRPr="0038179C">
        <w:t xml:space="preserve"> </w:t>
      </w:r>
      <w:bookmarkStart w:id="384" w:name="dabmci_d2b7b34aa1d8480ca2eabdae7a365b59"/>
      <w:r w:rsidR="006F514B" w:rsidRPr="0038179C">
        <w:rPr>
          <w:i/>
          <w:iCs/>
          <w:szCs w:val="26"/>
        </w:rPr>
        <w:t>Linthicum v. Butterfield</w:t>
      </w:r>
      <w:r w:rsidR="006F514B" w:rsidRPr="0038179C">
        <w:rPr>
          <w:szCs w:val="26"/>
        </w:rPr>
        <w:t xml:space="preserve"> (2009) 175 Cal.App.4th 259, 272 (</w:t>
      </w:r>
      <w:r w:rsidR="006F514B" w:rsidRPr="0038179C">
        <w:rPr>
          <w:i/>
          <w:iCs/>
          <w:szCs w:val="26"/>
        </w:rPr>
        <w:t>Linthicum</w:t>
      </w:r>
      <w:r w:rsidR="006F514B" w:rsidRPr="0038179C">
        <w:rPr>
          <w:szCs w:val="26"/>
        </w:rPr>
        <w:t>)</w:t>
      </w:r>
      <w:bookmarkEnd w:id="384"/>
      <w:r w:rsidR="006F514B" w:rsidRPr="0038179C">
        <w:rPr>
          <w:szCs w:val="26"/>
        </w:rPr>
        <w:t xml:space="preserve"> [</w:t>
      </w:r>
      <w:bookmarkStart w:id="385" w:name="dabmq_192"/>
      <w:r w:rsidR="006F514B" w:rsidRPr="0038179C">
        <w:rPr>
          <w:szCs w:val="26"/>
        </w:rPr>
        <w:t xml:space="preserve">“The terms costs, fees and </w:t>
      </w:r>
      <w:r w:rsidR="00331408" w:rsidRPr="0038179C">
        <w:rPr>
          <w:szCs w:val="26"/>
        </w:rPr>
        <w:t>‘</w:t>
      </w:r>
      <w:r w:rsidR="006F514B" w:rsidRPr="0038179C">
        <w:rPr>
          <w:szCs w:val="26"/>
        </w:rPr>
        <w:t>mutual dismissal</w:t>
      </w:r>
      <w:r w:rsidR="00331408" w:rsidRPr="0038179C">
        <w:rPr>
          <w:szCs w:val="26"/>
        </w:rPr>
        <w:t>’</w:t>
      </w:r>
      <w:r w:rsidR="006F514B" w:rsidRPr="0038179C">
        <w:rPr>
          <w:szCs w:val="26"/>
        </w:rPr>
        <w:t xml:space="preserve"> are obviously limited to the instant lawsuit.</w:t>
      </w:r>
      <w:r w:rsidR="00406B21" w:rsidRPr="0038179C">
        <w:rPr>
          <w:szCs w:val="26"/>
        </w:rPr>
        <w:t xml:space="preserve">  </w:t>
      </w:r>
      <w:r w:rsidR="006F514B" w:rsidRPr="0038179C">
        <w:rPr>
          <w:szCs w:val="26"/>
        </w:rPr>
        <w:t xml:space="preserve">There is no reason to interpret the term </w:t>
      </w:r>
      <w:r w:rsidR="00331408" w:rsidRPr="0038179C">
        <w:rPr>
          <w:szCs w:val="26"/>
        </w:rPr>
        <w:t>‘</w:t>
      </w:r>
      <w:r w:rsidR="006F514B" w:rsidRPr="0038179C">
        <w:rPr>
          <w:szCs w:val="26"/>
        </w:rPr>
        <w:t>all current claims</w:t>
      </w:r>
      <w:r w:rsidR="00331408" w:rsidRPr="0038179C">
        <w:rPr>
          <w:szCs w:val="26"/>
        </w:rPr>
        <w:t>’</w:t>
      </w:r>
      <w:r w:rsidR="006F514B" w:rsidRPr="0038179C">
        <w:rPr>
          <w:szCs w:val="26"/>
        </w:rPr>
        <w:t xml:space="preserve"> found in the same sentence as referring to anything other than the same lawsuit.”</w:t>
      </w:r>
      <w:bookmarkEnd w:id="385"/>
      <w:r w:rsidR="006F514B" w:rsidRPr="0038179C">
        <w:rPr>
          <w:szCs w:val="26"/>
        </w:rPr>
        <w:t>]</w:t>
      </w:r>
      <w:r w:rsidR="00FE7279" w:rsidRPr="0038179C">
        <w:rPr>
          <w:szCs w:val="26"/>
        </w:rPr>
        <w:t>;</w:t>
      </w:r>
      <w:r w:rsidR="00FE7279" w:rsidRPr="0038179C">
        <w:rPr>
          <w:i/>
          <w:lang w:bidi="en-US"/>
        </w:rPr>
        <w:t xml:space="preserve"> </w:t>
      </w:r>
      <w:bookmarkStart w:id="386" w:name="dabmci_755b6b4594234d1eba087bcf43c4b639"/>
      <w:r w:rsidR="00FE7279" w:rsidRPr="0038179C">
        <w:rPr>
          <w:i/>
          <w:iCs/>
          <w:szCs w:val="26"/>
          <w:lang w:bidi="en-US"/>
        </w:rPr>
        <w:t>Chen</w:t>
      </w:r>
      <w:r w:rsidR="00656094" w:rsidRPr="0038179C">
        <w:rPr>
          <w:i/>
          <w:iCs/>
          <w:szCs w:val="26"/>
          <w:lang w:bidi="en-US"/>
        </w:rPr>
        <w:t xml:space="preserve">, supra, </w:t>
      </w:r>
      <w:r w:rsidR="00FE7279" w:rsidRPr="0038179C">
        <w:rPr>
          <w:szCs w:val="26"/>
          <w:lang w:bidi="en-US"/>
        </w:rPr>
        <w:t xml:space="preserve">164 Cal.App.4th </w:t>
      </w:r>
      <w:r w:rsidR="00656094" w:rsidRPr="0038179C">
        <w:rPr>
          <w:szCs w:val="26"/>
          <w:lang w:bidi="en-US"/>
        </w:rPr>
        <w:t>at p. 123</w:t>
      </w:r>
      <w:bookmarkEnd w:id="386"/>
      <w:r w:rsidR="00656094" w:rsidRPr="0038179C">
        <w:rPr>
          <w:szCs w:val="26"/>
          <w:lang w:bidi="en-US"/>
        </w:rPr>
        <w:t xml:space="preserve"> </w:t>
      </w:r>
      <w:r w:rsidR="00FE7279" w:rsidRPr="0038179C">
        <w:rPr>
          <w:szCs w:val="26"/>
          <w:lang w:bidi="en-US"/>
        </w:rPr>
        <w:t>[criticizing “selective[] quoting” of the settlement offer</w:t>
      </w:r>
      <w:r w:rsidR="00FE7279" w:rsidRPr="0038179C">
        <w:rPr>
          <w:szCs w:val="26"/>
        </w:rPr>
        <w:t>].)</w:t>
      </w:r>
    </w:p>
    <w:p w14:paraId="455BD55F" w14:textId="2AC7243E" w:rsidR="00D84E31" w:rsidRPr="0038179C" w:rsidRDefault="00077895" w:rsidP="00882F89">
      <w:pPr>
        <w:spacing w:line="360" w:lineRule="auto"/>
        <w:ind w:firstLine="720"/>
      </w:pPr>
      <w:bookmarkStart w:id="387" w:name="dabmci_954399ed3b814f74bde38aa48f77e9b4"/>
      <w:r w:rsidRPr="0038179C">
        <w:rPr>
          <w:i/>
          <w:iCs/>
        </w:rPr>
        <w:t>Goodstein v. Bank of San Pedro</w:t>
      </w:r>
      <w:r w:rsidRPr="0038179C">
        <w:t xml:space="preserve"> (1994) 27 Cal.App.4th 899 (</w:t>
      </w:r>
      <w:r w:rsidR="00D84E31" w:rsidRPr="0038179C">
        <w:rPr>
          <w:i/>
          <w:iCs/>
        </w:rPr>
        <w:t>Goodstein</w:t>
      </w:r>
      <w:r w:rsidRPr="0038179C">
        <w:t>)</w:t>
      </w:r>
      <w:bookmarkEnd w:id="387"/>
      <w:r w:rsidRPr="0038179C">
        <w:t xml:space="preserve">, </w:t>
      </w:r>
      <w:r w:rsidR="00D84E31" w:rsidRPr="0038179C">
        <w:t>is instructive.</w:t>
      </w:r>
      <w:r w:rsidRPr="0038179C">
        <w:t xml:space="preserve">  </w:t>
      </w:r>
      <w:r w:rsidR="00D84E31" w:rsidRPr="0038179C">
        <w:t>The defendant</w:t>
      </w:r>
      <w:r w:rsidR="00F729C1" w:rsidRPr="0038179C">
        <w:t xml:space="preserve"> bank</w:t>
      </w:r>
      <w:r w:rsidR="001B0E9A" w:rsidRPr="0038179C">
        <w:t xml:space="preserve"> in a slander of title and negligence action </w:t>
      </w:r>
      <w:r w:rsidR="001B0E9A" w:rsidRPr="0038179C">
        <w:lastRenderedPageBreak/>
        <w:t xml:space="preserve">made a </w:t>
      </w:r>
      <w:bookmarkStart w:id="388" w:name="dabmci_9733ac5ff03c4a51858ccb45eaa98344"/>
      <w:r w:rsidR="00D84E31" w:rsidRPr="0038179C">
        <w:t>section 998</w:t>
      </w:r>
      <w:bookmarkEnd w:id="388"/>
      <w:r w:rsidR="00D84E31" w:rsidRPr="0038179C">
        <w:t xml:space="preserve"> offe</w:t>
      </w:r>
      <w:r w:rsidR="001B0E9A" w:rsidRPr="0038179C">
        <w:t>r stating</w:t>
      </w:r>
      <w:r w:rsidR="00D84E31" w:rsidRPr="0038179C">
        <w:t xml:space="preserve">:  </w:t>
      </w:r>
      <w:bookmarkStart w:id="389" w:name="dabmq_193"/>
      <w:r w:rsidR="00D84E31" w:rsidRPr="0038179C">
        <w:t xml:space="preserve">“ ‘In full settlement of this action, [Bank] hereby offers to pay [Goodstein] the total sum of $150,000 in exchange for each of the following: [¶] </w:t>
      </w:r>
      <w:proofErr w:type="gramStart"/>
      <w:r w:rsidR="00D84E31" w:rsidRPr="0038179C">
        <w:t>1</w:t>
      </w:r>
      <w:proofErr w:type="gramEnd"/>
      <w:r w:rsidR="00D84E31" w:rsidRPr="0038179C">
        <w:t xml:space="preserve">. The entry of a Request for Dismissal with prejudice on behalf of the Plaintiff in favor of [Bank]; [¶] </w:t>
      </w:r>
      <w:proofErr w:type="gramStart"/>
      <w:r w:rsidR="00D84E31" w:rsidRPr="0038179C">
        <w:t>2</w:t>
      </w:r>
      <w:proofErr w:type="gramEnd"/>
      <w:r w:rsidR="00D84E31" w:rsidRPr="0038179C">
        <w:t xml:space="preserve">. The execution and transmittal of a General Release by [Goodstein] in favor of [Bank]; [¶] </w:t>
      </w:r>
      <w:proofErr w:type="gramStart"/>
      <w:r w:rsidR="00D84E31" w:rsidRPr="0038179C">
        <w:t>3</w:t>
      </w:r>
      <w:proofErr w:type="gramEnd"/>
      <w:r w:rsidR="00D84E31" w:rsidRPr="0038179C">
        <w:t>. Each party is to bear their own respective costs and attorney's fees.’ ”</w:t>
      </w:r>
      <w:bookmarkEnd w:id="389"/>
      <w:r w:rsidR="00D84E31" w:rsidRPr="0038179C">
        <w:t xml:space="preserve"> (</w:t>
      </w:r>
      <w:bookmarkStart w:id="390" w:name="dabmci_ecb8c0744b494f1b9f2c3d3eac9c662f"/>
      <w:r w:rsidR="00D84E31" w:rsidRPr="0038179C">
        <w:rPr>
          <w:i/>
          <w:iCs/>
        </w:rPr>
        <w:t>Id.</w:t>
      </w:r>
      <w:r w:rsidR="00D84E31" w:rsidRPr="0038179C">
        <w:t xml:space="preserve"> at p. 905</w:t>
      </w:r>
      <w:bookmarkEnd w:id="390"/>
      <w:r w:rsidR="00D84E31" w:rsidRPr="0038179C">
        <w:t>.)  The defendant prevailed</w:t>
      </w:r>
      <w:r w:rsidRPr="0038179C">
        <w:t xml:space="preserve"> and received</w:t>
      </w:r>
      <w:r w:rsidR="00D84E31" w:rsidRPr="0038179C">
        <w:t xml:space="preserve"> expert costs.  </w:t>
      </w:r>
      <w:r w:rsidRPr="0038179C">
        <w:t>Affirming</w:t>
      </w:r>
      <w:r w:rsidR="00331408" w:rsidRPr="0038179C">
        <w:t xml:space="preserve"> costs</w:t>
      </w:r>
      <w:r w:rsidRPr="0038179C">
        <w:t xml:space="preserve">, </w:t>
      </w:r>
      <w:r w:rsidR="00D84E31" w:rsidRPr="0038179C">
        <w:t xml:space="preserve">the </w:t>
      </w:r>
      <w:r w:rsidRPr="0038179C">
        <w:t>Court of Appeal</w:t>
      </w:r>
      <w:r w:rsidR="00D84E31" w:rsidRPr="0038179C">
        <w:t xml:space="preserve"> </w:t>
      </w:r>
      <w:r w:rsidRPr="0038179C">
        <w:t>disagreed</w:t>
      </w:r>
      <w:r w:rsidR="00D84E31" w:rsidRPr="0038179C">
        <w:t xml:space="preserve"> the general release </w:t>
      </w:r>
      <w:bookmarkStart w:id="391" w:name="dabmq_194"/>
      <w:r w:rsidR="00D84E31" w:rsidRPr="0038179C">
        <w:t xml:space="preserve">“required </w:t>
      </w:r>
      <w:r w:rsidR="001F48A7" w:rsidRPr="0038179C">
        <w:t>[the plaintiff]</w:t>
      </w:r>
      <w:r w:rsidR="00D84E31" w:rsidRPr="0038179C">
        <w:t xml:space="preserve"> to surrender ‘other present and future possible causes of action against the defendant</w:t>
      </w:r>
      <w:r w:rsidR="00F729C1" w:rsidRPr="0038179C">
        <w:t xml:space="preserve"> . . . .</w:t>
      </w:r>
      <w:r w:rsidR="00D84E31" w:rsidRPr="0038179C">
        <w:t>’</w:t>
      </w:r>
      <w:r w:rsidR="00F729C1" w:rsidRPr="0038179C">
        <w:rPr>
          <w:szCs w:val="26"/>
        </w:rPr>
        <w:t xml:space="preserve"> </w:t>
      </w:r>
      <w:r w:rsidR="00D84E31" w:rsidRPr="0038179C">
        <w:rPr>
          <w:szCs w:val="26"/>
        </w:rPr>
        <w:t>”</w:t>
      </w:r>
      <w:bookmarkEnd w:id="391"/>
      <w:r w:rsidR="00D84E31" w:rsidRPr="0038179C">
        <w:rPr>
          <w:szCs w:val="26"/>
        </w:rPr>
        <w:t xml:space="preserve">  (</w:t>
      </w:r>
      <w:bookmarkStart w:id="392" w:name="dabmci_f49d022f12474f0fbb1100651c2ea6c8"/>
      <w:r w:rsidR="00D84E31" w:rsidRPr="0038179C">
        <w:rPr>
          <w:i/>
          <w:iCs/>
          <w:szCs w:val="26"/>
        </w:rPr>
        <w:t>Id.</w:t>
      </w:r>
      <w:r w:rsidR="00D84E31" w:rsidRPr="0038179C">
        <w:rPr>
          <w:szCs w:val="26"/>
        </w:rPr>
        <w:t xml:space="preserve"> at p. 907</w:t>
      </w:r>
      <w:bookmarkEnd w:id="392"/>
      <w:r w:rsidR="00D84E31" w:rsidRPr="0038179C">
        <w:rPr>
          <w:szCs w:val="26"/>
        </w:rPr>
        <w:t xml:space="preserve">.)  </w:t>
      </w:r>
      <w:r w:rsidRPr="0038179C">
        <w:rPr>
          <w:szCs w:val="26"/>
        </w:rPr>
        <w:t>Rather,</w:t>
      </w:r>
      <w:r w:rsidR="00F729C1" w:rsidRPr="0038179C">
        <w:rPr>
          <w:szCs w:val="26"/>
          <w:shd w:val="clear" w:color="auto" w:fill="FFFFFF"/>
        </w:rPr>
        <w:t xml:space="preserve"> </w:t>
      </w:r>
      <w:r w:rsidR="00D84E31" w:rsidRPr="0038179C">
        <w:rPr>
          <w:szCs w:val="26"/>
          <w:shd w:val="clear" w:color="auto" w:fill="FFFFFF"/>
        </w:rPr>
        <w:t xml:space="preserve">the </w:t>
      </w:r>
      <w:bookmarkStart w:id="393" w:name="dabmq_195"/>
      <w:r w:rsidR="00D84E31" w:rsidRPr="0038179C">
        <w:rPr>
          <w:szCs w:val="26"/>
          <w:shd w:val="clear" w:color="auto" w:fill="FFFFFF"/>
        </w:rPr>
        <w:t>“clear and unambiguous language of the offer provide</w:t>
      </w:r>
      <w:r w:rsidR="001F48A7" w:rsidRPr="0038179C">
        <w:rPr>
          <w:szCs w:val="26"/>
          <w:shd w:val="clear" w:color="auto" w:fill="FFFFFF"/>
        </w:rPr>
        <w:t>[d]</w:t>
      </w:r>
      <w:r w:rsidR="00D84E31" w:rsidRPr="0038179C">
        <w:rPr>
          <w:szCs w:val="26"/>
          <w:shd w:val="clear" w:color="auto" w:fill="FFFFFF"/>
        </w:rPr>
        <w:t xml:space="preserve"> that the terms and conditions applied only ‘in full settlement of this action’ ”</w:t>
      </w:r>
      <w:bookmarkEnd w:id="393"/>
      <w:r w:rsidR="00D84E31" w:rsidRPr="0038179C">
        <w:rPr>
          <w:szCs w:val="26"/>
          <w:shd w:val="clear" w:color="auto" w:fill="FFFFFF"/>
        </w:rPr>
        <w:t xml:space="preserve"> and </w:t>
      </w:r>
      <w:bookmarkStart w:id="394" w:name="dabmq_196"/>
      <w:r w:rsidR="00D84E31" w:rsidRPr="0038179C">
        <w:rPr>
          <w:szCs w:val="26"/>
          <w:shd w:val="clear" w:color="auto" w:fill="FFFFFF"/>
        </w:rPr>
        <w:t>“reasonably cannot be construed to apply to other litigation  . . . .”</w:t>
      </w:r>
      <w:bookmarkEnd w:id="394"/>
      <w:r w:rsidR="00D84E31" w:rsidRPr="0038179C">
        <w:rPr>
          <w:szCs w:val="26"/>
          <w:shd w:val="clear" w:color="auto" w:fill="FFFFFF"/>
        </w:rPr>
        <w:t xml:space="preserve">  (</w:t>
      </w:r>
      <w:bookmarkStart w:id="395" w:name="dabmci_141579b5bf394fbabc093f046f1302a9"/>
      <w:r w:rsidR="00D84E31" w:rsidRPr="0038179C">
        <w:rPr>
          <w:i/>
          <w:iCs/>
          <w:szCs w:val="26"/>
          <w:shd w:val="clear" w:color="auto" w:fill="FFFFFF"/>
        </w:rPr>
        <w:t>Ibid</w:t>
      </w:r>
      <w:r w:rsidR="00D84E31" w:rsidRPr="0038179C">
        <w:rPr>
          <w:szCs w:val="26"/>
          <w:shd w:val="clear" w:color="auto" w:fill="FFFFFF"/>
        </w:rPr>
        <w:t>.</w:t>
      </w:r>
      <w:bookmarkEnd w:id="395"/>
      <w:r w:rsidR="00D84E31" w:rsidRPr="0038179C">
        <w:rPr>
          <w:szCs w:val="26"/>
          <w:shd w:val="clear" w:color="auto" w:fill="FFFFFF"/>
        </w:rPr>
        <w:t xml:space="preserve">) </w:t>
      </w:r>
      <w:r w:rsidRPr="0038179C">
        <w:rPr>
          <w:szCs w:val="26"/>
          <w:shd w:val="clear" w:color="auto" w:fill="FFFFFF"/>
        </w:rPr>
        <w:t xml:space="preserve"> </w:t>
      </w:r>
    </w:p>
    <w:p w14:paraId="192BD1FB" w14:textId="34C62C13" w:rsidR="00D84E31" w:rsidRPr="0038179C" w:rsidRDefault="00077895" w:rsidP="00882F89">
      <w:pPr>
        <w:spacing w:line="360" w:lineRule="auto"/>
        <w:ind w:firstLine="720"/>
      </w:pPr>
      <w:r w:rsidRPr="0038179C">
        <w:rPr>
          <w:szCs w:val="26"/>
          <w:shd w:val="clear" w:color="auto" w:fill="FFFFFF"/>
        </w:rPr>
        <w:t xml:space="preserve">Here too, </w:t>
      </w:r>
      <w:r w:rsidR="00D84E31" w:rsidRPr="0038179C">
        <w:rPr>
          <w:szCs w:val="26"/>
          <w:shd w:val="clear" w:color="auto" w:fill="FFFFFF"/>
        </w:rPr>
        <w:t>“clear and unambiguous language”</w:t>
      </w:r>
      <w:r w:rsidRPr="0038179C">
        <w:rPr>
          <w:szCs w:val="26"/>
          <w:shd w:val="clear" w:color="auto" w:fill="FFFFFF"/>
        </w:rPr>
        <w:t xml:space="preserve"> in the opening paragraph limits the rest of </w:t>
      </w:r>
      <w:r w:rsidR="001B0E9A" w:rsidRPr="0038179C">
        <w:rPr>
          <w:szCs w:val="26"/>
          <w:shd w:val="clear" w:color="auto" w:fill="FFFFFF"/>
        </w:rPr>
        <w:t>HSBC’s</w:t>
      </w:r>
      <w:r w:rsidRPr="0038179C">
        <w:rPr>
          <w:szCs w:val="26"/>
          <w:shd w:val="clear" w:color="auto" w:fill="FFFFFF"/>
        </w:rPr>
        <w:t xml:space="preserve"> offer to the instant case</w:t>
      </w:r>
      <w:r w:rsidR="00D84E31" w:rsidRPr="0038179C">
        <w:rPr>
          <w:szCs w:val="26"/>
          <w:shd w:val="clear" w:color="auto" w:fill="FFFFFF"/>
        </w:rPr>
        <w:t xml:space="preserve">—meaning </w:t>
      </w:r>
      <w:r w:rsidRPr="0038179C">
        <w:rPr>
          <w:szCs w:val="26"/>
          <w:shd w:val="clear" w:color="auto" w:fill="FFFFFF"/>
        </w:rPr>
        <w:t>the liability</w:t>
      </w:r>
      <w:r w:rsidR="00D84E31" w:rsidRPr="0038179C">
        <w:rPr>
          <w:szCs w:val="26"/>
          <w:shd w:val="clear" w:color="auto" w:fill="FFFFFF"/>
        </w:rPr>
        <w:t xml:space="preserve"> release </w:t>
      </w:r>
      <w:r w:rsidRPr="0038179C">
        <w:rPr>
          <w:szCs w:val="26"/>
          <w:shd w:val="clear" w:color="auto" w:fill="FFFFFF"/>
        </w:rPr>
        <w:t xml:space="preserve">in paragraph 2 </w:t>
      </w:r>
      <w:r w:rsidR="00D84E31" w:rsidRPr="0038179C">
        <w:rPr>
          <w:szCs w:val="26"/>
          <w:shd w:val="clear" w:color="auto" w:fill="FFFFFF"/>
        </w:rPr>
        <w:t>“reasonably cannot” extend to future litigation.  (</w:t>
      </w:r>
      <w:bookmarkStart w:id="396" w:name="dabmci_08fa76c095f24d97a0896673ca8fc09d"/>
      <w:r w:rsidR="00D84E31" w:rsidRPr="0038179C">
        <w:rPr>
          <w:i/>
          <w:iCs/>
        </w:rPr>
        <w:t>Goodstein</w:t>
      </w:r>
      <w:r w:rsidR="00D84E31" w:rsidRPr="0038179C">
        <w:t xml:space="preserve">, </w:t>
      </w:r>
      <w:r w:rsidR="00D84E31" w:rsidRPr="0038179C">
        <w:rPr>
          <w:i/>
          <w:iCs/>
        </w:rPr>
        <w:t>supra</w:t>
      </w:r>
      <w:r w:rsidR="00D84E31" w:rsidRPr="0038179C">
        <w:t>, 27 Cal.App.4th at p. 907</w:t>
      </w:r>
      <w:bookmarkEnd w:id="396"/>
      <w:r w:rsidR="00D84E31" w:rsidRPr="0038179C">
        <w:t xml:space="preserve">.)  </w:t>
      </w:r>
    </w:p>
    <w:p w14:paraId="7E76D0AD" w14:textId="7EA2021A" w:rsidR="00B07B0F" w:rsidRPr="0038179C" w:rsidRDefault="00D84E31" w:rsidP="009B2FD0">
      <w:pPr>
        <w:spacing w:line="360" w:lineRule="auto"/>
        <w:ind w:firstLine="720"/>
      </w:pPr>
      <w:r w:rsidRPr="0038179C">
        <w:t xml:space="preserve">Rojas </w:t>
      </w:r>
      <w:r w:rsidR="001F48A7" w:rsidRPr="0038179C">
        <w:t>argues</w:t>
      </w:r>
      <w:r w:rsidRPr="0038179C">
        <w:t xml:space="preserve"> </w:t>
      </w:r>
      <w:r w:rsidRPr="0038179C">
        <w:rPr>
          <w:i/>
          <w:iCs/>
        </w:rPr>
        <w:t>Goodstein</w:t>
      </w:r>
      <w:r w:rsidRPr="0038179C">
        <w:t xml:space="preserve"> is distinguishable, because</w:t>
      </w:r>
      <w:r w:rsidR="00974EBF" w:rsidRPr="0038179C">
        <w:t xml:space="preserve"> </w:t>
      </w:r>
      <w:bookmarkStart w:id="397" w:name="dabmq_197"/>
      <w:r w:rsidR="00974EBF" w:rsidRPr="0038179C">
        <w:t>“there are specific wording and phrasing distinctions,”</w:t>
      </w:r>
      <w:bookmarkEnd w:id="397"/>
      <w:r w:rsidR="00974EBF" w:rsidRPr="0038179C">
        <w:t xml:space="preserve"> as the offer there did not say “action” in either the dismissal or release provisions (showing, she claims, that both referred to the opening paragraph) and used the term “general release” (not “all liability”).  </w:t>
      </w:r>
      <w:bookmarkStart w:id="398" w:name="dabmq_198"/>
      <w:r w:rsidR="00974EBF" w:rsidRPr="0038179C">
        <w:t xml:space="preserve">“But </w:t>
      </w:r>
      <w:r w:rsidR="00974EBF" w:rsidRPr="0038179C">
        <w:rPr>
          <w:i/>
          <w:iCs/>
        </w:rPr>
        <w:t>Goodstein’s</w:t>
      </w:r>
      <w:r w:rsidR="00974EBF" w:rsidRPr="0038179C">
        <w:t xml:space="preserve"> point is not that a </w:t>
      </w:r>
      <w:bookmarkStart w:id="399" w:name="dabmci_7997d295d42649218aa3b23cedebd4d7"/>
      <w:r w:rsidR="00974EBF" w:rsidRPr="0038179C">
        <w:t>section 998</w:t>
      </w:r>
      <w:bookmarkEnd w:id="399"/>
      <w:r w:rsidR="00974EBF" w:rsidRPr="0038179C">
        <w:t xml:space="preserve"> offer must contain any </w:t>
      </w:r>
      <w:proofErr w:type="gramStart"/>
      <w:r w:rsidR="00974EBF" w:rsidRPr="0038179C">
        <w:t>particular language</w:t>
      </w:r>
      <w:proofErr w:type="gramEnd"/>
      <w:r w:rsidR="00974EBF" w:rsidRPr="0038179C">
        <w:t xml:space="preserve">.  Instead, its point is that the general rules of contract construction apply to </w:t>
      </w:r>
      <w:bookmarkStart w:id="400" w:name="dabmci_e72f07680f4b403095cb3614c6fc5207"/>
      <w:r w:rsidR="00974EBF" w:rsidRPr="0038179C">
        <w:t>section 998</w:t>
      </w:r>
      <w:bookmarkEnd w:id="400"/>
      <w:r w:rsidR="00974EBF" w:rsidRPr="0038179C">
        <w:t xml:space="preserve"> offers.”</w:t>
      </w:r>
      <w:bookmarkEnd w:id="398"/>
      <w:r w:rsidR="00974EBF" w:rsidRPr="0038179C">
        <w:t xml:space="preserve">  (</w:t>
      </w:r>
      <w:bookmarkStart w:id="401" w:name="dabmci_efda1143a8224de8a34cc23ff1f3578c"/>
      <w:r w:rsidR="00974EBF" w:rsidRPr="0038179C">
        <w:rPr>
          <w:i/>
          <w:iCs/>
        </w:rPr>
        <w:t>Linthicum</w:t>
      </w:r>
      <w:r w:rsidR="00974EBF" w:rsidRPr="0038179C">
        <w:t xml:space="preserve">, </w:t>
      </w:r>
      <w:r w:rsidR="00974EBF" w:rsidRPr="0038179C">
        <w:rPr>
          <w:i/>
          <w:iCs/>
        </w:rPr>
        <w:t>supra</w:t>
      </w:r>
      <w:r w:rsidR="00974EBF" w:rsidRPr="0038179C">
        <w:t>, 175 Cal.App.4th at p. 272</w:t>
      </w:r>
      <w:bookmarkEnd w:id="401"/>
      <w:r w:rsidR="009B2FD0" w:rsidRPr="0038179C">
        <w:t xml:space="preserve">; </w:t>
      </w:r>
      <w:bookmarkStart w:id="402" w:name="dabmci_1c65a8dddbda405b973b58a8ec7aaa84"/>
      <w:r w:rsidR="009B2FD0" w:rsidRPr="0038179C">
        <w:rPr>
          <w:i/>
          <w:iCs/>
        </w:rPr>
        <w:t>ibid</w:t>
      </w:r>
      <w:r w:rsidR="009B2FD0" w:rsidRPr="0038179C">
        <w:t>.</w:t>
      </w:r>
      <w:bookmarkEnd w:id="402"/>
      <w:r w:rsidR="00974EBF" w:rsidRPr="0038179C">
        <w:t xml:space="preserve"> [rejecting attempt to distinguish offer because it </w:t>
      </w:r>
      <w:bookmarkStart w:id="403" w:name="dabmq_199"/>
      <w:r w:rsidR="00974EBF" w:rsidRPr="0038179C">
        <w:t xml:space="preserve">“contain[ed] no language </w:t>
      </w:r>
      <w:proofErr w:type="gramStart"/>
      <w:r w:rsidR="00974EBF" w:rsidRPr="0038179C">
        <w:t>similar to</w:t>
      </w:r>
      <w:proofErr w:type="gramEnd"/>
      <w:r w:rsidR="00974EBF" w:rsidRPr="0038179C">
        <w:t xml:space="preserve"> ‘in full settlement of this action’ ”</w:t>
      </w:r>
      <w:bookmarkEnd w:id="403"/>
      <w:r w:rsidR="00974EBF" w:rsidRPr="0038179C">
        <w:t xml:space="preserve">].)  </w:t>
      </w:r>
    </w:p>
    <w:p w14:paraId="5BC6C5B1" w14:textId="739B05F8" w:rsidR="00974EBF" w:rsidRPr="0038179C" w:rsidRDefault="006F514B" w:rsidP="00882F89">
      <w:pPr>
        <w:spacing w:line="360" w:lineRule="auto"/>
      </w:pPr>
      <w:r w:rsidRPr="0038179C">
        <w:tab/>
        <w:t>Rojas’s remaining arguments are not persuasive, either.</w:t>
      </w:r>
    </w:p>
    <w:p w14:paraId="6E71CA4B" w14:textId="77777777" w:rsidR="00A34E45" w:rsidRDefault="00A22286" w:rsidP="00882F89">
      <w:pPr>
        <w:spacing w:line="360" w:lineRule="auto"/>
      </w:pPr>
      <w:r w:rsidRPr="0038179C">
        <w:lastRenderedPageBreak/>
        <w:tab/>
      </w:r>
      <w:r w:rsidR="001E70D3" w:rsidRPr="0038179C">
        <w:t>First</w:t>
      </w:r>
      <w:r w:rsidRPr="0038179C">
        <w:t xml:space="preserve">, she contends the trial court’s determination that the offer was </w:t>
      </w:r>
      <w:bookmarkStart w:id="404" w:name="dabmq_200"/>
      <w:r w:rsidRPr="0038179C">
        <w:t>“</w:t>
      </w:r>
      <w:r w:rsidR="00274657" w:rsidRPr="0038179C">
        <w:t xml:space="preserve">unambiguous and </w:t>
      </w:r>
      <w:r w:rsidRPr="0038179C">
        <w:t>not susceptible to [</w:t>
      </w:r>
      <w:r w:rsidR="00C932AA" w:rsidRPr="0038179C">
        <w:t>her</w:t>
      </w:r>
      <w:r w:rsidRPr="0038179C">
        <w:t>] interpretation”</w:t>
      </w:r>
      <w:bookmarkEnd w:id="404"/>
      <w:r w:rsidRPr="0038179C">
        <w:t xml:space="preserve"> was </w:t>
      </w:r>
      <w:bookmarkStart w:id="405" w:name="dabmq_201"/>
      <w:r w:rsidRPr="0038179C">
        <w:t>“</w:t>
      </w:r>
      <w:r w:rsidR="009F6B50" w:rsidRPr="0038179C">
        <w:t>contrary to the law that the offer must be strictly construed in favor of</w:t>
      </w:r>
      <w:r w:rsidR="00176709" w:rsidRPr="0038179C">
        <w:t xml:space="preserve"> [her]</w:t>
      </w:r>
      <w:r w:rsidR="009F6B50" w:rsidRPr="0038179C">
        <w:t>.</w:t>
      </w:r>
      <w:r w:rsidR="00176709" w:rsidRPr="0038179C">
        <w:t>”</w:t>
      </w:r>
      <w:bookmarkEnd w:id="405"/>
      <w:r w:rsidR="00274657" w:rsidRPr="0038179C">
        <w:t xml:space="preserve"> </w:t>
      </w:r>
      <w:r w:rsidR="005C2103" w:rsidRPr="0038179C">
        <w:t xml:space="preserve"> (See </w:t>
      </w:r>
      <w:bookmarkStart w:id="406" w:name="dabmci_3092f8670813464ebf7afce46cb179fe"/>
      <w:r w:rsidR="005C2103" w:rsidRPr="0038179C">
        <w:rPr>
          <w:i/>
          <w:iCs/>
        </w:rPr>
        <w:t>Sanford v. Rasnick</w:t>
      </w:r>
      <w:r w:rsidR="005C2103" w:rsidRPr="0038179C">
        <w:t xml:space="preserve"> (2016) 246 Cal.App.4th 1121, 1129</w:t>
      </w:r>
      <w:bookmarkEnd w:id="406"/>
      <w:r w:rsidR="005C2103" w:rsidRPr="0038179C">
        <w:t xml:space="preserve"> [a </w:t>
      </w:r>
      <w:bookmarkStart w:id="407" w:name="dabmq_202"/>
      <w:r w:rsidR="005C2103" w:rsidRPr="0038179C">
        <w:t>“</w:t>
      </w:r>
      <w:bookmarkStart w:id="408" w:name="dabmci_a17cac77110345f6ab9f360d8a64294d"/>
      <w:r w:rsidR="005C2103" w:rsidRPr="0038179C">
        <w:t>section 998</w:t>
      </w:r>
      <w:bookmarkEnd w:id="408"/>
      <w:r w:rsidR="005C2103" w:rsidRPr="0038179C">
        <w:t xml:space="preserve"> offer must be strictly construed in favor of the party sought to be subjected to its operation”</w:t>
      </w:r>
      <w:bookmarkEnd w:id="407"/>
      <w:r w:rsidR="005C2103" w:rsidRPr="0038179C">
        <w:t xml:space="preserve">].)  </w:t>
      </w:r>
      <w:r w:rsidR="00FF140B" w:rsidRPr="0038179C">
        <w:t>We</w:t>
      </w:r>
      <w:r w:rsidR="007E54B9" w:rsidRPr="0038179C">
        <w:t xml:space="preserve"> disagree.  Courts</w:t>
      </w:r>
      <w:r w:rsidR="00FF140B" w:rsidRPr="0038179C">
        <w:t xml:space="preserve"> construe language for or against a party when </w:t>
      </w:r>
      <w:r w:rsidR="005C2103" w:rsidRPr="0038179C">
        <w:t>other interpretive principles have been exhausted.  (</w:t>
      </w:r>
      <w:bookmarkStart w:id="409" w:name="dabmci_3050fe3d01564eb1932ffe68d0c4db5b"/>
      <w:r w:rsidR="006D3FDF" w:rsidRPr="0038179C">
        <w:rPr>
          <w:i/>
          <w:iCs/>
        </w:rPr>
        <w:t>Chinn</w:t>
      </w:r>
      <w:r w:rsidR="006D3FDF" w:rsidRPr="0038179C">
        <w:t xml:space="preserve">, </w:t>
      </w:r>
      <w:r w:rsidR="006D3FDF" w:rsidRPr="0038179C">
        <w:rPr>
          <w:i/>
          <w:iCs/>
        </w:rPr>
        <w:t>supra</w:t>
      </w:r>
      <w:r w:rsidR="006D3FDF" w:rsidRPr="0038179C">
        <w:t>, 166 Cal.App.4th at p. 184</w:t>
      </w:r>
      <w:bookmarkEnd w:id="409"/>
      <w:r w:rsidR="006D3FDF" w:rsidRPr="0038179C">
        <w:t xml:space="preserve"> [addressing </w:t>
      </w:r>
      <w:bookmarkStart w:id="410" w:name="dabmci_45761699cf66436d966cb955e988769e"/>
      <w:r w:rsidR="006D3FDF" w:rsidRPr="0038179C">
        <w:t>§ 998</w:t>
      </w:r>
      <w:bookmarkEnd w:id="410"/>
      <w:r w:rsidR="006D3FDF" w:rsidRPr="0038179C">
        <w:t xml:space="preserve"> offers</w:t>
      </w:r>
      <w:r w:rsidR="001A3421" w:rsidRPr="0038179C">
        <w:t xml:space="preserve">; </w:t>
      </w:r>
      <w:r w:rsidR="006D3FDF" w:rsidRPr="0038179C">
        <w:t>citing rule under Civ. Code</w:t>
      </w:r>
      <w:r w:rsidR="00BD4FFB" w:rsidRPr="0038179C">
        <w:t>,</w:t>
      </w:r>
      <w:r w:rsidR="00A34E45">
        <w:t> </w:t>
      </w:r>
    </w:p>
    <w:p w14:paraId="75062047" w14:textId="3EB63090" w:rsidR="009D3159" w:rsidRPr="0038179C" w:rsidRDefault="006D3FDF" w:rsidP="00882F89">
      <w:pPr>
        <w:spacing w:line="360" w:lineRule="auto"/>
      </w:pPr>
      <w:r w:rsidRPr="0038179C">
        <w:t xml:space="preserve">§ 1654 that </w:t>
      </w:r>
      <w:bookmarkStart w:id="411" w:name="dabmq_203"/>
      <w:r w:rsidRPr="0038179C">
        <w:t>“ ‘In cases of uncertainty not removed by the preceding rules, the language of a contract should be interpreted most strongly against the party who caused the uncertainty to exist.’</w:t>
      </w:r>
      <w:r w:rsidR="001A3421" w:rsidRPr="0038179C">
        <w:t xml:space="preserve"> ”</w:t>
      </w:r>
      <w:bookmarkEnd w:id="411"/>
      <w:r w:rsidRPr="0038179C">
        <w:t>]</w:t>
      </w:r>
      <w:r w:rsidR="001A3421" w:rsidRPr="0038179C">
        <w:t xml:space="preserve">.)  </w:t>
      </w:r>
      <w:r w:rsidR="005C2103" w:rsidRPr="0038179C">
        <w:t xml:space="preserve">Here, because the </w:t>
      </w:r>
      <w:r w:rsidR="00274657" w:rsidRPr="0038179C">
        <w:t>offer</w:t>
      </w:r>
      <w:r w:rsidR="005C2103" w:rsidRPr="0038179C">
        <w:t xml:space="preserve"> is unambiguous, no construal of ambiguity is </w:t>
      </w:r>
      <w:r w:rsidR="00274657" w:rsidRPr="0038179C">
        <w:t>needed</w:t>
      </w:r>
      <w:r w:rsidR="005C2103" w:rsidRPr="0038179C">
        <w:t xml:space="preserve">. </w:t>
      </w:r>
    </w:p>
    <w:p w14:paraId="06A57934" w14:textId="37DD0B3F" w:rsidR="00EB5116" w:rsidRPr="0038179C" w:rsidRDefault="001E70D3" w:rsidP="00882F89">
      <w:pPr>
        <w:spacing w:line="360" w:lineRule="auto"/>
      </w:pPr>
      <w:r w:rsidRPr="0038179C">
        <w:tab/>
        <w:t xml:space="preserve">Second, </w:t>
      </w:r>
      <w:r w:rsidR="007E54B9" w:rsidRPr="0038179C">
        <w:t>Rojas</w:t>
      </w:r>
      <w:r w:rsidR="00176709" w:rsidRPr="0038179C">
        <w:t xml:space="preserve"> argues that if HSBC had “intended to clearly limit” the liability release to this </w:t>
      </w:r>
      <w:r w:rsidR="009D3159" w:rsidRPr="0038179C">
        <w:t>case</w:t>
      </w:r>
      <w:r w:rsidR="00176709" w:rsidRPr="0038179C">
        <w:t xml:space="preserve">, </w:t>
      </w:r>
      <w:r w:rsidR="009D3159" w:rsidRPr="0038179C">
        <w:t xml:space="preserve">it would have </w:t>
      </w:r>
      <w:r w:rsidR="007E54B9" w:rsidRPr="0038179C">
        <w:t xml:space="preserve">said </w:t>
      </w:r>
      <w:bookmarkStart w:id="412" w:name="dabmq_204"/>
      <w:r w:rsidR="007E54B9" w:rsidRPr="0038179C">
        <w:t>“</w:t>
      </w:r>
      <w:r w:rsidR="00176709" w:rsidRPr="0038179C">
        <w:t>release HSBC of all liability to Plaintiff related to the above-entitled action</w:t>
      </w:r>
      <w:r w:rsidR="009F6B50" w:rsidRPr="0038179C">
        <w:t>.</w:t>
      </w:r>
      <w:r w:rsidRPr="0038179C">
        <w:t>”</w:t>
      </w:r>
      <w:bookmarkEnd w:id="412"/>
      <w:r w:rsidRPr="0038179C">
        <w:t xml:space="preserve"> </w:t>
      </w:r>
      <w:r w:rsidR="00B07B0F" w:rsidRPr="0038179C">
        <w:t xml:space="preserve"> </w:t>
      </w:r>
      <w:r w:rsidR="009D3159" w:rsidRPr="0038179C">
        <w:t xml:space="preserve">(See </w:t>
      </w:r>
      <w:bookmarkStart w:id="413" w:name="dabmci_1022efc8842b4699860af603f1f656a8"/>
      <w:r w:rsidR="009D3159" w:rsidRPr="0038179C">
        <w:rPr>
          <w:i/>
          <w:iCs/>
        </w:rPr>
        <w:t>Auburn Woods I Homeowners Assoc. v. State Farm Gen. Ins. Co.</w:t>
      </w:r>
      <w:r w:rsidR="009D3159" w:rsidRPr="0038179C">
        <w:t xml:space="preserve"> (2020) 56 Cal.App.5th 717, 726</w:t>
      </w:r>
      <w:bookmarkEnd w:id="413"/>
      <w:r w:rsidR="009D3159" w:rsidRPr="0038179C">
        <w:t xml:space="preserve"> [release provision referenced “the ACTION”].)  </w:t>
      </w:r>
      <w:r w:rsidR="007E54B9" w:rsidRPr="0038179C">
        <w:t xml:space="preserve">She also argues </w:t>
      </w:r>
      <w:bookmarkStart w:id="414" w:name="dabmq_205"/>
      <w:r w:rsidR="007E54B9" w:rsidRPr="0038179C">
        <w:t>“HSBC’s intent to expand the release beyond . . . this action is further illustrated by [its] use of the word ‘liability’ as opposed to ‘claim,’ ”</w:t>
      </w:r>
      <w:bookmarkEnd w:id="414"/>
      <w:r w:rsidR="007E54B9" w:rsidRPr="0038179C">
        <w:t xml:space="preserve"> citing dictionary definitions of the terms.  We reject these arguments, too.  No</w:t>
      </w:r>
      <w:r w:rsidR="00B07B0F" w:rsidRPr="0038179C">
        <w:t xml:space="preserve"> “particular language” is required for a </w:t>
      </w:r>
      <w:bookmarkStart w:id="415" w:name="dabmci_984011a640d34c00b40473ba3c1eb32b"/>
      <w:r w:rsidR="00B07B0F" w:rsidRPr="0038179C">
        <w:t>section 998</w:t>
      </w:r>
      <w:bookmarkEnd w:id="415"/>
      <w:r w:rsidR="00B07B0F" w:rsidRPr="0038179C">
        <w:t xml:space="preserve"> offer, and</w:t>
      </w:r>
      <w:r w:rsidR="00E64DAA" w:rsidRPr="0038179C">
        <w:t xml:space="preserve"> HSBC’s offer,</w:t>
      </w:r>
      <w:r w:rsidR="00B07B0F" w:rsidRPr="0038179C">
        <w:t xml:space="preserve"> </w:t>
      </w:r>
      <w:r w:rsidR="00E64DAA" w:rsidRPr="0038179C">
        <w:t>viewed as a whole,</w:t>
      </w:r>
      <w:r w:rsidR="00B07B0F" w:rsidRPr="0038179C">
        <w:t xml:space="preserve"> was unambiguous. </w:t>
      </w:r>
      <w:r w:rsidR="00E64DAA" w:rsidRPr="0038179C">
        <w:t xml:space="preserve"> </w:t>
      </w:r>
      <w:r w:rsidR="00B07B0F" w:rsidRPr="0038179C">
        <w:t>(</w:t>
      </w:r>
      <w:bookmarkStart w:id="416" w:name="dabmci_0b564d7a036048bd81450a45c3fab604"/>
      <w:r w:rsidR="00B07B0F" w:rsidRPr="0038179C">
        <w:rPr>
          <w:i/>
          <w:iCs/>
        </w:rPr>
        <w:t>Linthicum</w:t>
      </w:r>
      <w:r w:rsidR="00B07B0F" w:rsidRPr="0038179C">
        <w:t xml:space="preserve">, </w:t>
      </w:r>
      <w:r w:rsidR="00B07B0F" w:rsidRPr="0038179C">
        <w:rPr>
          <w:i/>
          <w:iCs/>
        </w:rPr>
        <w:t>supra</w:t>
      </w:r>
      <w:r w:rsidR="00B07B0F" w:rsidRPr="0038179C">
        <w:t>, 175 Cal.App.4th at p. 272</w:t>
      </w:r>
      <w:bookmarkEnd w:id="416"/>
      <w:r w:rsidR="00B07B0F" w:rsidRPr="0038179C">
        <w:t xml:space="preserve">; see </w:t>
      </w:r>
      <w:bookmarkStart w:id="417" w:name="dabmci_d65c9ebc18ae4faf9d102436d9d3ebea"/>
      <w:r w:rsidR="00B07B0F" w:rsidRPr="0038179C">
        <w:rPr>
          <w:i/>
          <w:iCs/>
        </w:rPr>
        <w:t>Berg v. Darden</w:t>
      </w:r>
      <w:r w:rsidR="00B07B0F" w:rsidRPr="0038179C">
        <w:t xml:space="preserve"> (2004) 120 Cal.App.4th 721, </w:t>
      </w:r>
      <w:r w:rsidR="00BD4FFB" w:rsidRPr="0038179C">
        <w:t>731</w:t>
      </w:r>
      <w:r w:rsidR="00B07B0F" w:rsidRPr="0038179C">
        <w:t xml:space="preserve"> [no “</w:t>
      </w:r>
      <w:r w:rsidR="00E64DAA" w:rsidRPr="0038179C">
        <w:t xml:space="preserve"> ‘</w:t>
      </w:r>
      <w:r w:rsidR="00B07B0F" w:rsidRPr="0038179C">
        <w:t>magic language</w:t>
      </w:r>
      <w:r w:rsidR="00E64DAA" w:rsidRPr="0038179C">
        <w:t xml:space="preserve">’ </w:t>
      </w:r>
      <w:r w:rsidR="00B07B0F" w:rsidRPr="0038179C">
        <w:t>” is needed]</w:t>
      </w:r>
      <w:bookmarkEnd w:id="417"/>
      <w:r w:rsidR="00B07B0F" w:rsidRPr="0038179C">
        <w:t>.</w:t>
      </w:r>
      <w:r w:rsidR="00BD160A" w:rsidRPr="0038179C">
        <w:t>)</w:t>
      </w:r>
    </w:p>
    <w:p w14:paraId="1ADC92EC" w14:textId="0AA398B6" w:rsidR="002F65FA" w:rsidRPr="0038179C" w:rsidRDefault="007F36E9" w:rsidP="00DA6A02">
      <w:pPr>
        <w:spacing w:line="360" w:lineRule="auto"/>
      </w:pPr>
      <w:r w:rsidRPr="0038179C">
        <w:tab/>
        <w:t xml:space="preserve">Finally, </w:t>
      </w:r>
      <w:r w:rsidR="002F65FA" w:rsidRPr="0038179C">
        <w:t>the cases cited by Rojas</w:t>
      </w:r>
      <w:r w:rsidR="00DA6A02" w:rsidRPr="0038179C">
        <w:t xml:space="preserve"> are distinguishable.  Unlike here, </w:t>
      </w:r>
      <w:r w:rsidR="000C1A3A" w:rsidRPr="0038179C">
        <w:t>the</w:t>
      </w:r>
      <w:r w:rsidR="00DA6A02" w:rsidRPr="0038179C">
        <w:t xml:space="preserve"> offers in those cases encompassed litigants or claims beyond the present action.  (See </w:t>
      </w:r>
      <w:bookmarkStart w:id="418" w:name="dabmci_e6f24dc4c283467d96f337ab885d2d33"/>
      <w:r w:rsidR="007C312B" w:rsidRPr="0038179C">
        <w:rPr>
          <w:i/>
          <w:iCs/>
        </w:rPr>
        <w:t>Valentino v. Elliott Sav-On Gas Inc.</w:t>
      </w:r>
      <w:r w:rsidR="007C312B" w:rsidRPr="0038179C">
        <w:t xml:space="preserve"> (1988) 201 Cal.App.3d 692</w:t>
      </w:r>
      <w:r w:rsidR="00DA6A02" w:rsidRPr="0038179C">
        <w:t xml:space="preserve">, </w:t>
      </w:r>
      <w:r w:rsidR="00DA6A02" w:rsidRPr="0038179C">
        <w:lastRenderedPageBreak/>
        <w:t>694</w:t>
      </w:r>
      <w:r w:rsidR="00EE214B" w:rsidRPr="0038179C">
        <w:t>–</w:t>
      </w:r>
      <w:r w:rsidR="00DA6A02" w:rsidRPr="0038179C">
        <w:t>698, 702</w:t>
      </w:r>
      <w:bookmarkEnd w:id="418"/>
      <w:r w:rsidR="00DA6A02" w:rsidRPr="0038179C">
        <w:t xml:space="preserve"> [defendant gas station won personal injury lawsuit and recovered costs under </w:t>
      </w:r>
      <w:bookmarkStart w:id="419" w:name="dabmci_4a7274c2409a4606a9ff3a5dcfcc7833"/>
      <w:r w:rsidR="00DA6A02" w:rsidRPr="0038179C">
        <w:t>§ 998</w:t>
      </w:r>
      <w:bookmarkEnd w:id="419"/>
      <w:r w:rsidR="00DA6A02" w:rsidRPr="0038179C">
        <w:t xml:space="preserve">, and Court of Appeal reversed; </w:t>
      </w:r>
      <w:r w:rsidR="002673ED" w:rsidRPr="0038179C">
        <w:t>offer released</w:t>
      </w:r>
      <w:r w:rsidR="00720CA2" w:rsidRPr="0038179C">
        <w:t xml:space="preserve"> the</w:t>
      </w:r>
      <w:r w:rsidR="002673ED" w:rsidRPr="0038179C">
        <w:t xml:space="preserve"> gas s</w:t>
      </w:r>
      <w:r w:rsidR="00044A3E" w:rsidRPr="0038179C">
        <w:t>t</w:t>
      </w:r>
      <w:r w:rsidR="002673ED" w:rsidRPr="0038179C">
        <w:t>ation</w:t>
      </w:r>
      <w:r w:rsidR="00720CA2" w:rsidRPr="0038179C">
        <w:t>, its</w:t>
      </w:r>
      <w:r w:rsidR="002673ED" w:rsidRPr="0038179C">
        <w:t xml:space="preserve"> attorney</w:t>
      </w:r>
      <w:r w:rsidR="00720CA2" w:rsidRPr="0038179C">
        <w:t>, and its</w:t>
      </w:r>
      <w:r w:rsidR="002673ED" w:rsidRPr="0038179C">
        <w:t xml:space="preserve"> insurance carrier on claims unrelated to the lawsuit</w:t>
      </w:r>
      <w:r w:rsidR="000C1A3A" w:rsidRPr="0038179C">
        <w:t>,</w:t>
      </w:r>
      <w:r w:rsidR="00044A3E" w:rsidRPr="0038179C">
        <w:t xml:space="preserve"> thus</w:t>
      </w:r>
      <w:r w:rsidR="00720CA2" w:rsidRPr="0038179C">
        <w:t xml:space="preserve"> dilut</w:t>
      </w:r>
      <w:r w:rsidR="000C1A3A" w:rsidRPr="0038179C">
        <w:t>ing</w:t>
      </w:r>
      <w:r w:rsidR="00720CA2" w:rsidRPr="0038179C">
        <w:t xml:space="preserve"> the payment term and ma</w:t>
      </w:r>
      <w:r w:rsidR="000C1A3A" w:rsidRPr="0038179C">
        <w:t>king</w:t>
      </w:r>
      <w:r w:rsidR="00720CA2" w:rsidRPr="0038179C">
        <w:t xml:space="preserve"> it difficult to value</w:t>
      </w:r>
      <w:r w:rsidR="00DA6A02" w:rsidRPr="0038179C">
        <w:t xml:space="preserve">]; </w:t>
      </w:r>
      <w:bookmarkStart w:id="420" w:name="dabmci_ca9ecc39c9824b9681eff3219595f14b"/>
      <w:r w:rsidR="002F65FA" w:rsidRPr="0038179C">
        <w:rPr>
          <w:i/>
          <w:lang w:bidi="en-US"/>
        </w:rPr>
        <w:t>Chen</w:t>
      </w:r>
      <w:r w:rsidR="002F65FA" w:rsidRPr="0038179C">
        <w:rPr>
          <w:iCs/>
          <w:lang w:bidi="en-US"/>
        </w:rPr>
        <w:t xml:space="preserve">, </w:t>
      </w:r>
      <w:r w:rsidR="002F65FA" w:rsidRPr="0038179C">
        <w:rPr>
          <w:i/>
          <w:lang w:bidi="en-US"/>
        </w:rPr>
        <w:t>supra</w:t>
      </w:r>
      <w:r w:rsidR="002F65FA" w:rsidRPr="0038179C">
        <w:rPr>
          <w:iCs/>
          <w:lang w:bidi="en-US"/>
        </w:rPr>
        <w:t>, 164 Cal.App.4th at pp. 121</w:t>
      </w:r>
      <w:r w:rsidR="00EE214B" w:rsidRPr="0038179C">
        <w:rPr>
          <w:lang w:bidi="en-US"/>
        </w:rPr>
        <w:t>–</w:t>
      </w:r>
      <w:r w:rsidR="002F65FA" w:rsidRPr="0038179C">
        <w:rPr>
          <w:lang w:bidi="en-US"/>
        </w:rPr>
        <w:t>122</w:t>
      </w:r>
      <w:bookmarkEnd w:id="420"/>
      <w:r w:rsidR="002F65FA" w:rsidRPr="0038179C">
        <w:rPr>
          <w:lang w:bidi="en-US"/>
        </w:rPr>
        <w:t xml:space="preserve"> and fn. 5 [where homeowners sued based on two of three insurer claims, and insurer made </w:t>
      </w:r>
      <w:bookmarkStart w:id="421" w:name="dabmci_02ce18cb05e54c61b96cebda3fb36a64"/>
      <w:r w:rsidR="008F2681" w:rsidRPr="0038179C">
        <w:rPr>
          <w:lang w:bidi="en-US"/>
        </w:rPr>
        <w:t>§</w:t>
      </w:r>
      <w:r w:rsidR="002F65FA" w:rsidRPr="0038179C">
        <w:rPr>
          <w:lang w:bidi="en-US"/>
        </w:rPr>
        <w:t xml:space="preserve"> 998</w:t>
      </w:r>
      <w:bookmarkEnd w:id="421"/>
      <w:r w:rsidR="002F65FA" w:rsidRPr="0038179C">
        <w:rPr>
          <w:lang w:bidi="en-US"/>
        </w:rPr>
        <w:t xml:space="preserve"> offer to release “all claims,” offer was ambiguous and invalid];</w:t>
      </w:r>
      <w:r w:rsidR="002F65FA" w:rsidRPr="0038179C">
        <w:t xml:space="preserve"> </w:t>
      </w:r>
      <w:bookmarkStart w:id="422" w:name="dabmci_4bb12a18f38d4cccb56b6c7878b09404"/>
      <w:r w:rsidR="002F65FA" w:rsidRPr="0038179C">
        <w:rPr>
          <w:i/>
          <w:iCs/>
        </w:rPr>
        <w:t>Ignacio</w:t>
      </w:r>
      <w:r w:rsidR="002F65FA" w:rsidRPr="0038179C">
        <w:t xml:space="preserve">, </w:t>
      </w:r>
      <w:r w:rsidR="002F65FA" w:rsidRPr="0038179C">
        <w:rPr>
          <w:i/>
          <w:iCs/>
        </w:rPr>
        <w:t>supra</w:t>
      </w:r>
      <w:r w:rsidR="002F65FA" w:rsidRPr="0038179C">
        <w:t>, 2 Cal.App.</w:t>
      </w:r>
      <w:r w:rsidR="008F2681" w:rsidRPr="0038179C">
        <w:t>5th</w:t>
      </w:r>
      <w:r w:rsidR="002F65FA" w:rsidRPr="0038179C">
        <w:t xml:space="preserve"> at pp. </w:t>
      </w:r>
      <w:r w:rsidR="008F2681" w:rsidRPr="0038179C">
        <w:t>83</w:t>
      </w:r>
      <w:r w:rsidR="00EE214B" w:rsidRPr="0038179C">
        <w:rPr>
          <w:lang w:bidi="en-US"/>
        </w:rPr>
        <w:t>–</w:t>
      </w:r>
      <w:r w:rsidR="002F65FA" w:rsidRPr="0038179C">
        <w:t>84, 88</w:t>
      </w:r>
      <w:bookmarkEnd w:id="422"/>
      <w:r w:rsidR="002F65FA" w:rsidRPr="0038179C">
        <w:t xml:space="preserve"> [</w:t>
      </w:r>
      <w:bookmarkStart w:id="423" w:name="dabmci_09c9b3fbf41c42dc994f191918742e7e"/>
      <w:r w:rsidR="008F2681" w:rsidRPr="0038179C">
        <w:t>§ 998</w:t>
      </w:r>
      <w:bookmarkEnd w:id="423"/>
      <w:r w:rsidR="008F2681" w:rsidRPr="0038179C">
        <w:t xml:space="preserve"> </w:t>
      </w:r>
      <w:r w:rsidR="002F65FA" w:rsidRPr="0038179C">
        <w:t>offer attach</w:t>
      </w:r>
      <w:r w:rsidR="008F2681" w:rsidRPr="0038179C">
        <w:t>ing</w:t>
      </w:r>
      <w:r w:rsidR="002F65FA" w:rsidRPr="0038179C">
        <w:t xml:space="preserve"> two page release with “incredibly broad” language </w:t>
      </w:r>
      <w:bookmarkStart w:id="424" w:name="dabmq_206"/>
      <w:r w:rsidR="002F65FA" w:rsidRPr="0038179C">
        <w:t>“encompass[ing] numerous claims . . . beyond those at issue in the lawsuit”</w:t>
      </w:r>
      <w:bookmarkEnd w:id="424"/>
      <w:r w:rsidR="008F2681" w:rsidRPr="0038179C">
        <w:t xml:space="preserve"> was invalid</w:t>
      </w:r>
      <w:r w:rsidR="002F65FA" w:rsidRPr="0038179C">
        <w:t>].)</w:t>
      </w:r>
    </w:p>
    <w:p w14:paraId="09FB3DCE" w14:textId="709C554B" w:rsidR="00995F65" w:rsidRPr="0038179C" w:rsidRDefault="00995F65" w:rsidP="00265AB2">
      <w:pPr>
        <w:pStyle w:val="Heading3"/>
        <w:spacing w:before="60" w:after="60"/>
      </w:pPr>
      <w:r w:rsidRPr="0038179C">
        <w:rPr>
          <w:i w:val="0"/>
          <w:iCs w:val="0"/>
        </w:rPr>
        <w:t>2.</w:t>
      </w:r>
      <w:r w:rsidRPr="0038179C">
        <w:rPr>
          <w:i w:val="0"/>
          <w:iCs w:val="0"/>
        </w:rPr>
        <w:tab/>
      </w:r>
      <w:r w:rsidRPr="0038179C">
        <w:t>The Trial Court Did Not Err in Awarding Expert Costs</w:t>
      </w:r>
    </w:p>
    <w:p w14:paraId="3A3A9D8C" w14:textId="36053C8A" w:rsidR="004A5803" w:rsidRPr="0038179C" w:rsidRDefault="004D22F0" w:rsidP="00882F89">
      <w:pPr>
        <w:spacing w:line="360" w:lineRule="auto"/>
      </w:pPr>
      <w:r w:rsidRPr="0038179C">
        <w:tab/>
        <w:t xml:space="preserve">Rojas </w:t>
      </w:r>
      <w:r w:rsidR="00995F65" w:rsidRPr="0038179C">
        <w:t xml:space="preserve">next contends </w:t>
      </w:r>
      <w:r w:rsidR="00657A75" w:rsidRPr="0038179C">
        <w:t xml:space="preserve">the trial court </w:t>
      </w:r>
      <w:bookmarkStart w:id="425" w:name="dabmq_207"/>
      <w:r w:rsidR="00FC4D0C" w:rsidRPr="0038179C">
        <w:t>“erred by allowing expert costs that were not supported by sufficient evidence showing that the fees charged were reasonable or that the charges were reasonably necessary . . . .”</w:t>
      </w:r>
      <w:bookmarkEnd w:id="425"/>
      <w:r w:rsidR="00FC4D0C" w:rsidRPr="0038179C">
        <w:t xml:space="preserve">  She</w:t>
      </w:r>
      <w:r w:rsidR="004A5803" w:rsidRPr="0038179C">
        <w:t xml:space="preserve"> does not establish </w:t>
      </w:r>
      <w:r w:rsidR="00657A75" w:rsidRPr="0038179C">
        <w:t>any abuse of discretion by the trial court</w:t>
      </w:r>
      <w:r w:rsidR="004A5803" w:rsidRPr="0038179C">
        <w:t>.</w:t>
      </w:r>
    </w:p>
    <w:p w14:paraId="1AF324B6" w14:textId="01F04D02" w:rsidR="002A6BCF" w:rsidRPr="0038179C" w:rsidRDefault="004A5803" w:rsidP="00882F89">
      <w:pPr>
        <w:spacing w:line="360" w:lineRule="auto"/>
        <w:rPr>
          <w:rFonts w:cs="Arial"/>
          <w:szCs w:val="26"/>
        </w:rPr>
      </w:pPr>
      <w:r w:rsidRPr="0038179C">
        <w:tab/>
        <w:t>First,</w:t>
      </w:r>
      <w:r w:rsidR="00657A75" w:rsidRPr="0038179C">
        <w:t xml:space="preserve"> </w:t>
      </w:r>
      <w:r w:rsidR="00FC4D0C" w:rsidRPr="0038179C">
        <w:t xml:space="preserve">the trial court did not err </w:t>
      </w:r>
      <w:r w:rsidR="005D1E31" w:rsidRPr="0038179C">
        <w:t>by</w:t>
      </w:r>
      <w:r w:rsidR="00FC4D0C" w:rsidRPr="0038179C">
        <w:t xml:space="preserve"> concluding</w:t>
      </w:r>
      <w:r w:rsidR="002A6BCF" w:rsidRPr="0038179C">
        <w:t xml:space="preserve"> </w:t>
      </w:r>
      <w:r w:rsidR="0055019C" w:rsidRPr="0038179C">
        <w:t xml:space="preserve">Rojas </w:t>
      </w:r>
      <w:r w:rsidR="00EA2947" w:rsidRPr="0038179C">
        <w:t>failed to meet her burden in challenging HSBC’s costs</w:t>
      </w:r>
      <w:r w:rsidR="00FC4D0C" w:rsidRPr="0038179C">
        <w:t>.</w:t>
      </w:r>
      <w:r w:rsidR="005D1E31" w:rsidRPr="0038179C">
        <w:t xml:space="preserve">  </w:t>
      </w:r>
      <w:bookmarkStart w:id="426" w:name="dabmq_208"/>
      <w:r w:rsidR="005D1E31" w:rsidRPr="0038179C">
        <w:t>“If items on a memorandum of costs appear to be proper charges on their face, those items are prima facie evidence that the costs, expenses, and services are proper and necessarily incurred.  [Citation</w:t>
      </w:r>
      <w:r w:rsidR="001774F4" w:rsidRPr="0038179C">
        <w:t>s</w:t>
      </w:r>
      <w:r w:rsidR="005D1E31" w:rsidRPr="0038179C">
        <w:t>.]  The burden then shifts to the objecting party to show them to be unnecessary or unreasonable.”</w:t>
      </w:r>
      <w:bookmarkEnd w:id="426"/>
      <w:r w:rsidR="005D1E31" w:rsidRPr="0038179C">
        <w:t xml:space="preserve">  (</w:t>
      </w:r>
      <w:bookmarkStart w:id="427" w:name="dabmci_db62f1c2851c464aa09378c113e6c884"/>
      <w:r w:rsidR="005D1E31" w:rsidRPr="0038179C">
        <w:rPr>
          <w:i/>
          <w:iCs/>
        </w:rPr>
        <w:t>Doe v. Los Angeles C</w:t>
      </w:r>
      <w:r w:rsidR="0086301C" w:rsidRPr="0038179C">
        <w:rPr>
          <w:i/>
          <w:iCs/>
        </w:rPr>
        <w:t>ounty</w:t>
      </w:r>
      <w:r w:rsidR="005D1E31" w:rsidRPr="0038179C">
        <w:rPr>
          <w:i/>
          <w:iCs/>
        </w:rPr>
        <w:t xml:space="preserve"> Dept. of Children &amp; Family Servs.</w:t>
      </w:r>
      <w:r w:rsidR="005D1E31" w:rsidRPr="0038179C">
        <w:t xml:space="preserve"> (2019) 37 Cal.App.5th 675, 693</w:t>
      </w:r>
      <w:bookmarkEnd w:id="427"/>
      <w:r w:rsidR="005D1E31" w:rsidRPr="0038179C">
        <w:t xml:space="preserve">.)  </w:t>
      </w:r>
      <w:r w:rsidR="005311CC" w:rsidRPr="0038179C">
        <w:rPr>
          <w:rFonts w:cs="Arial"/>
          <w:szCs w:val="26"/>
        </w:rPr>
        <w:t>“</w:t>
      </w:r>
      <w:r w:rsidR="005D1E31" w:rsidRPr="0038179C">
        <w:rPr>
          <w:rFonts w:cs="Arial"/>
          <w:szCs w:val="26"/>
        </w:rPr>
        <w:t>[M]</w:t>
      </w:r>
      <w:r w:rsidR="005311CC" w:rsidRPr="0038179C">
        <w:rPr>
          <w:rFonts w:cs="Arial"/>
          <w:szCs w:val="26"/>
        </w:rPr>
        <w:t>ere statements</w:t>
      </w:r>
      <w:r w:rsidR="005D1E31" w:rsidRPr="0038179C">
        <w:rPr>
          <w:rFonts w:cs="Arial"/>
          <w:szCs w:val="26"/>
        </w:rPr>
        <w:t xml:space="preserve">” in a motion to strike and attorney declaration </w:t>
      </w:r>
      <w:bookmarkStart w:id="428" w:name="dabmq_209"/>
      <w:r w:rsidR="005D1E31" w:rsidRPr="0038179C">
        <w:rPr>
          <w:rFonts w:cs="Arial"/>
          <w:szCs w:val="26"/>
        </w:rPr>
        <w:t>“</w:t>
      </w:r>
      <w:r w:rsidR="005311CC" w:rsidRPr="0038179C">
        <w:rPr>
          <w:rFonts w:cs="Arial"/>
          <w:szCs w:val="26"/>
        </w:rPr>
        <w:t>are insufficient to rebut the prima facie showing.”</w:t>
      </w:r>
      <w:bookmarkEnd w:id="428"/>
      <w:r w:rsidR="005311CC" w:rsidRPr="0038179C">
        <w:rPr>
          <w:rFonts w:cs="Arial"/>
          <w:szCs w:val="26"/>
        </w:rPr>
        <w:t xml:space="preserve">  (</w:t>
      </w:r>
      <w:bookmarkStart w:id="429" w:name="dabmci_bd5f6542ac19411e94e492f403805400"/>
      <w:r w:rsidR="00966051" w:rsidRPr="0038179C">
        <w:rPr>
          <w:rFonts w:cs="Arial"/>
          <w:i/>
          <w:iCs/>
          <w:szCs w:val="26"/>
        </w:rPr>
        <w:t>Rappenecker v. Sea–Land Service, Inc.</w:t>
      </w:r>
      <w:r w:rsidR="00966051" w:rsidRPr="0038179C">
        <w:rPr>
          <w:rFonts w:cs="Arial"/>
          <w:szCs w:val="26"/>
        </w:rPr>
        <w:t xml:space="preserve"> (1979) 93 Cal.App.3d 256, 266</w:t>
      </w:r>
      <w:bookmarkEnd w:id="429"/>
      <w:r w:rsidR="005D1E31" w:rsidRPr="0038179C">
        <w:t>.)</w:t>
      </w:r>
      <w:r w:rsidR="002A6BCF" w:rsidRPr="0038179C">
        <w:t xml:space="preserve">  </w:t>
      </w:r>
      <w:r w:rsidR="00EA2947" w:rsidRPr="0038179C">
        <w:rPr>
          <w:rFonts w:cs="Arial"/>
          <w:szCs w:val="26"/>
        </w:rPr>
        <w:t>T</w:t>
      </w:r>
      <w:r w:rsidR="00966051" w:rsidRPr="0038179C">
        <w:rPr>
          <w:rFonts w:cs="Arial"/>
          <w:szCs w:val="26"/>
        </w:rPr>
        <w:t xml:space="preserve">he court </w:t>
      </w:r>
      <w:r w:rsidR="00192AC8" w:rsidRPr="0038179C">
        <w:rPr>
          <w:rFonts w:cs="Arial"/>
          <w:szCs w:val="26"/>
        </w:rPr>
        <w:t>found</w:t>
      </w:r>
      <w:r w:rsidR="00966051" w:rsidRPr="0038179C">
        <w:rPr>
          <w:rFonts w:cs="Arial"/>
          <w:szCs w:val="26"/>
        </w:rPr>
        <w:t xml:space="preserve"> HSBC’s </w:t>
      </w:r>
      <w:r w:rsidR="002A6BCF" w:rsidRPr="0038179C">
        <w:rPr>
          <w:rFonts w:cs="Arial"/>
          <w:szCs w:val="26"/>
        </w:rPr>
        <w:t>claimed expert costs were facially proper</w:t>
      </w:r>
      <w:r w:rsidR="00EA2947" w:rsidRPr="0038179C">
        <w:rPr>
          <w:rFonts w:cs="Arial"/>
          <w:szCs w:val="26"/>
        </w:rPr>
        <w:t>, and thus prima facie evidence of necessity</w:t>
      </w:r>
      <w:r w:rsidR="002A6BCF" w:rsidRPr="0038179C">
        <w:rPr>
          <w:rFonts w:cs="Arial"/>
          <w:szCs w:val="26"/>
        </w:rPr>
        <w:t xml:space="preserve">—meaning the </w:t>
      </w:r>
      <w:r w:rsidR="002A6BCF" w:rsidRPr="0038179C">
        <w:rPr>
          <w:rFonts w:cs="Arial"/>
          <w:szCs w:val="26"/>
        </w:rPr>
        <w:lastRenderedPageBreak/>
        <w:t xml:space="preserve">burden was on Rojas to show </w:t>
      </w:r>
      <w:r w:rsidR="00EA2947" w:rsidRPr="0038179C">
        <w:rPr>
          <w:rFonts w:cs="Arial"/>
          <w:szCs w:val="26"/>
        </w:rPr>
        <w:t>otherwise</w:t>
      </w:r>
      <w:r w:rsidR="000E42D1" w:rsidRPr="0038179C">
        <w:rPr>
          <w:rFonts w:cs="Arial"/>
          <w:szCs w:val="26"/>
        </w:rPr>
        <w:t>, and her motion to strike arguments were insufficient to do so.</w:t>
      </w:r>
      <w:r w:rsidR="000E42D1" w:rsidRPr="0038179C">
        <w:rPr>
          <w:rStyle w:val="FootnoteReference"/>
          <w:rFonts w:cs="Arial"/>
          <w:szCs w:val="26"/>
        </w:rPr>
        <w:footnoteReference w:id="23"/>
      </w:r>
      <w:r w:rsidR="000E42D1" w:rsidRPr="0038179C">
        <w:rPr>
          <w:rFonts w:cs="Arial"/>
          <w:szCs w:val="26"/>
        </w:rPr>
        <w:t xml:space="preserve"> </w:t>
      </w:r>
      <w:r w:rsidR="002A6BCF" w:rsidRPr="0038179C">
        <w:rPr>
          <w:rFonts w:cs="Arial"/>
          <w:szCs w:val="26"/>
        </w:rPr>
        <w:t xml:space="preserve"> </w:t>
      </w:r>
    </w:p>
    <w:p w14:paraId="173EA1DB" w14:textId="1E6A921D" w:rsidR="001F4CD6" w:rsidRPr="0038179C" w:rsidRDefault="0055019C" w:rsidP="002F6375">
      <w:pPr>
        <w:spacing w:line="360" w:lineRule="auto"/>
        <w:ind w:firstLine="720"/>
      </w:pPr>
      <w:r w:rsidRPr="0038179C">
        <w:rPr>
          <w:rFonts w:cs="Arial"/>
          <w:szCs w:val="26"/>
        </w:rPr>
        <w:t xml:space="preserve">Second, </w:t>
      </w:r>
      <w:r w:rsidR="00EA2947" w:rsidRPr="0038179C">
        <w:rPr>
          <w:rFonts w:cs="Arial"/>
          <w:szCs w:val="26"/>
        </w:rPr>
        <w:t xml:space="preserve">Rojas does not establish the trial court abused its discretion by finding </w:t>
      </w:r>
      <w:r w:rsidR="00F6071D" w:rsidRPr="0038179C">
        <w:rPr>
          <w:rFonts w:cs="Arial"/>
          <w:szCs w:val="26"/>
        </w:rPr>
        <w:t xml:space="preserve">that, regardless of her burden, </w:t>
      </w:r>
      <w:r w:rsidR="00EA2947" w:rsidRPr="0038179C">
        <w:rPr>
          <w:rFonts w:cs="Arial"/>
          <w:szCs w:val="26"/>
        </w:rPr>
        <w:t>HSBC’</w:t>
      </w:r>
      <w:r w:rsidR="00F6071D" w:rsidRPr="0038179C">
        <w:rPr>
          <w:rFonts w:cs="Arial"/>
          <w:szCs w:val="26"/>
        </w:rPr>
        <w:t>s</w:t>
      </w:r>
      <w:r w:rsidR="00161CE2" w:rsidRPr="0038179C">
        <w:rPr>
          <w:rFonts w:cs="Arial"/>
          <w:szCs w:val="26"/>
        </w:rPr>
        <w:t xml:space="preserve"> evidence </w:t>
      </w:r>
      <w:r w:rsidR="00D56F01" w:rsidRPr="0038179C">
        <w:rPr>
          <w:rFonts w:cs="Arial"/>
          <w:szCs w:val="26"/>
        </w:rPr>
        <w:t>e</w:t>
      </w:r>
      <w:r w:rsidR="00161CE2" w:rsidRPr="0038179C">
        <w:rPr>
          <w:rFonts w:cs="Arial"/>
          <w:szCs w:val="26"/>
        </w:rPr>
        <w:t>stablished its</w:t>
      </w:r>
      <w:r w:rsidR="00F6071D" w:rsidRPr="0038179C">
        <w:rPr>
          <w:rFonts w:cs="Arial"/>
          <w:szCs w:val="26"/>
        </w:rPr>
        <w:t xml:space="preserve"> </w:t>
      </w:r>
      <w:r w:rsidR="00EA2947" w:rsidRPr="0038179C">
        <w:rPr>
          <w:rFonts w:cs="Arial"/>
          <w:szCs w:val="26"/>
        </w:rPr>
        <w:t xml:space="preserve">expert costs were reasonable and necessary.  </w:t>
      </w:r>
      <w:r w:rsidR="00F6071D" w:rsidRPr="0038179C">
        <w:rPr>
          <w:rFonts w:cs="Arial"/>
          <w:szCs w:val="26"/>
        </w:rPr>
        <w:t xml:space="preserve"> </w:t>
      </w:r>
      <w:r w:rsidR="00F6071D" w:rsidRPr="0038179C">
        <w:t>Under</w:t>
      </w:r>
      <w:r w:rsidR="00657A75" w:rsidRPr="0038179C">
        <w:t xml:space="preserve"> section 998, </w:t>
      </w:r>
      <w:r w:rsidR="007C2B2B" w:rsidRPr="0038179C">
        <w:t xml:space="preserve">if a defendant’s offer is </w:t>
      </w:r>
      <w:bookmarkStart w:id="438" w:name="dabmq_210"/>
      <w:r w:rsidR="007C2B2B" w:rsidRPr="0038179C">
        <w:t>“not accepted and the plaintiff fails to obtain a more favorable judgment,”</w:t>
      </w:r>
      <w:bookmarkEnd w:id="438"/>
      <w:r w:rsidR="007C2B2B" w:rsidRPr="0038179C">
        <w:t xml:space="preserve"> the court </w:t>
      </w:r>
      <w:bookmarkStart w:id="439" w:name="dabmq_211"/>
      <w:r w:rsidR="007C2B2B" w:rsidRPr="0038179C">
        <w:t>“may require the plaintiff to pay a reasonable sum to cover postoffer costs of the services of expert witnesses . . . actually incurred and reasonably necessary in either, or both, preparation for trial . . . , or during trial . . . , of the case by the defendant.”</w:t>
      </w:r>
      <w:bookmarkEnd w:id="439"/>
      <w:r w:rsidR="007C2B2B" w:rsidRPr="0038179C">
        <w:t xml:space="preserve">  (</w:t>
      </w:r>
      <w:bookmarkStart w:id="440" w:name="dabmci_01560cf945744d70b3a2cf5eed2acd7d"/>
      <w:r w:rsidR="007C2B2B" w:rsidRPr="0038179C">
        <w:t>Code Civ. Proc.</w:t>
      </w:r>
      <w:r w:rsidR="00A34E45">
        <w:t>,</w:t>
      </w:r>
      <w:r w:rsidR="007C2B2B" w:rsidRPr="0038179C">
        <w:t xml:space="preserve"> § 998, subd. (c)(1)</w:t>
      </w:r>
      <w:bookmarkEnd w:id="440"/>
      <w:r w:rsidR="001F4CD6" w:rsidRPr="0038179C">
        <w:t>.)</w:t>
      </w:r>
    </w:p>
    <w:p w14:paraId="52E4A553" w14:textId="3DB7D88D" w:rsidR="00EA2947" w:rsidRPr="0038179C" w:rsidRDefault="00EA2947" w:rsidP="00565EC8">
      <w:pPr>
        <w:spacing w:line="360" w:lineRule="auto"/>
        <w:ind w:firstLine="720"/>
      </w:pPr>
      <w:r w:rsidRPr="0038179C">
        <w:t>Rojas disputes four expenses</w:t>
      </w:r>
      <w:r w:rsidR="00F6071D" w:rsidRPr="0038179C">
        <w:t xml:space="preserve"> here</w:t>
      </w:r>
      <w:r w:rsidRPr="0038179C">
        <w:t xml:space="preserve">: a “limousine” ride for $165; </w:t>
      </w:r>
      <w:bookmarkStart w:id="441" w:name="dabmq_212"/>
      <w:r w:rsidR="00565EC8" w:rsidRPr="0038179C">
        <w:t>“[m]eals in the amount of $273.43”</w:t>
      </w:r>
      <w:bookmarkEnd w:id="441"/>
      <w:r w:rsidRPr="0038179C">
        <w:t xml:space="preserve">; 1.8 hours of </w:t>
      </w:r>
      <w:r w:rsidR="00756D6B" w:rsidRPr="0038179C">
        <w:t>“[a]</w:t>
      </w:r>
      <w:r w:rsidRPr="0038179C">
        <w:t>dministrative</w:t>
      </w:r>
      <w:r w:rsidR="00756D6B" w:rsidRPr="0038179C">
        <w:t>”</w:t>
      </w:r>
      <w:r w:rsidRPr="0038179C">
        <w:t xml:space="preserve"> time entries </w:t>
      </w:r>
      <w:r w:rsidR="00C9535C" w:rsidRPr="0038179C">
        <w:t>totaling</w:t>
      </w:r>
      <w:r w:rsidRPr="0038179C">
        <w:t xml:space="preserve"> $6</w:t>
      </w:r>
      <w:r w:rsidR="00565EC8" w:rsidRPr="0038179C">
        <w:t>75</w:t>
      </w:r>
      <w:r w:rsidRPr="0038179C">
        <w:t xml:space="preserve">; and 72.8 hours of other time entries, </w:t>
      </w:r>
      <w:r w:rsidR="00C9535C" w:rsidRPr="0038179C">
        <w:t>totaling</w:t>
      </w:r>
      <w:r w:rsidRPr="0038179C">
        <w:t xml:space="preserve"> $27,150.  We address each in turn</w:t>
      </w:r>
      <w:r w:rsidR="00F6071D" w:rsidRPr="0038179C">
        <w:t>.</w:t>
      </w:r>
    </w:p>
    <w:p w14:paraId="35B99C63" w14:textId="20872BC7" w:rsidR="00E000DE" w:rsidRPr="0038179C" w:rsidRDefault="00FA3E01" w:rsidP="00265AB2">
      <w:pPr>
        <w:pStyle w:val="Heading4"/>
        <w:spacing w:before="60" w:after="60" w:line="360" w:lineRule="auto"/>
      </w:pPr>
      <w:r w:rsidRPr="0038179C">
        <w:lastRenderedPageBreak/>
        <w:t>a.</w:t>
      </w:r>
      <w:r w:rsidRPr="0038179C">
        <w:tab/>
      </w:r>
      <w:r w:rsidRPr="0038179C">
        <w:rPr>
          <w:i/>
          <w:iCs w:val="0"/>
        </w:rPr>
        <w:t>“Limousine” Ride</w:t>
      </w:r>
    </w:p>
    <w:p w14:paraId="2E232FF0" w14:textId="50FB5BAF" w:rsidR="00EC671F" w:rsidRPr="0038179C" w:rsidRDefault="007B7BC7" w:rsidP="00882F89">
      <w:pPr>
        <w:spacing w:line="360" w:lineRule="auto"/>
      </w:pPr>
      <w:r w:rsidRPr="0038179C">
        <w:tab/>
        <w:t xml:space="preserve">With respect to the “limousine” charge for $165, Rojas </w:t>
      </w:r>
      <w:r w:rsidR="00F6071D" w:rsidRPr="0038179C">
        <w:t>argues</w:t>
      </w:r>
      <w:r w:rsidRPr="0038179C">
        <w:t xml:space="preserve"> </w:t>
      </w:r>
      <w:bookmarkStart w:id="442" w:name="dabmq_213"/>
      <w:r w:rsidRPr="0038179C">
        <w:t>“[n]</w:t>
      </w:r>
      <w:r w:rsidR="00995F65" w:rsidRPr="0038179C">
        <w:t xml:space="preserve">othing indicates how use of a luxury </w:t>
      </w:r>
      <w:r w:rsidRPr="0038179C">
        <w:t>‘[l]</w:t>
      </w:r>
      <w:r w:rsidR="00995F65" w:rsidRPr="0038179C">
        <w:t>imousine</w:t>
      </w:r>
      <w:r w:rsidRPr="0038179C">
        <w:t>’</w:t>
      </w:r>
      <w:r w:rsidR="00995F65" w:rsidRPr="0038179C">
        <w:t xml:space="preserve"> as opposed to a regular car via Uber or Lyft was reasonably necessary </w:t>
      </w:r>
      <w:r w:rsidR="00F6071D" w:rsidRPr="0038179C">
        <w:t xml:space="preserve">. . . </w:t>
      </w:r>
      <w:r w:rsidR="00995F65" w:rsidRPr="0038179C">
        <w:t>.</w:t>
      </w:r>
      <w:r w:rsidRPr="0038179C">
        <w:t>”</w:t>
      </w:r>
      <w:bookmarkEnd w:id="442"/>
      <w:r w:rsidRPr="0038179C">
        <w:t xml:space="preserve">  </w:t>
      </w:r>
      <w:r w:rsidR="00756D6B" w:rsidRPr="0038179C">
        <w:t>T</w:t>
      </w:r>
      <w:r w:rsidRPr="0038179C">
        <w:t xml:space="preserve">ransportation </w:t>
      </w:r>
      <w:r w:rsidR="00756D6B" w:rsidRPr="0038179C">
        <w:t>may be</w:t>
      </w:r>
      <w:r w:rsidRPr="0038179C">
        <w:t xml:space="preserve"> a </w:t>
      </w:r>
      <w:r w:rsidR="00E43D28" w:rsidRPr="0038179C">
        <w:t>necessary</w:t>
      </w:r>
      <w:r w:rsidR="00756D6B" w:rsidRPr="0038179C">
        <w:t xml:space="preserve"> and reasonable</w:t>
      </w:r>
      <w:r w:rsidRPr="0038179C">
        <w:t xml:space="preserve"> </w:t>
      </w:r>
      <w:r w:rsidR="00F6071D" w:rsidRPr="0038179C">
        <w:t>expense</w:t>
      </w:r>
      <w:r w:rsidRPr="0038179C">
        <w:t>.  (</w:t>
      </w:r>
      <w:r w:rsidR="00756D6B" w:rsidRPr="0038179C">
        <w:t xml:space="preserve">See </w:t>
      </w:r>
      <w:bookmarkStart w:id="443" w:name="dabmci_59dc41e4f3e94cf0affe78e08078eb92"/>
      <w:r w:rsidR="004F341E" w:rsidRPr="0038179C">
        <w:rPr>
          <w:i/>
          <w:iCs/>
        </w:rPr>
        <w:t xml:space="preserve">Thon v. Thompson </w:t>
      </w:r>
      <w:r w:rsidR="004F341E" w:rsidRPr="0038179C">
        <w:t>(1994) 29 Cal.App.4th 1546, 1548</w:t>
      </w:r>
      <w:r w:rsidR="00293B87" w:rsidRPr="0038179C">
        <w:rPr>
          <w:lang w:bidi="en-US"/>
        </w:rPr>
        <w:t>–</w:t>
      </w:r>
      <w:r w:rsidR="004F341E" w:rsidRPr="0038179C">
        <w:t>154</w:t>
      </w:r>
      <w:r w:rsidR="00756D6B" w:rsidRPr="0038179C">
        <w:t>9</w:t>
      </w:r>
      <w:bookmarkEnd w:id="443"/>
      <w:r w:rsidR="004F341E" w:rsidRPr="0038179C">
        <w:t xml:space="preserve">.)  </w:t>
      </w:r>
      <w:r w:rsidRPr="0038179C">
        <w:t xml:space="preserve">Rojas appears to assume “limousine” was a factual description of </w:t>
      </w:r>
      <w:r w:rsidR="00F6071D" w:rsidRPr="0038179C">
        <w:t>the vehicle</w:t>
      </w:r>
      <w:r w:rsidR="00DB51AA" w:rsidRPr="0038179C">
        <w:t xml:space="preserve"> (</w:t>
      </w:r>
      <w:r w:rsidR="0043392A" w:rsidRPr="0038179C">
        <w:t>not just</w:t>
      </w:r>
      <w:r w:rsidR="00DB51AA" w:rsidRPr="0038179C">
        <w:t xml:space="preserve"> branding)</w:t>
      </w:r>
      <w:r w:rsidRPr="0038179C">
        <w:t>,</w:t>
      </w:r>
      <w:r w:rsidR="00F6071D" w:rsidRPr="0038179C">
        <w:t xml:space="preserve"> and</w:t>
      </w:r>
      <w:r w:rsidRPr="0038179C">
        <w:t xml:space="preserve"> </w:t>
      </w:r>
      <w:r w:rsidR="00E43D28" w:rsidRPr="0038179C">
        <w:t xml:space="preserve">that it was </w:t>
      </w:r>
      <w:r w:rsidR="00F6071D" w:rsidRPr="0038179C">
        <w:t xml:space="preserve">more </w:t>
      </w:r>
      <w:r w:rsidRPr="0038179C">
        <w:t>expensive than alternative</w:t>
      </w:r>
      <w:r w:rsidR="00E43D28" w:rsidRPr="0038179C">
        <w:t xml:space="preserve"> forms of transport</w:t>
      </w:r>
      <w:r w:rsidRPr="0038179C">
        <w:t xml:space="preserve">.  But she </w:t>
      </w:r>
      <w:r w:rsidR="006331C3" w:rsidRPr="0038179C">
        <w:t>identifies</w:t>
      </w:r>
      <w:r w:rsidRPr="0038179C">
        <w:t xml:space="preserve"> no evidence for these assumptions.</w:t>
      </w:r>
      <w:r w:rsidR="004F341E" w:rsidRPr="0038179C">
        <w:t xml:space="preserve">  (Compare </w:t>
      </w:r>
      <w:bookmarkStart w:id="444" w:name="dabmci_aa91d742fcc94383a4ae8998f2d8434f"/>
      <w:r w:rsidR="004F341E" w:rsidRPr="0038179C">
        <w:rPr>
          <w:i/>
          <w:iCs/>
        </w:rPr>
        <w:t>Thon</w:t>
      </w:r>
      <w:r w:rsidR="004F341E" w:rsidRPr="0038179C">
        <w:t xml:space="preserve">, at p. </w:t>
      </w:r>
      <w:r w:rsidR="002F1C67" w:rsidRPr="0038179C">
        <w:t>1549</w:t>
      </w:r>
      <w:bookmarkEnd w:id="444"/>
      <w:r w:rsidR="004F341E" w:rsidRPr="0038179C">
        <w:t xml:space="preserve"> [where counsel conceded he took charter flight to save attorney fees</w:t>
      </w:r>
      <w:r w:rsidR="00DB51AA" w:rsidRPr="0038179C">
        <w:t xml:space="preserve"> for client</w:t>
      </w:r>
      <w:r w:rsidR="004F341E" w:rsidRPr="0038179C">
        <w:t xml:space="preserve">, court erred by awarding more than commercial flight cost].)  </w:t>
      </w:r>
      <w:r w:rsidRPr="0038179C">
        <w:t>The trial court was within its discretion to find the cost</w:t>
      </w:r>
      <w:r w:rsidR="004F341E" w:rsidRPr="0038179C">
        <w:t xml:space="preserve"> </w:t>
      </w:r>
      <w:r w:rsidRPr="0038179C">
        <w:t>reasonable.</w:t>
      </w:r>
      <w:r w:rsidR="0084671E" w:rsidRPr="0038179C">
        <w:t xml:space="preserve"> </w:t>
      </w:r>
    </w:p>
    <w:p w14:paraId="6E3CC79C" w14:textId="46309F60" w:rsidR="00E000DE" w:rsidRPr="0038179C" w:rsidRDefault="00FA3E01" w:rsidP="00265AB2">
      <w:pPr>
        <w:pStyle w:val="Heading4"/>
        <w:spacing w:before="60" w:after="60" w:line="360" w:lineRule="auto"/>
      </w:pPr>
      <w:r w:rsidRPr="0038179C">
        <w:t>b.</w:t>
      </w:r>
      <w:r w:rsidRPr="0038179C">
        <w:tab/>
      </w:r>
      <w:r w:rsidRPr="0038179C">
        <w:rPr>
          <w:i/>
          <w:iCs w:val="0"/>
        </w:rPr>
        <w:t>Meals</w:t>
      </w:r>
    </w:p>
    <w:p w14:paraId="1AB572B9" w14:textId="77777777" w:rsidR="00A34E45" w:rsidRDefault="007B7BC7" w:rsidP="00882F89">
      <w:pPr>
        <w:spacing w:line="360" w:lineRule="auto"/>
      </w:pPr>
      <w:r w:rsidRPr="0038179C">
        <w:tab/>
      </w:r>
      <w:r w:rsidR="00D9513B" w:rsidRPr="0038179C">
        <w:t>For the</w:t>
      </w:r>
      <w:r w:rsidRPr="0038179C">
        <w:t xml:space="preserve"> </w:t>
      </w:r>
      <w:r w:rsidR="0043392A" w:rsidRPr="0038179C">
        <w:t xml:space="preserve">$273.43 in </w:t>
      </w:r>
      <w:r w:rsidRPr="0038179C">
        <w:t xml:space="preserve">meal </w:t>
      </w:r>
      <w:r w:rsidR="00182319" w:rsidRPr="0038179C">
        <w:t>costs</w:t>
      </w:r>
      <w:r w:rsidRPr="0038179C">
        <w:t xml:space="preserve">, </w:t>
      </w:r>
      <w:r w:rsidR="00D9513B" w:rsidRPr="0038179C">
        <w:t xml:space="preserve">Rojas </w:t>
      </w:r>
      <w:r w:rsidR="0043392A" w:rsidRPr="0038179C">
        <w:t>argues</w:t>
      </w:r>
      <w:r w:rsidR="00E43D28" w:rsidRPr="0038179C">
        <w:t xml:space="preserve"> </w:t>
      </w:r>
      <w:r w:rsidR="00182319" w:rsidRPr="0038179C">
        <w:t xml:space="preserve">the receipts </w:t>
      </w:r>
      <w:r w:rsidRPr="0038179C">
        <w:t xml:space="preserve">do not show how many people </w:t>
      </w:r>
      <w:r w:rsidR="00281AAB" w:rsidRPr="0038179C">
        <w:t>participated</w:t>
      </w:r>
      <w:r w:rsidR="00E43D28" w:rsidRPr="0038179C">
        <w:t xml:space="preserve"> or</w:t>
      </w:r>
      <w:r w:rsidRPr="0038179C">
        <w:t xml:space="preserve"> what was ordered</w:t>
      </w:r>
      <w:r w:rsidR="00565EC8" w:rsidRPr="0038179C">
        <w:t>,</w:t>
      </w:r>
      <w:r w:rsidRPr="0038179C">
        <w:t xml:space="preserve"> and </w:t>
      </w:r>
      <w:r w:rsidR="0043392A" w:rsidRPr="0038179C">
        <w:t>that</w:t>
      </w:r>
      <w:r w:rsidRPr="0038179C">
        <w:t xml:space="preserve"> </w:t>
      </w:r>
      <w:r w:rsidR="0043392A" w:rsidRPr="0038179C">
        <w:t>a</w:t>
      </w:r>
      <w:r w:rsidRPr="0038179C">
        <w:t xml:space="preserve"> 50 percent tip</w:t>
      </w:r>
      <w:r w:rsidR="00565EC8" w:rsidRPr="0038179C">
        <w:t xml:space="preserve"> for one meal </w:t>
      </w:r>
      <w:r w:rsidRPr="0038179C">
        <w:t xml:space="preserve">was excessive.  </w:t>
      </w:r>
      <w:r w:rsidR="00DC5B8F" w:rsidRPr="0038179C">
        <w:t xml:space="preserve">It </w:t>
      </w:r>
      <w:r w:rsidR="0043392A" w:rsidRPr="0038179C">
        <w:t>is not clear the 50 percent</w:t>
      </w:r>
      <w:r w:rsidR="005A1325" w:rsidRPr="0038179C">
        <w:t xml:space="preserve"> tip was </w:t>
      </w:r>
      <w:r w:rsidR="0043392A" w:rsidRPr="0038179C">
        <w:t xml:space="preserve">even </w:t>
      </w:r>
      <w:r w:rsidR="005A1325" w:rsidRPr="0038179C">
        <w:t>part of the claimed</w:t>
      </w:r>
      <w:r w:rsidR="0043392A" w:rsidRPr="0038179C">
        <w:t xml:space="preserve"> meal</w:t>
      </w:r>
      <w:r w:rsidR="005A1325" w:rsidRPr="0038179C">
        <w:t xml:space="preserve"> costs.</w:t>
      </w:r>
      <w:r w:rsidR="00DC5B8F" w:rsidRPr="0038179C">
        <w:rPr>
          <w:rStyle w:val="FootnoteReference"/>
        </w:rPr>
        <w:footnoteReference w:id="24"/>
      </w:r>
      <w:r w:rsidR="007944AC" w:rsidRPr="0038179C">
        <w:t xml:space="preserve">  </w:t>
      </w:r>
      <w:r w:rsidR="005A1325" w:rsidRPr="0038179C">
        <w:t>In any event, a</w:t>
      </w:r>
      <w:r w:rsidR="00E43D28" w:rsidRPr="0038179C">
        <w:t xml:space="preserve">s the trial court recognized, </w:t>
      </w:r>
      <w:r w:rsidR="0084671E" w:rsidRPr="0038179C">
        <w:t xml:space="preserve">HSBC’s expert </w:t>
      </w:r>
      <w:r w:rsidR="00E43D28" w:rsidRPr="0038179C">
        <w:t>was</w:t>
      </w:r>
      <w:r w:rsidR="0084671E" w:rsidRPr="0038179C">
        <w:t xml:space="preserve"> from Georgia, and m</w:t>
      </w:r>
      <w:r w:rsidRPr="0038179C">
        <w:t xml:space="preserve">eal expenses for </w:t>
      </w:r>
      <w:r w:rsidR="00E43D28" w:rsidRPr="0038179C">
        <w:t>interstate</w:t>
      </w:r>
      <w:r w:rsidRPr="0038179C">
        <w:t xml:space="preserve"> travel </w:t>
      </w:r>
      <w:r w:rsidR="0084671E" w:rsidRPr="0038179C">
        <w:t>may be</w:t>
      </w:r>
      <w:r w:rsidRPr="0038179C">
        <w:t xml:space="preserve"> </w:t>
      </w:r>
      <w:r w:rsidR="00E43D28" w:rsidRPr="0038179C">
        <w:t>recovered</w:t>
      </w:r>
      <w:r w:rsidRPr="0038179C">
        <w:t>.</w:t>
      </w:r>
      <w:r w:rsidR="00E43D28" w:rsidRPr="0038179C">
        <w:t xml:space="preserve">  </w:t>
      </w:r>
      <w:r w:rsidRPr="0038179C">
        <w:t>(</w:t>
      </w:r>
      <w:r w:rsidR="0084671E" w:rsidRPr="0038179C">
        <w:t xml:space="preserve">Cf. </w:t>
      </w:r>
      <w:r w:rsidR="0084671E" w:rsidRPr="0038179C">
        <w:rPr>
          <w:i/>
          <w:iCs/>
        </w:rPr>
        <w:t xml:space="preserve">Howard v. Am. Nat. Fire Ins. Co. </w:t>
      </w:r>
      <w:r w:rsidR="0084671E" w:rsidRPr="0038179C">
        <w:t>(2010) 187 Cal.App.4th at</w:t>
      </w:r>
      <w:r w:rsidR="00A34E45">
        <w:t> </w:t>
      </w:r>
    </w:p>
    <w:p w14:paraId="75844007" w14:textId="0E98E5D2" w:rsidR="00281AAB" w:rsidRPr="0038179C" w:rsidRDefault="0084671E" w:rsidP="00882F89">
      <w:pPr>
        <w:spacing w:line="360" w:lineRule="auto"/>
      </w:pPr>
      <w:r w:rsidRPr="0038179C">
        <w:lastRenderedPageBreak/>
        <w:t>p. 541 [</w:t>
      </w:r>
      <w:bookmarkStart w:id="445" w:name="dabmq_214"/>
      <w:r w:rsidRPr="0038179C">
        <w:t>“meal expenses may be reasonably necessary where an out-of-state attorney must travel to the deposition”</w:t>
      </w:r>
      <w:bookmarkEnd w:id="445"/>
      <w:r w:rsidRPr="0038179C">
        <w:t>].)</w:t>
      </w:r>
      <w:r w:rsidR="005A1325" w:rsidRPr="0038179C">
        <w:t xml:space="preserve">  </w:t>
      </w:r>
      <w:r w:rsidR="00565EC8" w:rsidRPr="0038179C">
        <w:t>Rojas</w:t>
      </w:r>
      <w:r w:rsidR="00281AAB" w:rsidRPr="0038179C">
        <w:t xml:space="preserve"> does not establish the court exceeded the bounds of reason, based on her speculation about the meals </w:t>
      </w:r>
      <w:r w:rsidR="005C53D7" w:rsidRPr="0038179C">
        <w:t xml:space="preserve">generally </w:t>
      </w:r>
      <w:r w:rsidR="00281AAB" w:rsidRPr="0038179C">
        <w:t>or because one meal</w:t>
      </w:r>
      <w:r w:rsidR="007944AC" w:rsidRPr="0038179C">
        <w:t xml:space="preserve"> </w:t>
      </w:r>
      <w:r w:rsidR="00281AAB" w:rsidRPr="0038179C">
        <w:t xml:space="preserve">may have involved a generous tip. </w:t>
      </w:r>
    </w:p>
    <w:p w14:paraId="3C8752FD" w14:textId="6819846C" w:rsidR="00E000DE" w:rsidRPr="0038179C" w:rsidRDefault="00FA3E01" w:rsidP="00265AB2">
      <w:pPr>
        <w:pStyle w:val="Heading4"/>
        <w:spacing w:before="60" w:after="60" w:line="360" w:lineRule="auto"/>
      </w:pPr>
      <w:r w:rsidRPr="0038179C">
        <w:t>c.</w:t>
      </w:r>
      <w:r w:rsidRPr="0038179C">
        <w:tab/>
      </w:r>
      <w:r w:rsidRPr="0038179C">
        <w:rPr>
          <w:i/>
          <w:iCs w:val="0"/>
        </w:rPr>
        <w:t>Administrative Work and Other Entries</w:t>
      </w:r>
    </w:p>
    <w:p w14:paraId="6513BFF7" w14:textId="6E293BA6" w:rsidR="009D7A14" w:rsidRPr="0038179C" w:rsidRDefault="00D9513B" w:rsidP="005F7FD2">
      <w:pPr>
        <w:spacing w:line="360" w:lineRule="auto"/>
        <w:ind w:firstLine="720"/>
      </w:pPr>
      <w:r w:rsidRPr="0038179C">
        <w:t xml:space="preserve">Finally, Rojas </w:t>
      </w:r>
      <w:r w:rsidR="007C431A" w:rsidRPr="0038179C">
        <w:t xml:space="preserve">contends </w:t>
      </w:r>
      <w:r w:rsidRPr="0038179C">
        <w:t>the</w:t>
      </w:r>
      <w:r w:rsidR="007C431A" w:rsidRPr="0038179C">
        <w:t xml:space="preserve"> entries for </w:t>
      </w:r>
      <w:r w:rsidR="00D22210" w:rsidRPr="0038179C">
        <w:t>$675</w:t>
      </w:r>
      <w:r w:rsidRPr="0038179C">
        <w:t xml:space="preserve"> </w:t>
      </w:r>
      <w:r w:rsidR="007C431A" w:rsidRPr="0038179C">
        <w:t>of</w:t>
      </w:r>
      <w:r w:rsidRPr="0038179C">
        <w:t xml:space="preserve"> administrative work</w:t>
      </w:r>
      <w:r w:rsidR="007C431A" w:rsidRPr="0038179C">
        <w:t xml:space="preserve">  and</w:t>
      </w:r>
      <w:r w:rsidR="00753CDA" w:rsidRPr="0038179C">
        <w:t xml:space="preserve"> </w:t>
      </w:r>
      <w:r w:rsidR="00A01864" w:rsidRPr="0038179C">
        <w:t xml:space="preserve">other entries totaling $27,150 </w:t>
      </w:r>
      <w:r w:rsidR="007C431A" w:rsidRPr="0038179C">
        <w:t>lacked sufficient detail</w:t>
      </w:r>
      <w:r w:rsidR="00D22210" w:rsidRPr="0038179C">
        <w:t>.</w:t>
      </w:r>
      <w:r w:rsidR="000D6946" w:rsidRPr="0038179C">
        <w:t xml:space="preserve"> </w:t>
      </w:r>
      <w:r w:rsidR="006D19B9" w:rsidRPr="0038179C">
        <w:t xml:space="preserve"> For the latter, </w:t>
      </w:r>
      <w:r w:rsidR="00753CDA" w:rsidRPr="0038179C">
        <w:t xml:space="preserve">her only specific contention is that </w:t>
      </w:r>
      <w:r w:rsidR="006D19B9" w:rsidRPr="0038179C">
        <w:t xml:space="preserve">many entries </w:t>
      </w:r>
      <w:proofErr w:type="gramStart"/>
      <w:r w:rsidR="006D19B9" w:rsidRPr="0038179C">
        <w:t>state</w:t>
      </w:r>
      <w:proofErr w:type="gramEnd"/>
      <w:r w:rsidR="006D19B9" w:rsidRPr="0038179C">
        <w:t xml:space="preserve"> “Document Review,” </w:t>
      </w:r>
      <w:r w:rsidR="009D7A14" w:rsidRPr="0038179C">
        <w:t>and</w:t>
      </w:r>
      <w:r w:rsidR="006D19B9" w:rsidRPr="0038179C">
        <w:t xml:space="preserve"> there is no way to determine what documents were reviewed, whether </w:t>
      </w:r>
      <w:r w:rsidR="00A01864" w:rsidRPr="0038179C">
        <w:t xml:space="preserve">the </w:t>
      </w:r>
      <w:r w:rsidR="007C431A" w:rsidRPr="0038179C">
        <w:t>work was</w:t>
      </w:r>
      <w:r w:rsidR="006D19B9" w:rsidRPr="0038179C">
        <w:t xml:space="preserve"> duplicative, or if </w:t>
      </w:r>
      <w:r w:rsidR="00A01864" w:rsidRPr="0038179C">
        <w:t xml:space="preserve">the </w:t>
      </w:r>
      <w:r w:rsidR="006D19B9" w:rsidRPr="0038179C">
        <w:t>review time was excessive.</w:t>
      </w:r>
      <w:r w:rsidR="001F4CD6" w:rsidRPr="0038179C">
        <w:t xml:space="preserve"> </w:t>
      </w:r>
      <w:r w:rsidR="009D7A14" w:rsidRPr="0038179C">
        <w:t xml:space="preserve"> But </w:t>
      </w:r>
      <w:bookmarkStart w:id="446" w:name="dabmci_6bf955a16c824375b137cfcce8adbdfa"/>
      <w:r w:rsidR="009D7A14" w:rsidRPr="0038179C">
        <w:t>s</w:t>
      </w:r>
      <w:r w:rsidR="00F90250" w:rsidRPr="0038179C">
        <w:t>ection 998</w:t>
      </w:r>
      <w:bookmarkEnd w:id="446"/>
      <w:r w:rsidR="00F90250" w:rsidRPr="0038179C">
        <w:t xml:space="preserve"> </w:t>
      </w:r>
      <w:r w:rsidR="007C431A" w:rsidRPr="0038179C">
        <w:t>allows</w:t>
      </w:r>
      <w:r w:rsidR="00F90250" w:rsidRPr="0038179C">
        <w:t xml:space="preserve"> expert costs </w:t>
      </w:r>
      <w:bookmarkStart w:id="447" w:name="dabmq_215"/>
      <w:r w:rsidR="002465CD" w:rsidRPr="0038179C">
        <w:t>“reasonably necessary in . . . preparation for trial,”</w:t>
      </w:r>
      <w:bookmarkEnd w:id="447"/>
      <w:r w:rsidR="002465CD" w:rsidRPr="0038179C">
        <w:t xml:space="preserve"> and </w:t>
      </w:r>
      <w:r w:rsidR="00074C73" w:rsidRPr="0038179C">
        <w:t>both</w:t>
      </w:r>
      <w:r w:rsidR="006D19B9" w:rsidRPr="0038179C">
        <w:t xml:space="preserve"> administrative work</w:t>
      </w:r>
      <w:r w:rsidR="00074C73" w:rsidRPr="0038179C">
        <w:t xml:space="preserve"> and </w:t>
      </w:r>
      <w:r w:rsidR="006D19B9" w:rsidRPr="0038179C">
        <w:t>document review</w:t>
      </w:r>
      <w:r w:rsidR="00074C73" w:rsidRPr="0038179C">
        <w:t xml:space="preserve"> </w:t>
      </w:r>
      <w:r w:rsidR="009D7A14" w:rsidRPr="0038179C">
        <w:t>may</w:t>
      </w:r>
      <w:r w:rsidR="00074C73" w:rsidRPr="0038179C">
        <w:t xml:space="preserve"> be necessary</w:t>
      </w:r>
      <w:r w:rsidR="002465CD" w:rsidRPr="0038179C">
        <w:t>.</w:t>
      </w:r>
      <w:r w:rsidR="007C431A" w:rsidRPr="0038179C">
        <w:t xml:space="preserve">  </w:t>
      </w:r>
      <w:r w:rsidR="002465CD" w:rsidRPr="0038179C">
        <w:t>(</w:t>
      </w:r>
      <w:bookmarkStart w:id="448" w:name="dabmci_9f18e25335c846a88712e03e922da229"/>
      <w:r w:rsidR="002465CD" w:rsidRPr="0038179C">
        <w:t>§ 998, subd. (c)(1)</w:t>
      </w:r>
      <w:bookmarkEnd w:id="448"/>
      <w:r w:rsidR="002465CD" w:rsidRPr="0038179C">
        <w:t xml:space="preserve">; see </w:t>
      </w:r>
      <w:bookmarkStart w:id="449" w:name="dabmci_f6bfed282d0e46c28d69c72c1031eeeb"/>
      <w:r w:rsidR="002465CD" w:rsidRPr="0038179C">
        <w:rPr>
          <w:i/>
          <w:iCs/>
        </w:rPr>
        <w:t>Chaaban</w:t>
      </w:r>
      <w:r w:rsidR="002465CD" w:rsidRPr="0038179C">
        <w:t xml:space="preserve">, </w:t>
      </w:r>
      <w:r w:rsidR="002465CD" w:rsidRPr="0038179C">
        <w:rPr>
          <w:i/>
          <w:iCs/>
        </w:rPr>
        <w:t>supra</w:t>
      </w:r>
      <w:r w:rsidR="002465CD" w:rsidRPr="0038179C">
        <w:t>, 203 Cal.App.4th at p. 56</w:t>
      </w:r>
      <w:bookmarkEnd w:id="449"/>
      <w:r w:rsidR="001F4CD6" w:rsidRPr="0038179C">
        <w:t xml:space="preserve"> [affirming expert costs for </w:t>
      </w:r>
      <w:bookmarkStart w:id="450" w:name="dabmq_216"/>
      <w:r w:rsidR="001F4CD6" w:rsidRPr="0038179C">
        <w:t>“preparation time, trial testimony, and travel time”</w:t>
      </w:r>
      <w:bookmarkEnd w:id="450"/>
      <w:r w:rsidR="002465CD" w:rsidRPr="0038179C">
        <w:t>].)</w:t>
      </w:r>
      <w:r w:rsidR="009D7A14" w:rsidRPr="0038179C">
        <w:t xml:space="preserve">  </w:t>
      </w:r>
    </w:p>
    <w:p w14:paraId="145E7A0A" w14:textId="136A0C2B" w:rsidR="00074C73" w:rsidRPr="0038179C" w:rsidRDefault="007C431A" w:rsidP="005F7FD2">
      <w:pPr>
        <w:spacing w:line="360" w:lineRule="auto"/>
        <w:ind w:firstLine="720"/>
      </w:pPr>
      <w:r w:rsidRPr="0038179C">
        <w:t xml:space="preserve">Further, the trial court found HSBC’s evidence was “sufficiently specific” to determine the reasonableness of the claimed costs.  </w:t>
      </w:r>
      <w:r w:rsidR="006D19B9" w:rsidRPr="0038179C">
        <w:t xml:space="preserve">Rojas </w:t>
      </w:r>
      <w:r w:rsidRPr="0038179C">
        <w:t xml:space="preserve">does not establish any </w:t>
      </w:r>
      <w:r w:rsidR="005F7FD2" w:rsidRPr="0038179C">
        <w:t>specific</w:t>
      </w:r>
      <w:r w:rsidRPr="0038179C">
        <w:t xml:space="preserve"> level of detail </w:t>
      </w:r>
      <w:r w:rsidR="00074C73" w:rsidRPr="0038179C">
        <w:t>was</w:t>
      </w:r>
      <w:r w:rsidRPr="0038179C">
        <w:t xml:space="preserve"> </w:t>
      </w:r>
      <w:r w:rsidR="005F2492" w:rsidRPr="0038179C">
        <w:t>required</w:t>
      </w:r>
      <w:r w:rsidR="006D19B9" w:rsidRPr="0038179C">
        <w:t>.  (</w:t>
      </w:r>
      <w:r w:rsidR="005F7FD2" w:rsidRPr="0038179C">
        <w:rPr>
          <w:lang w:bidi="en-US"/>
        </w:rPr>
        <w:t xml:space="preserve">See </w:t>
      </w:r>
      <w:bookmarkStart w:id="451" w:name="dabmci_93c13b9a423448cea433d2d610340dbd"/>
      <w:r w:rsidR="005F7FD2" w:rsidRPr="0038179C">
        <w:rPr>
          <w:i/>
          <w:iCs/>
        </w:rPr>
        <w:t>Jones</w:t>
      </w:r>
      <w:r w:rsidR="005F7FD2" w:rsidRPr="0038179C">
        <w:t xml:space="preserve">, </w:t>
      </w:r>
      <w:r w:rsidR="005F7FD2" w:rsidRPr="0038179C">
        <w:rPr>
          <w:i/>
          <w:iCs/>
        </w:rPr>
        <w:t>supra</w:t>
      </w:r>
      <w:r w:rsidR="005F7FD2" w:rsidRPr="0038179C">
        <w:t>, 63 Cal.App.4th at p. 1267</w:t>
      </w:r>
      <w:bookmarkEnd w:id="451"/>
      <w:r w:rsidR="005F7FD2" w:rsidRPr="0038179C">
        <w:t xml:space="preserve"> [no requirement </w:t>
      </w:r>
      <w:r w:rsidR="00A01864" w:rsidRPr="0038179C">
        <w:t xml:space="preserve">that </w:t>
      </w:r>
      <w:bookmarkStart w:id="452" w:name="dabmq_217"/>
      <w:r w:rsidR="005F7FD2" w:rsidRPr="0038179C">
        <w:t>“copies of bills, invoices, statements, or any other such documents be attached to the [costs] memorandum”</w:t>
      </w:r>
      <w:bookmarkEnd w:id="452"/>
      <w:r w:rsidR="005F7FD2" w:rsidRPr="0038179C">
        <w:t xml:space="preserve">]; </w:t>
      </w:r>
      <w:bookmarkStart w:id="453" w:name="dabmci_84413ca9abd3495aa6639a9ae45e96ee"/>
      <w:r w:rsidR="0084671E" w:rsidRPr="0038179C">
        <w:rPr>
          <w:i/>
          <w:iCs/>
        </w:rPr>
        <w:t>Thon</w:t>
      </w:r>
      <w:r w:rsidR="00985012" w:rsidRPr="0038179C">
        <w:rPr>
          <w:i/>
          <w:iCs/>
        </w:rPr>
        <w:t xml:space="preserve">, supra, </w:t>
      </w:r>
      <w:r w:rsidR="0084671E" w:rsidRPr="0038179C">
        <w:t xml:space="preserve">29 Cal.App.4th </w:t>
      </w:r>
      <w:r w:rsidR="00985012" w:rsidRPr="0038179C">
        <w:t>at pp.</w:t>
      </w:r>
      <w:r w:rsidR="0084671E" w:rsidRPr="0038179C">
        <w:t xml:space="preserve"> 1548</w:t>
      </w:r>
      <w:r w:rsidR="00284882" w:rsidRPr="0038179C">
        <w:t>–</w:t>
      </w:r>
      <w:r w:rsidR="0084671E" w:rsidRPr="0038179C">
        <w:t>1549</w:t>
      </w:r>
      <w:bookmarkEnd w:id="453"/>
      <w:r w:rsidR="004F341E" w:rsidRPr="0038179C">
        <w:t xml:space="preserve"> [</w:t>
      </w:r>
      <w:r w:rsidR="00074C73" w:rsidRPr="0038179C">
        <w:t>disagreeing</w:t>
      </w:r>
      <w:r w:rsidR="004F341E" w:rsidRPr="0038179C">
        <w:t xml:space="preserve"> court er</w:t>
      </w:r>
      <w:r w:rsidRPr="0038179C">
        <w:t>r</w:t>
      </w:r>
      <w:r w:rsidR="004F341E" w:rsidRPr="0038179C">
        <w:t>ed b</w:t>
      </w:r>
      <w:r w:rsidR="00074C73" w:rsidRPr="0038179C">
        <w:t xml:space="preserve">y, inter alia, </w:t>
      </w:r>
      <w:bookmarkStart w:id="454" w:name="dabmq_218"/>
      <w:r w:rsidR="004F341E" w:rsidRPr="0038179C">
        <w:t>“awarding costs absent sufficient detail of the expenditures”</w:t>
      </w:r>
      <w:bookmarkEnd w:id="454"/>
      <w:r w:rsidR="00074C73" w:rsidRPr="0038179C">
        <w:t>;</w:t>
      </w:r>
      <w:r w:rsidR="004F341E" w:rsidRPr="0038179C">
        <w:t xml:space="preserve"> defendant </w:t>
      </w:r>
      <w:r w:rsidR="00074C73" w:rsidRPr="0038179C">
        <w:t>supplied</w:t>
      </w:r>
      <w:r w:rsidR="004F341E" w:rsidRPr="0038179C">
        <w:t xml:space="preserve"> itemized costs and attorney declaration </w:t>
      </w:r>
      <w:r w:rsidR="00D86099" w:rsidRPr="0038179C">
        <w:t>asserting</w:t>
      </w:r>
      <w:r w:rsidR="004F341E" w:rsidRPr="0038179C">
        <w:t xml:space="preserve"> necessity, and </w:t>
      </w:r>
      <w:bookmarkStart w:id="455" w:name="dabmq_219"/>
      <w:r w:rsidR="004F341E" w:rsidRPr="0038179C">
        <w:t>“absent an explicit statement by the trial court to the contrary, it is presumed the court properly exercised its legal duty”</w:t>
      </w:r>
      <w:bookmarkEnd w:id="455"/>
      <w:r w:rsidR="004F341E" w:rsidRPr="0038179C">
        <w:t>]</w:t>
      </w:r>
      <w:r w:rsidR="00586DA1" w:rsidRPr="0038179C">
        <w:t xml:space="preserve">; cf. </w:t>
      </w:r>
      <w:bookmarkStart w:id="456" w:name="dabmci_1ad14e8b41b3467e859bdeeac7d21c38"/>
      <w:r w:rsidR="00586DA1" w:rsidRPr="0038179C">
        <w:rPr>
          <w:i/>
          <w:iCs/>
        </w:rPr>
        <w:t>Syers Prop</w:t>
      </w:r>
      <w:r w:rsidR="005F7FD2" w:rsidRPr="0038179C">
        <w:rPr>
          <w:i/>
          <w:iCs/>
        </w:rPr>
        <w:t>s.</w:t>
      </w:r>
      <w:r w:rsidR="00586DA1" w:rsidRPr="0038179C">
        <w:rPr>
          <w:i/>
          <w:iCs/>
        </w:rPr>
        <w:t xml:space="preserve"> III, Inc. v. Rankin</w:t>
      </w:r>
      <w:r w:rsidR="00586DA1" w:rsidRPr="0038179C">
        <w:t xml:space="preserve"> (2014) 226 Cal.App.4th 691, </w:t>
      </w:r>
      <w:r w:rsidR="00284882" w:rsidRPr="0038179C">
        <w:t>699</w:t>
      </w:r>
      <w:bookmarkEnd w:id="456"/>
      <w:r w:rsidR="00586DA1" w:rsidRPr="0038179C">
        <w:t xml:space="preserve"> [attorney</w:t>
      </w:r>
      <w:r w:rsidR="005F7FD2" w:rsidRPr="0038179C">
        <w:t>’s</w:t>
      </w:r>
      <w:r w:rsidR="00586DA1" w:rsidRPr="0038179C">
        <w:t xml:space="preserve"> fees; </w:t>
      </w:r>
      <w:bookmarkStart w:id="457" w:name="dabmq_220"/>
      <w:r w:rsidR="00586DA1" w:rsidRPr="0038179C">
        <w:t>“</w:t>
      </w:r>
      <w:r w:rsidR="00EC1A2E">
        <w:t> </w:t>
      </w:r>
      <w:r w:rsidR="005F7FD2" w:rsidRPr="0038179C">
        <w:t>‘Because time records are not required under California law . . ., there is no required level of detail that counsel must achieve’ ”</w:t>
      </w:r>
      <w:bookmarkEnd w:id="457"/>
      <w:r w:rsidR="005F7FD2" w:rsidRPr="0038179C">
        <w:t>].)</w:t>
      </w:r>
    </w:p>
    <w:p w14:paraId="09D169B5" w14:textId="078D6161" w:rsidR="00DA5529" w:rsidRPr="0038179C" w:rsidRDefault="002465CD" w:rsidP="00265AB2">
      <w:pPr>
        <w:pStyle w:val="Heading3"/>
        <w:spacing w:before="60" w:after="240" w:line="240" w:lineRule="auto"/>
        <w:ind w:left="1440" w:hanging="720"/>
        <w:rPr>
          <w:i w:val="0"/>
          <w:iCs w:val="0"/>
        </w:rPr>
      </w:pPr>
      <w:r w:rsidRPr="0038179C">
        <w:rPr>
          <w:i w:val="0"/>
          <w:iCs w:val="0"/>
        </w:rPr>
        <w:lastRenderedPageBreak/>
        <w:t>3</w:t>
      </w:r>
      <w:r w:rsidR="00DA5529" w:rsidRPr="0038179C">
        <w:rPr>
          <w:i w:val="0"/>
          <w:iCs w:val="0"/>
        </w:rPr>
        <w:t>.</w:t>
      </w:r>
      <w:r w:rsidR="00DA5529" w:rsidRPr="0038179C">
        <w:rPr>
          <w:i w:val="0"/>
          <w:iCs w:val="0"/>
        </w:rPr>
        <w:tab/>
      </w:r>
      <w:r w:rsidR="00DA5529" w:rsidRPr="0038179C">
        <w:t xml:space="preserve">The Trial Court Did Not </w:t>
      </w:r>
      <w:r w:rsidR="007345AA" w:rsidRPr="0038179C">
        <w:t xml:space="preserve">Abuse Its Discretion </w:t>
      </w:r>
      <w:proofErr w:type="gramStart"/>
      <w:r w:rsidR="00EC2CC6" w:rsidRPr="0038179C">
        <w:t>By</w:t>
      </w:r>
      <w:proofErr w:type="gramEnd"/>
      <w:r w:rsidR="007345AA" w:rsidRPr="0038179C">
        <w:t xml:space="preserve"> </w:t>
      </w:r>
      <w:r w:rsidR="00EC2CC6" w:rsidRPr="0038179C">
        <w:t xml:space="preserve">Declining To Reduce </w:t>
      </w:r>
      <w:bookmarkStart w:id="458" w:name="dabmci_3c1357d98e1641898ea37ff48144c65f"/>
      <w:r w:rsidR="00EC2CC6" w:rsidRPr="0038179C">
        <w:t>Section 998</w:t>
      </w:r>
      <w:bookmarkEnd w:id="458"/>
      <w:r w:rsidR="00EC2CC6" w:rsidRPr="0038179C">
        <w:t xml:space="preserve"> Costs Based On Rojas’s </w:t>
      </w:r>
      <w:r w:rsidR="00DA5529" w:rsidRPr="0038179C">
        <w:t xml:space="preserve">Economic </w:t>
      </w:r>
      <w:r w:rsidR="00DA5529" w:rsidRPr="0038179C">
        <w:tab/>
      </w:r>
      <w:r w:rsidR="00F05A02" w:rsidRPr="0038179C">
        <w:t xml:space="preserve">Situation </w:t>
      </w:r>
    </w:p>
    <w:p w14:paraId="4974043E" w14:textId="06E3B016" w:rsidR="00BB155B" w:rsidRPr="0038179C" w:rsidRDefault="000E53DE" w:rsidP="00882F89">
      <w:pPr>
        <w:spacing w:line="360" w:lineRule="auto"/>
      </w:pPr>
      <w:r w:rsidRPr="0038179C">
        <w:tab/>
        <w:t xml:space="preserve">Rojas also </w:t>
      </w:r>
      <w:r w:rsidR="002465CD" w:rsidRPr="0038179C">
        <w:t>argues</w:t>
      </w:r>
      <w:r w:rsidRPr="0038179C">
        <w:t xml:space="preserve"> the tr</w:t>
      </w:r>
      <w:r w:rsidR="007345AA" w:rsidRPr="0038179C">
        <w:t xml:space="preserve">ial court abused its discretion in setting the </w:t>
      </w:r>
      <w:bookmarkStart w:id="459" w:name="dabmci_252b44590c944e2397d0e23c5eef7616"/>
      <w:r w:rsidR="007345AA" w:rsidRPr="0038179C">
        <w:t>section 998</w:t>
      </w:r>
      <w:bookmarkEnd w:id="459"/>
      <w:r w:rsidR="007345AA" w:rsidRPr="0038179C">
        <w:t xml:space="preserve"> costs, by purportedly failing to consider undisputed facts regarding her limited economic means.  </w:t>
      </w:r>
      <w:r w:rsidR="002465CD" w:rsidRPr="0038179C">
        <w:t xml:space="preserve">The court </w:t>
      </w:r>
      <w:r w:rsidR="00BB155B" w:rsidRPr="0038179C">
        <w:t>did</w:t>
      </w:r>
      <w:r w:rsidR="002465CD" w:rsidRPr="0038179C">
        <w:t xml:space="preserve"> consider </w:t>
      </w:r>
      <w:r w:rsidR="007907D8" w:rsidRPr="0038179C">
        <w:t xml:space="preserve">Rojas’s </w:t>
      </w:r>
      <w:r w:rsidR="00451723" w:rsidRPr="0038179C">
        <w:t>situation</w:t>
      </w:r>
      <w:r w:rsidR="00BB155B" w:rsidRPr="0038179C">
        <w:t xml:space="preserve">, </w:t>
      </w:r>
      <w:r w:rsidR="003B435F" w:rsidRPr="0038179C">
        <w:t>and</w:t>
      </w:r>
      <w:r w:rsidR="000D6946" w:rsidRPr="0038179C">
        <w:t xml:space="preserve"> reasonably</w:t>
      </w:r>
      <w:r w:rsidR="00BB155B" w:rsidRPr="0038179C">
        <w:t xml:space="preserve"> found her evidence </w:t>
      </w:r>
      <w:r w:rsidR="000D6946" w:rsidRPr="0038179C">
        <w:t>insufficient to limit costs.</w:t>
      </w:r>
    </w:p>
    <w:p w14:paraId="3967DFBD" w14:textId="47DE7405" w:rsidR="00B92BD2" w:rsidRPr="0038179C" w:rsidRDefault="00BB155B" w:rsidP="00882F89">
      <w:pPr>
        <w:spacing w:line="360" w:lineRule="auto"/>
      </w:pPr>
      <w:r w:rsidRPr="0038179C">
        <w:tab/>
        <w:t xml:space="preserve">In awarding costs </w:t>
      </w:r>
      <w:r w:rsidR="007345AA" w:rsidRPr="0038179C">
        <w:t>under</w:t>
      </w:r>
      <w:r w:rsidRPr="0038179C">
        <w:t xml:space="preserve"> </w:t>
      </w:r>
      <w:bookmarkStart w:id="460" w:name="dabmci_4899904b79ae435093b2158c2790382b"/>
      <w:r w:rsidRPr="0038179C">
        <w:t>section 998</w:t>
      </w:r>
      <w:bookmarkEnd w:id="460"/>
      <w:r w:rsidRPr="0038179C">
        <w:t xml:space="preserve">, a court has “discretionary authority” to </w:t>
      </w:r>
      <w:bookmarkStart w:id="461" w:name="dabmq_221"/>
      <w:r w:rsidRPr="0038179C">
        <w:t>“consider[] . . . a party’s ability to pay when determining the appropriate recovery under that statute.”</w:t>
      </w:r>
      <w:bookmarkEnd w:id="461"/>
      <w:r w:rsidRPr="0038179C">
        <w:t xml:space="preserve">  (</w:t>
      </w:r>
      <w:bookmarkStart w:id="462" w:name="dabmci_5e8e678a25914731a172d3b90827ecd3"/>
      <w:r w:rsidR="00AB3199" w:rsidRPr="0038179C">
        <w:rPr>
          <w:i/>
          <w:iCs/>
        </w:rPr>
        <w:t xml:space="preserve">LAOSD Asbestos Cases </w:t>
      </w:r>
      <w:r w:rsidR="00AB3199" w:rsidRPr="0038179C">
        <w:t>(2018) 25</w:t>
      </w:r>
      <w:r w:rsidR="00EC1A2E">
        <w:t> </w:t>
      </w:r>
      <w:r w:rsidR="00AB3199" w:rsidRPr="0038179C">
        <w:t>Cal.App.5th 1116, 1127</w:t>
      </w:r>
      <w:r w:rsidR="00E07AED" w:rsidRPr="0038179C">
        <w:t xml:space="preserve"> (</w:t>
      </w:r>
      <w:r w:rsidR="00E07AED" w:rsidRPr="0038179C">
        <w:rPr>
          <w:i/>
          <w:iCs/>
        </w:rPr>
        <w:t>LAOSD</w:t>
      </w:r>
      <w:r w:rsidR="00E07AED" w:rsidRPr="0038179C">
        <w:t>)</w:t>
      </w:r>
      <w:bookmarkEnd w:id="462"/>
      <w:r w:rsidRPr="0038179C">
        <w:t xml:space="preserve">; see </w:t>
      </w:r>
      <w:bookmarkStart w:id="463" w:name="dabmci_4795f25e25de4cc6adf91e036649aa63"/>
      <w:r w:rsidRPr="0038179C">
        <w:rPr>
          <w:i/>
          <w:iCs/>
        </w:rPr>
        <w:t>Santantonio v. Westinghouse Broadcasting Co.</w:t>
      </w:r>
      <w:r w:rsidRPr="0038179C">
        <w:t xml:space="preserve"> (1994) 25 Cal.App.4th 102, 125</w:t>
      </w:r>
      <w:r w:rsidR="00284882" w:rsidRPr="0038179C">
        <w:t>,</w:t>
      </w:r>
      <w:r w:rsidRPr="0038179C">
        <w:t xml:space="preserve"> fn. 7</w:t>
      </w:r>
      <w:bookmarkEnd w:id="463"/>
      <w:r w:rsidRPr="0038179C">
        <w:t xml:space="preserve"> [</w:t>
      </w:r>
      <w:bookmarkStart w:id="464" w:name="dabmci_b8669a184b3e4121b79bdbdc3a01b581"/>
      <w:r w:rsidR="000C3199" w:rsidRPr="0038179C">
        <w:t>§ 998</w:t>
      </w:r>
      <w:bookmarkEnd w:id="464"/>
      <w:r w:rsidR="000C3199" w:rsidRPr="0038179C">
        <w:t xml:space="preserve"> </w:t>
      </w:r>
      <w:bookmarkStart w:id="465" w:name="dabmq_222"/>
      <w:r w:rsidR="000C3199" w:rsidRPr="0038179C">
        <w:t>“</w:t>
      </w:r>
      <w:r w:rsidRPr="0038179C">
        <w:t>permits the trial court, via exercise of discretion, to consider a party’s ability to pay costs.”</w:t>
      </w:r>
      <w:bookmarkEnd w:id="465"/>
      <w:r w:rsidRPr="0038179C">
        <w:t xml:space="preserve">]; cf. </w:t>
      </w:r>
      <w:bookmarkStart w:id="466" w:name="dabmci_1ae4e47a9f64497b9fe645618102ed3c"/>
      <w:r w:rsidRPr="0038179C">
        <w:rPr>
          <w:i/>
          <w:iCs/>
        </w:rPr>
        <w:t>Seever v. Copley Press, Inc.</w:t>
      </w:r>
      <w:r w:rsidRPr="0038179C">
        <w:t xml:space="preserve"> (2006) 141 Cal.App.4th 1550, 1561</w:t>
      </w:r>
      <w:r w:rsidR="007B20A5" w:rsidRPr="0038179C">
        <w:t xml:space="preserve"> (</w:t>
      </w:r>
      <w:r w:rsidR="007B20A5" w:rsidRPr="0038179C">
        <w:rPr>
          <w:i/>
          <w:iCs/>
        </w:rPr>
        <w:t>Seever</w:t>
      </w:r>
      <w:r w:rsidR="007B20A5" w:rsidRPr="0038179C">
        <w:t>)</w:t>
      </w:r>
      <w:bookmarkEnd w:id="466"/>
      <w:r w:rsidR="007345AA" w:rsidRPr="0038179C">
        <w:t xml:space="preserve"> </w:t>
      </w:r>
      <w:r w:rsidRPr="0038179C">
        <w:t xml:space="preserve">[trial court </w:t>
      </w:r>
      <w:bookmarkStart w:id="467" w:name="dabmq_223"/>
      <w:r w:rsidRPr="0038179C">
        <w:t>“must take account of the offeree’s economic resources,”</w:t>
      </w:r>
      <w:bookmarkEnd w:id="467"/>
      <w:r w:rsidRPr="0038179C">
        <w:t xml:space="preserve"> disapproved on other grounds in </w:t>
      </w:r>
      <w:bookmarkStart w:id="468" w:name="dabmci_eeba6e4e1edf401d818e4aa839865fc2"/>
      <w:r w:rsidRPr="0038179C">
        <w:rPr>
          <w:i/>
          <w:iCs/>
        </w:rPr>
        <w:t>Segal</w:t>
      </w:r>
      <w:r w:rsidRPr="0038179C">
        <w:t xml:space="preserve">, </w:t>
      </w:r>
      <w:r w:rsidRPr="0038179C">
        <w:rPr>
          <w:i/>
          <w:iCs/>
        </w:rPr>
        <w:t>supra</w:t>
      </w:r>
      <w:r w:rsidRPr="0038179C">
        <w:t xml:space="preserve">, </w:t>
      </w:r>
      <w:r w:rsidR="00432324" w:rsidRPr="0038179C">
        <w:t xml:space="preserve">12 </w:t>
      </w:r>
      <w:r w:rsidRPr="0038179C">
        <w:t>Cal.5th at p. 668, fn. 5</w:t>
      </w:r>
      <w:bookmarkEnd w:id="468"/>
      <w:r w:rsidRPr="0038179C">
        <w:t>].)</w:t>
      </w:r>
    </w:p>
    <w:p w14:paraId="5E92E37C" w14:textId="3D75E728" w:rsidR="006607A5" w:rsidRPr="0038179C" w:rsidRDefault="007345AA" w:rsidP="00E07AED">
      <w:pPr>
        <w:spacing w:line="360" w:lineRule="auto"/>
      </w:pPr>
      <w:r w:rsidRPr="0038179C">
        <w:tab/>
        <w:t xml:space="preserve">Here, the trial court recognized it </w:t>
      </w:r>
      <w:r w:rsidR="00BB155B" w:rsidRPr="0038179C">
        <w:t xml:space="preserve">had discretion to consider </w:t>
      </w:r>
      <w:r w:rsidRPr="0038179C">
        <w:t>Rojas’s economic</w:t>
      </w:r>
      <w:r w:rsidR="00BB155B" w:rsidRPr="0038179C">
        <w:t xml:space="preserve"> </w:t>
      </w:r>
      <w:r w:rsidR="000D6946" w:rsidRPr="0038179C">
        <w:t>situation</w:t>
      </w:r>
      <w:r w:rsidRPr="0038179C">
        <w:t xml:space="preserve"> and ability to </w:t>
      </w:r>
      <w:proofErr w:type="gramStart"/>
      <w:r w:rsidRPr="0038179C">
        <w:t>pay</w:t>
      </w:r>
      <w:r w:rsidR="000D6946" w:rsidRPr="0038179C">
        <w:t xml:space="preserve">, </w:t>
      </w:r>
      <w:r w:rsidRPr="0038179C">
        <w:t>and</w:t>
      </w:r>
      <w:proofErr w:type="gramEnd"/>
      <w:r w:rsidRPr="0038179C">
        <w:t xml:space="preserve"> did consider it.  However, the court found </w:t>
      </w:r>
      <w:r w:rsidR="00BB155B" w:rsidRPr="0038179C">
        <w:t xml:space="preserve">it could not conclude she was </w:t>
      </w:r>
      <w:r w:rsidRPr="0038179C">
        <w:t>“</w:t>
      </w:r>
      <w:r w:rsidR="00BB155B" w:rsidRPr="0038179C">
        <w:t>incapable of paying</w:t>
      </w:r>
      <w:r w:rsidRPr="0038179C">
        <w:t>” the expert costs</w:t>
      </w:r>
      <w:r w:rsidR="00BB155B" w:rsidRPr="0038179C">
        <w:t xml:space="preserve">, </w:t>
      </w:r>
      <w:r w:rsidRPr="0038179C">
        <w:t xml:space="preserve">explaining she </w:t>
      </w:r>
      <w:r w:rsidR="00BB155B" w:rsidRPr="0038179C">
        <w:t xml:space="preserve">provided </w:t>
      </w:r>
      <w:bookmarkStart w:id="469" w:name="dabmq_224"/>
      <w:r w:rsidR="00BB155B" w:rsidRPr="0038179C">
        <w:t>“bare declaratory testimony as to her monthly income”</w:t>
      </w:r>
      <w:bookmarkEnd w:id="469"/>
      <w:r w:rsidR="00BB155B" w:rsidRPr="0038179C">
        <w:t xml:space="preserve"> and </w:t>
      </w:r>
      <w:bookmarkStart w:id="470" w:name="dabmq_225"/>
      <w:r w:rsidR="00BB155B" w:rsidRPr="0038179C">
        <w:t>“no information regarding, inter alia, her monthly expenses or ability to obtain financial assistance from third parties.”</w:t>
      </w:r>
      <w:bookmarkEnd w:id="470"/>
      <w:r w:rsidR="00BB155B" w:rsidRPr="0038179C">
        <w:t xml:space="preserve"> </w:t>
      </w:r>
      <w:r w:rsidR="00F366D6" w:rsidRPr="0038179C">
        <w:t xml:space="preserve"> </w:t>
      </w:r>
      <w:r w:rsidRPr="0038179C">
        <w:t xml:space="preserve">These findings were reasonable, as assessing economic circumstances requires information about both income and </w:t>
      </w:r>
      <w:r w:rsidRPr="0038179C">
        <w:rPr>
          <w:i/>
          <w:iCs/>
        </w:rPr>
        <w:t>expenses</w:t>
      </w:r>
      <w:r w:rsidRPr="0038179C">
        <w:t>.</w:t>
      </w:r>
      <w:r w:rsidR="00F339F2" w:rsidRPr="0038179C">
        <w:t xml:space="preserve">  (</w:t>
      </w:r>
      <w:r w:rsidR="00E07AED" w:rsidRPr="0038179C">
        <w:t xml:space="preserve">See </w:t>
      </w:r>
      <w:bookmarkStart w:id="471" w:name="dabmci_1127c8bdc2c94d97a356a9803edb1c1f"/>
      <w:r w:rsidR="00E07AED" w:rsidRPr="0038179C">
        <w:rPr>
          <w:i/>
          <w:iCs/>
        </w:rPr>
        <w:t>LAOSD</w:t>
      </w:r>
      <w:r w:rsidR="00E07AED" w:rsidRPr="0038179C">
        <w:t xml:space="preserve">, </w:t>
      </w:r>
      <w:r w:rsidR="00E07AED" w:rsidRPr="0038179C">
        <w:rPr>
          <w:i/>
          <w:iCs/>
        </w:rPr>
        <w:t>supra</w:t>
      </w:r>
      <w:r w:rsidR="00E07AED" w:rsidRPr="0038179C">
        <w:t>, 25 Cal.App.5th at p. 1127</w:t>
      </w:r>
      <w:bookmarkEnd w:id="471"/>
      <w:r w:rsidR="00E07AED" w:rsidRPr="0038179C">
        <w:t xml:space="preserve"> [evidence of inability to pay includes </w:t>
      </w:r>
      <w:bookmarkStart w:id="472" w:name="dabmq_226"/>
      <w:r w:rsidR="00E07AED" w:rsidRPr="0038179C">
        <w:t xml:space="preserve">“ ‘gross income, . . . net income, . . . </w:t>
      </w:r>
      <w:r w:rsidR="00E07AED" w:rsidRPr="0038179C">
        <w:rPr>
          <w:i/>
          <w:iCs/>
        </w:rPr>
        <w:t>monthly expenses</w:t>
      </w:r>
      <w:r w:rsidR="00E07AED" w:rsidRPr="0038179C">
        <w:t>, . . .  assets, or any other information which . . . would lend support to [the party’s] position,</w:t>
      </w:r>
      <w:r w:rsidR="00A60751" w:rsidRPr="0038179C">
        <w:t xml:space="preserve">’ </w:t>
      </w:r>
      <w:r w:rsidR="00E07AED" w:rsidRPr="0038179C">
        <w:t>”</w:t>
      </w:r>
      <w:bookmarkEnd w:id="472"/>
      <w:r w:rsidR="00A60751" w:rsidRPr="0038179C">
        <w:t xml:space="preserve"> </w:t>
      </w:r>
      <w:r w:rsidR="00861FEA">
        <w:t>(</w:t>
      </w:r>
      <w:r w:rsidR="00E07AED" w:rsidRPr="0038179C">
        <w:t>italics added</w:t>
      </w:r>
      <w:r w:rsidR="00861FEA">
        <w:t>)</w:t>
      </w:r>
      <w:r w:rsidR="00E07AED" w:rsidRPr="0038179C">
        <w:t>].)</w:t>
      </w:r>
      <w:r w:rsidR="006607A5" w:rsidRPr="0038179C">
        <w:t xml:space="preserve">  </w:t>
      </w:r>
    </w:p>
    <w:p w14:paraId="277F35B7" w14:textId="054F7565" w:rsidR="005B087D" w:rsidRPr="0038179C" w:rsidRDefault="00B976E0" w:rsidP="005B087D">
      <w:pPr>
        <w:spacing w:line="360" w:lineRule="auto"/>
      </w:pPr>
      <w:r w:rsidRPr="0038179C">
        <w:tab/>
        <w:t xml:space="preserve">We are not persuaded by Rojas’s contention that </w:t>
      </w:r>
      <w:r w:rsidR="00AE168C" w:rsidRPr="0038179C">
        <w:t xml:space="preserve">it </w:t>
      </w:r>
      <w:r w:rsidR="00480799" w:rsidRPr="0038179C">
        <w:t>was</w:t>
      </w:r>
      <w:r w:rsidR="00B92BD2" w:rsidRPr="0038179C">
        <w:t xml:space="preserve"> “undisputed” </w:t>
      </w:r>
      <w:r w:rsidR="00480799" w:rsidRPr="0038179C">
        <w:t xml:space="preserve">her “ ‘extremely low’ ” income </w:t>
      </w:r>
      <w:bookmarkStart w:id="473" w:name="dabmq_227"/>
      <w:r w:rsidR="00480799" w:rsidRPr="0038179C">
        <w:t>“</w:t>
      </w:r>
      <w:r w:rsidR="00B92BD2" w:rsidRPr="0038179C">
        <w:t xml:space="preserve">barely covers her necessary living expenses, </w:t>
      </w:r>
      <w:r w:rsidR="00B92BD2" w:rsidRPr="0038179C">
        <w:lastRenderedPageBreak/>
        <w:t>and that she has no other economic resources readily available to her</w:t>
      </w:r>
      <w:r w:rsidR="00480799" w:rsidRPr="0038179C">
        <w:t>.”</w:t>
      </w:r>
      <w:bookmarkEnd w:id="473"/>
      <w:r w:rsidR="00480799" w:rsidRPr="0038179C">
        <w:t xml:space="preserve">  </w:t>
      </w:r>
      <w:r w:rsidRPr="0038179C">
        <w:t>She</w:t>
      </w:r>
      <w:r w:rsidR="00480799" w:rsidRPr="0038179C">
        <w:t xml:space="preserve"> did make these conclusory assertions</w:t>
      </w:r>
      <w:r w:rsidRPr="0038179C">
        <w:t xml:space="preserve"> about her expenses</w:t>
      </w:r>
      <w:r w:rsidR="00AE168C" w:rsidRPr="0038179C">
        <w:t>,</w:t>
      </w:r>
      <w:r w:rsidR="00480799" w:rsidRPr="0038179C">
        <w:t xml:space="preserve"> in her declaration </w:t>
      </w:r>
      <w:r w:rsidRPr="0038179C">
        <w:t>supporting her</w:t>
      </w:r>
      <w:r w:rsidR="00480799" w:rsidRPr="0038179C">
        <w:t xml:space="preserve"> motion to strike or tax costs.  </w:t>
      </w:r>
      <w:r w:rsidR="00200023" w:rsidRPr="0038179C">
        <w:t xml:space="preserve">However, </w:t>
      </w:r>
      <w:r w:rsidR="00480799" w:rsidRPr="0038179C">
        <w:t xml:space="preserve">the </w:t>
      </w:r>
      <w:r w:rsidRPr="0038179C">
        <w:t xml:space="preserve">trial </w:t>
      </w:r>
      <w:r w:rsidR="00480799" w:rsidRPr="0038179C">
        <w:t xml:space="preserve">court was not required to accept them as credible—particularly when </w:t>
      </w:r>
      <w:r w:rsidRPr="0038179C">
        <w:t>she</w:t>
      </w:r>
      <w:r w:rsidR="00480799" w:rsidRPr="0038179C">
        <w:t xml:space="preserve"> </w:t>
      </w:r>
      <w:r w:rsidR="00480799" w:rsidRPr="0038179C">
        <w:rPr>
          <w:i/>
          <w:iCs/>
        </w:rPr>
        <w:t xml:space="preserve">did </w:t>
      </w:r>
      <w:r w:rsidR="00480799" w:rsidRPr="0038179C">
        <w:t xml:space="preserve">provide </w:t>
      </w:r>
      <w:r w:rsidRPr="0038179C">
        <w:t>specific</w:t>
      </w:r>
      <w:r w:rsidR="00480799" w:rsidRPr="0038179C">
        <w:t xml:space="preserve"> information </w:t>
      </w:r>
      <w:r w:rsidRPr="0038179C">
        <w:t>about</w:t>
      </w:r>
      <w:r w:rsidR="00480799" w:rsidRPr="0038179C">
        <w:t xml:space="preserve"> her income.  </w:t>
      </w:r>
      <w:bookmarkStart w:id="474" w:name="_Hlk125388412"/>
      <w:r w:rsidRPr="0038179C">
        <w:t xml:space="preserve">Indeed, there was evidence at trial that Rojas lived with her </w:t>
      </w:r>
      <w:r w:rsidR="006D44FD" w:rsidRPr="0038179C">
        <w:t xml:space="preserve">boyfriend, her </w:t>
      </w:r>
      <w:r w:rsidRPr="0038179C">
        <w:t>daughter Alejandra</w:t>
      </w:r>
      <w:r w:rsidR="006D44FD" w:rsidRPr="0038179C">
        <w:t xml:space="preserve">, and Alejandra’s boyfriend, </w:t>
      </w:r>
      <w:r w:rsidRPr="0038179C">
        <w:t>during the period relevant to her Privacy Act claims, reflecting potentially shared expenses</w:t>
      </w:r>
      <w:r w:rsidR="006D44FD" w:rsidRPr="0038179C">
        <w:t xml:space="preserve"> at some point</w:t>
      </w:r>
      <w:r w:rsidRPr="0038179C">
        <w:t>.</w:t>
      </w:r>
      <w:bookmarkEnd w:id="474"/>
      <w:r w:rsidR="006D44FD" w:rsidRPr="0038179C">
        <w:t xml:space="preserve"> </w:t>
      </w:r>
      <w:r w:rsidR="005B087D" w:rsidRPr="0038179C">
        <w:t xml:space="preserve"> </w:t>
      </w:r>
    </w:p>
    <w:p w14:paraId="3FAD6574" w14:textId="13726AFD" w:rsidR="005B087D" w:rsidRPr="0038179C" w:rsidRDefault="005B087D" w:rsidP="005B087D">
      <w:pPr>
        <w:spacing w:line="360" w:lineRule="auto"/>
        <w:ind w:firstLine="720"/>
      </w:pPr>
      <w:r w:rsidRPr="0038179C">
        <w:t xml:space="preserve">The trial court could fairly conclude Rojas did not justify a reduction in expert costs under </w:t>
      </w:r>
      <w:bookmarkStart w:id="475" w:name="dabmci_5b833e8bfb924e49a42ee4a1e0d2df66"/>
      <w:r w:rsidRPr="0038179C">
        <w:t>section 998</w:t>
      </w:r>
      <w:bookmarkEnd w:id="475"/>
      <w:r w:rsidRPr="0038179C">
        <w:t xml:space="preserve">.  Although we might not have reached this result, we cannot say the court’s decision was outside the bounds of reason.  </w:t>
      </w:r>
    </w:p>
    <w:p w14:paraId="5D3BDB89" w14:textId="068C51BF" w:rsidR="00DA5529" w:rsidRPr="0038179C" w:rsidRDefault="00DA5529" w:rsidP="00265AB2">
      <w:pPr>
        <w:pStyle w:val="Heading3"/>
        <w:spacing w:before="60" w:after="60"/>
      </w:pPr>
      <w:r w:rsidRPr="0038179C">
        <w:rPr>
          <w:i w:val="0"/>
          <w:iCs w:val="0"/>
        </w:rPr>
        <w:t>4.</w:t>
      </w:r>
      <w:r w:rsidRPr="0038179C">
        <w:rPr>
          <w:i w:val="0"/>
          <w:iCs w:val="0"/>
        </w:rPr>
        <w:tab/>
      </w:r>
      <w:r w:rsidRPr="0038179C">
        <w:t xml:space="preserve">The Trial Court Did Not Err in Awarding </w:t>
      </w:r>
      <w:r w:rsidR="007B20A5" w:rsidRPr="0038179C">
        <w:t>Unused Exhibit</w:t>
      </w:r>
      <w:r w:rsidRPr="0038179C">
        <w:t xml:space="preserve"> Costs</w:t>
      </w:r>
    </w:p>
    <w:p w14:paraId="007F2094" w14:textId="545749D4" w:rsidR="007B20A5" w:rsidRPr="0038179C" w:rsidRDefault="00B8096D" w:rsidP="00882F89">
      <w:pPr>
        <w:spacing w:line="360" w:lineRule="auto"/>
        <w:rPr>
          <w:rFonts w:cstheme="minorBidi"/>
          <w:szCs w:val="22"/>
        </w:rPr>
      </w:pPr>
      <w:r w:rsidRPr="0038179C">
        <w:rPr>
          <w:rFonts w:cstheme="minorBidi"/>
          <w:szCs w:val="22"/>
        </w:rPr>
        <w:tab/>
        <w:t xml:space="preserve">Finally, Rojas contends the trial court erred by </w:t>
      </w:r>
      <w:r w:rsidR="007B20A5" w:rsidRPr="0038179C">
        <w:rPr>
          <w:rFonts w:cstheme="minorBidi"/>
          <w:szCs w:val="22"/>
        </w:rPr>
        <w:t xml:space="preserve">allowing costs for </w:t>
      </w:r>
      <w:bookmarkStart w:id="476" w:name="dabmq_228"/>
      <w:r w:rsidR="007B20A5" w:rsidRPr="0038179C">
        <w:rPr>
          <w:rFonts w:cstheme="minorBidi"/>
          <w:szCs w:val="22"/>
        </w:rPr>
        <w:t>“models, enlargements, and photocopies of exhibits that were not admitted at trial . . . .”</w:t>
      </w:r>
      <w:bookmarkEnd w:id="476"/>
      <w:r w:rsidR="007B20A5" w:rsidRPr="0038179C">
        <w:rPr>
          <w:rFonts w:cstheme="minorBidi"/>
          <w:szCs w:val="22"/>
        </w:rPr>
        <w:t xml:space="preserve">  We disagree.</w:t>
      </w:r>
    </w:p>
    <w:p w14:paraId="3FF86322" w14:textId="389D2000" w:rsidR="002F782E" w:rsidRPr="0038179C" w:rsidRDefault="007B20A5" w:rsidP="00882F89">
      <w:pPr>
        <w:tabs>
          <w:tab w:val="left" w:pos="6930"/>
        </w:tabs>
        <w:spacing w:line="360" w:lineRule="auto"/>
        <w:ind w:firstLine="720"/>
        <w:rPr>
          <w:rFonts w:cstheme="minorBidi"/>
          <w:szCs w:val="22"/>
        </w:rPr>
      </w:pPr>
      <w:bookmarkStart w:id="477" w:name="dabmci_bc35e6352ab244e09ee0738f3e7407f4"/>
      <w:r w:rsidRPr="0038179C">
        <w:t>Code of Civil Procedure section 1033.5, subdivision (a)(13)</w:t>
      </w:r>
      <w:bookmarkEnd w:id="477"/>
      <w:r w:rsidRPr="0038179C">
        <w:t xml:space="preserve"> </w:t>
      </w:r>
      <w:r w:rsidRPr="0038179C">
        <w:rPr>
          <w:rFonts w:cs="Arial"/>
          <w:szCs w:val="26"/>
        </w:rPr>
        <w:t xml:space="preserve">states, </w:t>
      </w:r>
      <w:bookmarkStart w:id="478" w:name="dabmq_229"/>
      <w:r w:rsidRPr="0038179C">
        <w:rPr>
          <w:rFonts w:cs="Arial"/>
          <w:szCs w:val="26"/>
        </w:rPr>
        <w:t>“Models, the enlargements of exhibits and photocopies of exhibits, and the electronic presentation of exhibits, including costs of rental equipment and electronic formatting, may be allowed if they were reasonably helpful to aid the trier of fact.”</w:t>
      </w:r>
      <w:bookmarkEnd w:id="478"/>
      <w:r w:rsidRPr="0038179C">
        <w:rPr>
          <w:rFonts w:cstheme="minorBidi"/>
          <w:szCs w:val="22"/>
        </w:rPr>
        <w:t xml:space="preserve">  </w:t>
      </w:r>
      <w:r w:rsidR="002F782E" w:rsidRPr="0038179C">
        <w:t xml:space="preserve">As noted above, </w:t>
      </w:r>
      <w:r w:rsidRPr="0038179C">
        <w:t>another</w:t>
      </w:r>
      <w:r w:rsidR="002F782E" w:rsidRPr="0038179C">
        <w:t xml:space="preserve"> subdivision</w:t>
      </w:r>
      <w:r w:rsidRPr="0038179C">
        <w:t>,</w:t>
      </w:r>
      <w:r w:rsidR="002F782E" w:rsidRPr="0038179C">
        <w:t xml:space="preserve"> (c)(4)</w:t>
      </w:r>
      <w:r w:rsidR="003B435F" w:rsidRPr="0038179C">
        <w:t>,</w:t>
      </w:r>
      <w:r w:rsidR="002F782E" w:rsidRPr="0038179C">
        <w:t xml:space="preserve"> </w:t>
      </w:r>
      <w:bookmarkStart w:id="479" w:name="dabmq_230"/>
      <w:r w:rsidRPr="0038179C">
        <w:t>“</w:t>
      </w:r>
      <w:r w:rsidRPr="0038179C">
        <w:rPr>
          <w:rFonts w:cs="Arial"/>
          <w:szCs w:val="26"/>
        </w:rPr>
        <w:t>authorizes the trial court in its discretion to award or deny an item of costs not mentioned in this section.”</w:t>
      </w:r>
      <w:bookmarkEnd w:id="479"/>
      <w:r w:rsidRPr="0038179C">
        <w:rPr>
          <w:rFonts w:cs="Arial"/>
          <w:szCs w:val="26"/>
        </w:rPr>
        <w:t xml:space="preserve">  (</w:t>
      </w:r>
      <w:bookmarkStart w:id="480" w:name="dabmci_b99f4a7c5d1f4e3ba41a0bb879c3cbf0"/>
      <w:r w:rsidRPr="0038179C">
        <w:rPr>
          <w:i/>
          <w:iCs/>
        </w:rPr>
        <w:t xml:space="preserve">Segal, supra, </w:t>
      </w:r>
      <w:r w:rsidRPr="0038179C">
        <w:t>12 Cal.5th at p. 658</w:t>
      </w:r>
      <w:bookmarkEnd w:id="480"/>
      <w:r w:rsidRPr="0038179C">
        <w:rPr>
          <w:rFonts w:cs="Arial"/>
          <w:szCs w:val="26"/>
        </w:rPr>
        <w:t>.)</w:t>
      </w:r>
    </w:p>
    <w:p w14:paraId="7FC10245" w14:textId="3DFED6FC" w:rsidR="003E6008" w:rsidRPr="0038179C" w:rsidRDefault="002F782E" w:rsidP="00882F89">
      <w:pPr>
        <w:spacing w:line="360" w:lineRule="auto"/>
      </w:pPr>
      <w:r w:rsidRPr="0038179C">
        <w:rPr>
          <w:rFonts w:cs="Arial"/>
          <w:szCs w:val="26"/>
        </w:rPr>
        <w:tab/>
      </w:r>
      <w:r w:rsidR="007B20A5" w:rsidRPr="0038179C">
        <w:t>At the time of the cost proceedings below</w:t>
      </w:r>
      <w:r w:rsidR="001C64FC" w:rsidRPr="0038179C">
        <w:t xml:space="preserve"> and briefing here</w:t>
      </w:r>
      <w:r w:rsidR="007B20A5" w:rsidRPr="0038179C">
        <w:t xml:space="preserve">, </w:t>
      </w:r>
      <w:r w:rsidR="00B8096D" w:rsidRPr="0038179C">
        <w:t xml:space="preserve">there was a </w:t>
      </w:r>
      <w:bookmarkStart w:id="481" w:name="dabmq_231"/>
      <w:r w:rsidRPr="0038179C">
        <w:t>“</w:t>
      </w:r>
      <w:r w:rsidRPr="0038179C">
        <w:rPr>
          <w:rFonts w:cs="Arial"/>
          <w:szCs w:val="26"/>
        </w:rPr>
        <w:t xml:space="preserve">split of appellate authority regarding whether costs associated with unused demonstratives and photocopies of trial exhibits are recoverable, either categorically under </w:t>
      </w:r>
      <w:bookmarkStart w:id="482" w:name="dabmci_d0e1c2ee6b9347beb9348de68afa1af5"/>
      <w:r w:rsidRPr="0038179C">
        <w:rPr>
          <w:rFonts w:cs="Arial"/>
          <w:szCs w:val="26"/>
        </w:rPr>
        <w:t>section 1033.5(a)(13)</w:t>
      </w:r>
      <w:bookmarkEnd w:id="482"/>
      <w:r w:rsidRPr="0038179C">
        <w:rPr>
          <w:rFonts w:cs="Arial"/>
          <w:szCs w:val="26"/>
        </w:rPr>
        <w:t xml:space="preserve"> or in the court’s discretion pursuant to </w:t>
      </w:r>
      <w:bookmarkStart w:id="483" w:name="dabmci_dd4c6c3b7d514b9889b92b498c0be817"/>
      <w:r w:rsidRPr="0038179C">
        <w:rPr>
          <w:rFonts w:cs="Arial"/>
          <w:szCs w:val="26"/>
        </w:rPr>
        <w:t>section 1033.5(c)(4)</w:t>
      </w:r>
      <w:bookmarkEnd w:id="483"/>
      <w:r w:rsidRPr="0038179C">
        <w:rPr>
          <w:rFonts w:cs="Arial"/>
          <w:szCs w:val="26"/>
        </w:rPr>
        <w:t>.”</w:t>
      </w:r>
      <w:bookmarkEnd w:id="481"/>
      <w:r w:rsidRPr="0038179C">
        <w:rPr>
          <w:rFonts w:cs="Arial"/>
          <w:szCs w:val="26"/>
        </w:rPr>
        <w:t xml:space="preserve">  (</w:t>
      </w:r>
      <w:bookmarkStart w:id="484" w:name="dabmci_646e739a81c4453b863bb2b6faeddd7d"/>
      <w:r w:rsidR="007B20A5" w:rsidRPr="0038179C">
        <w:rPr>
          <w:i/>
          <w:iCs/>
        </w:rPr>
        <w:t xml:space="preserve">Segal, supra, </w:t>
      </w:r>
      <w:r w:rsidR="007B20A5" w:rsidRPr="0038179C">
        <w:t>12 Cal.5th at p. 658</w:t>
      </w:r>
      <w:bookmarkEnd w:id="484"/>
      <w:r w:rsidR="007B20A5" w:rsidRPr="0038179C">
        <w:t xml:space="preserve">; </w:t>
      </w:r>
      <w:r w:rsidR="007B20A5" w:rsidRPr="0038179C">
        <w:rPr>
          <w:rFonts w:cs="Arial"/>
          <w:szCs w:val="26"/>
        </w:rPr>
        <w:t>compare,</w:t>
      </w:r>
      <w:r w:rsidR="00DE3699" w:rsidRPr="0038179C">
        <w:rPr>
          <w:rFonts w:cs="Arial"/>
          <w:szCs w:val="26"/>
        </w:rPr>
        <w:t xml:space="preserve"> e.g., </w:t>
      </w:r>
      <w:bookmarkStart w:id="485" w:name="dabmci_590b13c7fa654f9482219fc2561670db"/>
      <w:r w:rsidR="00DE3699" w:rsidRPr="0038179C">
        <w:rPr>
          <w:i/>
          <w:iCs/>
        </w:rPr>
        <w:lastRenderedPageBreak/>
        <w:t>Segal v. Asics America Corp.</w:t>
      </w:r>
      <w:r w:rsidR="00DE3699" w:rsidRPr="0038179C">
        <w:t xml:space="preserve"> (2020) 50 Cal.App.5th 659, 665</w:t>
      </w:r>
      <w:bookmarkEnd w:id="485"/>
      <w:r w:rsidR="00DE3699" w:rsidRPr="0038179C">
        <w:t xml:space="preserve"> [costs for </w:t>
      </w:r>
      <w:r w:rsidR="007B20A5" w:rsidRPr="0038179C">
        <w:t xml:space="preserve">unused </w:t>
      </w:r>
      <w:r w:rsidR="00DE3699" w:rsidRPr="0038179C">
        <w:t xml:space="preserve">exhibits </w:t>
      </w:r>
      <w:r w:rsidR="008624C9" w:rsidRPr="0038179C">
        <w:t>may be awarded</w:t>
      </w:r>
      <w:r w:rsidR="00DE3699" w:rsidRPr="0038179C">
        <w:t xml:space="preserve"> under </w:t>
      </w:r>
      <w:bookmarkStart w:id="486" w:name="dabmci_ce1ce092947c4b2bb99c0947221ef845"/>
      <w:r w:rsidR="00DE3699" w:rsidRPr="0038179C">
        <w:t>Code Civ. Proc.</w:t>
      </w:r>
      <w:r w:rsidR="00A34E45">
        <w:t>,</w:t>
      </w:r>
      <w:r w:rsidR="00DE3699" w:rsidRPr="0038179C">
        <w:t xml:space="preserve"> §§ 1033.5(a)(13)</w:t>
      </w:r>
      <w:bookmarkEnd w:id="486"/>
      <w:r w:rsidR="008624C9" w:rsidRPr="0038179C">
        <w:t xml:space="preserve">, and </w:t>
      </w:r>
      <w:r w:rsidR="00457EA2" w:rsidRPr="0038179C">
        <w:t xml:space="preserve">under (c)(4) “[f]or the same reasons”]; </w:t>
      </w:r>
      <w:r w:rsidR="00DE3699" w:rsidRPr="0038179C">
        <w:t xml:space="preserve">with, e.g., </w:t>
      </w:r>
      <w:bookmarkStart w:id="487" w:name="dabmci_c042723d7a0644f4bd325c182d5cd71c"/>
      <w:r w:rsidR="00DE3699" w:rsidRPr="0038179C">
        <w:rPr>
          <w:i/>
          <w:iCs/>
        </w:rPr>
        <w:t>Seever</w:t>
      </w:r>
      <w:r w:rsidR="007B20A5" w:rsidRPr="0038179C">
        <w:rPr>
          <w:i/>
          <w:iCs/>
        </w:rPr>
        <w:t xml:space="preserve">, supra, </w:t>
      </w:r>
      <w:r w:rsidR="00DE3699" w:rsidRPr="0038179C">
        <w:t xml:space="preserve">141 Cal.App.4th </w:t>
      </w:r>
      <w:r w:rsidR="007B20A5" w:rsidRPr="0038179C">
        <w:t>at pp. 1557</w:t>
      </w:r>
      <w:r w:rsidR="00796656" w:rsidRPr="0038179C">
        <w:rPr>
          <w:lang w:bidi="en-US"/>
        </w:rPr>
        <w:t>–</w:t>
      </w:r>
      <w:r w:rsidR="007B20A5" w:rsidRPr="0038179C">
        <w:t>1561</w:t>
      </w:r>
      <w:bookmarkEnd w:id="487"/>
      <w:r w:rsidR="007B20A5" w:rsidRPr="0038179C">
        <w:t xml:space="preserve"> [costs not recoverable under either section]</w:t>
      </w:r>
      <w:r w:rsidRPr="0038179C">
        <w:rPr>
          <w:rFonts w:cs="Arial"/>
          <w:szCs w:val="26"/>
        </w:rPr>
        <w:t>.)</w:t>
      </w:r>
      <w:r w:rsidR="005205E7" w:rsidRPr="0038179C">
        <w:t xml:space="preserve">  </w:t>
      </w:r>
      <w:r w:rsidR="007B20A5" w:rsidRPr="0038179C">
        <w:t>T</w:t>
      </w:r>
      <w:r w:rsidR="00B8096D" w:rsidRPr="0038179C">
        <w:t>he California Supreme Court</w:t>
      </w:r>
      <w:r w:rsidR="007B20A5" w:rsidRPr="0038179C">
        <w:t xml:space="preserve"> subsequently</w:t>
      </w:r>
      <w:r w:rsidR="00B8096D" w:rsidRPr="0038179C">
        <w:t xml:space="preserve"> </w:t>
      </w:r>
      <w:r w:rsidRPr="0038179C">
        <w:t>resolv</w:t>
      </w:r>
      <w:r w:rsidR="005205E7" w:rsidRPr="0038179C">
        <w:t xml:space="preserve">ed the split in </w:t>
      </w:r>
      <w:bookmarkStart w:id="488" w:name="dabmci_a62b7a3aed2a4b6dbfe26745758f4682"/>
      <w:r w:rsidR="005205E7" w:rsidRPr="0038179C">
        <w:rPr>
          <w:i/>
          <w:iCs/>
        </w:rPr>
        <w:t>Segal</w:t>
      </w:r>
      <w:bookmarkEnd w:id="488"/>
      <w:r w:rsidR="005205E7" w:rsidRPr="0038179C">
        <w:t xml:space="preserve">, affirming the Court of Appeal’s disposition and holding, </w:t>
      </w:r>
      <w:bookmarkStart w:id="489" w:name="dabmq_232"/>
      <w:r w:rsidR="00DE3699" w:rsidRPr="0038179C">
        <w:t>“</w:t>
      </w:r>
      <w:r w:rsidR="005205E7" w:rsidRPr="0038179C">
        <w:t>[C]</w:t>
      </w:r>
      <w:r w:rsidR="00DE3699" w:rsidRPr="0038179C">
        <w:t xml:space="preserve">osts related to unused photocopies of trial exhibits and demonstratives are not categorically recoverable under </w:t>
      </w:r>
      <w:bookmarkStart w:id="490" w:name="dabmci_6e556b1efe3f444ea7bfea8eea737439"/>
      <w:r w:rsidR="00DE3699" w:rsidRPr="0038179C">
        <w:t>section 1033.5(a)(13)</w:t>
      </w:r>
      <w:bookmarkEnd w:id="490"/>
      <w:r w:rsidR="00DE3699" w:rsidRPr="0038179C">
        <w:t>, but they may still be awarded in the trial court</w:t>
      </w:r>
      <w:r w:rsidR="00685116" w:rsidRPr="0038179C">
        <w:t>’</w:t>
      </w:r>
      <w:r w:rsidR="00DE3699" w:rsidRPr="0038179C">
        <w:t xml:space="preserve">s discretion pursuant to </w:t>
      </w:r>
      <w:bookmarkStart w:id="491" w:name="dabmci_cad14153aa144178bc01afd8bed390a8"/>
      <w:r w:rsidR="00DE3699" w:rsidRPr="0038179C">
        <w:t>section 1033.5(c)(4)</w:t>
      </w:r>
      <w:bookmarkEnd w:id="491"/>
      <w:r w:rsidR="00DE3699" w:rsidRPr="0038179C">
        <w:t>.”</w:t>
      </w:r>
      <w:bookmarkEnd w:id="489"/>
      <w:r w:rsidR="00DE3699" w:rsidRPr="0038179C">
        <w:t xml:space="preserve">  (</w:t>
      </w:r>
      <w:r w:rsidR="00796656" w:rsidRPr="0038179C">
        <w:rPr>
          <w:rFonts w:cs="Arial"/>
          <w:i/>
          <w:iCs/>
          <w:szCs w:val="26"/>
        </w:rPr>
        <w:t>Segal,</w:t>
      </w:r>
      <w:r w:rsidR="00DE3699" w:rsidRPr="0038179C">
        <w:rPr>
          <w:rFonts w:cs="Arial"/>
          <w:szCs w:val="26"/>
        </w:rPr>
        <w:t xml:space="preserve"> </w:t>
      </w:r>
      <w:bookmarkStart w:id="492" w:name="dabmci_d5d986de50e24ed4a55bb77b4ded3cfc"/>
      <w:r w:rsidR="00DE3699" w:rsidRPr="0038179C">
        <w:rPr>
          <w:rFonts w:cs="Arial"/>
          <w:szCs w:val="26"/>
        </w:rPr>
        <w:t>at p. 657</w:t>
      </w:r>
      <w:bookmarkEnd w:id="492"/>
      <w:r w:rsidR="00DE3699" w:rsidRPr="0038179C">
        <w:t>.)</w:t>
      </w:r>
      <w:r w:rsidR="005205E7" w:rsidRPr="0038179C">
        <w:t xml:space="preserve">  </w:t>
      </w:r>
      <w:r w:rsidR="00312DC3" w:rsidRPr="0038179C">
        <w:t>As noted, w</w:t>
      </w:r>
      <w:r w:rsidR="00B8096D" w:rsidRPr="0038179C">
        <w:t xml:space="preserve">e requested supplemental briefing from the parties regarding the impact of </w:t>
      </w:r>
      <w:r w:rsidR="00B8096D" w:rsidRPr="0038179C">
        <w:rPr>
          <w:i/>
          <w:iCs/>
        </w:rPr>
        <w:t xml:space="preserve">Segal </w:t>
      </w:r>
      <w:r w:rsidR="00B8096D" w:rsidRPr="0038179C">
        <w:t>on this appeal</w:t>
      </w:r>
      <w:r w:rsidR="00C02B48" w:rsidRPr="0038179C">
        <w:t>, which they provided</w:t>
      </w:r>
      <w:r w:rsidR="00B8096D" w:rsidRPr="0038179C">
        <w:t>.</w:t>
      </w:r>
      <w:r w:rsidR="00C02B48" w:rsidRPr="0038179C">
        <w:t xml:space="preserve"> </w:t>
      </w:r>
      <w:r w:rsidR="003E6008" w:rsidRPr="0038179C">
        <w:t xml:space="preserve"> </w:t>
      </w:r>
      <w:r w:rsidR="003E6008" w:rsidRPr="0038179C">
        <w:tab/>
      </w:r>
    </w:p>
    <w:p w14:paraId="14B0E2D1" w14:textId="3CE21C19" w:rsidR="00FE656F" w:rsidRPr="0038179C" w:rsidRDefault="003E6008" w:rsidP="0043392A">
      <w:pPr>
        <w:spacing w:line="360" w:lineRule="auto"/>
      </w:pPr>
      <w:r w:rsidRPr="0038179C">
        <w:tab/>
        <w:t>First,</w:t>
      </w:r>
      <w:r w:rsidR="0013786E" w:rsidRPr="0038179C">
        <w:t xml:space="preserve"> </w:t>
      </w:r>
      <w:r w:rsidR="00CD224B" w:rsidRPr="0038179C">
        <w:t>under the</w:t>
      </w:r>
      <w:r w:rsidR="008624C9" w:rsidRPr="0038179C">
        <w:t xml:space="preserve"> California Supreme Court</w:t>
      </w:r>
      <w:r w:rsidR="002F1C67" w:rsidRPr="0038179C">
        <w:t>’s</w:t>
      </w:r>
      <w:r w:rsidR="008624C9" w:rsidRPr="0038179C">
        <w:t xml:space="preserve"> decision in </w:t>
      </w:r>
      <w:bookmarkStart w:id="493" w:name="dabmci_1338c707d08141f883d53bc631dacae5"/>
      <w:r w:rsidR="0013786E" w:rsidRPr="0038179C">
        <w:rPr>
          <w:i/>
          <w:iCs/>
        </w:rPr>
        <w:t>Segal</w:t>
      </w:r>
      <w:bookmarkEnd w:id="493"/>
      <w:r w:rsidR="00CD224B" w:rsidRPr="0038179C">
        <w:t xml:space="preserve">, </w:t>
      </w:r>
      <w:r w:rsidR="0013786E" w:rsidRPr="0038179C">
        <w:t xml:space="preserve">the trial court did not err by awarding costs for unused trial exhibits.  </w:t>
      </w:r>
      <w:r w:rsidR="00CD224B" w:rsidRPr="0038179C">
        <w:t>(</w:t>
      </w:r>
      <w:bookmarkStart w:id="494" w:name="dabmci_713c38b1ca2346b383f93945cc6c43ca"/>
      <w:r w:rsidR="00CD224B" w:rsidRPr="0038179C">
        <w:rPr>
          <w:i/>
          <w:iCs/>
        </w:rPr>
        <w:t xml:space="preserve">Segal, supra, </w:t>
      </w:r>
      <w:r w:rsidR="00CD224B" w:rsidRPr="0038179C">
        <w:t>12 Cal.5th at p. 657</w:t>
      </w:r>
      <w:bookmarkEnd w:id="494"/>
      <w:r w:rsidR="00CD224B" w:rsidRPr="0038179C">
        <w:t>.)</w:t>
      </w:r>
      <w:r w:rsidR="00FE13A6" w:rsidRPr="0038179C">
        <w:t xml:space="preserve">  </w:t>
      </w:r>
      <w:r w:rsidR="0013786E" w:rsidRPr="0038179C">
        <w:t>Although the court</w:t>
      </w:r>
      <w:r w:rsidR="00457EA2" w:rsidRPr="0038179C">
        <w:t xml:space="preserve"> </w:t>
      </w:r>
      <w:r w:rsidR="00957930" w:rsidRPr="0038179C">
        <w:t>erroneously</w:t>
      </w:r>
      <w:r w:rsidR="00825F44" w:rsidRPr="0038179C">
        <w:t xml:space="preserve"> </w:t>
      </w:r>
      <w:r w:rsidR="00727D8F" w:rsidRPr="0038179C">
        <w:t>determin</w:t>
      </w:r>
      <w:r w:rsidR="00957930" w:rsidRPr="0038179C">
        <w:t>ed</w:t>
      </w:r>
      <w:r w:rsidR="0013786E" w:rsidRPr="0038179C">
        <w:t xml:space="preserve"> th</w:t>
      </w:r>
      <w:r w:rsidR="008624C9" w:rsidRPr="0038179C">
        <w:t>e</w:t>
      </w:r>
      <w:r w:rsidR="0013786E" w:rsidRPr="0038179C">
        <w:t xml:space="preserve"> costs were allowable under </w:t>
      </w:r>
      <w:bookmarkStart w:id="495" w:name="dabmci_ffc745d0c57246e9bb12ae956a8e4ca9"/>
      <w:r w:rsidR="00685116" w:rsidRPr="0038179C">
        <w:t>Code of Civil Procedure section 1033.5(a)(13)</w:t>
      </w:r>
      <w:bookmarkEnd w:id="495"/>
      <w:r w:rsidR="00685116" w:rsidRPr="0038179C">
        <w:t>,</w:t>
      </w:r>
      <w:r w:rsidR="00825F44" w:rsidRPr="0038179C">
        <w:t xml:space="preserve"> as Rojas notes in her supplemental brief, </w:t>
      </w:r>
      <w:r w:rsidR="00727D8F" w:rsidRPr="0038179C">
        <w:t>it</w:t>
      </w:r>
      <w:r w:rsidR="00312DC3" w:rsidRPr="0038179C">
        <w:t xml:space="preserve"> still</w:t>
      </w:r>
      <w:r w:rsidR="00685116" w:rsidRPr="0038179C">
        <w:t xml:space="preserve"> found </w:t>
      </w:r>
      <w:r w:rsidR="008624C9" w:rsidRPr="0038179C">
        <w:t>they</w:t>
      </w:r>
      <w:r w:rsidR="00685116" w:rsidRPr="0038179C">
        <w:t xml:space="preserve"> were </w:t>
      </w:r>
      <w:r w:rsidR="0043392A" w:rsidRPr="0038179C">
        <w:t>“necessary”</w:t>
      </w:r>
      <w:r w:rsidR="00727D8F" w:rsidRPr="0038179C">
        <w:t xml:space="preserve"> and “reasonable,”</w:t>
      </w:r>
      <w:r w:rsidR="0043392A" w:rsidRPr="0038179C">
        <w:t xml:space="preserve"> the relevant considerations for the overarching cost standards that apply regard</w:t>
      </w:r>
      <w:r w:rsidR="00727D8F" w:rsidRPr="0038179C">
        <w:t>less</w:t>
      </w:r>
      <w:r w:rsidR="0043392A" w:rsidRPr="0038179C">
        <w:t xml:space="preserve"> of </w:t>
      </w:r>
      <w:r w:rsidR="00727D8F" w:rsidRPr="0038179C">
        <w:t xml:space="preserve">the </w:t>
      </w:r>
      <w:r w:rsidR="0043392A" w:rsidRPr="0038179C">
        <w:t>authorizing subsection.  (</w:t>
      </w:r>
      <w:bookmarkStart w:id="496" w:name="dabmci_e9036920bb374e61b930be0f04f4314a"/>
      <w:r w:rsidR="0043392A" w:rsidRPr="0038179C">
        <w:rPr>
          <w:i/>
          <w:iCs/>
        </w:rPr>
        <w:t>Segal</w:t>
      </w:r>
      <w:r w:rsidR="0043392A" w:rsidRPr="0038179C">
        <w:t>, at p. 667</w:t>
      </w:r>
      <w:bookmarkEnd w:id="496"/>
      <w:r w:rsidR="0043392A" w:rsidRPr="0038179C">
        <w:t xml:space="preserve"> [</w:t>
      </w:r>
      <w:bookmarkStart w:id="497" w:name="dabmq_233"/>
      <w:r w:rsidR="0043392A" w:rsidRPr="0038179C">
        <w:t>“It bears repeating that any award of costs . . . must meet the requirements of subdivision (c)(2) and (c)(3)”</w:t>
      </w:r>
      <w:bookmarkEnd w:id="497"/>
      <w:r w:rsidR="0043392A" w:rsidRPr="0038179C">
        <w:t>].)</w:t>
      </w:r>
      <w:r w:rsidR="0067498A" w:rsidRPr="0038179C">
        <w:t xml:space="preserve"> </w:t>
      </w:r>
      <w:r w:rsidR="0043392A" w:rsidRPr="0038179C">
        <w:t xml:space="preserve"> </w:t>
      </w:r>
      <w:r w:rsidR="008624C9" w:rsidRPr="0038179C">
        <w:t>On this record, w</w:t>
      </w:r>
      <w:r w:rsidR="00457EA2" w:rsidRPr="0038179C">
        <w:t>e</w:t>
      </w:r>
      <w:r w:rsidR="00685116" w:rsidRPr="0038179C">
        <w:t xml:space="preserve"> can </w:t>
      </w:r>
      <w:r w:rsidR="00CD224B" w:rsidRPr="0038179C">
        <w:t>conclude</w:t>
      </w:r>
      <w:r w:rsidR="00685116" w:rsidRPr="0038179C">
        <w:t xml:space="preserve"> that had </w:t>
      </w:r>
      <w:r w:rsidR="008624C9" w:rsidRPr="0038179C">
        <w:t xml:space="preserve">the court known </w:t>
      </w:r>
      <w:r w:rsidR="00E8744F" w:rsidRPr="0038179C">
        <w:t>subdivision</w:t>
      </w:r>
      <w:r w:rsidR="00685116" w:rsidRPr="0038179C">
        <w:t xml:space="preserve"> </w:t>
      </w:r>
      <w:r w:rsidR="00E8744F" w:rsidRPr="0038179C">
        <w:t>(a)(</w:t>
      </w:r>
      <w:r w:rsidR="00685116" w:rsidRPr="0038179C">
        <w:t xml:space="preserve">13) </w:t>
      </w:r>
      <w:r w:rsidR="008624C9" w:rsidRPr="0038179C">
        <w:t>was</w:t>
      </w:r>
      <w:r w:rsidR="00685116" w:rsidRPr="0038179C">
        <w:t xml:space="preserve"> unavailable, </w:t>
      </w:r>
      <w:r w:rsidR="008624C9" w:rsidRPr="0038179C">
        <w:t>it</w:t>
      </w:r>
      <w:r w:rsidR="00685116" w:rsidRPr="0038179C">
        <w:t xml:space="preserve"> would have exercised its discretion</w:t>
      </w:r>
      <w:r w:rsidR="00E8744F" w:rsidRPr="0038179C">
        <w:t xml:space="preserve"> under section (c)(4)</w:t>
      </w:r>
      <w:r w:rsidR="00685116" w:rsidRPr="0038179C">
        <w:t xml:space="preserve"> to award the costs</w:t>
      </w:r>
      <w:r w:rsidR="008624C9" w:rsidRPr="0038179C">
        <w:t xml:space="preserve">. </w:t>
      </w:r>
      <w:r w:rsidR="00031184" w:rsidRPr="0038179C">
        <w:t xml:space="preserve">  (See </w:t>
      </w:r>
      <w:bookmarkStart w:id="498" w:name="dabmci_af1cf0e6aadf4c8384fd070886cc2a56"/>
      <w:r w:rsidR="00031184" w:rsidRPr="0038179C">
        <w:rPr>
          <w:i/>
          <w:iCs/>
        </w:rPr>
        <w:t xml:space="preserve">State ex rel. Rapier v. Encino Hospital Medical Center </w:t>
      </w:r>
      <w:r w:rsidR="00031184" w:rsidRPr="0038179C">
        <w:t xml:space="preserve">(2022) </w:t>
      </w:r>
      <w:r w:rsidR="009C21D8" w:rsidRPr="0038179C">
        <w:t>87 Cal.App.5th 811, 839</w:t>
      </w:r>
      <w:r w:rsidR="00D007DC" w:rsidRPr="0038179C">
        <w:rPr>
          <w:lang w:bidi="en-US"/>
        </w:rPr>
        <w:t>–</w:t>
      </w:r>
      <w:r w:rsidR="009C21D8" w:rsidRPr="0038179C">
        <w:t>84</w:t>
      </w:r>
      <w:r w:rsidR="0086301C" w:rsidRPr="0038179C">
        <w:t>1</w:t>
      </w:r>
      <w:bookmarkEnd w:id="498"/>
      <w:r w:rsidR="009C21D8" w:rsidRPr="0038179C">
        <w:t xml:space="preserve"> [</w:t>
      </w:r>
      <w:r w:rsidR="00031184" w:rsidRPr="0038179C">
        <w:t>affirm</w:t>
      </w:r>
      <w:r w:rsidR="00774359" w:rsidRPr="0038179C">
        <w:t>ing</w:t>
      </w:r>
      <w:r w:rsidR="00031184" w:rsidRPr="0038179C">
        <w:t xml:space="preserve"> </w:t>
      </w:r>
      <w:r w:rsidR="00774359" w:rsidRPr="0038179C">
        <w:t xml:space="preserve">costs, where </w:t>
      </w:r>
      <w:r w:rsidR="00031184" w:rsidRPr="0038179C">
        <w:t>trial court</w:t>
      </w:r>
      <w:r w:rsidR="00774359" w:rsidRPr="0038179C">
        <w:t xml:space="preserve"> </w:t>
      </w:r>
      <w:bookmarkStart w:id="499" w:name="dabmq_234"/>
      <w:r w:rsidR="00774359" w:rsidRPr="0038179C">
        <w:t xml:space="preserve">“exercised its discretion </w:t>
      </w:r>
      <w:r w:rsidR="00031184" w:rsidRPr="0038179C">
        <w:t>under subdivision (a)(13) in determining that unused exhibits were reasonably helpful”</w:t>
      </w:r>
      <w:bookmarkEnd w:id="499"/>
      <w:r w:rsidR="00031184" w:rsidRPr="0038179C">
        <w:t xml:space="preserve">; </w:t>
      </w:r>
      <w:bookmarkStart w:id="500" w:name="dabmq_235"/>
      <w:r w:rsidR="00031184" w:rsidRPr="0038179C">
        <w:t xml:space="preserve">“Although that award was ultimately mis-categorized, the same discretion </w:t>
      </w:r>
      <w:r w:rsidR="00031184" w:rsidRPr="0038179C">
        <w:lastRenderedPageBreak/>
        <w:t>exercised under subdivision (a)(13) supported awarding the costs under subdivision (c)(4).”</w:t>
      </w:r>
      <w:bookmarkEnd w:id="500"/>
      <w:r w:rsidR="00031184" w:rsidRPr="0038179C">
        <w:t>].)</w:t>
      </w:r>
      <w:r w:rsidR="00825F44" w:rsidRPr="0038179C">
        <w:t xml:space="preserve">  </w:t>
      </w:r>
    </w:p>
    <w:p w14:paraId="74C521F2" w14:textId="77777777" w:rsidR="004D75A7" w:rsidRDefault="003E6008" w:rsidP="00774359">
      <w:pPr>
        <w:spacing w:line="360" w:lineRule="auto"/>
      </w:pPr>
      <w:r w:rsidRPr="0038179C">
        <w:tab/>
        <w:t xml:space="preserve">Second, Rojas does not establish the </w:t>
      </w:r>
      <w:r w:rsidR="008624C9" w:rsidRPr="0038179C">
        <w:t xml:space="preserve">trial court abused its discretion in evaluating </w:t>
      </w:r>
      <w:r w:rsidR="00FE13A6" w:rsidRPr="0038179C">
        <w:t>the unused exhibit</w:t>
      </w:r>
      <w:r w:rsidR="008624C9" w:rsidRPr="0038179C">
        <w:t xml:space="preserve"> costs.</w:t>
      </w:r>
      <w:r w:rsidR="004E3A58" w:rsidRPr="0038179C">
        <w:t xml:space="preserve"> </w:t>
      </w:r>
      <w:r w:rsidR="00E56BDB" w:rsidRPr="0038179C">
        <w:t>She</w:t>
      </w:r>
      <w:r w:rsidR="00FE656F" w:rsidRPr="0038179C">
        <w:t xml:space="preserve"> </w:t>
      </w:r>
      <w:r w:rsidR="008624C9" w:rsidRPr="0038179C">
        <w:t>argue</w:t>
      </w:r>
      <w:r w:rsidR="00FE656F" w:rsidRPr="0038179C">
        <w:t>d</w:t>
      </w:r>
      <w:r w:rsidRPr="0038179C">
        <w:t xml:space="preserve"> </w:t>
      </w:r>
      <w:r w:rsidR="00FE656F" w:rsidRPr="0038179C">
        <w:t xml:space="preserve">in her opening brief that </w:t>
      </w:r>
      <w:r w:rsidR="00B8096D" w:rsidRPr="0038179C">
        <w:t>the</w:t>
      </w:r>
      <w:r w:rsidR="009F6B50" w:rsidRPr="0038179C">
        <w:t xml:space="preserve"> </w:t>
      </w:r>
      <w:bookmarkStart w:id="501" w:name="dabmq_236"/>
      <w:r w:rsidR="00B8096D" w:rsidRPr="0038179C">
        <w:t>“</w:t>
      </w:r>
      <w:r w:rsidR="009F6B50" w:rsidRPr="0038179C">
        <w:t>court failed to consider or analyze</w:t>
      </w:r>
      <w:r w:rsidR="00774359" w:rsidRPr="0038179C">
        <w:t>”</w:t>
      </w:r>
      <w:bookmarkEnd w:id="501"/>
      <w:r w:rsidR="009F6B50" w:rsidRPr="0038179C">
        <w:t xml:space="preserve"> whether </w:t>
      </w:r>
      <w:r w:rsidR="00BB1A7B" w:rsidRPr="0038179C">
        <w:t>the</w:t>
      </w:r>
      <w:r w:rsidR="007443BC" w:rsidRPr="0038179C">
        <w:t>se costs</w:t>
      </w:r>
      <w:r w:rsidR="00BB1A7B" w:rsidRPr="0038179C">
        <w:t xml:space="preserve"> </w:t>
      </w:r>
      <w:bookmarkStart w:id="502" w:name="dabmq_237"/>
      <w:r w:rsidR="00BB1A7B" w:rsidRPr="0038179C">
        <w:t>“</w:t>
      </w:r>
      <w:r w:rsidR="009F6B50" w:rsidRPr="0038179C">
        <w:t>were reasonably helpful to the trier of fact,</w:t>
      </w:r>
      <w:r w:rsidR="00B8096D" w:rsidRPr="0038179C">
        <w:t>”</w:t>
      </w:r>
      <w:bookmarkEnd w:id="502"/>
      <w:r w:rsidR="00B8096D" w:rsidRPr="0038179C">
        <w:t xml:space="preserve"> but rather, </w:t>
      </w:r>
      <w:bookmarkStart w:id="503" w:name="dabmq_238"/>
      <w:r w:rsidR="00B8096D" w:rsidRPr="0038179C">
        <w:t>“</w:t>
      </w:r>
      <w:r w:rsidR="009F6B50" w:rsidRPr="0038179C">
        <w:t xml:space="preserve">blanketly concluded that the costs were reasonable and necessary, and </w:t>
      </w:r>
      <w:bookmarkStart w:id="504" w:name="_Hlk125259489"/>
      <w:r w:rsidR="009F6B50" w:rsidRPr="0038179C">
        <w:t>reasonably helpful to aiding the trier of fact</w:t>
      </w:r>
      <w:bookmarkEnd w:id="504"/>
      <w:r w:rsidR="009F6B50" w:rsidRPr="0038179C">
        <w:t>.</w:t>
      </w:r>
      <w:r w:rsidR="00B8096D" w:rsidRPr="0038179C">
        <w:t>”</w:t>
      </w:r>
      <w:bookmarkEnd w:id="503"/>
      <w:r w:rsidR="004E3A58" w:rsidRPr="0038179C">
        <w:t xml:space="preserve">  </w:t>
      </w:r>
      <w:r w:rsidR="00774359" w:rsidRPr="0038179C">
        <w:t>T</w:t>
      </w:r>
      <w:r w:rsidR="00BB1A7B" w:rsidRPr="0038179C">
        <w:t xml:space="preserve">he court was in the best position to </w:t>
      </w:r>
      <w:r w:rsidR="004E3A58" w:rsidRPr="0038179C">
        <w:t>draw these conclusions</w:t>
      </w:r>
      <w:r w:rsidR="006575A8" w:rsidRPr="0038179C">
        <w:t xml:space="preserve">, </w:t>
      </w:r>
      <w:r w:rsidR="004E3A58" w:rsidRPr="0038179C">
        <w:t>including the necessity and reasonableness</w:t>
      </w:r>
      <w:r w:rsidR="00BB1A7B" w:rsidRPr="0038179C">
        <w:t xml:space="preserve"> determinations</w:t>
      </w:r>
      <w:r w:rsidR="004E3A58" w:rsidRPr="0038179C">
        <w:t xml:space="preserve"> pertinent to </w:t>
      </w:r>
      <w:bookmarkStart w:id="505" w:name="dabmci_29eb418a88e542abbab7178ea6a15cf5"/>
      <w:r w:rsidR="004E3A58" w:rsidRPr="0038179C">
        <w:t>Code of Civil Procedure section 1033.5, subd. (c)(4)</w:t>
      </w:r>
      <w:bookmarkEnd w:id="505"/>
      <w:r w:rsidR="006575A8" w:rsidRPr="0038179C">
        <w:t xml:space="preserve">, </w:t>
      </w:r>
      <w:r w:rsidR="00BB1A7B" w:rsidRPr="0038179C">
        <w:t>and we presume it considered all relevant matters in doing so.  (</w:t>
      </w:r>
      <w:bookmarkStart w:id="506" w:name="dabmci_6f236c979d1b4f92807ba716987d7177"/>
      <w:r w:rsidR="00BB1A7B" w:rsidRPr="0038179C">
        <w:rPr>
          <w:i/>
          <w:iCs/>
        </w:rPr>
        <w:t>Rozanova v. Uribe</w:t>
      </w:r>
      <w:r w:rsidR="00BB1A7B" w:rsidRPr="0038179C">
        <w:t xml:space="preserve"> (2021) 68 Cal.App.5th 392, 405</w:t>
      </w:r>
      <w:bookmarkEnd w:id="506"/>
      <w:r w:rsidR="00BB1A7B" w:rsidRPr="0038179C">
        <w:t xml:space="preserve"> [trial court is </w:t>
      </w:r>
      <w:r w:rsidR="00774359" w:rsidRPr="0038179C">
        <w:t>in “</w:t>
      </w:r>
      <w:r w:rsidR="00BB1A7B" w:rsidRPr="0038179C">
        <w:t>best position to evaluate</w:t>
      </w:r>
      <w:r w:rsidR="00774359" w:rsidRPr="0038179C">
        <w:t>”</w:t>
      </w:r>
      <w:r w:rsidR="00BB1A7B" w:rsidRPr="0038179C">
        <w:t xml:space="preserve"> </w:t>
      </w:r>
      <w:r w:rsidR="00774359" w:rsidRPr="0038179C">
        <w:t>if</w:t>
      </w:r>
      <w:r w:rsidR="00BB1A7B" w:rsidRPr="0038179C">
        <w:t xml:space="preserve"> exhibit</w:t>
      </w:r>
      <w:r w:rsidR="00161EFD" w:rsidRPr="0038179C">
        <w:t xml:space="preserve">s </w:t>
      </w:r>
      <w:r w:rsidR="00774359" w:rsidRPr="0038179C">
        <w:t>were</w:t>
      </w:r>
      <w:r w:rsidR="004E3A58" w:rsidRPr="0038179C">
        <w:t>, inter alia,</w:t>
      </w:r>
      <w:r w:rsidR="004D75A7">
        <w:t> </w:t>
      </w:r>
    </w:p>
    <w:p w14:paraId="2F246734" w14:textId="49B44516" w:rsidR="00B9193D" w:rsidRPr="0038179C" w:rsidRDefault="00BB1A7B" w:rsidP="00774359">
      <w:pPr>
        <w:spacing w:line="360" w:lineRule="auto"/>
      </w:pPr>
      <w:bookmarkStart w:id="507" w:name="dabmq_239"/>
      <w:r w:rsidRPr="0038179C">
        <w:t xml:space="preserve">“ </w:t>
      </w:r>
      <w:r w:rsidR="004E3A58" w:rsidRPr="0038179C">
        <w:t>‘</w:t>
      </w:r>
      <w:r w:rsidRPr="0038179C">
        <w:t>reasonably necessary to the conduct of the litigation’</w:t>
      </w:r>
      <w:r w:rsidR="00774359" w:rsidRPr="0038179C">
        <w:t xml:space="preserve"> . . . </w:t>
      </w:r>
      <w:r w:rsidRPr="0038179C">
        <w:t xml:space="preserve">and </w:t>
      </w:r>
      <w:r w:rsidR="00161EFD" w:rsidRPr="0038179C">
        <w:t xml:space="preserve">[their costs] </w:t>
      </w:r>
      <w:r w:rsidRPr="0038179C">
        <w:t>‘reasonable in amount’</w:t>
      </w:r>
      <w:r w:rsidR="00774359" w:rsidRPr="0038179C">
        <w:t xml:space="preserve"> </w:t>
      </w:r>
      <w:r w:rsidRPr="0038179C">
        <w:t>”</w:t>
      </w:r>
      <w:bookmarkEnd w:id="507"/>
      <w:r w:rsidRPr="0038179C">
        <w:t xml:space="preserve">]; see </w:t>
      </w:r>
      <w:bookmarkStart w:id="508" w:name="dabmci_a1f688f5262a4424ab187603f64603d2"/>
      <w:r w:rsidRPr="0038179C">
        <w:t>Evid. Code,</w:t>
      </w:r>
      <w:r w:rsidR="002C0720" w:rsidRPr="0038179C">
        <w:t> </w:t>
      </w:r>
      <w:r w:rsidRPr="0038179C">
        <w:t>§ 664</w:t>
      </w:r>
      <w:bookmarkEnd w:id="508"/>
      <w:r w:rsidRPr="0038179C">
        <w:t>.</w:t>
      </w:r>
      <w:r w:rsidR="004E3A58" w:rsidRPr="0038179C">
        <w:t xml:space="preserve">)  </w:t>
      </w:r>
      <w:r w:rsidR="00E56BDB" w:rsidRPr="0038179C">
        <w:t xml:space="preserve">We note </w:t>
      </w:r>
      <w:r w:rsidR="00D0004A" w:rsidRPr="0038179C">
        <w:t xml:space="preserve">numerous </w:t>
      </w:r>
      <w:r w:rsidR="00E56BDB" w:rsidRPr="0038179C">
        <w:t xml:space="preserve">exhibits related to the call recordings—which both parties utilized at trial, and which Rojas tried unsuccessfully to admit as a set and </w:t>
      </w:r>
      <w:r w:rsidR="005F2492" w:rsidRPr="0038179C">
        <w:t>maintain</w:t>
      </w:r>
      <w:r w:rsidR="00837D7F" w:rsidRPr="0038179C">
        <w:t>s</w:t>
      </w:r>
      <w:r w:rsidR="005F2492" w:rsidRPr="0038179C">
        <w:t xml:space="preserve"> </w:t>
      </w:r>
      <w:r w:rsidR="00E56BDB" w:rsidRPr="0038179C">
        <w:t xml:space="preserve">in the appeal from judgment should </w:t>
      </w:r>
      <w:r w:rsidR="006575A8" w:rsidRPr="0038179C">
        <w:t xml:space="preserve">all </w:t>
      </w:r>
      <w:r w:rsidR="00E56BDB" w:rsidRPr="0038179C">
        <w:t>have been admitted</w:t>
      </w:r>
      <w:r w:rsidR="005F2492" w:rsidRPr="0038179C">
        <w:t xml:space="preserve"> (a contention we </w:t>
      </w:r>
      <w:r w:rsidR="00837D7F" w:rsidRPr="0038179C">
        <w:t>do</w:t>
      </w:r>
      <w:r w:rsidR="005F2492" w:rsidRPr="0038179C">
        <w:t xml:space="preserve"> not reach, </w:t>
      </w:r>
      <w:r w:rsidR="00837D7F" w:rsidRPr="0038179C">
        <w:t>having</w:t>
      </w:r>
      <w:r w:rsidR="005F2492" w:rsidRPr="0038179C">
        <w:t xml:space="preserve"> conclud</w:t>
      </w:r>
      <w:r w:rsidR="00837D7F" w:rsidRPr="0038179C">
        <w:t>ed</w:t>
      </w:r>
      <w:r w:rsidR="005F2492" w:rsidRPr="0038179C">
        <w:t xml:space="preserve"> the</w:t>
      </w:r>
      <w:r w:rsidR="00837D7F" w:rsidRPr="0038179C">
        <w:t xml:space="preserve"> court’s</w:t>
      </w:r>
      <w:r w:rsidR="005F2492" w:rsidRPr="0038179C">
        <w:t xml:space="preserve"> consent finding support</w:t>
      </w:r>
      <w:r w:rsidR="00837D7F" w:rsidRPr="0038179C">
        <w:t>s</w:t>
      </w:r>
      <w:r w:rsidR="005F2492" w:rsidRPr="0038179C">
        <w:t xml:space="preserve"> affirmance)</w:t>
      </w:r>
      <w:r w:rsidR="00E56BDB" w:rsidRPr="0038179C">
        <w:t>.</w:t>
      </w:r>
      <w:r w:rsidR="00D0004A" w:rsidRPr="0038179C">
        <w:t xml:space="preserve"> </w:t>
      </w:r>
      <w:r w:rsidR="002C0720" w:rsidRPr="0038179C">
        <w:t xml:space="preserve"> </w:t>
      </w:r>
      <w:r w:rsidR="00B9193D" w:rsidRPr="0038179C">
        <w:t xml:space="preserve">(Cf. </w:t>
      </w:r>
      <w:bookmarkStart w:id="509" w:name="dabmci_c3231b27f367438ea3f938487acb555d"/>
      <w:r w:rsidR="00B9193D" w:rsidRPr="0038179C">
        <w:rPr>
          <w:i/>
          <w:iCs/>
        </w:rPr>
        <w:t>Segal</w:t>
      </w:r>
      <w:r w:rsidR="00B9193D" w:rsidRPr="0038179C">
        <w:t xml:space="preserve">, </w:t>
      </w:r>
      <w:r w:rsidR="00B9193D" w:rsidRPr="0038179C">
        <w:rPr>
          <w:i/>
          <w:iCs/>
        </w:rPr>
        <w:t>supra</w:t>
      </w:r>
      <w:r w:rsidR="00B9193D" w:rsidRPr="0038179C">
        <w:t xml:space="preserve">, 12 Cal.5th at </w:t>
      </w:r>
      <w:r w:rsidR="004E3A58" w:rsidRPr="0038179C">
        <w:t>p. 667</w:t>
      </w:r>
      <w:bookmarkEnd w:id="509"/>
      <w:r w:rsidR="004E3A58" w:rsidRPr="0038179C">
        <w:t xml:space="preserve"> [disagreeing</w:t>
      </w:r>
      <w:r w:rsidR="00205963" w:rsidRPr="0038179C">
        <w:t xml:space="preserve"> costs for</w:t>
      </w:r>
      <w:r w:rsidR="004E3A58" w:rsidRPr="0038179C">
        <w:t xml:space="preserve"> unused exhibits would necessarily incentivize over-preparation]; </w:t>
      </w:r>
      <w:bookmarkStart w:id="510" w:name="dabmci_18689364ef5147d5b4fb205f8f771f37"/>
      <w:r w:rsidR="004E3A58" w:rsidRPr="0038179C">
        <w:rPr>
          <w:i/>
          <w:iCs/>
        </w:rPr>
        <w:t>id.</w:t>
      </w:r>
      <w:r w:rsidR="004E3A58" w:rsidRPr="0038179C">
        <w:t xml:space="preserve"> at pp</w:t>
      </w:r>
      <w:r w:rsidR="00B9193D" w:rsidRPr="0038179C">
        <w:t>. 667</w:t>
      </w:r>
      <w:r w:rsidR="00742479" w:rsidRPr="0038179C">
        <w:rPr>
          <w:lang w:bidi="en-US"/>
        </w:rPr>
        <w:t>–</w:t>
      </w:r>
      <w:r w:rsidR="00B9193D" w:rsidRPr="0038179C">
        <w:t>668</w:t>
      </w:r>
      <w:bookmarkEnd w:id="510"/>
      <w:r w:rsidR="00B9193D" w:rsidRPr="0038179C">
        <w:t xml:space="preserve"> [</w:t>
      </w:r>
      <w:r w:rsidR="004E3A58" w:rsidRPr="0038179C">
        <w:t xml:space="preserve">disagreeing it was illogical to require party to pay for costs it excluded from trial; </w:t>
      </w:r>
      <w:bookmarkStart w:id="511" w:name="dabmq_240"/>
      <w:r w:rsidR="00B9193D" w:rsidRPr="0038179C">
        <w:t xml:space="preserve">“The Legislature could have spelled out a categorical prohibition against shifting costs for inadmissible </w:t>
      </w:r>
      <w:proofErr w:type="gramStart"/>
      <w:r w:rsidR="00B9193D" w:rsidRPr="0038179C">
        <w:t>exhibits, but</w:t>
      </w:r>
      <w:proofErr w:type="gramEnd"/>
      <w:r w:rsidR="00B9193D" w:rsidRPr="0038179C">
        <w:t xml:space="preserve"> did not.”</w:t>
      </w:r>
      <w:bookmarkEnd w:id="511"/>
      <w:r w:rsidR="004E3A58" w:rsidRPr="0038179C">
        <w:t>]</w:t>
      </w:r>
      <w:r w:rsidR="00B9193D" w:rsidRPr="0038179C">
        <w:t>.)</w:t>
      </w:r>
      <w:r w:rsidR="00D0004A" w:rsidRPr="0038179C">
        <w:t xml:space="preserve"> </w:t>
      </w:r>
    </w:p>
    <w:p w14:paraId="6E816E27" w14:textId="695AB677" w:rsidR="00085225" w:rsidRPr="0038179C" w:rsidRDefault="00FE656F" w:rsidP="00A34F1C">
      <w:pPr>
        <w:spacing w:line="360" w:lineRule="auto"/>
        <w:ind w:firstLine="720"/>
      </w:pPr>
      <w:r w:rsidRPr="0038179C">
        <w:t>In her supplemental brief</w:t>
      </w:r>
      <w:r w:rsidRPr="0038179C">
        <w:rPr>
          <w:i/>
          <w:iCs/>
        </w:rPr>
        <w:t>,</w:t>
      </w:r>
      <w:r w:rsidRPr="0038179C">
        <w:t xml:space="preserve"> Rojas</w:t>
      </w:r>
      <w:r w:rsidR="00825F44" w:rsidRPr="0038179C">
        <w:t xml:space="preserve"> </w:t>
      </w:r>
      <w:r w:rsidRPr="0038179C">
        <w:t xml:space="preserve">argues the </w:t>
      </w:r>
      <w:r w:rsidR="00825F44" w:rsidRPr="0038179C">
        <w:t xml:space="preserve">trial </w:t>
      </w:r>
      <w:r w:rsidRPr="0038179C">
        <w:t xml:space="preserve">court improperly failed to place the burden of proof </w:t>
      </w:r>
      <w:r w:rsidR="00A34F1C" w:rsidRPr="0038179C">
        <w:t xml:space="preserve">for </w:t>
      </w:r>
      <w:bookmarkStart w:id="512" w:name="dabmq_241"/>
      <w:r w:rsidR="00A34F1C" w:rsidRPr="0038179C">
        <w:t>“costs</w:t>
      </w:r>
      <w:r w:rsidR="00742479" w:rsidRPr="0038179C">
        <w:t> . . . </w:t>
      </w:r>
      <w:r w:rsidR="00A34F1C" w:rsidRPr="0038179C">
        <w:t xml:space="preserve"> not expressly authorized by statute”</w:t>
      </w:r>
      <w:bookmarkEnd w:id="512"/>
      <w:r w:rsidR="00A34F1C" w:rsidRPr="0038179C">
        <w:t xml:space="preserve"> on HSBC. </w:t>
      </w:r>
      <w:r w:rsidR="006575A8" w:rsidRPr="0038179C">
        <w:t xml:space="preserve"> </w:t>
      </w:r>
      <w:r w:rsidR="00A34F1C" w:rsidRPr="0038179C">
        <w:t>Even if this were error, it would be harmless</w:t>
      </w:r>
      <w:r w:rsidR="006575A8" w:rsidRPr="0038179C">
        <w:t xml:space="preserve">.  HSBC provided evidence for </w:t>
      </w:r>
      <w:r w:rsidR="00F80863" w:rsidRPr="0038179C">
        <w:t>the</w:t>
      </w:r>
      <w:r w:rsidR="006575A8" w:rsidRPr="0038179C">
        <w:t xml:space="preserve"> exhibit costs, the court</w:t>
      </w:r>
      <w:r w:rsidR="00E56BDB" w:rsidRPr="0038179C">
        <w:t xml:space="preserve"> could conclude </w:t>
      </w:r>
      <w:r w:rsidR="00F80863" w:rsidRPr="0038179C">
        <w:t>th</w:t>
      </w:r>
      <w:r w:rsidR="00A34F1C" w:rsidRPr="0038179C">
        <w:t>e</w:t>
      </w:r>
      <w:r w:rsidR="00F80863" w:rsidRPr="0038179C">
        <w:t xml:space="preserve"> evidence</w:t>
      </w:r>
      <w:r w:rsidR="00E56BDB" w:rsidRPr="0038179C">
        <w:t xml:space="preserve"> </w:t>
      </w:r>
      <w:r w:rsidR="00E56BDB" w:rsidRPr="0038179C">
        <w:lastRenderedPageBreak/>
        <w:t>supported the necessity and reasonable</w:t>
      </w:r>
      <w:r w:rsidR="002F6375" w:rsidRPr="0038179C">
        <w:t>ne</w:t>
      </w:r>
      <w:r w:rsidR="00E56BDB" w:rsidRPr="0038179C">
        <w:t>ss of the claimed costs</w:t>
      </w:r>
      <w:r w:rsidR="00F80863" w:rsidRPr="0038179C">
        <w:t>, and, again, the court was in the best position to make that assessment</w:t>
      </w:r>
      <w:r w:rsidRPr="0038179C">
        <w:t>.</w:t>
      </w:r>
      <w:r w:rsidR="00E56BDB" w:rsidRPr="0038179C">
        <w:t xml:space="preserve">  (Cf. </w:t>
      </w:r>
      <w:bookmarkStart w:id="513" w:name="dabmci_0491aa6bf6f2429fb4d2197e36aa4e6f"/>
      <w:r w:rsidR="00E56BDB" w:rsidRPr="0038179C">
        <w:rPr>
          <w:i/>
          <w:iCs/>
        </w:rPr>
        <w:t>Nelson</w:t>
      </w:r>
      <w:r w:rsidR="00E56BDB" w:rsidRPr="0038179C">
        <w:t xml:space="preserve">, </w:t>
      </w:r>
      <w:r w:rsidR="00E56BDB" w:rsidRPr="0038179C">
        <w:rPr>
          <w:i/>
          <w:iCs/>
        </w:rPr>
        <w:t>supra</w:t>
      </w:r>
      <w:r w:rsidR="00E56BDB" w:rsidRPr="0038179C">
        <w:t xml:space="preserve">, 72 Cal.App.4th at p. 111 [addressing exhibit costs; </w:t>
      </w:r>
      <w:bookmarkStart w:id="514" w:name="dabmq_242"/>
      <w:r w:rsidR="00E56BDB" w:rsidRPr="0038179C">
        <w:t>“[b]</w:t>
      </w:r>
      <w:bookmarkEnd w:id="513"/>
      <w:r w:rsidR="00E56BDB" w:rsidRPr="0038179C">
        <w:t>urden of proof is not an issue in this instance, since, having presided over the trial, the trial court had all the evidence needed to determine whether the items claimed were reasonably helpful to the trier of fact.”</w:t>
      </w:r>
      <w:bookmarkEnd w:id="514"/>
      <w:r w:rsidR="00E56BDB" w:rsidRPr="0038179C">
        <w:t>].)</w:t>
      </w:r>
      <w:r w:rsidRPr="0038179C">
        <w:rPr>
          <w:rStyle w:val="FootnoteReference"/>
        </w:rPr>
        <w:footnoteReference w:id="25"/>
      </w:r>
      <w:r w:rsidRPr="0038179C">
        <w:t xml:space="preserve">  </w:t>
      </w:r>
    </w:p>
    <w:p w14:paraId="156E099D" w14:textId="00C0A884" w:rsidR="00E8744F" w:rsidRPr="0038179C" w:rsidRDefault="00E8744F" w:rsidP="00882F89">
      <w:pPr>
        <w:spacing w:line="360" w:lineRule="auto"/>
      </w:pPr>
      <w:r w:rsidRPr="0038179C">
        <w:tab/>
        <w:t xml:space="preserve">In sum, Rojas does not establish the trial court erred by denying her motion to strike or tax HSBC’s costs.  </w:t>
      </w:r>
    </w:p>
    <w:p w14:paraId="69994F80" w14:textId="77777777" w:rsidR="002C0720" w:rsidRPr="0038179C" w:rsidRDefault="002C0720">
      <w:pPr>
        <w:spacing w:after="160" w:line="259" w:lineRule="auto"/>
        <w:rPr>
          <w:szCs w:val="26"/>
        </w:rPr>
      </w:pPr>
      <w:r w:rsidRPr="0038179C">
        <w:rPr>
          <w:szCs w:val="26"/>
        </w:rPr>
        <w:br w:type="page"/>
      </w:r>
    </w:p>
    <w:p w14:paraId="4EE59A25" w14:textId="4966034C" w:rsidR="00096537" w:rsidRPr="0038179C" w:rsidRDefault="00096537" w:rsidP="00882F89">
      <w:pPr>
        <w:widowControl w:val="0"/>
        <w:spacing w:line="360" w:lineRule="auto"/>
        <w:jc w:val="center"/>
        <w:outlineLvl w:val="0"/>
        <w:rPr>
          <w:szCs w:val="26"/>
        </w:rPr>
      </w:pPr>
      <w:r w:rsidRPr="0038179C">
        <w:rPr>
          <w:szCs w:val="26"/>
        </w:rPr>
        <w:lastRenderedPageBreak/>
        <w:t>DISPOSITION</w:t>
      </w:r>
    </w:p>
    <w:p w14:paraId="21088FD8" w14:textId="23CB46B8" w:rsidR="00742479" w:rsidRPr="0038179C" w:rsidRDefault="00C50FC8" w:rsidP="00742479">
      <w:pPr>
        <w:widowControl w:val="0"/>
        <w:spacing w:line="360" w:lineRule="auto"/>
        <w:rPr>
          <w:szCs w:val="26"/>
        </w:rPr>
      </w:pPr>
      <w:r w:rsidRPr="0038179C">
        <w:rPr>
          <w:szCs w:val="26"/>
        </w:rPr>
        <w:tab/>
      </w:r>
      <w:r w:rsidR="00531003" w:rsidRPr="0038179C">
        <w:rPr>
          <w:szCs w:val="26"/>
        </w:rPr>
        <w:t>The judgment and postjudgment order are affirmed.  HSBC shall recover its costs on appeal.</w:t>
      </w:r>
    </w:p>
    <w:p w14:paraId="22160A67" w14:textId="77777777" w:rsidR="00742479" w:rsidRPr="0038179C" w:rsidRDefault="00742479" w:rsidP="00742479">
      <w:pPr>
        <w:widowControl w:val="0"/>
        <w:rPr>
          <w:szCs w:val="26"/>
        </w:rPr>
      </w:pPr>
    </w:p>
    <w:p w14:paraId="62C0B974" w14:textId="61057F93" w:rsidR="00742479" w:rsidRPr="0038179C" w:rsidRDefault="00777BB2" w:rsidP="00742479">
      <w:pPr>
        <w:keepNext/>
        <w:widowControl w:val="0"/>
        <w:jc w:val="right"/>
        <w:rPr>
          <w:szCs w:val="26"/>
        </w:rPr>
      </w:pPr>
      <w:r w:rsidRPr="0038179C">
        <w:rPr>
          <w:szCs w:val="26"/>
        </w:rPr>
        <w:t>IRION</w:t>
      </w:r>
      <w:r w:rsidR="00742479" w:rsidRPr="0038179C">
        <w:rPr>
          <w:szCs w:val="26"/>
        </w:rPr>
        <w:t>, J.</w:t>
      </w:r>
    </w:p>
    <w:p w14:paraId="4F14ADF8" w14:textId="77777777" w:rsidR="00742479" w:rsidRPr="0038179C" w:rsidRDefault="00742479" w:rsidP="00742479">
      <w:pPr>
        <w:keepNext/>
        <w:widowControl w:val="0"/>
        <w:tabs>
          <w:tab w:val="right" w:pos="3600"/>
        </w:tabs>
        <w:rPr>
          <w:szCs w:val="26"/>
        </w:rPr>
      </w:pPr>
    </w:p>
    <w:p w14:paraId="6ECA8A18" w14:textId="2CEBB2C7" w:rsidR="00742479" w:rsidRPr="0038179C" w:rsidRDefault="00526BF1" w:rsidP="00742479">
      <w:pPr>
        <w:keepNext/>
        <w:widowControl w:val="0"/>
        <w:tabs>
          <w:tab w:val="right" w:pos="3600"/>
        </w:tabs>
        <w:rPr>
          <w:szCs w:val="26"/>
        </w:rPr>
      </w:pPr>
      <w:r w:rsidRPr="0038179C">
        <w:rPr>
          <w:szCs w:val="26"/>
        </w:rPr>
        <w:t>I</w:t>
      </w:r>
      <w:r w:rsidR="00742479" w:rsidRPr="0038179C">
        <w:rPr>
          <w:szCs w:val="26"/>
        </w:rPr>
        <w:t xml:space="preserve"> CONCUR:</w:t>
      </w:r>
    </w:p>
    <w:p w14:paraId="5F73BB24" w14:textId="77777777" w:rsidR="00742479" w:rsidRPr="0038179C" w:rsidRDefault="00742479" w:rsidP="00742479">
      <w:pPr>
        <w:keepNext/>
        <w:widowControl w:val="0"/>
        <w:tabs>
          <w:tab w:val="right" w:pos="3600"/>
        </w:tabs>
        <w:rPr>
          <w:szCs w:val="26"/>
        </w:rPr>
      </w:pPr>
    </w:p>
    <w:p w14:paraId="100DC9BC" w14:textId="77777777" w:rsidR="00742479" w:rsidRPr="0038179C" w:rsidRDefault="00742479" w:rsidP="00742479">
      <w:pPr>
        <w:keepNext/>
        <w:widowControl w:val="0"/>
        <w:tabs>
          <w:tab w:val="right" w:pos="3600"/>
        </w:tabs>
        <w:rPr>
          <w:szCs w:val="26"/>
        </w:rPr>
      </w:pPr>
    </w:p>
    <w:p w14:paraId="482A5F0D" w14:textId="77777777" w:rsidR="00742479" w:rsidRPr="0038179C" w:rsidRDefault="00742479" w:rsidP="00742479">
      <w:pPr>
        <w:keepNext/>
        <w:widowControl w:val="0"/>
        <w:tabs>
          <w:tab w:val="right" w:pos="3600"/>
        </w:tabs>
        <w:rPr>
          <w:szCs w:val="26"/>
        </w:rPr>
      </w:pPr>
    </w:p>
    <w:p w14:paraId="66539B38" w14:textId="4CAA80A7" w:rsidR="00742479" w:rsidRDefault="00742479" w:rsidP="00742479">
      <w:pPr>
        <w:keepNext/>
        <w:widowControl w:val="0"/>
        <w:tabs>
          <w:tab w:val="right" w:pos="3600"/>
        </w:tabs>
        <w:rPr>
          <w:szCs w:val="26"/>
        </w:rPr>
      </w:pPr>
      <w:r w:rsidRPr="0038179C">
        <w:rPr>
          <w:szCs w:val="26"/>
        </w:rPr>
        <w:t>HUFFMAN, Acting P. J.</w:t>
      </w:r>
    </w:p>
    <w:p w14:paraId="50270955" w14:textId="77777777" w:rsidR="00742479" w:rsidRDefault="00742479" w:rsidP="00742479">
      <w:pPr>
        <w:keepNext/>
        <w:widowControl w:val="0"/>
        <w:tabs>
          <w:tab w:val="right" w:pos="3600"/>
        </w:tabs>
        <w:rPr>
          <w:szCs w:val="26"/>
        </w:rPr>
      </w:pPr>
    </w:p>
    <w:p w14:paraId="3525C8FC" w14:textId="77777777" w:rsidR="00742479" w:rsidRDefault="00742479" w:rsidP="00742479">
      <w:pPr>
        <w:keepNext/>
        <w:widowControl w:val="0"/>
        <w:tabs>
          <w:tab w:val="right" w:pos="3600"/>
        </w:tabs>
        <w:rPr>
          <w:szCs w:val="26"/>
        </w:rPr>
      </w:pPr>
    </w:p>
    <w:p w14:paraId="56164489" w14:textId="77777777" w:rsidR="00742479" w:rsidRDefault="00742479" w:rsidP="00742479">
      <w:pPr>
        <w:keepNext/>
        <w:widowControl w:val="0"/>
        <w:tabs>
          <w:tab w:val="right" w:pos="3600"/>
        </w:tabs>
        <w:rPr>
          <w:szCs w:val="26"/>
        </w:rPr>
      </w:pPr>
    </w:p>
    <w:p w14:paraId="06E1E639" w14:textId="77777777" w:rsidR="00B475D5" w:rsidRDefault="00B475D5">
      <w:pPr>
        <w:spacing w:after="160" w:line="259" w:lineRule="auto"/>
        <w:rPr>
          <w:rFonts w:cstheme="minorBidi"/>
          <w:szCs w:val="22"/>
        </w:rPr>
        <w:sectPr w:rsidR="00B475D5" w:rsidSect="00B475D5">
          <w:footerReference w:type="default" r:id="rId8"/>
          <w:headerReference w:type="first" r:id="rId9"/>
          <w:footerReference w:type="first" r:id="rId10"/>
          <w:pgSz w:w="12240" w:h="15840" w:code="1"/>
          <w:pgMar w:top="1440" w:right="1440" w:bottom="1440" w:left="1440" w:header="720" w:footer="720" w:gutter="0"/>
          <w:pgNumType w:start="1"/>
          <w:cols w:space="720"/>
          <w:titlePg/>
          <w:docGrid w:linePitch="360"/>
        </w:sectPr>
      </w:pPr>
    </w:p>
    <w:p w14:paraId="32F56A77" w14:textId="77777777" w:rsidR="00B475D5" w:rsidRPr="00112CC3" w:rsidRDefault="00B475D5" w:rsidP="00B475D5">
      <w:pPr>
        <w:rPr>
          <w:szCs w:val="26"/>
        </w:rPr>
      </w:pPr>
      <w:r w:rsidRPr="00112CC3">
        <w:rPr>
          <w:szCs w:val="26"/>
        </w:rPr>
        <w:lastRenderedPageBreak/>
        <w:t>Dato, J., Concurring and Dissenting.</w:t>
      </w:r>
    </w:p>
    <w:p w14:paraId="0C021739" w14:textId="77777777" w:rsidR="00B475D5" w:rsidRPr="00112CC3" w:rsidRDefault="00B475D5" w:rsidP="00B475D5">
      <w:pPr>
        <w:rPr>
          <w:szCs w:val="26"/>
        </w:rPr>
      </w:pPr>
    </w:p>
    <w:p w14:paraId="6E1962DE" w14:textId="77777777" w:rsidR="00691FA7" w:rsidRDefault="00B475D5" w:rsidP="00B475D5">
      <w:pPr>
        <w:spacing w:line="360" w:lineRule="auto"/>
        <w:rPr>
          <w:szCs w:val="26"/>
        </w:rPr>
        <w:sectPr w:rsidR="00691FA7" w:rsidSect="00B475D5">
          <w:pgSz w:w="12240" w:h="15840" w:code="1"/>
          <w:pgMar w:top="1440" w:right="1440" w:bottom="1440" w:left="1440" w:header="720" w:footer="720" w:gutter="0"/>
          <w:pgNumType w:start="1"/>
          <w:cols w:space="720"/>
          <w:titlePg/>
          <w:docGrid w:linePitch="360"/>
        </w:sectPr>
      </w:pPr>
      <w:r w:rsidRPr="00112CC3">
        <w:rPr>
          <w:szCs w:val="26"/>
        </w:rPr>
        <w:tab/>
        <w:t>The two operative privacy statutes – Penal Code sections 632 and 632.7</w:t>
      </w:r>
    </w:p>
    <w:p w14:paraId="47419DD4" w14:textId="77777777" w:rsidR="00B475D5" w:rsidRPr="00112CC3" w:rsidRDefault="00B475D5" w:rsidP="00B475D5">
      <w:pPr>
        <w:spacing w:line="360" w:lineRule="auto"/>
        <w:rPr>
          <w:szCs w:val="26"/>
        </w:rPr>
      </w:pPr>
      <w:r w:rsidRPr="00112CC3">
        <w:rPr>
          <w:rStyle w:val="FootnoteReference"/>
          <w:szCs w:val="26"/>
        </w:rPr>
        <w:footnoteReference w:id="26"/>
      </w:r>
      <w:r w:rsidRPr="00112CC3">
        <w:rPr>
          <w:szCs w:val="26"/>
        </w:rPr>
        <w:t xml:space="preserve"> – each prohibit the </w:t>
      </w:r>
      <w:r w:rsidRPr="00112CC3">
        <w:rPr>
          <w:i/>
          <w:iCs/>
          <w:szCs w:val="26"/>
        </w:rPr>
        <w:t>intentional</w:t>
      </w:r>
      <w:r w:rsidRPr="00112CC3">
        <w:rPr>
          <w:szCs w:val="26"/>
        </w:rPr>
        <w:t xml:space="preserve"> recording of certain phone conversations </w:t>
      </w:r>
      <w:r w:rsidRPr="00112CC3">
        <w:rPr>
          <w:i/>
          <w:iCs/>
          <w:szCs w:val="26"/>
        </w:rPr>
        <w:t>without consent</w:t>
      </w:r>
      <w:r w:rsidRPr="00112CC3">
        <w:rPr>
          <w:szCs w:val="26"/>
        </w:rPr>
        <w:t xml:space="preserve"> of all parties.  Like the majority, I agree there is no substantial evidence to support the trial court’s conclusion that HSBC did not intend to record hundreds of personal phone calls to plaintiff Dalia Rojas from her daughter, an employee of an HSBC call center in Salinas, California.  Unlike my colleagues, however, I do not believe we can affirm the judgment on the basis that Rojas impliedly consented to HSBC’s recording of the calls.  Accordingly, I must respectfully dissent.</w:t>
      </w:r>
    </w:p>
    <w:p w14:paraId="3B50A9BA" w14:textId="77777777" w:rsidR="00B475D5" w:rsidRPr="00112CC3" w:rsidRDefault="00B475D5" w:rsidP="00B475D5">
      <w:pPr>
        <w:pStyle w:val="Heading1"/>
        <w:spacing w:before="120" w:after="120" w:line="360" w:lineRule="auto"/>
        <w:rPr>
          <w:b/>
          <w:bCs/>
          <w:szCs w:val="26"/>
        </w:rPr>
      </w:pPr>
      <w:r w:rsidRPr="00112CC3">
        <w:rPr>
          <w:szCs w:val="26"/>
        </w:rPr>
        <w:t>A</w:t>
      </w:r>
    </w:p>
    <w:p w14:paraId="208C2B00" w14:textId="77777777" w:rsidR="00B475D5" w:rsidRPr="00112CC3" w:rsidRDefault="00B475D5" w:rsidP="00B475D5">
      <w:pPr>
        <w:spacing w:line="360" w:lineRule="auto"/>
        <w:ind w:firstLine="720"/>
        <w:rPr>
          <w:szCs w:val="26"/>
        </w:rPr>
      </w:pPr>
      <w:r w:rsidRPr="00112CC3">
        <w:rPr>
          <w:szCs w:val="26"/>
        </w:rPr>
        <w:t xml:space="preserve">In the context of this case, the concept of “implied” consent requires that the consenting party, </w:t>
      </w:r>
      <w:r w:rsidRPr="00112CC3">
        <w:rPr>
          <w:i/>
          <w:iCs/>
          <w:szCs w:val="26"/>
        </w:rPr>
        <w:t>knowing that the phone calls will be recorded</w:t>
      </w:r>
      <w:r w:rsidRPr="00112CC3">
        <w:rPr>
          <w:szCs w:val="26"/>
        </w:rPr>
        <w:t xml:space="preserve">, </w:t>
      </w:r>
      <w:proofErr w:type="gramStart"/>
      <w:r w:rsidRPr="00112CC3">
        <w:rPr>
          <w:szCs w:val="26"/>
        </w:rPr>
        <w:t>take action</w:t>
      </w:r>
      <w:proofErr w:type="gramEnd"/>
      <w:r w:rsidRPr="00112CC3">
        <w:rPr>
          <w:szCs w:val="26"/>
        </w:rPr>
        <w:t xml:space="preserve"> (typically, continuing with the phone call) that impliedly indicates agreement to permit the recording.  Here, applying a deferential “substantial evidence” standard of review, the majority opinion affirms the trial court’s purported factual finding that Rojas impliedly consented.  But </w:t>
      </w:r>
      <w:proofErr w:type="gramStart"/>
      <w:r w:rsidRPr="00112CC3">
        <w:rPr>
          <w:szCs w:val="26"/>
        </w:rPr>
        <w:t>it’s</w:t>
      </w:r>
      <w:proofErr w:type="gramEnd"/>
      <w:r w:rsidRPr="00112CC3">
        <w:rPr>
          <w:szCs w:val="26"/>
        </w:rPr>
        <w:t xml:space="preserve"> not nearly that simple.</w:t>
      </w:r>
    </w:p>
    <w:p w14:paraId="3C5A5E17" w14:textId="63B21B99" w:rsidR="00B475D5" w:rsidRPr="00112CC3" w:rsidRDefault="00B475D5" w:rsidP="00B475D5">
      <w:pPr>
        <w:spacing w:line="360" w:lineRule="auto"/>
        <w:ind w:firstLine="720"/>
        <w:rPr>
          <w:szCs w:val="26"/>
        </w:rPr>
      </w:pPr>
      <w:r w:rsidRPr="00112CC3">
        <w:rPr>
          <w:szCs w:val="26"/>
        </w:rPr>
        <w:t xml:space="preserve">First and foremost, the trial court never determined that Rojas </w:t>
      </w:r>
      <w:r w:rsidRPr="00112CC3">
        <w:rPr>
          <w:i/>
          <w:iCs/>
          <w:szCs w:val="26"/>
        </w:rPr>
        <w:t xml:space="preserve">knew </w:t>
      </w:r>
      <w:r w:rsidRPr="00112CC3">
        <w:rPr>
          <w:szCs w:val="26"/>
        </w:rPr>
        <w:t xml:space="preserve">the calls were being recorded.  (See </w:t>
      </w:r>
      <w:r w:rsidRPr="00112CC3">
        <w:rPr>
          <w:i/>
          <w:iCs/>
          <w:szCs w:val="26"/>
        </w:rPr>
        <w:t>Griggs-Ryan v. Smith</w:t>
      </w:r>
      <w:r w:rsidRPr="00112CC3">
        <w:rPr>
          <w:szCs w:val="26"/>
        </w:rPr>
        <w:t xml:space="preserve"> (1st Cir. 1990) 904 F.2d 112, 117 [plaintiff must have “ ‘knowingly agreed to the surveillance’ ”].)  Rather, it concluded that she was on “inquiry notice” and “should</w:t>
      </w:r>
      <w:r>
        <w:rPr>
          <w:szCs w:val="26"/>
        </w:rPr>
        <w:t>” or “would”</w:t>
      </w:r>
      <w:r w:rsidRPr="00112CC3">
        <w:rPr>
          <w:szCs w:val="26"/>
        </w:rPr>
        <w:t xml:space="preserve"> have been aware of the recordings.  But this is the wrong legal standard.  (</w:t>
      </w:r>
      <w:r w:rsidRPr="00112CC3">
        <w:rPr>
          <w:i/>
          <w:iCs/>
          <w:szCs w:val="26"/>
        </w:rPr>
        <w:t xml:space="preserve">Id. </w:t>
      </w:r>
      <w:r w:rsidRPr="00112CC3">
        <w:rPr>
          <w:szCs w:val="26"/>
        </w:rPr>
        <w:t>at p. 116</w:t>
      </w:r>
      <w:r w:rsidRPr="00112CC3">
        <w:rPr>
          <w:i/>
          <w:iCs/>
          <w:szCs w:val="26"/>
        </w:rPr>
        <w:t xml:space="preserve"> </w:t>
      </w:r>
      <w:r w:rsidRPr="00112CC3">
        <w:rPr>
          <w:szCs w:val="26"/>
        </w:rPr>
        <w:t xml:space="preserve">[“implied consent is not constructive consent”].)  It is not enough that Rojas objectively </w:t>
      </w:r>
      <w:r w:rsidRPr="00112CC3">
        <w:rPr>
          <w:i/>
          <w:iCs/>
          <w:szCs w:val="26"/>
        </w:rPr>
        <w:t>should have</w:t>
      </w:r>
      <w:r w:rsidRPr="00112CC3">
        <w:rPr>
          <w:szCs w:val="26"/>
        </w:rPr>
        <w:t xml:space="preserve"> known the calls were being recorded, much </w:t>
      </w:r>
      <w:r w:rsidRPr="00112CC3">
        <w:rPr>
          <w:szCs w:val="26"/>
        </w:rPr>
        <w:lastRenderedPageBreak/>
        <w:t xml:space="preserve">less that an inquiry (which she did not conduct) </w:t>
      </w:r>
      <w:r>
        <w:rPr>
          <w:szCs w:val="26"/>
        </w:rPr>
        <w:t>w</w:t>
      </w:r>
      <w:r w:rsidRPr="00112CC3">
        <w:rPr>
          <w:szCs w:val="26"/>
        </w:rPr>
        <w:t xml:space="preserve">ould have led her to that conclusion.  Instead, the question is subjective–did Rojas agree to having the calls recorded?  If she </w:t>
      </w:r>
      <w:proofErr w:type="gramStart"/>
      <w:r w:rsidRPr="00112CC3">
        <w:rPr>
          <w:szCs w:val="26"/>
        </w:rPr>
        <w:t>was</w:t>
      </w:r>
      <w:proofErr w:type="gramEnd"/>
      <w:r w:rsidRPr="00112CC3">
        <w:rPr>
          <w:szCs w:val="26"/>
        </w:rPr>
        <w:t xml:space="preserve"> told the call would be recorded and did not thereafter “decline to continue the communication” (</w:t>
      </w:r>
      <w:r w:rsidRPr="00112CC3">
        <w:rPr>
          <w:i/>
          <w:iCs/>
          <w:szCs w:val="26"/>
        </w:rPr>
        <w:t>Kearney v. Salomon Smith Barney, Inc.</w:t>
      </w:r>
      <w:r w:rsidRPr="00112CC3">
        <w:rPr>
          <w:szCs w:val="26"/>
        </w:rPr>
        <w:t xml:space="preserve"> (2006) 39 Cal.4th 95, 118 (</w:t>
      </w:r>
      <w:r w:rsidRPr="00112CC3">
        <w:rPr>
          <w:i/>
          <w:iCs/>
          <w:szCs w:val="26"/>
        </w:rPr>
        <w:t>Kearney</w:t>
      </w:r>
      <w:r w:rsidRPr="00112CC3">
        <w:rPr>
          <w:szCs w:val="26"/>
        </w:rPr>
        <w:t xml:space="preserve">)), there would be a sufficient basis to conclude she impliedly consented to the recording.  But proceeding with a phone call cannot imply consent if Rojas wasn’t </w:t>
      </w:r>
      <w:proofErr w:type="gramStart"/>
      <w:r w:rsidRPr="00112CC3">
        <w:rPr>
          <w:szCs w:val="26"/>
        </w:rPr>
        <w:t>aware</w:t>
      </w:r>
      <w:proofErr w:type="gramEnd"/>
      <w:r w:rsidRPr="00112CC3">
        <w:rPr>
          <w:szCs w:val="26"/>
        </w:rPr>
        <w:t xml:space="preserve"> it was being recorded.  Any asserted neglect on her part in not asking if the calls were recorded cannot create consent.  By applying the wrong standard, the trial court committed legal error, and its resulting conclusion cannot be reviewed for substantial evidence.</w:t>
      </w:r>
    </w:p>
    <w:p w14:paraId="71D86FF2" w14:textId="06A3A743" w:rsidR="00B475D5" w:rsidRPr="00112CC3" w:rsidRDefault="00B475D5" w:rsidP="00B475D5">
      <w:pPr>
        <w:spacing w:line="360" w:lineRule="auto"/>
        <w:ind w:firstLine="720"/>
        <w:rPr>
          <w:szCs w:val="26"/>
        </w:rPr>
      </w:pPr>
      <w:r w:rsidRPr="00112CC3">
        <w:rPr>
          <w:szCs w:val="26"/>
        </w:rPr>
        <w:t xml:space="preserve">The majority opinion suggests that any legal error in misstating the legal standard was harmless “because substantial evidence still supports the court’s consent findings.”  (Maj. opn., </w:t>
      </w:r>
      <w:r w:rsidRPr="00112CC3">
        <w:rPr>
          <w:i/>
          <w:iCs/>
          <w:szCs w:val="26"/>
        </w:rPr>
        <w:t>ante</w:t>
      </w:r>
      <w:r w:rsidRPr="00112CC3">
        <w:rPr>
          <w:szCs w:val="26"/>
        </w:rPr>
        <w:t>, at p. 3</w:t>
      </w:r>
      <w:r w:rsidR="008D1229">
        <w:rPr>
          <w:szCs w:val="26"/>
        </w:rPr>
        <w:t>3</w:t>
      </w:r>
      <w:r w:rsidRPr="00112CC3">
        <w:rPr>
          <w:szCs w:val="26"/>
        </w:rPr>
        <w:t>.)  But this mis</w:t>
      </w:r>
      <w:r>
        <w:rPr>
          <w:szCs w:val="26"/>
        </w:rPr>
        <w:t>applies</w:t>
      </w:r>
      <w:r w:rsidRPr="00112CC3">
        <w:rPr>
          <w:szCs w:val="26"/>
        </w:rPr>
        <w:t xml:space="preserve"> the standard for prejudice.  The question is not whether there is enough evidence to support a finding of implied consent, but instead whether Rojas can show a reasonable probability of a more favorable result had the court applied the correct standard.  (</w:t>
      </w:r>
      <w:r w:rsidRPr="00112CC3">
        <w:rPr>
          <w:i/>
          <w:iCs/>
          <w:szCs w:val="26"/>
        </w:rPr>
        <w:t>Strouse v. Webcor Construction, L.P.</w:t>
      </w:r>
      <w:r w:rsidRPr="00112CC3">
        <w:rPr>
          <w:szCs w:val="26"/>
        </w:rPr>
        <w:t xml:space="preserve"> (2019) 34 Cal.App.5th 703, 718.)  As the Supreme Court has emphasized, “ ‘probability’ in this context does not mean more likely than not, but merely a </w:t>
      </w:r>
      <w:r w:rsidRPr="00112CC3">
        <w:rPr>
          <w:i/>
          <w:iCs/>
          <w:szCs w:val="26"/>
        </w:rPr>
        <w:t xml:space="preserve">reasonable </w:t>
      </w:r>
      <w:r w:rsidRPr="00112CC3">
        <w:rPr>
          <w:szCs w:val="26"/>
        </w:rPr>
        <w:t xml:space="preserve">chance, more than an </w:t>
      </w:r>
      <w:r w:rsidRPr="00112CC3">
        <w:rPr>
          <w:i/>
          <w:iCs/>
          <w:szCs w:val="26"/>
        </w:rPr>
        <w:t>abstract possibility.</w:t>
      </w:r>
      <w:r w:rsidRPr="00112CC3">
        <w:rPr>
          <w:szCs w:val="26"/>
        </w:rPr>
        <w:t>”  (</w:t>
      </w:r>
      <w:r w:rsidRPr="00112CC3">
        <w:rPr>
          <w:i/>
          <w:iCs/>
          <w:szCs w:val="26"/>
        </w:rPr>
        <w:t>College Hospital Inc. v. Superior Court</w:t>
      </w:r>
      <w:r w:rsidRPr="00112CC3">
        <w:rPr>
          <w:szCs w:val="26"/>
        </w:rPr>
        <w:t xml:space="preserve"> (1994) 8 Cal.4th 704, 715.) </w:t>
      </w:r>
    </w:p>
    <w:p w14:paraId="174B7DB8" w14:textId="42D99C91" w:rsidR="00B475D5" w:rsidRPr="00112CC3" w:rsidRDefault="00B475D5" w:rsidP="00B475D5">
      <w:pPr>
        <w:spacing w:line="360" w:lineRule="auto"/>
        <w:ind w:firstLine="720"/>
        <w:rPr>
          <w:szCs w:val="26"/>
        </w:rPr>
      </w:pPr>
      <w:r w:rsidRPr="00112CC3">
        <w:rPr>
          <w:szCs w:val="26"/>
        </w:rPr>
        <w:t xml:space="preserve">The trial court’s brief discussion of consent in its statement of decision gives no indication that it found Rojas was </w:t>
      </w:r>
      <w:proofErr w:type="gramStart"/>
      <w:r w:rsidRPr="00112CC3">
        <w:rPr>
          <w:i/>
          <w:iCs/>
          <w:szCs w:val="26"/>
        </w:rPr>
        <w:t>actually aware</w:t>
      </w:r>
      <w:proofErr w:type="gramEnd"/>
      <w:r w:rsidRPr="00112CC3">
        <w:rPr>
          <w:i/>
          <w:iCs/>
          <w:szCs w:val="26"/>
        </w:rPr>
        <w:t xml:space="preserve"> </w:t>
      </w:r>
      <w:r w:rsidRPr="00112CC3">
        <w:rPr>
          <w:szCs w:val="26"/>
        </w:rPr>
        <w:t xml:space="preserve">the calls were being recorded.  Indeed, had it made that finding, there would have been no need to mention the inapplicable concepts of “inquiry notice” and whether Rojas “should have been aware” of the recordings.  Given the nature of the </w:t>
      </w:r>
      <w:r w:rsidRPr="00112CC3">
        <w:rPr>
          <w:szCs w:val="26"/>
        </w:rPr>
        <w:lastRenderedPageBreak/>
        <w:t xml:space="preserve">evidence HSBC relied on to show Rojas’s knowledge that the calls were being recorded (see </w:t>
      </w:r>
      <w:r w:rsidRPr="00112CC3">
        <w:rPr>
          <w:i/>
          <w:iCs/>
          <w:szCs w:val="26"/>
        </w:rPr>
        <w:t>post</w:t>
      </w:r>
      <w:r w:rsidRPr="00112CC3">
        <w:rPr>
          <w:szCs w:val="26"/>
        </w:rPr>
        <w:t xml:space="preserve">, part B), there is far more than a “reasonable chance” of a different result.  There is, in fact, compelling evidence that Rojas did </w:t>
      </w:r>
      <w:r w:rsidRPr="00112CC3">
        <w:rPr>
          <w:i/>
          <w:iCs/>
          <w:szCs w:val="26"/>
        </w:rPr>
        <w:t xml:space="preserve">not </w:t>
      </w:r>
      <w:r w:rsidRPr="00112CC3">
        <w:rPr>
          <w:szCs w:val="26"/>
        </w:rPr>
        <w:t>consent.</w:t>
      </w:r>
    </w:p>
    <w:p w14:paraId="4622B769" w14:textId="77777777" w:rsidR="00B475D5" w:rsidRPr="00112CC3" w:rsidRDefault="00B475D5" w:rsidP="00B475D5">
      <w:pPr>
        <w:pStyle w:val="Heading1"/>
        <w:spacing w:before="120" w:after="120" w:line="360" w:lineRule="auto"/>
        <w:rPr>
          <w:b/>
          <w:bCs/>
          <w:szCs w:val="26"/>
        </w:rPr>
      </w:pPr>
      <w:r w:rsidRPr="00112CC3">
        <w:rPr>
          <w:szCs w:val="26"/>
        </w:rPr>
        <w:t>B</w:t>
      </w:r>
    </w:p>
    <w:p w14:paraId="3CE3207F" w14:textId="77777777" w:rsidR="00B475D5" w:rsidRPr="00112CC3" w:rsidRDefault="00B475D5" w:rsidP="00B475D5">
      <w:pPr>
        <w:spacing w:line="360" w:lineRule="auto"/>
        <w:rPr>
          <w:szCs w:val="26"/>
        </w:rPr>
      </w:pPr>
      <w:r w:rsidRPr="00112CC3">
        <w:rPr>
          <w:szCs w:val="26"/>
        </w:rPr>
        <w:tab/>
        <w:t xml:space="preserve">As the Supreme Court observed in </w:t>
      </w:r>
      <w:r w:rsidRPr="00112CC3">
        <w:rPr>
          <w:i/>
          <w:iCs/>
          <w:szCs w:val="26"/>
        </w:rPr>
        <w:t xml:space="preserve">Kearney, </w:t>
      </w:r>
      <w:r w:rsidRPr="00112CC3">
        <w:rPr>
          <w:szCs w:val="26"/>
        </w:rPr>
        <w:t>“California consumers are accustomed to being informed at the outset of a telephone call whenever a business entity intends to record the call.”  (39 Cal.4th at p. 118, fn. 10.)  At that point, the consumers “simply may decline to continue the communication” if they do not want to be recorded.  (</w:t>
      </w:r>
      <w:r w:rsidRPr="00112CC3">
        <w:rPr>
          <w:i/>
          <w:iCs/>
          <w:szCs w:val="26"/>
        </w:rPr>
        <w:t xml:space="preserve">Id. </w:t>
      </w:r>
      <w:r w:rsidRPr="00112CC3">
        <w:rPr>
          <w:szCs w:val="26"/>
        </w:rPr>
        <w:t xml:space="preserve">at p. 118.)  On the other hand, if they proceed with the </w:t>
      </w:r>
      <w:proofErr w:type="gramStart"/>
      <w:r w:rsidRPr="00112CC3">
        <w:rPr>
          <w:szCs w:val="26"/>
        </w:rPr>
        <w:t>call</w:t>
      </w:r>
      <w:proofErr w:type="gramEnd"/>
      <w:r w:rsidRPr="00112CC3">
        <w:rPr>
          <w:szCs w:val="26"/>
        </w:rPr>
        <w:t xml:space="preserve"> it is reasonable to infer they impliedly consented to the recording.</w:t>
      </w:r>
    </w:p>
    <w:p w14:paraId="70626A72" w14:textId="77777777" w:rsidR="00B475D5" w:rsidRPr="00112CC3" w:rsidRDefault="00B475D5" w:rsidP="00B475D5">
      <w:pPr>
        <w:spacing w:line="360" w:lineRule="auto"/>
        <w:rPr>
          <w:szCs w:val="26"/>
        </w:rPr>
      </w:pPr>
      <w:r w:rsidRPr="00112CC3">
        <w:rPr>
          <w:szCs w:val="26"/>
        </w:rPr>
        <w:tab/>
        <w:t xml:space="preserve">In this case, there is no dispute that HSBC did </w:t>
      </w:r>
      <w:r w:rsidRPr="00112CC3">
        <w:rPr>
          <w:i/>
          <w:iCs/>
          <w:szCs w:val="26"/>
        </w:rPr>
        <w:t xml:space="preserve">not </w:t>
      </w:r>
      <w:r w:rsidRPr="00112CC3">
        <w:rPr>
          <w:szCs w:val="26"/>
        </w:rPr>
        <w:t>inform Rojas “at the outset” of any call with her daughter that anything was going to be recorded.  Instead, HSBC and the trial court relied on two advisements that Rojas received in an entirely different context, unrelated to any phone call with her daughter.  She received both, fortuitously, because she happened to be an HSBC credit card customer; neither had anything to do with her daughter’s employment at an HSBC call center.  In my view, neither supports a finding of implied consent.</w:t>
      </w:r>
    </w:p>
    <w:p w14:paraId="0A9A8E1B" w14:textId="3B673C56" w:rsidR="00B475D5" w:rsidRPr="00112CC3" w:rsidRDefault="00B475D5" w:rsidP="00B475D5">
      <w:pPr>
        <w:spacing w:line="360" w:lineRule="auto"/>
        <w:rPr>
          <w:szCs w:val="26"/>
        </w:rPr>
      </w:pPr>
      <w:r w:rsidRPr="00112CC3">
        <w:rPr>
          <w:szCs w:val="26"/>
        </w:rPr>
        <w:tab/>
        <w:t xml:space="preserve">The first of these advisements is contained in a prolix 14-page “Cardmember Agreement” sent to Rojas because she applied for a credit card.  Included under a heading “Monitoring Practices,” sandwiched between “Account Closure” and “Change of Terms,” the cardmember is told, “You agree that we may listen to and record phone calls between you and our representatives.”  Elsewhere in the agreement there are two references to phone calls.  The cardmember can “call[ ] the number on the back of your </w:t>
      </w:r>
      <w:r w:rsidRPr="00112CC3">
        <w:rPr>
          <w:szCs w:val="26"/>
        </w:rPr>
        <w:lastRenderedPageBreak/>
        <w:t xml:space="preserve">card” to close the account.  Or if the card is lost or stolen, the cardmember is invited to call “[t]he </w:t>
      </w:r>
      <w:proofErr w:type="gramStart"/>
      <w:r w:rsidRPr="00112CC3">
        <w:rPr>
          <w:szCs w:val="26"/>
        </w:rPr>
        <w:t>phone</w:t>
      </w:r>
      <w:proofErr w:type="gramEnd"/>
      <w:r w:rsidRPr="00112CC3">
        <w:rPr>
          <w:szCs w:val="26"/>
        </w:rPr>
        <w:t xml:space="preserve"> number . . . listed on your billing statement.”  </w:t>
      </w:r>
      <w:proofErr w:type="gramStart"/>
      <w:r w:rsidRPr="00112CC3">
        <w:rPr>
          <w:szCs w:val="26"/>
        </w:rPr>
        <w:t>Both of these</w:t>
      </w:r>
      <w:proofErr w:type="gramEnd"/>
      <w:r w:rsidRPr="00112CC3">
        <w:rPr>
          <w:szCs w:val="26"/>
        </w:rPr>
        <w:t xml:space="preserve"> references are to calls placed </w:t>
      </w:r>
      <w:r w:rsidRPr="00112CC3">
        <w:rPr>
          <w:i/>
          <w:iCs/>
          <w:szCs w:val="26"/>
        </w:rPr>
        <w:t>by</w:t>
      </w:r>
      <w:r w:rsidRPr="00112CC3">
        <w:rPr>
          <w:szCs w:val="26"/>
        </w:rPr>
        <w:t xml:space="preserve"> the cardmember </w:t>
      </w:r>
      <w:r w:rsidRPr="00112CC3">
        <w:rPr>
          <w:i/>
          <w:iCs/>
          <w:szCs w:val="26"/>
        </w:rPr>
        <w:t xml:space="preserve">to </w:t>
      </w:r>
      <w:r w:rsidRPr="00112CC3">
        <w:rPr>
          <w:szCs w:val="26"/>
        </w:rPr>
        <w:t>HSBC</w:t>
      </w:r>
      <w:r>
        <w:rPr>
          <w:szCs w:val="26"/>
        </w:rPr>
        <w:t xml:space="preserve"> about the credit card account</w:t>
      </w:r>
      <w:r w:rsidRPr="00112CC3">
        <w:rPr>
          <w:szCs w:val="26"/>
        </w:rPr>
        <w:t xml:space="preserve">.  Nowhere does the agreement remotely suggest that if the cardmember receives a </w:t>
      </w:r>
      <w:r>
        <w:rPr>
          <w:szCs w:val="26"/>
        </w:rPr>
        <w:t xml:space="preserve">personal </w:t>
      </w:r>
      <w:r w:rsidRPr="00112CC3">
        <w:rPr>
          <w:szCs w:val="26"/>
        </w:rPr>
        <w:t xml:space="preserve">call </w:t>
      </w:r>
      <w:r w:rsidRPr="00112CC3">
        <w:rPr>
          <w:i/>
          <w:iCs/>
          <w:szCs w:val="26"/>
        </w:rPr>
        <w:t>from</w:t>
      </w:r>
      <w:r w:rsidRPr="00112CC3">
        <w:rPr>
          <w:szCs w:val="26"/>
        </w:rPr>
        <w:t xml:space="preserve"> a friend or relative who happens to be employed by HSBC, </w:t>
      </w:r>
      <w:r w:rsidRPr="00112CC3">
        <w:rPr>
          <w:i/>
          <w:iCs/>
          <w:szCs w:val="26"/>
        </w:rPr>
        <w:t xml:space="preserve">that </w:t>
      </w:r>
      <w:r w:rsidRPr="00112CC3">
        <w:rPr>
          <w:szCs w:val="26"/>
        </w:rPr>
        <w:t>call will be recorded.</w:t>
      </w:r>
      <w:r w:rsidRPr="00112CC3">
        <w:rPr>
          <w:rStyle w:val="FootnoteReference"/>
          <w:szCs w:val="26"/>
        </w:rPr>
        <w:footnoteReference w:id="27"/>
      </w:r>
    </w:p>
    <w:p w14:paraId="664A4A7E" w14:textId="02828D22" w:rsidR="00B475D5" w:rsidRPr="00112CC3" w:rsidRDefault="00B475D5" w:rsidP="00B475D5">
      <w:pPr>
        <w:spacing w:line="360" w:lineRule="auto"/>
        <w:ind w:firstLine="720"/>
        <w:rPr>
          <w:szCs w:val="26"/>
        </w:rPr>
      </w:pPr>
      <w:r w:rsidRPr="00112CC3">
        <w:rPr>
          <w:szCs w:val="26"/>
        </w:rPr>
        <w:t xml:space="preserve">The second advisement relied on by HSBC and the trial court was the automated one Rojas said she heard when she called the number on the back of her credit card to make a monthly payment and was told, “ ‘This call may be recorded.’ ”  The fact that </w:t>
      </w:r>
      <w:r w:rsidRPr="00112CC3">
        <w:rPr>
          <w:i/>
          <w:iCs/>
          <w:szCs w:val="26"/>
        </w:rPr>
        <w:t xml:space="preserve">this </w:t>
      </w:r>
      <w:r w:rsidRPr="00112CC3">
        <w:rPr>
          <w:szCs w:val="26"/>
        </w:rPr>
        <w:t xml:space="preserve">call may be monitored, or even this </w:t>
      </w:r>
      <w:r w:rsidRPr="00112CC3">
        <w:rPr>
          <w:i/>
          <w:iCs/>
          <w:szCs w:val="26"/>
        </w:rPr>
        <w:t xml:space="preserve">kind </w:t>
      </w:r>
      <w:r w:rsidRPr="00112CC3">
        <w:rPr>
          <w:szCs w:val="26"/>
        </w:rPr>
        <w:t xml:space="preserve">of </w:t>
      </w:r>
      <w:r w:rsidRPr="00112CC3">
        <w:rPr>
          <w:szCs w:val="26"/>
        </w:rPr>
        <w:lastRenderedPageBreak/>
        <w:t xml:space="preserve">call—i.e., one by the cardmember to HSBC to make a payment—does not give notice that an entirely different and unrelated kind of call—a </w:t>
      </w:r>
      <w:r>
        <w:rPr>
          <w:szCs w:val="26"/>
        </w:rPr>
        <w:t>personal</w:t>
      </w:r>
      <w:r w:rsidRPr="00112CC3">
        <w:rPr>
          <w:szCs w:val="26"/>
        </w:rPr>
        <w:t xml:space="preserve"> one by an HSBC employee to her mother—will likewise be recorded.</w:t>
      </w:r>
    </w:p>
    <w:p w14:paraId="4B18B5D0" w14:textId="656CF551" w:rsidR="00B475D5" w:rsidRPr="00112CC3" w:rsidRDefault="00B475D5" w:rsidP="00B475D5">
      <w:pPr>
        <w:spacing w:line="360" w:lineRule="auto"/>
        <w:ind w:firstLine="720"/>
        <w:rPr>
          <w:szCs w:val="26"/>
        </w:rPr>
      </w:pPr>
      <w:r w:rsidRPr="00112CC3">
        <w:rPr>
          <w:szCs w:val="26"/>
        </w:rPr>
        <w:t xml:space="preserve">Equally significant, HSBC was forced to rely on these inapplicable and inadequate advisements because it consciously chose </w:t>
      </w:r>
      <w:r w:rsidRPr="00112CC3">
        <w:rPr>
          <w:i/>
          <w:iCs/>
          <w:szCs w:val="26"/>
        </w:rPr>
        <w:t>not</w:t>
      </w:r>
      <w:r w:rsidRPr="00112CC3">
        <w:rPr>
          <w:szCs w:val="26"/>
        </w:rPr>
        <w:t xml:space="preserve"> to provide actual notice to call participants.  Questioned about the automated advisements that greeted the caller on every incoming call </w:t>
      </w:r>
      <w:r w:rsidRPr="00112CC3">
        <w:rPr>
          <w:i/>
          <w:iCs/>
          <w:szCs w:val="26"/>
        </w:rPr>
        <w:t>to</w:t>
      </w:r>
      <w:r w:rsidRPr="00112CC3">
        <w:rPr>
          <w:szCs w:val="26"/>
        </w:rPr>
        <w:t xml:space="preserve"> the call center, HSBC representatives conceded it was similarly feasible to include an automated advisement on outgoing calls made </w:t>
      </w:r>
      <w:r w:rsidRPr="00112CC3">
        <w:rPr>
          <w:i/>
          <w:iCs/>
          <w:szCs w:val="26"/>
        </w:rPr>
        <w:t>from</w:t>
      </w:r>
      <w:r w:rsidRPr="00112CC3">
        <w:rPr>
          <w:szCs w:val="26"/>
        </w:rPr>
        <w:t xml:space="preserve"> the call center, but that the company declined to do so for business reasons because such an advisement would “significantly decrease[ ] the chance that the call will be answered.”  In other words, HSBC believed that if customers really </w:t>
      </w:r>
      <w:r w:rsidRPr="00112CC3">
        <w:rPr>
          <w:i/>
          <w:iCs/>
          <w:szCs w:val="26"/>
        </w:rPr>
        <w:t xml:space="preserve">knew </w:t>
      </w:r>
      <w:r w:rsidRPr="00112CC3">
        <w:rPr>
          <w:szCs w:val="26"/>
        </w:rPr>
        <w:t xml:space="preserve">the call was being recorded, many would not consent to participate.  And it was better from HSBC’s business perspective to keep them in the dark and address any resulting privacy issues </w:t>
      </w:r>
      <w:proofErr w:type="gramStart"/>
      <w:r w:rsidRPr="00112CC3">
        <w:rPr>
          <w:szCs w:val="26"/>
        </w:rPr>
        <w:t>at a later time</w:t>
      </w:r>
      <w:proofErr w:type="gramEnd"/>
      <w:r w:rsidRPr="00112CC3">
        <w:rPr>
          <w:szCs w:val="26"/>
        </w:rPr>
        <w:t>, if and when they arose.</w:t>
      </w:r>
    </w:p>
    <w:p w14:paraId="0E03D7F0" w14:textId="77777777" w:rsidR="00B475D5" w:rsidRPr="00112CC3" w:rsidRDefault="00B475D5" w:rsidP="00F90A8A">
      <w:pPr>
        <w:spacing w:before="120" w:after="120" w:line="360" w:lineRule="auto"/>
        <w:jc w:val="center"/>
      </w:pPr>
      <w:r w:rsidRPr="00112CC3">
        <w:t>C</w:t>
      </w:r>
    </w:p>
    <w:p w14:paraId="447FD0D4" w14:textId="77777777" w:rsidR="00B475D5" w:rsidRPr="00112CC3" w:rsidRDefault="00B475D5" w:rsidP="00B475D5">
      <w:pPr>
        <w:spacing w:line="360" w:lineRule="auto"/>
        <w:rPr>
          <w:szCs w:val="26"/>
        </w:rPr>
      </w:pPr>
      <w:r w:rsidRPr="00112CC3">
        <w:rPr>
          <w:szCs w:val="26"/>
        </w:rPr>
        <w:tab/>
      </w:r>
      <w:r>
        <w:rPr>
          <w:szCs w:val="26"/>
        </w:rPr>
        <w:t xml:space="preserve">Applying the proper legal standard, </w:t>
      </w:r>
      <w:r w:rsidRPr="00112CC3">
        <w:rPr>
          <w:szCs w:val="26"/>
        </w:rPr>
        <w:t xml:space="preserve">Dalia Rojas did not knowingly consent to HSBC recording </w:t>
      </w:r>
      <w:r>
        <w:rPr>
          <w:szCs w:val="26"/>
        </w:rPr>
        <w:t>personal</w:t>
      </w:r>
      <w:r w:rsidRPr="00112CC3">
        <w:rPr>
          <w:szCs w:val="26"/>
        </w:rPr>
        <w:t xml:space="preserve"> phone calls that her daughter—an HSBC employee—made to her from work.  She was never advised at the outset of any call that it would be recorded, as California consumers are accustomed to.  (</w:t>
      </w:r>
      <w:r w:rsidRPr="00112CC3">
        <w:rPr>
          <w:i/>
          <w:iCs/>
          <w:szCs w:val="26"/>
        </w:rPr>
        <w:t>Kearney, supra,</w:t>
      </w:r>
      <w:r w:rsidRPr="00112CC3">
        <w:rPr>
          <w:szCs w:val="26"/>
        </w:rPr>
        <w:t xml:space="preserve"> 39 Cal.4th at p. 118, fn. 10.)  Neither of the two </w:t>
      </w:r>
      <w:proofErr w:type="gramStart"/>
      <w:r w:rsidRPr="00112CC3">
        <w:rPr>
          <w:szCs w:val="26"/>
        </w:rPr>
        <w:t>totally unrelated</w:t>
      </w:r>
      <w:proofErr w:type="gramEnd"/>
      <w:r w:rsidRPr="00112CC3">
        <w:rPr>
          <w:szCs w:val="26"/>
        </w:rPr>
        <w:t xml:space="preserve"> advisements pointed to by HSBC and relied on by the trial court gave Rojas any notice that calls from her daughter were being recorded, such that she could then decide whether she wanted to discontinue the call.</w:t>
      </w:r>
    </w:p>
    <w:p w14:paraId="767B2928" w14:textId="77777777" w:rsidR="00B475D5" w:rsidRPr="00112CC3" w:rsidRDefault="00B475D5" w:rsidP="00B475D5">
      <w:pPr>
        <w:spacing w:line="360" w:lineRule="auto"/>
        <w:rPr>
          <w:szCs w:val="26"/>
        </w:rPr>
      </w:pPr>
      <w:r w:rsidRPr="00112CC3">
        <w:rPr>
          <w:szCs w:val="26"/>
        </w:rPr>
        <w:lastRenderedPageBreak/>
        <w:tab/>
        <w:t xml:space="preserve">Because HSBC intentionally recorded Rojas’s phone calls without her consent, in violation of sections 632 and 632.7, the judgment should be reversed. </w:t>
      </w:r>
    </w:p>
    <w:p w14:paraId="6DE6E30F" w14:textId="77777777" w:rsidR="00B475D5" w:rsidRPr="00112CC3" w:rsidRDefault="00B475D5" w:rsidP="00B475D5">
      <w:pPr>
        <w:rPr>
          <w:szCs w:val="26"/>
        </w:rPr>
      </w:pPr>
    </w:p>
    <w:p w14:paraId="4DA19648" w14:textId="77777777" w:rsidR="00B475D5" w:rsidRPr="00112CC3" w:rsidRDefault="00B475D5" w:rsidP="00B475D5">
      <w:pPr>
        <w:keepNext/>
        <w:rPr>
          <w:szCs w:val="26"/>
        </w:rPr>
      </w:pPr>
    </w:p>
    <w:p w14:paraId="206F701A" w14:textId="77777777" w:rsidR="00B475D5" w:rsidRPr="00332729" w:rsidRDefault="00B475D5" w:rsidP="00B475D5">
      <w:pPr>
        <w:keepNext/>
        <w:jc w:val="right"/>
        <w:rPr>
          <w:szCs w:val="26"/>
        </w:rPr>
      </w:pPr>
      <w:r w:rsidRPr="00112CC3">
        <w:rPr>
          <w:szCs w:val="26"/>
        </w:rPr>
        <w:t>DATO, J.</w:t>
      </w:r>
    </w:p>
    <w:p w14:paraId="2097BC42" w14:textId="77777777" w:rsidR="00622A7C" w:rsidRPr="00A86574" w:rsidRDefault="00622A7C" w:rsidP="00882F89">
      <w:pPr>
        <w:spacing w:line="360" w:lineRule="auto"/>
        <w:rPr>
          <w:rFonts w:cstheme="minorBidi"/>
          <w:szCs w:val="22"/>
        </w:rPr>
      </w:pPr>
    </w:p>
    <w:sectPr w:rsidR="00622A7C" w:rsidRPr="00A86574" w:rsidSect="00691FA7">
      <w:footnotePr>
        <w:numRestart w:val="eachSect"/>
      </w:footnotePr>
      <w:type w:val="continuous"/>
      <w:pgSz w:w="12240" w:h="15840" w:code="1"/>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959A05" w14:textId="77777777" w:rsidR="00F752E1" w:rsidRDefault="00F752E1" w:rsidP="00096537">
      <w:r>
        <w:separator/>
      </w:r>
    </w:p>
  </w:endnote>
  <w:endnote w:type="continuationSeparator" w:id="0">
    <w:p w14:paraId="0230DAFE" w14:textId="77777777" w:rsidR="00F752E1" w:rsidRDefault="00F752E1" w:rsidP="000965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9805236"/>
      <w:docPartObj>
        <w:docPartGallery w:val="Page Numbers (Bottom of Page)"/>
        <w:docPartUnique/>
      </w:docPartObj>
    </w:sdtPr>
    <w:sdtEndPr/>
    <w:sdtContent>
      <w:p w14:paraId="06EDDAFC" w14:textId="1F97094C" w:rsidR="00E66D0C" w:rsidRDefault="00E23262" w:rsidP="002673ED">
        <w:pPr>
          <w:pStyle w:val="Footer"/>
          <w:jc w:val="center"/>
        </w:pPr>
        <w:r>
          <w:fldChar w:fldCharType="begin"/>
        </w:r>
        <w:r>
          <w:instrText xml:space="preserve"> PAGE   \* MERGEFORMAT </w:instrText>
        </w:r>
        <w:r>
          <w:fldChar w:fldCharType="separate"/>
        </w:r>
        <w:r>
          <w:rPr>
            <w:noProof/>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A987F9" w14:textId="6390FD55" w:rsidR="00B475D5" w:rsidRDefault="00B475D5" w:rsidP="00B475D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321F9" w14:textId="77777777" w:rsidR="00F752E1" w:rsidRDefault="00F752E1" w:rsidP="00096537">
      <w:r>
        <w:separator/>
      </w:r>
    </w:p>
  </w:footnote>
  <w:footnote w:type="continuationSeparator" w:id="0">
    <w:p w14:paraId="7C1AB440" w14:textId="77777777" w:rsidR="00F752E1" w:rsidRDefault="00F752E1" w:rsidP="00096537">
      <w:r>
        <w:continuationSeparator/>
      </w:r>
    </w:p>
  </w:footnote>
  <w:footnote w:id="1">
    <w:p w14:paraId="792ABD03" w14:textId="11072189" w:rsidR="00725058" w:rsidRDefault="00725058" w:rsidP="009443F9">
      <w:pPr>
        <w:pStyle w:val="FootnoteText"/>
        <w:keepLines/>
        <w:spacing w:after="240"/>
      </w:pPr>
      <w:r>
        <w:rPr>
          <w:rStyle w:val="FootnoteReference"/>
        </w:rPr>
        <w:footnoteRef/>
      </w:r>
      <w:r>
        <w:t xml:space="preserve"> </w:t>
      </w:r>
      <w:r>
        <w:tab/>
        <w:t xml:space="preserve">Further statutory references are to the </w:t>
      </w:r>
      <w:r w:rsidRPr="006B101E">
        <w:t>Penal Code</w:t>
      </w:r>
      <w:r>
        <w:t xml:space="preserve"> unless noted.  One such exception is “section 998,” which refers to the Code of Civil Procedure.</w:t>
      </w:r>
    </w:p>
  </w:footnote>
  <w:footnote w:id="2">
    <w:p w14:paraId="73B04BA0" w14:textId="5816DFF3" w:rsidR="006C7A98" w:rsidRDefault="006C7A98" w:rsidP="009443F9">
      <w:pPr>
        <w:pStyle w:val="FootnoteText"/>
        <w:keepLines/>
        <w:spacing w:after="240"/>
      </w:pPr>
      <w:r>
        <w:rPr>
          <w:rStyle w:val="FootnoteReference"/>
        </w:rPr>
        <w:footnoteRef/>
      </w:r>
      <w:r>
        <w:t xml:space="preserve"> </w:t>
      </w:r>
      <w:bookmarkStart w:id="6" w:name="_Hlk63762057"/>
      <w:r>
        <w:tab/>
      </w:r>
      <w:r w:rsidRPr="006C7A98">
        <w:t>On our own motion, we consolidate the appeals for purposes of decision. (</w:t>
      </w:r>
      <w:r w:rsidRPr="006C7A98">
        <w:rPr>
          <w:i/>
        </w:rPr>
        <w:t xml:space="preserve">See </w:t>
      </w:r>
      <w:bookmarkStart w:id="7" w:name="dabmci_ce3468330bdc4d07b23e034cda59a4df"/>
      <w:r w:rsidRPr="006C7A98">
        <w:rPr>
          <w:i/>
        </w:rPr>
        <w:t>Hong Sang Market, Inc. v. Peng</w:t>
      </w:r>
      <w:r w:rsidRPr="006C7A98">
        <w:t xml:space="preserve"> (2018) 20 Cal.App.5th 474, 481, fn. 1</w:t>
      </w:r>
      <w:bookmarkEnd w:id="7"/>
      <w:r w:rsidRPr="006C7A98">
        <w:t>.)</w:t>
      </w:r>
      <w:bookmarkEnd w:id="6"/>
      <w:r w:rsidR="00580495">
        <w:t xml:space="preserve">  </w:t>
      </w:r>
      <w:r w:rsidR="00A3762F">
        <w:t xml:space="preserve">HSBC also filed a protective cross-appeal from </w:t>
      </w:r>
      <w:r w:rsidR="00580495">
        <w:t xml:space="preserve">the judgment regarding a </w:t>
      </w:r>
      <w:r w:rsidR="00A3762F">
        <w:t xml:space="preserve">summary adjudication </w:t>
      </w:r>
      <w:r w:rsidR="0062039C">
        <w:t>ruling</w:t>
      </w:r>
      <w:r w:rsidR="00580495">
        <w:t xml:space="preserve"> </w:t>
      </w:r>
      <w:r w:rsidR="0062039C">
        <w:t>that Rojas could seek $5000 per violation</w:t>
      </w:r>
      <w:r w:rsidR="0030100A">
        <w:t xml:space="preserve">, </w:t>
      </w:r>
      <w:r w:rsidR="0062039C">
        <w:t>rather than per action</w:t>
      </w:r>
      <w:r w:rsidR="0030100A">
        <w:t xml:space="preserve">. </w:t>
      </w:r>
      <w:r w:rsidR="00A3762F">
        <w:t xml:space="preserve"> </w:t>
      </w:r>
      <w:r w:rsidR="0030100A">
        <w:t>B</w:t>
      </w:r>
      <w:r w:rsidR="00A3762F">
        <w:t xml:space="preserve">ecause we affirm the judgment, we do not reach </w:t>
      </w:r>
      <w:r w:rsidR="0030100A">
        <w:t>the cross-appeal.</w:t>
      </w:r>
    </w:p>
  </w:footnote>
  <w:footnote w:id="3">
    <w:p w14:paraId="76EE26E5" w14:textId="752C540C" w:rsidR="00E23262" w:rsidRDefault="00E23262" w:rsidP="009443F9">
      <w:pPr>
        <w:pStyle w:val="FootnoteText"/>
        <w:keepLines/>
        <w:spacing w:after="240"/>
      </w:pPr>
      <w:r>
        <w:rPr>
          <w:rStyle w:val="FootnoteReference"/>
        </w:rPr>
        <w:footnoteRef/>
      </w:r>
      <w:r w:rsidR="00425599">
        <w:tab/>
      </w:r>
      <w:r w:rsidR="00A3762F" w:rsidRPr="00A3762F">
        <w:t xml:space="preserve">This </w:t>
      </w:r>
      <w:r w:rsidR="00A3762F">
        <w:t>summary is based on the trial record</w:t>
      </w:r>
      <w:r w:rsidR="00A3762F" w:rsidRPr="00A3762F">
        <w:t xml:space="preserve">, and includes facts that became available after we reversed summary judgment in </w:t>
      </w:r>
      <w:r w:rsidR="00A3762F" w:rsidRPr="00A3762F">
        <w:rPr>
          <w:i/>
          <w:iCs/>
        </w:rPr>
        <w:t>Rojas I</w:t>
      </w:r>
      <w:r w:rsidR="00A3762F" w:rsidRPr="00A3762F">
        <w:t>.  The record as of summary judgment is reflected there.</w:t>
      </w:r>
      <w:r w:rsidR="00B90BA8">
        <w:t xml:space="preserve">  </w:t>
      </w:r>
    </w:p>
  </w:footnote>
  <w:footnote w:id="4">
    <w:p w14:paraId="4B6CF7E8" w14:textId="3CE01674" w:rsidR="00A11F15" w:rsidRDefault="00A11F15" w:rsidP="009443F9">
      <w:pPr>
        <w:pStyle w:val="FootnoteText"/>
        <w:keepLines/>
        <w:spacing w:after="240"/>
      </w:pPr>
      <w:r>
        <w:rPr>
          <w:rStyle w:val="FootnoteReference"/>
        </w:rPr>
        <w:footnoteRef/>
      </w:r>
      <w:r>
        <w:t xml:space="preserve"> </w:t>
      </w:r>
      <w:r>
        <w:tab/>
      </w:r>
      <w:r w:rsidRPr="00404574">
        <w:t>HSBC produced 317 recording</w:t>
      </w:r>
      <w:r>
        <w:t>s</w:t>
      </w:r>
      <w:r w:rsidR="00F245AB">
        <w:t xml:space="preserve"> </w:t>
      </w:r>
      <w:r w:rsidR="00F245AB" w:rsidRPr="005222EE">
        <w:t>in discovery</w:t>
      </w:r>
      <w:r w:rsidRPr="00404574">
        <w:t xml:space="preserve">, but </w:t>
      </w:r>
      <w:r w:rsidR="0014196C">
        <w:t>t</w:t>
      </w:r>
      <w:r w:rsidRPr="00404574">
        <w:t xml:space="preserve">he parties stipulated there </w:t>
      </w:r>
      <w:r w:rsidR="0014196C">
        <w:t>were</w:t>
      </w:r>
      <w:r w:rsidRPr="00404574">
        <w:t xml:space="preserve"> 302 non-duplicative recordings.</w:t>
      </w:r>
      <w:r>
        <w:t xml:space="preserve"> </w:t>
      </w:r>
      <w:r w:rsidR="00752F7C">
        <w:t xml:space="preserve"> </w:t>
      </w:r>
      <w:r w:rsidR="001B45CF">
        <w:t>A</w:t>
      </w:r>
      <w:r w:rsidR="00752F7C">
        <w:t>ll but one was from Alejandra</w:t>
      </w:r>
      <w:r w:rsidR="00D96DCC">
        <w:t>, and the other was from an acquaintance of Rojas.</w:t>
      </w:r>
      <w:r w:rsidR="00752F7C">
        <w:t xml:space="preserve"> </w:t>
      </w:r>
    </w:p>
  </w:footnote>
  <w:footnote w:id="5">
    <w:p w14:paraId="33F30889" w14:textId="190804D9" w:rsidR="00A17E7A" w:rsidRPr="0043517A" w:rsidRDefault="00A17E7A" w:rsidP="00A17E7A">
      <w:pPr>
        <w:pStyle w:val="FootnoteText"/>
        <w:keepLines/>
        <w:spacing w:after="240"/>
      </w:pPr>
      <w:r w:rsidRPr="009324D6">
        <w:rPr>
          <w:rStyle w:val="FootnoteReference"/>
        </w:rPr>
        <w:footnoteRef/>
      </w:r>
      <w:r w:rsidRPr="009324D6">
        <w:t xml:space="preserve"> </w:t>
      </w:r>
      <w:r w:rsidRPr="009324D6">
        <w:tab/>
        <w:t xml:space="preserve">The </w:t>
      </w:r>
      <w:r>
        <w:t>operative</w:t>
      </w:r>
      <w:r w:rsidRPr="009324D6">
        <w:t xml:space="preserve"> complaint </w:t>
      </w:r>
      <w:r>
        <w:t>involved</w:t>
      </w:r>
      <w:r w:rsidRPr="009324D6">
        <w:t xml:space="preserve"> additional parties</w:t>
      </w:r>
      <w:r>
        <w:t>, who are not at issue here</w:t>
      </w:r>
      <w:r w:rsidRPr="009324D6">
        <w:t xml:space="preserve">. </w:t>
      </w:r>
      <w:r w:rsidRPr="00144162">
        <w:t xml:space="preserve"> </w:t>
      </w:r>
      <w:r>
        <w:t xml:space="preserve">HSBC also filed a cross-complaint for equitable indemnity and contribution against Alejandra, which also is not at issue. </w:t>
      </w:r>
    </w:p>
  </w:footnote>
  <w:footnote w:id="6">
    <w:p w14:paraId="5B8B8AD4" w14:textId="7D0ED645" w:rsidR="00462454" w:rsidRPr="00A42DA5" w:rsidRDefault="00462454" w:rsidP="009443F9">
      <w:pPr>
        <w:pStyle w:val="FootnoteText"/>
        <w:keepLines/>
        <w:spacing w:after="240"/>
      </w:pPr>
      <w:r w:rsidRPr="000A1B99">
        <w:rPr>
          <w:rStyle w:val="FootnoteReference"/>
        </w:rPr>
        <w:footnoteRef/>
      </w:r>
      <w:r w:rsidRPr="000A1B99">
        <w:t xml:space="preserve"> </w:t>
      </w:r>
      <w:r w:rsidRPr="000A1B99">
        <w:tab/>
      </w:r>
      <w:r>
        <w:t>W</w:t>
      </w:r>
      <w:r w:rsidRPr="000A1B99">
        <w:t xml:space="preserve">e focus </w:t>
      </w:r>
      <w:r w:rsidR="00F143BB">
        <w:t xml:space="preserve">here </w:t>
      </w:r>
      <w:r w:rsidRPr="000A1B99">
        <w:t>on HSBC’s</w:t>
      </w:r>
      <w:r w:rsidR="001D1FAD">
        <w:t xml:space="preserve"> recording</w:t>
      </w:r>
      <w:r w:rsidRPr="000A1B99">
        <w:t xml:space="preserve"> </w:t>
      </w:r>
      <w:r>
        <w:t xml:space="preserve">disclosure </w:t>
      </w:r>
      <w:r w:rsidRPr="000A1B99">
        <w:t>practices</w:t>
      </w:r>
      <w:r>
        <w:t xml:space="preserve"> and </w:t>
      </w:r>
      <w:r w:rsidR="00DA4518">
        <w:t xml:space="preserve">asserted ban on personal calls; </w:t>
      </w:r>
      <w:r w:rsidRPr="000A1B99">
        <w:t xml:space="preserve">Rojas and </w:t>
      </w:r>
      <w:r>
        <w:t>her calls from Alejandra;</w:t>
      </w:r>
      <w:r w:rsidRPr="000A1B99">
        <w:t xml:space="preserve"> and </w:t>
      </w:r>
      <w:r w:rsidR="001D1FAD">
        <w:t>Alejandra’s</w:t>
      </w:r>
      <w:r>
        <w:t xml:space="preserve"> </w:t>
      </w:r>
      <w:r w:rsidR="001D1FAD">
        <w:t>managers’</w:t>
      </w:r>
      <w:r>
        <w:t xml:space="preserve"> awareness of </w:t>
      </w:r>
      <w:r w:rsidR="001D1FAD">
        <w:t>her</w:t>
      </w:r>
      <w:r>
        <w:t xml:space="preserve"> personal calls</w:t>
      </w:r>
      <w:r w:rsidRPr="000A1B99">
        <w:t xml:space="preserve">. </w:t>
      </w:r>
      <w:r>
        <w:t xml:space="preserve"> </w:t>
      </w:r>
      <w:r w:rsidRPr="000A1B99">
        <w:t>We discuss other</w:t>
      </w:r>
      <w:r>
        <w:t xml:space="preserve"> relevant</w:t>
      </w:r>
      <w:r w:rsidRPr="000A1B99">
        <w:t xml:space="preserve"> testimony</w:t>
      </w:r>
      <w:r>
        <w:t xml:space="preserve">, including HSBC’s </w:t>
      </w:r>
      <w:r w:rsidR="001A7740">
        <w:t xml:space="preserve">workplace </w:t>
      </w:r>
      <w:r>
        <w:t>personal call policies</w:t>
      </w:r>
      <w:r w:rsidR="00DB5196">
        <w:t xml:space="preserve"> and </w:t>
      </w:r>
      <w:r w:rsidR="00255202">
        <w:t xml:space="preserve">the </w:t>
      </w:r>
      <w:r w:rsidR="001D1FAD">
        <w:t xml:space="preserve">disclosures received by </w:t>
      </w:r>
      <w:r>
        <w:t>Rojas</w:t>
      </w:r>
      <w:r w:rsidR="001D1FAD">
        <w:t xml:space="preserve"> for</w:t>
      </w:r>
      <w:r>
        <w:t xml:space="preserve"> her credit card,</w:t>
      </w:r>
      <w:r w:rsidRPr="000A1B99">
        <w:t xml:space="preserve"> </w:t>
      </w:r>
      <w:r w:rsidRPr="000A1B99">
        <w:rPr>
          <w:i/>
          <w:iCs/>
        </w:rPr>
        <w:t>post.</w:t>
      </w:r>
    </w:p>
  </w:footnote>
  <w:footnote w:id="7">
    <w:p w14:paraId="116BBFA7" w14:textId="63AEAF4E" w:rsidR="007E2F66" w:rsidRDefault="007E2F66" w:rsidP="009443F9">
      <w:pPr>
        <w:pStyle w:val="FootnoteText"/>
        <w:keepLines/>
        <w:spacing w:after="240"/>
      </w:pPr>
      <w:r>
        <w:rPr>
          <w:rStyle w:val="FootnoteReference"/>
        </w:rPr>
        <w:footnoteRef/>
      </w:r>
      <w:r>
        <w:t xml:space="preserve"> </w:t>
      </w:r>
      <w:r>
        <w:tab/>
      </w:r>
      <w:r w:rsidR="008E5F48">
        <w:t xml:space="preserve">The </w:t>
      </w:r>
      <w:r w:rsidR="00D1204B">
        <w:t>video</w:t>
      </w:r>
      <w:r w:rsidR="00C014D9">
        <w:t xml:space="preserve"> </w:t>
      </w:r>
      <w:r w:rsidR="008E5F48">
        <w:t xml:space="preserve">deposition testimony of Escamilla and Ramirez </w:t>
      </w:r>
      <w:r w:rsidRPr="001679C0">
        <w:t>was played for the court</w:t>
      </w:r>
      <w:r>
        <w:t xml:space="preserve">.  </w:t>
      </w:r>
    </w:p>
  </w:footnote>
  <w:footnote w:id="8">
    <w:p w14:paraId="154C43CD" w14:textId="6421B587" w:rsidR="00271D03" w:rsidRDefault="005E0ED2" w:rsidP="009443F9">
      <w:pPr>
        <w:pStyle w:val="FootnoteText"/>
        <w:keepLines/>
        <w:spacing w:after="240"/>
      </w:pPr>
      <w:r>
        <w:rPr>
          <w:rStyle w:val="FootnoteReference"/>
        </w:rPr>
        <w:footnoteRef/>
      </w:r>
      <w:r>
        <w:t xml:space="preserve"> </w:t>
      </w:r>
      <w:r>
        <w:tab/>
      </w:r>
      <w:r w:rsidR="00900658">
        <w:t>T</w:t>
      </w:r>
      <w:r>
        <w:t>o the extent Rojas suggests disputed facts are irrelevant</w:t>
      </w:r>
      <w:r w:rsidR="000168B7">
        <w:t xml:space="preserve">, and discounts them to argue </w:t>
      </w:r>
      <w:r w:rsidR="000161E9">
        <w:t>factual issues</w:t>
      </w:r>
      <w:r w:rsidR="000168B7">
        <w:t xml:space="preserve"> were “undisputed” and subject to de novo review</w:t>
      </w:r>
      <w:r w:rsidR="000161E9">
        <w:t>, rather than substantial evidence review,</w:t>
      </w:r>
      <w:r>
        <w:t xml:space="preserve"> she is incorrect.</w:t>
      </w:r>
      <w:r w:rsidR="00271D03">
        <w:t xml:space="preserve">  We also reject her request in the “Conclusion” section of her opening brief that we rule on </w:t>
      </w:r>
      <w:r w:rsidR="000161E9">
        <w:t>a list of</w:t>
      </w:r>
      <w:r w:rsidR="00271D03">
        <w:t xml:space="preserve"> issues as </w:t>
      </w:r>
      <w:r w:rsidR="00156588">
        <w:t xml:space="preserve">a </w:t>
      </w:r>
      <w:r w:rsidR="00271D03">
        <w:t>“matter of law.”  We address issues of law to the extent warranted by the foregoing standards.</w:t>
      </w:r>
    </w:p>
  </w:footnote>
  <w:footnote w:id="9">
    <w:p w14:paraId="6D3896FB" w14:textId="7C3DD940" w:rsidR="00AA6A42" w:rsidRPr="00AA6A42" w:rsidRDefault="00AA6A42" w:rsidP="009443F9">
      <w:pPr>
        <w:pStyle w:val="FootnoteText"/>
        <w:keepLines/>
        <w:spacing w:after="240"/>
      </w:pPr>
      <w:r>
        <w:rPr>
          <w:rStyle w:val="FootnoteReference"/>
        </w:rPr>
        <w:footnoteRef/>
      </w:r>
      <w:r>
        <w:t xml:space="preserve"> </w:t>
      </w:r>
      <w:r>
        <w:tab/>
        <w:t xml:space="preserve">Certain of Rojas’s contentions of legal error </w:t>
      </w:r>
      <w:r w:rsidR="00FE125B">
        <w:t xml:space="preserve">here </w:t>
      </w:r>
      <w:r>
        <w:t xml:space="preserve">do not accurately capture our holding in </w:t>
      </w:r>
      <w:r>
        <w:rPr>
          <w:i/>
          <w:iCs/>
        </w:rPr>
        <w:t>Rojas I</w:t>
      </w:r>
      <w:r>
        <w:t xml:space="preserve">, or HSBC’s arguments in this appeal.  </w:t>
      </w:r>
      <w:r w:rsidR="00FE125B">
        <w:t>G</w:t>
      </w:r>
      <w:r>
        <w:t>iven our conclusion that substantial evidence does not support intent to record, we need not and do not discuss those contentions further.</w:t>
      </w:r>
    </w:p>
  </w:footnote>
  <w:footnote w:id="10">
    <w:p w14:paraId="1109C8F7" w14:textId="6BC46AF4" w:rsidR="001D6661" w:rsidRDefault="001D6661" w:rsidP="009443F9">
      <w:pPr>
        <w:pStyle w:val="FootnoteText"/>
        <w:keepLines/>
      </w:pPr>
      <w:r>
        <w:rPr>
          <w:rStyle w:val="FootnoteReference"/>
        </w:rPr>
        <w:footnoteRef/>
      </w:r>
      <w:r>
        <w:t xml:space="preserve"> </w:t>
      </w:r>
      <w:r>
        <w:tab/>
      </w:r>
      <w:r w:rsidRPr="001D6661">
        <w:t>Marcy</w:t>
      </w:r>
      <w:r>
        <w:t xml:space="preserve">, </w:t>
      </w:r>
      <w:r w:rsidRPr="001D6661">
        <w:t>HSBC Tech Services’ head of telecommunications</w:t>
      </w:r>
      <w:r>
        <w:t xml:space="preserve">, </w:t>
      </w:r>
      <w:r w:rsidRPr="001D6661">
        <w:t xml:space="preserve">also testified generally that business units had “specific policies.” </w:t>
      </w:r>
    </w:p>
  </w:footnote>
  <w:footnote w:id="11">
    <w:p w14:paraId="07B2B37C" w14:textId="6947F279" w:rsidR="003B4D45" w:rsidRDefault="003B4D45" w:rsidP="009443F9">
      <w:pPr>
        <w:pStyle w:val="FootnoteText"/>
        <w:keepLines/>
        <w:spacing w:after="240"/>
      </w:pPr>
      <w:r>
        <w:rPr>
          <w:rStyle w:val="FootnoteReference"/>
        </w:rPr>
        <w:footnoteRef/>
      </w:r>
      <w:r>
        <w:tab/>
      </w:r>
      <w:r w:rsidR="00715E6E">
        <w:t xml:space="preserve">Although </w:t>
      </w:r>
      <w:r>
        <w:t>E</w:t>
      </w:r>
      <w:r w:rsidRPr="00CE3EA5">
        <w:t>scamilla</w:t>
      </w:r>
      <w:r w:rsidR="00715E6E">
        <w:t xml:space="preserve"> </w:t>
      </w:r>
      <w:r w:rsidRPr="00CE3EA5">
        <w:t xml:space="preserve">testified Alejandra was not </w:t>
      </w:r>
      <w:r w:rsidR="00F71411">
        <w:t>allowed</w:t>
      </w:r>
      <w:r w:rsidRPr="00CE3EA5">
        <w:t xml:space="preserve"> to make personal calls </w:t>
      </w:r>
      <w:r w:rsidR="005E5E0C">
        <w:t xml:space="preserve">from her cubicle </w:t>
      </w:r>
      <w:r w:rsidRPr="00CE3EA5">
        <w:t xml:space="preserve">and </w:t>
      </w:r>
      <w:r w:rsidR="00AB4C19">
        <w:t>she was unaware</w:t>
      </w:r>
      <w:r w:rsidRPr="00CE3EA5">
        <w:t xml:space="preserve"> </w:t>
      </w:r>
      <w:r w:rsidR="00F71411">
        <w:t>of</w:t>
      </w:r>
      <w:r w:rsidR="00715E6E">
        <w:t xml:space="preserve"> </w:t>
      </w:r>
      <w:r w:rsidR="00A64551">
        <w:t>any such calls</w:t>
      </w:r>
      <w:r>
        <w:t xml:space="preserve">, </w:t>
      </w:r>
      <w:r w:rsidR="00AB4C19">
        <w:t>that</w:t>
      </w:r>
      <w:r w:rsidRPr="00CE3EA5">
        <w:t xml:space="preserve"> does not </w:t>
      </w:r>
      <w:r w:rsidR="00715E6E">
        <w:t>negate</w:t>
      </w:r>
      <w:r w:rsidRPr="00CE3EA5">
        <w:t xml:space="preserve"> </w:t>
      </w:r>
      <w:r>
        <w:t>Ramirez</w:t>
      </w:r>
      <w:r w:rsidR="00715E6E">
        <w:t>’s undisputed testimony</w:t>
      </w:r>
      <w:r w:rsidR="00AB4C19">
        <w:t xml:space="preserve"> that </w:t>
      </w:r>
      <w:r w:rsidR="00A64551">
        <w:t xml:space="preserve">Ramirez </w:t>
      </w:r>
      <w:r w:rsidR="00F71411">
        <w:t>knowingly allowed</w:t>
      </w:r>
      <w:r w:rsidR="00AB4C19">
        <w:t xml:space="preserve"> </w:t>
      </w:r>
      <w:r w:rsidR="00A64551">
        <w:t xml:space="preserve">Alejandra’s personal </w:t>
      </w:r>
      <w:r w:rsidR="00AB4C19">
        <w:t>calls</w:t>
      </w:r>
      <w:r w:rsidRPr="00CE3EA5">
        <w:t>.</w:t>
      </w:r>
      <w:r>
        <w:t xml:space="preserve"> </w:t>
      </w:r>
      <w:r w:rsidRPr="00CE3EA5">
        <w:t xml:space="preserve">  </w:t>
      </w:r>
    </w:p>
  </w:footnote>
  <w:footnote w:id="12">
    <w:p w14:paraId="529F406B" w14:textId="2380BAD9" w:rsidR="009323C0" w:rsidRDefault="009323C0" w:rsidP="000252A3">
      <w:pPr>
        <w:pStyle w:val="FootnoteText"/>
        <w:spacing w:after="240"/>
      </w:pPr>
      <w:r>
        <w:rPr>
          <w:rStyle w:val="FootnoteReference"/>
        </w:rPr>
        <w:footnoteRef/>
      </w:r>
      <w:r>
        <w:t xml:space="preserve"> </w:t>
      </w:r>
      <w:r>
        <w:tab/>
      </w:r>
      <w:r w:rsidRPr="009323C0">
        <w:t xml:space="preserve">HSBC relatedly contends its disclosure policies were </w:t>
      </w:r>
      <w:bookmarkStart w:id="131" w:name="dabmq_243"/>
      <w:r w:rsidRPr="009323C0">
        <w:t>“expressly designed to avoid recording calls without consent,”</w:t>
      </w:r>
      <w:bookmarkEnd w:id="131"/>
      <w:r w:rsidRPr="009323C0">
        <w:t xml:space="preserve"> and there is liability </w:t>
      </w:r>
      <w:bookmarkStart w:id="132" w:name="dabmq_244"/>
      <w:r w:rsidRPr="009323C0">
        <w:t>“only for . . . recording a call without consent</w:t>
      </w:r>
      <w:r w:rsidR="009A6C51">
        <w:t>.”</w:t>
      </w:r>
      <w:bookmarkEnd w:id="132"/>
      <w:r w:rsidRPr="009323C0">
        <w:t xml:space="preserve">  </w:t>
      </w:r>
      <w:r w:rsidR="0039100F">
        <w:t>HSBC’s</w:t>
      </w:r>
      <w:r w:rsidRPr="009323C0">
        <w:t xml:space="preserve"> point is not entirely clear, but </w:t>
      </w:r>
      <w:r w:rsidR="0039100F">
        <w:t>it</w:t>
      </w:r>
      <w:r w:rsidRPr="009323C0">
        <w:t xml:space="preserve"> appear</w:t>
      </w:r>
      <w:r w:rsidR="0039100F">
        <w:t>s</w:t>
      </w:r>
      <w:r w:rsidRPr="009323C0">
        <w:t xml:space="preserve"> to </w:t>
      </w:r>
      <w:r w:rsidR="0039100F">
        <w:t>c</w:t>
      </w:r>
      <w:r w:rsidRPr="009323C0">
        <w:t>onflat</w:t>
      </w:r>
      <w:r w:rsidR="0039100F">
        <w:t>e</w:t>
      </w:r>
      <w:r w:rsidRPr="009323C0">
        <w:t xml:space="preserve"> two different issues (i.e., intent to record, and lack of consent).  </w:t>
      </w:r>
      <w:r w:rsidR="0039100F">
        <w:t>HSBC</w:t>
      </w:r>
      <w:r w:rsidRPr="009323C0">
        <w:t xml:space="preserve"> also did not </w:t>
      </w:r>
      <w:r>
        <w:t>supply</w:t>
      </w:r>
      <w:r w:rsidRPr="009323C0">
        <w:t xml:space="preserve"> a separate heading</w:t>
      </w:r>
      <w:r>
        <w:t xml:space="preserve"> or legal authority </w:t>
      </w:r>
      <w:r w:rsidRPr="009323C0">
        <w:t>for the point, and we do not consider it further.  (</w:t>
      </w:r>
      <w:bookmarkStart w:id="133" w:name="dabmci_eadb53cb7e594710896e468d237f40d7"/>
      <w:r w:rsidRPr="009323C0">
        <w:t>Cal. Rules of Court, rule 8.204(a)(1)(B)</w:t>
      </w:r>
      <w:bookmarkEnd w:id="133"/>
      <w:r>
        <w:t xml:space="preserve"> [</w:t>
      </w:r>
      <w:r w:rsidRPr="009323C0">
        <w:t xml:space="preserve">party’s brief must </w:t>
      </w:r>
      <w:bookmarkStart w:id="134" w:name="dabmq_245"/>
      <w:r w:rsidRPr="009323C0">
        <w:t>“[s]tate each point under a separate heading or subheading</w:t>
      </w:r>
      <w:r>
        <w:t>”</w:t>
      </w:r>
      <w:bookmarkEnd w:id="134"/>
      <w:r>
        <w:t xml:space="preserve"> and</w:t>
      </w:r>
      <w:r w:rsidRPr="009323C0">
        <w:t xml:space="preserve"> </w:t>
      </w:r>
      <w:bookmarkStart w:id="135" w:name="dabmq_246"/>
      <w:r>
        <w:t>“</w:t>
      </w:r>
      <w:r w:rsidRPr="009323C0">
        <w:t>support each point by argument and, if possible, by citation of authority”</w:t>
      </w:r>
      <w:bookmarkEnd w:id="135"/>
      <w:r>
        <w:t>]</w:t>
      </w:r>
      <w:r w:rsidR="00F31B83">
        <w:t xml:space="preserve">; </w:t>
      </w:r>
      <w:bookmarkStart w:id="136" w:name="dabmci_7a7d36ebbd1749a9a3fcfbd1d56be546"/>
      <w:r w:rsidR="00F31B83" w:rsidRPr="00F31B83">
        <w:rPr>
          <w:i/>
          <w:iCs/>
        </w:rPr>
        <w:t>WFG National Title Ins. Co. v. Wells Fargo Bank, N.A.</w:t>
      </w:r>
      <w:r w:rsidR="00F31B83" w:rsidRPr="00F31B83">
        <w:t xml:space="preserve"> (2020) 51 Cal.App.5th 881, 894</w:t>
      </w:r>
      <w:bookmarkEnd w:id="136"/>
      <w:r w:rsidR="00F31B83">
        <w:t xml:space="preserve"> [</w:t>
      </w:r>
      <w:bookmarkStart w:id="137" w:name="dabmq_247"/>
      <w:r w:rsidR="00F31B83">
        <w:t>“[W]e</w:t>
      </w:r>
      <w:r w:rsidR="00F31B83" w:rsidRPr="00F31B83">
        <w:t xml:space="preserve"> may disregard conclusory arguments that are not supported by pertinent legal authority</w:t>
      </w:r>
      <w:r w:rsidR="00722B1A">
        <w:t>.</w:t>
      </w:r>
      <w:r w:rsidR="00F31B83">
        <w:t>”</w:t>
      </w:r>
      <w:bookmarkEnd w:id="137"/>
      <w:r w:rsidR="00F31B83">
        <w:t>].)</w:t>
      </w:r>
    </w:p>
  </w:footnote>
  <w:footnote w:id="13">
    <w:p w14:paraId="098398DB" w14:textId="38D56C1D" w:rsidR="00936AAB" w:rsidRPr="00936AAB" w:rsidRDefault="00936AAB">
      <w:pPr>
        <w:pStyle w:val="FootnoteText"/>
      </w:pPr>
      <w:r>
        <w:rPr>
          <w:rStyle w:val="FootnoteReference"/>
        </w:rPr>
        <w:footnoteRef/>
      </w:r>
      <w:r>
        <w:t xml:space="preserve"> </w:t>
      </w:r>
      <w:r>
        <w:tab/>
        <w:t xml:space="preserve">As </w:t>
      </w:r>
      <w:proofErr w:type="gramStart"/>
      <w:r>
        <w:t>noted</w:t>
      </w:r>
      <w:proofErr w:type="gramEnd"/>
      <w:r>
        <w:t xml:space="preserve"> </w:t>
      </w:r>
      <w:bookmarkStart w:id="138" w:name="dabmci_addce76534e64ad39e03e6c8c89f737e"/>
      <w:r>
        <w:rPr>
          <w:i/>
          <w:iCs/>
        </w:rPr>
        <w:t>ante</w:t>
      </w:r>
      <w:bookmarkEnd w:id="138"/>
      <w:r>
        <w:t xml:space="preserve"> (and </w:t>
      </w:r>
      <w:r>
        <w:rPr>
          <w:i/>
          <w:iCs/>
        </w:rPr>
        <w:t>post</w:t>
      </w:r>
      <w:r>
        <w:t xml:space="preserve">), sections 632 and 632.7 require consent by all parties.  (§ 632, subd. (a); § 632.7, subd. (a).)  By concluding Rojas did not meet her burden on the consent issue, the trial court impliedly also found </w:t>
      </w:r>
      <w:r w:rsidR="000903A7">
        <w:t>Rojas did</w:t>
      </w:r>
      <w:r>
        <w:t xml:space="preserve"> not prove lack of consent by Alejandra.</w:t>
      </w:r>
      <w:r w:rsidR="000903A7">
        <w:t xml:space="preserve"> </w:t>
      </w:r>
      <w:r>
        <w:t xml:space="preserve">  Rojas does not dispute this implied finding, and we need not and do not reach it.  </w:t>
      </w:r>
    </w:p>
  </w:footnote>
  <w:footnote w:id="14">
    <w:p w14:paraId="3A89D85E" w14:textId="20C98475" w:rsidR="007B0087" w:rsidRDefault="007B0087" w:rsidP="009443F9">
      <w:pPr>
        <w:pStyle w:val="FootnoteText"/>
        <w:keepLines/>
      </w:pPr>
      <w:r>
        <w:rPr>
          <w:rStyle w:val="FootnoteReference"/>
        </w:rPr>
        <w:footnoteRef/>
      </w:r>
      <w:r>
        <w:t xml:space="preserve"> </w:t>
      </w:r>
      <w:r>
        <w:tab/>
      </w:r>
      <w:r w:rsidRPr="007B0087">
        <w:t>This interpretation is consistent with section 632</w:t>
      </w:r>
      <w:r w:rsidR="00443DD8">
        <w:t xml:space="preserve">, subdivision </w:t>
      </w:r>
      <w:r w:rsidRPr="007B0087">
        <w:t xml:space="preserve">(b), which </w:t>
      </w:r>
      <w:r w:rsidR="00443DD8">
        <w:t>excludes from</w:t>
      </w:r>
      <w:r w:rsidRPr="007B0087">
        <w:t xml:space="preserve"> </w:t>
      </w:r>
      <w:r w:rsidR="00443DD8">
        <w:t xml:space="preserve">statutory coverage </w:t>
      </w:r>
      <w:bookmarkStart w:id="169" w:name="dabmq_248"/>
      <w:r w:rsidR="00443DD8">
        <w:t>“</w:t>
      </w:r>
      <w:r w:rsidR="00443DD8" w:rsidRPr="00443DD8">
        <w:t xml:space="preserve">an individual known by all parties to a confidential communication to be </w:t>
      </w:r>
      <w:r w:rsidR="00443DD8">
        <w:t>. . .</w:t>
      </w:r>
      <w:r w:rsidR="00443DD8" w:rsidRPr="00443DD8">
        <w:t xml:space="preserve"> recording the communication</w:t>
      </w:r>
      <w:r w:rsidR="00443DD8">
        <w:t>.”</w:t>
      </w:r>
      <w:bookmarkEnd w:id="169"/>
    </w:p>
  </w:footnote>
  <w:footnote w:id="15">
    <w:p w14:paraId="355F2A59" w14:textId="6DEB3C0A" w:rsidR="00746A77" w:rsidRDefault="00746A77" w:rsidP="00837D7F">
      <w:pPr>
        <w:pStyle w:val="FootnoteText"/>
        <w:spacing w:after="240"/>
      </w:pPr>
      <w:r>
        <w:rPr>
          <w:rStyle w:val="FootnoteReference"/>
        </w:rPr>
        <w:footnoteRef/>
      </w:r>
      <w:r>
        <w:t xml:space="preserve"> </w:t>
      </w:r>
      <w:r>
        <w:tab/>
      </w:r>
      <w:bookmarkStart w:id="201" w:name="dabmq_249"/>
      <w:r w:rsidR="00D34D7D">
        <w:t>“D</w:t>
      </w:r>
      <w:r w:rsidR="00D34D7D" w:rsidRPr="00D34D7D">
        <w:t xml:space="preserve">ecisions of </w:t>
      </w:r>
      <w:r w:rsidR="00D34D7D">
        <w:t>. . .</w:t>
      </w:r>
      <w:r w:rsidR="00D34D7D" w:rsidRPr="00D34D7D">
        <w:t xml:space="preserve"> the lower federal courts</w:t>
      </w:r>
      <w:r w:rsidR="00D34D7D">
        <w:t>,”</w:t>
      </w:r>
      <w:bookmarkEnd w:id="201"/>
      <w:r w:rsidR="00D34D7D">
        <w:t xml:space="preserve"> although not controlling on state law issues, </w:t>
      </w:r>
      <w:r w:rsidR="00D34D7D" w:rsidRPr="00D34D7D">
        <w:t xml:space="preserve">may </w:t>
      </w:r>
      <w:bookmarkStart w:id="202" w:name="dabmq_250"/>
      <w:r w:rsidR="00D34D7D">
        <w:t>“</w:t>
      </w:r>
      <w:r w:rsidR="00D34D7D" w:rsidRPr="00D34D7D">
        <w:t>be instructive to the extent we find their analysis persuasive</w:t>
      </w:r>
      <w:r w:rsidR="00D34D7D">
        <w:t xml:space="preserve"> . . . .”</w:t>
      </w:r>
      <w:bookmarkEnd w:id="202"/>
      <w:r w:rsidR="00D34D7D">
        <w:t xml:space="preserve">  (</w:t>
      </w:r>
      <w:bookmarkStart w:id="203" w:name="dabmci_9ca19533148744dbb3d826e7db38c41a"/>
      <w:r w:rsidR="00D34D7D" w:rsidRPr="006D7077">
        <w:rPr>
          <w:i/>
          <w:iCs/>
        </w:rPr>
        <w:t>T</w:t>
      </w:r>
      <w:r w:rsidR="00D34D7D" w:rsidRPr="00D34D7D">
        <w:rPr>
          <w:i/>
          <w:iCs/>
        </w:rPr>
        <w:t>.H. v. Novartis Pharmaceuticals Corp.</w:t>
      </w:r>
      <w:r w:rsidR="00D34D7D">
        <w:rPr>
          <w:i/>
          <w:iCs/>
        </w:rPr>
        <w:t xml:space="preserve"> </w:t>
      </w:r>
      <w:r w:rsidR="00D34D7D">
        <w:t>(2017) 4 Cal.5th 145, 175</w:t>
      </w:r>
      <w:bookmarkEnd w:id="203"/>
      <w:r w:rsidR="00D34D7D">
        <w:t>.)</w:t>
      </w:r>
    </w:p>
  </w:footnote>
  <w:footnote w:id="16">
    <w:p w14:paraId="2F48EB5D" w14:textId="11C1A176" w:rsidR="00C539DE" w:rsidRDefault="00C539DE" w:rsidP="009443F9">
      <w:pPr>
        <w:pStyle w:val="FootnoteText"/>
        <w:keepLines/>
        <w:spacing w:after="240"/>
      </w:pPr>
      <w:r>
        <w:rPr>
          <w:rStyle w:val="FootnoteReference"/>
        </w:rPr>
        <w:footnoteRef/>
      </w:r>
      <w:r>
        <w:t xml:space="preserve">  </w:t>
      </w:r>
      <w:r>
        <w:tab/>
      </w:r>
      <w:r w:rsidR="0061503F">
        <w:t>(</w:t>
      </w:r>
      <w:r w:rsidRPr="00526BF1">
        <w:t xml:space="preserve">See also, e.g., </w:t>
      </w:r>
      <w:bookmarkStart w:id="208" w:name="dabmci_b60b1b211e6f4bc1ac600bfe6fa6a0c5"/>
      <w:r w:rsidR="00710FE3" w:rsidRPr="00526BF1">
        <w:rPr>
          <w:i/>
          <w:iCs/>
        </w:rPr>
        <w:t>Brinkley v. Monterey Financial Services, LLC</w:t>
      </w:r>
      <w:r w:rsidR="00710FE3" w:rsidRPr="00526BF1">
        <w:t xml:space="preserve"> (S.D.Cal. Sept. 8, 2022) 2022 WL 4111871 (</w:t>
      </w:r>
      <w:r w:rsidR="00710FE3" w:rsidRPr="00526BF1">
        <w:rPr>
          <w:i/>
          <w:iCs/>
        </w:rPr>
        <w:t>Brinkley</w:t>
      </w:r>
      <w:r w:rsidR="00710FE3" w:rsidRPr="00526BF1">
        <w:t>)</w:t>
      </w:r>
      <w:bookmarkEnd w:id="208"/>
      <w:r w:rsidR="00710FE3" w:rsidRPr="00526BF1">
        <w:t>, at *7</w:t>
      </w:r>
      <w:r w:rsidR="000012A5" w:rsidRPr="00526BF1">
        <w:t xml:space="preserve"> [“individual issues of consent</w:t>
      </w:r>
      <w:r w:rsidR="000616FD" w:rsidRPr="00526BF1">
        <w:t xml:space="preserve">,” </w:t>
      </w:r>
      <w:r w:rsidR="000012A5" w:rsidRPr="00526BF1">
        <w:t xml:space="preserve">based </w:t>
      </w:r>
      <w:r w:rsidR="000616FD" w:rsidRPr="00526BF1">
        <w:t>on “</w:t>
      </w:r>
      <w:r w:rsidR="000012A5" w:rsidRPr="00526BF1">
        <w:t>nature, extent, and frequency</w:t>
      </w:r>
      <w:r w:rsidR="000616FD" w:rsidRPr="00526BF1">
        <w:t>”</w:t>
      </w:r>
      <w:r w:rsidR="000012A5" w:rsidRPr="00526BF1">
        <w:t xml:space="preserve"> of phone calls prior to first call recorded without </w:t>
      </w:r>
      <w:r w:rsidR="000616FD" w:rsidRPr="00526BF1">
        <w:t>d</w:t>
      </w:r>
      <w:r w:rsidR="000012A5" w:rsidRPr="00526BF1">
        <w:t>isclosure</w:t>
      </w:r>
      <w:r w:rsidR="000616FD" w:rsidRPr="00526BF1">
        <w:t xml:space="preserve">, </w:t>
      </w:r>
      <w:r w:rsidR="000012A5" w:rsidRPr="00526BF1">
        <w:t>predominated];</w:t>
      </w:r>
      <w:r w:rsidR="000012A5">
        <w:t xml:space="preserve"> </w:t>
      </w:r>
      <w:bookmarkStart w:id="209" w:name="dabmci_a48005ccbb754a3998087bd768f68c20"/>
      <w:r w:rsidRPr="00CA4235">
        <w:rPr>
          <w:i/>
          <w:iCs/>
        </w:rPr>
        <w:t>AJ Reyes v. Educ. Credit Mgmt. Corp.</w:t>
      </w:r>
      <w:r w:rsidRPr="00CA4235">
        <w:t xml:space="preserve"> (S.D.Cal. May 19, 2016) 2016 WL 2944294, at *6</w:t>
      </w:r>
      <w:bookmarkEnd w:id="209"/>
      <w:r w:rsidRPr="00CA4235">
        <w:t xml:space="preserve"> </w:t>
      </w:r>
      <w:r w:rsidR="0061503F">
        <w:t>[</w:t>
      </w:r>
      <w:bookmarkStart w:id="210" w:name="dabmq_251"/>
      <w:r w:rsidRPr="00CA4235">
        <w:t>“prior awareness of a practice to record may be sufficient to demonstrate consent to being recorded in the future,”</w:t>
      </w:r>
      <w:bookmarkEnd w:id="210"/>
      <w:r w:rsidRPr="00CA4235">
        <w:t xml:space="preserve"> but is question of fact]; </w:t>
      </w:r>
      <w:bookmarkStart w:id="211" w:name="dabmci_6a7ea6c1337048699d6f7c7556c3c4ad"/>
      <w:r w:rsidRPr="00CA4235">
        <w:rPr>
          <w:i/>
          <w:iCs/>
        </w:rPr>
        <w:t>Horowitz v. GC Services Ltd. P’ship.</w:t>
      </w:r>
      <w:r w:rsidRPr="00CA4235">
        <w:t xml:space="preserve"> (S.D.Cal. Dec. 12, 2016) 2016 WL 7188238, at p. *15</w:t>
      </w:r>
      <w:bookmarkEnd w:id="211"/>
      <w:r w:rsidRPr="00CA4235">
        <w:t xml:space="preserve"> </w:t>
      </w:r>
      <w:r w:rsidR="0061503F">
        <w:t>[</w:t>
      </w:r>
      <w:r>
        <w:t>warning at outset of conversation is sufficient, but not always necessary</w:t>
      </w:r>
      <w:r w:rsidR="0061503F">
        <w:t>]; b</w:t>
      </w:r>
      <w:r w:rsidR="00B222E6">
        <w:t xml:space="preserve">ut see, e.g., </w:t>
      </w:r>
      <w:bookmarkStart w:id="212" w:name="dabmci_cffa7bee68944c5d949b0cb5f264978b"/>
      <w:r w:rsidR="00B222E6" w:rsidRPr="00493C84">
        <w:rPr>
          <w:i/>
          <w:iCs/>
        </w:rPr>
        <w:t xml:space="preserve">Mendell v. Am. Med. Response, Inc. </w:t>
      </w:r>
      <w:r w:rsidR="00B222E6" w:rsidRPr="00493C84">
        <w:t>(S.D.Cal. Mar. 23, 2021) 2021 WL 1102423, at *6</w:t>
      </w:r>
      <w:bookmarkEnd w:id="212"/>
      <w:r w:rsidR="00B222E6" w:rsidRPr="00493C84">
        <w:t xml:space="preserve"> [finding commonality as to consent</w:t>
      </w:r>
      <w:r w:rsidR="00B222E6">
        <w:t xml:space="preserve">; </w:t>
      </w:r>
      <w:bookmarkStart w:id="213" w:name="dabmq_252"/>
      <w:r w:rsidR="00B222E6" w:rsidRPr="00493C84">
        <w:t xml:space="preserve">“how to interpret </w:t>
      </w:r>
      <w:r w:rsidR="00B222E6" w:rsidRPr="00493C84">
        <w:rPr>
          <w:i/>
          <w:iCs/>
        </w:rPr>
        <w:t>Kearney</w:t>
      </w:r>
      <w:r w:rsidR="00B222E6" w:rsidRPr="00493C84">
        <w:t xml:space="preserve"> itself is a common question of law”</w:t>
      </w:r>
      <w:bookmarkEnd w:id="213"/>
      <w:r w:rsidR="00B222E6" w:rsidRPr="00493C84">
        <w:t>]</w:t>
      </w:r>
      <w:r w:rsidR="00B222E6">
        <w:t xml:space="preserve">; </w:t>
      </w:r>
      <w:bookmarkStart w:id="214" w:name="dabmci_6c4f78cb5ce5459aa1ecdcfba08e10ae"/>
      <w:r w:rsidR="0061503F" w:rsidRPr="00493C84">
        <w:rPr>
          <w:i/>
          <w:iCs/>
        </w:rPr>
        <w:t xml:space="preserve">Steven Ades &amp; Hart Woolery v. Omni Hotels Mgmt. Corp. </w:t>
      </w:r>
      <w:r w:rsidR="0061503F" w:rsidRPr="00493C84">
        <w:t>(C.D.Cal. Sept. 8, 2014) 2014 WL 4627271, at *12</w:t>
      </w:r>
      <w:bookmarkEnd w:id="214"/>
      <w:r w:rsidR="0061503F" w:rsidRPr="00493C84">
        <w:t xml:space="preserve"> [finding commonality as to consent</w:t>
      </w:r>
      <w:r w:rsidR="0061503F">
        <w:t>;</w:t>
      </w:r>
      <w:r w:rsidR="0061503F" w:rsidRPr="00493C84">
        <w:t xml:space="preserve"> citing </w:t>
      </w:r>
      <w:r w:rsidR="0061503F" w:rsidRPr="00493C84">
        <w:rPr>
          <w:i/>
          <w:iCs/>
        </w:rPr>
        <w:t>Kearney</w:t>
      </w:r>
      <w:r w:rsidR="0061503F" w:rsidRPr="00493C84">
        <w:t xml:space="preserve">, but noting </w:t>
      </w:r>
      <w:bookmarkStart w:id="215" w:name="dabmq_253"/>
      <w:r w:rsidR="0061503F" w:rsidRPr="00493C84">
        <w:t>“absence of any evidence of advance notice”</w:t>
      </w:r>
      <w:bookmarkEnd w:id="215"/>
      <w:r w:rsidR="0061503F" w:rsidRPr="00493C84">
        <w:t>]</w:t>
      </w:r>
      <w:r w:rsidR="0061503F">
        <w:t xml:space="preserve">; </w:t>
      </w:r>
      <w:bookmarkStart w:id="216" w:name="dabmci_3df831edbad048b3ab42c791b07a595e"/>
      <w:r w:rsidRPr="00493C84">
        <w:rPr>
          <w:i/>
          <w:iCs/>
        </w:rPr>
        <w:t xml:space="preserve">Membrila v. Receivables Performance Mgmt., LLC </w:t>
      </w:r>
      <w:r w:rsidRPr="00493C84">
        <w:t xml:space="preserve">(S.D.Cal. Apr. 6, 2010) 2010 WL 1407274, at *3 [denying </w:t>
      </w:r>
      <w:r>
        <w:t>motion</w:t>
      </w:r>
      <w:bookmarkEnd w:id="216"/>
      <w:r>
        <w:t xml:space="preserve"> to dismiss, </w:t>
      </w:r>
      <w:r w:rsidR="0061503F">
        <w:t>based on lack of advisement at outset of call].)</w:t>
      </w:r>
      <w:r w:rsidR="002F172F">
        <w:t xml:space="preserve">  </w:t>
      </w:r>
    </w:p>
  </w:footnote>
  <w:footnote w:id="17">
    <w:p w14:paraId="32441F63" w14:textId="43CBF6C3" w:rsidR="00DA3A45" w:rsidRPr="003B28B1" w:rsidRDefault="00DA3A45" w:rsidP="009443F9">
      <w:pPr>
        <w:pStyle w:val="FootnoteText"/>
        <w:keepLines/>
        <w:spacing w:after="240"/>
      </w:pPr>
      <w:r>
        <w:rPr>
          <w:rStyle w:val="FootnoteReference"/>
        </w:rPr>
        <w:footnoteRef/>
      </w:r>
      <w:r>
        <w:tab/>
      </w:r>
      <w:r w:rsidRPr="00DA3A45">
        <w:t xml:space="preserve">Rojas argues the trial court mistakenly </w:t>
      </w:r>
      <w:r>
        <w:t>cited</w:t>
      </w:r>
      <w:r w:rsidRPr="00DA3A45">
        <w:t xml:space="preserve"> </w:t>
      </w:r>
      <w:proofErr w:type="gramStart"/>
      <w:r w:rsidRPr="00DA3A45">
        <w:rPr>
          <w:i/>
          <w:iCs/>
        </w:rPr>
        <w:t>Negro</w:t>
      </w:r>
      <w:proofErr w:type="gramEnd"/>
      <w:r w:rsidR="003B28B1">
        <w:rPr>
          <w:i/>
          <w:iCs/>
        </w:rPr>
        <w:t xml:space="preserve">, </w:t>
      </w:r>
      <w:r>
        <w:t xml:space="preserve">because it is </w:t>
      </w:r>
      <w:r w:rsidRPr="00DA3A45">
        <w:t>a Stored Communications Act (SCA) case</w:t>
      </w:r>
      <w:r>
        <w:t xml:space="preserve"> and supports a narrow view of consent</w:t>
      </w:r>
      <w:r w:rsidR="003B28B1">
        <w:t xml:space="preserve"> here</w:t>
      </w:r>
      <w:r w:rsidRPr="00DA3A45">
        <w:t xml:space="preserve">. </w:t>
      </w:r>
      <w:r w:rsidR="004E3AD7">
        <w:t xml:space="preserve"> </w:t>
      </w:r>
      <w:proofErr w:type="gramStart"/>
      <w:r w:rsidR="003B28B1">
        <w:rPr>
          <w:i/>
          <w:iCs/>
        </w:rPr>
        <w:t>Negro</w:t>
      </w:r>
      <w:proofErr w:type="gramEnd"/>
      <w:r w:rsidR="003B28B1">
        <w:rPr>
          <w:i/>
          <w:iCs/>
        </w:rPr>
        <w:t xml:space="preserve"> </w:t>
      </w:r>
      <w:r w:rsidR="003B28B1">
        <w:t>is an SCA case, but</w:t>
      </w:r>
      <w:r>
        <w:t xml:space="preserve"> addressed </w:t>
      </w:r>
      <w:r w:rsidR="003B28B1">
        <w:t xml:space="preserve">consent </w:t>
      </w:r>
      <w:r>
        <w:t>argument</w:t>
      </w:r>
      <w:r w:rsidR="004E3AD7">
        <w:t>s</w:t>
      </w:r>
      <w:r w:rsidR="003B28B1">
        <w:t xml:space="preserve"> that </w:t>
      </w:r>
      <w:r w:rsidR="004E3AD7">
        <w:t>related</w:t>
      </w:r>
      <w:r w:rsidR="003B28B1">
        <w:t xml:space="preserve"> to </w:t>
      </w:r>
      <w:r>
        <w:t xml:space="preserve">federal wiretap law and </w:t>
      </w:r>
      <w:r w:rsidR="003B28B1">
        <w:t>suggested</w:t>
      </w:r>
      <w:r>
        <w:t xml:space="preserve"> </w:t>
      </w:r>
      <w:r w:rsidRPr="004E3AD7">
        <w:t>the</w:t>
      </w:r>
      <w:r>
        <w:t xml:space="preserve"> </w:t>
      </w:r>
      <w:r>
        <w:rPr>
          <w:i/>
          <w:iCs/>
        </w:rPr>
        <w:t xml:space="preserve">SCA </w:t>
      </w:r>
      <w:r w:rsidR="004E3AD7">
        <w:rPr>
          <w:i/>
          <w:iCs/>
        </w:rPr>
        <w:t xml:space="preserve">context </w:t>
      </w:r>
      <w:r>
        <w:t xml:space="preserve">warranted </w:t>
      </w:r>
      <w:r w:rsidR="003B28B1">
        <w:t>the</w:t>
      </w:r>
      <w:r>
        <w:t xml:space="preserve"> narrower view of consen</w:t>
      </w:r>
      <w:r w:rsidR="003B28B1">
        <w:t xml:space="preserve">t.  </w:t>
      </w:r>
      <w:r w:rsidR="003B28B1" w:rsidRPr="003B28B1">
        <w:t>(</w:t>
      </w:r>
      <w:bookmarkStart w:id="245" w:name="dabmci_440683bcb9534864a4cfded4433b5ff5"/>
      <w:proofErr w:type="gramStart"/>
      <w:r w:rsidR="003B28B1" w:rsidRPr="003B28B1">
        <w:rPr>
          <w:i/>
          <w:iCs/>
        </w:rPr>
        <w:t>Negro</w:t>
      </w:r>
      <w:proofErr w:type="gramEnd"/>
      <w:r w:rsidR="003B28B1" w:rsidRPr="003B28B1">
        <w:t xml:space="preserve">, </w:t>
      </w:r>
      <w:r w:rsidR="003B28B1" w:rsidRPr="003B28B1">
        <w:rPr>
          <w:i/>
          <w:iCs/>
        </w:rPr>
        <w:t>supra</w:t>
      </w:r>
      <w:r w:rsidR="003B28B1" w:rsidRPr="003B28B1">
        <w:t>, 230 Cal.App.4th at p. 88</w:t>
      </w:r>
      <w:r w:rsidR="003B28B1">
        <w:t>9</w:t>
      </w:r>
      <w:bookmarkEnd w:id="245"/>
      <w:r w:rsidR="004E3AD7">
        <w:t xml:space="preserve"> </w:t>
      </w:r>
      <w:r w:rsidR="003B28B1">
        <w:t>[</w:t>
      </w:r>
      <w:bookmarkStart w:id="246" w:name="dabmq_254"/>
      <w:r w:rsidR="003B28B1">
        <w:t>“</w:t>
      </w:r>
      <w:r w:rsidR="003B28B1" w:rsidRPr="003B28B1">
        <w:t>the context in which the consent issue is likely to arise in cases like this one militates in favor of a narrower conception of consent, not a broader one”</w:t>
      </w:r>
      <w:bookmarkEnd w:id="246"/>
      <w:r w:rsidR="003B28B1">
        <w:t xml:space="preserve">].)  </w:t>
      </w:r>
      <w:r>
        <w:t>As for the trial court,</w:t>
      </w:r>
      <w:r w:rsidR="00EA4D14">
        <w:t xml:space="preserve"> </w:t>
      </w:r>
      <w:r>
        <w:t>it cit</w:t>
      </w:r>
      <w:r w:rsidR="004E3AD7">
        <w:t xml:space="preserve">ed the page of </w:t>
      </w:r>
      <w:proofErr w:type="gramStart"/>
      <w:r w:rsidRPr="00DA3A45">
        <w:rPr>
          <w:i/>
          <w:iCs/>
        </w:rPr>
        <w:t>Negro</w:t>
      </w:r>
      <w:proofErr w:type="gramEnd"/>
      <w:r w:rsidR="004E3AD7">
        <w:t xml:space="preserve"> </w:t>
      </w:r>
      <w:r>
        <w:t>descri</w:t>
      </w:r>
      <w:r w:rsidR="004E3AD7">
        <w:t>bing</w:t>
      </w:r>
      <w:r>
        <w:t xml:space="preserve"> implied consent</w:t>
      </w:r>
      <w:r w:rsidR="00BD771D">
        <w:t>, which</w:t>
      </w:r>
      <w:r w:rsidR="004E3AD7">
        <w:t>, as noted,</w:t>
      </w:r>
      <w:r w:rsidR="00BD771D">
        <w:t xml:space="preserve"> </w:t>
      </w:r>
      <w:r w:rsidR="004E3AD7">
        <w:t xml:space="preserve">quoted </w:t>
      </w:r>
      <w:r w:rsidR="004E3AD7" w:rsidRPr="00301D29">
        <w:rPr>
          <w:i/>
          <w:iCs/>
        </w:rPr>
        <w:t>Griggs</w:t>
      </w:r>
      <w:r w:rsidR="00390518" w:rsidRPr="00301D29">
        <w:rPr>
          <w:i/>
          <w:iCs/>
        </w:rPr>
        <w:t>-Ryan</w:t>
      </w:r>
      <w:r w:rsidR="004E3AD7">
        <w:t>—the standard Rojas urges is “instructive</w:t>
      </w:r>
      <w:r w:rsidR="00BD771D">
        <w:t>.</w:t>
      </w:r>
      <w:r w:rsidR="004E3AD7">
        <w:t>”</w:t>
      </w:r>
      <w:r w:rsidR="00BD771D">
        <w:t xml:space="preserve">  </w:t>
      </w:r>
      <w:r w:rsidR="003B28B1">
        <w:t>(</w:t>
      </w:r>
      <w:bookmarkStart w:id="247" w:name="dabmci_54d0158cf75841ed8df84676dcf23919"/>
      <w:r w:rsidR="003B28B1">
        <w:rPr>
          <w:i/>
          <w:iCs/>
        </w:rPr>
        <w:t>Id.</w:t>
      </w:r>
      <w:r w:rsidR="003B28B1">
        <w:t xml:space="preserve"> at p. 892</w:t>
      </w:r>
      <w:bookmarkEnd w:id="247"/>
      <w:r w:rsidR="003B28B1">
        <w:t xml:space="preserve">.) </w:t>
      </w:r>
    </w:p>
  </w:footnote>
  <w:footnote w:id="18">
    <w:p w14:paraId="03FF6FF1" w14:textId="10380E3E" w:rsidR="005455DC" w:rsidRDefault="005455DC" w:rsidP="005455DC">
      <w:pPr>
        <w:pStyle w:val="FootnoteText"/>
        <w:keepLines/>
        <w:spacing w:after="240"/>
      </w:pPr>
      <w:r>
        <w:rPr>
          <w:rStyle w:val="FootnoteReference"/>
        </w:rPr>
        <w:footnoteRef/>
      </w:r>
      <w:r>
        <w:t xml:space="preserve"> </w:t>
      </w:r>
      <w:r>
        <w:tab/>
      </w:r>
      <w:r w:rsidRPr="00BE4BE8">
        <w:t xml:space="preserve">Neither party </w:t>
      </w:r>
      <w:r>
        <w:t>addressed</w:t>
      </w:r>
      <w:r w:rsidRPr="00BE4BE8">
        <w:t xml:space="preserve"> legislative history</w:t>
      </w:r>
      <w:r>
        <w:t xml:space="preserve"> in discussing implied consent</w:t>
      </w:r>
      <w:r w:rsidRPr="00BE4BE8">
        <w:t xml:space="preserve">. </w:t>
      </w:r>
      <w:r>
        <w:t xml:space="preserve"> </w:t>
      </w:r>
      <w:r w:rsidRPr="00BE4BE8">
        <w:t>On our</w:t>
      </w:r>
      <w:r>
        <w:t xml:space="preserve"> own</w:t>
      </w:r>
      <w:r w:rsidRPr="00BE4BE8">
        <w:t xml:space="preserve"> motion, we take judicial notice of the history of the enacting legislation for </w:t>
      </w:r>
      <w:r>
        <w:t>sections 632 and 632.7, solely to note it does not aid our analysis</w:t>
      </w:r>
      <w:r w:rsidRPr="00BE4BE8">
        <w:t>.</w:t>
      </w:r>
      <w:r>
        <w:t xml:space="preserve">  (§ 632 [</w:t>
      </w:r>
      <w:bookmarkStart w:id="254" w:name="dabmci_7bbe92ea77554b499c81d7cbfae237f7"/>
      <w:r>
        <w:t>A</w:t>
      </w:r>
      <w:r w:rsidR="00955275">
        <w:t>ssem</w:t>
      </w:r>
      <w:r>
        <w:t>.</w:t>
      </w:r>
      <w:r w:rsidR="00955275">
        <w:t xml:space="preserve"> </w:t>
      </w:r>
      <w:r>
        <w:t>B</w:t>
      </w:r>
      <w:r w:rsidR="00955275">
        <w:t>ill No</w:t>
      </w:r>
      <w:r>
        <w:t>. 860</w:t>
      </w:r>
      <w:bookmarkEnd w:id="254"/>
      <w:r>
        <w:t xml:space="preserve">; Stats. 1967, </w:t>
      </w:r>
      <w:r w:rsidR="002A1FC2">
        <w:t>c</w:t>
      </w:r>
      <w:r>
        <w:t>h. 1509]; § 632.7 [</w:t>
      </w:r>
      <w:bookmarkStart w:id="255" w:name="dabmci_2e5d6e41a10145ba9f41da89e81d6807"/>
      <w:r>
        <w:t>A</w:t>
      </w:r>
      <w:r w:rsidR="002A1FC2">
        <w:t>ssem</w:t>
      </w:r>
      <w:r>
        <w:t>.</w:t>
      </w:r>
      <w:r w:rsidR="002A1FC2">
        <w:t xml:space="preserve"> </w:t>
      </w:r>
      <w:r>
        <w:t>B</w:t>
      </w:r>
      <w:r w:rsidR="002A1FC2">
        <w:t>ill No.</w:t>
      </w:r>
      <w:r>
        <w:t xml:space="preserve"> 2465</w:t>
      </w:r>
      <w:bookmarkEnd w:id="255"/>
      <w:r>
        <w:t xml:space="preserve">; Stats. 1992, </w:t>
      </w:r>
      <w:r w:rsidR="002A1FC2">
        <w:t>c</w:t>
      </w:r>
      <w:r>
        <w:t xml:space="preserve">h. 298].)  </w:t>
      </w:r>
      <w:r w:rsidRPr="00BE4BE8">
        <w:t xml:space="preserve">We </w:t>
      </w:r>
      <w:r>
        <w:t>located a</w:t>
      </w:r>
      <w:r w:rsidRPr="00BE4BE8">
        <w:t xml:space="preserve"> </w:t>
      </w:r>
      <w:r>
        <w:t>reference to</w:t>
      </w:r>
      <w:r w:rsidRPr="00BE4BE8">
        <w:t xml:space="preserve"> “implied consent,” in </w:t>
      </w:r>
      <w:r>
        <w:t>the Comments section of an</w:t>
      </w:r>
      <w:r w:rsidRPr="00BE4BE8">
        <w:t xml:space="preserve"> Assembly Bill Digest report for </w:t>
      </w:r>
      <w:bookmarkStart w:id="256" w:name="dabmci_abbb8c9cbfd44d66bdc31f925ecf2e5b"/>
      <w:r w:rsidRPr="00BE4BE8">
        <w:t>A</w:t>
      </w:r>
      <w:r w:rsidR="00454778">
        <w:t>ssem</w:t>
      </w:r>
      <w:r w:rsidRPr="00BE4BE8">
        <w:t>.</w:t>
      </w:r>
      <w:r w:rsidR="00454778">
        <w:t xml:space="preserve"> </w:t>
      </w:r>
      <w:r w:rsidRPr="00BE4BE8">
        <w:t>B</w:t>
      </w:r>
      <w:r w:rsidR="00454778">
        <w:t>ill No</w:t>
      </w:r>
      <w:r w:rsidRPr="00BE4BE8">
        <w:t>. 860</w:t>
      </w:r>
      <w:bookmarkEnd w:id="256"/>
      <w:r w:rsidRPr="00BE4BE8">
        <w:t xml:space="preserve">.  </w:t>
      </w:r>
      <w:r>
        <w:t xml:space="preserve">The </w:t>
      </w:r>
      <w:r w:rsidRPr="00BE4BE8">
        <w:t>sectio</w:t>
      </w:r>
      <w:r>
        <w:t>n</w:t>
      </w:r>
      <w:r w:rsidRPr="00BE4BE8">
        <w:t xml:space="preserve"> pos</w:t>
      </w:r>
      <w:r>
        <w:t>es</w:t>
      </w:r>
      <w:r w:rsidRPr="00BE4BE8">
        <w:t xml:space="preserve"> </w:t>
      </w:r>
      <w:r>
        <w:t xml:space="preserve">comments and </w:t>
      </w:r>
      <w:r w:rsidRPr="00BE4BE8">
        <w:t xml:space="preserve">questions, including:  </w:t>
      </w:r>
      <w:bookmarkStart w:id="257" w:name="dabmq_255"/>
      <w:r w:rsidRPr="00BE4BE8">
        <w:t xml:space="preserve">“Does the consent provided for in </w:t>
      </w:r>
      <w:r w:rsidR="00C96E5F">
        <w:t xml:space="preserve">[sections] </w:t>
      </w:r>
      <w:r w:rsidRPr="00BE4BE8">
        <w:t xml:space="preserve">631 and 632 </w:t>
      </w:r>
      <w:proofErr w:type="gramStart"/>
      <w:r w:rsidRPr="00BE4BE8">
        <w:t>have to</w:t>
      </w:r>
      <w:proofErr w:type="gramEnd"/>
      <w:r w:rsidRPr="00BE4BE8">
        <w:t xml:space="preserve"> be express, or can it be implied? If implied consent is sufficient then serious problems might arise regarding what </w:t>
      </w:r>
      <w:proofErr w:type="gramStart"/>
      <w:r w:rsidRPr="00BE4BE8">
        <w:t>actually constitutes</w:t>
      </w:r>
      <w:proofErr w:type="gramEnd"/>
      <w:r w:rsidRPr="00BE4BE8">
        <w:t xml:space="preserve"> implied consent.”</w:t>
      </w:r>
      <w:bookmarkEnd w:id="257"/>
      <w:r w:rsidRPr="00BE4BE8">
        <w:t xml:space="preserve">  </w:t>
      </w:r>
      <w:r>
        <w:t>The source of this question is not identified, and no answer follows.  We observe the cases discussed herein make it clear that coherent standards for assessing implied consent in fact exist and are readily applied by courts under established authority.</w:t>
      </w:r>
    </w:p>
  </w:footnote>
  <w:footnote w:id="19">
    <w:p w14:paraId="43E2146F" w14:textId="12D4C203" w:rsidR="00512AE1" w:rsidRDefault="00512AE1" w:rsidP="00512AE1">
      <w:pPr>
        <w:pStyle w:val="FootnoteText"/>
        <w:keepLines/>
        <w:spacing w:after="240"/>
      </w:pPr>
      <w:r>
        <w:rPr>
          <w:rStyle w:val="FootnoteReference"/>
        </w:rPr>
        <w:footnoteRef/>
      </w:r>
      <w:r>
        <w:tab/>
        <w:t xml:space="preserve">Although </w:t>
      </w:r>
      <w:r w:rsidRPr="0081433C">
        <w:t xml:space="preserve">Rojas objected </w:t>
      </w:r>
      <w:r>
        <w:t xml:space="preserve">below that the trial court did not address certain facts (e.g., HSBC did not use automatic outbound disclosures; the cardmember agreement was with </w:t>
      </w:r>
      <w:r w:rsidRPr="0081433C">
        <w:t>HSBC Bank Nevada</w:t>
      </w:r>
      <w:r>
        <w:t>, N.A.), this does not impact our review.  The court was only required to state ultimate facts</w:t>
      </w:r>
      <w:r w:rsidRPr="000B1C6B">
        <w:t xml:space="preserve"> </w:t>
      </w:r>
      <w:r>
        <w:t>(</w:t>
      </w:r>
      <w:bookmarkStart w:id="271" w:name="dabmci_28bb1e61054d42dea26273871e71402a"/>
      <w:r w:rsidR="0051177B" w:rsidRPr="0051177B">
        <w:rPr>
          <w:i/>
          <w:iCs/>
        </w:rPr>
        <w:t xml:space="preserve">Ermoian v. Desert Hospital </w:t>
      </w:r>
      <w:r w:rsidR="0051177B" w:rsidRPr="0051177B">
        <w:t>(2007) 152 Cal.App.4th 475</w:t>
      </w:r>
      <w:r w:rsidR="0051177B">
        <w:t>, 500</w:t>
      </w:r>
      <w:bookmarkEnd w:id="271"/>
      <w:r>
        <w:t>); it did so, finding Rojas failed to prove lack of consent, due to her implied consent; and we review that finding for substantial evidence.  (</w:t>
      </w:r>
      <w:bookmarkStart w:id="272" w:name="dabmci_5d63d59d019c45f09591691fa6dd1217"/>
      <w:r>
        <w:rPr>
          <w:i/>
          <w:iCs/>
        </w:rPr>
        <w:t>Fladeboe</w:t>
      </w:r>
      <w:r>
        <w:t xml:space="preserve">, </w:t>
      </w:r>
      <w:r w:rsidRPr="00950B3F">
        <w:rPr>
          <w:i/>
          <w:iCs/>
        </w:rPr>
        <w:t>supra</w:t>
      </w:r>
      <w:r>
        <w:t>, 1</w:t>
      </w:r>
      <w:r w:rsidRPr="005F702B">
        <w:t>50 Cal.App.4th</w:t>
      </w:r>
      <w:r>
        <w:t xml:space="preserve"> at pp. 59–60</w:t>
      </w:r>
      <w:bookmarkEnd w:id="272"/>
      <w:r>
        <w:t>.)</w:t>
      </w:r>
    </w:p>
  </w:footnote>
  <w:footnote w:id="20">
    <w:p w14:paraId="33464504" w14:textId="0F4E325F" w:rsidR="002C6286" w:rsidRDefault="002C6286" w:rsidP="009443F9">
      <w:pPr>
        <w:pStyle w:val="FootnoteText"/>
        <w:keepLines/>
        <w:spacing w:after="240"/>
      </w:pPr>
      <w:r>
        <w:rPr>
          <w:rStyle w:val="FootnoteReference"/>
        </w:rPr>
        <w:footnoteRef/>
      </w:r>
      <w:r>
        <w:t xml:space="preserve"> </w:t>
      </w:r>
      <w:r>
        <w:tab/>
      </w:r>
      <w:r w:rsidRPr="002C6286">
        <w:t>Rojas contends HSBC could have included an automatic disclosure</w:t>
      </w:r>
      <w:r w:rsidR="00F82A4E">
        <w:t xml:space="preserve"> or beep on outbound calls</w:t>
      </w:r>
      <w:r w:rsidRPr="002C6286">
        <w:t xml:space="preserve">.  </w:t>
      </w:r>
      <w:r>
        <w:t xml:space="preserve">As </w:t>
      </w:r>
      <w:proofErr w:type="gramStart"/>
      <w:r>
        <w:t>discussed</w:t>
      </w:r>
      <w:proofErr w:type="gramEnd"/>
      <w:r>
        <w:t xml:space="preserve"> </w:t>
      </w:r>
      <w:bookmarkStart w:id="285" w:name="dabmci_5b56c95e23a64580b650ade94740e0e2"/>
      <w:r>
        <w:rPr>
          <w:i/>
          <w:iCs/>
        </w:rPr>
        <w:t>ante</w:t>
      </w:r>
      <w:r>
        <w:t>,</w:t>
      </w:r>
      <w:bookmarkEnd w:id="285"/>
      <w:r>
        <w:t xml:space="preserve"> </w:t>
      </w:r>
      <w:r w:rsidR="00806765">
        <w:t>on-call</w:t>
      </w:r>
      <w:r>
        <w:t xml:space="preserve"> disclosures </w:t>
      </w:r>
      <w:r w:rsidRPr="002C6286">
        <w:t xml:space="preserve">may </w:t>
      </w:r>
      <w:r w:rsidR="00806765">
        <w:t>limit</w:t>
      </w:r>
      <w:r w:rsidRPr="002C6286">
        <w:t xml:space="preserve"> </w:t>
      </w:r>
      <w:r w:rsidR="006D1C1E">
        <w:t xml:space="preserve">a company’s Privacy Act </w:t>
      </w:r>
      <w:r w:rsidRPr="002C6286">
        <w:t xml:space="preserve">liability, </w:t>
      </w:r>
      <w:r>
        <w:t xml:space="preserve">but </w:t>
      </w:r>
      <w:r w:rsidRPr="002C6286">
        <w:t>the</w:t>
      </w:r>
      <w:r w:rsidR="0086301C">
        <w:t xml:space="preserve"> </w:t>
      </w:r>
      <w:r w:rsidRPr="002C6286">
        <w:t>absence</w:t>
      </w:r>
      <w:r w:rsidR="006D1C1E">
        <w:t xml:space="preserve"> of such disclosures</w:t>
      </w:r>
      <w:r w:rsidRPr="002C6286">
        <w:t xml:space="preserve"> does not foreclose</w:t>
      </w:r>
      <w:r w:rsidR="006D1C1E">
        <w:t xml:space="preserve"> a party’s</w:t>
      </w:r>
      <w:r w:rsidRPr="002C6286">
        <w:t xml:space="preserve"> implied</w:t>
      </w:r>
      <w:r w:rsidR="00390518">
        <w:t>-in-</w:t>
      </w:r>
      <w:r w:rsidR="0054534D">
        <w:t xml:space="preserve">fact </w:t>
      </w:r>
      <w:r w:rsidRPr="002C6286">
        <w:t>consent</w:t>
      </w:r>
      <w:r w:rsidR="006D1C1E">
        <w:t xml:space="preserve"> to recording for purposes of the Privacy Act</w:t>
      </w:r>
      <w:r w:rsidRPr="002C6286">
        <w:t>.  (</w:t>
      </w:r>
      <w:r>
        <w:t xml:space="preserve">See </w:t>
      </w:r>
      <w:bookmarkStart w:id="286" w:name="dabmci_b920c876172f413cb1c4fa278aa4956b"/>
      <w:r w:rsidRPr="002C6286">
        <w:rPr>
          <w:i/>
          <w:iCs/>
        </w:rPr>
        <w:t>Kearney</w:t>
      </w:r>
      <w:r>
        <w:t xml:space="preserve">, </w:t>
      </w:r>
      <w:r w:rsidR="00F82A4E" w:rsidRPr="00F82A4E">
        <w:t>39 Cal.4th at p. 118</w:t>
      </w:r>
      <w:bookmarkEnd w:id="286"/>
      <w:r w:rsidR="00F82A4E">
        <w:t xml:space="preserve"> [on-call advisement precludes violation under § 632];</w:t>
      </w:r>
      <w:r w:rsidRPr="002C6286">
        <w:t xml:space="preserve"> </w:t>
      </w:r>
      <w:r w:rsidR="00F82A4E">
        <w:t xml:space="preserve">cf. </w:t>
      </w:r>
      <w:bookmarkStart w:id="287" w:name="dabmci_f8b222bcb6054e24a407d32830b2c62f"/>
      <w:r w:rsidRPr="002C6286">
        <w:rPr>
          <w:i/>
          <w:iCs/>
        </w:rPr>
        <w:t>LoanMe</w:t>
      </w:r>
      <w:r w:rsidRPr="002C6286">
        <w:t xml:space="preserve">, </w:t>
      </w:r>
      <w:r w:rsidRPr="002C6286">
        <w:rPr>
          <w:i/>
          <w:iCs/>
        </w:rPr>
        <w:t>supra</w:t>
      </w:r>
      <w:r w:rsidRPr="002C6286">
        <w:t xml:space="preserve">, </w:t>
      </w:r>
      <w:r w:rsidR="00F82A4E" w:rsidRPr="00F82A4E">
        <w:t xml:space="preserve">11 Cal.5th </w:t>
      </w:r>
      <w:r w:rsidR="00F82A4E">
        <w:t>at p. 201</w:t>
      </w:r>
      <w:bookmarkEnd w:id="287"/>
      <w:r w:rsidR="00F82A4E">
        <w:t xml:space="preserve"> </w:t>
      </w:r>
      <w:r w:rsidRPr="002C6286">
        <w:t xml:space="preserve">[party </w:t>
      </w:r>
      <w:bookmarkStart w:id="288" w:name="dabmq_256"/>
      <w:r w:rsidRPr="002C6286">
        <w:t>“can avoid liability under [§ 632.7] by taking reasonable precautions, such as obtaining the consent to record the statute requires”</w:t>
      </w:r>
      <w:bookmarkEnd w:id="288"/>
      <w:r w:rsidRPr="002C6286">
        <w:t xml:space="preserve">].)  </w:t>
      </w:r>
    </w:p>
  </w:footnote>
  <w:footnote w:id="21">
    <w:p w14:paraId="399B465B" w14:textId="45EF2C6C" w:rsidR="00F22B62" w:rsidRDefault="00F22B62" w:rsidP="00F22B62">
      <w:pPr>
        <w:pStyle w:val="FootnoteText"/>
      </w:pPr>
      <w:r>
        <w:rPr>
          <w:rStyle w:val="FootnoteReference"/>
        </w:rPr>
        <w:footnoteRef/>
      </w:r>
      <w:r>
        <w:t xml:space="preserve"> </w:t>
      </w:r>
      <w:r>
        <w:tab/>
        <w:t xml:space="preserve">The dissent does not address </w:t>
      </w:r>
      <w:proofErr w:type="gramStart"/>
      <w:r>
        <w:t>all of</w:t>
      </w:r>
      <w:proofErr w:type="gramEnd"/>
      <w:r>
        <w:t xml:space="preserve"> the evidence discussed herein, including the manner in which </w:t>
      </w:r>
      <w:r w:rsidR="00F03C2C">
        <w:t>Rojas</w:t>
      </w:r>
      <w:r>
        <w:t xml:space="preserve"> received the calls.</w:t>
      </w:r>
      <w:r w:rsidR="003D0567">
        <w:t xml:space="preserve"> </w:t>
      </w:r>
      <w:r>
        <w:t xml:space="preserve"> </w:t>
      </w:r>
    </w:p>
  </w:footnote>
  <w:footnote w:id="22">
    <w:p w14:paraId="6F72DF0C" w14:textId="54EE2A8C" w:rsidR="00AB3199" w:rsidRDefault="00AB3199" w:rsidP="009443F9">
      <w:pPr>
        <w:pStyle w:val="FootnoteText"/>
        <w:keepLines/>
        <w:spacing w:after="240"/>
      </w:pPr>
      <w:r>
        <w:rPr>
          <w:rStyle w:val="FootnoteReference"/>
        </w:rPr>
        <w:footnoteRef/>
      </w:r>
      <w:r>
        <w:t xml:space="preserve"> </w:t>
      </w:r>
      <w:r>
        <w:tab/>
        <w:t xml:space="preserve">Whether a </w:t>
      </w:r>
      <w:bookmarkStart w:id="358" w:name="dabmci_7cf42099e5934d2ab9251e5036d2dfc3"/>
      <w:r>
        <w:t>section 998</w:t>
      </w:r>
      <w:bookmarkEnd w:id="358"/>
      <w:r>
        <w:t xml:space="preserve"> offer was reasonable and made in good faith are issues reviewed for abuse of discretion (</w:t>
      </w:r>
      <w:bookmarkStart w:id="359" w:name="dabmci_0ea6ea33188649c4b8972249e2bfb4bc"/>
      <w:r w:rsidRPr="002C53A5">
        <w:rPr>
          <w:i/>
          <w:iCs/>
        </w:rPr>
        <w:t>Najera</w:t>
      </w:r>
      <w:r>
        <w:rPr>
          <w:i/>
          <w:iCs/>
        </w:rPr>
        <w:t xml:space="preserve">, supra, </w:t>
      </w:r>
      <w:r w:rsidRPr="002C53A5">
        <w:t xml:space="preserve">191 Cal.App.4th </w:t>
      </w:r>
      <w:r>
        <w:t>a</w:t>
      </w:r>
      <w:r w:rsidR="00A34E45">
        <w:t>t</w:t>
      </w:r>
      <w:r w:rsidR="00012A54">
        <w:t xml:space="preserve"> </w:t>
      </w:r>
      <w:r>
        <w:t>p.</w:t>
      </w:r>
      <w:r w:rsidR="00012A54">
        <w:t> </w:t>
      </w:r>
      <w:r w:rsidRPr="002C53A5">
        <w:t>877</w:t>
      </w:r>
      <w:bookmarkEnd w:id="359"/>
      <w:r>
        <w:t xml:space="preserve">), but they are not before us.  Rojas does not </w:t>
      </w:r>
      <w:r w:rsidR="00A13605">
        <w:t>dispute</w:t>
      </w:r>
      <w:r>
        <w:t xml:space="preserve"> </w:t>
      </w:r>
      <w:proofErr w:type="gramStart"/>
      <w:r>
        <w:t>reasonableness, and</w:t>
      </w:r>
      <w:proofErr w:type="gramEnd"/>
      <w:r>
        <w:t xml:space="preserve"> did not </w:t>
      </w:r>
      <w:r w:rsidR="00A13605">
        <w:t>raise</w:t>
      </w:r>
      <w:r>
        <w:t xml:space="preserve"> good faith until her reply brief.   We deem the point forfeited. (</w:t>
      </w:r>
      <w:bookmarkStart w:id="360" w:name="dabmci_c599e146455c4884b4e460f8a5ca3582"/>
      <w:r w:rsidRPr="00AB3199">
        <w:rPr>
          <w:i/>
          <w:iCs/>
        </w:rPr>
        <w:t>American Drug Stores, Inc. v. Stroh</w:t>
      </w:r>
      <w:r w:rsidRPr="00AB3199">
        <w:t xml:space="preserve"> (1992) 10 Cal.App.4th 1446, 1453</w:t>
      </w:r>
      <w:bookmarkEnd w:id="360"/>
      <w:r w:rsidR="00FE656F">
        <w:t xml:space="preserve"> </w:t>
      </w:r>
      <w:r w:rsidRPr="00AB3199">
        <w:t>[</w:t>
      </w:r>
      <w:bookmarkStart w:id="361" w:name="dabmq_257"/>
      <w:r w:rsidRPr="00AB3199">
        <w:t>“[p]oints raised for the first time in a reply brief will ordinarily not be considered”</w:t>
      </w:r>
      <w:bookmarkEnd w:id="361"/>
      <w:r w:rsidRPr="00AB3199">
        <w:t>].)</w:t>
      </w:r>
    </w:p>
  </w:footnote>
  <w:footnote w:id="23">
    <w:p w14:paraId="2EBDCEC6" w14:textId="34EC336E" w:rsidR="000E42D1" w:rsidRPr="00C02B48" w:rsidRDefault="000E42D1" w:rsidP="009443F9">
      <w:pPr>
        <w:pStyle w:val="FootnoteText"/>
        <w:keepLines/>
        <w:spacing w:after="240"/>
      </w:pPr>
      <w:r>
        <w:rPr>
          <w:rStyle w:val="FootnoteReference"/>
        </w:rPr>
        <w:footnoteRef/>
      </w:r>
      <w:r>
        <w:t xml:space="preserve"> </w:t>
      </w:r>
      <w:r>
        <w:tab/>
      </w:r>
      <w:r w:rsidR="00C02B48">
        <w:t>Thus,</w:t>
      </w:r>
      <w:r>
        <w:t xml:space="preserve"> we reject Rojas’s suggestion that </w:t>
      </w:r>
      <w:r w:rsidR="00987C14">
        <w:t xml:space="preserve">her motion sufficed to </w:t>
      </w:r>
      <w:r w:rsidR="00D335B1">
        <w:t>place</w:t>
      </w:r>
      <w:r w:rsidR="00987C14">
        <w:t xml:space="preserve"> </w:t>
      </w:r>
      <w:r w:rsidR="00C02B48">
        <w:t xml:space="preserve">the burden </w:t>
      </w:r>
      <w:r w:rsidR="00D335B1">
        <w:t>on</w:t>
      </w:r>
      <w:r w:rsidR="00C02B48">
        <w:t xml:space="preserve"> HSBC.  </w:t>
      </w:r>
      <w:r>
        <w:t>(C</w:t>
      </w:r>
      <w:r w:rsidRPr="000E42D1">
        <w:t xml:space="preserve">f. </w:t>
      </w:r>
      <w:bookmarkStart w:id="430" w:name="dabmci_c5b88d35c6ff42e2a0fb1507c61aba6c"/>
      <w:r w:rsidRPr="000E42D1">
        <w:rPr>
          <w:i/>
          <w:iCs/>
        </w:rPr>
        <w:t>Nelson v. Anderson</w:t>
      </w:r>
      <w:r w:rsidRPr="000E42D1">
        <w:t xml:space="preserve"> (1999) 72 Cal.App.4th 111, 131 </w:t>
      </w:r>
      <w:r w:rsidR="00C02B48">
        <w:t>(</w:t>
      </w:r>
      <w:r w:rsidR="00C02B48">
        <w:rPr>
          <w:i/>
          <w:iCs/>
        </w:rPr>
        <w:t>Nelson</w:t>
      </w:r>
      <w:r w:rsidR="00C02B48">
        <w:t>)</w:t>
      </w:r>
      <w:bookmarkEnd w:id="430"/>
      <w:r w:rsidR="00C02B48">
        <w:t xml:space="preserve"> </w:t>
      </w:r>
      <w:r w:rsidRPr="000E42D1">
        <w:t xml:space="preserve">[“mere filing” of a motion to tax costs may be proper objection for items of doubtful </w:t>
      </w:r>
      <w:proofErr w:type="gramStart"/>
      <w:r w:rsidRPr="000E42D1">
        <w:t>necessity</w:t>
      </w:r>
      <w:r>
        <w:t>, but</w:t>
      </w:r>
      <w:proofErr w:type="gramEnd"/>
      <w:r>
        <w:t xml:space="preserve"> </w:t>
      </w:r>
      <w:r w:rsidRPr="000E42D1">
        <w:t xml:space="preserve">disagreeing </w:t>
      </w:r>
      <w:bookmarkStart w:id="431" w:name="dabmq_258"/>
      <w:r w:rsidRPr="000E42D1">
        <w:t>“mere objection to charges</w:t>
      </w:r>
      <w:r w:rsidR="00A34E45">
        <w:t xml:space="preserve">  </w:t>
      </w:r>
      <w:r w:rsidRPr="000E42D1">
        <w:t>which . . . appear to be proper”</w:t>
      </w:r>
      <w:bookmarkEnd w:id="431"/>
      <w:r w:rsidRPr="000E42D1">
        <w:t xml:space="preserve"> shifts burden</w:t>
      </w:r>
      <w:r>
        <w:t>].)</w:t>
      </w:r>
      <w:r w:rsidR="00EA2947">
        <w:t xml:space="preserve"> </w:t>
      </w:r>
      <w:r>
        <w:t xml:space="preserve"> </w:t>
      </w:r>
      <w:bookmarkStart w:id="432" w:name="dabmci_6652ec439bc9437099ddadda40ee9855"/>
      <w:r w:rsidRPr="000E42D1">
        <w:rPr>
          <w:i/>
          <w:iCs/>
        </w:rPr>
        <w:t>Jones v. Dumrichob</w:t>
      </w:r>
      <w:r w:rsidRPr="000E42D1">
        <w:t xml:space="preserve"> (1998) 63 Cal.App.4th 1258</w:t>
      </w:r>
      <w:bookmarkEnd w:id="432"/>
      <w:r>
        <w:t xml:space="preserve"> and </w:t>
      </w:r>
      <w:bookmarkStart w:id="433" w:name="dabmci_0c2d99cec88844f1b2ee9da69d6f1983"/>
      <w:r w:rsidRPr="000E42D1">
        <w:rPr>
          <w:i/>
          <w:iCs/>
        </w:rPr>
        <w:t>Levy v. Toyota Motor Sales</w:t>
      </w:r>
      <w:r w:rsidRPr="000E42D1">
        <w:t xml:space="preserve"> (1992) 4 Cal.App.4th 807</w:t>
      </w:r>
      <w:bookmarkEnd w:id="433"/>
      <w:r>
        <w:t xml:space="preserve">, cited by Rojas, do not </w:t>
      </w:r>
      <w:r w:rsidR="0057597F">
        <w:t>show</w:t>
      </w:r>
      <w:r>
        <w:t xml:space="preserve"> otherwise.  (</w:t>
      </w:r>
      <w:bookmarkStart w:id="434" w:name="dabmci_8e6082dae6374c679b2a93db0c245d89"/>
      <w:r>
        <w:rPr>
          <w:i/>
          <w:iCs/>
        </w:rPr>
        <w:t>Jones</w:t>
      </w:r>
      <w:r>
        <w:t>, at pp. 1266</w:t>
      </w:r>
      <w:r w:rsidR="008244CF">
        <w:t>–</w:t>
      </w:r>
      <w:r>
        <w:t>1268</w:t>
      </w:r>
      <w:bookmarkEnd w:id="434"/>
      <w:r>
        <w:t xml:space="preserve"> [</w:t>
      </w:r>
      <w:r w:rsidRPr="000E42D1">
        <w:t xml:space="preserve">affirming </w:t>
      </w:r>
      <w:r w:rsidR="00325DC0">
        <w:t xml:space="preserve">expert </w:t>
      </w:r>
      <w:r w:rsidRPr="000E42D1">
        <w:t>costs</w:t>
      </w:r>
      <w:r>
        <w:t>,</w:t>
      </w:r>
      <w:r w:rsidRPr="000E42D1">
        <w:t xml:space="preserve"> noting “absence of any information</w:t>
      </w:r>
      <w:r w:rsidR="00D335B1">
        <w:t>”</w:t>
      </w:r>
      <w:r w:rsidRPr="000E42D1">
        <w:t xml:space="preserve"> from objecting party at hearin</w:t>
      </w:r>
      <w:r w:rsidR="00D335B1">
        <w:t>g</w:t>
      </w:r>
      <w:r w:rsidRPr="0057597F">
        <w:t xml:space="preserve">]; </w:t>
      </w:r>
      <w:bookmarkStart w:id="435" w:name="dabmci_ae84e06a7b38437faf856445e8244382"/>
      <w:r w:rsidRPr="0057597F">
        <w:rPr>
          <w:i/>
          <w:iCs/>
        </w:rPr>
        <w:t>Levy</w:t>
      </w:r>
      <w:r w:rsidRPr="0057597F">
        <w:t>, at pp. 810, 816</w:t>
      </w:r>
      <w:r w:rsidR="008244CF" w:rsidRPr="008244CF">
        <w:rPr>
          <w:lang w:bidi="en-US"/>
        </w:rPr>
        <w:t>–</w:t>
      </w:r>
      <w:r w:rsidRPr="0057597F">
        <w:t>817</w:t>
      </w:r>
      <w:bookmarkEnd w:id="435"/>
      <w:r w:rsidRPr="0057597F">
        <w:t xml:space="preserve"> [affirming </w:t>
      </w:r>
      <w:r w:rsidR="0057597F" w:rsidRPr="0057597F">
        <w:t xml:space="preserve">taxation of costs, </w:t>
      </w:r>
      <w:r w:rsidRPr="0057597F">
        <w:t xml:space="preserve">where memorandum listed </w:t>
      </w:r>
      <w:bookmarkStart w:id="436" w:name="dabmq_259"/>
      <w:r w:rsidRPr="0057597F">
        <w:t>“other expenses authorized by statute and case law per declaration,”</w:t>
      </w:r>
      <w:bookmarkEnd w:id="436"/>
      <w:r w:rsidRPr="0057597F">
        <w:t xml:space="preserve"> declaration did not address them, and party did not substantiate them after </w:t>
      </w:r>
      <w:r w:rsidR="0057597F">
        <w:t>objection</w:t>
      </w:r>
      <w:r w:rsidRPr="0057597F">
        <w:t>; presum</w:t>
      </w:r>
      <w:r w:rsidR="0057597F" w:rsidRPr="0057597F">
        <w:t xml:space="preserve">ing </w:t>
      </w:r>
      <w:r w:rsidRPr="0057597F">
        <w:t xml:space="preserve">the </w:t>
      </w:r>
      <w:bookmarkStart w:id="437" w:name="dabmq_260"/>
      <w:r w:rsidR="0057597F" w:rsidRPr="0057597F">
        <w:t>“</w:t>
      </w:r>
      <w:r w:rsidRPr="0057597F">
        <w:t>court, in its sound discretion, found that the charges were excessive”</w:t>
      </w:r>
      <w:bookmarkEnd w:id="437"/>
      <w:r w:rsidRPr="0057597F">
        <w:t>].)</w:t>
      </w:r>
      <w:r w:rsidR="00C02B48">
        <w:t xml:space="preserve">  </w:t>
      </w:r>
    </w:p>
  </w:footnote>
  <w:footnote w:id="24">
    <w:p w14:paraId="3C0BB535" w14:textId="149EF6EC" w:rsidR="00DC5B8F" w:rsidRDefault="00DC5B8F" w:rsidP="00FB365C">
      <w:pPr>
        <w:pStyle w:val="FootnoteText"/>
        <w:spacing w:after="240"/>
      </w:pPr>
      <w:r>
        <w:rPr>
          <w:rStyle w:val="FootnoteReference"/>
        </w:rPr>
        <w:footnoteRef/>
      </w:r>
      <w:r>
        <w:t xml:space="preserve"> </w:t>
      </w:r>
      <w:r>
        <w:tab/>
        <w:t>A</w:t>
      </w:r>
      <w:r w:rsidRPr="00DC5B8F">
        <w:t xml:space="preserve">lthough </w:t>
      </w:r>
      <w:r w:rsidRPr="00182319">
        <w:t>an expense report</w:t>
      </w:r>
      <w:r w:rsidRPr="00DC5B8F">
        <w:t xml:space="preserve"> shows Geller-Stoff claimed $273.43 for meals, the receipts reflect three meals totaling $</w:t>
      </w:r>
      <w:r w:rsidR="00957218" w:rsidRPr="00DC5B8F">
        <w:t>38</w:t>
      </w:r>
      <w:r w:rsidR="00957218">
        <w:t>5</w:t>
      </w:r>
      <w:r w:rsidRPr="00DC5B8F">
        <w:t>.15 (for $45.13; $116.59; and $223.43, of which $75 is a</w:t>
      </w:r>
      <w:r w:rsidR="00957218">
        <w:t>n approximately</w:t>
      </w:r>
      <w:r w:rsidRPr="00DC5B8F">
        <w:t xml:space="preserve"> 50 percent tip).  On the receipt for the $223.43 meal with the 50 percent tip, there is also a handwritten number, $111.71</w:t>
      </w:r>
      <w:r w:rsidR="00FB365C">
        <w:t>.  Th</w:t>
      </w:r>
      <w:r w:rsidR="00182319">
        <w:t>at</w:t>
      </w:r>
      <w:r w:rsidR="00FB365C">
        <w:t xml:space="preserve"> $111.71 number, when added to </w:t>
      </w:r>
      <w:r w:rsidR="00182319">
        <w:t xml:space="preserve">the </w:t>
      </w:r>
      <w:r w:rsidR="00FB365C">
        <w:t xml:space="preserve">other </w:t>
      </w:r>
      <w:r w:rsidR="00182319">
        <w:t xml:space="preserve">two </w:t>
      </w:r>
      <w:r w:rsidR="00FB365C">
        <w:t>meal</w:t>
      </w:r>
      <w:r w:rsidR="00182319">
        <w:t>s (</w:t>
      </w:r>
      <w:r w:rsidR="00FB365C">
        <w:t>$45.23 and $116.59</w:t>
      </w:r>
      <w:r w:rsidR="00182319">
        <w:t>)</w:t>
      </w:r>
      <w:r w:rsidR="00FB365C">
        <w:t xml:space="preserve"> totals the claimed amount of </w:t>
      </w:r>
      <w:r w:rsidRPr="00DC5B8F">
        <w:t>$273.43</w:t>
      </w:r>
      <w:r w:rsidR="00FB365C">
        <w:t>.  Thus, the receipts</w:t>
      </w:r>
      <w:r w:rsidRPr="00DC5B8F">
        <w:t xml:space="preserve"> suggest Geller-Stoff did not claim the entire $223.43 meal</w:t>
      </w:r>
      <w:r w:rsidR="00FB365C">
        <w:t xml:space="preserve"> and may not have claimed </w:t>
      </w:r>
      <w:r w:rsidR="00182319">
        <w:t xml:space="preserve">some or </w:t>
      </w:r>
      <w:proofErr w:type="gramStart"/>
      <w:r w:rsidR="00182319">
        <w:t>all of</w:t>
      </w:r>
      <w:proofErr w:type="gramEnd"/>
      <w:r w:rsidR="00182319">
        <w:t xml:space="preserve"> the</w:t>
      </w:r>
      <w:r w:rsidR="00FB365C">
        <w:t xml:space="preserve"> tip</w:t>
      </w:r>
      <w:r w:rsidRPr="00DC5B8F">
        <w:t xml:space="preserve">.  </w:t>
      </w:r>
    </w:p>
  </w:footnote>
  <w:footnote w:id="25">
    <w:p w14:paraId="50A96D2A" w14:textId="36FEE331" w:rsidR="00FE656F" w:rsidRDefault="00FE656F" w:rsidP="00442D87">
      <w:pPr>
        <w:pStyle w:val="FootnoteText"/>
        <w:keepLines/>
        <w:spacing w:after="240"/>
      </w:pPr>
      <w:r>
        <w:rPr>
          <w:rStyle w:val="FootnoteReference"/>
        </w:rPr>
        <w:footnoteRef/>
      </w:r>
      <w:r>
        <w:t xml:space="preserve"> </w:t>
      </w:r>
      <w:r>
        <w:tab/>
      </w:r>
      <w:r w:rsidR="008F70B9" w:rsidRPr="008F70B9">
        <w:t>Rojas</w:t>
      </w:r>
      <w:r w:rsidR="000C3199">
        <w:t>’s authority</w:t>
      </w:r>
      <w:r w:rsidR="008F70B9" w:rsidRPr="008F70B9">
        <w:t xml:space="preserve"> </w:t>
      </w:r>
      <w:r w:rsidR="00F80863">
        <w:t xml:space="preserve">for </w:t>
      </w:r>
      <w:r w:rsidR="000C3199">
        <w:t>this</w:t>
      </w:r>
      <w:r w:rsidR="00F80863">
        <w:t xml:space="preserve"> argument</w:t>
      </w:r>
      <w:r w:rsidR="008F70B9" w:rsidRPr="008F70B9">
        <w:t xml:space="preserve">, </w:t>
      </w:r>
      <w:bookmarkStart w:id="515" w:name="dabmci_8a0a15d5c9354267a33a5b224792bfef"/>
      <w:r w:rsidR="008F70B9" w:rsidRPr="008F70B9">
        <w:rPr>
          <w:i/>
          <w:iCs/>
        </w:rPr>
        <w:t>Gorman v. Tassajara Dev. Corp.</w:t>
      </w:r>
      <w:r w:rsidR="008F70B9" w:rsidRPr="008F70B9">
        <w:t xml:space="preserve"> (2009) 178 Cal.App.4th 44</w:t>
      </w:r>
      <w:bookmarkEnd w:id="515"/>
      <w:r w:rsidR="008F70B9" w:rsidRPr="008F70B9">
        <w:t xml:space="preserve">, </w:t>
      </w:r>
      <w:r w:rsidR="000C3199">
        <w:t>cites</w:t>
      </w:r>
      <w:r w:rsidR="008F70B9" w:rsidRPr="008F70B9">
        <w:t xml:space="preserve"> </w:t>
      </w:r>
      <w:r w:rsidR="008F70B9" w:rsidRPr="008F70B9">
        <w:rPr>
          <w:i/>
          <w:iCs/>
        </w:rPr>
        <w:t>Nelson</w:t>
      </w:r>
      <w:r w:rsidR="008F70B9" w:rsidRPr="008F70B9">
        <w:t xml:space="preserve"> to </w:t>
      </w:r>
      <w:r w:rsidR="000C3199">
        <w:t>state</w:t>
      </w:r>
      <w:r w:rsidR="008F70B9" w:rsidRPr="008F70B9">
        <w:t xml:space="preserve"> that </w:t>
      </w:r>
      <w:bookmarkStart w:id="516" w:name="dabmq_261"/>
      <w:r w:rsidR="008F70B9" w:rsidRPr="008F70B9">
        <w:t>“</w:t>
      </w:r>
      <w:r w:rsidR="009123B2">
        <w:t xml:space="preserve">where </w:t>
      </w:r>
      <w:r w:rsidR="008F70B9" w:rsidRPr="008F70B9">
        <w:t>costs are not expressly allowed</w:t>
      </w:r>
      <w:r w:rsidR="009D1053">
        <w:t xml:space="preserve"> by</w:t>
      </w:r>
      <w:r w:rsidR="00742479">
        <w:t xml:space="preserve"> the</w:t>
      </w:r>
      <w:r w:rsidR="009D1053">
        <w:t xml:space="preserve"> statute</w:t>
      </w:r>
      <w:r w:rsidR="000042A7">
        <w:t>,”</w:t>
      </w:r>
      <w:bookmarkEnd w:id="516"/>
      <w:r w:rsidR="000042A7">
        <w:t xml:space="preserve"> </w:t>
      </w:r>
      <w:r w:rsidR="008F70B9" w:rsidRPr="008F70B9">
        <w:t xml:space="preserve">the </w:t>
      </w:r>
      <w:bookmarkStart w:id="517" w:name="dabmq_262"/>
      <w:r w:rsidR="000042A7">
        <w:t>“</w:t>
      </w:r>
      <w:r w:rsidR="008F70B9" w:rsidRPr="008F70B9">
        <w:t>burden is on the party claiming</w:t>
      </w:r>
      <w:r w:rsidR="009123B2">
        <w:t>”</w:t>
      </w:r>
      <w:bookmarkEnd w:id="517"/>
      <w:r w:rsidR="009123B2">
        <w:t xml:space="preserve"> them.  </w:t>
      </w:r>
      <w:r w:rsidR="008F70B9" w:rsidRPr="008F70B9">
        <w:t>(</w:t>
      </w:r>
      <w:bookmarkStart w:id="518" w:name="dabmci_73832e6c3d89492eba7bdddc75711318"/>
      <w:r w:rsidR="008F70B9" w:rsidRPr="008F70B9">
        <w:rPr>
          <w:i/>
          <w:iCs/>
        </w:rPr>
        <w:t>Id.</w:t>
      </w:r>
      <w:r w:rsidR="008F70B9" w:rsidRPr="008F70B9">
        <w:t xml:space="preserve"> at p. 71</w:t>
      </w:r>
      <w:bookmarkEnd w:id="518"/>
      <w:r w:rsidR="008F70B9" w:rsidRPr="008F70B9">
        <w:t xml:space="preserve">, citing </w:t>
      </w:r>
      <w:bookmarkStart w:id="519" w:name="dabmci_95d83aa02fc94be8bbc21c6c8691543c"/>
      <w:r w:rsidR="008F70B9" w:rsidRPr="008F70B9">
        <w:rPr>
          <w:i/>
          <w:iCs/>
        </w:rPr>
        <w:t>Nelson</w:t>
      </w:r>
      <w:r w:rsidR="008F70B9" w:rsidRPr="008F70B9">
        <w:t xml:space="preserve">, </w:t>
      </w:r>
      <w:r w:rsidR="008F70B9" w:rsidRPr="008F70B9">
        <w:rPr>
          <w:i/>
          <w:iCs/>
        </w:rPr>
        <w:t>supra</w:t>
      </w:r>
      <w:r w:rsidR="008F70B9" w:rsidRPr="008F70B9">
        <w:t>, 72 Cal.App.4th at p. 132</w:t>
      </w:r>
      <w:bookmarkEnd w:id="519"/>
      <w:r w:rsidR="008F70B9" w:rsidRPr="008F70B9">
        <w:t>.)</w:t>
      </w:r>
      <w:r w:rsidR="009123B2">
        <w:t xml:space="preserve">  </w:t>
      </w:r>
      <w:proofErr w:type="gramStart"/>
      <w:r w:rsidR="00A34F1C">
        <w:t>Actually, c</w:t>
      </w:r>
      <w:r w:rsidR="009123B2">
        <w:t>onsistent</w:t>
      </w:r>
      <w:proofErr w:type="gramEnd"/>
      <w:r w:rsidR="009123B2">
        <w:t xml:space="preserve"> with </w:t>
      </w:r>
      <w:r w:rsidR="00A34F1C">
        <w:t>its</w:t>
      </w:r>
      <w:r w:rsidR="009123B2">
        <w:t xml:space="preserve"> comments on burden shifting</w:t>
      </w:r>
      <w:r w:rsidR="000C3199">
        <w:t>, noted</w:t>
      </w:r>
      <w:r w:rsidR="00A34F1C">
        <w:t xml:space="preserve"> </w:t>
      </w:r>
      <w:r w:rsidR="009123B2">
        <w:t xml:space="preserve">above, </w:t>
      </w:r>
      <w:r w:rsidR="009123B2">
        <w:rPr>
          <w:i/>
          <w:iCs/>
        </w:rPr>
        <w:t>Nelson</w:t>
      </w:r>
      <w:r w:rsidR="009123B2">
        <w:t xml:space="preserve"> </w:t>
      </w:r>
      <w:r w:rsidR="009D1053">
        <w:t xml:space="preserve">said </w:t>
      </w:r>
      <w:r w:rsidR="00A34F1C">
        <w:t>the</w:t>
      </w:r>
      <w:r w:rsidR="009D1053">
        <w:t xml:space="preserve"> claiming party </w:t>
      </w:r>
      <w:r w:rsidR="00A34F1C">
        <w:t>was</w:t>
      </w:r>
      <w:r w:rsidR="009D1053">
        <w:t xml:space="preserve"> </w:t>
      </w:r>
      <w:bookmarkStart w:id="520" w:name="dabmq_263"/>
      <w:r w:rsidR="009D1053">
        <w:t>“required to prove the reasonabl</w:t>
      </w:r>
      <w:r w:rsidR="002F6375">
        <w:t>ene</w:t>
      </w:r>
      <w:r w:rsidR="009D1053">
        <w:t>ss and necessity of items only if not properly claimed</w:t>
      </w:r>
      <w:r w:rsidR="00A34F1C">
        <w:t xml:space="preserve"> . . . .</w:t>
      </w:r>
      <w:r w:rsidR="009D1053">
        <w:t>”</w:t>
      </w:r>
      <w:bookmarkEnd w:id="520"/>
      <w:r w:rsidR="00A34F1C">
        <w:t xml:space="preserve">  </w:t>
      </w:r>
      <w:r w:rsidR="009D1053">
        <w:t>(</w:t>
      </w:r>
      <w:bookmarkStart w:id="521" w:name="dabmci_7b479866377d4705ab51a785ff2ddb8f"/>
      <w:r w:rsidR="009D1053">
        <w:rPr>
          <w:i/>
          <w:iCs/>
        </w:rPr>
        <w:t>Id.</w:t>
      </w:r>
      <w:r w:rsidR="009D1053">
        <w:t xml:space="preserve"> at p. 130</w:t>
      </w:r>
      <w:bookmarkEnd w:id="521"/>
      <w:r w:rsidR="009D1053">
        <w:t>, emphasis omitted</w:t>
      </w:r>
      <w:r w:rsidR="00442D87">
        <w:t xml:space="preserve">; see </w:t>
      </w:r>
      <w:bookmarkStart w:id="522" w:name="dabmci_22f7c457a4e44459ad7963bff104a5f9"/>
      <w:r w:rsidR="00442D87">
        <w:rPr>
          <w:i/>
          <w:iCs/>
        </w:rPr>
        <w:t>id.</w:t>
      </w:r>
      <w:r w:rsidR="00442D87">
        <w:t xml:space="preserve"> at p</w:t>
      </w:r>
      <w:r w:rsidR="008F70B9" w:rsidRPr="008F70B9">
        <w:t>. 131</w:t>
      </w:r>
      <w:bookmarkEnd w:id="522"/>
      <w:r w:rsidR="008F70B9" w:rsidRPr="008F70B9">
        <w:t xml:space="preserve"> [</w:t>
      </w:r>
      <w:bookmarkStart w:id="523" w:name="dabmq_264"/>
      <w:r w:rsidR="00A34F1C">
        <w:t xml:space="preserve">“The </w:t>
      </w:r>
      <w:r w:rsidR="008F70B9" w:rsidRPr="008F70B9">
        <w:t>court’s first determination</w:t>
      </w:r>
      <w:r w:rsidR="008F70B9">
        <w:t xml:space="preserve"> . . .</w:t>
      </w:r>
      <w:r w:rsidR="008F70B9" w:rsidRPr="008F70B9">
        <w:t xml:space="preserve"> is whether the statute expressly allows the </w:t>
      </w:r>
      <w:proofErr w:type="gramStart"/>
      <w:r w:rsidR="008F70B9" w:rsidRPr="008F70B9">
        <w:t>particular item</w:t>
      </w:r>
      <w:proofErr w:type="gramEnd"/>
      <w:r w:rsidR="008F70B9" w:rsidRPr="008F70B9">
        <w:t>, and whether it appears proper on its face. [Citation]</w:t>
      </w:r>
      <w:r w:rsidR="00A34F1C">
        <w:t xml:space="preserve"> </w:t>
      </w:r>
      <w:r w:rsidR="00442D87">
        <w:t xml:space="preserve"> </w:t>
      </w:r>
      <w:r w:rsidR="008F70B9" w:rsidRPr="008F70B9">
        <w:t>If so, the burden is on the objecting party”</w:t>
      </w:r>
      <w:bookmarkEnd w:id="523"/>
      <w:proofErr w:type="gramStart"/>
      <w:r w:rsidR="008F70B9" w:rsidRPr="008F70B9">
        <w:t>];</w:t>
      </w:r>
      <w:proofErr w:type="gramEnd"/>
      <w:r w:rsidR="008F70B9" w:rsidRPr="008F70B9">
        <w:t xml:space="preserve"> </w:t>
      </w:r>
      <w:bookmarkStart w:id="524" w:name="dabmci_dd2c53e2c8074b1092653e38c61a1977"/>
      <w:r w:rsidR="008F70B9" w:rsidRPr="008F70B9">
        <w:rPr>
          <w:i/>
          <w:iCs/>
        </w:rPr>
        <w:t>id</w:t>
      </w:r>
      <w:r w:rsidR="008F70B9" w:rsidRPr="008F70B9">
        <w:t>. at 132</w:t>
      </w:r>
      <w:bookmarkEnd w:id="524"/>
      <w:r w:rsidR="008F70B9" w:rsidRPr="008F70B9">
        <w:t xml:space="preserve"> [</w:t>
      </w:r>
      <w:bookmarkStart w:id="525" w:name="dabmq_265"/>
      <w:r w:rsidR="008F70B9" w:rsidRPr="008F70B9">
        <w:t xml:space="preserve">“Messenger fees are not expressly authorized by </w:t>
      </w:r>
      <w:proofErr w:type="gramStart"/>
      <w:r w:rsidR="008F70B9" w:rsidRPr="008F70B9">
        <w:t>statute</w:t>
      </w:r>
      <w:r w:rsidR="00442D87">
        <w:t>, but</w:t>
      </w:r>
      <w:proofErr w:type="gramEnd"/>
      <w:r w:rsidR="00442D87">
        <w:t xml:space="preserve"> may be allowed in the discretion of the court. [Citation</w:t>
      </w:r>
      <w:r w:rsidR="00721FAC">
        <w:t>s.</w:t>
      </w:r>
      <w:r w:rsidR="00442D87">
        <w:t>]</w:t>
      </w:r>
      <w:r w:rsidR="009443F9">
        <w:t xml:space="preserve"> </w:t>
      </w:r>
      <w:r w:rsidR="008F70B9" w:rsidRPr="008F70B9">
        <w:t xml:space="preserve">The trial court </w:t>
      </w:r>
      <w:r w:rsidR="008F70B9" w:rsidRPr="00442D87">
        <w:rPr>
          <w:i/>
          <w:iCs/>
        </w:rPr>
        <w:t>found the messenger filings to be of doubtful necessity and unreasonabl</w:t>
      </w:r>
      <w:r w:rsidR="008F70B9" w:rsidRPr="008F70B9">
        <w:t xml:space="preserve">e </w:t>
      </w:r>
      <w:r w:rsidR="008F70B9" w:rsidRPr="00442D87">
        <w:rPr>
          <w:i/>
          <w:iCs/>
        </w:rPr>
        <w:t>on their face</w:t>
      </w:r>
      <w:r w:rsidR="008F70B9" w:rsidRPr="008F70B9">
        <w:t xml:space="preserve"> . . . . The burden was therefore properly placed upon [the </w:t>
      </w:r>
      <w:r w:rsidR="00442D87">
        <w:t>claiming party</w:t>
      </w:r>
      <w:r w:rsidR="008F70B9" w:rsidRPr="008F70B9">
        <w:t>]</w:t>
      </w:r>
      <w:r w:rsidR="00442D87">
        <w:t>,”</w:t>
      </w:r>
      <w:bookmarkEnd w:id="525"/>
      <w:r w:rsidR="00442D87">
        <w:t xml:space="preserve"> emphasis added</w:t>
      </w:r>
      <w:r w:rsidR="008F70B9" w:rsidRPr="008F70B9">
        <w:t>].)</w:t>
      </w:r>
    </w:p>
  </w:footnote>
  <w:footnote w:id="26">
    <w:p w14:paraId="6E2C5728" w14:textId="77777777" w:rsidR="00B475D5" w:rsidRPr="00112CC3" w:rsidRDefault="00B475D5" w:rsidP="00B475D5">
      <w:pPr>
        <w:pStyle w:val="FootnoteText"/>
      </w:pPr>
      <w:r w:rsidRPr="00112CC3">
        <w:rPr>
          <w:rStyle w:val="FootnoteReference"/>
        </w:rPr>
        <w:footnoteRef/>
      </w:r>
      <w:r w:rsidRPr="00112CC3">
        <w:t xml:space="preserve"> </w:t>
      </w:r>
      <w:r w:rsidRPr="00112CC3">
        <w:tab/>
        <w:t>All statutory references are to the Penal Code.</w:t>
      </w:r>
    </w:p>
  </w:footnote>
  <w:footnote w:id="27">
    <w:p w14:paraId="36187ED6" w14:textId="77777777" w:rsidR="00B475D5" w:rsidRPr="00332729" w:rsidRDefault="00B475D5" w:rsidP="00B475D5">
      <w:pPr>
        <w:pStyle w:val="FootnoteText"/>
      </w:pPr>
      <w:r w:rsidRPr="00112CC3">
        <w:rPr>
          <w:rStyle w:val="FootnoteReference"/>
        </w:rPr>
        <w:footnoteRef/>
      </w:r>
      <w:r w:rsidRPr="00112CC3">
        <w:t xml:space="preserve"> </w:t>
      </w:r>
      <w:r w:rsidRPr="00112CC3">
        <w:tab/>
        <w:t>The cardmember agreement is a written contract, the meaning of which presents a question of law unless the foundational extrinsic facts are in conflict.  (</w:t>
      </w:r>
      <w:r w:rsidRPr="00112CC3">
        <w:rPr>
          <w:i/>
          <w:iCs/>
        </w:rPr>
        <w:t>Parsons v. Bristol Development Co.</w:t>
      </w:r>
      <w:r w:rsidRPr="00112CC3">
        <w:t xml:space="preserve"> (1965) 62 Cal.2d 861, 865; </w:t>
      </w:r>
      <w:r w:rsidRPr="00112CC3">
        <w:rPr>
          <w:i/>
          <w:iCs/>
        </w:rPr>
        <w:t>Medical Operations Management, Inc. v. National Health Laboratories, Inc.</w:t>
      </w:r>
      <w:r w:rsidRPr="00112CC3">
        <w:t xml:space="preserve"> (1986) 176 Cal.App.3d 886, 891.)  Here, the foundational facts are undisputed, and the language of the agreement is at best ambiguous as to whether “phone calls between you and our representatives” includes personal calls made to Rojas by her daughter, who was not calling in her capacity as an HSBC representative.  In deciding what the advisement means, our job is to determine the most reasonable interpretation of the parties’ agreement </w:t>
      </w:r>
      <w:proofErr w:type="gramStart"/>
      <w:r w:rsidRPr="00112CC3">
        <w:t>in light of</w:t>
      </w:r>
      <w:proofErr w:type="gramEnd"/>
      <w:r w:rsidRPr="00112CC3">
        <w:t xml:space="preserve"> the undisputed evidence.  (See </w:t>
      </w:r>
      <w:r w:rsidRPr="00112CC3">
        <w:rPr>
          <w:i/>
          <w:iCs/>
        </w:rPr>
        <w:t>Founding Members of the Newport Beach Country Club v. Newport Beach Country Club, Inc.</w:t>
      </w:r>
      <w:r w:rsidRPr="00112CC3">
        <w:t xml:space="preserve"> (2003) 109 Cal.App.4th 944, 955; </w:t>
      </w:r>
      <w:r w:rsidRPr="00112CC3">
        <w:rPr>
          <w:i/>
          <w:iCs/>
        </w:rPr>
        <w:t xml:space="preserve">Millsap v. Spilman </w:t>
      </w:r>
      <w:r w:rsidRPr="00112CC3">
        <w:t xml:space="preserve">(1969) 270 Cal.App.2d 444, 446; </w:t>
      </w:r>
      <w:r w:rsidRPr="00112CC3">
        <w:rPr>
          <w:i/>
          <w:iCs/>
        </w:rPr>
        <w:t xml:space="preserve">Aozora Bank, Ltd. v. 1333 North California Boulevard </w:t>
      </w:r>
      <w:r w:rsidRPr="00112CC3">
        <w:t xml:space="preserve">(2004) 119 Cal.App.4th 1291, 1295–1296.)  The question is how HSBC believed a reasonable cardholder would have understood the statement, interpreting any ambiguities against the drafter of the contract, HSBC.  (Civ. Code, §§ 1649, 1654.)  </w:t>
      </w:r>
      <w:proofErr w:type="gramStart"/>
      <w:r w:rsidRPr="00112CC3">
        <w:t>Clearly, the</w:t>
      </w:r>
      <w:proofErr w:type="gramEnd"/>
      <w:r w:rsidRPr="00112CC3">
        <w:t xml:space="preserve"> most (if not only) reasonable interpretation of the cardholder agreement is that it pertains to the recording of phone calls </w:t>
      </w:r>
      <w:r w:rsidRPr="00112CC3">
        <w:rPr>
          <w:i/>
          <w:iCs/>
        </w:rPr>
        <w:t>regarding the credit card account. </w:t>
      </w:r>
      <w:r w:rsidRPr="00112CC3">
        <w:t xml:space="preserve"> Even the key authority cited in the majority opinion suggests as much.  (</w:t>
      </w:r>
      <w:r w:rsidRPr="00112CC3">
        <w:rPr>
          <w:i/>
          <w:iCs/>
        </w:rPr>
        <w:t>Maghen v. Quicken Loans Inc.</w:t>
      </w:r>
      <w:r w:rsidRPr="00112CC3">
        <w:t xml:space="preserve"> (C.D.Cal. 2015) 94 F.Supp.3d 1141, 1143, 1145−1146 [plaintiff’s agreement to Terms of Use on mortgage refinance application, that referred to calls on a “recorded line,” implied her consent to being recorded when a loan officer called </w:t>
      </w:r>
      <w:r w:rsidRPr="00112CC3">
        <w:rPr>
          <w:i/>
          <w:iCs/>
        </w:rPr>
        <w:t>about her application</w:t>
      </w:r>
      <w:r w:rsidRPr="00112CC3">
        <w:t>], affd. 680 Fed.Appx. 554, 555.)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435F5" w14:textId="7CEE97F8" w:rsidR="00660EF2" w:rsidRDefault="00660EF2">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D53D25"/>
    <w:multiLevelType w:val="hybridMultilevel"/>
    <w:tmpl w:val="102EF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61C73"/>
    <w:multiLevelType w:val="multilevel"/>
    <w:tmpl w:val="55D07E52"/>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rPr>
        <w:i w:val="0"/>
        <w:iCs w:val="0"/>
      </w:rPr>
    </w:lvl>
    <w:lvl w:ilvl="3">
      <w:start w:val="1"/>
      <w:numFmt w:val="lowerLetter"/>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69499504">
    <w:abstractNumId w:val="1"/>
  </w:num>
  <w:num w:numId="2" w16cid:durableId="597644834">
    <w:abstractNumId w:val="1"/>
  </w:num>
  <w:num w:numId="3" w16cid:durableId="360666678">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6537"/>
    <w:rsid w:val="0000018B"/>
    <w:rsid w:val="00000444"/>
    <w:rsid w:val="0000049D"/>
    <w:rsid w:val="0000071D"/>
    <w:rsid w:val="000008C8"/>
    <w:rsid w:val="00000EF2"/>
    <w:rsid w:val="000012A5"/>
    <w:rsid w:val="000012ED"/>
    <w:rsid w:val="00001347"/>
    <w:rsid w:val="0000153D"/>
    <w:rsid w:val="00001802"/>
    <w:rsid w:val="000019A1"/>
    <w:rsid w:val="00001C3B"/>
    <w:rsid w:val="00001D09"/>
    <w:rsid w:val="00002099"/>
    <w:rsid w:val="00002176"/>
    <w:rsid w:val="000021E3"/>
    <w:rsid w:val="00002386"/>
    <w:rsid w:val="00002938"/>
    <w:rsid w:val="00002AE8"/>
    <w:rsid w:val="00002E3B"/>
    <w:rsid w:val="000035F0"/>
    <w:rsid w:val="00003834"/>
    <w:rsid w:val="00003AAC"/>
    <w:rsid w:val="00003C2B"/>
    <w:rsid w:val="00004047"/>
    <w:rsid w:val="00004113"/>
    <w:rsid w:val="000041B7"/>
    <w:rsid w:val="000042A7"/>
    <w:rsid w:val="000048B3"/>
    <w:rsid w:val="000049CD"/>
    <w:rsid w:val="00005AF8"/>
    <w:rsid w:val="00005B9C"/>
    <w:rsid w:val="00005C2D"/>
    <w:rsid w:val="00005CFA"/>
    <w:rsid w:val="00005F4C"/>
    <w:rsid w:val="00006C64"/>
    <w:rsid w:val="0000717E"/>
    <w:rsid w:val="000076D3"/>
    <w:rsid w:val="00007761"/>
    <w:rsid w:val="0000781C"/>
    <w:rsid w:val="00007FCD"/>
    <w:rsid w:val="0001084A"/>
    <w:rsid w:val="00011483"/>
    <w:rsid w:val="00011F09"/>
    <w:rsid w:val="00011F0A"/>
    <w:rsid w:val="00012430"/>
    <w:rsid w:val="00012576"/>
    <w:rsid w:val="000125CA"/>
    <w:rsid w:val="00012763"/>
    <w:rsid w:val="00012A4B"/>
    <w:rsid w:val="00012A54"/>
    <w:rsid w:val="000130E2"/>
    <w:rsid w:val="00013B3B"/>
    <w:rsid w:val="00013E62"/>
    <w:rsid w:val="00013FAB"/>
    <w:rsid w:val="0001555D"/>
    <w:rsid w:val="0001565A"/>
    <w:rsid w:val="00015B5B"/>
    <w:rsid w:val="000160B6"/>
    <w:rsid w:val="000161E9"/>
    <w:rsid w:val="00016397"/>
    <w:rsid w:val="0001652B"/>
    <w:rsid w:val="000168B7"/>
    <w:rsid w:val="00016B0C"/>
    <w:rsid w:val="00016B51"/>
    <w:rsid w:val="00016D45"/>
    <w:rsid w:val="00016E76"/>
    <w:rsid w:val="00016FCB"/>
    <w:rsid w:val="000170AF"/>
    <w:rsid w:val="0001725B"/>
    <w:rsid w:val="0001743A"/>
    <w:rsid w:val="00017603"/>
    <w:rsid w:val="000177FD"/>
    <w:rsid w:val="00017E5D"/>
    <w:rsid w:val="000201C0"/>
    <w:rsid w:val="000202C3"/>
    <w:rsid w:val="00020974"/>
    <w:rsid w:val="00020B0F"/>
    <w:rsid w:val="00020BF2"/>
    <w:rsid w:val="00020D5F"/>
    <w:rsid w:val="00021C00"/>
    <w:rsid w:val="000226F6"/>
    <w:rsid w:val="0002271C"/>
    <w:rsid w:val="00022792"/>
    <w:rsid w:val="00022A81"/>
    <w:rsid w:val="00023388"/>
    <w:rsid w:val="0002358B"/>
    <w:rsid w:val="00023826"/>
    <w:rsid w:val="00023855"/>
    <w:rsid w:val="00023938"/>
    <w:rsid w:val="00023A4D"/>
    <w:rsid w:val="00023A8B"/>
    <w:rsid w:val="00023B9B"/>
    <w:rsid w:val="00023C19"/>
    <w:rsid w:val="00023C1B"/>
    <w:rsid w:val="0002405A"/>
    <w:rsid w:val="000242D4"/>
    <w:rsid w:val="00024DBA"/>
    <w:rsid w:val="000252A3"/>
    <w:rsid w:val="00025449"/>
    <w:rsid w:val="0002546A"/>
    <w:rsid w:val="000254FC"/>
    <w:rsid w:val="00025859"/>
    <w:rsid w:val="00025F06"/>
    <w:rsid w:val="00025FE4"/>
    <w:rsid w:val="000261D8"/>
    <w:rsid w:val="00026858"/>
    <w:rsid w:val="00026885"/>
    <w:rsid w:val="00026F16"/>
    <w:rsid w:val="00027601"/>
    <w:rsid w:val="00027883"/>
    <w:rsid w:val="00027F93"/>
    <w:rsid w:val="00030035"/>
    <w:rsid w:val="00030134"/>
    <w:rsid w:val="00030609"/>
    <w:rsid w:val="000306FF"/>
    <w:rsid w:val="00030986"/>
    <w:rsid w:val="0003099B"/>
    <w:rsid w:val="00030FDC"/>
    <w:rsid w:val="000310FF"/>
    <w:rsid w:val="00031184"/>
    <w:rsid w:val="000315D3"/>
    <w:rsid w:val="000317B5"/>
    <w:rsid w:val="00031937"/>
    <w:rsid w:val="00031AE4"/>
    <w:rsid w:val="00031C77"/>
    <w:rsid w:val="00031D67"/>
    <w:rsid w:val="00031FE5"/>
    <w:rsid w:val="000321CC"/>
    <w:rsid w:val="000321DD"/>
    <w:rsid w:val="0003290C"/>
    <w:rsid w:val="0003341C"/>
    <w:rsid w:val="000337E6"/>
    <w:rsid w:val="000340B8"/>
    <w:rsid w:val="00034288"/>
    <w:rsid w:val="000349F7"/>
    <w:rsid w:val="00034D8C"/>
    <w:rsid w:val="0003531E"/>
    <w:rsid w:val="00035E58"/>
    <w:rsid w:val="000361AE"/>
    <w:rsid w:val="0003666B"/>
    <w:rsid w:val="000366AA"/>
    <w:rsid w:val="00036AEA"/>
    <w:rsid w:val="00036F21"/>
    <w:rsid w:val="00037A16"/>
    <w:rsid w:val="0004004F"/>
    <w:rsid w:val="00040871"/>
    <w:rsid w:val="000410E9"/>
    <w:rsid w:val="000414A0"/>
    <w:rsid w:val="00041726"/>
    <w:rsid w:val="00041825"/>
    <w:rsid w:val="00041927"/>
    <w:rsid w:val="0004195E"/>
    <w:rsid w:val="000419A8"/>
    <w:rsid w:val="00041F3B"/>
    <w:rsid w:val="00042001"/>
    <w:rsid w:val="000425F4"/>
    <w:rsid w:val="000429B3"/>
    <w:rsid w:val="00042E20"/>
    <w:rsid w:val="0004315C"/>
    <w:rsid w:val="000436B9"/>
    <w:rsid w:val="000437A6"/>
    <w:rsid w:val="0004403F"/>
    <w:rsid w:val="00044975"/>
    <w:rsid w:val="00044A3E"/>
    <w:rsid w:val="00044D35"/>
    <w:rsid w:val="00044DD0"/>
    <w:rsid w:val="00044F43"/>
    <w:rsid w:val="000450F8"/>
    <w:rsid w:val="000457B2"/>
    <w:rsid w:val="000457FB"/>
    <w:rsid w:val="00045AAE"/>
    <w:rsid w:val="00045D6B"/>
    <w:rsid w:val="00045EDF"/>
    <w:rsid w:val="00046273"/>
    <w:rsid w:val="00046632"/>
    <w:rsid w:val="000467B3"/>
    <w:rsid w:val="00046A4D"/>
    <w:rsid w:val="0004766B"/>
    <w:rsid w:val="00047962"/>
    <w:rsid w:val="00047B21"/>
    <w:rsid w:val="00047DF1"/>
    <w:rsid w:val="000505DD"/>
    <w:rsid w:val="000507DB"/>
    <w:rsid w:val="000508F5"/>
    <w:rsid w:val="00050E5B"/>
    <w:rsid w:val="00050FB2"/>
    <w:rsid w:val="0005157E"/>
    <w:rsid w:val="000515FA"/>
    <w:rsid w:val="000516CE"/>
    <w:rsid w:val="00051740"/>
    <w:rsid w:val="00051748"/>
    <w:rsid w:val="00051872"/>
    <w:rsid w:val="0005193C"/>
    <w:rsid w:val="000519EF"/>
    <w:rsid w:val="00051AC4"/>
    <w:rsid w:val="00051B9A"/>
    <w:rsid w:val="00051C17"/>
    <w:rsid w:val="00051FB9"/>
    <w:rsid w:val="00052877"/>
    <w:rsid w:val="0005342E"/>
    <w:rsid w:val="0005343F"/>
    <w:rsid w:val="0005397F"/>
    <w:rsid w:val="00053C09"/>
    <w:rsid w:val="00053ECA"/>
    <w:rsid w:val="000548AD"/>
    <w:rsid w:val="00054B27"/>
    <w:rsid w:val="00054EDE"/>
    <w:rsid w:val="0005544B"/>
    <w:rsid w:val="000557C4"/>
    <w:rsid w:val="00055A18"/>
    <w:rsid w:val="00055E93"/>
    <w:rsid w:val="00056350"/>
    <w:rsid w:val="0005647C"/>
    <w:rsid w:val="0005670E"/>
    <w:rsid w:val="000567E6"/>
    <w:rsid w:val="000569ED"/>
    <w:rsid w:val="000569EE"/>
    <w:rsid w:val="00056AF1"/>
    <w:rsid w:val="00056CD3"/>
    <w:rsid w:val="0005746E"/>
    <w:rsid w:val="000576A7"/>
    <w:rsid w:val="000578E6"/>
    <w:rsid w:val="000579AC"/>
    <w:rsid w:val="000601E1"/>
    <w:rsid w:val="0006062B"/>
    <w:rsid w:val="000608C7"/>
    <w:rsid w:val="00060A0F"/>
    <w:rsid w:val="00060BCB"/>
    <w:rsid w:val="00060DF4"/>
    <w:rsid w:val="00060F27"/>
    <w:rsid w:val="000615BF"/>
    <w:rsid w:val="000616FD"/>
    <w:rsid w:val="00062854"/>
    <w:rsid w:val="00062A44"/>
    <w:rsid w:val="00062AF1"/>
    <w:rsid w:val="00062D2F"/>
    <w:rsid w:val="0006327F"/>
    <w:rsid w:val="0006334C"/>
    <w:rsid w:val="00063444"/>
    <w:rsid w:val="00063992"/>
    <w:rsid w:val="000641F1"/>
    <w:rsid w:val="0006471D"/>
    <w:rsid w:val="00065215"/>
    <w:rsid w:val="000657C5"/>
    <w:rsid w:val="00065D38"/>
    <w:rsid w:val="00066206"/>
    <w:rsid w:val="00066798"/>
    <w:rsid w:val="0006682E"/>
    <w:rsid w:val="0006695A"/>
    <w:rsid w:val="00066B2F"/>
    <w:rsid w:val="00066CD6"/>
    <w:rsid w:val="00066EF5"/>
    <w:rsid w:val="00067438"/>
    <w:rsid w:val="000674AF"/>
    <w:rsid w:val="000675E7"/>
    <w:rsid w:val="000676C8"/>
    <w:rsid w:val="00067842"/>
    <w:rsid w:val="0006795A"/>
    <w:rsid w:val="00067B70"/>
    <w:rsid w:val="00067C2B"/>
    <w:rsid w:val="000701BB"/>
    <w:rsid w:val="00070B14"/>
    <w:rsid w:val="00071020"/>
    <w:rsid w:val="00071051"/>
    <w:rsid w:val="0007196D"/>
    <w:rsid w:val="00071A35"/>
    <w:rsid w:val="00071CC6"/>
    <w:rsid w:val="00071E26"/>
    <w:rsid w:val="00072194"/>
    <w:rsid w:val="00072210"/>
    <w:rsid w:val="0007225A"/>
    <w:rsid w:val="00072410"/>
    <w:rsid w:val="00072E00"/>
    <w:rsid w:val="000730EB"/>
    <w:rsid w:val="00073318"/>
    <w:rsid w:val="000733D7"/>
    <w:rsid w:val="00073481"/>
    <w:rsid w:val="00073490"/>
    <w:rsid w:val="000734B9"/>
    <w:rsid w:val="00073711"/>
    <w:rsid w:val="000739F1"/>
    <w:rsid w:val="00073B31"/>
    <w:rsid w:val="00073D07"/>
    <w:rsid w:val="00073FAE"/>
    <w:rsid w:val="00074360"/>
    <w:rsid w:val="0007463A"/>
    <w:rsid w:val="000746E5"/>
    <w:rsid w:val="00074BD2"/>
    <w:rsid w:val="00074C73"/>
    <w:rsid w:val="00075721"/>
    <w:rsid w:val="00075C31"/>
    <w:rsid w:val="00075D97"/>
    <w:rsid w:val="00076198"/>
    <w:rsid w:val="000762C6"/>
    <w:rsid w:val="00076503"/>
    <w:rsid w:val="0007655A"/>
    <w:rsid w:val="00076568"/>
    <w:rsid w:val="000768C7"/>
    <w:rsid w:val="00076D69"/>
    <w:rsid w:val="0007728E"/>
    <w:rsid w:val="00077895"/>
    <w:rsid w:val="000779E8"/>
    <w:rsid w:val="00077A3C"/>
    <w:rsid w:val="0008044D"/>
    <w:rsid w:val="00080511"/>
    <w:rsid w:val="00080742"/>
    <w:rsid w:val="00080C0B"/>
    <w:rsid w:val="00080D4A"/>
    <w:rsid w:val="00080DBF"/>
    <w:rsid w:val="000810BE"/>
    <w:rsid w:val="00081500"/>
    <w:rsid w:val="00081690"/>
    <w:rsid w:val="000816A1"/>
    <w:rsid w:val="0008178F"/>
    <w:rsid w:val="00081F46"/>
    <w:rsid w:val="00082359"/>
    <w:rsid w:val="000823EC"/>
    <w:rsid w:val="00082E0B"/>
    <w:rsid w:val="00083795"/>
    <w:rsid w:val="0008397E"/>
    <w:rsid w:val="00084113"/>
    <w:rsid w:val="00084333"/>
    <w:rsid w:val="00084523"/>
    <w:rsid w:val="00084528"/>
    <w:rsid w:val="00084563"/>
    <w:rsid w:val="00084B23"/>
    <w:rsid w:val="00084E80"/>
    <w:rsid w:val="00085225"/>
    <w:rsid w:val="00085393"/>
    <w:rsid w:val="000855A7"/>
    <w:rsid w:val="000855FD"/>
    <w:rsid w:val="00085FCA"/>
    <w:rsid w:val="000863A6"/>
    <w:rsid w:val="000869C4"/>
    <w:rsid w:val="00086A55"/>
    <w:rsid w:val="00086E35"/>
    <w:rsid w:val="000872AE"/>
    <w:rsid w:val="00087483"/>
    <w:rsid w:val="00087591"/>
    <w:rsid w:val="00087F1A"/>
    <w:rsid w:val="000903A7"/>
    <w:rsid w:val="000904D3"/>
    <w:rsid w:val="00090939"/>
    <w:rsid w:val="00090AB9"/>
    <w:rsid w:val="00090B27"/>
    <w:rsid w:val="00090FB2"/>
    <w:rsid w:val="0009102D"/>
    <w:rsid w:val="00091741"/>
    <w:rsid w:val="000918D4"/>
    <w:rsid w:val="00091ABE"/>
    <w:rsid w:val="00091DAE"/>
    <w:rsid w:val="000923B0"/>
    <w:rsid w:val="00092F04"/>
    <w:rsid w:val="000933FF"/>
    <w:rsid w:val="00093548"/>
    <w:rsid w:val="00093681"/>
    <w:rsid w:val="000936A4"/>
    <w:rsid w:val="000936F4"/>
    <w:rsid w:val="0009378E"/>
    <w:rsid w:val="0009384A"/>
    <w:rsid w:val="0009395E"/>
    <w:rsid w:val="00093DB6"/>
    <w:rsid w:val="00093FB0"/>
    <w:rsid w:val="00094202"/>
    <w:rsid w:val="00094278"/>
    <w:rsid w:val="0009437D"/>
    <w:rsid w:val="0009442D"/>
    <w:rsid w:val="000946A5"/>
    <w:rsid w:val="000946C2"/>
    <w:rsid w:val="00094AF3"/>
    <w:rsid w:val="00094C1B"/>
    <w:rsid w:val="00094E38"/>
    <w:rsid w:val="00094FA9"/>
    <w:rsid w:val="000951BA"/>
    <w:rsid w:val="000953A3"/>
    <w:rsid w:val="000954F4"/>
    <w:rsid w:val="0009576E"/>
    <w:rsid w:val="0009586F"/>
    <w:rsid w:val="00095BD0"/>
    <w:rsid w:val="00095EDD"/>
    <w:rsid w:val="00095FB9"/>
    <w:rsid w:val="0009618E"/>
    <w:rsid w:val="0009642B"/>
    <w:rsid w:val="00096537"/>
    <w:rsid w:val="000966BB"/>
    <w:rsid w:val="00096703"/>
    <w:rsid w:val="0009672C"/>
    <w:rsid w:val="0009690C"/>
    <w:rsid w:val="00096973"/>
    <w:rsid w:val="00096A04"/>
    <w:rsid w:val="000977D7"/>
    <w:rsid w:val="000978E9"/>
    <w:rsid w:val="00097A8A"/>
    <w:rsid w:val="000A027B"/>
    <w:rsid w:val="000A0778"/>
    <w:rsid w:val="000A0E17"/>
    <w:rsid w:val="000A0E1D"/>
    <w:rsid w:val="000A0E38"/>
    <w:rsid w:val="000A0E8C"/>
    <w:rsid w:val="000A1733"/>
    <w:rsid w:val="000A19AB"/>
    <w:rsid w:val="000A1B99"/>
    <w:rsid w:val="000A1C07"/>
    <w:rsid w:val="000A1E0F"/>
    <w:rsid w:val="000A2224"/>
    <w:rsid w:val="000A2A22"/>
    <w:rsid w:val="000A2C57"/>
    <w:rsid w:val="000A2DBA"/>
    <w:rsid w:val="000A30DD"/>
    <w:rsid w:val="000A3400"/>
    <w:rsid w:val="000A3589"/>
    <w:rsid w:val="000A3A85"/>
    <w:rsid w:val="000A3F8C"/>
    <w:rsid w:val="000A40EF"/>
    <w:rsid w:val="000A4E31"/>
    <w:rsid w:val="000A51F4"/>
    <w:rsid w:val="000A5486"/>
    <w:rsid w:val="000A5E54"/>
    <w:rsid w:val="000A626C"/>
    <w:rsid w:val="000A6770"/>
    <w:rsid w:val="000A7257"/>
    <w:rsid w:val="000A737A"/>
    <w:rsid w:val="000A7384"/>
    <w:rsid w:val="000A73C4"/>
    <w:rsid w:val="000A742A"/>
    <w:rsid w:val="000A7614"/>
    <w:rsid w:val="000A7BED"/>
    <w:rsid w:val="000A7CE1"/>
    <w:rsid w:val="000A7E0C"/>
    <w:rsid w:val="000A7EA4"/>
    <w:rsid w:val="000B0530"/>
    <w:rsid w:val="000B0977"/>
    <w:rsid w:val="000B1480"/>
    <w:rsid w:val="000B1B81"/>
    <w:rsid w:val="000B1C6B"/>
    <w:rsid w:val="000B2939"/>
    <w:rsid w:val="000B2C53"/>
    <w:rsid w:val="000B2F8A"/>
    <w:rsid w:val="000B3201"/>
    <w:rsid w:val="000B3301"/>
    <w:rsid w:val="000B3432"/>
    <w:rsid w:val="000B3669"/>
    <w:rsid w:val="000B36F3"/>
    <w:rsid w:val="000B36FF"/>
    <w:rsid w:val="000B37A4"/>
    <w:rsid w:val="000B38B5"/>
    <w:rsid w:val="000B390E"/>
    <w:rsid w:val="000B3999"/>
    <w:rsid w:val="000B3A13"/>
    <w:rsid w:val="000B3A71"/>
    <w:rsid w:val="000B3CE5"/>
    <w:rsid w:val="000B3FFE"/>
    <w:rsid w:val="000B4507"/>
    <w:rsid w:val="000B4985"/>
    <w:rsid w:val="000B49F5"/>
    <w:rsid w:val="000B4D22"/>
    <w:rsid w:val="000B4E0D"/>
    <w:rsid w:val="000B5138"/>
    <w:rsid w:val="000B5147"/>
    <w:rsid w:val="000B53CC"/>
    <w:rsid w:val="000B5995"/>
    <w:rsid w:val="000B5E09"/>
    <w:rsid w:val="000B5E3F"/>
    <w:rsid w:val="000B60BF"/>
    <w:rsid w:val="000B699D"/>
    <w:rsid w:val="000B6CD5"/>
    <w:rsid w:val="000B6CDA"/>
    <w:rsid w:val="000B6E3F"/>
    <w:rsid w:val="000B71F5"/>
    <w:rsid w:val="000B7274"/>
    <w:rsid w:val="000B7454"/>
    <w:rsid w:val="000B7C2A"/>
    <w:rsid w:val="000B7C87"/>
    <w:rsid w:val="000B7E0C"/>
    <w:rsid w:val="000C08F2"/>
    <w:rsid w:val="000C0907"/>
    <w:rsid w:val="000C0AC4"/>
    <w:rsid w:val="000C1850"/>
    <w:rsid w:val="000C1A3A"/>
    <w:rsid w:val="000C1BF7"/>
    <w:rsid w:val="000C1DE7"/>
    <w:rsid w:val="000C2434"/>
    <w:rsid w:val="000C2A03"/>
    <w:rsid w:val="000C2DFD"/>
    <w:rsid w:val="000C3199"/>
    <w:rsid w:val="000C343D"/>
    <w:rsid w:val="000C3CEB"/>
    <w:rsid w:val="000C3CFD"/>
    <w:rsid w:val="000C4145"/>
    <w:rsid w:val="000C518E"/>
    <w:rsid w:val="000C5764"/>
    <w:rsid w:val="000C57CD"/>
    <w:rsid w:val="000C5893"/>
    <w:rsid w:val="000C5CE9"/>
    <w:rsid w:val="000C5EC3"/>
    <w:rsid w:val="000C6546"/>
    <w:rsid w:val="000C6571"/>
    <w:rsid w:val="000C69EB"/>
    <w:rsid w:val="000C6D96"/>
    <w:rsid w:val="000C70BF"/>
    <w:rsid w:val="000C7676"/>
    <w:rsid w:val="000C7853"/>
    <w:rsid w:val="000D0783"/>
    <w:rsid w:val="000D0890"/>
    <w:rsid w:val="000D0AE5"/>
    <w:rsid w:val="000D0B4F"/>
    <w:rsid w:val="000D1187"/>
    <w:rsid w:val="000D195F"/>
    <w:rsid w:val="000D1E25"/>
    <w:rsid w:val="000D2563"/>
    <w:rsid w:val="000D291C"/>
    <w:rsid w:val="000D2B75"/>
    <w:rsid w:val="000D2CF8"/>
    <w:rsid w:val="000D34B9"/>
    <w:rsid w:val="000D3EE2"/>
    <w:rsid w:val="000D42B5"/>
    <w:rsid w:val="000D4623"/>
    <w:rsid w:val="000D4995"/>
    <w:rsid w:val="000D4B9B"/>
    <w:rsid w:val="000D4F3D"/>
    <w:rsid w:val="000D54ED"/>
    <w:rsid w:val="000D56F5"/>
    <w:rsid w:val="000D5B5E"/>
    <w:rsid w:val="000D5BE5"/>
    <w:rsid w:val="000D5DAE"/>
    <w:rsid w:val="000D5FB3"/>
    <w:rsid w:val="000D6038"/>
    <w:rsid w:val="000D6946"/>
    <w:rsid w:val="000D6E47"/>
    <w:rsid w:val="000D6E78"/>
    <w:rsid w:val="000D71D5"/>
    <w:rsid w:val="000D7681"/>
    <w:rsid w:val="000E00ED"/>
    <w:rsid w:val="000E0232"/>
    <w:rsid w:val="000E0425"/>
    <w:rsid w:val="000E09BB"/>
    <w:rsid w:val="000E09C2"/>
    <w:rsid w:val="000E0EF4"/>
    <w:rsid w:val="000E11BC"/>
    <w:rsid w:val="000E11F2"/>
    <w:rsid w:val="000E1D73"/>
    <w:rsid w:val="000E2074"/>
    <w:rsid w:val="000E2132"/>
    <w:rsid w:val="000E25C5"/>
    <w:rsid w:val="000E2BEC"/>
    <w:rsid w:val="000E2E53"/>
    <w:rsid w:val="000E3411"/>
    <w:rsid w:val="000E34F3"/>
    <w:rsid w:val="000E3726"/>
    <w:rsid w:val="000E3C10"/>
    <w:rsid w:val="000E42D1"/>
    <w:rsid w:val="000E4990"/>
    <w:rsid w:val="000E4AE3"/>
    <w:rsid w:val="000E4D1C"/>
    <w:rsid w:val="000E4D6B"/>
    <w:rsid w:val="000E4EE1"/>
    <w:rsid w:val="000E510A"/>
    <w:rsid w:val="000E533C"/>
    <w:rsid w:val="000E53DE"/>
    <w:rsid w:val="000E5453"/>
    <w:rsid w:val="000E5684"/>
    <w:rsid w:val="000E585F"/>
    <w:rsid w:val="000E5C9D"/>
    <w:rsid w:val="000E5D0E"/>
    <w:rsid w:val="000E6007"/>
    <w:rsid w:val="000E66AC"/>
    <w:rsid w:val="000E66EE"/>
    <w:rsid w:val="000E6B2C"/>
    <w:rsid w:val="000E715A"/>
    <w:rsid w:val="000E7515"/>
    <w:rsid w:val="000E7B73"/>
    <w:rsid w:val="000E7CA1"/>
    <w:rsid w:val="000F00C6"/>
    <w:rsid w:val="000F014A"/>
    <w:rsid w:val="000F050F"/>
    <w:rsid w:val="000F0580"/>
    <w:rsid w:val="000F1148"/>
    <w:rsid w:val="000F12C7"/>
    <w:rsid w:val="000F1861"/>
    <w:rsid w:val="000F1BC5"/>
    <w:rsid w:val="000F1E79"/>
    <w:rsid w:val="000F21AC"/>
    <w:rsid w:val="000F233A"/>
    <w:rsid w:val="000F2931"/>
    <w:rsid w:val="000F2D55"/>
    <w:rsid w:val="000F3690"/>
    <w:rsid w:val="000F4111"/>
    <w:rsid w:val="000F41BF"/>
    <w:rsid w:val="000F4232"/>
    <w:rsid w:val="000F4A00"/>
    <w:rsid w:val="000F4B2E"/>
    <w:rsid w:val="000F4C8F"/>
    <w:rsid w:val="000F4E80"/>
    <w:rsid w:val="000F530E"/>
    <w:rsid w:val="000F62B6"/>
    <w:rsid w:val="000F6564"/>
    <w:rsid w:val="000F6621"/>
    <w:rsid w:val="000F6D1C"/>
    <w:rsid w:val="000F6DFC"/>
    <w:rsid w:val="000F7297"/>
    <w:rsid w:val="000F74EC"/>
    <w:rsid w:val="000F7F36"/>
    <w:rsid w:val="00100359"/>
    <w:rsid w:val="001004ED"/>
    <w:rsid w:val="001006D4"/>
    <w:rsid w:val="001017BE"/>
    <w:rsid w:val="00101C75"/>
    <w:rsid w:val="00101F06"/>
    <w:rsid w:val="00102352"/>
    <w:rsid w:val="00102441"/>
    <w:rsid w:val="00102F0C"/>
    <w:rsid w:val="0010402A"/>
    <w:rsid w:val="00104533"/>
    <w:rsid w:val="0010475B"/>
    <w:rsid w:val="00104B2E"/>
    <w:rsid w:val="00104B8A"/>
    <w:rsid w:val="00104EEA"/>
    <w:rsid w:val="00105667"/>
    <w:rsid w:val="00105786"/>
    <w:rsid w:val="0010591C"/>
    <w:rsid w:val="00105ACC"/>
    <w:rsid w:val="00105B27"/>
    <w:rsid w:val="00105FA7"/>
    <w:rsid w:val="00106281"/>
    <w:rsid w:val="00106596"/>
    <w:rsid w:val="0010659D"/>
    <w:rsid w:val="001065B5"/>
    <w:rsid w:val="001071F4"/>
    <w:rsid w:val="00107A1B"/>
    <w:rsid w:val="00107B8A"/>
    <w:rsid w:val="0011064D"/>
    <w:rsid w:val="00110789"/>
    <w:rsid w:val="00110846"/>
    <w:rsid w:val="00110A85"/>
    <w:rsid w:val="00110C72"/>
    <w:rsid w:val="00110DB8"/>
    <w:rsid w:val="00111504"/>
    <w:rsid w:val="0011158B"/>
    <w:rsid w:val="0011177C"/>
    <w:rsid w:val="001117D0"/>
    <w:rsid w:val="001117DA"/>
    <w:rsid w:val="001119E9"/>
    <w:rsid w:val="001127FC"/>
    <w:rsid w:val="00112E51"/>
    <w:rsid w:val="00112E9C"/>
    <w:rsid w:val="00112F0B"/>
    <w:rsid w:val="00113140"/>
    <w:rsid w:val="00113733"/>
    <w:rsid w:val="0011382E"/>
    <w:rsid w:val="00113954"/>
    <w:rsid w:val="00113D53"/>
    <w:rsid w:val="00113DB3"/>
    <w:rsid w:val="00113FA8"/>
    <w:rsid w:val="00114323"/>
    <w:rsid w:val="00114513"/>
    <w:rsid w:val="00114563"/>
    <w:rsid w:val="00114698"/>
    <w:rsid w:val="001147AF"/>
    <w:rsid w:val="00114C7F"/>
    <w:rsid w:val="00114FB0"/>
    <w:rsid w:val="001154CE"/>
    <w:rsid w:val="001156C5"/>
    <w:rsid w:val="001158C9"/>
    <w:rsid w:val="001159F4"/>
    <w:rsid w:val="001161BD"/>
    <w:rsid w:val="001161EA"/>
    <w:rsid w:val="00116309"/>
    <w:rsid w:val="00116519"/>
    <w:rsid w:val="00116F9B"/>
    <w:rsid w:val="001176FF"/>
    <w:rsid w:val="00117E64"/>
    <w:rsid w:val="0012004E"/>
    <w:rsid w:val="001200E0"/>
    <w:rsid w:val="001202AF"/>
    <w:rsid w:val="00120C7E"/>
    <w:rsid w:val="001212E4"/>
    <w:rsid w:val="00121442"/>
    <w:rsid w:val="00121756"/>
    <w:rsid w:val="0012176C"/>
    <w:rsid w:val="00121D3D"/>
    <w:rsid w:val="00121FB6"/>
    <w:rsid w:val="001222DF"/>
    <w:rsid w:val="00122500"/>
    <w:rsid w:val="00122538"/>
    <w:rsid w:val="00122C2F"/>
    <w:rsid w:val="00123245"/>
    <w:rsid w:val="00123472"/>
    <w:rsid w:val="00123835"/>
    <w:rsid w:val="00123BFB"/>
    <w:rsid w:val="00123E97"/>
    <w:rsid w:val="00123EA8"/>
    <w:rsid w:val="00124041"/>
    <w:rsid w:val="00124C22"/>
    <w:rsid w:val="0012586A"/>
    <w:rsid w:val="00126043"/>
    <w:rsid w:val="001260A2"/>
    <w:rsid w:val="00126250"/>
    <w:rsid w:val="0012645C"/>
    <w:rsid w:val="0012671B"/>
    <w:rsid w:val="00126B47"/>
    <w:rsid w:val="00126D0C"/>
    <w:rsid w:val="00126D1C"/>
    <w:rsid w:val="00127298"/>
    <w:rsid w:val="00127522"/>
    <w:rsid w:val="001275BF"/>
    <w:rsid w:val="00127610"/>
    <w:rsid w:val="001277D6"/>
    <w:rsid w:val="00130105"/>
    <w:rsid w:val="00130807"/>
    <w:rsid w:val="00130B5B"/>
    <w:rsid w:val="00130C31"/>
    <w:rsid w:val="00130DAB"/>
    <w:rsid w:val="00130DAC"/>
    <w:rsid w:val="00130DF4"/>
    <w:rsid w:val="00130E93"/>
    <w:rsid w:val="0013140E"/>
    <w:rsid w:val="001319A6"/>
    <w:rsid w:val="00131CD9"/>
    <w:rsid w:val="001322FD"/>
    <w:rsid w:val="00132529"/>
    <w:rsid w:val="001325B7"/>
    <w:rsid w:val="001326D3"/>
    <w:rsid w:val="00132781"/>
    <w:rsid w:val="001329AC"/>
    <w:rsid w:val="00132B9A"/>
    <w:rsid w:val="00132C03"/>
    <w:rsid w:val="00133335"/>
    <w:rsid w:val="00133401"/>
    <w:rsid w:val="00133572"/>
    <w:rsid w:val="00133A2E"/>
    <w:rsid w:val="00133B0F"/>
    <w:rsid w:val="001343BD"/>
    <w:rsid w:val="00134664"/>
    <w:rsid w:val="00134883"/>
    <w:rsid w:val="00134914"/>
    <w:rsid w:val="00134ADD"/>
    <w:rsid w:val="00135236"/>
    <w:rsid w:val="001355C4"/>
    <w:rsid w:val="00135720"/>
    <w:rsid w:val="00135B73"/>
    <w:rsid w:val="00136C1A"/>
    <w:rsid w:val="00136E88"/>
    <w:rsid w:val="00137025"/>
    <w:rsid w:val="001372A4"/>
    <w:rsid w:val="00137357"/>
    <w:rsid w:val="00137489"/>
    <w:rsid w:val="001374BB"/>
    <w:rsid w:val="0013786E"/>
    <w:rsid w:val="00137E48"/>
    <w:rsid w:val="001404A6"/>
    <w:rsid w:val="0014090E"/>
    <w:rsid w:val="00140D2A"/>
    <w:rsid w:val="001414A1"/>
    <w:rsid w:val="001414BB"/>
    <w:rsid w:val="0014159A"/>
    <w:rsid w:val="001415F4"/>
    <w:rsid w:val="00141675"/>
    <w:rsid w:val="0014189E"/>
    <w:rsid w:val="0014196C"/>
    <w:rsid w:val="00141D61"/>
    <w:rsid w:val="00141F91"/>
    <w:rsid w:val="0014243D"/>
    <w:rsid w:val="001426EE"/>
    <w:rsid w:val="001428F5"/>
    <w:rsid w:val="0014291C"/>
    <w:rsid w:val="00142954"/>
    <w:rsid w:val="00142FA7"/>
    <w:rsid w:val="001430C2"/>
    <w:rsid w:val="00143201"/>
    <w:rsid w:val="00143610"/>
    <w:rsid w:val="0014381C"/>
    <w:rsid w:val="00143B6E"/>
    <w:rsid w:val="00144046"/>
    <w:rsid w:val="00144162"/>
    <w:rsid w:val="0014429B"/>
    <w:rsid w:val="00144513"/>
    <w:rsid w:val="001446EF"/>
    <w:rsid w:val="00144C8C"/>
    <w:rsid w:val="001450ED"/>
    <w:rsid w:val="001452E5"/>
    <w:rsid w:val="00145488"/>
    <w:rsid w:val="00145D8B"/>
    <w:rsid w:val="00145EFE"/>
    <w:rsid w:val="00146208"/>
    <w:rsid w:val="00146371"/>
    <w:rsid w:val="00146594"/>
    <w:rsid w:val="00146919"/>
    <w:rsid w:val="00147B8F"/>
    <w:rsid w:val="00150B12"/>
    <w:rsid w:val="00150B13"/>
    <w:rsid w:val="00150B9E"/>
    <w:rsid w:val="00150C14"/>
    <w:rsid w:val="00150D37"/>
    <w:rsid w:val="00150D9E"/>
    <w:rsid w:val="00150DC0"/>
    <w:rsid w:val="00150E78"/>
    <w:rsid w:val="00151502"/>
    <w:rsid w:val="00151A3B"/>
    <w:rsid w:val="00151FFA"/>
    <w:rsid w:val="001520DF"/>
    <w:rsid w:val="00152447"/>
    <w:rsid w:val="001526A8"/>
    <w:rsid w:val="00152BA1"/>
    <w:rsid w:val="0015325F"/>
    <w:rsid w:val="00153392"/>
    <w:rsid w:val="00153978"/>
    <w:rsid w:val="001539E1"/>
    <w:rsid w:val="00153A78"/>
    <w:rsid w:val="00153BD6"/>
    <w:rsid w:val="00154166"/>
    <w:rsid w:val="0015428A"/>
    <w:rsid w:val="0015444D"/>
    <w:rsid w:val="00154A27"/>
    <w:rsid w:val="00154E4C"/>
    <w:rsid w:val="00155A32"/>
    <w:rsid w:val="00155B84"/>
    <w:rsid w:val="00155E79"/>
    <w:rsid w:val="00156050"/>
    <w:rsid w:val="00156433"/>
    <w:rsid w:val="00156588"/>
    <w:rsid w:val="0015666A"/>
    <w:rsid w:val="00156952"/>
    <w:rsid w:val="00157114"/>
    <w:rsid w:val="00157454"/>
    <w:rsid w:val="001578D1"/>
    <w:rsid w:val="00157A40"/>
    <w:rsid w:val="00157AF4"/>
    <w:rsid w:val="00157F2A"/>
    <w:rsid w:val="00157F37"/>
    <w:rsid w:val="00157F38"/>
    <w:rsid w:val="00157F64"/>
    <w:rsid w:val="00160093"/>
    <w:rsid w:val="00160350"/>
    <w:rsid w:val="00160611"/>
    <w:rsid w:val="001609B0"/>
    <w:rsid w:val="00160B07"/>
    <w:rsid w:val="00160CE8"/>
    <w:rsid w:val="00160FD4"/>
    <w:rsid w:val="00161785"/>
    <w:rsid w:val="00161797"/>
    <w:rsid w:val="001619D2"/>
    <w:rsid w:val="00161CE2"/>
    <w:rsid w:val="00161CE8"/>
    <w:rsid w:val="00161E0C"/>
    <w:rsid w:val="00161E24"/>
    <w:rsid w:val="00161EFD"/>
    <w:rsid w:val="00162190"/>
    <w:rsid w:val="001626E3"/>
    <w:rsid w:val="00162994"/>
    <w:rsid w:val="00162C3B"/>
    <w:rsid w:val="00162F98"/>
    <w:rsid w:val="0016366A"/>
    <w:rsid w:val="00163769"/>
    <w:rsid w:val="001646F3"/>
    <w:rsid w:val="00165A9F"/>
    <w:rsid w:val="00165D7E"/>
    <w:rsid w:val="00165E57"/>
    <w:rsid w:val="00166379"/>
    <w:rsid w:val="0016641C"/>
    <w:rsid w:val="001668C4"/>
    <w:rsid w:val="00166A70"/>
    <w:rsid w:val="001677F6"/>
    <w:rsid w:val="001679C0"/>
    <w:rsid w:val="001679D9"/>
    <w:rsid w:val="00167A73"/>
    <w:rsid w:val="00167C3C"/>
    <w:rsid w:val="001705D8"/>
    <w:rsid w:val="001705D9"/>
    <w:rsid w:val="0017079C"/>
    <w:rsid w:val="00170E67"/>
    <w:rsid w:val="001718CA"/>
    <w:rsid w:val="00171B0D"/>
    <w:rsid w:val="00171C38"/>
    <w:rsid w:val="00171FF7"/>
    <w:rsid w:val="00172046"/>
    <w:rsid w:val="001721DB"/>
    <w:rsid w:val="00172264"/>
    <w:rsid w:val="001723B6"/>
    <w:rsid w:val="00172DE0"/>
    <w:rsid w:val="00172F50"/>
    <w:rsid w:val="001731D9"/>
    <w:rsid w:val="0017321A"/>
    <w:rsid w:val="00173437"/>
    <w:rsid w:val="00173649"/>
    <w:rsid w:val="001736C3"/>
    <w:rsid w:val="00173A0A"/>
    <w:rsid w:val="00173A4D"/>
    <w:rsid w:val="00173C68"/>
    <w:rsid w:val="00173D43"/>
    <w:rsid w:val="00173E1B"/>
    <w:rsid w:val="00173EDE"/>
    <w:rsid w:val="00174139"/>
    <w:rsid w:val="00174230"/>
    <w:rsid w:val="00174A46"/>
    <w:rsid w:val="00175083"/>
    <w:rsid w:val="00175986"/>
    <w:rsid w:val="00175ADE"/>
    <w:rsid w:val="00175B0F"/>
    <w:rsid w:val="00175F62"/>
    <w:rsid w:val="0017614F"/>
    <w:rsid w:val="00176243"/>
    <w:rsid w:val="00176562"/>
    <w:rsid w:val="00176709"/>
    <w:rsid w:val="001769BC"/>
    <w:rsid w:val="00176A11"/>
    <w:rsid w:val="00176E12"/>
    <w:rsid w:val="00176F68"/>
    <w:rsid w:val="00176FE7"/>
    <w:rsid w:val="0017724C"/>
    <w:rsid w:val="001774F4"/>
    <w:rsid w:val="00177590"/>
    <w:rsid w:val="0017790F"/>
    <w:rsid w:val="0017791A"/>
    <w:rsid w:val="00177955"/>
    <w:rsid w:val="00177976"/>
    <w:rsid w:val="00180837"/>
    <w:rsid w:val="00180FFC"/>
    <w:rsid w:val="0018112E"/>
    <w:rsid w:val="00181337"/>
    <w:rsid w:val="001816DE"/>
    <w:rsid w:val="00181912"/>
    <w:rsid w:val="00181EE5"/>
    <w:rsid w:val="00181FE5"/>
    <w:rsid w:val="0018203A"/>
    <w:rsid w:val="0018206D"/>
    <w:rsid w:val="001820F5"/>
    <w:rsid w:val="001821F5"/>
    <w:rsid w:val="00182319"/>
    <w:rsid w:val="00182778"/>
    <w:rsid w:val="00182D1B"/>
    <w:rsid w:val="001834F3"/>
    <w:rsid w:val="001836A6"/>
    <w:rsid w:val="00183719"/>
    <w:rsid w:val="0018380D"/>
    <w:rsid w:val="00183900"/>
    <w:rsid w:val="001839A0"/>
    <w:rsid w:val="00183B28"/>
    <w:rsid w:val="00183BB6"/>
    <w:rsid w:val="00184678"/>
    <w:rsid w:val="001848EC"/>
    <w:rsid w:val="00184D73"/>
    <w:rsid w:val="00184E11"/>
    <w:rsid w:val="001855BD"/>
    <w:rsid w:val="00185612"/>
    <w:rsid w:val="00185E39"/>
    <w:rsid w:val="00185FB3"/>
    <w:rsid w:val="0018639A"/>
    <w:rsid w:val="001866B9"/>
    <w:rsid w:val="001868B8"/>
    <w:rsid w:val="001868FE"/>
    <w:rsid w:val="00186997"/>
    <w:rsid w:val="00186A7E"/>
    <w:rsid w:val="00186E0C"/>
    <w:rsid w:val="001873F7"/>
    <w:rsid w:val="0018770C"/>
    <w:rsid w:val="00187F79"/>
    <w:rsid w:val="00190480"/>
    <w:rsid w:val="001906BC"/>
    <w:rsid w:val="00190709"/>
    <w:rsid w:val="00190727"/>
    <w:rsid w:val="00190B24"/>
    <w:rsid w:val="00190C72"/>
    <w:rsid w:val="00190F94"/>
    <w:rsid w:val="00190FAD"/>
    <w:rsid w:val="00191077"/>
    <w:rsid w:val="00191078"/>
    <w:rsid w:val="00191121"/>
    <w:rsid w:val="00191562"/>
    <w:rsid w:val="001915D2"/>
    <w:rsid w:val="00191649"/>
    <w:rsid w:val="00191A54"/>
    <w:rsid w:val="00191E17"/>
    <w:rsid w:val="001921D6"/>
    <w:rsid w:val="001923FE"/>
    <w:rsid w:val="0019244E"/>
    <w:rsid w:val="00192AC8"/>
    <w:rsid w:val="00192D4B"/>
    <w:rsid w:val="0019311C"/>
    <w:rsid w:val="001935AD"/>
    <w:rsid w:val="00193D2F"/>
    <w:rsid w:val="001940F6"/>
    <w:rsid w:val="001946CE"/>
    <w:rsid w:val="00194BEF"/>
    <w:rsid w:val="00195383"/>
    <w:rsid w:val="0019541C"/>
    <w:rsid w:val="001956A8"/>
    <w:rsid w:val="00195827"/>
    <w:rsid w:val="00195866"/>
    <w:rsid w:val="00195D0A"/>
    <w:rsid w:val="00195FC9"/>
    <w:rsid w:val="001961F9"/>
    <w:rsid w:val="00196606"/>
    <w:rsid w:val="0019668C"/>
    <w:rsid w:val="00196BAC"/>
    <w:rsid w:val="00196FE1"/>
    <w:rsid w:val="0019720D"/>
    <w:rsid w:val="001973CF"/>
    <w:rsid w:val="00197A6D"/>
    <w:rsid w:val="00197F9B"/>
    <w:rsid w:val="00197FE4"/>
    <w:rsid w:val="001A0404"/>
    <w:rsid w:val="001A0641"/>
    <w:rsid w:val="001A0C24"/>
    <w:rsid w:val="001A11B2"/>
    <w:rsid w:val="001A1CE0"/>
    <w:rsid w:val="001A201D"/>
    <w:rsid w:val="001A29FF"/>
    <w:rsid w:val="001A2CA7"/>
    <w:rsid w:val="001A2EEE"/>
    <w:rsid w:val="001A30AE"/>
    <w:rsid w:val="001A3105"/>
    <w:rsid w:val="001A3421"/>
    <w:rsid w:val="001A3628"/>
    <w:rsid w:val="001A3682"/>
    <w:rsid w:val="001A37D8"/>
    <w:rsid w:val="001A3EE9"/>
    <w:rsid w:val="001A4011"/>
    <w:rsid w:val="001A4168"/>
    <w:rsid w:val="001A4313"/>
    <w:rsid w:val="001A43CA"/>
    <w:rsid w:val="001A4634"/>
    <w:rsid w:val="001A4807"/>
    <w:rsid w:val="001A4E64"/>
    <w:rsid w:val="001A5411"/>
    <w:rsid w:val="001A5B38"/>
    <w:rsid w:val="001A5BAE"/>
    <w:rsid w:val="001A5CD2"/>
    <w:rsid w:val="001A5DDD"/>
    <w:rsid w:val="001A5F48"/>
    <w:rsid w:val="001A629E"/>
    <w:rsid w:val="001A66A6"/>
    <w:rsid w:val="001A6BD9"/>
    <w:rsid w:val="001A6CC7"/>
    <w:rsid w:val="001A6E8B"/>
    <w:rsid w:val="001A7050"/>
    <w:rsid w:val="001A71B6"/>
    <w:rsid w:val="001A7447"/>
    <w:rsid w:val="001A7740"/>
    <w:rsid w:val="001A7BD7"/>
    <w:rsid w:val="001B033F"/>
    <w:rsid w:val="001B0425"/>
    <w:rsid w:val="001B09AB"/>
    <w:rsid w:val="001B0D5F"/>
    <w:rsid w:val="001B0E96"/>
    <w:rsid w:val="001B0E9A"/>
    <w:rsid w:val="001B1042"/>
    <w:rsid w:val="001B148B"/>
    <w:rsid w:val="001B19FE"/>
    <w:rsid w:val="001B1B8A"/>
    <w:rsid w:val="001B1FD0"/>
    <w:rsid w:val="001B23DC"/>
    <w:rsid w:val="001B2CD0"/>
    <w:rsid w:val="001B3291"/>
    <w:rsid w:val="001B3310"/>
    <w:rsid w:val="001B368F"/>
    <w:rsid w:val="001B3714"/>
    <w:rsid w:val="001B45CF"/>
    <w:rsid w:val="001B4787"/>
    <w:rsid w:val="001B4D99"/>
    <w:rsid w:val="001B547F"/>
    <w:rsid w:val="001B5895"/>
    <w:rsid w:val="001B5B1B"/>
    <w:rsid w:val="001B5DBD"/>
    <w:rsid w:val="001B6035"/>
    <w:rsid w:val="001B615B"/>
    <w:rsid w:val="001B6A1D"/>
    <w:rsid w:val="001B6BD1"/>
    <w:rsid w:val="001B7056"/>
    <w:rsid w:val="001B7308"/>
    <w:rsid w:val="001B7443"/>
    <w:rsid w:val="001B7590"/>
    <w:rsid w:val="001B7848"/>
    <w:rsid w:val="001B7E49"/>
    <w:rsid w:val="001B7F77"/>
    <w:rsid w:val="001C009D"/>
    <w:rsid w:val="001C0699"/>
    <w:rsid w:val="001C083C"/>
    <w:rsid w:val="001C1447"/>
    <w:rsid w:val="001C149F"/>
    <w:rsid w:val="001C15FA"/>
    <w:rsid w:val="001C25C2"/>
    <w:rsid w:val="001C299C"/>
    <w:rsid w:val="001C2D9C"/>
    <w:rsid w:val="001C2E8F"/>
    <w:rsid w:val="001C2F21"/>
    <w:rsid w:val="001C2FB3"/>
    <w:rsid w:val="001C360C"/>
    <w:rsid w:val="001C3842"/>
    <w:rsid w:val="001C3DFD"/>
    <w:rsid w:val="001C3F2A"/>
    <w:rsid w:val="001C4159"/>
    <w:rsid w:val="001C44EB"/>
    <w:rsid w:val="001C4577"/>
    <w:rsid w:val="001C4581"/>
    <w:rsid w:val="001C48E4"/>
    <w:rsid w:val="001C4F93"/>
    <w:rsid w:val="001C5292"/>
    <w:rsid w:val="001C56B5"/>
    <w:rsid w:val="001C5F7D"/>
    <w:rsid w:val="001C64FC"/>
    <w:rsid w:val="001C663E"/>
    <w:rsid w:val="001C66E4"/>
    <w:rsid w:val="001C6EFF"/>
    <w:rsid w:val="001C7961"/>
    <w:rsid w:val="001D0023"/>
    <w:rsid w:val="001D0083"/>
    <w:rsid w:val="001D010C"/>
    <w:rsid w:val="001D0492"/>
    <w:rsid w:val="001D0688"/>
    <w:rsid w:val="001D0997"/>
    <w:rsid w:val="001D0A07"/>
    <w:rsid w:val="001D1457"/>
    <w:rsid w:val="001D18A8"/>
    <w:rsid w:val="001D1DD5"/>
    <w:rsid w:val="001D1FAD"/>
    <w:rsid w:val="001D2089"/>
    <w:rsid w:val="001D2277"/>
    <w:rsid w:val="001D2562"/>
    <w:rsid w:val="001D29AF"/>
    <w:rsid w:val="001D2D03"/>
    <w:rsid w:val="001D2E07"/>
    <w:rsid w:val="001D30A0"/>
    <w:rsid w:val="001D3B59"/>
    <w:rsid w:val="001D3D40"/>
    <w:rsid w:val="001D4449"/>
    <w:rsid w:val="001D482B"/>
    <w:rsid w:val="001D4961"/>
    <w:rsid w:val="001D4CCB"/>
    <w:rsid w:val="001D4DAF"/>
    <w:rsid w:val="001D4DC0"/>
    <w:rsid w:val="001D5094"/>
    <w:rsid w:val="001D542F"/>
    <w:rsid w:val="001D5980"/>
    <w:rsid w:val="001D601A"/>
    <w:rsid w:val="001D6661"/>
    <w:rsid w:val="001D667D"/>
    <w:rsid w:val="001D67BC"/>
    <w:rsid w:val="001D6EA1"/>
    <w:rsid w:val="001D6EC9"/>
    <w:rsid w:val="001D737B"/>
    <w:rsid w:val="001D7540"/>
    <w:rsid w:val="001D7A9E"/>
    <w:rsid w:val="001D7ED5"/>
    <w:rsid w:val="001E061B"/>
    <w:rsid w:val="001E0992"/>
    <w:rsid w:val="001E0AC1"/>
    <w:rsid w:val="001E0BC0"/>
    <w:rsid w:val="001E0E13"/>
    <w:rsid w:val="001E10EB"/>
    <w:rsid w:val="001E1579"/>
    <w:rsid w:val="001E1949"/>
    <w:rsid w:val="001E1A26"/>
    <w:rsid w:val="001E1AC4"/>
    <w:rsid w:val="001E1D37"/>
    <w:rsid w:val="001E1E46"/>
    <w:rsid w:val="001E21D2"/>
    <w:rsid w:val="001E2352"/>
    <w:rsid w:val="001E2814"/>
    <w:rsid w:val="001E2A8A"/>
    <w:rsid w:val="001E2F7D"/>
    <w:rsid w:val="001E34EA"/>
    <w:rsid w:val="001E3DA6"/>
    <w:rsid w:val="001E4064"/>
    <w:rsid w:val="001E42C2"/>
    <w:rsid w:val="001E4513"/>
    <w:rsid w:val="001E4E45"/>
    <w:rsid w:val="001E500E"/>
    <w:rsid w:val="001E5151"/>
    <w:rsid w:val="001E5426"/>
    <w:rsid w:val="001E599D"/>
    <w:rsid w:val="001E5B30"/>
    <w:rsid w:val="001E5FCA"/>
    <w:rsid w:val="001E627E"/>
    <w:rsid w:val="001E64FF"/>
    <w:rsid w:val="001E6535"/>
    <w:rsid w:val="001E65F7"/>
    <w:rsid w:val="001E66D3"/>
    <w:rsid w:val="001E694F"/>
    <w:rsid w:val="001E6CBD"/>
    <w:rsid w:val="001E70D3"/>
    <w:rsid w:val="001E7ED3"/>
    <w:rsid w:val="001E7F73"/>
    <w:rsid w:val="001E7FD9"/>
    <w:rsid w:val="001F0125"/>
    <w:rsid w:val="001F0420"/>
    <w:rsid w:val="001F058A"/>
    <w:rsid w:val="001F06B5"/>
    <w:rsid w:val="001F09D8"/>
    <w:rsid w:val="001F0A36"/>
    <w:rsid w:val="001F0E32"/>
    <w:rsid w:val="001F1562"/>
    <w:rsid w:val="001F177E"/>
    <w:rsid w:val="001F18ED"/>
    <w:rsid w:val="001F19A2"/>
    <w:rsid w:val="001F1CFF"/>
    <w:rsid w:val="001F1EFA"/>
    <w:rsid w:val="001F27C0"/>
    <w:rsid w:val="001F2925"/>
    <w:rsid w:val="001F2A66"/>
    <w:rsid w:val="001F2AC2"/>
    <w:rsid w:val="001F2F24"/>
    <w:rsid w:val="001F3450"/>
    <w:rsid w:val="001F35CD"/>
    <w:rsid w:val="001F369A"/>
    <w:rsid w:val="001F38C8"/>
    <w:rsid w:val="001F3B96"/>
    <w:rsid w:val="001F3C96"/>
    <w:rsid w:val="001F3ECC"/>
    <w:rsid w:val="001F4072"/>
    <w:rsid w:val="001F416A"/>
    <w:rsid w:val="001F48A7"/>
    <w:rsid w:val="001F4A58"/>
    <w:rsid w:val="001F4CD6"/>
    <w:rsid w:val="001F4EAA"/>
    <w:rsid w:val="001F4EC3"/>
    <w:rsid w:val="001F4FC7"/>
    <w:rsid w:val="001F5223"/>
    <w:rsid w:val="001F565C"/>
    <w:rsid w:val="001F5923"/>
    <w:rsid w:val="001F5989"/>
    <w:rsid w:val="001F5C41"/>
    <w:rsid w:val="001F5E27"/>
    <w:rsid w:val="001F5E2F"/>
    <w:rsid w:val="001F5F78"/>
    <w:rsid w:val="001F62BA"/>
    <w:rsid w:val="001F65A3"/>
    <w:rsid w:val="001F69BD"/>
    <w:rsid w:val="001F6BB7"/>
    <w:rsid w:val="001F7057"/>
    <w:rsid w:val="001F7344"/>
    <w:rsid w:val="001F735F"/>
    <w:rsid w:val="001F7555"/>
    <w:rsid w:val="001F7A4D"/>
    <w:rsid w:val="00200023"/>
    <w:rsid w:val="0020010B"/>
    <w:rsid w:val="0020030E"/>
    <w:rsid w:val="00200438"/>
    <w:rsid w:val="0020051C"/>
    <w:rsid w:val="00200D13"/>
    <w:rsid w:val="0020103F"/>
    <w:rsid w:val="002011F1"/>
    <w:rsid w:val="00201457"/>
    <w:rsid w:val="00201AB4"/>
    <w:rsid w:val="00201B9B"/>
    <w:rsid w:val="00201BA3"/>
    <w:rsid w:val="00201FFC"/>
    <w:rsid w:val="00202718"/>
    <w:rsid w:val="00202A2F"/>
    <w:rsid w:val="00202BDE"/>
    <w:rsid w:val="00202F48"/>
    <w:rsid w:val="00203127"/>
    <w:rsid w:val="002031E1"/>
    <w:rsid w:val="002036CE"/>
    <w:rsid w:val="00203B25"/>
    <w:rsid w:val="00203BF4"/>
    <w:rsid w:val="00203D1F"/>
    <w:rsid w:val="0020470E"/>
    <w:rsid w:val="0020499D"/>
    <w:rsid w:val="00204E85"/>
    <w:rsid w:val="002050D6"/>
    <w:rsid w:val="00205109"/>
    <w:rsid w:val="0020515B"/>
    <w:rsid w:val="00205717"/>
    <w:rsid w:val="00205898"/>
    <w:rsid w:val="00205963"/>
    <w:rsid w:val="00205A02"/>
    <w:rsid w:val="00205D5F"/>
    <w:rsid w:val="00206046"/>
    <w:rsid w:val="002063C3"/>
    <w:rsid w:val="002067BD"/>
    <w:rsid w:val="00206A11"/>
    <w:rsid w:val="00207845"/>
    <w:rsid w:val="00207D01"/>
    <w:rsid w:val="00207E5D"/>
    <w:rsid w:val="00207EE9"/>
    <w:rsid w:val="002104A9"/>
    <w:rsid w:val="00210B84"/>
    <w:rsid w:val="00210F98"/>
    <w:rsid w:val="00211631"/>
    <w:rsid w:val="00211932"/>
    <w:rsid w:val="00211B47"/>
    <w:rsid w:val="00212016"/>
    <w:rsid w:val="00212560"/>
    <w:rsid w:val="002125AD"/>
    <w:rsid w:val="002129EC"/>
    <w:rsid w:val="00212A56"/>
    <w:rsid w:val="00212C6D"/>
    <w:rsid w:val="00212D65"/>
    <w:rsid w:val="002130C8"/>
    <w:rsid w:val="00213194"/>
    <w:rsid w:val="002132BA"/>
    <w:rsid w:val="00213588"/>
    <w:rsid w:val="00213B04"/>
    <w:rsid w:val="00213EB1"/>
    <w:rsid w:val="00213EF9"/>
    <w:rsid w:val="0021486B"/>
    <w:rsid w:val="00214E4D"/>
    <w:rsid w:val="00215958"/>
    <w:rsid w:val="002159A9"/>
    <w:rsid w:val="00215B84"/>
    <w:rsid w:val="00215D3B"/>
    <w:rsid w:val="00215D6F"/>
    <w:rsid w:val="00215FB4"/>
    <w:rsid w:val="00216023"/>
    <w:rsid w:val="002160AC"/>
    <w:rsid w:val="00216433"/>
    <w:rsid w:val="00216B26"/>
    <w:rsid w:val="00216E70"/>
    <w:rsid w:val="002171EB"/>
    <w:rsid w:val="0021775D"/>
    <w:rsid w:val="00220150"/>
    <w:rsid w:val="00220203"/>
    <w:rsid w:val="00220588"/>
    <w:rsid w:val="00220639"/>
    <w:rsid w:val="002210E5"/>
    <w:rsid w:val="0022185B"/>
    <w:rsid w:val="00221906"/>
    <w:rsid w:val="002219A2"/>
    <w:rsid w:val="00221E7B"/>
    <w:rsid w:val="002221AD"/>
    <w:rsid w:val="002223CC"/>
    <w:rsid w:val="00223119"/>
    <w:rsid w:val="002233F3"/>
    <w:rsid w:val="00223470"/>
    <w:rsid w:val="0022432B"/>
    <w:rsid w:val="0022469D"/>
    <w:rsid w:val="00224858"/>
    <w:rsid w:val="00224E34"/>
    <w:rsid w:val="002255CD"/>
    <w:rsid w:val="002258CF"/>
    <w:rsid w:val="00225AFD"/>
    <w:rsid w:val="00225AFE"/>
    <w:rsid w:val="00225C4C"/>
    <w:rsid w:val="00226222"/>
    <w:rsid w:val="0022657A"/>
    <w:rsid w:val="00226612"/>
    <w:rsid w:val="00226761"/>
    <w:rsid w:val="002268CC"/>
    <w:rsid w:val="00226980"/>
    <w:rsid w:val="00226A5D"/>
    <w:rsid w:val="00226B47"/>
    <w:rsid w:val="00226E6B"/>
    <w:rsid w:val="00227078"/>
    <w:rsid w:val="002270A7"/>
    <w:rsid w:val="002272E6"/>
    <w:rsid w:val="002272F9"/>
    <w:rsid w:val="00227B15"/>
    <w:rsid w:val="00227C82"/>
    <w:rsid w:val="00227CC1"/>
    <w:rsid w:val="00227FA4"/>
    <w:rsid w:val="00230264"/>
    <w:rsid w:val="0023060E"/>
    <w:rsid w:val="00230B06"/>
    <w:rsid w:val="00230C8C"/>
    <w:rsid w:val="00230F02"/>
    <w:rsid w:val="00231210"/>
    <w:rsid w:val="0023129F"/>
    <w:rsid w:val="002312BD"/>
    <w:rsid w:val="002317AE"/>
    <w:rsid w:val="002317ED"/>
    <w:rsid w:val="002319B0"/>
    <w:rsid w:val="002319BA"/>
    <w:rsid w:val="002320A3"/>
    <w:rsid w:val="00232B69"/>
    <w:rsid w:val="00233171"/>
    <w:rsid w:val="002332D6"/>
    <w:rsid w:val="00233354"/>
    <w:rsid w:val="00233872"/>
    <w:rsid w:val="002339BA"/>
    <w:rsid w:val="00233A28"/>
    <w:rsid w:val="00233C0C"/>
    <w:rsid w:val="002341AE"/>
    <w:rsid w:val="00234405"/>
    <w:rsid w:val="00234725"/>
    <w:rsid w:val="00234B06"/>
    <w:rsid w:val="00234D98"/>
    <w:rsid w:val="002351A1"/>
    <w:rsid w:val="002351CF"/>
    <w:rsid w:val="00235574"/>
    <w:rsid w:val="00235BC6"/>
    <w:rsid w:val="00236A7B"/>
    <w:rsid w:val="00237583"/>
    <w:rsid w:val="00237DEE"/>
    <w:rsid w:val="00237F53"/>
    <w:rsid w:val="00240447"/>
    <w:rsid w:val="00240912"/>
    <w:rsid w:val="00240A88"/>
    <w:rsid w:val="00240B62"/>
    <w:rsid w:val="00240E4B"/>
    <w:rsid w:val="00240F07"/>
    <w:rsid w:val="0024131F"/>
    <w:rsid w:val="002415CB"/>
    <w:rsid w:val="002417AA"/>
    <w:rsid w:val="00241E7D"/>
    <w:rsid w:val="002422E5"/>
    <w:rsid w:val="002422F4"/>
    <w:rsid w:val="0024268E"/>
    <w:rsid w:val="002428B5"/>
    <w:rsid w:val="00242B16"/>
    <w:rsid w:val="00242D58"/>
    <w:rsid w:val="00242DA4"/>
    <w:rsid w:val="00242F78"/>
    <w:rsid w:val="002431A9"/>
    <w:rsid w:val="002431DF"/>
    <w:rsid w:val="00243562"/>
    <w:rsid w:val="0024357E"/>
    <w:rsid w:val="002435B7"/>
    <w:rsid w:val="002439F1"/>
    <w:rsid w:val="00243D41"/>
    <w:rsid w:val="00244283"/>
    <w:rsid w:val="00244374"/>
    <w:rsid w:val="002446D9"/>
    <w:rsid w:val="00244A26"/>
    <w:rsid w:val="00244A4B"/>
    <w:rsid w:val="00244E20"/>
    <w:rsid w:val="00244EE0"/>
    <w:rsid w:val="002450A4"/>
    <w:rsid w:val="00245753"/>
    <w:rsid w:val="0024638D"/>
    <w:rsid w:val="002463DA"/>
    <w:rsid w:val="002465CD"/>
    <w:rsid w:val="00246A13"/>
    <w:rsid w:val="00246A1B"/>
    <w:rsid w:val="00246E5A"/>
    <w:rsid w:val="002473DA"/>
    <w:rsid w:val="00247499"/>
    <w:rsid w:val="002474D6"/>
    <w:rsid w:val="002476E8"/>
    <w:rsid w:val="00247F6F"/>
    <w:rsid w:val="00250226"/>
    <w:rsid w:val="002504F3"/>
    <w:rsid w:val="0025077E"/>
    <w:rsid w:val="0025090F"/>
    <w:rsid w:val="0025094F"/>
    <w:rsid w:val="002509E5"/>
    <w:rsid w:val="00250E62"/>
    <w:rsid w:val="00250F01"/>
    <w:rsid w:val="00251766"/>
    <w:rsid w:val="00251768"/>
    <w:rsid w:val="00251A66"/>
    <w:rsid w:val="0025221D"/>
    <w:rsid w:val="002522FD"/>
    <w:rsid w:val="002529DD"/>
    <w:rsid w:val="002533BA"/>
    <w:rsid w:val="00253697"/>
    <w:rsid w:val="0025369B"/>
    <w:rsid w:val="0025371D"/>
    <w:rsid w:val="0025396C"/>
    <w:rsid w:val="002539AA"/>
    <w:rsid w:val="00253CCC"/>
    <w:rsid w:val="00253E68"/>
    <w:rsid w:val="00254628"/>
    <w:rsid w:val="00254AE8"/>
    <w:rsid w:val="00254BF2"/>
    <w:rsid w:val="00254BF9"/>
    <w:rsid w:val="00254C4E"/>
    <w:rsid w:val="00254DD4"/>
    <w:rsid w:val="00255202"/>
    <w:rsid w:val="00255431"/>
    <w:rsid w:val="002559CC"/>
    <w:rsid w:val="00255C17"/>
    <w:rsid w:val="00255DED"/>
    <w:rsid w:val="00255FDE"/>
    <w:rsid w:val="0025609F"/>
    <w:rsid w:val="002560C9"/>
    <w:rsid w:val="002563E9"/>
    <w:rsid w:val="00256C17"/>
    <w:rsid w:val="00256EB8"/>
    <w:rsid w:val="002576BF"/>
    <w:rsid w:val="00257A3F"/>
    <w:rsid w:val="00257DBC"/>
    <w:rsid w:val="00257F2D"/>
    <w:rsid w:val="00257FEC"/>
    <w:rsid w:val="0026001F"/>
    <w:rsid w:val="002607FB"/>
    <w:rsid w:val="00260B40"/>
    <w:rsid w:val="00261A47"/>
    <w:rsid w:val="00261C62"/>
    <w:rsid w:val="00261EA0"/>
    <w:rsid w:val="00261F48"/>
    <w:rsid w:val="00261FAB"/>
    <w:rsid w:val="002620B2"/>
    <w:rsid w:val="0026219A"/>
    <w:rsid w:val="00262BAF"/>
    <w:rsid w:val="00262F4F"/>
    <w:rsid w:val="002630A5"/>
    <w:rsid w:val="00263236"/>
    <w:rsid w:val="00263260"/>
    <w:rsid w:val="00263353"/>
    <w:rsid w:val="00263D2B"/>
    <w:rsid w:val="00263ED9"/>
    <w:rsid w:val="00264BD9"/>
    <w:rsid w:val="00265AB2"/>
    <w:rsid w:val="00265AEC"/>
    <w:rsid w:val="00266008"/>
    <w:rsid w:val="00266497"/>
    <w:rsid w:val="002666DD"/>
    <w:rsid w:val="002668CB"/>
    <w:rsid w:val="00266996"/>
    <w:rsid w:val="00266CDB"/>
    <w:rsid w:val="002673ED"/>
    <w:rsid w:val="0026763F"/>
    <w:rsid w:val="00267681"/>
    <w:rsid w:val="00267A2C"/>
    <w:rsid w:val="00267D1A"/>
    <w:rsid w:val="00267E55"/>
    <w:rsid w:val="0027013A"/>
    <w:rsid w:val="002701D3"/>
    <w:rsid w:val="002706A7"/>
    <w:rsid w:val="0027082F"/>
    <w:rsid w:val="0027089F"/>
    <w:rsid w:val="00270A49"/>
    <w:rsid w:val="00271083"/>
    <w:rsid w:val="0027134F"/>
    <w:rsid w:val="00271591"/>
    <w:rsid w:val="00271672"/>
    <w:rsid w:val="00271B04"/>
    <w:rsid w:val="00271D03"/>
    <w:rsid w:val="0027282B"/>
    <w:rsid w:val="002729F6"/>
    <w:rsid w:val="00272E3B"/>
    <w:rsid w:val="00272FF1"/>
    <w:rsid w:val="002732D6"/>
    <w:rsid w:val="00273365"/>
    <w:rsid w:val="002738DD"/>
    <w:rsid w:val="002743A5"/>
    <w:rsid w:val="00274657"/>
    <w:rsid w:val="0027490B"/>
    <w:rsid w:val="002751FE"/>
    <w:rsid w:val="002755FE"/>
    <w:rsid w:val="00275A5F"/>
    <w:rsid w:val="00276105"/>
    <w:rsid w:val="002761CA"/>
    <w:rsid w:val="00276206"/>
    <w:rsid w:val="002762F2"/>
    <w:rsid w:val="002765AA"/>
    <w:rsid w:val="00276667"/>
    <w:rsid w:val="002766DF"/>
    <w:rsid w:val="00276E77"/>
    <w:rsid w:val="00277577"/>
    <w:rsid w:val="002776DE"/>
    <w:rsid w:val="002779C8"/>
    <w:rsid w:val="00277AA8"/>
    <w:rsid w:val="00277BD5"/>
    <w:rsid w:val="00277EB6"/>
    <w:rsid w:val="0028004A"/>
    <w:rsid w:val="00280602"/>
    <w:rsid w:val="002807F4"/>
    <w:rsid w:val="00280BA2"/>
    <w:rsid w:val="00280CD0"/>
    <w:rsid w:val="0028168B"/>
    <w:rsid w:val="00281AAB"/>
    <w:rsid w:val="00281B31"/>
    <w:rsid w:val="00281BB2"/>
    <w:rsid w:val="00281C01"/>
    <w:rsid w:val="00281C21"/>
    <w:rsid w:val="002824CF"/>
    <w:rsid w:val="0028274F"/>
    <w:rsid w:val="002835AA"/>
    <w:rsid w:val="002838A5"/>
    <w:rsid w:val="002838FF"/>
    <w:rsid w:val="00283A3C"/>
    <w:rsid w:val="00283B97"/>
    <w:rsid w:val="00283F74"/>
    <w:rsid w:val="002843C3"/>
    <w:rsid w:val="002845F4"/>
    <w:rsid w:val="00284622"/>
    <w:rsid w:val="002847EE"/>
    <w:rsid w:val="002847F3"/>
    <w:rsid w:val="00284882"/>
    <w:rsid w:val="0028499E"/>
    <w:rsid w:val="00284A54"/>
    <w:rsid w:val="0028525C"/>
    <w:rsid w:val="002856BD"/>
    <w:rsid w:val="002856E0"/>
    <w:rsid w:val="00285FB7"/>
    <w:rsid w:val="002860B4"/>
    <w:rsid w:val="0028624C"/>
    <w:rsid w:val="002862FF"/>
    <w:rsid w:val="002865D4"/>
    <w:rsid w:val="002867F1"/>
    <w:rsid w:val="00286BA5"/>
    <w:rsid w:val="00286EB3"/>
    <w:rsid w:val="00287040"/>
    <w:rsid w:val="002878AF"/>
    <w:rsid w:val="002900DF"/>
    <w:rsid w:val="00290223"/>
    <w:rsid w:val="00290357"/>
    <w:rsid w:val="0029036B"/>
    <w:rsid w:val="00290840"/>
    <w:rsid w:val="00290C89"/>
    <w:rsid w:val="002914B2"/>
    <w:rsid w:val="00291598"/>
    <w:rsid w:val="002918D1"/>
    <w:rsid w:val="00291CA5"/>
    <w:rsid w:val="00291D2D"/>
    <w:rsid w:val="00291E5E"/>
    <w:rsid w:val="00292279"/>
    <w:rsid w:val="00292620"/>
    <w:rsid w:val="00292843"/>
    <w:rsid w:val="00292F2A"/>
    <w:rsid w:val="002930FE"/>
    <w:rsid w:val="002937FE"/>
    <w:rsid w:val="00293B87"/>
    <w:rsid w:val="00293BD7"/>
    <w:rsid w:val="00293E8E"/>
    <w:rsid w:val="002942DF"/>
    <w:rsid w:val="0029437D"/>
    <w:rsid w:val="00294731"/>
    <w:rsid w:val="00294835"/>
    <w:rsid w:val="00295197"/>
    <w:rsid w:val="002951C1"/>
    <w:rsid w:val="0029539E"/>
    <w:rsid w:val="002955E4"/>
    <w:rsid w:val="002956D7"/>
    <w:rsid w:val="00295B84"/>
    <w:rsid w:val="00295DD1"/>
    <w:rsid w:val="002966CE"/>
    <w:rsid w:val="00296995"/>
    <w:rsid w:val="00296B96"/>
    <w:rsid w:val="00296C5E"/>
    <w:rsid w:val="00296CBA"/>
    <w:rsid w:val="00296F38"/>
    <w:rsid w:val="00297046"/>
    <w:rsid w:val="00297254"/>
    <w:rsid w:val="0029773C"/>
    <w:rsid w:val="00297F4B"/>
    <w:rsid w:val="002A01C0"/>
    <w:rsid w:val="002A04A5"/>
    <w:rsid w:val="002A07D6"/>
    <w:rsid w:val="002A09B6"/>
    <w:rsid w:val="002A0A66"/>
    <w:rsid w:val="002A0C7D"/>
    <w:rsid w:val="002A0EC3"/>
    <w:rsid w:val="002A1061"/>
    <w:rsid w:val="002A1092"/>
    <w:rsid w:val="002A1C0C"/>
    <w:rsid w:val="002A1FC2"/>
    <w:rsid w:val="002A245F"/>
    <w:rsid w:val="002A252E"/>
    <w:rsid w:val="002A2777"/>
    <w:rsid w:val="002A2B13"/>
    <w:rsid w:val="002A2CCA"/>
    <w:rsid w:val="002A2D01"/>
    <w:rsid w:val="002A36AE"/>
    <w:rsid w:val="002A41AC"/>
    <w:rsid w:val="002A4237"/>
    <w:rsid w:val="002A469E"/>
    <w:rsid w:val="002A5077"/>
    <w:rsid w:val="002A55F3"/>
    <w:rsid w:val="002A5BF0"/>
    <w:rsid w:val="002A632B"/>
    <w:rsid w:val="002A638A"/>
    <w:rsid w:val="002A650A"/>
    <w:rsid w:val="002A6BCF"/>
    <w:rsid w:val="002A7303"/>
    <w:rsid w:val="002A7560"/>
    <w:rsid w:val="002A79D2"/>
    <w:rsid w:val="002A7F31"/>
    <w:rsid w:val="002A7FA2"/>
    <w:rsid w:val="002B00C7"/>
    <w:rsid w:val="002B0733"/>
    <w:rsid w:val="002B0906"/>
    <w:rsid w:val="002B0E1A"/>
    <w:rsid w:val="002B0E2A"/>
    <w:rsid w:val="002B100E"/>
    <w:rsid w:val="002B180E"/>
    <w:rsid w:val="002B1953"/>
    <w:rsid w:val="002B1B93"/>
    <w:rsid w:val="002B1CAE"/>
    <w:rsid w:val="002B1CC1"/>
    <w:rsid w:val="002B1D54"/>
    <w:rsid w:val="002B29BF"/>
    <w:rsid w:val="002B2A39"/>
    <w:rsid w:val="002B2C90"/>
    <w:rsid w:val="002B3155"/>
    <w:rsid w:val="002B3583"/>
    <w:rsid w:val="002B38A6"/>
    <w:rsid w:val="002B3DDC"/>
    <w:rsid w:val="002B401A"/>
    <w:rsid w:val="002B4086"/>
    <w:rsid w:val="002B4621"/>
    <w:rsid w:val="002B47DC"/>
    <w:rsid w:val="002B47E8"/>
    <w:rsid w:val="002B47FE"/>
    <w:rsid w:val="002B4C05"/>
    <w:rsid w:val="002B4C9F"/>
    <w:rsid w:val="002B4F15"/>
    <w:rsid w:val="002B4F9E"/>
    <w:rsid w:val="002B5D6D"/>
    <w:rsid w:val="002B5F0F"/>
    <w:rsid w:val="002B6357"/>
    <w:rsid w:val="002B64AC"/>
    <w:rsid w:val="002B673D"/>
    <w:rsid w:val="002B678A"/>
    <w:rsid w:val="002B6F49"/>
    <w:rsid w:val="002B7136"/>
    <w:rsid w:val="002B71AB"/>
    <w:rsid w:val="002B7292"/>
    <w:rsid w:val="002B75D5"/>
    <w:rsid w:val="002B776A"/>
    <w:rsid w:val="002B77F9"/>
    <w:rsid w:val="002B7ADB"/>
    <w:rsid w:val="002B7F7F"/>
    <w:rsid w:val="002C0251"/>
    <w:rsid w:val="002C033D"/>
    <w:rsid w:val="002C0720"/>
    <w:rsid w:val="002C08A7"/>
    <w:rsid w:val="002C09EF"/>
    <w:rsid w:val="002C0C89"/>
    <w:rsid w:val="002C0D15"/>
    <w:rsid w:val="002C14F6"/>
    <w:rsid w:val="002C1DAB"/>
    <w:rsid w:val="002C1F4C"/>
    <w:rsid w:val="002C20C8"/>
    <w:rsid w:val="002C2462"/>
    <w:rsid w:val="002C25BC"/>
    <w:rsid w:val="002C288F"/>
    <w:rsid w:val="002C2A37"/>
    <w:rsid w:val="002C2BC5"/>
    <w:rsid w:val="002C2CEB"/>
    <w:rsid w:val="002C2DBD"/>
    <w:rsid w:val="002C2E5B"/>
    <w:rsid w:val="002C2FAC"/>
    <w:rsid w:val="002C3B4D"/>
    <w:rsid w:val="002C407F"/>
    <w:rsid w:val="002C53A5"/>
    <w:rsid w:val="002C54FA"/>
    <w:rsid w:val="002C5CA2"/>
    <w:rsid w:val="002C5E19"/>
    <w:rsid w:val="002C5E88"/>
    <w:rsid w:val="002C6286"/>
    <w:rsid w:val="002C68E2"/>
    <w:rsid w:val="002C6D04"/>
    <w:rsid w:val="002C7092"/>
    <w:rsid w:val="002C7464"/>
    <w:rsid w:val="002C757D"/>
    <w:rsid w:val="002C7A20"/>
    <w:rsid w:val="002C7E22"/>
    <w:rsid w:val="002C7EBB"/>
    <w:rsid w:val="002C7F31"/>
    <w:rsid w:val="002C7F62"/>
    <w:rsid w:val="002D07E9"/>
    <w:rsid w:val="002D0A17"/>
    <w:rsid w:val="002D0B14"/>
    <w:rsid w:val="002D1169"/>
    <w:rsid w:val="002D1199"/>
    <w:rsid w:val="002D128F"/>
    <w:rsid w:val="002D1374"/>
    <w:rsid w:val="002D1375"/>
    <w:rsid w:val="002D1400"/>
    <w:rsid w:val="002D164B"/>
    <w:rsid w:val="002D1763"/>
    <w:rsid w:val="002D1CBC"/>
    <w:rsid w:val="002D1ED9"/>
    <w:rsid w:val="002D251F"/>
    <w:rsid w:val="002D2A8B"/>
    <w:rsid w:val="002D2BAE"/>
    <w:rsid w:val="002D324A"/>
    <w:rsid w:val="002D34A2"/>
    <w:rsid w:val="002D3577"/>
    <w:rsid w:val="002D39A2"/>
    <w:rsid w:val="002D3D17"/>
    <w:rsid w:val="002D3EE0"/>
    <w:rsid w:val="002D40B3"/>
    <w:rsid w:val="002D415E"/>
    <w:rsid w:val="002D439A"/>
    <w:rsid w:val="002D4559"/>
    <w:rsid w:val="002D4DF0"/>
    <w:rsid w:val="002D56D0"/>
    <w:rsid w:val="002D582C"/>
    <w:rsid w:val="002D5976"/>
    <w:rsid w:val="002D606C"/>
    <w:rsid w:val="002D6BFA"/>
    <w:rsid w:val="002D6C0F"/>
    <w:rsid w:val="002D71FB"/>
    <w:rsid w:val="002D7207"/>
    <w:rsid w:val="002D7777"/>
    <w:rsid w:val="002D7CAB"/>
    <w:rsid w:val="002D7F9A"/>
    <w:rsid w:val="002D7FB9"/>
    <w:rsid w:val="002E0031"/>
    <w:rsid w:val="002E03C9"/>
    <w:rsid w:val="002E0787"/>
    <w:rsid w:val="002E085E"/>
    <w:rsid w:val="002E0A74"/>
    <w:rsid w:val="002E0C43"/>
    <w:rsid w:val="002E0D79"/>
    <w:rsid w:val="002E0E9D"/>
    <w:rsid w:val="002E12E8"/>
    <w:rsid w:val="002E15A7"/>
    <w:rsid w:val="002E15D8"/>
    <w:rsid w:val="002E1851"/>
    <w:rsid w:val="002E1893"/>
    <w:rsid w:val="002E18F4"/>
    <w:rsid w:val="002E1AD1"/>
    <w:rsid w:val="002E1B8A"/>
    <w:rsid w:val="002E23D0"/>
    <w:rsid w:val="002E24A5"/>
    <w:rsid w:val="002E2AE8"/>
    <w:rsid w:val="002E2B7D"/>
    <w:rsid w:val="002E2D5B"/>
    <w:rsid w:val="002E2EBC"/>
    <w:rsid w:val="002E2F41"/>
    <w:rsid w:val="002E3036"/>
    <w:rsid w:val="002E309D"/>
    <w:rsid w:val="002E33FF"/>
    <w:rsid w:val="002E3451"/>
    <w:rsid w:val="002E35AE"/>
    <w:rsid w:val="002E3713"/>
    <w:rsid w:val="002E3783"/>
    <w:rsid w:val="002E39C0"/>
    <w:rsid w:val="002E3ED0"/>
    <w:rsid w:val="002E44CB"/>
    <w:rsid w:val="002E4507"/>
    <w:rsid w:val="002E4D7C"/>
    <w:rsid w:val="002E538F"/>
    <w:rsid w:val="002E53C3"/>
    <w:rsid w:val="002E58EC"/>
    <w:rsid w:val="002E5980"/>
    <w:rsid w:val="002E59E7"/>
    <w:rsid w:val="002E628D"/>
    <w:rsid w:val="002E6933"/>
    <w:rsid w:val="002E7064"/>
    <w:rsid w:val="002E79D4"/>
    <w:rsid w:val="002E7D06"/>
    <w:rsid w:val="002E7D21"/>
    <w:rsid w:val="002F022E"/>
    <w:rsid w:val="002F0600"/>
    <w:rsid w:val="002F097E"/>
    <w:rsid w:val="002F0D0E"/>
    <w:rsid w:val="002F0DC4"/>
    <w:rsid w:val="002F0E2B"/>
    <w:rsid w:val="002F0F6E"/>
    <w:rsid w:val="002F13E4"/>
    <w:rsid w:val="002F14DB"/>
    <w:rsid w:val="002F1613"/>
    <w:rsid w:val="002F172F"/>
    <w:rsid w:val="002F1980"/>
    <w:rsid w:val="002F1C67"/>
    <w:rsid w:val="002F2851"/>
    <w:rsid w:val="002F2C30"/>
    <w:rsid w:val="002F2E9A"/>
    <w:rsid w:val="002F2EE0"/>
    <w:rsid w:val="002F2F24"/>
    <w:rsid w:val="002F3083"/>
    <w:rsid w:val="002F31E8"/>
    <w:rsid w:val="002F331F"/>
    <w:rsid w:val="002F39E2"/>
    <w:rsid w:val="002F3B38"/>
    <w:rsid w:val="002F447C"/>
    <w:rsid w:val="002F4488"/>
    <w:rsid w:val="002F50CF"/>
    <w:rsid w:val="002F5E18"/>
    <w:rsid w:val="002F6375"/>
    <w:rsid w:val="002F65FA"/>
    <w:rsid w:val="002F6C4B"/>
    <w:rsid w:val="002F6ED8"/>
    <w:rsid w:val="002F74BD"/>
    <w:rsid w:val="002F751F"/>
    <w:rsid w:val="002F76F0"/>
    <w:rsid w:val="002F77BD"/>
    <w:rsid w:val="002F782E"/>
    <w:rsid w:val="002F79F4"/>
    <w:rsid w:val="002F79FD"/>
    <w:rsid w:val="002F7A46"/>
    <w:rsid w:val="002F7D6A"/>
    <w:rsid w:val="00300AF8"/>
    <w:rsid w:val="00300CA0"/>
    <w:rsid w:val="0030100A"/>
    <w:rsid w:val="003017A5"/>
    <w:rsid w:val="00301D29"/>
    <w:rsid w:val="00301F4E"/>
    <w:rsid w:val="0030285E"/>
    <w:rsid w:val="00302BB9"/>
    <w:rsid w:val="00302E6D"/>
    <w:rsid w:val="00303EEE"/>
    <w:rsid w:val="00304164"/>
    <w:rsid w:val="00304172"/>
    <w:rsid w:val="00304194"/>
    <w:rsid w:val="00304313"/>
    <w:rsid w:val="003045E9"/>
    <w:rsid w:val="00304B9C"/>
    <w:rsid w:val="00304C48"/>
    <w:rsid w:val="00305223"/>
    <w:rsid w:val="0030538B"/>
    <w:rsid w:val="00305806"/>
    <w:rsid w:val="00305AD3"/>
    <w:rsid w:val="00305AFA"/>
    <w:rsid w:val="00305F78"/>
    <w:rsid w:val="00306687"/>
    <w:rsid w:val="0030690F"/>
    <w:rsid w:val="00306B8C"/>
    <w:rsid w:val="00306C79"/>
    <w:rsid w:val="0030730A"/>
    <w:rsid w:val="00307DA5"/>
    <w:rsid w:val="0031001A"/>
    <w:rsid w:val="0031092F"/>
    <w:rsid w:val="00310C8C"/>
    <w:rsid w:val="003112A6"/>
    <w:rsid w:val="00311346"/>
    <w:rsid w:val="0031167F"/>
    <w:rsid w:val="00311684"/>
    <w:rsid w:val="00311C09"/>
    <w:rsid w:val="00311CD4"/>
    <w:rsid w:val="00311EFC"/>
    <w:rsid w:val="00312071"/>
    <w:rsid w:val="0031269D"/>
    <w:rsid w:val="00312ABF"/>
    <w:rsid w:val="00312CE4"/>
    <w:rsid w:val="00312DC3"/>
    <w:rsid w:val="00313349"/>
    <w:rsid w:val="00313391"/>
    <w:rsid w:val="00313723"/>
    <w:rsid w:val="00313793"/>
    <w:rsid w:val="00313A28"/>
    <w:rsid w:val="00313DB0"/>
    <w:rsid w:val="003143EB"/>
    <w:rsid w:val="0031447D"/>
    <w:rsid w:val="0031462F"/>
    <w:rsid w:val="0031466B"/>
    <w:rsid w:val="00314B06"/>
    <w:rsid w:val="0031561D"/>
    <w:rsid w:val="003156D0"/>
    <w:rsid w:val="00315735"/>
    <w:rsid w:val="00315BF2"/>
    <w:rsid w:val="00315E32"/>
    <w:rsid w:val="00315F9C"/>
    <w:rsid w:val="00316200"/>
    <w:rsid w:val="0031626B"/>
    <w:rsid w:val="00316574"/>
    <w:rsid w:val="00316675"/>
    <w:rsid w:val="003167B4"/>
    <w:rsid w:val="003168FC"/>
    <w:rsid w:val="003169EA"/>
    <w:rsid w:val="0031742D"/>
    <w:rsid w:val="003175FA"/>
    <w:rsid w:val="00317611"/>
    <w:rsid w:val="00317735"/>
    <w:rsid w:val="00317FFD"/>
    <w:rsid w:val="003202D6"/>
    <w:rsid w:val="0032051F"/>
    <w:rsid w:val="003205B9"/>
    <w:rsid w:val="003209DB"/>
    <w:rsid w:val="0032135F"/>
    <w:rsid w:val="003215C1"/>
    <w:rsid w:val="003217CA"/>
    <w:rsid w:val="00321DDF"/>
    <w:rsid w:val="003220C1"/>
    <w:rsid w:val="0032235D"/>
    <w:rsid w:val="00322485"/>
    <w:rsid w:val="00322596"/>
    <w:rsid w:val="003225D0"/>
    <w:rsid w:val="00322620"/>
    <w:rsid w:val="0032273E"/>
    <w:rsid w:val="00322D83"/>
    <w:rsid w:val="00322E8D"/>
    <w:rsid w:val="00323265"/>
    <w:rsid w:val="00323BBE"/>
    <w:rsid w:val="0032454E"/>
    <w:rsid w:val="00324B04"/>
    <w:rsid w:val="00324B7A"/>
    <w:rsid w:val="003251CE"/>
    <w:rsid w:val="003254A1"/>
    <w:rsid w:val="003257E3"/>
    <w:rsid w:val="00325AC1"/>
    <w:rsid w:val="00325B57"/>
    <w:rsid w:val="00325C19"/>
    <w:rsid w:val="00325DC0"/>
    <w:rsid w:val="003263EF"/>
    <w:rsid w:val="0032644C"/>
    <w:rsid w:val="00326527"/>
    <w:rsid w:val="00326856"/>
    <w:rsid w:val="00326924"/>
    <w:rsid w:val="00326B32"/>
    <w:rsid w:val="0032708D"/>
    <w:rsid w:val="00327096"/>
    <w:rsid w:val="00327BC9"/>
    <w:rsid w:val="003305D1"/>
    <w:rsid w:val="00330689"/>
    <w:rsid w:val="00330C60"/>
    <w:rsid w:val="00330CF8"/>
    <w:rsid w:val="00330F8C"/>
    <w:rsid w:val="00331408"/>
    <w:rsid w:val="00331645"/>
    <w:rsid w:val="003317EB"/>
    <w:rsid w:val="00331928"/>
    <w:rsid w:val="00332007"/>
    <w:rsid w:val="003327F7"/>
    <w:rsid w:val="00332970"/>
    <w:rsid w:val="00332F3E"/>
    <w:rsid w:val="00333366"/>
    <w:rsid w:val="0033376B"/>
    <w:rsid w:val="003341D4"/>
    <w:rsid w:val="0033436B"/>
    <w:rsid w:val="003343C9"/>
    <w:rsid w:val="00334415"/>
    <w:rsid w:val="00334835"/>
    <w:rsid w:val="00334AEE"/>
    <w:rsid w:val="00334C47"/>
    <w:rsid w:val="00334C7F"/>
    <w:rsid w:val="00334E9D"/>
    <w:rsid w:val="00334F33"/>
    <w:rsid w:val="00334F53"/>
    <w:rsid w:val="00335277"/>
    <w:rsid w:val="003355EF"/>
    <w:rsid w:val="00335892"/>
    <w:rsid w:val="00335999"/>
    <w:rsid w:val="00335A48"/>
    <w:rsid w:val="0033633E"/>
    <w:rsid w:val="00336557"/>
    <w:rsid w:val="00336EAF"/>
    <w:rsid w:val="003375EE"/>
    <w:rsid w:val="00337BB4"/>
    <w:rsid w:val="00337F01"/>
    <w:rsid w:val="0034028F"/>
    <w:rsid w:val="0034053F"/>
    <w:rsid w:val="00340B6B"/>
    <w:rsid w:val="00340E59"/>
    <w:rsid w:val="00341004"/>
    <w:rsid w:val="003410B4"/>
    <w:rsid w:val="00341281"/>
    <w:rsid w:val="00341292"/>
    <w:rsid w:val="003413F4"/>
    <w:rsid w:val="003419FD"/>
    <w:rsid w:val="00341BF6"/>
    <w:rsid w:val="00341F03"/>
    <w:rsid w:val="0034206E"/>
    <w:rsid w:val="003422B1"/>
    <w:rsid w:val="00342573"/>
    <w:rsid w:val="0034259F"/>
    <w:rsid w:val="00342701"/>
    <w:rsid w:val="00342803"/>
    <w:rsid w:val="0034289D"/>
    <w:rsid w:val="00342D85"/>
    <w:rsid w:val="00342E7B"/>
    <w:rsid w:val="003431AC"/>
    <w:rsid w:val="00343578"/>
    <w:rsid w:val="00343A9C"/>
    <w:rsid w:val="00343B67"/>
    <w:rsid w:val="00343FC9"/>
    <w:rsid w:val="00344413"/>
    <w:rsid w:val="00344753"/>
    <w:rsid w:val="00344D7F"/>
    <w:rsid w:val="00344FC2"/>
    <w:rsid w:val="003450AB"/>
    <w:rsid w:val="00345439"/>
    <w:rsid w:val="00345864"/>
    <w:rsid w:val="003458C5"/>
    <w:rsid w:val="00345B34"/>
    <w:rsid w:val="00345CFE"/>
    <w:rsid w:val="00346077"/>
    <w:rsid w:val="003464E0"/>
    <w:rsid w:val="003466AE"/>
    <w:rsid w:val="00346A01"/>
    <w:rsid w:val="00346E6D"/>
    <w:rsid w:val="003472D1"/>
    <w:rsid w:val="00347584"/>
    <w:rsid w:val="00347DD7"/>
    <w:rsid w:val="00350042"/>
    <w:rsid w:val="00350058"/>
    <w:rsid w:val="003501A6"/>
    <w:rsid w:val="00350243"/>
    <w:rsid w:val="003504F2"/>
    <w:rsid w:val="00350510"/>
    <w:rsid w:val="00350649"/>
    <w:rsid w:val="0035078D"/>
    <w:rsid w:val="00350DBC"/>
    <w:rsid w:val="00350E87"/>
    <w:rsid w:val="00350EAA"/>
    <w:rsid w:val="0035102F"/>
    <w:rsid w:val="0035164D"/>
    <w:rsid w:val="00351913"/>
    <w:rsid w:val="00351B95"/>
    <w:rsid w:val="00351DE4"/>
    <w:rsid w:val="003523F6"/>
    <w:rsid w:val="0035252C"/>
    <w:rsid w:val="00352701"/>
    <w:rsid w:val="003527AD"/>
    <w:rsid w:val="00352BA6"/>
    <w:rsid w:val="00353319"/>
    <w:rsid w:val="00353C90"/>
    <w:rsid w:val="00353FDE"/>
    <w:rsid w:val="003546B9"/>
    <w:rsid w:val="00354D3F"/>
    <w:rsid w:val="00354D49"/>
    <w:rsid w:val="00354DEE"/>
    <w:rsid w:val="00355476"/>
    <w:rsid w:val="00355587"/>
    <w:rsid w:val="00355877"/>
    <w:rsid w:val="00355A47"/>
    <w:rsid w:val="00356132"/>
    <w:rsid w:val="003567AF"/>
    <w:rsid w:val="00356803"/>
    <w:rsid w:val="00356A2E"/>
    <w:rsid w:val="00356B41"/>
    <w:rsid w:val="00357376"/>
    <w:rsid w:val="003575CC"/>
    <w:rsid w:val="003575CF"/>
    <w:rsid w:val="0035769A"/>
    <w:rsid w:val="00357857"/>
    <w:rsid w:val="00357D45"/>
    <w:rsid w:val="00357E51"/>
    <w:rsid w:val="00357F0B"/>
    <w:rsid w:val="0036011C"/>
    <w:rsid w:val="00360AE0"/>
    <w:rsid w:val="00360BE2"/>
    <w:rsid w:val="00360E90"/>
    <w:rsid w:val="00361141"/>
    <w:rsid w:val="00361147"/>
    <w:rsid w:val="003612BF"/>
    <w:rsid w:val="00361939"/>
    <w:rsid w:val="003619BA"/>
    <w:rsid w:val="00361D71"/>
    <w:rsid w:val="00361EB3"/>
    <w:rsid w:val="00362134"/>
    <w:rsid w:val="003621B3"/>
    <w:rsid w:val="0036228C"/>
    <w:rsid w:val="00362C02"/>
    <w:rsid w:val="00362DFB"/>
    <w:rsid w:val="0036310F"/>
    <w:rsid w:val="00363134"/>
    <w:rsid w:val="00363167"/>
    <w:rsid w:val="003634E0"/>
    <w:rsid w:val="00363D4D"/>
    <w:rsid w:val="0036412C"/>
    <w:rsid w:val="003642CE"/>
    <w:rsid w:val="003643D6"/>
    <w:rsid w:val="0036450D"/>
    <w:rsid w:val="003647D7"/>
    <w:rsid w:val="00364BB8"/>
    <w:rsid w:val="00365176"/>
    <w:rsid w:val="00365EA0"/>
    <w:rsid w:val="00365FD2"/>
    <w:rsid w:val="003660A6"/>
    <w:rsid w:val="003661BF"/>
    <w:rsid w:val="003662D1"/>
    <w:rsid w:val="00366400"/>
    <w:rsid w:val="003664D1"/>
    <w:rsid w:val="003667DE"/>
    <w:rsid w:val="00366934"/>
    <w:rsid w:val="00366FFE"/>
    <w:rsid w:val="00367157"/>
    <w:rsid w:val="00367661"/>
    <w:rsid w:val="00367A32"/>
    <w:rsid w:val="00367A98"/>
    <w:rsid w:val="00367C39"/>
    <w:rsid w:val="00370125"/>
    <w:rsid w:val="00370207"/>
    <w:rsid w:val="00370469"/>
    <w:rsid w:val="0037094D"/>
    <w:rsid w:val="0037101D"/>
    <w:rsid w:val="00371364"/>
    <w:rsid w:val="0037170B"/>
    <w:rsid w:val="0037192F"/>
    <w:rsid w:val="00371CC2"/>
    <w:rsid w:val="00371E9A"/>
    <w:rsid w:val="00372C39"/>
    <w:rsid w:val="00373159"/>
    <w:rsid w:val="00373214"/>
    <w:rsid w:val="003735A4"/>
    <w:rsid w:val="00373E6C"/>
    <w:rsid w:val="00373F78"/>
    <w:rsid w:val="0037401E"/>
    <w:rsid w:val="00374301"/>
    <w:rsid w:val="0037436C"/>
    <w:rsid w:val="00374DEA"/>
    <w:rsid w:val="003750F3"/>
    <w:rsid w:val="003753B6"/>
    <w:rsid w:val="00375420"/>
    <w:rsid w:val="00375671"/>
    <w:rsid w:val="003756A9"/>
    <w:rsid w:val="00375DD5"/>
    <w:rsid w:val="003760AE"/>
    <w:rsid w:val="0037631E"/>
    <w:rsid w:val="0037678D"/>
    <w:rsid w:val="0037708E"/>
    <w:rsid w:val="00377147"/>
    <w:rsid w:val="003772CE"/>
    <w:rsid w:val="00377B2C"/>
    <w:rsid w:val="00377D62"/>
    <w:rsid w:val="0038004F"/>
    <w:rsid w:val="00380158"/>
    <w:rsid w:val="003801A2"/>
    <w:rsid w:val="00380648"/>
    <w:rsid w:val="00380731"/>
    <w:rsid w:val="00380AED"/>
    <w:rsid w:val="00380E96"/>
    <w:rsid w:val="0038179C"/>
    <w:rsid w:val="0038183C"/>
    <w:rsid w:val="003819B6"/>
    <w:rsid w:val="00381A23"/>
    <w:rsid w:val="0038214E"/>
    <w:rsid w:val="00382528"/>
    <w:rsid w:val="00382844"/>
    <w:rsid w:val="0038290A"/>
    <w:rsid w:val="00382A24"/>
    <w:rsid w:val="00382B0F"/>
    <w:rsid w:val="00382E8F"/>
    <w:rsid w:val="003833F0"/>
    <w:rsid w:val="00383517"/>
    <w:rsid w:val="003837E9"/>
    <w:rsid w:val="00383AAD"/>
    <w:rsid w:val="00383D35"/>
    <w:rsid w:val="00383D59"/>
    <w:rsid w:val="0038413A"/>
    <w:rsid w:val="00384213"/>
    <w:rsid w:val="00384360"/>
    <w:rsid w:val="00384448"/>
    <w:rsid w:val="0038545C"/>
    <w:rsid w:val="00385480"/>
    <w:rsid w:val="003855DD"/>
    <w:rsid w:val="003856C4"/>
    <w:rsid w:val="00385720"/>
    <w:rsid w:val="00385816"/>
    <w:rsid w:val="00386191"/>
    <w:rsid w:val="003861B2"/>
    <w:rsid w:val="003861C1"/>
    <w:rsid w:val="00386766"/>
    <w:rsid w:val="00386C14"/>
    <w:rsid w:val="00387204"/>
    <w:rsid w:val="003879C9"/>
    <w:rsid w:val="00390518"/>
    <w:rsid w:val="003905E1"/>
    <w:rsid w:val="003906D8"/>
    <w:rsid w:val="00390850"/>
    <w:rsid w:val="003908A4"/>
    <w:rsid w:val="00390D9E"/>
    <w:rsid w:val="0039100F"/>
    <w:rsid w:val="0039115E"/>
    <w:rsid w:val="00391665"/>
    <w:rsid w:val="00391ABD"/>
    <w:rsid w:val="00391B1A"/>
    <w:rsid w:val="00391DBB"/>
    <w:rsid w:val="0039233C"/>
    <w:rsid w:val="003924A9"/>
    <w:rsid w:val="00392611"/>
    <w:rsid w:val="00392E25"/>
    <w:rsid w:val="003936BC"/>
    <w:rsid w:val="00393803"/>
    <w:rsid w:val="00393F4C"/>
    <w:rsid w:val="00394055"/>
    <w:rsid w:val="00394190"/>
    <w:rsid w:val="003942FB"/>
    <w:rsid w:val="0039486C"/>
    <w:rsid w:val="003948C6"/>
    <w:rsid w:val="00394AEF"/>
    <w:rsid w:val="00394D27"/>
    <w:rsid w:val="0039509D"/>
    <w:rsid w:val="003953ED"/>
    <w:rsid w:val="003954D9"/>
    <w:rsid w:val="003956D6"/>
    <w:rsid w:val="003956FE"/>
    <w:rsid w:val="0039577F"/>
    <w:rsid w:val="00395862"/>
    <w:rsid w:val="003958F3"/>
    <w:rsid w:val="00395A64"/>
    <w:rsid w:val="00395B7B"/>
    <w:rsid w:val="00396431"/>
    <w:rsid w:val="00396915"/>
    <w:rsid w:val="00396E15"/>
    <w:rsid w:val="0039730B"/>
    <w:rsid w:val="0039738C"/>
    <w:rsid w:val="003975E5"/>
    <w:rsid w:val="0039774B"/>
    <w:rsid w:val="00397BE3"/>
    <w:rsid w:val="00397F92"/>
    <w:rsid w:val="003A03A6"/>
    <w:rsid w:val="003A0723"/>
    <w:rsid w:val="003A0948"/>
    <w:rsid w:val="003A0B71"/>
    <w:rsid w:val="003A0BB0"/>
    <w:rsid w:val="003A117F"/>
    <w:rsid w:val="003A1472"/>
    <w:rsid w:val="003A17BA"/>
    <w:rsid w:val="003A17C4"/>
    <w:rsid w:val="003A1A97"/>
    <w:rsid w:val="003A2C53"/>
    <w:rsid w:val="003A30F6"/>
    <w:rsid w:val="003A322B"/>
    <w:rsid w:val="003A3A4A"/>
    <w:rsid w:val="003A3F99"/>
    <w:rsid w:val="003A417C"/>
    <w:rsid w:val="003A4186"/>
    <w:rsid w:val="003A4837"/>
    <w:rsid w:val="003A493B"/>
    <w:rsid w:val="003A4D93"/>
    <w:rsid w:val="003A4E7D"/>
    <w:rsid w:val="003A500A"/>
    <w:rsid w:val="003A51FE"/>
    <w:rsid w:val="003A580C"/>
    <w:rsid w:val="003A5F98"/>
    <w:rsid w:val="003A6293"/>
    <w:rsid w:val="003A6642"/>
    <w:rsid w:val="003A6927"/>
    <w:rsid w:val="003A6A00"/>
    <w:rsid w:val="003A6B20"/>
    <w:rsid w:val="003A6F10"/>
    <w:rsid w:val="003A729F"/>
    <w:rsid w:val="003A7387"/>
    <w:rsid w:val="003A79D5"/>
    <w:rsid w:val="003A7C13"/>
    <w:rsid w:val="003A7E19"/>
    <w:rsid w:val="003A7E56"/>
    <w:rsid w:val="003B022A"/>
    <w:rsid w:val="003B07A3"/>
    <w:rsid w:val="003B0886"/>
    <w:rsid w:val="003B0910"/>
    <w:rsid w:val="003B093F"/>
    <w:rsid w:val="003B0A2F"/>
    <w:rsid w:val="003B0A54"/>
    <w:rsid w:val="003B0B8A"/>
    <w:rsid w:val="003B0DCD"/>
    <w:rsid w:val="003B0ECA"/>
    <w:rsid w:val="003B11C7"/>
    <w:rsid w:val="003B125F"/>
    <w:rsid w:val="003B1587"/>
    <w:rsid w:val="003B18BF"/>
    <w:rsid w:val="003B19AB"/>
    <w:rsid w:val="003B1C74"/>
    <w:rsid w:val="003B1CD7"/>
    <w:rsid w:val="003B1E66"/>
    <w:rsid w:val="003B24F8"/>
    <w:rsid w:val="003B28B1"/>
    <w:rsid w:val="003B2E1A"/>
    <w:rsid w:val="003B3B6B"/>
    <w:rsid w:val="003B3E04"/>
    <w:rsid w:val="003B3EE7"/>
    <w:rsid w:val="003B435F"/>
    <w:rsid w:val="003B437E"/>
    <w:rsid w:val="003B485F"/>
    <w:rsid w:val="003B49D0"/>
    <w:rsid w:val="003B4B0E"/>
    <w:rsid w:val="003B4D45"/>
    <w:rsid w:val="003B5239"/>
    <w:rsid w:val="003B5644"/>
    <w:rsid w:val="003B56EA"/>
    <w:rsid w:val="003B5DA2"/>
    <w:rsid w:val="003B64B7"/>
    <w:rsid w:val="003B6A17"/>
    <w:rsid w:val="003B6F05"/>
    <w:rsid w:val="003B7676"/>
    <w:rsid w:val="003B773E"/>
    <w:rsid w:val="003B78C4"/>
    <w:rsid w:val="003B7B9B"/>
    <w:rsid w:val="003B7E23"/>
    <w:rsid w:val="003C04DC"/>
    <w:rsid w:val="003C05B8"/>
    <w:rsid w:val="003C0DAE"/>
    <w:rsid w:val="003C0EC3"/>
    <w:rsid w:val="003C116D"/>
    <w:rsid w:val="003C137F"/>
    <w:rsid w:val="003C1386"/>
    <w:rsid w:val="003C17E4"/>
    <w:rsid w:val="003C1F7F"/>
    <w:rsid w:val="003C20BD"/>
    <w:rsid w:val="003C21F4"/>
    <w:rsid w:val="003C2489"/>
    <w:rsid w:val="003C2492"/>
    <w:rsid w:val="003C25E3"/>
    <w:rsid w:val="003C2D7A"/>
    <w:rsid w:val="003C2D9E"/>
    <w:rsid w:val="003C3060"/>
    <w:rsid w:val="003C314C"/>
    <w:rsid w:val="003C3352"/>
    <w:rsid w:val="003C3358"/>
    <w:rsid w:val="003C38FD"/>
    <w:rsid w:val="003C3998"/>
    <w:rsid w:val="003C3DAA"/>
    <w:rsid w:val="003C3E5D"/>
    <w:rsid w:val="003C4019"/>
    <w:rsid w:val="003C4786"/>
    <w:rsid w:val="003C4E25"/>
    <w:rsid w:val="003C4E89"/>
    <w:rsid w:val="003C576B"/>
    <w:rsid w:val="003C581F"/>
    <w:rsid w:val="003C5A1E"/>
    <w:rsid w:val="003C5BA2"/>
    <w:rsid w:val="003C6CE5"/>
    <w:rsid w:val="003C6ED4"/>
    <w:rsid w:val="003C6F60"/>
    <w:rsid w:val="003C762A"/>
    <w:rsid w:val="003C762C"/>
    <w:rsid w:val="003C79DA"/>
    <w:rsid w:val="003C7E90"/>
    <w:rsid w:val="003C7EDB"/>
    <w:rsid w:val="003D00C2"/>
    <w:rsid w:val="003D03F4"/>
    <w:rsid w:val="003D0567"/>
    <w:rsid w:val="003D067F"/>
    <w:rsid w:val="003D1A5B"/>
    <w:rsid w:val="003D1DF3"/>
    <w:rsid w:val="003D1F42"/>
    <w:rsid w:val="003D28A8"/>
    <w:rsid w:val="003D2917"/>
    <w:rsid w:val="003D2B72"/>
    <w:rsid w:val="003D307F"/>
    <w:rsid w:val="003D34EB"/>
    <w:rsid w:val="003D3505"/>
    <w:rsid w:val="003D38DE"/>
    <w:rsid w:val="003D390C"/>
    <w:rsid w:val="003D3A54"/>
    <w:rsid w:val="003D3D27"/>
    <w:rsid w:val="003D445A"/>
    <w:rsid w:val="003D44EB"/>
    <w:rsid w:val="003D4892"/>
    <w:rsid w:val="003D4CC6"/>
    <w:rsid w:val="003D51F1"/>
    <w:rsid w:val="003D5497"/>
    <w:rsid w:val="003D5BC1"/>
    <w:rsid w:val="003D5EC0"/>
    <w:rsid w:val="003D6165"/>
    <w:rsid w:val="003D68B5"/>
    <w:rsid w:val="003D6993"/>
    <w:rsid w:val="003D6D68"/>
    <w:rsid w:val="003D6E1D"/>
    <w:rsid w:val="003D6F71"/>
    <w:rsid w:val="003D704E"/>
    <w:rsid w:val="003D7D5B"/>
    <w:rsid w:val="003E0771"/>
    <w:rsid w:val="003E0825"/>
    <w:rsid w:val="003E0CBF"/>
    <w:rsid w:val="003E0CCC"/>
    <w:rsid w:val="003E0E3B"/>
    <w:rsid w:val="003E11BA"/>
    <w:rsid w:val="003E1333"/>
    <w:rsid w:val="003E1662"/>
    <w:rsid w:val="003E1E7B"/>
    <w:rsid w:val="003E2558"/>
    <w:rsid w:val="003E257A"/>
    <w:rsid w:val="003E29AA"/>
    <w:rsid w:val="003E2DAE"/>
    <w:rsid w:val="003E350E"/>
    <w:rsid w:val="003E373C"/>
    <w:rsid w:val="003E3CD5"/>
    <w:rsid w:val="003E43E6"/>
    <w:rsid w:val="003E44D4"/>
    <w:rsid w:val="003E48F9"/>
    <w:rsid w:val="003E4932"/>
    <w:rsid w:val="003E49B0"/>
    <w:rsid w:val="003E4D66"/>
    <w:rsid w:val="003E5270"/>
    <w:rsid w:val="003E5816"/>
    <w:rsid w:val="003E5C76"/>
    <w:rsid w:val="003E5CDB"/>
    <w:rsid w:val="003E5E64"/>
    <w:rsid w:val="003E5E86"/>
    <w:rsid w:val="003E6008"/>
    <w:rsid w:val="003E61E0"/>
    <w:rsid w:val="003E62FF"/>
    <w:rsid w:val="003E66D8"/>
    <w:rsid w:val="003E6806"/>
    <w:rsid w:val="003E6AA2"/>
    <w:rsid w:val="003E6CF3"/>
    <w:rsid w:val="003E6D21"/>
    <w:rsid w:val="003E6F97"/>
    <w:rsid w:val="003E6FA1"/>
    <w:rsid w:val="003E6FDC"/>
    <w:rsid w:val="003E7222"/>
    <w:rsid w:val="003E730A"/>
    <w:rsid w:val="003E74DB"/>
    <w:rsid w:val="003E785E"/>
    <w:rsid w:val="003E79CD"/>
    <w:rsid w:val="003E7C05"/>
    <w:rsid w:val="003E7CFD"/>
    <w:rsid w:val="003F00A0"/>
    <w:rsid w:val="003F02CF"/>
    <w:rsid w:val="003F04D0"/>
    <w:rsid w:val="003F0955"/>
    <w:rsid w:val="003F0A91"/>
    <w:rsid w:val="003F10FA"/>
    <w:rsid w:val="003F13C4"/>
    <w:rsid w:val="003F169B"/>
    <w:rsid w:val="003F17D2"/>
    <w:rsid w:val="003F21BA"/>
    <w:rsid w:val="003F2242"/>
    <w:rsid w:val="003F2757"/>
    <w:rsid w:val="003F2B90"/>
    <w:rsid w:val="003F3255"/>
    <w:rsid w:val="003F347D"/>
    <w:rsid w:val="003F348A"/>
    <w:rsid w:val="003F3826"/>
    <w:rsid w:val="003F3ACB"/>
    <w:rsid w:val="003F3BA1"/>
    <w:rsid w:val="003F42C1"/>
    <w:rsid w:val="003F4450"/>
    <w:rsid w:val="003F49D8"/>
    <w:rsid w:val="003F4E3E"/>
    <w:rsid w:val="003F4FA1"/>
    <w:rsid w:val="003F4FDE"/>
    <w:rsid w:val="003F5446"/>
    <w:rsid w:val="003F5ACA"/>
    <w:rsid w:val="003F5C1B"/>
    <w:rsid w:val="003F5EBA"/>
    <w:rsid w:val="003F63C8"/>
    <w:rsid w:val="003F6DC0"/>
    <w:rsid w:val="003F6DDC"/>
    <w:rsid w:val="003F6EAB"/>
    <w:rsid w:val="003F7930"/>
    <w:rsid w:val="00400289"/>
    <w:rsid w:val="004005E3"/>
    <w:rsid w:val="00400621"/>
    <w:rsid w:val="00400E3D"/>
    <w:rsid w:val="00400E9F"/>
    <w:rsid w:val="00400FE1"/>
    <w:rsid w:val="004019F2"/>
    <w:rsid w:val="00401A57"/>
    <w:rsid w:val="00401AF5"/>
    <w:rsid w:val="00401C95"/>
    <w:rsid w:val="0040266F"/>
    <w:rsid w:val="00402903"/>
    <w:rsid w:val="00403258"/>
    <w:rsid w:val="004039DA"/>
    <w:rsid w:val="00403E8B"/>
    <w:rsid w:val="00403EFB"/>
    <w:rsid w:val="0040429F"/>
    <w:rsid w:val="00404574"/>
    <w:rsid w:val="004045F5"/>
    <w:rsid w:val="00405155"/>
    <w:rsid w:val="004051C8"/>
    <w:rsid w:val="004052B2"/>
    <w:rsid w:val="00405481"/>
    <w:rsid w:val="004054EC"/>
    <w:rsid w:val="00405573"/>
    <w:rsid w:val="00405D77"/>
    <w:rsid w:val="00405D95"/>
    <w:rsid w:val="0040675F"/>
    <w:rsid w:val="00406B21"/>
    <w:rsid w:val="00406C05"/>
    <w:rsid w:val="00406E3F"/>
    <w:rsid w:val="00406E47"/>
    <w:rsid w:val="0040703E"/>
    <w:rsid w:val="00407489"/>
    <w:rsid w:val="004076B1"/>
    <w:rsid w:val="004079CA"/>
    <w:rsid w:val="00407AB1"/>
    <w:rsid w:val="00407B0A"/>
    <w:rsid w:val="00407C9E"/>
    <w:rsid w:val="00407E4D"/>
    <w:rsid w:val="00407E83"/>
    <w:rsid w:val="00407E84"/>
    <w:rsid w:val="00410054"/>
    <w:rsid w:val="0041020D"/>
    <w:rsid w:val="0041042B"/>
    <w:rsid w:val="004104A7"/>
    <w:rsid w:val="004106B7"/>
    <w:rsid w:val="0041086F"/>
    <w:rsid w:val="00410BB7"/>
    <w:rsid w:val="00410D9E"/>
    <w:rsid w:val="00410FAC"/>
    <w:rsid w:val="00411B91"/>
    <w:rsid w:val="00411FB3"/>
    <w:rsid w:val="00412019"/>
    <w:rsid w:val="00412115"/>
    <w:rsid w:val="00412412"/>
    <w:rsid w:val="004127AA"/>
    <w:rsid w:val="004128EE"/>
    <w:rsid w:val="00412C65"/>
    <w:rsid w:val="00413241"/>
    <w:rsid w:val="004132FE"/>
    <w:rsid w:val="00413BB5"/>
    <w:rsid w:val="00413FDB"/>
    <w:rsid w:val="004142FB"/>
    <w:rsid w:val="00414583"/>
    <w:rsid w:val="00414620"/>
    <w:rsid w:val="00414815"/>
    <w:rsid w:val="004148F3"/>
    <w:rsid w:val="00415396"/>
    <w:rsid w:val="004157E9"/>
    <w:rsid w:val="00415A30"/>
    <w:rsid w:val="00415C70"/>
    <w:rsid w:val="0041642D"/>
    <w:rsid w:val="00416918"/>
    <w:rsid w:val="004169FC"/>
    <w:rsid w:val="00416BB8"/>
    <w:rsid w:val="004173C9"/>
    <w:rsid w:val="0041760E"/>
    <w:rsid w:val="00417FE1"/>
    <w:rsid w:val="00420468"/>
    <w:rsid w:val="00420BA3"/>
    <w:rsid w:val="00420CC5"/>
    <w:rsid w:val="0042129D"/>
    <w:rsid w:val="00422162"/>
    <w:rsid w:val="0042246B"/>
    <w:rsid w:val="00422562"/>
    <w:rsid w:val="00422C22"/>
    <w:rsid w:val="004231BB"/>
    <w:rsid w:val="0042338D"/>
    <w:rsid w:val="00423743"/>
    <w:rsid w:val="00423863"/>
    <w:rsid w:val="00423B3F"/>
    <w:rsid w:val="00423D90"/>
    <w:rsid w:val="00424077"/>
    <w:rsid w:val="004242FE"/>
    <w:rsid w:val="004243DE"/>
    <w:rsid w:val="00424544"/>
    <w:rsid w:val="00424608"/>
    <w:rsid w:val="00424981"/>
    <w:rsid w:val="00424F7D"/>
    <w:rsid w:val="0042527F"/>
    <w:rsid w:val="0042537D"/>
    <w:rsid w:val="004253B9"/>
    <w:rsid w:val="00425599"/>
    <w:rsid w:val="00425C5E"/>
    <w:rsid w:val="0042606A"/>
    <w:rsid w:val="004260EB"/>
    <w:rsid w:val="004261F8"/>
    <w:rsid w:val="00426275"/>
    <w:rsid w:val="00426489"/>
    <w:rsid w:val="00427108"/>
    <w:rsid w:val="004278C4"/>
    <w:rsid w:val="00427915"/>
    <w:rsid w:val="00427959"/>
    <w:rsid w:val="00427CBC"/>
    <w:rsid w:val="00427D42"/>
    <w:rsid w:val="00430251"/>
    <w:rsid w:val="0043052D"/>
    <w:rsid w:val="0043083B"/>
    <w:rsid w:val="004309F4"/>
    <w:rsid w:val="00430D68"/>
    <w:rsid w:val="00430DB8"/>
    <w:rsid w:val="00430FF4"/>
    <w:rsid w:val="00430FF7"/>
    <w:rsid w:val="00431028"/>
    <w:rsid w:val="00431257"/>
    <w:rsid w:val="004313E0"/>
    <w:rsid w:val="004318B6"/>
    <w:rsid w:val="00431DE1"/>
    <w:rsid w:val="00431EFA"/>
    <w:rsid w:val="0043207E"/>
    <w:rsid w:val="00432324"/>
    <w:rsid w:val="004325AA"/>
    <w:rsid w:val="004325FF"/>
    <w:rsid w:val="00432811"/>
    <w:rsid w:val="00433225"/>
    <w:rsid w:val="0043343C"/>
    <w:rsid w:val="004337E7"/>
    <w:rsid w:val="004338FE"/>
    <w:rsid w:val="0043392A"/>
    <w:rsid w:val="00433B4F"/>
    <w:rsid w:val="00433D75"/>
    <w:rsid w:val="00433F0F"/>
    <w:rsid w:val="00434113"/>
    <w:rsid w:val="004343CE"/>
    <w:rsid w:val="0043488E"/>
    <w:rsid w:val="00434E85"/>
    <w:rsid w:val="0043517A"/>
    <w:rsid w:val="0043534D"/>
    <w:rsid w:val="004356F0"/>
    <w:rsid w:val="00435802"/>
    <w:rsid w:val="004358FB"/>
    <w:rsid w:val="004361EA"/>
    <w:rsid w:val="00436557"/>
    <w:rsid w:val="00436AC6"/>
    <w:rsid w:val="00436B5F"/>
    <w:rsid w:val="00436E49"/>
    <w:rsid w:val="00436EB3"/>
    <w:rsid w:val="00436F76"/>
    <w:rsid w:val="00437302"/>
    <w:rsid w:val="004373B0"/>
    <w:rsid w:val="004375DF"/>
    <w:rsid w:val="00437CFB"/>
    <w:rsid w:val="00437DAE"/>
    <w:rsid w:val="00437E1B"/>
    <w:rsid w:val="00440904"/>
    <w:rsid w:val="00440C8D"/>
    <w:rsid w:val="00440D95"/>
    <w:rsid w:val="00440EF8"/>
    <w:rsid w:val="00440F19"/>
    <w:rsid w:val="00440F89"/>
    <w:rsid w:val="0044165B"/>
    <w:rsid w:val="004417F0"/>
    <w:rsid w:val="00441B52"/>
    <w:rsid w:val="00441E0E"/>
    <w:rsid w:val="0044203D"/>
    <w:rsid w:val="004421C3"/>
    <w:rsid w:val="004421F6"/>
    <w:rsid w:val="00442289"/>
    <w:rsid w:val="00442D87"/>
    <w:rsid w:val="00442E69"/>
    <w:rsid w:val="004433C3"/>
    <w:rsid w:val="004436D3"/>
    <w:rsid w:val="00443AFE"/>
    <w:rsid w:val="00443DD8"/>
    <w:rsid w:val="004442FF"/>
    <w:rsid w:val="00444C65"/>
    <w:rsid w:val="00444F85"/>
    <w:rsid w:val="0044532B"/>
    <w:rsid w:val="00445BC3"/>
    <w:rsid w:val="00446030"/>
    <w:rsid w:val="00446165"/>
    <w:rsid w:val="00446803"/>
    <w:rsid w:val="0044690B"/>
    <w:rsid w:val="00446BF3"/>
    <w:rsid w:val="00446C09"/>
    <w:rsid w:val="00446E87"/>
    <w:rsid w:val="0044712E"/>
    <w:rsid w:val="004473EC"/>
    <w:rsid w:val="004475F1"/>
    <w:rsid w:val="00447D47"/>
    <w:rsid w:val="00447F97"/>
    <w:rsid w:val="00450490"/>
    <w:rsid w:val="0045049C"/>
    <w:rsid w:val="004505AE"/>
    <w:rsid w:val="004507D9"/>
    <w:rsid w:val="00450C71"/>
    <w:rsid w:val="00450F7E"/>
    <w:rsid w:val="00451039"/>
    <w:rsid w:val="00451723"/>
    <w:rsid w:val="0045173F"/>
    <w:rsid w:val="00451947"/>
    <w:rsid w:val="004522F7"/>
    <w:rsid w:val="00453675"/>
    <w:rsid w:val="0045368D"/>
    <w:rsid w:val="00453A3F"/>
    <w:rsid w:val="00453A70"/>
    <w:rsid w:val="0045409A"/>
    <w:rsid w:val="004540F4"/>
    <w:rsid w:val="004541E8"/>
    <w:rsid w:val="00454778"/>
    <w:rsid w:val="004547B5"/>
    <w:rsid w:val="00454E2A"/>
    <w:rsid w:val="00455070"/>
    <w:rsid w:val="00455299"/>
    <w:rsid w:val="00455341"/>
    <w:rsid w:val="00455374"/>
    <w:rsid w:val="004557AB"/>
    <w:rsid w:val="0045599E"/>
    <w:rsid w:val="00455ACA"/>
    <w:rsid w:val="00455B45"/>
    <w:rsid w:val="00455C77"/>
    <w:rsid w:val="0045601F"/>
    <w:rsid w:val="00456042"/>
    <w:rsid w:val="00456973"/>
    <w:rsid w:val="00456AAA"/>
    <w:rsid w:val="004570EF"/>
    <w:rsid w:val="00457473"/>
    <w:rsid w:val="004574FC"/>
    <w:rsid w:val="004576D4"/>
    <w:rsid w:val="004579C5"/>
    <w:rsid w:val="00457EA2"/>
    <w:rsid w:val="00457EFC"/>
    <w:rsid w:val="004600AA"/>
    <w:rsid w:val="00460159"/>
    <w:rsid w:val="004607D9"/>
    <w:rsid w:val="00460CA8"/>
    <w:rsid w:val="00461161"/>
    <w:rsid w:val="00461666"/>
    <w:rsid w:val="00461839"/>
    <w:rsid w:val="004618F0"/>
    <w:rsid w:val="00461DD1"/>
    <w:rsid w:val="00461EBC"/>
    <w:rsid w:val="004622AC"/>
    <w:rsid w:val="00462308"/>
    <w:rsid w:val="00462454"/>
    <w:rsid w:val="00462C72"/>
    <w:rsid w:val="00463203"/>
    <w:rsid w:val="00463232"/>
    <w:rsid w:val="00463370"/>
    <w:rsid w:val="00463B6D"/>
    <w:rsid w:val="00463BB6"/>
    <w:rsid w:val="00463CFD"/>
    <w:rsid w:val="00463D27"/>
    <w:rsid w:val="00463F02"/>
    <w:rsid w:val="00463F5E"/>
    <w:rsid w:val="00464104"/>
    <w:rsid w:val="0046444D"/>
    <w:rsid w:val="00464576"/>
    <w:rsid w:val="00464625"/>
    <w:rsid w:val="00464ABB"/>
    <w:rsid w:val="00464F33"/>
    <w:rsid w:val="004650B5"/>
    <w:rsid w:val="00465C21"/>
    <w:rsid w:val="00465EAF"/>
    <w:rsid w:val="0046616D"/>
    <w:rsid w:val="004663DA"/>
    <w:rsid w:val="004664D2"/>
    <w:rsid w:val="0046678E"/>
    <w:rsid w:val="00466831"/>
    <w:rsid w:val="00466AAB"/>
    <w:rsid w:val="00466BD4"/>
    <w:rsid w:val="004676F6"/>
    <w:rsid w:val="0046772E"/>
    <w:rsid w:val="0046797A"/>
    <w:rsid w:val="00467A71"/>
    <w:rsid w:val="00467B8E"/>
    <w:rsid w:val="00470B34"/>
    <w:rsid w:val="00470FF1"/>
    <w:rsid w:val="004712B3"/>
    <w:rsid w:val="004712C0"/>
    <w:rsid w:val="004713B3"/>
    <w:rsid w:val="0047154E"/>
    <w:rsid w:val="0047155A"/>
    <w:rsid w:val="0047173B"/>
    <w:rsid w:val="0047188D"/>
    <w:rsid w:val="00471E1F"/>
    <w:rsid w:val="00472375"/>
    <w:rsid w:val="00472528"/>
    <w:rsid w:val="004727F7"/>
    <w:rsid w:val="00472819"/>
    <w:rsid w:val="00472BFD"/>
    <w:rsid w:val="00472DD7"/>
    <w:rsid w:val="00472E63"/>
    <w:rsid w:val="0047339F"/>
    <w:rsid w:val="004735F6"/>
    <w:rsid w:val="004739B5"/>
    <w:rsid w:val="00473E4A"/>
    <w:rsid w:val="00473F99"/>
    <w:rsid w:val="004741E1"/>
    <w:rsid w:val="0047431E"/>
    <w:rsid w:val="00474666"/>
    <w:rsid w:val="00474822"/>
    <w:rsid w:val="00474AB0"/>
    <w:rsid w:val="00474DBF"/>
    <w:rsid w:val="0047516C"/>
    <w:rsid w:val="004753A6"/>
    <w:rsid w:val="0047551C"/>
    <w:rsid w:val="0047552C"/>
    <w:rsid w:val="004757E6"/>
    <w:rsid w:val="004759C2"/>
    <w:rsid w:val="00476141"/>
    <w:rsid w:val="0047668E"/>
    <w:rsid w:val="0047672A"/>
    <w:rsid w:val="0047694C"/>
    <w:rsid w:val="00476A74"/>
    <w:rsid w:val="0047725D"/>
    <w:rsid w:val="004776E0"/>
    <w:rsid w:val="00480133"/>
    <w:rsid w:val="00480799"/>
    <w:rsid w:val="00480E3C"/>
    <w:rsid w:val="00480E48"/>
    <w:rsid w:val="0048123E"/>
    <w:rsid w:val="00481542"/>
    <w:rsid w:val="00481C5B"/>
    <w:rsid w:val="00481F31"/>
    <w:rsid w:val="0048215D"/>
    <w:rsid w:val="004824F6"/>
    <w:rsid w:val="0048253F"/>
    <w:rsid w:val="00482B67"/>
    <w:rsid w:val="00482EBC"/>
    <w:rsid w:val="00483284"/>
    <w:rsid w:val="00483AC5"/>
    <w:rsid w:val="00484498"/>
    <w:rsid w:val="00484755"/>
    <w:rsid w:val="0048511E"/>
    <w:rsid w:val="0048516F"/>
    <w:rsid w:val="004856E4"/>
    <w:rsid w:val="00485839"/>
    <w:rsid w:val="0048619C"/>
    <w:rsid w:val="00486997"/>
    <w:rsid w:val="00486AC5"/>
    <w:rsid w:val="004872CA"/>
    <w:rsid w:val="004879A9"/>
    <w:rsid w:val="00487E97"/>
    <w:rsid w:val="0049041F"/>
    <w:rsid w:val="004905A4"/>
    <w:rsid w:val="00490D51"/>
    <w:rsid w:val="00490F85"/>
    <w:rsid w:val="0049159B"/>
    <w:rsid w:val="004915E0"/>
    <w:rsid w:val="00491B87"/>
    <w:rsid w:val="00491C41"/>
    <w:rsid w:val="00491C89"/>
    <w:rsid w:val="00492E17"/>
    <w:rsid w:val="004930A0"/>
    <w:rsid w:val="0049356A"/>
    <w:rsid w:val="004935DA"/>
    <w:rsid w:val="0049385E"/>
    <w:rsid w:val="00493C84"/>
    <w:rsid w:val="00493FC8"/>
    <w:rsid w:val="0049417D"/>
    <w:rsid w:val="0049428C"/>
    <w:rsid w:val="004947E4"/>
    <w:rsid w:val="00494840"/>
    <w:rsid w:val="00494A42"/>
    <w:rsid w:val="00494EC9"/>
    <w:rsid w:val="00494F9E"/>
    <w:rsid w:val="0049514A"/>
    <w:rsid w:val="0049576F"/>
    <w:rsid w:val="00495D09"/>
    <w:rsid w:val="00495D28"/>
    <w:rsid w:val="00495F88"/>
    <w:rsid w:val="00495F9D"/>
    <w:rsid w:val="00496567"/>
    <w:rsid w:val="00496619"/>
    <w:rsid w:val="00496DED"/>
    <w:rsid w:val="00496F54"/>
    <w:rsid w:val="004972DA"/>
    <w:rsid w:val="00497749"/>
    <w:rsid w:val="004977D2"/>
    <w:rsid w:val="004A00DC"/>
    <w:rsid w:val="004A0CCF"/>
    <w:rsid w:val="004A0F44"/>
    <w:rsid w:val="004A1007"/>
    <w:rsid w:val="004A10FB"/>
    <w:rsid w:val="004A1113"/>
    <w:rsid w:val="004A1125"/>
    <w:rsid w:val="004A1538"/>
    <w:rsid w:val="004A1CB2"/>
    <w:rsid w:val="004A20C7"/>
    <w:rsid w:val="004A2220"/>
    <w:rsid w:val="004A23E6"/>
    <w:rsid w:val="004A259D"/>
    <w:rsid w:val="004A27E0"/>
    <w:rsid w:val="004A2AB3"/>
    <w:rsid w:val="004A2C38"/>
    <w:rsid w:val="004A2D5C"/>
    <w:rsid w:val="004A2DA8"/>
    <w:rsid w:val="004A2F51"/>
    <w:rsid w:val="004A308F"/>
    <w:rsid w:val="004A3DFE"/>
    <w:rsid w:val="004A4380"/>
    <w:rsid w:val="004A44F6"/>
    <w:rsid w:val="004A4BAF"/>
    <w:rsid w:val="004A500B"/>
    <w:rsid w:val="004A551C"/>
    <w:rsid w:val="004A5803"/>
    <w:rsid w:val="004A58D3"/>
    <w:rsid w:val="004A5A50"/>
    <w:rsid w:val="004A5C43"/>
    <w:rsid w:val="004A635A"/>
    <w:rsid w:val="004A6535"/>
    <w:rsid w:val="004A68EA"/>
    <w:rsid w:val="004A6A95"/>
    <w:rsid w:val="004B086C"/>
    <w:rsid w:val="004B09A2"/>
    <w:rsid w:val="004B0B87"/>
    <w:rsid w:val="004B0BC3"/>
    <w:rsid w:val="004B116F"/>
    <w:rsid w:val="004B1276"/>
    <w:rsid w:val="004B13F9"/>
    <w:rsid w:val="004B1561"/>
    <w:rsid w:val="004B1E81"/>
    <w:rsid w:val="004B26DB"/>
    <w:rsid w:val="004B2DF0"/>
    <w:rsid w:val="004B2E8C"/>
    <w:rsid w:val="004B32CE"/>
    <w:rsid w:val="004B3494"/>
    <w:rsid w:val="004B3741"/>
    <w:rsid w:val="004B388A"/>
    <w:rsid w:val="004B466A"/>
    <w:rsid w:val="004B46B1"/>
    <w:rsid w:val="004B4DE9"/>
    <w:rsid w:val="004B52BF"/>
    <w:rsid w:val="004B55AB"/>
    <w:rsid w:val="004B55DB"/>
    <w:rsid w:val="004B589D"/>
    <w:rsid w:val="004B5B35"/>
    <w:rsid w:val="004B61C2"/>
    <w:rsid w:val="004B6AEE"/>
    <w:rsid w:val="004B6B13"/>
    <w:rsid w:val="004B7236"/>
    <w:rsid w:val="004B73EB"/>
    <w:rsid w:val="004B7514"/>
    <w:rsid w:val="004B7560"/>
    <w:rsid w:val="004B76AF"/>
    <w:rsid w:val="004B7927"/>
    <w:rsid w:val="004B7A90"/>
    <w:rsid w:val="004B7DCC"/>
    <w:rsid w:val="004C00B4"/>
    <w:rsid w:val="004C0EAF"/>
    <w:rsid w:val="004C0EE3"/>
    <w:rsid w:val="004C116B"/>
    <w:rsid w:val="004C12C3"/>
    <w:rsid w:val="004C1522"/>
    <w:rsid w:val="004C1B6A"/>
    <w:rsid w:val="004C2110"/>
    <w:rsid w:val="004C22F0"/>
    <w:rsid w:val="004C25EC"/>
    <w:rsid w:val="004C2A32"/>
    <w:rsid w:val="004C2BCE"/>
    <w:rsid w:val="004C2C84"/>
    <w:rsid w:val="004C3264"/>
    <w:rsid w:val="004C3282"/>
    <w:rsid w:val="004C38CD"/>
    <w:rsid w:val="004C3A92"/>
    <w:rsid w:val="004C3B2C"/>
    <w:rsid w:val="004C3B70"/>
    <w:rsid w:val="004C3D2D"/>
    <w:rsid w:val="004C4032"/>
    <w:rsid w:val="004C411C"/>
    <w:rsid w:val="004C4189"/>
    <w:rsid w:val="004C44CB"/>
    <w:rsid w:val="004C4C8B"/>
    <w:rsid w:val="004C51A4"/>
    <w:rsid w:val="004C5705"/>
    <w:rsid w:val="004C645D"/>
    <w:rsid w:val="004C6672"/>
    <w:rsid w:val="004C6AAD"/>
    <w:rsid w:val="004C6BD7"/>
    <w:rsid w:val="004C6FB7"/>
    <w:rsid w:val="004C72C2"/>
    <w:rsid w:val="004C76ED"/>
    <w:rsid w:val="004C7DE8"/>
    <w:rsid w:val="004D03A8"/>
    <w:rsid w:val="004D0C6C"/>
    <w:rsid w:val="004D0EA2"/>
    <w:rsid w:val="004D10CB"/>
    <w:rsid w:val="004D15A7"/>
    <w:rsid w:val="004D1778"/>
    <w:rsid w:val="004D1AF3"/>
    <w:rsid w:val="004D1DBA"/>
    <w:rsid w:val="004D1FDB"/>
    <w:rsid w:val="004D22F0"/>
    <w:rsid w:val="004D2353"/>
    <w:rsid w:val="004D2381"/>
    <w:rsid w:val="004D25B4"/>
    <w:rsid w:val="004D270D"/>
    <w:rsid w:val="004D2ECB"/>
    <w:rsid w:val="004D31EA"/>
    <w:rsid w:val="004D3270"/>
    <w:rsid w:val="004D3A49"/>
    <w:rsid w:val="004D3FD4"/>
    <w:rsid w:val="004D445A"/>
    <w:rsid w:val="004D49D0"/>
    <w:rsid w:val="004D4E9C"/>
    <w:rsid w:val="004D5206"/>
    <w:rsid w:val="004D5A08"/>
    <w:rsid w:val="004D5C0A"/>
    <w:rsid w:val="004D635F"/>
    <w:rsid w:val="004D6430"/>
    <w:rsid w:val="004D645A"/>
    <w:rsid w:val="004D6592"/>
    <w:rsid w:val="004D6650"/>
    <w:rsid w:val="004D6E66"/>
    <w:rsid w:val="004D6FD8"/>
    <w:rsid w:val="004D70EB"/>
    <w:rsid w:val="004D71DF"/>
    <w:rsid w:val="004D75A7"/>
    <w:rsid w:val="004D7881"/>
    <w:rsid w:val="004D7A1A"/>
    <w:rsid w:val="004D7E22"/>
    <w:rsid w:val="004E0185"/>
    <w:rsid w:val="004E0214"/>
    <w:rsid w:val="004E087E"/>
    <w:rsid w:val="004E0B54"/>
    <w:rsid w:val="004E0F09"/>
    <w:rsid w:val="004E11D1"/>
    <w:rsid w:val="004E14C0"/>
    <w:rsid w:val="004E1508"/>
    <w:rsid w:val="004E1EE5"/>
    <w:rsid w:val="004E2141"/>
    <w:rsid w:val="004E24EC"/>
    <w:rsid w:val="004E32B6"/>
    <w:rsid w:val="004E3A58"/>
    <w:rsid w:val="004E3AD7"/>
    <w:rsid w:val="004E431C"/>
    <w:rsid w:val="004E4470"/>
    <w:rsid w:val="004E462B"/>
    <w:rsid w:val="004E477E"/>
    <w:rsid w:val="004E4ACA"/>
    <w:rsid w:val="004E4C7F"/>
    <w:rsid w:val="004E4CC6"/>
    <w:rsid w:val="004E4D07"/>
    <w:rsid w:val="004E540B"/>
    <w:rsid w:val="004E5462"/>
    <w:rsid w:val="004E5592"/>
    <w:rsid w:val="004E5726"/>
    <w:rsid w:val="004E5BE7"/>
    <w:rsid w:val="004E5F66"/>
    <w:rsid w:val="004E6525"/>
    <w:rsid w:val="004E6896"/>
    <w:rsid w:val="004E69B3"/>
    <w:rsid w:val="004E6E47"/>
    <w:rsid w:val="004E7DA5"/>
    <w:rsid w:val="004F06FC"/>
    <w:rsid w:val="004F06FD"/>
    <w:rsid w:val="004F0734"/>
    <w:rsid w:val="004F09F6"/>
    <w:rsid w:val="004F1434"/>
    <w:rsid w:val="004F1C62"/>
    <w:rsid w:val="004F1DCB"/>
    <w:rsid w:val="004F1F03"/>
    <w:rsid w:val="004F2147"/>
    <w:rsid w:val="004F280B"/>
    <w:rsid w:val="004F2980"/>
    <w:rsid w:val="004F2B7C"/>
    <w:rsid w:val="004F2D2D"/>
    <w:rsid w:val="004F2ED6"/>
    <w:rsid w:val="004F2FFF"/>
    <w:rsid w:val="004F341E"/>
    <w:rsid w:val="004F34CD"/>
    <w:rsid w:val="004F35D0"/>
    <w:rsid w:val="004F3846"/>
    <w:rsid w:val="004F38CE"/>
    <w:rsid w:val="004F4164"/>
    <w:rsid w:val="004F4A61"/>
    <w:rsid w:val="004F4ADA"/>
    <w:rsid w:val="004F4CB9"/>
    <w:rsid w:val="004F4F04"/>
    <w:rsid w:val="004F5B10"/>
    <w:rsid w:val="004F5C7D"/>
    <w:rsid w:val="004F5F7F"/>
    <w:rsid w:val="004F620C"/>
    <w:rsid w:val="004F69B5"/>
    <w:rsid w:val="004F6B9E"/>
    <w:rsid w:val="004F6C6B"/>
    <w:rsid w:val="004F6DDF"/>
    <w:rsid w:val="004F7150"/>
    <w:rsid w:val="004F737E"/>
    <w:rsid w:val="004F738F"/>
    <w:rsid w:val="004F748F"/>
    <w:rsid w:val="004F79E5"/>
    <w:rsid w:val="0050005E"/>
    <w:rsid w:val="0050099C"/>
    <w:rsid w:val="00500EAE"/>
    <w:rsid w:val="0050114F"/>
    <w:rsid w:val="00501922"/>
    <w:rsid w:val="00501F0C"/>
    <w:rsid w:val="00501F66"/>
    <w:rsid w:val="00502002"/>
    <w:rsid w:val="0050206A"/>
    <w:rsid w:val="005021A7"/>
    <w:rsid w:val="005023DA"/>
    <w:rsid w:val="005027B8"/>
    <w:rsid w:val="00502C1D"/>
    <w:rsid w:val="00502C37"/>
    <w:rsid w:val="00502EF5"/>
    <w:rsid w:val="005034E9"/>
    <w:rsid w:val="0050380F"/>
    <w:rsid w:val="0050395C"/>
    <w:rsid w:val="00503A5D"/>
    <w:rsid w:val="005042D6"/>
    <w:rsid w:val="005044CF"/>
    <w:rsid w:val="00504921"/>
    <w:rsid w:val="00504960"/>
    <w:rsid w:val="00504BA4"/>
    <w:rsid w:val="00505023"/>
    <w:rsid w:val="00505FBB"/>
    <w:rsid w:val="0050607C"/>
    <w:rsid w:val="00506176"/>
    <w:rsid w:val="005066EC"/>
    <w:rsid w:val="005067FE"/>
    <w:rsid w:val="00506830"/>
    <w:rsid w:val="00506AB5"/>
    <w:rsid w:val="00506C98"/>
    <w:rsid w:val="00506D9D"/>
    <w:rsid w:val="00506E97"/>
    <w:rsid w:val="00506F3F"/>
    <w:rsid w:val="00506F52"/>
    <w:rsid w:val="00507016"/>
    <w:rsid w:val="00507114"/>
    <w:rsid w:val="00507311"/>
    <w:rsid w:val="005075C3"/>
    <w:rsid w:val="005078D6"/>
    <w:rsid w:val="00507BC3"/>
    <w:rsid w:val="00507D3D"/>
    <w:rsid w:val="00507E42"/>
    <w:rsid w:val="005102BF"/>
    <w:rsid w:val="005105B3"/>
    <w:rsid w:val="00510C0F"/>
    <w:rsid w:val="00510D08"/>
    <w:rsid w:val="0051177B"/>
    <w:rsid w:val="00511D7C"/>
    <w:rsid w:val="00512444"/>
    <w:rsid w:val="00512770"/>
    <w:rsid w:val="00512AE1"/>
    <w:rsid w:val="00512DB4"/>
    <w:rsid w:val="00512DDB"/>
    <w:rsid w:val="00512F40"/>
    <w:rsid w:val="0051314C"/>
    <w:rsid w:val="005131E9"/>
    <w:rsid w:val="005134FF"/>
    <w:rsid w:val="00513627"/>
    <w:rsid w:val="005136D4"/>
    <w:rsid w:val="005137EE"/>
    <w:rsid w:val="005138F3"/>
    <w:rsid w:val="00513921"/>
    <w:rsid w:val="0051393C"/>
    <w:rsid w:val="00513A59"/>
    <w:rsid w:val="00513E8A"/>
    <w:rsid w:val="00514716"/>
    <w:rsid w:val="00514896"/>
    <w:rsid w:val="00514B17"/>
    <w:rsid w:val="00514BC0"/>
    <w:rsid w:val="00514E73"/>
    <w:rsid w:val="0051507F"/>
    <w:rsid w:val="0051509C"/>
    <w:rsid w:val="005158AC"/>
    <w:rsid w:val="00515ADF"/>
    <w:rsid w:val="00515BF5"/>
    <w:rsid w:val="00515FD3"/>
    <w:rsid w:val="00516174"/>
    <w:rsid w:val="005164D9"/>
    <w:rsid w:val="00516681"/>
    <w:rsid w:val="00516A26"/>
    <w:rsid w:val="00517283"/>
    <w:rsid w:val="005172F1"/>
    <w:rsid w:val="0051764E"/>
    <w:rsid w:val="0051779A"/>
    <w:rsid w:val="00517DB9"/>
    <w:rsid w:val="00517F0F"/>
    <w:rsid w:val="00520155"/>
    <w:rsid w:val="005202C3"/>
    <w:rsid w:val="005205E7"/>
    <w:rsid w:val="00520707"/>
    <w:rsid w:val="00520D1F"/>
    <w:rsid w:val="005212DE"/>
    <w:rsid w:val="005215B6"/>
    <w:rsid w:val="00521686"/>
    <w:rsid w:val="00521B9F"/>
    <w:rsid w:val="00521F2E"/>
    <w:rsid w:val="0052206F"/>
    <w:rsid w:val="00522273"/>
    <w:rsid w:val="005222EE"/>
    <w:rsid w:val="005223AD"/>
    <w:rsid w:val="005225DC"/>
    <w:rsid w:val="005228BC"/>
    <w:rsid w:val="00523070"/>
    <w:rsid w:val="0052329A"/>
    <w:rsid w:val="00523F2F"/>
    <w:rsid w:val="00523FE0"/>
    <w:rsid w:val="005240F3"/>
    <w:rsid w:val="00524207"/>
    <w:rsid w:val="00524389"/>
    <w:rsid w:val="005244C8"/>
    <w:rsid w:val="00524ADC"/>
    <w:rsid w:val="00524B8C"/>
    <w:rsid w:val="00524BA9"/>
    <w:rsid w:val="00524C66"/>
    <w:rsid w:val="005251BB"/>
    <w:rsid w:val="0052546E"/>
    <w:rsid w:val="005254D1"/>
    <w:rsid w:val="005259F1"/>
    <w:rsid w:val="005267B5"/>
    <w:rsid w:val="00526889"/>
    <w:rsid w:val="005269B7"/>
    <w:rsid w:val="00526B28"/>
    <w:rsid w:val="00526BF1"/>
    <w:rsid w:val="00526C20"/>
    <w:rsid w:val="00527633"/>
    <w:rsid w:val="00527776"/>
    <w:rsid w:val="00527CC8"/>
    <w:rsid w:val="00527EA4"/>
    <w:rsid w:val="00527F9C"/>
    <w:rsid w:val="00530463"/>
    <w:rsid w:val="00531003"/>
    <w:rsid w:val="00531180"/>
    <w:rsid w:val="005311CC"/>
    <w:rsid w:val="00531283"/>
    <w:rsid w:val="0053147C"/>
    <w:rsid w:val="00531F5E"/>
    <w:rsid w:val="005327EC"/>
    <w:rsid w:val="00532FC3"/>
    <w:rsid w:val="0053327C"/>
    <w:rsid w:val="005332E3"/>
    <w:rsid w:val="005332ED"/>
    <w:rsid w:val="0053340A"/>
    <w:rsid w:val="005335EA"/>
    <w:rsid w:val="00533762"/>
    <w:rsid w:val="0053385B"/>
    <w:rsid w:val="00533BD2"/>
    <w:rsid w:val="00534A77"/>
    <w:rsid w:val="00535590"/>
    <w:rsid w:val="00535AB8"/>
    <w:rsid w:val="00535BF4"/>
    <w:rsid w:val="00535D95"/>
    <w:rsid w:val="00535DE6"/>
    <w:rsid w:val="005362AC"/>
    <w:rsid w:val="0053638B"/>
    <w:rsid w:val="00536807"/>
    <w:rsid w:val="00536C98"/>
    <w:rsid w:val="00536DB6"/>
    <w:rsid w:val="0053702F"/>
    <w:rsid w:val="00537814"/>
    <w:rsid w:val="00537C42"/>
    <w:rsid w:val="00537F5F"/>
    <w:rsid w:val="00537FC4"/>
    <w:rsid w:val="0054016C"/>
    <w:rsid w:val="005407D0"/>
    <w:rsid w:val="00540A67"/>
    <w:rsid w:val="00540F83"/>
    <w:rsid w:val="00541219"/>
    <w:rsid w:val="005415C8"/>
    <w:rsid w:val="005415E9"/>
    <w:rsid w:val="00541968"/>
    <w:rsid w:val="00541E1A"/>
    <w:rsid w:val="00541EB6"/>
    <w:rsid w:val="00542217"/>
    <w:rsid w:val="00542419"/>
    <w:rsid w:val="005425BA"/>
    <w:rsid w:val="0054266D"/>
    <w:rsid w:val="005426F1"/>
    <w:rsid w:val="005427DA"/>
    <w:rsid w:val="0054281E"/>
    <w:rsid w:val="00542CB3"/>
    <w:rsid w:val="005431CD"/>
    <w:rsid w:val="00543281"/>
    <w:rsid w:val="0054341A"/>
    <w:rsid w:val="0054399E"/>
    <w:rsid w:val="00543B16"/>
    <w:rsid w:val="00543C30"/>
    <w:rsid w:val="00543DF8"/>
    <w:rsid w:val="00544146"/>
    <w:rsid w:val="005443D7"/>
    <w:rsid w:val="005449C7"/>
    <w:rsid w:val="0054534D"/>
    <w:rsid w:val="0054555E"/>
    <w:rsid w:val="005455DC"/>
    <w:rsid w:val="005459A5"/>
    <w:rsid w:val="00545F8D"/>
    <w:rsid w:val="005464DF"/>
    <w:rsid w:val="00546645"/>
    <w:rsid w:val="005466BF"/>
    <w:rsid w:val="0054712F"/>
    <w:rsid w:val="0054727E"/>
    <w:rsid w:val="0054740C"/>
    <w:rsid w:val="005479FC"/>
    <w:rsid w:val="00547A01"/>
    <w:rsid w:val="00550191"/>
    <w:rsid w:val="0055019C"/>
    <w:rsid w:val="005505D4"/>
    <w:rsid w:val="0055068F"/>
    <w:rsid w:val="005506B1"/>
    <w:rsid w:val="005509FE"/>
    <w:rsid w:val="00550A30"/>
    <w:rsid w:val="00550CD1"/>
    <w:rsid w:val="00550D26"/>
    <w:rsid w:val="00551340"/>
    <w:rsid w:val="00551DE0"/>
    <w:rsid w:val="00552079"/>
    <w:rsid w:val="00552221"/>
    <w:rsid w:val="00552237"/>
    <w:rsid w:val="005522B7"/>
    <w:rsid w:val="00552352"/>
    <w:rsid w:val="00552427"/>
    <w:rsid w:val="0055247D"/>
    <w:rsid w:val="0055333A"/>
    <w:rsid w:val="005547FF"/>
    <w:rsid w:val="00554D35"/>
    <w:rsid w:val="00554D67"/>
    <w:rsid w:val="00554EB3"/>
    <w:rsid w:val="00554F6B"/>
    <w:rsid w:val="0055555F"/>
    <w:rsid w:val="00555CEA"/>
    <w:rsid w:val="00555EDD"/>
    <w:rsid w:val="00555EEF"/>
    <w:rsid w:val="0055614E"/>
    <w:rsid w:val="00556983"/>
    <w:rsid w:val="00556E8D"/>
    <w:rsid w:val="005575E2"/>
    <w:rsid w:val="005576DB"/>
    <w:rsid w:val="00557711"/>
    <w:rsid w:val="005578FC"/>
    <w:rsid w:val="00557C61"/>
    <w:rsid w:val="00557F50"/>
    <w:rsid w:val="005601B1"/>
    <w:rsid w:val="00560F6A"/>
    <w:rsid w:val="0056106E"/>
    <w:rsid w:val="005610AA"/>
    <w:rsid w:val="00561991"/>
    <w:rsid w:val="00561F90"/>
    <w:rsid w:val="00561FB5"/>
    <w:rsid w:val="00562039"/>
    <w:rsid w:val="005626E3"/>
    <w:rsid w:val="005627B9"/>
    <w:rsid w:val="00562CAB"/>
    <w:rsid w:val="005631D0"/>
    <w:rsid w:val="00563D82"/>
    <w:rsid w:val="00563F44"/>
    <w:rsid w:val="0056447C"/>
    <w:rsid w:val="0056463D"/>
    <w:rsid w:val="00564731"/>
    <w:rsid w:val="0056491E"/>
    <w:rsid w:val="00564AED"/>
    <w:rsid w:val="00564EEF"/>
    <w:rsid w:val="0056528E"/>
    <w:rsid w:val="00565294"/>
    <w:rsid w:val="005657FB"/>
    <w:rsid w:val="005658CA"/>
    <w:rsid w:val="00565BBC"/>
    <w:rsid w:val="00565DA6"/>
    <w:rsid w:val="00565EC8"/>
    <w:rsid w:val="00566518"/>
    <w:rsid w:val="00566576"/>
    <w:rsid w:val="00566B4A"/>
    <w:rsid w:val="00567074"/>
    <w:rsid w:val="00567164"/>
    <w:rsid w:val="005671F8"/>
    <w:rsid w:val="005678B3"/>
    <w:rsid w:val="00567A2D"/>
    <w:rsid w:val="00567C81"/>
    <w:rsid w:val="00567DFC"/>
    <w:rsid w:val="00567E91"/>
    <w:rsid w:val="00570257"/>
    <w:rsid w:val="00570763"/>
    <w:rsid w:val="00570FA8"/>
    <w:rsid w:val="00571772"/>
    <w:rsid w:val="00571DD7"/>
    <w:rsid w:val="00572175"/>
    <w:rsid w:val="005722BF"/>
    <w:rsid w:val="005724EE"/>
    <w:rsid w:val="00572B2D"/>
    <w:rsid w:val="00572BED"/>
    <w:rsid w:val="00572E14"/>
    <w:rsid w:val="00572F93"/>
    <w:rsid w:val="00573193"/>
    <w:rsid w:val="00573BDF"/>
    <w:rsid w:val="00573F38"/>
    <w:rsid w:val="0057413A"/>
    <w:rsid w:val="0057545F"/>
    <w:rsid w:val="005754C5"/>
    <w:rsid w:val="0057561E"/>
    <w:rsid w:val="005756C1"/>
    <w:rsid w:val="00575786"/>
    <w:rsid w:val="005757F1"/>
    <w:rsid w:val="00575843"/>
    <w:rsid w:val="005758C9"/>
    <w:rsid w:val="0057597F"/>
    <w:rsid w:val="00575BE5"/>
    <w:rsid w:val="00575D54"/>
    <w:rsid w:val="00575F5E"/>
    <w:rsid w:val="005761F6"/>
    <w:rsid w:val="00576D89"/>
    <w:rsid w:val="00576DCC"/>
    <w:rsid w:val="00577453"/>
    <w:rsid w:val="0057753B"/>
    <w:rsid w:val="005803A5"/>
    <w:rsid w:val="00580423"/>
    <w:rsid w:val="00580495"/>
    <w:rsid w:val="0058052C"/>
    <w:rsid w:val="005807C3"/>
    <w:rsid w:val="00580956"/>
    <w:rsid w:val="00580B4E"/>
    <w:rsid w:val="00580BFF"/>
    <w:rsid w:val="00580EDD"/>
    <w:rsid w:val="0058123D"/>
    <w:rsid w:val="005813FC"/>
    <w:rsid w:val="00581A77"/>
    <w:rsid w:val="00581C30"/>
    <w:rsid w:val="00581D7E"/>
    <w:rsid w:val="00581EF5"/>
    <w:rsid w:val="0058274F"/>
    <w:rsid w:val="00582958"/>
    <w:rsid w:val="00582BF0"/>
    <w:rsid w:val="00582CC9"/>
    <w:rsid w:val="00582E6A"/>
    <w:rsid w:val="00583823"/>
    <w:rsid w:val="00583E75"/>
    <w:rsid w:val="005844C4"/>
    <w:rsid w:val="0058459A"/>
    <w:rsid w:val="00584A13"/>
    <w:rsid w:val="00584DD3"/>
    <w:rsid w:val="0058524F"/>
    <w:rsid w:val="0058559A"/>
    <w:rsid w:val="00585AC1"/>
    <w:rsid w:val="00585C09"/>
    <w:rsid w:val="005866FD"/>
    <w:rsid w:val="0058687A"/>
    <w:rsid w:val="00586932"/>
    <w:rsid w:val="00586D21"/>
    <w:rsid w:val="00586DA1"/>
    <w:rsid w:val="00586F06"/>
    <w:rsid w:val="00586FDB"/>
    <w:rsid w:val="00587096"/>
    <w:rsid w:val="00587307"/>
    <w:rsid w:val="0058764C"/>
    <w:rsid w:val="005878AC"/>
    <w:rsid w:val="00587EF8"/>
    <w:rsid w:val="0059027D"/>
    <w:rsid w:val="00590632"/>
    <w:rsid w:val="005906B1"/>
    <w:rsid w:val="00590B1E"/>
    <w:rsid w:val="005910A9"/>
    <w:rsid w:val="00591115"/>
    <w:rsid w:val="0059126D"/>
    <w:rsid w:val="00591BF4"/>
    <w:rsid w:val="00591CB0"/>
    <w:rsid w:val="00591EC8"/>
    <w:rsid w:val="00591F10"/>
    <w:rsid w:val="00592325"/>
    <w:rsid w:val="00592519"/>
    <w:rsid w:val="005929E5"/>
    <w:rsid w:val="00592C22"/>
    <w:rsid w:val="00592D95"/>
    <w:rsid w:val="005934AA"/>
    <w:rsid w:val="005939CA"/>
    <w:rsid w:val="00593E2F"/>
    <w:rsid w:val="005942ED"/>
    <w:rsid w:val="005944A8"/>
    <w:rsid w:val="005945C3"/>
    <w:rsid w:val="00594616"/>
    <w:rsid w:val="00594FA4"/>
    <w:rsid w:val="00594FB1"/>
    <w:rsid w:val="0059505A"/>
    <w:rsid w:val="00595155"/>
    <w:rsid w:val="00595241"/>
    <w:rsid w:val="005952D2"/>
    <w:rsid w:val="005954E6"/>
    <w:rsid w:val="005956C8"/>
    <w:rsid w:val="00595A6C"/>
    <w:rsid w:val="00595C4D"/>
    <w:rsid w:val="00595F2E"/>
    <w:rsid w:val="005962CB"/>
    <w:rsid w:val="0059676D"/>
    <w:rsid w:val="00597049"/>
    <w:rsid w:val="00597228"/>
    <w:rsid w:val="00597455"/>
    <w:rsid w:val="00597818"/>
    <w:rsid w:val="00597FF3"/>
    <w:rsid w:val="005A00BC"/>
    <w:rsid w:val="005A0212"/>
    <w:rsid w:val="005A0E3D"/>
    <w:rsid w:val="005A1325"/>
    <w:rsid w:val="005A15C9"/>
    <w:rsid w:val="005A1CF9"/>
    <w:rsid w:val="005A2363"/>
    <w:rsid w:val="005A23F8"/>
    <w:rsid w:val="005A2470"/>
    <w:rsid w:val="005A2699"/>
    <w:rsid w:val="005A305F"/>
    <w:rsid w:val="005A30BB"/>
    <w:rsid w:val="005A352C"/>
    <w:rsid w:val="005A36D8"/>
    <w:rsid w:val="005A3BDB"/>
    <w:rsid w:val="005A48C0"/>
    <w:rsid w:val="005A4D7F"/>
    <w:rsid w:val="005A4DF2"/>
    <w:rsid w:val="005A524E"/>
    <w:rsid w:val="005A5373"/>
    <w:rsid w:val="005A5EDE"/>
    <w:rsid w:val="005A6120"/>
    <w:rsid w:val="005A62DA"/>
    <w:rsid w:val="005A6377"/>
    <w:rsid w:val="005A67B5"/>
    <w:rsid w:val="005A6932"/>
    <w:rsid w:val="005A69A0"/>
    <w:rsid w:val="005A72F9"/>
    <w:rsid w:val="005A73D4"/>
    <w:rsid w:val="005A756D"/>
    <w:rsid w:val="005A7611"/>
    <w:rsid w:val="005A765E"/>
    <w:rsid w:val="005A76F9"/>
    <w:rsid w:val="005A7A6F"/>
    <w:rsid w:val="005A7B40"/>
    <w:rsid w:val="005A7C9F"/>
    <w:rsid w:val="005A7E8F"/>
    <w:rsid w:val="005B00A3"/>
    <w:rsid w:val="005B087D"/>
    <w:rsid w:val="005B0EEC"/>
    <w:rsid w:val="005B1319"/>
    <w:rsid w:val="005B138E"/>
    <w:rsid w:val="005B1F6E"/>
    <w:rsid w:val="005B201C"/>
    <w:rsid w:val="005B26EE"/>
    <w:rsid w:val="005B2D93"/>
    <w:rsid w:val="005B2DB6"/>
    <w:rsid w:val="005B2FC6"/>
    <w:rsid w:val="005B31C7"/>
    <w:rsid w:val="005B31DB"/>
    <w:rsid w:val="005B332E"/>
    <w:rsid w:val="005B37F5"/>
    <w:rsid w:val="005B3FA2"/>
    <w:rsid w:val="005B458A"/>
    <w:rsid w:val="005B4774"/>
    <w:rsid w:val="005B4CED"/>
    <w:rsid w:val="005B5963"/>
    <w:rsid w:val="005B5C72"/>
    <w:rsid w:val="005B5E18"/>
    <w:rsid w:val="005B633F"/>
    <w:rsid w:val="005B6717"/>
    <w:rsid w:val="005B675A"/>
    <w:rsid w:val="005B6C41"/>
    <w:rsid w:val="005B71E2"/>
    <w:rsid w:val="005B75DE"/>
    <w:rsid w:val="005B7DE3"/>
    <w:rsid w:val="005C072D"/>
    <w:rsid w:val="005C0757"/>
    <w:rsid w:val="005C07B8"/>
    <w:rsid w:val="005C0A58"/>
    <w:rsid w:val="005C0A79"/>
    <w:rsid w:val="005C0BFE"/>
    <w:rsid w:val="005C1EC3"/>
    <w:rsid w:val="005C1FC7"/>
    <w:rsid w:val="005C2103"/>
    <w:rsid w:val="005C29F8"/>
    <w:rsid w:val="005C2A6A"/>
    <w:rsid w:val="005C2CB8"/>
    <w:rsid w:val="005C2E81"/>
    <w:rsid w:val="005C31DD"/>
    <w:rsid w:val="005C3F9E"/>
    <w:rsid w:val="005C3FC9"/>
    <w:rsid w:val="005C3FD3"/>
    <w:rsid w:val="005C439D"/>
    <w:rsid w:val="005C4F59"/>
    <w:rsid w:val="005C53D7"/>
    <w:rsid w:val="005C5793"/>
    <w:rsid w:val="005C5B23"/>
    <w:rsid w:val="005C6351"/>
    <w:rsid w:val="005C63D4"/>
    <w:rsid w:val="005C684D"/>
    <w:rsid w:val="005C6C87"/>
    <w:rsid w:val="005C738A"/>
    <w:rsid w:val="005C787D"/>
    <w:rsid w:val="005C79A6"/>
    <w:rsid w:val="005C7EE2"/>
    <w:rsid w:val="005D03C3"/>
    <w:rsid w:val="005D03CB"/>
    <w:rsid w:val="005D053C"/>
    <w:rsid w:val="005D0B8D"/>
    <w:rsid w:val="005D0DB8"/>
    <w:rsid w:val="005D125F"/>
    <w:rsid w:val="005D18AE"/>
    <w:rsid w:val="005D1B62"/>
    <w:rsid w:val="005D1E31"/>
    <w:rsid w:val="005D2A56"/>
    <w:rsid w:val="005D2B31"/>
    <w:rsid w:val="005D3132"/>
    <w:rsid w:val="005D361E"/>
    <w:rsid w:val="005D397A"/>
    <w:rsid w:val="005D3C57"/>
    <w:rsid w:val="005D4278"/>
    <w:rsid w:val="005D44C5"/>
    <w:rsid w:val="005D473A"/>
    <w:rsid w:val="005D5260"/>
    <w:rsid w:val="005D5F36"/>
    <w:rsid w:val="005D6BF9"/>
    <w:rsid w:val="005D6CCC"/>
    <w:rsid w:val="005D6D2F"/>
    <w:rsid w:val="005D6EE6"/>
    <w:rsid w:val="005D703A"/>
    <w:rsid w:val="005D70BD"/>
    <w:rsid w:val="005D71CE"/>
    <w:rsid w:val="005D724B"/>
    <w:rsid w:val="005D7584"/>
    <w:rsid w:val="005D7A5B"/>
    <w:rsid w:val="005D7BB0"/>
    <w:rsid w:val="005D7D31"/>
    <w:rsid w:val="005D7D5D"/>
    <w:rsid w:val="005D7E0B"/>
    <w:rsid w:val="005E00BB"/>
    <w:rsid w:val="005E0494"/>
    <w:rsid w:val="005E05BD"/>
    <w:rsid w:val="005E0BC3"/>
    <w:rsid w:val="005E0BF2"/>
    <w:rsid w:val="005E0E3C"/>
    <w:rsid w:val="005E0ED2"/>
    <w:rsid w:val="005E1306"/>
    <w:rsid w:val="005E1430"/>
    <w:rsid w:val="005E17B7"/>
    <w:rsid w:val="005E20CB"/>
    <w:rsid w:val="005E20E3"/>
    <w:rsid w:val="005E2875"/>
    <w:rsid w:val="005E2A59"/>
    <w:rsid w:val="005E2A96"/>
    <w:rsid w:val="005E2B35"/>
    <w:rsid w:val="005E30D3"/>
    <w:rsid w:val="005E345F"/>
    <w:rsid w:val="005E35C7"/>
    <w:rsid w:val="005E374D"/>
    <w:rsid w:val="005E3F77"/>
    <w:rsid w:val="005E4112"/>
    <w:rsid w:val="005E474E"/>
    <w:rsid w:val="005E4789"/>
    <w:rsid w:val="005E4FB2"/>
    <w:rsid w:val="005E545D"/>
    <w:rsid w:val="005E5A35"/>
    <w:rsid w:val="005E5AEB"/>
    <w:rsid w:val="005E5C2D"/>
    <w:rsid w:val="005E5E0C"/>
    <w:rsid w:val="005E61A3"/>
    <w:rsid w:val="005E638F"/>
    <w:rsid w:val="005E6819"/>
    <w:rsid w:val="005E69DC"/>
    <w:rsid w:val="005E6CFE"/>
    <w:rsid w:val="005E6D30"/>
    <w:rsid w:val="005E71A3"/>
    <w:rsid w:val="005E7281"/>
    <w:rsid w:val="005E77A9"/>
    <w:rsid w:val="005E7B35"/>
    <w:rsid w:val="005E7ED6"/>
    <w:rsid w:val="005F04A3"/>
    <w:rsid w:val="005F0545"/>
    <w:rsid w:val="005F05C9"/>
    <w:rsid w:val="005F09EF"/>
    <w:rsid w:val="005F09FD"/>
    <w:rsid w:val="005F0F0D"/>
    <w:rsid w:val="005F1137"/>
    <w:rsid w:val="005F116A"/>
    <w:rsid w:val="005F15E3"/>
    <w:rsid w:val="005F1766"/>
    <w:rsid w:val="005F1A4E"/>
    <w:rsid w:val="005F2128"/>
    <w:rsid w:val="005F2292"/>
    <w:rsid w:val="005F2492"/>
    <w:rsid w:val="005F25AB"/>
    <w:rsid w:val="005F3AAB"/>
    <w:rsid w:val="005F3B5A"/>
    <w:rsid w:val="005F4BD0"/>
    <w:rsid w:val="005F4C2D"/>
    <w:rsid w:val="005F4C75"/>
    <w:rsid w:val="005F51A0"/>
    <w:rsid w:val="005F5A6D"/>
    <w:rsid w:val="005F5AF1"/>
    <w:rsid w:val="005F624D"/>
    <w:rsid w:val="005F66B9"/>
    <w:rsid w:val="005F6CA5"/>
    <w:rsid w:val="005F6D2D"/>
    <w:rsid w:val="005F6F20"/>
    <w:rsid w:val="005F6FB1"/>
    <w:rsid w:val="005F702B"/>
    <w:rsid w:val="005F710B"/>
    <w:rsid w:val="005F71D6"/>
    <w:rsid w:val="005F77CC"/>
    <w:rsid w:val="005F7873"/>
    <w:rsid w:val="005F7932"/>
    <w:rsid w:val="005F7F21"/>
    <w:rsid w:val="005F7F44"/>
    <w:rsid w:val="005F7FD2"/>
    <w:rsid w:val="00600045"/>
    <w:rsid w:val="00600297"/>
    <w:rsid w:val="00600A00"/>
    <w:rsid w:val="00600B5F"/>
    <w:rsid w:val="00600DED"/>
    <w:rsid w:val="006010F4"/>
    <w:rsid w:val="0060121D"/>
    <w:rsid w:val="0060126E"/>
    <w:rsid w:val="00601363"/>
    <w:rsid w:val="00601922"/>
    <w:rsid w:val="0060192E"/>
    <w:rsid w:val="00601AA4"/>
    <w:rsid w:val="00601DE8"/>
    <w:rsid w:val="00601E4B"/>
    <w:rsid w:val="0060213D"/>
    <w:rsid w:val="006027AF"/>
    <w:rsid w:val="00602A1E"/>
    <w:rsid w:val="00602CCD"/>
    <w:rsid w:val="00602F73"/>
    <w:rsid w:val="0060384F"/>
    <w:rsid w:val="00603B84"/>
    <w:rsid w:val="00603BB2"/>
    <w:rsid w:val="00603C9C"/>
    <w:rsid w:val="006042EB"/>
    <w:rsid w:val="006045FC"/>
    <w:rsid w:val="006046E5"/>
    <w:rsid w:val="00604957"/>
    <w:rsid w:val="00604C8A"/>
    <w:rsid w:val="00604DCE"/>
    <w:rsid w:val="00604F0D"/>
    <w:rsid w:val="00604F91"/>
    <w:rsid w:val="006051BA"/>
    <w:rsid w:val="00605219"/>
    <w:rsid w:val="00605350"/>
    <w:rsid w:val="006055C7"/>
    <w:rsid w:val="00605627"/>
    <w:rsid w:val="006058E7"/>
    <w:rsid w:val="00605EE9"/>
    <w:rsid w:val="00606270"/>
    <w:rsid w:val="00606386"/>
    <w:rsid w:val="0060638F"/>
    <w:rsid w:val="0060644F"/>
    <w:rsid w:val="006065F9"/>
    <w:rsid w:val="00606604"/>
    <w:rsid w:val="00606EF9"/>
    <w:rsid w:val="006073E3"/>
    <w:rsid w:val="00607420"/>
    <w:rsid w:val="0060751D"/>
    <w:rsid w:val="00607796"/>
    <w:rsid w:val="0060788A"/>
    <w:rsid w:val="0060797C"/>
    <w:rsid w:val="00607CBC"/>
    <w:rsid w:val="00610232"/>
    <w:rsid w:val="00610234"/>
    <w:rsid w:val="006105D4"/>
    <w:rsid w:val="00610C26"/>
    <w:rsid w:val="0061155D"/>
    <w:rsid w:val="00611BDB"/>
    <w:rsid w:val="00611DD2"/>
    <w:rsid w:val="006125D4"/>
    <w:rsid w:val="00612637"/>
    <w:rsid w:val="00612A00"/>
    <w:rsid w:val="00612B41"/>
    <w:rsid w:val="00612CE2"/>
    <w:rsid w:val="00613146"/>
    <w:rsid w:val="006132D3"/>
    <w:rsid w:val="00613CD9"/>
    <w:rsid w:val="00613F73"/>
    <w:rsid w:val="00613FF6"/>
    <w:rsid w:val="0061457A"/>
    <w:rsid w:val="006145A2"/>
    <w:rsid w:val="00614B6B"/>
    <w:rsid w:val="0061503F"/>
    <w:rsid w:val="0061598C"/>
    <w:rsid w:val="0061612F"/>
    <w:rsid w:val="00616E51"/>
    <w:rsid w:val="0061757E"/>
    <w:rsid w:val="006178D7"/>
    <w:rsid w:val="00617B7D"/>
    <w:rsid w:val="00617B8B"/>
    <w:rsid w:val="0062039C"/>
    <w:rsid w:val="0062065E"/>
    <w:rsid w:val="006207E8"/>
    <w:rsid w:val="006207F7"/>
    <w:rsid w:val="00620A5B"/>
    <w:rsid w:val="00620C37"/>
    <w:rsid w:val="006213AD"/>
    <w:rsid w:val="0062143E"/>
    <w:rsid w:val="00621ACD"/>
    <w:rsid w:val="00621E9B"/>
    <w:rsid w:val="00622966"/>
    <w:rsid w:val="00622A36"/>
    <w:rsid w:val="00622A6F"/>
    <w:rsid w:val="00622A7C"/>
    <w:rsid w:val="00622D61"/>
    <w:rsid w:val="00622F3E"/>
    <w:rsid w:val="006233C6"/>
    <w:rsid w:val="006233FD"/>
    <w:rsid w:val="006235D3"/>
    <w:rsid w:val="006236CA"/>
    <w:rsid w:val="00623F19"/>
    <w:rsid w:val="0062425C"/>
    <w:rsid w:val="00624351"/>
    <w:rsid w:val="006244D2"/>
    <w:rsid w:val="00624677"/>
    <w:rsid w:val="006247ED"/>
    <w:rsid w:val="006253FA"/>
    <w:rsid w:val="0062566B"/>
    <w:rsid w:val="00625B63"/>
    <w:rsid w:val="00625CED"/>
    <w:rsid w:val="00625E3B"/>
    <w:rsid w:val="006262B8"/>
    <w:rsid w:val="00626D68"/>
    <w:rsid w:val="00626ED8"/>
    <w:rsid w:val="006270CD"/>
    <w:rsid w:val="006271D7"/>
    <w:rsid w:val="00627E10"/>
    <w:rsid w:val="00627EE8"/>
    <w:rsid w:val="00630595"/>
    <w:rsid w:val="006308FF"/>
    <w:rsid w:val="00630BA9"/>
    <w:rsid w:val="00630D3C"/>
    <w:rsid w:val="00630DFA"/>
    <w:rsid w:val="00630FBD"/>
    <w:rsid w:val="00630FBE"/>
    <w:rsid w:val="0063106F"/>
    <w:rsid w:val="00631525"/>
    <w:rsid w:val="00631858"/>
    <w:rsid w:val="006318BE"/>
    <w:rsid w:val="006323F6"/>
    <w:rsid w:val="0063280C"/>
    <w:rsid w:val="00632C7D"/>
    <w:rsid w:val="00632EA5"/>
    <w:rsid w:val="006330F4"/>
    <w:rsid w:val="006331C3"/>
    <w:rsid w:val="0063376F"/>
    <w:rsid w:val="00633AF5"/>
    <w:rsid w:val="00633B39"/>
    <w:rsid w:val="00633F58"/>
    <w:rsid w:val="00634289"/>
    <w:rsid w:val="006344F8"/>
    <w:rsid w:val="00634A4E"/>
    <w:rsid w:val="00634ED0"/>
    <w:rsid w:val="00635595"/>
    <w:rsid w:val="00636346"/>
    <w:rsid w:val="00636839"/>
    <w:rsid w:val="00636A00"/>
    <w:rsid w:val="00636B02"/>
    <w:rsid w:val="00636CB0"/>
    <w:rsid w:val="00637084"/>
    <w:rsid w:val="006370CE"/>
    <w:rsid w:val="0063711B"/>
    <w:rsid w:val="00637476"/>
    <w:rsid w:val="006404B4"/>
    <w:rsid w:val="006407C5"/>
    <w:rsid w:val="00640BD3"/>
    <w:rsid w:val="00640CF0"/>
    <w:rsid w:val="006412BF"/>
    <w:rsid w:val="00641B00"/>
    <w:rsid w:val="00642775"/>
    <w:rsid w:val="00642840"/>
    <w:rsid w:val="00642B1A"/>
    <w:rsid w:val="00642E90"/>
    <w:rsid w:val="00643123"/>
    <w:rsid w:val="006438D7"/>
    <w:rsid w:val="006439BA"/>
    <w:rsid w:val="00643B2F"/>
    <w:rsid w:val="00643BCF"/>
    <w:rsid w:val="00643DDA"/>
    <w:rsid w:val="006440E4"/>
    <w:rsid w:val="00644A6A"/>
    <w:rsid w:val="00644E64"/>
    <w:rsid w:val="00644FE6"/>
    <w:rsid w:val="00645350"/>
    <w:rsid w:val="00645369"/>
    <w:rsid w:val="0064559C"/>
    <w:rsid w:val="0064573F"/>
    <w:rsid w:val="00645ABA"/>
    <w:rsid w:val="006460AB"/>
    <w:rsid w:val="006460B1"/>
    <w:rsid w:val="00646951"/>
    <w:rsid w:val="00646B50"/>
    <w:rsid w:val="00646F34"/>
    <w:rsid w:val="00647252"/>
    <w:rsid w:val="006472BC"/>
    <w:rsid w:val="0064739E"/>
    <w:rsid w:val="0065042E"/>
    <w:rsid w:val="00650879"/>
    <w:rsid w:val="006518A3"/>
    <w:rsid w:val="00651FD3"/>
    <w:rsid w:val="006521CC"/>
    <w:rsid w:val="006522BA"/>
    <w:rsid w:val="00652520"/>
    <w:rsid w:val="006525AC"/>
    <w:rsid w:val="00652D42"/>
    <w:rsid w:val="00652E9C"/>
    <w:rsid w:val="006530C7"/>
    <w:rsid w:val="00653656"/>
    <w:rsid w:val="0065421A"/>
    <w:rsid w:val="00654349"/>
    <w:rsid w:val="006543A0"/>
    <w:rsid w:val="006545D1"/>
    <w:rsid w:val="006546AE"/>
    <w:rsid w:val="00654E17"/>
    <w:rsid w:val="00655BE9"/>
    <w:rsid w:val="00655C68"/>
    <w:rsid w:val="00655C85"/>
    <w:rsid w:val="00655EA5"/>
    <w:rsid w:val="00655F21"/>
    <w:rsid w:val="00656094"/>
    <w:rsid w:val="006562E2"/>
    <w:rsid w:val="006562F1"/>
    <w:rsid w:val="006563CF"/>
    <w:rsid w:val="006566FE"/>
    <w:rsid w:val="0065678D"/>
    <w:rsid w:val="00657570"/>
    <w:rsid w:val="006575A8"/>
    <w:rsid w:val="00657845"/>
    <w:rsid w:val="00657A75"/>
    <w:rsid w:val="00657E55"/>
    <w:rsid w:val="006607A5"/>
    <w:rsid w:val="006608AA"/>
    <w:rsid w:val="00660DA9"/>
    <w:rsid w:val="00660EF2"/>
    <w:rsid w:val="00660FA9"/>
    <w:rsid w:val="006614C9"/>
    <w:rsid w:val="006617D8"/>
    <w:rsid w:val="00661898"/>
    <w:rsid w:val="006619AC"/>
    <w:rsid w:val="00661A3E"/>
    <w:rsid w:val="00661BC6"/>
    <w:rsid w:val="00662A18"/>
    <w:rsid w:val="006631F2"/>
    <w:rsid w:val="006634B4"/>
    <w:rsid w:val="00663832"/>
    <w:rsid w:val="00663A65"/>
    <w:rsid w:val="00663F6F"/>
    <w:rsid w:val="00664756"/>
    <w:rsid w:val="00664CE7"/>
    <w:rsid w:val="00665115"/>
    <w:rsid w:val="0066539C"/>
    <w:rsid w:val="006654A2"/>
    <w:rsid w:val="00665542"/>
    <w:rsid w:val="006657A4"/>
    <w:rsid w:val="00665E73"/>
    <w:rsid w:val="00666185"/>
    <w:rsid w:val="00666457"/>
    <w:rsid w:val="006669E2"/>
    <w:rsid w:val="00666A2F"/>
    <w:rsid w:val="00666D36"/>
    <w:rsid w:val="00667215"/>
    <w:rsid w:val="00667510"/>
    <w:rsid w:val="00667594"/>
    <w:rsid w:val="00667699"/>
    <w:rsid w:val="006676A2"/>
    <w:rsid w:val="006678AC"/>
    <w:rsid w:val="00667C17"/>
    <w:rsid w:val="00667C46"/>
    <w:rsid w:val="00667E24"/>
    <w:rsid w:val="00667EAF"/>
    <w:rsid w:val="006701DB"/>
    <w:rsid w:val="006703EC"/>
    <w:rsid w:val="006708D6"/>
    <w:rsid w:val="00670BEE"/>
    <w:rsid w:val="00670D8D"/>
    <w:rsid w:val="00671388"/>
    <w:rsid w:val="00671608"/>
    <w:rsid w:val="006718CB"/>
    <w:rsid w:val="00671C2F"/>
    <w:rsid w:val="00671CC1"/>
    <w:rsid w:val="00671EFF"/>
    <w:rsid w:val="006723A4"/>
    <w:rsid w:val="0067343C"/>
    <w:rsid w:val="0067387C"/>
    <w:rsid w:val="0067390B"/>
    <w:rsid w:val="00673A5C"/>
    <w:rsid w:val="00673B61"/>
    <w:rsid w:val="006746EE"/>
    <w:rsid w:val="006747BA"/>
    <w:rsid w:val="00674869"/>
    <w:rsid w:val="0067498A"/>
    <w:rsid w:val="00674AF8"/>
    <w:rsid w:val="006753C5"/>
    <w:rsid w:val="00675B8C"/>
    <w:rsid w:val="00675F46"/>
    <w:rsid w:val="00676096"/>
    <w:rsid w:val="00676349"/>
    <w:rsid w:val="00676CDE"/>
    <w:rsid w:val="0067703F"/>
    <w:rsid w:val="006773B3"/>
    <w:rsid w:val="00677A7F"/>
    <w:rsid w:val="00677C9A"/>
    <w:rsid w:val="00677EC7"/>
    <w:rsid w:val="006801EA"/>
    <w:rsid w:val="00680294"/>
    <w:rsid w:val="00680A83"/>
    <w:rsid w:val="00681028"/>
    <w:rsid w:val="00681754"/>
    <w:rsid w:val="0068186E"/>
    <w:rsid w:val="00681B4A"/>
    <w:rsid w:val="00681B67"/>
    <w:rsid w:val="00681B9A"/>
    <w:rsid w:val="00681F6F"/>
    <w:rsid w:val="00682485"/>
    <w:rsid w:val="00682830"/>
    <w:rsid w:val="006830B0"/>
    <w:rsid w:val="006832CB"/>
    <w:rsid w:val="0068386D"/>
    <w:rsid w:val="00683AB6"/>
    <w:rsid w:val="00683CBA"/>
    <w:rsid w:val="006847E6"/>
    <w:rsid w:val="00684889"/>
    <w:rsid w:val="00684957"/>
    <w:rsid w:val="00685018"/>
    <w:rsid w:val="00685116"/>
    <w:rsid w:val="00685C06"/>
    <w:rsid w:val="006861E9"/>
    <w:rsid w:val="00686553"/>
    <w:rsid w:val="006905C6"/>
    <w:rsid w:val="00690C2B"/>
    <w:rsid w:val="00690FFD"/>
    <w:rsid w:val="00691322"/>
    <w:rsid w:val="006916CA"/>
    <w:rsid w:val="0069199A"/>
    <w:rsid w:val="00691AC6"/>
    <w:rsid w:val="00691CD3"/>
    <w:rsid w:val="00691CF9"/>
    <w:rsid w:val="00691FA7"/>
    <w:rsid w:val="0069274E"/>
    <w:rsid w:val="00692AF3"/>
    <w:rsid w:val="00692C91"/>
    <w:rsid w:val="00692E8E"/>
    <w:rsid w:val="006930CA"/>
    <w:rsid w:val="00693246"/>
    <w:rsid w:val="006934B2"/>
    <w:rsid w:val="0069368F"/>
    <w:rsid w:val="006938BC"/>
    <w:rsid w:val="00694105"/>
    <w:rsid w:val="0069429B"/>
    <w:rsid w:val="006949A2"/>
    <w:rsid w:val="00694DE4"/>
    <w:rsid w:val="00695118"/>
    <w:rsid w:val="00695491"/>
    <w:rsid w:val="00695D5F"/>
    <w:rsid w:val="0069602F"/>
    <w:rsid w:val="00696F6C"/>
    <w:rsid w:val="0069738D"/>
    <w:rsid w:val="0069752D"/>
    <w:rsid w:val="0069793D"/>
    <w:rsid w:val="00697943"/>
    <w:rsid w:val="006979D8"/>
    <w:rsid w:val="00697A09"/>
    <w:rsid w:val="006A03C5"/>
    <w:rsid w:val="006A0538"/>
    <w:rsid w:val="006A0B2A"/>
    <w:rsid w:val="006A0D60"/>
    <w:rsid w:val="006A10AE"/>
    <w:rsid w:val="006A14F1"/>
    <w:rsid w:val="006A1706"/>
    <w:rsid w:val="006A1967"/>
    <w:rsid w:val="006A1B2E"/>
    <w:rsid w:val="006A1F73"/>
    <w:rsid w:val="006A2011"/>
    <w:rsid w:val="006A20E5"/>
    <w:rsid w:val="006A2111"/>
    <w:rsid w:val="006A28F6"/>
    <w:rsid w:val="006A2A8B"/>
    <w:rsid w:val="006A2B80"/>
    <w:rsid w:val="006A3157"/>
    <w:rsid w:val="006A3971"/>
    <w:rsid w:val="006A3989"/>
    <w:rsid w:val="006A3E24"/>
    <w:rsid w:val="006A3F2A"/>
    <w:rsid w:val="006A463B"/>
    <w:rsid w:val="006A46C1"/>
    <w:rsid w:val="006A4A3E"/>
    <w:rsid w:val="006A4DF2"/>
    <w:rsid w:val="006A55C9"/>
    <w:rsid w:val="006A57B8"/>
    <w:rsid w:val="006A5811"/>
    <w:rsid w:val="006A58DC"/>
    <w:rsid w:val="006A5D26"/>
    <w:rsid w:val="006A5E3A"/>
    <w:rsid w:val="006A641C"/>
    <w:rsid w:val="006A64E7"/>
    <w:rsid w:val="006A67FB"/>
    <w:rsid w:val="006A7183"/>
    <w:rsid w:val="006A7259"/>
    <w:rsid w:val="006A78BA"/>
    <w:rsid w:val="006A79B4"/>
    <w:rsid w:val="006A7E4B"/>
    <w:rsid w:val="006B0229"/>
    <w:rsid w:val="006B02AA"/>
    <w:rsid w:val="006B03A1"/>
    <w:rsid w:val="006B040D"/>
    <w:rsid w:val="006B0A4D"/>
    <w:rsid w:val="006B101E"/>
    <w:rsid w:val="006B1087"/>
    <w:rsid w:val="006B1487"/>
    <w:rsid w:val="006B1E26"/>
    <w:rsid w:val="006B1E7D"/>
    <w:rsid w:val="006B1FED"/>
    <w:rsid w:val="006B20B7"/>
    <w:rsid w:val="006B222B"/>
    <w:rsid w:val="006B2299"/>
    <w:rsid w:val="006B2806"/>
    <w:rsid w:val="006B2B58"/>
    <w:rsid w:val="006B2E60"/>
    <w:rsid w:val="006B2FD5"/>
    <w:rsid w:val="006B346F"/>
    <w:rsid w:val="006B34D9"/>
    <w:rsid w:val="006B34EC"/>
    <w:rsid w:val="006B3B7E"/>
    <w:rsid w:val="006B3D1E"/>
    <w:rsid w:val="006B47AD"/>
    <w:rsid w:val="006B4B9B"/>
    <w:rsid w:val="006B5004"/>
    <w:rsid w:val="006B5204"/>
    <w:rsid w:val="006B5488"/>
    <w:rsid w:val="006B576D"/>
    <w:rsid w:val="006B579F"/>
    <w:rsid w:val="006B5AB4"/>
    <w:rsid w:val="006B5D4E"/>
    <w:rsid w:val="006B5D51"/>
    <w:rsid w:val="006B5F08"/>
    <w:rsid w:val="006B60C1"/>
    <w:rsid w:val="006B60FF"/>
    <w:rsid w:val="006B6109"/>
    <w:rsid w:val="006B62B1"/>
    <w:rsid w:val="006B638B"/>
    <w:rsid w:val="006B63C8"/>
    <w:rsid w:val="006B64AF"/>
    <w:rsid w:val="006B7169"/>
    <w:rsid w:val="006B7775"/>
    <w:rsid w:val="006B7A49"/>
    <w:rsid w:val="006B7BCA"/>
    <w:rsid w:val="006C04BF"/>
    <w:rsid w:val="006C0F8C"/>
    <w:rsid w:val="006C1218"/>
    <w:rsid w:val="006C148F"/>
    <w:rsid w:val="006C1578"/>
    <w:rsid w:val="006C1F9D"/>
    <w:rsid w:val="006C2056"/>
    <w:rsid w:val="006C268C"/>
    <w:rsid w:val="006C2807"/>
    <w:rsid w:val="006C307B"/>
    <w:rsid w:val="006C3264"/>
    <w:rsid w:val="006C36E5"/>
    <w:rsid w:val="006C3D89"/>
    <w:rsid w:val="006C3EAB"/>
    <w:rsid w:val="006C44DE"/>
    <w:rsid w:val="006C45CD"/>
    <w:rsid w:val="006C4958"/>
    <w:rsid w:val="006C4EAC"/>
    <w:rsid w:val="006C4F3D"/>
    <w:rsid w:val="006C5586"/>
    <w:rsid w:val="006C5ED2"/>
    <w:rsid w:val="006C5F25"/>
    <w:rsid w:val="006C601C"/>
    <w:rsid w:val="006C6291"/>
    <w:rsid w:val="006C642A"/>
    <w:rsid w:val="006C6B57"/>
    <w:rsid w:val="006C72AD"/>
    <w:rsid w:val="006C7A98"/>
    <w:rsid w:val="006C7E8A"/>
    <w:rsid w:val="006D0C94"/>
    <w:rsid w:val="006D0DAA"/>
    <w:rsid w:val="006D0E60"/>
    <w:rsid w:val="006D0EB0"/>
    <w:rsid w:val="006D1052"/>
    <w:rsid w:val="006D185C"/>
    <w:rsid w:val="006D19B9"/>
    <w:rsid w:val="006D1A46"/>
    <w:rsid w:val="006D1C1E"/>
    <w:rsid w:val="006D1CFA"/>
    <w:rsid w:val="006D1D4D"/>
    <w:rsid w:val="006D1FB6"/>
    <w:rsid w:val="006D2B7D"/>
    <w:rsid w:val="006D3F95"/>
    <w:rsid w:val="006D3FDF"/>
    <w:rsid w:val="006D40A7"/>
    <w:rsid w:val="006D44FD"/>
    <w:rsid w:val="006D4600"/>
    <w:rsid w:val="006D4773"/>
    <w:rsid w:val="006D47F6"/>
    <w:rsid w:val="006D5199"/>
    <w:rsid w:val="006D553A"/>
    <w:rsid w:val="006D5E0B"/>
    <w:rsid w:val="006D5E43"/>
    <w:rsid w:val="006D5FD0"/>
    <w:rsid w:val="006D6697"/>
    <w:rsid w:val="006D69EB"/>
    <w:rsid w:val="006D6B0D"/>
    <w:rsid w:val="006D6EA2"/>
    <w:rsid w:val="006D7077"/>
    <w:rsid w:val="006D7535"/>
    <w:rsid w:val="006D7655"/>
    <w:rsid w:val="006D77B8"/>
    <w:rsid w:val="006D7B29"/>
    <w:rsid w:val="006D7FA3"/>
    <w:rsid w:val="006E06BC"/>
    <w:rsid w:val="006E0DF3"/>
    <w:rsid w:val="006E0F15"/>
    <w:rsid w:val="006E0F9B"/>
    <w:rsid w:val="006E132E"/>
    <w:rsid w:val="006E195A"/>
    <w:rsid w:val="006E1BAB"/>
    <w:rsid w:val="006E1BE0"/>
    <w:rsid w:val="006E22D7"/>
    <w:rsid w:val="006E235C"/>
    <w:rsid w:val="006E25A7"/>
    <w:rsid w:val="006E25CF"/>
    <w:rsid w:val="006E2608"/>
    <w:rsid w:val="006E2FF9"/>
    <w:rsid w:val="006E3550"/>
    <w:rsid w:val="006E35ED"/>
    <w:rsid w:val="006E365D"/>
    <w:rsid w:val="006E36CC"/>
    <w:rsid w:val="006E37E6"/>
    <w:rsid w:val="006E384E"/>
    <w:rsid w:val="006E3D20"/>
    <w:rsid w:val="006E42C8"/>
    <w:rsid w:val="006E43B7"/>
    <w:rsid w:val="006E4496"/>
    <w:rsid w:val="006E456E"/>
    <w:rsid w:val="006E48A7"/>
    <w:rsid w:val="006E48C3"/>
    <w:rsid w:val="006E4CFD"/>
    <w:rsid w:val="006E4D0F"/>
    <w:rsid w:val="006E4F2D"/>
    <w:rsid w:val="006E51AA"/>
    <w:rsid w:val="006E5BD3"/>
    <w:rsid w:val="006E5D53"/>
    <w:rsid w:val="006E6336"/>
    <w:rsid w:val="006E68C1"/>
    <w:rsid w:val="006E6A66"/>
    <w:rsid w:val="006E6EF4"/>
    <w:rsid w:val="006E6FA5"/>
    <w:rsid w:val="006E70E7"/>
    <w:rsid w:val="006E7278"/>
    <w:rsid w:val="006E74D7"/>
    <w:rsid w:val="006E7662"/>
    <w:rsid w:val="006E797F"/>
    <w:rsid w:val="006E7DA4"/>
    <w:rsid w:val="006E7DF4"/>
    <w:rsid w:val="006F00F3"/>
    <w:rsid w:val="006F057B"/>
    <w:rsid w:val="006F0625"/>
    <w:rsid w:val="006F0819"/>
    <w:rsid w:val="006F0C8E"/>
    <w:rsid w:val="006F0D0D"/>
    <w:rsid w:val="006F0D55"/>
    <w:rsid w:val="006F0FC9"/>
    <w:rsid w:val="006F1511"/>
    <w:rsid w:val="006F15DD"/>
    <w:rsid w:val="006F191F"/>
    <w:rsid w:val="006F1922"/>
    <w:rsid w:val="006F1985"/>
    <w:rsid w:val="006F1B8B"/>
    <w:rsid w:val="006F1BF7"/>
    <w:rsid w:val="006F1D4B"/>
    <w:rsid w:val="006F1EE0"/>
    <w:rsid w:val="006F22BE"/>
    <w:rsid w:val="006F22C7"/>
    <w:rsid w:val="006F2636"/>
    <w:rsid w:val="006F27E7"/>
    <w:rsid w:val="006F2A8C"/>
    <w:rsid w:val="006F2FD9"/>
    <w:rsid w:val="006F3279"/>
    <w:rsid w:val="006F338A"/>
    <w:rsid w:val="006F3ADE"/>
    <w:rsid w:val="006F3C1B"/>
    <w:rsid w:val="006F3D9E"/>
    <w:rsid w:val="006F43B4"/>
    <w:rsid w:val="006F4496"/>
    <w:rsid w:val="006F4B04"/>
    <w:rsid w:val="006F4D2A"/>
    <w:rsid w:val="006F4E64"/>
    <w:rsid w:val="006F4EB4"/>
    <w:rsid w:val="006F4EEE"/>
    <w:rsid w:val="006F4F7E"/>
    <w:rsid w:val="006F4F84"/>
    <w:rsid w:val="006F514B"/>
    <w:rsid w:val="006F56C9"/>
    <w:rsid w:val="006F56EA"/>
    <w:rsid w:val="006F5953"/>
    <w:rsid w:val="006F5D41"/>
    <w:rsid w:val="006F5D72"/>
    <w:rsid w:val="006F5F59"/>
    <w:rsid w:val="006F5F8E"/>
    <w:rsid w:val="006F6010"/>
    <w:rsid w:val="006F638A"/>
    <w:rsid w:val="006F6537"/>
    <w:rsid w:val="006F6773"/>
    <w:rsid w:val="006F6A2F"/>
    <w:rsid w:val="006F6EFB"/>
    <w:rsid w:val="006F7424"/>
    <w:rsid w:val="006F7507"/>
    <w:rsid w:val="006F7756"/>
    <w:rsid w:val="006F775F"/>
    <w:rsid w:val="006F7807"/>
    <w:rsid w:val="006F7B4F"/>
    <w:rsid w:val="006F7FBD"/>
    <w:rsid w:val="00700090"/>
    <w:rsid w:val="00700249"/>
    <w:rsid w:val="007007C3"/>
    <w:rsid w:val="0070086C"/>
    <w:rsid w:val="007008AF"/>
    <w:rsid w:val="00700AF9"/>
    <w:rsid w:val="00700F70"/>
    <w:rsid w:val="007013E6"/>
    <w:rsid w:val="00701446"/>
    <w:rsid w:val="0070149A"/>
    <w:rsid w:val="00701677"/>
    <w:rsid w:val="00701823"/>
    <w:rsid w:val="00701B04"/>
    <w:rsid w:val="00701D3A"/>
    <w:rsid w:val="00701FBD"/>
    <w:rsid w:val="00701FF9"/>
    <w:rsid w:val="0070254B"/>
    <w:rsid w:val="0070283B"/>
    <w:rsid w:val="007028AB"/>
    <w:rsid w:val="00702B60"/>
    <w:rsid w:val="00702DAA"/>
    <w:rsid w:val="00702EDE"/>
    <w:rsid w:val="0070396D"/>
    <w:rsid w:val="00703C20"/>
    <w:rsid w:val="0070405A"/>
    <w:rsid w:val="00704165"/>
    <w:rsid w:val="0070457A"/>
    <w:rsid w:val="007046AF"/>
    <w:rsid w:val="0070497E"/>
    <w:rsid w:val="00705292"/>
    <w:rsid w:val="007055AA"/>
    <w:rsid w:val="00705722"/>
    <w:rsid w:val="00705C62"/>
    <w:rsid w:val="00705CA6"/>
    <w:rsid w:val="00705E8A"/>
    <w:rsid w:val="00706256"/>
    <w:rsid w:val="00706B84"/>
    <w:rsid w:val="00706E40"/>
    <w:rsid w:val="007075DC"/>
    <w:rsid w:val="007079C5"/>
    <w:rsid w:val="00707A33"/>
    <w:rsid w:val="00707C85"/>
    <w:rsid w:val="00707E60"/>
    <w:rsid w:val="0071025C"/>
    <w:rsid w:val="007103B0"/>
    <w:rsid w:val="00710C88"/>
    <w:rsid w:val="00710E16"/>
    <w:rsid w:val="00710F4C"/>
    <w:rsid w:val="00710FE3"/>
    <w:rsid w:val="00711041"/>
    <w:rsid w:val="00711069"/>
    <w:rsid w:val="007113E8"/>
    <w:rsid w:val="0071154E"/>
    <w:rsid w:val="00711997"/>
    <w:rsid w:val="00711B56"/>
    <w:rsid w:val="00712722"/>
    <w:rsid w:val="0071274F"/>
    <w:rsid w:val="00712A20"/>
    <w:rsid w:val="00712D69"/>
    <w:rsid w:val="00712F20"/>
    <w:rsid w:val="00713862"/>
    <w:rsid w:val="00713866"/>
    <w:rsid w:val="00713D87"/>
    <w:rsid w:val="00713EA0"/>
    <w:rsid w:val="00713EFD"/>
    <w:rsid w:val="0071412F"/>
    <w:rsid w:val="00714A47"/>
    <w:rsid w:val="00714C90"/>
    <w:rsid w:val="007150A5"/>
    <w:rsid w:val="007154DC"/>
    <w:rsid w:val="00715837"/>
    <w:rsid w:val="00715B8B"/>
    <w:rsid w:val="00715D6C"/>
    <w:rsid w:val="00715E61"/>
    <w:rsid w:val="00715E6E"/>
    <w:rsid w:val="007163BE"/>
    <w:rsid w:val="00716826"/>
    <w:rsid w:val="0071699A"/>
    <w:rsid w:val="00716CCE"/>
    <w:rsid w:val="00716FAA"/>
    <w:rsid w:val="00717035"/>
    <w:rsid w:val="007173F7"/>
    <w:rsid w:val="00717845"/>
    <w:rsid w:val="00717A79"/>
    <w:rsid w:val="00717BB1"/>
    <w:rsid w:val="00717E56"/>
    <w:rsid w:val="00717FA3"/>
    <w:rsid w:val="0072015C"/>
    <w:rsid w:val="00720CA2"/>
    <w:rsid w:val="00720E3D"/>
    <w:rsid w:val="00720FA2"/>
    <w:rsid w:val="00721165"/>
    <w:rsid w:val="00721537"/>
    <w:rsid w:val="00721BB4"/>
    <w:rsid w:val="00721CAD"/>
    <w:rsid w:val="00721DE1"/>
    <w:rsid w:val="00721FAC"/>
    <w:rsid w:val="007222D7"/>
    <w:rsid w:val="00722B1A"/>
    <w:rsid w:val="00722B38"/>
    <w:rsid w:val="0072353C"/>
    <w:rsid w:val="00723595"/>
    <w:rsid w:val="00723A49"/>
    <w:rsid w:val="007240D3"/>
    <w:rsid w:val="007244C4"/>
    <w:rsid w:val="00724E2E"/>
    <w:rsid w:val="00724E7F"/>
    <w:rsid w:val="00725058"/>
    <w:rsid w:val="0072533E"/>
    <w:rsid w:val="0072557E"/>
    <w:rsid w:val="0072562D"/>
    <w:rsid w:val="00725638"/>
    <w:rsid w:val="007258D2"/>
    <w:rsid w:val="00725914"/>
    <w:rsid w:val="00725A86"/>
    <w:rsid w:val="00725DCF"/>
    <w:rsid w:val="007267D6"/>
    <w:rsid w:val="00726A66"/>
    <w:rsid w:val="00726AD9"/>
    <w:rsid w:val="007274A4"/>
    <w:rsid w:val="007275AA"/>
    <w:rsid w:val="007275F0"/>
    <w:rsid w:val="0072798F"/>
    <w:rsid w:val="00727D8F"/>
    <w:rsid w:val="007300B0"/>
    <w:rsid w:val="007301CF"/>
    <w:rsid w:val="007301D8"/>
    <w:rsid w:val="00730968"/>
    <w:rsid w:val="00730C34"/>
    <w:rsid w:val="00730DE8"/>
    <w:rsid w:val="00730E5B"/>
    <w:rsid w:val="00731466"/>
    <w:rsid w:val="00731567"/>
    <w:rsid w:val="00731A03"/>
    <w:rsid w:val="00731BE1"/>
    <w:rsid w:val="007323E0"/>
    <w:rsid w:val="007326AA"/>
    <w:rsid w:val="00732858"/>
    <w:rsid w:val="00732ABC"/>
    <w:rsid w:val="00732E40"/>
    <w:rsid w:val="00732FB3"/>
    <w:rsid w:val="00733125"/>
    <w:rsid w:val="00733385"/>
    <w:rsid w:val="00733443"/>
    <w:rsid w:val="00733668"/>
    <w:rsid w:val="007337C9"/>
    <w:rsid w:val="007338C0"/>
    <w:rsid w:val="007338DD"/>
    <w:rsid w:val="007339BD"/>
    <w:rsid w:val="007339D5"/>
    <w:rsid w:val="00733B86"/>
    <w:rsid w:val="0073414E"/>
    <w:rsid w:val="007342C2"/>
    <w:rsid w:val="007345AA"/>
    <w:rsid w:val="0073479B"/>
    <w:rsid w:val="00734A2A"/>
    <w:rsid w:val="00734CAB"/>
    <w:rsid w:val="00735339"/>
    <w:rsid w:val="007357CC"/>
    <w:rsid w:val="007360C9"/>
    <w:rsid w:val="00736388"/>
    <w:rsid w:val="007365EF"/>
    <w:rsid w:val="00736A5E"/>
    <w:rsid w:val="00736CED"/>
    <w:rsid w:val="00736D39"/>
    <w:rsid w:val="00736DB3"/>
    <w:rsid w:val="00736E7D"/>
    <w:rsid w:val="0073748C"/>
    <w:rsid w:val="00737633"/>
    <w:rsid w:val="00737B94"/>
    <w:rsid w:val="00740167"/>
    <w:rsid w:val="0074023B"/>
    <w:rsid w:val="00741297"/>
    <w:rsid w:val="007412D7"/>
    <w:rsid w:val="00741448"/>
    <w:rsid w:val="00741531"/>
    <w:rsid w:val="00741B0D"/>
    <w:rsid w:val="00741C9B"/>
    <w:rsid w:val="00741E1F"/>
    <w:rsid w:val="00742435"/>
    <w:rsid w:val="00742479"/>
    <w:rsid w:val="00742A05"/>
    <w:rsid w:val="00742B8A"/>
    <w:rsid w:val="00742E40"/>
    <w:rsid w:val="00743193"/>
    <w:rsid w:val="0074320D"/>
    <w:rsid w:val="00743470"/>
    <w:rsid w:val="00743AFC"/>
    <w:rsid w:val="00743B31"/>
    <w:rsid w:val="00743BD5"/>
    <w:rsid w:val="00743BFC"/>
    <w:rsid w:val="00744268"/>
    <w:rsid w:val="00744368"/>
    <w:rsid w:val="007443BC"/>
    <w:rsid w:val="007443DF"/>
    <w:rsid w:val="00744735"/>
    <w:rsid w:val="0074487A"/>
    <w:rsid w:val="00745030"/>
    <w:rsid w:val="00745308"/>
    <w:rsid w:val="0074588B"/>
    <w:rsid w:val="00745974"/>
    <w:rsid w:val="00745BA5"/>
    <w:rsid w:val="00745F2D"/>
    <w:rsid w:val="00746307"/>
    <w:rsid w:val="007465A9"/>
    <w:rsid w:val="007465FA"/>
    <w:rsid w:val="00746784"/>
    <w:rsid w:val="00746A77"/>
    <w:rsid w:val="00746FAA"/>
    <w:rsid w:val="00747230"/>
    <w:rsid w:val="007474BA"/>
    <w:rsid w:val="007479A1"/>
    <w:rsid w:val="00747A9D"/>
    <w:rsid w:val="00747C34"/>
    <w:rsid w:val="0075066B"/>
    <w:rsid w:val="00750A98"/>
    <w:rsid w:val="00750AA2"/>
    <w:rsid w:val="00750F37"/>
    <w:rsid w:val="00751200"/>
    <w:rsid w:val="00751768"/>
    <w:rsid w:val="00751D70"/>
    <w:rsid w:val="007522AD"/>
    <w:rsid w:val="00752345"/>
    <w:rsid w:val="00752B7B"/>
    <w:rsid w:val="00752D92"/>
    <w:rsid w:val="00752E25"/>
    <w:rsid w:val="00752F1B"/>
    <w:rsid w:val="00752F7C"/>
    <w:rsid w:val="00752FA7"/>
    <w:rsid w:val="00753313"/>
    <w:rsid w:val="00753327"/>
    <w:rsid w:val="007534F4"/>
    <w:rsid w:val="00753CDA"/>
    <w:rsid w:val="00753D5E"/>
    <w:rsid w:val="00753E78"/>
    <w:rsid w:val="00754353"/>
    <w:rsid w:val="00754536"/>
    <w:rsid w:val="00754682"/>
    <w:rsid w:val="00754B89"/>
    <w:rsid w:val="00754F3B"/>
    <w:rsid w:val="00755433"/>
    <w:rsid w:val="0075595D"/>
    <w:rsid w:val="00755A44"/>
    <w:rsid w:val="0075601C"/>
    <w:rsid w:val="0075607D"/>
    <w:rsid w:val="00756258"/>
    <w:rsid w:val="007568F7"/>
    <w:rsid w:val="00756AD6"/>
    <w:rsid w:val="00756C52"/>
    <w:rsid w:val="00756D6B"/>
    <w:rsid w:val="00756E95"/>
    <w:rsid w:val="00756ED7"/>
    <w:rsid w:val="00756ED8"/>
    <w:rsid w:val="00756F49"/>
    <w:rsid w:val="00756F52"/>
    <w:rsid w:val="00757021"/>
    <w:rsid w:val="00757303"/>
    <w:rsid w:val="00757A71"/>
    <w:rsid w:val="00760655"/>
    <w:rsid w:val="00760811"/>
    <w:rsid w:val="00760907"/>
    <w:rsid w:val="00760E9D"/>
    <w:rsid w:val="00760F76"/>
    <w:rsid w:val="0076107E"/>
    <w:rsid w:val="007613CE"/>
    <w:rsid w:val="00761460"/>
    <w:rsid w:val="007616AB"/>
    <w:rsid w:val="00761EF5"/>
    <w:rsid w:val="00762094"/>
    <w:rsid w:val="0076221A"/>
    <w:rsid w:val="00762241"/>
    <w:rsid w:val="007624C0"/>
    <w:rsid w:val="007624F5"/>
    <w:rsid w:val="007627E5"/>
    <w:rsid w:val="0076294C"/>
    <w:rsid w:val="00762A0D"/>
    <w:rsid w:val="00762A10"/>
    <w:rsid w:val="00762EF6"/>
    <w:rsid w:val="00763699"/>
    <w:rsid w:val="00763778"/>
    <w:rsid w:val="0076388F"/>
    <w:rsid w:val="0076392B"/>
    <w:rsid w:val="00763D11"/>
    <w:rsid w:val="00763DC5"/>
    <w:rsid w:val="0076405D"/>
    <w:rsid w:val="0076409C"/>
    <w:rsid w:val="00764597"/>
    <w:rsid w:val="007646C5"/>
    <w:rsid w:val="007654E2"/>
    <w:rsid w:val="00765B32"/>
    <w:rsid w:val="00765DA3"/>
    <w:rsid w:val="00766129"/>
    <w:rsid w:val="0076618E"/>
    <w:rsid w:val="0076658D"/>
    <w:rsid w:val="0076682F"/>
    <w:rsid w:val="00766868"/>
    <w:rsid w:val="00766C5B"/>
    <w:rsid w:val="00767027"/>
    <w:rsid w:val="00767486"/>
    <w:rsid w:val="007678B9"/>
    <w:rsid w:val="0076791D"/>
    <w:rsid w:val="00767F78"/>
    <w:rsid w:val="00767F7D"/>
    <w:rsid w:val="00770114"/>
    <w:rsid w:val="007701FF"/>
    <w:rsid w:val="007702F5"/>
    <w:rsid w:val="007703A7"/>
    <w:rsid w:val="00770651"/>
    <w:rsid w:val="00770860"/>
    <w:rsid w:val="00770A4B"/>
    <w:rsid w:val="00770B08"/>
    <w:rsid w:val="0077105A"/>
    <w:rsid w:val="007714DD"/>
    <w:rsid w:val="0077238D"/>
    <w:rsid w:val="007723B3"/>
    <w:rsid w:val="0077277F"/>
    <w:rsid w:val="007727B1"/>
    <w:rsid w:val="00772D23"/>
    <w:rsid w:val="00772E33"/>
    <w:rsid w:val="007730DB"/>
    <w:rsid w:val="007732C4"/>
    <w:rsid w:val="0077335C"/>
    <w:rsid w:val="007739C3"/>
    <w:rsid w:val="00773D4F"/>
    <w:rsid w:val="00773F9F"/>
    <w:rsid w:val="007742DC"/>
    <w:rsid w:val="00774359"/>
    <w:rsid w:val="00774502"/>
    <w:rsid w:val="00774676"/>
    <w:rsid w:val="0077475F"/>
    <w:rsid w:val="00774949"/>
    <w:rsid w:val="007749DD"/>
    <w:rsid w:val="0077570C"/>
    <w:rsid w:val="007757F8"/>
    <w:rsid w:val="00775CA6"/>
    <w:rsid w:val="00776325"/>
    <w:rsid w:val="007769BA"/>
    <w:rsid w:val="00776C70"/>
    <w:rsid w:val="00776DAE"/>
    <w:rsid w:val="00776EC3"/>
    <w:rsid w:val="00777112"/>
    <w:rsid w:val="00777305"/>
    <w:rsid w:val="00777B31"/>
    <w:rsid w:val="00777BB2"/>
    <w:rsid w:val="00780BAB"/>
    <w:rsid w:val="00780BC4"/>
    <w:rsid w:val="00781520"/>
    <w:rsid w:val="00781538"/>
    <w:rsid w:val="007815AC"/>
    <w:rsid w:val="00781612"/>
    <w:rsid w:val="0078169F"/>
    <w:rsid w:val="00781CC3"/>
    <w:rsid w:val="0078211C"/>
    <w:rsid w:val="0078271A"/>
    <w:rsid w:val="00782E14"/>
    <w:rsid w:val="00783079"/>
    <w:rsid w:val="00783479"/>
    <w:rsid w:val="007838EF"/>
    <w:rsid w:val="0078395D"/>
    <w:rsid w:val="00783CC5"/>
    <w:rsid w:val="0078400B"/>
    <w:rsid w:val="00784070"/>
    <w:rsid w:val="00784541"/>
    <w:rsid w:val="00784CF9"/>
    <w:rsid w:val="00784D9E"/>
    <w:rsid w:val="007856D3"/>
    <w:rsid w:val="00785726"/>
    <w:rsid w:val="00785D8F"/>
    <w:rsid w:val="00786154"/>
    <w:rsid w:val="007866C9"/>
    <w:rsid w:val="00786F87"/>
    <w:rsid w:val="007871E0"/>
    <w:rsid w:val="007873E2"/>
    <w:rsid w:val="007877E8"/>
    <w:rsid w:val="00787FCD"/>
    <w:rsid w:val="00790789"/>
    <w:rsid w:val="007907D8"/>
    <w:rsid w:val="007908AB"/>
    <w:rsid w:val="0079094B"/>
    <w:rsid w:val="00790982"/>
    <w:rsid w:val="00790A9D"/>
    <w:rsid w:val="00790F2B"/>
    <w:rsid w:val="0079139E"/>
    <w:rsid w:val="0079174F"/>
    <w:rsid w:val="00791BB7"/>
    <w:rsid w:val="00791C52"/>
    <w:rsid w:val="00791CB0"/>
    <w:rsid w:val="0079266D"/>
    <w:rsid w:val="007931FC"/>
    <w:rsid w:val="00793332"/>
    <w:rsid w:val="00793811"/>
    <w:rsid w:val="0079412E"/>
    <w:rsid w:val="007942E4"/>
    <w:rsid w:val="007944AC"/>
    <w:rsid w:val="007944B4"/>
    <w:rsid w:val="007944C1"/>
    <w:rsid w:val="0079475D"/>
    <w:rsid w:val="0079493D"/>
    <w:rsid w:val="00794F0E"/>
    <w:rsid w:val="00794F57"/>
    <w:rsid w:val="007950F4"/>
    <w:rsid w:val="00795165"/>
    <w:rsid w:val="00795328"/>
    <w:rsid w:val="0079557A"/>
    <w:rsid w:val="00795B68"/>
    <w:rsid w:val="00795C8F"/>
    <w:rsid w:val="00795DCD"/>
    <w:rsid w:val="00795F5F"/>
    <w:rsid w:val="00796434"/>
    <w:rsid w:val="00796656"/>
    <w:rsid w:val="00796A3A"/>
    <w:rsid w:val="00796EA1"/>
    <w:rsid w:val="00797004"/>
    <w:rsid w:val="007972D2"/>
    <w:rsid w:val="00797B43"/>
    <w:rsid w:val="00797CDF"/>
    <w:rsid w:val="007A007C"/>
    <w:rsid w:val="007A0091"/>
    <w:rsid w:val="007A06A4"/>
    <w:rsid w:val="007A09F2"/>
    <w:rsid w:val="007A0C41"/>
    <w:rsid w:val="007A16A3"/>
    <w:rsid w:val="007A1CA1"/>
    <w:rsid w:val="007A1FA3"/>
    <w:rsid w:val="007A2245"/>
    <w:rsid w:val="007A25C7"/>
    <w:rsid w:val="007A2721"/>
    <w:rsid w:val="007A2D74"/>
    <w:rsid w:val="007A3470"/>
    <w:rsid w:val="007A349D"/>
    <w:rsid w:val="007A3A78"/>
    <w:rsid w:val="007A3CDB"/>
    <w:rsid w:val="007A40C4"/>
    <w:rsid w:val="007A4486"/>
    <w:rsid w:val="007A4ADE"/>
    <w:rsid w:val="007A4E14"/>
    <w:rsid w:val="007A4FD9"/>
    <w:rsid w:val="007A50D0"/>
    <w:rsid w:val="007A62B2"/>
    <w:rsid w:val="007A6325"/>
    <w:rsid w:val="007A6562"/>
    <w:rsid w:val="007A65A6"/>
    <w:rsid w:val="007A6631"/>
    <w:rsid w:val="007A6650"/>
    <w:rsid w:val="007A6D57"/>
    <w:rsid w:val="007A6FC0"/>
    <w:rsid w:val="007A71DC"/>
    <w:rsid w:val="007A7294"/>
    <w:rsid w:val="007A745C"/>
    <w:rsid w:val="007A7AD1"/>
    <w:rsid w:val="007A7B84"/>
    <w:rsid w:val="007B0087"/>
    <w:rsid w:val="007B0184"/>
    <w:rsid w:val="007B01DD"/>
    <w:rsid w:val="007B01F0"/>
    <w:rsid w:val="007B0575"/>
    <w:rsid w:val="007B0B4E"/>
    <w:rsid w:val="007B0BD4"/>
    <w:rsid w:val="007B0F46"/>
    <w:rsid w:val="007B10F1"/>
    <w:rsid w:val="007B133C"/>
    <w:rsid w:val="007B1867"/>
    <w:rsid w:val="007B18D5"/>
    <w:rsid w:val="007B20A5"/>
    <w:rsid w:val="007B2130"/>
    <w:rsid w:val="007B2444"/>
    <w:rsid w:val="007B2765"/>
    <w:rsid w:val="007B27E7"/>
    <w:rsid w:val="007B28E4"/>
    <w:rsid w:val="007B2928"/>
    <w:rsid w:val="007B2C1A"/>
    <w:rsid w:val="007B2EB8"/>
    <w:rsid w:val="007B3063"/>
    <w:rsid w:val="007B332C"/>
    <w:rsid w:val="007B339B"/>
    <w:rsid w:val="007B355B"/>
    <w:rsid w:val="007B3A22"/>
    <w:rsid w:val="007B4098"/>
    <w:rsid w:val="007B427E"/>
    <w:rsid w:val="007B5F45"/>
    <w:rsid w:val="007B6478"/>
    <w:rsid w:val="007B66A8"/>
    <w:rsid w:val="007B6D75"/>
    <w:rsid w:val="007B6E50"/>
    <w:rsid w:val="007B72EE"/>
    <w:rsid w:val="007B73E9"/>
    <w:rsid w:val="007B7517"/>
    <w:rsid w:val="007B7732"/>
    <w:rsid w:val="007B7BC7"/>
    <w:rsid w:val="007B7DA2"/>
    <w:rsid w:val="007C012F"/>
    <w:rsid w:val="007C0D8E"/>
    <w:rsid w:val="007C1188"/>
    <w:rsid w:val="007C12E6"/>
    <w:rsid w:val="007C1812"/>
    <w:rsid w:val="007C1A08"/>
    <w:rsid w:val="007C1D77"/>
    <w:rsid w:val="007C1E55"/>
    <w:rsid w:val="007C213D"/>
    <w:rsid w:val="007C262A"/>
    <w:rsid w:val="007C2AD6"/>
    <w:rsid w:val="007C2B2B"/>
    <w:rsid w:val="007C2EE7"/>
    <w:rsid w:val="007C312B"/>
    <w:rsid w:val="007C3678"/>
    <w:rsid w:val="007C3EDD"/>
    <w:rsid w:val="007C3FA6"/>
    <w:rsid w:val="007C400B"/>
    <w:rsid w:val="007C431A"/>
    <w:rsid w:val="007C4A64"/>
    <w:rsid w:val="007C5BE2"/>
    <w:rsid w:val="007C66FA"/>
    <w:rsid w:val="007C672B"/>
    <w:rsid w:val="007C692D"/>
    <w:rsid w:val="007C6C14"/>
    <w:rsid w:val="007C6DBC"/>
    <w:rsid w:val="007C6F28"/>
    <w:rsid w:val="007C6F53"/>
    <w:rsid w:val="007C7444"/>
    <w:rsid w:val="007C7E70"/>
    <w:rsid w:val="007D0199"/>
    <w:rsid w:val="007D0525"/>
    <w:rsid w:val="007D06D6"/>
    <w:rsid w:val="007D0799"/>
    <w:rsid w:val="007D0917"/>
    <w:rsid w:val="007D136B"/>
    <w:rsid w:val="007D17FF"/>
    <w:rsid w:val="007D1A96"/>
    <w:rsid w:val="007D1B7E"/>
    <w:rsid w:val="007D1CAC"/>
    <w:rsid w:val="007D26F4"/>
    <w:rsid w:val="007D2CF2"/>
    <w:rsid w:val="007D30ED"/>
    <w:rsid w:val="007D35F9"/>
    <w:rsid w:val="007D407C"/>
    <w:rsid w:val="007D49D1"/>
    <w:rsid w:val="007D5604"/>
    <w:rsid w:val="007D595B"/>
    <w:rsid w:val="007D640C"/>
    <w:rsid w:val="007D6589"/>
    <w:rsid w:val="007D6B13"/>
    <w:rsid w:val="007D6CBE"/>
    <w:rsid w:val="007D70E2"/>
    <w:rsid w:val="007D71E6"/>
    <w:rsid w:val="007D7799"/>
    <w:rsid w:val="007D7A07"/>
    <w:rsid w:val="007D7BC0"/>
    <w:rsid w:val="007E0359"/>
    <w:rsid w:val="007E0C48"/>
    <w:rsid w:val="007E0C4B"/>
    <w:rsid w:val="007E0E21"/>
    <w:rsid w:val="007E0ED1"/>
    <w:rsid w:val="007E1221"/>
    <w:rsid w:val="007E1663"/>
    <w:rsid w:val="007E1739"/>
    <w:rsid w:val="007E17DE"/>
    <w:rsid w:val="007E1F2C"/>
    <w:rsid w:val="007E225E"/>
    <w:rsid w:val="007E23C4"/>
    <w:rsid w:val="007E27F0"/>
    <w:rsid w:val="007E29AD"/>
    <w:rsid w:val="007E2F66"/>
    <w:rsid w:val="007E32F4"/>
    <w:rsid w:val="007E3445"/>
    <w:rsid w:val="007E347B"/>
    <w:rsid w:val="007E3502"/>
    <w:rsid w:val="007E35D5"/>
    <w:rsid w:val="007E361C"/>
    <w:rsid w:val="007E3770"/>
    <w:rsid w:val="007E3850"/>
    <w:rsid w:val="007E51B1"/>
    <w:rsid w:val="007E54B9"/>
    <w:rsid w:val="007E5885"/>
    <w:rsid w:val="007E5C34"/>
    <w:rsid w:val="007E6628"/>
    <w:rsid w:val="007E66F9"/>
    <w:rsid w:val="007E6BAE"/>
    <w:rsid w:val="007E6E3A"/>
    <w:rsid w:val="007E7090"/>
    <w:rsid w:val="007E72C9"/>
    <w:rsid w:val="007E72E8"/>
    <w:rsid w:val="007E797C"/>
    <w:rsid w:val="007E79F0"/>
    <w:rsid w:val="007E7BB0"/>
    <w:rsid w:val="007E7D9E"/>
    <w:rsid w:val="007F002E"/>
    <w:rsid w:val="007F036E"/>
    <w:rsid w:val="007F0B9D"/>
    <w:rsid w:val="007F0BE7"/>
    <w:rsid w:val="007F0DEB"/>
    <w:rsid w:val="007F108E"/>
    <w:rsid w:val="007F122C"/>
    <w:rsid w:val="007F185E"/>
    <w:rsid w:val="007F2B09"/>
    <w:rsid w:val="007F2DBC"/>
    <w:rsid w:val="007F333A"/>
    <w:rsid w:val="007F33B4"/>
    <w:rsid w:val="007F36E9"/>
    <w:rsid w:val="007F377B"/>
    <w:rsid w:val="007F37C5"/>
    <w:rsid w:val="007F3EA1"/>
    <w:rsid w:val="007F3EF9"/>
    <w:rsid w:val="007F43FC"/>
    <w:rsid w:val="007F489E"/>
    <w:rsid w:val="007F4A21"/>
    <w:rsid w:val="007F4B70"/>
    <w:rsid w:val="007F4C4B"/>
    <w:rsid w:val="007F4E3B"/>
    <w:rsid w:val="007F4E9B"/>
    <w:rsid w:val="007F50B5"/>
    <w:rsid w:val="007F5307"/>
    <w:rsid w:val="007F57D7"/>
    <w:rsid w:val="007F5834"/>
    <w:rsid w:val="007F5FC2"/>
    <w:rsid w:val="007F60E6"/>
    <w:rsid w:val="007F64FE"/>
    <w:rsid w:val="007F671D"/>
    <w:rsid w:val="007F6795"/>
    <w:rsid w:val="007F6842"/>
    <w:rsid w:val="007F68CA"/>
    <w:rsid w:val="007F6D5F"/>
    <w:rsid w:val="007F6DE2"/>
    <w:rsid w:val="007F74C7"/>
    <w:rsid w:val="007F7749"/>
    <w:rsid w:val="007F79C0"/>
    <w:rsid w:val="007F7B5B"/>
    <w:rsid w:val="007F7DC5"/>
    <w:rsid w:val="007F7FD7"/>
    <w:rsid w:val="0080022F"/>
    <w:rsid w:val="0080027C"/>
    <w:rsid w:val="00800300"/>
    <w:rsid w:val="00800721"/>
    <w:rsid w:val="00800DE8"/>
    <w:rsid w:val="008010B6"/>
    <w:rsid w:val="00801475"/>
    <w:rsid w:val="008017DC"/>
    <w:rsid w:val="00801EED"/>
    <w:rsid w:val="008023E4"/>
    <w:rsid w:val="008028FA"/>
    <w:rsid w:val="00803989"/>
    <w:rsid w:val="00803A37"/>
    <w:rsid w:val="00803DCA"/>
    <w:rsid w:val="00803E59"/>
    <w:rsid w:val="00803F0C"/>
    <w:rsid w:val="008040AC"/>
    <w:rsid w:val="008040C0"/>
    <w:rsid w:val="0080443C"/>
    <w:rsid w:val="00804720"/>
    <w:rsid w:val="008047C1"/>
    <w:rsid w:val="00804869"/>
    <w:rsid w:val="00804E49"/>
    <w:rsid w:val="00804EF6"/>
    <w:rsid w:val="00804FEA"/>
    <w:rsid w:val="008052AE"/>
    <w:rsid w:val="0080531D"/>
    <w:rsid w:val="008053E8"/>
    <w:rsid w:val="008054CB"/>
    <w:rsid w:val="008056D0"/>
    <w:rsid w:val="00806765"/>
    <w:rsid w:val="008067E1"/>
    <w:rsid w:val="00806BE0"/>
    <w:rsid w:val="00807371"/>
    <w:rsid w:val="008116B2"/>
    <w:rsid w:val="00811C4B"/>
    <w:rsid w:val="008128FE"/>
    <w:rsid w:val="00812936"/>
    <w:rsid w:val="00813438"/>
    <w:rsid w:val="00813EAA"/>
    <w:rsid w:val="00813EFA"/>
    <w:rsid w:val="0081433C"/>
    <w:rsid w:val="008145C4"/>
    <w:rsid w:val="008147F9"/>
    <w:rsid w:val="008154A7"/>
    <w:rsid w:val="008156FB"/>
    <w:rsid w:val="00816121"/>
    <w:rsid w:val="00816267"/>
    <w:rsid w:val="008166BD"/>
    <w:rsid w:val="00816731"/>
    <w:rsid w:val="0081678F"/>
    <w:rsid w:val="008169C2"/>
    <w:rsid w:val="00816D7D"/>
    <w:rsid w:val="008173A0"/>
    <w:rsid w:val="008174C9"/>
    <w:rsid w:val="00817791"/>
    <w:rsid w:val="008178E3"/>
    <w:rsid w:val="008179A3"/>
    <w:rsid w:val="00817A93"/>
    <w:rsid w:val="00817E02"/>
    <w:rsid w:val="00817E30"/>
    <w:rsid w:val="00817E47"/>
    <w:rsid w:val="008200B5"/>
    <w:rsid w:val="00820A84"/>
    <w:rsid w:val="00820D80"/>
    <w:rsid w:val="00820DEA"/>
    <w:rsid w:val="00821048"/>
    <w:rsid w:val="00821555"/>
    <w:rsid w:val="008218C9"/>
    <w:rsid w:val="00821AF3"/>
    <w:rsid w:val="008223FF"/>
    <w:rsid w:val="0082288B"/>
    <w:rsid w:val="00822D40"/>
    <w:rsid w:val="00822DFA"/>
    <w:rsid w:val="00822F89"/>
    <w:rsid w:val="00822F9A"/>
    <w:rsid w:val="008232D1"/>
    <w:rsid w:val="00823C0E"/>
    <w:rsid w:val="00823CA7"/>
    <w:rsid w:val="008244CF"/>
    <w:rsid w:val="008249E3"/>
    <w:rsid w:val="00824A35"/>
    <w:rsid w:val="00824A98"/>
    <w:rsid w:val="00824F31"/>
    <w:rsid w:val="00825489"/>
    <w:rsid w:val="00825795"/>
    <w:rsid w:val="00825D86"/>
    <w:rsid w:val="00825F44"/>
    <w:rsid w:val="00826632"/>
    <w:rsid w:val="00826959"/>
    <w:rsid w:val="00826B5B"/>
    <w:rsid w:val="00826D30"/>
    <w:rsid w:val="00826E04"/>
    <w:rsid w:val="008278E4"/>
    <w:rsid w:val="0083047C"/>
    <w:rsid w:val="0083073C"/>
    <w:rsid w:val="0083083B"/>
    <w:rsid w:val="00830B2A"/>
    <w:rsid w:val="00830D8E"/>
    <w:rsid w:val="00830E86"/>
    <w:rsid w:val="00831378"/>
    <w:rsid w:val="008316B0"/>
    <w:rsid w:val="008316E4"/>
    <w:rsid w:val="0083174E"/>
    <w:rsid w:val="0083181B"/>
    <w:rsid w:val="00831B84"/>
    <w:rsid w:val="00831F54"/>
    <w:rsid w:val="00832074"/>
    <w:rsid w:val="00832381"/>
    <w:rsid w:val="008323DD"/>
    <w:rsid w:val="00832700"/>
    <w:rsid w:val="00832857"/>
    <w:rsid w:val="00832867"/>
    <w:rsid w:val="00832982"/>
    <w:rsid w:val="00832E22"/>
    <w:rsid w:val="00833465"/>
    <w:rsid w:val="00833594"/>
    <w:rsid w:val="00833BA9"/>
    <w:rsid w:val="00833C6A"/>
    <w:rsid w:val="00833C9D"/>
    <w:rsid w:val="00833EFB"/>
    <w:rsid w:val="008341DE"/>
    <w:rsid w:val="00834E0C"/>
    <w:rsid w:val="0083503D"/>
    <w:rsid w:val="0083504F"/>
    <w:rsid w:val="00835215"/>
    <w:rsid w:val="00835CC0"/>
    <w:rsid w:val="00835F15"/>
    <w:rsid w:val="008362B4"/>
    <w:rsid w:val="008365DD"/>
    <w:rsid w:val="00836E82"/>
    <w:rsid w:val="008373A0"/>
    <w:rsid w:val="00837AEF"/>
    <w:rsid w:val="00837D7F"/>
    <w:rsid w:val="00837E36"/>
    <w:rsid w:val="00837EE7"/>
    <w:rsid w:val="0084033F"/>
    <w:rsid w:val="00840340"/>
    <w:rsid w:val="00840862"/>
    <w:rsid w:val="0084092D"/>
    <w:rsid w:val="00840C46"/>
    <w:rsid w:val="00840FC7"/>
    <w:rsid w:val="008412AB"/>
    <w:rsid w:val="0084165C"/>
    <w:rsid w:val="008416F0"/>
    <w:rsid w:val="00841AFD"/>
    <w:rsid w:val="00841D90"/>
    <w:rsid w:val="00841E96"/>
    <w:rsid w:val="008424F7"/>
    <w:rsid w:val="00842690"/>
    <w:rsid w:val="00842A60"/>
    <w:rsid w:val="00842C3B"/>
    <w:rsid w:val="00842D19"/>
    <w:rsid w:val="0084307C"/>
    <w:rsid w:val="00843128"/>
    <w:rsid w:val="008431A2"/>
    <w:rsid w:val="0084375C"/>
    <w:rsid w:val="0084384E"/>
    <w:rsid w:val="00843D96"/>
    <w:rsid w:val="00843E63"/>
    <w:rsid w:val="008440F0"/>
    <w:rsid w:val="00844584"/>
    <w:rsid w:val="00844997"/>
    <w:rsid w:val="00844C0E"/>
    <w:rsid w:val="00844E57"/>
    <w:rsid w:val="00845014"/>
    <w:rsid w:val="0084536C"/>
    <w:rsid w:val="00845596"/>
    <w:rsid w:val="0084582C"/>
    <w:rsid w:val="00845996"/>
    <w:rsid w:val="00846035"/>
    <w:rsid w:val="008464FC"/>
    <w:rsid w:val="008465E0"/>
    <w:rsid w:val="008466E2"/>
    <w:rsid w:val="0084671E"/>
    <w:rsid w:val="00846921"/>
    <w:rsid w:val="00847830"/>
    <w:rsid w:val="00847DC7"/>
    <w:rsid w:val="00847F54"/>
    <w:rsid w:val="0085017D"/>
    <w:rsid w:val="00850450"/>
    <w:rsid w:val="008504F2"/>
    <w:rsid w:val="008508CF"/>
    <w:rsid w:val="00850917"/>
    <w:rsid w:val="00850A14"/>
    <w:rsid w:val="00850E62"/>
    <w:rsid w:val="00851562"/>
    <w:rsid w:val="0085204D"/>
    <w:rsid w:val="008520FC"/>
    <w:rsid w:val="00852304"/>
    <w:rsid w:val="0085253F"/>
    <w:rsid w:val="00852B95"/>
    <w:rsid w:val="008530BD"/>
    <w:rsid w:val="008532D6"/>
    <w:rsid w:val="00853947"/>
    <w:rsid w:val="00854260"/>
    <w:rsid w:val="0085484A"/>
    <w:rsid w:val="00854B8D"/>
    <w:rsid w:val="00854C25"/>
    <w:rsid w:val="00854C81"/>
    <w:rsid w:val="00855197"/>
    <w:rsid w:val="0085527E"/>
    <w:rsid w:val="00855B5B"/>
    <w:rsid w:val="00855D75"/>
    <w:rsid w:val="008564AD"/>
    <w:rsid w:val="00856569"/>
    <w:rsid w:val="00856965"/>
    <w:rsid w:val="0085750A"/>
    <w:rsid w:val="008575A7"/>
    <w:rsid w:val="008578D9"/>
    <w:rsid w:val="00857BB3"/>
    <w:rsid w:val="00857BE6"/>
    <w:rsid w:val="008602CF"/>
    <w:rsid w:val="00860683"/>
    <w:rsid w:val="00860BF3"/>
    <w:rsid w:val="00860D69"/>
    <w:rsid w:val="008610BA"/>
    <w:rsid w:val="00861206"/>
    <w:rsid w:val="00861269"/>
    <w:rsid w:val="0086149E"/>
    <w:rsid w:val="00861813"/>
    <w:rsid w:val="00861979"/>
    <w:rsid w:val="00861E8B"/>
    <w:rsid w:val="00861FEA"/>
    <w:rsid w:val="008620EA"/>
    <w:rsid w:val="008621F8"/>
    <w:rsid w:val="0086220C"/>
    <w:rsid w:val="008624C9"/>
    <w:rsid w:val="00862839"/>
    <w:rsid w:val="00862855"/>
    <w:rsid w:val="0086301C"/>
    <w:rsid w:val="008633D5"/>
    <w:rsid w:val="008635BD"/>
    <w:rsid w:val="00863861"/>
    <w:rsid w:val="00863A63"/>
    <w:rsid w:val="00863C71"/>
    <w:rsid w:val="008640A1"/>
    <w:rsid w:val="0086473B"/>
    <w:rsid w:val="008649BC"/>
    <w:rsid w:val="00865505"/>
    <w:rsid w:val="00865785"/>
    <w:rsid w:val="0086585C"/>
    <w:rsid w:val="00865EB3"/>
    <w:rsid w:val="00865F39"/>
    <w:rsid w:val="008661AA"/>
    <w:rsid w:val="0086699F"/>
    <w:rsid w:val="00867109"/>
    <w:rsid w:val="008674EE"/>
    <w:rsid w:val="00867946"/>
    <w:rsid w:val="00867B4F"/>
    <w:rsid w:val="00867BCA"/>
    <w:rsid w:val="00867F39"/>
    <w:rsid w:val="008702AA"/>
    <w:rsid w:val="00870650"/>
    <w:rsid w:val="00870BC8"/>
    <w:rsid w:val="00870BDD"/>
    <w:rsid w:val="00871120"/>
    <w:rsid w:val="00871147"/>
    <w:rsid w:val="00871F1C"/>
    <w:rsid w:val="00871F9A"/>
    <w:rsid w:val="008720CB"/>
    <w:rsid w:val="0087224C"/>
    <w:rsid w:val="00872443"/>
    <w:rsid w:val="00872D3E"/>
    <w:rsid w:val="00872D65"/>
    <w:rsid w:val="00873291"/>
    <w:rsid w:val="00873412"/>
    <w:rsid w:val="00873B8B"/>
    <w:rsid w:val="00873DE5"/>
    <w:rsid w:val="00873EAC"/>
    <w:rsid w:val="00874766"/>
    <w:rsid w:val="00874B5C"/>
    <w:rsid w:val="008756A6"/>
    <w:rsid w:val="0087573E"/>
    <w:rsid w:val="00875E7A"/>
    <w:rsid w:val="00876379"/>
    <w:rsid w:val="008763B5"/>
    <w:rsid w:val="008765DA"/>
    <w:rsid w:val="008766E7"/>
    <w:rsid w:val="0087675D"/>
    <w:rsid w:val="00876E18"/>
    <w:rsid w:val="00876E8F"/>
    <w:rsid w:val="0087709F"/>
    <w:rsid w:val="008775C8"/>
    <w:rsid w:val="00877CF0"/>
    <w:rsid w:val="0088031E"/>
    <w:rsid w:val="00880509"/>
    <w:rsid w:val="00880556"/>
    <w:rsid w:val="00880588"/>
    <w:rsid w:val="00880685"/>
    <w:rsid w:val="00880AAF"/>
    <w:rsid w:val="0088113D"/>
    <w:rsid w:val="0088150E"/>
    <w:rsid w:val="0088182A"/>
    <w:rsid w:val="00881D14"/>
    <w:rsid w:val="00881D68"/>
    <w:rsid w:val="00881FD6"/>
    <w:rsid w:val="0088219E"/>
    <w:rsid w:val="008821E9"/>
    <w:rsid w:val="008824FA"/>
    <w:rsid w:val="00882552"/>
    <w:rsid w:val="008825B9"/>
    <w:rsid w:val="00882D2F"/>
    <w:rsid w:val="00882E46"/>
    <w:rsid w:val="00882F89"/>
    <w:rsid w:val="008835AA"/>
    <w:rsid w:val="0088372A"/>
    <w:rsid w:val="008837E9"/>
    <w:rsid w:val="00883888"/>
    <w:rsid w:val="00883D64"/>
    <w:rsid w:val="00883FC0"/>
    <w:rsid w:val="00884061"/>
    <w:rsid w:val="00884150"/>
    <w:rsid w:val="008844F1"/>
    <w:rsid w:val="00884E57"/>
    <w:rsid w:val="008853D3"/>
    <w:rsid w:val="008857DD"/>
    <w:rsid w:val="008858AE"/>
    <w:rsid w:val="008859D6"/>
    <w:rsid w:val="00885F4E"/>
    <w:rsid w:val="008860D8"/>
    <w:rsid w:val="008869D8"/>
    <w:rsid w:val="00887785"/>
    <w:rsid w:val="00887868"/>
    <w:rsid w:val="00887A78"/>
    <w:rsid w:val="00890041"/>
    <w:rsid w:val="008901E8"/>
    <w:rsid w:val="00890651"/>
    <w:rsid w:val="00890B5C"/>
    <w:rsid w:val="00891091"/>
    <w:rsid w:val="0089181C"/>
    <w:rsid w:val="00891F8E"/>
    <w:rsid w:val="00892082"/>
    <w:rsid w:val="008920A1"/>
    <w:rsid w:val="0089257C"/>
    <w:rsid w:val="008928D6"/>
    <w:rsid w:val="008929DD"/>
    <w:rsid w:val="00892C1B"/>
    <w:rsid w:val="00892E4A"/>
    <w:rsid w:val="008932DB"/>
    <w:rsid w:val="008932EE"/>
    <w:rsid w:val="00893362"/>
    <w:rsid w:val="0089338C"/>
    <w:rsid w:val="0089366A"/>
    <w:rsid w:val="00893684"/>
    <w:rsid w:val="008937D4"/>
    <w:rsid w:val="00893D95"/>
    <w:rsid w:val="00893E51"/>
    <w:rsid w:val="00894049"/>
    <w:rsid w:val="00894149"/>
    <w:rsid w:val="0089429C"/>
    <w:rsid w:val="008944AC"/>
    <w:rsid w:val="0089484F"/>
    <w:rsid w:val="00894F60"/>
    <w:rsid w:val="008951D0"/>
    <w:rsid w:val="008951F6"/>
    <w:rsid w:val="00895714"/>
    <w:rsid w:val="0089604C"/>
    <w:rsid w:val="00896885"/>
    <w:rsid w:val="00896902"/>
    <w:rsid w:val="00896D89"/>
    <w:rsid w:val="008977A8"/>
    <w:rsid w:val="0089788D"/>
    <w:rsid w:val="0089798B"/>
    <w:rsid w:val="00897A77"/>
    <w:rsid w:val="008A01B1"/>
    <w:rsid w:val="008A036B"/>
    <w:rsid w:val="008A0506"/>
    <w:rsid w:val="008A09E6"/>
    <w:rsid w:val="008A0D87"/>
    <w:rsid w:val="008A1066"/>
    <w:rsid w:val="008A1339"/>
    <w:rsid w:val="008A13B3"/>
    <w:rsid w:val="008A1B9C"/>
    <w:rsid w:val="008A2157"/>
    <w:rsid w:val="008A2667"/>
    <w:rsid w:val="008A2763"/>
    <w:rsid w:val="008A2780"/>
    <w:rsid w:val="008A28A6"/>
    <w:rsid w:val="008A2A1F"/>
    <w:rsid w:val="008A2A78"/>
    <w:rsid w:val="008A2DD1"/>
    <w:rsid w:val="008A2E0B"/>
    <w:rsid w:val="008A3233"/>
    <w:rsid w:val="008A3423"/>
    <w:rsid w:val="008A353C"/>
    <w:rsid w:val="008A395F"/>
    <w:rsid w:val="008A4457"/>
    <w:rsid w:val="008A4C96"/>
    <w:rsid w:val="008A50B8"/>
    <w:rsid w:val="008A55E2"/>
    <w:rsid w:val="008A5C91"/>
    <w:rsid w:val="008A630F"/>
    <w:rsid w:val="008A69FA"/>
    <w:rsid w:val="008A6C73"/>
    <w:rsid w:val="008A6E95"/>
    <w:rsid w:val="008A75A3"/>
    <w:rsid w:val="008A7693"/>
    <w:rsid w:val="008A773E"/>
    <w:rsid w:val="008A7CF5"/>
    <w:rsid w:val="008A7EA1"/>
    <w:rsid w:val="008B08C2"/>
    <w:rsid w:val="008B0C19"/>
    <w:rsid w:val="008B1270"/>
    <w:rsid w:val="008B1566"/>
    <w:rsid w:val="008B168C"/>
    <w:rsid w:val="008B2575"/>
    <w:rsid w:val="008B27BA"/>
    <w:rsid w:val="008B2AB4"/>
    <w:rsid w:val="008B2C5C"/>
    <w:rsid w:val="008B2E29"/>
    <w:rsid w:val="008B2EEA"/>
    <w:rsid w:val="008B31E0"/>
    <w:rsid w:val="008B32EE"/>
    <w:rsid w:val="008B3337"/>
    <w:rsid w:val="008B3417"/>
    <w:rsid w:val="008B3541"/>
    <w:rsid w:val="008B38E0"/>
    <w:rsid w:val="008B3D73"/>
    <w:rsid w:val="008B4415"/>
    <w:rsid w:val="008B458A"/>
    <w:rsid w:val="008B45F0"/>
    <w:rsid w:val="008B469B"/>
    <w:rsid w:val="008B4D47"/>
    <w:rsid w:val="008B4F96"/>
    <w:rsid w:val="008B534A"/>
    <w:rsid w:val="008B55A5"/>
    <w:rsid w:val="008B5BA8"/>
    <w:rsid w:val="008B61CD"/>
    <w:rsid w:val="008B6464"/>
    <w:rsid w:val="008B6650"/>
    <w:rsid w:val="008B6E26"/>
    <w:rsid w:val="008B70AC"/>
    <w:rsid w:val="008B76A7"/>
    <w:rsid w:val="008B7CAB"/>
    <w:rsid w:val="008B7CC1"/>
    <w:rsid w:val="008B7F2F"/>
    <w:rsid w:val="008C0843"/>
    <w:rsid w:val="008C0BA0"/>
    <w:rsid w:val="008C0C92"/>
    <w:rsid w:val="008C1379"/>
    <w:rsid w:val="008C148D"/>
    <w:rsid w:val="008C1DDD"/>
    <w:rsid w:val="008C2994"/>
    <w:rsid w:val="008C2C70"/>
    <w:rsid w:val="008C32D3"/>
    <w:rsid w:val="008C3D0F"/>
    <w:rsid w:val="008C41AE"/>
    <w:rsid w:val="008C46E3"/>
    <w:rsid w:val="008C497F"/>
    <w:rsid w:val="008C4C62"/>
    <w:rsid w:val="008C4FCE"/>
    <w:rsid w:val="008C539E"/>
    <w:rsid w:val="008C5F3A"/>
    <w:rsid w:val="008C5F9B"/>
    <w:rsid w:val="008C6542"/>
    <w:rsid w:val="008C678E"/>
    <w:rsid w:val="008C68A4"/>
    <w:rsid w:val="008C6D1E"/>
    <w:rsid w:val="008C6D68"/>
    <w:rsid w:val="008C6D69"/>
    <w:rsid w:val="008C6DD1"/>
    <w:rsid w:val="008C78C1"/>
    <w:rsid w:val="008C7C20"/>
    <w:rsid w:val="008C7C88"/>
    <w:rsid w:val="008C7C97"/>
    <w:rsid w:val="008C7D07"/>
    <w:rsid w:val="008C7E38"/>
    <w:rsid w:val="008D010E"/>
    <w:rsid w:val="008D04D5"/>
    <w:rsid w:val="008D0989"/>
    <w:rsid w:val="008D0A61"/>
    <w:rsid w:val="008D1229"/>
    <w:rsid w:val="008D14A1"/>
    <w:rsid w:val="008D16CF"/>
    <w:rsid w:val="008D16F8"/>
    <w:rsid w:val="008D173F"/>
    <w:rsid w:val="008D1877"/>
    <w:rsid w:val="008D1A8E"/>
    <w:rsid w:val="008D1CE4"/>
    <w:rsid w:val="008D1DF7"/>
    <w:rsid w:val="008D20B8"/>
    <w:rsid w:val="008D21DB"/>
    <w:rsid w:val="008D22E1"/>
    <w:rsid w:val="008D2392"/>
    <w:rsid w:val="008D2A2A"/>
    <w:rsid w:val="008D2FB4"/>
    <w:rsid w:val="008D2FF4"/>
    <w:rsid w:val="008D3567"/>
    <w:rsid w:val="008D3A5D"/>
    <w:rsid w:val="008D3B7C"/>
    <w:rsid w:val="008D3E81"/>
    <w:rsid w:val="008D42EC"/>
    <w:rsid w:val="008D44A2"/>
    <w:rsid w:val="008D4C18"/>
    <w:rsid w:val="008D5673"/>
    <w:rsid w:val="008D5AE9"/>
    <w:rsid w:val="008D5B15"/>
    <w:rsid w:val="008D64EB"/>
    <w:rsid w:val="008D704D"/>
    <w:rsid w:val="008D729A"/>
    <w:rsid w:val="008D73ED"/>
    <w:rsid w:val="008D7615"/>
    <w:rsid w:val="008D7738"/>
    <w:rsid w:val="008E0992"/>
    <w:rsid w:val="008E0C28"/>
    <w:rsid w:val="008E0D49"/>
    <w:rsid w:val="008E1594"/>
    <w:rsid w:val="008E1615"/>
    <w:rsid w:val="008E181D"/>
    <w:rsid w:val="008E1829"/>
    <w:rsid w:val="008E1C03"/>
    <w:rsid w:val="008E23FD"/>
    <w:rsid w:val="008E25F6"/>
    <w:rsid w:val="008E2B54"/>
    <w:rsid w:val="008E3273"/>
    <w:rsid w:val="008E395D"/>
    <w:rsid w:val="008E396D"/>
    <w:rsid w:val="008E42E1"/>
    <w:rsid w:val="008E4659"/>
    <w:rsid w:val="008E5A76"/>
    <w:rsid w:val="008E5F48"/>
    <w:rsid w:val="008E5F5D"/>
    <w:rsid w:val="008E619D"/>
    <w:rsid w:val="008E643B"/>
    <w:rsid w:val="008E6702"/>
    <w:rsid w:val="008E678D"/>
    <w:rsid w:val="008E6A89"/>
    <w:rsid w:val="008E6C90"/>
    <w:rsid w:val="008E6D06"/>
    <w:rsid w:val="008E74C5"/>
    <w:rsid w:val="008E7B29"/>
    <w:rsid w:val="008F06A5"/>
    <w:rsid w:val="008F0A00"/>
    <w:rsid w:val="008F0B09"/>
    <w:rsid w:val="008F1277"/>
    <w:rsid w:val="008F1853"/>
    <w:rsid w:val="008F2681"/>
    <w:rsid w:val="008F28D1"/>
    <w:rsid w:val="008F2D45"/>
    <w:rsid w:val="008F2D60"/>
    <w:rsid w:val="008F2EBC"/>
    <w:rsid w:val="008F3256"/>
    <w:rsid w:val="008F362E"/>
    <w:rsid w:val="008F37B1"/>
    <w:rsid w:val="008F38DF"/>
    <w:rsid w:val="008F394D"/>
    <w:rsid w:val="008F39C9"/>
    <w:rsid w:val="008F461B"/>
    <w:rsid w:val="008F472B"/>
    <w:rsid w:val="008F4875"/>
    <w:rsid w:val="008F492E"/>
    <w:rsid w:val="008F4F9A"/>
    <w:rsid w:val="008F4FFA"/>
    <w:rsid w:val="008F52CF"/>
    <w:rsid w:val="008F56D5"/>
    <w:rsid w:val="008F5885"/>
    <w:rsid w:val="008F5E8D"/>
    <w:rsid w:val="008F64F0"/>
    <w:rsid w:val="008F6627"/>
    <w:rsid w:val="008F67DA"/>
    <w:rsid w:val="008F697A"/>
    <w:rsid w:val="008F6A14"/>
    <w:rsid w:val="008F6C60"/>
    <w:rsid w:val="008F6DD2"/>
    <w:rsid w:val="008F6DFD"/>
    <w:rsid w:val="008F70B9"/>
    <w:rsid w:val="009002B9"/>
    <w:rsid w:val="009004CA"/>
    <w:rsid w:val="009004E9"/>
    <w:rsid w:val="009005F9"/>
    <w:rsid w:val="00900658"/>
    <w:rsid w:val="00900667"/>
    <w:rsid w:val="00900A65"/>
    <w:rsid w:val="009014F6"/>
    <w:rsid w:val="009015C3"/>
    <w:rsid w:val="0090164F"/>
    <w:rsid w:val="009017F8"/>
    <w:rsid w:val="009018D4"/>
    <w:rsid w:val="00901E14"/>
    <w:rsid w:val="00902301"/>
    <w:rsid w:val="00902650"/>
    <w:rsid w:val="00902984"/>
    <w:rsid w:val="00902A42"/>
    <w:rsid w:val="00902C32"/>
    <w:rsid w:val="009030C0"/>
    <w:rsid w:val="00903100"/>
    <w:rsid w:val="00903285"/>
    <w:rsid w:val="009039E7"/>
    <w:rsid w:val="00903AB2"/>
    <w:rsid w:val="00903DCF"/>
    <w:rsid w:val="009044B6"/>
    <w:rsid w:val="009046B8"/>
    <w:rsid w:val="009046F5"/>
    <w:rsid w:val="00904788"/>
    <w:rsid w:val="009048FF"/>
    <w:rsid w:val="0090497B"/>
    <w:rsid w:val="00904B1A"/>
    <w:rsid w:val="00904BD3"/>
    <w:rsid w:val="00904D7E"/>
    <w:rsid w:val="00905040"/>
    <w:rsid w:val="0090565A"/>
    <w:rsid w:val="00905707"/>
    <w:rsid w:val="009058E1"/>
    <w:rsid w:val="00905A36"/>
    <w:rsid w:val="00906975"/>
    <w:rsid w:val="00906F69"/>
    <w:rsid w:val="009070A2"/>
    <w:rsid w:val="0090714D"/>
    <w:rsid w:val="009071C7"/>
    <w:rsid w:val="00907395"/>
    <w:rsid w:val="009076B3"/>
    <w:rsid w:val="009078E4"/>
    <w:rsid w:val="00907AD3"/>
    <w:rsid w:val="00907BE2"/>
    <w:rsid w:val="00907FE4"/>
    <w:rsid w:val="00910602"/>
    <w:rsid w:val="009107FF"/>
    <w:rsid w:val="00910A4E"/>
    <w:rsid w:val="00910B9B"/>
    <w:rsid w:val="00910C57"/>
    <w:rsid w:val="00910C90"/>
    <w:rsid w:val="00910E80"/>
    <w:rsid w:val="00911049"/>
    <w:rsid w:val="0091107E"/>
    <w:rsid w:val="00911160"/>
    <w:rsid w:val="0091154C"/>
    <w:rsid w:val="009119B3"/>
    <w:rsid w:val="00911B47"/>
    <w:rsid w:val="00911E6B"/>
    <w:rsid w:val="009123B2"/>
    <w:rsid w:val="009126F7"/>
    <w:rsid w:val="009129D9"/>
    <w:rsid w:val="00912CC2"/>
    <w:rsid w:val="00912E2F"/>
    <w:rsid w:val="00912EF5"/>
    <w:rsid w:val="00912F61"/>
    <w:rsid w:val="00912FF0"/>
    <w:rsid w:val="00913774"/>
    <w:rsid w:val="00913D9A"/>
    <w:rsid w:val="00913E16"/>
    <w:rsid w:val="009146D1"/>
    <w:rsid w:val="00914CFC"/>
    <w:rsid w:val="009150EE"/>
    <w:rsid w:val="0091518F"/>
    <w:rsid w:val="009153FA"/>
    <w:rsid w:val="00915453"/>
    <w:rsid w:val="0091551D"/>
    <w:rsid w:val="00916478"/>
    <w:rsid w:val="0091658E"/>
    <w:rsid w:val="00916D6A"/>
    <w:rsid w:val="00917610"/>
    <w:rsid w:val="009177B8"/>
    <w:rsid w:val="00917DF1"/>
    <w:rsid w:val="009200A5"/>
    <w:rsid w:val="00920633"/>
    <w:rsid w:val="00920AD9"/>
    <w:rsid w:val="00920C35"/>
    <w:rsid w:val="00920E7E"/>
    <w:rsid w:val="009210CA"/>
    <w:rsid w:val="0092113B"/>
    <w:rsid w:val="00921371"/>
    <w:rsid w:val="00921D1F"/>
    <w:rsid w:val="00921D93"/>
    <w:rsid w:val="00921F9B"/>
    <w:rsid w:val="009221E1"/>
    <w:rsid w:val="00922AAD"/>
    <w:rsid w:val="009233A8"/>
    <w:rsid w:val="009234E6"/>
    <w:rsid w:val="009238D7"/>
    <w:rsid w:val="009243DD"/>
    <w:rsid w:val="00924B61"/>
    <w:rsid w:val="00924C2D"/>
    <w:rsid w:val="00924F59"/>
    <w:rsid w:val="00924F5F"/>
    <w:rsid w:val="009251BB"/>
    <w:rsid w:val="009254F4"/>
    <w:rsid w:val="00925554"/>
    <w:rsid w:val="00925695"/>
    <w:rsid w:val="009259F7"/>
    <w:rsid w:val="00925B8E"/>
    <w:rsid w:val="00925D16"/>
    <w:rsid w:val="00925D49"/>
    <w:rsid w:val="00925DF5"/>
    <w:rsid w:val="009260D0"/>
    <w:rsid w:val="009260D9"/>
    <w:rsid w:val="00926330"/>
    <w:rsid w:val="009264B5"/>
    <w:rsid w:val="00926507"/>
    <w:rsid w:val="0092685F"/>
    <w:rsid w:val="00926DC2"/>
    <w:rsid w:val="00926E85"/>
    <w:rsid w:val="00926EF4"/>
    <w:rsid w:val="00926F14"/>
    <w:rsid w:val="00927012"/>
    <w:rsid w:val="00927AD6"/>
    <w:rsid w:val="00927EE1"/>
    <w:rsid w:val="009300D0"/>
    <w:rsid w:val="009305C9"/>
    <w:rsid w:val="009305DA"/>
    <w:rsid w:val="00930854"/>
    <w:rsid w:val="00930CC8"/>
    <w:rsid w:val="00930DE0"/>
    <w:rsid w:val="00931ADB"/>
    <w:rsid w:val="00931D6F"/>
    <w:rsid w:val="00932208"/>
    <w:rsid w:val="00932221"/>
    <w:rsid w:val="009322CB"/>
    <w:rsid w:val="009323C0"/>
    <w:rsid w:val="009324D6"/>
    <w:rsid w:val="009327C0"/>
    <w:rsid w:val="009334C9"/>
    <w:rsid w:val="00933607"/>
    <w:rsid w:val="00933B7A"/>
    <w:rsid w:val="00933CFF"/>
    <w:rsid w:val="0093404A"/>
    <w:rsid w:val="0093530B"/>
    <w:rsid w:val="00935368"/>
    <w:rsid w:val="009354F4"/>
    <w:rsid w:val="0093559A"/>
    <w:rsid w:val="0093586E"/>
    <w:rsid w:val="00935CF4"/>
    <w:rsid w:val="00935CFF"/>
    <w:rsid w:val="00935EEB"/>
    <w:rsid w:val="0093617F"/>
    <w:rsid w:val="0093691F"/>
    <w:rsid w:val="00936AAB"/>
    <w:rsid w:val="00936AFA"/>
    <w:rsid w:val="00936C36"/>
    <w:rsid w:val="00936C46"/>
    <w:rsid w:val="00936F67"/>
    <w:rsid w:val="009375B7"/>
    <w:rsid w:val="0093793F"/>
    <w:rsid w:val="00937A64"/>
    <w:rsid w:val="00937E5C"/>
    <w:rsid w:val="00940B94"/>
    <w:rsid w:val="00940CD9"/>
    <w:rsid w:val="00940E53"/>
    <w:rsid w:val="00941648"/>
    <w:rsid w:val="00941FDF"/>
    <w:rsid w:val="0094282F"/>
    <w:rsid w:val="00942943"/>
    <w:rsid w:val="009429F8"/>
    <w:rsid w:val="00942D2A"/>
    <w:rsid w:val="00942EAF"/>
    <w:rsid w:val="00942EE3"/>
    <w:rsid w:val="00942FDB"/>
    <w:rsid w:val="00943224"/>
    <w:rsid w:val="00943353"/>
    <w:rsid w:val="00943571"/>
    <w:rsid w:val="00943AD6"/>
    <w:rsid w:val="00943D78"/>
    <w:rsid w:val="00944333"/>
    <w:rsid w:val="009443F9"/>
    <w:rsid w:val="00944915"/>
    <w:rsid w:val="00944C85"/>
    <w:rsid w:val="00944DE1"/>
    <w:rsid w:val="00944E57"/>
    <w:rsid w:val="009454F3"/>
    <w:rsid w:val="00945662"/>
    <w:rsid w:val="00945679"/>
    <w:rsid w:val="00945BCA"/>
    <w:rsid w:val="00945F12"/>
    <w:rsid w:val="00946B1F"/>
    <w:rsid w:val="00947D32"/>
    <w:rsid w:val="009504F3"/>
    <w:rsid w:val="009505D3"/>
    <w:rsid w:val="00950669"/>
    <w:rsid w:val="00950B3F"/>
    <w:rsid w:val="009516BC"/>
    <w:rsid w:val="009518D6"/>
    <w:rsid w:val="00951A04"/>
    <w:rsid w:val="00952189"/>
    <w:rsid w:val="009524F8"/>
    <w:rsid w:val="00952557"/>
    <w:rsid w:val="00952734"/>
    <w:rsid w:val="00952844"/>
    <w:rsid w:val="00952CBA"/>
    <w:rsid w:val="00952D57"/>
    <w:rsid w:val="009538AA"/>
    <w:rsid w:val="00953922"/>
    <w:rsid w:val="00954350"/>
    <w:rsid w:val="009543E6"/>
    <w:rsid w:val="00954417"/>
    <w:rsid w:val="0095490E"/>
    <w:rsid w:val="009549B2"/>
    <w:rsid w:val="00954A37"/>
    <w:rsid w:val="00954C79"/>
    <w:rsid w:val="00955275"/>
    <w:rsid w:val="00955558"/>
    <w:rsid w:val="009557E7"/>
    <w:rsid w:val="00955A44"/>
    <w:rsid w:val="009564DD"/>
    <w:rsid w:val="0095653D"/>
    <w:rsid w:val="009569FA"/>
    <w:rsid w:val="00957025"/>
    <w:rsid w:val="00957218"/>
    <w:rsid w:val="0095752E"/>
    <w:rsid w:val="00957930"/>
    <w:rsid w:val="00957E2E"/>
    <w:rsid w:val="00960088"/>
    <w:rsid w:val="0096049B"/>
    <w:rsid w:val="00960AA6"/>
    <w:rsid w:val="00960EDC"/>
    <w:rsid w:val="0096166B"/>
    <w:rsid w:val="00961D09"/>
    <w:rsid w:val="00961F35"/>
    <w:rsid w:val="0096235D"/>
    <w:rsid w:val="0096252C"/>
    <w:rsid w:val="0096263E"/>
    <w:rsid w:val="009627E5"/>
    <w:rsid w:val="00962F39"/>
    <w:rsid w:val="0096321F"/>
    <w:rsid w:val="0096325E"/>
    <w:rsid w:val="00963474"/>
    <w:rsid w:val="009636FD"/>
    <w:rsid w:val="00963AD9"/>
    <w:rsid w:val="0096481B"/>
    <w:rsid w:val="009651A8"/>
    <w:rsid w:val="009652D2"/>
    <w:rsid w:val="00965708"/>
    <w:rsid w:val="0096574F"/>
    <w:rsid w:val="00965909"/>
    <w:rsid w:val="00965A4E"/>
    <w:rsid w:val="00965C0D"/>
    <w:rsid w:val="00965EF2"/>
    <w:rsid w:val="00966051"/>
    <w:rsid w:val="009661CB"/>
    <w:rsid w:val="00966253"/>
    <w:rsid w:val="00966D8C"/>
    <w:rsid w:val="0096714C"/>
    <w:rsid w:val="00967C4B"/>
    <w:rsid w:val="00967D00"/>
    <w:rsid w:val="0097034F"/>
    <w:rsid w:val="00970B64"/>
    <w:rsid w:val="00971111"/>
    <w:rsid w:val="009713C6"/>
    <w:rsid w:val="0097160D"/>
    <w:rsid w:val="00972227"/>
    <w:rsid w:val="00972945"/>
    <w:rsid w:val="009736DE"/>
    <w:rsid w:val="00974624"/>
    <w:rsid w:val="00974863"/>
    <w:rsid w:val="009749C5"/>
    <w:rsid w:val="00974C08"/>
    <w:rsid w:val="00974C6E"/>
    <w:rsid w:val="00974D08"/>
    <w:rsid w:val="00974EBF"/>
    <w:rsid w:val="0097505B"/>
    <w:rsid w:val="0097521C"/>
    <w:rsid w:val="0097593D"/>
    <w:rsid w:val="00975B39"/>
    <w:rsid w:val="00975C2F"/>
    <w:rsid w:val="00975CFA"/>
    <w:rsid w:val="0097639F"/>
    <w:rsid w:val="009763CF"/>
    <w:rsid w:val="009763E8"/>
    <w:rsid w:val="00976C3F"/>
    <w:rsid w:val="00976C78"/>
    <w:rsid w:val="00977328"/>
    <w:rsid w:val="0097755E"/>
    <w:rsid w:val="009778BF"/>
    <w:rsid w:val="00977B29"/>
    <w:rsid w:val="009801AF"/>
    <w:rsid w:val="009804DD"/>
    <w:rsid w:val="00980659"/>
    <w:rsid w:val="00981514"/>
    <w:rsid w:val="00981E6A"/>
    <w:rsid w:val="00981F40"/>
    <w:rsid w:val="009820C1"/>
    <w:rsid w:val="009821B7"/>
    <w:rsid w:val="00982879"/>
    <w:rsid w:val="009838F3"/>
    <w:rsid w:val="00983909"/>
    <w:rsid w:val="00983E33"/>
    <w:rsid w:val="0098434E"/>
    <w:rsid w:val="009846D5"/>
    <w:rsid w:val="00985012"/>
    <w:rsid w:val="00985783"/>
    <w:rsid w:val="00985B91"/>
    <w:rsid w:val="009872EB"/>
    <w:rsid w:val="009873AD"/>
    <w:rsid w:val="00987635"/>
    <w:rsid w:val="0098771A"/>
    <w:rsid w:val="00987799"/>
    <w:rsid w:val="00987938"/>
    <w:rsid w:val="00987C14"/>
    <w:rsid w:val="009900C8"/>
    <w:rsid w:val="00990500"/>
    <w:rsid w:val="009905CE"/>
    <w:rsid w:val="009909AD"/>
    <w:rsid w:val="00990F3A"/>
    <w:rsid w:val="00991141"/>
    <w:rsid w:val="0099164F"/>
    <w:rsid w:val="00991656"/>
    <w:rsid w:val="0099198E"/>
    <w:rsid w:val="00991A93"/>
    <w:rsid w:val="00991C33"/>
    <w:rsid w:val="00991D00"/>
    <w:rsid w:val="00992338"/>
    <w:rsid w:val="009923C0"/>
    <w:rsid w:val="00993129"/>
    <w:rsid w:val="009936FC"/>
    <w:rsid w:val="0099377A"/>
    <w:rsid w:val="009937EC"/>
    <w:rsid w:val="00993BF9"/>
    <w:rsid w:val="00993CDD"/>
    <w:rsid w:val="00993CEA"/>
    <w:rsid w:val="00993F7C"/>
    <w:rsid w:val="009940AB"/>
    <w:rsid w:val="0099430C"/>
    <w:rsid w:val="0099455B"/>
    <w:rsid w:val="00994613"/>
    <w:rsid w:val="00994904"/>
    <w:rsid w:val="00994984"/>
    <w:rsid w:val="0099508A"/>
    <w:rsid w:val="009953E3"/>
    <w:rsid w:val="0099579C"/>
    <w:rsid w:val="00995A46"/>
    <w:rsid w:val="00995D44"/>
    <w:rsid w:val="00995DD9"/>
    <w:rsid w:val="00995F45"/>
    <w:rsid w:val="00995F65"/>
    <w:rsid w:val="0099633A"/>
    <w:rsid w:val="009966F0"/>
    <w:rsid w:val="00997406"/>
    <w:rsid w:val="0099742D"/>
    <w:rsid w:val="009975ED"/>
    <w:rsid w:val="00997A6B"/>
    <w:rsid w:val="00997AF4"/>
    <w:rsid w:val="00997EBC"/>
    <w:rsid w:val="009A0124"/>
    <w:rsid w:val="009A0995"/>
    <w:rsid w:val="009A0BCC"/>
    <w:rsid w:val="009A1539"/>
    <w:rsid w:val="009A1BB8"/>
    <w:rsid w:val="009A1C80"/>
    <w:rsid w:val="009A1DFF"/>
    <w:rsid w:val="009A2298"/>
    <w:rsid w:val="009A27C7"/>
    <w:rsid w:val="009A28EE"/>
    <w:rsid w:val="009A2C14"/>
    <w:rsid w:val="009A2DC2"/>
    <w:rsid w:val="009A2EE8"/>
    <w:rsid w:val="009A2FCE"/>
    <w:rsid w:val="009A35F8"/>
    <w:rsid w:val="009A3AAC"/>
    <w:rsid w:val="009A3C17"/>
    <w:rsid w:val="009A3FD3"/>
    <w:rsid w:val="009A4E1A"/>
    <w:rsid w:val="009A50A1"/>
    <w:rsid w:val="009A50AD"/>
    <w:rsid w:val="009A5533"/>
    <w:rsid w:val="009A5635"/>
    <w:rsid w:val="009A5703"/>
    <w:rsid w:val="009A5D8B"/>
    <w:rsid w:val="009A5F91"/>
    <w:rsid w:val="009A5FB2"/>
    <w:rsid w:val="009A61D6"/>
    <w:rsid w:val="009A641B"/>
    <w:rsid w:val="009A6C39"/>
    <w:rsid w:val="009A6C51"/>
    <w:rsid w:val="009A70F0"/>
    <w:rsid w:val="009A740D"/>
    <w:rsid w:val="009A7B37"/>
    <w:rsid w:val="009A7ED2"/>
    <w:rsid w:val="009A7F4A"/>
    <w:rsid w:val="009A7F86"/>
    <w:rsid w:val="009B0151"/>
    <w:rsid w:val="009B026A"/>
    <w:rsid w:val="009B0475"/>
    <w:rsid w:val="009B0D7D"/>
    <w:rsid w:val="009B0ED3"/>
    <w:rsid w:val="009B12F2"/>
    <w:rsid w:val="009B152D"/>
    <w:rsid w:val="009B16D8"/>
    <w:rsid w:val="009B1BD5"/>
    <w:rsid w:val="009B1D4D"/>
    <w:rsid w:val="009B22C6"/>
    <w:rsid w:val="009B29C1"/>
    <w:rsid w:val="009B29E8"/>
    <w:rsid w:val="009B2D10"/>
    <w:rsid w:val="009B2FCC"/>
    <w:rsid w:val="009B2FD0"/>
    <w:rsid w:val="009B3BB0"/>
    <w:rsid w:val="009B3DB9"/>
    <w:rsid w:val="009B431C"/>
    <w:rsid w:val="009B43F9"/>
    <w:rsid w:val="009B469E"/>
    <w:rsid w:val="009B4906"/>
    <w:rsid w:val="009B4C94"/>
    <w:rsid w:val="009B588D"/>
    <w:rsid w:val="009B5B52"/>
    <w:rsid w:val="009B627F"/>
    <w:rsid w:val="009B64C9"/>
    <w:rsid w:val="009B64DD"/>
    <w:rsid w:val="009B6527"/>
    <w:rsid w:val="009B65B4"/>
    <w:rsid w:val="009B6B02"/>
    <w:rsid w:val="009B6D3C"/>
    <w:rsid w:val="009B6E67"/>
    <w:rsid w:val="009B6FB9"/>
    <w:rsid w:val="009B7533"/>
    <w:rsid w:val="009B7581"/>
    <w:rsid w:val="009B75AF"/>
    <w:rsid w:val="009B75D9"/>
    <w:rsid w:val="009B793F"/>
    <w:rsid w:val="009B7BE2"/>
    <w:rsid w:val="009B7D90"/>
    <w:rsid w:val="009C003F"/>
    <w:rsid w:val="009C0602"/>
    <w:rsid w:val="009C09B9"/>
    <w:rsid w:val="009C0D6E"/>
    <w:rsid w:val="009C0F5A"/>
    <w:rsid w:val="009C13B3"/>
    <w:rsid w:val="009C1608"/>
    <w:rsid w:val="009C1984"/>
    <w:rsid w:val="009C1C41"/>
    <w:rsid w:val="009C1D1A"/>
    <w:rsid w:val="009C21D8"/>
    <w:rsid w:val="009C23FA"/>
    <w:rsid w:val="009C2E68"/>
    <w:rsid w:val="009C2F13"/>
    <w:rsid w:val="009C308D"/>
    <w:rsid w:val="009C31FA"/>
    <w:rsid w:val="009C32B9"/>
    <w:rsid w:val="009C3697"/>
    <w:rsid w:val="009C385C"/>
    <w:rsid w:val="009C39C7"/>
    <w:rsid w:val="009C3A09"/>
    <w:rsid w:val="009C3B94"/>
    <w:rsid w:val="009C3EB3"/>
    <w:rsid w:val="009C3F98"/>
    <w:rsid w:val="009C3FC4"/>
    <w:rsid w:val="009C401F"/>
    <w:rsid w:val="009C4677"/>
    <w:rsid w:val="009C4A0A"/>
    <w:rsid w:val="009C4A20"/>
    <w:rsid w:val="009C4A6F"/>
    <w:rsid w:val="009C4B7B"/>
    <w:rsid w:val="009C4BA1"/>
    <w:rsid w:val="009C4BCD"/>
    <w:rsid w:val="009C4DC8"/>
    <w:rsid w:val="009C5586"/>
    <w:rsid w:val="009C5641"/>
    <w:rsid w:val="009C631C"/>
    <w:rsid w:val="009C63E8"/>
    <w:rsid w:val="009C6E72"/>
    <w:rsid w:val="009C6FDD"/>
    <w:rsid w:val="009C73D6"/>
    <w:rsid w:val="009C7B80"/>
    <w:rsid w:val="009C7D3B"/>
    <w:rsid w:val="009D02D2"/>
    <w:rsid w:val="009D0A76"/>
    <w:rsid w:val="009D0C30"/>
    <w:rsid w:val="009D0D6B"/>
    <w:rsid w:val="009D0F98"/>
    <w:rsid w:val="009D102C"/>
    <w:rsid w:val="009D1053"/>
    <w:rsid w:val="009D16A1"/>
    <w:rsid w:val="009D2039"/>
    <w:rsid w:val="009D2344"/>
    <w:rsid w:val="009D23FE"/>
    <w:rsid w:val="009D24C6"/>
    <w:rsid w:val="009D2FCB"/>
    <w:rsid w:val="009D3014"/>
    <w:rsid w:val="009D3069"/>
    <w:rsid w:val="009D3159"/>
    <w:rsid w:val="009D3223"/>
    <w:rsid w:val="009D35AC"/>
    <w:rsid w:val="009D37E1"/>
    <w:rsid w:val="009D3BAD"/>
    <w:rsid w:val="009D3DF7"/>
    <w:rsid w:val="009D3E2F"/>
    <w:rsid w:val="009D414F"/>
    <w:rsid w:val="009D4559"/>
    <w:rsid w:val="009D4705"/>
    <w:rsid w:val="009D48D5"/>
    <w:rsid w:val="009D4A63"/>
    <w:rsid w:val="009D4F00"/>
    <w:rsid w:val="009D51D1"/>
    <w:rsid w:val="009D585B"/>
    <w:rsid w:val="009D5941"/>
    <w:rsid w:val="009D5982"/>
    <w:rsid w:val="009D5A95"/>
    <w:rsid w:val="009D62D8"/>
    <w:rsid w:val="009D6389"/>
    <w:rsid w:val="009D6491"/>
    <w:rsid w:val="009D679C"/>
    <w:rsid w:val="009D6CAD"/>
    <w:rsid w:val="009D6E21"/>
    <w:rsid w:val="009D6F7E"/>
    <w:rsid w:val="009D71D0"/>
    <w:rsid w:val="009D724B"/>
    <w:rsid w:val="009D7A14"/>
    <w:rsid w:val="009D7C8C"/>
    <w:rsid w:val="009E04F6"/>
    <w:rsid w:val="009E069C"/>
    <w:rsid w:val="009E06E0"/>
    <w:rsid w:val="009E083A"/>
    <w:rsid w:val="009E0F48"/>
    <w:rsid w:val="009E1666"/>
    <w:rsid w:val="009E16E0"/>
    <w:rsid w:val="009E1E79"/>
    <w:rsid w:val="009E2A1E"/>
    <w:rsid w:val="009E2A40"/>
    <w:rsid w:val="009E2B7F"/>
    <w:rsid w:val="009E2C4A"/>
    <w:rsid w:val="009E2D39"/>
    <w:rsid w:val="009E2DDC"/>
    <w:rsid w:val="009E3122"/>
    <w:rsid w:val="009E3207"/>
    <w:rsid w:val="009E381F"/>
    <w:rsid w:val="009E3C83"/>
    <w:rsid w:val="009E3DD4"/>
    <w:rsid w:val="009E3F02"/>
    <w:rsid w:val="009E4395"/>
    <w:rsid w:val="009E4B7B"/>
    <w:rsid w:val="009E4E49"/>
    <w:rsid w:val="009E4E94"/>
    <w:rsid w:val="009E5957"/>
    <w:rsid w:val="009E5BA9"/>
    <w:rsid w:val="009E5D6F"/>
    <w:rsid w:val="009E6145"/>
    <w:rsid w:val="009E629F"/>
    <w:rsid w:val="009E6922"/>
    <w:rsid w:val="009E7227"/>
    <w:rsid w:val="009E7291"/>
    <w:rsid w:val="009E7881"/>
    <w:rsid w:val="009F02D2"/>
    <w:rsid w:val="009F03AD"/>
    <w:rsid w:val="009F0D94"/>
    <w:rsid w:val="009F1852"/>
    <w:rsid w:val="009F1B3C"/>
    <w:rsid w:val="009F215C"/>
    <w:rsid w:val="009F216D"/>
    <w:rsid w:val="009F2608"/>
    <w:rsid w:val="009F2706"/>
    <w:rsid w:val="009F27A4"/>
    <w:rsid w:val="009F2881"/>
    <w:rsid w:val="009F3124"/>
    <w:rsid w:val="009F31B7"/>
    <w:rsid w:val="009F329E"/>
    <w:rsid w:val="009F3575"/>
    <w:rsid w:val="009F369F"/>
    <w:rsid w:val="009F3768"/>
    <w:rsid w:val="009F3876"/>
    <w:rsid w:val="009F3C91"/>
    <w:rsid w:val="009F3F7F"/>
    <w:rsid w:val="009F4710"/>
    <w:rsid w:val="009F4D5D"/>
    <w:rsid w:val="009F4F61"/>
    <w:rsid w:val="009F537F"/>
    <w:rsid w:val="009F5A8C"/>
    <w:rsid w:val="009F5D95"/>
    <w:rsid w:val="009F5DE0"/>
    <w:rsid w:val="009F60CA"/>
    <w:rsid w:val="009F6217"/>
    <w:rsid w:val="009F64B7"/>
    <w:rsid w:val="009F6B50"/>
    <w:rsid w:val="009F6C59"/>
    <w:rsid w:val="009F6CFE"/>
    <w:rsid w:val="009F6E4E"/>
    <w:rsid w:val="009F6F21"/>
    <w:rsid w:val="009F7ED0"/>
    <w:rsid w:val="009F7F8F"/>
    <w:rsid w:val="00A0033D"/>
    <w:rsid w:val="00A004A2"/>
    <w:rsid w:val="00A0097A"/>
    <w:rsid w:val="00A01069"/>
    <w:rsid w:val="00A01864"/>
    <w:rsid w:val="00A018AA"/>
    <w:rsid w:val="00A01B99"/>
    <w:rsid w:val="00A01E86"/>
    <w:rsid w:val="00A02186"/>
    <w:rsid w:val="00A0243F"/>
    <w:rsid w:val="00A0251D"/>
    <w:rsid w:val="00A02723"/>
    <w:rsid w:val="00A02859"/>
    <w:rsid w:val="00A02CA4"/>
    <w:rsid w:val="00A031BC"/>
    <w:rsid w:val="00A039F9"/>
    <w:rsid w:val="00A03B89"/>
    <w:rsid w:val="00A03BD8"/>
    <w:rsid w:val="00A04599"/>
    <w:rsid w:val="00A05F67"/>
    <w:rsid w:val="00A061EF"/>
    <w:rsid w:val="00A0622C"/>
    <w:rsid w:val="00A062BA"/>
    <w:rsid w:val="00A066C1"/>
    <w:rsid w:val="00A06776"/>
    <w:rsid w:val="00A076A9"/>
    <w:rsid w:val="00A07CC8"/>
    <w:rsid w:val="00A07E44"/>
    <w:rsid w:val="00A1011E"/>
    <w:rsid w:val="00A1014A"/>
    <w:rsid w:val="00A1079E"/>
    <w:rsid w:val="00A107E9"/>
    <w:rsid w:val="00A10A8C"/>
    <w:rsid w:val="00A10DDA"/>
    <w:rsid w:val="00A1152E"/>
    <w:rsid w:val="00A11582"/>
    <w:rsid w:val="00A117B0"/>
    <w:rsid w:val="00A11D77"/>
    <w:rsid w:val="00A11EA5"/>
    <w:rsid w:val="00A11F15"/>
    <w:rsid w:val="00A12178"/>
    <w:rsid w:val="00A122AE"/>
    <w:rsid w:val="00A12997"/>
    <w:rsid w:val="00A12CFA"/>
    <w:rsid w:val="00A130D1"/>
    <w:rsid w:val="00A13444"/>
    <w:rsid w:val="00A13605"/>
    <w:rsid w:val="00A13619"/>
    <w:rsid w:val="00A1380F"/>
    <w:rsid w:val="00A13A55"/>
    <w:rsid w:val="00A13A98"/>
    <w:rsid w:val="00A13B41"/>
    <w:rsid w:val="00A13E7A"/>
    <w:rsid w:val="00A13EFD"/>
    <w:rsid w:val="00A13F4A"/>
    <w:rsid w:val="00A13F69"/>
    <w:rsid w:val="00A140EE"/>
    <w:rsid w:val="00A14FDB"/>
    <w:rsid w:val="00A15229"/>
    <w:rsid w:val="00A1534C"/>
    <w:rsid w:val="00A1540E"/>
    <w:rsid w:val="00A15F1C"/>
    <w:rsid w:val="00A161BE"/>
    <w:rsid w:val="00A166CE"/>
    <w:rsid w:val="00A168BA"/>
    <w:rsid w:val="00A170EC"/>
    <w:rsid w:val="00A1728C"/>
    <w:rsid w:val="00A1748E"/>
    <w:rsid w:val="00A17745"/>
    <w:rsid w:val="00A17E7A"/>
    <w:rsid w:val="00A17EBC"/>
    <w:rsid w:val="00A20AE2"/>
    <w:rsid w:val="00A20B8E"/>
    <w:rsid w:val="00A20CA3"/>
    <w:rsid w:val="00A211F4"/>
    <w:rsid w:val="00A217BB"/>
    <w:rsid w:val="00A21AAD"/>
    <w:rsid w:val="00A21AF2"/>
    <w:rsid w:val="00A22286"/>
    <w:rsid w:val="00A22A64"/>
    <w:rsid w:val="00A22C34"/>
    <w:rsid w:val="00A22E91"/>
    <w:rsid w:val="00A230B1"/>
    <w:rsid w:val="00A230FB"/>
    <w:rsid w:val="00A234B3"/>
    <w:rsid w:val="00A23540"/>
    <w:rsid w:val="00A23CC0"/>
    <w:rsid w:val="00A23CC4"/>
    <w:rsid w:val="00A23D93"/>
    <w:rsid w:val="00A23DB9"/>
    <w:rsid w:val="00A23E7F"/>
    <w:rsid w:val="00A23F09"/>
    <w:rsid w:val="00A242FF"/>
    <w:rsid w:val="00A249CB"/>
    <w:rsid w:val="00A24D36"/>
    <w:rsid w:val="00A25053"/>
    <w:rsid w:val="00A25474"/>
    <w:rsid w:val="00A25640"/>
    <w:rsid w:val="00A25707"/>
    <w:rsid w:val="00A257ED"/>
    <w:rsid w:val="00A25837"/>
    <w:rsid w:val="00A259A1"/>
    <w:rsid w:val="00A2634C"/>
    <w:rsid w:val="00A267BE"/>
    <w:rsid w:val="00A2753F"/>
    <w:rsid w:val="00A27B66"/>
    <w:rsid w:val="00A27E92"/>
    <w:rsid w:val="00A3075F"/>
    <w:rsid w:val="00A30A70"/>
    <w:rsid w:val="00A30E76"/>
    <w:rsid w:val="00A30F2C"/>
    <w:rsid w:val="00A313D1"/>
    <w:rsid w:val="00A31677"/>
    <w:rsid w:val="00A31BF4"/>
    <w:rsid w:val="00A31C58"/>
    <w:rsid w:val="00A31D01"/>
    <w:rsid w:val="00A31FA5"/>
    <w:rsid w:val="00A3259A"/>
    <w:rsid w:val="00A328D7"/>
    <w:rsid w:val="00A32BDB"/>
    <w:rsid w:val="00A32FE2"/>
    <w:rsid w:val="00A3308A"/>
    <w:rsid w:val="00A330EC"/>
    <w:rsid w:val="00A33443"/>
    <w:rsid w:val="00A335C8"/>
    <w:rsid w:val="00A33603"/>
    <w:rsid w:val="00A33711"/>
    <w:rsid w:val="00A33C03"/>
    <w:rsid w:val="00A34D04"/>
    <w:rsid w:val="00A34E45"/>
    <w:rsid w:val="00A34F1C"/>
    <w:rsid w:val="00A35144"/>
    <w:rsid w:val="00A356C0"/>
    <w:rsid w:val="00A35992"/>
    <w:rsid w:val="00A35A06"/>
    <w:rsid w:val="00A3604C"/>
    <w:rsid w:val="00A36848"/>
    <w:rsid w:val="00A36C9E"/>
    <w:rsid w:val="00A36D0A"/>
    <w:rsid w:val="00A36F91"/>
    <w:rsid w:val="00A36FCC"/>
    <w:rsid w:val="00A3762F"/>
    <w:rsid w:val="00A37639"/>
    <w:rsid w:val="00A3784A"/>
    <w:rsid w:val="00A37A48"/>
    <w:rsid w:val="00A37B64"/>
    <w:rsid w:val="00A37BC8"/>
    <w:rsid w:val="00A4003E"/>
    <w:rsid w:val="00A40303"/>
    <w:rsid w:val="00A4085C"/>
    <w:rsid w:val="00A41044"/>
    <w:rsid w:val="00A41C12"/>
    <w:rsid w:val="00A41F53"/>
    <w:rsid w:val="00A41F9E"/>
    <w:rsid w:val="00A42064"/>
    <w:rsid w:val="00A420BF"/>
    <w:rsid w:val="00A42223"/>
    <w:rsid w:val="00A422D6"/>
    <w:rsid w:val="00A426AC"/>
    <w:rsid w:val="00A42DA5"/>
    <w:rsid w:val="00A42FD9"/>
    <w:rsid w:val="00A4335F"/>
    <w:rsid w:val="00A43944"/>
    <w:rsid w:val="00A43E0E"/>
    <w:rsid w:val="00A44106"/>
    <w:rsid w:val="00A44418"/>
    <w:rsid w:val="00A44712"/>
    <w:rsid w:val="00A448CA"/>
    <w:rsid w:val="00A44AE2"/>
    <w:rsid w:val="00A44B3A"/>
    <w:rsid w:val="00A44DCB"/>
    <w:rsid w:val="00A4508B"/>
    <w:rsid w:val="00A455E6"/>
    <w:rsid w:val="00A45E1D"/>
    <w:rsid w:val="00A46213"/>
    <w:rsid w:val="00A4634C"/>
    <w:rsid w:val="00A463E0"/>
    <w:rsid w:val="00A46A28"/>
    <w:rsid w:val="00A46AC3"/>
    <w:rsid w:val="00A46EDA"/>
    <w:rsid w:val="00A47112"/>
    <w:rsid w:val="00A47386"/>
    <w:rsid w:val="00A478E8"/>
    <w:rsid w:val="00A47E31"/>
    <w:rsid w:val="00A47F41"/>
    <w:rsid w:val="00A502A5"/>
    <w:rsid w:val="00A50752"/>
    <w:rsid w:val="00A50882"/>
    <w:rsid w:val="00A50BFD"/>
    <w:rsid w:val="00A50F2C"/>
    <w:rsid w:val="00A512E1"/>
    <w:rsid w:val="00A515FF"/>
    <w:rsid w:val="00A516DE"/>
    <w:rsid w:val="00A519E0"/>
    <w:rsid w:val="00A51BF9"/>
    <w:rsid w:val="00A51BFC"/>
    <w:rsid w:val="00A51F58"/>
    <w:rsid w:val="00A52F1F"/>
    <w:rsid w:val="00A5419F"/>
    <w:rsid w:val="00A541BA"/>
    <w:rsid w:val="00A54432"/>
    <w:rsid w:val="00A54460"/>
    <w:rsid w:val="00A545E3"/>
    <w:rsid w:val="00A54873"/>
    <w:rsid w:val="00A55103"/>
    <w:rsid w:val="00A55570"/>
    <w:rsid w:val="00A55AA1"/>
    <w:rsid w:val="00A56085"/>
    <w:rsid w:val="00A56979"/>
    <w:rsid w:val="00A56AA2"/>
    <w:rsid w:val="00A56AAA"/>
    <w:rsid w:val="00A56C3E"/>
    <w:rsid w:val="00A57251"/>
    <w:rsid w:val="00A5735E"/>
    <w:rsid w:val="00A573BD"/>
    <w:rsid w:val="00A5787D"/>
    <w:rsid w:val="00A57ABA"/>
    <w:rsid w:val="00A57B0B"/>
    <w:rsid w:val="00A57F35"/>
    <w:rsid w:val="00A60082"/>
    <w:rsid w:val="00A6022C"/>
    <w:rsid w:val="00A603B9"/>
    <w:rsid w:val="00A603C8"/>
    <w:rsid w:val="00A606BB"/>
    <w:rsid w:val="00A60751"/>
    <w:rsid w:val="00A609EF"/>
    <w:rsid w:val="00A60B7D"/>
    <w:rsid w:val="00A60B90"/>
    <w:rsid w:val="00A60C69"/>
    <w:rsid w:val="00A61070"/>
    <w:rsid w:val="00A618CA"/>
    <w:rsid w:val="00A6197E"/>
    <w:rsid w:val="00A61B2D"/>
    <w:rsid w:val="00A61CB3"/>
    <w:rsid w:val="00A61E0D"/>
    <w:rsid w:val="00A62282"/>
    <w:rsid w:val="00A624CA"/>
    <w:rsid w:val="00A62528"/>
    <w:rsid w:val="00A62D92"/>
    <w:rsid w:val="00A63B7B"/>
    <w:rsid w:val="00A63BD4"/>
    <w:rsid w:val="00A64139"/>
    <w:rsid w:val="00A643BF"/>
    <w:rsid w:val="00A64551"/>
    <w:rsid w:val="00A649FD"/>
    <w:rsid w:val="00A64F06"/>
    <w:rsid w:val="00A65353"/>
    <w:rsid w:val="00A65437"/>
    <w:rsid w:val="00A65598"/>
    <w:rsid w:val="00A6575D"/>
    <w:rsid w:val="00A659C0"/>
    <w:rsid w:val="00A65C9A"/>
    <w:rsid w:val="00A65CEF"/>
    <w:rsid w:val="00A65F45"/>
    <w:rsid w:val="00A6676A"/>
    <w:rsid w:val="00A66CD6"/>
    <w:rsid w:val="00A66F84"/>
    <w:rsid w:val="00A67399"/>
    <w:rsid w:val="00A67D0B"/>
    <w:rsid w:val="00A67F72"/>
    <w:rsid w:val="00A67FA3"/>
    <w:rsid w:val="00A7000B"/>
    <w:rsid w:val="00A70433"/>
    <w:rsid w:val="00A70657"/>
    <w:rsid w:val="00A70BCE"/>
    <w:rsid w:val="00A70C6D"/>
    <w:rsid w:val="00A70D5C"/>
    <w:rsid w:val="00A70DD4"/>
    <w:rsid w:val="00A70E4A"/>
    <w:rsid w:val="00A71203"/>
    <w:rsid w:val="00A7177F"/>
    <w:rsid w:val="00A7228C"/>
    <w:rsid w:val="00A72F29"/>
    <w:rsid w:val="00A73237"/>
    <w:rsid w:val="00A737C2"/>
    <w:rsid w:val="00A73AC6"/>
    <w:rsid w:val="00A7409A"/>
    <w:rsid w:val="00A746DF"/>
    <w:rsid w:val="00A74710"/>
    <w:rsid w:val="00A7496F"/>
    <w:rsid w:val="00A74CAE"/>
    <w:rsid w:val="00A74CD4"/>
    <w:rsid w:val="00A7550D"/>
    <w:rsid w:val="00A75E29"/>
    <w:rsid w:val="00A75E39"/>
    <w:rsid w:val="00A766BB"/>
    <w:rsid w:val="00A76868"/>
    <w:rsid w:val="00A7690D"/>
    <w:rsid w:val="00A76D02"/>
    <w:rsid w:val="00A77254"/>
    <w:rsid w:val="00A7727B"/>
    <w:rsid w:val="00A77324"/>
    <w:rsid w:val="00A7737F"/>
    <w:rsid w:val="00A8065F"/>
    <w:rsid w:val="00A80969"/>
    <w:rsid w:val="00A80B4E"/>
    <w:rsid w:val="00A80F91"/>
    <w:rsid w:val="00A81333"/>
    <w:rsid w:val="00A816CC"/>
    <w:rsid w:val="00A81909"/>
    <w:rsid w:val="00A8196B"/>
    <w:rsid w:val="00A82189"/>
    <w:rsid w:val="00A82625"/>
    <w:rsid w:val="00A82A6A"/>
    <w:rsid w:val="00A82F54"/>
    <w:rsid w:val="00A83266"/>
    <w:rsid w:val="00A834FA"/>
    <w:rsid w:val="00A835AB"/>
    <w:rsid w:val="00A83B27"/>
    <w:rsid w:val="00A83B7B"/>
    <w:rsid w:val="00A83D4E"/>
    <w:rsid w:val="00A83E2B"/>
    <w:rsid w:val="00A84126"/>
    <w:rsid w:val="00A845D1"/>
    <w:rsid w:val="00A84623"/>
    <w:rsid w:val="00A846E1"/>
    <w:rsid w:val="00A84754"/>
    <w:rsid w:val="00A847C7"/>
    <w:rsid w:val="00A84932"/>
    <w:rsid w:val="00A84E54"/>
    <w:rsid w:val="00A8537E"/>
    <w:rsid w:val="00A853AB"/>
    <w:rsid w:val="00A8544D"/>
    <w:rsid w:val="00A85498"/>
    <w:rsid w:val="00A85A9E"/>
    <w:rsid w:val="00A85DE2"/>
    <w:rsid w:val="00A86027"/>
    <w:rsid w:val="00A86574"/>
    <w:rsid w:val="00A86824"/>
    <w:rsid w:val="00A8701D"/>
    <w:rsid w:val="00A870F1"/>
    <w:rsid w:val="00A87134"/>
    <w:rsid w:val="00A872B7"/>
    <w:rsid w:val="00A874A7"/>
    <w:rsid w:val="00A8773B"/>
    <w:rsid w:val="00A87A36"/>
    <w:rsid w:val="00A87C20"/>
    <w:rsid w:val="00A87F17"/>
    <w:rsid w:val="00A87F94"/>
    <w:rsid w:val="00A9020D"/>
    <w:rsid w:val="00A903B8"/>
    <w:rsid w:val="00A904F6"/>
    <w:rsid w:val="00A90614"/>
    <w:rsid w:val="00A909F0"/>
    <w:rsid w:val="00A91236"/>
    <w:rsid w:val="00A91256"/>
    <w:rsid w:val="00A9133C"/>
    <w:rsid w:val="00A913D7"/>
    <w:rsid w:val="00A919B4"/>
    <w:rsid w:val="00A9209C"/>
    <w:rsid w:val="00A92662"/>
    <w:rsid w:val="00A92699"/>
    <w:rsid w:val="00A92739"/>
    <w:rsid w:val="00A92816"/>
    <w:rsid w:val="00A92A0A"/>
    <w:rsid w:val="00A92A6D"/>
    <w:rsid w:val="00A92E64"/>
    <w:rsid w:val="00A93369"/>
    <w:rsid w:val="00A934E4"/>
    <w:rsid w:val="00A93641"/>
    <w:rsid w:val="00A93700"/>
    <w:rsid w:val="00A93788"/>
    <w:rsid w:val="00A93C5A"/>
    <w:rsid w:val="00A93ED9"/>
    <w:rsid w:val="00A9402C"/>
    <w:rsid w:val="00A94035"/>
    <w:rsid w:val="00A94168"/>
    <w:rsid w:val="00A942CB"/>
    <w:rsid w:val="00A943A1"/>
    <w:rsid w:val="00A945D8"/>
    <w:rsid w:val="00A947F6"/>
    <w:rsid w:val="00A94804"/>
    <w:rsid w:val="00A94946"/>
    <w:rsid w:val="00A949CE"/>
    <w:rsid w:val="00A9533F"/>
    <w:rsid w:val="00A954F2"/>
    <w:rsid w:val="00A9595C"/>
    <w:rsid w:val="00A95A22"/>
    <w:rsid w:val="00A96011"/>
    <w:rsid w:val="00A96221"/>
    <w:rsid w:val="00A96567"/>
    <w:rsid w:val="00A969DA"/>
    <w:rsid w:val="00A971C8"/>
    <w:rsid w:val="00A972BF"/>
    <w:rsid w:val="00A97696"/>
    <w:rsid w:val="00A97722"/>
    <w:rsid w:val="00A97BD8"/>
    <w:rsid w:val="00A97EEC"/>
    <w:rsid w:val="00AA0331"/>
    <w:rsid w:val="00AA15C5"/>
    <w:rsid w:val="00AA17AA"/>
    <w:rsid w:val="00AA1E5E"/>
    <w:rsid w:val="00AA1EB2"/>
    <w:rsid w:val="00AA23E0"/>
    <w:rsid w:val="00AA2E03"/>
    <w:rsid w:val="00AA3E78"/>
    <w:rsid w:val="00AA4659"/>
    <w:rsid w:val="00AA4B19"/>
    <w:rsid w:val="00AA4C50"/>
    <w:rsid w:val="00AA4CCA"/>
    <w:rsid w:val="00AA53CA"/>
    <w:rsid w:val="00AA5707"/>
    <w:rsid w:val="00AA5EC4"/>
    <w:rsid w:val="00AA6399"/>
    <w:rsid w:val="00AA658D"/>
    <w:rsid w:val="00AA6A42"/>
    <w:rsid w:val="00AA6D58"/>
    <w:rsid w:val="00AA6E59"/>
    <w:rsid w:val="00AA6E85"/>
    <w:rsid w:val="00AA755D"/>
    <w:rsid w:val="00AA76CF"/>
    <w:rsid w:val="00AA79F0"/>
    <w:rsid w:val="00AA7A4D"/>
    <w:rsid w:val="00AA7A81"/>
    <w:rsid w:val="00AA7B22"/>
    <w:rsid w:val="00AB03C8"/>
    <w:rsid w:val="00AB0491"/>
    <w:rsid w:val="00AB07AA"/>
    <w:rsid w:val="00AB0B03"/>
    <w:rsid w:val="00AB0FDD"/>
    <w:rsid w:val="00AB10E5"/>
    <w:rsid w:val="00AB1AF4"/>
    <w:rsid w:val="00AB1B46"/>
    <w:rsid w:val="00AB1C22"/>
    <w:rsid w:val="00AB1ED4"/>
    <w:rsid w:val="00AB2306"/>
    <w:rsid w:val="00AB240F"/>
    <w:rsid w:val="00AB2A75"/>
    <w:rsid w:val="00AB2FA6"/>
    <w:rsid w:val="00AB3199"/>
    <w:rsid w:val="00AB3729"/>
    <w:rsid w:val="00AB37A1"/>
    <w:rsid w:val="00AB3897"/>
    <w:rsid w:val="00AB3A84"/>
    <w:rsid w:val="00AB3BC5"/>
    <w:rsid w:val="00AB48CC"/>
    <w:rsid w:val="00AB4C19"/>
    <w:rsid w:val="00AB4C31"/>
    <w:rsid w:val="00AB4C9E"/>
    <w:rsid w:val="00AB507A"/>
    <w:rsid w:val="00AB50CD"/>
    <w:rsid w:val="00AB5288"/>
    <w:rsid w:val="00AB5789"/>
    <w:rsid w:val="00AB58E5"/>
    <w:rsid w:val="00AB59F3"/>
    <w:rsid w:val="00AB5DEB"/>
    <w:rsid w:val="00AB5E82"/>
    <w:rsid w:val="00AB62E6"/>
    <w:rsid w:val="00AB64DD"/>
    <w:rsid w:val="00AB666C"/>
    <w:rsid w:val="00AB70CE"/>
    <w:rsid w:val="00AB7814"/>
    <w:rsid w:val="00AB797F"/>
    <w:rsid w:val="00AB7CAB"/>
    <w:rsid w:val="00AB7E87"/>
    <w:rsid w:val="00AC063E"/>
    <w:rsid w:val="00AC0668"/>
    <w:rsid w:val="00AC0685"/>
    <w:rsid w:val="00AC06C6"/>
    <w:rsid w:val="00AC1987"/>
    <w:rsid w:val="00AC2368"/>
    <w:rsid w:val="00AC29F4"/>
    <w:rsid w:val="00AC2C52"/>
    <w:rsid w:val="00AC2F09"/>
    <w:rsid w:val="00AC397E"/>
    <w:rsid w:val="00AC3B9E"/>
    <w:rsid w:val="00AC40C5"/>
    <w:rsid w:val="00AC4630"/>
    <w:rsid w:val="00AC4BA6"/>
    <w:rsid w:val="00AC4E6F"/>
    <w:rsid w:val="00AC4F49"/>
    <w:rsid w:val="00AC5C1F"/>
    <w:rsid w:val="00AC5CB8"/>
    <w:rsid w:val="00AC6321"/>
    <w:rsid w:val="00AC641A"/>
    <w:rsid w:val="00AC6903"/>
    <w:rsid w:val="00AC6E4C"/>
    <w:rsid w:val="00AC7981"/>
    <w:rsid w:val="00AC7A01"/>
    <w:rsid w:val="00AC7BD0"/>
    <w:rsid w:val="00AD032C"/>
    <w:rsid w:val="00AD06A9"/>
    <w:rsid w:val="00AD0D34"/>
    <w:rsid w:val="00AD0E10"/>
    <w:rsid w:val="00AD0E9E"/>
    <w:rsid w:val="00AD1BF5"/>
    <w:rsid w:val="00AD1C8A"/>
    <w:rsid w:val="00AD23CC"/>
    <w:rsid w:val="00AD27FC"/>
    <w:rsid w:val="00AD2946"/>
    <w:rsid w:val="00AD2BAE"/>
    <w:rsid w:val="00AD2C13"/>
    <w:rsid w:val="00AD3461"/>
    <w:rsid w:val="00AD35A9"/>
    <w:rsid w:val="00AD35F2"/>
    <w:rsid w:val="00AD3A5C"/>
    <w:rsid w:val="00AD3E82"/>
    <w:rsid w:val="00AD3F5E"/>
    <w:rsid w:val="00AD441C"/>
    <w:rsid w:val="00AD4579"/>
    <w:rsid w:val="00AD45E8"/>
    <w:rsid w:val="00AD4779"/>
    <w:rsid w:val="00AD4AF2"/>
    <w:rsid w:val="00AD502C"/>
    <w:rsid w:val="00AD6054"/>
    <w:rsid w:val="00AD611D"/>
    <w:rsid w:val="00AD6223"/>
    <w:rsid w:val="00AD626E"/>
    <w:rsid w:val="00AD628B"/>
    <w:rsid w:val="00AD6570"/>
    <w:rsid w:val="00AD672E"/>
    <w:rsid w:val="00AD6A24"/>
    <w:rsid w:val="00AD6A36"/>
    <w:rsid w:val="00AD6D31"/>
    <w:rsid w:val="00AD6E43"/>
    <w:rsid w:val="00AD6E6F"/>
    <w:rsid w:val="00AD704F"/>
    <w:rsid w:val="00AD73E7"/>
    <w:rsid w:val="00AD768C"/>
    <w:rsid w:val="00AD7747"/>
    <w:rsid w:val="00AD7822"/>
    <w:rsid w:val="00AD7884"/>
    <w:rsid w:val="00AD7B1B"/>
    <w:rsid w:val="00AE0522"/>
    <w:rsid w:val="00AE0DC1"/>
    <w:rsid w:val="00AE14EF"/>
    <w:rsid w:val="00AE15BA"/>
    <w:rsid w:val="00AE168C"/>
    <w:rsid w:val="00AE17D6"/>
    <w:rsid w:val="00AE233E"/>
    <w:rsid w:val="00AE23D4"/>
    <w:rsid w:val="00AE25C0"/>
    <w:rsid w:val="00AE2B7E"/>
    <w:rsid w:val="00AE2BE4"/>
    <w:rsid w:val="00AE3034"/>
    <w:rsid w:val="00AE3177"/>
    <w:rsid w:val="00AE37D0"/>
    <w:rsid w:val="00AE3858"/>
    <w:rsid w:val="00AE3BBD"/>
    <w:rsid w:val="00AE3D99"/>
    <w:rsid w:val="00AE3E77"/>
    <w:rsid w:val="00AE3EC0"/>
    <w:rsid w:val="00AE3F4D"/>
    <w:rsid w:val="00AE41CF"/>
    <w:rsid w:val="00AE429F"/>
    <w:rsid w:val="00AE433C"/>
    <w:rsid w:val="00AE4803"/>
    <w:rsid w:val="00AE498A"/>
    <w:rsid w:val="00AE49C9"/>
    <w:rsid w:val="00AE5201"/>
    <w:rsid w:val="00AE53C6"/>
    <w:rsid w:val="00AE545E"/>
    <w:rsid w:val="00AE54F3"/>
    <w:rsid w:val="00AE5D70"/>
    <w:rsid w:val="00AE633E"/>
    <w:rsid w:val="00AE63E3"/>
    <w:rsid w:val="00AE64E6"/>
    <w:rsid w:val="00AE668E"/>
    <w:rsid w:val="00AE693F"/>
    <w:rsid w:val="00AE6D78"/>
    <w:rsid w:val="00AE7016"/>
    <w:rsid w:val="00AE7678"/>
    <w:rsid w:val="00AF0486"/>
    <w:rsid w:val="00AF065F"/>
    <w:rsid w:val="00AF08E8"/>
    <w:rsid w:val="00AF0ABD"/>
    <w:rsid w:val="00AF0C59"/>
    <w:rsid w:val="00AF0D15"/>
    <w:rsid w:val="00AF0F09"/>
    <w:rsid w:val="00AF0FF3"/>
    <w:rsid w:val="00AF16D5"/>
    <w:rsid w:val="00AF1905"/>
    <w:rsid w:val="00AF21A2"/>
    <w:rsid w:val="00AF21F1"/>
    <w:rsid w:val="00AF2261"/>
    <w:rsid w:val="00AF2288"/>
    <w:rsid w:val="00AF22B3"/>
    <w:rsid w:val="00AF232A"/>
    <w:rsid w:val="00AF2374"/>
    <w:rsid w:val="00AF23A9"/>
    <w:rsid w:val="00AF2B84"/>
    <w:rsid w:val="00AF3028"/>
    <w:rsid w:val="00AF3215"/>
    <w:rsid w:val="00AF3A0D"/>
    <w:rsid w:val="00AF3F20"/>
    <w:rsid w:val="00AF3F27"/>
    <w:rsid w:val="00AF4220"/>
    <w:rsid w:val="00AF465D"/>
    <w:rsid w:val="00AF46EE"/>
    <w:rsid w:val="00AF4F45"/>
    <w:rsid w:val="00AF4FC8"/>
    <w:rsid w:val="00AF52B0"/>
    <w:rsid w:val="00AF55A1"/>
    <w:rsid w:val="00AF58AF"/>
    <w:rsid w:val="00AF5935"/>
    <w:rsid w:val="00AF5996"/>
    <w:rsid w:val="00AF5B3F"/>
    <w:rsid w:val="00AF5B52"/>
    <w:rsid w:val="00AF5BFA"/>
    <w:rsid w:val="00AF5CE3"/>
    <w:rsid w:val="00AF5DA9"/>
    <w:rsid w:val="00AF61F3"/>
    <w:rsid w:val="00AF626C"/>
    <w:rsid w:val="00AF6346"/>
    <w:rsid w:val="00AF67DF"/>
    <w:rsid w:val="00AF6A0A"/>
    <w:rsid w:val="00AF6C17"/>
    <w:rsid w:val="00AF7025"/>
    <w:rsid w:val="00AF7720"/>
    <w:rsid w:val="00B0019A"/>
    <w:rsid w:val="00B004DF"/>
    <w:rsid w:val="00B005B4"/>
    <w:rsid w:val="00B0087C"/>
    <w:rsid w:val="00B00ED3"/>
    <w:rsid w:val="00B00F2E"/>
    <w:rsid w:val="00B01385"/>
    <w:rsid w:val="00B017BB"/>
    <w:rsid w:val="00B02774"/>
    <w:rsid w:val="00B02B48"/>
    <w:rsid w:val="00B0309C"/>
    <w:rsid w:val="00B037E5"/>
    <w:rsid w:val="00B03811"/>
    <w:rsid w:val="00B038F6"/>
    <w:rsid w:val="00B049BB"/>
    <w:rsid w:val="00B04A44"/>
    <w:rsid w:val="00B04AD3"/>
    <w:rsid w:val="00B04CAA"/>
    <w:rsid w:val="00B04E28"/>
    <w:rsid w:val="00B0526B"/>
    <w:rsid w:val="00B05AFD"/>
    <w:rsid w:val="00B05C1B"/>
    <w:rsid w:val="00B05E56"/>
    <w:rsid w:val="00B06429"/>
    <w:rsid w:val="00B06780"/>
    <w:rsid w:val="00B069D5"/>
    <w:rsid w:val="00B07452"/>
    <w:rsid w:val="00B07524"/>
    <w:rsid w:val="00B07B0F"/>
    <w:rsid w:val="00B10068"/>
    <w:rsid w:val="00B10198"/>
    <w:rsid w:val="00B105B3"/>
    <w:rsid w:val="00B106BC"/>
    <w:rsid w:val="00B107F5"/>
    <w:rsid w:val="00B107F8"/>
    <w:rsid w:val="00B10833"/>
    <w:rsid w:val="00B10938"/>
    <w:rsid w:val="00B10CF8"/>
    <w:rsid w:val="00B10D31"/>
    <w:rsid w:val="00B10F40"/>
    <w:rsid w:val="00B110EE"/>
    <w:rsid w:val="00B112CF"/>
    <w:rsid w:val="00B113AA"/>
    <w:rsid w:val="00B11C36"/>
    <w:rsid w:val="00B11D31"/>
    <w:rsid w:val="00B11E52"/>
    <w:rsid w:val="00B124F6"/>
    <w:rsid w:val="00B12855"/>
    <w:rsid w:val="00B12B52"/>
    <w:rsid w:val="00B13A22"/>
    <w:rsid w:val="00B13B0E"/>
    <w:rsid w:val="00B13C8B"/>
    <w:rsid w:val="00B13D60"/>
    <w:rsid w:val="00B13E2B"/>
    <w:rsid w:val="00B1441B"/>
    <w:rsid w:val="00B1444A"/>
    <w:rsid w:val="00B14670"/>
    <w:rsid w:val="00B14976"/>
    <w:rsid w:val="00B14BE3"/>
    <w:rsid w:val="00B14C06"/>
    <w:rsid w:val="00B14DEF"/>
    <w:rsid w:val="00B14DF0"/>
    <w:rsid w:val="00B15441"/>
    <w:rsid w:val="00B15499"/>
    <w:rsid w:val="00B1553E"/>
    <w:rsid w:val="00B1566F"/>
    <w:rsid w:val="00B1585E"/>
    <w:rsid w:val="00B1595F"/>
    <w:rsid w:val="00B15CFD"/>
    <w:rsid w:val="00B1692F"/>
    <w:rsid w:val="00B17772"/>
    <w:rsid w:val="00B178A5"/>
    <w:rsid w:val="00B17B07"/>
    <w:rsid w:val="00B20039"/>
    <w:rsid w:val="00B200D8"/>
    <w:rsid w:val="00B2053A"/>
    <w:rsid w:val="00B20556"/>
    <w:rsid w:val="00B206F5"/>
    <w:rsid w:val="00B20747"/>
    <w:rsid w:val="00B20F07"/>
    <w:rsid w:val="00B20F87"/>
    <w:rsid w:val="00B214A2"/>
    <w:rsid w:val="00B215EC"/>
    <w:rsid w:val="00B21BFA"/>
    <w:rsid w:val="00B2226F"/>
    <w:rsid w:val="00B222E6"/>
    <w:rsid w:val="00B22957"/>
    <w:rsid w:val="00B236A4"/>
    <w:rsid w:val="00B239E9"/>
    <w:rsid w:val="00B23BFD"/>
    <w:rsid w:val="00B2412D"/>
    <w:rsid w:val="00B24769"/>
    <w:rsid w:val="00B247F8"/>
    <w:rsid w:val="00B24972"/>
    <w:rsid w:val="00B25296"/>
    <w:rsid w:val="00B25BC1"/>
    <w:rsid w:val="00B25FAB"/>
    <w:rsid w:val="00B26296"/>
    <w:rsid w:val="00B26652"/>
    <w:rsid w:val="00B26959"/>
    <w:rsid w:val="00B26975"/>
    <w:rsid w:val="00B26B30"/>
    <w:rsid w:val="00B26D52"/>
    <w:rsid w:val="00B26E7C"/>
    <w:rsid w:val="00B26E98"/>
    <w:rsid w:val="00B26EF9"/>
    <w:rsid w:val="00B26F56"/>
    <w:rsid w:val="00B26FA7"/>
    <w:rsid w:val="00B2720B"/>
    <w:rsid w:val="00B27455"/>
    <w:rsid w:val="00B27A03"/>
    <w:rsid w:val="00B27C06"/>
    <w:rsid w:val="00B27C8F"/>
    <w:rsid w:val="00B3001F"/>
    <w:rsid w:val="00B3021F"/>
    <w:rsid w:val="00B303D3"/>
    <w:rsid w:val="00B304A2"/>
    <w:rsid w:val="00B30511"/>
    <w:rsid w:val="00B3067F"/>
    <w:rsid w:val="00B306A3"/>
    <w:rsid w:val="00B30C67"/>
    <w:rsid w:val="00B30DC1"/>
    <w:rsid w:val="00B30DF2"/>
    <w:rsid w:val="00B30E07"/>
    <w:rsid w:val="00B3102A"/>
    <w:rsid w:val="00B3140D"/>
    <w:rsid w:val="00B315A2"/>
    <w:rsid w:val="00B31996"/>
    <w:rsid w:val="00B31A0C"/>
    <w:rsid w:val="00B31A7D"/>
    <w:rsid w:val="00B31E9D"/>
    <w:rsid w:val="00B31FDD"/>
    <w:rsid w:val="00B32828"/>
    <w:rsid w:val="00B32C66"/>
    <w:rsid w:val="00B332BC"/>
    <w:rsid w:val="00B3335B"/>
    <w:rsid w:val="00B33609"/>
    <w:rsid w:val="00B33614"/>
    <w:rsid w:val="00B33774"/>
    <w:rsid w:val="00B339E2"/>
    <w:rsid w:val="00B33A74"/>
    <w:rsid w:val="00B33AC1"/>
    <w:rsid w:val="00B33CC1"/>
    <w:rsid w:val="00B33E3D"/>
    <w:rsid w:val="00B34655"/>
    <w:rsid w:val="00B34A5E"/>
    <w:rsid w:val="00B34CBE"/>
    <w:rsid w:val="00B3548F"/>
    <w:rsid w:val="00B3564F"/>
    <w:rsid w:val="00B357E1"/>
    <w:rsid w:val="00B35D3A"/>
    <w:rsid w:val="00B35D88"/>
    <w:rsid w:val="00B366BB"/>
    <w:rsid w:val="00B36979"/>
    <w:rsid w:val="00B37241"/>
    <w:rsid w:val="00B3748B"/>
    <w:rsid w:val="00B374F8"/>
    <w:rsid w:val="00B37B9F"/>
    <w:rsid w:val="00B37BD4"/>
    <w:rsid w:val="00B37C73"/>
    <w:rsid w:val="00B37CEC"/>
    <w:rsid w:val="00B37ECA"/>
    <w:rsid w:val="00B406FB"/>
    <w:rsid w:val="00B40CF1"/>
    <w:rsid w:val="00B40FE5"/>
    <w:rsid w:val="00B419B4"/>
    <w:rsid w:val="00B419D8"/>
    <w:rsid w:val="00B41A3A"/>
    <w:rsid w:val="00B42762"/>
    <w:rsid w:val="00B427E0"/>
    <w:rsid w:val="00B42A81"/>
    <w:rsid w:val="00B42AF6"/>
    <w:rsid w:val="00B42CD5"/>
    <w:rsid w:val="00B43574"/>
    <w:rsid w:val="00B435BC"/>
    <w:rsid w:val="00B43640"/>
    <w:rsid w:val="00B439E2"/>
    <w:rsid w:val="00B439EA"/>
    <w:rsid w:val="00B43DA2"/>
    <w:rsid w:val="00B443AE"/>
    <w:rsid w:val="00B443C1"/>
    <w:rsid w:val="00B445D5"/>
    <w:rsid w:val="00B446AD"/>
    <w:rsid w:val="00B44814"/>
    <w:rsid w:val="00B44DAD"/>
    <w:rsid w:val="00B44FE7"/>
    <w:rsid w:val="00B44FEA"/>
    <w:rsid w:val="00B455C1"/>
    <w:rsid w:val="00B45765"/>
    <w:rsid w:val="00B45FC8"/>
    <w:rsid w:val="00B468E6"/>
    <w:rsid w:val="00B46B85"/>
    <w:rsid w:val="00B47483"/>
    <w:rsid w:val="00B475D5"/>
    <w:rsid w:val="00B4766C"/>
    <w:rsid w:val="00B47690"/>
    <w:rsid w:val="00B4769B"/>
    <w:rsid w:val="00B478AF"/>
    <w:rsid w:val="00B50021"/>
    <w:rsid w:val="00B501B9"/>
    <w:rsid w:val="00B5046F"/>
    <w:rsid w:val="00B50506"/>
    <w:rsid w:val="00B505AB"/>
    <w:rsid w:val="00B50A0C"/>
    <w:rsid w:val="00B50A1B"/>
    <w:rsid w:val="00B50BD8"/>
    <w:rsid w:val="00B511F5"/>
    <w:rsid w:val="00B51271"/>
    <w:rsid w:val="00B520BF"/>
    <w:rsid w:val="00B52387"/>
    <w:rsid w:val="00B52817"/>
    <w:rsid w:val="00B52A3B"/>
    <w:rsid w:val="00B52AC7"/>
    <w:rsid w:val="00B52F45"/>
    <w:rsid w:val="00B5321D"/>
    <w:rsid w:val="00B539C5"/>
    <w:rsid w:val="00B53CD4"/>
    <w:rsid w:val="00B5437F"/>
    <w:rsid w:val="00B54634"/>
    <w:rsid w:val="00B54A90"/>
    <w:rsid w:val="00B54C0C"/>
    <w:rsid w:val="00B55837"/>
    <w:rsid w:val="00B55856"/>
    <w:rsid w:val="00B558AC"/>
    <w:rsid w:val="00B55A88"/>
    <w:rsid w:val="00B55BA2"/>
    <w:rsid w:val="00B55BDE"/>
    <w:rsid w:val="00B55C8C"/>
    <w:rsid w:val="00B55D99"/>
    <w:rsid w:val="00B560E6"/>
    <w:rsid w:val="00B56500"/>
    <w:rsid w:val="00B56989"/>
    <w:rsid w:val="00B56C5A"/>
    <w:rsid w:val="00B56DA6"/>
    <w:rsid w:val="00B56F6C"/>
    <w:rsid w:val="00B57195"/>
    <w:rsid w:val="00B5719E"/>
    <w:rsid w:val="00B57264"/>
    <w:rsid w:val="00B57839"/>
    <w:rsid w:val="00B57BB9"/>
    <w:rsid w:val="00B57D89"/>
    <w:rsid w:val="00B604EE"/>
    <w:rsid w:val="00B60BEE"/>
    <w:rsid w:val="00B61129"/>
    <w:rsid w:val="00B6118D"/>
    <w:rsid w:val="00B6123B"/>
    <w:rsid w:val="00B61780"/>
    <w:rsid w:val="00B61A03"/>
    <w:rsid w:val="00B61C99"/>
    <w:rsid w:val="00B62D2C"/>
    <w:rsid w:val="00B62DB0"/>
    <w:rsid w:val="00B634E7"/>
    <w:rsid w:val="00B63518"/>
    <w:rsid w:val="00B635A3"/>
    <w:rsid w:val="00B6364D"/>
    <w:rsid w:val="00B63932"/>
    <w:rsid w:val="00B64845"/>
    <w:rsid w:val="00B64956"/>
    <w:rsid w:val="00B64E40"/>
    <w:rsid w:val="00B64F0D"/>
    <w:rsid w:val="00B65163"/>
    <w:rsid w:val="00B654F8"/>
    <w:rsid w:val="00B65A8F"/>
    <w:rsid w:val="00B65D34"/>
    <w:rsid w:val="00B6649F"/>
    <w:rsid w:val="00B664D9"/>
    <w:rsid w:val="00B66961"/>
    <w:rsid w:val="00B66CA2"/>
    <w:rsid w:val="00B6741C"/>
    <w:rsid w:val="00B674D2"/>
    <w:rsid w:val="00B67706"/>
    <w:rsid w:val="00B67E44"/>
    <w:rsid w:val="00B67FE2"/>
    <w:rsid w:val="00B7035B"/>
    <w:rsid w:val="00B70B7B"/>
    <w:rsid w:val="00B71AEC"/>
    <w:rsid w:val="00B72206"/>
    <w:rsid w:val="00B727CF"/>
    <w:rsid w:val="00B72B00"/>
    <w:rsid w:val="00B72B28"/>
    <w:rsid w:val="00B72FCB"/>
    <w:rsid w:val="00B734D0"/>
    <w:rsid w:val="00B7374C"/>
    <w:rsid w:val="00B7394E"/>
    <w:rsid w:val="00B73E1E"/>
    <w:rsid w:val="00B73F83"/>
    <w:rsid w:val="00B7409E"/>
    <w:rsid w:val="00B743C1"/>
    <w:rsid w:val="00B744F8"/>
    <w:rsid w:val="00B74CE7"/>
    <w:rsid w:val="00B74D25"/>
    <w:rsid w:val="00B74F32"/>
    <w:rsid w:val="00B7560C"/>
    <w:rsid w:val="00B76B47"/>
    <w:rsid w:val="00B76B7A"/>
    <w:rsid w:val="00B76BD8"/>
    <w:rsid w:val="00B76E6E"/>
    <w:rsid w:val="00B7731F"/>
    <w:rsid w:val="00B776EC"/>
    <w:rsid w:val="00B77944"/>
    <w:rsid w:val="00B77A22"/>
    <w:rsid w:val="00B77FCD"/>
    <w:rsid w:val="00B800C3"/>
    <w:rsid w:val="00B8054F"/>
    <w:rsid w:val="00B8096D"/>
    <w:rsid w:val="00B80CE0"/>
    <w:rsid w:val="00B81215"/>
    <w:rsid w:val="00B813C0"/>
    <w:rsid w:val="00B81A72"/>
    <w:rsid w:val="00B81C16"/>
    <w:rsid w:val="00B81D0E"/>
    <w:rsid w:val="00B8262B"/>
    <w:rsid w:val="00B82748"/>
    <w:rsid w:val="00B828A1"/>
    <w:rsid w:val="00B82B08"/>
    <w:rsid w:val="00B82ED2"/>
    <w:rsid w:val="00B82EFE"/>
    <w:rsid w:val="00B82F84"/>
    <w:rsid w:val="00B832AE"/>
    <w:rsid w:val="00B8338C"/>
    <w:rsid w:val="00B83405"/>
    <w:rsid w:val="00B83F5B"/>
    <w:rsid w:val="00B8417D"/>
    <w:rsid w:val="00B84391"/>
    <w:rsid w:val="00B845BA"/>
    <w:rsid w:val="00B845C4"/>
    <w:rsid w:val="00B84835"/>
    <w:rsid w:val="00B848D6"/>
    <w:rsid w:val="00B85563"/>
    <w:rsid w:val="00B85A4E"/>
    <w:rsid w:val="00B85B3C"/>
    <w:rsid w:val="00B85B48"/>
    <w:rsid w:val="00B85B90"/>
    <w:rsid w:val="00B863E8"/>
    <w:rsid w:val="00B8660E"/>
    <w:rsid w:val="00B8668C"/>
    <w:rsid w:val="00B867F3"/>
    <w:rsid w:val="00B86B2B"/>
    <w:rsid w:val="00B86DAA"/>
    <w:rsid w:val="00B87249"/>
    <w:rsid w:val="00B872BE"/>
    <w:rsid w:val="00B872E3"/>
    <w:rsid w:val="00B87810"/>
    <w:rsid w:val="00B87B12"/>
    <w:rsid w:val="00B90216"/>
    <w:rsid w:val="00B9031B"/>
    <w:rsid w:val="00B905EF"/>
    <w:rsid w:val="00B90ADA"/>
    <w:rsid w:val="00B90BA8"/>
    <w:rsid w:val="00B90D9B"/>
    <w:rsid w:val="00B90FF4"/>
    <w:rsid w:val="00B910FF"/>
    <w:rsid w:val="00B914E0"/>
    <w:rsid w:val="00B91564"/>
    <w:rsid w:val="00B9193D"/>
    <w:rsid w:val="00B91EEA"/>
    <w:rsid w:val="00B92060"/>
    <w:rsid w:val="00B92070"/>
    <w:rsid w:val="00B920BC"/>
    <w:rsid w:val="00B92219"/>
    <w:rsid w:val="00B9225B"/>
    <w:rsid w:val="00B9277A"/>
    <w:rsid w:val="00B92A4B"/>
    <w:rsid w:val="00B92AC8"/>
    <w:rsid w:val="00B92BD2"/>
    <w:rsid w:val="00B93224"/>
    <w:rsid w:val="00B93293"/>
    <w:rsid w:val="00B9377F"/>
    <w:rsid w:val="00B93888"/>
    <w:rsid w:val="00B93AAA"/>
    <w:rsid w:val="00B94294"/>
    <w:rsid w:val="00B94302"/>
    <w:rsid w:val="00B946B1"/>
    <w:rsid w:val="00B9476E"/>
    <w:rsid w:val="00B94E39"/>
    <w:rsid w:val="00B95151"/>
    <w:rsid w:val="00B95192"/>
    <w:rsid w:val="00B95E80"/>
    <w:rsid w:val="00B960ED"/>
    <w:rsid w:val="00B9614F"/>
    <w:rsid w:val="00B9644B"/>
    <w:rsid w:val="00B967C5"/>
    <w:rsid w:val="00B96A81"/>
    <w:rsid w:val="00B9735E"/>
    <w:rsid w:val="00B976E0"/>
    <w:rsid w:val="00B9789E"/>
    <w:rsid w:val="00B9796A"/>
    <w:rsid w:val="00B979C4"/>
    <w:rsid w:val="00B97A45"/>
    <w:rsid w:val="00BA0C29"/>
    <w:rsid w:val="00BA116C"/>
    <w:rsid w:val="00BA17BA"/>
    <w:rsid w:val="00BA1853"/>
    <w:rsid w:val="00BA1B17"/>
    <w:rsid w:val="00BA20A7"/>
    <w:rsid w:val="00BA2404"/>
    <w:rsid w:val="00BA2857"/>
    <w:rsid w:val="00BA2B84"/>
    <w:rsid w:val="00BA3521"/>
    <w:rsid w:val="00BA38AB"/>
    <w:rsid w:val="00BA3F6D"/>
    <w:rsid w:val="00BA40A8"/>
    <w:rsid w:val="00BA484B"/>
    <w:rsid w:val="00BA4D36"/>
    <w:rsid w:val="00BA5242"/>
    <w:rsid w:val="00BA527E"/>
    <w:rsid w:val="00BA5324"/>
    <w:rsid w:val="00BA598A"/>
    <w:rsid w:val="00BA59B3"/>
    <w:rsid w:val="00BA5A27"/>
    <w:rsid w:val="00BA5A4D"/>
    <w:rsid w:val="00BA60E9"/>
    <w:rsid w:val="00BA6320"/>
    <w:rsid w:val="00BA65F4"/>
    <w:rsid w:val="00BA6786"/>
    <w:rsid w:val="00BA6899"/>
    <w:rsid w:val="00BA6F0E"/>
    <w:rsid w:val="00BA75AF"/>
    <w:rsid w:val="00BA7F71"/>
    <w:rsid w:val="00BB00AD"/>
    <w:rsid w:val="00BB0143"/>
    <w:rsid w:val="00BB022D"/>
    <w:rsid w:val="00BB028F"/>
    <w:rsid w:val="00BB07DC"/>
    <w:rsid w:val="00BB0BA7"/>
    <w:rsid w:val="00BB1011"/>
    <w:rsid w:val="00BB12D7"/>
    <w:rsid w:val="00BB1394"/>
    <w:rsid w:val="00BB14A3"/>
    <w:rsid w:val="00BB155B"/>
    <w:rsid w:val="00BB177E"/>
    <w:rsid w:val="00BB1A7B"/>
    <w:rsid w:val="00BB1C65"/>
    <w:rsid w:val="00BB1CA7"/>
    <w:rsid w:val="00BB1D1D"/>
    <w:rsid w:val="00BB1D37"/>
    <w:rsid w:val="00BB23F7"/>
    <w:rsid w:val="00BB269F"/>
    <w:rsid w:val="00BB2C2F"/>
    <w:rsid w:val="00BB36AF"/>
    <w:rsid w:val="00BB3981"/>
    <w:rsid w:val="00BB3A17"/>
    <w:rsid w:val="00BB4442"/>
    <w:rsid w:val="00BB46B4"/>
    <w:rsid w:val="00BB4A08"/>
    <w:rsid w:val="00BB508D"/>
    <w:rsid w:val="00BB537E"/>
    <w:rsid w:val="00BB5B4C"/>
    <w:rsid w:val="00BB6C2C"/>
    <w:rsid w:val="00BB6F17"/>
    <w:rsid w:val="00BB6FC0"/>
    <w:rsid w:val="00BB7191"/>
    <w:rsid w:val="00BB7432"/>
    <w:rsid w:val="00BC041E"/>
    <w:rsid w:val="00BC06DC"/>
    <w:rsid w:val="00BC098C"/>
    <w:rsid w:val="00BC0CB6"/>
    <w:rsid w:val="00BC0EC5"/>
    <w:rsid w:val="00BC1253"/>
    <w:rsid w:val="00BC1428"/>
    <w:rsid w:val="00BC1B3D"/>
    <w:rsid w:val="00BC2932"/>
    <w:rsid w:val="00BC2961"/>
    <w:rsid w:val="00BC311F"/>
    <w:rsid w:val="00BC34EB"/>
    <w:rsid w:val="00BC36E6"/>
    <w:rsid w:val="00BC387A"/>
    <w:rsid w:val="00BC39DC"/>
    <w:rsid w:val="00BC3EFB"/>
    <w:rsid w:val="00BC4057"/>
    <w:rsid w:val="00BC436E"/>
    <w:rsid w:val="00BC46B4"/>
    <w:rsid w:val="00BC4EE4"/>
    <w:rsid w:val="00BC5236"/>
    <w:rsid w:val="00BC569D"/>
    <w:rsid w:val="00BC5B93"/>
    <w:rsid w:val="00BC5BAC"/>
    <w:rsid w:val="00BC5DC4"/>
    <w:rsid w:val="00BC5F80"/>
    <w:rsid w:val="00BC6331"/>
    <w:rsid w:val="00BC6524"/>
    <w:rsid w:val="00BC665F"/>
    <w:rsid w:val="00BC6B43"/>
    <w:rsid w:val="00BC6C26"/>
    <w:rsid w:val="00BC6F96"/>
    <w:rsid w:val="00BC7575"/>
    <w:rsid w:val="00BC79A9"/>
    <w:rsid w:val="00BC7BF4"/>
    <w:rsid w:val="00BC7D78"/>
    <w:rsid w:val="00BC7D7A"/>
    <w:rsid w:val="00BD0162"/>
    <w:rsid w:val="00BD0A34"/>
    <w:rsid w:val="00BD0ACF"/>
    <w:rsid w:val="00BD0E70"/>
    <w:rsid w:val="00BD160A"/>
    <w:rsid w:val="00BD17B7"/>
    <w:rsid w:val="00BD1873"/>
    <w:rsid w:val="00BD222D"/>
    <w:rsid w:val="00BD2F5E"/>
    <w:rsid w:val="00BD3315"/>
    <w:rsid w:val="00BD39FE"/>
    <w:rsid w:val="00BD3A24"/>
    <w:rsid w:val="00BD3EF0"/>
    <w:rsid w:val="00BD4276"/>
    <w:rsid w:val="00BD43A3"/>
    <w:rsid w:val="00BD44E0"/>
    <w:rsid w:val="00BD4BF0"/>
    <w:rsid w:val="00BD4FFB"/>
    <w:rsid w:val="00BD52EB"/>
    <w:rsid w:val="00BD57CD"/>
    <w:rsid w:val="00BD5CF9"/>
    <w:rsid w:val="00BD5FAC"/>
    <w:rsid w:val="00BD62C2"/>
    <w:rsid w:val="00BD6943"/>
    <w:rsid w:val="00BD6B28"/>
    <w:rsid w:val="00BD6E40"/>
    <w:rsid w:val="00BD6F8C"/>
    <w:rsid w:val="00BD771D"/>
    <w:rsid w:val="00BD7A5A"/>
    <w:rsid w:val="00BD7DC0"/>
    <w:rsid w:val="00BD7DFD"/>
    <w:rsid w:val="00BD7E50"/>
    <w:rsid w:val="00BE014F"/>
    <w:rsid w:val="00BE0997"/>
    <w:rsid w:val="00BE0B3E"/>
    <w:rsid w:val="00BE0BBD"/>
    <w:rsid w:val="00BE106C"/>
    <w:rsid w:val="00BE1221"/>
    <w:rsid w:val="00BE1336"/>
    <w:rsid w:val="00BE1E7A"/>
    <w:rsid w:val="00BE22E1"/>
    <w:rsid w:val="00BE25CA"/>
    <w:rsid w:val="00BE2962"/>
    <w:rsid w:val="00BE2A31"/>
    <w:rsid w:val="00BE2BBF"/>
    <w:rsid w:val="00BE2D39"/>
    <w:rsid w:val="00BE2DBD"/>
    <w:rsid w:val="00BE2DE8"/>
    <w:rsid w:val="00BE2E9F"/>
    <w:rsid w:val="00BE30BA"/>
    <w:rsid w:val="00BE364B"/>
    <w:rsid w:val="00BE3B7C"/>
    <w:rsid w:val="00BE3BB2"/>
    <w:rsid w:val="00BE3D11"/>
    <w:rsid w:val="00BE41A2"/>
    <w:rsid w:val="00BE43D2"/>
    <w:rsid w:val="00BE4A62"/>
    <w:rsid w:val="00BE4BE8"/>
    <w:rsid w:val="00BE5161"/>
    <w:rsid w:val="00BE537A"/>
    <w:rsid w:val="00BE559D"/>
    <w:rsid w:val="00BE55D5"/>
    <w:rsid w:val="00BE5761"/>
    <w:rsid w:val="00BE5A48"/>
    <w:rsid w:val="00BE5BDD"/>
    <w:rsid w:val="00BE5EEF"/>
    <w:rsid w:val="00BE60F1"/>
    <w:rsid w:val="00BE624C"/>
    <w:rsid w:val="00BE6664"/>
    <w:rsid w:val="00BE69FC"/>
    <w:rsid w:val="00BE705A"/>
    <w:rsid w:val="00BE7873"/>
    <w:rsid w:val="00BF0296"/>
    <w:rsid w:val="00BF02AF"/>
    <w:rsid w:val="00BF03BB"/>
    <w:rsid w:val="00BF04E6"/>
    <w:rsid w:val="00BF0687"/>
    <w:rsid w:val="00BF09D9"/>
    <w:rsid w:val="00BF145F"/>
    <w:rsid w:val="00BF1B0D"/>
    <w:rsid w:val="00BF1E0C"/>
    <w:rsid w:val="00BF1E63"/>
    <w:rsid w:val="00BF1F36"/>
    <w:rsid w:val="00BF22A0"/>
    <w:rsid w:val="00BF24D0"/>
    <w:rsid w:val="00BF2BC1"/>
    <w:rsid w:val="00BF2E10"/>
    <w:rsid w:val="00BF2F46"/>
    <w:rsid w:val="00BF3AA1"/>
    <w:rsid w:val="00BF3B08"/>
    <w:rsid w:val="00BF4121"/>
    <w:rsid w:val="00BF4373"/>
    <w:rsid w:val="00BF46E5"/>
    <w:rsid w:val="00BF48FF"/>
    <w:rsid w:val="00BF5016"/>
    <w:rsid w:val="00BF5425"/>
    <w:rsid w:val="00BF5478"/>
    <w:rsid w:val="00BF57D9"/>
    <w:rsid w:val="00BF650D"/>
    <w:rsid w:val="00BF65BC"/>
    <w:rsid w:val="00BF6E9F"/>
    <w:rsid w:val="00BF70C4"/>
    <w:rsid w:val="00BF7C3F"/>
    <w:rsid w:val="00C00046"/>
    <w:rsid w:val="00C000AA"/>
    <w:rsid w:val="00C01033"/>
    <w:rsid w:val="00C014D9"/>
    <w:rsid w:val="00C015E3"/>
    <w:rsid w:val="00C0200C"/>
    <w:rsid w:val="00C02313"/>
    <w:rsid w:val="00C02468"/>
    <w:rsid w:val="00C02739"/>
    <w:rsid w:val="00C02B48"/>
    <w:rsid w:val="00C02C2C"/>
    <w:rsid w:val="00C02E4F"/>
    <w:rsid w:val="00C02FD9"/>
    <w:rsid w:val="00C034EE"/>
    <w:rsid w:val="00C03D02"/>
    <w:rsid w:val="00C03E1E"/>
    <w:rsid w:val="00C03F57"/>
    <w:rsid w:val="00C040CB"/>
    <w:rsid w:val="00C042D6"/>
    <w:rsid w:val="00C04660"/>
    <w:rsid w:val="00C049CF"/>
    <w:rsid w:val="00C04B63"/>
    <w:rsid w:val="00C0560E"/>
    <w:rsid w:val="00C05657"/>
    <w:rsid w:val="00C0571A"/>
    <w:rsid w:val="00C05A6F"/>
    <w:rsid w:val="00C05B99"/>
    <w:rsid w:val="00C05DDE"/>
    <w:rsid w:val="00C065BF"/>
    <w:rsid w:val="00C06B02"/>
    <w:rsid w:val="00C06E4C"/>
    <w:rsid w:val="00C06F47"/>
    <w:rsid w:val="00C07E20"/>
    <w:rsid w:val="00C07ECF"/>
    <w:rsid w:val="00C07EEF"/>
    <w:rsid w:val="00C104E7"/>
    <w:rsid w:val="00C104F9"/>
    <w:rsid w:val="00C10716"/>
    <w:rsid w:val="00C10B07"/>
    <w:rsid w:val="00C10CE9"/>
    <w:rsid w:val="00C1122D"/>
    <w:rsid w:val="00C11CBB"/>
    <w:rsid w:val="00C126F0"/>
    <w:rsid w:val="00C12C9D"/>
    <w:rsid w:val="00C130FF"/>
    <w:rsid w:val="00C138BF"/>
    <w:rsid w:val="00C13BF2"/>
    <w:rsid w:val="00C13EED"/>
    <w:rsid w:val="00C143AC"/>
    <w:rsid w:val="00C1459E"/>
    <w:rsid w:val="00C14B56"/>
    <w:rsid w:val="00C14FC3"/>
    <w:rsid w:val="00C161B2"/>
    <w:rsid w:val="00C164C4"/>
    <w:rsid w:val="00C16923"/>
    <w:rsid w:val="00C16C47"/>
    <w:rsid w:val="00C16CE3"/>
    <w:rsid w:val="00C17062"/>
    <w:rsid w:val="00C170B6"/>
    <w:rsid w:val="00C170D8"/>
    <w:rsid w:val="00C1716C"/>
    <w:rsid w:val="00C1739A"/>
    <w:rsid w:val="00C175F0"/>
    <w:rsid w:val="00C178DF"/>
    <w:rsid w:val="00C17BD5"/>
    <w:rsid w:val="00C17DAB"/>
    <w:rsid w:val="00C200DF"/>
    <w:rsid w:val="00C20251"/>
    <w:rsid w:val="00C20397"/>
    <w:rsid w:val="00C20A6E"/>
    <w:rsid w:val="00C20CF8"/>
    <w:rsid w:val="00C21084"/>
    <w:rsid w:val="00C21617"/>
    <w:rsid w:val="00C21982"/>
    <w:rsid w:val="00C21A1E"/>
    <w:rsid w:val="00C21B17"/>
    <w:rsid w:val="00C21D08"/>
    <w:rsid w:val="00C21E90"/>
    <w:rsid w:val="00C223FF"/>
    <w:rsid w:val="00C22517"/>
    <w:rsid w:val="00C22755"/>
    <w:rsid w:val="00C22979"/>
    <w:rsid w:val="00C22A08"/>
    <w:rsid w:val="00C22A95"/>
    <w:rsid w:val="00C22DB4"/>
    <w:rsid w:val="00C2303D"/>
    <w:rsid w:val="00C231E4"/>
    <w:rsid w:val="00C238A5"/>
    <w:rsid w:val="00C23BA3"/>
    <w:rsid w:val="00C23FCA"/>
    <w:rsid w:val="00C245AE"/>
    <w:rsid w:val="00C245F6"/>
    <w:rsid w:val="00C24A91"/>
    <w:rsid w:val="00C250CA"/>
    <w:rsid w:val="00C25199"/>
    <w:rsid w:val="00C25223"/>
    <w:rsid w:val="00C25864"/>
    <w:rsid w:val="00C25A53"/>
    <w:rsid w:val="00C25D62"/>
    <w:rsid w:val="00C25F7E"/>
    <w:rsid w:val="00C261AD"/>
    <w:rsid w:val="00C26256"/>
    <w:rsid w:val="00C2635B"/>
    <w:rsid w:val="00C269F5"/>
    <w:rsid w:val="00C27105"/>
    <w:rsid w:val="00C2727C"/>
    <w:rsid w:val="00C274B5"/>
    <w:rsid w:val="00C275B7"/>
    <w:rsid w:val="00C27A3E"/>
    <w:rsid w:val="00C27A5B"/>
    <w:rsid w:val="00C27C0A"/>
    <w:rsid w:val="00C27DC0"/>
    <w:rsid w:val="00C27F2C"/>
    <w:rsid w:val="00C27F51"/>
    <w:rsid w:val="00C3073E"/>
    <w:rsid w:val="00C307EF"/>
    <w:rsid w:val="00C30A2E"/>
    <w:rsid w:val="00C30FE6"/>
    <w:rsid w:val="00C312B8"/>
    <w:rsid w:val="00C3141C"/>
    <w:rsid w:val="00C3147D"/>
    <w:rsid w:val="00C31588"/>
    <w:rsid w:val="00C318E9"/>
    <w:rsid w:val="00C3190F"/>
    <w:rsid w:val="00C31FEA"/>
    <w:rsid w:val="00C32C90"/>
    <w:rsid w:val="00C33129"/>
    <w:rsid w:val="00C33512"/>
    <w:rsid w:val="00C3353D"/>
    <w:rsid w:val="00C33646"/>
    <w:rsid w:val="00C33830"/>
    <w:rsid w:val="00C341A3"/>
    <w:rsid w:val="00C34807"/>
    <w:rsid w:val="00C34BFE"/>
    <w:rsid w:val="00C34EDA"/>
    <w:rsid w:val="00C354E5"/>
    <w:rsid w:val="00C36195"/>
    <w:rsid w:val="00C36331"/>
    <w:rsid w:val="00C36875"/>
    <w:rsid w:val="00C36AB8"/>
    <w:rsid w:val="00C36FCE"/>
    <w:rsid w:val="00C37879"/>
    <w:rsid w:val="00C37B72"/>
    <w:rsid w:val="00C37CBB"/>
    <w:rsid w:val="00C405DC"/>
    <w:rsid w:val="00C40A4E"/>
    <w:rsid w:val="00C40B7A"/>
    <w:rsid w:val="00C40E2F"/>
    <w:rsid w:val="00C4101A"/>
    <w:rsid w:val="00C4125A"/>
    <w:rsid w:val="00C412A2"/>
    <w:rsid w:val="00C41C37"/>
    <w:rsid w:val="00C41EB7"/>
    <w:rsid w:val="00C42033"/>
    <w:rsid w:val="00C426B4"/>
    <w:rsid w:val="00C42F2C"/>
    <w:rsid w:val="00C43448"/>
    <w:rsid w:val="00C435AB"/>
    <w:rsid w:val="00C4387F"/>
    <w:rsid w:val="00C43FDF"/>
    <w:rsid w:val="00C43FF1"/>
    <w:rsid w:val="00C44046"/>
    <w:rsid w:val="00C4433C"/>
    <w:rsid w:val="00C4470F"/>
    <w:rsid w:val="00C44740"/>
    <w:rsid w:val="00C4475C"/>
    <w:rsid w:val="00C44921"/>
    <w:rsid w:val="00C44A02"/>
    <w:rsid w:val="00C44C56"/>
    <w:rsid w:val="00C44E0C"/>
    <w:rsid w:val="00C450A9"/>
    <w:rsid w:val="00C45366"/>
    <w:rsid w:val="00C454F9"/>
    <w:rsid w:val="00C45588"/>
    <w:rsid w:val="00C45619"/>
    <w:rsid w:val="00C459CC"/>
    <w:rsid w:val="00C45D54"/>
    <w:rsid w:val="00C45FD5"/>
    <w:rsid w:val="00C46845"/>
    <w:rsid w:val="00C46868"/>
    <w:rsid w:val="00C469F2"/>
    <w:rsid w:val="00C471FF"/>
    <w:rsid w:val="00C4782C"/>
    <w:rsid w:val="00C47F7A"/>
    <w:rsid w:val="00C50180"/>
    <w:rsid w:val="00C505A5"/>
    <w:rsid w:val="00C505AA"/>
    <w:rsid w:val="00C50666"/>
    <w:rsid w:val="00C507CE"/>
    <w:rsid w:val="00C50CC8"/>
    <w:rsid w:val="00C50CDC"/>
    <w:rsid w:val="00C50FC8"/>
    <w:rsid w:val="00C51775"/>
    <w:rsid w:val="00C517A3"/>
    <w:rsid w:val="00C51B5F"/>
    <w:rsid w:val="00C51F2B"/>
    <w:rsid w:val="00C522A4"/>
    <w:rsid w:val="00C524E8"/>
    <w:rsid w:val="00C52F6B"/>
    <w:rsid w:val="00C52FD2"/>
    <w:rsid w:val="00C53181"/>
    <w:rsid w:val="00C535E5"/>
    <w:rsid w:val="00C53694"/>
    <w:rsid w:val="00C538C6"/>
    <w:rsid w:val="00C539DE"/>
    <w:rsid w:val="00C53AD3"/>
    <w:rsid w:val="00C53B05"/>
    <w:rsid w:val="00C53BDD"/>
    <w:rsid w:val="00C541BE"/>
    <w:rsid w:val="00C541E0"/>
    <w:rsid w:val="00C542BC"/>
    <w:rsid w:val="00C5454D"/>
    <w:rsid w:val="00C5530E"/>
    <w:rsid w:val="00C55613"/>
    <w:rsid w:val="00C56212"/>
    <w:rsid w:val="00C5641F"/>
    <w:rsid w:val="00C567BA"/>
    <w:rsid w:val="00C56F03"/>
    <w:rsid w:val="00C5700C"/>
    <w:rsid w:val="00C57386"/>
    <w:rsid w:val="00C57DDD"/>
    <w:rsid w:val="00C57E3A"/>
    <w:rsid w:val="00C57ECC"/>
    <w:rsid w:val="00C606A8"/>
    <w:rsid w:val="00C61037"/>
    <w:rsid w:val="00C61550"/>
    <w:rsid w:val="00C616A4"/>
    <w:rsid w:val="00C61997"/>
    <w:rsid w:val="00C61A73"/>
    <w:rsid w:val="00C61C15"/>
    <w:rsid w:val="00C61CBE"/>
    <w:rsid w:val="00C61F57"/>
    <w:rsid w:val="00C629CD"/>
    <w:rsid w:val="00C62D92"/>
    <w:rsid w:val="00C62F39"/>
    <w:rsid w:val="00C63533"/>
    <w:rsid w:val="00C63741"/>
    <w:rsid w:val="00C638E9"/>
    <w:rsid w:val="00C63AED"/>
    <w:rsid w:val="00C6422F"/>
    <w:rsid w:val="00C6517B"/>
    <w:rsid w:val="00C651FF"/>
    <w:rsid w:val="00C65612"/>
    <w:rsid w:val="00C65A52"/>
    <w:rsid w:val="00C65E1B"/>
    <w:rsid w:val="00C664AD"/>
    <w:rsid w:val="00C664BB"/>
    <w:rsid w:val="00C6707B"/>
    <w:rsid w:val="00C67132"/>
    <w:rsid w:val="00C67222"/>
    <w:rsid w:val="00C673B0"/>
    <w:rsid w:val="00C6756A"/>
    <w:rsid w:val="00C677B1"/>
    <w:rsid w:val="00C67942"/>
    <w:rsid w:val="00C67C8E"/>
    <w:rsid w:val="00C7016F"/>
    <w:rsid w:val="00C70221"/>
    <w:rsid w:val="00C70386"/>
    <w:rsid w:val="00C70587"/>
    <w:rsid w:val="00C70757"/>
    <w:rsid w:val="00C7115F"/>
    <w:rsid w:val="00C71184"/>
    <w:rsid w:val="00C71DB5"/>
    <w:rsid w:val="00C7266F"/>
    <w:rsid w:val="00C72CB8"/>
    <w:rsid w:val="00C72FCF"/>
    <w:rsid w:val="00C73025"/>
    <w:rsid w:val="00C7308D"/>
    <w:rsid w:val="00C730DF"/>
    <w:rsid w:val="00C73429"/>
    <w:rsid w:val="00C73D4F"/>
    <w:rsid w:val="00C73E48"/>
    <w:rsid w:val="00C73F9E"/>
    <w:rsid w:val="00C741D1"/>
    <w:rsid w:val="00C7433F"/>
    <w:rsid w:val="00C75150"/>
    <w:rsid w:val="00C7548A"/>
    <w:rsid w:val="00C755CD"/>
    <w:rsid w:val="00C756A6"/>
    <w:rsid w:val="00C75D82"/>
    <w:rsid w:val="00C760AE"/>
    <w:rsid w:val="00C761AB"/>
    <w:rsid w:val="00C762BE"/>
    <w:rsid w:val="00C763E0"/>
    <w:rsid w:val="00C763E5"/>
    <w:rsid w:val="00C770F0"/>
    <w:rsid w:val="00C77139"/>
    <w:rsid w:val="00C771B8"/>
    <w:rsid w:val="00C7778D"/>
    <w:rsid w:val="00C777E7"/>
    <w:rsid w:val="00C77F1F"/>
    <w:rsid w:val="00C80A26"/>
    <w:rsid w:val="00C80A7D"/>
    <w:rsid w:val="00C80B72"/>
    <w:rsid w:val="00C80F73"/>
    <w:rsid w:val="00C80FF4"/>
    <w:rsid w:val="00C8109E"/>
    <w:rsid w:val="00C81351"/>
    <w:rsid w:val="00C816BB"/>
    <w:rsid w:val="00C81C5F"/>
    <w:rsid w:val="00C81C75"/>
    <w:rsid w:val="00C81CC7"/>
    <w:rsid w:val="00C8272E"/>
    <w:rsid w:val="00C83A84"/>
    <w:rsid w:val="00C83BA1"/>
    <w:rsid w:val="00C8404B"/>
    <w:rsid w:val="00C84081"/>
    <w:rsid w:val="00C847C2"/>
    <w:rsid w:val="00C8542E"/>
    <w:rsid w:val="00C857F5"/>
    <w:rsid w:val="00C85A92"/>
    <w:rsid w:val="00C85ECF"/>
    <w:rsid w:val="00C85FA5"/>
    <w:rsid w:val="00C8661B"/>
    <w:rsid w:val="00C878C7"/>
    <w:rsid w:val="00C87A1A"/>
    <w:rsid w:val="00C87BCF"/>
    <w:rsid w:val="00C87F99"/>
    <w:rsid w:val="00C908A6"/>
    <w:rsid w:val="00C90AA2"/>
    <w:rsid w:val="00C90C03"/>
    <w:rsid w:val="00C90C5E"/>
    <w:rsid w:val="00C91130"/>
    <w:rsid w:val="00C915CC"/>
    <w:rsid w:val="00C916AF"/>
    <w:rsid w:val="00C918C7"/>
    <w:rsid w:val="00C91EA2"/>
    <w:rsid w:val="00C92095"/>
    <w:rsid w:val="00C92751"/>
    <w:rsid w:val="00C92AA7"/>
    <w:rsid w:val="00C92ACF"/>
    <w:rsid w:val="00C92B06"/>
    <w:rsid w:val="00C92F09"/>
    <w:rsid w:val="00C932A7"/>
    <w:rsid w:val="00C932AA"/>
    <w:rsid w:val="00C9354F"/>
    <w:rsid w:val="00C93CE7"/>
    <w:rsid w:val="00C93D97"/>
    <w:rsid w:val="00C93EE0"/>
    <w:rsid w:val="00C942E9"/>
    <w:rsid w:val="00C94797"/>
    <w:rsid w:val="00C9496C"/>
    <w:rsid w:val="00C94A59"/>
    <w:rsid w:val="00C94C6B"/>
    <w:rsid w:val="00C94C71"/>
    <w:rsid w:val="00C95007"/>
    <w:rsid w:val="00C9521B"/>
    <w:rsid w:val="00C9535C"/>
    <w:rsid w:val="00C96A52"/>
    <w:rsid w:val="00C96C89"/>
    <w:rsid w:val="00C96E5F"/>
    <w:rsid w:val="00C96FAA"/>
    <w:rsid w:val="00C97342"/>
    <w:rsid w:val="00C97378"/>
    <w:rsid w:val="00C979DC"/>
    <w:rsid w:val="00C97B97"/>
    <w:rsid w:val="00C97F62"/>
    <w:rsid w:val="00C97F88"/>
    <w:rsid w:val="00C97F8C"/>
    <w:rsid w:val="00CA07C3"/>
    <w:rsid w:val="00CA09EB"/>
    <w:rsid w:val="00CA0E7F"/>
    <w:rsid w:val="00CA12F7"/>
    <w:rsid w:val="00CA16B7"/>
    <w:rsid w:val="00CA17E6"/>
    <w:rsid w:val="00CA18DE"/>
    <w:rsid w:val="00CA1A14"/>
    <w:rsid w:val="00CA1BD5"/>
    <w:rsid w:val="00CA2138"/>
    <w:rsid w:val="00CA254F"/>
    <w:rsid w:val="00CA2570"/>
    <w:rsid w:val="00CA27DC"/>
    <w:rsid w:val="00CA2927"/>
    <w:rsid w:val="00CA2EEF"/>
    <w:rsid w:val="00CA3103"/>
    <w:rsid w:val="00CA3134"/>
    <w:rsid w:val="00CA314A"/>
    <w:rsid w:val="00CA3198"/>
    <w:rsid w:val="00CA389C"/>
    <w:rsid w:val="00CA3C24"/>
    <w:rsid w:val="00CA4235"/>
    <w:rsid w:val="00CA474C"/>
    <w:rsid w:val="00CA4F69"/>
    <w:rsid w:val="00CA501B"/>
    <w:rsid w:val="00CA5059"/>
    <w:rsid w:val="00CA5664"/>
    <w:rsid w:val="00CA593F"/>
    <w:rsid w:val="00CA5C22"/>
    <w:rsid w:val="00CA5C2D"/>
    <w:rsid w:val="00CA5F60"/>
    <w:rsid w:val="00CA6013"/>
    <w:rsid w:val="00CA626E"/>
    <w:rsid w:val="00CA64A2"/>
    <w:rsid w:val="00CA64D7"/>
    <w:rsid w:val="00CA654B"/>
    <w:rsid w:val="00CA6909"/>
    <w:rsid w:val="00CA6F39"/>
    <w:rsid w:val="00CA7898"/>
    <w:rsid w:val="00CA7932"/>
    <w:rsid w:val="00CA7F75"/>
    <w:rsid w:val="00CB05AD"/>
    <w:rsid w:val="00CB0CA6"/>
    <w:rsid w:val="00CB0FBB"/>
    <w:rsid w:val="00CB0FCB"/>
    <w:rsid w:val="00CB101B"/>
    <w:rsid w:val="00CB1049"/>
    <w:rsid w:val="00CB114F"/>
    <w:rsid w:val="00CB1167"/>
    <w:rsid w:val="00CB116D"/>
    <w:rsid w:val="00CB1431"/>
    <w:rsid w:val="00CB1D0B"/>
    <w:rsid w:val="00CB1E52"/>
    <w:rsid w:val="00CB1EFD"/>
    <w:rsid w:val="00CB2122"/>
    <w:rsid w:val="00CB2452"/>
    <w:rsid w:val="00CB26BB"/>
    <w:rsid w:val="00CB2A37"/>
    <w:rsid w:val="00CB2E9A"/>
    <w:rsid w:val="00CB300F"/>
    <w:rsid w:val="00CB308A"/>
    <w:rsid w:val="00CB348B"/>
    <w:rsid w:val="00CB3979"/>
    <w:rsid w:val="00CB3A25"/>
    <w:rsid w:val="00CB3EE6"/>
    <w:rsid w:val="00CB3F0F"/>
    <w:rsid w:val="00CB3F15"/>
    <w:rsid w:val="00CB44EA"/>
    <w:rsid w:val="00CB48F1"/>
    <w:rsid w:val="00CB4B7C"/>
    <w:rsid w:val="00CB4BB3"/>
    <w:rsid w:val="00CB5056"/>
    <w:rsid w:val="00CB53EA"/>
    <w:rsid w:val="00CB547F"/>
    <w:rsid w:val="00CB5A1F"/>
    <w:rsid w:val="00CB5CA4"/>
    <w:rsid w:val="00CB5DE6"/>
    <w:rsid w:val="00CB65F8"/>
    <w:rsid w:val="00CB678F"/>
    <w:rsid w:val="00CB688F"/>
    <w:rsid w:val="00CB68F4"/>
    <w:rsid w:val="00CB6DF3"/>
    <w:rsid w:val="00CB7228"/>
    <w:rsid w:val="00CB7C90"/>
    <w:rsid w:val="00CB7CA0"/>
    <w:rsid w:val="00CB7DD7"/>
    <w:rsid w:val="00CB7E9C"/>
    <w:rsid w:val="00CC0048"/>
    <w:rsid w:val="00CC03A3"/>
    <w:rsid w:val="00CC06C8"/>
    <w:rsid w:val="00CC0ADB"/>
    <w:rsid w:val="00CC1420"/>
    <w:rsid w:val="00CC1464"/>
    <w:rsid w:val="00CC1492"/>
    <w:rsid w:val="00CC17C3"/>
    <w:rsid w:val="00CC1DD7"/>
    <w:rsid w:val="00CC2A6F"/>
    <w:rsid w:val="00CC2B60"/>
    <w:rsid w:val="00CC2CE1"/>
    <w:rsid w:val="00CC2D64"/>
    <w:rsid w:val="00CC2EF0"/>
    <w:rsid w:val="00CC31A0"/>
    <w:rsid w:val="00CC3372"/>
    <w:rsid w:val="00CC34FF"/>
    <w:rsid w:val="00CC3549"/>
    <w:rsid w:val="00CC38ED"/>
    <w:rsid w:val="00CC4171"/>
    <w:rsid w:val="00CC42DE"/>
    <w:rsid w:val="00CC496E"/>
    <w:rsid w:val="00CC49CD"/>
    <w:rsid w:val="00CC5024"/>
    <w:rsid w:val="00CC50F6"/>
    <w:rsid w:val="00CC51D3"/>
    <w:rsid w:val="00CC53C0"/>
    <w:rsid w:val="00CC5CA3"/>
    <w:rsid w:val="00CC5D3D"/>
    <w:rsid w:val="00CC5F28"/>
    <w:rsid w:val="00CC635D"/>
    <w:rsid w:val="00CC636A"/>
    <w:rsid w:val="00CC63D1"/>
    <w:rsid w:val="00CC6672"/>
    <w:rsid w:val="00CC6921"/>
    <w:rsid w:val="00CC6962"/>
    <w:rsid w:val="00CC6D11"/>
    <w:rsid w:val="00CC6DB0"/>
    <w:rsid w:val="00CC6E7A"/>
    <w:rsid w:val="00CC7051"/>
    <w:rsid w:val="00CC752E"/>
    <w:rsid w:val="00CC7603"/>
    <w:rsid w:val="00CC7B1D"/>
    <w:rsid w:val="00CC7DF0"/>
    <w:rsid w:val="00CD0A96"/>
    <w:rsid w:val="00CD0B7E"/>
    <w:rsid w:val="00CD0D04"/>
    <w:rsid w:val="00CD0D57"/>
    <w:rsid w:val="00CD103F"/>
    <w:rsid w:val="00CD114E"/>
    <w:rsid w:val="00CD17C8"/>
    <w:rsid w:val="00CD1BB6"/>
    <w:rsid w:val="00CD224B"/>
    <w:rsid w:val="00CD2414"/>
    <w:rsid w:val="00CD25D6"/>
    <w:rsid w:val="00CD26F9"/>
    <w:rsid w:val="00CD2995"/>
    <w:rsid w:val="00CD29C2"/>
    <w:rsid w:val="00CD363E"/>
    <w:rsid w:val="00CD421B"/>
    <w:rsid w:val="00CD5013"/>
    <w:rsid w:val="00CD53D4"/>
    <w:rsid w:val="00CD5543"/>
    <w:rsid w:val="00CD55B4"/>
    <w:rsid w:val="00CD5BD5"/>
    <w:rsid w:val="00CD5C09"/>
    <w:rsid w:val="00CD5E19"/>
    <w:rsid w:val="00CD67C5"/>
    <w:rsid w:val="00CD684D"/>
    <w:rsid w:val="00CD688F"/>
    <w:rsid w:val="00CD6962"/>
    <w:rsid w:val="00CD7426"/>
    <w:rsid w:val="00CD7697"/>
    <w:rsid w:val="00CD77BC"/>
    <w:rsid w:val="00CD7D85"/>
    <w:rsid w:val="00CE003C"/>
    <w:rsid w:val="00CE0165"/>
    <w:rsid w:val="00CE05D7"/>
    <w:rsid w:val="00CE0687"/>
    <w:rsid w:val="00CE123C"/>
    <w:rsid w:val="00CE1277"/>
    <w:rsid w:val="00CE13AC"/>
    <w:rsid w:val="00CE1A15"/>
    <w:rsid w:val="00CE1E47"/>
    <w:rsid w:val="00CE1F8D"/>
    <w:rsid w:val="00CE2526"/>
    <w:rsid w:val="00CE2778"/>
    <w:rsid w:val="00CE2943"/>
    <w:rsid w:val="00CE2A1E"/>
    <w:rsid w:val="00CE2AED"/>
    <w:rsid w:val="00CE2C3E"/>
    <w:rsid w:val="00CE3376"/>
    <w:rsid w:val="00CE34CB"/>
    <w:rsid w:val="00CE3565"/>
    <w:rsid w:val="00CE391D"/>
    <w:rsid w:val="00CE3AF6"/>
    <w:rsid w:val="00CE3D7D"/>
    <w:rsid w:val="00CE3E0B"/>
    <w:rsid w:val="00CE3EA5"/>
    <w:rsid w:val="00CE4276"/>
    <w:rsid w:val="00CE428D"/>
    <w:rsid w:val="00CE4615"/>
    <w:rsid w:val="00CE4E12"/>
    <w:rsid w:val="00CE55CC"/>
    <w:rsid w:val="00CE5CE7"/>
    <w:rsid w:val="00CE6103"/>
    <w:rsid w:val="00CE6175"/>
    <w:rsid w:val="00CE620C"/>
    <w:rsid w:val="00CE6223"/>
    <w:rsid w:val="00CE6781"/>
    <w:rsid w:val="00CE6AD5"/>
    <w:rsid w:val="00CE6F89"/>
    <w:rsid w:val="00CE7026"/>
    <w:rsid w:val="00CE7914"/>
    <w:rsid w:val="00CE7A70"/>
    <w:rsid w:val="00CE7C3B"/>
    <w:rsid w:val="00CF0413"/>
    <w:rsid w:val="00CF10CB"/>
    <w:rsid w:val="00CF1899"/>
    <w:rsid w:val="00CF1B56"/>
    <w:rsid w:val="00CF2738"/>
    <w:rsid w:val="00CF287D"/>
    <w:rsid w:val="00CF290D"/>
    <w:rsid w:val="00CF3459"/>
    <w:rsid w:val="00CF364B"/>
    <w:rsid w:val="00CF3B68"/>
    <w:rsid w:val="00CF3DBE"/>
    <w:rsid w:val="00CF42F1"/>
    <w:rsid w:val="00CF47EA"/>
    <w:rsid w:val="00CF487E"/>
    <w:rsid w:val="00CF4A9E"/>
    <w:rsid w:val="00CF4ED2"/>
    <w:rsid w:val="00CF51E0"/>
    <w:rsid w:val="00CF5226"/>
    <w:rsid w:val="00CF5834"/>
    <w:rsid w:val="00CF59F5"/>
    <w:rsid w:val="00CF5C1D"/>
    <w:rsid w:val="00CF5C76"/>
    <w:rsid w:val="00CF60B4"/>
    <w:rsid w:val="00CF6602"/>
    <w:rsid w:val="00CF6BE9"/>
    <w:rsid w:val="00CF732D"/>
    <w:rsid w:val="00CF7773"/>
    <w:rsid w:val="00CF7C4C"/>
    <w:rsid w:val="00CF7E51"/>
    <w:rsid w:val="00D0004A"/>
    <w:rsid w:val="00D007DC"/>
    <w:rsid w:val="00D00B4B"/>
    <w:rsid w:val="00D00BEF"/>
    <w:rsid w:val="00D01065"/>
    <w:rsid w:val="00D016E8"/>
    <w:rsid w:val="00D017C4"/>
    <w:rsid w:val="00D017ED"/>
    <w:rsid w:val="00D01D8D"/>
    <w:rsid w:val="00D01F9F"/>
    <w:rsid w:val="00D021FC"/>
    <w:rsid w:val="00D02CBD"/>
    <w:rsid w:val="00D02DCB"/>
    <w:rsid w:val="00D02F82"/>
    <w:rsid w:val="00D03137"/>
    <w:rsid w:val="00D034B8"/>
    <w:rsid w:val="00D03830"/>
    <w:rsid w:val="00D04645"/>
    <w:rsid w:val="00D04D32"/>
    <w:rsid w:val="00D04D47"/>
    <w:rsid w:val="00D05075"/>
    <w:rsid w:val="00D05171"/>
    <w:rsid w:val="00D05185"/>
    <w:rsid w:val="00D055FB"/>
    <w:rsid w:val="00D057F9"/>
    <w:rsid w:val="00D05A83"/>
    <w:rsid w:val="00D05C25"/>
    <w:rsid w:val="00D05E58"/>
    <w:rsid w:val="00D05EC3"/>
    <w:rsid w:val="00D0656F"/>
    <w:rsid w:val="00D06D2F"/>
    <w:rsid w:val="00D06E37"/>
    <w:rsid w:val="00D07061"/>
    <w:rsid w:val="00D07262"/>
    <w:rsid w:val="00D0787F"/>
    <w:rsid w:val="00D07E9C"/>
    <w:rsid w:val="00D106AA"/>
    <w:rsid w:val="00D108F0"/>
    <w:rsid w:val="00D10CBC"/>
    <w:rsid w:val="00D11011"/>
    <w:rsid w:val="00D11A47"/>
    <w:rsid w:val="00D11AD8"/>
    <w:rsid w:val="00D11CEC"/>
    <w:rsid w:val="00D11D0C"/>
    <w:rsid w:val="00D11D3F"/>
    <w:rsid w:val="00D1204B"/>
    <w:rsid w:val="00D12102"/>
    <w:rsid w:val="00D122A1"/>
    <w:rsid w:val="00D123D6"/>
    <w:rsid w:val="00D1252B"/>
    <w:rsid w:val="00D129D8"/>
    <w:rsid w:val="00D12A8C"/>
    <w:rsid w:val="00D12B62"/>
    <w:rsid w:val="00D12E8D"/>
    <w:rsid w:val="00D13747"/>
    <w:rsid w:val="00D138B7"/>
    <w:rsid w:val="00D138B8"/>
    <w:rsid w:val="00D13923"/>
    <w:rsid w:val="00D13A07"/>
    <w:rsid w:val="00D13D5C"/>
    <w:rsid w:val="00D14631"/>
    <w:rsid w:val="00D1603A"/>
    <w:rsid w:val="00D1658B"/>
    <w:rsid w:val="00D16616"/>
    <w:rsid w:val="00D16A68"/>
    <w:rsid w:val="00D16D92"/>
    <w:rsid w:val="00D16E37"/>
    <w:rsid w:val="00D17116"/>
    <w:rsid w:val="00D1718B"/>
    <w:rsid w:val="00D171AC"/>
    <w:rsid w:val="00D17533"/>
    <w:rsid w:val="00D1789E"/>
    <w:rsid w:val="00D17D01"/>
    <w:rsid w:val="00D17D2F"/>
    <w:rsid w:val="00D20105"/>
    <w:rsid w:val="00D20221"/>
    <w:rsid w:val="00D207C2"/>
    <w:rsid w:val="00D20B71"/>
    <w:rsid w:val="00D20F18"/>
    <w:rsid w:val="00D2183B"/>
    <w:rsid w:val="00D21C0B"/>
    <w:rsid w:val="00D21C4D"/>
    <w:rsid w:val="00D21EFC"/>
    <w:rsid w:val="00D2210B"/>
    <w:rsid w:val="00D22210"/>
    <w:rsid w:val="00D227DF"/>
    <w:rsid w:val="00D22BC8"/>
    <w:rsid w:val="00D22C51"/>
    <w:rsid w:val="00D2329E"/>
    <w:rsid w:val="00D232AC"/>
    <w:rsid w:val="00D23738"/>
    <w:rsid w:val="00D237F8"/>
    <w:rsid w:val="00D23A76"/>
    <w:rsid w:val="00D23ADD"/>
    <w:rsid w:val="00D23CB8"/>
    <w:rsid w:val="00D2467D"/>
    <w:rsid w:val="00D249B8"/>
    <w:rsid w:val="00D249D9"/>
    <w:rsid w:val="00D25368"/>
    <w:rsid w:val="00D2543C"/>
    <w:rsid w:val="00D25626"/>
    <w:rsid w:val="00D25946"/>
    <w:rsid w:val="00D259FA"/>
    <w:rsid w:val="00D25C53"/>
    <w:rsid w:val="00D25E14"/>
    <w:rsid w:val="00D2640F"/>
    <w:rsid w:val="00D26627"/>
    <w:rsid w:val="00D268C0"/>
    <w:rsid w:val="00D2692A"/>
    <w:rsid w:val="00D26E9D"/>
    <w:rsid w:val="00D27286"/>
    <w:rsid w:val="00D27469"/>
    <w:rsid w:val="00D27547"/>
    <w:rsid w:val="00D27898"/>
    <w:rsid w:val="00D27F7E"/>
    <w:rsid w:val="00D30887"/>
    <w:rsid w:val="00D31005"/>
    <w:rsid w:val="00D311A7"/>
    <w:rsid w:val="00D3176B"/>
    <w:rsid w:val="00D317A9"/>
    <w:rsid w:val="00D31BEA"/>
    <w:rsid w:val="00D31CFC"/>
    <w:rsid w:val="00D31DD7"/>
    <w:rsid w:val="00D31EB6"/>
    <w:rsid w:val="00D31ED4"/>
    <w:rsid w:val="00D32476"/>
    <w:rsid w:val="00D325E7"/>
    <w:rsid w:val="00D326F0"/>
    <w:rsid w:val="00D33034"/>
    <w:rsid w:val="00D330F6"/>
    <w:rsid w:val="00D33358"/>
    <w:rsid w:val="00D335B1"/>
    <w:rsid w:val="00D339A0"/>
    <w:rsid w:val="00D33E7B"/>
    <w:rsid w:val="00D345BF"/>
    <w:rsid w:val="00D34798"/>
    <w:rsid w:val="00D34D7D"/>
    <w:rsid w:val="00D34F29"/>
    <w:rsid w:val="00D35486"/>
    <w:rsid w:val="00D3568F"/>
    <w:rsid w:val="00D35A1D"/>
    <w:rsid w:val="00D35B33"/>
    <w:rsid w:val="00D36116"/>
    <w:rsid w:val="00D3690D"/>
    <w:rsid w:val="00D36C9F"/>
    <w:rsid w:val="00D36D73"/>
    <w:rsid w:val="00D36E44"/>
    <w:rsid w:val="00D372DE"/>
    <w:rsid w:val="00D37339"/>
    <w:rsid w:val="00D375E6"/>
    <w:rsid w:val="00D37984"/>
    <w:rsid w:val="00D40552"/>
    <w:rsid w:val="00D4076D"/>
    <w:rsid w:val="00D408C3"/>
    <w:rsid w:val="00D41A73"/>
    <w:rsid w:val="00D41ECD"/>
    <w:rsid w:val="00D42087"/>
    <w:rsid w:val="00D429F3"/>
    <w:rsid w:val="00D42BFB"/>
    <w:rsid w:val="00D430C9"/>
    <w:rsid w:val="00D43248"/>
    <w:rsid w:val="00D43540"/>
    <w:rsid w:val="00D437F2"/>
    <w:rsid w:val="00D43BFB"/>
    <w:rsid w:val="00D43D86"/>
    <w:rsid w:val="00D44034"/>
    <w:rsid w:val="00D44115"/>
    <w:rsid w:val="00D44521"/>
    <w:rsid w:val="00D44C80"/>
    <w:rsid w:val="00D44E91"/>
    <w:rsid w:val="00D452B3"/>
    <w:rsid w:val="00D452D6"/>
    <w:rsid w:val="00D452E4"/>
    <w:rsid w:val="00D45FF8"/>
    <w:rsid w:val="00D46094"/>
    <w:rsid w:val="00D467B5"/>
    <w:rsid w:val="00D4691B"/>
    <w:rsid w:val="00D46B6D"/>
    <w:rsid w:val="00D46DBA"/>
    <w:rsid w:val="00D474B9"/>
    <w:rsid w:val="00D47645"/>
    <w:rsid w:val="00D477DA"/>
    <w:rsid w:val="00D478E5"/>
    <w:rsid w:val="00D47940"/>
    <w:rsid w:val="00D47C4E"/>
    <w:rsid w:val="00D47E20"/>
    <w:rsid w:val="00D5048F"/>
    <w:rsid w:val="00D5049A"/>
    <w:rsid w:val="00D506DE"/>
    <w:rsid w:val="00D50A83"/>
    <w:rsid w:val="00D50AC4"/>
    <w:rsid w:val="00D50B65"/>
    <w:rsid w:val="00D50C1F"/>
    <w:rsid w:val="00D513B0"/>
    <w:rsid w:val="00D515B8"/>
    <w:rsid w:val="00D51908"/>
    <w:rsid w:val="00D51EAB"/>
    <w:rsid w:val="00D52178"/>
    <w:rsid w:val="00D5270B"/>
    <w:rsid w:val="00D52B9E"/>
    <w:rsid w:val="00D52D73"/>
    <w:rsid w:val="00D53C21"/>
    <w:rsid w:val="00D54098"/>
    <w:rsid w:val="00D54A79"/>
    <w:rsid w:val="00D54CDD"/>
    <w:rsid w:val="00D5502F"/>
    <w:rsid w:val="00D551B7"/>
    <w:rsid w:val="00D557A4"/>
    <w:rsid w:val="00D55EE9"/>
    <w:rsid w:val="00D561FF"/>
    <w:rsid w:val="00D565A9"/>
    <w:rsid w:val="00D56898"/>
    <w:rsid w:val="00D56F01"/>
    <w:rsid w:val="00D578BE"/>
    <w:rsid w:val="00D57EB6"/>
    <w:rsid w:val="00D57F17"/>
    <w:rsid w:val="00D60352"/>
    <w:rsid w:val="00D604EC"/>
    <w:rsid w:val="00D6083B"/>
    <w:rsid w:val="00D60944"/>
    <w:rsid w:val="00D60961"/>
    <w:rsid w:val="00D609DD"/>
    <w:rsid w:val="00D617E0"/>
    <w:rsid w:val="00D61A04"/>
    <w:rsid w:val="00D61C12"/>
    <w:rsid w:val="00D62139"/>
    <w:rsid w:val="00D6226C"/>
    <w:rsid w:val="00D62479"/>
    <w:rsid w:val="00D62843"/>
    <w:rsid w:val="00D629AE"/>
    <w:rsid w:val="00D629C8"/>
    <w:rsid w:val="00D62D00"/>
    <w:rsid w:val="00D630E1"/>
    <w:rsid w:val="00D631E1"/>
    <w:rsid w:val="00D63335"/>
    <w:rsid w:val="00D6347E"/>
    <w:rsid w:val="00D6386C"/>
    <w:rsid w:val="00D6387F"/>
    <w:rsid w:val="00D64476"/>
    <w:rsid w:val="00D645B8"/>
    <w:rsid w:val="00D648C8"/>
    <w:rsid w:val="00D65312"/>
    <w:rsid w:val="00D65369"/>
    <w:rsid w:val="00D65C6A"/>
    <w:rsid w:val="00D666B6"/>
    <w:rsid w:val="00D66735"/>
    <w:rsid w:val="00D66B03"/>
    <w:rsid w:val="00D66E02"/>
    <w:rsid w:val="00D67003"/>
    <w:rsid w:val="00D67065"/>
    <w:rsid w:val="00D6783F"/>
    <w:rsid w:val="00D67E00"/>
    <w:rsid w:val="00D67F8B"/>
    <w:rsid w:val="00D7003A"/>
    <w:rsid w:val="00D702A5"/>
    <w:rsid w:val="00D70743"/>
    <w:rsid w:val="00D71316"/>
    <w:rsid w:val="00D71414"/>
    <w:rsid w:val="00D71674"/>
    <w:rsid w:val="00D7212D"/>
    <w:rsid w:val="00D72384"/>
    <w:rsid w:val="00D72710"/>
    <w:rsid w:val="00D72C87"/>
    <w:rsid w:val="00D73056"/>
    <w:rsid w:val="00D73561"/>
    <w:rsid w:val="00D73651"/>
    <w:rsid w:val="00D73967"/>
    <w:rsid w:val="00D73CD7"/>
    <w:rsid w:val="00D7525A"/>
    <w:rsid w:val="00D753AA"/>
    <w:rsid w:val="00D75F06"/>
    <w:rsid w:val="00D763D4"/>
    <w:rsid w:val="00D76437"/>
    <w:rsid w:val="00D7660A"/>
    <w:rsid w:val="00D768A0"/>
    <w:rsid w:val="00D76C0E"/>
    <w:rsid w:val="00D76DBA"/>
    <w:rsid w:val="00D77833"/>
    <w:rsid w:val="00D80909"/>
    <w:rsid w:val="00D80BAB"/>
    <w:rsid w:val="00D80EF4"/>
    <w:rsid w:val="00D80F27"/>
    <w:rsid w:val="00D81168"/>
    <w:rsid w:val="00D8129D"/>
    <w:rsid w:val="00D81398"/>
    <w:rsid w:val="00D81501"/>
    <w:rsid w:val="00D81506"/>
    <w:rsid w:val="00D815B8"/>
    <w:rsid w:val="00D81A72"/>
    <w:rsid w:val="00D81D6C"/>
    <w:rsid w:val="00D81E58"/>
    <w:rsid w:val="00D8204F"/>
    <w:rsid w:val="00D82296"/>
    <w:rsid w:val="00D8237C"/>
    <w:rsid w:val="00D82688"/>
    <w:rsid w:val="00D8285D"/>
    <w:rsid w:val="00D8392C"/>
    <w:rsid w:val="00D83DED"/>
    <w:rsid w:val="00D84105"/>
    <w:rsid w:val="00D841D0"/>
    <w:rsid w:val="00D84314"/>
    <w:rsid w:val="00D8457D"/>
    <w:rsid w:val="00D845C4"/>
    <w:rsid w:val="00D84A99"/>
    <w:rsid w:val="00D84BEE"/>
    <w:rsid w:val="00D84E31"/>
    <w:rsid w:val="00D84E53"/>
    <w:rsid w:val="00D8517F"/>
    <w:rsid w:val="00D8530C"/>
    <w:rsid w:val="00D855ED"/>
    <w:rsid w:val="00D858C1"/>
    <w:rsid w:val="00D86099"/>
    <w:rsid w:val="00D86327"/>
    <w:rsid w:val="00D8694F"/>
    <w:rsid w:val="00D86B9B"/>
    <w:rsid w:val="00D87044"/>
    <w:rsid w:val="00D874DB"/>
    <w:rsid w:val="00D877E0"/>
    <w:rsid w:val="00D87C99"/>
    <w:rsid w:val="00D87E9B"/>
    <w:rsid w:val="00D90048"/>
    <w:rsid w:val="00D90190"/>
    <w:rsid w:val="00D903DF"/>
    <w:rsid w:val="00D90591"/>
    <w:rsid w:val="00D905CE"/>
    <w:rsid w:val="00D91907"/>
    <w:rsid w:val="00D91B11"/>
    <w:rsid w:val="00D91F26"/>
    <w:rsid w:val="00D92238"/>
    <w:rsid w:val="00D92258"/>
    <w:rsid w:val="00D926FF"/>
    <w:rsid w:val="00D927A1"/>
    <w:rsid w:val="00D92B3C"/>
    <w:rsid w:val="00D92ECC"/>
    <w:rsid w:val="00D93238"/>
    <w:rsid w:val="00D93877"/>
    <w:rsid w:val="00D93CC9"/>
    <w:rsid w:val="00D93CFC"/>
    <w:rsid w:val="00D93FB5"/>
    <w:rsid w:val="00D941D5"/>
    <w:rsid w:val="00D9452E"/>
    <w:rsid w:val="00D947F9"/>
    <w:rsid w:val="00D94F5A"/>
    <w:rsid w:val="00D9513B"/>
    <w:rsid w:val="00D95308"/>
    <w:rsid w:val="00D95619"/>
    <w:rsid w:val="00D957F7"/>
    <w:rsid w:val="00D95B1A"/>
    <w:rsid w:val="00D9634C"/>
    <w:rsid w:val="00D96497"/>
    <w:rsid w:val="00D96790"/>
    <w:rsid w:val="00D96A6B"/>
    <w:rsid w:val="00D96BE6"/>
    <w:rsid w:val="00D96DCC"/>
    <w:rsid w:val="00D97217"/>
    <w:rsid w:val="00D973E2"/>
    <w:rsid w:val="00DA06B7"/>
    <w:rsid w:val="00DA0FEF"/>
    <w:rsid w:val="00DA1161"/>
    <w:rsid w:val="00DA15F6"/>
    <w:rsid w:val="00DA1ABB"/>
    <w:rsid w:val="00DA1C1B"/>
    <w:rsid w:val="00DA1D56"/>
    <w:rsid w:val="00DA21A3"/>
    <w:rsid w:val="00DA2925"/>
    <w:rsid w:val="00DA2B96"/>
    <w:rsid w:val="00DA32F1"/>
    <w:rsid w:val="00DA34A7"/>
    <w:rsid w:val="00DA34BC"/>
    <w:rsid w:val="00DA36C3"/>
    <w:rsid w:val="00DA391A"/>
    <w:rsid w:val="00DA39FE"/>
    <w:rsid w:val="00DA3A45"/>
    <w:rsid w:val="00DA3B62"/>
    <w:rsid w:val="00DA3BE3"/>
    <w:rsid w:val="00DA3ED7"/>
    <w:rsid w:val="00DA412B"/>
    <w:rsid w:val="00DA4518"/>
    <w:rsid w:val="00DA485B"/>
    <w:rsid w:val="00DA4904"/>
    <w:rsid w:val="00DA4B1C"/>
    <w:rsid w:val="00DA4B4B"/>
    <w:rsid w:val="00DA54C7"/>
    <w:rsid w:val="00DA5529"/>
    <w:rsid w:val="00DA5684"/>
    <w:rsid w:val="00DA5B8F"/>
    <w:rsid w:val="00DA5DD7"/>
    <w:rsid w:val="00DA62BA"/>
    <w:rsid w:val="00DA6601"/>
    <w:rsid w:val="00DA6688"/>
    <w:rsid w:val="00DA6A02"/>
    <w:rsid w:val="00DA6A96"/>
    <w:rsid w:val="00DA6D33"/>
    <w:rsid w:val="00DA70AE"/>
    <w:rsid w:val="00DA7576"/>
    <w:rsid w:val="00DA77E6"/>
    <w:rsid w:val="00DA7DCA"/>
    <w:rsid w:val="00DB0476"/>
    <w:rsid w:val="00DB0626"/>
    <w:rsid w:val="00DB0664"/>
    <w:rsid w:val="00DB0920"/>
    <w:rsid w:val="00DB09A8"/>
    <w:rsid w:val="00DB0EE8"/>
    <w:rsid w:val="00DB1265"/>
    <w:rsid w:val="00DB1805"/>
    <w:rsid w:val="00DB1A7C"/>
    <w:rsid w:val="00DB1E92"/>
    <w:rsid w:val="00DB2055"/>
    <w:rsid w:val="00DB29C9"/>
    <w:rsid w:val="00DB2E0E"/>
    <w:rsid w:val="00DB2E42"/>
    <w:rsid w:val="00DB2FD8"/>
    <w:rsid w:val="00DB323F"/>
    <w:rsid w:val="00DB382C"/>
    <w:rsid w:val="00DB3A1A"/>
    <w:rsid w:val="00DB3CC9"/>
    <w:rsid w:val="00DB3E38"/>
    <w:rsid w:val="00DB4239"/>
    <w:rsid w:val="00DB47FD"/>
    <w:rsid w:val="00DB4904"/>
    <w:rsid w:val="00DB4A66"/>
    <w:rsid w:val="00DB4AD5"/>
    <w:rsid w:val="00DB4BD5"/>
    <w:rsid w:val="00DB4DE7"/>
    <w:rsid w:val="00DB4FA4"/>
    <w:rsid w:val="00DB4FD3"/>
    <w:rsid w:val="00DB5196"/>
    <w:rsid w:val="00DB51AA"/>
    <w:rsid w:val="00DB52A8"/>
    <w:rsid w:val="00DB5801"/>
    <w:rsid w:val="00DB5AA5"/>
    <w:rsid w:val="00DB61F8"/>
    <w:rsid w:val="00DB624D"/>
    <w:rsid w:val="00DB6510"/>
    <w:rsid w:val="00DB6B85"/>
    <w:rsid w:val="00DB6FDD"/>
    <w:rsid w:val="00DB707A"/>
    <w:rsid w:val="00DB7091"/>
    <w:rsid w:val="00DB741E"/>
    <w:rsid w:val="00DB7A8E"/>
    <w:rsid w:val="00DB7C0A"/>
    <w:rsid w:val="00DB7CCB"/>
    <w:rsid w:val="00DB7F65"/>
    <w:rsid w:val="00DC0063"/>
    <w:rsid w:val="00DC0387"/>
    <w:rsid w:val="00DC04D0"/>
    <w:rsid w:val="00DC04D8"/>
    <w:rsid w:val="00DC101A"/>
    <w:rsid w:val="00DC1079"/>
    <w:rsid w:val="00DC110D"/>
    <w:rsid w:val="00DC17FE"/>
    <w:rsid w:val="00DC1CF5"/>
    <w:rsid w:val="00DC1D42"/>
    <w:rsid w:val="00DC1F7E"/>
    <w:rsid w:val="00DC1FD2"/>
    <w:rsid w:val="00DC222D"/>
    <w:rsid w:val="00DC2291"/>
    <w:rsid w:val="00DC232C"/>
    <w:rsid w:val="00DC26C7"/>
    <w:rsid w:val="00DC2829"/>
    <w:rsid w:val="00DC28FF"/>
    <w:rsid w:val="00DC2982"/>
    <w:rsid w:val="00DC2E78"/>
    <w:rsid w:val="00DC31D4"/>
    <w:rsid w:val="00DC32B3"/>
    <w:rsid w:val="00DC36A1"/>
    <w:rsid w:val="00DC4105"/>
    <w:rsid w:val="00DC447B"/>
    <w:rsid w:val="00DC4927"/>
    <w:rsid w:val="00DC4C8B"/>
    <w:rsid w:val="00DC4ED5"/>
    <w:rsid w:val="00DC53B9"/>
    <w:rsid w:val="00DC5778"/>
    <w:rsid w:val="00DC5B8F"/>
    <w:rsid w:val="00DC60E3"/>
    <w:rsid w:val="00DC6557"/>
    <w:rsid w:val="00DC676E"/>
    <w:rsid w:val="00DC67A8"/>
    <w:rsid w:val="00DC6E92"/>
    <w:rsid w:val="00DC705A"/>
    <w:rsid w:val="00DC77B1"/>
    <w:rsid w:val="00DC77C5"/>
    <w:rsid w:val="00DD018A"/>
    <w:rsid w:val="00DD02DC"/>
    <w:rsid w:val="00DD063D"/>
    <w:rsid w:val="00DD071C"/>
    <w:rsid w:val="00DD0763"/>
    <w:rsid w:val="00DD07C2"/>
    <w:rsid w:val="00DD0977"/>
    <w:rsid w:val="00DD142A"/>
    <w:rsid w:val="00DD150E"/>
    <w:rsid w:val="00DD1723"/>
    <w:rsid w:val="00DD1CAB"/>
    <w:rsid w:val="00DD283F"/>
    <w:rsid w:val="00DD33A4"/>
    <w:rsid w:val="00DD357A"/>
    <w:rsid w:val="00DD3ACA"/>
    <w:rsid w:val="00DD3CCE"/>
    <w:rsid w:val="00DD42D0"/>
    <w:rsid w:val="00DD4360"/>
    <w:rsid w:val="00DD4552"/>
    <w:rsid w:val="00DD4734"/>
    <w:rsid w:val="00DD5400"/>
    <w:rsid w:val="00DD5729"/>
    <w:rsid w:val="00DD5E30"/>
    <w:rsid w:val="00DD61AD"/>
    <w:rsid w:val="00DD6FEE"/>
    <w:rsid w:val="00DD712C"/>
    <w:rsid w:val="00DD75F3"/>
    <w:rsid w:val="00DD7902"/>
    <w:rsid w:val="00DD7D00"/>
    <w:rsid w:val="00DE0096"/>
    <w:rsid w:val="00DE1326"/>
    <w:rsid w:val="00DE1660"/>
    <w:rsid w:val="00DE16A3"/>
    <w:rsid w:val="00DE1D73"/>
    <w:rsid w:val="00DE2136"/>
    <w:rsid w:val="00DE23DA"/>
    <w:rsid w:val="00DE2594"/>
    <w:rsid w:val="00DE25A2"/>
    <w:rsid w:val="00DE3052"/>
    <w:rsid w:val="00DE3175"/>
    <w:rsid w:val="00DE3495"/>
    <w:rsid w:val="00DE365D"/>
    <w:rsid w:val="00DE3699"/>
    <w:rsid w:val="00DE36A7"/>
    <w:rsid w:val="00DE3916"/>
    <w:rsid w:val="00DE41DC"/>
    <w:rsid w:val="00DE420C"/>
    <w:rsid w:val="00DE4819"/>
    <w:rsid w:val="00DE48AC"/>
    <w:rsid w:val="00DE4F6A"/>
    <w:rsid w:val="00DE522B"/>
    <w:rsid w:val="00DE58DE"/>
    <w:rsid w:val="00DE5E6C"/>
    <w:rsid w:val="00DE69F3"/>
    <w:rsid w:val="00DE7311"/>
    <w:rsid w:val="00DE7D36"/>
    <w:rsid w:val="00DE7DF5"/>
    <w:rsid w:val="00DF0029"/>
    <w:rsid w:val="00DF06EE"/>
    <w:rsid w:val="00DF0898"/>
    <w:rsid w:val="00DF0F1D"/>
    <w:rsid w:val="00DF12AD"/>
    <w:rsid w:val="00DF13A7"/>
    <w:rsid w:val="00DF1462"/>
    <w:rsid w:val="00DF14CD"/>
    <w:rsid w:val="00DF1692"/>
    <w:rsid w:val="00DF176A"/>
    <w:rsid w:val="00DF1804"/>
    <w:rsid w:val="00DF1947"/>
    <w:rsid w:val="00DF252D"/>
    <w:rsid w:val="00DF2735"/>
    <w:rsid w:val="00DF2BBF"/>
    <w:rsid w:val="00DF4179"/>
    <w:rsid w:val="00DF45B7"/>
    <w:rsid w:val="00DF4ADB"/>
    <w:rsid w:val="00DF4CA9"/>
    <w:rsid w:val="00DF4EEC"/>
    <w:rsid w:val="00DF5045"/>
    <w:rsid w:val="00DF59C0"/>
    <w:rsid w:val="00DF5C29"/>
    <w:rsid w:val="00DF5C91"/>
    <w:rsid w:val="00DF5FBE"/>
    <w:rsid w:val="00DF651A"/>
    <w:rsid w:val="00DF69DC"/>
    <w:rsid w:val="00DF6AC2"/>
    <w:rsid w:val="00DF7447"/>
    <w:rsid w:val="00DF7603"/>
    <w:rsid w:val="00DF7A10"/>
    <w:rsid w:val="00DF7EC8"/>
    <w:rsid w:val="00DF7F31"/>
    <w:rsid w:val="00E000DE"/>
    <w:rsid w:val="00E0032A"/>
    <w:rsid w:val="00E006BC"/>
    <w:rsid w:val="00E00728"/>
    <w:rsid w:val="00E0075A"/>
    <w:rsid w:val="00E0092E"/>
    <w:rsid w:val="00E00BA3"/>
    <w:rsid w:val="00E00CF8"/>
    <w:rsid w:val="00E01459"/>
    <w:rsid w:val="00E0171E"/>
    <w:rsid w:val="00E0197F"/>
    <w:rsid w:val="00E01F8C"/>
    <w:rsid w:val="00E02025"/>
    <w:rsid w:val="00E025BD"/>
    <w:rsid w:val="00E02DBC"/>
    <w:rsid w:val="00E03144"/>
    <w:rsid w:val="00E031D4"/>
    <w:rsid w:val="00E036AB"/>
    <w:rsid w:val="00E037D2"/>
    <w:rsid w:val="00E03880"/>
    <w:rsid w:val="00E03CB7"/>
    <w:rsid w:val="00E0417A"/>
    <w:rsid w:val="00E042B9"/>
    <w:rsid w:val="00E044F9"/>
    <w:rsid w:val="00E04695"/>
    <w:rsid w:val="00E048B4"/>
    <w:rsid w:val="00E049C7"/>
    <w:rsid w:val="00E04B37"/>
    <w:rsid w:val="00E04B52"/>
    <w:rsid w:val="00E04C3B"/>
    <w:rsid w:val="00E04D32"/>
    <w:rsid w:val="00E04EA8"/>
    <w:rsid w:val="00E052F7"/>
    <w:rsid w:val="00E05448"/>
    <w:rsid w:val="00E05657"/>
    <w:rsid w:val="00E05A2A"/>
    <w:rsid w:val="00E05A6B"/>
    <w:rsid w:val="00E063D3"/>
    <w:rsid w:val="00E06822"/>
    <w:rsid w:val="00E06829"/>
    <w:rsid w:val="00E06846"/>
    <w:rsid w:val="00E0686F"/>
    <w:rsid w:val="00E0708F"/>
    <w:rsid w:val="00E07227"/>
    <w:rsid w:val="00E073D4"/>
    <w:rsid w:val="00E074AC"/>
    <w:rsid w:val="00E0773E"/>
    <w:rsid w:val="00E07AED"/>
    <w:rsid w:val="00E07C9C"/>
    <w:rsid w:val="00E105A2"/>
    <w:rsid w:val="00E10A6D"/>
    <w:rsid w:val="00E10DC7"/>
    <w:rsid w:val="00E1121D"/>
    <w:rsid w:val="00E117E0"/>
    <w:rsid w:val="00E11F8A"/>
    <w:rsid w:val="00E12558"/>
    <w:rsid w:val="00E12792"/>
    <w:rsid w:val="00E127E4"/>
    <w:rsid w:val="00E129E7"/>
    <w:rsid w:val="00E12A97"/>
    <w:rsid w:val="00E12F17"/>
    <w:rsid w:val="00E1312A"/>
    <w:rsid w:val="00E135D8"/>
    <w:rsid w:val="00E137E5"/>
    <w:rsid w:val="00E13843"/>
    <w:rsid w:val="00E13C7B"/>
    <w:rsid w:val="00E13F7A"/>
    <w:rsid w:val="00E140A6"/>
    <w:rsid w:val="00E142AE"/>
    <w:rsid w:val="00E14ED8"/>
    <w:rsid w:val="00E15315"/>
    <w:rsid w:val="00E155D5"/>
    <w:rsid w:val="00E156CB"/>
    <w:rsid w:val="00E16255"/>
    <w:rsid w:val="00E16986"/>
    <w:rsid w:val="00E16BEF"/>
    <w:rsid w:val="00E16CB9"/>
    <w:rsid w:val="00E16CFF"/>
    <w:rsid w:val="00E17305"/>
    <w:rsid w:val="00E17360"/>
    <w:rsid w:val="00E1763E"/>
    <w:rsid w:val="00E17923"/>
    <w:rsid w:val="00E17CBE"/>
    <w:rsid w:val="00E200AE"/>
    <w:rsid w:val="00E2011E"/>
    <w:rsid w:val="00E202EF"/>
    <w:rsid w:val="00E20426"/>
    <w:rsid w:val="00E20F27"/>
    <w:rsid w:val="00E21016"/>
    <w:rsid w:val="00E21057"/>
    <w:rsid w:val="00E21579"/>
    <w:rsid w:val="00E2178F"/>
    <w:rsid w:val="00E21926"/>
    <w:rsid w:val="00E21A1D"/>
    <w:rsid w:val="00E21BA2"/>
    <w:rsid w:val="00E21CAD"/>
    <w:rsid w:val="00E21F0D"/>
    <w:rsid w:val="00E21FB9"/>
    <w:rsid w:val="00E22366"/>
    <w:rsid w:val="00E223DD"/>
    <w:rsid w:val="00E225C1"/>
    <w:rsid w:val="00E226BD"/>
    <w:rsid w:val="00E22CA2"/>
    <w:rsid w:val="00E22D79"/>
    <w:rsid w:val="00E23262"/>
    <w:rsid w:val="00E234F9"/>
    <w:rsid w:val="00E23886"/>
    <w:rsid w:val="00E23904"/>
    <w:rsid w:val="00E23DB9"/>
    <w:rsid w:val="00E23DE5"/>
    <w:rsid w:val="00E247CC"/>
    <w:rsid w:val="00E248EC"/>
    <w:rsid w:val="00E24B9B"/>
    <w:rsid w:val="00E24D70"/>
    <w:rsid w:val="00E2553B"/>
    <w:rsid w:val="00E25900"/>
    <w:rsid w:val="00E25F19"/>
    <w:rsid w:val="00E26052"/>
    <w:rsid w:val="00E262CC"/>
    <w:rsid w:val="00E264CF"/>
    <w:rsid w:val="00E264DE"/>
    <w:rsid w:val="00E2662F"/>
    <w:rsid w:val="00E266DD"/>
    <w:rsid w:val="00E266F9"/>
    <w:rsid w:val="00E268EC"/>
    <w:rsid w:val="00E26996"/>
    <w:rsid w:val="00E26A1A"/>
    <w:rsid w:val="00E275EE"/>
    <w:rsid w:val="00E275FC"/>
    <w:rsid w:val="00E277FB"/>
    <w:rsid w:val="00E27ABA"/>
    <w:rsid w:val="00E27BDE"/>
    <w:rsid w:val="00E27CD2"/>
    <w:rsid w:val="00E27D08"/>
    <w:rsid w:val="00E3037A"/>
    <w:rsid w:val="00E304E5"/>
    <w:rsid w:val="00E306FA"/>
    <w:rsid w:val="00E30980"/>
    <w:rsid w:val="00E31052"/>
    <w:rsid w:val="00E316FA"/>
    <w:rsid w:val="00E31854"/>
    <w:rsid w:val="00E31880"/>
    <w:rsid w:val="00E3194C"/>
    <w:rsid w:val="00E31ACB"/>
    <w:rsid w:val="00E31E76"/>
    <w:rsid w:val="00E31EBC"/>
    <w:rsid w:val="00E322D5"/>
    <w:rsid w:val="00E32798"/>
    <w:rsid w:val="00E32CBC"/>
    <w:rsid w:val="00E33064"/>
    <w:rsid w:val="00E330C0"/>
    <w:rsid w:val="00E331B1"/>
    <w:rsid w:val="00E334E8"/>
    <w:rsid w:val="00E33B69"/>
    <w:rsid w:val="00E34209"/>
    <w:rsid w:val="00E347B5"/>
    <w:rsid w:val="00E348DF"/>
    <w:rsid w:val="00E354E7"/>
    <w:rsid w:val="00E355AE"/>
    <w:rsid w:val="00E35A4D"/>
    <w:rsid w:val="00E35BE3"/>
    <w:rsid w:val="00E35C56"/>
    <w:rsid w:val="00E362A9"/>
    <w:rsid w:val="00E365E7"/>
    <w:rsid w:val="00E36A0C"/>
    <w:rsid w:val="00E36A7A"/>
    <w:rsid w:val="00E37050"/>
    <w:rsid w:val="00E3772B"/>
    <w:rsid w:val="00E3778F"/>
    <w:rsid w:val="00E37865"/>
    <w:rsid w:val="00E37914"/>
    <w:rsid w:val="00E37920"/>
    <w:rsid w:val="00E37AB5"/>
    <w:rsid w:val="00E37B1F"/>
    <w:rsid w:val="00E37C99"/>
    <w:rsid w:val="00E37CC3"/>
    <w:rsid w:val="00E402D4"/>
    <w:rsid w:val="00E40491"/>
    <w:rsid w:val="00E406EA"/>
    <w:rsid w:val="00E40A40"/>
    <w:rsid w:val="00E40CC1"/>
    <w:rsid w:val="00E40E80"/>
    <w:rsid w:val="00E411E3"/>
    <w:rsid w:val="00E4135E"/>
    <w:rsid w:val="00E41AC2"/>
    <w:rsid w:val="00E41EB4"/>
    <w:rsid w:val="00E41F4F"/>
    <w:rsid w:val="00E426C1"/>
    <w:rsid w:val="00E4273F"/>
    <w:rsid w:val="00E42771"/>
    <w:rsid w:val="00E428E1"/>
    <w:rsid w:val="00E429F1"/>
    <w:rsid w:val="00E42C11"/>
    <w:rsid w:val="00E42CC9"/>
    <w:rsid w:val="00E433AA"/>
    <w:rsid w:val="00E434CC"/>
    <w:rsid w:val="00E43932"/>
    <w:rsid w:val="00E43D28"/>
    <w:rsid w:val="00E44083"/>
    <w:rsid w:val="00E442A4"/>
    <w:rsid w:val="00E452DB"/>
    <w:rsid w:val="00E45474"/>
    <w:rsid w:val="00E45C85"/>
    <w:rsid w:val="00E45F0A"/>
    <w:rsid w:val="00E45F34"/>
    <w:rsid w:val="00E46085"/>
    <w:rsid w:val="00E4622D"/>
    <w:rsid w:val="00E465C7"/>
    <w:rsid w:val="00E469E7"/>
    <w:rsid w:val="00E46AFD"/>
    <w:rsid w:val="00E46CA0"/>
    <w:rsid w:val="00E471C7"/>
    <w:rsid w:val="00E47606"/>
    <w:rsid w:val="00E476C2"/>
    <w:rsid w:val="00E4775E"/>
    <w:rsid w:val="00E47AD0"/>
    <w:rsid w:val="00E47B92"/>
    <w:rsid w:val="00E47BE8"/>
    <w:rsid w:val="00E47D6B"/>
    <w:rsid w:val="00E504AE"/>
    <w:rsid w:val="00E510EA"/>
    <w:rsid w:val="00E514F6"/>
    <w:rsid w:val="00E51B8B"/>
    <w:rsid w:val="00E521D2"/>
    <w:rsid w:val="00E523CA"/>
    <w:rsid w:val="00E52929"/>
    <w:rsid w:val="00E52C1D"/>
    <w:rsid w:val="00E52E81"/>
    <w:rsid w:val="00E535C2"/>
    <w:rsid w:val="00E53756"/>
    <w:rsid w:val="00E5377A"/>
    <w:rsid w:val="00E5391C"/>
    <w:rsid w:val="00E539C4"/>
    <w:rsid w:val="00E53D34"/>
    <w:rsid w:val="00E53DB1"/>
    <w:rsid w:val="00E542A8"/>
    <w:rsid w:val="00E5451C"/>
    <w:rsid w:val="00E5497B"/>
    <w:rsid w:val="00E549F0"/>
    <w:rsid w:val="00E54B2F"/>
    <w:rsid w:val="00E54D3E"/>
    <w:rsid w:val="00E54D82"/>
    <w:rsid w:val="00E553C2"/>
    <w:rsid w:val="00E5540F"/>
    <w:rsid w:val="00E55486"/>
    <w:rsid w:val="00E55796"/>
    <w:rsid w:val="00E55ACE"/>
    <w:rsid w:val="00E55C6A"/>
    <w:rsid w:val="00E55EF9"/>
    <w:rsid w:val="00E564D4"/>
    <w:rsid w:val="00E56BDB"/>
    <w:rsid w:val="00E607C7"/>
    <w:rsid w:val="00E60B8D"/>
    <w:rsid w:val="00E60D62"/>
    <w:rsid w:val="00E60F97"/>
    <w:rsid w:val="00E6121A"/>
    <w:rsid w:val="00E612D2"/>
    <w:rsid w:val="00E61387"/>
    <w:rsid w:val="00E61ABB"/>
    <w:rsid w:val="00E61D90"/>
    <w:rsid w:val="00E6209B"/>
    <w:rsid w:val="00E62524"/>
    <w:rsid w:val="00E62696"/>
    <w:rsid w:val="00E6302B"/>
    <w:rsid w:val="00E63046"/>
    <w:rsid w:val="00E630B3"/>
    <w:rsid w:val="00E63117"/>
    <w:rsid w:val="00E6321D"/>
    <w:rsid w:val="00E6356D"/>
    <w:rsid w:val="00E639DB"/>
    <w:rsid w:val="00E63CD0"/>
    <w:rsid w:val="00E64452"/>
    <w:rsid w:val="00E64CFF"/>
    <w:rsid w:val="00E64DAA"/>
    <w:rsid w:val="00E64EE0"/>
    <w:rsid w:val="00E65095"/>
    <w:rsid w:val="00E6519C"/>
    <w:rsid w:val="00E65343"/>
    <w:rsid w:val="00E65C01"/>
    <w:rsid w:val="00E66358"/>
    <w:rsid w:val="00E66D0C"/>
    <w:rsid w:val="00E67200"/>
    <w:rsid w:val="00E678F9"/>
    <w:rsid w:val="00E679FC"/>
    <w:rsid w:val="00E67ABF"/>
    <w:rsid w:val="00E67BCB"/>
    <w:rsid w:val="00E70327"/>
    <w:rsid w:val="00E70DE2"/>
    <w:rsid w:val="00E71194"/>
    <w:rsid w:val="00E712C7"/>
    <w:rsid w:val="00E715E6"/>
    <w:rsid w:val="00E7176D"/>
    <w:rsid w:val="00E71B35"/>
    <w:rsid w:val="00E71B87"/>
    <w:rsid w:val="00E71B9B"/>
    <w:rsid w:val="00E71F91"/>
    <w:rsid w:val="00E72111"/>
    <w:rsid w:val="00E72C75"/>
    <w:rsid w:val="00E72E9D"/>
    <w:rsid w:val="00E730B2"/>
    <w:rsid w:val="00E73F41"/>
    <w:rsid w:val="00E74B57"/>
    <w:rsid w:val="00E74F8F"/>
    <w:rsid w:val="00E75074"/>
    <w:rsid w:val="00E7508C"/>
    <w:rsid w:val="00E75091"/>
    <w:rsid w:val="00E7565E"/>
    <w:rsid w:val="00E7568E"/>
    <w:rsid w:val="00E76177"/>
    <w:rsid w:val="00E77112"/>
    <w:rsid w:val="00E77282"/>
    <w:rsid w:val="00E77777"/>
    <w:rsid w:val="00E777BB"/>
    <w:rsid w:val="00E77C9C"/>
    <w:rsid w:val="00E80171"/>
    <w:rsid w:val="00E806E8"/>
    <w:rsid w:val="00E80757"/>
    <w:rsid w:val="00E808F8"/>
    <w:rsid w:val="00E80948"/>
    <w:rsid w:val="00E80F60"/>
    <w:rsid w:val="00E81F7F"/>
    <w:rsid w:val="00E821AF"/>
    <w:rsid w:val="00E82332"/>
    <w:rsid w:val="00E826A3"/>
    <w:rsid w:val="00E82E64"/>
    <w:rsid w:val="00E8384C"/>
    <w:rsid w:val="00E83E55"/>
    <w:rsid w:val="00E84036"/>
    <w:rsid w:val="00E84192"/>
    <w:rsid w:val="00E84889"/>
    <w:rsid w:val="00E848E5"/>
    <w:rsid w:val="00E85D6C"/>
    <w:rsid w:val="00E861D0"/>
    <w:rsid w:val="00E863D1"/>
    <w:rsid w:val="00E869D3"/>
    <w:rsid w:val="00E86D15"/>
    <w:rsid w:val="00E86E80"/>
    <w:rsid w:val="00E86FC6"/>
    <w:rsid w:val="00E8719A"/>
    <w:rsid w:val="00E8744F"/>
    <w:rsid w:val="00E875A0"/>
    <w:rsid w:val="00E876E0"/>
    <w:rsid w:val="00E902DF"/>
    <w:rsid w:val="00E908B1"/>
    <w:rsid w:val="00E908DB"/>
    <w:rsid w:val="00E909B9"/>
    <w:rsid w:val="00E90D72"/>
    <w:rsid w:val="00E910A0"/>
    <w:rsid w:val="00E9127A"/>
    <w:rsid w:val="00E916D5"/>
    <w:rsid w:val="00E91A22"/>
    <w:rsid w:val="00E92074"/>
    <w:rsid w:val="00E923C3"/>
    <w:rsid w:val="00E92423"/>
    <w:rsid w:val="00E92596"/>
    <w:rsid w:val="00E9295F"/>
    <w:rsid w:val="00E92A33"/>
    <w:rsid w:val="00E92B02"/>
    <w:rsid w:val="00E93077"/>
    <w:rsid w:val="00E930FB"/>
    <w:rsid w:val="00E931E1"/>
    <w:rsid w:val="00E9331A"/>
    <w:rsid w:val="00E93D13"/>
    <w:rsid w:val="00E94A37"/>
    <w:rsid w:val="00E95215"/>
    <w:rsid w:val="00E9544B"/>
    <w:rsid w:val="00E95524"/>
    <w:rsid w:val="00E95C83"/>
    <w:rsid w:val="00E95D2E"/>
    <w:rsid w:val="00E962F3"/>
    <w:rsid w:val="00E9683E"/>
    <w:rsid w:val="00E96845"/>
    <w:rsid w:val="00E96921"/>
    <w:rsid w:val="00E96BB3"/>
    <w:rsid w:val="00E96F77"/>
    <w:rsid w:val="00E9706E"/>
    <w:rsid w:val="00E970A4"/>
    <w:rsid w:val="00E979FA"/>
    <w:rsid w:val="00E97C2D"/>
    <w:rsid w:val="00E97F42"/>
    <w:rsid w:val="00E97F91"/>
    <w:rsid w:val="00EA029E"/>
    <w:rsid w:val="00EA0350"/>
    <w:rsid w:val="00EA0A3D"/>
    <w:rsid w:val="00EA0E8E"/>
    <w:rsid w:val="00EA0FD9"/>
    <w:rsid w:val="00EA11C7"/>
    <w:rsid w:val="00EA14A8"/>
    <w:rsid w:val="00EA1AA9"/>
    <w:rsid w:val="00EA1BC0"/>
    <w:rsid w:val="00EA2947"/>
    <w:rsid w:val="00EA2B2B"/>
    <w:rsid w:val="00EA2D1A"/>
    <w:rsid w:val="00EA2D47"/>
    <w:rsid w:val="00EA2E2B"/>
    <w:rsid w:val="00EA2E96"/>
    <w:rsid w:val="00EA2F7D"/>
    <w:rsid w:val="00EA305B"/>
    <w:rsid w:val="00EA3149"/>
    <w:rsid w:val="00EA3177"/>
    <w:rsid w:val="00EA33B5"/>
    <w:rsid w:val="00EA374F"/>
    <w:rsid w:val="00EA3784"/>
    <w:rsid w:val="00EA3823"/>
    <w:rsid w:val="00EA4285"/>
    <w:rsid w:val="00EA4AF1"/>
    <w:rsid w:val="00EA4D14"/>
    <w:rsid w:val="00EA4D2A"/>
    <w:rsid w:val="00EA4E44"/>
    <w:rsid w:val="00EA4F7A"/>
    <w:rsid w:val="00EA52B9"/>
    <w:rsid w:val="00EA564C"/>
    <w:rsid w:val="00EA57BB"/>
    <w:rsid w:val="00EA5F67"/>
    <w:rsid w:val="00EA67ED"/>
    <w:rsid w:val="00EA68BF"/>
    <w:rsid w:val="00EA6C42"/>
    <w:rsid w:val="00EA6D1A"/>
    <w:rsid w:val="00EA7015"/>
    <w:rsid w:val="00EA7701"/>
    <w:rsid w:val="00EA7A1A"/>
    <w:rsid w:val="00EA7A65"/>
    <w:rsid w:val="00EA7B5B"/>
    <w:rsid w:val="00EA7B63"/>
    <w:rsid w:val="00EA7EDE"/>
    <w:rsid w:val="00EB00A6"/>
    <w:rsid w:val="00EB04C5"/>
    <w:rsid w:val="00EB0EDF"/>
    <w:rsid w:val="00EB120E"/>
    <w:rsid w:val="00EB136B"/>
    <w:rsid w:val="00EB1671"/>
    <w:rsid w:val="00EB1689"/>
    <w:rsid w:val="00EB1732"/>
    <w:rsid w:val="00EB17E6"/>
    <w:rsid w:val="00EB2265"/>
    <w:rsid w:val="00EB27CC"/>
    <w:rsid w:val="00EB2A87"/>
    <w:rsid w:val="00EB2ACD"/>
    <w:rsid w:val="00EB2D77"/>
    <w:rsid w:val="00EB2F86"/>
    <w:rsid w:val="00EB35C8"/>
    <w:rsid w:val="00EB3AFA"/>
    <w:rsid w:val="00EB4295"/>
    <w:rsid w:val="00EB439E"/>
    <w:rsid w:val="00EB45AC"/>
    <w:rsid w:val="00EB498F"/>
    <w:rsid w:val="00EB4D9A"/>
    <w:rsid w:val="00EB4DB6"/>
    <w:rsid w:val="00EB4EC6"/>
    <w:rsid w:val="00EB5116"/>
    <w:rsid w:val="00EB5195"/>
    <w:rsid w:val="00EB5292"/>
    <w:rsid w:val="00EB56FF"/>
    <w:rsid w:val="00EB5756"/>
    <w:rsid w:val="00EB578C"/>
    <w:rsid w:val="00EB5BBA"/>
    <w:rsid w:val="00EB5C60"/>
    <w:rsid w:val="00EB6011"/>
    <w:rsid w:val="00EB6BF8"/>
    <w:rsid w:val="00EB6E5B"/>
    <w:rsid w:val="00EB6F44"/>
    <w:rsid w:val="00EB7142"/>
    <w:rsid w:val="00EB71C2"/>
    <w:rsid w:val="00EB75AB"/>
    <w:rsid w:val="00EB7A3F"/>
    <w:rsid w:val="00EC0280"/>
    <w:rsid w:val="00EC073D"/>
    <w:rsid w:val="00EC0887"/>
    <w:rsid w:val="00EC08E1"/>
    <w:rsid w:val="00EC1363"/>
    <w:rsid w:val="00EC1540"/>
    <w:rsid w:val="00EC1A2E"/>
    <w:rsid w:val="00EC1C47"/>
    <w:rsid w:val="00EC23FD"/>
    <w:rsid w:val="00EC27F8"/>
    <w:rsid w:val="00EC2CC6"/>
    <w:rsid w:val="00EC2F65"/>
    <w:rsid w:val="00EC329E"/>
    <w:rsid w:val="00EC35A5"/>
    <w:rsid w:val="00EC37F4"/>
    <w:rsid w:val="00EC38A6"/>
    <w:rsid w:val="00EC3A30"/>
    <w:rsid w:val="00EC3DA5"/>
    <w:rsid w:val="00EC40D3"/>
    <w:rsid w:val="00EC4642"/>
    <w:rsid w:val="00EC61E5"/>
    <w:rsid w:val="00EC668B"/>
    <w:rsid w:val="00EC671F"/>
    <w:rsid w:val="00EC68D9"/>
    <w:rsid w:val="00EC6BFE"/>
    <w:rsid w:val="00EC7019"/>
    <w:rsid w:val="00EC7760"/>
    <w:rsid w:val="00EC793E"/>
    <w:rsid w:val="00EC7947"/>
    <w:rsid w:val="00EC79ED"/>
    <w:rsid w:val="00EC7BE7"/>
    <w:rsid w:val="00EC7C8C"/>
    <w:rsid w:val="00EC7FD9"/>
    <w:rsid w:val="00ED0191"/>
    <w:rsid w:val="00ED0291"/>
    <w:rsid w:val="00ED0A39"/>
    <w:rsid w:val="00ED0CE8"/>
    <w:rsid w:val="00ED0DA2"/>
    <w:rsid w:val="00ED17AC"/>
    <w:rsid w:val="00ED196C"/>
    <w:rsid w:val="00ED1C32"/>
    <w:rsid w:val="00ED2078"/>
    <w:rsid w:val="00ED21C1"/>
    <w:rsid w:val="00ED2A86"/>
    <w:rsid w:val="00ED2FED"/>
    <w:rsid w:val="00ED32F9"/>
    <w:rsid w:val="00ED3980"/>
    <w:rsid w:val="00ED3F2C"/>
    <w:rsid w:val="00ED426B"/>
    <w:rsid w:val="00ED43E5"/>
    <w:rsid w:val="00ED4609"/>
    <w:rsid w:val="00ED4B0B"/>
    <w:rsid w:val="00ED4C6A"/>
    <w:rsid w:val="00ED507E"/>
    <w:rsid w:val="00ED54AC"/>
    <w:rsid w:val="00ED5D20"/>
    <w:rsid w:val="00ED62FA"/>
    <w:rsid w:val="00ED67FB"/>
    <w:rsid w:val="00ED685B"/>
    <w:rsid w:val="00ED6B52"/>
    <w:rsid w:val="00ED6C07"/>
    <w:rsid w:val="00ED6F88"/>
    <w:rsid w:val="00ED73A2"/>
    <w:rsid w:val="00ED73D8"/>
    <w:rsid w:val="00ED75A5"/>
    <w:rsid w:val="00EE0321"/>
    <w:rsid w:val="00EE03F6"/>
    <w:rsid w:val="00EE0CD6"/>
    <w:rsid w:val="00EE0D9E"/>
    <w:rsid w:val="00EE0DBD"/>
    <w:rsid w:val="00EE10C4"/>
    <w:rsid w:val="00EE176E"/>
    <w:rsid w:val="00EE1976"/>
    <w:rsid w:val="00EE1B3E"/>
    <w:rsid w:val="00EE1C31"/>
    <w:rsid w:val="00EE1DD0"/>
    <w:rsid w:val="00EE214B"/>
    <w:rsid w:val="00EE258C"/>
    <w:rsid w:val="00EE2B20"/>
    <w:rsid w:val="00EE329D"/>
    <w:rsid w:val="00EE35F1"/>
    <w:rsid w:val="00EE3761"/>
    <w:rsid w:val="00EE3C28"/>
    <w:rsid w:val="00EE3D01"/>
    <w:rsid w:val="00EE3E2C"/>
    <w:rsid w:val="00EE4084"/>
    <w:rsid w:val="00EE435C"/>
    <w:rsid w:val="00EE45AD"/>
    <w:rsid w:val="00EE51EB"/>
    <w:rsid w:val="00EE5A18"/>
    <w:rsid w:val="00EE5DAD"/>
    <w:rsid w:val="00EE5E61"/>
    <w:rsid w:val="00EE601B"/>
    <w:rsid w:val="00EE65F4"/>
    <w:rsid w:val="00EE6607"/>
    <w:rsid w:val="00EE6FDB"/>
    <w:rsid w:val="00EE7B8C"/>
    <w:rsid w:val="00EF00A2"/>
    <w:rsid w:val="00EF024D"/>
    <w:rsid w:val="00EF0476"/>
    <w:rsid w:val="00EF04A5"/>
    <w:rsid w:val="00EF14FB"/>
    <w:rsid w:val="00EF1731"/>
    <w:rsid w:val="00EF1E74"/>
    <w:rsid w:val="00EF1E9F"/>
    <w:rsid w:val="00EF1F33"/>
    <w:rsid w:val="00EF1F58"/>
    <w:rsid w:val="00EF240E"/>
    <w:rsid w:val="00EF2A0E"/>
    <w:rsid w:val="00EF2B89"/>
    <w:rsid w:val="00EF2C18"/>
    <w:rsid w:val="00EF2E65"/>
    <w:rsid w:val="00EF3198"/>
    <w:rsid w:val="00EF363A"/>
    <w:rsid w:val="00EF3FDC"/>
    <w:rsid w:val="00EF44C0"/>
    <w:rsid w:val="00EF4938"/>
    <w:rsid w:val="00EF4B33"/>
    <w:rsid w:val="00EF4BD3"/>
    <w:rsid w:val="00EF4BE8"/>
    <w:rsid w:val="00EF4D84"/>
    <w:rsid w:val="00EF4E19"/>
    <w:rsid w:val="00EF529B"/>
    <w:rsid w:val="00EF5D63"/>
    <w:rsid w:val="00EF602B"/>
    <w:rsid w:val="00EF6125"/>
    <w:rsid w:val="00EF63BF"/>
    <w:rsid w:val="00EF65D0"/>
    <w:rsid w:val="00EF6C76"/>
    <w:rsid w:val="00EF7133"/>
    <w:rsid w:val="00EF7733"/>
    <w:rsid w:val="00EF777B"/>
    <w:rsid w:val="00EF7962"/>
    <w:rsid w:val="00EF7B21"/>
    <w:rsid w:val="00F001F4"/>
    <w:rsid w:val="00F00504"/>
    <w:rsid w:val="00F00663"/>
    <w:rsid w:val="00F00890"/>
    <w:rsid w:val="00F00FB7"/>
    <w:rsid w:val="00F01044"/>
    <w:rsid w:val="00F010FF"/>
    <w:rsid w:val="00F0144A"/>
    <w:rsid w:val="00F016C3"/>
    <w:rsid w:val="00F01830"/>
    <w:rsid w:val="00F01B13"/>
    <w:rsid w:val="00F01F10"/>
    <w:rsid w:val="00F021D7"/>
    <w:rsid w:val="00F02228"/>
    <w:rsid w:val="00F024C1"/>
    <w:rsid w:val="00F0263D"/>
    <w:rsid w:val="00F02901"/>
    <w:rsid w:val="00F03675"/>
    <w:rsid w:val="00F037CF"/>
    <w:rsid w:val="00F03B06"/>
    <w:rsid w:val="00F03C2C"/>
    <w:rsid w:val="00F04E38"/>
    <w:rsid w:val="00F05A02"/>
    <w:rsid w:val="00F05BF4"/>
    <w:rsid w:val="00F06360"/>
    <w:rsid w:val="00F06980"/>
    <w:rsid w:val="00F06E02"/>
    <w:rsid w:val="00F0709F"/>
    <w:rsid w:val="00F070EE"/>
    <w:rsid w:val="00F071C3"/>
    <w:rsid w:val="00F07C0A"/>
    <w:rsid w:val="00F07D67"/>
    <w:rsid w:val="00F07E40"/>
    <w:rsid w:val="00F07FD4"/>
    <w:rsid w:val="00F1059F"/>
    <w:rsid w:val="00F10606"/>
    <w:rsid w:val="00F10C74"/>
    <w:rsid w:val="00F1148F"/>
    <w:rsid w:val="00F114B4"/>
    <w:rsid w:val="00F1193B"/>
    <w:rsid w:val="00F119F4"/>
    <w:rsid w:val="00F11C78"/>
    <w:rsid w:val="00F12519"/>
    <w:rsid w:val="00F12871"/>
    <w:rsid w:val="00F1294B"/>
    <w:rsid w:val="00F12B65"/>
    <w:rsid w:val="00F12C9A"/>
    <w:rsid w:val="00F12E95"/>
    <w:rsid w:val="00F133E7"/>
    <w:rsid w:val="00F13410"/>
    <w:rsid w:val="00F13698"/>
    <w:rsid w:val="00F13C49"/>
    <w:rsid w:val="00F143BB"/>
    <w:rsid w:val="00F143E2"/>
    <w:rsid w:val="00F14749"/>
    <w:rsid w:val="00F14953"/>
    <w:rsid w:val="00F14DD7"/>
    <w:rsid w:val="00F14FA7"/>
    <w:rsid w:val="00F154EB"/>
    <w:rsid w:val="00F155E9"/>
    <w:rsid w:val="00F15769"/>
    <w:rsid w:val="00F15D33"/>
    <w:rsid w:val="00F1610A"/>
    <w:rsid w:val="00F162E0"/>
    <w:rsid w:val="00F167F8"/>
    <w:rsid w:val="00F16F9C"/>
    <w:rsid w:val="00F16FEE"/>
    <w:rsid w:val="00F1702F"/>
    <w:rsid w:val="00F17920"/>
    <w:rsid w:val="00F17B1D"/>
    <w:rsid w:val="00F17D44"/>
    <w:rsid w:val="00F17EEE"/>
    <w:rsid w:val="00F2022A"/>
    <w:rsid w:val="00F203E3"/>
    <w:rsid w:val="00F20B47"/>
    <w:rsid w:val="00F20C0D"/>
    <w:rsid w:val="00F20E4A"/>
    <w:rsid w:val="00F2168A"/>
    <w:rsid w:val="00F21877"/>
    <w:rsid w:val="00F21D33"/>
    <w:rsid w:val="00F21F90"/>
    <w:rsid w:val="00F2264F"/>
    <w:rsid w:val="00F226A0"/>
    <w:rsid w:val="00F22B62"/>
    <w:rsid w:val="00F22F9A"/>
    <w:rsid w:val="00F22FF3"/>
    <w:rsid w:val="00F23032"/>
    <w:rsid w:val="00F23077"/>
    <w:rsid w:val="00F23109"/>
    <w:rsid w:val="00F237F9"/>
    <w:rsid w:val="00F23B36"/>
    <w:rsid w:val="00F23C44"/>
    <w:rsid w:val="00F23EBC"/>
    <w:rsid w:val="00F24027"/>
    <w:rsid w:val="00F245AB"/>
    <w:rsid w:val="00F24690"/>
    <w:rsid w:val="00F24B1B"/>
    <w:rsid w:val="00F2510D"/>
    <w:rsid w:val="00F2568F"/>
    <w:rsid w:val="00F2579B"/>
    <w:rsid w:val="00F25FA2"/>
    <w:rsid w:val="00F2639F"/>
    <w:rsid w:val="00F26489"/>
    <w:rsid w:val="00F2675B"/>
    <w:rsid w:val="00F269C0"/>
    <w:rsid w:val="00F271E0"/>
    <w:rsid w:val="00F275A0"/>
    <w:rsid w:val="00F278AF"/>
    <w:rsid w:val="00F27A05"/>
    <w:rsid w:val="00F30442"/>
    <w:rsid w:val="00F30CBD"/>
    <w:rsid w:val="00F31127"/>
    <w:rsid w:val="00F311BA"/>
    <w:rsid w:val="00F312AF"/>
    <w:rsid w:val="00F3142D"/>
    <w:rsid w:val="00F31ABC"/>
    <w:rsid w:val="00F31B83"/>
    <w:rsid w:val="00F31BAC"/>
    <w:rsid w:val="00F31F3C"/>
    <w:rsid w:val="00F32190"/>
    <w:rsid w:val="00F325F9"/>
    <w:rsid w:val="00F32630"/>
    <w:rsid w:val="00F32A92"/>
    <w:rsid w:val="00F331EC"/>
    <w:rsid w:val="00F3371D"/>
    <w:rsid w:val="00F339F2"/>
    <w:rsid w:val="00F33A4C"/>
    <w:rsid w:val="00F33FAE"/>
    <w:rsid w:val="00F34474"/>
    <w:rsid w:val="00F346A3"/>
    <w:rsid w:val="00F348B5"/>
    <w:rsid w:val="00F34A55"/>
    <w:rsid w:val="00F34EB0"/>
    <w:rsid w:val="00F3528B"/>
    <w:rsid w:val="00F355F1"/>
    <w:rsid w:val="00F356A9"/>
    <w:rsid w:val="00F363F7"/>
    <w:rsid w:val="00F365FA"/>
    <w:rsid w:val="00F366D6"/>
    <w:rsid w:val="00F3676F"/>
    <w:rsid w:val="00F36E72"/>
    <w:rsid w:val="00F36EA5"/>
    <w:rsid w:val="00F370A0"/>
    <w:rsid w:val="00F372EE"/>
    <w:rsid w:val="00F37849"/>
    <w:rsid w:val="00F378F2"/>
    <w:rsid w:val="00F379A9"/>
    <w:rsid w:val="00F37E36"/>
    <w:rsid w:val="00F404C4"/>
    <w:rsid w:val="00F40500"/>
    <w:rsid w:val="00F40B6C"/>
    <w:rsid w:val="00F40FA3"/>
    <w:rsid w:val="00F41188"/>
    <w:rsid w:val="00F412DF"/>
    <w:rsid w:val="00F412F4"/>
    <w:rsid w:val="00F41491"/>
    <w:rsid w:val="00F414C1"/>
    <w:rsid w:val="00F4152F"/>
    <w:rsid w:val="00F41A31"/>
    <w:rsid w:val="00F42022"/>
    <w:rsid w:val="00F424F7"/>
    <w:rsid w:val="00F42A39"/>
    <w:rsid w:val="00F42AA2"/>
    <w:rsid w:val="00F42EA5"/>
    <w:rsid w:val="00F43C36"/>
    <w:rsid w:val="00F43E78"/>
    <w:rsid w:val="00F4400B"/>
    <w:rsid w:val="00F440A6"/>
    <w:rsid w:val="00F443D4"/>
    <w:rsid w:val="00F4455F"/>
    <w:rsid w:val="00F4495A"/>
    <w:rsid w:val="00F44CDB"/>
    <w:rsid w:val="00F44EC0"/>
    <w:rsid w:val="00F450E8"/>
    <w:rsid w:val="00F452D1"/>
    <w:rsid w:val="00F45685"/>
    <w:rsid w:val="00F45867"/>
    <w:rsid w:val="00F45AD7"/>
    <w:rsid w:val="00F45B05"/>
    <w:rsid w:val="00F45BDB"/>
    <w:rsid w:val="00F45D1D"/>
    <w:rsid w:val="00F46954"/>
    <w:rsid w:val="00F47394"/>
    <w:rsid w:val="00F4759B"/>
    <w:rsid w:val="00F4798C"/>
    <w:rsid w:val="00F479D6"/>
    <w:rsid w:val="00F479F0"/>
    <w:rsid w:val="00F47B1E"/>
    <w:rsid w:val="00F47E9A"/>
    <w:rsid w:val="00F47FA9"/>
    <w:rsid w:val="00F5046B"/>
    <w:rsid w:val="00F50EC8"/>
    <w:rsid w:val="00F51DF5"/>
    <w:rsid w:val="00F51F88"/>
    <w:rsid w:val="00F522E6"/>
    <w:rsid w:val="00F52333"/>
    <w:rsid w:val="00F525CB"/>
    <w:rsid w:val="00F54169"/>
    <w:rsid w:val="00F542DF"/>
    <w:rsid w:val="00F54F97"/>
    <w:rsid w:val="00F550EC"/>
    <w:rsid w:val="00F551C1"/>
    <w:rsid w:val="00F5520E"/>
    <w:rsid w:val="00F5527D"/>
    <w:rsid w:val="00F559E2"/>
    <w:rsid w:val="00F564C5"/>
    <w:rsid w:val="00F567E5"/>
    <w:rsid w:val="00F568D3"/>
    <w:rsid w:val="00F56B5C"/>
    <w:rsid w:val="00F56DF4"/>
    <w:rsid w:val="00F56E4C"/>
    <w:rsid w:val="00F57210"/>
    <w:rsid w:val="00F5751C"/>
    <w:rsid w:val="00F57A99"/>
    <w:rsid w:val="00F57CB9"/>
    <w:rsid w:val="00F6071D"/>
    <w:rsid w:val="00F60A00"/>
    <w:rsid w:val="00F60BAD"/>
    <w:rsid w:val="00F60EA0"/>
    <w:rsid w:val="00F60FA5"/>
    <w:rsid w:val="00F61EF2"/>
    <w:rsid w:val="00F62700"/>
    <w:rsid w:val="00F62778"/>
    <w:rsid w:val="00F62B87"/>
    <w:rsid w:val="00F62FF6"/>
    <w:rsid w:val="00F632DD"/>
    <w:rsid w:val="00F6347B"/>
    <w:rsid w:val="00F6376A"/>
    <w:rsid w:val="00F639CC"/>
    <w:rsid w:val="00F63D46"/>
    <w:rsid w:val="00F63F33"/>
    <w:rsid w:val="00F6419D"/>
    <w:rsid w:val="00F647BB"/>
    <w:rsid w:val="00F64BA4"/>
    <w:rsid w:val="00F65501"/>
    <w:rsid w:val="00F659F4"/>
    <w:rsid w:val="00F65B82"/>
    <w:rsid w:val="00F65C4A"/>
    <w:rsid w:val="00F660EE"/>
    <w:rsid w:val="00F66381"/>
    <w:rsid w:val="00F664CC"/>
    <w:rsid w:val="00F668F8"/>
    <w:rsid w:val="00F669DC"/>
    <w:rsid w:val="00F673E4"/>
    <w:rsid w:val="00F67835"/>
    <w:rsid w:val="00F67BD6"/>
    <w:rsid w:val="00F67CDB"/>
    <w:rsid w:val="00F67FE3"/>
    <w:rsid w:val="00F70908"/>
    <w:rsid w:val="00F70EFD"/>
    <w:rsid w:val="00F70F01"/>
    <w:rsid w:val="00F71175"/>
    <w:rsid w:val="00F71238"/>
    <w:rsid w:val="00F7123D"/>
    <w:rsid w:val="00F71411"/>
    <w:rsid w:val="00F715BE"/>
    <w:rsid w:val="00F71BC3"/>
    <w:rsid w:val="00F71BF9"/>
    <w:rsid w:val="00F71FC3"/>
    <w:rsid w:val="00F72011"/>
    <w:rsid w:val="00F72103"/>
    <w:rsid w:val="00F7261B"/>
    <w:rsid w:val="00F726A5"/>
    <w:rsid w:val="00F7276A"/>
    <w:rsid w:val="00F729C1"/>
    <w:rsid w:val="00F72A59"/>
    <w:rsid w:val="00F72AE0"/>
    <w:rsid w:val="00F72BCB"/>
    <w:rsid w:val="00F72D0B"/>
    <w:rsid w:val="00F72F3A"/>
    <w:rsid w:val="00F733B4"/>
    <w:rsid w:val="00F735D7"/>
    <w:rsid w:val="00F73776"/>
    <w:rsid w:val="00F73AF2"/>
    <w:rsid w:val="00F73BFE"/>
    <w:rsid w:val="00F73E4B"/>
    <w:rsid w:val="00F73FFF"/>
    <w:rsid w:val="00F74CC2"/>
    <w:rsid w:val="00F75295"/>
    <w:rsid w:val="00F752E1"/>
    <w:rsid w:val="00F75450"/>
    <w:rsid w:val="00F75B65"/>
    <w:rsid w:val="00F765AD"/>
    <w:rsid w:val="00F76720"/>
    <w:rsid w:val="00F778BA"/>
    <w:rsid w:val="00F77CAC"/>
    <w:rsid w:val="00F77ECC"/>
    <w:rsid w:val="00F77FCF"/>
    <w:rsid w:val="00F805FB"/>
    <w:rsid w:val="00F80863"/>
    <w:rsid w:val="00F809DF"/>
    <w:rsid w:val="00F8182F"/>
    <w:rsid w:val="00F819FB"/>
    <w:rsid w:val="00F81A5B"/>
    <w:rsid w:val="00F81BC7"/>
    <w:rsid w:val="00F81F9F"/>
    <w:rsid w:val="00F821AA"/>
    <w:rsid w:val="00F82A4E"/>
    <w:rsid w:val="00F82FD1"/>
    <w:rsid w:val="00F83047"/>
    <w:rsid w:val="00F83121"/>
    <w:rsid w:val="00F8397B"/>
    <w:rsid w:val="00F83BBA"/>
    <w:rsid w:val="00F83C91"/>
    <w:rsid w:val="00F847E0"/>
    <w:rsid w:val="00F84DB8"/>
    <w:rsid w:val="00F85236"/>
    <w:rsid w:val="00F856B9"/>
    <w:rsid w:val="00F85ABE"/>
    <w:rsid w:val="00F85B89"/>
    <w:rsid w:val="00F85F33"/>
    <w:rsid w:val="00F86184"/>
    <w:rsid w:val="00F866DD"/>
    <w:rsid w:val="00F8677C"/>
    <w:rsid w:val="00F86A58"/>
    <w:rsid w:val="00F86B4B"/>
    <w:rsid w:val="00F86F86"/>
    <w:rsid w:val="00F87006"/>
    <w:rsid w:val="00F871CE"/>
    <w:rsid w:val="00F872BE"/>
    <w:rsid w:val="00F87533"/>
    <w:rsid w:val="00F87549"/>
    <w:rsid w:val="00F87992"/>
    <w:rsid w:val="00F879CE"/>
    <w:rsid w:val="00F87BD8"/>
    <w:rsid w:val="00F87C86"/>
    <w:rsid w:val="00F90013"/>
    <w:rsid w:val="00F900F7"/>
    <w:rsid w:val="00F90250"/>
    <w:rsid w:val="00F90482"/>
    <w:rsid w:val="00F906B8"/>
    <w:rsid w:val="00F90A8A"/>
    <w:rsid w:val="00F90D98"/>
    <w:rsid w:val="00F90F09"/>
    <w:rsid w:val="00F9127B"/>
    <w:rsid w:val="00F915D2"/>
    <w:rsid w:val="00F91ADA"/>
    <w:rsid w:val="00F91D98"/>
    <w:rsid w:val="00F91DCC"/>
    <w:rsid w:val="00F9271A"/>
    <w:rsid w:val="00F92C97"/>
    <w:rsid w:val="00F93008"/>
    <w:rsid w:val="00F931EC"/>
    <w:rsid w:val="00F93254"/>
    <w:rsid w:val="00F9328F"/>
    <w:rsid w:val="00F9349A"/>
    <w:rsid w:val="00F93C8A"/>
    <w:rsid w:val="00F93CAE"/>
    <w:rsid w:val="00F93CBE"/>
    <w:rsid w:val="00F94326"/>
    <w:rsid w:val="00F94337"/>
    <w:rsid w:val="00F946AA"/>
    <w:rsid w:val="00F94849"/>
    <w:rsid w:val="00F94A5A"/>
    <w:rsid w:val="00F94DDE"/>
    <w:rsid w:val="00F94E60"/>
    <w:rsid w:val="00F95175"/>
    <w:rsid w:val="00F951BE"/>
    <w:rsid w:val="00F9533A"/>
    <w:rsid w:val="00F9545C"/>
    <w:rsid w:val="00F95855"/>
    <w:rsid w:val="00F960BE"/>
    <w:rsid w:val="00F96255"/>
    <w:rsid w:val="00F9633C"/>
    <w:rsid w:val="00F965D7"/>
    <w:rsid w:val="00F967B8"/>
    <w:rsid w:val="00F96803"/>
    <w:rsid w:val="00F974E5"/>
    <w:rsid w:val="00F97DAA"/>
    <w:rsid w:val="00F97E0A"/>
    <w:rsid w:val="00FA01AF"/>
    <w:rsid w:val="00FA01B0"/>
    <w:rsid w:val="00FA02CC"/>
    <w:rsid w:val="00FA06F7"/>
    <w:rsid w:val="00FA08CA"/>
    <w:rsid w:val="00FA0A6B"/>
    <w:rsid w:val="00FA0D05"/>
    <w:rsid w:val="00FA11A6"/>
    <w:rsid w:val="00FA135B"/>
    <w:rsid w:val="00FA2210"/>
    <w:rsid w:val="00FA247A"/>
    <w:rsid w:val="00FA270E"/>
    <w:rsid w:val="00FA2837"/>
    <w:rsid w:val="00FA28B6"/>
    <w:rsid w:val="00FA2D5B"/>
    <w:rsid w:val="00FA3380"/>
    <w:rsid w:val="00FA338C"/>
    <w:rsid w:val="00FA3494"/>
    <w:rsid w:val="00FA372B"/>
    <w:rsid w:val="00FA3AEB"/>
    <w:rsid w:val="00FA3D06"/>
    <w:rsid w:val="00FA3E01"/>
    <w:rsid w:val="00FA3F77"/>
    <w:rsid w:val="00FA40E1"/>
    <w:rsid w:val="00FA4584"/>
    <w:rsid w:val="00FA4DAD"/>
    <w:rsid w:val="00FA4F33"/>
    <w:rsid w:val="00FA5042"/>
    <w:rsid w:val="00FA5502"/>
    <w:rsid w:val="00FA5A1C"/>
    <w:rsid w:val="00FA5DEA"/>
    <w:rsid w:val="00FA5FC3"/>
    <w:rsid w:val="00FA639B"/>
    <w:rsid w:val="00FA6676"/>
    <w:rsid w:val="00FA6F28"/>
    <w:rsid w:val="00FA70FA"/>
    <w:rsid w:val="00FA7288"/>
    <w:rsid w:val="00FA7618"/>
    <w:rsid w:val="00FA76DF"/>
    <w:rsid w:val="00FA7B16"/>
    <w:rsid w:val="00FA7B79"/>
    <w:rsid w:val="00FB04EE"/>
    <w:rsid w:val="00FB17E0"/>
    <w:rsid w:val="00FB1C3D"/>
    <w:rsid w:val="00FB1DAE"/>
    <w:rsid w:val="00FB23A2"/>
    <w:rsid w:val="00FB2782"/>
    <w:rsid w:val="00FB32F0"/>
    <w:rsid w:val="00FB3456"/>
    <w:rsid w:val="00FB365C"/>
    <w:rsid w:val="00FB3A43"/>
    <w:rsid w:val="00FB3B91"/>
    <w:rsid w:val="00FB3D28"/>
    <w:rsid w:val="00FB426B"/>
    <w:rsid w:val="00FB43EA"/>
    <w:rsid w:val="00FB4AC5"/>
    <w:rsid w:val="00FB4BE1"/>
    <w:rsid w:val="00FB4E84"/>
    <w:rsid w:val="00FB4EED"/>
    <w:rsid w:val="00FB4F30"/>
    <w:rsid w:val="00FB5DB7"/>
    <w:rsid w:val="00FB644F"/>
    <w:rsid w:val="00FB6D09"/>
    <w:rsid w:val="00FB70FA"/>
    <w:rsid w:val="00FB71F8"/>
    <w:rsid w:val="00FB73AB"/>
    <w:rsid w:val="00FB74B3"/>
    <w:rsid w:val="00FB75DE"/>
    <w:rsid w:val="00FB7998"/>
    <w:rsid w:val="00FB7A53"/>
    <w:rsid w:val="00FB7ED7"/>
    <w:rsid w:val="00FC016F"/>
    <w:rsid w:val="00FC04D8"/>
    <w:rsid w:val="00FC0810"/>
    <w:rsid w:val="00FC086D"/>
    <w:rsid w:val="00FC0FD1"/>
    <w:rsid w:val="00FC1030"/>
    <w:rsid w:val="00FC11B0"/>
    <w:rsid w:val="00FC1605"/>
    <w:rsid w:val="00FC161F"/>
    <w:rsid w:val="00FC1816"/>
    <w:rsid w:val="00FC1F7C"/>
    <w:rsid w:val="00FC2466"/>
    <w:rsid w:val="00FC2722"/>
    <w:rsid w:val="00FC2C15"/>
    <w:rsid w:val="00FC2CD4"/>
    <w:rsid w:val="00FC2E6D"/>
    <w:rsid w:val="00FC3108"/>
    <w:rsid w:val="00FC3833"/>
    <w:rsid w:val="00FC3910"/>
    <w:rsid w:val="00FC3B85"/>
    <w:rsid w:val="00FC3E62"/>
    <w:rsid w:val="00FC411E"/>
    <w:rsid w:val="00FC4274"/>
    <w:rsid w:val="00FC42C5"/>
    <w:rsid w:val="00FC4750"/>
    <w:rsid w:val="00FC477C"/>
    <w:rsid w:val="00FC49E6"/>
    <w:rsid w:val="00FC4D0C"/>
    <w:rsid w:val="00FC4E0E"/>
    <w:rsid w:val="00FC4EE0"/>
    <w:rsid w:val="00FC5A73"/>
    <w:rsid w:val="00FC5D39"/>
    <w:rsid w:val="00FC5EFD"/>
    <w:rsid w:val="00FC5FBA"/>
    <w:rsid w:val="00FC616C"/>
    <w:rsid w:val="00FC64A8"/>
    <w:rsid w:val="00FC6708"/>
    <w:rsid w:val="00FC6C04"/>
    <w:rsid w:val="00FC6DCF"/>
    <w:rsid w:val="00FC6E52"/>
    <w:rsid w:val="00FC6EE6"/>
    <w:rsid w:val="00FC700A"/>
    <w:rsid w:val="00FC702E"/>
    <w:rsid w:val="00FC732A"/>
    <w:rsid w:val="00FC73F4"/>
    <w:rsid w:val="00FC743F"/>
    <w:rsid w:val="00FC74C8"/>
    <w:rsid w:val="00FC75FA"/>
    <w:rsid w:val="00FC778E"/>
    <w:rsid w:val="00FC7855"/>
    <w:rsid w:val="00FC7B12"/>
    <w:rsid w:val="00FC7B77"/>
    <w:rsid w:val="00FC7B99"/>
    <w:rsid w:val="00FC7CE8"/>
    <w:rsid w:val="00FC7D5B"/>
    <w:rsid w:val="00FC7D7D"/>
    <w:rsid w:val="00FC7E08"/>
    <w:rsid w:val="00FD0367"/>
    <w:rsid w:val="00FD045C"/>
    <w:rsid w:val="00FD0AAE"/>
    <w:rsid w:val="00FD0C9B"/>
    <w:rsid w:val="00FD14B4"/>
    <w:rsid w:val="00FD15E1"/>
    <w:rsid w:val="00FD160A"/>
    <w:rsid w:val="00FD182F"/>
    <w:rsid w:val="00FD1F27"/>
    <w:rsid w:val="00FD1FE4"/>
    <w:rsid w:val="00FD2136"/>
    <w:rsid w:val="00FD21AB"/>
    <w:rsid w:val="00FD2257"/>
    <w:rsid w:val="00FD2495"/>
    <w:rsid w:val="00FD27C4"/>
    <w:rsid w:val="00FD2998"/>
    <w:rsid w:val="00FD2EA5"/>
    <w:rsid w:val="00FD3278"/>
    <w:rsid w:val="00FD3321"/>
    <w:rsid w:val="00FD355D"/>
    <w:rsid w:val="00FD3C3F"/>
    <w:rsid w:val="00FD3E4E"/>
    <w:rsid w:val="00FD41AF"/>
    <w:rsid w:val="00FD4337"/>
    <w:rsid w:val="00FD4708"/>
    <w:rsid w:val="00FD4A02"/>
    <w:rsid w:val="00FD50E9"/>
    <w:rsid w:val="00FD534E"/>
    <w:rsid w:val="00FD54BE"/>
    <w:rsid w:val="00FD55F3"/>
    <w:rsid w:val="00FD59C0"/>
    <w:rsid w:val="00FD5CCA"/>
    <w:rsid w:val="00FD5D13"/>
    <w:rsid w:val="00FD5D35"/>
    <w:rsid w:val="00FD5FA1"/>
    <w:rsid w:val="00FD60AA"/>
    <w:rsid w:val="00FD61E6"/>
    <w:rsid w:val="00FD666E"/>
    <w:rsid w:val="00FD668D"/>
    <w:rsid w:val="00FD6B15"/>
    <w:rsid w:val="00FD6B2A"/>
    <w:rsid w:val="00FD6D43"/>
    <w:rsid w:val="00FD72F4"/>
    <w:rsid w:val="00FD76D2"/>
    <w:rsid w:val="00FD7933"/>
    <w:rsid w:val="00FD7CD2"/>
    <w:rsid w:val="00FD7DA0"/>
    <w:rsid w:val="00FE0250"/>
    <w:rsid w:val="00FE04DF"/>
    <w:rsid w:val="00FE0519"/>
    <w:rsid w:val="00FE05AE"/>
    <w:rsid w:val="00FE07F5"/>
    <w:rsid w:val="00FE11C2"/>
    <w:rsid w:val="00FE125B"/>
    <w:rsid w:val="00FE13A6"/>
    <w:rsid w:val="00FE1672"/>
    <w:rsid w:val="00FE17CC"/>
    <w:rsid w:val="00FE1B31"/>
    <w:rsid w:val="00FE1CBB"/>
    <w:rsid w:val="00FE23FF"/>
    <w:rsid w:val="00FE2CA0"/>
    <w:rsid w:val="00FE2E49"/>
    <w:rsid w:val="00FE318F"/>
    <w:rsid w:val="00FE31D2"/>
    <w:rsid w:val="00FE32B2"/>
    <w:rsid w:val="00FE32DF"/>
    <w:rsid w:val="00FE35E5"/>
    <w:rsid w:val="00FE36D8"/>
    <w:rsid w:val="00FE37D3"/>
    <w:rsid w:val="00FE3BB8"/>
    <w:rsid w:val="00FE3CF6"/>
    <w:rsid w:val="00FE3F1A"/>
    <w:rsid w:val="00FE41C6"/>
    <w:rsid w:val="00FE4F84"/>
    <w:rsid w:val="00FE50A6"/>
    <w:rsid w:val="00FE58A5"/>
    <w:rsid w:val="00FE58E4"/>
    <w:rsid w:val="00FE607C"/>
    <w:rsid w:val="00FE60FE"/>
    <w:rsid w:val="00FE656F"/>
    <w:rsid w:val="00FE719E"/>
    <w:rsid w:val="00FE71E2"/>
    <w:rsid w:val="00FE7279"/>
    <w:rsid w:val="00FE7381"/>
    <w:rsid w:val="00FE7D2C"/>
    <w:rsid w:val="00FE7FD2"/>
    <w:rsid w:val="00FF0240"/>
    <w:rsid w:val="00FF09DD"/>
    <w:rsid w:val="00FF0AEF"/>
    <w:rsid w:val="00FF0EA0"/>
    <w:rsid w:val="00FF0FA8"/>
    <w:rsid w:val="00FF1039"/>
    <w:rsid w:val="00FF1173"/>
    <w:rsid w:val="00FF13A5"/>
    <w:rsid w:val="00FF140B"/>
    <w:rsid w:val="00FF155D"/>
    <w:rsid w:val="00FF1FEC"/>
    <w:rsid w:val="00FF27CA"/>
    <w:rsid w:val="00FF2CF9"/>
    <w:rsid w:val="00FF33DD"/>
    <w:rsid w:val="00FF3C7C"/>
    <w:rsid w:val="00FF460C"/>
    <w:rsid w:val="00FF4D4C"/>
    <w:rsid w:val="00FF5155"/>
    <w:rsid w:val="00FF5588"/>
    <w:rsid w:val="00FF58A1"/>
    <w:rsid w:val="00FF58FE"/>
    <w:rsid w:val="00FF5960"/>
    <w:rsid w:val="00FF5B18"/>
    <w:rsid w:val="00FF5EFA"/>
    <w:rsid w:val="00FF6181"/>
    <w:rsid w:val="00FF682F"/>
    <w:rsid w:val="00FF6AEA"/>
    <w:rsid w:val="00FF72C4"/>
    <w:rsid w:val="00FF7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C48F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imes New Roman"/>
        <w:sz w:val="26"/>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160"/>
    <w:pPr>
      <w:spacing w:after="0" w:line="240" w:lineRule="auto"/>
    </w:pPr>
  </w:style>
  <w:style w:type="paragraph" w:styleId="Heading1">
    <w:name w:val="heading 1"/>
    <w:basedOn w:val="Normal"/>
    <w:next w:val="Normal"/>
    <w:link w:val="Heading1Char"/>
    <w:uiPriority w:val="9"/>
    <w:qFormat/>
    <w:rsid w:val="00643123"/>
    <w:pPr>
      <w:keepNext/>
      <w:keepLines/>
      <w:jc w:val="center"/>
      <w:outlineLvl w:val="0"/>
    </w:pPr>
    <w:rPr>
      <w:rFonts w:eastAsiaTheme="majorEastAsia" w:cstheme="majorBidi"/>
      <w:szCs w:val="32"/>
    </w:rPr>
  </w:style>
  <w:style w:type="paragraph" w:styleId="Heading2">
    <w:name w:val="heading 2"/>
    <w:basedOn w:val="Normal"/>
    <w:next w:val="Normal"/>
    <w:link w:val="Heading2Char"/>
    <w:uiPriority w:val="9"/>
    <w:unhideWhenUsed/>
    <w:qFormat/>
    <w:rsid w:val="00B90FF4"/>
    <w:pPr>
      <w:keepNext/>
      <w:keepLines/>
      <w:spacing w:line="360" w:lineRule="auto"/>
      <w:ind w:left="720" w:hanging="720"/>
      <w:outlineLvl w:val="1"/>
    </w:pPr>
    <w:rPr>
      <w:rFonts w:eastAsiaTheme="majorEastAsia" w:cstheme="majorBidi"/>
    </w:rPr>
  </w:style>
  <w:style w:type="paragraph" w:styleId="Heading3">
    <w:name w:val="heading 3"/>
    <w:basedOn w:val="Normal"/>
    <w:next w:val="Normal"/>
    <w:link w:val="Heading3Char"/>
    <w:uiPriority w:val="9"/>
    <w:unhideWhenUsed/>
    <w:qFormat/>
    <w:rsid w:val="000F530E"/>
    <w:pPr>
      <w:keepNext/>
      <w:keepLines/>
      <w:spacing w:line="360" w:lineRule="auto"/>
      <w:ind w:left="720"/>
      <w:outlineLvl w:val="2"/>
    </w:pPr>
    <w:rPr>
      <w:rFonts w:eastAsiaTheme="majorEastAsia"/>
      <w:i/>
      <w:iCs/>
    </w:rPr>
  </w:style>
  <w:style w:type="paragraph" w:styleId="Heading4">
    <w:name w:val="heading 4"/>
    <w:basedOn w:val="Normal"/>
    <w:next w:val="Normal"/>
    <w:link w:val="Heading4Char"/>
    <w:uiPriority w:val="9"/>
    <w:unhideWhenUsed/>
    <w:qFormat/>
    <w:rsid w:val="00B90FF4"/>
    <w:pPr>
      <w:keepNext/>
      <w:keepLines/>
      <w:tabs>
        <w:tab w:val="left" w:pos="1980"/>
      </w:tabs>
      <w:ind w:left="1440"/>
      <w:outlineLvl w:val="3"/>
    </w:pPr>
    <w:rPr>
      <w:rFonts w:eastAsiaTheme="majorEastAsia" w:cstheme="majorBidi"/>
      <w:iCs/>
    </w:rPr>
  </w:style>
  <w:style w:type="paragraph" w:styleId="Heading5">
    <w:name w:val="heading 5"/>
    <w:basedOn w:val="Normal"/>
    <w:next w:val="Normal"/>
    <w:link w:val="Heading5Char"/>
    <w:autoRedefine/>
    <w:uiPriority w:val="9"/>
    <w:unhideWhenUsed/>
    <w:qFormat/>
    <w:rsid w:val="00EF2B89"/>
    <w:pPr>
      <w:keepNext/>
      <w:keepLines/>
      <w:numPr>
        <w:ilvl w:val="4"/>
        <w:numId w:val="2"/>
      </w:numPr>
      <w:spacing w:before="40"/>
      <w:outlineLvl w:val="4"/>
    </w:pPr>
    <w:rPr>
      <w:rFonts w:eastAsiaTheme="majorEastAsia" w:cstheme="majorBidi"/>
    </w:rPr>
  </w:style>
  <w:style w:type="paragraph" w:styleId="Heading6">
    <w:name w:val="heading 6"/>
    <w:basedOn w:val="Normal"/>
    <w:next w:val="Normal"/>
    <w:link w:val="Heading6Char"/>
    <w:autoRedefine/>
    <w:uiPriority w:val="9"/>
    <w:semiHidden/>
    <w:unhideWhenUsed/>
    <w:qFormat/>
    <w:rsid w:val="00EF2B89"/>
    <w:pPr>
      <w:keepNext/>
      <w:keepLines/>
      <w:numPr>
        <w:ilvl w:val="5"/>
        <w:numId w:val="1"/>
      </w:numPr>
      <w:outlineLvl w:val="5"/>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43123"/>
    <w:rPr>
      <w:rFonts w:eastAsiaTheme="majorEastAsia" w:cstheme="majorBidi"/>
      <w:szCs w:val="32"/>
    </w:rPr>
  </w:style>
  <w:style w:type="character" w:customStyle="1" w:styleId="Heading2Char">
    <w:name w:val="Heading 2 Char"/>
    <w:basedOn w:val="DefaultParagraphFont"/>
    <w:link w:val="Heading2"/>
    <w:uiPriority w:val="9"/>
    <w:rsid w:val="00B90FF4"/>
    <w:rPr>
      <w:rFonts w:eastAsiaTheme="majorEastAsia" w:cstheme="majorBidi"/>
    </w:rPr>
  </w:style>
  <w:style w:type="character" w:customStyle="1" w:styleId="Heading3Char">
    <w:name w:val="Heading 3 Char"/>
    <w:basedOn w:val="DefaultParagraphFont"/>
    <w:link w:val="Heading3"/>
    <w:uiPriority w:val="9"/>
    <w:rsid w:val="000F530E"/>
    <w:rPr>
      <w:rFonts w:eastAsiaTheme="majorEastAsia"/>
      <w:i/>
      <w:iCs/>
    </w:rPr>
  </w:style>
  <w:style w:type="character" w:customStyle="1" w:styleId="Heading4Char">
    <w:name w:val="Heading 4 Char"/>
    <w:basedOn w:val="DefaultParagraphFont"/>
    <w:link w:val="Heading4"/>
    <w:uiPriority w:val="9"/>
    <w:rsid w:val="00B90FF4"/>
    <w:rPr>
      <w:rFonts w:eastAsiaTheme="majorEastAsia" w:cstheme="majorBidi"/>
      <w:iCs/>
    </w:rPr>
  </w:style>
  <w:style w:type="character" w:customStyle="1" w:styleId="Heading5Char">
    <w:name w:val="Heading 5 Char"/>
    <w:basedOn w:val="DefaultParagraphFont"/>
    <w:link w:val="Heading5"/>
    <w:uiPriority w:val="9"/>
    <w:rsid w:val="00EF2B89"/>
    <w:rPr>
      <w:rFonts w:eastAsiaTheme="majorEastAsia" w:cstheme="majorBidi"/>
    </w:rPr>
  </w:style>
  <w:style w:type="character" w:customStyle="1" w:styleId="Heading6Char">
    <w:name w:val="Heading 6 Char"/>
    <w:basedOn w:val="DefaultParagraphFont"/>
    <w:link w:val="Heading6"/>
    <w:uiPriority w:val="9"/>
    <w:semiHidden/>
    <w:rsid w:val="00EF2B89"/>
    <w:rPr>
      <w:rFonts w:eastAsiaTheme="majorEastAsia" w:cstheme="majorBidi"/>
    </w:rPr>
  </w:style>
  <w:style w:type="paragraph" w:styleId="Header">
    <w:name w:val="header"/>
    <w:basedOn w:val="Normal"/>
    <w:link w:val="HeaderChar"/>
    <w:uiPriority w:val="99"/>
    <w:unhideWhenUsed/>
    <w:rsid w:val="00096537"/>
    <w:pPr>
      <w:tabs>
        <w:tab w:val="center" w:pos="4680"/>
        <w:tab w:val="right" w:pos="9360"/>
      </w:tabs>
    </w:pPr>
  </w:style>
  <w:style w:type="character" w:customStyle="1" w:styleId="HeaderChar">
    <w:name w:val="Header Char"/>
    <w:basedOn w:val="DefaultParagraphFont"/>
    <w:link w:val="Header"/>
    <w:uiPriority w:val="99"/>
    <w:rsid w:val="00096537"/>
    <w:rPr>
      <w:rFonts w:cstheme="minorBidi"/>
    </w:rPr>
  </w:style>
  <w:style w:type="paragraph" w:styleId="Footer">
    <w:name w:val="footer"/>
    <w:basedOn w:val="Normal"/>
    <w:link w:val="FooterChar"/>
    <w:uiPriority w:val="99"/>
    <w:unhideWhenUsed/>
    <w:rsid w:val="00096537"/>
    <w:pPr>
      <w:tabs>
        <w:tab w:val="center" w:pos="4680"/>
        <w:tab w:val="right" w:pos="9360"/>
      </w:tabs>
    </w:pPr>
  </w:style>
  <w:style w:type="character" w:customStyle="1" w:styleId="FooterChar">
    <w:name w:val="Footer Char"/>
    <w:basedOn w:val="DefaultParagraphFont"/>
    <w:link w:val="Footer"/>
    <w:uiPriority w:val="99"/>
    <w:rsid w:val="00096537"/>
    <w:rPr>
      <w:rFonts w:cstheme="minorBidi"/>
    </w:rPr>
  </w:style>
  <w:style w:type="character" w:styleId="FootnoteReference">
    <w:name w:val="footnote reference"/>
    <w:basedOn w:val="DefaultParagraphFont"/>
    <w:uiPriority w:val="99"/>
    <w:unhideWhenUsed/>
    <w:rsid w:val="007F5834"/>
    <w:rPr>
      <w:rFonts w:ascii="Century Schoolbook" w:hAnsi="Century Schoolbook"/>
      <w:position w:val="6"/>
      <w:sz w:val="26"/>
      <w:vertAlign w:val="baseline"/>
    </w:rPr>
  </w:style>
  <w:style w:type="paragraph" w:styleId="FootnoteText">
    <w:name w:val="footnote text"/>
    <w:link w:val="FootnoteTextChar"/>
    <w:uiPriority w:val="99"/>
    <w:unhideWhenUsed/>
    <w:rsid w:val="00096537"/>
    <w:pPr>
      <w:spacing w:after="0" w:line="240" w:lineRule="auto"/>
    </w:pPr>
    <w:rPr>
      <w:rFonts w:cstheme="minorBidi"/>
    </w:rPr>
  </w:style>
  <w:style w:type="character" w:customStyle="1" w:styleId="FootnoteTextChar">
    <w:name w:val="Footnote Text Char"/>
    <w:basedOn w:val="DefaultParagraphFont"/>
    <w:link w:val="FootnoteText"/>
    <w:uiPriority w:val="99"/>
    <w:rsid w:val="00096537"/>
    <w:rPr>
      <w:rFonts w:cstheme="minorBidi"/>
      <w:szCs w:val="20"/>
    </w:rPr>
  </w:style>
  <w:style w:type="character" w:styleId="Hyperlink">
    <w:name w:val="Hyperlink"/>
    <w:basedOn w:val="DefaultParagraphFont"/>
    <w:uiPriority w:val="99"/>
    <w:unhideWhenUsed/>
    <w:rsid w:val="00096537"/>
    <w:rPr>
      <w:color w:val="0563C1" w:themeColor="hyperlink"/>
      <w:u w:val="single"/>
    </w:rPr>
  </w:style>
  <w:style w:type="character" w:styleId="PageNumber">
    <w:name w:val="page number"/>
    <w:basedOn w:val="DefaultParagraphFont"/>
    <w:uiPriority w:val="99"/>
    <w:semiHidden/>
    <w:unhideWhenUsed/>
    <w:rsid w:val="00096537"/>
  </w:style>
  <w:style w:type="paragraph" w:styleId="DocumentMap">
    <w:name w:val="Document Map"/>
    <w:basedOn w:val="Normal"/>
    <w:link w:val="DocumentMapChar"/>
    <w:uiPriority w:val="99"/>
    <w:semiHidden/>
    <w:unhideWhenUsed/>
    <w:rsid w:val="00096537"/>
    <w:rPr>
      <w:rFonts w:ascii="Tahoma" w:hAnsi="Tahoma" w:cs="Tahoma"/>
      <w:sz w:val="16"/>
      <w:szCs w:val="16"/>
    </w:rPr>
  </w:style>
  <w:style w:type="character" w:customStyle="1" w:styleId="DocumentMapChar">
    <w:name w:val="Document Map Char"/>
    <w:basedOn w:val="DefaultParagraphFont"/>
    <w:link w:val="DocumentMap"/>
    <w:uiPriority w:val="99"/>
    <w:semiHidden/>
    <w:rsid w:val="00096537"/>
    <w:rPr>
      <w:rFonts w:ascii="Tahoma" w:hAnsi="Tahoma" w:cs="Tahoma"/>
      <w:sz w:val="16"/>
      <w:szCs w:val="16"/>
    </w:rPr>
  </w:style>
  <w:style w:type="character" w:customStyle="1" w:styleId="apple-converted-space">
    <w:name w:val="apple-converted-space"/>
    <w:basedOn w:val="DefaultParagraphFont"/>
    <w:rsid w:val="00096537"/>
  </w:style>
  <w:style w:type="character" w:customStyle="1" w:styleId="cosearchterm">
    <w:name w:val="co_searchterm"/>
    <w:basedOn w:val="DefaultParagraphFont"/>
    <w:rsid w:val="00096537"/>
  </w:style>
  <w:style w:type="character" w:styleId="Emphasis">
    <w:name w:val="Emphasis"/>
    <w:basedOn w:val="DefaultParagraphFont"/>
    <w:uiPriority w:val="20"/>
    <w:qFormat/>
    <w:rsid w:val="00096537"/>
    <w:rPr>
      <w:i/>
      <w:iCs/>
    </w:rPr>
  </w:style>
  <w:style w:type="paragraph" w:styleId="ListParagraph">
    <w:name w:val="List Paragraph"/>
    <w:basedOn w:val="Normal"/>
    <w:uiPriority w:val="34"/>
    <w:qFormat/>
    <w:rsid w:val="00096537"/>
    <w:pPr>
      <w:ind w:left="720"/>
      <w:contextualSpacing/>
    </w:pPr>
  </w:style>
  <w:style w:type="character" w:customStyle="1" w:styleId="costarpage">
    <w:name w:val="co_starpage"/>
    <w:basedOn w:val="DefaultParagraphFont"/>
    <w:rsid w:val="00096537"/>
  </w:style>
  <w:style w:type="character" w:customStyle="1" w:styleId="counderline">
    <w:name w:val="co_underline"/>
    <w:basedOn w:val="DefaultParagraphFont"/>
    <w:rsid w:val="00096537"/>
  </w:style>
  <w:style w:type="character" w:customStyle="1" w:styleId="copinpointicon">
    <w:name w:val="co_pinpointicon"/>
    <w:basedOn w:val="DefaultParagraphFont"/>
    <w:rsid w:val="00096537"/>
  </w:style>
  <w:style w:type="character" w:customStyle="1" w:styleId="cohighlightpoints">
    <w:name w:val="co_highlightpoints"/>
    <w:basedOn w:val="DefaultParagraphFont"/>
    <w:rsid w:val="00096537"/>
  </w:style>
  <w:style w:type="character" w:styleId="CommentReference">
    <w:name w:val="annotation reference"/>
    <w:basedOn w:val="DefaultParagraphFont"/>
    <w:uiPriority w:val="99"/>
    <w:semiHidden/>
    <w:unhideWhenUsed/>
    <w:rsid w:val="00096537"/>
    <w:rPr>
      <w:sz w:val="16"/>
      <w:szCs w:val="16"/>
    </w:rPr>
  </w:style>
  <w:style w:type="paragraph" w:styleId="CommentText">
    <w:name w:val="annotation text"/>
    <w:basedOn w:val="Normal"/>
    <w:link w:val="CommentTextChar"/>
    <w:uiPriority w:val="99"/>
    <w:unhideWhenUsed/>
    <w:rsid w:val="00096537"/>
    <w:rPr>
      <w:sz w:val="20"/>
    </w:rPr>
  </w:style>
  <w:style w:type="character" w:customStyle="1" w:styleId="CommentTextChar">
    <w:name w:val="Comment Text Char"/>
    <w:basedOn w:val="DefaultParagraphFont"/>
    <w:link w:val="CommentText"/>
    <w:uiPriority w:val="99"/>
    <w:rsid w:val="00096537"/>
    <w:rPr>
      <w:rFonts w:cstheme="minorBidi"/>
      <w:sz w:val="20"/>
      <w:szCs w:val="20"/>
    </w:rPr>
  </w:style>
  <w:style w:type="paragraph" w:styleId="CommentSubject">
    <w:name w:val="annotation subject"/>
    <w:basedOn w:val="CommentText"/>
    <w:next w:val="CommentText"/>
    <w:link w:val="CommentSubjectChar"/>
    <w:uiPriority w:val="99"/>
    <w:semiHidden/>
    <w:unhideWhenUsed/>
    <w:rsid w:val="00096537"/>
    <w:rPr>
      <w:b/>
      <w:bCs/>
    </w:rPr>
  </w:style>
  <w:style w:type="character" w:customStyle="1" w:styleId="CommentSubjectChar">
    <w:name w:val="Comment Subject Char"/>
    <w:basedOn w:val="CommentTextChar"/>
    <w:link w:val="CommentSubject"/>
    <w:uiPriority w:val="99"/>
    <w:semiHidden/>
    <w:rsid w:val="00096537"/>
    <w:rPr>
      <w:rFonts w:cstheme="minorBidi"/>
      <w:b/>
      <w:bCs/>
      <w:sz w:val="20"/>
      <w:szCs w:val="20"/>
    </w:rPr>
  </w:style>
  <w:style w:type="paragraph" w:styleId="BalloonText">
    <w:name w:val="Balloon Text"/>
    <w:basedOn w:val="Normal"/>
    <w:link w:val="BalloonTextChar"/>
    <w:uiPriority w:val="99"/>
    <w:semiHidden/>
    <w:unhideWhenUsed/>
    <w:rsid w:val="0009653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6537"/>
    <w:rPr>
      <w:rFonts w:ascii="Segoe UI" w:hAnsi="Segoe UI" w:cs="Segoe UI"/>
      <w:sz w:val="18"/>
      <w:szCs w:val="18"/>
    </w:rPr>
  </w:style>
  <w:style w:type="paragraph" w:styleId="BodyText">
    <w:name w:val="Body Text"/>
    <w:basedOn w:val="Normal"/>
    <w:link w:val="BodyTextChar"/>
    <w:uiPriority w:val="1"/>
    <w:qFormat/>
    <w:rsid w:val="00096537"/>
    <w:pPr>
      <w:widowControl w:val="0"/>
      <w:ind w:left="440"/>
    </w:pPr>
    <w:rPr>
      <w:rFonts w:eastAsia="Century Schoolbook"/>
    </w:rPr>
  </w:style>
  <w:style w:type="character" w:customStyle="1" w:styleId="BodyTextChar">
    <w:name w:val="Body Text Char"/>
    <w:basedOn w:val="DefaultParagraphFont"/>
    <w:link w:val="BodyText"/>
    <w:uiPriority w:val="1"/>
    <w:rsid w:val="00096537"/>
    <w:rPr>
      <w:rFonts w:ascii="Century Schoolbook" w:eastAsia="Century Schoolbook" w:hAnsi="Century Schoolbook" w:cstheme="minorBidi"/>
    </w:rPr>
  </w:style>
  <w:style w:type="character" w:customStyle="1" w:styleId="coheadnotenumber">
    <w:name w:val="co_headnotenumber"/>
    <w:basedOn w:val="DefaultParagraphFont"/>
    <w:rsid w:val="00096537"/>
  </w:style>
  <w:style w:type="character" w:styleId="Strong">
    <w:name w:val="Strong"/>
    <w:basedOn w:val="DefaultParagraphFont"/>
    <w:uiPriority w:val="22"/>
    <w:qFormat/>
    <w:rsid w:val="00A23DB9"/>
    <w:rPr>
      <w:b/>
      <w:bCs/>
    </w:rPr>
  </w:style>
  <w:style w:type="paragraph" w:styleId="TOC1">
    <w:name w:val="toc 1"/>
    <w:basedOn w:val="Normal"/>
    <w:uiPriority w:val="1"/>
    <w:qFormat/>
    <w:rsid w:val="00C0200C"/>
    <w:pPr>
      <w:widowControl w:val="0"/>
      <w:spacing w:before="239"/>
      <w:ind w:left="440" w:hanging="720"/>
    </w:pPr>
    <w:rPr>
      <w:rFonts w:ascii="Century" w:eastAsia="Century" w:hAnsi="Century"/>
    </w:rPr>
  </w:style>
  <w:style w:type="paragraph" w:styleId="TOC2">
    <w:name w:val="toc 2"/>
    <w:basedOn w:val="Normal"/>
    <w:uiPriority w:val="1"/>
    <w:qFormat/>
    <w:rsid w:val="00C0200C"/>
    <w:pPr>
      <w:widowControl w:val="0"/>
      <w:spacing w:before="239"/>
      <w:ind w:left="1880" w:hanging="720"/>
    </w:pPr>
    <w:rPr>
      <w:rFonts w:ascii="Century" w:eastAsia="Century" w:hAnsi="Century"/>
    </w:rPr>
  </w:style>
  <w:style w:type="paragraph" w:styleId="TOC3">
    <w:name w:val="toc 3"/>
    <w:basedOn w:val="Normal"/>
    <w:uiPriority w:val="1"/>
    <w:qFormat/>
    <w:rsid w:val="00C0200C"/>
    <w:pPr>
      <w:widowControl w:val="0"/>
      <w:ind w:left="2600" w:hanging="720"/>
    </w:pPr>
    <w:rPr>
      <w:rFonts w:ascii="Century" w:eastAsia="Century" w:hAnsi="Century"/>
    </w:rPr>
  </w:style>
  <w:style w:type="paragraph" w:styleId="TOC4">
    <w:name w:val="toc 4"/>
    <w:basedOn w:val="Normal"/>
    <w:uiPriority w:val="1"/>
    <w:qFormat/>
    <w:rsid w:val="00C0200C"/>
    <w:pPr>
      <w:widowControl w:val="0"/>
      <w:ind w:left="2600"/>
    </w:pPr>
    <w:rPr>
      <w:rFonts w:ascii="Century" w:eastAsia="Century" w:hAnsi="Century"/>
    </w:rPr>
  </w:style>
  <w:style w:type="paragraph" w:customStyle="1" w:styleId="TableParagraph">
    <w:name w:val="Table Paragraph"/>
    <w:basedOn w:val="Normal"/>
    <w:uiPriority w:val="1"/>
    <w:qFormat/>
    <w:rsid w:val="00C0200C"/>
    <w:pPr>
      <w:widowControl w:val="0"/>
    </w:pPr>
    <w:rPr>
      <w:rFonts w:asciiTheme="minorHAnsi" w:hAnsiTheme="minorHAnsi"/>
      <w:sz w:val="22"/>
      <w:szCs w:val="22"/>
    </w:rPr>
  </w:style>
  <w:style w:type="character" w:styleId="FollowedHyperlink">
    <w:name w:val="FollowedHyperlink"/>
    <w:basedOn w:val="DefaultParagraphFont"/>
    <w:uiPriority w:val="99"/>
    <w:semiHidden/>
    <w:unhideWhenUsed/>
    <w:rsid w:val="00012430"/>
    <w:rPr>
      <w:color w:val="954F72" w:themeColor="followedHyperlink"/>
      <w:u w:val="single"/>
    </w:rPr>
  </w:style>
  <w:style w:type="character" w:styleId="UnresolvedMention">
    <w:name w:val="Unresolved Mention"/>
    <w:basedOn w:val="DefaultParagraphFont"/>
    <w:uiPriority w:val="99"/>
    <w:semiHidden/>
    <w:unhideWhenUsed/>
    <w:rsid w:val="00A17745"/>
    <w:rPr>
      <w:color w:val="808080"/>
      <w:shd w:val="clear" w:color="auto" w:fill="E6E6E6"/>
    </w:rPr>
  </w:style>
  <w:style w:type="character" w:customStyle="1" w:styleId="coinlinekeyciteflag">
    <w:name w:val="co_inlinekeyciteflag"/>
    <w:basedOn w:val="DefaultParagraphFont"/>
    <w:rsid w:val="00AB666C"/>
  </w:style>
  <w:style w:type="paragraph" w:styleId="NormalWeb">
    <w:name w:val="Normal (Web)"/>
    <w:basedOn w:val="Normal"/>
    <w:uiPriority w:val="99"/>
    <w:unhideWhenUsed/>
    <w:rsid w:val="00AE3F4D"/>
    <w:pPr>
      <w:spacing w:before="100" w:beforeAutospacing="1" w:after="100" w:afterAutospacing="1"/>
    </w:pPr>
    <w:rPr>
      <w:rFonts w:ascii="Times New Roman" w:eastAsia="Times New Roman" w:hAnsi="Times New Roman"/>
      <w:sz w:val="24"/>
      <w:szCs w:val="24"/>
    </w:rPr>
  </w:style>
  <w:style w:type="paragraph" w:styleId="Revision">
    <w:name w:val="Revision"/>
    <w:hidden/>
    <w:uiPriority w:val="99"/>
    <w:semiHidden/>
    <w:rsid w:val="00A62282"/>
    <w:pPr>
      <w:spacing w:after="0" w:line="240" w:lineRule="auto"/>
    </w:pPr>
  </w:style>
  <w:style w:type="paragraph" w:customStyle="1" w:styleId="Header1">
    <w:name w:val="Header1"/>
    <w:basedOn w:val="Normal"/>
    <w:link w:val="Header1Char"/>
    <w:qFormat/>
    <w:rsid w:val="00B743C1"/>
    <w:pPr>
      <w:widowControl w:val="0"/>
      <w:adjustRightInd w:val="0"/>
      <w:jc w:val="center"/>
      <w:textAlignment w:val="baseline"/>
    </w:pPr>
    <w:rPr>
      <w:rFonts w:eastAsia="Times New Roman"/>
      <w:szCs w:val="26"/>
    </w:rPr>
  </w:style>
  <w:style w:type="character" w:customStyle="1" w:styleId="Header1Char">
    <w:name w:val="Header1 Char"/>
    <w:basedOn w:val="DefaultParagraphFont"/>
    <w:link w:val="Header1"/>
    <w:rsid w:val="00B743C1"/>
    <w:rPr>
      <w:rFonts w:eastAsia="Times New Roman"/>
      <w:szCs w:val="26"/>
    </w:rPr>
  </w:style>
  <w:style w:type="character" w:styleId="PlaceholderText">
    <w:name w:val="Placeholder Text"/>
    <w:basedOn w:val="DefaultParagraphFont"/>
    <w:uiPriority w:val="99"/>
    <w:semiHidden/>
    <w:rsid w:val="00D3568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72646">
      <w:bodyDiv w:val="1"/>
      <w:marLeft w:val="0"/>
      <w:marRight w:val="0"/>
      <w:marTop w:val="0"/>
      <w:marBottom w:val="0"/>
      <w:divBdr>
        <w:top w:val="none" w:sz="0" w:space="0" w:color="auto"/>
        <w:left w:val="none" w:sz="0" w:space="0" w:color="auto"/>
        <w:bottom w:val="none" w:sz="0" w:space="0" w:color="auto"/>
        <w:right w:val="none" w:sz="0" w:space="0" w:color="auto"/>
      </w:divBdr>
      <w:divsChild>
        <w:div w:id="524829870">
          <w:marLeft w:val="0"/>
          <w:marRight w:val="0"/>
          <w:marTop w:val="0"/>
          <w:marBottom w:val="0"/>
          <w:divBdr>
            <w:top w:val="none" w:sz="0" w:space="0" w:color="auto"/>
            <w:left w:val="none" w:sz="0" w:space="0" w:color="auto"/>
            <w:bottom w:val="none" w:sz="0" w:space="0" w:color="auto"/>
            <w:right w:val="none" w:sz="0" w:space="0" w:color="auto"/>
          </w:divBdr>
          <w:divsChild>
            <w:div w:id="333997394">
              <w:marLeft w:val="0"/>
              <w:marRight w:val="0"/>
              <w:marTop w:val="0"/>
              <w:marBottom w:val="0"/>
              <w:divBdr>
                <w:top w:val="none" w:sz="0" w:space="0" w:color="auto"/>
                <w:left w:val="none" w:sz="0" w:space="0" w:color="auto"/>
                <w:bottom w:val="none" w:sz="0" w:space="0" w:color="auto"/>
                <w:right w:val="none" w:sz="0" w:space="0" w:color="auto"/>
              </w:divBdr>
            </w:div>
          </w:divsChild>
        </w:div>
        <w:div w:id="294063495">
          <w:marLeft w:val="0"/>
          <w:marRight w:val="0"/>
          <w:marTop w:val="0"/>
          <w:marBottom w:val="0"/>
          <w:divBdr>
            <w:top w:val="none" w:sz="0" w:space="0" w:color="auto"/>
            <w:left w:val="none" w:sz="0" w:space="0" w:color="auto"/>
            <w:bottom w:val="none" w:sz="0" w:space="0" w:color="auto"/>
            <w:right w:val="none" w:sz="0" w:space="0" w:color="auto"/>
          </w:divBdr>
          <w:divsChild>
            <w:div w:id="139188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84955">
      <w:bodyDiv w:val="1"/>
      <w:marLeft w:val="0"/>
      <w:marRight w:val="0"/>
      <w:marTop w:val="0"/>
      <w:marBottom w:val="0"/>
      <w:divBdr>
        <w:top w:val="none" w:sz="0" w:space="0" w:color="auto"/>
        <w:left w:val="none" w:sz="0" w:space="0" w:color="auto"/>
        <w:bottom w:val="none" w:sz="0" w:space="0" w:color="auto"/>
        <w:right w:val="none" w:sz="0" w:space="0" w:color="auto"/>
      </w:divBdr>
      <w:divsChild>
        <w:div w:id="208494899">
          <w:marLeft w:val="0"/>
          <w:marRight w:val="0"/>
          <w:marTop w:val="0"/>
          <w:marBottom w:val="0"/>
          <w:divBdr>
            <w:top w:val="none" w:sz="0" w:space="0" w:color="auto"/>
            <w:left w:val="none" w:sz="0" w:space="0" w:color="auto"/>
            <w:bottom w:val="none" w:sz="0" w:space="0" w:color="auto"/>
            <w:right w:val="none" w:sz="0" w:space="0" w:color="auto"/>
          </w:divBdr>
          <w:divsChild>
            <w:div w:id="1015881415">
              <w:marLeft w:val="0"/>
              <w:marRight w:val="0"/>
              <w:marTop w:val="0"/>
              <w:marBottom w:val="0"/>
              <w:divBdr>
                <w:top w:val="none" w:sz="0" w:space="0" w:color="auto"/>
                <w:left w:val="none" w:sz="0" w:space="0" w:color="auto"/>
                <w:bottom w:val="none" w:sz="0" w:space="0" w:color="auto"/>
                <w:right w:val="none" w:sz="0" w:space="0" w:color="auto"/>
              </w:divBdr>
            </w:div>
            <w:div w:id="1154688113">
              <w:marLeft w:val="0"/>
              <w:marRight w:val="0"/>
              <w:marTop w:val="0"/>
              <w:marBottom w:val="0"/>
              <w:divBdr>
                <w:top w:val="none" w:sz="0" w:space="0" w:color="auto"/>
                <w:left w:val="none" w:sz="0" w:space="0" w:color="auto"/>
                <w:bottom w:val="none" w:sz="0" w:space="0" w:color="auto"/>
                <w:right w:val="none" w:sz="0" w:space="0" w:color="auto"/>
              </w:divBdr>
              <w:divsChild>
                <w:div w:id="1073968441">
                  <w:marLeft w:val="0"/>
                  <w:marRight w:val="0"/>
                  <w:marTop w:val="0"/>
                  <w:marBottom w:val="0"/>
                  <w:divBdr>
                    <w:top w:val="none" w:sz="0" w:space="0" w:color="auto"/>
                    <w:left w:val="none" w:sz="0" w:space="0" w:color="auto"/>
                    <w:bottom w:val="none" w:sz="0" w:space="0" w:color="auto"/>
                    <w:right w:val="none" w:sz="0" w:space="0" w:color="auto"/>
                  </w:divBdr>
                  <w:divsChild>
                    <w:div w:id="109189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768570">
          <w:marLeft w:val="0"/>
          <w:marRight w:val="0"/>
          <w:marTop w:val="0"/>
          <w:marBottom w:val="0"/>
          <w:divBdr>
            <w:top w:val="none" w:sz="0" w:space="0" w:color="auto"/>
            <w:left w:val="none" w:sz="0" w:space="0" w:color="auto"/>
            <w:bottom w:val="none" w:sz="0" w:space="0" w:color="auto"/>
            <w:right w:val="none" w:sz="0" w:space="0" w:color="auto"/>
          </w:divBdr>
          <w:divsChild>
            <w:div w:id="2052727641">
              <w:marLeft w:val="0"/>
              <w:marRight w:val="0"/>
              <w:marTop w:val="0"/>
              <w:marBottom w:val="0"/>
              <w:divBdr>
                <w:top w:val="none" w:sz="0" w:space="0" w:color="auto"/>
                <w:left w:val="none" w:sz="0" w:space="0" w:color="auto"/>
                <w:bottom w:val="none" w:sz="0" w:space="0" w:color="auto"/>
                <w:right w:val="none" w:sz="0" w:space="0" w:color="auto"/>
              </w:divBdr>
            </w:div>
            <w:div w:id="1663461839">
              <w:marLeft w:val="0"/>
              <w:marRight w:val="0"/>
              <w:marTop w:val="0"/>
              <w:marBottom w:val="0"/>
              <w:divBdr>
                <w:top w:val="none" w:sz="0" w:space="0" w:color="auto"/>
                <w:left w:val="none" w:sz="0" w:space="0" w:color="auto"/>
                <w:bottom w:val="none" w:sz="0" w:space="0" w:color="auto"/>
                <w:right w:val="none" w:sz="0" w:space="0" w:color="auto"/>
              </w:divBdr>
              <w:divsChild>
                <w:div w:id="1603877661">
                  <w:marLeft w:val="0"/>
                  <w:marRight w:val="0"/>
                  <w:marTop w:val="0"/>
                  <w:marBottom w:val="0"/>
                  <w:divBdr>
                    <w:top w:val="none" w:sz="0" w:space="0" w:color="auto"/>
                    <w:left w:val="none" w:sz="0" w:space="0" w:color="auto"/>
                    <w:bottom w:val="none" w:sz="0" w:space="0" w:color="auto"/>
                    <w:right w:val="none" w:sz="0" w:space="0" w:color="auto"/>
                  </w:divBdr>
                  <w:divsChild>
                    <w:div w:id="49322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9103791">
          <w:marLeft w:val="0"/>
          <w:marRight w:val="0"/>
          <w:marTop w:val="0"/>
          <w:marBottom w:val="0"/>
          <w:divBdr>
            <w:top w:val="none" w:sz="0" w:space="0" w:color="auto"/>
            <w:left w:val="none" w:sz="0" w:space="0" w:color="auto"/>
            <w:bottom w:val="none" w:sz="0" w:space="0" w:color="auto"/>
            <w:right w:val="none" w:sz="0" w:space="0" w:color="auto"/>
          </w:divBdr>
          <w:divsChild>
            <w:div w:id="1749571746">
              <w:marLeft w:val="0"/>
              <w:marRight w:val="0"/>
              <w:marTop w:val="0"/>
              <w:marBottom w:val="0"/>
              <w:divBdr>
                <w:top w:val="none" w:sz="0" w:space="0" w:color="auto"/>
                <w:left w:val="none" w:sz="0" w:space="0" w:color="auto"/>
                <w:bottom w:val="none" w:sz="0" w:space="0" w:color="auto"/>
                <w:right w:val="none" w:sz="0" w:space="0" w:color="auto"/>
              </w:divBdr>
            </w:div>
            <w:div w:id="419331255">
              <w:marLeft w:val="0"/>
              <w:marRight w:val="0"/>
              <w:marTop w:val="0"/>
              <w:marBottom w:val="0"/>
              <w:divBdr>
                <w:top w:val="none" w:sz="0" w:space="0" w:color="auto"/>
                <w:left w:val="none" w:sz="0" w:space="0" w:color="auto"/>
                <w:bottom w:val="none" w:sz="0" w:space="0" w:color="auto"/>
                <w:right w:val="none" w:sz="0" w:space="0" w:color="auto"/>
              </w:divBdr>
              <w:divsChild>
                <w:div w:id="1338385091">
                  <w:marLeft w:val="0"/>
                  <w:marRight w:val="0"/>
                  <w:marTop w:val="0"/>
                  <w:marBottom w:val="0"/>
                  <w:divBdr>
                    <w:top w:val="none" w:sz="0" w:space="0" w:color="auto"/>
                    <w:left w:val="none" w:sz="0" w:space="0" w:color="auto"/>
                    <w:bottom w:val="none" w:sz="0" w:space="0" w:color="auto"/>
                    <w:right w:val="none" w:sz="0" w:space="0" w:color="auto"/>
                  </w:divBdr>
                  <w:divsChild>
                    <w:div w:id="175704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65659">
      <w:bodyDiv w:val="1"/>
      <w:marLeft w:val="0"/>
      <w:marRight w:val="0"/>
      <w:marTop w:val="0"/>
      <w:marBottom w:val="0"/>
      <w:divBdr>
        <w:top w:val="none" w:sz="0" w:space="0" w:color="auto"/>
        <w:left w:val="none" w:sz="0" w:space="0" w:color="auto"/>
        <w:bottom w:val="none" w:sz="0" w:space="0" w:color="auto"/>
        <w:right w:val="none" w:sz="0" w:space="0" w:color="auto"/>
      </w:divBdr>
    </w:div>
    <w:div w:id="74135976">
      <w:bodyDiv w:val="1"/>
      <w:marLeft w:val="0"/>
      <w:marRight w:val="0"/>
      <w:marTop w:val="0"/>
      <w:marBottom w:val="0"/>
      <w:divBdr>
        <w:top w:val="none" w:sz="0" w:space="0" w:color="auto"/>
        <w:left w:val="none" w:sz="0" w:space="0" w:color="auto"/>
        <w:bottom w:val="none" w:sz="0" w:space="0" w:color="auto"/>
        <w:right w:val="none" w:sz="0" w:space="0" w:color="auto"/>
      </w:divBdr>
      <w:divsChild>
        <w:div w:id="827474517">
          <w:marLeft w:val="0"/>
          <w:marRight w:val="0"/>
          <w:marTop w:val="0"/>
          <w:marBottom w:val="0"/>
          <w:divBdr>
            <w:top w:val="none" w:sz="0" w:space="0" w:color="auto"/>
            <w:left w:val="none" w:sz="0" w:space="0" w:color="auto"/>
            <w:bottom w:val="none" w:sz="0" w:space="0" w:color="auto"/>
            <w:right w:val="none" w:sz="0" w:space="0" w:color="auto"/>
          </w:divBdr>
          <w:divsChild>
            <w:div w:id="765031960">
              <w:marLeft w:val="0"/>
              <w:marRight w:val="0"/>
              <w:marTop w:val="0"/>
              <w:marBottom w:val="0"/>
              <w:divBdr>
                <w:top w:val="none" w:sz="0" w:space="0" w:color="auto"/>
                <w:left w:val="none" w:sz="0" w:space="0" w:color="auto"/>
                <w:bottom w:val="none" w:sz="0" w:space="0" w:color="auto"/>
                <w:right w:val="none" w:sz="0" w:space="0" w:color="auto"/>
              </w:divBdr>
            </w:div>
          </w:divsChild>
        </w:div>
        <w:div w:id="1485582816">
          <w:marLeft w:val="0"/>
          <w:marRight w:val="0"/>
          <w:marTop w:val="0"/>
          <w:marBottom w:val="0"/>
          <w:divBdr>
            <w:top w:val="none" w:sz="0" w:space="0" w:color="auto"/>
            <w:left w:val="none" w:sz="0" w:space="0" w:color="auto"/>
            <w:bottom w:val="none" w:sz="0" w:space="0" w:color="auto"/>
            <w:right w:val="none" w:sz="0" w:space="0" w:color="auto"/>
          </w:divBdr>
          <w:divsChild>
            <w:div w:id="1137911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22995">
      <w:bodyDiv w:val="1"/>
      <w:marLeft w:val="0"/>
      <w:marRight w:val="0"/>
      <w:marTop w:val="0"/>
      <w:marBottom w:val="0"/>
      <w:divBdr>
        <w:top w:val="none" w:sz="0" w:space="0" w:color="auto"/>
        <w:left w:val="none" w:sz="0" w:space="0" w:color="auto"/>
        <w:bottom w:val="none" w:sz="0" w:space="0" w:color="auto"/>
        <w:right w:val="none" w:sz="0" w:space="0" w:color="auto"/>
      </w:divBdr>
    </w:div>
    <w:div w:id="103353838">
      <w:bodyDiv w:val="1"/>
      <w:marLeft w:val="0"/>
      <w:marRight w:val="0"/>
      <w:marTop w:val="0"/>
      <w:marBottom w:val="0"/>
      <w:divBdr>
        <w:top w:val="none" w:sz="0" w:space="0" w:color="auto"/>
        <w:left w:val="none" w:sz="0" w:space="0" w:color="auto"/>
        <w:bottom w:val="none" w:sz="0" w:space="0" w:color="auto"/>
        <w:right w:val="none" w:sz="0" w:space="0" w:color="auto"/>
      </w:divBdr>
      <w:divsChild>
        <w:div w:id="723941637">
          <w:marLeft w:val="0"/>
          <w:marRight w:val="0"/>
          <w:marTop w:val="0"/>
          <w:marBottom w:val="0"/>
          <w:divBdr>
            <w:top w:val="none" w:sz="0" w:space="0" w:color="auto"/>
            <w:left w:val="none" w:sz="0" w:space="0" w:color="auto"/>
            <w:bottom w:val="none" w:sz="0" w:space="0" w:color="auto"/>
            <w:right w:val="none" w:sz="0" w:space="0" w:color="auto"/>
          </w:divBdr>
          <w:divsChild>
            <w:div w:id="1527597095">
              <w:marLeft w:val="0"/>
              <w:marRight w:val="0"/>
              <w:marTop w:val="0"/>
              <w:marBottom w:val="0"/>
              <w:divBdr>
                <w:top w:val="none" w:sz="0" w:space="0" w:color="auto"/>
                <w:left w:val="none" w:sz="0" w:space="0" w:color="auto"/>
                <w:bottom w:val="none" w:sz="0" w:space="0" w:color="auto"/>
                <w:right w:val="none" w:sz="0" w:space="0" w:color="auto"/>
              </w:divBdr>
            </w:div>
          </w:divsChild>
        </w:div>
        <w:div w:id="603850199">
          <w:marLeft w:val="0"/>
          <w:marRight w:val="0"/>
          <w:marTop w:val="0"/>
          <w:marBottom w:val="0"/>
          <w:divBdr>
            <w:top w:val="none" w:sz="0" w:space="0" w:color="auto"/>
            <w:left w:val="none" w:sz="0" w:space="0" w:color="auto"/>
            <w:bottom w:val="none" w:sz="0" w:space="0" w:color="auto"/>
            <w:right w:val="none" w:sz="0" w:space="0" w:color="auto"/>
          </w:divBdr>
          <w:divsChild>
            <w:div w:id="1443958682">
              <w:marLeft w:val="0"/>
              <w:marRight w:val="0"/>
              <w:marTop w:val="0"/>
              <w:marBottom w:val="0"/>
              <w:divBdr>
                <w:top w:val="none" w:sz="0" w:space="0" w:color="auto"/>
                <w:left w:val="none" w:sz="0" w:space="0" w:color="auto"/>
                <w:bottom w:val="none" w:sz="0" w:space="0" w:color="auto"/>
                <w:right w:val="none" w:sz="0" w:space="0" w:color="auto"/>
              </w:divBdr>
            </w:div>
          </w:divsChild>
        </w:div>
        <w:div w:id="1087076317">
          <w:marLeft w:val="0"/>
          <w:marRight w:val="0"/>
          <w:marTop w:val="0"/>
          <w:marBottom w:val="0"/>
          <w:divBdr>
            <w:top w:val="none" w:sz="0" w:space="0" w:color="auto"/>
            <w:left w:val="none" w:sz="0" w:space="0" w:color="auto"/>
            <w:bottom w:val="none" w:sz="0" w:space="0" w:color="auto"/>
            <w:right w:val="none" w:sz="0" w:space="0" w:color="auto"/>
          </w:divBdr>
          <w:divsChild>
            <w:div w:id="38548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67700">
      <w:bodyDiv w:val="1"/>
      <w:marLeft w:val="0"/>
      <w:marRight w:val="0"/>
      <w:marTop w:val="0"/>
      <w:marBottom w:val="0"/>
      <w:divBdr>
        <w:top w:val="none" w:sz="0" w:space="0" w:color="auto"/>
        <w:left w:val="none" w:sz="0" w:space="0" w:color="auto"/>
        <w:bottom w:val="none" w:sz="0" w:space="0" w:color="auto"/>
        <w:right w:val="none" w:sz="0" w:space="0" w:color="auto"/>
      </w:divBdr>
      <w:divsChild>
        <w:div w:id="1294411621">
          <w:marLeft w:val="0"/>
          <w:marRight w:val="0"/>
          <w:marTop w:val="0"/>
          <w:marBottom w:val="0"/>
          <w:divBdr>
            <w:top w:val="none" w:sz="0" w:space="0" w:color="auto"/>
            <w:left w:val="none" w:sz="0" w:space="0" w:color="auto"/>
            <w:bottom w:val="none" w:sz="0" w:space="0" w:color="auto"/>
            <w:right w:val="none" w:sz="0" w:space="0" w:color="auto"/>
          </w:divBdr>
          <w:divsChild>
            <w:div w:id="1002858565">
              <w:marLeft w:val="0"/>
              <w:marRight w:val="0"/>
              <w:marTop w:val="0"/>
              <w:marBottom w:val="0"/>
              <w:divBdr>
                <w:top w:val="none" w:sz="0" w:space="0" w:color="auto"/>
                <w:left w:val="none" w:sz="0" w:space="0" w:color="auto"/>
                <w:bottom w:val="none" w:sz="0" w:space="0" w:color="auto"/>
                <w:right w:val="none" w:sz="0" w:space="0" w:color="auto"/>
              </w:divBdr>
            </w:div>
          </w:divsChild>
        </w:div>
        <w:div w:id="364988214">
          <w:marLeft w:val="0"/>
          <w:marRight w:val="0"/>
          <w:marTop w:val="0"/>
          <w:marBottom w:val="0"/>
          <w:divBdr>
            <w:top w:val="none" w:sz="0" w:space="0" w:color="auto"/>
            <w:left w:val="none" w:sz="0" w:space="0" w:color="auto"/>
            <w:bottom w:val="none" w:sz="0" w:space="0" w:color="auto"/>
            <w:right w:val="none" w:sz="0" w:space="0" w:color="auto"/>
          </w:divBdr>
          <w:divsChild>
            <w:div w:id="1789621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696208">
      <w:bodyDiv w:val="1"/>
      <w:marLeft w:val="0"/>
      <w:marRight w:val="0"/>
      <w:marTop w:val="0"/>
      <w:marBottom w:val="0"/>
      <w:divBdr>
        <w:top w:val="none" w:sz="0" w:space="0" w:color="auto"/>
        <w:left w:val="none" w:sz="0" w:space="0" w:color="auto"/>
        <w:bottom w:val="none" w:sz="0" w:space="0" w:color="auto"/>
        <w:right w:val="none" w:sz="0" w:space="0" w:color="auto"/>
      </w:divBdr>
      <w:divsChild>
        <w:div w:id="1941453663">
          <w:marLeft w:val="0"/>
          <w:marRight w:val="0"/>
          <w:marTop w:val="0"/>
          <w:marBottom w:val="0"/>
          <w:divBdr>
            <w:top w:val="none" w:sz="0" w:space="0" w:color="auto"/>
            <w:left w:val="none" w:sz="0" w:space="0" w:color="auto"/>
            <w:bottom w:val="none" w:sz="0" w:space="0" w:color="auto"/>
            <w:right w:val="none" w:sz="0" w:space="0" w:color="auto"/>
          </w:divBdr>
          <w:divsChild>
            <w:div w:id="2126582084">
              <w:marLeft w:val="0"/>
              <w:marRight w:val="0"/>
              <w:marTop w:val="0"/>
              <w:marBottom w:val="0"/>
              <w:divBdr>
                <w:top w:val="none" w:sz="0" w:space="0" w:color="auto"/>
                <w:left w:val="none" w:sz="0" w:space="0" w:color="auto"/>
                <w:bottom w:val="none" w:sz="0" w:space="0" w:color="auto"/>
                <w:right w:val="none" w:sz="0" w:space="0" w:color="auto"/>
              </w:divBdr>
            </w:div>
          </w:divsChild>
        </w:div>
        <w:div w:id="2087337544">
          <w:marLeft w:val="0"/>
          <w:marRight w:val="0"/>
          <w:marTop w:val="0"/>
          <w:marBottom w:val="0"/>
          <w:divBdr>
            <w:top w:val="none" w:sz="0" w:space="0" w:color="auto"/>
            <w:left w:val="none" w:sz="0" w:space="0" w:color="auto"/>
            <w:bottom w:val="none" w:sz="0" w:space="0" w:color="auto"/>
            <w:right w:val="none" w:sz="0" w:space="0" w:color="auto"/>
          </w:divBdr>
          <w:divsChild>
            <w:div w:id="1022973120">
              <w:marLeft w:val="0"/>
              <w:marRight w:val="0"/>
              <w:marTop w:val="0"/>
              <w:marBottom w:val="0"/>
              <w:divBdr>
                <w:top w:val="none" w:sz="0" w:space="0" w:color="auto"/>
                <w:left w:val="none" w:sz="0" w:space="0" w:color="auto"/>
                <w:bottom w:val="none" w:sz="0" w:space="0" w:color="auto"/>
                <w:right w:val="none" w:sz="0" w:space="0" w:color="auto"/>
              </w:divBdr>
            </w:div>
          </w:divsChild>
        </w:div>
        <w:div w:id="527261516">
          <w:marLeft w:val="0"/>
          <w:marRight w:val="0"/>
          <w:marTop w:val="0"/>
          <w:marBottom w:val="0"/>
          <w:divBdr>
            <w:top w:val="none" w:sz="0" w:space="0" w:color="auto"/>
            <w:left w:val="none" w:sz="0" w:space="0" w:color="auto"/>
            <w:bottom w:val="none" w:sz="0" w:space="0" w:color="auto"/>
            <w:right w:val="none" w:sz="0" w:space="0" w:color="auto"/>
          </w:divBdr>
          <w:divsChild>
            <w:div w:id="202324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61900">
      <w:bodyDiv w:val="1"/>
      <w:marLeft w:val="0"/>
      <w:marRight w:val="0"/>
      <w:marTop w:val="0"/>
      <w:marBottom w:val="0"/>
      <w:divBdr>
        <w:top w:val="none" w:sz="0" w:space="0" w:color="auto"/>
        <w:left w:val="none" w:sz="0" w:space="0" w:color="auto"/>
        <w:bottom w:val="none" w:sz="0" w:space="0" w:color="auto"/>
        <w:right w:val="none" w:sz="0" w:space="0" w:color="auto"/>
      </w:divBdr>
    </w:div>
    <w:div w:id="212472256">
      <w:bodyDiv w:val="1"/>
      <w:marLeft w:val="0"/>
      <w:marRight w:val="0"/>
      <w:marTop w:val="0"/>
      <w:marBottom w:val="0"/>
      <w:divBdr>
        <w:top w:val="none" w:sz="0" w:space="0" w:color="auto"/>
        <w:left w:val="none" w:sz="0" w:space="0" w:color="auto"/>
        <w:bottom w:val="none" w:sz="0" w:space="0" w:color="auto"/>
        <w:right w:val="none" w:sz="0" w:space="0" w:color="auto"/>
      </w:divBdr>
    </w:div>
    <w:div w:id="220874607">
      <w:bodyDiv w:val="1"/>
      <w:marLeft w:val="0"/>
      <w:marRight w:val="0"/>
      <w:marTop w:val="0"/>
      <w:marBottom w:val="0"/>
      <w:divBdr>
        <w:top w:val="none" w:sz="0" w:space="0" w:color="auto"/>
        <w:left w:val="none" w:sz="0" w:space="0" w:color="auto"/>
        <w:bottom w:val="none" w:sz="0" w:space="0" w:color="auto"/>
        <w:right w:val="none" w:sz="0" w:space="0" w:color="auto"/>
      </w:divBdr>
      <w:divsChild>
        <w:div w:id="392512272">
          <w:marLeft w:val="0"/>
          <w:marRight w:val="0"/>
          <w:marTop w:val="0"/>
          <w:marBottom w:val="0"/>
          <w:divBdr>
            <w:top w:val="none" w:sz="0" w:space="0" w:color="auto"/>
            <w:left w:val="none" w:sz="0" w:space="0" w:color="auto"/>
            <w:bottom w:val="none" w:sz="0" w:space="0" w:color="auto"/>
            <w:right w:val="none" w:sz="0" w:space="0" w:color="auto"/>
          </w:divBdr>
          <w:divsChild>
            <w:div w:id="22946549">
              <w:marLeft w:val="0"/>
              <w:marRight w:val="0"/>
              <w:marTop w:val="0"/>
              <w:marBottom w:val="0"/>
              <w:divBdr>
                <w:top w:val="none" w:sz="0" w:space="0" w:color="auto"/>
                <w:left w:val="none" w:sz="0" w:space="0" w:color="auto"/>
                <w:bottom w:val="none" w:sz="0" w:space="0" w:color="auto"/>
                <w:right w:val="none" w:sz="0" w:space="0" w:color="auto"/>
              </w:divBdr>
            </w:div>
          </w:divsChild>
        </w:div>
        <w:div w:id="1428233115">
          <w:marLeft w:val="0"/>
          <w:marRight w:val="0"/>
          <w:marTop w:val="0"/>
          <w:marBottom w:val="0"/>
          <w:divBdr>
            <w:top w:val="none" w:sz="0" w:space="0" w:color="auto"/>
            <w:left w:val="none" w:sz="0" w:space="0" w:color="auto"/>
            <w:bottom w:val="none" w:sz="0" w:space="0" w:color="auto"/>
            <w:right w:val="none" w:sz="0" w:space="0" w:color="auto"/>
          </w:divBdr>
          <w:divsChild>
            <w:div w:id="126041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882795">
      <w:bodyDiv w:val="1"/>
      <w:marLeft w:val="0"/>
      <w:marRight w:val="0"/>
      <w:marTop w:val="0"/>
      <w:marBottom w:val="0"/>
      <w:divBdr>
        <w:top w:val="none" w:sz="0" w:space="0" w:color="auto"/>
        <w:left w:val="none" w:sz="0" w:space="0" w:color="auto"/>
        <w:bottom w:val="none" w:sz="0" w:space="0" w:color="auto"/>
        <w:right w:val="none" w:sz="0" w:space="0" w:color="auto"/>
      </w:divBdr>
    </w:div>
    <w:div w:id="259684850">
      <w:bodyDiv w:val="1"/>
      <w:marLeft w:val="0"/>
      <w:marRight w:val="0"/>
      <w:marTop w:val="0"/>
      <w:marBottom w:val="0"/>
      <w:divBdr>
        <w:top w:val="none" w:sz="0" w:space="0" w:color="auto"/>
        <w:left w:val="none" w:sz="0" w:space="0" w:color="auto"/>
        <w:bottom w:val="none" w:sz="0" w:space="0" w:color="auto"/>
        <w:right w:val="none" w:sz="0" w:space="0" w:color="auto"/>
      </w:divBdr>
    </w:div>
    <w:div w:id="317266346">
      <w:bodyDiv w:val="1"/>
      <w:marLeft w:val="0"/>
      <w:marRight w:val="0"/>
      <w:marTop w:val="0"/>
      <w:marBottom w:val="0"/>
      <w:divBdr>
        <w:top w:val="none" w:sz="0" w:space="0" w:color="auto"/>
        <w:left w:val="none" w:sz="0" w:space="0" w:color="auto"/>
        <w:bottom w:val="none" w:sz="0" w:space="0" w:color="auto"/>
        <w:right w:val="none" w:sz="0" w:space="0" w:color="auto"/>
      </w:divBdr>
    </w:div>
    <w:div w:id="329915720">
      <w:bodyDiv w:val="1"/>
      <w:marLeft w:val="0"/>
      <w:marRight w:val="0"/>
      <w:marTop w:val="0"/>
      <w:marBottom w:val="0"/>
      <w:divBdr>
        <w:top w:val="none" w:sz="0" w:space="0" w:color="auto"/>
        <w:left w:val="none" w:sz="0" w:space="0" w:color="auto"/>
        <w:bottom w:val="none" w:sz="0" w:space="0" w:color="auto"/>
        <w:right w:val="none" w:sz="0" w:space="0" w:color="auto"/>
      </w:divBdr>
      <w:divsChild>
        <w:div w:id="956915051">
          <w:marLeft w:val="0"/>
          <w:marRight w:val="0"/>
          <w:marTop w:val="0"/>
          <w:marBottom w:val="0"/>
          <w:divBdr>
            <w:top w:val="none" w:sz="0" w:space="0" w:color="auto"/>
            <w:left w:val="none" w:sz="0" w:space="0" w:color="auto"/>
            <w:bottom w:val="none" w:sz="0" w:space="0" w:color="auto"/>
            <w:right w:val="none" w:sz="0" w:space="0" w:color="auto"/>
          </w:divBdr>
          <w:divsChild>
            <w:div w:id="1772623461">
              <w:marLeft w:val="0"/>
              <w:marRight w:val="0"/>
              <w:marTop w:val="0"/>
              <w:marBottom w:val="0"/>
              <w:divBdr>
                <w:top w:val="none" w:sz="0" w:space="0" w:color="auto"/>
                <w:left w:val="none" w:sz="0" w:space="0" w:color="auto"/>
                <w:bottom w:val="none" w:sz="0" w:space="0" w:color="auto"/>
                <w:right w:val="none" w:sz="0" w:space="0" w:color="auto"/>
              </w:divBdr>
            </w:div>
          </w:divsChild>
        </w:div>
        <w:div w:id="1819879619">
          <w:marLeft w:val="0"/>
          <w:marRight w:val="0"/>
          <w:marTop w:val="0"/>
          <w:marBottom w:val="0"/>
          <w:divBdr>
            <w:top w:val="none" w:sz="0" w:space="0" w:color="auto"/>
            <w:left w:val="none" w:sz="0" w:space="0" w:color="auto"/>
            <w:bottom w:val="none" w:sz="0" w:space="0" w:color="auto"/>
            <w:right w:val="none" w:sz="0" w:space="0" w:color="auto"/>
          </w:divBdr>
          <w:divsChild>
            <w:div w:id="1672097658">
              <w:marLeft w:val="0"/>
              <w:marRight w:val="0"/>
              <w:marTop w:val="0"/>
              <w:marBottom w:val="0"/>
              <w:divBdr>
                <w:top w:val="none" w:sz="0" w:space="0" w:color="auto"/>
                <w:left w:val="none" w:sz="0" w:space="0" w:color="auto"/>
                <w:bottom w:val="none" w:sz="0" w:space="0" w:color="auto"/>
                <w:right w:val="none" w:sz="0" w:space="0" w:color="auto"/>
              </w:divBdr>
            </w:div>
          </w:divsChild>
        </w:div>
        <w:div w:id="1810395825">
          <w:marLeft w:val="0"/>
          <w:marRight w:val="0"/>
          <w:marTop w:val="0"/>
          <w:marBottom w:val="0"/>
          <w:divBdr>
            <w:top w:val="none" w:sz="0" w:space="0" w:color="auto"/>
            <w:left w:val="none" w:sz="0" w:space="0" w:color="auto"/>
            <w:bottom w:val="none" w:sz="0" w:space="0" w:color="auto"/>
            <w:right w:val="none" w:sz="0" w:space="0" w:color="auto"/>
          </w:divBdr>
          <w:divsChild>
            <w:div w:id="154902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5681">
      <w:bodyDiv w:val="1"/>
      <w:marLeft w:val="0"/>
      <w:marRight w:val="0"/>
      <w:marTop w:val="0"/>
      <w:marBottom w:val="0"/>
      <w:divBdr>
        <w:top w:val="none" w:sz="0" w:space="0" w:color="auto"/>
        <w:left w:val="none" w:sz="0" w:space="0" w:color="auto"/>
        <w:bottom w:val="none" w:sz="0" w:space="0" w:color="auto"/>
        <w:right w:val="none" w:sz="0" w:space="0" w:color="auto"/>
      </w:divBdr>
      <w:divsChild>
        <w:div w:id="457259552">
          <w:marLeft w:val="0"/>
          <w:marRight w:val="0"/>
          <w:marTop w:val="0"/>
          <w:marBottom w:val="0"/>
          <w:divBdr>
            <w:top w:val="none" w:sz="0" w:space="0" w:color="auto"/>
            <w:left w:val="none" w:sz="0" w:space="0" w:color="auto"/>
            <w:bottom w:val="none" w:sz="0" w:space="0" w:color="auto"/>
            <w:right w:val="none" w:sz="0" w:space="0" w:color="auto"/>
          </w:divBdr>
          <w:divsChild>
            <w:div w:id="343939158">
              <w:marLeft w:val="0"/>
              <w:marRight w:val="0"/>
              <w:marTop w:val="0"/>
              <w:marBottom w:val="0"/>
              <w:divBdr>
                <w:top w:val="none" w:sz="0" w:space="0" w:color="auto"/>
                <w:left w:val="none" w:sz="0" w:space="0" w:color="auto"/>
                <w:bottom w:val="none" w:sz="0" w:space="0" w:color="auto"/>
                <w:right w:val="none" w:sz="0" w:space="0" w:color="auto"/>
              </w:divBdr>
            </w:div>
          </w:divsChild>
        </w:div>
        <w:div w:id="2046060905">
          <w:marLeft w:val="0"/>
          <w:marRight w:val="0"/>
          <w:marTop w:val="0"/>
          <w:marBottom w:val="0"/>
          <w:divBdr>
            <w:top w:val="none" w:sz="0" w:space="0" w:color="auto"/>
            <w:left w:val="none" w:sz="0" w:space="0" w:color="auto"/>
            <w:bottom w:val="none" w:sz="0" w:space="0" w:color="auto"/>
            <w:right w:val="none" w:sz="0" w:space="0" w:color="auto"/>
          </w:divBdr>
          <w:divsChild>
            <w:div w:id="1164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095036">
      <w:bodyDiv w:val="1"/>
      <w:marLeft w:val="0"/>
      <w:marRight w:val="0"/>
      <w:marTop w:val="0"/>
      <w:marBottom w:val="0"/>
      <w:divBdr>
        <w:top w:val="none" w:sz="0" w:space="0" w:color="auto"/>
        <w:left w:val="none" w:sz="0" w:space="0" w:color="auto"/>
        <w:bottom w:val="none" w:sz="0" w:space="0" w:color="auto"/>
        <w:right w:val="none" w:sz="0" w:space="0" w:color="auto"/>
      </w:divBdr>
      <w:divsChild>
        <w:div w:id="546375230">
          <w:marLeft w:val="0"/>
          <w:marRight w:val="0"/>
          <w:marTop w:val="240"/>
          <w:marBottom w:val="0"/>
          <w:divBdr>
            <w:top w:val="none" w:sz="0" w:space="0" w:color="auto"/>
            <w:left w:val="none" w:sz="0" w:space="0" w:color="auto"/>
            <w:bottom w:val="none" w:sz="0" w:space="0" w:color="auto"/>
            <w:right w:val="none" w:sz="0" w:space="0" w:color="auto"/>
          </w:divBdr>
          <w:divsChild>
            <w:div w:id="766775258">
              <w:marLeft w:val="0"/>
              <w:marRight w:val="0"/>
              <w:marTop w:val="0"/>
              <w:marBottom w:val="0"/>
              <w:divBdr>
                <w:top w:val="none" w:sz="0" w:space="0" w:color="auto"/>
                <w:left w:val="none" w:sz="0" w:space="0" w:color="auto"/>
                <w:bottom w:val="none" w:sz="0" w:space="0" w:color="auto"/>
                <w:right w:val="none" w:sz="0" w:space="0" w:color="auto"/>
              </w:divBdr>
            </w:div>
          </w:divsChild>
        </w:div>
        <w:div w:id="1952007417">
          <w:marLeft w:val="0"/>
          <w:marRight w:val="0"/>
          <w:marTop w:val="240"/>
          <w:marBottom w:val="0"/>
          <w:divBdr>
            <w:top w:val="none" w:sz="0" w:space="0" w:color="auto"/>
            <w:left w:val="none" w:sz="0" w:space="0" w:color="auto"/>
            <w:bottom w:val="none" w:sz="0" w:space="0" w:color="auto"/>
            <w:right w:val="none" w:sz="0" w:space="0" w:color="auto"/>
          </w:divBdr>
          <w:divsChild>
            <w:div w:id="204678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2820">
      <w:bodyDiv w:val="1"/>
      <w:marLeft w:val="0"/>
      <w:marRight w:val="0"/>
      <w:marTop w:val="0"/>
      <w:marBottom w:val="0"/>
      <w:divBdr>
        <w:top w:val="none" w:sz="0" w:space="0" w:color="auto"/>
        <w:left w:val="none" w:sz="0" w:space="0" w:color="auto"/>
        <w:bottom w:val="none" w:sz="0" w:space="0" w:color="auto"/>
        <w:right w:val="none" w:sz="0" w:space="0" w:color="auto"/>
      </w:divBdr>
    </w:div>
    <w:div w:id="398552928">
      <w:bodyDiv w:val="1"/>
      <w:marLeft w:val="0"/>
      <w:marRight w:val="0"/>
      <w:marTop w:val="0"/>
      <w:marBottom w:val="0"/>
      <w:divBdr>
        <w:top w:val="none" w:sz="0" w:space="0" w:color="auto"/>
        <w:left w:val="none" w:sz="0" w:space="0" w:color="auto"/>
        <w:bottom w:val="none" w:sz="0" w:space="0" w:color="auto"/>
        <w:right w:val="none" w:sz="0" w:space="0" w:color="auto"/>
      </w:divBdr>
      <w:divsChild>
        <w:div w:id="2093118879">
          <w:marLeft w:val="0"/>
          <w:marRight w:val="0"/>
          <w:marTop w:val="240"/>
          <w:marBottom w:val="0"/>
          <w:divBdr>
            <w:top w:val="none" w:sz="0" w:space="0" w:color="auto"/>
            <w:left w:val="none" w:sz="0" w:space="0" w:color="auto"/>
            <w:bottom w:val="none" w:sz="0" w:space="0" w:color="auto"/>
            <w:right w:val="none" w:sz="0" w:space="0" w:color="auto"/>
          </w:divBdr>
          <w:divsChild>
            <w:div w:id="1820147950">
              <w:marLeft w:val="0"/>
              <w:marRight w:val="0"/>
              <w:marTop w:val="0"/>
              <w:marBottom w:val="0"/>
              <w:divBdr>
                <w:top w:val="none" w:sz="0" w:space="0" w:color="auto"/>
                <w:left w:val="none" w:sz="0" w:space="0" w:color="auto"/>
                <w:bottom w:val="none" w:sz="0" w:space="0" w:color="auto"/>
                <w:right w:val="none" w:sz="0" w:space="0" w:color="auto"/>
              </w:divBdr>
            </w:div>
          </w:divsChild>
        </w:div>
        <w:div w:id="1909879563">
          <w:marLeft w:val="0"/>
          <w:marRight w:val="0"/>
          <w:marTop w:val="240"/>
          <w:marBottom w:val="0"/>
          <w:divBdr>
            <w:top w:val="none" w:sz="0" w:space="0" w:color="auto"/>
            <w:left w:val="none" w:sz="0" w:space="0" w:color="auto"/>
            <w:bottom w:val="none" w:sz="0" w:space="0" w:color="auto"/>
            <w:right w:val="none" w:sz="0" w:space="0" w:color="auto"/>
          </w:divBdr>
          <w:divsChild>
            <w:div w:id="211054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6156">
      <w:bodyDiv w:val="1"/>
      <w:marLeft w:val="0"/>
      <w:marRight w:val="0"/>
      <w:marTop w:val="0"/>
      <w:marBottom w:val="0"/>
      <w:divBdr>
        <w:top w:val="none" w:sz="0" w:space="0" w:color="auto"/>
        <w:left w:val="none" w:sz="0" w:space="0" w:color="auto"/>
        <w:bottom w:val="none" w:sz="0" w:space="0" w:color="auto"/>
        <w:right w:val="none" w:sz="0" w:space="0" w:color="auto"/>
      </w:divBdr>
      <w:divsChild>
        <w:div w:id="173233539">
          <w:marLeft w:val="1275"/>
          <w:marRight w:val="0"/>
          <w:marTop w:val="0"/>
          <w:marBottom w:val="0"/>
          <w:divBdr>
            <w:top w:val="none" w:sz="0" w:space="0" w:color="auto"/>
            <w:left w:val="none" w:sz="0" w:space="0" w:color="auto"/>
            <w:bottom w:val="none" w:sz="0" w:space="0" w:color="auto"/>
            <w:right w:val="none" w:sz="0" w:space="0" w:color="auto"/>
          </w:divBdr>
          <w:divsChild>
            <w:div w:id="111637602">
              <w:marLeft w:val="0"/>
              <w:marRight w:val="0"/>
              <w:marTop w:val="0"/>
              <w:marBottom w:val="0"/>
              <w:divBdr>
                <w:top w:val="none" w:sz="0" w:space="0" w:color="auto"/>
                <w:left w:val="none" w:sz="0" w:space="0" w:color="auto"/>
                <w:bottom w:val="none" w:sz="0" w:space="0" w:color="auto"/>
                <w:right w:val="none" w:sz="0" w:space="0" w:color="auto"/>
              </w:divBdr>
              <w:divsChild>
                <w:div w:id="1317490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831619">
      <w:bodyDiv w:val="1"/>
      <w:marLeft w:val="0"/>
      <w:marRight w:val="0"/>
      <w:marTop w:val="0"/>
      <w:marBottom w:val="0"/>
      <w:divBdr>
        <w:top w:val="none" w:sz="0" w:space="0" w:color="auto"/>
        <w:left w:val="none" w:sz="0" w:space="0" w:color="auto"/>
        <w:bottom w:val="none" w:sz="0" w:space="0" w:color="auto"/>
        <w:right w:val="none" w:sz="0" w:space="0" w:color="auto"/>
      </w:divBdr>
    </w:div>
    <w:div w:id="423377005">
      <w:bodyDiv w:val="1"/>
      <w:marLeft w:val="0"/>
      <w:marRight w:val="0"/>
      <w:marTop w:val="0"/>
      <w:marBottom w:val="0"/>
      <w:divBdr>
        <w:top w:val="none" w:sz="0" w:space="0" w:color="auto"/>
        <w:left w:val="none" w:sz="0" w:space="0" w:color="auto"/>
        <w:bottom w:val="none" w:sz="0" w:space="0" w:color="auto"/>
        <w:right w:val="none" w:sz="0" w:space="0" w:color="auto"/>
      </w:divBdr>
    </w:div>
    <w:div w:id="462961324">
      <w:bodyDiv w:val="1"/>
      <w:marLeft w:val="0"/>
      <w:marRight w:val="0"/>
      <w:marTop w:val="0"/>
      <w:marBottom w:val="0"/>
      <w:divBdr>
        <w:top w:val="none" w:sz="0" w:space="0" w:color="auto"/>
        <w:left w:val="none" w:sz="0" w:space="0" w:color="auto"/>
        <w:bottom w:val="none" w:sz="0" w:space="0" w:color="auto"/>
        <w:right w:val="none" w:sz="0" w:space="0" w:color="auto"/>
      </w:divBdr>
    </w:div>
    <w:div w:id="470947031">
      <w:bodyDiv w:val="1"/>
      <w:marLeft w:val="0"/>
      <w:marRight w:val="0"/>
      <w:marTop w:val="0"/>
      <w:marBottom w:val="0"/>
      <w:divBdr>
        <w:top w:val="none" w:sz="0" w:space="0" w:color="auto"/>
        <w:left w:val="none" w:sz="0" w:space="0" w:color="auto"/>
        <w:bottom w:val="none" w:sz="0" w:space="0" w:color="auto"/>
        <w:right w:val="none" w:sz="0" w:space="0" w:color="auto"/>
      </w:divBdr>
      <w:divsChild>
        <w:div w:id="1400534">
          <w:marLeft w:val="0"/>
          <w:marRight w:val="0"/>
          <w:marTop w:val="0"/>
          <w:marBottom w:val="0"/>
          <w:divBdr>
            <w:top w:val="none" w:sz="0" w:space="0" w:color="auto"/>
            <w:left w:val="none" w:sz="0" w:space="0" w:color="auto"/>
            <w:bottom w:val="none" w:sz="0" w:space="0" w:color="auto"/>
            <w:right w:val="none" w:sz="0" w:space="0" w:color="auto"/>
          </w:divBdr>
          <w:divsChild>
            <w:div w:id="1046875594">
              <w:marLeft w:val="0"/>
              <w:marRight w:val="0"/>
              <w:marTop w:val="0"/>
              <w:marBottom w:val="0"/>
              <w:divBdr>
                <w:top w:val="none" w:sz="0" w:space="0" w:color="auto"/>
                <w:left w:val="none" w:sz="0" w:space="0" w:color="auto"/>
                <w:bottom w:val="none" w:sz="0" w:space="0" w:color="auto"/>
                <w:right w:val="none" w:sz="0" w:space="0" w:color="auto"/>
              </w:divBdr>
            </w:div>
          </w:divsChild>
        </w:div>
        <w:div w:id="1499538705">
          <w:marLeft w:val="0"/>
          <w:marRight w:val="0"/>
          <w:marTop w:val="0"/>
          <w:marBottom w:val="0"/>
          <w:divBdr>
            <w:top w:val="none" w:sz="0" w:space="0" w:color="auto"/>
            <w:left w:val="none" w:sz="0" w:space="0" w:color="auto"/>
            <w:bottom w:val="none" w:sz="0" w:space="0" w:color="auto"/>
            <w:right w:val="none" w:sz="0" w:space="0" w:color="auto"/>
          </w:divBdr>
          <w:divsChild>
            <w:div w:id="1769084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723791">
      <w:bodyDiv w:val="1"/>
      <w:marLeft w:val="0"/>
      <w:marRight w:val="0"/>
      <w:marTop w:val="0"/>
      <w:marBottom w:val="0"/>
      <w:divBdr>
        <w:top w:val="none" w:sz="0" w:space="0" w:color="auto"/>
        <w:left w:val="none" w:sz="0" w:space="0" w:color="auto"/>
        <w:bottom w:val="none" w:sz="0" w:space="0" w:color="auto"/>
        <w:right w:val="none" w:sz="0" w:space="0" w:color="auto"/>
      </w:divBdr>
    </w:div>
    <w:div w:id="549729272">
      <w:bodyDiv w:val="1"/>
      <w:marLeft w:val="0"/>
      <w:marRight w:val="0"/>
      <w:marTop w:val="0"/>
      <w:marBottom w:val="0"/>
      <w:divBdr>
        <w:top w:val="none" w:sz="0" w:space="0" w:color="auto"/>
        <w:left w:val="none" w:sz="0" w:space="0" w:color="auto"/>
        <w:bottom w:val="none" w:sz="0" w:space="0" w:color="auto"/>
        <w:right w:val="none" w:sz="0" w:space="0" w:color="auto"/>
      </w:divBdr>
      <w:divsChild>
        <w:div w:id="700209732">
          <w:marLeft w:val="0"/>
          <w:marRight w:val="0"/>
          <w:marTop w:val="0"/>
          <w:marBottom w:val="0"/>
          <w:divBdr>
            <w:top w:val="none" w:sz="0" w:space="0" w:color="auto"/>
            <w:left w:val="none" w:sz="0" w:space="0" w:color="auto"/>
            <w:bottom w:val="none" w:sz="0" w:space="0" w:color="auto"/>
            <w:right w:val="none" w:sz="0" w:space="0" w:color="auto"/>
          </w:divBdr>
          <w:divsChild>
            <w:div w:id="1683357984">
              <w:marLeft w:val="0"/>
              <w:marRight w:val="0"/>
              <w:marTop w:val="0"/>
              <w:marBottom w:val="0"/>
              <w:divBdr>
                <w:top w:val="none" w:sz="0" w:space="0" w:color="auto"/>
                <w:left w:val="none" w:sz="0" w:space="0" w:color="auto"/>
                <w:bottom w:val="none" w:sz="0" w:space="0" w:color="auto"/>
                <w:right w:val="none" w:sz="0" w:space="0" w:color="auto"/>
              </w:divBdr>
            </w:div>
          </w:divsChild>
        </w:div>
        <w:div w:id="67307840">
          <w:marLeft w:val="0"/>
          <w:marRight w:val="0"/>
          <w:marTop w:val="0"/>
          <w:marBottom w:val="0"/>
          <w:divBdr>
            <w:top w:val="none" w:sz="0" w:space="0" w:color="auto"/>
            <w:left w:val="none" w:sz="0" w:space="0" w:color="auto"/>
            <w:bottom w:val="none" w:sz="0" w:space="0" w:color="auto"/>
            <w:right w:val="none" w:sz="0" w:space="0" w:color="auto"/>
          </w:divBdr>
          <w:divsChild>
            <w:div w:id="208037975">
              <w:marLeft w:val="0"/>
              <w:marRight w:val="0"/>
              <w:marTop w:val="0"/>
              <w:marBottom w:val="0"/>
              <w:divBdr>
                <w:top w:val="none" w:sz="0" w:space="0" w:color="auto"/>
                <w:left w:val="none" w:sz="0" w:space="0" w:color="auto"/>
                <w:bottom w:val="none" w:sz="0" w:space="0" w:color="auto"/>
                <w:right w:val="none" w:sz="0" w:space="0" w:color="auto"/>
              </w:divBdr>
            </w:div>
          </w:divsChild>
        </w:div>
        <w:div w:id="2115245606">
          <w:marLeft w:val="0"/>
          <w:marRight w:val="0"/>
          <w:marTop w:val="0"/>
          <w:marBottom w:val="0"/>
          <w:divBdr>
            <w:top w:val="none" w:sz="0" w:space="0" w:color="auto"/>
            <w:left w:val="none" w:sz="0" w:space="0" w:color="auto"/>
            <w:bottom w:val="none" w:sz="0" w:space="0" w:color="auto"/>
            <w:right w:val="none" w:sz="0" w:space="0" w:color="auto"/>
          </w:divBdr>
          <w:divsChild>
            <w:div w:id="2044593916">
              <w:marLeft w:val="0"/>
              <w:marRight w:val="0"/>
              <w:marTop w:val="0"/>
              <w:marBottom w:val="0"/>
              <w:divBdr>
                <w:top w:val="none" w:sz="0" w:space="0" w:color="auto"/>
                <w:left w:val="none" w:sz="0" w:space="0" w:color="auto"/>
                <w:bottom w:val="none" w:sz="0" w:space="0" w:color="auto"/>
                <w:right w:val="none" w:sz="0" w:space="0" w:color="auto"/>
              </w:divBdr>
            </w:div>
          </w:divsChild>
        </w:div>
        <w:div w:id="471752603">
          <w:marLeft w:val="0"/>
          <w:marRight w:val="0"/>
          <w:marTop w:val="0"/>
          <w:marBottom w:val="0"/>
          <w:divBdr>
            <w:top w:val="none" w:sz="0" w:space="0" w:color="auto"/>
            <w:left w:val="none" w:sz="0" w:space="0" w:color="auto"/>
            <w:bottom w:val="none" w:sz="0" w:space="0" w:color="auto"/>
            <w:right w:val="none" w:sz="0" w:space="0" w:color="auto"/>
          </w:divBdr>
          <w:divsChild>
            <w:div w:id="1072773588">
              <w:marLeft w:val="0"/>
              <w:marRight w:val="0"/>
              <w:marTop w:val="0"/>
              <w:marBottom w:val="0"/>
              <w:divBdr>
                <w:top w:val="none" w:sz="0" w:space="0" w:color="auto"/>
                <w:left w:val="none" w:sz="0" w:space="0" w:color="auto"/>
                <w:bottom w:val="none" w:sz="0" w:space="0" w:color="auto"/>
                <w:right w:val="none" w:sz="0" w:space="0" w:color="auto"/>
              </w:divBdr>
            </w:div>
          </w:divsChild>
        </w:div>
        <w:div w:id="861406924">
          <w:marLeft w:val="0"/>
          <w:marRight w:val="0"/>
          <w:marTop w:val="0"/>
          <w:marBottom w:val="0"/>
          <w:divBdr>
            <w:top w:val="none" w:sz="0" w:space="0" w:color="auto"/>
            <w:left w:val="none" w:sz="0" w:space="0" w:color="auto"/>
            <w:bottom w:val="none" w:sz="0" w:space="0" w:color="auto"/>
            <w:right w:val="none" w:sz="0" w:space="0" w:color="auto"/>
          </w:divBdr>
          <w:divsChild>
            <w:div w:id="1667055959">
              <w:marLeft w:val="0"/>
              <w:marRight w:val="0"/>
              <w:marTop w:val="0"/>
              <w:marBottom w:val="0"/>
              <w:divBdr>
                <w:top w:val="none" w:sz="0" w:space="0" w:color="auto"/>
                <w:left w:val="none" w:sz="0" w:space="0" w:color="auto"/>
                <w:bottom w:val="none" w:sz="0" w:space="0" w:color="auto"/>
                <w:right w:val="none" w:sz="0" w:space="0" w:color="auto"/>
              </w:divBdr>
            </w:div>
          </w:divsChild>
        </w:div>
        <w:div w:id="617952327">
          <w:marLeft w:val="0"/>
          <w:marRight w:val="0"/>
          <w:marTop w:val="0"/>
          <w:marBottom w:val="0"/>
          <w:divBdr>
            <w:top w:val="none" w:sz="0" w:space="0" w:color="auto"/>
            <w:left w:val="none" w:sz="0" w:space="0" w:color="auto"/>
            <w:bottom w:val="none" w:sz="0" w:space="0" w:color="auto"/>
            <w:right w:val="none" w:sz="0" w:space="0" w:color="auto"/>
          </w:divBdr>
          <w:divsChild>
            <w:div w:id="155203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3064">
      <w:bodyDiv w:val="1"/>
      <w:marLeft w:val="0"/>
      <w:marRight w:val="0"/>
      <w:marTop w:val="0"/>
      <w:marBottom w:val="0"/>
      <w:divBdr>
        <w:top w:val="none" w:sz="0" w:space="0" w:color="auto"/>
        <w:left w:val="none" w:sz="0" w:space="0" w:color="auto"/>
        <w:bottom w:val="none" w:sz="0" w:space="0" w:color="auto"/>
        <w:right w:val="none" w:sz="0" w:space="0" w:color="auto"/>
      </w:divBdr>
      <w:divsChild>
        <w:div w:id="594215606">
          <w:marLeft w:val="0"/>
          <w:marRight w:val="0"/>
          <w:marTop w:val="0"/>
          <w:marBottom w:val="0"/>
          <w:divBdr>
            <w:top w:val="none" w:sz="0" w:space="0" w:color="auto"/>
            <w:left w:val="none" w:sz="0" w:space="0" w:color="auto"/>
            <w:bottom w:val="none" w:sz="0" w:space="0" w:color="auto"/>
            <w:right w:val="none" w:sz="0" w:space="0" w:color="auto"/>
          </w:divBdr>
          <w:divsChild>
            <w:div w:id="1274048424">
              <w:marLeft w:val="0"/>
              <w:marRight w:val="0"/>
              <w:marTop w:val="0"/>
              <w:marBottom w:val="0"/>
              <w:divBdr>
                <w:top w:val="none" w:sz="0" w:space="0" w:color="auto"/>
                <w:left w:val="none" w:sz="0" w:space="0" w:color="auto"/>
                <w:bottom w:val="none" w:sz="0" w:space="0" w:color="auto"/>
                <w:right w:val="none" w:sz="0" w:space="0" w:color="auto"/>
              </w:divBdr>
            </w:div>
          </w:divsChild>
        </w:div>
        <w:div w:id="990134557">
          <w:marLeft w:val="0"/>
          <w:marRight w:val="0"/>
          <w:marTop w:val="0"/>
          <w:marBottom w:val="0"/>
          <w:divBdr>
            <w:top w:val="none" w:sz="0" w:space="0" w:color="auto"/>
            <w:left w:val="none" w:sz="0" w:space="0" w:color="auto"/>
            <w:bottom w:val="none" w:sz="0" w:space="0" w:color="auto"/>
            <w:right w:val="none" w:sz="0" w:space="0" w:color="auto"/>
          </w:divBdr>
          <w:divsChild>
            <w:div w:id="32644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823120">
      <w:bodyDiv w:val="1"/>
      <w:marLeft w:val="0"/>
      <w:marRight w:val="0"/>
      <w:marTop w:val="0"/>
      <w:marBottom w:val="0"/>
      <w:divBdr>
        <w:top w:val="none" w:sz="0" w:space="0" w:color="auto"/>
        <w:left w:val="none" w:sz="0" w:space="0" w:color="auto"/>
        <w:bottom w:val="none" w:sz="0" w:space="0" w:color="auto"/>
        <w:right w:val="none" w:sz="0" w:space="0" w:color="auto"/>
      </w:divBdr>
      <w:divsChild>
        <w:div w:id="539979479">
          <w:marLeft w:val="0"/>
          <w:marRight w:val="0"/>
          <w:marTop w:val="0"/>
          <w:marBottom w:val="0"/>
          <w:divBdr>
            <w:top w:val="none" w:sz="0" w:space="0" w:color="auto"/>
            <w:left w:val="none" w:sz="0" w:space="0" w:color="auto"/>
            <w:bottom w:val="none" w:sz="0" w:space="0" w:color="auto"/>
            <w:right w:val="none" w:sz="0" w:space="0" w:color="auto"/>
          </w:divBdr>
          <w:divsChild>
            <w:div w:id="2056001955">
              <w:marLeft w:val="0"/>
              <w:marRight w:val="0"/>
              <w:marTop w:val="0"/>
              <w:marBottom w:val="0"/>
              <w:divBdr>
                <w:top w:val="none" w:sz="0" w:space="0" w:color="auto"/>
                <w:left w:val="none" w:sz="0" w:space="0" w:color="auto"/>
                <w:bottom w:val="none" w:sz="0" w:space="0" w:color="auto"/>
                <w:right w:val="none" w:sz="0" w:space="0" w:color="auto"/>
              </w:divBdr>
            </w:div>
          </w:divsChild>
        </w:div>
        <w:div w:id="512769146">
          <w:marLeft w:val="0"/>
          <w:marRight w:val="0"/>
          <w:marTop w:val="0"/>
          <w:marBottom w:val="0"/>
          <w:divBdr>
            <w:top w:val="none" w:sz="0" w:space="0" w:color="auto"/>
            <w:left w:val="none" w:sz="0" w:space="0" w:color="auto"/>
            <w:bottom w:val="none" w:sz="0" w:space="0" w:color="auto"/>
            <w:right w:val="none" w:sz="0" w:space="0" w:color="auto"/>
          </w:divBdr>
          <w:divsChild>
            <w:div w:id="152497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315998">
      <w:bodyDiv w:val="1"/>
      <w:marLeft w:val="0"/>
      <w:marRight w:val="0"/>
      <w:marTop w:val="0"/>
      <w:marBottom w:val="0"/>
      <w:divBdr>
        <w:top w:val="none" w:sz="0" w:space="0" w:color="auto"/>
        <w:left w:val="none" w:sz="0" w:space="0" w:color="auto"/>
        <w:bottom w:val="none" w:sz="0" w:space="0" w:color="auto"/>
        <w:right w:val="none" w:sz="0" w:space="0" w:color="auto"/>
      </w:divBdr>
    </w:div>
    <w:div w:id="663512521">
      <w:bodyDiv w:val="1"/>
      <w:marLeft w:val="0"/>
      <w:marRight w:val="0"/>
      <w:marTop w:val="0"/>
      <w:marBottom w:val="0"/>
      <w:divBdr>
        <w:top w:val="none" w:sz="0" w:space="0" w:color="auto"/>
        <w:left w:val="none" w:sz="0" w:space="0" w:color="auto"/>
        <w:bottom w:val="none" w:sz="0" w:space="0" w:color="auto"/>
        <w:right w:val="none" w:sz="0" w:space="0" w:color="auto"/>
      </w:divBdr>
      <w:divsChild>
        <w:div w:id="542325852">
          <w:marLeft w:val="0"/>
          <w:marRight w:val="0"/>
          <w:marTop w:val="0"/>
          <w:marBottom w:val="0"/>
          <w:divBdr>
            <w:top w:val="none" w:sz="0" w:space="0" w:color="auto"/>
            <w:left w:val="none" w:sz="0" w:space="0" w:color="auto"/>
            <w:bottom w:val="none" w:sz="0" w:space="0" w:color="auto"/>
            <w:right w:val="none" w:sz="0" w:space="0" w:color="auto"/>
          </w:divBdr>
        </w:div>
        <w:div w:id="10106454">
          <w:marLeft w:val="0"/>
          <w:marRight w:val="0"/>
          <w:marTop w:val="0"/>
          <w:marBottom w:val="0"/>
          <w:divBdr>
            <w:top w:val="none" w:sz="0" w:space="0" w:color="auto"/>
            <w:left w:val="none" w:sz="0" w:space="0" w:color="auto"/>
            <w:bottom w:val="none" w:sz="0" w:space="0" w:color="auto"/>
            <w:right w:val="none" w:sz="0" w:space="0" w:color="auto"/>
          </w:divBdr>
          <w:divsChild>
            <w:div w:id="50767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529089">
      <w:bodyDiv w:val="1"/>
      <w:marLeft w:val="0"/>
      <w:marRight w:val="0"/>
      <w:marTop w:val="0"/>
      <w:marBottom w:val="0"/>
      <w:divBdr>
        <w:top w:val="none" w:sz="0" w:space="0" w:color="auto"/>
        <w:left w:val="none" w:sz="0" w:space="0" w:color="auto"/>
        <w:bottom w:val="none" w:sz="0" w:space="0" w:color="auto"/>
        <w:right w:val="none" w:sz="0" w:space="0" w:color="auto"/>
      </w:divBdr>
    </w:div>
    <w:div w:id="691302124">
      <w:bodyDiv w:val="1"/>
      <w:marLeft w:val="0"/>
      <w:marRight w:val="0"/>
      <w:marTop w:val="0"/>
      <w:marBottom w:val="0"/>
      <w:divBdr>
        <w:top w:val="none" w:sz="0" w:space="0" w:color="auto"/>
        <w:left w:val="none" w:sz="0" w:space="0" w:color="auto"/>
        <w:bottom w:val="none" w:sz="0" w:space="0" w:color="auto"/>
        <w:right w:val="none" w:sz="0" w:space="0" w:color="auto"/>
      </w:divBdr>
      <w:divsChild>
        <w:div w:id="2045866353">
          <w:marLeft w:val="1275"/>
          <w:marRight w:val="0"/>
          <w:marTop w:val="0"/>
          <w:marBottom w:val="0"/>
          <w:divBdr>
            <w:top w:val="none" w:sz="0" w:space="0" w:color="auto"/>
            <w:left w:val="none" w:sz="0" w:space="0" w:color="auto"/>
            <w:bottom w:val="none" w:sz="0" w:space="0" w:color="auto"/>
            <w:right w:val="none" w:sz="0" w:space="0" w:color="auto"/>
          </w:divBdr>
          <w:divsChild>
            <w:div w:id="387454530">
              <w:marLeft w:val="0"/>
              <w:marRight w:val="0"/>
              <w:marTop w:val="0"/>
              <w:marBottom w:val="0"/>
              <w:divBdr>
                <w:top w:val="none" w:sz="0" w:space="0" w:color="auto"/>
                <w:left w:val="none" w:sz="0" w:space="0" w:color="auto"/>
                <w:bottom w:val="none" w:sz="0" w:space="0" w:color="auto"/>
                <w:right w:val="none" w:sz="0" w:space="0" w:color="auto"/>
              </w:divBdr>
              <w:divsChild>
                <w:div w:id="52922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15770">
      <w:bodyDiv w:val="1"/>
      <w:marLeft w:val="0"/>
      <w:marRight w:val="0"/>
      <w:marTop w:val="0"/>
      <w:marBottom w:val="0"/>
      <w:divBdr>
        <w:top w:val="none" w:sz="0" w:space="0" w:color="auto"/>
        <w:left w:val="none" w:sz="0" w:space="0" w:color="auto"/>
        <w:bottom w:val="none" w:sz="0" w:space="0" w:color="auto"/>
        <w:right w:val="none" w:sz="0" w:space="0" w:color="auto"/>
      </w:divBdr>
      <w:divsChild>
        <w:div w:id="425614669">
          <w:marLeft w:val="0"/>
          <w:marRight w:val="0"/>
          <w:marTop w:val="0"/>
          <w:marBottom w:val="0"/>
          <w:divBdr>
            <w:top w:val="none" w:sz="0" w:space="0" w:color="auto"/>
            <w:left w:val="none" w:sz="0" w:space="0" w:color="auto"/>
            <w:bottom w:val="none" w:sz="0" w:space="0" w:color="auto"/>
            <w:right w:val="none" w:sz="0" w:space="0" w:color="auto"/>
          </w:divBdr>
          <w:divsChild>
            <w:div w:id="229317431">
              <w:marLeft w:val="0"/>
              <w:marRight w:val="0"/>
              <w:marTop w:val="0"/>
              <w:marBottom w:val="0"/>
              <w:divBdr>
                <w:top w:val="none" w:sz="0" w:space="0" w:color="auto"/>
                <w:left w:val="none" w:sz="0" w:space="0" w:color="auto"/>
                <w:bottom w:val="none" w:sz="0" w:space="0" w:color="auto"/>
                <w:right w:val="none" w:sz="0" w:space="0" w:color="auto"/>
              </w:divBdr>
            </w:div>
            <w:div w:id="1479422600">
              <w:marLeft w:val="0"/>
              <w:marRight w:val="0"/>
              <w:marTop w:val="0"/>
              <w:marBottom w:val="0"/>
              <w:divBdr>
                <w:top w:val="none" w:sz="0" w:space="0" w:color="auto"/>
                <w:left w:val="none" w:sz="0" w:space="0" w:color="auto"/>
                <w:bottom w:val="none" w:sz="0" w:space="0" w:color="auto"/>
                <w:right w:val="none" w:sz="0" w:space="0" w:color="auto"/>
              </w:divBdr>
              <w:divsChild>
                <w:div w:id="1126855837">
                  <w:marLeft w:val="0"/>
                  <w:marRight w:val="0"/>
                  <w:marTop w:val="0"/>
                  <w:marBottom w:val="0"/>
                  <w:divBdr>
                    <w:top w:val="none" w:sz="0" w:space="0" w:color="auto"/>
                    <w:left w:val="none" w:sz="0" w:space="0" w:color="auto"/>
                    <w:bottom w:val="none" w:sz="0" w:space="0" w:color="auto"/>
                    <w:right w:val="none" w:sz="0" w:space="0" w:color="auto"/>
                  </w:divBdr>
                  <w:divsChild>
                    <w:div w:id="648024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648751">
          <w:marLeft w:val="0"/>
          <w:marRight w:val="0"/>
          <w:marTop w:val="0"/>
          <w:marBottom w:val="0"/>
          <w:divBdr>
            <w:top w:val="none" w:sz="0" w:space="0" w:color="auto"/>
            <w:left w:val="none" w:sz="0" w:space="0" w:color="auto"/>
            <w:bottom w:val="none" w:sz="0" w:space="0" w:color="auto"/>
            <w:right w:val="none" w:sz="0" w:space="0" w:color="auto"/>
          </w:divBdr>
          <w:divsChild>
            <w:div w:id="1851488665">
              <w:marLeft w:val="0"/>
              <w:marRight w:val="0"/>
              <w:marTop w:val="0"/>
              <w:marBottom w:val="0"/>
              <w:divBdr>
                <w:top w:val="none" w:sz="0" w:space="0" w:color="auto"/>
                <w:left w:val="none" w:sz="0" w:space="0" w:color="auto"/>
                <w:bottom w:val="none" w:sz="0" w:space="0" w:color="auto"/>
                <w:right w:val="none" w:sz="0" w:space="0" w:color="auto"/>
              </w:divBdr>
            </w:div>
            <w:div w:id="1930845445">
              <w:marLeft w:val="0"/>
              <w:marRight w:val="0"/>
              <w:marTop w:val="0"/>
              <w:marBottom w:val="0"/>
              <w:divBdr>
                <w:top w:val="none" w:sz="0" w:space="0" w:color="auto"/>
                <w:left w:val="none" w:sz="0" w:space="0" w:color="auto"/>
                <w:bottom w:val="none" w:sz="0" w:space="0" w:color="auto"/>
                <w:right w:val="none" w:sz="0" w:space="0" w:color="auto"/>
              </w:divBdr>
              <w:divsChild>
                <w:div w:id="924194921">
                  <w:marLeft w:val="0"/>
                  <w:marRight w:val="0"/>
                  <w:marTop w:val="0"/>
                  <w:marBottom w:val="0"/>
                  <w:divBdr>
                    <w:top w:val="none" w:sz="0" w:space="0" w:color="auto"/>
                    <w:left w:val="none" w:sz="0" w:space="0" w:color="auto"/>
                    <w:bottom w:val="none" w:sz="0" w:space="0" w:color="auto"/>
                    <w:right w:val="none" w:sz="0" w:space="0" w:color="auto"/>
                  </w:divBdr>
                  <w:divsChild>
                    <w:div w:id="58090888">
                      <w:marLeft w:val="0"/>
                      <w:marRight w:val="0"/>
                      <w:marTop w:val="0"/>
                      <w:marBottom w:val="0"/>
                      <w:divBdr>
                        <w:top w:val="none" w:sz="0" w:space="0" w:color="auto"/>
                        <w:left w:val="none" w:sz="0" w:space="0" w:color="auto"/>
                        <w:bottom w:val="none" w:sz="0" w:space="0" w:color="auto"/>
                        <w:right w:val="none" w:sz="0" w:space="0" w:color="auto"/>
                      </w:divBdr>
                    </w:div>
                    <w:div w:id="1607077850">
                      <w:marLeft w:val="0"/>
                      <w:marRight w:val="0"/>
                      <w:marTop w:val="0"/>
                      <w:marBottom w:val="0"/>
                      <w:divBdr>
                        <w:top w:val="none" w:sz="0" w:space="0" w:color="auto"/>
                        <w:left w:val="none" w:sz="0" w:space="0" w:color="auto"/>
                        <w:bottom w:val="none" w:sz="0" w:space="0" w:color="auto"/>
                        <w:right w:val="none" w:sz="0" w:space="0" w:color="auto"/>
                      </w:divBdr>
                      <w:divsChild>
                        <w:div w:id="90453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4525744">
      <w:bodyDiv w:val="1"/>
      <w:marLeft w:val="0"/>
      <w:marRight w:val="0"/>
      <w:marTop w:val="0"/>
      <w:marBottom w:val="0"/>
      <w:divBdr>
        <w:top w:val="none" w:sz="0" w:space="0" w:color="auto"/>
        <w:left w:val="none" w:sz="0" w:space="0" w:color="auto"/>
        <w:bottom w:val="none" w:sz="0" w:space="0" w:color="auto"/>
        <w:right w:val="none" w:sz="0" w:space="0" w:color="auto"/>
      </w:divBdr>
    </w:div>
    <w:div w:id="756633193">
      <w:bodyDiv w:val="1"/>
      <w:marLeft w:val="0"/>
      <w:marRight w:val="0"/>
      <w:marTop w:val="0"/>
      <w:marBottom w:val="0"/>
      <w:divBdr>
        <w:top w:val="none" w:sz="0" w:space="0" w:color="auto"/>
        <w:left w:val="none" w:sz="0" w:space="0" w:color="auto"/>
        <w:bottom w:val="none" w:sz="0" w:space="0" w:color="auto"/>
        <w:right w:val="none" w:sz="0" w:space="0" w:color="auto"/>
      </w:divBdr>
      <w:divsChild>
        <w:div w:id="471488478">
          <w:marLeft w:val="0"/>
          <w:marRight w:val="0"/>
          <w:marTop w:val="240"/>
          <w:marBottom w:val="0"/>
          <w:divBdr>
            <w:top w:val="none" w:sz="0" w:space="0" w:color="auto"/>
            <w:left w:val="none" w:sz="0" w:space="0" w:color="auto"/>
            <w:bottom w:val="none" w:sz="0" w:space="0" w:color="auto"/>
            <w:right w:val="none" w:sz="0" w:space="0" w:color="auto"/>
          </w:divBdr>
          <w:divsChild>
            <w:div w:id="241381640">
              <w:marLeft w:val="0"/>
              <w:marRight w:val="0"/>
              <w:marTop w:val="0"/>
              <w:marBottom w:val="0"/>
              <w:divBdr>
                <w:top w:val="none" w:sz="0" w:space="0" w:color="auto"/>
                <w:left w:val="none" w:sz="0" w:space="0" w:color="auto"/>
                <w:bottom w:val="none" w:sz="0" w:space="0" w:color="auto"/>
                <w:right w:val="none" w:sz="0" w:space="0" w:color="auto"/>
              </w:divBdr>
            </w:div>
          </w:divsChild>
        </w:div>
        <w:div w:id="1910572804">
          <w:marLeft w:val="0"/>
          <w:marRight w:val="0"/>
          <w:marTop w:val="240"/>
          <w:marBottom w:val="0"/>
          <w:divBdr>
            <w:top w:val="none" w:sz="0" w:space="0" w:color="auto"/>
            <w:left w:val="none" w:sz="0" w:space="0" w:color="auto"/>
            <w:bottom w:val="none" w:sz="0" w:space="0" w:color="auto"/>
            <w:right w:val="none" w:sz="0" w:space="0" w:color="auto"/>
          </w:divBdr>
          <w:divsChild>
            <w:div w:id="19739510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817112726">
      <w:bodyDiv w:val="1"/>
      <w:marLeft w:val="0"/>
      <w:marRight w:val="0"/>
      <w:marTop w:val="0"/>
      <w:marBottom w:val="0"/>
      <w:divBdr>
        <w:top w:val="none" w:sz="0" w:space="0" w:color="auto"/>
        <w:left w:val="none" w:sz="0" w:space="0" w:color="auto"/>
        <w:bottom w:val="none" w:sz="0" w:space="0" w:color="auto"/>
        <w:right w:val="none" w:sz="0" w:space="0" w:color="auto"/>
      </w:divBdr>
    </w:div>
    <w:div w:id="830832523">
      <w:bodyDiv w:val="1"/>
      <w:marLeft w:val="0"/>
      <w:marRight w:val="0"/>
      <w:marTop w:val="0"/>
      <w:marBottom w:val="0"/>
      <w:divBdr>
        <w:top w:val="none" w:sz="0" w:space="0" w:color="auto"/>
        <w:left w:val="none" w:sz="0" w:space="0" w:color="auto"/>
        <w:bottom w:val="none" w:sz="0" w:space="0" w:color="auto"/>
        <w:right w:val="none" w:sz="0" w:space="0" w:color="auto"/>
      </w:divBdr>
    </w:div>
    <w:div w:id="930089476">
      <w:bodyDiv w:val="1"/>
      <w:marLeft w:val="0"/>
      <w:marRight w:val="0"/>
      <w:marTop w:val="0"/>
      <w:marBottom w:val="0"/>
      <w:divBdr>
        <w:top w:val="none" w:sz="0" w:space="0" w:color="auto"/>
        <w:left w:val="none" w:sz="0" w:space="0" w:color="auto"/>
        <w:bottom w:val="none" w:sz="0" w:space="0" w:color="auto"/>
        <w:right w:val="none" w:sz="0" w:space="0" w:color="auto"/>
      </w:divBdr>
    </w:div>
    <w:div w:id="942030172">
      <w:bodyDiv w:val="1"/>
      <w:marLeft w:val="0"/>
      <w:marRight w:val="0"/>
      <w:marTop w:val="0"/>
      <w:marBottom w:val="0"/>
      <w:divBdr>
        <w:top w:val="none" w:sz="0" w:space="0" w:color="auto"/>
        <w:left w:val="none" w:sz="0" w:space="0" w:color="auto"/>
        <w:bottom w:val="none" w:sz="0" w:space="0" w:color="auto"/>
        <w:right w:val="none" w:sz="0" w:space="0" w:color="auto"/>
      </w:divBdr>
    </w:div>
    <w:div w:id="960846938">
      <w:bodyDiv w:val="1"/>
      <w:marLeft w:val="0"/>
      <w:marRight w:val="0"/>
      <w:marTop w:val="0"/>
      <w:marBottom w:val="0"/>
      <w:divBdr>
        <w:top w:val="none" w:sz="0" w:space="0" w:color="auto"/>
        <w:left w:val="none" w:sz="0" w:space="0" w:color="auto"/>
        <w:bottom w:val="none" w:sz="0" w:space="0" w:color="auto"/>
        <w:right w:val="none" w:sz="0" w:space="0" w:color="auto"/>
      </w:divBdr>
      <w:divsChild>
        <w:div w:id="380907309">
          <w:marLeft w:val="0"/>
          <w:marRight w:val="0"/>
          <w:marTop w:val="0"/>
          <w:marBottom w:val="0"/>
          <w:divBdr>
            <w:top w:val="none" w:sz="0" w:space="0" w:color="auto"/>
            <w:left w:val="none" w:sz="0" w:space="0" w:color="auto"/>
            <w:bottom w:val="none" w:sz="0" w:space="0" w:color="auto"/>
            <w:right w:val="none" w:sz="0" w:space="0" w:color="auto"/>
          </w:divBdr>
          <w:divsChild>
            <w:div w:id="1849635347">
              <w:marLeft w:val="0"/>
              <w:marRight w:val="0"/>
              <w:marTop w:val="0"/>
              <w:marBottom w:val="0"/>
              <w:divBdr>
                <w:top w:val="none" w:sz="0" w:space="0" w:color="auto"/>
                <w:left w:val="none" w:sz="0" w:space="0" w:color="auto"/>
                <w:bottom w:val="none" w:sz="0" w:space="0" w:color="auto"/>
                <w:right w:val="none" w:sz="0" w:space="0" w:color="auto"/>
              </w:divBdr>
            </w:div>
          </w:divsChild>
        </w:div>
        <w:div w:id="1943368470">
          <w:marLeft w:val="0"/>
          <w:marRight w:val="0"/>
          <w:marTop w:val="0"/>
          <w:marBottom w:val="0"/>
          <w:divBdr>
            <w:top w:val="none" w:sz="0" w:space="0" w:color="auto"/>
            <w:left w:val="none" w:sz="0" w:space="0" w:color="auto"/>
            <w:bottom w:val="none" w:sz="0" w:space="0" w:color="auto"/>
            <w:right w:val="none" w:sz="0" w:space="0" w:color="auto"/>
          </w:divBdr>
          <w:divsChild>
            <w:div w:id="15079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067551">
      <w:bodyDiv w:val="1"/>
      <w:marLeft w:val="0"/>
      <w:marRight w:val="0"/>
      <w:marTop w:val="0"/>
      <w:marBottom w:val="0"/>
      <w:divBdr>
        <w:top w:val="none" w:sz="0" w:space="0" w:color="auto"/>
        <w:left w:val="none" w:sz="0" w:space="0" w:color="auto"/>
        <w:bottom w:val="none" w:sz="0" w:space="0" w:color="auto"/>
        <w:right w:val="none" w:sz="0" w:space="0" w:color="auto"/>
      </w:divBdr>
      <w:divsChild>
        <w:div w:id="1103451507">
          <w:marLeft w:val="0"/>
          <w:marRight w:val="0"/>
          <w:marTop w:val="0"/>
          <w:marBottom w:val="0"/>
          <w:divBdr>
            <w:top w:val="none" w:sz="0" w:space="0" w:color="auto"/>
            <w:left w:val="none" w:sz="0" w:space="0" w:color="auto"/>
            <w:bottom w:val="none" w:sz="0" w:space="0" w:color="auto"/>
            <w:right w:val="none" w:sz="0" w:space="0" w:color="auto"/>
          </w:divBdr>
          <w:divsChild>
            <w:div w:id="2068919438">
              <w:marLeft w:val="0"/>
              <w:marRight w:val="0"/>
              <w:marTop w:val="0"/>
              <w:marBottom w:val="0"/>
              <w:divBdr>
                <w:top w:val="none" w:sz="0" w:space="0" w:color="auto"/>
                <w:left w:val="none" w:sz="0" w:space="0" w:color="auto"/>
                <w:bottom w:val="none" w:sz="0" w:space="0" w:color="auto"/>
                <w:right w:val="none" w:sz="0" w:space="0" w:color="auto"/>
              </w:divBdr>
            </w:div>
          </w:divsChild>
        </w:div>
        <w:div w:id="1904561304">
          <w:marLeft w:val="0"/>
          <w:marRight w:val="0"/>
          <w:marTop w:val="0"/>
          <w:marBottom w:val="0"/>
          <w:divBdr>
            <w:top w:val="none" w:sz="0" w:space="0" w:color="auto"/>
            <w:left w:val="none" w:sz="0" w:space="0" w:color="auto"/>
            <w:bottom w:val="none" w:sz="0" w:space="0" w:color="auto"/>
            <w:right w:val="none" w:sz="0" w:space="0" w:color="auto"/>
          </w:divBdr>
          <w:divsChild>
            <w:div w:id="1342512827">
              <w:marLeft w:val="0"/>
              <w:marRight w:val="0"/>
              <w:marTop w:val="0"/>
              <w:marBottom w:val="0"/>
              <w:divBdr>
                <w:top w:val="none" w:sz="0" w:space="0" w:color="auto"/>
                <w:left w:val="none" w:sz="0" w:space="0" w:color="auto"/>
                <w:bottom w:val="none" w:sz="0" w:space="0" w:color="auto"/>
                <w:right w:val="none" w:sz="0" w:space="0" w:color="auto"/>
              </w:divBdr>
            </w:div>
          </w:divsChild>
        </w:div>
        <w:div w:id="1307003709">
          <w:marLeft w:val="0"/>
          <w:marRight w:val="0"/>
          <w:marTop w:val="0"/>
          <w:marBottom w:val="0"/>
          <w:divBdr>
            <w:top w:val="none" w:sz="0" w:space="0" w:color="auto"/>
            <w:left w:val="none" w:sz="0" w:space="0" w:color="auto"/>
            <w:bottom w:val="none" w:sz="0" w:space="0" w:color="auto"/>
            <w:right w:val="none" w:sz="0" w:space="0" w:color="auto"/>
          </w:divBdr>
          <w:divsChild>
            <w:div w:id="303900406">
              <w:marLeft w:val="0"/>
              <w:marRight w:val="0"/>
              <w:marTop w:val="0"/>
              <w:marBottom w:val="0"/>
              <w:divBdr>
                <w:top w:val="none" w:sz="0" w:space="0" w:color="auto"/>
                <w:left w:val="none" w:sz="0" w:space="0" w:color="auto"/>
                <w:bottom w:val="none" w:sz="0" w:space="0" w:color="auto"/>
                <w:right w:val="none" w:sz="0" w:space="0" w:color="auto"/>
              </w:divBdr>
            </w:div>
          </w:divsChild>
        </w:div>
        <w:div w:id="251741431">
          <w:marLeft w:val="0"/>
          <w:marRight w:val="0"/>
          <w:marTop w:val="0"/>
          <w:marBottom w:val="0"/>
          <w:divBdr>
            <w:top w:val="none" w:sz="0" w:space="0" w:color="auto"/>
            <w:left w:val="none" w:sz="0" w:space="0" w:color="auto"/>
            <w:bottom w:val="none" w:sz="0" w:space="0" w:color="auto"/>
            <w:right w:val="none" w:sz="0" w:space="0" w:color="auto"/>
          </w:divBdr>
          <w:divsChild>
            <w:div w:id="1936552331">
              <w:marLeft w:val="0"/>
              <w:marRight w:val="0"/>
              <w:marTop w:val="0"/>
              <w:marBottom w:val="0"/>
              <w:divBdr>
                <w:top w:val="none" w:sz="0" w:space="0" w:color="auto"/>
                <w:left w:val="none" w:sz="0" w:space="0" w:color="auto"/>
                <w:bottom w:val="none" w:sz="0" w:space="0" w:color="auto"/>
                <w:right w:val="none" w:sz="0" w:space="0" w:color="auto"/>
              </w:divBdr>
            </w:div>
          </w:divsChild>
        </w:div>
        <w:div w:id="1988590691">
          <w:marLeft w:val="0"/>
          <w:marRight w:val="0"/>
          <w:marTop w:val="0"/>
          <w:marBottom w:val="0"/>
          <w:divBdr>
            <w:top w:val="none" w:sz="0" w:space="0" w:color="auto"/>
            <w:left w:val="none" w:sz="0" w:space="0" w:color="auto"/>
            <w:bottom w:val="none" w:sz="0" w:space="0" w:color="auto"/>
            <w:right w:val="none" w:sz="0" w:space="0" w:color="auto"/>
          </w:divBdr>
          <w:divsChild>
            <w:div w:id="1414937564">
              <w:marLeft w:val="0"/>
              <w:marRight w:val="0"/>
              <w:marTop w:val="0"/>
              <w:marBottom w:val="0"/>
              <w:divBdr>
                <w:top w:val="none" w:sz="0" w:space="0" w:color="auto"/>
                <w:left w:val="none" w:sz="0" w:space="0" w:color="auto"/>
                <w:bottom w:val="none" w:sz="0" w:space="0" w:color="auto"/>
                <w:right w:val="none" w:sz="0" w:space="0" w:color="auto"/>
              </w:divBdr>
            </w:div>
          </w:divsChild>
        </w:div>
        <w:div w:id="421025513">
          <w:marLeft w:val="0"/>
          <w:marRight w:val="0"/>
          <w:marTop w:val="0"/>
          <w:marBottom w:val="0"/>
          <w:divBdr>
            <w:top w:val="none" w:sz="0" w:space="0" w:color="auto"/>
            <w:left w:val="none" w:sz="0" w:space="0" w:color="auto"/>
            <w:bottom w:val="none" w:sz="0" w:space="0" w:color="auto"/>
            <w:right w:val="none" w:sz="0" w:space="0" w:color="auto"/>
          </w:divBdr>
          <w:divsChild>
            <w:div w:id="530145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778084">
      <w:bodyDiv w:val="1"/>
      <w:marLeft w:val="0"/>
      <w:marRight w:val="0"/>
      <w:marTop w:val="0"/>
      <w:marBottom w:val="0"/>
      <w:divBdr>
        <w:top w:val="none" w:sz="0" w:space="0" w:color="auto"/>
        <w:left w:val="none" w:sz="0" w:space="0" w:color="auto"/>
        <w:bottom w:val="none" w:sz="0" w:space="0" w:color="auto"/>
        <w:right w:val="none" w:sz="0" w:space="0" w:color="auto"/>
      </w:divBdr>
      <w:divsChild>
        <w:div w:id="950353949">
          <w:marLeft w:val="0"/>
          <w:marRight w:val="0"/>
          <w:marTop w:val="0"/>
          <w:marBottom w:val="0"/>
          <w:divBdr>
            <w:top w:val="none" w:sz="0" w:space="0" w:color="auto"/>
            <w:left w:val="none" w:sz="0" w:space="0" w:color="auto"/>
            <w:bottom w:val="none" w:sz="0" w:space="0" w:color="auto"/>
            <w:right w:val="none" w:sz="0" w:space="0" w:color="auto"/>
          </w:divBdr>
          <w:divsChild>
            <w:div w:id="585767122">
              <w:marLeft w:val="0"/>
              <w:marRight w:val="0"/>
              <w:marTop w:val="0"/>
              <w:marBottom w:val="0"/>
              <w:divBdr>
                <w:top w:val="none" w:sz="0" w:space="0" w:color="auto"/>
                <w:left w:val="none" w:sz="0" w:space="0" w:color="auto"/>
                <w:bottom w:val="none" w:sz="0" w:space="0" w:color="auto"/>
                <w:right w:val="none" w:sz="0" w:space="0" w:color="auto"/>
              </w:divBdr>
            </w:div>
          </w:divsChild>
        </w:div>
        <w:div w:id="812795697">
          <w:marLeft w:val="0"/>
          <w:marRight w:val="0"/>
          <w:marTop w:val="0"/>
          <w:marBottom w:val="0"/>
          <w:divBdr>
            <w:top w:val="none" w:sz="0" w:space="0" w:color="auto"/>
            <w:left w:val="none" w:sz="0" w:space="0" w:color="auto"/>
            <w:bottom w:val="none" w:sz="0" w:space="0" w:color="auto"/>
            <w:right w:val="none" w:sz="0" w:space="0" w:color="auto"/>
          </w:divBdr>
          <w:divsChild>
            <w:div w:id="859777829">
              <w:marLeft w:val="0"/>
              <w:marRight w:val="0"/>
              <w:marTop w:val="0"/>
              <w:marBottom w:val="0"/>
              <w:divBdr>
                <w:top w:val="none" w:sz="0" w:space="0" w:color="auto"/>
                <w:left w:val="none" w:sz="0" w:space="0" w:color="auto"/>
                <w:bottom w:val="none" w:sz="0" w:space="0" w:color="auto"/>
                <w:right w:val="none" w:sz="0" w:space="0" w:color="auto"/>
              </w:divBdr>
            </w:div>
            <w:div w:id="750735907">
              <w:marLeft w:val="0"/>
              <w:marRight w:val="0"/>
              <w:marTop w:val="0"/>
              <w:marBottom w:val="0"/>
              <w:divBdr>
                <w:top w:val="none" w:sz="0" w:space="0" w:color="auto"/>
                <w:left w:val="none" w:sz="0" w:space="0" w:color="auto"/>
                <w:bottom w:val="none" w:sz="0" w:space="0" w:color="auto"/>
                <w:right w:val="none" w:sz="0" w:space="0" w:color="auto"/>
              </w:divBdr>
              <w:divsChild>
                <w:div w:id="12047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7042">
      <w:bodyDiv w:val="1"/>
      <w:marLeft w:val="0"/>
      <w:marRight w:val="0"/>
      <w:marTop w:val="0"/>
      <w:marBottom w:val="0"/>
      <w:divBdr>
        <w:top w:val="none" w:sz="0" w:space="0" w:color="auto"/>
        <w:left w:val="none" w:sz="0" w:space="0" w:color="auto"/>
        <w:bottom w:val="none" w:sz="0" w:space="0" w:color="auto"/>
        <w:right w:val="none" w:sz="0" w:space="0" w:color="auto"/>
      </w:divBdr>
    </w:div>
    <w:div w:id="1007370145">
      <w:bodyDiv w:val="1"/>
      <w:marLeft w:val="0"/>
      <w:marRight w:val="0"/>
      <w:marTop w:val="0"/>
      <w:marBottom w:val="0"/>
      <w:divBdr>
        <w:top w:val="none" w:sz="0" w:space="0" w:color="auto"/>
        <w:left w:val="none" w:sz="0" w:space="0" w:color="auto"/>
        <w:bottom w:val="none" w:sz="0" w:space="0" w:color="auto"/>
        <w:right w:val="none" w:sz="0" w:space="0" w:color="auto"/>
      </w:divBdr>
    </w:div>
    <w:div w:id="1069771275">
      <w:bodyDiv w:val="1"/>
      <w:marLeft w:val="0"/>
      <w:marRight w:val="0"/>
      <w:marTop w:val="0"/>
      <w:marBottom w:val="0"/>
      <w:divBdr>
        <w:top w:val="none" w:sz="0" w:space="0" w:color="auto"/>
        <w:left w:val="none" w:sz="0" w:space="0" w:color="auto"/>
        <w:bottom w:val="none" w:sz="0" w:space="0" w:color="auto"/>
        <w:right w:val="none" w:sz="0" w:space="0" w:color="auto"/>
      </w:divBdr>
      <w:divsChild>
        <w:div w:id="55668967">
          <w:marLeft w:val="0"/>
          <w:marRight w:val="0"/>
          <w:marTop w:val="0"/>
          <w:marBottom w:val="0"/>
          <w:divBdr>
            <w:top w:val="none" w:sz="0" w:space="0" w:color="auto"/>
            <w:left w:val="none" w:sz="0" w:space="0" w:color="auto"/>
            <w:bottom w:val="none" w:sz="0" w:space="0" w:color="auto"/>
            <w:right w:val="none" w:sz="0" w:space="0" w:color="auto"/>
          </w:divBdr>
          <w:divsChild>
            <w:div w:id="810562664">
              <w:marLeft w:val="0"/>
              <w:marRight w:val="0"/>
              <w:marTop w:val="0"/>
              <w:marBottom w:val="0"/>
              <w:divBdr>
                <w:top w:val="none" w:sz="0" w:space="0" w:color="auto"/>
                <w:left w:val="none" w:sz="0" w:space="0" w:color="auto"/>
                <w:bottom w:val="none" w:sz="0" w:space="0" w:color="auto"/>
                <w:right w:val="none" w:sz="0" w:space="0" w:color="auto"/>
              </w:divBdr>
            </w:div>
          </w:divsChild>
        </w:div>
        <w:div w:id="273100729">
          <w:marLeft w:val="0"/>
          <w:marRight w:val="0"/>
          <w:marTop w:val="0"/>
          <w:marBottom w:val="0"/>
          <w:divBdr>
            <w:top w:val="none" w:sz="0" w:space="0" w:color="auto"/>
            <w:left w:val="none" w:sz="0" w:space="0" w:color="auto"/>
            <w:bottom w:val="none" w:sz="0" w:space="0" w:color="auto"/>
            <w:right w:val="none" w:sz="0" w:space="0" w:color="auto"/>
          </w:divBdr>
          <w:divsChild>
            <w:div w:id="1916739690">
              <w:marLeft w:val="0"/>
              <w:marRight w:val="0"/>
              <w:marTop w:val="0"/>
              <w:marBottom w:val="0"/>
              <w:divBdr>
                <w:top w:val="none" w:sz="0" w:space="0" w:color="auto"/>
                <w:left w:val="none" w:sz="0" w:space="0" w:color="auto"/>
                <w:bottom w:val="none" w:sz="0" w:space="0" w:color="auto"/>
                <w:right w:val="none" w:sz="0" w:space="0" w:color="auto"/>
              </w:divBdr>
            </w:div>
            <w:div w:id="2139713100">
              <w:marLeft w:val="0"/>
              <w:marRight w:val="0"/>
              <w:marTop w:val="0"/>
              <w:marBottom w:val="0"/>
              <w:divBdr>
                <w:top w:val="none" w:sz="0" w:space="0" w:color="auto"/>
                <w:left w:val="none" w:sz="0" w:space="0" w:color="auto"/>
                <w:bottom w:val="none" w:sz="0" w:space="0" w:color="auto"/>
                <w:right w:val="none" w:sz="0" w:space="0" w:color="auto"/>
              </w:divBdr>
              <w:divsChild>
                <w:div w:id="36899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674776">
          <w:marLeft w:val="0"/>
          <w:marRight w:val="0"/>
          <w:marTop w:val="0"/>
          <w:marBottom w:val="0"/>
          <w:divBdr>
            <w:top w:val="none" w:sz="0" w:space="0" w:color="auto"/>
            <w:left w:val="none" w:sz="0" w:space="0" w:color="auto"/>
            <w:bottom w:val="none" w:sz="0" w:space="0" w:color="auto"/>
            <w:right w:val="none" w:sz="0" w:space="0" w:color="auto"/>
          </w:divBdr>
          <w:divsChild>
            <w:div w:id="179478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877951">
      <w:bodyDiv w:val="1"/>
      <w:marLeft w:val="0"/>
      <w:marRight w:val="0"/>
      <w:marTop w:val="0"/>
      <w:marBottom w:val="0"/>
      <w:divBdr>
        <w:top w:val="none" w:sz="0" w:space="0" w:color="auto"/>
        <w:left w:val="none" w:sz="0" w:space="0" w:color="auto"/>
        <w:bottom w:val="none" w:sz="0" w:space="0" w:color="auto"/>
        <w:right w:val="none" w:sz="0" w:space="0" w:color="auto"/>
      </w:divBdr>
    </w:div>
    <w:div w:id="1118644037">
      <w:bodyDiv w:val="1"/>
      <w:marLeft w:val="0"/>
      <w:marRight w:val="0"/>
      <w:marTop w:val="0"/>
      <w:marBottom w:val="0"/>
      <w:divBdr>
        <w:top w:val="none" w:sz="0" w:space="0" w:color="auto"/>
        <w:left w:val="none" w:sz="0" w:space="0" w:color="auto"/>
        <w:bottom w:val="none" w:sz="0" w:space="0" w:color="auto"/>
        <w:right w:val="none" w:sz="0" w:space="0" w:color="auto"/>
      </w:divBdr>
    </w:div>
    <w:div w:id="1130321513">
      <w:bodyDiv w:val="1"/>
      <w:marLeft w:val="0"/>
      <w:marRight w:val="0"/>
      <w:marTop w:val="0"/>
      <w:marBottom w:val="0"/>
      <w:divBdr>
        <w:top w:val="none" w:sz="0" w:space="0" w:color="auto"/>
        <w:left w:val="none" w:sz="0" w:space="0" w:color="auto"/>
        <w:bottom w:val="none" w:sz="0" w:space="0" w:color="auto"/>
        <w:right w:val="none" w:sz="0" w:space="0" w:color="auto"/>
      </w:divBdr>
      <w:divsChild>
        <w:div w:id="768424777">
          <w:marLeft w:val="0"/>
          <w:marRight w:val="0"/>
          <w:marTop w:val="0"/>
          <w:marBottom w:val="0"/>
          <w:divBdr>
            <w:top w:val="none" w:sz="0" w:space="0" w:color="auto"/>
            <w:left w:val="none" w:sz="0" w:space="0" w:color="auto"/>
            <w:bottom w:val="none" w:sz="0" w:space="0" w:color="auto"/>
            <w:right w:val="none" w:sz="0" w:space="0" w:color="auto"/>
          </w:divBdr>
          <w:divsChild>
            <w:div w:id="223684095">
              <w:marLeft w:val="0"/>
              <w:marRight w:val="0"/>
              <w:marTop w:val="0"/>
              <w:marBottom w:val="0"/>
              <w:divBdr>
                <w:top w:val="none" w:sz="0" w:space="0" w:color="auto"/>
                <w:left w:val="none" w:sz="0" w:space="0" w:color="auto"/>
                <w:bottom w:val="none" w:sz="0" w:space="0" w:color="auto"/>
                <w:right w:val="none" w:sz="0" w:space="0" w:color="auto"/>
              </w:divBdr>
            </w:div>
          </w:divsChild>
        </w:div>
        <w:div w:id="1882862374">
          <w:marLeft w:val="0"/>
          <w:marRight w:val="0"/>
          <w:marTop w:val="0"/>
          <w:marBottom w:val="0"/>
          <w:divBdr>
            <w:top w:val="none" w:sz="0" w:space="0" w:color="auto"/>
            <w:left w:val="none" w:sz="0" w:space="0" w:color="auto"/>
            <w:bottom w:val="none" w:sz="0" w:space="0" w:color="auto"/>
            <w:right w:val="none" w:sz="0" w:space="0" w:color="auto"/>
          </w:divBdr>
          <w:divsChild>
            <w:div w:id="2117870434">
              <w:marLeft w:val="0"/>
              <w:marRight w:val="0"/>
              <w:marTop w:val="0"/>
              <w:marBottom w:val="0"/>
              <w:divBdr>
                <w:top w:val="none" w:sz="0" w:space="0" w:color="auto"/>
                <w:left w:val="none" w:sz="0" w:space="0" w:color="auto"/>
                <w:bottom w:val="none" w:sz="0" w:space="0" w:color="auto"/>
                <w:right w:val="none" w:sz="0" w:space="0" w:color="auto"/>
              </w:divBdr>
            </w:div>
          </w:divsChild>
        </w:div>
        <w:div w:id="148710554">
          <w:marLeft w:val="0"/>
          <w:marRight w:val="0"/>
          <w:marTop w:val="0"/>
          <w:marBottom w:val="0"/>
          <w:divBdr>
            <w:top w:val="none" w:sz="0" w:space="0" w:color="auto"/>
            <w:left w:val="none" w:sz="0" w:space="0" w:color="auto"/>
            <w:bottom w:val="none" w:sz="0" w:space="0" w:color="auto"/>
            <w:right w:val="none" w:sz="0" w:space="0" w:color="auto"/>
          </w:divBdr>
          <w:divsChild>
            <w:div w:id="160133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525236">
      <w:bodyDiv w:val="1"/>
      <w:marLeft w:val="0"/>
      <w:marRight w:val="0"/>
      <w:marTop w:val="0"/>
      <w:marBottom w:val="0"/>
      <w:divBdr>
        <w:top w:val="none" w:sz="0" w:space="0" w:color="auto"/>
        <w:left w:val="none" w:sz="0" w:space="0" w:color="auto"/>
        <w:bottom w:val="none" w:sz="0" w:space="0" w:color="auto"/>
        <w:right w:val="none" w:sz="0" w:space="0" w:color="auto"/>
      </w:divBdr>
      <w:divsChild>
        <w:div w:id="1636523966">
          <w:marLeft w:val="0"/>
          <w:marRight w:val="0"/>
          <w:marTop w:val="0"/>
          <w:marBottom w:val="0"/>
          <w:divBdr>
            <w:top w:val="none" w:sz="0" w:space="0" w:color="auto"/>
            <w:left w:val="none" w:sz="0" w:space="0" w:color="auto"/>
            <w:bottom w:val="none" w:sz="0" w:space="0" w:color="auto"/>
            <w:right w:val="none" w:sz="0" w:space="0" w:color="auto"/>
          </w:divBdr>
          <w:divsChild>
            <w:div w:id="1099373886">
              <w:marLeft w:val="0"/>
              <w:marRight w:val="0"/>
              <w:marTop w:val="0"/>
              <w:marBottom w:val="0"/>
              <w:divBdr>
                <w:top w:val="none" w:sz="0" w:space="0" w:color="auto"/>
                <w:left w:val="none" w:sz="0" w:space="0" w:color="auto"/>
                <w:bottom w:val="none" w:sz="0" w:space="0" w:color="auto"/>
                <w:right w:val="none" w:sz="0" w:space="0" w:color="auto"/>
              </w:divBdr>
            </w:div>
          </w:divsChild>
        </w:div>
        <w:div w:id="720832662">
          <w:marLeft w:val="0"/>
          <w:marRight w:val="0"/>
          <w:marTop w:val="0"/>
          <w:marBottom w:val="0"/>
          <w:divBdr>
            <w:top w:val="none" w:sz="0" w:space="0" w:color="auto"/>
            <w:left w:val="none" w:sz="0" w:space="0" w:color="auto"/>
            <w:bottom w:val="none" w:sz="0" w:space="0" w:color="auto"/>
            <w:right w:val="none" w:sz="0" w:space="0" w:color="auto"/>
          </w:divBdr>
          <w:divsChild>
            <w:div w:id="374165067">
              <w:marLeft w:val="0"/>
              <w:marRight w:val="0"/>
              <w:marTop w:val="0"/>
              <w:marBottom w:val="0"/>
              <w:divBdr>
                <w:top w:val="none" w:sz="0" w:space="0" w:color="auto"/>
                <w:left w:val="none" w:sz="0" w:space="0" w:color="auto"/>
                <w:bottom w:val="none" w:sz="0" w:space="0" w:color="auto"/>
                <w:right w:val="none" w:sz="0" w:space="0" w:color="auto"/>
              </w:divBdr>
            </w:div>
          </w:divsChild>
        </w:div>
        <w:div w:id="1509446266">
          <w:marLeft w:val="0"/>
          <w:marRight w:val="0"/>
          <w:marTop w:val="0"/>
          <w:marBottom w:val="0"/>
          <w:divBdr>
            <w:top w:val="none" w:sz="0" w:space="0" w:color="auto"/>
            <w:left w:val="none" w:sz="0" w:space="0" w:color="auto"/>
            <w:bottom w:val="none" w:sz="0" w:space="0" w:color="auto"/>
            <w:right w:val="none" w:sz="0" w:space="0" w:color="auto"/>
          </w:divBdr>
          <w:divsChild>
            <w:div w:id="1685328726">
              <w:marLeft w:val="0"/>
              <w:marRight w:val="0"/>
              <w:marTop w:val="0"/>
              <w:marBottom w:val="0"/>
              <w:divBdr>
                <w:top w:val="none" w:sz="0" w:space="0" w:color="auto"/>
                <w:left w:val="none" w:sz="0" w:space="0" w:color="auto"/>
                <w:bottom w:val="none" w:sz="0" w:space="0" w:color="auto"/>
                <w:right w:val="none" w:sz="0" w:space="0" w:color="auto"/>
              </w:divBdr>
            </w:div>
          </w:divsChild>
        </w:div>
        <w:div w:id="1078215900">
          <w:marLeft w:val="0"/>
          <w:marRight w:val="0"/>
          <w:marTop w:val="0"/>
          <w:marBottom w:val="0"/>
          <w:divBdr>
            <w:top w:val="none" w:sz="0" w:space="0" w:color="auto"/>
            <w:left w:val="none" w:sz="0" w:space="0" w:color="auto"/>
            <w:bottom w:val="none" w:sz="0" w:space="0" w:color="auto"/>
            <w:right w:val="none" w:sz="0" w:space="0" w:color="auto"/>
          </w:divBdr>
          <w:divsChild>
            <w:div w:id="1075779077">
              <w:marLeft w:val="0"/>
              <w:marRight w:val="0"/>
              <w:marTop w:val="0"/>
              <w:marBottom w:val="0"/>
              <w:divBdr>
                <w:top w:val="none" w:sz="0" w:space="0" w:color="auto"/>
                <w:left w:val="none" w:sz="0" w:space="0" w:color="auto"/>
                <w:bottom w:val="none" w:sz="0" w:space="0" w:color="auto"/>
                <w:right w:val="none" w:sz="0" w:space="0" w:color="auto"/>
              </w:divBdr>
            </w:div>
          </w:divsChild>
        </w:div>
        <w:div w:id="326707967">
          <w:marLeft w:val="0"/>
          <w:marRight w:val="0"/>
          <w:marTop w:val="0"/>
          <w:marBottom w:val="0"/>
          <w:divBdr>
            <w:top w:val="none" w:sz="0" w:space="0" w:color="auto"/>
            <w:left w:val="none" w:sz="0" w:space="0" w:color="auto"/>
            <w:bottom w:val="none" w:sz="0" w:space="0" w:color="auto"/>
            <w:right w:val="none" w:sz="0" w:space="0" w:color="auto"/>
          </w:divBdr>
          <w:divsChild>
            <w:div w:id="941108141">
              <w:marLeft w:val="0"/>
              <w:marRight w:val="0"/>
              <w:marTop w:val="0"/>
              <w:marBottom w:val="0"/>
              <w:divBdr>
                <w:top w:val="none" w:sz="0" w:space="0" w:color="auto"/>
                <w:left w:val="none" w:sz="0" w:space="0" w:color="auto"/>
                <w:bottom w:val="none" w:sz="0" w:space="0" w:color="auto"/>
                <w:right w:val="none" w:sz="0" w:space="0" w:color="auto"/>
              </w:divBdr>
            </w:div>
          </w:divsChild>
        </w:div>
        <w:div w:id="1019431903">
          <w:marLeft w:val="0"/>
          <w:marRight w:val="0"/>
          <w:marTop w:val="0"/>
          <w:marBottom w:val="0"/>
          <w:divBdr>
            <w:top w:val="none" w:sz="0" w:space="0" w:color="auto"/>
            <w:left w:val="none" w:sz="0" w:space="0" w:color="auto"/>
            <w:bottom w:val="none" w:sz="0" w:space="0" w:color="auto"/>
            <w:right w:val="none" w:sz="0" w:space="0" w:color="auto"/>
          </w:divBdr>
          <w:divsChild>
            <w:div w:id="2106531630">
              <w:marLeft w:val="0"/>
              <w:marRight w:val="0"/>
              <w:marTop w:val="0"/>
              <w:marBottom w:val="0"/>
              <w:divBdr>
                <w:top w:val="none" w:sz="0" w:space="0" w:color="auto"/>
                <w:left w:val="none" w:sz="0" w:space="0" w:color="auto"/>
                <w:bottom w:val="none" w:sz="0" w:space="0" w:color="auto"/>
                <w:right w:val="none" w:sz="0" w:space="0" w:color="auto"/>
              </w:divBdr>
            </w:div>
          </w:divsChild>
        </w:div>
        <w:div w:id="871765469">
          <w:marLeft w:val="0"/>
          <w:marRight w:val="0"/>
          <w:marTop w:val="0"/>
          <w:marBottom w:val="0"/>
          <w:divBdr>
            <w:top w:val="none" w:sz="0" w:space="0" w:color="auto"/>
            <w:left w:val="none" w:sz="0" w:space="0" w:color="auto"/>
            <w:bottom w:val="none" w:sz="0" w:space="0" w:color="auto"/>
            <w:right w:val="none" w:sz="0" w:space="0" w:color="auto"/>
          </w:divBdr>
          <w:divsChild>
            <w:div w:id="1006128558">
              <w:marLeft w:val="0"/>
              <w:marRight w:val="0"/>
              <w:marTop w:val="0"/>
              <w:marBottom w:val="0"/>
              <w:divBdr>
                <w:top w:val="none" w:sz="0" w:space="0" w:color="auto"/>
                <w:left w:val="none" w:sz="0" w:space="0" w:color="auto"/>
                <w:bottom w:val="none" w:sz="0" w:space="0" w:color="auto"/>
                <w:right w:val="none" w:sz="0" w:space="0" w:color="auto"/>
              </w:divBdr>
            </w:div>
          </w:divsChild>
        </w:div>
        <w:div w:id="1887060678">
          <w:marLeft w:val="0"/>
          <w:marRight w:val="0"/>
          <w:marTop w:val="0"/>
          <w:marBottom w:val="0"/>
          <w:divBdr>
            <w:top w:val="none" w:sz="0" w:space="0" w:color="auto"/>
            <w:left w:val="none" w:sz="0" w:space="0" w:color="auto"/>
            <w:bottom w:val="none" w:sz="0" w:space="0" w:color="auto"/>
            <w:right w:val="none" w:sz="0" w:space="0" w:color="auto"/>
          </w:divBdr>
          <w:divsChild>
            <w:div w:id="144619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04693">
      <w:bodyDiv w:val="1"/>
      <w:marLeft w:val="0"/>
      <w:marRight w:val="0"/>
      <w:marTop w:val="0"/>
      <w:marBottom w:val="0"/>
      <w:divBdr>
        <w:top w:val="none" w:sz="0" w:space="0" w:color="auto"/>
        <w:left w:val="none" w:sz="0" w:space="0" w:color="auto"/>
        <w:bottom w:val="none" w:sz="0" w:space="0" w:color="auto"/>
        <w:right w:val="none" w:sz="0" w:space="0" w:color="auto"/>
      </w:divBdr>
      <w:divsChild>
        <w:div w:id="1020543339">
          <w:marLeft w:val="0"/>
          <w:marRight w:val="0"/>
          <w:marTop w:val="0"/>
          <w:marBottom w:val="0"/>
          <w:divBdr>
            <w:top w:val="none" w:sz="0" w:space="0" w:color="auto"/>
            <w:left w:val="none" w:sz="0" w:space="0" w:color="auto"/>
            <w:bottom w:val="none" w:sz="0" w:space="0" w:color="auto"/>
            <w:right w:val="none" w:sz="0" w:space="0" w:color="auto"/>
          </w:divBdr>
        </w:div>
        <w:div w:id="1992900230">
          <w:marLeft w:val="0"/>
          <w:marRight w:val="0"/>
          <w:marTop w:val="0"/>
          <w:marBottom w:val="0"/>
          <w:divBdr>
            <w:top w:val="none" w:sz="0" w:space="0" w:color="auto"/>
            <w:left w:val="none" w:sz="0" w:space="0" w:color="auto"/>
            <w:bottom w:val="none" w:sz="0" w:space="0" w:color="auto"/>
            <w:right w:val="none" w:sz="0" w:space="0" w:color="auto"/>
          </w:divBdr>
          <w:divsChild>
            <w:div w:id="1358387456">
              <w:marLeft w:val="0"/>
              <w:marRight w:val="0"/>
              <w:marTop w:val="0"/>
              <w:marBottom w:val="0"/>
              <w:divBdr>
                <w:top w:val="none" w:sz="0" w:space="0" w:color="auto"/>
                <w:left w:val="none" w:sz="0" w:space="0" w:color="auto"/>
                <w:bottom w:val="none" w:sz="0" w:space="0" w:color="auto"/>
                <w:right w:val="none" w:sz="0" w:space="0" w:color="auto"/>
              </w:divBdr>
            </w:div>
          </w:divsChild>
        </w:div>
        <w:div w:id="1753505960">
          <w:marLeft w:val="0"/>
          <w:marRight w:val="0"/>
          <w:marTop w:val="0"/>
          <w:marBottom w:val="0"/>
          <w:divBdr>
            <w:top w:val="none" w:sz="0" w:space="0" w:color="auto"/>
            <w:left w:val="none" w:sz="0" w:space="0" w:color="auto"/>
            <w:bottom w:val="none" w:sz="0" w:space="0" w:color="auto"/>
            <w:right w:val="none" w:sz="0" w:space="0" w:color="auto"/>
          </w:divBdr>
          <w:divsChild>
            <w:div w:id="992754625">
              <w:marLeft w:val="0"/>
              <w:marRight w:val="0"/>
              <w:marTop w:val="0"/>
              <w:marBottom w:val="0"/>
              <w:divBdr>
                <w:top w:val="none" w:sz="0" w:space="0" w:color="auto"/>
                <w:left w:val="none" w:sz="0" w:space="0" w:color="auto"/>
                <w:bottom w:val="none" w:sz="0" w:space="0" w:color="auto"/>
                <w:right w:val="none" w:sz="0" w:space="0" w:color="auto"/>
              </w:divBdr>
            </w:div>
          </w:divsChild>
        </w:div>
        <w:div w:id="1416975877">
          <w:marLeft w:val="0"/>
          <w:marRight w:val="0"/>
          <w:marTop w:val="0"/>
          <w:marBottom w:val="0"/>
          <w:divBdr>
            <w:top w:val="none" w:sz="0" w:space="0" w:color="auto"/>
            <w:left w:val="none" w:sz="0" w:space="0" w:color="auto"/>
            <w:bottom w:val="none" w:sz="0" w:space="0" w:color="auto"/>
            <w:right w:val="none" w:sz="0" w:space="0" w:color="auto"/>
          </w:divBdr>
          <w:divsChild>
            <w:div w:id="721754353">
              <w:marLeft w:val="0"/>
              <w:marRight w:val="0"/>
              <w:marTop w:val="0"/>
              <w:marBottom w:val="0"/>
              <w:divBdr>
                <w:top w:val="none" w:sz="0" w:space="0" w:color="auto"/>
                <w:left w:val="none" w:sz="0" w:space="0" w:color="auto"/>
                <w:bottom w:val="none" w:sz="0" w:space="0" w:color="auto"/>
                <w:right w:val="none" w:sz="0" w:space="0" w:color="auto"/>
              </w:divBdr>
            </w:div>
          </w:divsChild>
        </w:div>
        <w:div w:id="1135178050">
          <w:marLeft w:val="0"/>
          <w:marRight w:val="0"/>
          <w:marTop w:val="0"/>
          <w:marBottom w:val="0"/>
          <w:divBdr>
            <w:top w:val="none" w:sz="0" w:space="0" w:color="auto"/>
            <w:left w:val="none" w:sz="0" w:space="0" w:color="auto"/>
            <w:bottom w:val="none" w:sz="0" w:space="0" w:color="auto"/>
            <w:right w:val="none" w:sz="0" w:space="0" w:color="auto"/>
          </w:divBdr>
          <w:divsChild>
            <w:div w:id="461315713">
              <w:marLeft w:val="0"/>
              <w:marRight w:val="0"/>
              <w:marTop w:val="0"/>
              <w:marBottom w:val="0"/>
              <w:divBdr>
                <w:top w:val="none" w:sz="0" w:space="0" w:color="auto"/>
                <w:left w:val="none" w:sz="0" w:space="0" w:color="auto"/>
                <w:bottom w:val="none" w:sz="0" w:space="0" w:color="auto"/>
                <w:right w:val="none" w:sz="0" w:space="0" w:color="auto"/>
              </w:divBdr>
            </w:div>
          </w:divsChild>
        </w:div>
        <w:div w:id="749620206">
          <w:marLeft w:val="0"/>
          <w:marRight w:val="0"/>
          <w:marTop w:val="0"/>
          <w:marBottom w:val="0"/>
          <w:divBdr>
            <w:top w:val="none" w:sz="0" w:space="0" w:color="auto"/>
            <w:left w:val="none" w:sz="0" w:space="0" w:color="auto"/>
            <w:bottom w:val="none" w:sz="0" w:space="0" w:color="auto"/>
            <w:right w:val="none" w:sz="0" w:space="0" w:color="auto"/>
          </w:divBdr>
          <w:divsChild>
            <w:div w:id="502821203">
              <w:marLeft w:val="0"/>
              <w:marRight w:val="0"/>
              <w:marTop w:val="0"/>
              <w:marBottom w:val="0"/>
              <w:divBdr>
                <w:top w:val="none" w:sz="0" w:space="0" w:color="auto"/>
                <w:left w:val="none" w:sz="0" w:space="0" w:color="auto"/>
                <w:bottom w:val="none" w:sz="0" w:space="0" w:color="auto"/>
                <w:right w:val="none" w:sz="0" w:space="0" w:color="auto"/>
              </w:divBdr>
            </w:div>
          </w:divsChild>
        </w:div>
        <w:div w:id="1471050463">
          <w:marLeft w:val="0"/>
          <w:marRight w:val="0"/>
          <w:marTop w:val="0"/>
          <w:marBottom w:val="0"/>
          <w:divBdr>
            <w:top w:val="none" w:sz="0" w:space="0" w:color="auto"/>
            <w:left w:val="none" w:sz="0" w:space="0" w:color="auto"/>
            <w:bottom w:val="none" w:sz="0" w:space="0" w:color="auto"/>
            <w:right w:val="none" w:sz="0" w:space="0" w:color="auto"/>
          </w:divBdr>
          <w:divsChild>
            <w:div w:id="433668189">
              <w:marLeft w:val="0"/>
              <w:marRight w:val="0"/>
              <w:marTop w:val="0"/>
              <w:marBottom w:val="0"/>
              <w:divBdr>
                <w:top w:val="none" w:sz="0" w:space="0" w:color="auto"/>
                <w:left w:val="none" w:sz="0" w:space="0" w:color="auto"/>
                <w:bottom w:val="none" w:sz="0" w:space="0" w:color="auto"/>
                <w:right w:val="none" w:sz="0" w:space="0" w:color="auto"/>
              </w:divBdr>
            </w:div>
          </w:divsChild>
        </w:div>
        <w:div w:id="1731032431">
          <w:marLeft w:val="0"/>
          <w:marRight w:val="0"/>
          <w:marTop w:val="0"/>
          <w:marBottom w:val="0"/>
          <w:divBdr>
            <w:top w:val="none" w:sz="0" w:space="0" w:color="auto"/>
            <w:left w:val="none" w:sz="0" w:space="0" w:color="auto"/>
            <w:bottom w:val="none" w:sz="0" w:space="0" w:color="auto"/>
            <w:right w:val="none" w:sz="0" w:space="0" w:color="auto"/>
          </w:divBdr>
          <w:divsChild>
            <w:div w:id="1907840802">
              <w:marLeft w:val="0"/>
              <w:marRight w:val="0"/>
              <w:marTop w:val="0"/>
              <w:marBottom w:val="0"/>
              <w:divBdr>
                <w:top w:val="none" w:sz="0" w:space="0" w:color="auto"/>
                <w:left w:val="none" w:sz="0" w:space="0" w:color="auto"/>
                <w:bottom w:val="none" w:sz="0" w:space="0" w:color="auto"/>
                <w:right w:val="none" w:sz="0" w:space="0" w:color="auto"/>
              </w:divBdr>
            </w:div>
          </w:divsChild>
        </w:div>
        <w:div w:id="1862472841">
          <w:marLeft w:val="0"/>
          <w:marRight w:val="0"/>
          <w:marTop w:val="0"/>
          <w:marBottom w:val="0"/>
          <w:divBdr>
            <w:top w:val="none" w:sz="0" w:space="0" w:color="auto"/>
            <w:left w:val="none" w:sz="0" w:space="0" w:color="auto"/>
            <w:bottom w:val="none" w:sz="0" w:space="0" w:color="auto"/>
            <w:right w:val="none" w:sz="0" w:space="0" w:color="auto"/>
          </w:divBdr>
          <w:divsChild>
            <w:div w:id="146114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423442">
      <w:bodyDiv w:val="1"/>
      <w:marLeft w:val="0"/>
      <w:marRight w:val="0"/>
      <w:marTop w:val="0"/>
      <w:marBottom w:val="0"/>
      <w:divBdr>
        <w:top w:val="none" w:sz="0" w:space="0" w:color="auto"/>
        <w:left w:val="none" w:sz="0" w:space="0" w:color="auto"/>
        <w:bottom w:val="none" w:sz="0" w:space="0" w:color="auto"/>
        <w:right w:val="none" w:sz="0" w:space="0" w:color="auto"/>
      </w:divBdr>
      <w:divsChild>
        <w:div w:id="253058046">
          <w:marLeft w:val="0"/>
          <w:marRight w:val="0"/>
          <w:marTop w:val="240"/>
          <w:marBottom w:val="240"/>
          <w:divBdr>
            <w:top w:val="none" w:sz="0" w:space="0" w:color="auto"/>
            <w:left w:val="none" w:sz="0" w:space="0" w:color="auto"/>
            <w:bottom w:val="none" w:sz="0" w:space="0" w:color="auto"/>
            <w:right w:val="none" w:sz="0" w:space="0" w:color="auto"/>
          </w:divBdr>
        </w:div>
        <w:div w:id="1402488829">
          <w:marLeft w:val="0"/>
          <w:marRight w:val="0"/>
          <w:marTop w:val="240"/>
          <w:marBottom w:val="0"/>
          <w:divBdr>
            <w:top w:val="none" w:sz="0" w:space="0" w:color="auto"/>
            <w:left w:val="none" w:sz="0" w:space="0" w:color="auto"/>
            <w:bottom w:val="none" w:sz="0" w:space="0" w:color="auto"/>
            <w:right w:val="none" w:sz="0" w:space="0" w:color="auto"/>
          </w:divBdr>
          <w:divsChild>
            <w:div w:id="585726660">
              <w:marLeft w:val="0"/>
              <w:marRight w:val="0"/>
              <w:marTop w:val="0"/>
              <w:marBottom w:val="0"/>
              <w:divBdr>
                <w:top w:val="none" w:sz="0" w:space="0" w:color="auto"/>
                <w:left w:val="none" w:sz="0" w:space="0" w:color="auto"/>
                <w:bottom w:val="none" w:sz="0" w:space="0" w:color="auto"/>
                <w:right w:val="none" w:sz="0" w:space="0" w:color="auto"/>
              </w:divBdr>
              <w:divsChild>
                <w:div w:id="914626621">
                  <w:marLeft w:val="0"/>
                  <w:marRight w:val="0"/>
                  <w:marTop w:val="0"/>
                  <w:marBottom w:val="0"/>
                  <w:divBdr>
                    <w:top w:val="none" w:sz="0" w:space="0" w:color="auto"/>
                    <w:left w:val="none" w:sz="0" w:space="0" w:color="auto"/>
                    <w:bottom w:val="none" w:sz="0" w:space="0" w:color="auto"/>
                    <w:right w:val="none" w:sz="0" w:space="0" w:color="auto"/>
                  </w:divBdr>
                  <w:divsChild>
                    <w:div w:id="965312062">
                      <w:marLeft w:val="0"/>
                      <w:marRight w:val="0"/>
                      <w:marTop w:val="0"/>
                      <w:marBottom w:val="0"/>
                      <w:divBdr>
                        <w:top w:val="none" w:sz="0" w:space="0" w:color="auto"/>
                        <w:left w:val="none" w:sz="0" w:space="0" w:color="auto"/>
                        <w:bottom w:val="none" w:sz="0" w:space="0" w:color="auto"/>
                        <w:right w:val="none" w:sz="0" w:space="0" w:color="auto"/>
                      </w:divBdr>
                    </w:div>
                  </w:divsChild>
                </w:div>
                <w:div w:id="131991799">
                  <w:marLeft w:val="0"/>
                  <w:marRight w:val="0"/>
                  <w:marTop w:val="240"/>
                  <w:marBottom w:val="0"/>
                  <w:divBdr>
                    <w:top w:val="none" w:sz="0" w:space="0" w:color="auto"/>
                    <w:left w:val="none" w:sz="0" w:space="0" w:color="auto"/>
                    <w:bottom w:val="none" w:sz="0" w:space="0" w:color="auto"/>
                    <w:right w:val="none" w:sz="0" w:space="0" w:color="auto"/>
                  </w:divBdr>
                  <w:divsChild>
                    <w:div w:id="835147802">
                      <w:marLeft w:val="0"/>
                      <w:marRight w:val="0"/>
                      <w:marTop w:val="0"/>
                      <w:marBottom w:val="0"/>
                      <w:divBdr>
                        <w:top w:val="none" w:sz="0" w:space="0" w:color="auto"/>
                        <w:left w:val="none" w:sz="0" w:space="0" w:color="auto"/>
                        <w:bottom w:val="none" w:sz="0" w:space="0" w:color="auto"/>
                        <w:right w:val="none" w:sz="0" w:space="0" w:color="auto"/>
                      </w:divBdr>
                      <w:divsChild>
                        <w:div w:id="171357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126210">
                  <w:marLeft w:val="0"/>
                  <w:marRight w:val="0"/>
                  <w:marTop w:val="240"/>
                  <w:marBottom w:val="0"/>
                  <w:divBdr>
                    <w:top w:val="none" w:sz="0" w:space="0" w:color="auto"/>
                    <w:left w:val="none" w:sz="0" w:space="0" w:color="auto"/>
                    <w:bottom w:val="none" w:sz="0" w:space="0" w:color="auto"/>
                    <w:right w:val="none" w:sz="0" w:space="0" w:color="auto"/>
                  </w:divBdr>
                  <w:divsChild>
                    <w:div w:id="1115488688">
                      <w:marLeft w:val="0"/>
                      <w:marRight w:val="0"/>
                      <w:marTop w:val="0"/>
                      <w:marBottom w:val="0"/>
                      <w:divBdr>
                        <w:top w:val="none" w:sz="0" w:space="0" w:color="auto"/>
                        <w:left w:val="none" w:sz="0" w:space="0" w:color="auto"/>
                        <w:bottom w:val="none" w:sz="0" w:space="0" w:color="auto"/>
                        <w:right w:val="none" w:sz="0" w:space="0" w:color="auto"/>
                      </w:divBdr>
                      <w:divsChild>
                        <w:div w:id="199387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2965071">
      <w:bodyDiv w:val="1"/>
      <w:marLeft w:val="0"/>
      <w:marRight w:val="0"/>
      <w:marTop w:val="0"/>
      <w:marBottom w:val="0"/>
      <w:divBdr>
        <w:top w:val="none" w:sz="0" w:space="0" w:color="auto"/>
        <w:left w:val="none" w:sz="0" w:space="0" w:color="auto"/>
        <w:bottom w:val="none" w:sz="0" w:space="0" w:color="auto"/>
        <w:right w:val="none" w:sz="0" w:space="0" w:color="auto"/>
      </w:divBdr>
      <w:divsChild>
        <w:div w:id="726413135">
          <w:marLeft w:val="0"/>
          <w:marRight w:val="0"/>
          <w:marTop w:val="0"/>
          <w:marBottom w:val="0"/>
          <w:divBdr>
            <w:top w:val="none" w:sz="0" w:space="0" w:color="auto"/>
            <w:left w:val="none" w:sz="0" w:space="0" w:color="auto"/>
            <w:bottom w:val="none" w:sz="0" w:space="0" w:color="auto"/>
            <w:right w:val="none" w:sz="0" w:space="0" w:color="auto"/>
          </w:divBdr>
          <w:divsChild>
            <w:div w:id="2073429594">
              <w:marLeft w:val="0"/>
              <w:marRight w:val="0"/>
              <w:marTop w:val="0"/>
              <w:marBottom w:val="0"/>
              <w:divBdr>
                <w:top w:val="none" w:sz="0" w:space="0" w:color="auto"/>
                <w:left w:val="none" w:sz="0" w:space="0" w:color="auto"/>
                <w:bottom w:val="none" w:sz="0" w:space="0" w:color="auto"/>
                <w:right w:val="none" w:sz="0" w:space="0" w:color="auto"/>
              </w:divBdr>
            </w:div>
          </w:divsChild>
        </w:div>
        <w:div w:id="454368777">
          <w:marLeft w:val="0"/>
          <w:marRight w:val="0"/>
          <w:marTop w:val="0"/>
          <w:marBottom w:val="0"/>
          <w:divBdr>
            <w:top w:val="none" w:sz="0" w:space="0" w:color="auto"/>
            <w:left w:val="none" w:sz="0" w:space="0" w:color="auto"/>
            <w:bottom w:val="none" w:sz="0" w:space="0" w:color="auto"/>
            <w:right w:val="none" w:sz="0" w:space="0" w:color="auto"/>
          </w:divBdr>
          <w:divsChild>
            <w:div w:id="1926718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967319">
      <w:bodyDiv w:val="1"/>
      <w:marLeft w:val="0"/>
      <w:marRight w:val="0"/>
      <w:marTop w:val="0"/>
      <w:marBottom w:val="0"/>
      <w:divBdr>
        <w:top w:val="none" w:sz="0" w:space="0" w:color="auto"/>
        <w:left w:val="none" w:sz="0" w:space="0" w:color="auto"/>
        <w:bottom w:val="none" w:sz="0" w:space="0" w:color="auto"/>
        <w:right w:val="none" w:sz="0" w:space="0" w:color="auto"/>
      </w:divBdr>
      <w:divsChild>
        <w:div w:id="470900914">
          <w:marLeft w:val="0"/>
          <w:marRight w:val="0"/>
          <w:marTop w:val="0"/>
          <w:marBottom w:val="0"/>
          <w:divBdr>
            <w:top w:val="none" w:sz="0" w:space="0" w:color="auto"/>
            <w:left w:val="none" w:sz="0" w:space="0" w:color="auto"/>
            <w:bottom w:val="none" w:sz="0" w:space="0" w:color="auto"/>
            <w:right w:val="none" w:sz="0" w:space="0" w:color="auto"/>
          </w:divBdr>
          <w:divsChild>
            <w:div w:id="2006123211">
              <w:marLeft w:val="0"/>
              <w:marRight w:val="0"/>
              <w:marTop w:val="0"/>
              <w:marBottom w:val="0"/>
              <w:divBdr>
                <w:top w:val="none" w:sz="0" w:space="0" w:color="auto"/>
                <w:left w:val="none" w:sz="0" w:space="0" w:color="auto"/>
                <w:bottom w:val="none" w:sz="0" w:space="0" w:color="auto"/>
                <w:right w:val="none" w:sz="0" w:space="0" w:color="auto"/>
              </w:divBdr>
            </w:div>
          </w:divsChild>
        </w:div>
        <w:div w:id="489174635">
          <w:marLeft w:val="0"/>
          <w:marRight w:val="0"/>
          <w:marTop w:val="0"/>
          <w:marBottom w:val="0"/>
          <w:divBdr>
            <w:top w:val="none" w:sz="0" w:space="0" w:color="auto"/>
            <w:left w:val="none" w:sz="0" w:space="0" w:color="auto"/>
            <w:bottom w:val="none" w:sz="0" w:space="0" w:color="auto"/>
            <w:right w:val="none" w:sz="0" w:space="0" w:color="auto"/>
          </w:divBdr>
          <w:divsChild>
            <w:div w:id="101430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1884286">
      <w:bodyDiv w:val="1"/>
      <w:marLeft w:val="0"/>
      <w:marRight w:val="0"/>
      <w:marTop w:val="0"/>
      <w:marBottom w:val="0"/>
      <w:divBdr>
        <w:top w:val="none" w:sz="0" w:space="0" w:color="auto"/>
        <w:left w:val="none" w:sz="0" w:space="0" w:color="auto"/>
        <w:bottom w:val="none" w:sz="0" w:space="0" w:color="auto"/>
        <w:right w:val="none" w:sz="0" w:space="0" w:color="auto"/>
      </w:divBdr>
      <w:divsChild>
        <w:div w:id="1719165571">
          <w:marLeft w:val="0"/>
          <w:marRight w:val="0"/>
          <w:marTop w:val="0"/>
          <w:marBottom w:val="0"/>
          <w:divBdr>
            <w:top w:val="none" w:sz="0" w:space="0" w:color="auto"/>
            <w:left w:val="none" w:sz="0" w:space="0" w:color="auto"/>
            <w:bottom w:val="none" w:sz="0" w:space="0" w:color="auto"/>
            <w:right w:val="none" w:sz="0" w:space="0" w:color="auto"/>
          </w:divBdr>
          <w:divsChild>
            <w:div w:id="326590323">
              <w:marLeft w:val="0"/>
              <w:marRight w:val="0"/>
              <w:marTop w:val="0"/>
              <w:marBottom w:val="0"/>
              <w:divBdr>
                <w:top w:val="none" w:sz="0" w:space="0" w:color="auto"/>
                <w:left w:val="none" w:sz="0" w:space="0" w:color="auto"/>
                <w:bottom w:val="none" w:sz="0" w:space="0" w:color="auto"/>
                <w:right w:val="none" w:sz="0" w:space="0" w:color="auto"/>
              </w:divBdr>
            </w:div>
          </w:divsChild>
        </w:div>
        <w:div w:id="179978667">
          <w:marLeft w:val="0"/>
          <w:marRight w:val="0"/>
          <w:marTop w:val="0"/>
          <w:marBottom w:val="0"/>
          <w:divBdr>
            <w:top w:val="none" w:sz="0" w:space="0" w:color="auto"/>
            <w:left w:val="none" w:sz="0" w:space="0" w:color="auto"/>
            <w:bottom w:val="none" w:sz="0" w:space="0" w:color="auto"/>
            <w:right w:val="none" w:sz="0" w:space="0" w:color="auto"/>
          </w:divBdr>
          <w:divsChild>
            <w:div w:id="161994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486535">
      <w:bodyDiv w:val="1"/>
      <w:marLeft w:val="0"/>
      <w:marRight w:val="0"/>
      <w:marTop w:val="0"/>
      <w:marBottom w:val="0"/>
      <w:divBdr>
        <w:top w:val="none" w:sz="0" w:space="0" w:color="auto"/>
        <w:left w:val="none" w:sz="0" w:space="0" w:color="auto"/>
        <w:bottom w:val="none" w:sz="0" w:space="0" w:color="auto"/>
        <w:right w:val="none" w:sz="0" w:space="0" w:color="auto"/>
      </w:divBdr>
    </w:div>
    <w:div w:id="1253513955">
      <w:bodyDiv w:val="1"/>
      <w:marLeft w:val="0"/>
      <w:marRight w:val="0"/>
      <w:marTop w:val="0"/>
      <w:marBottom w:val="0"/>
      <w:divBdr>
        <w:top w:val="none" w:sz="0" w:space="0" w:color="auto"/>
        <w:left w:val="none" w:sz="0" w:space="0" w:color="auto"/>
        <w:bottom w:val="none" w:sz="0" w:space="0" w:color="auto"/>
        <w:right w:val="none" w:sz="0" w:space="0" w:color="auto"/>
      </w:divBdr>
      <w:divsChild>
        <w:div w:id="2129808825">
          <w:marLeft w:val="0"/>
          <w:marRight w:val="0"/>
          <w:marTop w:val="0"/>
          <w:marBottom w:val="0"/>
          <w:divBdr>
            <w:top w:val="none" w:sz="0" w:space="0" w:color="auto"/>
            <w:left w:val="none" w:sz="0" w:space="0" w:color="auto"/>
            <w:bottom w:val="none" w:sz="0" w:space="0" w:color="auto"/>
            <w:right w:val="none" w:sz="0" w:space="0" w:color="auto"/>
          </w:divBdr>
        </w:div>
        <w:div w:id="1913005251">
          <w:marLeft w:val="0"/>
          <w:marRight w:val="0"/>
          <w:marTop w:val="0"/>
          <w:marBottom w:val="0"/>
          <w:divBdr>
            <w:top w:val="none" w:sz="0" w:space="0" w:color="auto"/>
            <w:left w:val="none" w:sz="0" w:space="0" w:color="auto"/>
            <w:bottom w:val="none" w:sz="0" w:space="0" w:color="auto"/>
            <w:right w:val="none" w:sz="0" w:space="0" w:color="auto"/>
          </w:divBdr>
          <w:divsChild>
            <w:div w:id="1417745809">
              <w:marLeft w:val="0"/>
              <w:marRight w:val="0"/>
              <w:marTop w:val="0"/>
              <w:marBottom w:val="0"/>
              <w:divBdr>
                <w:top w:val="none" w:sz="0" w:space="0" w:color="auto"/>
                <w:left w:val="none" w:sz="0" w:space="0" w:color="auto"/>
                <w:bottom w:val="none" w:sz="0" w:space="0" w:color="auto"/>
                <w:right w:val="none" w:sz="0" w:space="0" w:color="auto"/>
              </w:divBdr>
            </w:div>
          </w:divsChild>
        </w:div>
        <w:div w:id="201022911">
          <w:marLeft w:val="0"/>
          <w:marRight w:val="0"/>
          <w:marTop w:val="0"/>
          <w:marBottom w:val="0"/>
          <w:divBdr>
            <w:top w:val="none" w:sz="0" w:space="0" w:color="auto"/>
            <w:left w:val="none" w:sz="0" w:space="0" w:color="auto"/>
            <w:bottom w:val="none" w:sz="0" w:space="0" w:color="auto"/>
            <w:right w:val="none" w:sz="0" w:space="0" w:color="auto"/>
          </w:divBdr>
          <w:divsChild>
            <w:div w:id="1339384846">
              <w:marLeft w:val="0"/>
              <w:marRight w:val="0"/>
              <w:marTop w:val="0"/>
              <w:marBottom w:val="0"/>
              <w:divBdr>
                <w:top w:val="none" w:sz="0" w:space="0" w:color="auto"/>
                <w:left w:val="none" w:sz="0" w:space="0" w:color="auto"/>
                <w:bottom w:val="none" w:sz="0" w:space="0" w:color="auto"/>
                <w:right w:val="none" w:sz="0" w:space="0" w:color="auto"/>
              </w:divBdr>
            </w:div>
          </w:divsChild>
        </w:div>
        <w:div w:id="1899512682">
          <w:marLeft w:val="0"/>
          <w:marRight w:val="0"/>
          <w:marTop w:val="0"/>
          <w:marBottom w:val="0"/>
          <w:divBdr>
            <w:top w:val="none" w:sz="0" w:space="0" w:color="auto"/>
            <w:left w:val="none" w:sz="0" w:space="0" w:color="auto"/>
            <w:bottom w:val="none" w:sz="0" w:space="0" w:color="auto"/>
            <w:right w:val="none" w:sz="0" w:space="0" w:color="auto"/>
          </w:divBdr>
          <w:divsChild>
            <w:div w:id="21902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405642">
      <w:bodyDiv w:val="1"/>
      <w:marLeft w:val="0"/>
      <w:marRight w:val="0"/>
      <w:marTop w:val="0"/>
      <w:marBottom w:val="0"/>
      <w:divBdr>
        <w:top w:val="none" w:sz="0" w:space="0" w:color="auto"/>
        <w:left w:val="none" w:sz="0" w:space="0" w:color="auto"/>
        <w:bottom w:val="none" w:sz="0" w:space="0" w:color="auto"/>
        <w:right w:val="none" w:sz="0" w:space="0" w:color="auto"/>
      </w:divBdr>
      <w:divsChild>
        <w:div w:id="2131119612">
          <w:marLeft w:val="0"/>
          <w:marRight w:val="0"/>
          <w:marTop w:val="240"/>
          <w:marBottom w:val="0"/>
          <w:divBdr>
            <w:top w:val="none" w:sz="0" w:space="0" w:color="auto"/>
            <w:left w:val="none" w:sz="0" w:space="0" w:color="auto"/>
            <w:bottom w:val="none" w:sz="0" w:space="0" w:color="auto"/>
            <w:right w:val="none" w:sz="0" w:space="0" w:color="auto"/>
          </w:divBdr>
          <w:divsChild>
            <w:div w:id="881140325">
              <w:marLeft w:val="0"/>
              <w:marRight w:val="0"/>
              <w:marTop w:val="0"/>
              <w:marBottom w:val="0"/>
              <w:divBdr>
                <w:top w:val="none" w:sz="0" w:space="0" w:color="auto"/>
                <w:left w:val="none" w:sz="0" w:space="0" w:color="auto"/>
                <w:bottom w:val="none" w:sz="0" w:space="0" w:color="auto"/>
                <w:right w:val="none" w:sz="0" w:space="0" w:color="auto"/>
              </w:divBdr>
            </w:div>
          </w:divsChild>
        </w:div>
        <w:div w:id="933972459">
          <w:marLeft w:val="0"/>
          <w:marRight w:val="0"/>
          <w:marTop w:val="240"/>
          <w:marBottom w:val="0"/>
          <w:divBdr>
            <w:top w:val="none" w:sz="0" w:space="0" w:color="auto"/>
            <w:left w:val="none" w:sz="0" w:space="0" w:color="auto"/>
            <w:bottom w:val="none" w:sz="0" w:space="0" w:color="auto"/>
            <w:right w:val="none" w:sz="0" w:space="0" w:color="auto"/>
          </w:divBdr>
          <w:divsChild>
            <w:div w:id="1603225863">
              <w:marLeft w:val="0"/>
              <w:marRight w:val="0"/>
              <w:marTop w:val="0"/>
              <w:marBottom w:val="0"/>
              <w:divBdr>
                <w:top w:val="none" w:sz="0" w:space="0" w:color="auto"/>
                <w:left w:val="none" w:sz="0" w:space="0" w:color="auto"/>
                <w:bottom w:val="none" w:sz="0" w:space="0" w:color="auto"/>
                <w:right w:val="none" w:sz="0" w:space="0" w:color="auto"/>
              </w:divBdr>
            </w:div>
          </w:divsChild>
        </w:div>
        <w:div w:id="805971446">
          <w:marLeft w:val="0"/>
          <w:marRight w:val="0"/>
          <w:marTop w:val="240"/>
          <w:marBottom w:val="0"/>
          <w:divBdr>
            <w:top w:val="none" w:sz="0" w:space="0" w:color="auto"/>
            <w:left w:val="none" w:sz="0" w:space="0" w:color="auto"/>
            <w:bottom w:val="none" w:sz="0" w:space="0" w:color="auto"/>
            <w:right w:val="none" w:sz="0" w:space="0" w:color="auto"/>
          </w:divBdr>
          <w:divsChild>
            <w:div w:id="1645356302">
              <w:marLeft w:val="0"/>
              <w:marRight w:val="0"/>
              <w:marTop w:val="0"/>
              <w:marBottom w:val="0"/>
              <w:divBdr>
                <w:top w:val="none" w:sz="0" w:space="0" w:color="auto"/>
                <w:left w:val="none" w:sz="0" w:space="0" w:color="auto"/>
                <w:bottom w:val="none" w:sz="0" w:space="0" w:color="auto"/>
                <w:right w:val="none" w:sz="0" w:space="0" w:color="auto"/>
              </w:divBdr>
            </w:div>
          </w:divsChild>
        </w:div>
        <w:div w:id="288517042">
          <w:marLeft w:val="0"/>
          <w:marRight w:val="0"/>
          <w:marTop w:val="240"/>
          <w:marBottom w:val="0"/>
          <w:divBdr>
            <w:top w:val="none" w:sz="0" w:space="0" w:color="auto"/>
            <w:left w:val="none" w:sz="0" w:space="0" w:color="auto"/>
            <w:bottom w:val="none" w:sz="0" w:space="0" w:color="auto"/>
            <w:right w:val="none" w:sz="0" w:space="0" w:color="auto"/>
          </w:divBdr>
          <w:divsChild>
            <w:div w:id="1371373134">
              <w:marLeft w:val="0"/>
              <w:marRight w:val="0"/>
              <w:marTop w:val="0"/>
              <w:marBottom w:val="0"/>
              <w:divBdr>
                <w:top w:val="none" w:sz="0" w:space="0" w:color="auto"/>
                <w:left w:val="none" w:sz="0" w:space="0" w:color="auto"/>
                <w:bottom w:val="none" w:sz="0" w:space="0" w:color="auto"/>
                <w:right w:val="none" w:sz="0" w:space="0" w:color="auto"/>
              </w:divBdr>
            </w:div>
          </w:divsChild>
        </w:div>
        <w:div w:id="1729302988">
          <w:marLeft w:val="0"/>
          <w:marRight w:val="0"/>
          <w:marTop w:val="240"/>
          <w:marBottom w:val="0"/>
          <w:divBdr>
            <w:top w:val="none" w:sz="0" w:space="0" w:color="auto"/>
            <w:left w:val="none" w:sz="0" w:space="0" w:color="auto"/>
            <w:bottom w:val="none" w:sz="0" w:space="0" w:color="auto"/>
            <w:right w:val="none" w:sz="0" w:space="0" w:color="auto"/>
          </w:divBdr>
          <w:divsChild>
            <w:div w:id="810824947">
              <w:marLeft w:val="0"/>
              <w:marRight w:val="0"/>
              <w:marTop w:val="0"/>
              <w:marBottom w:val="0"/>
              <w:divBdr>
                <w:top w:val="none" w:sz="0" w:space="0" w:color="auto"/>
                <w:left w:val="none" w:sz="0" w:space="0" w:color="auto"/>
                <w:bottom w:val="none" w:sz="0" w:space="0" w:color="auto"/>
                <w:right w:val="none" w:sz="0" w:space="0" w:color="auto"/>
              </w:divBdr>
            </w:div>
          </w:divsChild>
        </w:div>
        <w:div w:id="700478372">
          <w:marLeft w:val="0"/>
          <w:marRight w:val="0"/>
          <w:marTop w:val="240"/>
          <w:marBottom w:val="0"/>
          <w:divBdr>
            <w:top w:val="none" w:sz="0" w:space="0" w:color="auto"/>
            <w:left w:val="none" w:sz="0" w:space="0" w:color="auto"/>
            <w:bottom w:val="none" w:sz="0" w:space="0" w:color="auto"/>
            <w:right w:val="none" w:sz="0" w:space="0" w:color="auto"/>
          </w:divBdr>
          <w:divsChild>
            <w:div w:id="1415857234">
              <w:marLeft w:val="0"/>
              <w:marRight w:val="0"/>
              <w:marTop w:val="0"/>
              <w:marBottom w:val="0"/>
              <w:divBdr>
                <w:top w:val="none" w:sz="0" w:space="0" w:color="auto"/>
                <w:left w:val="none" w:sz="0" w:space="0" w:color="auto"/>
                <w:bottom w:val="none" w:sz="0" w:space="0" w:color="auto"/>
                <w:right w:val="none" w:sz="0" w:space="0" w:color="auto"/>
              </w:divBdr>
            </w:div>
          </w:divsChild>
        </w:div>
        <w:div w:id="1806466185">
          <w:marLeft w:val="0"/>
          <w:marRight w:val="0"/>
          <w:marTop w:val="240"/>
          <w:marBottom w:val="0"/>
          <w:divBdr>
            <w:top w:val="none" w:sz="0" w:space="0" w:color="auto"/>
            <w:left w:val="none" w:sz="0" w:space="0" w:color="auto"/>
            <w:bottom w:val="none" w:sz="0" w:space="0" w:color="auto"/>
            <w:right w:val="none" w:sz="0" w:space="0" w:color="auto"/>
          </w:divBdr>
          <w:divsChild>
            <w:div w:id="367685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971811">
      <w:bodyDiv w:val="1"/>
      <w:marLeft w:val="0"/>
      <w:marRight w:val="0"/>
      <w:marTop w:val="0"/>
      <w:marBottom w:val="0"/>
      <w:divBdr>
        <w:top w:val="none" w:sz="0" w:space="0" w:color="auto"/>
        <w:left w:val="none" w:sz="0" w:space="0" w:color="auto"/>
        <w:bottom w:val="none" w:sz="0" w:space="0" w:color="auto"/>
        <w:right w:val="none" w:sz="0" w:space="0" w:color="auto"/>
      </w:divBdr>
    </w:div>
    <w:div w:id="1301616765">
      <w:bodyDiv w:val="1"/>
      <w:marLeft w:val="0"/>
      <w:marRight w:val="0"/>
      <w:marTop w:val="0"/>
      <w:marBottom w:val="0"/>
      <w:divBdr>
        <w:top w:val="none" w:sz="0" w:space="0" w:color="auto"/>
        <w:left w:val="none" w:sz="0" w:space="0" w:color="auto"/>
        <w:bottom w:val="none" w:sz="0" w:space="0" w:color="auto"/>
        <w:right w:val="none" w:sz="0" w:space="0" w:color="auto"/>
      </w:divBdr>
    </w:div>
    <w:div w:id="1330250615">
      <w:bodyDiv w:val="1"/>
      <w:marLeft w:val="0"/>
      <w:marRight w:val="0"/>
      <w:marTop w:val="0"/>
      <w:marBottom w:val="0"/>
      <w:divBdr>
        <w:top w:val="none" w:sz="0" w:space="0" w:color="auto"/>
        <w:left w:val="none" w:sz="0" w:space="0" w:color="auto"/>
        <w:bottom w:val="none" w:sz="0" w:space="0" w:color="auto"/>
        <w:right w:val="none" w:sz="0" w:space="0" w:color="auto"/>
      </w:divBdr>
      <w:divsChild>
        <w:div w:id="568541517">
          <w:marLeft w:val="0"/>
          <w:marRight w:val="0"/>
          <w:marTop w:val="240"/>
          <w:marBottom w:val="0"/>
          <w:divBdr>
            <w:top w:val="none" w:sz="0" w:space="0" w:color="auto"/>
            <w:left w:val="none" w:sz="0" w:space="0" w:color="auto"/>
            <w:bottom w:val="none" w:sz="0" w:space="0" w:color="auto"/>
            <w:right w:val="none" w:sz="0" w:space="0" w:color="auto"/>
          </w:divBdr>
          <w:divsChild>
            <w:div w:id="2143230705">
              <w:marLeft w:val="0"/>
              <w:marRight w:val="0"/>
              <w:marTop w:val="0"/>
              <w:marBottom w:val="0"/>
              <w:divBdr>
                <w:top w:val="none" w:sz="0" w:space="0" w:color="auto"/>
                <w:left w:val="none" w:sz="0" w:space="0" w:color="auto"/>
                <w:bottom w:val="none" w:sz="0" w:space="0" w:color="auto"/>
                <w:right w:val="none" w:sz="0" w:space="0" w:color="auto"/>
              </w:divBdr>
            </w:div>
          </w:divsChild>
        </w:div>
        <w:div w:id="2076318484">
          <w:marLeft w:val="0"/>
          <w:marRight w:val="0"/>
          <w:marTop w:val="240"/>
          <w:marBottom w:val="0"/>
          <w:divBdr>
            <w:top w:val="none" w:sz="0" w:space="0" w:color="auto"/>
            <w:left w:val="none" w:sz="0" w:space="0" w:color="auto"/>
            <w:bottom w:val="none" w:sz="0" w:space="0" w:color="auto"/>
            <w:right w:val="none" w:sz="0" w:space="0" w:color="auto"/>
          </w:divBdr>
          <w:divsChild>
            <w:div w:id="1045522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002342">
      <w:bodyDiv w:val="1"/>
      <w:marLeft w:val="0"/>
      <w:marRight w:val="0"/>
      <w:marTop w:val="0"/>
      <w:marBottom w:val="0"/>
      <w:divBdr>
        <w:top w:val="none" w:sz="0" w:space="0" w:color="auto"/>
        <w:left w:val="none" w:sz="0" w:space="0" w:color="auto"/>
        <w:bottom w:val="none" w:sz="0" w:space="0" w:color="auto"/>
        <w:right w:val="none" w:sz="0" w:space="0" w:color="auto"/>
      </w:divBdr>
      <w:divsChild>
        <w:div w:id="1830974585">
          <w:marLeft w:val="0"/>
          <w:marRight w:val="0"/>
          <w:marTop w:val="0"/>
          <w:marBottom w:val="0"/>
          <w:divBdr>
            <w:top w:val="none" w:sz="0" w:space="0" w:color="auto"/>
            <w:left w:val="none" w:sz="0" w:space="0" w:color="auto"/>
            <w:bottom w:val="none" w:sz="0" w:space="0" w:color="auto"/>
            <w:right w:val="none" w:sz="0" w:space="0" w:color="auto"/>
          </w:divBdr>
        </w:div>
        <w:div w:id="484203557">
          <w:marLeft w:val="0"/>
          <w:marRight w:val="0"/>
          <w:marTop w:val="240"/>
          <w:marBottom w:val="0"/>
          <w:divBdr>
            <w:top w:val="none" w:sz="0" w:space="0" w:color="auto"/>
            <w:left w:val="none" w:sz="0" w:space="0" w:color="auto"/>
            <w:bottom w:val="none" w:sz="0" w:space="0" w:color="auto"/>
            <w:right w:val="none" w:sz="0" w:space="0" w:color="auto"/>
          </w:divBdr>
          <w:divsChild>
            <w:div w:id="1907642501">
              <w:marLeft w:val="0"/>
              <w:marRight w:val="0"/>
              <w:marTop w:val="0"/>
              <w:marBottom w:val="0"/>
              <w:divBdr>
                <w:top w:val="none" w:sz="0" w:space="0" w:color="auto"/>
                <w:left w:val="none" w:sz="0" w:space="0" w:color="auto"/>
                <w:bottom w:val="none" w:sz="0" w:space="0" w:color="auto"/>
                <w:right w:val="none" w:sz="0" w:space="0" w:color="auto"/>
              </w:divBdr>
            </w:div>
          </w:divsChild>
        </w:div>
        <w:div w:id="644235167">
          <w:marLeft w:val="0"/>
          <w:marRight w:val="0"/>
          <w:marTop w:val="240"/>
          <w:marBottom w:val="0"/>
          <w:divBdr>
            <w:top w:val="none" w:sz="0" w:space="0" w:color="auto"/>
            <w:left w:val="none" w:sz="0" w:space="0" w:color="auto"/>
            <w:bottom w:val="none" w:sz="0" w:space="0" w:color="auto"/>
            <w:right w:val="none" w:sz="0" w:space="0" w:color="auto"/>
          </w:divBdr>
          <w:divsChild>
            <w:div w:id="156190409">
              <w:marLeft w:val="0"/>
              <w:marRight w:val="0"/>
              <w:marTop w:val="0"/>
              <w:marBottom w:val="0"/>
              <w:divBdr>
                <w:top w:val="none" w:sz="0" w:space="0" w:color="auto"/>
                <w:left w:val="none" w:sz="0" w:space="0" w:color="auto"/>
                <w:bottom w:val="none" w:sz="0" w:space="0" w:color="auto"/>
                <w:right w:val="none" w:sz="0" w:space="0" w:color="auto"/>
              </w:divBdr>
            </w:div>
          </w:divsChild>
        </w:div>
        <w:div w:id="235283260">
          <w:marLeft w:val="0"/>
          <w:marRight w:val="0"/>
          <w:marTop w:val="240"/>
          <w:marBottom w:val="0"/>
          <w:divBdr>
            <w:top w:val="none" w:sz="0" w:space="0" w:color="auto"/>
            <w:left w:val="none" w:sz="0" w:space="0" w:color="auto"/>
            <w:bottom w:val="none" w:sz="0" w:space="0" w:color="auto"/>
            <w:right w:val="none" w:sz="0" w:space="0" w:color="auto"/>
          </w:divBdr>
          <w:divsChild>
            <w:div w:id="1199314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892193">
      <w:bodyDiv w:val="1"/>
      <w:marLeft w:val="0"/>
      <w:marRight w:val="0"/>
      <w:marTop w:val="0"/>
      <w:marBottom w:val="0"/>
      <w:divBdr>
        <w:top w:val="none" w:sz="0" w:space="0" w:color="auto"/>
        <w:left w:val="none" w:sz="0" w:space="0" w:color="auto"/>
        <w:bottom w:val="none" w:sz="0" w:space="0" w:color="auto"/>
        <w:right w:val="none" w:sz="0" w:space="0" w:color="auto"/>
      </w:divBdr>
      <w:divsChild>
        <w:div w:id="2078163558">
          <w:marLeft w:val="0"/>
          <w:marRight w:val="0"/>
          <w:marTop w:val="0"/>
          <w:marBottom w:val="0"/>
          <w:divBdr>
            <w:top w:val="none" w:sz="0" w:space="0" w:color="auto"/>
            <w:left w:val="none" w:sz="0" w:space="0" w:color="auto"/>
            <w:bottom w:val="none" w:sz="0" w:space="0" w:color="auto"/>
            <w:right w:val="none" w:sz="0" w:space="0" w:color="auto"/>
          </w:divBdr>
          <w:divsChild>
            <w:div w:id="1664893569">
              <w:marLeft w:val="0"/>
              <w:marRight w:val="0"/>
              <w:marTop w:val="0"/>
              <w:marBottom w:val="0"/>
              <w:divBdr>
                <w:top w:val="none" w:sz="0" w:space="0" w:color="auto"/>
                <w:left w:val="none" w:sz="0" w:space="0" w:color="auto"/>
                <w:bottom w:val="none" w:sz="0" w:space="0" w:color="auto"/>
                <w:right w:val="none" w:sz="0" w:space="0" w:color="auto"/>
              </w:divBdr>
            </w:div>
          </w:divsChild>
        </w:div>
        <w:div w:id="2051297718">
          <w:marLeft w:val="0"/>
          <w:marRight w:val="0"/>
          <w:marTop w:val="0"/>
          <w:marBottom w:val="0"/>
          <w:divBdr>
            <w:top w:val="none" w:sz="0" w:space="0" w:color="auto"/>
            <w:left w:val="none" w:sz="0" w:space="0" w:color="auto"/>
            <w:bottom w:val="none" w:sz="0" w:space="0" w:color="auto"/>
            <w:right w:val="none" w:sz="0" w:space="0" w:color="auto"/>
          </w:divBdr>
          <w:divsChild>
            <w:div w:id="1892420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532644">
      <w:bodyDiv w:val="1"/>
      <w:marLeft w:val="0"/>
      <w:marRight w:val="0"/>
      <w:marTop w:val="0"/>
      <w:marBottom w:val="0"/>
      <w:divBdr>
        <w:top w:val="none" w:sz="0" w:space="0" w:color="auto"/>
        <w:left w:val="none" w:sz="0" w:space="0" w:color="auto"/>
        <w:bottom w:val="none" w:sz="0" w:space="0" w:color="auto"/>
        <w:right w:val="none" w:sz="0" w:space="0" w:color="auto"/>
      </w:divBdr>
    </w:div>
    <w:div w:id="1376733111">
      <w:bodyDiv w:val="1"/>
      <w:marLeft w:val="0"/>
      <w:marRight w:val="0"/>
      <w:marTop w:val="0"/>
      <w:marBottom w:val="0"/>
      <w:divBdr>
        <w:top w:val="none" w:sz="0" w:space="0" w:color="auto"/>
        <w:left w:val="none" w:sz="0" w:space="0" w:color="auto"/>
        <w:bottom w:val="none" w:sz="0" w:space="0" w:color="auto"/>
        <w:right w:val="none" w:sz="0" w:space="0" w:color="auto"/>
      </w:divBdr>
      <w:divsChild>
        <w:div w:id="1975714993">
          <w:marLeft w:val="0"/>
          <w:marRight w:val="0"/>
          <w:marTop w:val="0"/>
          <w:marBottom w:val="0"/>
          <w:divBdr>
            <w:top w:val="none" w:sz="0" w:space="0" w:color="auto"/>
            <w:left w:val="none" w:sz="0" w:space="0" w:color="auto"/>
            <w:bottom w:val="none" w:sz="0" w:space="0" w:color="auto"/>
            <w:right w:val="none" w:sz="0" w:space="0" w:color="auto"/>
          </w:divBdr>
          <w:divsChild>
            <w:div w:id="40520956">
              <w:marLeft w:val="0"/>
              <w:marRight w:val="0"/>
              <w:marTop w:val="0"/>
              <w:marBottom w:val="0"/>
              <w:divBdr>
                <w:top w:val="none" w:sz="0" w:space="0" w:color="auto"/>
                <w:left w:val="none" w:sz="0" w:space="0" w:color="auto"/>
                <w:bottom w:val="none" w:sz="0" w:space="0" w:color="auto"/>
                <w:right w:val="none" w:sz="0" w:space="0" w:color="auto"/>
              </w:divBdr>
            </w:div>
          </w:divsChild>
        </w:div>
        <w:div w:id="1066800400">
          <w:marLeft w:val="0"/>
          <w:marRight w:val="0"/>
          <w:marTop w:val="0"/>
          <w:marBottom w:val="0"/>
          <w:divBdr>
            <w:top w:val="none" w:sz="0" w:space="0" w:color="auto"/>
            <w:left w:val="none" w:sz="0" w:space="0" w:color="auto"/>
            <w:bottom w:val="none" w:sz="0" w:space="0" w:color="auto"/>
            <w:right w:val="none" w:sz="0" w:space="0" w:color="auto"/>
          </w:divBdr>
          <w:divsChild>
            <w:div w:id="10301965">
              <w:marLeft w:val="0"/>
              <w:marRight w:val="0"/>
              <w:marTop w:val="0"/>
              <w:marBottom w:val="0"/>
              <w:divBdr>
                <w:top w:val="none" w:sz="0" w:space="0" w:color="auto"/>
                <w:left w:val="none" w:sz="0" w:space="0" w:color="auto"/>
                <w:bottom w:val="none" w:sz="0" w:space="0" w:color="auto"/>
                <w:right w:val="none" w:sz="0" w:space="0" w:color="auto"/>
              </w:divBdr>
            </w:div>
          </w:divsChild>
        </w:div>
        <w:div w:id="50538494">
          <w:marLeft w:val="0"/>
          <w:marRight w:val="0"/>
          <w:marTop w:val="0"/>
          <w:marBottom w:val="0"/>
          <w:divBdr>
            <w:top w:val="none" w:sz="0" w:space="0" w:color="auto"/>
            <w:left w:val="none" w:sz="0" w:space="0" w:color="auto"/>
            <w:bottom w:val="none" w:sz="0" w:space="0" w:color="auto"/>
            <w:right w:val="none" w:sz="0" w:space="0" w:color="auto"/>
          </w:divBdr>
          <w:divsChild>
            <w:div w:id="65437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8863559">
      <w:bodyDiv w:val="1"/>
      <w:marLeft w:val="0"/>
      <w:marRight w:val="0"/>
      <w:marTop w:val="0"/>
      <w:marBottom w:val="0"/>
      <w:divBdr>
        <w:top w:val="none" w:sz="0" w:space="0" w:color="auto"/>
        <w:left w:val="none" w:sz="0" w:space="0" w:color="auto"/>
        <w:bottom w:val="none" w:sz="0" w:space="0" w:color="auto"/>
        <w:right w:val="none" w:sz="0" w:space="0" w:color="auto"/>
      </w:divBdr>
    </w:div>
    <w:div w:id="1484079929">
      <w:bodyDiv w:val="1"/>
      <w:marLeft w:val="0"/>
      <w:marRight w:val="0"/>
      <w:marTop w:val="0"/>
      <w:marBottom w:val="0"/>
      <w:divBdr>
        <w:top w:val="none" w:sz="0" w:space="0" w:color="auto"/>
        <w:left w:val="none" w:sz="0" w:space="0" w:color="auto"/>
        <w:bottom w:val="none" w:sz="0" w:space="0" w:color="auto"/>
        <w:right w:val="none" w:sz="0" w:space="0" w:color="auto"/>
      </w:divBdr>
      <w:divsChild>
        <w:div w:id="204368916">
          <w:marLeft w:val="0"/>
          <w:marRight w:val="0"/>
          <w:marTop w:val="240"/>
          <w:marBottom w:val="0"/>
          <w:divBdr>
            <w:top w:val="none" w:sz="0" w:space="0" w:color="auto"/>
            <w:left w:val="none" w:sz="0" w:space="0" w:color="auto"/>
            <w:bottom w:val="none" w:sz="0" w:space="0" w:color="auto"/>
            <w:right w:val="none" w:sz="0" w:space="0" w:color="auto"/>
          </w:divBdr>
          <w:divsChild>
            <w:div w:id="64339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300746">
      <w:bodyDiv w:val="1"/>
      <w:marLeft w:val="0"/>
      <w:marRight w:val="0"/>
      <w:marTop w:val="0"/>
      <w:marBottom w:val="0"/>
      <w:divBdr>
        <w:top w:val="none" w:sz="0" w:space="0" w:color="auto"/>
        <w:left w:val="none" w:sz="0" w:space="0" w:color="auto"/>
        <w:bottom w:val="none" w:sz="0" w:space="0" w:color="auto"/>
        <w:right w:val="none" w:sz="0" w:space="0" w:color="auto"/>
      </w:divBdr>
    </w:div>
    <w:div w:id="1573738580">
      <w:bodyDiv w:val="1"/>
      <w:marLeft w:val="0"/>
      <w:marRight w:val="0"/>
      <w:marTop w:val="0"/>
      <w:marBottom w:val="0"/>
      <w:divBdr>
        <w:top w:val="none" w:sz="0" w:space="0" w:color="auto"/>
        <w:left w:val="none" w:sz="0" w:space="0" w:color="auto"/>
        <w:bottom w:val="none" w:sz="0" w:space="0" w:color="auto"/>
        <w:right w:val="none" w:sz="0" w:space="0" w:color="auto"/>
      </w:divBdr>
    </w:div>
    <w:div w:id="1588995189">
      <w:bodyDiv w:val="1"/>
      <w:marLeft w:val="0"/>
      <w:marRight w:val="0"/>
      <w:marTop w:val="0"/>
      <w:marBottom w:val="0"/>
      <w:divBdr>
        <w:top w:val="none" w:sz="0" w:space="0" w:color="auto"/>
        <w:left w:val="none" w:sz="0" w:space="0" w:color="auto"/>
        <w:bottom w:val="none" w:sz="0" w:space="0" w:color="auto"/>
        <w:right w:val="none" w:sz="0" w:space="0" w:color="auto"/>
      </w:divBdr>
    </w:div>
    <w:div w:id="1677032375">
      <w:bodyDiv w:val="1"/>
      <w:marLeft w:val="0"/>
      <w:marRight w:val="0"/>
      <w:marTop w:val="0"/>
      <w:marBottom w:val="0"/>
      <w:divBdr>
        <w:top w:val="none" w:sz="0" w:space="0" w:color="auto"/>
        <w:left w:val="none" w:sz="0" w:space="0" w:color="auto"/>
        <w:bottom w:val="none" w:sz="0" w:space="0" w:color="auto"/>
        <w:right w:val="none" w:sz="0" w:space="0" w:color="auto"/>
      </w:divBdr>
      <w:divsChild>
        <w:div w:id="342896969">
          <w:marLeft w:val="0"/>
          <w:marRight w:val="0"/>
          <w:marTop w:val="0"/>
          <w:marBottom w:val="0"/>
          <w:divBdr>
            <w:top w:val="none" w:sz="0" w:space="0" w:color="auto"/>
            <w:left w:val="none" w:sz="0" w:space="0" w:color="auto"/>
            <w:bottom w:val="none" w:sz="0" w:space="0" w:color="auto"/>
            <w:right w:val="none" w:sz="0" w:space="0" w:color="auto"/>
          </w:divBdr>
        </w:div>
        <w:div w:id="1761218447">
          <w:marLeft w:val="0"/>
          <w:marRight w:val="0"/>
          <w:marTop w:val="240"/>
          <w:marBottom w:val="0"/>
          <w:divBdr>
            <w:top w:val="none" w:sz="0" w:space="0" w:color="auto"/>
            <w:left w:val="none" w:sz="0" w:space="0" w:color="auto"/>
            <w:bottom w:val="none" w:sz="0" w:space="0" w:color="auto"/>
            <w:right w:val="none" w:sz="0" w:space="0" w:color="auto"/>
          </w:divBdr>
          <w:divsChild>
            <w:div w:id="139688321">
              <w:marLeft w:val="0"/>
              <w:marRight w:val="0"/>
              <w:marTop w:val="0"/>
              <w:marBottom w:val="0"/>
              <w:divBdr>
                <w:top w:val="none" w:sz="0" w:space="0" w:color="auto"/>
                <w:left w:val="none" w:sz="0" w:space="0" w:color="auto"/>
                <w:bottom w:val="none" w:sz="0" w:space="0" w:color="auto"/>
                <w:right w:val="none" w:sz="0" w:space="0" w:color="auto"/>
              </w:divBdr>
              <w:divsChild>
                <w:div w:id="130720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491899">
          <w:marLeft w:val="0"/>
          <w:marRight w:val="0"/>
          <w:marTop w:val="240"/>
          <w:marBottom w:val="0"/>
          <w:divBdr>
            <w:top w:val="none" w:sz="0" w:space="0" w:color="auto"/>
            <w:left w:val="none" w:sz="0" w:space="0" w:color="auto"/>
            <w:bottom w:val="none" w:sz="0" w:space="0" w:color="auto"/>
            <w:right w:val="none" w:sz="0" w:space="0" w:color="auto"/>
          </w:divBdr>
          <w:divsChild>
            <w:div w:id="538708214">
              <w:marLeft w:val="0"/>
              <w:marRight w:val="0"/>
              <w:marTop w:val="0"/>
              <w:marBottom w:val="0"/>
              <w:divBdr>
                <w:top w:val="none" w:sz="0" w:space="0" w:color="auto"/>
                <w:left w:val="none" w:sz="0" w:space="0" w:color="auto"/>
                <w:bottom w:val="none" w:sz="0" w:space="0" w:color="auto"/>
                <w:right w:val="none" w:sz="0" w:space="0" w:color="auto"/>
              </w:divBdr>
              <w:divsChild>
                <w:div w:id="194380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594666">
      <w:bodyDiv w:val="1"/>
      <w:marLeft w:val="0"/>
      <w:marRight w:val="0"/>
      <w:marTop w:val="0"/>
      <w:marBottom w:val="0"/>
      <w:divBdr>
        <w:top w:val="none" w:sz="0" w:space="0" w:color="auto"/>
        <w:left w:val="none" w:sz="0" w:space="0" w:color="auto"/>
        <w:bottom w:val="none" w:sz="0" w:space="0" w:color="auto"/>
        <w:right w:val="none" w:sz="0" w:space="0" w:color="auto"/>
      </w:divBdr>
      <w:divsChild>
        <w:div w:id="1486816138">
          <w:marLeft w:val="0"/>
          <w:marRight w:val="0"/>
          <w:marTop w:val="0"/>
          <w:marBottom w:val="0"/>
          <w:divBdr>
            <w:top w:val="none" w:sz="0" w:space="0" w:color="auto"/>
            <w:left w:val="none" w:sz="0" w:space="0" w:color="auto"/>
            <w:bottom w:val="none" w:sz="0" w:space="0" w:color="auto"/>
            <w:right w:val="none" w:sz="0" w:space="0" w:color="auto"/>
          </w:divBdr>
          <w:divsChild>
            <w:div w:id="501891766">
              <w:marLeft w:val="0"/>
              <w:marRight w:val="0"/>
              <w:marTop w:val="0"/>
              <w:marBottom w:val="0"/>
              <w:divBdr>
                <w:top w:val="none" w:sz="0" w:space="0" w:color="auto"/>
                <w:left w:val="none" w:sz="0" w:space="0" w:color="auto"/>
                <w:bottom w:val="none" w:sz="0" w:space="0" w:color="auto"/>
                <w:right w:val="none" w:sz="0" w:space="0" w:color="auto"/>
              </w:divBdr>
              <w:divsChild>
                <w:div w:id="2007974520">
                  <w:marLeft w:val="0"/>
                  <w:marRight w:val="0"/>
                  <w:marTop w:val="0"/>
                  <w:marBottom w:val="0"/>
                  <w:divBdr>
                    <w:top w:val="none" w:sz="0" w:space="0" w:color="auto"/>
                    <w:left w:val="none" w:sz="0" w:space="0" w:color="auto"/>
                    <w:bottom w:val="none" w:sz="0" w:space="0" w:color="auto"/>
                    <w:right w:val="none" w:sz="0" w:space="0" w:color="auto"/>
                  </w:divBdr>
                  <w:divsChild>
                    <w:div w:id="919870956">
                      <w:marLeft w:val="0"/>
                      <w:marRight w:val="0"/>
                      <w:marTop w:val="0"/>
                      <w:marBottom w:val="0"/>
                      <w:divBdr>
                        <w:top w:val="none" w:sz="0" w:space="0" w:color="auto"/>
                        <w:left w:val="none" w:sz="0" w:space="0" w:color="auto"/>
                        <w:bottom w:val="none" w:sz="0" w:space="0" w:color="auto"/>
                        <w:right w:val="none" w:sz="0" w:space="0" w:color="auto"/>
                      </w:divBdr>
                    </w:div>
                  </w:divsChild>
                </w:div>
                <w:div w:id="16855218">
                  <w:marLeft w:val="0"/>
                  <w:marRight w:val="0"/>
                  <w:marTop w:val="0"/>
                  <w:marBottom w:val="0"/>
                  <w:divBdr>
                    <w:top w:val="none" w:sz="0" w:space="0" w:color="auto"/>
                    <w:left w:val="none" w:sz="0" w:space="0" w:color="auto"/>
                    <w:bottom w:val="none" w:sz="0" w:space="0" w:color="auto"/>
                    <w:right w:val="none" w:sz="0" w:space="0" w:color="auto"/>
                  </w:divBdr>
                  <w:divsChild>
                    <w:div w:id="359204194">
                      <w:marLeft w:val="0"/>
                      <w:marRight w:val="0"/>
                      <w:marTop w:val="0"/>
                      <w:marBottom w:val="0"/>
                      <w:divBdr>
                        <w:top w:val="none" w:sz="0" w:space="0" w:color="auto"/>
                        <w:left w:val="none" w:sz="0" w:space="0" w:color="auto"/>
                        <w:bottom w:val="none" w:sz="0" w:space="0" w:color="auto"/>
                        <w:right w:val="none" w:sz="0" w:space="0" w:color="auto"/>
                      </w:divBdr>
                    </w:div>
                  </w:divsChild>
                </w:div>
                <w:div w:id="34039646">
                  <w:marLeft w:val="0"/>
                  <w:marRight w:val="0"/>
                  <w:marTop w:val="0"/>
                  <w:marBottom w:val="0"/>
                  <w:divBdr>
                    <w:top w:val="none" w:sz="0" w:space="0" w:color="auto"/>
                    <w:left w:val="none" w:sz="0" w:space="0" w:color="auto"/>
                    <w:bottom w:val="none" w:sz="0" w:space="0" w:color="auto"/>
                    <w:right w:val="none" w:sz="0" w:space="0" w:color="auto"/>
                  </w:divBdr>
                  <w:divsChild>
                    <w:div w:id="1115173144">
                      <w:marLeft w:val="0"/>
                      <w:marRight w:val="0"/>
                      <w:marTop w:val="0"/>
                      <w:marBottom w:val="0"/>
                      <w:divBdr>
                        <w:top w:val="none" w:sz="0" w:space="0" w:color="auto"/>
                        <w:left w:val="none" w:sz="0" w:space="0" w:color="auto"/>
                        <w:bottom w:val="none" w:sz="0" w:space="0" w:color="auto"/>
                        <w:right w:val="none" w:sz="0" w:space="0" w:color="auto"/>
                      </w:divBdr>
                    </w:div>
                  </w:divsChild>
                </w:div>
                <w:div w:id="1977487455">
                  <w:marLeft w:val="0"/>
                  <w:marRight w:val="0"/>
                  <w:marTop w:val="0"/>
                  <w:marBottom w:val="0"/>
                  <w:divBdr>
                    <w:top w:val="none" w:sz="0" w:space="0" w:color="auto"/>
                    <w:left w:val="none" w:sz="0" w:space="0" w:color="auto"/>
                    <w:bottom w:val="none" w:sz="0" w:space="0" w:color="auto"/>
                    <w:right w:val="none" w:sz="0" w:space="0" w:color="auto"/>
                  </w:divBdr>
                  <w:divsChild>
                    <w:div w:id="767580306">
                      <w:marLeft w:val="0"/>
                      <w:marRight w:val="0"/>
                      <w:marTop w:val="0"/>
                      <w:marBottom w:val="0"/>
                      <w:divBdr>
                        <w:top w:val="none" w:sz="0" w:space="0" w:color="auto"/>
                        <w:left w:val="none" w:sz="0" w:space="0" w:color="auto"/>
                        <w:bottom w:val="none" w:sz="0" w:space="0" w:color="auto"/>
                        <w:right w:val="none" w:sz="0" w:space="0" w:color="auto"/>
                      </w:divBdr>
                    </w:div>
                  </w:divsChild>
                </w:div>
                <w:div w:id="2002537194">
                  <w:marLeft w:val="0"/>
                  <w:marRight w:val="0"/>
                  <w:marTop w:val="0"/>
                  <w:marBottom w:val="0"/>
                  <w:divBdr>
                    <w:top w:val="none" w:sz="0" w:space="0" w:color="auto"/>
                    <w:left w:val="none" w:sz="0" w:space="0" w:color="auto"/>
                    <w:bottom w:val="none" w:sz="0" w:space="0" w:color="auto"/>
                    <w:right w:val="none" w:sz="0" w:space="0" w:color="auto"/>
                  </w:divBdr>
                  <w:divsChild>
                    <w:div w:id="432239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924936">
          <w:marLeft w:val="0"/>
          <w:marRight w:val="0"/>
          <w:marTop w:val="0"/>
          <w:marBottom w:val="0"/>
          <w:divBdr>
            <w:top w:val="none" w:sz="0" w:space="0" w:color="auto"/>
            <w:left w:val="none" w:sz="0" w:space="0" w:color="auto"/>
            <w:bottom w:val="none" w:sz="0" w:space="0" w:color="auto"/>
            <w:right w:val="none" w:sz="0" w:space="0" w:color="auto"/>
          </w:divBdr>
          <w:divsChild>
            <w:div w:id="107913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272811">
      <w:bodyDiv w:val="1"/>
      <w:marLeft w:val="0"/>
      <w:marRight w:val="0"/>
      <w:marTop w:val="0"/>
      <w:marBottom w:val="0"/>
      <w:divBdr>
        <w:top w:val="none" w:sz="0" w:space="0" w:color="auto"/>
        <w:left w:val="none" w:sz="0" w:space="0" w:color="auto"/>
        <w:bottom w:val="none" w:sz="0" w:space="0" w:color="auto"/>
        <w:right w:val="none" w:sz="0" w:space="0" w:color="auto"/>
      </w:divBdr>
      <w:divsChild>
        <w:div w:id="631902685">
          <w:marLeft w:val="0"/>
          <w:marRight w:val="0"/>
          <w:marTop w:val="0"/>
          <w:marBottom w:val="0"/>
          <w:divBdr>
            <w:top w:val="none" w:sz="0" w:space="0" w:color="auto"/>
            <w:left w:val="none" w:sz="0" w:space="0" w:color="auto"/>
            <w:bottom w:val="none" w:sz="0" w:space="0" w:color="auto"/>
            <w:right w:val="none" w:sz="0" w:space="0" w:color="auto"/>
          </w:divBdr>
          <w:divsChild>
            <w:div w:id="783617006">
              <w:marLeft w:val="0"/>
              <w:marRight w:val="0"/>
              <w:marTop w:val="0"/>
              <w:marBottom w:val="0"/>
              <w:divBdr>
                <w:top w:val="none" w:sz="0" w:space="0" w:color="auto"/>
                <w:left w:val="none" w:sz="0" w:space="0" w:color="auto"/>
                <w:bottom w:val="none" w:sz="0" w:space="0" w:color="auto"/>
                <w:right w:val="none" w:sz="0" w:space="0" w:color="auto"/>
              </w:divBdr>
            </w:div>
          </w:divsChild>
        </w:div>
        <w:div w:id="622854477">
          <w:marLeft w:val="0"/>
          <w:marRight w:val="0"/>
          <w:marTop w:val="0"/>
          <w:marBottom w:val="0"/>
          <w:divBdr>
            <w:top w:val="none" w:sz="0" w:space="0" w:color="auto"/>
            <w:left w:val="none" w:sz="0" w:space="0" w:color="auto"/>
            <w:bottom w:val="none" w:sz="0" w:space="0" w:color="auto"/>
            <w:right w:val="none" w:sz="0" w:space="0" w:color="auto"/>
          </w:divBdr>
          <w:divsChild>
            <w:div w:id="172040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075649">
      <w:bodyDiv w:val="1"/>
      <w:marLeft w:val="0"/>
      <w:marRight w:val="0"/>
      <w:marTop w:val="0"/>
      <w:marBottom w:val="0"/>
      <w:divBdr>
        <w:top w:val="none" w:sz="0" w:space="0" w:color="auto"/>
        <w:left w:val="none" w:sz="0" w:space="0" w:color="auto"/>
        <w:bottom w:val="none" w:sz="0" w:space="0" w:color="auto"/>
        <w:right w:val="none" w:sz="0" w:space="0" w:color="auto"/>
      </w:divBdr>
      <w:divsChild>
        <w:div w:id="839614222">
          <w:marLeft w:val="0"/>
          <w:marRight w:val="0"/>
          <w:marTop w:val="0"/>
          <w:marBottom w:val="0"/>
          <w:divBdr>
            <w:top w:val="none" w:sz="0" w:space="0" w:color="auto"/>
            <w:left w:val="none" w:sz="0" w:space="0" w:color="auto"/>
            <w:bottom w:val="none" w:sz="0" w:space="0" w:color="auto"/>
            <w:right w:val="none" w:sz="0" w:space="0" w:color="auto"/>
          </w:divBdr>
          <w:divsChild>
            <w:div w:id="143397531">
              <w:marLeft w:val="0"/>
              <w:marRight w:val="0"/>
              <w:marTop w:val="0"/>
              <w:marBottom w:val="0"/>
              <w:divBdr>
                <w:top w:val="none" w:sz="0" w:space="0" w:color="auto"/>
                <w:left w:val="none" w:sz="0" w:space="0" w:color="auto"/>
                <w:bottom w:val="none" w:sz="0" w:space="0" w:color="auto"/>
                <w:right w:val="none" w:sz="0" w:space="0" w:color="auto"/>
              </w:divBdr>
              <w:divsChild>
                <w:div w:id="206648837">
                  <w:marLeft w:val="0"/>
                  <w:marRight w:val="0"/>
                  <w:marTop w:val="0"/>
                  <w:marBottom w:val="0"/>
                  <w:divBdr>
                    <w:top w:val="none" w:sz="0" w:space="0" w:color="auto"/>
                    <w:left w:val="none" w:sz="0" w:space="0" w:color="auto"/>
                    <w:bottom w:val="none" w:sz="0" w:space="0" w:color="auto"/>
                    <w:right w:val="none" w:sz="0" w:space="0" w:color="auto"/>
                  </w:divBdr>
                </w:div>
              </w:divsChild>
            </w:div>
            <w:div w:id="824200065">
              <w:marLeft w:val="0"/>
              <w:marRight w:val="0"/>
              <w:marTop w:val="0"/>
              <w:marBottom w:val="0"/>
              <w:divBdr>
                <w:top w:val="none" w:sz="0" w:space="0" w:color="auto"/>
                <w:left w:val="none" w:sz="0" w:space="0" w:color="auto"/>
                <w:bottom w:val="none" w:sz="0" w:space="0" w:color="auto"/>
                <w:right w:val="none" w:sz="0" w:space="0" w:color="auto"/>
              </w:divBdr>
              <w:divsChild>
                <w:div w:id="1140729009">
                  <w:marLeft w:val="0"/>
                  <w:marRight w:val="0"/>
                  <w:marTop w:val="0"/>
                  <w:marBottom w:val="0"/>
                  <w:divBdr>
                    <w:top w:val="none" w:sz="0" w:space="0" w:color="auto"/>
                    <w:left w:val="none" w:sz="0" w:space="0" w:color="auto"/>
                    <w:bottom w:val="none" w:sz="0" w:space="0" w:color="auto"/>
                    <w:right w:val="none" w:sz="0" w:space="0" w:color="auto"/>
                  </w:divBdr>
                </w:div>
              </w:divsChild>
            </w:div>
            <w:div w:id="747311450">
              <w:marLeft w:val="0"/>
              <w:marRight w:val="0"/>
              <w:marTop w:val="0"/>
              <w:marBottom w:val="0"/>
              <w:divBdr>
                <w:top w:val="none" w:sz="0" w:space="0" w:color="auto"/>
                <w:left w:val="none" w:sz="0" w:space="0" w:color="auto"/>
                <w:bottom w:val="none" w:sz="0" w:space="0" w:color="auto"/>
                <w:right w:val="none" w:sz="0" w:space="0" w:color="auto"/>
              </w:divBdr>
              <w:divsChild>
                <w:div w:id="99152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77762">
          <w:marLeft w:val="0"/>
          <w:marRight w:val="0"/>
          <w:marTop w:val="0"/>
          <w:marBottom w:val="0"/>
          <w:divBdr>
            <w:top w:val="none" w:sz="0" w:space="0" w:color="auto"/>
            <w:left w:val="none" w:sz="0" w:space="0" w:color="auto"/>
            <w:bottom w:val="none" w:sz="0" w:space="0" w:color="auto"/>
            <w:right w:val="none" w:sz="0" w:space="0" w:color="auto"/>
          </w:divBdr>
          <w:divsChild>
            <w:div w:id="1882277585">
              <w:marLeft w:val="0"/>
              <w:marRight w:val="0"/>
              <w:marTop w:val="0"/>
              <w:marBottom w:val="0"/>
              <w:divBdr>
                <w:top w:val="none" w:sz="0" w:space="0" w:color="auto"/>
                <w:left w:val="none" w:sz="0" w:space="0" w:color="auto"/>
                <w:bottom w:val="none" w:sz="0" w:space="0" w:color="auto"/>
                <w:right w:val="none" w:sz="0" w:space="0" w:color="auto"/>
              </w:divBdr>
            </w:div>
            <w:div w:id="1129323689">
              <w:marLeft w:val="0"/>
              <w:marRight w:val="0"/>
              <w:marTop w:val="0"/>
              <w:marBottom w:val="0"/>
              <w:divBdr>
                <w:top w:val="none" w:sz="0" w:space="0" w:color="auto"/>
                <w:left w:val="none" w:sz="0" w:space="0" w:color="auto"/>
                <w:bottom w:val="none" w:sz="0" w:space="0" w:color="auto"/>
                <w:right w:val="none" w:sz="0" w:space="0" w:color="auto"/>
              </w:divBdr>
              <w:divsChild>
                <w:div w:id="1581872064">
                  <w:marLeft w:val="0"/>
                  <w:marRight w:val="0"/>
                  <w:marTop w:val="0"/>
                  <w:marBottom w:val="0"/>
                  <w:divBdr>
                    <w:top w:val="none" w:sz="0" w:space="0" w:color="auto"/>
                    <w:left w:val="none" w:sz="0" w:space="0" w:color="auto"/>
                    <w:bottom w:val="none" w:sz="0" w:space="0" w:color="auto"/>
                    <w:right w:val="none" w:sz="0" w:space="0" w:color="auto"/>
                  </w:divBdr>
                </w:div>
              </w:divsChild>
            </w:div>
            <w:div w:id="52667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837297">
      <w:bodyDiv w:val="1"/>
      <w:marLeft w:val="0"/>
      <w:marRight w:val="0"/>
      <w:marTop w:val="0"/>
      <w:marBottom w:val="0"/>
      <w:divBdr>
        <w:top w:val="none" w:sz="0" w:space="0" w:color="auto"/>
        <w:left w:val="none" w:sz="0" w:space="0" w:color="auto"/>
        <w:bottom w:val="none" w:sz="0" w:space="0" w:color="auto"/>
        <w:right w:val="none" w:sz="0" w:space="0" w:color="auto"/>
      </w:divBdr>
      <w:divsChild>
        <w:div w:id="1821118718">
          <w:marLeft w:val="0"/>
          <w:marRight w:val="0"/>
          <w:marTop w:val="0"/>
          <w:marBottom w:val="0"/>
          <w:divBdr>
            <w:top w:val="none" w:sz="0" w:space="0" w:color="auto"/>
            <w:left w:val="none" w:sz="0" w:space="0" w:color="auto"/>
            <w:bottom w:val="none" w:sz="0" w:space="0" w:color="auto"/>
            <w:right w:val="none" w:sz="0" w:space="0" w:color="auto"/>
          </w:divBdr>
          <w:divsChild>
            <w:div w:id="830365041">
              <w:marLeft w:val="0"/>
              <w:marRight w:val="0"/>
              <w:marTop w:val="0"/>
              <w:marBottom w:val="0"/>
              <w:divBdr>
                <w:top w:val="none" w:sz="0" w:space="0" w:color="auto"/>
                <w:left w:val="none" w:sz="0" w:space="0" w:color="auto"/>
                <w:bottom w:val="none" w:sz="0" w:space="0" w:color="auto"/>
                <w:right w:val="none" w:sz="0" w:space="0" w:color="auto"/>
              </w:divBdr>
            </w:div>
          </w:divsChild>
        </w:div>
        <w:div w:id="397553523">
          <w:marLeft w:val="0"/>
          <w:marRight w:val="0"/>
          <w:marTop w:val="0"/>
          <w:marBottom w:val="0"/>
          <w:divBdr>
            <w:top w:val="none" w:sz="0" w:space="0" w:color="auto"/>
            <w:left w:val="none" w:sz="0" w:space="0" w:color="auto"/>
            <w:bottom w:val="none" w:sz="0" w:space="0" w:color="auto"/>
            <w:right w:val="none" w:sz="0" w:space="0" w:color="auto"/>
          </w:divBdr>
          <w:divsChild>
            <w:div w:id="199899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692897">
      <w:bodyDiv w:val="1"/>
      <w:marLeft w:val="0"/>
      <w:marRight w:val="0"/>
      <w:marTop w:val="0"/>
      <w:marBottom w:val="0"/>
      <w:divBdr>
        <w:top w:val="none" w:sz="0" w:space="0" w:color="auto"/>
        <w:left w:val="none" w:sz="0" w:space="0" w:color="auto"/>
        <w:bottom w:val="none" w:sz="0" w:space="0" w:color="auto"/>
        <w:right w:val="none" w:sz="0" w:space="0" w:color="auto"/>
      </w:divBdr>
      <w:divsChild>
        <w:div w:id="1052577346">
          <w:marLeft w:val="0"/>
          <w:marRight w:val="0"/>
          <w:marTop w:val="0"/>
          <w:marBottom w:val="0"/>
          <w:divBdr>
            <w:top w:val="none" w:sz="0" w:space="0" w:color="auto"/>
            <w:left w:val="none" w:sz="0" w:space="0" w:color="auto"/>
            <w:bottom w:val="none" w:sz="0" w:space="0" w:color="auto"/>
            <w:right w:val="none" w:sz="0" w:space="0" w:color="auto"/>
          </w:divBdr>
          <w:divsChild>
            <w:div w:id="1832066328">
              <w:marLeft w:val="0"/>
              <w:marRight w:val="0"/>
              <w:marTop w:val="0"/>
              <w:marBottom w:val="0"/>
              <w:divBdr>
                <w:top w:val="none" w:sz="0" w:space="0" w:color="auto"/>
                <w:left w:val="none" w:sz="0" w:space="0" w:color="auto"/>
                <w:bottom w:val="none" w:sz="0" w:space="0" w:color="auto"/>
                <w:right w:val="none" w:sz="0" w:space="0" w:color="auto"/>
              </w:divBdr>
            </w:div>
          </w:divsChild>
        </w:div>
        <w:div w:id="1549336719">
          <w:marLeft w:val="0"/>
          <w:marRight w:val="0"/>
          <w:marTop w:val="0"/>
          <w:marBottom w:val="0"/>
          <w:divBdr>
            <w:top w:val="none" w:sz="0" w:space="0" w:color="auto"/>
            <w:left w:val="none" w:sz="0" w:space="0" w:color="auto"/>
            <w:bottom w:val="none" w:sz="0" w:space="0" w:color="auto"/>
            <w:right w:val="none" w:sz="0" w:space="0" w:color="auto"/>
          </w:divBdr>
          <w:divsChild>
            <w:div w:id="41903397">
              <w:marLeft w:val="0"/>
              <w:marRight w:val="0"/>
              <w:marTop w:val="0"/>
              <w:marBottom w:val="0"/>
              <w:divBdr>
                <w:top w:val="none" w:sz="0" w:space="0" w:color="auto"/>
                <w:left w:val="none" w:sz="0" w:space="0" w:color="auto"/>
                <w:bottom w:val="none" w:sz="0" w:space="0" w:color="auto"/>
                <w:right w:val="none" w:sz="0" w:space="0" w:color="auto"/>
              </w:divBdr>
            </w:div>
          </w:divsChild>
        </w:div>
        <w:div w:id="793912569">
          <w:marLeft w:val="0"/>
          <w:marRight w:val="0"/>
          <w:marTop w:val="0"/>
          <w:marBottom w:val="0"/>
          <w:divBdr>
            <w:top w:val="none" w:sz="0" w:space="0" w:color="auto"/>
            <w:left w:val="none" w:sz="0" w:space="0" w:color="auto"/>
            <w:bottom w:val="none" w:sz="0" w:space="0" w:color="auto"/>
            <w:right w:val="none" w:sz="0" w:space="0" w:color="auto"/>
          </w:divBdr>
          <w:divsChild>
            <w:div w:id="178876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406478">
      <w:bodyDiv w:val="1"/>
      <w:marLeft w:val="0"/>
      <w:marRight w:val="0"/>
      <w:marTop w:val="0"/>
      <w:marBottom w:val="0"/>
      <w:divBdr>
        <w:top w:val="none" w:sz="0" w:space="0" w:color="auto"/>
        <w:left w:val="none" w:sz="0" w:space="0" w:color="auto"/>
        <w:bottom w:val="none" w:sz="0" w:space="0" w:color="auto"/>
        <w:right w:val="none" w:sz="0" w:space="0" w:color="auto"/>
      </w:divBdr>
      <w:divsChild>
        <w:div w:id="1148133987">
          <w:marLeft w:val="0"/>
          <w:marRight w:val="0"/>
          <w:marTop w:val="0"/>
          <w:marBottom w:val="0"/>
          <w:divBdr>
            <w:top w:val="none" w:sz="0" w:space="0" w:color="auto"/>
            <w:left w:val="none" w:sz="0" w:space="0" w:color="auto"/>
            <w:bottom w:val="none" w:sz="0" w:space="0" w:color="auto"/>
            <w:right w:val="none" w:sz="0" w:space="0" w:color="auto"/>
          </w:divBdr>
        </w:div>
        <w:div w:id="304237216">
          <w:marLeft w:val="0"/>
          <w:marRight w:val="0"/>
          <w:marTop w:val="240"/>
          <w:marBottom w:val="0"/>
          <w:divBdr>
            <w:top w:val="none" w:sz="0" w:space="0" w:color="auto"/>
            <w:left w:val="none" w:sz="0" w:space="0" w:color="auto"/>
            <w:bottom w:val="none" w:sz="0" w:space="0" w:color="auto"/>
            <w:right w:val="none" w:sz="0" w:space="0" w:color="auto"/>
          </w:divBdr>
          <w:divsChild>
            <w:div w:id="94280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324142">
      <w:bodyDiv w:val="1"/>
      <w:marLeft w:val="0"/>
      <w:marRight w:val="0"/>
      <w:marTop w:val="0"/>
      <w:marBottom w:val="0"/>
      <w:divBdr>
        <w:top w:val="none" w:sz="0" w:space="0" w:color="auto"/>
        <w:left w:val="none" w:sz="0" w:space="0" w:color="auto"/>
        <w:bottom w:val="none" w:sz="0" w:space="0" w:color="auto"/>
        <w:right w:val="none" w:sz="0" w:space="0" w:color="auto"/>
      </w:divBdr>
      <w:divsChild>
        <w:div w:id="1172526505">
          <w:marLeft w:val="0"/>
          <w:marRight w:val="0"/>
          <w:marTop w:val="0"/>
          <w:marBottom w:val="0"/>
          <w:divBdr>
            <w:top w:val="none" w:sz="0" w:space="0" w:color="auto"/>
            <w:left w:val="none" w:sz="0" w:space="0" w:color="auto"/>
            <w:bottom w:val="none" w:sz="0" w:space="0" w:color="auto"/>
            <w:right w:val="none" w:sz="0" w:space="0" w:color="auto"/>
          </w:divBdr>
        </w:div>
        <w:div w:id="904559994">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026315">
      <w:bodyDiv w:val="1"/>
      <w:marLeft w:val="0"/>
      <w:marRight w:val="0"/>
      <w:marTop w:val="0"/>
      <w:marBottom w:val="0"/>
      <w:divBdr>
        <w:top w:val="none" w:sz="0" w:space="0" w:color="auto"/>
        <w:left w:val="none" w:sz="0" w:space="0" w:color="auto"/>
        <w:bottom w:val="none" w:sz="0" w:space="0" w:color="auto"/>
        <w:right w:val="none" w:sz="0" w:space="0" w:color="auto"/>
      </w:divBdr>
      <w:divsChild>
        <w:div w:id="1311708687">
          <w:marLeft w:val="0"/>
          <w:marRight w:val="0"/>
          <w:marTop w:val="0"/>
          <w:marBottom w:val="0"/>
          <w:divBdr>
            <w:top w:val="none" w:sz="0" w:space="0" w:color="auto"/>
            <w:left w:val="none" w:sz="0" w:space="0" w:color="auto"/>
            <w:bottom w:val="none" w:sz="0" w:space="0" w:color="auto"/>
            <w:right w:val="none" w:sz="0" w:space="0" w:color="auto"/>
          </w:divBdr>
          <w:divsChild>
            <w:div w:id="2145921582">
              <w:marLeft w:val="0"/>
              <w:marRight w:val="0"/>
              <w:marTop w:val="0"/>
              <w:marBottom w:val="0"/>
              <w:divBdr>
                <w:top w:val="none" w:sz="0" w:space="0" w:color="auto"/>
                <w:left w:val="none" w:sz="0" w:space="0" w:color="auto"/>
                <w:bottom w:val="none" w:sz="0" w:space="0" w:color="auto"/>
                <w:right w:val="none" w:sz="0" w:space="0" w:color="auto"/>
              </w:divBdr>
            </w:div>
          </w:divsChild>
        </w:div>
        <w:div w:id="1431462728">
          <w:marLeft w:val="0"/>
          <w:marRight w:val="0"/>
          <w:marTop w:val="0"/>
          <w:marBottom w:val="0"/>
          <w:divBdr>
            <w:top w:val="none" w:sz="0" w:space="0" w:color="auto"/>
            <w:left w:val="none" w:sz="0" w:space="0" w:color="auto"/>
            <w:bottom w:val="none" w:sz="0" w:space="0" w:color="auto"/>
            <w:right w:val="none" w:sz="0" w:space="0" w:color="auto"/>
          </w:divBdr>
          <w:divsChild>
            <w:div w:id="134381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605974">
      <w:bodyDiv w:val="1"/>
      <w:marLeft w:val="0"/>
      <w:marRight w:val="0"/>
      <w:marTop w:val="0"/>
      <w:marBottom w:val="0"/>
      <w:divBdr>
        <w:top w:val="none" w:sz="0" w:space="0" w:color="auto"/>
        <w:left w:val="none" w:sz="0" w:space="0" w:color="auto"/>
        <w:bottom w:val="none" w:sz="0" w:space="0" w:color="auto"/>
        <w:right w:val="none" w:sz="0" w:space="0" w:color="auto"/>
      </w:divBdr>
    </w:div>
    <w:div w:id="1971086553">
      <w:bodyDiv w:val="1"/>
      <w:marLeft w:val="0"/>
      <w:marRight w:val="0"/>
      <w:marTop w:val="0"/>
      <w:marBottom w:val="0"/>
      <w:divBdr>
        <w:top w:val="none" w:sz="0" w:space="0" w:color="auto"/>
        <w:left w:val="none" w:sz="0" w:space="0" w:color="auto"/>
        <w:bottom w:val="none" w:sz="0" w:space="0" w:color="auto"/>
        <w:right w:val="none" w:sz="0" w:space="0" w:color="auto"/>
      </w:divBdr>
      <w:divsChild>
        <w:div w:id="744231841">
          <w:marLeft w:val="0"/>
          <w:marRight w:val="0"/>
          <w:marTop w:val="240"/>
          <w:marBottom w:val="0"/>
          <w:divBdr>
            <w:top w:val="none" w:sz="0" w:space="0" w:color="auto"/>
            <w:left w:val="none" w:sz="0" w:space="0" w:color="auto"/>
            <w:bottom w:val="none" w:sz="0" w:space="0" w:color="auto"/>
            <w:right w:val="none" w:sz="0" w:space="0" w:color="auto"/>
          </w:divBdr>
          <w:divsChild>
            <w:div w:id="1663771058">
              <w:marLeft w:val="0"/>
              <w:marRight w:val="0"/>
              <w:marTop w:val="0"/>
              <w:marBottom w:val="0"/>
              <w:divBdr>
                <w:top w:val="none" w:sz="0" w:space="0" w:color="auto"/>
                <w:left w:val="none" w:sz="0" w:space="0" w:color="auto"/>
                <w:bottom w:val="none" w:sz="0" w:space="0" w:color="auto"/>
                <w:right w:val="none" w:sz="0" w:space="0" w:color="auto"/>
              </w:divBdr>
            </w:div>
          </w:divsChild>
        </w:div>
        <w:div w:id="1304316160">
          <w:marLeft w:val="0"/>
          <w:marRight w:val="0"/>
          <w:marTop w:val="240"/>
          <w:marBottom w:val="0"/>
          <w:divBdr>
            <w:top w:val="none" w:sz="0" w:space="0" w:color="auto"/>
            <w:left w:val="none" w:sz="0" w:space="0" w:color="auto"/>
            <w:bottom w:val="none" w:sz="0" w:space="0" w:color="auto"/>
            <w:right w:val="none" w:sz="0" w:space="0" w:color="auto"/>
          </w:divBdr>
          <w:divsChild>
            <w:div w:id="349112703">
              <w:marLeft w:val="0"/>
              <w:marRight w:val="0"/>
              <w:marTop w:val="0"/>
              <w:marBottom w:val="0"/>
              <w:divBdr>
                <w:top w:val="none" w:sz="0" w:space="0" w:color="auto"/>
                <w:left w:val="none" w:sz="0" w:space="0" w:color="auto"/>
                <w:bottom w:val="none" w:sz="0" w:space="0" w:color="auto"/>
                <w:right w:val="none" w:sz="0" w:space="0" w:color="auto"/>
              </w:divBdr>
            </w:div>
          </w:divsChild>
        </w:div>
        <w:div w:id="615522703">
          <w:marLeft w:val="0"/>
          <w:marRight w:val="0"/>
          <w:marTop w:val="240"/>
          <w:marBottom w:val="0"/>
          <w:divBdr>
            <w:top w:val="none" w:sz="0" w:space="0" w:color="auto"/>
            <w:left w:val="none" w:sz="0" w:space="0" w:color="auto"/>
            <w:bottom w:val="none" w:sz="0" w:space="0" w:color="auto"/>
            <w:right w:val="none" w:sz="0" w:space="0" w:color="auto"/>
          </w:divBdr>
          <w:divsChild>
            <w:div w:id="637492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971827">
      <w:bodyDiv w:val="1"/>
      <w:marLeft w:val="0"/>
      <w:marRight w:val="0"/>
      <w:marTop w:val="0"/>
      <w:marBottom w:val="0"/>
      <w:divBdr>
        <w:top w:val="none" w:sz="0" w:space="0" w:color="auto"/>
        <w:left w:val="none" w:sz="0" w:space="0" w:color="auto"/>
        <w:bottom w:val="none" w:sz="0" w:space="0" w:color="auto"/>
        <w:right w:val="none" w:sz="0" w:space="0" w:color="auto"/>
      </w:divBdr>
    </w:div>
    <w:div w:id="2013532340">
      <w:bodyDiv w:val="1"/>
      <w:marLeft w:val="0"/>
      <w:marRight w:val="0"/>
      <w:marTop w:val="0"/>
      <w:marBottom w:val="0"/>
      <w:divBdr>
        <w:top w:val="none" w:sz="0" w:space="0" w:color="auto"/>
        <w:left w:val="none" w:sz="0" w:space="0" w:color="auto"/>
        <w:bottom w:val="none" w:sz="0" w:space="0" w:color="auto"/>
        <w:right w:val="none" w:sz="0" w:space="0" w:color="auto"/>
      </w:divBdr>
    </w:div>
    <w:div w:id="2094618939">
      <w:bodyDiv w:val="1"/>
      <w:marLeft w:val="0"/>
      <w:marRight w:val="0"/>
      <w:marTop w:val="0"/>
      <w:marBottom w:val="0"/>
      <w:divBdr>
        <w:top w:val="none" w:sz="0" w:space="0" w:color="auto"/>
        <w:left w:val="none" w:sz="0" w:space="0" w:color="auto"/>
        <w:bottom w:val="none" w:sz="0" w:space="0" w:color="auto"/>
        <w:right w:val="none" w:sz="0" w:space="0" w:color="auto"/>
      </w:divBdr>
      <w:divsChild>
        <w:div w:id="848103790">
          <w:marLeft w:val="0"/>
          <w:marRight w:val="0"/>
          <w:marTop w:val="0"/>
          <w:marBottom w:val="0"/>
          <w:divBdr>
            <w:top w:val="none" w:sz="0" w:space="0" w:color="auto"/>
            <w:left w:val="none" w:sz="0" w:space="0" w:color="auto"/>
            <w:bottom w:val="none" w:sz="0" w:space="0" w:color="auto"/>
            <w:right w:val="none" w:sz="0" w:space="0" w:color="auto"/>
          </w:divBdr>
          <w:divsChild>
            <w:div w:id="895623638">
              <w:marLeft w:val="0"/>
              <w:marRight w:val="0"/>
              <w:marTop w:val="0"/>
              <w:marBottom w:val="0"/>
              <w:divBdr>
                <w:top w:val="none" w:sz="0" w:space="0" w:color="auto"/>
                <w:left w:val="none" w:sz="0" w:space="0" w:color="auto"/>
                <w:bottom w:val="none" w:sz="0" w:space="0" w:color="auto"/>
                <w:right w:val="none" w:sz="0" w:space="0" w:color="auto"/>
              </w:divBdr>
            </w:div>
          </w:divsChild>
        </w:div>
        <w:div w:id="571358698">
          <w:marLeft w:val="0"/>
          <w:marRight w:val="0"/>
          <w:marTop w:val="0"/>
          <w:marBottom w:val="0"/>
          <w:divBdr>
            <w:top w:val="none" w:sz="0" w:space="0" w:color="auto"/>
            <w:left w:val="none" w:sz="0" w:space="0" w:color="auto"/>
            <w:bottom w:val="none" w:sz="0" w:space="0" w:color="auto"/>
            <w:right w:val="none" w:sz="0" w:space="0" w:color="auto"/>
          </w:divBdr>
          <w:divsChild>
            <w:div w:id="964308676">
              <w:marLeft w:val="0"/>
              <w:marRight w:val="0"/>
              <w:marTop w:val="0"/>
              <w:marBottom w:val="0"/>
              <w:divBdr>
                <w:top w:val="none" w:sz="0" w:space="0" w:color="auto"/>
                <w:left w:val="none" w:sz="0" w:space="0" w:color="auto"/>
                <w:bottom w:val="none" w:sz="0" w:space="0" w:color="auto"/>
                <w:right w:val="none" w:sz="0" w:space="0" w:color="auto"/>
              </w:divBdr>
            </w:div>
          </w:divsChild>
        </w:div>
        <w:div w:id="1516387559">
          <w:marLeft w:val="0"/>
          <w:marRight w:val="0"/>
          <w:marTop w:val="0"/>
          <w:marBottom w:val="0"/>
          <w:divBdr>
            <w:top w:val="none" w:sz="0" w:space="0" w:color="auto"/>
            <w:left w:val="none" w:sz="0" w:space="0" w:color="auto"/>
            <w:bottom w:val="none" w:sz="0" w:space="0" w:color="auto"/>
            <w:right w:val="none" w:sz="0" w:space="0" w:color="auto"/>
          </w:divBdr>
          <w:divsChild>
            <w:div w:id="123798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1315F9-06DB-467D-90DF-B7EF0A07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62</Pages>
  <Words>14840</Words>
  <Characters>84589</Characters>
  <Application>Microsoft Office Word</Application>
  <DocSecurity>0</DocSecurity>
  <Lines>704</Lines>
  <Paragraphs>198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2023-07-20T21:17:00Z</dcterms:created>
  <dcterms:modified xsi:type="dcterms:W3CDTF">2023-07-20T21:20:00Z</dcterms:modified>
</cp:coreProperties>
</file>