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3570" w14:textId="6ADD481E" w:rsidR="007A106F" w:rsidRPr="00606A3F" w:rsidRDefault="000F2DE2" w:rsidP="007D3C59">
      <w:pPr>
        <w:spacing w:line="240" w:lineRule="auto"/>
        <w:rPr>
          <w:bCs/>
          <w:sz w:val="20"/>
        </w:rPr>
      </w:pPr>
      <w:r w:rsidRPr="00606A3F">
        <w:rPr>
          <w:bCs/>
          <w:sz w:val="20"/>
        </w:rPr>
        <w:t>Filed 12/22/</w:t>
      </w:r>
      <w:r w:rsidRPr="00606A3F">
        <w:rPr>
          <w:bCs/>
          <w:sz w:val="20"/>
        </w:rPr>
        <w:t>22</w:t>
      </w:r>
    </w:p>
    <w:p w14:paraId="2730DDFC" w14:textId="77777777" w:rsidR="007A106F" w:rsidRPr="007D3C59" w:rsidRDefault="000F2DE2" w:rsidP="007D3C59">
      <w:pPr>
        <w:spacing w:line="240" w:lineRule="auto"/>
        <w:rPr>
          <w:bCs/>
        </w:rPr>
      </w:pPr>
    </w:p>
    <w:p w14:paraId="18C0CD4A" w14:textId="77777777" w:rsidR="00CD05CC" w:rsidRDefault="000F2DE2" w:rsidP="00CD05CC">
      <w:pPr>
        <w:spacing w:line="240" w:lineRule="auto"/>
        <w:jc w:val="center"/>
      </w:pPr>
      <w:r>
        <w:rPr>
          <w:b/>
        </w:rPr>
        <w:t>CERTIFIED FOR PUBLICATION</w:t>
      </w:r>
    </w:p>
    <w:p w14:paraId="379040F6" w14:textId="77777777" w:rsidR="00CD05CC" w:rsidRDefault="000F2DE2" w:rsidP="00CD05CC">
      <w:pPr>
        <w:spacing w:line="240" w:lineRule="auto"/>
        <w:jc w:val="center"/>
      </w:pPr>
    </w:p>
    <w:p w14:paraId="3418F63C" w14:textId="77777777" w:rsidR="00CD05CC" w:rsidRDefault="000F2DE2" w:rsidP="00CD05CC">
      <w:pPr>
        <w:spacing w:line="240" w:lineRule="auto"/>
        <w:jc w:val="center"/>
      </w:pPr>
      <w:r>
        <w:t>IN THE COURT OF APPEAL OF THE STATE OF CALIFORNIA</w:t>
      </w:r>
    </w:p>
    <w:p w14:paraId="3CAB1F9C" w14:textId="77777777" w:rsidR="00CD05CC" w:rsidRDefault="000F2DE2" w:rsidP="00CD05CC">
      <w:pPr>
        <w:spacing w:line="240" w:lineRule="auto"/>
        <w:jc w:val="center"/>
      </w:pPr>
    </w:p>
    <w:p w14:paraId="0BE865E9" w14:textId="77777777" w:rsidR="00CD05CC" w:rsidRDefault="000F2DE2" w:rsidP="00CD05CC">
      <w:pPr>
        <w:spacing w:line="240" w:lineRule="auto"/>
        <w:jc w:val="center"/>
      </w:pPr>
      <w:r>
        <w:t>FOURTH APPELLATE DISTRICT</w:t>
      </w:r>
    </w:p>
    <w:p w14:paraId="6D9A64FF" w14:textId="77777777" w:rsidR="00CD05CC" w:rsidRDefault="000F2DE2" w:rsidP="00CD05CC">
      <w:pPr>
        <w:spacing w:line="240" w:lineRule="auto"/>
        <w:jc w:val="center"/>
      </w:pPr>
    </w:p>
    <w:p w14:paraId="5721842B" w14:textId="77777777" w:rsidR="00CD05CC" w:rsidRDefault="000F2DE2" w:rsidP="00CD05CC">
      <w:pPr>
        <w:spacing w:line="240" w:lineRule="auto"/>
        <w:jc w:val="center"/>
      </w:pPr>
      <w:r>
        <w:t>DIVISION THREE</w:t>
      </w:r>
    </w:p>
    <w:p w14:paraId="3BD85770" w14:textId="77777777" w:rsidR="00CD05CC" w:rsidRDefault="000F2DE2" w:rsidP="00CD05CC">
      <w:pPr>
        <w:spacing w:line="240" w:lineRule="auto"/>
        <w:jc w:val="center"/>
      </w:pPr>
    </w:p>
    <w:tbl>
      <w:tblPr>
        <w:tblW w:w="0" w:type="auto"/>
        <w:tblLayout w:type="fixed"/>
        <w:tblLook w:val="04A0" w:firstRow="1" w:lastRow="0" w:firstColumn="1" w:lastColumn="0" w:noHBand="0" w:noVBand="1"/>
      </w:tblPr>
      <w:tblGrid>
        <w:gridCol w:w="4680"/>
        <w:gridCol w:w="4680"/>
      </w:tblGrid>
      <w:tr w:rsidR="0018695A" w14:paraId="28CF7399" w14:textId="77777777" w:rsidTr="00CD05CC">
        <w:tc>
          <w:tcPr>
            <w:tcW w:w="4680" w:type="dxa"/>
            <w:tcBorders>
              <w:top w:val="nil"/>
              <w:left w:val="nil"/>
              <w:bottom w:val="single" w:sz="4" w:space="0" w:color="auto"/>
              <w:right w:val="single" w:sz="4" w:space="0" w:color="auto"/>
            </w:tcBorders>
          </w:tcPr>
          <w:p w14:paraId="759F3A27" w14:textId="77777777" w:rsidR="00CD05CC" w:rsidRDefault="000F2DE2">
            <w:pPr>
              <w:spacing w:line="240" w:lineRule="auto"/>
            </w:pPr>
            <w:r>
              <w:t>R. KEMP,</w:t>
            </w:r>
          </w:p>
          <w:p w14:paraId="7886DB88" w14:textId="77777777" w:rsidR="00CD05CC" w:rsidRDefault="000F2DE2">
            <w:pPr>
              <w:spacing w:line="240" w:lineRule="auto"/>
            </w:pPr>
          </w:p>
          <w:p w14:paraId="68A0E9DD" w14:textId="77777777" w:rsidR="00CD05CC" w:rsidRDefault="000F2DE2">
            <w:pPr>
              <w:spacing w:line="240" w:lineRule="auto"/>
            </w:pPr>
            <w:r>
              <w:t xml:space="preserve">      Petitioner,</w:t>
            </w:r>
          </w:p>
          <w:p w14:paraId="0038AE10" w14:textId="77777777" w:rsidR="00CD05CC" w:rsidRDefault="000F2DE2">
            <w:pPr>
              <w:spacing w:line="240" w:lineRule="auto"/>
            </w:pPr>
          </w:p>
          <w:p w14:paraId="197A4912" w14:textId="77777777" w:rsidR="00CD05CC" w:rsidRDefault="000F2DE2">
            <w:pPr>
              <w:spacing w:line="240" w:lineRule="auto"/>
            </w:pPr>
            <w:r>
              <w:tab/>
              <w:t>v.</w:t>
            </w:r>
          </w:p>
          <w:p w14:paraId="0352064B" w14:textId="77777777" w:rsidR="00CD05CC" w:rsidRDefault="000F2DE2">
            <w:pPr>
              <w:spacing w:line="240" w:lineRule="auto"/>
            </w:pPr>
          </w:p>
          <w:p w14:paraId="7CC8296A" w14:textId="77777777" w:rsidR="00CD05CC" w:rsidRDefault="000F2DE2">
            <w:pPr>
              <w:spacing w:line="240" w:lineRule="auto"/>
            </w:pPr>
            <w:r>
              <w:t>THE SUPERIOR COURT OF ORANGE COUNTY,</w:t>
            </w:r>
          </w:p>
          <w:p w14:paraId="25E9C66C" w14:textId="77777777" w:rsidR="00CD05CC" w:rsidRDefault="000F2DE2">
            <w:pPr>
              <w:spacing w:line="240" w:lineRule="auto"/>
            </w:pPr>
          </w:p>
          <w:p w14:paraId="146DE40B" w14:textId="77777777" w:rsidR="00CD05CC" w:rsidRDefault="000F2DE2">
            <w:pPr>
              <w:spacing w:line="240" w:lineRule="auto"/>
            </w:pPr>
            <w:r>
              <w:t xml:space="preserve">      Respondent;</w:t>
            </w:r>
          </w:p>
          <w:p w14:paraId="56D2466C" w14:textId="77777777" w:rsidR="00CD05CC" w:rsidRDefault="000F2DE2">
            <w:pPr>
              <w:spacing w:line="240" w:lineRule="auto"/>
            </w:pPr>
          </w:p>
          <w:p w14:paraId="5BE48190" w14:textId="77777777" w:rsidR="00CD05CC" w:rsidRDefault="000F2DE2">
            <w:pPr>
              <w:spacing w:line="240" w:lineRule="auto"/>
            </w:pPr>
            <w:r>
              <w:t xml:space="preserve">ACCURATE </w:t>
            </w:r>
            <w:r>
              <w:t>BACKGROUND LLC,</w:t>
            </w:r>
          </w:p>
          <w:p w14:paraId="684B5377" w14:textId="77777777" w:rsidR="00CD05CC" w:rsidRDefault="000F2DE2">
            <w:pPr>
              <w:spacing w:line="240" w:lineRule="auto"/>
            </w:pPr>
          </w:p>
          <w:p w14:paraId="2CCDFA7C" w14:textId="05995F09" w:rsidR="00CD05CC" w:rsidRDefault="000F2DE2">
            <w:pPr>
              <w:spacing w:line="240" w:lineRule="auto"/>
            </w:pPr>
            <w:r>
              <w:t xml:space="preserve">      </w:t>
            </w:r>
            <w:r w:rsidR="00606A3F">
              <w:t xml:space="preserve">Real </w:t>
            </w:r>
            <w:r>
              <w:t>Party in Interest.</w:t>
            </w:r>
          </w:p>
          <w:p w14:paraId="750F435B" w14:textId="77777777" w:rsidR="00CD05CC" w:rsidRDefault="000F2DE2">
            <w:pPr>
              <w:spacing w:line="240" w:lineRule="auto"/>
            </w:pPr>
          </w:p>
        </w:tc>
        <w:tc>
          <w:tcPr>
            <w:tcW w:w="4680" w:type="dxa"/>
            <w:tcBorders>
              <w:top w:val="nil"/>
              <w:left w:val="single" w:sz="4" w:space="0" w:color="auto"/>
              <w:bottom w:val="nil"/>
              <w:right w:val="nil"/>
            </w:tcBorders>
          </w:tcPr>
          <w:p w14:paraId="6597F1DE" w14:textId="77777777" w:rsidR="00CD05CC" w:rsidRDefault="000F2DE2">
            <w:pPr>
              <w:spacing w:line="240" w:lineRule="auto"/>
            </w:pPr>
          </w:p>
          <w:p w14:paraId="1126BC93" w14:textId="77777777" w:rsidR="00CD05CC" w:rsidRDefault="000F2DE2">
            <w:pPr>
              <w:spacing w:line="240" w:lineRule="auto"/>
            </w:pPr>
          </w:p>
          <w:p w14:paraId="161D0E99" w14:textId="77777777" w:rsidR="00CD05CC" w:rsidRDefault="000F2DE2">
            <w:pPr>
              <w:spacing w:line="240" w:lineRule="auto"/>
            </w:pPr>
          </w:p>
          <w:p w14:paraId="73C5CA16" w14:textId="77777777" w:rsidR="00CD05CC" w:rsidRDefault="000F2DE2">
            <w:pPr>
              <w:spacing w:line="240" w:lineRule="auto"/>
            </w:pPr>
          </w:p>
          <w:p w14:paraId="05E6AB47" w14:textId="77777777" w:rsidR="00CD05CC" w:rsidRDefault="000F2DE2">
            <w:pPr>
              <w:spacing w:line="240" w:lineRule="auto"/>
            </w:pPr>
            <w:r>
              <w:t xml:space="preserve">         G061122</w:t>
            </w:r>
          </w:p>
          <w:p w14:paraId="7D456AE0" w14:textId="77777777" w:rsidR="00CD05CC" w:rsidRDefault="000F2DE2">
            <w:pPr>
              <w:spacing w:line="240" w:lineRule="auto"/>
            </w:pPr>
          </w:p>
          <w:p w14:paraId="6B221A65" w14:textId="77777777" w:rsidR="00CD05CC" w:rsidRDefault="000F2DE2">
            <w:pPr>
              <w:spacing w:line="240" w:lineRule="auto"/>
            </w:pPr>
            <w:r>
              <w:t xml:space="preserve">         (Super. Ct. No. 30-2021-01188280)</w:t>
            </w:r>
          </w:p>
          <w:p w14:paraId="165B7AD2" w14:textId="77777777" w:rsidR="00CD05CC" w:rsidRDefault="000F2DE2">
            <w:pPr>
              <w:spacing w:line="240" w:lineRule="auto"/>
            </w:pPr>
          </w:p>
          <w:p w14:paraId="4E8393F1" w14:textId="77777777" w:rsidR="00CD05CC" w:rsidRDefault="000F2DE2">
            <w:pPr>
              <w:spacing w:line="240" w:lineRule="auto"/>
            </w:pPr>
            <w:r>
              <w:t xml:space="preserve">         </w:t>
            </w:r>
            <w:r>
              <w:t>O P I N I O N</w:t>
            </w:r>
          </w:p>
        </w:tc>
      </w:tr>
      <w:tr w:rsidR="0018695A" w14:paraId="47E47B59" w14:textId="77777777" w:rsidTr="00CD05CC">
        <w:tc>
          <w:tcPr>
            <w:tcW w:w="4680" w:type="dxa"/>
            <w:tcBorders>
              <w:top w:val="nil"/>
              <w:left w:val="nil"/>
              <w:bottom w:val="single" w:sz="4" w:space="0" w:color="auto"/>
              <w:right w:val="single" w:sz="4" w:space="0" w:color="auto"/>
            </w:tcBorders>
          </w:tcPr>
          <w:p w14:paraId="39926F67" w14:textId="77777777" w:rsidR="00CD05CC" w:rsidRDefault="000F2DE2">
            <w:pPr>
              <w:spacing w:line="240" w:lineRule="auto"/>
            </w:pPr>
            <w:r>
              <w:t>ACCURATE BACKGROUND LLC,</w:t>
            </w:r>
          </w:p>
          <w:p w14:paraId="41C88C73" w14:textId="77777777" w:rsidR="00CD05CC" w:rsidRDefault="000F2DE2">
            <w:pPr>
              <w:spacing w:line="240" w:lineRule="auto"/>
            </w:pPr>
          </w:p>
          <w:p w14:paraId="45C0DCF0" w14:textId="77777777" w:rsidR="00CD05CC" w:rsidRDefault="000F2DE2">
            <w:pPr>
              <w:spacing w:line="240" w:lineRule="auto"/>
            </w:pPr>
            <w:r>
              <w:t xml:space="preserve">      Petitioner,</w:t>
            </w:r>
          </w:p>
          <w:p w14:paraId="12E8AFC4" w14:textId="77777777" w:rsidR="00CD05CC" w:rsidRDefault="000F2DE2">
            <w:pPr>
              <w:spacing w:line="240" w:lineRule="auto"/>
            </w:pPr>
          </w:p>
          <w:p w14:paraId="03ABBE1C" w14:textId="77777777" w:rsidR="00CD05CC" w:rsidRDefault="000F2DE2">
            <w:pPr>
              <w:spacing w:line="240" w:lineRule="auto"/>
            </w:pPr>
            <w:r>
              <w:tab/>
              <w:t>v.</w:t>
            </w:r>
          </w:p>
          <w:p w14:paraId="6EA8EBB8" w14:textId="77777777" w:rsidR="00CD05CC" w:rsidRDefault="000F2DE2">
            <w:pPr>
              <w:spacing w:line="240" w:lineRule="auto"/>
            </w:pPr>
          </w:p>
          <w:p w14:paraId="6167F0D8" w14:textId="77777777" w:rsidR="00CD05CC" w:rsidRDefault="000F2DE2">
            <w:pPr>
              <w:spacing w:line="240" w:lineRule="auto"/>
            </w:pPr>
            <w:r>
              <w:t>THE SUPERIOR COURT OF ORANGE COUNTY,</w:t>
            </w:r>
          </w:p>
          <w:p w14:paraId="6B8F8A2C" w14:textId="77777777" w:rsidR="00CD05CC" w:rsidRDefault="000F2DE2">
            <w:pPr>
              <w:spacing w:line="240" w:lineRule="auto"/>
            </w:pPr>
          </w:p>
          <w:p w14:paraId="7CB4B5EA" w14:textId="77777777" w:rsidR="00CD05CC" w:rsidRDefault="000F2DE2">
            <w:pPr>
              <w:spacing w:line="240" w:lineRule="auto"/>
            </w:pPr>
            <w:r>
              <w:t xml:space="preserve">      Respondent;</w:t>
            </w:r>
          </w:p>
          <w:p w14:paraId="3BB3BCA2" w14:textId="77777777" w:rsidR="00CD05CC" w:rsidRDefault="000F2DE2">
            <w:pPr>
              <w:spacing w:line="240" w:lineRule="auto"/>
            </w:pPr>
          </w:p>
          <w:p w14:paraId="7958589B" w14:textId="77777777" w:rsidR="00CD05CC" w:rsidRDefault="000F2DE2">
            <w:pPr>
              <w:spacing w:line="240" w:lineRule="auto"/>
            </w:pPr>
            <w:r>
              <w:t>R. KEMP,</w:t>
            </w:r>
          </w:p>
          <w:p w14:paraId="4D4C36A2" w14:textId="77777777" w:rsidR="00CD05CC" w:rsidRDefault="000F2DE2">
            <w:pPr>
              <w:spacing w:line="240" w:lineRule="auto"/>
            </w:pPr>
          </w:p>
          <w:p w14:paraId="7FD8B64C" w14:textId="3F22B37D" w:rsidR="00CD05CC" w:rsidRDefault="000F2DE2">
            <w:pPr>
              <w:spacing w:line="240" w:lineRule="auto"/>
            </w:pPr>
            <w:r>
              <w:t xml:space="preserve">      </w:t>
            </w:r>
            <w:r w:rsidR="00606A3F">
              <w:t xml:space="preserve">Real </w:t>
            </w:r>
            <w:r>
              <w:t>Party in Interest.</w:t>
            </w:r>
          </w:p>
          <w:p w14:paraId="37D66C75" w14:textId="77777777" w:rsidR="00CD05CC" w:rsidRDefault="000F2DE2">
            <w:pPr>
              <w:spacing w:line="240" w:lineRule="auto"/>
            </w:pPr>
          </w:p>
        </w:tc>
        <w:tc>
          <w:tcPr>
            <w:tcW w:w="4680" w:type="dxa"/>
            <w:tcBorders>
              <w:top w:val="nil"/>
              <w:left w:val="single" w:sz="4" w:space="0" w:color="auto"/>
              <w:bottom w:val="nil"/>
              <w:right w:val="nil"/>
            </w:tcBorders>
          </w:tcPr>
          <w:p w14:paraId="380B9F3E" w14:textId="77777777" w:rsidR="00CD05CC" w:rsidRDefault="000F2DE2">
            <w:pPr>
              <w:spacing w:line="240" w:lineRule="auto"/>
            </w:pPr>
          </w:p>
          <w:p w14:paraId="30E8E617" w14:textId="77777777" w:rsidR="00CD05CC" w:rsidRDefault="000F2DE2">
            <w:pPr>
              <w:spacing w:line="240" w:lineRule="auto"/>
            </w:pPr>
          </w:p>
          <w:p w14:paraId="71CFCEA7" w14:textId="77777777" w:rsidR="00CD05CC" w:rsidRDefault="000F2DE2">
            <w:pPr>
              <w:spacing w:line="240" w:lineRule="auto"/>
            </w:pPr>
          </w:p>
          <w:p w14:paraId="4C37D5C0" w14:textId="77777777" w:rsidR="00CD05CC" w:rsidRDefault="000F2DE2">
            <w:pPr>
              <w:spacing w:line="240" w:lineRule="auto"/>
            </w:pPr>
          </w:p>
          <w:p w14:paraId="151014F9" w14:textId="77777777" w:rsidR="00CD05CC" w:rsidRDefault="000F2DE2">
            <w:pPr>
              <w:spacing w:line="240" w:lineRule="auto"/>
            </w:pPr>
            <w:r>
              <w:t xml:space="preserve">         G061124</w:t>
            </w:r>
          </w:p>
          <w:p w14:paraId="25014F5A" w14:textId="77777777" w:rsidR="00CD05CC" w:rsidRDefault="000F2DE2">
            <w:pPr>
              <w:spacing w:line="240" w:lineRule="auto"/>
            </w:pPr>
          </w:p>
          <w:p w14:paraId="3E4E00B1" w14:textId="77777777" w:rsidR="00CD05CC" w:rsidRDefault="000F2DE2">
            <w:pPr>
              <w:spacing w:line="240" w:lineRule="auto"/>
            </w:pPr>
            <w:r>
              <w:t xml:space="preserve">         (Super. Ct. No. 30-2021-01188280)</w:t>
            </w:r>
          </w:p>
          <w:p w14:paraId="517D6DB3" w14:textId="77777777" w:rsidR="00CD05CC" w:rsidRDefault="000F2DE2">
            <w:pPr>
              <w:spacing w:line="240" w:lineRule="auto"/>
            </w:pPr>
          </w:p>
          <w:p w14:paraId="53E65F57" w14:textId="77777777" w:rsidR="00CD05CC" w:rsidRDefault="000F2DE2">
            <w:pPr>
              <w:spacing w:line="240" w:lineRule="auto"/>
            </w:pPr>
          </w:p>
        </w:tc>
      </w:tr>
    </w:tbl>
    <w:p w14:paraId="235CF102" w14:textId="77777777" w:rsidR="00CD05CC" w:rsidRDefault="000F2DE2" w:rsidP="00CD05CC">
      <w:pPr>
        <w:tabs>
          <w:tab w:val="left" w:pos="1440"/>
          <w:tab w:val="left" w:pos="2880"/>
          <w:tab w:val="left" w:pos="4320"/>
          <w:tab w:val="left" w:pos="5760"/>
          <w:tab w:val="left" w:pos="7200"/>
          <w:tab w:val="left" w:pos="8640"/>
        </w:tabs>
      </w:pPr>
      <w:r>
        <w:tab/>
        <w:t xml:space="preserve">Original proceedings; petitions for writs of mandate/prohibition to challenge orders of the Superior Court of Orange County, James J. Di Cesare, Judge.  </w:t>
      </w:r>
      <w:r>
        <w:lastRenderedPageBreak/>
        <w:t>Petition</w:t>
      </w:r>
      <w:r>
        <w:t xml:space="preserve">er’s writ in </w:t>
      </w:r>
      <w:r>
        <w:t xml:space="preserve">case </w:t>
      </w:r>
      <w:r>
        <w:t>No.</w:t>
      </w:r>
      <w:r>
        <w:t xml:space="preserve"> </w:t>
      </w:r>
      <w:r>
        <w:t xml:space="preserve">G061122 is granted.  Petitioner’s writ in </w:t>
      </w:r>
      <w:r>
        <w:t xml:space="preserve">case </w:t>
      </w:r>
      <w:r>
        <w:t>No.</w:t>
      </w:r>
      <w:r>
        <w:t xml:space="preserve"> </w:t>
      </w:r>
      <w:r>
        <w:t>G061124 is denied.</w:t>
      </w:r>
    </w:p>
    <w:p w14:paraId="3F968DE1" w14:textId="77777777" w:rsidR="00CD05CC" w:rsidRDefault="000F2DE2" w:rsidP="00CD05CC">
      <w:pPr>
        <w:tabs>
          <w:tab w:val="left" w:pos="1440"/>
          <w:tab w:val="left" w:pos="2880"/>
          <w:tab w:val="left" w:pos="4320"/>
          <w:tab w:val="left" w:pos="5760"/>
          <w:tab w:val="left" w:pos="7200"/>
          <w:tab w:val="left" w:pos="8640"/>
        </w:tabs>
      </w:pPr>
      <w:r>
        <w:tab/>
        <w:t>Outten &amp; Golden, Jahan C. Sagafi, Ossai Miazad, Christopher M. McNerney</w:t>
      </w:r>
      <w:r>
        <w:t xml:space="preserve">, </w:t>
      </w:r>
      <w:r>
        <w:t>Julio Sharp Wasserman</w:t>
      </w:r>
      <w:r>
        <w:t xml:space="preserve"> and </w:t>
      </w:r>
      <w:r>
        <w:t xml:space="preserve">Molly J. Fransden </w:t>
      </w:r>
      <w:r>
        <w:t>for Petitioner</w:t>
      </w:r>
      <w:r>
        <w:t xml:space="preserve"> and Real Party in Interest</w:t>
      </w:r>
      <w:r>
        <w:t>.</w:t>
      </w:r>
    </w:p>
    <w:p w14:paraId="0DCDB467" w14:textId="77777777" w:rsidR="00CD05CC" w:rsidRDefault="000F2DE2" w:rsidP="00CD05CC">
      <w:pPr>
        <w:tabs>
          <w:tab w:val="left" w:pos="1440"/>
          <w:tab w:val="left" w:pos="2880"/>
          <w:tab w:val="left" w:pos="4320"/>
          <w:tab w:val="left" w:pos="5760"/>
          <w:tab w:val="left" w:pos="7200"/>
          <w:tab w:val="left" w:pos="8640"/>
        </w:tabs>
      </w:pPr>
      <w:r>
        <w:tab/>
      </w:r>
      <w:r>
        <w:t xml:space="preserve">Troutman Pepper Hamilton Sanders, Ronald I. Raether, Jr., Elizabeth Holt Andrews and Jessica R. Lohr for </w:t>
      </w:r>
      <w:r>
        <w:t xml:space="preserve">Petitioner and </w:t>
      </w:r>
      <w:r>
        <w:t>Real Party in Interest.</w:t>
      </w:r>
    </w:p>
    <w:p w14:paraId="278E87B8" w14:textId="77777777" w:rsidR="00CD05CC" w:rsidRDefault="000F2DE2" w:rsidP="00CD05CC">
      <w:pPr>
        <w:tabs>
          <w:tab w:val="left" w:pos="1440"/>
          <w:tab w:val="left" w:leader="underscore" w:pos="5040"/>
        </w:tabs>
        <w:ind w:firstLine="1440"/>
      </w:pPr>
      <w:r>
        <w:t>No appearance by Respondent.</w:t>
      </w:r>
    </w:p>
    <w:p w14:paraId="21F96F71" w14:textId="77777777" w:rsidR="00693A0D" w:rsidRDefault="000F2DE2" w:rsidP="007D3C59">
      <w:pPr>
        <w:tabs>
          <w:tab w:val="left" w:pos="1440"/>
          <w:tab w:val="left" w:leader="underscore" w:pos="5040"/>
        </w:tabs>
        <w:jc w:val="both"/>
      </w:pPr>
    </w:p>
    <w:p w14:paraId="79351478" w14:textId="77777777" w:rsidR="00CD05CC" w:rsidRDefault="000F2DE2" w:rsidP="00CD05CC">
      <w:pPr>
        <w:tabs>
          <w:tab w:val="left" w:pos="1440"/>
          <w:tab w:val="left" w:leader="underscore" w:pos="5040"/>
        </w:tabs>
        <w:jc w:val="center"/>
      </w:pPr>
      <w:r>
        <w:t>*                *                *</w:t>
      </w:r>
    </w:p>
    <w:p w14:paraId="045F384F" w14:textId="77777777" w:rsidR="007D386F" w:rsidRDefault="000F2DE2" w:rsidP="00DF0B9A">
      <w:pPr>
        <w:widowControl w:val="0"/>
        <w:tabs>
          <w:tab w:val="left" w:pos="1440"/>
          <w:tab w:val="left" w:leader="underscore" w:pos="5040"/>
        </w:tabs>
        <w:spacing w:line="480" w:lineRule="atLeast"/>
      </w:pPr>
      <w:r>
        <w:tab/>
      </w:r>
      <w:r>
        <w:t>Under th</w:t>
      </w:r>
      <w:r w:rsidRPr="00FC5EE3">
        <w:t xml:space="preserve">e </w:t>
      </w:r>
      <w:r>
        <w:t xml:space="preserve">federal Fair Credit </w:t>
      </w:r>
      <w:r>
        <w:t>Reporting Act (FCRA)</w:t>
      </w:r>
      <w:r>
        <w:t>, a</w:t>
      </w:r>
      <w:r>
        <w:t xml:space="preserve"> regulated </w:t>
      </w:r>
      <w:r>
        <w:t xml:space="preserve">agency </w:t>
      </w:r>
      <w:r>
        <w:t xml:space="preserve">may </w:t>
      </w:r>
      <w:r w:rsidRPr="00FC5EE3">
        <w:t xml:space="preserve">report </w:t>
      </w:r>
      <w:r>
        <w:t xml:space="preserve">a </w:t>
      </w:r>
      <w:r>
        <w:t xml:space="preserve">person’s </w:t>
      </w:r>
      <w:r>
        <w:t xml:space="preserve">prior </w:t>
      </w:r>
      <w:r w:rsidRPr="00FC5EE3">
        <w:t>conviction</w:t>
      </w:r>
      <w:r>
        <w:t xml:space="preserve"> </w:t>
      </w:r>
      <w:r>
        <w:t xml:space="preserve">to a prospective employer </w:t>
      </w:r>
      <w:r w:rsidRPr="00FC5EE3">
        <w:t xml:space="preserve">no matter how long ago </w:t>
      </w:r>
      <w:r>
        <w:t xml:space="preserve">it </w:t>
      </w:r>
      <w:r w:rsidRPr="00FC5EE3">
        <w:t>occurred.</w:t>
      </w:r>
      <w:r>
        <w:t xml:space="preserve">  </w:t>
      </w:r>
      <w:r w:rsidRPr="00FC5EE3">
        <w:t>(15 U.S.C. § 1681c(a)(5).)</w:t>
      </w:r>
      <w:r>
        <w:t xml:space="preserve">  </w:t>
      </w:r>
      <w:r>
        <w:t>Conversely</w:t>
      </w:r>
      <w:r>
        <w:t>, u</w:t>
      </w:r>
      <w:r>
        <w:t>nder</w:t>
      </w:r>
      <w:r>
        <w:t xml:space="preserve"> </w:t>
      </w:r>
      <w:r>
        <w:t xml:space="preserve">the </w:t>
      </w:r>
      <w:r>
        <w:t xml:space="preserve">California </w:t>
      </w:r>
      <w:r w:rsidRPr="008547C5">
        <w:t xml:space="preserve">Investigative </w:t>
      </w:r>
      <w:r>
        <w:t>Consumer Reporting Agencies Act (ICRAA</w:t>
      </w:r>
      <w:r>
        <w:t xml:space="preserve">) </w:t>
      </w:r>
      <w:r>
        <w:t xml:space="preserve">and the </w:t>
      </w:r>
      <w:r>
        <w:t xml:space="preserve">California </w:t>
      </w:r>
      <w:r w:rsidRPr="008547C5">
        <w:t xml:space="preserve">Consumer </w:t>
      </w:r>
      <w:r>
        <w:t>Credit Reporting Agencies Act (CCRAA)</w:t>
      </w:r>
      <w:r>
        <w:t xml:space="preserve">, </w:t>
      </w:r>
      <w:r>
        <w:t xml:space="preserve">an agency </w:t>
      </w:r>
      <w:r>
        <w:t xml:space="preserve">is </w:t>
      </w:r>
      <w:r>
        <w:t xml:space="preserve">prohibited from </w:t>
      </w:r>
      <w:r>
        <w:t xml:space="preserve">reporting a </w:t>
      </w:r>
      <w:r>
        <w:t>“</w:t>
      </w:r>
      <w:r w:rsidRPr="00986D83">
        <w:t xml:space="preserve">conviction of a crime </w:t>
      </w:r>
      <w:r w:rsidRPr="00D15993">
        <w:t xml:space="preserve">that, from the date of disposition, release, </w:t>
      </w:r>
      <w:r w:rsidRPr="002D2DC2">
        <w:t>or parole,</w:t>
      </w:r>
      <w:r w:rsidRPr="00D15993">
        <w:t xml:space="preserve"> </w:t>
      </w:r>
      <w:r w:rsidRPr="00AB01FF">
        <w:t xml:space="preserve">antedate </w:t>
      </w:r>
      <w:r w:rsidRPr="00D15993">
        <w:t xml:space="preserve">the report </w:t>
      </w:r>
      <w:r>
        <w:t>by more than seven years.”</w:t>
      </w:r>
      <w:r>
        <w:rPr>
          <w:rStyle w:val="FootnoteReference"/>
        </w:rPr>
        <w:footnoteReference w:id="2"/>
      </w:r>
      <w:r>
        <w:t xml:space="preserve">  </w:t>
      </w:r>
      <w:r>
        <w:t>(</w:t>
      </w:r>
      <w:r>
        <w:t xml:space="preserve">Civ. Code, </w:t>
      </w:r>
      <w:r>
        <w:t>§</w:t>
      </w:r>
      <w:r>
        <w:t xml:space="preserve">§ </w:t>
      </w:r>
      <w:r>
        <w:t>1785.13</w:t>
      </w:r>
      <w:r>
        <w:t xml:space="preserve">, subd. </w:t>
      </w:r>
      <w:r>
        <w:t xml:space="preserve">(a)(6), </w:t>
      </w:r>
      <w:r>
        <w:t>1786.18</w:t>
      </w:r>
      <w:r>
        <w:t xml:space="preserve">, </w:t>
      </w:r>
      <w:r>
        <w:t xml:space="preserve">subd. </w:t>
      </w:r>
      <w:r>
        <w:t>(a)(7</w:t>
      </w:r>
      <w:r>
        <w:t>)</w:t>
      </w:r>
      <w:r>
        <w:t>.)</w:t>
      </w:r>
      <w:r>
        <w:rPr>
          <w:rStyle w:val="FootnoteReference"/>
        </w:rPr>
        <w:footnoteReference w:id="3"/>
      </w:r>
    </w:p>
    <w:p w14:paraId="53FFD3CA" w14:textId="77777777" w:rsidR="00DF0B9A" w:rsidRDefault="000F2DE2" w:rsidP="00DF0B9A">
      <w:pPr>
        <w:widowControl w:val="0"/>
        <w:tabs>
          <w:tab w:val="left" w:pos="1440"/>
          <w:tab w:val="left" w:leader="underscore" w:pos="5040"/>
        </w:tabs>
        <w:spacing w:line="480" w:lineRule="atLeast"/>
      </w:pPr>
      <w:bookmarkStart w:id="0" w:name="_Hlk111472172"/>
      <w:bookmarkStart w:id="1" w:name="_Hlk111472134"/>
      <w:r>
        <w:tab/>
      </w:r>
      <w:r>
        <w:t xml:space="preserve">Generally, </w:t>
      </w:r>
      <w:r>
        <w:t xml:space="preserve">a </w:t>
      </w:r>
      <w:r>
        <w:t xml:space="preserve">state </w:t>
      </w:r>
      <w:r>
        <w:t>l</w:t>
      </w:r>
      <w:r>
        <w:t xml:space="preserve">egislature </w:t>
      </w:r>
      <w:r>
        <w:t xml:space="preserve">can </w:t>
      </w:r>
      <w:r w:rsidRPr="00643261">
        <w:t xml:space="preserve">“offer greater protection to the consumer” </w:t>
      </w:r>
      <w:r>
        <w:t xml:space="preserve">than </w:t>
      </w:r>
      <w:r>
        <w:t>Congress</w:t>
      </w:r>
      <w:r>
        <w:t xml:space="preserve">.  </w:t>
      </w:r>
      <w:r w:rsidRPr="00643261">
        <w:t>(</w:t>
      </w:r>
      <w:r>
        <w:t xml:space="preserve">See </w:t>
      </w:r>
      <w:r w:rsidRPr="00B01864">
        <w:rPr>
          <w:i/>
          <w:iCs/>
        </w:rPr>
        <w:t>Cisneros v. U.D. Registry, Inc</w:t>
      </w:r>
      <w:r w:rsidRPr="00643261">
        <w:t>. (1995) 39 Cal.App.4th 548, 577.)</w:t>
      </w:r>
    </w:p>
    <w:p w14:paraId="186CC2DA" w14:textId="77777777" w:rsidR="00413F65" w:rsidRDefault="000F2DE2" w:rsidP="008D2089">
      <w:pPr>
        <w:widowControl w:val="0"/>
        <w:tabs>
          <w:tab w:val="left" w:pos="1440"/>
          <w:tab w:val="left" w:leader="underscore" w:pos="5040"/>
        </w:tabs>
        <w:spacing w:line="480" w:lineRule="atLeast"/>
      </w:pPr>
      <w:r>
        <w:tab/>
      </w:r>
      <w:bookmarkEnd w:id="0"/>
      <w:bookmarkEnd w:id="1"/>
      <w:r>
        <w:t>In 2011, plaintiff R. Kemp</w:t>
      </w:r>
      <w:r w:rsidRPr="000E7384">
        <w:t xml:space="preserve"> </w:t>
      </w:r>
      <w:r>
        <w:t xml:space="preserve">was convicted, released from prison, and </w:t>
      </w:r>
      <w:r w:rsidRPr="000E7384">
        <w:t>placed on parole</w:t>
      </w:r>
      <w:r>
        <w:t>.  In 2020, Amazon.com, Inc. (Amazon) offered Kemp a job</w:t>
      </w:r>
      <w:r>
        <w:t xml:space="preserve"> in Sacramento.  </w:t>
      </w:r>
      <w:r>
        <w:t>Defendant Accurate Background LLC (Accurate)</w:t>
      </w:r>
      <w:r>
        <w:t xml:space="preserve"> </w:t>
      </w:r>
      <w:r>
        <w:t xml:space="preserve">provided a </w:t>
      </w:r>
      <w:r>
        <w:t xml:space="preserve">background </w:t>
      </w:r>
      <w:r>
        <w:t xml:space="preserve">report to Amazon revealing </w:t>
      </w:r>
      <w:r>
        <w:t xml:space="preserve">Kemp’s </w:t>
      </w:r>
      <w:r>
        <w:t xml:space="preserve">criminal </w:t>
      </w:r>
      <w:r>
        <w:t xml:space="preserve">conviction.  Amazon </w:t>
      </w:r>
      <w:r>
        <w:t xml:space="preserve">then </w:t>
      </w:r>
      <w:r>
        <w:t>withdrew its job offer.</w:t>
      </w:r>
    </w:p>
    <w:p w14:paraId="1F7BF033" w14:textId="77777777" w:rsidR="006A324E" w:rsidRDefault="000F2DE2" w:rsidP="008D2089">
      <w:pPr>
        <w:widowControl w:val="0"/>
        <w:tabs>
          <w:tab w:val="left" w:pos="1440"/>
          <w:tab w:val="left" w:leader="underscore" w:pos="5040"/>
        </w:tabs>
        <w:spacing w:line="480" w:lineRule="atLeast"/>
      </w:pPr>
      <w:r>
        <w:lastRenderedPageBreak/>
        <w:tab/>
      </w:r>
      <w:r>
        <w:t xml:space="preserve">Because </w:t>
      </w:r>
      <w:r>
        <w:t xml:space="preserve">Kemp’s </w:t>
      </w:r>
      <w:r>
        <w:t xml:space="preserve">2011 </w:t>
      </w:r>
      <w:r>
        <w:t xml:space="preserve">conviction </w:t>
      </w:r>
      <w:r>
        <w:t xml:space="preserve">predated the 2020 </w:t>
      </w:r>
      <w:r>
        <w:t>report by more than seven years</w:t>
      </w:r>
      <w:r>
        <w:t xml:space="preserve">, </w:t>
      </w:r>
      <w:r>
        <w:t>he</w:t>
      </w:r>
      <w:r>
        <w:t xml:space="preserve"> </w:t>
      </w:r>
      <w:r>
        <w:t xml:space="preserve">filed a </w:t>
      </w:r>
      <w:r>
        <w:t xml:space="preserve">complaint </w:t>
      </w:r>
      <w:r>
        <w:t xml:space="preserve">alleging </w:t>
      </w:r>
      <w:r>
        <w:t xml:space="preserve">Accurate:  1) </w:t>
      </w:r>
      <w:r>
        <w:t xml:space="preserve">violated </w:t>
      </w:r>
      <w:r>
        <w:t xml:space="preserve">the </w:t>
      </w:r>
      <w:r>
        <w:t xml:space="preserve">ICRAA, 2) </w:t>
      </w:r>
      <w:r>
        <w:t xml:space="preserve">violated </w:t>
      </w:r>
      <w:r>
        <w:t xml:space="preserve">the </w:t>
      </w:r>
      <w:r>
        <w:t>CCRAA</w:t>
      </w:r>
      <w:r>
        <w:t xml:space="preserve">, and 3) </w:t>
      </w:r>
      <w:r>
        <w:t xml:space="preserve">derivatively violated </w:t>
      </w:r>
      <w:r>
        <w:t xml:space="preserve">the </w:t>
      </w:r>
      <w:r>
        <w:t>stat</w:t>
      </w:r>
      <w:r>
        <w:t>e</w:t>
      </w:r>
      <w:r>
        <w:t xml:space="preserve">’s </w:t>
      </w:r>
      <w:r>
        <w:t>Unfair Competition Law (UCL).</w:t>
      </w:r>
    </w:p>
    <w:p w14:paraId="70BAA78C" w14:textId="77777777" w:rsidR="009813AB" w:rsidRDefault="000F2DE2" w:rsidP="008D2089">
      <w:pPr>
        <w:widowControl w:val="0"/>
        <w:tabs>
          <w:tab w:val="left" w:pos="1440"/>
          <w:tab w:val="left" w:leader="underscore" w:pos="5040"/>
        </w:tabs>
        <w:spacing w:line="480" w:lineRule="atLeast"/>
      </w:pPr>
      <w:r>
        <w:tab/>
        <w:t>Accurate filed a demurrer</w:t>
      </w:r>
      <w:r>
        <w:t xml:space="preserve">. </w:t>
      </w:r>
      <w:r>
        <w:t xml:space="preserve"> </w:t>
      </w:r>
      <w:r>
        <w:t>Kemp</w:t>
      </w:r>
      <w:r>
        <w:t xml:space="preserve">’s </w:t>
      </w:r>
      <w:r w:rsidRPr="00111E64">
        <w:t xml:space="preserve">parole </w:t>
      </w:r>
      <w:r w:rsidRPr="00111E64">
        <w:t>end</w:t>
      </w:r>
      <w:r w:rsidRPr="00111E64">
        <w:t>ed</w:t>
      </w:r>
      <w:r w:rsidRPr="00DC5CE3">
        <w:rPr>
          <w:i/>
          <w:iCs/>
        </w:rPr>
        <w:t xml:space="preserve"> </w:t>
      </w:r>
      <w:r w:rsidRPr="003B087B">
        <w:t>in 2014</w:t>
      </w:r>
      <w:r>
        <w:t>, which predate</w:t>
      </w:r>
      <w:r>
        <w:t>d</w:t>
      </w:r>
      <w:r>
        <w:t xml:space="preserve"> </w:t>
      </w:r>
      <w:r>
        <w:t>the</w:t>
      </w:r>
      <w:r>
        <w:t xml:space="preserve"> </w:t>
      </w:r>
      <w:r>
        <w:t xml:space="preserve">2020 </w:t>
      </w:r>
      <w:r>
        <w:t>report by less than seven years</w:t>
      </w:r>
      <w:r>
        <w:t xml:space="preserve">.  </w:t>
      </w:r>
      <w:r>
        <w:t xml:space="preserve">Accurate argued </w:t>
      </w:r>
      <w:r>
        <w:t xml:space="preserve">under </w:t>
      </w:r>
      <w:r>
        <w:t>the ICRAA and the CCRAA</w:t>
      </w:r>
      <w:r>
        <w:t>, “the term ‘</w:t>
      </w:r>
      <w:r>
        <w:t xml:space="preserve">parole’ </w:t>
      </w:r>
      <w:r>
        <w:t xml:space="preserve">refers to the end of </w:t>
      </w:r>
      <w:r>
        <w:t xml:space="preserve">the </w:t>
      </w:r>
      <w:r>
        <w:t>parole</w:t>
      </w:r>
      <w:r>
        <w:t xml:space="preserve"> period</w:t>
      </w:r>
      <w:r>
        <w:t>,</w:t>
      </w:r>
      <w:r>
        <w:t xml:space="preserve">” thus barring liability.  </w:t>
      </w:r>
      <w:r>
        <w:t xml:space="preserve">Alternatively, </w:t>
      </w:r>
      <w:r>
        <w:t xml:space="preserve">Accurate argued the federal FCRA preempts the state ICRAA, and therefore Kemp’s ICRAA </w:t>
      </w:r>
      <w:r>
        <w:t xml:space="preserve">claim </w:t>
      </w:r>
      <w:r>
        <w:t>is</w:t>
      </w:r>
      <w:r>
        <w:t xml:space="preserve"> </w:t>
      </w:r>
      <w:r>
        <w:t>barred as a matter of law.</w:t>
      </w:r>
    </w:p>
    <w:p w14:paraId="43BA8997" w14:textId="77777777" w:rsidR="006F385F" w:rsidRDefault="000F2DE2" w:rsidP="008D2089">
      <w:pPr>
        <w:widowControl w:val="0"/>
        <w:tabs>
          <w:tab w:val="left" w:pos="1440"/>
          <w:tab w:val="left" w:leader="underscore" w:pos="5040"/>
        </w:tabs>
        <w:spacing w:line="480" w:lineRule="atLeast"/>
      </w:pPr>
      <w:r>
        <w:tab/>
      </w:r>
      <w:r>
        <w:t xml:space="preserve">The trial court </w:t>
      </w:r>
      <w:r>
        <w:t xml:space="preserve">overruled </w:t>
      </w:r>
      <w:r>
        <w:t xml:space="preserve">Accurate’s </w:t>
      </w:r>
      <w:r>
        <w:t>demurrer</w:t>
      </w:r>
      <w:r>
        <w:t xml:space="preserve">, </w:t>
      </w:r>
      <w:r>
        <w:t>in pa</w:t>
      </w:r>
      <w:r>
        <w:t>rt</w:t>
      </w:r>
      <w:r>
        <w:t xml:space="preserve">, </w:t>
      </w:r>
      <w:r>
        <w:t xml:space="preserve">finding </w:t>
      </w:r>
      <w:r>
        <w:t>“</w:t>
      </w:r>
      <w:r>
        <w:t xml:space="preserve">the plain meaning </w:t>
      </w:r>
      <w:r>
        <w:t>of ‘</w:t>
      </w:r>
      <w:r>
        <w:t xml:space="preserve">from the date of </w:t>
      </w:r>
      <w:r>
        <w:t xml:space="preserve">. . . </w:t>
      </w:r>
      <w:r>
        <w:t>parole</w:t>
      </w:r>
      <w:r>
        <w:t>’</w:t>
      </w:r>
      <w:r>
        <w:t xml:space="preserve"> refers to </w:t>
      </w:r>
      <w:r>
        <w:t>the start</w:t>
      </w:r>
      <w:r>
        <w:t xml:space="preserve"> </w:t>
      </w:r>
      <w:r>
        <w:t>date</w:t>
      </w:r>
      <w:r>
        <w:t xml:space="preserve"> of</w:t>
      </w:r>
      <w:r>
        <w:t xml:space="preserve"> conditional release</w:t>
      </w:r>
      <w:r>
        <w:t>.</w:t>
      </w:r>
      <w:r>
        <w:t>”</w:t>
      </w:r>
      <w:r>
        <w:t xml:space="preserve">  </w:t>
      </w:r>
      <w:r>
        <w:t>T</w:t>
      </w:r>
      <w:r>
        <w:t xml:space="preserve">he court </w:t>
      </w:r>
      <w:r>
        <w:t xml:space="preserve">sustained </w:t>
      </w:r>
      <w:r>
        <w:t xml:space="preserve">Accurate’s </w:t>
      </w:r>
      <w:r>
        <w:t>demurrer</w:t>
      </w:r>
      <w:r>
        <w:t xml:space="preserve">, </w:t>
      </w:r>
      <w:r>
        <w:t xml:space="preserve">in part, </w:t>
      </w:r>
      <w:r>
        <w:t xml:space="preserve">finding </w:t>
      </w:r>
      <w:r>
        <w:t>“</w:t>
      </w:r>
      <w:r>
        <w:t xml:space="preserve">the </w:t>
      </w:r>
      <w:r>
        <w:t>FC</w:t>
      </w:r>
      <w:r>
        <w:t>R</w:t>
      </w:r>
      <w:r>
        <w:t xml:space="preserve">A preempts </w:t>
      </w:r>
      <w:r>
        <w:t>the ICRAA claim</w:t>
      </w:r>
      <w:r>
        <w:t>.”</w:t>
      </w:r>
      <w:r>
        <w:t xml:space="preserve"> </w:t>
      </w:r>
      <w:r>
        <w:t xml:space="preserve"> </w:t>
      </w:r>
      <w:r>
        <w:t xml:space="preserve">Accurate </w:t>
      </w:r>
      <w:r>
        <w:t xml:space="preserve">and </w:t>
      </w:r>
      <w:r>
        <w:t xml:space="preserve">Kemp </w:t>
      </w:r>
      <w:r>
        <w:t xml:space="preserve">both </w:t>
      </w:r>
      <w:r>
        <w:t xml:space="preserve">filed </w:t>
      </w:r>
      <w:r>
        <w:t>p</w:t>
      </w:r>
      <w:r>
        <w:t>etition</w:t>
      </w:r>
      <w:r>
        <w:t xml:space="preserve">s </w:t>
      </w:r>
      <w:r>
        <w:t xml:space="preserve">for </w:t>
      </w:r>
      <w:r>
        <w:t xml:space="preserve">extraordinary writ relief </w:t>
      </w:r>
      <w:r>
        <w:t>in this court</w:t>
      </w:r>
      <w:r>
        <w:t xml:space="preserve">.  </w:t>
      </w:r>
      <w:r>
        <w:t xml:space="preserve">We </w:t>
      </w:r>
      <w:r>
        <w:t xml:space="preserve">issued </w:t>
      </w:r>
      <w:r>
        <w:t>orders to show cause</w:t>
      </w:r>
      <w:r>
        <w:t>.</w:t>
      </w:r>
      <w:r>
        <w:rPr>
          <w:rStyle w:val="FootnoteReference"/>
        </w:rPr>
        <w:footnoteReference w:id="4"/>
      </w:r>
    </w:p>
    <w:p w14:paraId="663D36B3" w14:textId="77777777" w:rsidR="00396623" w:rsidRDefault="000F2DE2" w:rsidP="00396623">
      <w:pPr>
        <w:tabs>
          <w:tab w:val="left" w:pos="1440"/>
          <w:tab w:val="left" w:pos="2880"/>
          <w:tab w:val="left" w:pos="4320"/>
          <w:tab w:val="left" w:pos="5760"/>
          <w:tab w:val="left" w:pos="7200"/>
          <w:tab w:val="left" w:pos="8640"/>
        </w:tabs>
      </w:pPr>
      <w:r>
        <w:tab/>
      </w:r>
      <w:r>
        <w:t>We hold</w:t>
      </w:r>
      <w:r>
        <w:t xml:space="preserve"> </w:t>
      </w:r>
      <w:r>
        <w:t xml:space="preserve">the phrase </w:t>
      </w:r>
      <w:r w:rsidRPr="0082686B">
        <w:rPr>
          <w:i/>
          <w:iCs/>
        </w:rPr>
        <w:t>from the date of parole</w:t>
      </w:r>
      <w:r>
        <w:t xml:space="preserve"> refers to the start </w:t>
      </w:r>
      <w:r>
        <w:t xml:space="preserve">date </w:t>
      </w:r>
      <w:r>
        <w:t>of parole</w:t>
      </w:r>
      <w:r>
        <w:t>, a</w:t>
      </w:r>
      <w:r>
        <w:t xml:space="preserve">nd the FCRA does not preempt </w:t>
      </w:r>
      <w:r>
        <w:t xml:space="preserve">Kemp’s </w:t>
      </w:r>
      <w:r>
        <w:t>ICRAA</w:t>
      </w:r>
      <w:r>
        <w:t xml:space="preserve"> claim</w:t>
      </w:r>
      <w:r>
        <w:t xml:space="preserve">.  </w:t>
      </w:r>
      <w:bookmarkStart w:id="2" w:name="_Hlk116831619"/>
      <w:r>
        <w:t xml:space="preserve">Thus, we direct the trial court to </w:t>
      </w:r>
      <w:r>
        <w:t>vacate its prior order</w:t>
      </w:r>
      <w:r>
        <w:t xml:space="preserve">, which partially </w:t>
      </w:r>
      <w:r>
        <w:t>sustained A</w:t>
      </w:r>
      <w:r>
        <w:t xml:space="preserve">ccurate’s demurrer, and </w:t>
      </w:r>
      <w:r>
        <w:t xml:space="preserve">to </w:t>
      </w:r>
      <w:r>
        <w:t xml:space="preserve">issue a new order </w:t>
      </w:r>
      <w:r>
        <w:t xml:space="preserve">overruling </w:t>
      </w:r>
      <w:r>
        <w:t>the</w:t>
      </w:r>
      <w:r>
        <w:t xml:space="preserve"> </w:t>
      </w:r>
      <w:r>
        <w:t>demurrer in its entirety.</w:t>
      </w:r>
    </w:p>
    <w:bookmarkEnd w:id="2"/>
    <w:p w14:paraId="556870DB" w14:textId="77777777" w:rsidR="007E4D09" w:rsidRDefault="000F2DE2" w:rsidP="008D2089">
      <w:pPr>
        <w:widowControl w:val="0"/>
        <w:tabs>
          <w:tab w:val="left" w:pos="1440"/>
          <w:tab w:val="left" w:leader="underscore" w:pos="5040"/>
        </w:tabs>
        <w:spacing w:line="480" w:lineRule="atLeast"/>
      </w:pPr>
    </w:p>
    <w:p w14:paraId="22BE56C1" w14:textId="77777777" w:rsidR="00242E28" w:rsidRDefault="000F2DE2" w:rsidP="00E458FD">
      <w:pPr>
        <w:widowControl w:val="0"/>
        <w:tabs>
          <w:tab w:val="left" w:pos="1440"/>
          <w:tab w:val="left" w:leader="underscore" w:pos="5040"/>
        </w:tabs>
        <w:spacing w:line="480" w:lineRule="atLeast"/>
        <w:jc w:val="center"/>
      </w:pPr>
      <w:r>
        <w:t>I</w:t>
      </w:r>
    </w:p>
    <w:p w14:paraId="7B12F1BE" w14:textId="77777777" w:rsidR="00242E28" w:rsidRDefault="000F2DE2" w:rsidP="001316C5">
      <w:pPr>
        <w:widowControl w:val="0"/>
        <w:tabs>
          <w:tab w:val="left" w:pos="1440"/>
          <w:tab w:val="left" w:leader="underscore" w:pos="5040"/>
        </w:tabs>
        <w:spacing w:line="480" w:lineRule="atLeast"/>
        <w:jc w:val="center"/>
      </w:pPr>
      <w:r>
        <w:t>FACTS AND PROCEDURAL HISTORY</w:t>
      </w:r>
    </w:p>
    <w:p w14:paraId="20D0F8BE" w14:textId="77777777" w:rsidR="0005565B" w:rsidRDefault="000F2DE2" w:rsidP="005807B0">
      <w:pPr>
        <w:widowControl w:val="0"/>
        <w:tabs>
          <w:tab w:val="left" w:pos="1440"/>
          <w:tab w:val="left" w:leader="underscore" w:pos="5040"/>
          <w:tab w:val="left" w:pos="5490"/>
        </w:tabs>
        <w:spacing w:line="480" w:lineRule="atLeast"/>
      </w:pPr>
      <w:r>
        <w:tab/>
      </w:r>
      <w:r>
        <w:t>At some point i</w:t>
      </w:r>
      <w:r>
        <w:t xml:space="preserve">n </w:t>
      </w:r>
      <w:r>
        <w:t xml:space="preserve">2011, </w:t>
      </w:r>
      <w:r>
        <w:t>Kemp was convicted of a</w:t>
      </w:r>
      <w:r>
        <w:t xml:space="preserve"> crime</w:t>
      </w:r>
      <w:r>
        <w:t xml:space="preserve"> and </w:t>
      </w:r>
      <w:r>
        <w:t xml:space="preserve">went </w:t>
      </w:r>
      <w:r>
        <w:t>to prison</w:t>
      </w:r>
      <w:r>
        <w:t xml:space="preserve"> (</w:t>
      </w:r>
      <w:r>
        <w:t xml:space="preserve">no further </w:t>
      </w:r>
      <w:r>
        <w:t xml:space="preserve">details </w:t>
      </w:r>
      <w:r>
        <w:t xml:space="preserve">are </w:t>
      </w:r>
      <w:r>
        <w:t>in the record</w:t>
      </w:r>
      <w:r>
        <w:t>)</w:t>
      </w:r>
      <w:r>
        <w:t xml:space="preserve">.  </w:t>
      </w:r>
      <w:r>
        <w:t xml:space="preserve">In December </w:t>
      </w:r>
      <w:r>
        <w:t xml:space="preserve">2011, </w:t>
      </w:r>
      <w:r>
        <w:t xml:space="preserve">Kemp </w:t>
      </w:r>
      <w:r>
        <w:t xml:space="preserve">was released from prison and </w:t>
      </w:r>
      <w:r>
        <w:t xml:space="preserve">was </w:t>
      </w:r>
      <w:r>
        <w:t>placed on parole.</w:t>
      </w:r>
      <w:r>
        <w:t xml:space="preserve"> </w:t>
      </w:r>
      <w:r>
        <w:t xml:space="preserve"> </w:t>
      </w:r>
      <w:r>
        <w:t xml:space="preserve">In December </w:t>
      </w:r>
      <w:r>
        <w:t>2014</w:t>
      </w:r>
      <w:r>
        <w:t xml:space="preserve">, </w:t>
      </w:r>
      <w:r>
        <w:t>Kemp’s parole ended</w:t>
      </w:r>
      <w:r>
        <w:t>.</w:t>
      </w:r>
    </w:p>
    <w:p w14:paraId="0BE34819" w14:textId="77777777" w:rsidR="00CD7F4F" w:rsidRPr="00725996" w:rsidRDefault="000F2DE2" w:rsidP="005807B0">
      <w:pPr>
        <w:widowControl w:val="0"/>
        <w:tabs>
          <w:tab w:val="left" w:pos="1440"/>
          <w:tab w:val="left" w:leader="underscore" w:pos="5040"/>
          <w:tab w:val="left" w:pos="5490"/>
        </w:tabs>
        <w:spacing w:line="480" w:lineRule="atLeast"/>
      </w:pPr>
      <w:r>
        <w:tab/>
      </w:r>
      <w:r>
        <w:t xml:space="preserve">In March </w:t>
      </w:r>
      <w:r>
        <w:t xml:space="preserve">2020, </w:t>
      </w:r>
      <w:r>
        <w:t xml:space="preserve">Amazon offered </w:t>
      </w:r>
      <w:r>
        <w:t xml:space="preserve">Kemp </w:t>
      </w:r>
      <w:r>
        <w:t xml:space="preserve">a job in Sacramento, </w:t>
      </w:r>
      <w:r>
        <w:t>pending</w:t>
      </w:r>
      <w:r>
        <w:t xml:space="preserve"> a background </w:t>
      </w:r>
      <w:r>
        <w:t>check</w:t>
      </w:r>
      <w:r>
        <w:t>.</w:t>
      </w:r>
      <w:r>
        <w:t xml:space="preserve">  </w:t>
      </w:r>
      <w:r>
        <w:t xml:space="preserve">The following month, </w:t>
      </w:r>
      <w:r>
        <w:t xml:space="preserve">Accurate </w:t>
      </w:r>
      <w:r>
        <w:t xml:space="preserve">provided </w:t>
      </w:r>
      <w:r>
        <w:t>Amazon</w:t>
      </w:r>
      <w:r>
        <w:t xml:space="preserve"> with a</w:t>
      </w:r>
      <w:r>
        <w:t xml:space="preserve"> </w:t>
      </w:r>
      <w:r>
        <w:t>report</w:t>
      </w:r>
      <w:r>
        <w:t xml:space="preserve">, </w:t>
      </w:r>
      <w:r>
        <w:lastRenderedPageBreak/>
        <w:t xml:space="preserve">which </w:t>
      </w:r>
      <w:r>
        <w:t xml:space="preserve">included </w:t>
      </w:r>
      <w:r>
        <w:t xml:space="preserve">information about </w:t>
      </w:r>
      <w:r>
        <w:t>Kemp’s 20</w:t>
      </w:r>
      <w:r>
        <w:t>11 conviction.</w:t>
      </w:r>
      <w:r>
        <w:t xml:space="preserve"> </w:t>
      </w:r>
      <w:r>
        <w:t xml:space="preserve"> Due to </w:t>
      </w:r>
      <w:r>
        <w:t xml:space="preserve">Kemp’s </w:t>
      </w:r>
      <w:r>
        <w:t xml:space="preserve">2011 </w:t>
      </w:r>
      <w:r>
        <w:t xml:space="preserve">criminal </w:t>
      </w:r>
      <w:r>
        <w:t>conviction</w:t>
      </w:r>
      <w:r>
        <w:t xml:space="preserve">, Amazon </w:t>
      </w:r>
      <w:r>
        <w:t>withdrew its offer of employment.</w:t>
      </w:r>
    </w:p>
    <w:p w14:paraId="2951ADF7" w14:textId="77777777" w:rsidR="00753DA2" w:rsidRPr="00725996" w:rsidRDefault="000F2DE2" w:rsidP="00896210">
      <w:pPr>
        <w:widowControl w:val="0"/>
        <w:ind w:firstLine="1440"/>
      </w:pPr>
      <w:r>
        <w:t xml:space="preserve">In July </w:t>
      </w:r>
      <w:r>
        <w:t xml:space="preserve">2021, </w:t>
      </w:r>
      <w:r>
        <w:t xml:space="preserve">Kemp filed </w:t>
      </w:r>
      <w:r>
        <w:t>a</w:t>
      </w:r>
      <w:r>
        <w:t xml:space="preserve">n </w:t>
      </w:r>
      <w:r>
        <w:t>amended class action complai</w:t>
      </w:r>
      <w:r>
        <w:t xml:space="preserve">nt </w:t>
      </w:r>
      <w:r>
        <w:t xml:space="preserve">against Accurate </w:t>
      </w:r>
      <w:r>
        <w:t>stating</w:t>
      </w:r>
      <w:r>
        <w:t xml:space="preserve"> three causes of action:  1) </w:t>
      </w:r>
      <w:r>
        <w:t>a violation</w:t>
      </w:r>
      <w:r w:rsidRPr="00B72578">
        <w:t xml:space="preserve"> </w:t>
      </w:r>
      <w:r>
        <w:t>of the ICRAA</w:t>
      </w:r>
      <w:r>
        <w:t xml:space="preserve">, </w:t>
      </w:r>
      <w:r>
        <w:t xml:space="preserve">2) a </w:t>
      </w:r>
      <w:r>
        <w:t xml:space="preserve">violation of the </w:t>
      </w:r>
      <w:r>
        <w:t xml:space="preserve">CCRAA, and </w:t>
      </w:r>
      <w:r>
        <w:t>3)</w:t>
      </w:r>
      <w:r>
        <w:t xml:space="preserve"> </w:t>
      </w:r>
      <w:r>
        <w:t xml:space="preserve">a </w:t>
      </w:r>
      <w:r>
        <w:t xml:space="preserve">derivative </w:t>
      </w:r>
      <w:r>
        <w:t>violation</w:t>
      </w:r>
      <w:r>
        <w:t xml:space="preserve"> of the UC</w:t>
      </w:r>
      <w:r>
        <w:t>L</w:t>
      </w:r>
      <w:r>
        <w:t>.</w:t>
      </w:r>
    </w:p>
    <w:p w14:paraId="3D8BB020" w14:textId="77777777" w:rsidR="00167429" w:rsidRDefault="000F2DE2" w:rsidP="00D87BF1">
      <w:pPr>
        <w:widowControl w:val="0"/>
        <w:ind w:firstLine="1440"/>
        <w:rPr>
          <w:rFonts w:asciiTheme="minorHAnsi" w:hAnsiTheme="minorHAnsi" w:cstheme="minorHAnsi"/>
          <w:szCs w:val="26"/>
        </w:rPr>
      </w:pPr>
      <w:r>
        <w:rPr>
          <w:rFonts w:asciiTheme="minorHAnsi" w:hAnsiTheme="minorHAnsi" w:cstheme="minorHAnsi"/>
          <w:szCs w:val="26"/>
        </w:rPr>
        <w:t xml:space="preserve">In August </w:t>
      </w:r>
      <w:r>
        <w:rPr>
          <w:rFonts w:asciiTheme="minorHAnsi" w:hAnsiTheme="minorHAnsi" w:cstheme="minorHAnsi"/>
          <w:szCs w:val="26"/>
        </w:rPr>
        <w:t>2021, Accurate filed a demurrer</w:t>
      </w:r>
      <w:r>
        <w:rPr>
          <w:rFonts w:asciiTheme="minorHAnsi" w:hAnsiTheme="minorHAnsi" w:cstheme="minorHAnsi"/>
          <w:szCs w:val="26"/>
        </w:rPr>
        <w:t xml:space="preserve">.  </w:t>
      </w:r>
      <w:r>
        <w:rPr>
          <w:rFonts w:asciiTheme="minorHAnsi" w:hAnsiTheme="minorHAnsi" w:cstheme="minorHAnsi"/>
          <w:szCs w:val="26"/>
        </w:rPr>
        <w:t xml:space="preserve">Accurate argued </w:t>
      </w:r>
      <w:r>
        <w:rPr>
          <w:rFonts w:asciiTheme="minorHAnsi" w:hAnsiTheme="minorHAnsi" w:cstheme="minorHAnsi"/>
          <w:szCs w:val="26"/>
        </w:rPr>
        <w:t xml:space="preserve">the </w:t>
      </w:r>
      <w:r>
        <w:rPr>
          <w:rFonts w:asciiTheme="minorHAnsi" w:hAnsiTheme="minorHAnsi" w:cstheme="minorHAnsi"/>
          <w:szCs w:val="26"/>
        </w:rPr>
        <w:t>ICRAA</w:t>
      </w:r>
      <w:r>
        <w:rPr>
          <w:rFonts w:asciiTheme="minorHAnsi" w:hAnsiTheme="minorHAnsi" w:cstheme="minorHAnsi"/>
          <w:szCs w:val="26"/>
        </w:rPr>
        <w:t xml:space="preserve"> and</w:t>
      </w:r>
      <w:r>
        <w:rPr>
          <w:rFonts w:asciiTheme="minorHAnsi" w:hAnsiTheme="minorHAnsi" w:cstheme="minorHAnsi"/>
          <w:szCs w:val="26"/>
        </w:rPr>
        <w:t xml:space="preserve"> </w:t>
      </w:r>
      <w:r>
        <w:rPr>
          <w:rFonts w:asciiTheme="minorHAnsi" w:hAnsiTheme="minorHAnsi" w:cstheme="minorHAnsi"/>
          <w:szCs w:val="26"/>
        </w:rPr>
        <w:t>CCRAA</w:t>
      </w:r>
      <w:r>
        <w:rPr>
          <w:rFonts w:asciiTheme="minorHAnsi" w:hAnsiTheme="minorHAnsi" w:cstheme="minorHAnsi"/>
          <w:szCs w:val="26"/>
        </w:rPr>
        <w:t xml:space="preserve"> </w:t>
      </w:r>
      <w:r>
        <w:rPr>
          <w:rFonts w:asciiTheme="minorHAnsi" w:hAnsiTheme="minorHAnsi" w:cstheme="minorHAnsi"/>
          <w:szCs w:val="26"/>
        </w:rPr>
        <w:t xml:space="preserve">claims </w:t>
      </w:r>
      <w:r>
        <w:rPr>
          <w:rFonts w:asciiTheme="minorHAnsi" w:hAnsiTheme="minorHAnsi" w:cstheme="minorHAnsi"/>
          <w:szCs w:val="26"/>
        </w:rPr>
        <w:t xml:space="preserve">were </w:t>
      </w:r>
      <w:r>
        <w:rPr>
          <w:rFonts w:asciiTheme="minorHAnsi" w:hAnsiTheme="minorHAnsi" w:cstheme="minorHAnsi"/>
          <w:szCs w:val="26"/>
        </w:rPr>
        <w:t>barred</w:t>
      </w:r>
      <w:r>
        <w:rPr>
          <w:rFonts w:asciiTheme="minorHAnsi" w:hAnsiTheme="minorHAnsi" w:cstheme="minorHAnsi"/>
          <w:szCs w:val="26"/>
        </w:rPr>
        <w:t xml:space="preserve"> because Kemp’s parole ended </w:t>
      </w:r>
      <w:r>
        <w:rPr>
          <w:rFonts w:asciiTheme="minorHAnsi" w:hAnsiTheme="minorHAnsi" w:cstheme="minorHAnsi"/>
          <w:szCs w:val="26"/>
        </w:rPr>
        <w:t>in 2014</w:t>
      </w:r>
      <w:r>
        <w:rPr>
          <w:rFonts w:asciiTheme="minorHAnsi" w:hAnsiTheme="minorHAnsi" w:cstheme="minorHAnsi"/>
          <w:szCs w:val="26"/>
        </w:rPr>
        <w:t>, which predated the report by less than seven years</w:t>
      </w:r>
      <w:r>
        <w:rPr>
          <w:rFonts w:asciiTheme="minorHAnsi" w:hAnsiTheme="minorHAnsi" w:cstheme="minorHAnsi"/>
          <w:szCs w:val="26"/>
        </w:rPr>
        <w:t xml:space="preserve">.  </w:t>
      </w:r>
      <w:r>
        <w:rPr>
          <w:rFonts w:asciiTheme="minorHAnsi" w:hAnsiTheme="minorHAnsi" w:cstheme="minorHAnsi"/>
          <w:szCs w:val="26"/>
        </w:rPr>
        <w:t>A</w:t>
      </w:r>
      <w:r>
        <w:rPr>
          <w:rFonts w:asciiTheme="minorHAnsi" w:hAnsiTheme="minorHAnsi" w:cstheme="minorHAnsi"/>
          <w:szCs w:val="26"/>
        </w:rPr>
        <w:t xml:space="preserve">lternatively, </w:t>
      </w:r>
      <w:r>
        <w:rPr>
          <w:rFonts w:asciiTheme="minorHAnsi" w:hAnsiTheme="minorHAnsi" w:cstheme="minorHAnsi"/>
          <w:szCs w:val="26"/>
        </w:rPr>
        <w:t xml:space="preserve">Accurate argued </w:t>
      </w:r>
      <w:r>
        <w:rPr>
          <w:rFonts w:asciiTheme="minorHAnsi" w:hAnsiTheme="minorHAnsi" w:cstheme="minorHAnsi"/>
          <w:szCs w:val="26"/>
        </w:rPr>
        <w:t xml:space="preserve">the </w:t>
      </w:r>
      <w:r>
        <w:rPr>
          <w:rFonts w:asciiTheme="minorHAnsi" w:hAnsiTheme="minorHAnsi" w:cstheme="minorHAnsi"/>
          <w:szCs w:val="26"/>
        </w:rPr>
        <w:t xml:space="preserve">federal FCRA preempted </w:t>
      </w:r>
      <w:r>
        <w:rPr>
          <w:rFonts w:asciiTheme="minorHAnsi" w:hAnsiTheme="minorHAnsi" w:cstheme="minorHAnsi"/>
          <w:szCs w:val="26"/>
        </w:rPr>
        <w:t xml:space="preserve">Kemp’s </w:t>
      </w:r>
      <w:r>
        <w:rPr>
          <w:rFonts w:asciiTheme="minorHAnsi" w:hAnsiTheme="minorHAnsi" w:cstheme="minorHAnsi"/>
          <w:szCs w:val="26"/>
        </w:rPr>
        <w:t xml:space="preserve">state </w:t>
      </w:r>
      <w:r>
        <w:rPr>
          <w:rFonts w:asciiTheme="minorHAnsi" w:hAnsiTheme="minorHAnsi" w:cstheme="minorHAnsi"/>
          <w:szCs w:val="26"/>
        </w:rPr>
        <w:t xml:space="preserve">ICRAA claim </w:t>
      </w:r>
      <w:bookmarkStart w:id="3" w:name="_Hlk117512105"/>
      <w:r>
        <w:rPr>
          <w:rFonts w:asciiTheme="minorHAnsi" w:hAnsiTheme="minorHAnsi" w:cstheme="minorHAnsi"/>
          <w:szCs w:val="26"/>
        </w:rPr>
        <w:t xml:space="preserve">(Accurate did not argue </w:t>
      </w:r>
      <w:r>
        <w:rPr>
          <w:rFonts w:asciiTheme="minorHAnsi" w:hAnsiTheme="minorHAnsi" w:cstheme="minorHAnsi"/>
          <w:szCs w:val="26"/>
        </w:rPr>
        <w:t xml:space="preserve">the </w:t>
      </w:r>
      <w:r>
        <w:rPr>
          <w:rFonts w:asciiTheme="minorHAnsi" w:hAnsiTheme="minorHAnsi" w:cstheme="minorHAnsi"/>
          <w:szCs w:val="26"/>
        </w:rPr>
        <w:t>CCRA</w:t>
      </w:r>
      <w:r>
        <w:rPr>
          <w:rFonts w:asciiTheme="minorHAnsi" w:hAnsiTheme="minorHAnsi" w:cstheme="minorHAnsi"/>
          <w:szCs w:val="26"/>
        </w:rPr>
        <w:t>A</w:t>
      </w:r>
      <w:r>
        <w:rPr>
          <w:rFonts w:asciiTheme="minorHAnsi" w:hAnsiTheme="minorHAnsi" w:cstheme="minorHAnsi"/>
          <w:szCs w:val="26"/>
        </w:rPr>
        <w:t xml:space="preserve"> claim was </w:t>
      </w:r>
      <w:r>
        <w:rPr>
          <w:rFonts w:asciiTheme="minorHAnsi" w:hAnsiTheme="minorHAnsi" w:cstheme="minorHAnsi"/>
          <w:szCs w:val="26"/>
        </w:rPr>
        <w:t>preempted</w:t>
      </w:r>
      <w:r>
        <w:rPr>
          <w:rFonts w:asciiTheme="minorHAnsi" w:hAnsiTheme="minorHAnsi" w:cstheme="minorHAnsi"/>
          <w:szCs w:val="26"/>
        </w:rPr>
        <w:t>).</w:t>
      </w:r>
      <w:bookmarkEnd w:id="3"/>
      <w:r>
        <w:rPr>
          <w:rFonts w:asciiTheme="minorHAnsi" w:hAnsiTheme="minorHAnsi" w:cstheme="minorHAnsi"/>
          <w:szCs w:val="26"/>
        </w:rPr>
        <w:t xml:space="preserve">  </w:t>
      </w:r>
      <w:r>
        <w:rPr>
          <w:rFonts w:asciiTheme="minorHAnsi" w:hAnsiTheme="minorHAnsi" w:cstheme="minorHAnsi"/>
          <w:szCs w:val="26"/>
        </w:rPr>
        <w:t xml:space="preserve">Accurate </w:t>
      </w:r>
      <w:r>
        <w:rPr>
          <w:rFonts w:asciiTheme="minorHAnsi" w:hAnsiTheme="minorHAnsi" w:cstheme="minorHAnsi"/>
          <w:szCs w:val="26"/>
        </w:rPr>
        <w:t>also</w:t>
      </w:r>
      <w:r>
        <w:rPr>
          <w:rFonts w:asciiTheme="minorHAnsi" w:hAnsiTheme="minorHAnsi" w:cstheme="minorHAnsi"/>
          <w:szCs w:val="26"/>
        </w:rPr>
        <w:t xml:space="preserve"> argued the UCL claim </w:t>
      </w:r>
      <w:r>
        <w:rPr>
          <w:rFonts w:asciiTheme="minorHAnsi" w:hAnsiTheme="minorHAnsi" w:cstheme="minorHAnsi"/>
          <w:szCs w:val="26"/>
        </w:rPr>
        <w:t xml:space="preserve">was barred </w:t>
      </w:r>
      <w:r>
        <w:rPr>
          <w:rFonts w:asciiTheme="minorHAnsi" w:hAnsiTheme="minorHAnsi" w:cstheme="minorHAnsi"/>
          <w:szCs w:val="26"/>
        </w:rPr>
        <w:t xml:space="preserve">as it </w:t>
      </w:r>
      <w:r>
        <w:rPr>
          <w:rFonts w:asciiTheme="minorHAnsi" w:hAnsiTheme="minorHAnsi" w:cstheme="minorHAnsi"/>
          <w:szCs w:val="26"/>
        </w:rPr>
        <w:t>was</w:t>
      </w:r>
      <w:r>
        <w:rPr>
          <w:rFonts w:asciiTheme="minorHAnsi" w:hAnsiTheme="minorHAnsi" w:cstheme="minorHAnsi"/>
          <w:szCs w:val="26"/>
        </w:rPr>
        <w:t xml:space="preserve"> derivative of the </w:t>
      </w:r>
      <w:r>
        <w:rPr>
          <w:rFonts w:asciiTheme="minorHAnsi" w:hAnsiTheme="minorHAnsi" w:cstheme="minorHAnsi"/>
          <w:szCs w:val="26"/>
        </w:rPr>
        <w:t xml:space="preserve">ICRAA and </w:t>
      </w:r>
      <w:r>
        <w:rPr>
          <w:rFonts w:asciiTheme="minorHAnsi" w:hAnsiTheme="minorHAnsi" w:cstheme="minorHAnsi"/>
          <w:szCs w:val="26"/>
        </w:rPr>
        <w:t>CCRA</w:t>
      </w:r>
      <w:r>
        <w:rPr>
          <w:rFonts w:asciiTheme="minorHAnsi" w:hAnsiTheme="minorHAnsi" w:cstheme="minorHAnsi"/>
          <w:szCs w:val="26"/>
        </w:rPr>
        <w:t>A</w:t>
      </w:r>
      <w:r>
        <w:rPr>
          <w:rFonts w:asciiTheme="minorHAnsi" w:hAnsiTheme="minorHAnsi" w:cstheme="minorHAnsi"/>
          <w:szCs w:val="26"/>
        </w:rPr>
        <w:t xml:space="preserve"> </w:t>
      </w:r>
      <w:r>
        <w:rPr>
          <w:rFonts w:asciiTheme="minorHAnsi" w:hAnsiTheme="minorHAnsi" w:cstheme="minorHAnsi"/>
          <w:szCs w:val="26"/>
        </w:rPr>
        <w:t>claims.</w:t>
      </w:r>
    </w:p>
    <w:p w14:paraId="32F09BD6" w14:textId="77777777" w:rsidR="000C56CD" w:rsidRDefault="000F2DE2" w:rsidP="00725996">
      <w:pPr>
        <w:widowControl w:val="0"/>
        <w:ind w:firstLine="1440"/>
        <w:rPr>
          <w:rFonts w:asciiTheme="minorHAnsi" w:hAnsiTheme="minorHAnsi" w:cstheme="minorHAnsi"/>
          <w:szCs w:val="26"/>
        </w:rPr>
      </w:pPr>
      <w:r>
        <w:rPr>
          <w:rFonts w:asciiTheme="minorHAnsi" w:hAnsiTheme="minorHAnsi" w:cstheme="minorHAnsi"/>
          <w:szCs w:val="26"/>
        </w:rPr>
        <w:t xml:space="preserve">In December </w:t>
      </w:r>
      <w:r>
        <w:rPr>
          <w:rFonts w:asciiTheme="minorHAnsi" w:hAnsiTheme="minorHAnsi" w:cstheme="minorHAnsi"/>
          <w:szCs w:val="26"/>
        </w:rPr>
        <w:t xml:space="preserve">2021, the trial court </w:t>
      </w:r>
      <w:r>
        <w:rPr>
          <w:rFonts w:asciiTheme="minorHAnsi" w:hAnsiTheme="minorHAnsi" w:cstheme="minorHAnsi"/>
          <w:szCs w:val="26"/>
        </w:rPr>
        <w:t>overruled Accurate’s demurrer</w:t>
      </w:r>
      <w:r>
        <w:rPr>
          <w:rFonts w:asciiTheme="minorHAnsi" w:hAnsiTheme="minorHAnsi" w:cstheme="minorHAnsi"/>
          <w:szCs w:val="26"/>
        </w:rPr>
        <w:t xml:space="preserve"> </w:t>
      </w:r>
      <w:r>
        <w:rPr>
          <w:rFonts w:asciiTheme="minorHAnsi" w:hAnsiTheme="minorHAnsi" w:cstheme="minorHAnsi"/>
          <w:szCs w:val="26"/>
        </w:rPr>
        <w:t xml:space="preserve">as to the parole </w:t>
      </w:r>
      <w:r>
        <w:rPr>
          <w:rFonts w:asciiTheme="minorHAnsi" w:hAnsiTheme="minorHAnsi" w:cstheme="minorHAnsi"/>
          <w:szCs w:val="26"/>
        </w:rPr>
        <w:t>issue</w:t>
      </w:r>
      <w:r>
        <w:rPr>
          <w:rFonts w:asciiTheme="minorHAnsi" w:hAnsiTheme="minorHAnsi" w:cstheme="minorHAnsi"/>
          <w:szCs w:val="26"/>
        </w:rPr>
        <w:t xml:space="preserve"> but </w:t>
      </w:r>
      <w:r>
        <w:rPr>
          <w:rFonts w:asciiTheme="minorHAnsi" w:hAnsiTheme="minorHAnsi" w:cstheme="minorHAnsi"/>
          <w:szCs w:val="26"/>
        </w:rPr>
        <w:t xml:space="preserve">sustained </w:t>
      </w:r>
      <w:r>
        <w:rPr>
          <w:rFonts w:asciiTheme="minorHAnsi" w:hAnsiTheme="minorHAnsi" w:cstheme="minorHAnsi"/>
          <w:szCs w:val="26"/>
        </w:rPr>
        <w:t xml:space="preserve">it </w:t>
      </w:r>
      <w:r>
        <w:rPr>
          <w:rFonts w:asciiTheme="minorHAnsi" w:hAnsiTheme="minorHAnsi" w:cstheme="minorHAnsi"/>
          <w:szCs w:val="26"/>
        </w:rPr>
        <w:t xml:space="preserve">as to the </w:t>
      </w:r>
      <w:r>
        <w:rPr>
          <w:rFonts w:asciiTheme="minorHAnsi" w:hAnsiTheme="minorHAnsi" w:cstheme="minorHAnsi"/>
          <w:szCs w:val="26"/>
        </w:rPr>
        <w:t>preemption</w:t>
      </w:r>
      <w:r>
        <w:rPr>
          <w:rFonts w:asciiTheme="minorHAnsi" w:hAnsiTheme="minorHAnsi" w:cstheme="minorHAnsi"/>
          <w:szCs w:val="26"/>
        </w:rPr>
        <w:t xml:space="preserve"> issue</w:t>
      </w:r>
      <w:r>
        <w:rPr>
          <w:rFonts w:asciiTheme="minorHAnsi" w:hAnsiTheme="minorHAnsi" w:cstheme="minorHAnsi"/>
          <w:szCs w:val="26"/>
        </w:rPr>
        <w:t xml:space="preserve"> (the ICRAA claim)</w:t>
      </w:r>
      <w:r>
        <w:rPr>
          <w:rFonts w:asciiTheme="minorHAnsi" w:hAnsiTheme="minorHAnsi" w:cstheme="minorHAnsi"/>
          <w:szCs w:val="26"/>
        </w:rPr>
        <w:t>.</w:t>
      </w:r>
    </w:p>
    <w:p w14:paraId="53971CE9" w14:textId="77777777" w:rsidR="00725996" w:rsidRDefault="000F2DE2" w:rsidP="00725996">
      <w:pPr>
        <w:widowControl w:val="0"/>
        <w:jc w:val="both"/>
        <w:rPr>
          <w:szCs w:val="26"/>
        </w:rPr>
      </w:pPr>
    </w:p>
    <w:p w14:paraId="673CEB03" w14:textId="77777777" w:rsidR="009610B6" w:rsidRPr="004D463B" w:rsidRDefault="000F2DE2" w:rsidP="001316C5">
      <w:pPr>
        <w:widowControl w:val="0"/>
        <w:tabs>
          <w:tab w:val="left" w:pos="1440"/>
          <w:tab w:val="left" w:pos="2880"/>
          <w:tab w:val="left" w:pos="4320"/>
          <w:tab w:val="left" w:pos="5760"/>
          <w:tab w:val="left" w:pos="7200"/>
          <w:tab w:val="left" w:pos="8640"/>
        </w:tabs>
        <w:jc w:val="center"/>
        <w:rPr>
          <w:szCs w:val="26"/>
        </w:rPr>
      </w:pPr>
      <w:r w:rsidRPr="004D463B">
        <w:rPr>
          <w:szCs w:val="26"/>
        </w:rPr>
        <w:t>II</w:t>
      </w:r>
    </w:p>
    <w:p w14:paraId="2710C029" w14:textId="77777777" w:rsidR="009610B6" w:rsidRPr="004D463B" w:rsidRDefault="000F2DE2" w:rsidP="001316C5">
      <w:pPr>
        <w:widowControl w:val="0"/>
        <w:jc w:val="center"/>
        <w:rPr>
          <w:szCs w:val="26"/>
        </w:rPr>
      </w:pPr>
      <w:r w:rsidRPr="004D463B">
        <w:rPr>
          <w:szCs w:val="26"/>
        </w:rPr>
        <w:t>DISCUSSION</w:t>
      </w:r>
    </w:p>
    <w:p w14:paraId="48A8B837" w14:textId="77777777" w:rsidR="0005585D" w:rsidRDefault="000F2DE2" w:rsidP="00484797">
      <w:pPr>
        <w:widowControl w:val="0"/>
        <w:tabs>
          <w:tab w:val="left" w:pos="1440"/>
          <w:tab w:val="left" w:leader="underscore" w:pos="5040"/>
        </w:tabs>
        <w:spacing w:line="480" w:lineRule="atLeast"/>
      </w:pPr>
      <w:r>
        <w:tab/>
      </w:r>
      <w:r>
        <w:t>In its demurrer, Accurate argued</w:t>
      </w:r>
      <w:r>
        <w:t xml:space="preserve">: </w:t>
      </w:r>
      <w:r>
        <w:t xml:space="preserve"> </w:t>
      </w:r>
      <w:r>
        <w:t xml:space="preserve">(1) </w:t>
      </w:r>
      <w:r>
        <w:t xml:space="preserve">the </w:t>
      </w:r>
      <w:r>
        <w:t xml:space="preserve">phrase </w:t>
      </w:r>
      <w:r w:rsidRPr="00EA4497">
        <w:rPr>
          <w:i/>
          <w:iCs/>
        </w:rPr>
        <w:t xml:space="preserve">from the date of </w:t>
      </w:r>
      <w:r w:rsidRPr="00EA4497">
        <w:rPr>
          <w:i/>
          <w:iCs/>
        </w:rPr>
        <w:t xml:space="preserve">parole </w:t>
      </w:r>
      <w:r>
        <w:t xml:space="preserve">refers to </w:t>
      </w:r>
      <w:r>
        <w:t xml:space="preserve">the </w:t>
      </w:r>
      <w:r>
        <w:t xml:space="preserve">end </w:t>
      </w:r>
      <w:r>
        <w:t>of parole</w:t>
      </w:r>
      <w:r>
        <w:t xml:space="preserve">, and </w:t>
      </w:r>
      <w:r>
        <w:t xml:space="preserve">(2) the federal FCRA preempts </w:t>
      </w:r>
      <w:r>
        <w:t xml:space="preserve">the state </w:t>
      </w:r>
      <w:r>
        <w:t>ICRAA.</w:t>
      </w:r>
      <w:r>
        <w:t xml:space="preserve">  </w:t>
      </w:r>
      <w:r>
        <w:t xml:space="preserve">We disagree.  </w:t>
      </w:r>
      <w:r>
        <w:t xml:space="preserve">These </w:t>
      </w:r>
      <w:r>
        <w:t xml:space="preserve">are </w:t>
      </w:r>
      <w:r>
        <w:t xml:space="preserve">pure </w:t>
      </w:r>
      <w:r>
        <w:t xml:space="preserve">legal </w:t>
      </w:r>
      <w:r>
        <w:t xml:space="preserve">issues </w:t>
      </w:r>
      <w:r>
        <w:t>involving s</w:t>
      </w:r>
      <w:r>
        <w:t>tatutory interpretation, so our revi</w:t>
      </w:r>
      <w:r>
        <w:t>ew is de nov</w:t>
      </w:r>
      <w:r>
        <w:t xml:space="preserve">o.  </w:t>
      </w:r>
      <w:r>
        <w:t>(</w:t>
      </w:r>
      <w:r>
        <w:t xml:space="preserve">See </w:t>
      </w:r>
      <w:r w:rsidRPr="00DA041B">
        <w:rPr>
          <w:i/>
          <w:iCs/>
        </w:rPr>
        <w:t>Lopez v. Ledesma</w:t>
      </w:r>
      <w:r>
        <w:t xml:space="preserve"> </w:t>
      </w:r>
      <w:r>
        <w:t>(2022) 12 Cal.5th 848, 857.)</w:t>
      </w:r>
    </w:p>
    <w:p w14:paraId="0BAFEF39" w14:textId="77777777" w:rsidR="00CF6FAB" w:rsidRDefault="000F2DE2" w:rsidP="00186CEA">
      <w:pPr>
        <w:widowControl w:val="0"/>
        <w:tabs>
          <w:tab w:val="left" w:pos="1440"/>
          <w:tab w:val="left" w:leader="underscore" w:pos="5040"/>
        </w:tabs>
        <w:spacing w:line="480" w:lineRule="atLeast"/>
      </w:pPr>
      <w:r>
        <w:tab/>
      </w:r>
      <w:r>
        <w:t>When interp</w:t>
      </w:r>
      <w:r>
        <w:t>reting a statute, a court’s role “</w:t>
      </w:r>
      <w:r>
        <w:t xml:space="preserve">is to determine the Legislature’s intent so as to effectuate the law’s purpose.” </w:t>
      </w:r>
      <w:r>
        <w:t xml:space="preserve"> </w:t>
      </w:r>
      <w:r>
        <w:t>(</w:t>
      </w:r>
      <w:r w:rsidRPr="009D2005">
        <w:rPr>
          <w:i/>
          <w:iCs/>
        </w:rPr>
        <w:t xml:space="preserve">People v. Murphy </w:t>
      </w:r>
      <w:r>
        <w:t>(2001) 25 Cal.4th 136, 142.</w:t>
      </w:r>
      <w:r>
        <w:t xml:space="preserve">)  </w:t>
      </w:r>
      <w:r>
        <w:t>“We begin as always with the statute’s actual words, the ‘most reliable indicator’ of legislative intent, ‘assigning them their usual and ordinary meanings, and construing them in context.  If the words themselves are not ambiguous, we presume the Legislat</w:t>
      </w:r>
      <w:r>
        <w:t xml:space="preserve">ure meant what it said, and the statute’s plain meaning governs.  On the other hand, if the language allows more than one reasonable construction, we may look to such aids as the </w:t>
      </w:r>
      <w:r>
        <w:lastRenderedPageBreak/>
        <w:t xml:space="preserve">legislative history of the measure and maxims of statutory construction.  </w:t>
      </w:r>
      <w:bookmarkStart w:id="4" w:name="_Hlk117264846"/>
      <w:r>
        <w:t xml:space="preserve">In </w:t>
      </w:r>
      <w:r>
        <w:t xml:space="preserve">cases of uncertain meaning, we may also consider the consequences of a particular interpretation, including its impact on public policy.’” </w:t>
      </w:r>
      <w:r>
        <w:t xml:space="preserve"> </w:t>
      </w:r>
      <w:r>
        <w:t>(</w:t>
      </w:r>
      <w:r w:rsidRPr="00F1225A">
        <w:rPr>
          <w:i/>
          <w:iCs/>
        </w:rPr>
        <w:t>Even Zohar Construction &amp; Remodeling, Inc. v. Bellaire Townhouses, LLC</w:t>
      </w:r>
      <w:r>
        <w:t xml:space="preserve"> (2015) 61 Cal.4th 830, 837-838.)</w:t>
      </w:r>
    </w:p>
    <w:bookmarkEnd w:id="4"/>
    <w:p w14:paraId="77791DFE" w14:textId="77777777" w:rsidR="00186CEA" w:rsidRDefault="000F2DE2" w:rsidP="00186CEA">
      <w:pPr>
        <w:widowControl w:val="0"/>
        <w:tabs>
          <w:tab w:val="left" w:pos="1440"/>
          <w:tab w:val="left" w:leader="underscore" w:pos="5040"/>
        </w:tabs>
        <w:spacing w:line="480" w:lineRule="atLeast"/>
      </w:pPr>
      <w:r>
        <w:tab/>
        <w:t>In this di</w:t>
      </w:r>
      <w:r>
        <w:t xml:space="preserve">scussion, we will:  A) review </w:t>
      </w:r>
      <w:r>
        <w:t xml:space="preserve">the </w:t>
      </w:r>
      <w:r>
        <w:t xml:space="preserve">statutory </w:t>
      </w:r>
      <w:r>
        <w:t xml:space="preserve">framework </w:t>
      </w:r>
      <w:r>
        <w:t xml:space="preserve">of the </w:t>
      </w:r>
      <w:r>
        <w:t>three relevant acts</w:t>
      </w:r>
      <w:r>
        <w:t xml:space="preserve">; B) analyze </w:t>
      </w:r>
      <w:r>
        <w:t xml:space="preserve">the phrase </w:t>
      </w:r>
      <w:r w:rsidRPr="006F2A7F">
        <w:rPr>
          <w:i/>
          <w:iCs/>
        </w:rPr>
        <w:t>from the date of parole</w:t>
      </w:r>
      <w:r>
        <w:t xml:space="preserve"> </w:t>
      </w:r>
      <w:r>
        <w:t xml:space="preserve">as used </w:t>
      </w:r>
      <w:r>
        <w:t>in the ICRAA and the CCRAA</w:t>
      </w:r>
      <w:r>
        <w:t xml:space="preserve">; </w:t>
      </w:r>
      <w:r>
        <w:t xml:space="preserve">and C) analyze whether </w:t>
      </w:r>
      <w:r>
        <w:t xml:space="preserve">the </w:t>
      </w:r>
      <w:r>
        <w:t xml:space="preserve">federal </w:t>
      </w:r>
      <w:r>
        <w:t xml:space="preserve">FCRA preempts </w:t>
      </w:r>
      <w:r>
        <w:t xml:space="preserve">the </w:t>
      </w:r>
      <w:r>
        <w:t xml:space="preserve">state </w:t>
      </w:r>
      <w:r>
        <w:t>ICRAA</w:t>
      </w:r>
      <w:r>
        <w:t>.</w:t>
      </w:r>
    </w:p>
    <w:p w14:paraId="7C8093A1" w14:textId="77777777" w:rsidR="00034E54" w:rsidRDefault="000F2DE2" w:rsidP="00186CEA">
      <w:pPr>
        <w:widowControl w:val="0"/>
        <w:tabs>
          <w:tab w:val="left" w:pos="1440"/>
          <w:tab w:val="left" w:leader="underscore" w:pos="5040"/>
        </w:tabs>
        <w:spacing w:line="480" w:lineRule="atLeast"/>
      </w:pPr>
    </w:p>
    <w:p w14:paraId="6BAC7927" w14:textId="77777777" w:rsidR="009610B6" w:rsidRPr="00F30F6E" w:rsidRDefault="000F2DE2" w:rsidP="001316C5">
      <w:pPr>
        <w:widowControl w:val="0"/>
        <w:tabs>
          <w:tab w:val="left" w:pos="1440"/>
          <w:tab w:val="left" w:leader="underscore" w:pos="5040"/>
        </w:tabs>
        <w:spacing w:line="480" w:lineRule="atLeast"/>
        <w:rPr>
          <w:i/>
          <w:iCs/>
        </w:rPr>
      </w:pPr>
      <w:r w:rsidRPr="00F30F6E">
        <w:rPr>
          <w:i/>
          <w:iCs/>
        </w:rPr>
        <w:t xml:space="preserve">A.  </w:t>
      </w:r>
      <w:r w:rsidRPr="00F30F6E">
        <w:rPr>
          <w:i/>
          <w:iCs/>
        </w:rPr>
        <w:t xml:space="preserve">Statutory </w:t>
      </w:r>
      <w:r>
        <w:rPr>
          <w:i/>
          <w:iCs/>
        </w:rPr>
        <w:t>Framework</w:t>
      </w:r>
    </w:p>
    <w:p w14:paraId="52B0BC23" w14:textId="77777777" w:rsidR="005A6523" w:rsidRDefault="000F2DE2" w:rsidP="005A6523">
      <w:pPr>
        <w:widowControl w:val="0"/>
        <w:tabs>
          <w:tab w:val="left" w:pos="1440"/>
          <w:tab w:val="left" w:leader="underscore" w:pos="5040"/>
        </w:tabs>
        <w:spacing w:line="480" w:lineRule="atLeast"/>
      </w:pPr>
      <w:r>
        <w:tab/>
        <w:t xml:space="preserve">“In 1970, the Legislature enacted CCRAA.  </w:t>
      </w:r>
      <w:r>
        <w:t xml:space="preserve">[Citation.]  </w:t>
      </w:r>
      <w:r>
        <w:t>The act governed ‘credit rating reports’ that included consumer credit record and standing reports.</w:t>
      </w:r>
      <w:r>
        <w:t xml:space="preserve">  T</w:t>
      </w:r>
      <w:r>
        <w:t xml:space="preserve">hat same year, Congress passed the </w:t>
      </w:r>
      <w:r>
        <w:t>[FCRA]</w:t>
      </w:r>
      <w:r>
        <w:t xml:space="preserve">. </w:t>
      </w:r>
      <w:r>
        <w:t xml:space="preserve"> </w:t>
      </w:r>
      <w:r>
        <w:t>[Citation.]</w:t>
      </w:r>
      <w:r>
        <w:t xml:space="preserve">  </w:t>
      </w:r>
      <w:r>
        <w:t xml:space="preserve">FCRA defined a </w:t>
      </w:r>
      <w:r>
        <w:t>‘</w:t>
      </w:r>
      <w:r>
        <w:t>consumer report</w:t>
      </w:r>
      <w:r>
        <w:t>’</w:t>
      </w:r>
      <w:r>
        <w:t xml:space="preserve"> to include an individual</w:t>
      </w:r>
      <w:r>
        <w:t>’</w:t>
      </w:r>
      <w:r>
        <w:t xml:space="preserve">s </w:t>
      </w:r>
      <w:r>
        <w:t>‘</w:t>
      </w:r>
      <w:r>
        <w:t>credit worthiness, credit standing, credit capacity, character, general reputation, personal characteristics, or mode of living.</w:t>
      </w:r>
      <w:r>
        <w:t>’</w:t>
      </w:r>
      <w:r>
        <w:t xml:space="preserve"> </w:t>
      </w:r>
      <w:r>
        <w:t xml:space="preserve"> </w:t>
      </w:r>
      <w:r>
        <w:t xml:space="preserve">[Citation.]  </w:t>
      </w:r>
      <w:r>
        <w:t xml:space="preserve">FCRA distinguished between consumer reports that contained information obtained by </w:t>
      </w:r>
      <w:r>
        <w:t>personal interviews, and consumer reports that were gathered by other means.</w:t>
      </w:r>
      <w:r>
        <w:t>”  (</w:t>
      </w:r>
      <w:r w:rsidRPr="00081BC9">
        <w:rPr>
          <w:i/>
          <w:iCs/>
        </w:rPr>
        <w:t>Connor v. First Student, Inc.</w:t>
      </w:r>
      <w:r>
        <w:t xml:space="preserve"> (2018) 5 Cal.5th 1026, 1032</w:t>
      </w:r>
      <w:r>
        <w:t xml:space="preserve"> (</w:t>
      </w:r>
      <w:r w:rsidRPr="00F25E63">
        <w:rPr>
          <w:i/>
          <w:iCs/>
        </w:rPr>
        <w:t>Connor</w:t>
      </w:r>
      <w:r>
        <w:t>).</w:t>
      </w:r>
      <w:r>
        <w:t>)</w:t>
      </w:r>
    </w:p>
    <w:p w14:paraId="612E6500" w14:textId="77777777" w:rsidR="000C20A9" w:rsidRDefault="000F2DE2" w:rsidP="005A6523">
      <w:pPr>
        <w:widowControl w:val="0"/>
        <w:tabs>
          <w:tab w:val="left" w:pos="1440"/>
          <w:tab w:val="left" w:leader="underscore" w:pos="5040"/>
        </w:tabs>
        <w:spacing w:line="480" w:lineRule="atLeast"/>
      </w:pPr>
      <w:r>
        <w:tab/>
        <w:t>“</w:t>
      </w:r>
      <w:r>
        <w:t xml:space="preserve">In 1975, our Legislature repealed the 1970 CCRAA and enacted ICRAA </w:t>
      </w:r>
      <w:r>
        <w:t xml:space="preserve">[citation] </w:t>
      </w:r>
      <w:r>
        <w:t xml:space="preserve">and CCRAA </w:t>
      </w:r>
      <w:r>
        <w:t xml:space="preserve">[citation] </w:t>
      </w:r>
      <w:r>
        <w:t>to gov</w:t>
      </w:r>
      <w:r>
        <w:t>ern consumer background reports, including checks conducted for employment purposes.</w:t>
      </w:r>
      <w:r>
        <w:t xml:space="preserve">  </w:t>
      </w:r>
      <w:r>
        <w:t xml:space="preserve">The statutes were modeled after FCRA and were intended to serve complementary, but not identical, goals. </w:t>
      </w:r>
      <w:r>
        <w:t xml:space="preserve"> </w:t>
      </w:r>
      <w:r>
        <w:t xml:space="preserve">Both ICRAA and CCRAA had similar purposes. </w:t>
      </w:r>
      <w:r>
        <w:t xml:space="preserve"> </w:t>
      </w:r>
      <w:r>
        <w:t>They were enacted to</w:t>
      </w:r>
      <w:r>
        <w:t xml:space="preserve"> ensure that consumer reporting agencies </w:t>
      </w:r>
      <w:r>
        <w:t>‘</w:t>
      </w:r>
      <w:r>
        <w:t>exercise their grave responsibilities with fairness, impartiality, and a respect for the consumer</w:t>
      </w:r>
      <w:r>
        <w:t>’</w:t>
      </w:r>
      <w:r>
        <w:t>s right to privacy.</w:t>
      </w:r>
      <w:r>
        <w:t>’</w:t>
      </w:r>
      <w:r>
        <w:t>”</w:t>
      </w:r>
      <w:r>
        <w:t xml:space="preserve">  </w:t>
      </w:r>
      <w:r>
        <w:t>(</w:t>
      </w:r>
      <w:r w:rsidRPr="008E5DBD">
        <w:rPr>
          <w:i/>
          <w:iCs/>
        </w:rPr>
        <w:t>Connor</w:t>
      </w:r>
      <w:r>
        <w:t xml:space="preserve">, </w:t>
      </w:r>
      <w:r w:rsidRPr="008E5DBD">
        <w:rPr>
          <w:i/>
          <w:iCs/>
        </w:rPr>
        <w:t>supra</w:t>
      </w:r>
      <w:r>
        <w:t>, 5 Cal.5th at p. 1032.)</w:t>
      </w:r>
    </w:p>
    <w:p w14:paraId="4BE5AC7B" w14:textId="77777777" w:rsidR="00657EDF" w:rsidRDefault="000F2DE2" w:rsidP="00657EDF">
      <w:pPr>
        <w:widowControl w:val="0"/>
        <w:tabs>
          <w:tab w:val="left" w:pos="1440"/>
          <w:tab w:val="left" w:leader="underscore" w:pos="5040"/>
        </w:tabs>
        <w:spacing w:line="480" w:lineRule="atLeast"/>
      </w:pPr>
      <w:r>
        <w:tab/>
        <w:t>“</w:t>
      </w:r>
      <w:r>
        <w:t>As originally enacted, ICRAA applied to consumer rep</w:t>
      </w:r>
      <w:r>
        <w:t>orts that included character information obtained only through personal interviews.</w:t>
      </w:r>
      <w:r>
        <w:t xml:space="preserve">”  </w:t>
      </w:r>
      <w:r>
        <w:t>(</w:t>
      </w:r>
      <w:r w:rsidRPr="008E5DBD">
        <w:rPr>
          <w:i/>
          <w:iCs/>
        </w:rPr>
        <w:t>Connor</w:t>
      </w:r>
      <w:r>
        <w:t xml:space="preserve">, </w:t>
      </w:r>
      <w:r w:rsidRPr="008E5DBD">
        <w:rPr>
          <w:i/>
          <w:iCs/>
        </w:rPr>
        <w:t>supra</w:t>
      </w:r>
      <w:r>
        <w:t>, 5</w:t>
      </w:r>
      <w:r>
        <w:t> </w:t>
      </w:r>
      <w:r>
        <w:t>Cal.5th at p. 1032.)</w:t>
      </w:r>
      <w:r>
        <w:t xml:space="preserve">  </w:t>
      </w:r>
      <w:r>
        <w:t>I</w:t>
      </w:r>
      <w:r>
        <w:t>n 1998</w:t>
      </w:r>
      <w:r>
        <w:t xml:space="preserve">, </w:t>
      </w:r>
      <w:r>
        <w:t>“</w:t>
      </w:r>
      <w:r>
        <w:t xml:space="preserve">our Legislature amended ICRAA to eliminate the </w:t>
      </w:r>
      <w:r>
        <w:lastRenderedPageBreak/>
        <w:t>personal interview limitation and expand the statute</w:t>
      </w:r>
      <w:r>
        <w:t>’</w:t>
      </w:r>
      <w:r>
        <w:t xml:space="preserve">s scope to include character information </w:t>
      </w:r>
      <w:r>
        <w:t xml:space="preserve">. . . </w:t>
      </w:r>
      <w:r>
        <w:t>‘</w:t>
      </w:r>
      <w:r>
        <w:t>obtained through any means.</w:t>
      </w:r>
      <w:r>
        <w:t>’</w:t>
      </w:r>
      <w:r>
        <w:t xml:space="preserve">”  </w:t>
      </w:r>
      <w:r>
        <w:t>(</w:t>
      </w:r>
      <w:r>
        <w:rPr>
          <w:i/>
          <w:iCs/>
        </w:rPr>
        <w:t>Id.</w:t>
      </w:r>
      <w:r>
        <w:rPr>
          <w:i/>
        </w:rPr>
        <w:t xml:space="preserve"> </w:t>
      </w:r>
      <w:r>
        <w:t xml:space="preserve">at </w:t>
      </w:r>
      <w:r>
        <w:t>p</w:t>
      </w:r>
      <w:r>
        <w:t>p. 103</w:t>
      </w:r>
      <w:r>
        <w:t>3-1034, fn. omitted</w:t>
      </w:r>
      <w:r>
        <w:t>.)</w:t>
      </w:r>
    </w:p>
    <w:p w14:paraId="4516D1B6" w14:textId="77777777" w:rsidR="00AA098C" w:rsidRDefault="000F2DE2" w:rsidP="00AA098C">
      <w:pPr>
        <w:widowControl w:val="0"/>
        <w:tabs>
          <w:tab w:val="left" w:pos="1440"/>
          <w:tab w:val="left" w:leader="underscore" w:pos="5040"/>
        </w:tabs>
        <w:spacing w:line="480" w:lineRule="atLeast"/>
      </w:pPr>
      <w:r>
        <w:tab/>
      </w:r>
      <w:r>
        <w:t xml:space="preserve">Under the ICRAA, </w:t>
      </w:r>
      <w:r>
        <w:t xml:space="preserve">an </w:t>
      </w:r>
      <w:r>
        <w:t>investigative consumer report</w:t>
      </w:r>
      <w:r>
        <w:t xml:space="preserve"> is </w:t>
      </w:r>
      <w:r>
        <w:t xml:space="preserve">a report </w:t>
      </w:r>
      <w:r>
        <w:t>b</w:t>
      </w:r>
      <w:r>
        <w:t>earing “on a consumer’s character, general reputation, personal characterist</w:t>
      </w:r>
      <w:r>
        <w:t xml:space="preserve">ics, or mode of living.”  (§ 1786.2 (c).)  </w:t>
      </w:r>
      <w:r>
        <w:t xml:space="preserve">Under the CCRAA, </w:t>
      </w:r>
      <w:r>
        <w:t xml:space="preserve">a </w:t>
      </w:r>
      <w:r>
        <w:t>consumer credit report</w:t>
      </w:r>
      <w:r>
        <w:t xml:space="preserve"> is </w:t>
      </w:r>
      <w:r>
        <w:t xml:space="preserve">a report </w:t>
      </w:r>
      <w:r>
        <w:t>“bearing on a consumer’s credit worthiness, credit standing, or credit capacity.”  (§ 1785.3</w:t>
      </w:r>
      <w:r>
        <w:t xml:space="preserve"> </w:t>
      </w:r>
      <w:r>
        <w:t xml:space="preserve">(c).)  Under the FCRA, </w:t>
      </w:r>
      <w:r>
        <w:t xml:space="preserve">there is no distinction made between the </w:t>
      </w:r>
      <w:r>
        <w:t>tw</w:t>
      </w:r>
      <w:r>
        <w:t xml:space="preserve">o types of reports; </w:t>
      </w:r>
      <w:r>
        <w:t xml:space="preserve">a </w:t>
      </w:r>
      <w:r>
        <w:t xml:space="preserve">consumer </w:t>
      </w:r>
      <w:r>
        <w:t xml:space="preserve">report </w:t>
      </w:r>
      <w:r>
        <w:t>i</w:t>
      </w:r>
      <w:r>
        <w:t xml:space="preserve">s </w:t>
      </w:r>
      <w:r>
        <w:t xml:space="preserve">simply </w:t>
      </w:r>
      <w:r>
        <w:t xml:space="preserve">referred to as </w:t>
      </w:r>
      <w:r>
        <w:t>a “‘</w:t>
      </w:r>
      <w:r>
        <w:t>consumer report</w:t>
      </w:r>
      <w:r>
        <w:t>.</w:t>
      </w:r>
      <w:r>
        <w:t>’”</w:t>
      </w:r>
      <w:r>
        <w:t xml:space="preserve">  (15 U.S.C. § 1681a(d).)</w:t>
      </w:r>
    </w:p>
    <w:p w14:paraId="17780398" w14:textId="77777777" w:rsidR="00140952" w:rsidRDefault="000F2DE2" w:rsidP="002008A2">
      <w:pPr>
        <w:widowControl w:val="0"/>
        <w:tabs>
          <w:tab w:val="left" w:pos="1440"/>
          <w:tab w:val="left" w:leader="underscore" w:pos="5040"/>
        </w:tabs>
        <w:spacing w:line="480" w:lineRule="atLeast"/>
      </w:pPr>
      <w:r>
        <w:tab/>
      </w:r>
      <w:r>
        <w:t xml:space="preserve">Because </w:t>
      </w:r>
      <w:r>
        <w:t xml:space="preserve">a consumer’s </w:t>
      </w:r>
      <w:r>
        <w:t xml:space="preserve">character and credit information </w:t>
      </w:r>
      <w:r>
        <w:t xml:space="preserve">often </w:t>
      </w:r>
      <w:r>
        <w:t xml:space="preserve">overlap, the ICRAA and </w:t>
      </w:r>
      <w:r>
        <w:t xml:space="preserve">the </w:t>
      </w:r>
      <w:r>
        <w:t xml:space="preserve">CCRAA </w:t>
      </w:r>
      <w:r>
        <w:t xml:space="preserve">may </w:t>
      </w:r>
      <w:r>
        <w:t xml:space="preserve">apply to the same report.  (See </w:t>
      </w:r>
      <w:r w:rsidRPr="0052067F">
        <w:rPr>
          <w:i/>
          <w:iCs/>
        </w:rPr>
        <w:t>Connor</w:t>
      </w:r>
      <w:r>
        <w:t xml:space="preserve">, </w:t>
      </w:r>
      <w:r w:rsidRPr="0052067F">
        <w:rPr>
          <w:i/>
          <w:iCs/>
        </w:rPr>
        <w:t>supra</w:t>
      </w:r>
      <w:r>
        <w:t xml:space="preserve">, 5 Cal.5th at p. 1036 [“a regulated party is expected to know and follow the requirements of both statutes”].)  </w:t>
      </w:r>
      <w:r>
        <w:t xml:space="preserve">Both the ICRAA and the CCRAA allow California consumers to pursue a civil cause of action against </w:t>
      </w:r>
      <w:r>
        <w:t xml:space="preserve">a regulated </w:t>
      </w:r>
      <w:r>
        <w:t>agency</w:t>
      </w:r>
      <w:r>
        <w:t xml:space="preserve"> </w:t>
      </w:r>
      <w:r>
        <w:t>or a user of a report</w:t>
      </w:r>
      <w:r>
        <w:t xml:space="preserve"> </w:t>
      </w:r>
      <w:r>
        <w:t>that either willfully or negligently violates its provisions.  (§§ 1785.31 et seq., 1786.50</w:t>
      </w:r>
      <w:r>
        <w:t xml:space="preserve"> </w:t>
      </w:r>
      <w:r>
        <w:t>(a).)</w:t>
      </w:r>
    </w:p>
    <w:p w14:paraId="722E94D7" w14:textId="77777777" w:rsidR="00AA098C" w:rsidRDefault="000F2DE2" w:rsidP="002008A2">
      <w:pPr>
        <w:widowControl w:val="0"/>
        <w:tabs>
          <w:tab w:val="left" w:pos="1440"/>
          <w:tab w:val="left" w:leader="underscore" w:pos="5040"/>
        </w:tabs>
        <w:spacing w:line="480" w:lineRule="atLeast"/>
      </w:pPr>
      <w:r>
        <w:tab/>
        <w:t xml:space="preserve">A </w:t>
      </w:r>
      <w:r>
        <w:t xml:space="preserve">conviction </w:t>
      </w:r>
      <w:r>
        <w:t>touches</w:t>
      </w:r>
      <w:r>
        <w:t xml:space="preserve"> </w:t>
      </w:r>
      <w:r>
        <w:t xml:space="preserve">on </w:t>
      </w:r>
      <w:r>
        <w:t xml:space="preserve">a person’s </w:t>
      </w:r>
      <w:r>
        <w:t>c</w:t>
      </w:r>
      <w:r>
        <w:t>haracter and credit</w:t>
      </w:r>
      <w:r>
        <w:t xml:space="preserve"> </w:t>
      </w:r>
      <w:r>
        <w:t xml:space="preserve">worthiness, so such </w:t>
      </w:r>
      <w:r>
        <w:t xml:space="preserve">information </w:t>
      </w:r>
      <w:r>
        <w:t>is subject to regulation und</w:t>
      </w:r>
      <w:r>
        <w:t xml:space="preserve">er both </w:t>
      </w:r>
      <w:r>
        <w:t xml:space="preserve">state </w:t>
      </w:r>
      <w:r>
        <w:t xml:space="preserve">statutes.  (See </w:t>
      </w:r>
      <w:r w:rsidRPr="0052067F">
        <w:rPr>
          <w:i/>
          <w:iCs/>
        </w:rPr>
        <w:t>Connor</w:t>
      </w:r>
      <w:r>
        <w:t xml:space="preserve">, </w:t>
      </w:r>
      <w:r w:rsidRPr="0052067F">
        <w:rPr>
          <w:i/>
          <w:iCs/>
        </w:rPr>
        <w:t>supra</w:t>
      </w:r>
      <w:r>
        <w:t>, 5</w:t>
      </w:r>
      <w:r>
        <w:t> </w:t>
      </w:r>
      <w:r>
        <w:t>Cal.5th at p</w:t>
      </w:r>
      <w:r>
        <w:t>. 1031.)</w:t>
      </w:r>
      <w:r>
        <w:t xml:space="preserve">  </w:t>
      </w:r>
      <w:r>
        <w:t xml:space="preserve">Under the ICRAA and the CCRAA, agencies are prohibited from reporting:  “Records of arrest, indictment, information, misdemeanor complaint, </w:t>
      </w:r>
      <w:r w:rsidRPr="00231B63">
        <w:t xml:space="preserve">or conviction of a crime that, </w:t>
      </w:r>
      <w:r w:rsidRPr="003E2BD1">
        <w:rPr>
          <w:i/>
          <w:iCs/>
        </w:rPr>
        <w:t>from the date of</w:t>
      </w:r>
      <w:r w:rsidRPr="00231B63">
        <w:t xml:space="preserve"> disposition, release, or </w:t>
      </w:r>
      <w:r w:rsidRPr="003E2BD1">
        <w:rPr>
          <w:i/>
          <w:iCs/>
        </w:rPr>
        <w:t>parole</w:t>
      </w:r>
      <w:r w:rsidRPr="00231B63">
        <w:t>,</w:t>
      </w:r>
      <w:r>
        <w:t xml:space="preserve"> antedate the report by more than seven years.”  (§§ 1785.13 (a)(6), 1786.18 (a)(7)</w:t>
      </w:r>
      <w:r>
        <w:t>, italics added</w:t>
      </w:r>
      <w:r>
        <w:t>.)</w:t>
      </w:r>
    </w:p>
    <w:p w14:paraId="0010E5E9" w14:textId="77777777" w:rsidR="002008A2" w:rsidRDefault="000F2DE2" w:rsidP="002008A2">
      <w:pPr>
        <w:widowControl w:val="0"/>
        <w:tabs>
          <w:tab w:val="left" w:pos="1440"/>
          <w:tab w:val="left" w:leader="underscore" w:pos="5040"/>
        </w:tabs>
        <w:spacing w:line="480" w:lineRule="atLeast"/>
      </w:pPr>
    </w:p>
    <w:p w14:paraId="2350BB0B" w14:textId="77777777" w:rsidR="00CE3718" w:rsidRDefault="000F2DE2" w:rsidP="00515631">
      <w:pPr>
        <w:widowControl w:val="0"/>
        <w:tabs>
          <w:tab w:val="left" w:pos="1440"/>
          <w:tab w:val="left" w:leader="underscore" w:pos="5040"/>
        </w:tabs>
        <w:spacing w:line="480" w:lineRule="atLeast"/>
        <w:rPr>
          <w:i/>
          <w:iCs/>
        </w:rPr>
      </w:pPr>
      <w:r w:rsidRPr="003A343E">
        <w:rPr>
          <w:i/>
          <w:iCs/>
        </w:rPr>
        <w:t xml:space="preserve">B. </w:t>
      </w:r>
      <w:r>
        <w:rPr>
          <w:i/>
          <w:iCs/>
        </w:rPr>
        <w:t xml:space="preserve"> </w:t>
      </w:r>
      <w:r>
        <w:rPr>
          <w:i/>
          <w:iCs/>
        </w:rPr>
        <w:t xml:space="preserve">From </w:t>
      </w:r>
      <w:r>
        <w:rPr>
          <w:i/>
          <w:iCs/>
        </w:rPr>
        <w:t xml:space="preserve">The </w:t>
      </w:r>
      <w:r>
        <w:rPr>
          <w:i/>
          <w:iCs/>
        </w:rPr>
        <w:t>Date of</w:t>
      </w:r>
      <w:r>
        <w:rPr>
          <w:i/>
          <w:iCs/>
        </w:rPr>
        <w:t xml:space="preserve"> </w:t>
      </w:r>
      <w:r>
        <w:rPr>
          <w:i/>
          <w:iCs/>
        </w:rPr>
        <w:t>Parol</w:t>
      </w:r>
      <w:r>
        <w:rPr>
          <w:i/>
          <w:iCs/>
        </w:rPr>
        <w:t>e</w:t>
      </w:r>
    </w:p>
    <w:p w14:paraId="6B244C98" w14:textId="77777777" w:rsidR="00CB1C7E" w:rsidRPr="00CB1C7E" w:rsidRDefault="000F2DE2" w:rsidP="007D3ED1">
      <w:pPr>
        <w:widowControl w:val="0"/>
        <w:tabs>
          <w:tab w:val="left" w:pos="1440"/>
          <w:tab w:val="left" w:leader="underscore" w:pos="5040"/>
          <w:tab w:val="left" w:pos="5490"/>
        </w:tabs>
        <w:spacing w:line="480" w:lineRule="atLeast"/>
      </w:pPr>
      <w:r>
        <w:rPr>
          <w:i/>
          <w:iCs/>
        </w:rPr>
        <w:tab/>
      </w:r>
      <w:r>
        <w:t xml:space="preserve">Accurate </w:t>
      </w:r>
      <w:r>
        <w:t xml:space="preserve">argues </w:t>
      </w:r>
      <w:r>
        <w:t xml:space="preserve">the phrase </w:t>
      </w:r>
      <w:r w:rsidRPr="009D55C0">
        <w:rPr>
          <w:i/>
          <w:iCs/>
        </w:rPr>
        <w:t>from the date of parole</w:t>
      </w:r>
      <w:r>
        <w:t xml:space="preserve"> as used in the </w:t>
      </w:r>
      <w:r>
        <w:t xml:space="preserve">ICRAA and the CCRAA </w:t>
      </w:r>
      <w:r>
        <w:t>really</w:t>
      </w:r>
      <w:r>
        <w:t xml:space="preserve"> </w:t>
      </w:r>
      <w:r>
        <w:t xml:space="preserve">means:  </w:t>
      </w:r>
      <w:r>
        <w:t xml:space="preserve">from </w:t>
      </w:r>
      <w:r>
        <w:t xml:space="preserve">the </w:t>
      </w:r>
      <w:r>
        <w:t xml:space="preserve">date </w:t>
      </w:r>
      <w:r>
        <w:t xml:space="preserve">of </w:t>
      </w:r>
      <w:r w:rsidRPr="0045510E">
        <w:rPr>
          <w:i/>
          <w:iCs/>
        </w:rPr>
        <w:t>the end of</w:t>
      </w:r>
      <w:r>
        <w:t xml:space="preserve"> </w:t>
      </w:r>
      <w:r>
        <w:t xml:space="preserve">parole.  We </w:t>
      </w:r>
      <w:r>
        <w:t>dis</w:t>
      </w:r>
      <w:r>
        <w:t>agree.</w:t>
      </w:r>
    </w:p>
    <w:p w14:paraId="6A9B4227" w14:textId="77777777" w:rsidR="001B3C0B" w:rsidRDefault="000F2DE2" w:rsidP="00443B49">
      <w:pPr>
        <w:widowControl w:val="0"/>
        <w:tabs>
          <w:tab w:val="left" w:pos="1440"/>
          <w:tab w:val="left" w:leader="underscore" w:pos="5040"/>
          <w:tab w:val="left" w:pos="5490"/>
        </w:tabs>
        <w:spacing w:line="480" w:lineRule="atLeast"/>
      </w:pPr>
      <w:r>
        <w:tab/>
      </w:r>
      <w:r w:rsidRPr="006733AD">
        <w:t>“‘Parole</w:t>
      </w:r>
      <w:r>
        <w:t xml:space="preserve"> is the conditional release of a prisoner who has already served part of his or her state prison sentence.  Once released from confinement, a prisoner on parole </w:t>
      </w:r>
      <w:r>
        <w:t>.</w:t>
      </w:r>
      <w:r>
        <w:t xml:space="preserve"> . . </w:t>
      </w:r>
      <w:r>
        <w:t xml:space="preserve">is constructively a prisoner in the legal custody of state prison authorities until </w:t>
      </w:r>
      <w:r>
        <w:lastRenderedPageBreak/>
        <w:t xml:space="preserve">officially discharged from parole.’” </w:t>
      </w:r>
      <w:r>
        <w:t xml:space="preserve"> </w:t>
      </w:r>
      <w:r>
        <w:t>(</w:t>
      </w:r>
      <w:r w:rsidRPr="009F1F56">
        <w:rPr>
          <w:i/>
          <w:iCs/>
        </w:rPr>
        <w:t>In re Taylor</w:t>
      </w:r>
      <w:r>
        <w:t xml:space="preserve"> (2015) 60 Cal.4th 1019, 1037.)</w:t>
      </w:r>
      <w:r>
        <w:t xml:space="preserve">  </w:t>
      </w:r>
      <w:r>
        <w:t>U</w:t>
      </w:r>
      <w:r>
        <w:t xml:space="preserve">nless waived by the California Department of Corrections and </w:t>
      </w:r>
      <w:r>
        <w:t>R</w:t>
      </w:r>
      <w:r>
        <w:t>ehabilitation (CDCR)</w:t>
      </w:r>
      <w:r>
        <w:t xml:space="preserve">, </w:t>
      </w:r>
      <w:r>
        <w:t xml:space="preserve">after </w:t>
      </w:r>
      <w:r>
        <w:t>a</w:t>
      </w:r>
      <w:r>
        <w:t xml:space="preserve">n </w:t>
      </w:r>
      <w:r>
        <w:t xml:space="preserve">inmate </w:t>
      </w:r>
      <w:r>
        <w:t>serv</w:t>
      </w:r>
      <w:r>
        <w:t xml:space="preserve">es </w:t>
      </w:r>
      <w:r>
        <w:t xml:space="preserve">a determinate </w:t>
      </w:r>
      <w:r>
        <w:t xml:space="preserve">term </w:t>
      </w:r>
      <w:r>
        <w:t>(e.g</w:t>
      </w:r>
      <w:r>
        <w:t xml:space="preserve">., </w:t>
      </w:r>
      <w:r>
        <w:t xml:space="preserve">four </w:t>
      </w:r>
      <w:r>
        <w:t>years</w:t>
      </w:r>
      <w:r>
        <w:t>) or a</w:t>
      </w:r>
      <w:r>
        <w:t>n in</w:t>
      </w:r>
      <w:r>
        <w:t xml:space="preserve">determinate </w:t>
      </w:r>
      <w:r>
        <w:t xml:space="preserve">term </w:t>
      </w:r>
      <w:r>
        <w:t xml:space="preserve">(e.g., </w:t>
      </w:r>
      <w:r>
        <w:t>15</w:t>
      </w:r>
      <w:r>
        <w:t xml:space="preserve"> </w:t>
      </w:r>
      <w:r>
        <w:t>years to life)</w:t>
      </w:r>
      <w:r>
        <w:t xml:space="preserve">, </w:t>
      </w:r>
      <w:r>
        <w:t xml:space="preserve">the </w:t>
      </w:r>
      <w:r>
        <w:t xml:space="preserve">inmate </w:t>
      </w:r>
      <w:r>
        <w:t xml:space="preserve">is </w:t>
      </w:r>
      <w:r>
        <w:t xml:space="preserve">then subject to a period of </w:t>
      </w:r>
      <w:r>
        <w:t xml:space="preserve">supervised </w:t>
      </w:r>
      <w:r>
        <w:t>release (</w:t>
      </w:r>
      <w:r>
        <w:t xml:space="preserve">parole </w:t>
      </w:r>
      <w:r>
        <w:t xml:space="preserve">or </w:t>
      </w:r>
      <w:r>
        <w:t>c</w:t>
      </w:r>
      <w:r>
        <w:t xml:space="preserve">ommunity </w:t>
      </w:r>
      <w:r>
        <w:t>s</w:t>
      </w:r>
      <w:r>
        <w:t>upervision</w:t>
      </w:r>
      <w:r>
        <w:t>)</w:t>
      </w:r>
      <w:r>
        <w:t xml:space="preserve">.  </w:t>
      </w:r>
      <w:r>
        <w:t>(Pen. Code, §</w:t>
      </w:r>
      <w:r>
        <w:t>§</w:t>
      </w:r>
      <w:r>
        <w:t xml:space="preserve"> 3000, subd. (a)(1)</w:t>
      </w:r>
      <w:r>
        <w:t>, 3451, subd. (a).</w:t>
      </w:r>
      <w:r>
        <w:t>)</w:t>
      </w:r>
    </w:p>
    <w:p w14:paraId="6145B166" w14:textId="77777777" w:rsidR="00136AD6" w:rsidRDefault="000F2DE2" w:rsidP="00DA1341">
      <w:pPr>
        <w:widowControl w:val="0"/>
        <w:tabs>
          <w:tab w:val="left" w:pos="1440"/>
          <w:tab w:val="left" w:leader="underscore" w:pos="5040"/>
          <w:tab w:val="left" w:pos="5490"/>
        </w:tabs>
        <w:spacing w:line="480" w:lineRule="atLeast"/>
      </w:pPr>
      <w:r>
        <w:tab/>
      </w:r>
      <w:r>
        <w:t>Through “</w:t>
      </w:r>
      <w:r>
        <w:t xml:space="preserve">effective supervision </w:t>
      </w:r>
      <w:r>
        <w:t xml:space="preserve">. . . </w:t>
      </w:r>
      <w:r>
        <w:t>and surveillance of parolees, including the judicious use of revocation actions,</w:t>
      </w:r>
      <w:r>
        <w:t>” the goal of parole is “</w:t>
      </w:r>
      <w:r>
        <w:t>to provide educational, vocational, family, and personal counseling necess</w:t>
      </w:r>
      <w:r>
        <w:t>ary to assist parolees in the transition between imprisonment and discharge.</w:t>
      </w:r>
      <w:r>
        <w:t>”  (</w:t>
      </w:r>
      <w:r>
        <w:t>Pen. Code, § 3000, subd. (a)(1).</w:t>
      </w:r>
      <w:r>
        <w:t>)</w:t>
      </w:r>
      <w:r>
        <w:t xml:space="preserve">  </w:t>
      </w:r>
      <w:r>
        <w:t xml:space="preserve">For most </w:t>
      </w:r>
      <w:r>
        <w:t>inmates</w:t>
      </w:r>
      <w:r>
        <w:t xml:space="preserve">, </w:t>
      </w:r>
      <w:r>
        <w:t>the</w:t>
      </w:r>
      <w:r>
        <w:t xml:space="preserve"> </w:t>
      </w:r>
      <w:r>
        <w:t xml:space="preserve">parole </w:t>
      </w:r>
      <w:r>
        <w:t xml:space="preserve">period </w:t>
      </w:r>
      <w:r>
        <w:t xml:space="preserve">is three years, </w:t>
      </w:r>
      <w:r>
        <w:t xml:space="preserve">but </w:t>
      </w:r>
      <w:r>
        <w:t xml:space="preserve">for </w:t>
      </w:r>
      <w:r>
        <w:t xml:space="preserve">inmates </w:t>
      </w:r>
      <w:r>
        <w:t>convicted of more serious offenses</w:t>
      </w:r>
      <w:r>
        <w:t xml:space="preserve">, </w:t>
      </w:r>
      <w:r>
        <w:t xml:space="preserve">parole </w:t>
      </w:r>
      <w:r>
        <w:t xml:space="preserve">may last </w:t>
      </w:r>
      <w:r>
        <w:t xml:space="preserve">10 years or </w:t>
      </w:r>
      <w:r>
        <w:t>more.</w:t>
      </w:r>
      <w:r>
        <w:t xml:space="preserve">  </w:t>
      </w:r>
      <w:r>
        <w:t>(</w:t>
      </w:r>
      <w:r>
        <w:t>Pen. Code, § 3000</w:t>
      </w:r>
      <w:r>
        <w:t xml:space="preserve">, </w:t>
      </w:r>
      <w:r>
        <w:t>subd. (b).)</w:t>
      </w:r>
    </w:p>
    <w:p w14:paraId="49B39116" w14:textId="77777777" w:rsidR="00664AD9" w:rsidRDefault="000F2DE2" w:rsidP="00664AD9">
      <w:pPr>
        <w:widowControl w:val="0"/>
        <w:tabs>
          <w:tab w:val="left" w:pos="1440"/>
          <w:tab w:val="left" w:leader="underscore" w:pos="5040"/>
          <w:tab w:val="left" w:pos="5490"/>
        </w:tabs>
        <w:spacing w:line="480" w:lineRule="atLeast"/>
      </w:pPr>
      <w:r>
        <w:tab/>
      </w:r>
      <w:r>
        <w:t>Generally</w:t>
      </w:r>
      <w:r>
        <w:t>, f</w:t>
      </w:r>
      <w:r>
        <w:t xml:space="preserve">or </w:t>
      </w:r>
      <w:r>
        <w:t>a</w:t>
      </w:r>
      <w:r>
        <w:t xml:space="preserve">n inmate </w:t>
      </w:r>
      <w:r>
        <w:t xml:space="preserve">serving a </w:t>
      </w:r>
      <w:r>
        <w:t xml:space="preserve">determinate </w:t>
      </w:r>
      <w:r>
        <w:t>term</w:t>
      </w:r>
      <w:r>
        <w:t xml:space="preserve">, </w:t>
      </w:r>
      <w:r>
        <w:t>“</w:t>
      </w:r>
      <w:r>
        <w:t xml:space="preserve">the Board of </w:t>
      </w:r>
      <w:r>
        <w:t xml:space="preserve">Prison Terms </w:t>
      </w:r>
      <w:r>
        <w:t xml:space="preserve">shall </w:t>
      </w:r>
      <w:r>
        <w:t xml:space="preserve">establish </w:t>
      </w:r>
      <w:r>
        <w:t xml:space="preserve">the prisoner’s </w:t>
      </w:r>
      <w:r w:rsidRPr="00677162">
        <w:rPr>
          <w:i/>
          <w:iCs/>
        </w:rPr>
        <w:t>parole date</w:t>
      </w:r>
      <w:r>
        <w:t>, subject to</w:t>
      </w:r>
      <w:r>
        <w:t xml:space="preserve"> </w:t>
      </w:r>
      <w:r>
        <w:t>[</w:t>
      </w:r>
      <w:r>
        <w:t>credit for good behavior</w:t>
      </w:r>
      <w:r>
        <w:t>]</w:t>
      </w:r>
      <w:r>
        <w:t>, on the date calculated</w:t>
      </w:r>
      <w:r>
        <w:t xml:space="preserve">” </w:t>
      </w:r>
      <w:r>
        <w:t xml:space="preserve">for the </w:t>
      </w:r>
      <w:r>
        <w:t xml:space="preserve">chosen </w:t>
      </w:r>
      <w:r>
        <w:t>term</w:t>
      </w:r>
      <w:r>
        <w:t xml:space="preserve"> (low, mid</w:t>
      </w:r>
      <w:r>
        <w:t>dle</w:t>
      </w:r>
      <w:r>
        <w:t>,</w:t>
      </w:r>
      <w:r>
        <w:t xml:space="preserve"> or upper)</w:t>
      </w:r>
      <w:r>
        <w:t xml:space="preserve">, </w:t>
      </w:r>
      <w:r>
        <w:t xml:space="preserve">plus </w:t>
      </w:r>
      <w:r>
        <w:t xml:space="preserve">any </w:t>
      </w:r>
      <w:r>
        <w:t>sentence enhancements</w:t>
      </w:r>
      <w:r>
        <w:t xml:space="preserve">.  (Pen. Code, § </w:t>
      </w:r>
      <w:r>
        <w:t>1170.2, subd. (b)</w:t>
      </w:r>
      <w:r>
        <w:t>, italics added</w:t>
      </w:r>
      <w:r>
        <w:t xml:space="preserve">.)  </w:t>
      </w:r>
      <w:r>
        <w:t xml:space="preserve">And </w:t>
      </w:r>
      <w:r>
        <w:t xml:space="preserve">generally, </w:t>
      </w:r>
      <w:r>
        <w:t>f</w:t>
      </w:r>
      <w:r>
        <w:t xml:space="preserve">or </w:t>
      </w:r>
      <w:r>
        <w:t xml:space="preserve">an </w:t>
      </w:r>
      <w:r>
        <w:t xml:space="preserve">inmate serving an </w:t>
      </w:r>
      <w:r>
        <w:t xml:space="preserve">indeterminate </w:t>
      </w:r>
      <w:r>
        <w:t>term</w:t>
      </w:r>
      <w:r>
        <w:t xml:space="preserve">, </w:t>
      </w:r>
      <w:r>
        <w:t xml:space="preserve">“the Board of Parole Hearings shall meet with each inmate during the sixth year before the </w:t>
      </w:r>
      <w:r>
        <w:t>inmate</w:t>
      </w:r>
      <w:r>
        <w:t>’</w:t>
      </w:r>
      <w:r>
        <w:t xml:space="preserve">s minimum eligible </w:t>
      </w:r>
      <w:r w:rsidRPr="00814FCC">
        <w:rPr>
          <w:i/>
          <w:iCs/>
        </w:rPr>
        <w:t>parole date</w:t>
      </w:r>
      <w:r>
        <w:t xml:space="preserve"> for the purposes of reviewing and documenting the inmate</w:t>
      </w:r>
      <w:r>
        <w:t>’</w:t>
      </w:r>
      <w:r>
        <w:t>s activities and conduct pertinent to parole eligibility.”  (Pen. Code, § 3041, subd. (a)(1)</w:t>
      </w:r>
      <w:r>
        <w:t xml:space="preserve">, </w:t>
      </w:r>
      <w:r>
        <w:t>italics</w:t>
      </w:r>
      <w:r>
        <w:t xml:space="preserve"> added</w:t>
      </w:r>
      <w:r>
        <w:t>.)</w:t>
      </w:r>
    </w:p>
    <w:p w14:paraId="08D1DC93" w14:textId="77777777" w:rsidR="00875B06" w:rsidRDefault="000F2DE2" w:rsidP="00EE3F6F">
      <w:pPr>
        <w:widowControl w:val="0"/>
        <w:tabs>
          <w:tab w:val="left" w:pos="1440"/>
          <w:tab w:val="left" w:leader="underscore" w:pos="5040"/>
          <w:tab w:val="left" w:pos="5490"/>
        </w:tabs>
        <w:spacing w:line="480" w:lineRule="atLeast"/>
      </w:pPr>
      <w:r>
        <w:tab/>
      </w:r>
      <w:bookmarkStart w:id="5" w:name="_Hlk116830400"/>
      <w:r>
        <w:t xml:space="preserve">Under the </w:t>
      </w:r>
      <w:r>
        <w:t>ICRAA</w:t>
      </w:r>
      <w:r>
        <w:t>,</w:t>
      </w:r>
      <w:r>
        <w:t xml:space="preserve"> a</w:t>
      </w:r>
      <w:r>
        <w:t xml:space="preserve">n investigative </w:t>
      </w:r>
      <w:r>
        <w:t xml:space="preserve">reporting agency </w:t>
      </w:r>
      <w:r>
        <w:t xml:space="preserve">is prohibited </w:t>
      </w:r>
      <w:r>
        <w:t xml:space="preserve">from </w:t>
      </w:r>
      <w:r>
        <w:t>provid</w:t>
      </w:r>
      <w:r>
        <w:t>ing</w:t>
      </w:r>
      <w:r>
        <w:t xml:space="preserve"> </w:t>
      </w:r>
      <w:r>
        <w:t xml:space="preserve">certain items </w:t>
      </w:r>
      <w:r>
        <w:t>of information</w:t>
      </w:r>
      <w:r>
        <w:t xml:space="preserve"> in </w:t>
      </w:r>
      <w:r>
        <w:t>a person’s background</w:t>
      </w:r>
      <w:r>
        <w:t xml:space="preserve"> report</w:t>
      </w:r>
      <w:r>
        <w:t>, including</w:t>
      </w:r>
      <w:r>
        <w:t>:</w:t>
      </w:r>
      <w:r>
        <w:t xml:space="preserve">  </w:t>
      </w:r>
      <w:r>
        <w:t>“</w:t>
      </w:r>
      <w:r>
        <w:t xml:space="preserve">Records of arrest, indictment, information, misdemeanor complaint, </w:t>
      </w:r>
      <w:r w:rsidRPr="00E1276A">
        <w:rPr>
          <w:i/>
          <w:iCs/>
        </w:rPr>
        <w:t>or conviction of a crime that,</w:t>
      </w:r>
      <w:r>
        <w:t xml:space="preserve"> </w:t>
      </w:r>
      <w:r w:rsidRPr="00E1276A">
        <w:rPr>
          <w:i/>
          <w:iCs/>
        </w:rPr>
        <w:t xml:space="preserve">from the date of </w:t>
      </w:r>
      <w:r w:rsidRPr="00E1276A">
        <w:rPr>
          <w:i/>
          <w:iCs/>
        </w:rPr>
        <w:t>disposition, release, or parole</w:t>
      </w:r>
      <w:r>
        <w:t>, antedate the report by more than seven years.</w:t>
      </w:r>
      <w:r>
        <w:t xml:space="preserve">  </w:t>
      </w:r>
      <w:r>
        <w:t>These items of information shall no longer be reported if at any time it is learned that, in the case of a conviction, a full pardon has been granted or, in the case of an arre</w:t>
      </w:r>
      <w:r>
        <w:t xml:space="preserve">st, indictment, information, or misdemeanor complaint, a conviction did not result; except that records of arrest, indictment, information, or misdemeanor complaints </w:t>
      </w:r>
      <w:r>
        <w:lastRenderedPageBreak/>
        <w:t>may be reported pending pronouncement of judgment on the particular subject matter of thos</w:t>
      </w:r>
      <w:r>
        <w:t>e records.</w:t>
      </w:r>
      <w:r>
        <w:t>”  (</w:t>
      </w:r>
      <w:r>
        <w:t>§ 1786.18</w:t>
      </w:r>
      <w:r>
        <w:t xml:space="preserve"> </w:t>
      </w:r>
      <w:r>
        <w:t>(a)(7)</w:t>
      </w:r>
      <w:r>
        <w:t>, italics added</w:t>
      </w:r>
      <w:r>
        <w:t>.)</w:t>
      </w:r>
    </w:p>
    <w:bookmarkEnd w:id="5"/>
    <w:p w14:paraId="7607B63C" w14:textId="77777777" w:rsidR="00CC44E2" w:rsidRDefault="000F2DE2" w:rsidP="00D96B55">
      <w:pPr>
        <w:widowControl w:val="0"/>
        <w:tabs>
          <w:tab w:val="left" w:pos="1440"/>
          <w:tab w:val="left" w:leader="underscore" w:pos="5040"/>
          <w:tab w:val="left" w:pos="5490"/>
        </w:tabs>
        <w:spacing w:line="480" w:lineRule="atLeast"/>
      </w:pPr>
      <w:r>
        <w:tab/>
      </w:r>
      <w:r>
        <w:t>U</w:t>
      </w:r>
      <w:r>
        <w:t xml:space="preserve">nder the </w:t>
      </w:r>
      <w:r>
        <w:t>CCRAA</w:t>
      </w:r>
      <w:r>
        <w:t>,</w:t>
      </w:r>
      <w:r>
        <w:t xml:space="preserve"> a</w:t>
      </w:r>
      <w:r>
        <w:t xml:space="preserve"> </w:t>
      </w:r>
      <w:r>
        <w:t xml:space="preserve">credit </w:t>
      </w:r>
      <w:r>
        <w:t xml:space="preserve">reporting agency </w:t>
      </w:r>
      <w:r>
        <w:t xml:space="preserve">is </w:t>
      </w:r>
      <w:r>
        <w:t xml:space="preserve">similarly </w:t>
      </w:r>
      <w:r>
        <w:t xml:space="preserve">prohibited </w:t>
      </w:r>
      <w:r>
        <w:t>from p</w:t>
      </w:r>
      <w:r>
        <w:t>rovid</w:t>
      </w:r>
      <w:r>
        <w:t>ing</w:t>
      </w:r>
      <w:r>
        <w:t xml:space="preserve"> certain items of information in a</w:t>
      </w:r>
      <w:r>
        <w:t xml:space="preserve"> </w:t>
      </w:r>
      <w:r>
        <w:t xml:space="preserve">person’s </w:t>
      </w:r>
      <w:r>
        <w:t xml:space="preserve">consumer credit </w:t>
      </w:r>
      <w:r>
        <w:t>report, including:  “</w:t>
      </w:r>
      <w:r>
        <w:t>Records of arrest, indictment, information, m</w:t>
      </w:r>
      <w:r>
        <w:t xml:space="preserve">isdemeanor complaint, </w:t>
      </w:r>
      <w:r w:rsidRPr="006E7956">
        <w:rPr>
          <w:i/>
          <w:iCs/>
        </w:rPr>
        <w:t>or conviction of a crime that, from the date of disposition, release, or parole</w:t>
      </w:r>
      <w:r>
        <w:t xml:space="preserve">, antedate the report by more than seven years. </w:t>
      </w:r>
      <w:r>
        <w:t xml:space="preserve"> </w:t>
      </w:r>
      <w:r>
        <w:t xml:space="preserve">These items of information shall no longer be reported if at any time it is learned that in the case of a </w:t>
      </w:r>
      <w:r>
        <w:t>conviction a full pardon has been granted, or in the case of an arrest, indictment, information, or misdemeanor complaint a conviction did not result.</w:t>
      </w:r>
      <w:r>
        <w:t>”</w:t>
      </w:r>
      <w:r>
        <w:t xml:space="preserve">  </w:t>
      </w:r>
      <w:r>
        <w:t>(</w:t>
      </w:r>
      <w:r>
        <w:t>§ 1785.13</w:t>
      </w:r>
      <w:r>
        <w:t xml:space="preserve"> (a)(</w:t>
      </w:r>
      <w:r>
        <w:t>6</w:t>
      </w:r>
      <w:r>
        <w:t>)</w:t>
      </w:r>
      <w:r>
        <w:t>, italics added</w:t>
      </w:r>
      <w:r>
        <w:t>.)</w:t>
      </w:r>
    </w:p>
    <w:p w14:paraId="20E71CE7" w14:textId="77777777" w:rsidR="00817096" w:rsidRDefault="000F2DE2" w:rsidP="007709EF">
      <w:pPr>
        <w:widowControl w:val="0"/>
        <w:tabs>
          <w:tab w:val="left" w:pos="1440"/>
          <w:tab w:val="left" w:leader="underscore" w:pos="5040"/>
          <w:tab w:val="left" w:pos="5490"/>
        </w:tabs>
        <w:spacing w:line="480" w:lineRule="atLeast"/>
      </w:pPr>
      <w:r>
        <w:tab/>
      </w:r>
      <w:r>
        <w:t>U</w:t>
      </w:r>
      <w:r>
        <w:t>nder California law</w:t>
      </w:r>
      <w:r>
        <w:t xml:space="preserve">, </w:t>
      </w:r>
      <w:r>
        <w:t xml:space="preserve">the word “parole” is consistent with </w:t>
      </w:r>
      <w:r>
        <w:t xml:space="preserve">its </w:t>
      </w:r>
      <w:r>
        <w:t xml:space="preserve">plain </w:t>
      </w:r>
      <w:r>
        <w:t>meaning:</w:t>
      </w:r>
      <w:r>
        <w:t xml:space="preserve">  </w:t>
      </w:r>
      <w:r>
        <w:t>“</w:t>
      </w:r>
      <w:r w:rsidRPr="0077316C">
        <w:t>Release</w:t>
      </w:r>
      <w:r>
        <w:t xml:space="preserve"> </w:t>
      </w:r>
      <w:r>
        <w:t xml:space="preserve">from </w:t>
      </w:r>
      <w:r>
        <w:t xml:space="preserve">jail, prison, or other confinement </w:t>
      </w:r>
      <w:r>
        <w:t xml:space="preserve">after actually serving </w:t>
      </w:r>
      <w:r>
        <w:t>part of sentence</w:t>
      </w:r>
      <w:r>
        <w:t>.”  (</w:t>
      </w:r>
      <w:r>
        <w:t>Black’s Law Dict</w:t>
      </w:r>
      <w:r>
        <w:t xml:space="preserve">. </w:t>
      </w:r>
      <w:r>
        <w:t>(</w:t>
      </w:r>
      <w:r>
        <w:t>6</w:t>
      </w:r>
      <w:r>
        <w:t xml:space="preserve">th ed. </w:t>
      </w:r>
      <w:r>
        <w:t>1990</w:t>
      </w:r>
      <w:r>
        <w:t xml:space="preserve">) </w:t>
      </w:r>
      <w:r>
        <w:t xml:space="preserve">p. </w:t>
      </w:r>
      <w:r>
        <w:t>1116</w:t>
      </w:r>
      <w:r>
        <w:t>, col. 2</w:t>
      </w:r>
      <w:r>
        <w:t>.</w:t>
      </w:r>
      <w:r>
        <w:t>)</w:t>
      </w:r>
      <w:r>
        <w:t xml:space="preserve">  </w:t>
      </w:r>
      <w:r>
        <w:t>More specifically</w:t>
      </w:r>
      <w:r>
        <w:t xml:space="preserve">, the </w:t>
      </w:r>
      <w:r>
        <w:t xml:space="preserve">phrase </w:t>
      </w:r>
      <w:r w:rsidRPr="0095768B">
        <w:rPr>
          <w:i/>
          <w:iCs/>
        </w:rPr>
        <w:t>d</w:t>
      </w:r>
      <w:r w:rsidRPr="0095768B">
        <w:rPr>
          <w:i/>
          <w:iCs/>
        </w:rPr>
        <w:t>ate of parole</w:t>
      </w:r>
      <w:r>
        <w:t xml:space="preserve"> is </w:t>
      </w:r>
      <w:r>
        <w:t xml:space="preserve">indistinguishable from </w:t>
      </w:r>
      <w:r>
        <w:t xml:space="preserve">the </w:t>
      </w:r>
      <w:r>
        <w:t xml:space="preserve">phrase </w:t>
      </w:r>
      <w:r w:rsidRPr="0095768B">
        <w:rPr>
          <w:i/>
          <w:iCs/>
        </w:rPr>
        <w:t>parole date</w:t>
      </w:r>
      <w:r>
        <w:t xml:space="preserve">, </w:t>
      </w:r>
      <w:r>
        <w:t xml:space="preserve">which is well understood </w:t>
      </w:r>
      <w:r>
        <w:t xml:space="preserve">in </w:t>
      </w:r>
      <w:r>
        <w:t xml:space="preserve">California </w:t>
      </w:r>
      <w:r>
        <w:t xml:space="preserve">law </w:t>
      </w:r>
      <w:r>
        <w:t xml:space="preserve">to refer to the date of </w:t>
      </w:r>
      <w:r>
        <w:t xml:space="preserve">an inmate’s </w:t>
      </w:r>
      <w:r>
        <w:t xml:space="preserve">release, or </w:t>
      </w:r>
      <w:r>
        <w:t xml:space="preserve">the </w:t>
      </w:r>
      <w:r>
        <w:t xml:space="preserve">start </w:t>
      </w:r>
      <w:r>
        <w:t xml:space="preserve">date </w:t>
      </w:r>
      <w:r>
        <w:t xml:space="preserve">of </w:t>
      </w:r>
      <w:r>
        <w:t xml:space="preserve">his or her </w:t>
      </w:r>
      <w:r>
        <w:t>parole</w:t>
      </w:r>
      <w:r>
        <w:t xml:space="preserve">.  </w:t>
      </w:r>
      <w:r>
        <w:t>(</w:t>
      </w:r>
      <w:r>
        <w:t>See</w:t>
      </w:r>
      <w:r>
        <w:t xml:space="preserve">, </w:t>
      </w:r>
      <w:r>
        <w:t>e.g., CD</w:t>
      </w:r>
      <w:r>
        <w:t>C</w:t>
      </w:r>
      <w:r>
        <w:t>R</w:t>
      </w:r>
      <w:r>
        <w:t xml:space="preserve">, </w:t>
      </w:r>
      <w:r>
        <w:t>Operatio</w:t>
      </w:r>
      <w:r>
        <w:t>ns Manual</w:t>
      </w:r>
      <w:r>
        <w:t xml:space="preserve"> (2021) </w:t>
      </w:r>
      <w:r>
        <w:t xml:space="preserve">ch. </w:t>
      </w:r>
      <w:r>
        <w:t>7</w:t>
      </w:r>
      <w:r>
        <w:t xml:space="preserve">, art. </w:t>
      </w:r>
      <w:r>
        <w:t xml:space="preserve">16, </w:t>
      </w:r>
      <w:r>
        <w:t>§ 74030.10</w:t>
      </w:r>
      <w:r>
        <w:t xml:space="preserve">, </w:t>
      </w:r>
      <w:r>
        <w:t xml:space="preserve">p. 645, </w:t>
      </w:r>
      <w:r>
        <w:t xml:space="preserve">italics added </w:t>
      </w:r>
      <w:r>
        <w:t>[</w:t>
      </w:r>
      <w:r>
        <w:t xml:space="preserve">“If an inmate is found suitable for parole, a tentative </w:t>
      </w:r>
      <w:r w:rsidRPr="007D4D73">
        <w:rPr>
          <w:i/>
          <w:iCs/>
        </w:rPr>
        <w:t>parole date</w:t>
      </w:r>
      <w:r>
        <w:t xml:space="preserve"> shall be set</w:t>
      </w:r>
      <w:r>
        <w:t>”]</w:t>
      </w:r>
      <w:r>
        <w:t xml:space="preserve">; see also Pen. Code, §§ </w:t>
      </w:r>
      <w:r>
        <w:t>304</w:t>
      </w:r>
      <w:r>
        <w:t>1</w:t>
      </w:r>
      <w:r>
        <w:t>, subd. (a)(1), 1170.2, subd. (b)</w:t>
      </w:r>
      <w:r>
        <w:t>.)</w:t>
      </w:r>
    </w:p>
    <w:p w14:paraId="5D4C7C32" w14:textId="77777777" w:rsidR="007709EF" w:rsidRPr="000C09DC" w:rsidRDefault="000F2DE2" w:rsidP="007709EF">
      <w:pPr>
        <w:widowControl w:val="0"/>
        <w:tabs>
          <w:tab w:val="left" w:pos="1440"/>
          <w:tab w:val="left" w:leader="underscore" w:pos="5040"/>
          <w:tab w:val="left" w:pos="5490"/>
        </w:tabs>
        <w:spacing w:line="480" w:lineRule="atLeast"/>
      </w:pPr>
      <w:r>
        <w:tab/>
      </w:r>
      <w:r>
        <w:t xml:space="preserve">In short, </w:t>
      </w:r>
      <w:r>
        <w:t xml:space="preserve">since </w:t>
      </w:r>
      <w:r>
        <w:t xml:space="preserve">a period of </w:t>
      </w:r>
      <w:r>
        <w:t xml:space="preserve">parole </w:t>
      </w:r>
      <w:r>
        <w:t xml:space="preserve">generally </w:t>
      </w:r>
      <w:r>
        <w:t xml:space="preserve">begins when </w:t>
      </w:r>
      <w:r>
        <w:t xml:space="preserve">an inmate </w:t>
      </w:r>
      <w:r>
        <w:t xml:space="preserve">is </w:t>
      </w:r>
      <w:r>
        <w:t>release</w:t>
      </w:r>
      <w:r>
        <w:t>d</w:t>
      </w:r>
      <w:r>
        <w:t xml:space="preserve"> from prison</w:t>
      </w:r>
      <w:r>
        <w:t xml:space="preserve">, </w:t>
      </w:r>
      <w:r>
        <w:t xml:space="preserve">we </w:t>
      </w:r>
      <w:r>
        <w:t xml:space="preserve">find </w:t>
      </w:r>
      <w:r>
        <w:t xml:space="preserve">the </w:t>
      </w:r>
      <w:r>
        <w:t>relevant provision</w:t>
      </w:r>
      <w:r>
        <w:t xml:space="preserve">s </w:t>
      </w:r>
      <w:r>
        <w:t>i</w:t>
      </w:r>
      <w:r>
        <w:t>n the ICRAA and the CCRA</w:t>
      </w:r>
      <w:r>
        <w:t>A</w:t>
      </w:r>
      <w:r>
        <w:t xml:space="preserve">, which </w:t>
      </w:r>
      <w:r>
        <w:t>prohibit</w:t>
      </w:r>
      <w:r>
        <w:t xml:space="preserve"> an agency from </w:t>
      </w:r>
      <w:r>
        <w:t xml:space="preserve">reporting a </w:t>
      </w:r>
      <w:r>
        <w:t xml:space="preserve">person’s </w:t>
      </w:r>
      <w:r>
        <w:t xml:space="preserve">criminal </w:t>
      </w:r>
      <w:r>
        <w:t xml:space="preserve">conviction </w:t>
      </w:r>
      <w:r>
        <w:t xml:space="preserve">that predates a report by </w:t>
      </w:r>
      <w:r>
        <w:t xml:space="preserve">more than </w:t>
      </w:r>
      <w:r>
        <w:t>seven</w:t>
      </w:r>
      <w:r>
        <w:t xml:space="preserve"> </w:t>
      </w:r>
      <w:r>
        <w:t>year</w:t>
      </w:r>
      <w:r>
        <w:t xml:space="preserve">s </w:t>
      </w:r>
      <w:r>
        <w:t xml:space="preserve">as measured “from the date of . . . parole” plainly refers to the start date of </w:t>
      </w:r>
      <w:r>
        <w:t xml:space="preserve">that </w:t>
      </w:r>
      <w:r>
        <w:t>paro</w:t>
      </w:r>
      <w:r>
        <w:t>le.  (See §§ 1785.13 (a)(6), 1786.18</w:t>
      </w:r>
      <w:r>
        <w:t xml:space="preserve"> </w:t>
      </w:r>
      <w:r>
        <w:t>(a)(7</w:t>
      </w:r>
      <w:r>
        <w:t>)</w:t>
      </w:r>
      <w:r>
        <w:t>.)</w:t>
      </w:r>
    </w:p>
    <w:p w14:paraId="5A455F6E" w14:textId="77777777" w:rsidR="00EE2753" w:rsidRPr="000C09DC" w:rsidRDefault="000F2DE2" w:rsidP="00063E65">
      <w:pPr>
        <w:widowControl w:val="0"/>
        <w:tabs>
          <w:tab w:val="left" w:pos="1440"/>
          <w:tab w:val="left" w:leader="underscore" w:pos="5040"/>
          <w:tab w:val="left" w:pos="5490"/>
        </w:tabs>
        <w:spacing w:line="480" w:lineRule="atLeast"/>
      </w:pPr>
      <w:r>
        <w:tab/>
      </w:r>
      <w:r>
        <w:t xml:space="preserve">Consistent with </w:t>
      </w:r>
      <w:r>
        <w:t xml:space="preserve">our </w:t>
      </w:r>
      <w:r>
        <w:t xml:space="preserve">plain meaning </w:t>
      </w:r>
      <w:r>
        <w:t xml:space="preserve">interpretation is </w:t>
      </w:r>
      <w:r>
        <w:t xml:space="preserve">guidance </w:t>
      </w:r>
      <w:r>
        <w:t>from the Federal Trade Commission</w:t>
      </w:r>
      <w:r>
        <w:t xml:space="preserve"> (FTC)</w:t>
      </w:r>
      <w:r>
        <w:t xml:space="preserve">, </w:t>
      </w:r>
      <w:r>
        <w:t xml:space="preserve">which </w:t>
      </w:r>
      <w:r>
        <w:t>implements</w:t>
      </w:r>
      <w:r>
        <w:t xml:space="preserve"> </w:t>
      </w:r>
      <w:r>
        <w:t xml:space="preserve">the </w:t>
      </w:r>
      <w:r>
        <w:t>F</w:t>
      </w:r>
      <w:r>
        <w:t xml:space="preserve">CRA.  The </w:t>
      </w:r>
      <w:r>
        <w:t xml:space="preserve">seven-year limitation </w:t>
      </w:r>
      <w:r>
        <w:t xml:space="preserve">period </w:t>
      </w:r>
      <w:r>
        <w:t xml:space="preserve">as to </w:t>
      </w:r>
      <w:r>
        <w:t>the reporting of criminal convictions in</w:t>
      </w:r>
      <w:r>
        <w:t xml:space="preserve"> </w:t>
      </w:r>
      <w:r>
        <w:t xml:space="preserve">California’s </w:t>
      </w:r>
      <w:r>
        <w:t xml:space="preserve">ICRAA </w:t>
      </w:r>
      <w:r>
        <w:t xml:space="preserve">and </w:t>
      </w:r>
      <w:r>
        <w:t>CCRAA</w:t>
      </w:r>
      <w:r>
        <w:t xml:space="preserve">, </w:t>
      </w:r>
      <w:r>
        <w:t xml:space="preserve">is </w:t>
      </w:r>
      <w:r>
        <w:t xml:space="preserve">nearly identical </w:t>
      </w:r>
      <w:r>
        <w:t xml:space="preserve">to a </w:t>
      </w:r>
      <w:r>
        <w:t xml:space="preserve">prior </w:t>
      </w:r>
      <w:r>
        <w:t xml:space="preserve">provision </w:t>
      </w:r>
      <w:r>
        <w:t>of th</w:t>
      </w:r>
      <w:r>
        <w:t xml:space="preserve">e </w:t>
      </w:r>
      <w:r>
        <w:t xml:space="preserve">federal </w:t>
      </w:r>
      <w:r>
        <w:t xml:space="preserve">FCRA that existed from </w:t>
      </w:r>
      <w:r>
        <w:lastRenderedPageBreak/>
        <w:t xml:space="preserve">1970 </w:t>
      </w:r>
      <w:r>
        <w:t xml:space="preserve">until </w:t>
      </w:r>
      <w:r>
        <w:t>1998</w:t>
      </w:r>
      <w:r>
        <w:t>.</w:t>
      </w:r>
      <w:r>
        <w:t xml:space="preserve">  </w:t>
      </w:r>
      <w:r>
        <w:t xml:space="preserve">Under that provision, </w:t>
      </w:r>
      <w:r>
        <w:t xml:space="preserve">relevant </w:t>
      </w:r>
      <w:r>
        <w:t xml:space="preserve">reporting </w:t>
      </w:r>
      <w:r>
        <w:t xml:space="preserve">agencies </w:t>
      </w:r>
      <w:r>
        <w:t xml:space="preserve">were prohibited </w:t>
      </w:r>
      <w:r>
        <w:t>from reporting:  “</w:t>
      </w:r>
      <w:r>
        <w:t xml:space="preserve">Records of arrest, indictment, or conviction of a crime </w:t>
      </w:r>
      <w:r>
        <w:t>which, from date of disposition, release, or parole, antedate the report by more than seven years.”</w:t>
      </w:r>
    </w:p>
    <w:p w14:paraId="326AF3ED" w14:textId="77777777" w:rsidR="002E3E77" w:rsidRPr="000C09DC" w:rsidRDefault="000F2DE2" w:rsidP="008F150C">
      <w:pPr>
        <w:widowControl w:val="0"/>
        <w:tabs>
          <w:tab w:val="left" w:pos="1440"/>
          <w:tab w:val="left" w:leader="underscore" w:pos="5040"/>
          <w:tab w:val="left" w:pos="5490"/>
        </w:tabs>
        <w:spacing w:line="480" w:lineRule="atLeast"/>
      </w:pPr>
      <w:r>
        <w:tab/>
      </w:r>
      <w:r>
        <w:t>In May 1</w:t>
      </w:r>
      <w:r>
        <w:t xml:space="preserve">990, the </w:t>
      </w:r>
      <w:r>
        <w:t xml:space="preserve">FTC </w:t>
      </w:r>
      <w:r>
        <w:t>interpret</w:t>
      </w:r>
      <w:r>
        <w:t xml:space="preserve">ed </w:t>
      </w:r>
      <w:r>
        <w:t>th</w:t>
      </w:r>
      <w:r>
        <w:t xml:space="preserve">e </w:t>
      </w:r>
      <w:r>
        <w:t>former seven-year limitation period</w:t>
      </w:r>
      <w:r>
        <w:t xml:space="preserve">, </w:t>
      </w:r>
      <w:r>
        <w:t>stating</w:t>
      </w:r>
      <w:r>
        <w:t>:</w:t>
      </w:r>
      <w:r>
        <w:t xml:space="preserve">  </w:t>
      </w:r>
      <w:r w:rsidRPr="004B2282">
        <w:t>“</w:t>
      </w:r>
      <w:r w:rsidRPr="004B2282">
        <w:t>Computation of</w:t>
      </w:r>
      <w:r w:rsidRPr="004B2282">
        <w:t xml:space="preserve"> Time Period</w:t>
      </w:r>
      <w:r>
        <w:t xml:space="preserve">  [¶]  </w:t>
      </w:r>
      <w:r>
        <w:t xml:space="preserve">The seven year reporting period runs from the date of disposition, release or parole, as applicable.  </w:t>
      </w:r>
      <w:r>
        <w:t xml:space="preserve">. . .  </w:t>
      </w:r>
      <w:r>
        <w:t xml:space="preserve">If the consumer is convicted of a crime and sentenced to confinement, </w:t>
      </w:r>
      <w:r w:rsidRPr="006A005A">
        <w:rPr>
          <w:i/>
          <w:iCs/>
        </w:rPr>
        <w:t>the date of release or placement on parole</w:t>
      </w:r>
      <w:r w:rsidRPr="006A005A">
        <w:rPr>
          <w:i/>
          <w:iCs/>
        </w:rPr>
        <w:t xml:space="preserve"> </w:t>
      </w:r>
      <w:r w:rsidRPr="006A005A">
        <w:rPr>
          <w:i/>
          <w:iCs/>
        </w:rPr>
        <w:t>controls</w:t>
      </w:r>
      <w:r>
        <w:t>.</w:t>
      </w:r>
      <w:r>
        <w:t xml:space="preserve">”  </w:t>
      </w:r>
      <w:r>
        <w:t>(</w:t>
      </w:r>
      <w:r>
        <w:t xml:space="preserve">Statement </w:t>
      </w:r>
      <w:r>
        <w:t xml:space="preserve">of General Policy or Interpretation; </w:t>
      </w:r>
      <w:r>
        <w:t>Commentary on the Fa</w:t>
      </w:r>
      <w:r>
        <w:t>ir Credit Reporting Act, 55 F</w:t>
      </w:r>
      <w:r>
        <w:t>ed.</w:t>
      </w:r>
      <w:r>
        <w:t>R</w:t>
      </w:r>
      <w:r>
        <w:t>eg. 1</w:t>
      </w:r>
      <w:r>
        <w:t>8804 (May 4, 1990), i</w:t>
      </w:r>
      <w:r>
        <w:t>talics added.)</w:t>
      </w:r>
    </w:p>
    <w:p w14:paraId="4C1C9354" w14:textId="77777777" w:rsidR="00BC5353" w:rsidRDefault="000F2DE2" w:rsidP="00063E65">
      <w:pPr>
        <w:widowControl w:val="0"/>
        <w:tabs>
          <w:tab w:val="left" w:pos="1440"/>
          <w:tab w:val="left" w:leader="underscore" w:pos="5040"/>
          <w:tab w:val="left" w:pos="5490"/>
        </w:tabs>
        <w:spacing w:line="480" w:lineRule="atLeast"/>
      </w:pPr>
      <w:r>
        <w:tab/>
      </w:r>
      <w:r>
        <w:t xml:space="preserve">Here, </w:t>
      </w:r>
      <w:r>
        <w:t>K</w:t>
      </w:r>
      <w:r>
        <w:t xml:space="preserve">emp’s </w:t>
      </w:r>
      <w:r>
        <w:t>conviction (</w:t>
      </w:r>
      <w:r>
        <w:t xml:space="preserve">i.e., </w:t>
      </w:r>
      <w:r>
        <w:t>disposition</w:t>
      </w:r>
      <w:r>
        <w:t>)</w:t>
      </w:r>
      <w:r>
        <w:t xml:space="preserve">, release from prison, and </w:t>
      </w:r>
      <w:r w:rsidRPr="00C57D97">
        <w:rPr>
          <w:i/>
          <w:iCs/>
        </w:rPr>
        <w:t xml:space="preserve">placement on </w:t>
      </w:r>
      <w:r w:rsidRPr="00C57D97">
        <w:rPr>
          <w:i/>
          <w:iCs/>
        </w:rPr>
        <w:t>parole</w:t>
      </w:r>
      <w:r>
        <w:t xml:space="preserve">, </w:t>
      </w:r>
      <w:r>
        <w:t xml:space="preserve">all </w:t>
      </w:r>
      <w:r>
        <w:t>o</w:t>
      </w:r>
      <w:r>
        <w:t xml:space="preserve">ccurred </w:t>
      </w:r>
      <w:r>
        <w:t>in 2011</w:t>
      </w:r>
      <w:r>
        <w:t>, w</w:t>
      </w:r>
      <w:r>
        <w:t xml:space="preserve">hich predated </w:t>
      </w:r>
      <w:r>
        <w:t xml:space="preserve">Accurate’s </w:t>
      </w:r>
      <w:r>
        <w:t xml:space="preserve">2020 report by more </w:t>
      </w:r>
      <w:r>
        <w:t xml:space="preserve">than seven </w:t>
      </w:r>
      <w:r>
        <w:t>years</w:t>
      </w:r>
      <w:r>
        <w:t xml:space="preserve">.  Thus, </w:t>
      </w:r>
      <w:r>
        <w:t xml:space="preserve">we hold that the </w:t>
      </w:r>
      <w:r>
        <w:t xml:space="preserve">trial court </w:t>
      </w:r>
      <w:r>
        <w:t xml:space="preserve">properly </w:t>
      </w:r>
      <w:r>
        <w:t>den</w:t>
      </w:r>
      <w:r>
        <w:t xml:space="preserve">ied </w:t>
      </w:r>
      <w:r>
        <w:t xml:space="preserve">Accurate’s demurrer </w:t>
      </w:r>
      <w:r>
        <w:t xml:space="preserve">to Kemp’s </w:t>
      </w:r>
      <w:r>
        <w:t xml:space="preserve">amended </w:t>
      </w:r>
      <w:r>
        <w:t xml:space="preserve">complaint </w:t>
      </w:r>
      <w:r>
        <w:t>on</w:t>
      </w:r>
      <w:r>
        <w:t xml:space="preserve"> this basis.</w:t>
      </w:r>
    </w:p>
    <w:p w14:paraId="7F4CDB3F" w14:textId="77777777" w:rsidR="00796ABE" w:rsidRDefault="000F2DE2" w:rsidP="00796ABE">
      <w:pPr>
        <w:widowControl w:val="0"/>
        <w:tabs>
          <w:tab w:val="left" w:pos="1440"/>
          <w:tab w:val="left" w:leader="underscore" w:pos="5040"/>
          <w:tab w:val="left" w:pos="5490"/>
        </w:tabs>
        <w:spacing w:line="480" w:lineRule="atLeast"/>
      </w:pPr>
      <w:r>
        <w:tab/>
      </w:r>
      <w:r>
        <w:t xml:space="preserve">Accurate </w:t>
      </w:r>
      <w:r>
        <w:t xml:space="preserve">argues the </w:t>
      </w:r>
      <w:r>
        <w:t xml:space="preserve">phrase </w:t>
      </w:r>
      <w:r w:rsidRPr="00F97CE4">
        <w:rPr>
          <w:i/>
          <w:iCs/>
        </w:rPr>
        <w:t xml:space="preserve">from the date of </w:t>
      </w:r>
      <w:r w:rsidRPr="00F97CE4">
        <w:rPr>
          <w:i/>
          <w:iCs/>
        </w:rPr>
        <w:t>parole</w:t>
      </w:r>
      <w:r>
        <w:t xml:space="preserve"> </w:t>
      </w:r>
      <w:r>
        <w:t xml:space="preserve">as used </w:t>
      </w:r>
      <w:r>
        <w:t xml:space="preserve">in the ICRAA </w:t>
      </w:r>
      <w:r>
        <w:t>and the CCRAA</w:t>
      </w:r>
      <w:r>
        <w:t xml:space="preserve"> </w:t>
      </w:r>
      <w:r>
        <w:t>really</w:t>
      </w:r>
      <w:r>
        <w:t xml:space="preserve"> </w:t>
      </w:r>
      <w:r>
        <w:t>means</w:t>
      </w:r>
      <w:r>
        <w:t xml:space="preserve">:  </w:t>
      </w:r>
      <w:r>
        <w:t xml:space="preserve">from the date </w:t>
      </w:r>
      <w:r w:rsidRPr="00B5744A">
        <w:t xml:space="preserve">of </w:t>
      </w:r>
      <w:r w:rsidRPr="00B5744A">
        <w:rPr>
          <w:i/>
          <w:iCs/>
        </w:rPr>
        <w:t>the end of</w:t>
      </w:r>
      <w:r>
        <w:t xml:space="preserve"> </w:t>
      </w:r>
      <w:r>
        <w:t>parole</w:t>
      </w:r>
      <w:r>
        <w:t>.  But c</w:t>
      </w:r>
      <w:r>
        <w:t xml:space="preserve">ontrary to </w:t>
      </w:r>
      <w:r>
        <w:t xml:space="preserve">our </w:t>
      </w:r>
      <w:r>
        <w:t>plain meaning</w:t>
      </w:r>
      <w:r>
        <w:t xml:space="preserve"> interpretation</w:t>
      </w:r>
      <w:r>
        <w:t xml:space="preserve">, </w:t>
      </w:r>
      <w:r>
        <w:t xml:space="preserve">Accurate’s </w:t>
      </w:r>
      <w:r>
        <w:t xml:space="preserve">imaginative </w:t>
      </w:r>
      <w:r>
        <w:t xml:space="preserve">interpretation </w:t>
      </w:r>
      <w:r>
        <w:t xml:space="preserve">would </w:t>
      </w:r>
      <w:r>
        <w:t xml:space="preserve">effectively </w:t>
      </w:r>
      <w:r>
        <w:t xml:space="preserve">require us to </w:t>
      </w:r>
      <w:r>
        <w:t xml:space="preserve">rewrite </w:t>
      </w:r>
      <w:r>
        <w:t xml:space="preserve">both </w:t>
      </w:r>
      <w:r>
        <w:t>the ICRAA and the CCRAA</w:t>
      </w:r>
      <w:r>
        <w:t xml:space="preserve">.  </w:t>
      </w:r>
      <w:r>
        <w:t>This</w:t>
      </w:r>
      <w:r>
        <w:t xml:space="preserve">, of course, </w:t>
      </w:r>
      <w:r>
        <w:t xml:space="preserve">we cannot do. </w:t>
      </w:r>
      <w:r>
        <w:t xml:space="preserve"> (</w:t>
      </w:r>
      <w:r w:rsidRPr="00796ABE">
        <w:rPr>
          <w:i/>
          <w:iCs/>
        </w:rPr>
        <w:t>Vasquez v. State of California</w:t>
      </w:r>
      <w:r>
        <w:t xml:space="preserve"> (2008) 45 Cal.4th 243, 253 [courts “may not rewrite the statute to conform to an assumed intention that does not appear in its language”].)</w:t>
      </w:r>
    </w:p>
    <w:p w14:paraId="42840901" w14:textId="77777777" w:rsidR="000149B4" w:rsidRDefault="000F2DE2" w:rsidP="001D0CFA">
      <w:pPr>
        <w:widowControl w:val="0"/>
        <w:tabs>
          <w:tab w:val="left" w:pos="1440"/>
          <w:tab w:val="left" w:leader="underscore" w:pos="5040"/>
          <w:tab w:val="left" w:pos="5490"/>
        </w:tabs>
        <w:spacing w:line="480" w:lineRule="atLeast"/>
        <w:rPr>
          <w:szCs w:val="26"/>
        </w:rPr>
      </w:pPr>
      <w:r>
        <w:tab/>
      </w:r>
      <w:r>
        <w:t xml:space="preserve">Indeed, </w:t>
      </w:r>
      <w:r>
        <w:t xml:space="preserve">Accurate </w:t>
      </w:r>
      <w:r>
        <w:t>cites no legal authorit</w:t>
      </w:r>
      <w:r>
        <w:t xml:space="preserve">ies </w:t>
      </w:r>
      <w:r>
        <w:t xml:space="preserve">directly </w:t>
      </w:r>
      <w:r>
        <w:t>in s</w:t>
      </w:r>
      <w:r>
        <w:t xml:space="preserve">upport </w:t>
      </w:r>
      <w:r>
        <w:t xml:space="preserve">of </w:t>
      </w:r>
      <w:r>
        <w:t xml:space="preserve">its </w:t>
      </w:r>
      <w:r>
        <w:t xml:space="preserve">notion that the phrase </w:t>
      </w:r>
      <w:r w:rsidRPr="00AC4D5B">
        <w:rPr>
          <w:i/>
          <w:iCs/>
        </w:rPr>
        <w:t>from the date of parole</w:t>
      </w:r>
      <w:r>
        <w:t xml:space="preserve"> </w:t>
      </w:r>
      <w:r>
        <w:t>actually</w:t>
      </w:r>
      <w:r>
        <w:t xml:space="preserve"> means </w:t>
      </w:r>
      <w:r w:rsidRPr="00AC4D5B">
        <w:rPr>
          <w:i/>
          <w:iCs/>
        </w:rPr>
        <w:t xml:space="preserve">from the </w:t>
      </w:r>
      <w:r w:rsidRPr="00AC4D5B">
        <w:rPr>
          <w:i/>
          <w:iCs/>
        </w:rPr>
        <w:t>date of the e</w:t>
      </w:r>
      <w:r w:rsidRPr="00AC4D5B">
        <w:rPr>
          <w:i/>
          <w:iCs/>
        </w:rPr>
        <w:t>nd of parole</w:t>
      </w:r>
      <w:r>
        <w:t xml:space="preserve">.  </w:t>
      </w:r>
      <w:r>
        <w:t>Rather</w:t>
      </w:r>
      <w:r>
        <w:t xml:space="preserve">, Accurate </w:t>
      </w:r>
      <w:r>
        <w:t>primarily</w:t>
      </w:r>
      <w:r>
        <w:t xml:space="preserve"> relies </w:t>
      </w:r>
      <w:r>
        <w:rPr>
          <w:szCs w:val="26"/>
        </w:rPr>
        <w:t xml:space="preserve">on </w:t>
      </w:r>
      <w:r>
        <w:rPr>
          <w:szCs w:val="26"/>
        </w:rPr>
        <w:t>a</w:t>
      </w:r>
      <w:r>
        <w:rPr>
          <w:szCs w:val="26"/>
        </w:rPr>
        <w:t xml:space="preserve"> canon of </w:t>
      </w:r>
      <w:r>
        <w:rPr>
          <w:szCs w:val="26"/>
        </w:rPr>
        <w:t xml:space="preserve">statutory </w:t>
      </w:r>
      <w:r>
        <w:rPr>
          <w:szCs w:val="26"/>
        </w:rPr>
        <w:t>construction</w:t>
      </w:r>
      <w:r>
        <w:rPr>
          <w:szCs w:val="26"/>
        </w:rPr>
        <w:t xml:space="preserve"> known as the </w:t>
      </w:r>
      <w:r>
        <w:rPr>
          <w:szCs w:val="26"/>
        </w:rPr>
        <w:t xml:space="preserve">canon against surplusage:  </w:t>
      </w:r>
      <w:r>
        <w:rPr>
          <w:szCs w:val="26"/>
        </w:rPr>
        <w:t>“</w:t>
      </w:r>
      <w:r w:rsidRPr="001D0CFA">
        <w:rPr>
          <w:szCs w:val="26"/>
        </w:rPr>
        <w:t>In construing a statute we are required to gi</w:t>
      </w:r>
      <w:r w:rsidRPr="001D0CFA">
        <w:rPr>
          <w:szCs w:val="26"/>
        </w:rPr>
        <w:t>ve independent meaning and significance to each word, phrase, and sentence in a statute and to avoid an interpretation that makes any part of a statute meaningless</w:t>
      </w:r>
      <w:r>
        <w:rPr>
          <w:szCs w:val="26"/>
        </w:rPr>
        <w:t>.”</w:t>
      </w:r>
      <w:r>
        <w:rPr>
          <w:szCs w:val="26"/>
        </w:rPr>
        <w:t xml:space="preserve">  (</w:t>
      </w:r>
      <w:r w:rsidRPr="00CD4064">
        <w:rPr>
          <w:i/>
          <w:iCs/>
          <w:szCs w:val="26"/>
        </w:rPr>
        <w:t>San Diego Police Officers Assn. v. City of San Diego Civil Service Com.</w:t>
      </w:r>
      <w:r w:rsidRPr="001D0CFA">
        <w:rPr>
          <w:szCs w:val="26"/>
        </w:rPr>
        <w:t xml:space="preserve"> (2002) 104 Cal.A</w:t>
      </w:r>
      <w:r w:rsidRPr="001D0CFA">
        <w:rPr>
          <w:szCs w:val="26"/>
        </w:rPr>
        <w:t>pp.4th 275, 284</w:t>
      </w:r>
      <w:r>
        <w:rPr>
          <w:szCs w:val="26"/>
        </w:rPr>
        <w:t>.)</w:t>
      </w:r>
    </w:p>
    <w:p w14:paraId="5E5A54C9" w14:textId="77777777" w:rsidR="00CD4064" w:rsidRDefault="000F2DE2" w:rsidP="001D0CFA">
      <w:pPr>
        <w:widowControl w:val="0"/>
        <w:tabs>
          <w:tab w:val="left" w:pos="1440"/>
          <w:tab w:val="left" w:leader="underscore" w:pos="5040"/>
          <w:tab w:val="left" w:pos="5490"/>
        </w:tabs>
        <w:spacing w:line="480" w:lineRule="atLeast"/>
        <w:rPr>
          <w:szCs w:val="26"/>
        </w:rPr>
      </w:pPr>
      <w:r>
        <w:rPr>
          <w:szCs w:val="26"/>
        </w:rPr>
        <w:tab/>
      </w:r>
      <w:r>
        <w:rPr>
          <w:szCs w:val="26"/>
        </w:rPr>
        <w:t xml:space="preserve">Again, </w:t>
      </w:r>
      <w:r>
        <w:rPr>
          <w:szCs w:val="26"/>
        </w:rPr>
        <w:t>under the ICRAA and the CCRAA</w:t>
      </w:r>
      <w:r>
        <w:rPr>
          <w:szCs w:val="26"/>
        </w:rPr>
        <w:t xml:space="preserve">, </w:t>
      </w:r>
      <w:r>
        <w:rPr>
          <w:szCs w:val="26"/>
        </w:rPr>
        <w:t xml:space="preserve">regulated </w:t>
      </w:r>
      <w:r>
        <w:rPr>
          <w:szCs w:val="26"/>
        </w:rPr>
        <w:t xml:space="preserve">reporting </w:t>
      </w:r>
      <w:r>
        <w:t xml:space="preserve">agencies are </w:t>
      </w:r>
      <w:r>
        <w:lastRenderedPageBreak/>
        <w:t xml:space="preserve">prohibited from </w:t>
      </w:r>
      <w:r>
        <w:t>including in a report</w:t>
      </w:r>
      <w:r>
        <w:t xml:space="preserve">:  “Records of arrest, indictment, information, misdemeanor complaint, </w:t>
      </w:r>
      <w:r w:rsidRPr="00F1245A">
        <w:t xml:space="preserve">or conviction of a crime that, </w:t>
      </w:r>
      <w:r w:rsidRPr="00CE6E67">
        <w:t>from the date of disposition,</w:t>
      </w:r>
      <w:r w:rsidRPr="00CE6E67">
        <w:rPr>
          <w:i/>
          <w:iCs/>
        </w:rPr>
        <w:t xml:space="preserve"> </w:t>
      </w:r>
      <w:r w:rsidRPr="00796ABE">
        <w:rPr>
          <w:i/>
          <w:iCs/>
        </w:rPr>
        <w:t>release, or parole</w:t>
      </w:r>
      <w:r w:rsidRPr="00F1245A">
        <w:t>,</w:t>
      </w:r>
      <w:r>
        <w:t xml:space="preserve"> antedate the report by more than seven years</w:t>
      </w:r>
      <w:r>
        <w:t>.</w:t>
      </w:r>
      <w:r>
        <w:t xml:space="preserve">”  </w:t>
      </w:r>
      <w:r>
        <w:t>(</w:t>
      </w:r>
      <w:r>
        <w:t>§</w:t>
      </w:r>
      <w:r>
        <w:t xml:space="preserve">§ 1785.13 (a)(6), </w:t>
      </w:r>
      <w:r>
        <w:t>1786.18</w:t>
      </w:r>
      <w:r>
        <w:t xml:space="preserve"> (</w:t>
      </w:r>
      <w:r>
        <w:t xml:space="preserve">a)(7), </w:t>
      </w:r>
      <w:r>
        <w:t>italics added.)</w:t>
      </w:r>
      <w:r>
        <w:t xml:space="preserve">  </w:t>
      </w:r>
      <w:r>
        <w:rPr>
          <w:szCs w:val="26"/>
        </w:rPr>
        <w:t>Acc</w:t>
      </w:r>
      <w:r>
        <w:rPr>
          <w:szCs w:val="26"/>
        </w:rPr>
        <w:t>urate argues</w:t>
      </w:r>
      <w:r>
        <w:rPr>
          <w:szCs w:val="26"/>
        </w:rPr>
        <w:t xml:space="preserve">:  </w:t>
      </w:r>
      <w:r>
        <w:rPr>
          <w:szCs w:val="26"/>
        </w:rPr>
        <w:t>“</w:t>
      </w:r>
      <w:r w:rsidRPr="004D1175">
        <w:rPr>
          <w:szCs w:val="26"/>
        </w:rPr>
        <w:t>Given that parole begins immediately after release, it would</w:t>
      </w:r>
      <w:r>
        <w:rPr>
          <w:szCs w:val="26"/>
        </w:rPr>
        <w:t xml:space="preserve"> </w:t>
      </w:r>
      <w:r w:rsidRPr="004D1175">
        <w:rPr>
          <w:szCs w:val="26"/>
        </w:rPr>
        <w:t>be surplusage for the legislature to have included two terms in the</w:t>
      </w:r>
      <w:r>
        <w:rPr>
          <w:szCs w:val="26"/>
        </w:rPr>
        <w:t xml:space="preserve"> </w:t>
      </w:r>
      <w:r w:rsidRPr="004D1175">
        <w:rPr>
          <w:szCs w:val="26"/>
        </w:rPr>
        <w:t xml:space="preserve">statutes that were meant to refer to the same point in time. </w:t>
      </w:r>
      <w:r>
        <w:rPr>
          <w:szCs w:val="26"/>
        </w:rPr>
        <w:t xml:space="preserve"> </w:t>
      </w:r>
      <w:r w:rsidRPr="004D1175">
        <w:rPr>
          <w:szCs w:val="26"/>
        </w:rPr>
        <w:t>The</w:t>
      </w:r>
      <w:r>
        <w:rPr>
          <w:szCs w:val="26"/>
        </w:rPr>
        <w:t xml:space="preserve"> </w:t>
      </w:r>
      <w:r w:rsidRPr="004D1175">
        <w:rPr>
          <w:szCs w:val="26"/>
        </w:rPr>
        <w:t>trial court’s reading of the statutory langua</w:t>
      </w:r>
      <w:r w:rsidRPr="004D1175">
        <w:rPr>
          <w:szCs w:val="26"/>
        </w:rPr>
        <w:t>ge renders either the</w:t>
      </w:r>
      <w:r>
        <w:rPr>
          <w:szCs w:val="26"/>
        </w:rPr>
        <w:t xml:space="preserve"> </w:t>
      </w:r>
      <w:r w:rsidRPr="004D1175">
        <w:rPr>
          <w:szCs w:val="26"/>
        </w:rPr>
        <w:t xml:space="preserve">word </w:t>
      </w:r>
      <w:r>
        <w:rPr>
          <w:szCs w:val="26"/>
        </w:rPr>
        <w:t>‘</w:t>
      </w:r>
      <w:r w:rsidRPr="004D1175">
        <w:rPr>
          <w:szCs w:val="26"/>
        </w:rPr>
        <w:t>release</w:t>
      </w:r>
      <w:r>
        <w:rPr>
          <w:szCs w:val="26"/>
        </w:rPr>
        <w:t>’</w:t>
      </w:r>
      <w:r w:rsidRPr="004D1175">
        <w:rPr>
          <w:szCs w:val="26"/>
        </w:rPr>
        <w:t xml:space="preserve"> or the word </w:t>
      </w:r>
      <w:r>
        <w:rPr>
          <w:szCs w:val="26"/>
        </w:rPr>
        <w:t>‘</w:t>
      </w:r>
      <w:r w:rsidRPr="004D1175">
        <w:rPr>
          <w:szCs w:val="26"/>
        </w:rPr>
        <w:t>parole</w:t>
      </w:r>
      <w:r>
        <w:rPr>
          <w:szCs w:val="26"/>
        </w:rPr>
        <w:t>’</w:t>
      </w:r>
      <w:r w:rsidRPr="004D1175">
        <w:rPr>
          <w:szCs w:val="26"/>
        </w:rPr>
        <w:t xml:space="preserve"> superfluous.</w:t>
      </w:r>
      <w:r>
        <w:rPr>
          <w:szCs w:val="26"/>
        </w:rPr>
        <w:t>”</w:t>
      </w:r>
      <w:r>
        <w:rPr>
          <w:szCs w:val="26"/>
        </w:rPr>
        <w:t xml:space="preserve">  </w:t>
      </w:r>
      <w:r>
        <w:rPr>
          <w:szCs w:val="26"/>
        </w:rPr>
        <w:t>W</w:t>
      </w:r>
      <w:r>
        <w:rPr>
          <w:szCs w:val="26"/>
        </w:rPr>
        <w:t xml:space="preserve">e reject Accurate’s argument </w:t>
      </w:r>
      <w:r>
        <w:rPr>
          <w:szCs w:val="26"/>
        </w:rPr>
        <w:t xml:space="preserve">for </w:t>
      </w:r>
      <w:r>
        <w:rPr>
          <w:szCs w:val="26"/>
        </w:rPr>
        <w:t>the following</w:t>
      </w:r>
      <w:r>
        <w:rPr>
          <w:szCs w:val="26"/>
        </w:rPr>
        <w:t xml:space="preserve"> three reasons.</w:t>
      </w:r>
    </w:p>
    <w:p w14:paraId="4A7392AA" w14:textId="77777777" w:rsidR="00302E0C" w:rsidRDefault="000F2DE2" w:rsidP="00302E0C">
      <w:pPr>
        <w:widowControl w:val="0"/>
        <w:tabs>
          <w:tab w:val="left" w:pos="1440"/>
          <w:tab w:val="left" w:leader="underscore" w:pos="5040"/>
          <w:tab w:val="left" w:pos="5490"/>
        </w:tabs>
        <w:spacing w:line="480" w:lineRule="atLeast"/>
        <w:rPr>
          <w:szCs w:val="26"/>
        </w:rPr>
      </w:pPr>
      <w:r>
        <w:rPr>
          <w:szCs w:val="26"/>
        </w:rPr>
        <w:tab/>
      </w:r>
      <w:r>
        <w:rPr>
          <w:szCs w:val="26"/>
        </w:rPr>
        <w:t>First</w:t>
      </w:r>
      <w:r>
        <w:rPr>
          <w:szCs w:val="26"/>
        </w:rPr>
        <w:t xml:space="preserve">, </w:t>
      </w:r>
      <w:r>
        <w:rPr>
          <w:szCs w:val="26"/>
        </w:rPr>
        <w:t xml:space="preserve">the </w:t>
      </w:r>
      <w:r>
        <w:rPr>
          <w:szCs w:val="26"/>
        </w:rPr>
        <w:t xml:space="preserve">relevant </w:t>
      </w:r>
      <w:r>
        <w:rPr>
          <w:szCs w:val="26"/>
        </w:rPr>
        <w:t>provision</w:t>
      </w:r>
      <w:r>
        <w:rPr>
          <w:szCs w:val="26"/>
        </w:rPr>
        <w:t>s</w:t>
      </w:r>
      <w:r>
        <w:rPr>
          <w:szCs w:val="26"/>
        </w:rPr>
        <w:t xml:space="preserve"> of the </w:t>
      </w:r>
      <w:r>
        <w:rPr>
          <w:szCs w:val="26"/>
        </w:rPr>
        <w:t>ICRAA and</w:t>
      </w:r>
      <w:r>
        <w:rPr>
          <w:szCs w:val="26"/>
        </w:rPr>
        <w:t xml:space="preserve"> </w:t>
      </w:r>
      <w:r>
        <w:rPr>
          <w:szCs w:val="26"/>
        </w:rPr>
        <w:t xml:space="preserve">the </w:t>
      </w:r>
      <w:r>
        <w:rPr>
          <w:szCs w:val="26"/>
        </w:rPr>
        <w:t>CCRAA</w:t>
      </w:r>
      <w:r>
        <w:rPr>
          <w:szCs w:val="26"/>
        </w:rPr>
        <w:t xml:space="preserve"> </w:t>
      </w:r>
      <w:r>
        <w:rPr>
          <w:szCs w:val="26"/>
        </w:rPr>
        <w:t xml:space="preserve">are </w:t>
      </w:r>
      <w:r>
        <w:rPr>
          <w:szCs w:val="26"/>
        </w:rPr>
        <w:t xml:space="preserve">clear </w:t>
      </w:r>
      <w:r>
        <w:rPr>
          <w:szCs w:val="26"/>
        </w:rPr>
        <w:t xml:space="preserve">and </w:t>
      </w:r>
      <w:r>
        <w:rPr>
          <w:szCs w:val="26"/>
        </w:rPr>
        <w:t>un</w:t>
      </w:r>
      <w:r>
        <w:rPr>
          <w:szCs w:val="26"/>
        </w:rPr>
        <w:t>ambiguous</w:t>
      </w:r>
      <w:r>
        <w:rPr>
          <w:szCs w:val="26"/>
        </w:rPr>
        <w:t xml:space="preserve">, </w:t>
      </w:r>
      <w:r>
        <w:rPr>
          <w:szCs w:val="26"/>
        </w:rPr>
        <w:t xml:space="preserve">so </w:t>
      </w:r>
      <w:r>
        <w:rPr>
          <w:szCs w:val="26"/>
        </w:rPr>
        <w:t xml:space="preserve">there is no need </w:t>
      </w:r>
      <w:r>
        <w:rPr>
          <w:szCs w:val="26"/>
        </w:rPr>
        <w:t xml:space="preserve">for us </w:t>
      </w:r>
      <w:r>
        <w:rPr>
          <w:szCs w:val="26"/>
        </w:rPr>
        <w:t xml:space="preserve">to </w:t>
      </w:r>
      <w:r>
        <w:rPr>
          <w:szCs w:val="26"/>
        </w:rPr>
        <w:t xml:space="preserve">rely on </w:t>
      </w:r>
      <w:r>
        <w:rPr>
          <w:szCs w:val="26"/>
        </w:rPr>
        <w:t xml:space="preserve">the </w:t>
      </w:r>
      <w:r>
        <w:rPr>
          <w:szCs w:val="26"/>
        </w:rPr>
        <w:t>canon against surplusage</w:t>
      </w:r>
      <w:r>
        <w:rPr>
          <w:szCs w:val="26"/>
        </w:rPr>
        <w:t xml:space="preserve"> (or any other </w:t>
      </w:r>
      <w:r>
        <w:rPr>
          <w:szCs w:val="26"/>
        </w:rPr>
        <w:t xml:space="preserve">canon of </w:t>
      </w:r>
      <w:r>
        <w:rPr>
          <w:szCs w:val="26"/>
        </w:rPr>
        <w:t xml:space="preserve">statutory </w:t>
      </w:r>
      <w:r>
        <w:rPr>
          <w:szCs w:val="26"/>
        </w:rPr>
        <w:t>construction</w:t>
      </w:r>
      <w:r>
        <w:rPr>
          <w:szCs w:val="26"/>
        </w:rPr>
        <w:t>)</w:t>
      </w:r>
      <w:r>
        <w:rPr>
          <w:szCs w:val="26"/>
        </w:rPr>
        <w:t xml:space="preserve">.  </w:t>
      </w:r>
      <w:r>
        <w:rPr>
          <w:szCs w:val="26"/>
        </w:rPr>
        <w:t xml:space="preserve">(See </w:t>
      </w:r>
      <w:r w:rsidRPr="0045050B">
        <w:rPr>
          <w:i/>
          <w:iCs/>
          <w:szCs w:val="26"/>
        </w:rPr>
        <w:t>Butts v. Board of Trustees of California State University</w:t>
      </w:r>
      <w:r w:rsidRPr="00302E0C">
        <w:rPr>
          <w:szCs w:val="26"/>
        </w:rPr>
        <w:t xml:space="preserve"> (2014) 225 Cal.App.4th 825, 838</w:t>
      </w:r>
      <w:r>
        <w:rPr>
          <w:szCs w:val="26"/>
        </w:rPr>
        <w:t xml:space="preserve"> [“</w:t>
      </w:r>
      <w:r w:rsidRPr="00302E0C">
        <w:rPr>
          <w:szCs w:val="26"/>
        </w:rPr>
        <w:t>If the plain language of a statute or regulati</w:t>
      </w:r>
      <w:r w:rsidRPr="00302E0C">
        <w:rPr>
          <w:szCs w:val="26"/>
        </w:rPr>
        <w:t>on is clear and unambiguous, our task is at an end and there is no need to resort to the canons of construction</w:t>
      </w:r>
      <w:r>
        <w:rPr>
          <w:szCs w:val="26"/>
        </w:rPr>
        <w:t>”]</w:t>
      </w:r>
      <w:r w:rsidRPr="00011ACA">
        <w:rPr>
          <w:szCs w:val="26"/>
        </w:rPr>
        <w:t>.)</w:t>
      </w:r>
    </w:p>
    <w:p w14:paraId="4ECE4FF6" w14:textId="77777777" w:rsidR="00D35C4D" w:rsidRDefault="000F2DE2" w:rsidP="007755EB">
      <w:pPr>
        <w:widowControl w:val="0"/>
        <w:tabs>
          <w:tab w:val="left" w:pos="1440"/>
          <w:tab w:val="left" w:leader="underscore" w:pos="5040"/>
          <w:tab w:val="left" w:pos="5490"/>
        </w:tabs>
        <w:spacing w:line="480" w:lineRule="atLeast"/>
        <w:rPr>
          <w:szCs w:val="26"/>
        </w:rPr>
      </w:pPr>
      <w:r>
        <w:rPr>
          <w:szCs w:val="26"/>
        </w:rPr>
        <w:tab/>
        <w:t xml:space="preserve">Second, </w:t>
      </w:r>
      <w:r>
        <w:rPr>
          <w:szCs w:val="26"/>
        </w:rPr>
        <w:t xml:space="preserve">although </w:t>
      </w:r>
      <w:r>
        <w:rPr>
          <w:szCs w:val="26"/>
        </w:rPr>
        <w:t xml:space="preserve">courts </w:t>
      </w:r>
      <w:r>
        <w:rPr>
          <w:szCs w:val="26"/>
        </w:rPr>
        <w:t xml:space="preserve">interpret a </w:t>
      </w:r>
      <w:r>
        <w:rPr>
          <w:szCs w:val="26"/>
        </w:rPr>
        <w:t>statute</w:t>
      </w:r>
      <w:r>
        <w:rPr>
          <w:szCs w:val="26"/>
        </w:rPr>
        <w:t xml:space="preserve"> </w:t>
      </w:r>
      <w:r>
        <w:rPr>
          <w:szCs w:val="26"/>
        </w:rPr>
        <w:t>“</w:t>
      </w:r>
      <w:r w:rsidRPr="007755EB">
        <w:rPr>
          <w:szCs w:val="26"/>
        </w:rPr>
        <w:t xml:space="preserve">so as to eliminate surplusage, there is no rule of construction requiring us to assume </w:t>
      </w:r>
      <w:r w:rsidRPr="007755EB">
        <w:rPr>
          <w:szCs w:val="26"/>
        </w:rPr>
        <w:t>that the Legislature has used the most economical means of expression in drafting a statute.</w:t>
      </w:r>
      <w:r>
        <w:rPr>
          <w:szCs w:val="26"/>
        </w:rPr>
        <w:t>”  (</w:t>
      </w:r>
      <w:r w:rsidRPr="007755EB">
        <w:rPr>
          <w:i/>
          <w:iCs/>
          <w:szCs w:val="26"/>
        </w:rPr>
        <w:t>Voters for Responsible Retirement v. Board of Supervisors</w:t>
      </w:r>
      <w:r w:rsidRPr="007755EB">
        <w:rPr>
          <w:szCs w:val="26"/>
        </w:rPr>
        <w:t xml:space="preserve"> (1994) 8 Cal.4th 765, 772</w:t>
      </w:r>
      <w:r>
        <w:rPr>
          <w:szCs w:val="26"/>
        </w:rPr>
        <w:t>-</w:t>
      </w:r>
      <w:r w:rsidRPr="007755EB">
        <w:rPr>
          <w:szCs w:val="26"/>
        </w:rPr>
        <w:t>773</w:t>
      </w:r>
      <w:r>
        <w:rPr>
          <w:szCs w:val="26"/>
        </w:rPr>
        <w:t xml:space="preserve">; </w:t>
      </w:r>
      <w:r>
        <w:rPr>
          <w:szCs w:val="26"/>
        </w:rPr>
        <w:t>§ 3537</w:t>
      </w:r>
      <w:r>
        <w:rPr>
          <w:szCs w:val="26"/>
        </w:rPr>
        <w:t xml:space="preserve"> [“Superfluity does not vitiate”]</w:t>
      </w:r>
      <w:r>
        <w:rPr>
          <w:szCs w:val="26"/>
        </w:rPr>
        <w:t xml:space="preserve">.)  </w:t>
      </w:r>
      <w:r>
        <w:rPr>
          <w:szCs w:val="26"/>
        </w:rPr>
        <w:t>Moreover, w</w:t>
      </w:r>
      <w:r>
        <w:rPr>
          <w:szCs w:val="26"/>
        </w:rPr>
        <w:t xml:space="preserve">hen </w:t>
      </w:r>
      <w:r>
        <w:rPr>
          <w:szCs w:val="26"/>
        </w:rPr>
        <w:t xml:space="preserve">an </w:t>
      </w:r>
      <w:r>
        <w:rPr>
          <w:szCs w:val="26"/>
        </w:rPr>
        <w:t>inmate</w:t>
      </w:r>
      <w:r>
        <w:rPr>
          <w:szCs w:val="26"/>
        </w:rPr>
        <w:t xml:space="preserve"> </w:t>
      </w:r>
      <w:r>
        <w:rPr>
          <w:szCs w:val="26"/>
        </w:rPr>
        <w:t xml:space="preserve">is </w:t>
      </w:r>
      <w:r>
        <w:rPr>
          <w:szCs w:val="26"/>
        </w:rPr>
        <w:t xml:space="preserve">released </w:t>
      </w:r>
      <w:r>
        <w:rPr>
          <w:szCs w:val="26"/>
        </w:rPr>
        <w:t xml:space="preserve">on parole, </w:t>
      </w:r>
      <w:r>
        <w:rPr>
          <w:szCs w:val="26"/>
        </w:rPr>
        <w:t xml:space="preserve">he or she is </w:t>
      </w:r>
      <w:r>
        <w:rPr>
          <w:szCs w:val="26"/>
        </w:rPr>
        <w:t xml:space="preserve">still </w:t>
      </w:r>
      <w:r>
        <w:rPr>
          <w:szCs w:val="26"/>
        </w:rPr>
        <w:t xml:space="preserve">in constructive custody.  </w:t>
      </w:r>
      <w:r>
        <w:t xml:space="preserve">Therefore, </w:t>
      </w:r>
      <w:r>
        <w:rPr>
          <w:szCs w:val="26"/>
        </w:rPr>
        <w:t xml:space="preserve">it is </w:t>
      </w:r>
      <w:r>
        <w:rPr>
          <w:szCs w:val="26"/>
        </w:rPr>
        <w:t>reasonable t</w:t>
      </w:r>
      <w:r>
        <w:rPr>
          <w:szCs w:val="26"/>
        </w:rPr>
        <w:t xml:space="preserve">o presume </w:t>
      </w:r>
      <w:r>
        <w:rPr>
          <w:szCs w:val="26"/>
        </w:rPr>
        <w:t>th</w:t>
      </w:r>
      <w:r>
        <w:rPr>
          <w:szCs w:val="26"/>
        </w:rPr>
        <w:t xml:space="preserve">at by using </w:t>
      </w:r>
      <w:r>
        <w:rPr>
          <w:szCs w:val="26"/>
        </w:rPr>
        <w:t xml:space="preserve">the words </w:t>
      </w:r>
      <w:r>
        <w:rPr>
          <w:szCs w:val="26"/>
        </w:rPr>
        <w:t xml:space="preserve">release </w:t>
      </w:r>
      <w:r w:rsidRPr="00AC6425">
        <w:rPr>
          <w:i/>
          <w:iCs/>
          <w:szCs w:val="26"/>
        </w:rPr>
        <w:t>and</w:t>
      </w:r>
      <w:r>
        <w:rPr>
          <w:szCs w:val="26"/>
        </w:rPr>
        <w:t xml:space="preserve"> </w:t>
      </w:r>
      <w:r>
        <w:rPr>
          <w:szCs w:val="26"/>
        </w:rPr>
        <w:t>p</w:t>
      </w:r>
      <w:r>
        <w:rPr>
          <w:szCs w:val="26"/>
        </w:rPr>
        <w:t xml:space="preserve">arole, the </w:t>
      </w:r>
      <w:r>
        <w:rPr>
          <w:szCs w:val="26"/>
        </w:rPr>
        <w:t xml:space="preserve">Legislature </w:t>
      </w:r>
      <w:r>
        <w:rPr>
          <w:szCs w:val="26"/>
        </w:rPr>
        <w:t>intended to clarify</w:t>
      </w:r>
      <w:r>
        <w:rPr>
          <w:szCs w:val="26"/>
        </w:rPr>
        <w:t xml:space="preserve"> </w:t>
      </w:r>
      <w:r>
        <w:rPr>
          <w:szCs w:val="26"/>
        </w:rPr>
        <w:t xml:space="preserve">that the </w:t>
      </w:r>
      <w:r>
        <w:rPr>
          <w:szCs w:val="26"/>
        </w:rPr>
        <w:t xml:space="preserve">prohibition </w:t>
      </w:r>
      <w:r>
        <w:rPr>
          <w:szCs w:val="26"/>
        </w:rPr>
        <w:t xml:space="preserve">against </w:t>
      </w:r>
      <w:r>
        <w:rPr>
          <w:szCs w:val="26"/>
        </w:rPr>
        <w:t xml:space="preserve">the reporting of </w:t>
      </w:r>
      <w:r>
        <w:rPr>
          <w:szCs w:val="26"/>
        </w:rPr>
        <w:t>a</w:t>
      </w:r>
      <w:r>
        <w:rPr>
          <w:szCs w:val="26"/>
        </w:rPr>
        <w:t xml:space="preserve"> conviction </w:t>
      </w:r>
      <w:r>
        <w:rPr>
          <w:szCs w:val="26"/>
        </w:rPr>
        <w:t xml:space="preserve">that </w:t>
      </w:r>
      <w:r>
        <w:rPr>
          <w:szCs w:val="26"/>
        </w:rPr>
        <w:t>predate</w:t>
      </w:r>
      <w:r>
        <w:rPr>
          <w:szCs w:val="26"/>
        </w:rPr>
        <w:t>s</w:t>
      </w:r>
      <w:r>
        <w:rPr>
          <w:szCs w:val="26"/>
        </w:rPr>
        <w:t xml:space="preserve"> a report by more than seven years </w:t>
      </w:r>
      <w:r>
        <w:rPr>
          <w:szCs w:val="26"/>
        </w:rPr>
        <w:t xml:space="preserve">is </w:t>
      </w:r>
      <w:r>
        <w:rPr>
          <w:szCs w:val="26"/>
        </w:rPr>
        <w:t xml:space="preserve">to be measured from </w:t>
      </w:r>
      <w:r>
        <w:rPr>
          <w:szCs w:val="26"/>
        </w:rPr>
        <w:t xml:space="preserve">the </w:t>
      </w:r>
      <w:r>
        <w:rPr>
          <w:szCs w:val="26"/>
        </w:rPr>
        <w:t>inmate</w:t>
      </w:r>
      <w:r>
        <w:rPr>
          <w:szCs w:val="26"/>
        </w:rPr>
        <w:t xml:space="preserve">’s </w:t>
      </w:r>
      <w:r w:rsidRPr="009C43B7">
        <w:rPr>
          <w:i/>
          <w:iCs/>
          <w:szCs w:val="26"/>
        </w:rPr>
        <w:t>release</w:t>
      </w:r>
      <w:r w:rsidRPr="009C43B7">
        <w:rPr>
          <w:i/>
          <w:iCs/>
          <w:szCs w:val="26"/>
        </w:rPr>
        <w:t xml:space="preserve"> from </w:t>
      </w:r>
      <w:r w:rsidRPr="009C43B7">
        <w:rPr>
          <w:i/>
          <w:iCs/>
          <w:szCs w:val="26"/>
        </w:rPr>
        <w:t xml:space="preserve">physical </w:t>
      </w:r>
      <w:r w:rsidRPr="009C43B7">
        <w:rPr>
          <w:i/>
          <w:iCs/>
          <w:szCs w:val="26"/>
        </w:rPr>
        <w:t>c</w:t>
      </w:r>
      <w:r w:rsidRPr="009C43B7">
        <w:rPr>
          <w:i/>
          <w:iCs/>
          <w:szCs w:val="26"/>
        </w:rPr>
        <w:t>ustody</w:t>
      </w:r>
      <w:r>
        <w:rPr>
          <w:szCs w:val="26"/>
        </w:rPr>
        <w:t xml:space="preserve">, even </w:t>
      </w:r>
      <w:r>
        <w:rPr>
          <w:szCs w:val="26"/>
        </w:rPr>
        <w:t>though</w:t>
      </w:r>
      <w:r>
        <w:rPr>
          <w:szCs w:val="26"/>
        </w:rPr>
        <w:t xml:space="preserve"> </w:t>
      </w:r>
      <w:r>
        <w:rPr>
          <w:szCs w:val="26"/>
        </w:rPr>
        <w:t xml:space="preserve">a period of </w:t>
      </w:r>
      <w:r w:rsidRPr="00B52C6F">
        <w:rPr>
          <w:szCs w:val="26"/>
        </w:rPr>
        <w:t>parole</w:t>
      </w:r>
      <w:r>
        <w:rPr>
          <w:szCs w:val="26"/>
        </w:rPr>
        <w:t>—</w:t>
      </w:r>
      <w:r>
        <w:rPr>
          <w:szCs w:val="26"/>
        </w:rPr>
        <w:t xml:space="preserve">or </w:t>
      </w:r>
      <w:r w:rsidRPr="009C43B7">
        <w:rPr>
          <w:i/>
          <w:iCs/>
          <w:szCs w:val="26"/>
        </w:rPr>
        <w:t>constructive custody</w:t>
      </w:r>
      <w:r>
        <w:rPr>
          <w:i/>
          <w:iCs/>
          <w:szCs w:val="26"/>
        </w:rPr>
        <w:t>—</w:t>
      </w:r>
      <w:r>
        <w:rPr>
          <w:szCs w:val="26"/>
        </w:rPr>
        <w:t xml:space="preserve">may </w:t>
      </w:r>
      <w:r>
        <w:rPr>
          <w:szCs w:val="26"/>
        </w:rPr>
        <w:t>follow.</w:t>
      </w:r>
    </w:p>
    <w:p w14:paraId="5BDE5FCA" w14:textId="77777777" w:rsidR="00F81C11" w:rsidRPr="000C09DC" w:rsidRDefault="000F2DE2" w:rsidP="007755EB">
      <w:pPr>
        <w:widowControl w:val="0"/>
        <w:tabs>
          <w:tab w:val="left" w:pos="1440"/>
          <w:tab w:val="left" w:leader="underscore" w:pos="5040"/>
          <w:tab w:val="left" w:pos="5490"/>
        </w:tabs>
        <w:spacing w:line="480" w:lineRule="atLeast"/>
        <w:rPr>
          <w:szCs w:val="26"/>
        </w:rPr>
      </w:pPr>
      <w:r>
        <w:rPr>
          <w:szCs w:val="26"/>
        </w:rPr>
        <w:tab/>
      </w:r>
      <w:r>
        <w:rPr>
          <w:szCs w:val="26"/>
        </w:rPr>
        <w:t>Third</w:t>
      </w:r>
      <w:r>
        <w:rPr>
          <w:szCs w:val="26"/>
        </w:rPr>
        <w:t xml:space="preserve">, </w:t>
      </w:r>
      <w:r>
        <w:rPr>
          <w:szCs w:val="26"/>
        </w:rPr>
        <w:t xml:space="preserve">the date of </w:t>
      </w:r>
      <w:r>
        <w:rPr>
          <w:szCs w:val="26"/>
        </w:rPr>
        <w:t xml:space="preserve">a prisoner’s </w:t>
      </w:r>
      <w:r>
        <w:rPr>
          <w:szCs w:val="26"/>
        </w:rPr>
        <w:t xml:space="preserve">release from </w:t>
      </w:r>
      <w:r>
        <w:rPr>
          <w:szCs w:val="26"/>
        </w:rPr>
        <w:t xml:space="preserve">actual custody </w:t>
      </w:r>
      <w:r>
        <w:rPr>
          <w:szCs w:val="26"/>
        </w:rPr>
        <w:t xml:space="preserve">and the </w:t>
      </w:r>
      <w:r>
        <w:rPr>
          <w:szCs w:val="26"/>
        </w:rPr>
        <w:t xml:space="preserve">start date of </w:t>
      </w:r>
      <w:r>
        <w:rPr>
          <w:szCs w:val="26"/>
        </w:rPr>
        <w:t xml:space="preserve">prisoner’s </w:t>
      </w:r>
      <w:r>
        <w:rPr>
          <w:szCs w:val="26"/>
        </w:rPr>
        <w:t xml:space="preserve">parole </w:t>
      </w:r>
      <w:r>
        <w:rPr>
          <w:szCs w:val="26"/>
        </w:rPr>
        <w:t xml:space="preserve">may not </w:t>
      </w:r>
      <w:r>
        <w:rPr>
          <w:szCs w:val="26"/>
        </w:rPr>
        <w:t xml:space="preserve">always </w:t>
      </w:r>
      <w:r>
        <w:rPr>
          <w:szCs w:val="26"/>
        </w:rPr>
        <w:t xml:space="preserve">refer to the </w:t>
      </w:r>
      <w:r>
        <w:rPr>
          <w:szCs w:val="26"/>
        </w:rPr>
        <w:t xml:space="preserve">same </w:t>
      </w:r>
      <w:r>
        <w:rPr>
          <w:szCs w:val="26"/>
        </w:rPr>
        <w:t>point in time</w:t>
      </w:r>
      <w:r>
        <w:rPr>
          <w:szCs w:val="26"/>
        </w:rPr>
        <w:t xml:space="preserve">.  </w:t>
      </w:r>
      <w:r>
        <w:rPr>
          <w:szCs w:val="26"/>
        </w:rPr>
        <w:t xml:space="preserve">For instance, </w:t>
      </w:r>
      <w:r>
        <w:rPr>
          <w:szCs w:val="26"/>
        </w:rPr>
        <w:t xml:space="preserve">when </w:t>
      </w:r>
      <w:r>
        <w:rPr>
          <w:szCs w:val="26"/>
        </w:rPr>
        <w:t xml:space="preserve">a parolee </w:t>
      </w:r>
      <w:r>
        <w:rPr>
          <w:szCs w:val="26"/>
        </w:rPr>
        <w:t xml:space="preserve">commits a </w:t>
      </w:r>
      <w:r>
        <w:rPr>
          <w:szCs w:val="26"/>
        </w:rPr>
        <w:t xml:space="preserve">minor </w:t>
      </w:r>
      <w:r>
        <w:rPr>
          <w:szCs w:val="26"/>
        </w:rPr>
        <w:t xml:space="preserve">parole </w:t>
      </w:r>
      <w:r>
        <w:rPr>
          <w:szCs w:val="26"/>
        </w:rPr>
        <w:t>violation</w:t>
      </w:r>
      <w:r>
        <w:rPr>
          <w:szCs w:val="26"/>
        </w:rPr>
        <w:t xml:space="preserve">, </w:t>
      </w:r>
      <w:r>
        <w:rPr>
          <w:szCs w:val="26"/>
        </w:rPr>
        <w:t xml:space="preserve">the </w:t>
      </w:r>
      <w:r>
        <w:rPr>
          <w:szCs w:val="26"/>
        </w:rPr>
        <w:t>paro</w:t>
      </w:r>
      <w:r>
        <w:rPr>
          <w:szCs w:val="26"/>
        </w:rPr>
        <w:t>le</w:t>
      </w:r>
      <w:r>
        <w:rPr>
          <w:szCs w:val="26"/>
        </w:rPr>
        <w:t>e</w:t>
      </w:r>
      <w:r>
        <w:rPr>
          <w:szCs w:val="26"/>
        </w:rPr>
        <w:t xml:space="preserve"> may be </w:t>
      </w:r>
      <w:r>
        <w:rPr>
          <w:szCs w:val="26"/>
        </w:rPr>
        <w:t xml:space="preserve">committed </w:t>
      </w:r>
      <w:r>
        <w:rPr>
          <w:szCs w:val="26"/>
        </w:rPr>
        <w:t xml:space="preserve">to </w:t>
      </w:r>
      <w:r>
        <w:rPr>
          <w:szCs w:val="26"/>
        </w:rPr>
        <w:t xml:space="preserve">a </w:t>
      </w:r>
      <w:r>
        <w:rPr>
          <w:szCs w:val="26"/>
        </w:rPr>
        <w:t xml:space="preserve">county </w:t>
      </w:r>
      <w:r>
        <w:rPr>
          <w:szCs w:val="26"/>
        </w:rPr>
        <w:t xml:space="preserve">jail </w:t>
      </w:r>
      <w:r>
        <w:rPr>
          <w:szCs w:val="26"/>
        </w:rPr>
        <w:lastRenderedPageBreak/>
        <w:t xml:space="preserve">for </w:t>
      </w:r>
      <w:r>
        <w:rPr>
          <w:szCs w:val="26"/>
        </w:rPr>
        <w:t xml:space="preserve">a brief period of </w:t>
      </w:r>
      <w:r>
        <w:rPr>
          <w:szCs w:val="26"/>
        </w:rPr>
        <w:t>confinement</w:t>
      </w:r>
      <w:r>
        <w:rPr>
          <w:szCs w:val="26"/>
        </w:rPr>
        <w:t xml:space="preserve">.  </w:t>
      </w:r>
      <w:r>
        <w:rPr>
          <w:szCs w:val="26"/>
        </w:rPr>
        <w:t xml:space="preserve">(See </w:t>
      </w:r>
      <w:r>
        <w:rPr>
          <w:szCs w:val="26"/>
        </w:rPr>
        <w:t xml:space="preserve">Pen. Code, § </w:t>
      </w:r>
      <w:r>
        <w:rPr>
          <w:szCs w:val="26"/>
        </w:rPr>
        <w:t>3000.08, subd. (f)</w:t>
      </w:r>
      <w:r>
        <w:rPr>
          <w:szCs w:val="26"/>
        </w:rPr>
        <w:t xml:space="preserve"> [“Flash incarceration”]</w:t>
      </w:r>
      <w:r>
        <w:rPr>
          <w:szCs w:val="26"/>
        </w:rPr>
        <w:t>.)</w:t>
      </w:r>
      <w:r>
        <w:rPr>
          <w:szCs w:val="26"/>
        </w:rPr>
        <w:t xml:space="preserve">  </w:t>
      </w:r>
      <w:r>
        <w:rPr>
          <w:szCs w:val="26"/>
        </w:rPr>
        <w:t>In these case</w:t>
      </w:r>
      <w:r>
        <w:rPr>
          <w:szCs w:val="26"/>
        </w:rPr>
        <w:t>s</w:t>
      </w:r>
      <w:r>
        <w:rPr>
          <w:szCs w:val="26"/>
        </w:rPr>
        <w:t xml:space="preserve">, </w:t>
      </w:r>
      <w:r>
        <w:rPr>
          <w:szCs w:val="26"/>
        </w:rPr>
        <w:t xml:space="preserve">the seven-year </w:t>
      </w:r>
      <w:r>
        <w:rPr>
          <w:szCs w:val="26"/>
        </w:rPr>
        <w:t xml:space="preserve">limitation </w:t>
      </w:r>
      <w:r>
        <w:rPr>
          <w:szCs w:val="26"/>
        </w:rPr>
        <w:t xml:space="preserve">provided for </w:t>
      </w:r>
      <w:r>
        <w:rPr>
          <w:szCs w:val="26"/>
        </w:rPr>
        <w:t>in the ICRAA and CCRA</w:t>
      </w:r>
      <w:r>
        <w:rPr>
          <w:szCs w:val="26"/>
        </w:rPr>
        <w:t>A</w:t>
      </w:r>
      <w:r>
        <w:rPr>
          <w:szCs w:val="26"/>
        </w:rPr>
        <w:t xml:space="preserve"> </w:t>
      </w:r>
      <w:r>
        <w:rPr>
          <w:szCs w:val="26"/>
        </w:rPr>
        <w:t xml:space="preserve">would likely be measured </w:t>
      </w:r>
      <w:r>
        <w:rPr>
          <w:szCs w:val="26"/>
        </w:rPr>
        <w:t xml:space="preserve">from the </w:t>
      </w:r>
      <w:r>
        <w:rPr>
          <w:szCs w:val="26"/>
        </w:rPr>
        <w:t xml:space="preserve">parolee’s </w:t>
      </w:r>
      <w:r w:rsidRPr="0053523A">
        <w:rPr>
          <w:i/>
          <w:iCs/>
          <w:szCs w:val="26"/>
        </w:rPr>
        <w:t>last</w:t>
      </w:r>
      <w:r w:rsidRPr="003347AF">
        <w:rPr>
          <w:i/>
          <w:iCs/>
          <w:szCs w:val="26"/>
        </w:rPr>
        <w:t xml:space="preserve"> </w:t>
      </w:r>
      <w:r>
        <w:rPr>
          <w:szCs w:val="26"/>
        </w:rPr>
        <w:t xml:space="preserve">release from </w:t>
      </w:r>
      <w:r>
        <w:rPr>
          <w:szCs w:val="26"/>
        </w:rPr>
        <w:t xml:space="preserve">physical </w:t>
      </w:r>
      <w:r>
        <w:rPr>
          <w:szCs w:val="26"/>
        </w:rPr>
        <w:t>confinement</w:t>
      </w:r>
      <w:r>
        <w:rPr>
          <w:szCs w:val="26"/>
        </w:rPr>
        <w:t xml:space="preserve">, which would </w:t>
      </w:r>
      <w:r>
        <w:rPr>
          <w:szCs w:val="26"/>
        </w:rPr>
        <w:t xml:space="preserve">be different from the </w:t>
      </w:r>
      <w:r w:rsidRPr="0053523A">
        <w:rPr>
          <w:i/>
          <w:iCs/>
          <w:szCs w:val="26"/>
        </w:rPr>
        <w:t>start</w:t>
      </w:r>
      <w:r>
        <w:rPr>
          <w:szCs w:val="26"/>
        </w:rPr>
        <w:t xml:space="preserve"> date of parole</w:t>
      </w:r>
      <w:r>
        <w:rPr>
          <w:szCs w:val="26"/>
        </w:rPr>
        <w:t xml:space="preserve">.  </w:t>
      </w:r>
      <w:r w:rsidRPr="00B037CE">
        <w:rPr>
          <w:szCs w:val="26"/>
        </w:rPr>
        <w:t>(</w:t>
      </w:r>
      <w:r>
        <w:rPr>
          <w:szCs w:val="26"/>
        </w:rPr>
        <w:t xml:space="preserve">See </w:t>
      </w:r>
      <w:r>
        <w:t>Statement of General Policy or Interpretation</w:t>
      </w:r>
      <w:r>
        <w:rPr>
          <w:szCs w:val="26"/>
        </w:rPr>
        <w:t xml:space="preserve">; </w:t>
      </w:r>
      <w:r w:rsidRPr="00B037CE">
        <w:rPr>
          <w:szCs w:val="26"/>
        </w:rPr>
        <w:t>Commentary on the Fair Credit Reporting Act, 55 F</w:t>
      </w:r>
      <w:r>
        <w:rPr>
          <w:szCs w:val="26"/>
        </w:rPr>
        <w:t>ed.</w:t>
      </w:r>
      <w:r w:rsidRPr="00B037CE">
        <w:rPr>
          <w:szCs w:val="26"/>
        </w:rPr>
        <w:t>R</w:t>
      </w:r>
      <w:r>
        <w:rPr>
          <w:szCs w:val="26"/>
        </w:rPr>
        <w:t xml:space="preserve">eg. </w:t>
      </w:r>
      <w:r w:rsidRPr="00B037CE">
        <w:rPr>
          <w:szCs w:val="26"/>
        </w:rPr>
        <w:t>18804</w:t>
      </w:r>
      <w:r>
        <w:rPr>
          <w:szCs w:val="26"/>
        </w:rPr>
        <w:t xml:space="preserve">, </w:t>
      </w:r>
      <w:r w:rsidRPr="00B34106">
        <w:rPr>
          <w:i/>
          <w:iCs/>
          <w:szCs w:val="26"/>
        </w:rPr>
        <w:t>supra</w:t>
      </w:r>
      <w:r>
        <w:rPr>
          <w:szCs w:val="26"/>
        </w:rPr>
        <w:t xml:space="preserve">, </w:t>
      </w:r>
      <w:r>
        <w:rPr>
          <w:szCs w:val="26"/>
        </w:rPr>
        <w:t>[“</w:t>
      </w:r>
      <w:r w:rsidRPr="00B037CE">
        <w:rPr>
          <w:szCs w:val="26"/>
        </w:rPr>
        <w:t>Confinement, whether continuing or resulting from revocation of parole, may be reporte</w:t>
      </w:r>
      <w:r w:rsidRPr="00B037CE">
        <w:rPr>
          <w:szCs w:val="26"/>
        </w:rPr>
        <w:t>d until seven years after the confinement is terminated</w:t>
      </w:r>
      <w:r>
        <w:rPr>
          <w:szCs w:val="26"/>
        </w:rPr>
        <w:t>”].)</w:t>
      </w:r>
    </w:p>
    <w:p w14:paraId="7D0DB6E6" w14:textId="77777777" w:rsidR="00416B96" w:rsidRPr="00122A73" w:rsidRDefault="000F2DE2" w:rsidP="009855D4">
      <w:pPr>
        <w:widowControl w:val="0"/>
        <w:tabs>
          <w:tab w:val="left" w:pos="1440"/>
          <w:tab w:val="left" w:leader="underscore" w:pos="5040"/>
          <w:tab w:val="left" w:pos="5490"/>
        </w:tabs>
        <w:spacing w:line="480" w:lineRule="atLeast"/>
      </w:pPr>
      <w:r>
        <w:rPr>
          <w:szCs w:val="26"/>
        </w:rPr>
        <w:tab/>
      </w:r>
      <w:r>
        <w:rPr>
          <w:szCs w:val="26"/>
        </w:rPr>
        <w:t xml:space="preserve">Accurate </w:t>
      </w:r>
      <w:r>
        <w:rPr>
          <w:szCs w:val="26"/>
        </w:rPr>
        <w:t>also</w:t>
      </w:r>
      <w:r>
        <w:rPr>
          <w:szCs w:val="26"/>
        </w:rPr>
        <w:t xml:space="preserve"> disputes the </w:t>
      </w:r>
      <w:r>
        <w:rPr>
          <w:szCs w:val="26"/>
        </w:rPr>
        <w:t xml:space="preserve">persuasive value of the </w:t>
      </w:r>
      <w:r>
        <w:t>FTC’s 1990 interpretation</w:t>
      </w:r>
      <w:r>
        <w:t xml:space="preserve">, which </w:t>
      </w:r>
      <w:r>
        <w:t xml:space="preserve">advised </w:t>
      </w:r>
      <w:r>
        <w:t xml:space="preserve">“the date of . . . </w:t>
      </w:r>
      <w:r w:rsidRPr="00506C12">
        <w:rPr>
          <w:i/>
          <w:iCs/>
        </w:rPr>
        <w:t>placement on parole</w:t>
      </w:r>
      <w:r>
        <w:t xml:space="preserve"> controls</w:t>
      </w:r>
      <w:r>
        <w:t>.</w:t>
      </w:r>
      <w:r>
        <w:t>”</w:t>
      </w:r>
      <w:r>
        <w:t xml:space="preserve">  </w:t>
      </w:r>
      <w:r>
        <w:t xml:space="preserve">(Italics added.) </w:t>
      </w:r>
      <w:r>
        <w:t xml:space="preserve"> </w:t>
      </w:r>
      <w:r>
        <w:t xml:space="preserve">While </w:t>
      </w:r>
      <w:r>
        <w:t xml:space="preserve">Accurate </w:t>
      </w:r>
      <w:r>
        <w:t xml:space="preserve">acknowledges </w:t>
      </w:r>
      <w:r>
        <w:t xml:space="preserve">the </w:t>
      </w:r>
      <w:r>
        <w:t>ac</w:t>
      </w:r>
      <w:r>
        <w:t xml:space="preserve">curacy </w:t>
      </w:r>
      <w:r>
        <w:t xml:space="preserve">of the </w:t>
      </w:r>
      <w:r>
        <w:t>quote</w:t>
      </w:r>
      <w:r>
        <w:t xml:space="preserve">, </w:t>
      </w:r>
      <w:r>
        <w:t xml:space="preserve">Accurate </w:t>
      </w:r>
      <w:r>
        <w:t>argues:</w:t>
      </w:r>
      <w:r>
        <w:t xml:space="preserve">  </w:t>
      </w:r>
      <w:r>
        <w:t>“This federal guidance, however, dates to 1990 and was expressly rescinded</w:t>
      </w:r>
      <w:r>
        <w:t xml:space="preserve"> . . . .  </w:t>
      </w:r>
      <w:r>
        <w:t>As a result, it is neither controlling nor informative.”  (Footnote omitted.)</w:t>
      </w:r>
      <w:r>
        <w:t xml:space="preserve">  </w:t>
      </w:r>
      <w:r>
        <w:t>Again, we disagree.</w:t>
      </w:r>
    </w:p>
    <w:p w14:paraId="122E92B0" w14:textId="77777777" w:rsidR="009855D4" w:rsidRDefault="000F2DE2" w:rsidP="009855D4">
      <w:pPr>
        <w:widowControl w:val="0"/>
        <w:tabs>
          <w:tab w:val="left" w:pos="1440"/>
          <w:tab w:val="left" w:leader="underscore" w:pos="5040"/>
          <w:tab w:val="left" w:pos="5490"/>
        </w:tabs>
        <w:spacing w:line="480" w:lineRule="atLeast"/>
        <w:rPr>
          <w:szCs w:val="26"/>
        </w:rPr>
      </w:pPr>
      <w:r>
        <w:rPr>
          <w:b/>
          <w:bCs/>
        </w:rPr>
        <w:tab/>
      </w:r>
      <w:r>
        <w:t xml:space="preserve">While </w:t>
      </w:r>
      <w:r>
        <w:t xml:space="preserve">we recognize that </w:t>
      </w:r>
      <w:r>
        <w:t xml:space="preserve">the FTC’s guidance is </w:t>
      </w:r>
      <w:r>
        <w:t xml:space="preserve">neither </w:t>
      </w:r>
      <w:r>
        <w:t xml:space="preserve">current </w:t>
      </w:r>
      <w:r>
        <w:t>n</w:t>
      </w:r>
      <w:r>
        <w:t xml:space="preserve">or </w:t>
      </w:r>
      <w:r>
        <w:t>controlling, we do</w:t>
      </w:r>
      <w:r>
        <w:t xml:space="preserve"> </w:t>
      </w:r>
      <w:r>
        <w:t>find it to be informative.  (</w:t>
      </w:r>
      <w:r w:rsidRPr="001A780A">
        <w:rPr>
          <w:szCs w:val="26"/>
        </w:rPr>
        <w:t>See, e.g.</w:t>
      </w:r>
      <w:r>
        <w:rPr>
          <w:szCs w:val="26"/>
        </w:rPr>
        <w:t xml:space="preserve">, </w:t>
      </w:r>
      <w:r>
        <w:rPr>
          <w:i/>
          <w:iCs/>
          <w:szCs w:val="26"/>
        </w:rPr>
        <w:t xml:space="preserve">Evon v. </w:t>
      </w:r>
      <w:r>
        <w:rPr>
          <w:i/>
          <w:iCs/>
          <w:szCs w:val="26"/>
        </w:rPr>
        <w:t xml:space="preserve">Law </w:t>
      </w:r>
      <w:r>
        <w:rPr>
          <w:i/>
          <w:iCs/>
          <w:szCs w:val="26"/>
        </w:rPr>
        <w:t>Off</w:t>
      </w:r>
      <w:r>
        <w:rPr>
          <w:i/>
          <w:iCs/>
          <w:szCs w:val="26"/>
        </w:rPr>
        <w:t>ice</w:t>
      </w:r>
      <w:r>
        <w:rPr>
          <w:i/>
          <w:iCs/>
          <w:szCs w:val="26"/>
        </w:rPr>
        <w:t>s of Sidney Mickell</w:t>
      </w:r>
      <w:r>
        <w:rPr>
          <w:szCs w:val="26"/>
        </w:rPr>
        <w:t xml:space="preserve"> (9th Cir. 2012) 688 F.3d 1015, 1026 [“Although not dispositive, the FTC’s Commentary is illustrativ</w:t>
      </w:r>
      <w:r>
        <w:rPr>
          <w:szCs w:val="26"/>
        </w:rPr>
        <w:t xml:space="preserve">e of the types of permissible and impermissible conduct”]; </w:t>
      </w:r>
      <w:r>
        <w:rPr>
          <w:i/>
          <w:iCs/>
          <w:szCs w:val="26"/>
        </w:rPr>
        <w:t>Beggs v. Rossi</w:t>
      </w:r>
      <w:r>
        <w:rPr>
          <w:szCs w:val="26"/>
        </w:rPr>
        <w:t xml:space="preserve"> (2d Cir. 1998) 145 F.3d 511, 512 [“Although . . . FTC policy statements are not entitled to conclusive weight in the courts, we accord them ‘due weight’”]</w:t>
      </w:r>
      <w:r>
        <w:rPr>
          <w:szCs w:val="26"/>
        </w:rPr>
        <w:t>.)</w:t>
      </w:r>
    </w:p>
    <w:p w14:paraId="1FBE2A9A" w14:textId="77777777" w:rsidR="00E50D40" w:rsidRPr="00302E0C" w:rsidRDefault="000F2DE2" w:rsidP="00302E0C">
      <w:pPr>
        <w:widowControl w:val="0"/>
        <w:tabs>
          <w:tab w:val="left" w:pos="1440"/>
          <w:tab w:val="left" w:leader="underscore" w:pos="5040"/>
          <w:tab w:val="left" w:pos="5490"/>
        </w:tabs>
        <w:spacing w:line="480" w:lineRule="atLeast"/>
        <w:rPr>
          <w:szCs w:val="26"/>
        </w:rPr>
      </w:pPr>
      <w:r>
        <w:rPr>
          <w:szCs w:val="26"/>
        </w:rPr>
        <w:tab/>
        <w:t>To reiterate and conclud</w:t>
      </w:r>
      <w:r>
        <w:rPr>
          <w:szCs w:val="26"/>
        </w:rPr>
        <w:t xml:space="preserve">e, </w:t>
      </w:r>
      <w:r>
        <w:t xml:space="preserve">we hold the phrase “from the date of . . . parole” </w:t>
      </w:r>
      <w:r>
        <w:t xml:space="preserve">as used </w:t>
      </w:r>
      <w:r>
        <w:t>in the ICRAA and the CCRA</w:t>
      </w:r>
      <w:r>
        <w:t>A</w:t>
      </w:r>
      <w:r>
        <w:t xml:space="preserve"> refers to the start date of parole</w:t>
      </w:r>
      <w:r>
        <w:t>.</w:t>
      </w:r>
      <w:r>
        <w:t xml:space="preserve">  </w:t>
      </w:r>
      <w:r>
        <w:t>(See §§ 1785.13 (a)(6), 1786.18</w:t>
      </w:r>
      <w:r>
        <w:t xml:space="preserve"> </w:t>
      </w:r>
      <w:r>
        <w:t xml:space="preserve">(a)(7).)  </w:t>
      </w:r>
      <w:r>
        <w:t xml:space="preserve">Thus, </w:t>
      </w:r>
      <w:r>
        <w:t xml:space="preserve">we </w:t>
      </w:r>
      <w:r>
        <w:t>find the trial court properly denied Accurate’s demurrer on this basis</w:t>
      </w:r>
      <w:r>
        <w:t xml:space="preserve"> and </w:t>
      </w:r>
      <w:r>
        <w:t>we n</w:t>
      </w:r>
      <w:r>
        <w:t xml:space="preserve">ow turn to </w:t>
      </w:r>
      <w:r>
        <w:t xml:space="preserve">the </w:t>
      </w:r>
      <w:r>
        <w:t xml:space="preserve">issue of </w:t>
      </w:r>
      <w:r>
        <w:t xml:space="preserve">federal </w:t>
      </w:r>
      <w:r>
        <w:t>preemption.</w:t>
      </w:r>
    </w:p>
    <w:p w14:paraId="5D75266B" w14:textId="77777777" w:rsidR="00302E0C" w:rsidRPr="00302E0C" w:rsidRDefault="000F2DE2" w:rsidP="00302E0C">
      <w:pPr>
        <w:widowControl w:val="0"/>
        <w:tabs>
          <w:tab w:val="left" w:pos="1440"/>
          <w:tab w:val="left" w:leader="underscore" w:pos="5040"/>
          <w:tab w:val="left" w:pos="5490"/>
        </w:tabs>
        <w:spacing w:line="480" w:lineRule="atLeast"/>
        <w:rPr>
          <w:szCs w:val="26"/>
        </w:rPr>
      </w:pPr>
    </w:p>
    <w:p w14:paraId="724FB3DB" w14:textId="77777777" w:rsidR="009610B6" w:rsidRPr="00AB6554" w:rsidRDefault="000F2DE2" w:rsidP="001316C5">
      <w:pPr>
        <w:widowControl w:val="0"/>
        <w:tabs>
          <w:tab w:val="left" w:pos="1440"/>
          <w:tab w:val="left" w:leader="underscore" w:pos="5040"/>
          <w:tab w:val="left" w:pos="5490"/>
        </w:tabs>
        <w:spacing w:line="480" w:lineRule="atLeast"/>
        <w:rPr>
          <w:i/>
          <w:iCs/>
        </w:rPr>
      </w:pPr>
      <w:r>
        <w:rPr>
          <w:i/>
          <w:iCs/>
        </w:rPr>
        <w:t>C</w:t>
      </w:r>
      <w:r>
        <w:rPr>
          <w:i/>
          <w:iCs/>
        </w:rPr>
        <w:t xml:space="preserve">.  </w:t>
      </w:r>
      <w:r>
        <w:rPr>
          <w:i/>
          <w:iCs/>
        </w:rPr>
        <w:t xml:space="preserve">Federal </w:t>
      </w:r>
      <w:r>
        <w:rPr>
          <w:i/>
          <w:iCs/>
        </w:rPr>
        <w:t>Preemption</w:t>
      </w:r>
    </w:p>
    <w:p w14:paraId="76B3C25B" w14:textId="77777777" w:rsidR="00264ABD" w:rsidRDefault="000F2DE2" w:rsidP="00B0276E">
      <w:pPr>
        <w:widowControl w:val="0"/>
        <w:tabs>
          <w:tab w:val="left" w:pos="1440"/>
          <w:tab w:val="left" w:leader="underscore" w:pos="5040"/>
        </w:tabs>
        <w:spacing w:line="480" w:lineRule="atLeast"/>
      </w:pPr>
      <w:r>
        <w:tab/>
      </w:r>
      <w:r>
        <w:t xml:space="preserve">Accurate argues </w:t>
      </w:r>
      <w:r>
        <w:t xml:space="preserve">the federal FCRA preempts </w:t>
      </w:r>
      <w:r>
        <w:t>the state ICRAA</w:t>
      </w:r>
      <w:r>
        <w:t xml:space="preserve">; </w:t>
      </w:r>
      <w:r>
        <w:t>therefore</w:t>
      </w:r>
      <w:r>
        <w:t xml:space="preserve">, </w:t>
      </w:r>
      <w:r>
        <w:t xml:space="preserve">Kemp’s </w:t>
      </w:r>
      <w:r>
        <w:t>ICRAA</w:t>
      </w:r>
      <w:r>
        <w:t xml:space="preserve"> </w:t>
      </w:r>
      <w:r>
        <w:t xml:space="preserve">claim </w:t>
      </w:r>
      <w:r>
        <w:t xml:space="preserve">is barred </w:t>
      </w:r>
      <w:r>
        <w:t>as a matter of law</w:t>
      </w:r>
      <w:r>
        <w:t>.</w:t>
      </w:r>
      <w:r>
        <w:t xml:space="preserve">  </w:t>
      </w:r>
      <w:r>
        <w:t>W</w:t>
      </w:r>
      <w:r>
        <w:t>e disagree.</w:t>
      </w:r>
    </w:p>
    <w:p w14:paraId="6934092E" w14:textId="77777777" w:rsidR="004B1E77" w:rsidRDefault="000F2DE2" w:rsidP="00B0276E">
      <w:pPr>
        <w:widowControl w:val="0"/>
        <w:tabs>
          <w:tab w:val="left" w:pos="1440"/>
          <w:tab w:val="left" w:leader="underscore" w:pos="5040"/>
        </w:tabs>
        <w:spacing w:line="480" w:lineRule="atLeast"/>
      </w:pPr>
      <w:r>
        <w:tab/>
        <w:t>In this part of the discussion, we will</w:t>
      </w:r>
      <w:r>
        <w:t xml:space="preserve">:  </w:t>
      </w:r>
      <w:r>
        <w:t xml:space="preserve">1) </w:t>
      </w:r>
      <w:r>
        <w:t xml:space="preserve">review </w:t>
      </w:r>
      <w:r>
        <w:t xml:space="preserve">general principles of law </w:t>
      </w:r>
      <w:r>
        <w:lastRenderedPageBreak/>
        <w:t xml:space="preserve">concerning </w:t>
      </w:r>
      <w:r>
        <w:t xml:space="preserve">federal </w:t>
      </w:r>
      <w:r>
        <w:t xml:space="preserve">preemption; 2) </w:t>
      </w:r>
      <w:r>
        <w:t>review the relevant provisions of the federal FCRA; and 3)</w:t>
      </w:r>
      <w:r>
        <w:t> </w:t>
      </w:r>
      <w:r>
        <w:t xml:space="preserve">analyze the </w:t>
      </w:r>
      <w:r>
        <w:t xml:space="preserve">federal </w:t>
      </w:r>
      <w:r>
        <w:t>FC</w:t>
      </w:r>
      <w:r>
        <w:t>R</w:t>
      </w:r>
      <w:r>
        <w:t xml:space="preserve">A </w:t>
      </w:r>
      <w:r>
        <w:t>as appl</w:t>
      </w:r>
      <w:r>
        <w:t xml:space="preserve">ied </w:t>
      </w:r>
      <w:r>
        <w:t xml:space="preserve">to the </w:t>
      </w:r>
      <w:r>
        <w:t xml:space="preserve">state </w:t>
      </w:r>
      <w:r>
        <w:t>ICRAA</w:t>
      </w:r>
      <w:r>
        <w:t>.</w:t>
      </w:r>
    </w:p>
    <w:p w14:paraId="0C5107C0" w14:textId="77777777" w:rsidR="00FB7A95" w:rsidRDefault="000F2DE2" w:rsidP="00B0276E">
      <w:pPr>
        <w:widowControl w:val="0"/>
        <w:tabs>
          <w:tab w:val="left" w:pos="1440"/>
          <w:tab w:val="left" w:leader="underscore" w:pos="5040"/>
        </w:tabs>
        <w:spacing w:line="480" w:lineRule="atLeast"/>
      </w:pPr>
    </w:p>
    <w:p w14:paraId="1BA302A8" w14:textId="77777777" w:rsidR="00FB7A95" w:rsidRPr="00886543" w:rsidRDefault="000F2DE2" w:rsidP="00B0276E">
      <w:pPr>
        <w:widowControl w:val="0"/>
        <w:tabs>
          <w:tab w:val="left" w:pos="1440"/>
          <w:tab w:val="left" w:leader="underscore" w:pos="5040"/>
        </w:tabs>
        <w:spacing w:line="480" w:lineRule="atLeast"/>
        <w:rPr>
          <w:i/>
          <w:iCs/>
        </w:rPr>
      </w:pPr>
      <w:r>
        <w:tab/>
      </w:r>
      <w:r w:rsidRPr="00886543">
        <w:rPr>
          <w:i/>
          <w:iCs/>
        </w:rPr>
        <w:t>1.  General Principles of Law</w:t>
      </w:r>
      <w:r>
        <w:rPr>
          <w:i/>
          <w:iCs/>
        </w:rPr>
        <w:t xml:space="preserve"> </w:t>
      </w:r>
      <w:r>
        <w:rPr>
          <w:i/>
          <w:iCs/>
        </w:rPr>
        <w:t>–</w:t>
      </w:r>
      <w:r>
        <w:rPr>
          <w:i/>
          <w:iCs/>
        </w:rPr>
        <w:t xml:space="preserve"> </w:t>
      </w:r>
      <w:r>
        <w:rPr>
          <w:i/>
          <w:iCs/>
        </w:rPr>
        <w:t xml:space="preserve">Federal </w:t>
      </w:r>
      <w:r>
        <w:rPr>
          <w:i/>
          <w:iCs/>
        </w:rPr>
        <w:t>Preemption</w:t>
      </w:r>
    </w:p>
    <w:p w14:paraId="57A99975" w14:textId="77777777" w:rsidR="00A9353E" w:rsidRDefault="000F2DE2" w:rsidP="00D32ED5">
      <w:pPr>
        <w:widowControl w:val="0"/>
        <w:tabs>
          <w:tab w:val="left" w:pos="1440"/>
          <w:tab w:val="left" w:leader="underscore" w:pos="5040"/>
        </w:tabs>
        <w:spacing w:line="480" w:lineRule="atLeast"/>
      </w:pPr>
      <w:r>
        <w:tab/>
      </w:r>
      <w:r>
        <w:t xml:space="preserve">The Supremacy Clause </w:t>
      </w:r>
      <w:r>
        <w:t xml:space="preserve">of the United States Constitution </w:t>
      </w:r>
      <w:r>
        <w:t>provides:  “</w:t>
      </w:r>
      <w:r>
        <w:t xml:space="preserve">This Constitution, and the Laws of the United States which shall be made in Pursuance thereof; </w:t>
      </w:r>
      <w:r>
        <w:t xml:space="preserve">. . . </w:t>
      </w:r>
      <w:r>
        <w:t>shall be the supreme Law of the Land; and the Judges in every State shall be bound there</w:t>
      </w:r>
      <w:r>
        <w:t>by</w:t>
      </w:r>
      <w:r>
        <w:t xml:space="preserve"> . . . .</w:t>
      </w:r>
      <w:r>
        <w:t>”  (</w:t>
      </w:r>
      <w:r>
        <w:t>U.S. Const. art. VI, cl. 2</w:t>
      </w:r>
      <w:r>
        <w:t>.)</w:t>
      </w:r>
    </w:p>
    <w:p w14:paraId="207100B6" w14:textId="77777777" w:rsidR="00760B30" w:rsidRDefault="000F2DE2" w:rsidP="00FC212E">
      <w:pPr>
        <w:widowControl w:val="0"/>
        <w:tabs>
          <w:tab w:val="left" w:pos="1440"/>
          <w:tab w:val="left" w:leader="underscore" w:pos="5040"/>
        </w:tabs>
        <w:spacing w:line="480" w:lineRule="atLeast"/>
      </w:pPr>
      <w:r>
        <w:tab/>
      </w:r>
      <w:r>
        <w:t xml:space="preserve">“The United States Supreme Court has recognized three types of preemption under the supremacy clause: </w:t>
      </w:r>
      <w:r>
        <w:t xml:space="preserve"> </w:t>
      </w:r>
      <w:r>
        <w:t>express preemption, conflict preemption, and field preemption.”  (</w:t>
      </w:r>
      <w:r w:rsidRPr="00FD489B">
        <w:rPr>
          <w:i/>
          <w:iCs/>
        </w:rPr>
        <w:t>People v. Burlington Northern Santa Fe Rail</w:t>
      </w:r>
      <w:r w:rsidRPr="00FD489B">
        <w:rPr>
          <w:i/>
          <w:iCs/>
        </w:rPr>
        <w:t>road</w:t>
      </w:r>
      <w:r>
        <w:t xml:space="preserve"> (2012) 209 Cal.App.4th 1513, 1521.)</w:t>
      </w:r>
      <w:r>
        <w:t xml:space="preserve">  </w:t>
      </w:r>
      <w:r>
        <w:t>“First, express preemption arises when Congress ‘define[s] explicitly the extent to which its enactments pre-empt state law.</w:t>
      </w:r>
      <w:r>
        <w:t>’</w:t>
      </w:r>
      <w:r>
        <w:t xml:space="preserve">” </w:t>
      </w:r>
      <w:r>
        <w:t xml:space="preserve"> </w:t>
      </w:r>
      <w:r>
        <w:t>(</w:t>
      </w:r>
      <w:r w:rsidRPr="009F01C6">
        <w:rPr>
          <w:i/>
          <w:iCs/>
        </w:rPr>
        <w:t>Viva! Internat. Voice for Animals v. Adidas Promotional Retail Operations, Inc.</w:t>
      </w:r>
      <w:r>
        <w:t xml:space="preserve"> (2007</w:t>
      </w:r>
      <w:r>
        <w:t>) 41 Cal.4th 929, 93</w:t>
      </w:r>
      <w:r>
        <w:t>6</w:t>
      </w:r>
      <w:r>
        <w:t xml:space="preserve"> (</w:t>
      </w:r>
      <w:r w:rsidRPr="00BA5269">
        <w:rPr>
          <w:i/>
          <w:iCs/>
        </w:rPr>
        <w:t>Viva!</w:t>
      </w:r>
      <w:r>
        <w:t>).)</w:t>
      </w:r>
      <w:r>
        <w:t xml:space="preserve">  </w:t>
      </w:r>
      <w:r>
        <w:t>Second, c</w:t>
      </w:r>
      <w:r>
        <w:t xml:space="preserve">onflict preemption arises </w:t>
      </w:r>
      <w:r>
        <w:t xml:space="preserve">when </w:t>
      </w:r>
      <w:r>
        <w:t>“‘c</w:t>
      </w:r>
      <w:r>
        <w:t>ompliance with both state and federal law is impossible,</w:t>
      </w:r>
      <w:r>
        <w:t xml:space="preserve">’ </w:t>
      </w:r>
      <w:r>
        <w:t xml:space="preserve">or where </w:t>
      </w:r>
      <w:r>
        <w:t>‘</w:t>
      </w:r>
      <w:r>
        <w:t xml:space="preserve">the state law </w:t>
      </w:r>
      <w:r>
        <w:t>“</w:t>
      </w:r>
      <w:r>
        <w:t xml:space="preserve">stands as an obstacle to the accomplishment and execution of the full purposes and </w:t>
      </w:r>
      <w:r>
        <w:t>objectives of Congress.</w:t>
      </w:r>
      <w:r>
        <w:t xml:space="preserve">”’” </w:t>
      </w:r>
      <w:r>
        <w:t xml:space="preserve"> </w:t>
      </w:r>
      <w:r>
        <w:t>(</w:t>
      </w:r>
      <w:r w:rsidRPr="00760B30">
        <w:rPr>
          <w:i/>
          <w:iCs/>
        </w:rPr>
        <w:t>Oneok, Inc. v. Learjet, Inc.</w:t>
      </w:r>
      <w:r>
        <w:t xml:space="preserve"> (2015) 575 U.S. 373, 377</w:t>
      </w:r>
      <w:r>
        <w:t>.)</w:t>
      </w:r>
      <w:r>
        <w:t xml:space="preserve">  </w:t>
      </w:r>
      <w:r>
        <w:t>“</w:t>
      </w:r>
      <w:r>
        <w:t>Finally, field preemption</w:t>
      </w:r>
      <w:r>
        <w:t xml:space="preserve"> . . . </w:t>
      </w:r>
      <w:r>
        <w:t xml:space="preserve">applies </w:t>
      </w:r>
      <w:r>
        <w:t>‘</w:t>
      </w:r>
      <w:r>
        <w:t xml:space="preserve">where the scheme of federal regulation is sufficiently comprehensive to make reasonable the inference that Congress </w:t>
      </w:r>
      <w:r>
        <w:t>“</w:t>
      </w:r>
      <w:r>
        <w:t>left no roo</w:t>
      </w:r>
      <w:r>
        <w:t>m</w:t>
      </w:r>
      <w:r>
        <w:t>”</w:t>
      </w:r>
      <w:r>
        <w:t xml:space="preserve"> for supplementary state regulation.</w:t>
      </w:r>
      <w:r>
        <w:t xml:space="preserve">’”  </w:t>
      </w:r>
      <w:r>
        <w:t>(</w:t>
      </w:r>
      <w:r w:rsidRPr="009F01C6">
        <w:rPr>
          <w:i/>
          <w:iCs/>
        </w:rPr>
        <w:t>Viva!</w:t>
      </w:r>
      <w:r>
        <w:rPr>
          <w:i/>
          <w:iCs/>
        </w:rPr>
        <w:t xml:space="preserve">, </w:t>
      </w:r>
      <w:r>
        <w:t xml:space="preserve">at p. </w:t>
      </w:r>
      <w:r>
        <w:t>936.)</w:t>
      </w:r>
    </w:p>
    <w:p w14:paraId="2A350C7A" w14:textId="77777777" w:rsidR="00FC212E" w:rsidRDefault="000F2DE2" w:rsidP="00FC212E">
      <w:pPr>
        <w:widowControl w:val="0"/>
        <w:tabs>
          <w:tab w:val="left" w:pos="1440"/>
          <w:tab w:val="left" w:leader="underscore" w:pos="5040"/>
        </w:tabs>
        <w:spacing w:line="480" w:lineRule="atLeast"/>
      </w:pPr>
      <w:r>
        <w:tab/>
      </w:r>
      <w:r>
        <w:t xml:space="preserve">Accurate </w:t>
      </w:r>
      <w:r>
        <w:t xml:space="preserve">primarily </w:t>
      </w:r>
      <w:r>
        <w:t>relie</w:t>
      </w:r>
      <w:r>
        <w:t xml:space="preserve">s </w:t>
      </w:r>
      <w:r>
        <w:t xml:space="preserve">on </w:t>
      </w:r>
      <w:r>
        <w:t xml:space="preserve">a theory of </w:t>
      </w:r>
      <w:r>
        <w:t>express preemption</w:t>
      </w:r>
      <w:r w:rsidRPr="00521C5B">
        <w:t>.</w:t>
      </w:r>
      <w:r>
        <w:t xml:space="preserve"> </w:t>
      </w:r>
      <w:r>
        <w:t xml:space="preserve"> </w:t>
      </w:r>
      <w:r>
        <w:t>“When express preemption is claimed, the court’s ‘task is to “identify the domain expressly pre-empted.”  [Citation.]  To do so, we</w:t>
      </w:r>
      <w:r>
        <w:t xml:space="preserve"> focus first on the statutory language, “which necessarily contains the best evidence of Congress’ pre-emptive intent.</w:t>
      </w:r>
      <w:r>
        <w:t>”’</w:t>
      </w:r>
      <w:r>
        <w:t>”</w:t>
      </w:r>
      <w:r>
        <w:t xml:space="preserve">  (</w:t>
      </w:r>
      <w:r w:rsidRPr="009158F1">
        <w:rPr>
          <w:i/>
          <w:iCs/>
        </w:rPr>
        <w:t>Friends of the Eel River v. North Coast Railroad Authority</w:t>
      </w:r>
      <w:r>
        <w:t xml:space="preserve"> (2017) 3 Cal.5th 677, 704</w:t>
      </w:r>
      <w:r>
        <w:t>.)  “</w:t>
      </w:r>
      <w:r>
        <w:t>Indeed, in all preemption cases, whether ex</w:t>
      </w:r>
      <w:r>
        <w:t xml:space="preserve">press or implied preemption is claimed, the fundamental </w:t>
      </w:r>
      <w:r>
        <w:lastRenderedPageBreak/>
        <w:t>question regarding the scope of preemption is one of congressional intent.</w:t>
      </w:r>
      <w:r>
        <w:t>”  (</w:t>
      </w:r>
      <w:r w:rsidRPr="00F757AB">
        <w:rPr>
          <w:i/>
          <w:iCs/>
        </w:rPr>
        <w:t>Ibid</w:t>
      </w:r>
      <w:r>
        <w:t>.)</w:t>
      </w:r>
    </w:p>
    <w:p w14:paraId="502C6D4D" w14:textId="77777777" w:rsidR="00010FF1" w:rsidRDefault="000F2DE2" w:rsidP="00B17B1D">
      <w:pPr>
        <w:widowControl w:val="0"/>
        <w:tabs>
          <w:tab w:val="left" w:pos="1440"/>
          <w:tab w:val="left" w:leader="underscore" w:pos="5040"/>
        </w:tabs>
        <w:spacing w:line="480" w:lineRule="atLeast"/>
      </w:pPr>
      <w:r>
        <w:tab/>
      </w:r>
      <w:r>
        <w:t>“‘</w:t>
      </w:r>
      <w:r>
        <w:t xml:space="preserve">If a statute “contains an express pre-emption clause, our ‘task of statutory construction must in the first </w:t>
      </w:r>
      <w:r>
        <w:t>instance focus on the plain wording of the clause, which necessarily contains the best evidence of Congress’ pre-emptive intent.’”</w:t>
      </w:r>
      <w:r>
        <w:t>’”</w:t>
      </w:r>
      <w:r>
        <w:t xml:space="preserve">  </w:t>
      </w:r>
      <w:r>
        <w:t>(</w:t>
      </w:r>
      <w:r w:rsidRPr="00744B2A">
        <w:rPr>
          <w:i/>
          <w:iCs/>
        </w:rPr>
        <w:t>People ex rel. Harris v. Delta Air Lines, Inc</w:t>
      </w:r>
      <w:r>
        <w:t xml:space="preserve">. (2016) 247 Cal.App.4th 884, 895.)  </w:t>
      </w:r>
      <w:r>
        <w:t>“</w:t>
      </w:r>
      <w:r>
        <w:t>There is also a second rule that may b</w:t>
      </w:r>
      <w:r>
        <w:t xml:space="preserve">e relevant to an analysis in preemption cases, namely, </w:t>
      </w:r>
      <w:r>
        <w:t>‘“‘</w:t>
      </w:r>
      <w:r>
        <w:t>“</w:t>
      </w:r>
      <w:r>
        <w:t>the assumption that the historic police powers of the States were not to be superseded by the Federal Act unless that was the clear and manifest purpose of Congress.</w:t>
      </w:r>
      <w:r>
        <w:t>”</w:t>
      </w:r>
      <w:r>
        <w:t>’”’”</w:t>
      </w:r>
      <w:r>
        <w:t xml:space="preserve">  </w:t>
      </w:r>
      <w:r>
        <w:t>(</w:t>
      </w:r>
      <w:r>
        <w:rPr>
          <w:i/>
          <w:iCs/>
        </w:rPr>
        <w:t>Ibid</w:t>
      </w:r>
      <w:r>
        <w:t xml:space="preserve">.)  </w:t>
      </w:r>
      <w:r>
        <w:t>“</w:t>
      </w:r>
      <w:r>
        <w:t>This is known a</w:t>
      </w:r>
      <w:r>
        <w:t>s the presumption against preemption</w:t>
      </w:r>
      <w:r>
        <w:t xml:space="preserve"> . . . .”  </w:t>
      </w:r>
      <w:r>
        <w:t>(</w:t>
      </w:r>
      <w:r w:rsidRPr="00A31788">
        <w:rPr>
          <w:i/>
          <w:iCs/>
        </w:rPr>
        <w:t>Ibid</w:t>
      </w:r>
      <w:r>
        <w:t>.)</w:t>
      </w:r>
    </w:p>
    <w:p w14:paraId="5369F9AA" w14:textId="77777777" w:rsidR="00F04D39" w:rsidRDefault="000F2DE2" w:rsidP="00B17B1D">
      <w:pPr>
        <w:widowControl w:val="0"/>
        <w:tabs>
          <w:tab w:val="left" w:pos="1440"/>
          <w:tab w:val="left" w:leader="underscore" w:pos="5040"/>
        </w:tabs>
        <w:spacing w:line="480" w:lineRule="atLeast"/>
      </w:pPr>
    </w:p>
    <w:p w14:paraId="239BCEAB" w14:textId="77777777" w:rsidR="00FB7A95" w:rsidRPr="00FB7A95" w:rsidRDefault="000F2DE2" w:rsidP="00B17B1D">
      <w:pPr>
        <w:widowControl w:val="0"/>
        <w:tabs>
          <w:tab w:val="left" w:pos="1440"/>
          <w:tab w:val="left" w:leader="underscore" w:pos="5040"/>
        </w:tabs>
        <w:spacing w:line="480" w:lineRule="atLeast"/>
        <w:rPr>
          <w:i/>
          <w:iCs/>
        </w:rPr>
      </w:pPr>
      <w:r>
        <w:tab/>
      </w:r>
      <w:r>
        <w:rPr>
          <w:i/>
          <w:iCs/>
        </w:rPr>
        <w:t>2</w:t>
      </w:r>
      <w:r w:rsidRPr="00FB7A95">
        <w:rPr>
          <w:i/>
          <w:iCs/>
        </w:rPr>
        <w:t xml:space="preserve">. </w:t>
      </w:r>
      <w:r>
        <w:rPr>
          <w:i/>
          <w:iCs/>
        </w:rPr>
        <w:t xml:space="preserve"> </w:t>
      </w:r>
      <w:r w:rsidRPr="00FB7A95">
        <w:rPr>
          <w:i/>
          <w:iCs/>
        </w:rPr>
        <w:t xml:space="preserve">The Relevant Provisions of the </w:t>
      </w:r>
      <w:r>
        <w:rPr>
          <w:i/>
          <w:iCs/>
        </w:rPr>
        <w:t>FCRA</w:t>
      </w:r>
    </w:p>
    <w:p w14:paraId="2B543CC8" w14:textId="77777777" w:rsidR="00A97A5B" w:rsidRDefault="000F2DE2" w:rsidP="00715B3A">
      <w:pPr>
        <w:widowControl w:val="0"/>
        <w:tabs>
          <w:tab w:val="left" w:pos="1440"/>
          <w:tab w:val="left" w:leader="underscore" w:pos="5040"/>
        </w:tabs>
        <w:spacing w:line="480" w:lineRule="atLeast"/>
      </w:pPr>
      <w:r>
        <w:tab/>
      </w:r>
      <w:r>
        <w:t>“Consumer reporting agencies have assumed a vital role in assembling and evaluating consumer credit and other information on consumers</w:t>
      </w:r>
      <w:r>
        <w:t>.</w:t>
      </w:r>
      <w:r>
        <w:t>”</w:t>
      </w:r>
      <w:r>
        <w:t xml:space="preserve">  (15 U.S.C. §</w:t>
      </w:r>
      <w:r>
        <w:t> </w:t>
      </w:r>
      <w:r>
        <w:t>1681(a)(3)</w:t>
      </w:r>
      <w:r>
        <w:t xml:space="preserve">.)  </w:t>
      </w:r>
      <w:r>
        <w:t>T</w:t>
      </w:r>
      <w:r>
        <w:t>he</w:t>
      </w:r>
      <w:r>
        <w:t xml:space="preserve">refore, the </w:t>
      </w:r>
      <w:r>
        <w:t>purpose</w:t>
      </w:r>
      <w:r>
        <w:t>s</w:t>
      </w:r>
      <w:r>
        <w:t xml:space="preserve"> </w:t>
      </w:r>
      <w:r>
        <w:t xml:space="preserve">and objectives </w:t>
      </w:r>
      <w:r>
        <w:t xml:space="preserve">of the FCRA </w:t>
      </w:r>
      <w:r>
        <w:t xml:space="preserve">are </w:t>
      </w:r>
      <w:r>
        <w:t xml:space="preserve">“to require that consumer reporting agencies adopt reasonable procedures for meeting the needs of commerce for consumer credit, personnel, insurance, and other </w:t>
      </w:r>
      <w:r>
        <w:t>information in a manner which is fair and equitable to the consumer</w:t>
      </w:r>
      <w:r>
        <w:t>.</w:t>
      </w:r>
      <w:r>
        <w:t xml:space="preserve">”  </w:t>
      </w:r>
      <w:r>
        <w:t>(15 U.S.C. § 1681(</w:t>
      </w:r>
      <w:r>
        <w:t>b</w:t>
      </w:r>
      <w:r>
        <w:t>).)</w:t>
      </w:r>
    </w:p>
    <w:p w14:paraId="59AC8325" w14:textId="77777777" w:rsidR="0010715D" w:rsidRDefault="000F2DE2" w:rsidP="00D87BDE">
      <w:pPr>
        <w:widowControl w:val="0"/>
        <w:tabs>
          <w:tab w:val="left" w:pos="1440"/>
          <w:tab w:val="left" w:leader="underscore" w:pos="5040"/>
        </w:tabs>
        <w:spacing w:line="480" w:lineRule="atLeast"/>
      </w:pPr>
      <w:r>
        <w:tab/>
      </w:r>
      <w:r>
        <w:t>S</w:t>
      </w:r>
      <w:r>
        <w:t xml:space="preserve">ection 1681c </w:t>
      </w:r>
      <w:r>
        <w:t xml:space="preserve">of the FCRA </w:t>
      </w:r>
      <w:r>
        <w:t>addresses</w:t>
      </w:r>
      <w:r>
        <w:t xml:space="preserve">:  “Requirements relating to information contained in consumer reports.”  </w:t>
      </w:r>
      <w:r>
        <w:t xml:space="preserve">(15 U.S.C. </w:t>
      </w:r>
      <w:r>
        <w:t>§ 1</w:t>
      </w:r>
      <w:r>
        <w:t>681c</w:t>
      </w:r>
      <w:r>
        <w:t xml:space="preserve">, boldfacing </w:t>
      </w:r>
      <w:r>
        <w:t>&amp;</w:t>
      </w:r>
      <w:r>
        <w:t xml:space="preserve"> underlin</w:t>
      </w:r>
      <w:r>
        <w:t>ing omitted</w:t>
      </w:r>
      <w:r>
        <w:t xml:space="preserve">.)  </w:t>
      </w:r>
      <w:r>
        <w:t>This se</w:t>
      </w:r>
      <w:r>
        <w:t xml:space="preserve">ction </w:t>
      </w:r>
      <w:r>
        <w:t xml:space="preserve">delineates </w:t>
      </w:r>
      <w:r>
        <w:t>data</w:t>
      </w:r>
      <w:r>
        <w:t xml:space="preserve"> that </w:t>
      </w:r>
      <w:r w:rsidRPr="00C977E4">
        <w:rPr>
          <w:i/>
          <w:iCs/>
        </w:rPr>
        <w:t>must be excluded</w:t>
      </w:r>
      <w:r>
        <w:t xml:space="preserve"> from </w:t>
      </w:r>
      <w:r>
        <w:t xml:space="preserve">consumer </w:t>
      </w:r>
      <w:r>
        <w:t xml:space="preserve">reports (e.g., “records of arrest that, from date of entry, antedate the report by more than seven years”), </w:t>
      </w:r>
      <w:r>
        <w:t>data</w:t>
      </w:r>
      <w:r>
        <w:t xml:space="preserve"> that </w:t>
      </w:r>
      <w:r w:rsidRPr="006D4EAB">
        <w:rPr>
          <w:i/>
          <w:iCs/>
        </w:rPr>
        <w:t>may be included</w:t>
      </w:r>
      <w:r>
        <w:t xml:space="preserve"> in reports (e.g., “records of convictions of crimes” </w:t>
      </w:r>
      <w:r>
        <w:t xml:space="preserve">no matter when they occurred), and </w:t>
      </w:r>
      <w:r>
        <w:t>data</w:t>
      </w:r>
      <w:r>
        <w:t xml:space="preserve"> that </w:t>
      </w:r>
      <w:r w:rsidRPr="006D4EAB">
        <w:rPr>
          <w:i/>
          <w:iCs/>
        </w:rPr>
        <w:t>must be disclosed</w:t>
      </w:r>
      <w:r>
        <w:t xml:space="preserve"> in </w:t>
      </w:r>
      <w:r>
        <w:t xml:space="preserve">consumer </w:t>
      </w:r>
      <w:r>
        <w:t>reports (e.g., disputes filed by consumers).  (See 15 U.S.C. § 1681c(a)(1)-(8), (d) &amp; (f).)</w:t>
      </w:r>
    </w:p>
    <w:p w14:paraId="4A300F03" w14:textId="77777777" w:rsidR="007055D6" w:rsidRDefault="000F2DE2" w:rsidP="00D87BDE">
      <w:pPr>
        <w:widowControl w:val="0"/>
        <w:tabs>
          <w:tab w:val="left" w:pos="1440"/>
          <w:tab w:val="left" w:leader="underscore" w:pos="5040"/>
        </w:tabs>
        <w:spacing w:line="480" w:lineRule="atLeast"/>
      </w:pPr>
      <w:r>
        <w:tab/>
      </w:r>
      <w:r>
        <w:t xml:space="preserve">Section 1681t </w:t>
      </w:r>
      <w:r>
        <w:t>addresse</w:t>
      </w:r>
      <w:r>
        <w:t>s</w:t>
      </w:r>
      <w:r>
        <w:t xml:space="preserve"> </w:t>
      </w:r>
      <w:r>
        <w:t>the</w:t>
      </w:r>
      <w:r>
        <w:t xml:space="preserve"> FCRA’s</w:t>
      </w:r>
      <w:r>
        <w:t>:  “Relation to State Laws.”  (</w:t>
      </w:r>
      <w:r>
        <w:t xml:space="preserve">15 U.S.C. § 1681t.)  </w:t>
      </w:r>
      <w:r>
        <w:t>“</w:t>
      </w:r>
      <w:r w:rsidRPr="00A113BE">
        <w:rPr>
          <w:i/>
          <w:iCs/>
        </w:rPr>
        <w:t>Except as provided in subsections (b) and (c)</w:t>
      </w:r>
      <w:r w:rsidRPr="0053100B">
        <w:t xml:space="preserve">, this subchapter does not annul, alter, affect, or exempt any person subject to the provisions of this subchapter from </w:t>
      </w:r>
      <w:r w:rsidRPr="0053100B">
        <w:lastRenderedPageBreak/>
        <w:t xml:space="preserve">complying with the laws of any State with respect to the collection, </w:t>
      </w:r>
      <w:r w:rsidRPr="0053100B">
        <w:t>distribution, or use of any information on consumers, or for the prevention or mitigation of identity theft, except to the extent that those laws are inconsistent with any provision of this subchapter, and then only to the extent of the inconsistency.</w:t>
      </w:r>
      <w:r>
        <w:t>”</w:t>
      </w:r>
      <w:r>
        <w:rPr>
          <w:rStyle w:val="FootnoteReference"/>
        </w:rPr>
        <w:footnoteReference w:id="5"/>
      </w:r>
      <w:r>
        <w:t xml:space="preserve">  </w:t>
      </w:r>
      <w:r>
        <w:t>(15 U.S.C. § 1681t(a)</w:t>
      </w:r>
      <w:r>
        <w:t>, italics added</w:t>
      </w:r>
      <w:r>
        <w:t>.)</w:t>
      </w:r>
    </w:p>
    <w:p w14:paraId="30BCC77F" w14:textId="77777777" w:rsidR="00E45B72" w:rsidRDefault="000F2DE2" w:rsidP="00D87BDE">
      <w:pPr>
        <w:widowControl w:val="0"/>
        <w:tabs>
          <w:tab w:val="left" w:pos="1440"/>
          <w:tab w:val="left" w:leader="underscore" w:pos="5040"/>
        </w:tabs>
        <w:spacing w:line="480" w:lineRule="atLeast"/>
      </w:pPr>
      <w:r>
        <w:tab/>
      </w:r>
      <w:r>
        <w:t>T</w:t>
      </w:r>
      <w:r>
        <w:t xml:space="preserve">he </w:t>
      </w:r>
      <w:r>
        <w:t xml:space="preserve">FCRA </w:t>
      </w:r>
      <w:r>
        <w:t xml:space="preserve">express </w:t>
      </w:r>
      <w:r>
        <w:t xml:space="preserve">preemption </w:t>
      </w:r>
      <w:r>
        <w:t>clause</w:t>
      </w:r>
      <w:r>
        <w:t xml:space="preserve"> </w:t>
      </w:r>
      <w:r>
        <w:t xml:space="preserve">at issue </w:t>
      </w:r>
      <w:r>
        <w:t xml:space="preserve">is located </w:t>
      </w:r>
      <w:r>
        <w:t>in</w:t>
      </w:r>
      <w:r>
        <w:t xml:space="preserve"> </w:t>
      </w:r>
      <w:r>
        <w:t>section</w:t>
      </w:r>
      <w:r>
        <w:t xml:space="preserve"> 1681t</w:t>
      </w:r>
      <w:r>
        <w:t>,</w:t>
      </w:r>
      <w:r>
        <w:t xml:space="preserve"> </w:t>
      </w:r>
      <w:r>
        <w:t>subdivision (b</w:t>
      </w:r>
      <w:r>
        <w:t>)</w:t>
      </w:r>
      <w:r>
        <w:t>.</w:t>
      </w:r>
      <w:r>
        <w:rPr>
          <w:rStyle w:val="FootnoteReference"/>
        </w:rPr>
        <w:footnoteReference w:id="6"/>
      </w:r>
      <w:r>
        <w:t xml:space="preserve">  The clause</w:t>
      </w:r>
      <w:r>
        <w:t xml:space="preserve"> </w:t>
      </w:r>
      <w:r>
        <w:t>provides</w:t>
      </w:r>
      <w:r>
        <w:t xml:space="preserve">, in relevant part: </w:t>
      </w:r>
      <w:r>
        <w:t xml:space="preserve"> </w:t>
      </w:r>
      <w:r>
        <w:t xml:space="preserve">“No </w:t>
      </w:r>
      <w:r w:rsidRPr="00C8429C">
        <w:rPr>
          <w:i/>
          <w:iCs/>
        </w:rPr>
        <w:t>requirement or prohibition</w:t>
      </w:r>
      <w:r>
        <w:t xml:space="preserve"> may be imposed under the laws of any </w:t>
      </w:r>
      <w:r>
        <w:t>S</w:t>
      </w:r>
      <w:r>
        <w:t>tate</w:t>
      </w:r>
      <w:r>
        <w:t>--  [¶]</w:t>
      </w:r>
      <w:r>
        <w:t xml:space="preserve"> </w:t>
      </w:r>
      <w:r>
        <w:t xml:space="preserve"> </w:t>
      </w:r>
      <w:r>
        <w:t xml:space="preserve">. . . </w:t>
      </w:r>
      <w:r>
        <w:t xml:space="preserve">with respect to any </w:t>
      </w:r>
      <w:r w:rsidRPr="00AD1A62">
        <w:rPr>
          <w:i/>
          <w:iCs/>
        </w:rPr>
        <w:t xml:space="preserve">subject matter </w:t>
      </w:r>
      <w:r w:rsidRPr="00AD1A62">
        <w:t xml:space="preserve">regulated </w:t>
      </w:r>
      <w:r>
        <w:t>under--  [¶]</w:t>
      </w:r>
      <w:r>
        <w:t xml:space="preserve"> </w:t>
      </w:r>
      <w:r>
        <w:t xml:space="preserve"> </w:t>
      </w:r>
      <w:r>
        <w:t>. . . section 1681c of this title</w:t>
      </w:r>
      <w:r>
        <w:t xml:space="preserve">, relating to information contained in consumer reports, </w:t>
      </w:r>
      <w:r w:rsidRPr="00CB0152">
        <w:rPr>
          <w:i/>
          <w:iCs/>
        </w:rPr>
        <w:t xml:space="preserve">except that </w:t>
      </w:r>
      <w:r w:rsidRPr="00CB0152">
        <w:rPr>
          <w:i/>
          <w:iCs/>
        </w:rPr>
        <w:t xml:space="preserve">this subparagraph shall not apply to </w:t>
      </w:r>
      <w:r w:rsidRPr="00CB0152">
        <w:rPr>
          <w:i/>
          <w:iCs/>
        </w:rPr>
        <w:t>any State law in effect on September 30, 1996</w:t>
      </w:r>
      <w:r>
        <w:t>.”</w:t>
      </w:r>
      <w:r w:rsidRPr="009600EC">
        <w:rPr>
          <w:rStyle w:val="FootnoteReference"/>
        </w:rPr>
        <w:t xml:space="preserve"> </w:t>
      </w:r>
      <w:r>
        <w:t xml:space="preserve">  </w:t>
      </w:r>
      <w:r>
        <w:t>(15 U.S.C. § 1681t(</w:t>
      </w:r>
      <w:r>
        <w:t>b</w:t>
      </w:r>
      <w:r>
        <w:t>)</w:t>
      </w:r>
      <w:r>
        <w:t>(1)(E)</w:t>
      </w:r>
      <w:r>
        <w:t>, italics added</w:t>
      </w:r>
      <w:r>
        <w:t>.)</w:t>
      </w:r>
    </w:p>
    <w:p w14:paraId="553E3212" w14:textId="77777777" w:rsidR="00A84DFB" w:rsidRDefault="000F2DE2" w:rsidP="00D87BDE">
      <w:pPr>
        <w:widowControl w:val="0"/>
        <w:tabs>
          <w:tab w:val="left" w:pos="1440"/>
          <w:tab w:val="left" w:leader="underscore" w:pos="5040"/>
        </w:tabs>
        <w:spacing w:line="480" w:lineRule="atLeast"/>
      </w:pPr>
      <w:r>
        <w:tab/>
      </w:r>
      <w:r>
        <w:t>Therefore, a</w:t>
      </w:r>
      <w:r>
        <w:t xml:space="preserve">s stated by a federal </w:t>
      </w:r>
      <w:r>
        <w:t xml:space="preserve">district </w:t>
      </w:r>
      <w:r>
        <w:t xml:space="preserve">court, </w:t>
      </w:r>
      <w:r>
        <w:t xml:space="preserve">there is </w:t>
      </w:r>
      <w:r>
        <w:t>a two-prong test</w:t>
      </w:r>
      <w:r>
        <w:t xml:space="preserve"> under </w:t>
      </w:r>
      <w:r>
        <w:t>section</w:t>
      </w:r>
      <w:r>
        <w:t xml:space="preserve"> 1681t (b)(1)(E)</w:t>
      </w:r>
      <w:r>
        <w:t xml:space="preserve">, </w:t>
      </w:r>
      <w:r>
        <w:t xml:space="preserve">of title 15 of the </w:t>
      </w:r>
      <w:r>
        <w:t>United States Code</w:t>
      </w:r>
      <w:r>
        <w:t xml:space="preserve">, </w:t>
      </w:r>
      <w:r>
        <w:t xml:space="preserve">for </w:t>
      </w:r>
      <w:r>
        <w:t xml:space="preserve">the </w:t>
      </w:r>
      <w:r>
        <w:t>express preemption</w:t>
      </w:r>
      <w:r>
        <w:t xml:space="preserve"> of a state law</w:t>
      </w:r>
      <w:r>
        <w:t>:  the “FCRA preempts state consumer reporting statutes when (1) the subject matter of the state statute concerns matters regulated under 15 U.S.C. §</w:t>
      </w:r>
      <w:r>
        <w:t> </w:t>
      </w:r>
      <w:r>
        <w:t>1681c [“Requirements related to information contained in consumer reports</w:t>
      </w:r>
      <w:r>
        <w:t>”]; and (2) the state law took effect after September 30, 1996.”  (</w:t>
      </w:r>
      <w:r w:rsidRPr="0030182E">
        <w:rPr>
          <w:i/>
          <w:iCs/>
        </w:rPr>
        <w:t xml:space="preserve">Simon v. Directv, Inc. </w:t>
      </w:r>
      <w:r>
        <w:t>(D. Colo. Mar. 19, 2010, No. 09</w:t>
      </w:r>
      <w:r>
        <w:t>-</w:t>
      </w:r>
      <w:r>
        <w:t>CV</w:t>
      </w:r>
      <w:r>
        <w:t>-</w:t>
      </w:r>
      <w:r>
        <w:t>00852</w:t>
      </w:r>
      <w:r>
        <w:t>-</w:t>
      </w:r>
      <w:r>
        <w:t>PAB</w:t>
      </w:r>
      <w:r>
        <w:t>-</w:t>
      </w:r>
      <w:r>
        <w:t xml:space="preserve">KLM) 2010 WL 1452853, at </w:t>
      </w:r>
      <w:r>
        <w:t xml:space="preserve">p. </w:t>
      </w:r>
      <w:r>
        <w:t>*3.)</w:t>
      </w:r>
    </w:p>
    <w:p w14:paraId="4E13BBB3" w14:textId="77777777" w:rsidR="009568D4" w:rsidRDefault="000F2DE2" w:rsidP="005F61A2">
      <w:pPr>
        <w:widowControl w:val="0"/>
        <w:tabs>
          <w:tab w:val="left" w:pos="1440"/>
          <w:tab w:val="left" w:leader="underscore" w:pos="5040"/>
        </w:tabs>
        <w:spacing w:line="480" w:lineRule="atLeast"/>
        <w:rPr>
          <w:i/>
          <w:iCs/>
        </w:rPr>
      </w:pPr>
    </w:p>
    <w:p w14:paraId="66148FBA" w14:textId="77777777" w:rsidR="002F7C99" w:rsidRDefault="000F2DE2" w:rsidP="005F61A2">
      <w:pPr>
        <w:widowControl w:val="0"/>
        <w:tabs>
          <w:tab w:val="left" w:pos="1440"/>
          <w:tab w:val="left" w:leader="underscore" w:pos="5040"/>
        </w:tabs>
        <w:spacing w:line="480" w:lineRule="atLeast"/>
      </w:pPr>
      <w:r>
        <w:rPr>
          <w:i/>
          <w:iCs/>
        </w:rPr>
        <w:tab/>
      </w:r>
      <w:r w:rsidRPr="00D548B9">
        <w:rPr>
          <w:i/>
          <w:iCs/>
        </w:rPr>
        <w:t xml:space="preserve">3. Analysis and Application </w:t>
      </w:r>
    </w:p>
    <w:p w14:paraId="3DDABA46" w14:textId="77777777" w:rsidR="00A45C48" w:rsidRDefault="000F2DE2" w:rsidP="005F61A2">
      <w:pPr>
        <w:widowControl w:val="0"/>
        <w:tabs>
          <w:tab w:val="left" w:pos="1440"/>
          <w:tab w:val="left" w:leader="underscore" w:pos="5040"/>
        </w:tabs>
        <w:spacing w:line="480" w:lineRule="atLeast"/>
      </w:pPr>
      <w:r>
        <w:tab/>
      </w:r>
      <w:r>
        <w:t>To be clear, t</w:t>
      </w:r>
      <w:r>
        <w:t xml:space="preserve">he </w:t>
      </w:r>
      <w:r>
        <w:t xml:space="preserve">relatively </w:t>
      </w:r>
      <w:r>
        <w:t>narrow</w:t>
      </w:r>
      <w:r>
        <w:t xml:space="preserve"> </w:t>
      </w:r>
      <w:r>
        <w:t xml:space="preserve">issue </w:t>
      </w:r>
      <w:r>
        <w:t>we are analyzin</w:t>
      </w:r>
      <w:r>
        <w:t xml:space="preserve">g </w:t>
      </w:r>
      <w:r>
        <w:t>in this part of the opinion</w:t>
      </w:r>
      <w:r>
        <w:t xml:space="preserve"> is </w:t>
      </w:r>
      <w:r>
        <w:t xml:space="preserve">whether </w:t>
      </w:r>
      <w:r>
        <w:t>a</w:t>
      </w:r>
      <w:r>
        <w:t xml:space="preserve"> </w:t>
      </w:r>
      <w:r>
        <w:t>“</w:t>
      </w:r>
      <w:r>
        <w:t xml:space="preserve">requirement or </w:t>
      </w:r>
      <w:r>
        <w:t>prohibition</w:t>
      </w:r>
      <w:r>
        <w:t xml:space="preserve">” </w:t>
      </w:r>
      <w:r>
        <w:t xml:space="preserve">within </w:t>
      </w:r>
      <w:r>
        <w:t xml:space="preserve">the </w:t>
      </w:r>
      <w:r>
        <w:t>state</w:t>
      </w:r>
      <w:r>
        <w:t xml:space="preserve"> </w:t>
      </w:r>
      <w:r>
        <w:t>ICRAA</w:t>
      </w:r>
      <w:r>
        <w:t xml:space="preserve"> is preempted </w:t>
      </w:r>
      <w:r>
        <w:lastRenderedPageBreak/>
        <w:t xml:space="preserve">by the </w:t>
      </w:r>
      <w:r>
        <w:t xml:space="preserve">federal </w:t>
      </w:r>
      <w:r>
        <w:t>FCRA</w:t>
      </w:r>
      <w:r>
        <w:t>.</w:t>
      </w:r>
      <w:r>
        <w:rPr>
          <w:rStyle w:val="FootnoteReference"/>
        </w:rPr>
        <w:footnoteReference w:id="7"/>
      </w:r>
      <w:r>
        <w:t xml:space="preserve">  (See 15 U.S.C. § 1681t(b)(1)</w:t>
      </w:r>
      <w:r>
        <w:t>(E).)  T</w:t>
      </w:r>
      <w:r>
        <w:t xml:space="preserve">he </w:t>
      </w:r>
      <w:r>
        <w:t xml:space="preserve">ICRAA </w:t>
      </w:r>
      <w:r>
        <w:t xml:space="preserve">prohibition </w:t>
      </w:r>
      <w:r>
        <w:t>at issue here</w:t>
      </w:r>
      <w:r>
        <w:t xml:space="preserve"> </w:t>
      </w:r>
      <w:r>
        <w:t xml:space="preserve">makes it a violation of law </w:t>
      </w:r>
      <w:r>
        <w:t>for a</w:t>
      </w:r>
      <w:r>
        <w:t>n</w:t>
      </w:r>
      <w:r>
        <w:t xml:space="preserve"> </w:t>
      </w:r>
      <w:r>
        <w:t xml:space="preserve">investigative </w:t>
      </w:r>
      <w:r w:rsidRPr="0013085D">
        <w:t>agenc</w:t>
      </w:r>
      <w:r>
        <w:t xml:space="preserve">y to include </w:t>
      </w:r>
      <w:r w:rsidRPr="0013085D">
        <w:t xml:space="preserve">in </w:t>
      </w:r>
      <w:r>
        <w:t>a</w:t>
      </w:r>
      <w:r>
        <w:t xml:space="preserve"> </w:t>
      </w:r>
      <w:r w:rsidRPr="0013085D">
        <w:t>report:  “Records of arrest, indictment, information, misdemeanor complaint, or conviction of a crime that, from the date of disposition, release, or parole, antedate the report by mor</w:t>
      </w:r>
      <w:r w:rsidRPr="0013085D">
        <w:t xml:space="preserve">e than seven years.”  </w:t>
      </w:r>
      <w:r>
        <w:t xml:space="preserve">(§ 1786.18 (a)(7).)  </w:t>
      </w:r>
      <w:r>
        <w:t xml:space="preserve">This </w:t>
      </w:r>
      <w:r>
        <w:t xml:space="preserve">state law </w:t>
      </w:r>
      <w:r>
        <w:t>prohibition under</w:t>
      </w:r>
      <w:r>
        <w:t xml:space="preserve"> the ICRAA </w:t>
      </w:r>
      <w:r>
        <w:t xml:space="preserve">has </w:t>
      </w:r>
      <w:r>
        <w:t xml:space="preserve">been in </w:t>
      </w:r>
      <w:r>
        <w:t>effect</w:t>
      </w:r>
      <w:r>
        <w:t xml:space="preserve"> since </w:t>
      </w:r>
      <w:r>
        <w:t xml:space="preserve">1975, with </w:t>
      </w:r>
      <w:r>
        <w:t xml:space="preserve">only </w:t>
      </w:r>
      <w:r>
        <w:t xml:space="preserve">minor grammatical changes </w:t>
      </w:r>
      <w:r>
        <w:t xml:space="preserve">in </w:t>
      </w:r>
      <w:r>
        <w:t>1998.</w:t>
      </w:r>
    </w:p>
    <w:p w14:paraId="0B28D1E5" w14:textId="77777777" w:rsidR="0075300D" w:rsidRDefault="000F2DE2" w:rsidP="005F61A2">
      <w:pPr>
        <w:widowControl w:val="0"/>
        <w:tabs>
          <w:tab w:val="left" w:pos="1440"/>
          <w:tab w:val="left" w:leader="underscore" w:pos="5040"/>
        </w:tabs>
        <w:spacing w:line="480" w:lineRule="atLeast"/>
      </w:pPr>
      <w:r>
        <w:tab/>
      </w:r>
      <w:r>
        <w:t xml:space="preserve">Applying the </w:t>
      </w:r>
      <w:r>
        <w:t xml:space="preserve">first prong of </w:t>
      </w:r>
      <w:r>
        <w:t xml:space="preserve">the </w:t>
      </w:r>
      <w:r>
        <w:t>test</w:t>
      </w:r>
      <w:r>
        <w:t xml:space="preserve"> for express </w:t>
      </w:r>
      <w:r>
        <w:t xml:space="preserve">federal </w:t>
      </w:r>
      <w:r>
        <w:t>preemption</w:t>
      </w:r>
      <w:r>
        <w:t xml:space="preserve">, </w:t>
      </w:r>
      <w:r>
        <w:t xml:space="preserve">the </w:t>
      </w:r>
      <w:r>
        <w:t xml:space="preserve">state </w:t>
      </w:r>
      <w:r>
        <w:t>consumer repor</w:t>
      </w:r>
      <w:r>
        <w:t xml:space="preserve">ting </w:t>
      </w:r>
      <w:r>
        <w:t xml:space="preserve">statute </w:t>
      </w:r>
      <w:r>
        <w:t xml:space="preserve">at issue </w:t>
      </w:r>
      <w:r>
        <w:t xml:space="preserve">in this case </w:t>
      </w:r>
      <w:r>
        <w:t xml:space="preserve">plainly </w:t>
      </w:r>
      <w:r>
        <w:t>concern</w:t>
      </w:r>
      <w:r>
        <w:t>s</w:t>
      </w:r>
      <w:r>
        <w:t xml:space="preserve"> the same subject matter</w:t>
      </w:r>
      <w:r>
        <w:t xml:space="preserve"> as the federa</w:t>
      </w:r>
      <w:r>
        <w:t>l law</w:t>
      </w:r>
      <w:r>
        <w:t>.  T</w:t>
      </w:r>
      <w:r>
        <w:t xml:space="preserve">hat is, </w:t>
      </w:r>
      <w:r>
        <w:t>the challenged pro</w:t>
      </w:r>
      <w:r>
        <w:t>hibition in</w:t>
      </w:r>
      <w:r>
        <w:t xml:space="preserve"> the </w:t>
      </w:r>
      <w:r>
        <w:t xml:space="preserve">ICRAA </w:t>
      </w:r>
      <w:r>
        <w:t>(§ 1786.18</w:t>
      </w:r>
      <w:r>
        <w:t xml:space="preserve"> </w:t>
      </w:r>
      <w:r>
        <w:t xml:space="preserve">(a)(7)), </w:t>
      </w:r>
      <w:r>
        <w:t>regulate</w:t>
      </w:r>
      <w:r>
        <w:t>s</w:t>
      </w:r>
      <w:r>
        <w:t xml:space="preserve"> </w:t>
      </w:r>
      <w:r>
        <w:t>the di</w:t>
      </w:r>
      <w:r>
        <w:t>sclosure of convictions in consumer reports</w:t>
      </w:r>
      <w:r>
        <w:t xml:space="preserve">, which is </w:t>
      </w:r>
      <w:r>
        <w:t xml:space="preserve">also regulated </w:t>
      </w:r>
      <w:r>
        <w:t xml:space="preserve">(though allowed) </w:t>
      </w:r>
      <w:r>
        <w:t xml:space="preserve">within </w:t>
      </w:r>
      <w:r>
        <w:t>section 1681</w:t>
      </w:r>
      <w:r>
        <w:t>c</w:t>
      </w:r>
      <w:r>
        <w:t xml:space="preserve"> of </w:t>
      </w:r>
      <w:r>
        <w:t>the FCRA (</w:t>
      </w:r>
      <w:r w:rsidRPr="00FC5EE3">
        <w:t>15 U.S.C. § 1681c(a)(5)</w:t>
      </w:r>
      <w:r>
        <w:t>).</w:t>
      </w:r>
    </w:p>
    <w:p w14:paraId="3808F617" w14:textId="77777777" w:rsidR="00CA2937" w:rsidRDefault="000F2DE2" w:rsidP="005F61A2">
      <w:pPr>
        <w:widowControl w:val="0"/>
        <w:tabs>
          <w:tab w:val="left" w:pos="1440"/>
          <w:tab w:val="left" w:leader="underscore" w:pos="5040"/>
        </w:tabs>
        <w:spacing w:line="480" w:lineRule="atLeast"/>
      </w:pPr>
      <w:r>
        <w:tab/>
      </w:r>
      <w:r>
        <w:t xml:space="preserve">However, </w:t>
      </w:r>
      <w:r>
        <w:t>applying the second prong</w:t>
      </w:r>
      <w:r>
        <w:t xml:space="preserve"> of the test for </w:t>
      </w:r>
      <w:r>
        <w:t xml:space="preserve">federal </w:t>
      </w:r>
      <w:r>
        <w:t>preemption</w:t>
      </w:r>
      <w:r>
        <w:t xml:space="preserve">, </w:t>
      </w:r>
      <w:r>
        <w:t xml:space="preserve">the </w:t>
      </w:r>
      <w:r>
        <w:t>state</w:t>
      </w:r>
      <w:r>
        <w:t xml:space="preserve"> law</w:t>
      </w:r>
      <w:r>
        <w:t xml:space="preserve"> at issue </w:t>
      </w:r>
      <w:r>
        <w:t xml:space="preserve">(the prohibition against </w:t>
      </w:r>
      <w:r>
        <w:t xml:space="preserve">the </w:t>
      </w:r>
      <w:r>
        <w:t>reporting</w:t>
      </w:r>
      <w:r>
        <w:t xml:space="preserve"> of </w:t>
      </w:r>
      <w:r>
        <w:t xml:space="preserve">a </w:t>
      </w:r>
      <w:r>
        <w:t>conviction</w:t>
      </w:r>
      <w:r>
        <w:t xml:space="preserve"> </w:t>
      </w:r>
      <w:r>
        <w:t>that predate</w:t>
      </w:r>
      <w:r>
        <w:t>s</w:t>
      </w:r>
      <w:r>
        <w:t xml:space="preserve"> a report by more than seven years</w:t>
      </w:r>
      <w:r>
        <w:t>)</w:t>
      </w:r>
      <w:r>
        <w:t xml:space="preserve">, </w:t>
      </w:r>
      <w:r>
        <w:t xml:space="preserve">has been </w:t>
      </w:r>
      <w:r>
        <w:t xml:space="preserve">a part of </w:t>
      </w:r>
      <w:r>
        <w:t xml:space="preserve">the ICRAA </w:t>
      </w:r>
      <w:r>
        <w:t>since 1975</w:t>
      </w:r>
      <w:r>
        <w:t xml:space="preserve"> and </w:t>
      </w:r>
      <w:r>
        <w:t>w</w:t>
      </w:r>
      <w:r>
        <w:t xml:space="preserve">as </w:t>
      </w:r>
      <w:r>
        <w:t>in effect on September 30, 1996</w:t>
      </w:r>
      <w:r>
        <w:t>.  That is, section 1786.18 (a)(7)</w:t>
      </w:r>
      <w:r>
        <w:t xml:space="preserve"> </w:t>
      </w:r>
      <w:r>
        <w:t xml:space="preserve">did not take </w:t>
      </w:r>
      <w:r>
        <w:t>“</w:t>
      </w:r>
      <w:r>
        <w:t>effect after September 30, 1996.</w:t>
      </w:r>
      <w:r>
        <w:t>”</w:t>
      </w:r>
      <w:r>
        <w:t xml:space="preserve">  </w:t>
      </w:r>
      <w:r>
        <w:t xml:space="preserve">(See </w:t>
      </w:r>
      <w:r w:rsidRPr="0030182E">
        <w:rPr>
          <w:i/>
          <w:iCs/>
        </w:rPr>
        <w:t>Simon v. Directv, Inc.</w:t>
      </w:r>
      <w:r w:rsidRPr="00122A73">
        <w:t>,</w:t>
      </w:r>
      <w:r>
        <w:rPr>
          <w:i/>
          <w:iCs/>
        </w:rPr>
        <w:t xml:space="preserve"> supra</w:t>
      </w:r>
      <w:r w:rsidRPr="00122A73">
        <w:t>,</w:t>
      </w:r>
      <w:r>
        <w:rPr>
          <w:i/>
          <w:iCs/>
        </w:rPr>
        <w:t xml:space="preserve"> </w:t>
      </w:r>
      <w:r w:rsidRPr="0061776B">
        <w:t>2</w:t>
      </w:r>
      <w:r>
        <w:t xml:space="preserve">010 WL 1452853, at </w:t>
      </w:r>
      <w:r>
        <w:t xml:space="preserve">p. </w:t>
      </w:r>
      <w:r>
        <w:t>*3.)</w:t>
      </w:r>
    </w:p>
    <w:p w14:paraId="4AD5972A" w14:textId="77777777" w:rsidR="009D34EE" w:rsidRDefault="000F2DE2" w:rsidP="005F61A2">
      <w:pPr>
        <w:widowControl w:val="0"/>
        <w:tabs>
          <w:tab w:val="left" w:pos="1440"/>
          <w:tab w:val="left" w:leader="underscore" w:pos="5040"/>
        </w:tabs>
        <w:spacing w:line="480" w:lineRule="atLeast"/>
      </w:pPr>
      <w:r>
        <w:tab/>
      </w:r>
      <w:r>
        <w:t>In s</w:t>
      </w:r>
      <w:r>
        <w:t xml:space="preserve">hort, </w:t>
      </w:r>
      <w:r>
        <w:t xml:space="preserve">Kemp’s </w:t>
      </w:r>
      <w:r>
        <w:t xml:space="preserve">ICRAA </w:t>
      </w:r>
      <w:r>
        <w:t>c</w:t>
      </w:r>
      <w:r>
        <w:t>laim</w:t>
      </w:r>
      <w:r>
        <w:t xml:space="preserve">, which alleges </w:t>
      </w:r>
      <w:r>
        <w:t xml:space="preserve">Accurate </w:t>
      </w:r>
      <w:r>
        <w:t>violat</w:t>
      </w:r>
      <w:r>
        <w:t xml:space="preserve">ed </w:t>
      </w:r>
      <w:r>
        <w:t xml:space="preserve">the prohibition against the reporting of </w:t>
      </w:r>
      <w:r>
        <w:t xml:space="preserve">a </w:t>
      </w:r>
      <w:r>
        <w:t>conviction that predate</w:t>
      </w:r>
      <w:r>
        <w:t>s</w:t>
      </w:r>
      <w:r>
        <w:t xml:space="preserve"> a report by more than seven years</w:t>
      </w:r>
      <w:r>
        <w:t xml:space="preserve">, </w:t>
      </w:r>
      <w:r>
        <w:t>i</w:t>
      </w:r>
      <w:r>
        <w:t xml:space="preserve">s not preempted </w:t>
      </w:r>
      <w:r>
        <w:t xml:space="preserve">by the FCRA </w:t>
      </w:r>
      <w:r>
        <w:t xml:space="preserve">because </w:t>
      </w:r>
      <w:r>
        <w:t xml:space="preserve">the ICRAA </w:t>
      </w:r>
      <w:r>
        <w:t>prohibition—</w:t>
      </w:r>
      <w:r>
        <w:t xml:space="preserve">section </w:t>
      </w:r>
      <w:r>
        <w:t xml:space="preserve">1786.18 </w:t>
      </w:r>
      <w:r>
        <w:t>(a)(7)</w:t>
      </w:r>
      <w:r>
        <w:t>—</w:t>
      </w:r>
      <w:r>
        <w:t xml:space="preserve">was </w:t>
      </w:r>
      <w:r>
        <w:t>“</w:t>
      </w:r>
      <w:r>
        <w:t>in effect on September 30, 1996.”  (See 15 U.S.C. § 1681t(b)(1)(E)</w:t>
      </w:r>
      <w:r>
        <w:t>.</w:t>
      </w:r>
      <w:r>
        <w:t>)</w:t>
      </w:r>
    </w:p>
    <w:p w14:paraId="7F14F2AE" w14:textId="77777777" w:rsidR="00F779A9" w:rsidRDefault="000F2DE2" w:rsidP="005F61A2">
      <w:pPr>
        <w:widowControl w:val="0"/>
        <w:tabs>
          <w:tab w:val="left" w:pos="1440"/>
          <w:tab w:val="left" w:leader="underscore" w:pos="5040"/>
        </w:tabs>
        <w:spacing w:line="480" w:lineRule="atLeast"/>
      </w:pPr>
      <w:r>
        <w:tab/>
      </w:r>
      <w:r>
        <w:t xml:space="preserve">Thus, </w:t>
      </w:r>
      <w:r>
        <w:t xml:space="preserve">we </w:t>
      </w:r>
      <w:r>
        <w:t xml:space="preserve">direct the trial court to </w:t>
      </w:r>
      <w:r w:rsidRPr="00BF598D">
        <w:t xml:space="preserve">vacate its </w:t>
      </w:r>
      <w:r>
        <w:t xml:space="preserve">prior </w:t>
      </w:r>
      <w:r w:rsidRPr="00BF598D">
        <w:t>order</w:t>
      </w:r>
      <w:r>
        <w:t xml:space="preserve">, which </w:t>
      </w:r>
      <w:r>
        <w:t xml:space="preserve">partially </w:t>
      </w:r>
      <w:r>
        <w:t>grant</w:t>
      </w:r>
      <w:r>
        <w:t xml:space="preserve">ed </w:t>
      </w:r>
      <w:r>
        <w:t xml:space="preserve">Accurate’s demurrer </w:t>
      </w:r>
      <w:r>
        <w:t>(</w:t>
      </w:r>
      <w:r>
        <w:t xml:space="preserve">as to </w:t>
      </w:r>
      <w:r>
        <w:t xml:space="preserve">Kemp’s </w:t>
      </w:r>
      <w:r>
        <w:t xml:space="preserve">ICRAA </w:t>
      </w:r>
      <w:r>
        <w:t xml:space="preserve">cause of </w:t>
      </w:r>
      <w:r>
        <w:t>action</w:t>
      </w:r>
      <w:r>
        <w:t>) and</w:t>
      </w:r>
      <w:r w:rsidRPr="00BF598D">
        <w:t xml:space="preserve"> </w:t>
      </w:r>
      <w:r>
        <w:t xml:space="preserve">direct the </w:t>
      </w:r>
      <w:r>
        <w:t xml:space="preserve">trial </w:t>
      </w:r>
      <w:r>
        <w:t xml:space="preserve">court to </w:t>
      </w:r>
      <w:r>
        <w:t xml:space="preserve">now </w:t>
      </w:r>
      <w:r w:rsidRPr="00BF598D">
        <w:t>overrule Accurate’s demurrer</w:t>
      </w:r>
      <w:r>
        <w:t xml:space="preserve"> in its entirety.</w:t>
      </w:r>
    </w:p>
    <w:p w14:paraId="61AF07E7" w14:textId="77777777" w:rsidR="00A44C34" w:rsidRDefault="000F2DE2" w:rsidP="001E6E43">
      <w:pPr>
        <w:widowControl w:val="0"/>
        <w:tabs>
          <w:tab w:val="left" w:pos="1440"/>
          <w:tab w:val="left" w:leader="underscore" w:pos="5040"/>
        </w:tabs>
        <w:spacing w:line="480" w:lineRule="atLeast"/>
      </w:pPr>
      <w:r>
        <w:tab/>
      </w:r>
      <w:r>
        <w:t xml:space="preserve">When </w:t>
      </w:r>
      <w:r>
        <w:t>ruling</w:t>
      </w:r>
      <w:r>
        <w:t xml:space="preserve"> on Accurate’s demurrer</w:t>
      </w:r>
      <w:r>
        <w:t>, th</w:t>
      </w:r>
      <w:r>
        <w:t xml:space="preserve">e </w:t>
      </w:r>
      <w:r>
        <w:t xml:space="preserve">trial </w:t>
      </w:r>
      <w:r>
        <w:t xml:space="preserve">court </w:t>
      </w:r>
      <w:r>
        <w:t xml:space="preserve">agreed </w:t>
      </w:r>
      <w:r>
        <w:t xml:space="preserve">the ICRAA’s </w:t>
      </w:r>
      <w:r>
        <w:t xml:space="preserve">prohibition </w:t>
      </w:r>
      <w:r>
        <w:t xml:space="preserve">against </w:t>
      </w:r>
      <w:r>
        <w:t>the reporting of criminal convictions</w:t>
      </w:r>
      <w:r>
        <w:t xml:space="preserve"> </w:t>
      </w:r>
      <w:r>
        <w:t xml:space="preserve">in section 1786.18 (a)(7) </w:t>
      </w:r>
      <w:r>
        <w:lastRenderedPageBreak/>
        <w:t>c</w:t>
      </w:r>
      <w:r>
        <w:t>oncerns the</w:t>
      </w:r>
      <w:r>
        <w:t xml:space="preserve"> same </w:t>
      </w:r>
      <w:r>
        <w:t xml:space="preserve">subject matter </w:t>
      </w:r>
      <w:r>
        <w:t>as the FCRA</w:t>
      </w:r>
      <w:r>
        <w:t xml:space="preserve"> </w:t>
      </w:r>
      <w:r>
        <w:t xml:space="preserve">and </w:t>
      </w:r>
      <w:r>
        <w:t>was in effect on September 30, 1996.</w:t>
      </w:r>
      <w:r>
        <w:t xml:space="preserve">  </w:t>
      </w:r>
      <w:r>
        <w:t xml:space="preserve">The court </w:t>
      </w:r>
      <w:r>
        <w:t>further acknowledged</w:t>
      </w:r>
      <w:r>
        <w:t xml:space="preserve"> </w:t>
      </w:r>
      <w:r>
        <w:t xml:space="preserve">there is an exception </w:t>
      </w:r>
      <w:r>
        <w:t xml:space="preserve">to </w:t>
      </w:r>
      <w:r>
        <w:t xml:space="preserve">the </w:t>
      </w:r>
      <w:r>
        <w:t xml:space="preserve">federal </w:t>
      </w:r>
      <w:r>
        <w:t xml:space="preserve">preemption </w:t>
      </w:r>
      <w:r>
        <w:t xml:space="preserve">clause </w:t>
      </w:r>
      <w:r>
        <w:t xml:space="preserve">within </w:t>
      </w:r>
      <w:r>
        <w:t xml:space="preserve">the FCRA </w:t>
      </w:r>
      <w:r>
        <w:t xml:space="preserve">for </w:t>
      </w:r>
      <w:r>
        <w:t>a “S</w:t>
      </w:r>
      <w:r>
        <w:t xml:space="preserve">tate law </w:t>
      </w:r>
      <w:r>
        <w:t xml:space="preserve">in effect as of </w:t>
      </w:r>
      <w:r>
        <w:t>September 30, 1996</w:t>
      </w:r>
      <w:r>
        <w:t>.</w:t>
      </w:r>
      <w:r>
        <w:t xml:space="preserve">”  </w:t>
      </w:r>
      <w:r>
        <w:t>(</w:t>
      </w:r>
      <w:r>
        <w:t xml:space="preserve">See </w:t>
      </w:r>
      <w:r>
        <w:t>15 U.S.C. §</w:t>
      </w:r>
      <w:r>
        <w:t> </w:t>
      </w:r>
      <w:r>
        <w:t xml:space="preserve">1681t(b)(1)(E).)  </w:t>
      </w:r>
      <w:r>
        <w:t>Nonetheless</w:t>
      </w:r>
      <w:r>
        <w:t xml:space="preserve">, </w:t>
      </w:r>
      <w:r>
        <w:t xml:space="preserve">the court </w:t>
      </w:r>
      <w:r>
        <w:t>rul</w:t>
      </w:r>
      <w:r>
        <w:t>ed</w:t>
      </w:r>
      <w:r>
        <w:t xml:space="preserve">:  </w:t>
      </w:r>
      <w:r>
        <w:t xml:space="preserve">“The </w:t>
      </w:r>
      <w:r w:rsidRPr="00885005">
        <w:t>1998 amendments</w:t>
      </w:r>
      <w:r w:rsidRPr="00A103FD">
        <w:rPr>
          <w:i/>
          <w:iCs/>
        </w:rPr>
        <w:t xml:space="preserve"> </w:t>
      </w:r>
      <w:r>
        <w:t xml:space="preserve">made the report at issue actionable </w:t>
      </w:r>
      <w:r>
        <w:t xml:space="preserve">under the ICRAA.  As the amendments post-date </w:t>
      </w:r>
      <w:r>
        <w:t>the FC</w:t>
      </w:r>
      <w:r>
        <w:t>R</w:t>
      </w:r>
      <w:r>
        <w:t xml:space="preserve">A’s exception for </w:t>
      </w:r>
      <w:r>
        <w:t>pre-existing law, preemption applies.”</w:t>
      </w:r>
      <w:r>
        <w:t xml:space="preserve">  W</w:t>
      </w:r>
      <w:r>
        <w:t>e disagree.</w:t>
      </w:r>
    </w:p>
    <w:p w14:paraId="12CF0B27" w14:textId="77777777" w:rsidR="00FC411A" w:rsidRDefault="000F2DE2" w:rsidP="00510AE7">
      <w:pPr>
        <w:widowControl w:val="0"/>
        <w:tabs>
          <w:tab w:val="left" w:pos="1440"/>
          <w:tab w:val="left" w:leader="underscore" w:pos="5040"/>
        </w:tabs>
        <w:spacing w:line="480" w:lineRule="atLeast"/>
      </w:pPr>
      <w:r>
        <w:tab/>
      </w:r>
      <w:r>
        <w:t>A</w:t>
      </w:r>
      <w:r>
        <w:t>s discussed</w:t>
      </w:r>
      <w:r>
        <w:t xml:space="preserve">, </w:t>
      </w:r>
      <w:r>
        <w:t xml:space="preserve">the </w:t>
      </w:r>
      <w:r>
        <w:t xml:space="preserve">Legislature </w:t>
      </w:r>
      <w:r>
        <w:t xml:space="preserve">made minor grammatical changes </w:t>
      </w:r>
      <w:r>
        <w:t xml:space="preserve">in 1998 </w:t>
      </w:r>
      <w:r>
        <w:t xml:space="preserve">to </w:t>
      </w:r>
      <w:r>
        <w:t xml:space="preserve">section 1786.18 (a)(7), but </w:t>
      </w:r>
      <w:r>
        <w:t xml:space="preserve">the Legislature </w:t>
      </w:r>
      <w:r>
        <w:t xml:space="preserve">did not change </w:t>
      </w:r>
      <w:r>
        <w:t xml:space="preserve">the </w:t>
      </w:r>
      <w:r>
        <w:t xml:space="preserve">statutory </w:t>
      </w:r>
      <w:r>
        <w:t>pro</w:t>
      </w:r>
      <w:r>
        <w:t xml:space="preserve">hibition </w:t>
      </w:r>
      <w:r>
        <w:t xml:space="preserve">against </w:t>
      </w:r>
      <w:r>
        <w:t xml:space="preserve">the </w:t>
      </w:r>
      <w:r>
        <w:t xml:space="preserve">reporting </w:t>
      </w:r>
      <w:r>
        <w:t xml:space="preserve">of </w:t>
      </w:r>
      <w:r>
        <w:t>a conviction that predates a report by more than seven years</w:t>
      </w:r>
      <w:r>
        <w:t>.</w:t>
      </w:r>
      <w:r>
        <w:t xml:space="preserve">  </w:t>
      </w:r>
      <w:r>
        <w:t xml:space="preserve">In 1998, </w:t>
      </w:r>
      <w:r>
        <w:t xml:space="preserve">the </w:t>
      </w:r>
      <w:r>
        <w:t xml:space="preserve">Legislature </w:t>
      </w:r>
      <w:r>
        <w:t>also “</w:t>
      </w:r>
      <w:r>
        <w:t>amended IC</w:t>
      </w:r>
      <w:r>
        <w:t>RAA to eliminate the personal interview limitation and expand</w:t>
      </w:r>
      <w:r>
        <w:t>[ed]</w:t>
      </w:r>
      <w:r>
        <w:t xml:space="preserve"> the statute’s scope to include character information </w:t>
      </w:r>
      <w:r>
        <w:t xml:space="preserve">. . . </w:t>
      </w:r>
      <w:r>
        <w:t>‘obtained through any means.’”  (</w:t>
      </w:r>
      <w:r w:rsidRPr="008E5DBD">
        <w:rPr>
          <w:i/>
          <w:iCs/>
        </w:rPr>
        <w:t>Connor</w:t>
      </w:r>
      <w:r>
        <w:t xml:space="preserve">, </w:t>
      </w:r>
      <w:r w:rsidRPr="008E5DBD">
        <w:rPr>
          <w:i/>
          <w:iCs/>
        </w:rPr>
        <w:t>supra</w:t>
      </w:r>
      <w:r>
        <w:t>, 5 Cal.5th at p</w:t>
      </w:r>
      <w:r>
        <w:t>p</w:t>
      </w:r>
      <w:r>
        <w:t>. 1033-1034.)</w:t>
      </w:r>
      <w:r>
        <w:t xml:space="preserve">  </w:t>
      </w:r>
      <w:r>
        <w:t xml:space="preserve">The </w:t>
      </w:r>
      <w:r>
        <w:t xml:space="preserve">ICRAA </w:t>
      </w:r>
      <w:r>
        <w:t>now provides</w:t>
      </w:r>
      <w:r>
        <w:t xml:space="preserve"> (in a different s</w:t>
      </w:r>
      <w:r>
        <w:t>ection</w:t>
      </w:r>
      <w:r>
        <w:t xml:space="preserve"> from </w:t>
      </w:r>
      <w:r>
        <w:t xml:space="preserve">the </w:t>
      </w:r>
      <w:r>
        <w:t xml:space="preserve">limitation </w:t>
      </w:r>
      <w:r>
        <w:t xml:space="preserve">on </w:t>
      </w:r>
      <w:r>
        <w:t xml:space="preserve">the </w:t>
      </w:r>
      <w:r>
        <w:t xml:space="preserve">reporting of </w:t>
      </w:r>
      <w:r>
        <w:t xml:space="preserve">criminal </w:t>
      </w:r>
      <w:r>
        <w:t>convictions)</w:t>
      </w:r>
      <w:r>
        <w:t xml:space="preserve">:  “The term ‘investigative consumer report’ means a consumer report in which information on a consumer’s character, general reputation, personal characteristics, or mode of living </w:t>
      </w:r>
      <w:r w:rsidRPr="003C07FE">
        <w:rPr>
          <w:i/>
          <w:iCs/>
        </w:rPr>
        <w:t>is obtained t</w:t>
      </w:r>
      <w:r w:rsidRPr="003C07FE">
        <w:rPr>
          <w:i/>
          <w:iCs/>
        </w:rPr>
        <w:t>hrough any means</w:t>
      </w:r>
      <w:r>
        <w:t>.”  (§ 1786.2 (c)</w:t>
      </w:r>
      <w:r>
        <w:t>, italics added</w:t>
      </w:r>
      <w:r>
        <w:t>.)</w:t>
      </w:r>
    </w:p>
    <w:p w14:paraId="2BEB8FAA" w14:textId="77777777" w:rsidR="00D87FC9" w:rsidRDefault="000F2DE2" w:rsidP="003B29AC">
      <w:pPr>
        <w:widowControl w:val="0"/>
        <w:tabs>
          <w:tab w:val="left" w:pos="1440"/>
          <w:tab w:val="left" w:leader="underscore" w:pos="5040"/>
        </w:tabs>
        <w:spacing w:line="480" w:lineRule="atLeast"/>
      </w:pPr>
      <w:r>
        <w:tab/>
      </w:r>
      <w:r>
        <w:t>A</w:t>
      </w:r>
      <w:r>
        <w:t xml:space="preserve">ssuming </w:t>
      </w:r>
      <w:r>
        <w:t xml:space="preserve">the </w:t>
      </w:r>
      <w:r>
        <w:t xml:space="preserve">Legislature’s </w:t>
      </w:r>
      <w:r>
        <w:t xml:space="preserve">1998 amendments </w:t>
      </w:r>
      <w:r>
        <w:t xml:space="preserve">to the ICRAA </w:t>
      </w:r>
      <w:r>
        <w:t xml:space="preserve">made </w:t>
      </w:r>
      <w:r>
        <w:t xml:space="preserve">Accurate’s </w:t>
      </w:r>
      <w:r>
        <w:t xml:space="preserve">2020 </w:t>
      </w:r>
      <w:r>
        <w:t xml:space="preserve">report actionable </w:t>
      </w:r>
      <w:r>
        <w:t xml:space="preserve">(because the </w:t>
      </w:r>
      <w:r>
        <w:t xml:space="preserve">information about </w:t>
      </w:r>
      <w:r>
        <w:t xml:space="preserve">Kemp’s </w:t>
      </w:r>
      <w:r>
        <w:t xml:space="preserve">2011 criminal </w:t>
      </w:r>
      <w:r>
        <w:t xml:space="preserve">conviction </w:t>
      </w:r>
      <w:r>
        <w:t xml:space="preserve">presumably </w:t>
      </w:r>
      <w:r>
        <w:t xml:space="preserve">was </w:t>
      </w:r>
      <w:r>
        <w:t xml:space="preserve">not gathered </w:t>
      </w:r>
      <w:r>
        <w:t xml:space="preserve">through </w:t>
      </w:r>
      <w:r>
        <w:t>personal interviews)</w:t>
      </w:r>
      <w:r>
        <w:t xml:space="preserve">, </w:t>
      </w:r>
      <w:r>
        <w:t xml:space="preserve">that fact is not relevant to </w:t>
      </w:r>
      <w:r>
        <w:t>our</w:t>
      </w:r>
      <w:r>
        <w:t xml:space="preserve"> </w:t>
      </w:r>
      <w:r>
        <w:t xml:space="preserve">express </w:t>
      </w:r>
      <w:r>
        <w:t xml:space="preserve">preemption </w:t>
      </w:r>
      <w:r>
        <w:t>analysis</w:t>
      </w:r>
      <w:r>
        <w:t xml:space="preserve">.  </w:t>
      </w:r>
      <w:r>
        <w:t>Th</w:t>
      </w:r>
      <w:r>
        <w:t xml:space="preserve">is is because </w:t>
      </w:r>
      <w:r>
        <w:t>t</w:t>
      </w:r>
      <w:r>
        <w:t xml:space="preserve">he </w:t>
      </w:r>
      <w:r>
        <w:t xml:space="preserve">relevant </w:t>
      </w:r>
      <w:r>
        <w:t xml:space="preserve">preemption </w:t>
      </w:r>
      <w:r>
        <w:t>clause</w:t>
      </w:r>
      <w:r>
        <w:t xml:space="preserve"> in the FCRA </w:t>
      </w:r>
      <w:r>
        <w:t xml:space="preserve">only </w:t>
      </w:r>
      <w:r>
        <w:t xml:space="preserve">preempts </w:t>
      </w:r>
      <w:r>
        <w:t>a “</w:t>
      </w:r>
      <w:r w:rsidRPr="00273B38">
        <w:rPr>
          <w:i/>
          <w:iCs/>
        </w:rPr>
        <w:t>requirement or prohibition</w:t>
      </w:r>
      <w:r>
        <w:t xml:space="preserve"> </w:t>
      </w:r>
      <w:r>
        <w:t xml:space="preserve">. . . </w:t>
      </w:r>
      <w:r>
        <w:t>imposed under the laws of any State</w:t>
      </w:r>
      <w:r>
        <w:t>” with a carve</w:t>
      </w:r>
      <w:r>
        <w:t>-</w:t>
      </w:r>
      <w:r>
        <w:t xml:space="preserve">out for </w:t>
      </w:r>
      <w:r>
        <w:t xml:space="preserve">any state laws </w:t>
      </w:r>
      <w:r>
        <w:t>“</w:t>
      </w:r>
      <w:r>
        <w:t xml:space="preserve">in effect on </w:t>
      </w:r>
      <w:r>
        <w:t>September 30, 1996.</w:t>
      </w:r>
      <w:r>
        <w:t>”</w:t>
      </w:r>
      <w:r>
        <w:t xml:space="preserve">  </w:t>
      </w:r>
      <w:r>
        <w:t>(15 U.S.C. § 1681t(b)(1)(E), italics added.)</w:t>
      </w:r>
      <w:r>
        <w:t xml:space="preserve">  </w:t>
      </w:r>
      <w:r>
        <w:t>A</w:t>
      </w:r>
      <w:r>
        <w:t xml:space="preserve">lthough the </w:t>
      </w:r>
      <w:r>
        <w:t xml:space="preserve">Legislature’s </w:t>
      </w:r>
      <w:r>
        <w:t>1998 ame</w:t>
      </w:r>
      <w:r>
        <w:t>ndment</w:t>
      </w:r>
      <w:r>
        <w:t xml:space="preserve"> changed the definition of a </w:t>
      </w:r>
      <w:r>
        <w:t>“</w:t>
      </w:r>
      <w:r>
        <w:t>i</w:t>
      </w:r>
      <w:r>
        <w:t xml:space="preserve">nvestigative </w:t>
      </w:r>
      <w:r>
        <w:t>c</w:t>
      </w:r>
      <w:r>
        <w:t xml:space="preserve">onsumer </w:t>
      </w:r>
      <w:r>
        <w:t>r</w:t>
      </w:r>
      <w:r>
        <w:t xml:space="preserve">eport” </w:t>
      </w:r>
      <w:r>
        <w:t>within the ICRAA</w:t>
      </w:r>
      <w:r>
        <w:t xml:space="preserve">, </w:t>
      </w:r>
      <w:r>
        <w:t xml:space="preserve">and arguably </w:t>
      </w:r>
      <w:r>
        <w:t xml:space="preserve">permitted Kemp to </w:t>
      </w:r>
      <w:r>
        <w:t xml:space="preserve">bring the instant </w:t>
      </w:r>
      <w:r>
        <w:t>cause of action</w:t>
      </w:r>
      <w:r>
        <w:t xml:space="preserve">, </w:t>
      </w:r>
      <w:r>
        <w:t xml:space="preserve">the creation of </w:t>
      </w:r>
      <w:r>
        <w:t xml:space="preserve">a </w:t>
      </w:r>
      <w:r>
        <w:t xml:space="preserve">private </w:t>
      </w:r>
      <w:r>
        <w:t xml:space="preserve">cause of action </w:t>
      </w:r>
      <w:r>
        <w:t xml:space="preserve">is not a </w:t>
      </w:r>
      <w:r w:rsidRPr="00F35539">
        <w:rPr>
          <w:i/>
          <w:iCs/>
        </w:rPr>
        <w:t>requirement</w:t>
      </w:r>
      <w:r>
        <w:t xml:space="preserve"> </w:t>
      </w:r>
      <w:r>
        <w:t xml:space="preserve">or a </w:t>
      </w:r>
      <w:r w:rsidRPr="00F35539">
        <w:rPr>
          <w:i/>
          <w:iCs/>
        </w:rPr>
        <w:t>prohibition</w:t>
      </w:r>
      <w:r>
        <w:t xml:space="preserve"> </w:t>
      </w:r>
      <w:r>
        <w:t xml:space="preserve">imposed </w:t>
      </w:r>
      <w:r>
        <w:t xml:space="preserve">under California </w:t>
      </w:r>
      <w:r>
        <w:t>law.</w:t>
      </w:r>
    </w:p>
    <w:p w14:paraId="06F344F4" w14:textId="77777777" w:rsidR="00565DE6" w:rsidRDefault="000F2DE2" w:rsidP="00785C25">
      <w:pPr>
        <w:widowControl w:val="0"/>
        <w:tabs>
          <w:tab w:val="left" w:pos="1440"/>
          <w:tab w:val="left" w:leader="underscore" w:pos="5040"/>
        </w:tabs>
        <w:spacing w:line="480" w:lineRule="atLeast"/>
      </w:pPr>
      <w:r>
        <w:tab/>
      </w:r>
      <w:r>
        <w:t>“</w:t>
      </w:r>
      <w:r>
        <w:t>A</w:t>
      </w:r>
      <w:r>
        <w:t xml:space="preserve"> </w:t>
      </w:r>
      <w:r>
        <w:t>requirement is a rule of law that must be obeyed</w:t>
      </w:r>
      <w:r>
        <w:t xml:space="preserve"> . . . </w:t>
      </w:r>
      <w:r>
        <w:t xml:space="preserve">.” </w:t>
      </w:r>
      <w:r>
        <w:t xml:space="preserve"> </w:t>
      </w:r>
      <w:r>
        <w:t>(</w:t>
      </w:r>
      <w:r w:rsidRPr="005A0A37">
        <w:rPr>
          <w:i/>
          <w:iCs/>
        </w:rPr>
        <w:t xml:space="preserve">Bates v. Dow </w:t>
      </w:r>
      <w:r w:rsidRPr="005A0A37">
        <w:rPr>
          <w:i/>
          <w:iCs/>
        </w:rPr>
        <w:lastRenderedPageBreak/>
        <w:t>Agrosciences LLC</w:t>
      </w:r>
      <w:r w:rsidRPr="005A0A37">
        <w:rPr>
          <w:i/>
          <w:iCs/>
        </w:rPr>
        <w:t xml:space="preserve"> </w:t>
      </w:r>
      <w:r>
        <w:t xml:space="preserve">(2005) </w:t>
      </w:r>
      <w:r>
        <w:t xml:space="preserve">544 </w:t>
      </w:r>
      <w:r>
        <w:t>U.S. 431, 445</w:t>
      </w:r>
      <w:r>
        <w:t>.</w:t>
      </w:r>
      <w:r>
        <w:t>)</w:t>
      </w:r>
      <w:r>
        <w:t xml:space="preserve">  </w:t>
      </w:r>
      <w:r>
        <w:t>A</w:t>
      </w:r>
      <w:r>
        <w:t xml:space="preserve"> </w:t>
      </w:r>
      <w:r>
        <w:t xml:space="preserve">“prohibition” is </w:t>
      </w:r>
      <w:r>
        <w:t>defined as</w:t>
      </w:r>
      <w:r>
        <w:t xml:space="preserve">:  </w:t>
      </w:r>
      <w:r>
        <w:t>“</w:t>
      </w:r>
      <w:r>
        <w:t xml:space="preserve">An act or </w:t>
      </w:r>
      <w:r>
        <w:t xml:space="preserve">law </w:t>
      </w:r>
      <w:r>
        <w:t>prohibiting something</w:t>
      </w:r>
      <w:r>
        <w:t xml:space="preserve"> . . . </w:t>
      </w:r>
      <w:r>
        <w:t xml:space="preserve">.”  </w:t>
      </w:r>
      <w:r>
        <w:t>(Black’s Law Dictionary (6th ed. 1990) p. 1</w:t>
      </w:r>
      <w:r>
        <w:t>2</w:t>
      </w:r>
      <w:r>
        <w:t>1</w:t>
      </w:r>
      <w:r>
        <w:t>2</w:t>
      </w:r>
      <w:r>
        <w:t xml:space="preserve">, col. </w:t>
      </w:r>
      <w:r>
        <w:t>1</w:t>
      </w:r>
      <w:r>
        <w:t xml:space="preserve">.)  </w:t>
      </w:r>
      <w:r>
        <w:t xml:space="preserve">“In contrast, under California law, a remedy creates no rule of law to be obeyed; a remedy simply </w:t>
      </w:r>
      <w:r w:rsidRPr="00A155A4">
        <w:rPr>
          <w:i/>
          <w:iCs/>
        </w:rPr>
        <w:t>redr</w:t>
      </w:r>
      <w:r w:rsidRPr="00A155A4">
        <w:rPr>
          <w:i/>
          <w:iCs/>
        </w:rPr>
        <w:t>esses</w:t>
      </w:r>
      <w:r>
        <w:t xml:space="preserve"> a violation of a rule of law.</w:t>
      </w:r>
      <w:r>
        <w:t>”  (</w:t>
      </w:r>
      <w:r w:rsidRPr="00831A8A">
        <w:rPr>
          <w:i/>
          <w:iCs/>
        </w:rPr>
        <w:t>Rex v. Chase Home Finance LLC</w:t>
      </w:r>
      <w:r>
        <w:t xml:space="preserve"> (C.D.Cal. 2012) 905 F.Supp.2d 1111, 1153</w:t>
      </w:r>
      <w:r>
        <w:t xml:space="preserve">.)  </w:t>
      </w:r>
      <w:r>
        <w:t xml:space="preserve">“We </w:t>
      </w:r>
      <w:r>
        <w:t>presume that if Congress had intended to preempt such state law remedies, it would have expressly so stated</w:t>
      </w:r>
      <w:r>
        <w:t>.</w:t>
      </w:r>
      <w:r>
        <w:t>”</w:t>
      </w:r>
      <w:r>
        <w:t xml:space="preserve"> </w:t>
      </w:r>
      <w:r>
        <w:t xml:space="preserve"> (</w:t>
      </w:r>
      <w:r>
        <w:t xml:space="preserve">See </w:t>
      </w:r>
      <w:r w:rsidRPr="00C402F7">
        <w:rPr>
          <w:i/>
          <w:iCs/>
        </w:rPr>
        <w:t xml:space="preserve">Spielholz v. </w:t>
      </w:r>
      <w:r w:rsidRPr="00C402F7">
        <w:rPr>
          <w:i/>
          <w:iCs/>
        </w:rPr>
        <w:t>Superior Court</w:t>
      </w:r>
      <w:r>
        <w:t xml:space="preserve"> (2001) 86 Cal.App.4th 1366, 1374 </w:t>
      </w:r>
      <w:r>
        <w:t>[</w:t>
      </w:r>
      <w:r>
        <w:t xml:space="preserve">a plaintiff’s monetary award under state law was not preempted by a </w:t>
      </w:r>
      <w:r>
        <w:t>federal regulation</w:t>
      </w:r>
      <w:r>
        <w:t xml:space="preserve">]; see also </w:t>
      </w:r>
      <w:r w:rsidRPr="000B0A6C">
        <w:rPr>
          <w:i/>
          <w:iCs/>
        </w:rPr>
        <w:t>Sanai v. Saltz</w:t>
      </w:r>
      <w:r>
        <w:t xml:space="preserve"> (2009) 170 Cal.App.4th 746</w:t>
      </w:r>
      <w:r>
        <w:t>, 7</w:t>
      </w:r>
      <w:r>
        <w:t xml:space="preserve">77-778 </w:t>
      </w:r>
      <w:r>
        <w:t>[</w:t>
      </w:r>
      <w:r>
        <w:t xml:space="preserve">a </w:t>
      </w:r>
      <w:r>
        <w:t>C</w:t>
      </w:r>
      <w:r>
        <w:t>C</w:t>
      </w:r>
      <w:r>
        <w:t>RA</w:t>
      </w:r>
      <w:r>
        <w:t xml:space="preserve">A </w:t>
      </w:r>
      <w:r>
        <w:t xml:space="preserve">provision creating </w:t>
      </w:r>
      <w:r>
        <w:t xml:space="preserve">a </w:t>
      </w:r>
      <w:r>
        <w:t xml:space="preserve">private cause of action for </w:t>
      </w:r>
      <w:r>
        <w:t xml:space="preserve">its </w:t>
      </w:r>
      <w:r>
        <w:t>enforcement d</w:t>
      </w:r>
      <w:r>
        <w:t xml:space="preserve">oes </w:t>
      </w:r>
      <w:r>
        <w:t xml:space="preserve">not impose any </w:t>
      </w:r>
      <w:r>
        <w:t>“‘</w:t>
      </w:r>
      <w:r>
        <w:t>requirement or prohibition</w:t>
      </w:r>
      <w:r>
        <w:t>”’</w:t>
      </w:r>
      <w:r>
        <w:t xml:space="preserve"> </w:t>
      </w:r>
      <w:r>
        <w:t xml:space="preserve">for purposes of preemption </w:t>
      </w:r>
      <w:r>
        <w:t xml:space="preserve">analysis under the </w:t>
      </w:r>
      <w:r>
        <w:t>FCRA</w:t>
      </w:r>
      <w:r>
        <w:t xml:space="preserve">, </w:t>
      </w:r>
      <w:r>
        <w:t xml:space="preserve">it merely authorizes a consumer to bring an action against the person </w:t>
      </w:r>
      <w:r>
        <w:t xml:space="preserve">or entity </w:t>
      </w:r>
      <w:r>
        <w:t>responsible for the injury, is procedural only</w:t>
      </w:r>
      <w:r>
        <w:t xml:space="preserve">, </w:t>
      </w:r>
      <w:r>
        <w:t>and there</w:t>
      </w:r>
      <w:r>
        <w:t>fore is not covered by the preemption language of the FCRA</w:t>
      </w:r>
      <w:r>
        <w:t>].)</w:t>
      </w:r>
    </w:p>
    <w:p w14:paraId="3DA8F019" w14:textId="77777777" w:rsidR="00C27E5F" w:rsidRDefault="000F2DE2" w:rsidP="00510AE7">
      <w:pPr>
        <w:widowControl w:val="0"/>
        <w:tabs>
          <w:tab w:val="left" w:pos="1440"/>
          <w:tab w:val="left" w:leader="underscore" w:pos="5040"/>
        </w:tabs>
        <w:spacing w:line="480" w:lineRule="atLeast"/>
      </w:pPr>
      <w:r>
        <w:tab/>
      </w:r>
      <w:r>
        <w:t>Here, t</w:t>
      </w:r>
      <w:r>
        <w:t xml:space="preserve">he </w:t>
      </w:r>
      <w:r>
        <w:t>violation of law</w:t>
      </w:r>
      <w:r>
        <w:t xml:space="preserve"> </w:t>
      </w:r>
      <w:r>
        <w:t xml:space="preserve">Kemp is </w:t>
      </w:r>
      <w:r>
        <w:t>seek</w:t>
      </w:r>
      <w:r>
        <w:t xml:space="preserve">ing </w:t>
      </w:r>
      <w:r>
        <w:t xml:space="preserve">to redress </w:t>
      </w:r>
      <w:r>
        <w:t xml:space="preserve">in </w:t>
      </w:r>
      <w:r>
        <w:t xml:space="preserve">his </w:t>
      </w:r>
      <w:r>
        <w:t xml:space="preserve">ICRAA cause of action </w:t>
      </w:r>
      <w:r>
        <w:t xml:space="preserve">is </w:t>
      </w:r>
      <w:r>
        <w:t xml:space="preserve">Accurate’s </w:t>
      </w:r>
      <w:r>
        <w:t xml:space="preserve">alleged </w:t>
      </w:r>
      <w:r>
        <w:t xml:space="preserve">violation of </w:t>
      </w:r>
      <w:r>
        <w:t>section 1786.18 (a)(7)</w:t>
      </w:r>
      <w:r>
        <w:t xml:space="preserve">, </w:t>
      </w:r>
      <w:r>
        <w:t xml:space="preserve">which </w:t>
      </w:r>
      <w:r>
        <w:t>K</w:t>
      </w:r>
      <w:r>
        <w:t>emp asserts</w:t>
      </w:r>
      <w:r>
        <w:t xml:space="preserve"> Accurate </w:t>
      </w:r>
      <w:r>
        <w:t>viola</w:t>
      </w:r>
      <w:r>
        <w:t xml:space="preserve">ted </w:t>
      </w:r>
      <w:r>
        <w:t>in 20</w:t>
      </w:r>
      <w:r>
        <w:t>20</w:t>
      </w:r>
      <w:r>
        <w:t xml:space="preserve"> </w:t>
      </w:r>
      <w:r>
        <w:t xml:space="preserve">by </w:t>
      </w:r>
      <w:r>
        <w:t xml:space="preserve">reporting </w:t>
      </w:r>
      <w:r>
        <w:t xml:space="preserve">his </w:t>
      </w:r>
      <w:r>
        <w:t>2011</w:t>
      </w:r>
      <w:r>
        <w:t xml:space="preserve"> </w:t>
      </w:r>
      <w:r>
        <w:t>conviction</w:t>
      </w:r>
      <w:r>
        <w:t xml:space="preserve"> to his potential employer</w:t>
      </w:r>
      <w:r>
        <w:t xml:space="preserve">.  </w:t>
      </w:r>
      <w:r>
        <w:t>And again, th</w:t>
      </w:r>
      <w:r>
        <w:t xml:space="preserve">at </w:t>
      </w:r>
      <w:r>
        <w:t>state</w:t>
      </w:r>
      <w:r>
        <w:t xml:space="preserve"> law </w:t>
      </w:r>
      <w:r w:rsidRPr="00E76556">
        <w:rPr>
          <w:i/>
          <w:iCs/>
        </w:rPr>
        <w:t>prohibition</w:t>
      </w:r>
      <w:r>
        <w:t xml:space="preserve"> </w:t>
      </w:r>
      <w:r>
        <w:t xml:space="preserve">is </w:t>
      </w:r>
      <w:r>
        <w:t xml:space="preserve">not preempted </w:t>
      </w:r>
      <w:r>
        <w:t xml:space="preserve">by </w:t>
      </w:r>
      <w:r>
        <w:t>the FCRA</w:t>
      </w:r>
      <w:r>
        <w:t xml:space="preserve"> </w:t>
      </w:r>
      <w:r>
        <w:t>because</w:t>
      </w:r>
      <w:r>
        <w:t xml:space="preserve"> </w:t>
      </w:r>
      <w:r>
        <w:t xml:space="preserve">section 1786.18 (a)(7) </w:t>
      </w:r>
      <w:r>
        <w:t xml:space="preserve">of the ICRAA </w:t>
      </w:r>
      <w:r>
        <w:t>w</w:t>
      </w:r>
      <w:r>
        <w:t>as in effect on September 30, 1996</w:t>
      </w:r>
      <w:r>
        <w:t>, and therefore was ex</w:t>
      </w:r>
      <w:r>
        <w:t xml:space="preserve">empted by Congress from </w:t>
      </w:r>
      <w:r>
        <w:t>federal preemption</w:t>
      </w:r>
      <w:r>
        <w:t>.</w:t>
      </w:r>
      <w:r>
        <w:t xml:space="preserve">  (See 15 U.S.C. § 1681t(b)(1)(E).)</w:t>
      </w:r>
    </w:p>
    <w:p w14:paraId="150FD669" w14:textId="77777777" w:rsidR="001356EE" w:rsidRDefault="000F2DE2" w:rsidP="00A70067">
      <w:pPr>
        <w:widowControl w:val="0"/>
        <w:tabs>
          <w:tab w:val="left" w:pos="1440"/>
          <w:tab w:val="left" w:leader="underscore" w:pos="5040"/>
        </w:tabs>
        <w:spacing w:line="480" w:lineRule="atLeast"/>
      </w:pPr>
      <w:r>
        <w:tab/>
        <w:t xml:space="preserve">“In making this determination, we are assisted by the strong presumption against displacement of state law that applies in the preemption context.  That presumption applies not only to the existence, </w:t>
      </w:r>
      <w:r>
        <w:t>but also to the extent, of federal preemption.  [</w:t>
      </w:r>
      <w:r>
        <w:t xml:space="preserve">Citation.] </w:t>
      </w:r>
      <w:r>
        <w:t xml:space="preserve"> </w:t>
      </w:r>
      <w:r>
        <w:t xml:space="preserve">Because of it, </w:t>
      </w:r>
      <w:r>
        <w:t>‘</w:t>
      </w:r>
      <w:r>
        <w:t>courts should narrowly interpret the scope of Congress</w:t>
      </w:r>
      <w:r>
        <w:t>’</w:t>
      </w:r>
      <w:r>
        <w:t xml:space="preserve">s </w:t>
      </w:r>
      <w:r>
        <w:t>“</w:t>
      </w:r>
      <w:r>
        <w:t>intended invalidation of state law</w:t>
      </w:r>
      <w:r>
        <w:t>”</w:t>
      </w:r>
      <w:r>
        <w:t xml:space="preserve"> whenever possible.</w:t>
      </w:r>
      <w:r>
        <w:t>’</w:t>
      </w:r>
      <w:r>
        <w:t xml:space="preserve">” </w:t>
      </w:r>
      <w:r>
        <w:t xml:space="preserve"> (</w:t>
      </w:r>
      <w:r w:rsidRPr="008B756B">
        <w:rPr>
          <w:i/>
          <w:iCs/>
        </w:rPr>
        <w:t>Brown v. Mortensen</w:t>
      </w:r>
      <w:r>
        <w:t xml:space="preserve"> (2011) 51 Cal.4th 1052, 1064</w:t>
      </w:r>
      <w:r>
        <w:t xml:space="preserve"> [</w:t>
      </w:r>
      <w:r>
        <w:t xml:space="preserve">holding that </w:t>
      </w:r>
      <w:r>
        <w:t xml:space="preserve">the </w:t>
      </w:r>
      <w:r>
        <w:t xml:space="preserve">FCRA did not preempt </w:t>
      </w:r>
      <w:r>
        <w:t xml:space="preserve">CCRAA </w:t>
      </w:r>
      <w:r>
        <w:t xml:space="preserve">claims </w:t>
      </w:r>
      <w:r>
        <w:t>based on the disclosure of medical information to reporting agencies]</w:t>
      </w:r>
      <w:r>
        <w:t>.)</w:t>
      </w:r>
    </w:p>
    <w:p w14:paraId="1BA14021" w14:textId="77777777" w:rsidR="006A2815" w:rsidRDefault="000F2DE2" w:rsidP="00BC50A9">
      <w:pPr>
        <w:widowControl w:val="0"/>
        <w:tabs>
          <w:tab w:val="left" w:pos="1440"/>
          <w:tab w:val="left" w:leader="underscore" w:pos="5040"/>
        </w:tabs>
        <w:spacing w:line="480" w:lineRule="atLeast"/>
      </w:pPr>
      <w:r>
        <w:tab/>
      </w:r>
      <w:r>
        <w:t xml:space="preserve">Accurate </w:t>
      </w:r>
      <w:r>
        <w:t>contends</w:t>
      </w:r>
      <w:r>
        <w:t xml:space="preserve">:  “It is not uncommon for massive federal statutes like </w:t>
      </w:r>
      <w:r>
        <w:lastRenderedPageBreak/>
        <w:t xml:space="preserve">the FCRA to mitigate the effects </w:t>
      </w:r>
      <w:r>
        <w:t xml:space="preserve">of their robust preemption </w:t>
      </w:r>
      <w:r>
        <w:t xml:space="preserve">provisions </w:t>
      </w:r>
      <w:r>
        <w:t xml:space="preserve">with so-called savings clauses like </w:t>
      </w:r>
      <w:r>
        <w:t xml:space="preserve">. . . </w:t>
      </w:r>
      <w:r>
        <w:t>‘</w:t>
      </w:r>
      <w:r>
        <w:t xml:space="preserve">this subparagraph </w:t>
      </w:r>
      <w:r>
        <w:t xml:space="preserve">shall </w:t>
      </w:r>
      <w:r>
        <w:t>not apply to any State law in effect on September 30, 1996.</w:t>
      </w:r>
      <w:r>
        <w:t>’</w:t>
      </w:r>
      <w:r>
        <w:t xml:space="preserve">” </w:t>
      </w:r>
      <w:r>
        <w:t xml:space="preserve"> </w:t>
      </w:r>
      <w:r>
        <w:t>(</w:t>
      </w:r>
      <w:r>
        <w:t xml:space="preserve">See </w:t>
      </w:r>
      <w:r>
        <w:t>15 U.S.C. § 1681t(b)(1)(E).)</w:t>
      </w:r>
      <w:r>
        <w:t xml:space="preserve">  </w:t>
      </w:r>
      <w:r>
        <w:t xml:space="preserve">Accurate argues:  “However, the </w:t>
      </w:r>
      <w:r>
        <w:t xml:space="preserve">United States Supreme </w:t>
      </w:r>
      <w:r>
        <w:t xml:space="preserve">reads these savings clauses </w:t>
      </w:r>
      <w:r>
        <w:t>narrowly, recognizing that they evince Congress’s intent to disavow field preemption, but not necessarily to preserve state laws that directly conflict with federal objectives.</w:t>
      </w:r>
      <w:r>
        <w:t xml:space="preserve">”  </w:t>
      </w:r>
      <w:r>
        <w:t xml:space="preserve">Accurate </w:t>
      </w:r>
      <w:r>
        <w:t xml:space="preserve">further </w:t>
      </w:r>
      <w:r>
        <w:t>argue</w:t>
      </w:r>
      <w:r>
        <w:t xml:space="preserve">s </w:t>
      </w:r>
      <w:r>
        <w:t xml:space="preserve">section 1786.18 (a)(7) of </w:t>
      </w:r>
      <w:r>
        <w:t xml:space="preserve">the </w:t>
      </w:r>
      <w:r>
        <w:t>ICRAA</w:t>
      </w:r>
      <w:r>
        <w:t xml:space="preserve">, which prohibits </w:t>
      </w:r>
      <w:r>
        <w:t xml:space="preserve">an </w:t>
      </w:r>
      <w:r>
        <w:t>agenc</w:t>
      </w:r>
      <w:r>
        <w:t xml:space="preserve">y </w:t>
      </w:r>
      <w:r>
        <w:t xml:space="preserve">from </w:t>
      </w:r>
      <w:r>
        <w:t xml:space="preserve">reporting </w:t>
      </w:r>
      <w:r>
        <w:t>a conviction that predates a</w:t>
      </w:r>
      <w:r>
        <w:t xml:space="preserve"> </w:t>
      </w:r>
      <w:r>
        <w:t xml:space="preserve">report by more than </w:t>
      </w:r>
      <w:r>
        <w:t>seven</w:t>
      </w:r>
      <w:r>
        <w:t xml:space="preserve"> </w:t>
      </w:r>
      <w:r>
        <w:t>yea</w:t>
      </w:r>
      <w:r>
        <w:t>rs</w:t>
      </w:r>
      <w:r>
        <w:t xml:space="preserve"> “directly conflicts with” the FCRA, which allows </w:t>
      </w:r>
      <w:r>
        <w:t xml:space="preserve">for </w:t>
      </w:r>
      <w:r>
        <w:t xml:space="preserve">the </w:t>
      </w:r>
      <w:r>
        <w:t>reporting of such convictions.</w:t>
      </w:r>
      <w:r>
        <w:t xml:space="preserve">  </w:t>
      </w:r>
      <w:r>
        <w:t>Accurate is mistaken.</w:t>
      </w:r>
    </w:p>
    <w:p w14:paraId="1425FE7E" w14:textId="77777777" w:rsidR="006457A9" w:rsidRDefault="000F2DE2" w:rsidP="006A2815">
      <w:pPr>
        <w:widowControl w:val="0"/>
        <w:tabs>
          <w:tab w:val="left" w:pos="1440"/>
          <w:tab w:val="left" w:leader="underscore" w:pos="5040"/>
        </w:tabs>
        <w:spacing w:line="480" w:lineRule="atLeast"/>
      </w:pPr>
      <w:r>
        <w:tab/>
      </w:r>
      <w:r>
        <w:t xml:space="preserve">The ICRAA prohibition </w:t>
      </w:r>
      <w:r>
        <w:t>in section 1786.18 (a</w:t>
      </w:r>
      <w:r>
        <w:t xml:space="preserve">)(7) </w:t>
      </w:r>
      <w:r>
        <w:t xml:space="preserve">does not </w:t>
      </w:r>
      <w:r>
        <w:t>d</w:t>
      </w:r>
      <w:r>
        <w:t xml:space="preserve">irectly </w:t>
      </w:r>
      <w:r>
        <w:t>conflict</w:t>
      </w:r>
      <w:r>
        <w:t xml:space="preserve"> with </w:t>
      </w:r>
      <w:r>
        <w:t>the FCRA</w:t>
      </w:r>
      <w:r>
        <w:t xml:space="preserve"> under well</w:t>
      </w:r>
      <w:r>
        <w:t>-</w:t>
      </w:r>
      <w:r>
        <w:t>settled principles of conflict preemption</w:t>
      </w:r>
      <w:r>
        <w:t>.</w:t>
      </w:r>
      <w:r>
        <w:t xml:space="preserve">  </w:t>
      </w:r>
      <w:r>
        <w:t xml:space="preserve">“Under the </w:t>
      </w:r>
      <w:r>
        <w:t>s</w:t>
      </w:r>
      <w:r>
        <w:t xml:space="preserve">upremacy </w:t>
      </w:r>
      <w:r>
        <w:t>c</w:t>
      </w:r>
      <w:r>
        <w:t xml:space="preserve">lause, state law is preempted only if it </w:t>
      </w:r>
      <w:r>
        <w:t>‘</w:t>
      </w:r>
      <w:r>
        <w:t xml:space="preserve">is in direct conflict with federal law such that compliance with both is impossible, or the state law is </w:t>
      </w:r>
      <w:r>
        <w:t>an obstacle to the accomplishment of the full purposes and objectives of Congress</w:t>
      </w:r>
      <w:r>
        <w:t xml:space="preserve"> . . . .’</w:t>
      </w:r>
      <w:r>
        <w:t>”</w:t>
      </w:r>
      <w:r>
        <w:t xml:space="preserve">  (</w:t>
      </w:r>
      <w:r w:rsidRPr="003466CE">
        <w:rPr>
          <w:i/>
          <w:iCs/>
        </w:rPr>
        <w:t>Cisneros v. U.D. Registry, Inc.</w:t>
      </w:r>
      <w:r w:rsidRPr="00A155A4">
        <w:t xml:space="preserve">, </w:t>
      </w:r>
      <w:r>
        <w:rPr>
          <w:i/>
          <w:iCs/>
        </w:rPr>
        <w:t>supra</w:t>
      </w:r>
      <w:r w:rsidRPr="00A155A4">
        <w:t>,</w:t>
      </w:r>
      <w:r>
        <w:rPr>
          <w:i/>
          <w:iCs/>
        </w:rPr>
        <w:t xml:space="preserve"> </w:t>
      </w:r>
      <w:r>
        <w:t xml:space="preserve">39 Cal.App.4th </w:t>
      </w:r>
      <w:r>
        <w:t xml:space="preserve">at p. </w:t>
      </w:r>
      <w:r>
        <w:t>577</w:t>
      </w:r>
      <w:r>
        <w:t xml:space="preserve">.)  </w:t>
      </w:r>
      <w:r w:rsidRPr="00397FA4">
        <w:t xml:space="preserve">For example, </w:t>
      </w:r>
      <w:r>
        <w:t xml:space="preserve">impossibility </w:t>
      </w:r>
      <w:r w:rsidRPr="00397FA4">
        <w:t xml:space="preserve">conflict preemption would occur if a federal law forbade </w:t>
      </w:r>
      <w:r>
        <w:t>the sellin</w:t>
      </w:r>
      <w:r>
        <w:t xml:space="preserve">g of </w:t>
      </w:r>
      <w:r>
        <w:t xml:space="preserve">avocados </w:t>
      </w:r>
      <w:r>
        <w:t xml:space="preserve">with </w:t>
      </w:r>
      <w:r>
        <w:t xml:space="preserve">more than </w:t>
      </w:r>
      <w:r>
        <w:t xml:space="preserve">seven </w:t>
      </w:r>
      <w:r>
        <w:t xml:space="preserve">percent </w:t>
      </w:r>
      <w:r>
        <w:t>oil</w:t>
      </w:r>
      <w:r>
        <w:t xml:space="preserve">, </w:t>
      </w:r>
      <w:r w:rsidRPr="00397FA4">
        <w:t xml:space="preserve">while a state law </w:t>
      </w:r>
      <w:r>
        <w:t xml:space="preserve">required </w:t>
      </w:r>
      <w:r>
        <w:t xml:space="preserve">avocados </w:t>
      </w:r>
      <w:r>
        <w:t xml:space="preserve">to </w:t>
      </w:r>
      <w:r>
        <w:t xml:space="preserve">contain </w:t>
      </w:r>
      <w:r>
        <w:t xml:space="preserve">at least </w:t>
      </w:r>
      <w:r>
        <w:t xml:space="preserve">eight </w:t>
      </w:r>
      <w:r>
        <w:t xml:space="preserve">percent </w:t>
      </w:r>
      <w:r>
        <w:t>oil</w:t>
      </w:r>
      <w:r>
        <w:t xml:space="preserve">.  </w:t>
      </w:r>
      <w:r>
        <w:t>(</w:t>
      </w:r>
      <w:r>
        <w:t xml:space="preserve">See </w:t>
      </w:r>
      <w:r w:rsidRPr="0097631E">
        <w:rPr>
          <w:i/>
          <w:iCs/>
        </w:rPr>
        <w:t xml:space="preserve">Florida Lime &amp; Avocado Growers, Inc. v. Paul </w:t>
      </w:r>
      <w:r w:rsidRPr="0097631E">
        <w:t>(1</w:t>
      </w:r>
      <w:r>
        <w:t xml:space="preserve">963) </w:t>
      </w:r>
      <w:r w:rsidRPr="0097631E">
        <w:t>373 U.S. 132, 14</w:t>
      </w:r>
      <w:r>
        <w:t>3</w:t>
      </w:r>
      <w:r>
        <w:t>.)</w:t>
      </w:r>
    </w:p>
    <w:p w14:paraId="10A0ECB6" w14:textId="77777777" w:rsidR="006163FA" w:rsidRDefault="000F2DE2" w:rsidP="00477691">
      <w:pPr>
        <w:widowControl w:val="0"/>
        <w:tabs>
          <w:tab w:val="left" w:pos="1440"/>
          <w:tab w:val="left" w:leader="underscore" w:pos="5040"/>
        </w:tabs>
        <w:spacing w:line="480" w:lineRule="atLeast"/>
      </w:pPr>
      <w:r>
        <w:tab/>
      </w:r>
      <w:r>
        <w:t xml:space="preserve">Here, </w:t>
      </w:r>
      <w:r>
        <w:t xml:space="preserve">it is possible </w:t>
      </w:r>
      <w:r>
        <w:t xml:space="preserve">for an agency </w:t>
      </w:r>
      <w:r>
        <w:t xml:space="preserve">to </w:t>
      </w:r>
      <w:r>
        <w:t xml:space="preserve">comply with </w:t>
      </w:r>
      <w:r>
        <w:t xml:space="preserve">section 1786.18 (a)(7) of </w:t>
      </w:r>
      <w:r>
        <w:t>the ICRAA</w:t>
      </w:r>
      <w:r>
        <w:t>—</w:t>
      </w:r>
      <w:r>
        <w:t>b</w:t>
      </w:r>
      <w:r>
        <w:t xml:space="preserve">y not reporting a </w:t>
      </w:r>
      <w:r>
        <w:t>consumer</w:t>
      </w:r>
      <w:r>
        <w:t xml:space="preserve">’s </w:t>
      </w:r>
      <w:r>
        <w:t xml:space="preserve">conviction </w:t>
      </w:r>
      <w:r>
        <w:t>that predates a</w:t>
      </w:r>
      <w:r>
        <w:t xml:space="preserve">n investigative </w:t>
      </w:r>
      <w:r>
        <w:t>report by more than seven years</w:t>
      </w:r>
      <w:r>
        <w:t>—</w:t>
      </w:r>
      <w:r>
        <w:t xml:space="preserve">without violating </w:t>
      </w:r>
      <w:r>
        <w:t xml:space="preserve">section </w:t>
      </w:r>
      <w:r>
        <w:t>1681c(a)(5</w:t>
      </w:r>
      <w:r>
        <w:t>)</w:t>
      </w:r>
      <w:r>
        <w:t xml:space="preserve"> of the FCRA</w:t>
      </w:r>
      <w:r>
        <w:t xml:space="preserve">, </w:t>
      </w:r>
      <w:r>
        <w:t xml:space="preserve">which </w:t>
      </w:r>
      <w:r w:rsidRPr="002438CB">
        <w:t xml:space="preserve">allows </w:t>
      </w:r>
      <w:r w:rsidRPr="002438CB">
        <w:t>for</w:t>
      </w:r>
      <w:r>
        <w:t>—</w:t>
      </w:r>
      <w:r w:rsidRPr="001F273A">
        <w:rPr>
          <w:i/>
          <w:iCs/>
        </w:rPr>
        <w:t xml:space="preserve">but does </w:t>
      </w:r>
      <w:r w:rsidRPr="002438CB">
        <w:rPr>
          <w:i/>
          <w:iCs/>
        </w:rPr>
        <w:t>not require</w:t>
      </w:r>
      <w:r>
        <w:rPr>
          <w:i/>
          <w:iCs/>
        </w:rPr>
        <w:t>—</w:t>
      </w:r>
      <w:r>
        <w:t>the reporting o</w:t>
      </w:r>
      <w:r>
        <w:t xml:space="preserve">f </w:t>
      </w:r>
      <w:r>
        <w:t xml:space="preserve">such </w:t>
      </w:r>
      <w:r>
        <w:t>convictions</w:t>
      </w:r>
      <w:r>
        <w:t>.</w:t>
      </w:r>
      <w:r>
        <w:rPr>
          <w:rStyle w:val="FootnoteReference"/>
        </w:rPr>
        <w:footnoteReference w:id="8"/>
      </w:r>
      <w:r>
        <w:rPr>
          <w:rStyle w:val="FootnoteReference"/>
        </w:rPr>
        <w:t xml:space="preserve"> </w:t>
      </w:r>
      <w:r>
        <w:t xml:space="preserve">  </w:t>
      </w:r>
      <w:r>
        <w:t>(</w:t>
      </w:r>
      <w:r>
        <w:t>S</w:t>
      </w:r>
      <w:r>
        <w:t>e</w:t>
      </w:r>
      <w:r>
        <w:t>e</w:t>
      </w:r>
      <w:r>
        <w:t xml:space="preserve">, </w:t>
      </w:r>
      <w:r>
        <w:t xml:space="preserve">e.g., </w:t>
      </w:r>
      <w:r w:rsidRPr="004D1982">
        <w:rPr>
          <w:i/>
          <w:iCs/>
        </w:rPr>
        <w:lastRenderedPageBreak/>
        <w:t>Mut</w:t>
      </w:r>
      <w:r w:rsidRPr="004D1982">
        <w:rPr>
          <w:i/>
          <w:iCs/>
        </w:rPr>
        <w:t xml:space="preserve">ual </w:t>
      </w:r>
      <w:r w:rsidRPr="004D1982">
        <w:rPr>
          <w:i/>
          <w:iCs/>
        </w:rPr>
        <w:t>Pharm</w:t>
      </w:r>
      <w:r w:rsidRPr="004D1982">
        <w:rPr>
          <w:i/>
          <w:iCs/>
        </w:rPr>
        <w:t xml:space="preserve">aceutical </w:t>
      </w:r>
      <w:r w:rsidRPr="004D1982">
        <w:rPr>
          <w:i/>
          <w:iCs/>
        </w:rPr>
        <w:t>Co</w:t>
      </w:r>
      <w:r>
        <w:rPr>
          <w:i/>
          <w:iCs/>
        </w:rPr>
        <w:t>mpany</w:t>
      </w:r>
      <w:r w:rsidRPr="004D1982">
        <w:rPr>
          <w:i/>
          <w:iCs/>
        </w:rPr>
        <w:t xml:space="preserve">, Inc. </w:t>
      </w:r>
      <w:r w:rsidRPr="004D1982">
        <w:rPr>
          <w:i/>
          <w:iCs/>
        </w:rPr>
        <w:t>v. Bartlett</w:t>
      </w:r>
      <w:r>
        <w:t xml:space="preserve"> (2013) </w:t>
      </w:r>
      <w:r>
        <w:t xml:space="preserve">570 U.S. 472, </w:t>
      </w:r>
      <w:r>
        <w:t>479-480 [</w:t>
      </w:r>
      <w:r w:rsidRPr="0047370F">
        <w:t xml:space="preserve">finding </w:t>
      </w:r>
      <w:r>
        <w:t xml:space="preserve">conflict preemption where </w:t>
      </w:r>
      <w:r w:rsidRPr="0047370F">
        <w:t xml:space="preserve">it </w:t>
      </w:r>
      <w:r>
        <w:t xml:space="preserve">was </w:t>
      </w:r>
      <w:r w:rsidRPr="0047370F">
        <w:t xml:space="preserve">impossible for pharmaceutical companies manufacturing generic drugs to obey both a federal law </w:t>
      </w:r>
      <w:r w:rsidRPr="0047370F">
        <w:t>requiring the use of one label and a state law requiring the use of a different label at the same time</w:t>
      </w:r>
      <w:r>
        <w:t>]</w:t>
      </w:r>
      <w:r w:rsidRPr="0047370F">
        <w:t xml:space="preserve">; </w:t>
      </w:r>
      <w:r w:rsidRPr="00203C68">
        <w:rPr>
          <w:i/>
          <w:iCs/>
        </w:rPr>
        <w:t>Gade v. N</w:t>
      </w:r>
      <w:r w:rsidRPr="00203C68">
        <w:rPr>
          <w:i/>
          <w:iCs/>
        </w:rPr>
        <w:t xml:space="preserve">ational </w:t>
      </w:r>
      <w:r w:rsidRPr="00203C68">
        <w:rPr>
          <w:i/>
          <w:iCs/>
        </w:rPr>
        <w:t xml:space="preserve">Solid Wastes </w:t>
      </w:r>
      <w:r>
        <w:rPr>
          <w:i/>
          <w:iCs/>
        </w:rPr>
        <w:t xml:space="preserve">Management </w:t>
      </w:r>
      <w:r w:rsidRPr="00203C68">
        <w:rPr>
          <w:i/>
          <w:iCs/>
        </w:rPr>
        <w:t>Assoc</w:t>
      </w:r>
      <w:r>
        <w:rPr>
          <w:i/>
          <w:iCs/>
        </w:rPr>
        <w:t xml:space="preserve">iation </w:t>
      </w:r>
      <w:r>
        <w:t>(</w:t>
      </w:r>
      <w:r>
        <w:t xml:space="preserve">1992) </w:t>
      </w:r>
      <w:r w:rsidRPr="0047370F">
        <w:t xml:space="preserve">505 U.S. 88, 98 </w:t>
      </w:r>
      <w:r>
        <w:t>[</w:t>
      </w:r>
      <w:r w:rsidRPr="0047370F">
        <w:t xml:space="preserve">conflict preemption </w:t>
      </w:r>
      <w:r>
        <w:t xml:space="preserve">only </w:t>
      </w:r>
      <w:r w:rsidRPr="0047370F">
        <w:t xml:space="preserve">exists where the concomitant compliance with </w:t>
      </w:r>
      <w:r>
        <w:t>both</w:t>
      </w:r>
      <w:r>
        <w:t xml:space="preserve"> </w:t>
      </w:r>
      <w:r w:rsidRPr="0047370F">
        <w:t>federal and state regulations is impossible</w:t>
      </w:r>
      <w:r>
        <w:t>]</w:t>
      </w:r>
      <w:r>
        <w:t>.</w:t>
      </w:r>
      <w:r>
        <w:t>)</w:t>
      </w:r>
    </w:p>
    <w:p w14:paraId="08A5B9CB" w14:textId="77777777" w:rsidR="007249C5" w:rsidRDefault="000F2DE2" w:rsidP="001E56DA">
      <w:pPr>
        <w:widowControl w:val="0"/>
        <w:tabs>
          <w:tab w:val="left" w:pos="1440"/>
          <w:tab w:val="left" w:leader="underscore" w:pos="5040"/>
        </w:tabs>
        <w:spacing w:line="480" w:lineRule="atLeast"/>
      </w:pPr>
      <w:r>
        <w:tab/>
      </w:r>
      <w:r>
        <w:t>Fur</w:t>
      </w:r>
      <w:r>
        <w:t xml:space="preserve">ther, the ICRAA prohibition </w:t>
      </w:r>
      <w:r>
        <w:t xml:space="preserve">against the reporting of a conviction that predates a report by more than seven years </w:t>
      </w:r>
      <w:r>
        <w:t xml:space="preserve">is not </w:t>
      </w:r>
      <w:r>
        <w:t xml:space="preserve">an </w:t>
      </w:r>
      <w:r>
        <w:t>obstacle to the</w:t>
      </w:r>
      <w:r>
        <w:t xml:space="preserve"> purposes and objective</w:t>
      </w:r>
      <w:r>
        <w:t xml:space="preserve">s </w:t>
      </w:r>
      <w:r>
        <w:t>of Congress</w:t>
      </w:r>
      <w:r>
        <w:t>.  I</w:t>
      </w:r>
      <w:r>
        <w:t xml:space="preserve">ndeed, the ICRAA </w:t>
      </w:r>
      <w:r>
        <w:t xml:space="preserve">prohibition </w:t>
      </w:r>
      <w:r>
        <w:t xml:space="preserve">is </w:t>
      </w:r>
      <w:r>
        <w:t>entirely</w:t>
      </w:r>
      <w:r>
        <w:t xml:space="preserve"> consistent with </w:t>
      </w:r>
      <w:r>
        <w:t xml:space="preserve">the consumer protection </w:t>
      </w:r>
      <w:r>
        <w:t>goals</w:t>
      </w:r>
      <w:r>
        <w:t xml:space="preserve"> of the FCRA</w:t>
      </w:r>
      <w:r>
        <w:t xml:space="preserve">.  </w:t>
      </w:r>
      <w:r>
        <w:t>(See</w:t>
      </w:r>
      <w:r>
        <w:t xml:space="preserve"> </w:t>
      </w:r>
      <w:r w:rsidRPr="008E5DBD">
        <w:rPr>
          <w:i/>
          <w:iCs/>
        </w:rPr>
        <w:t>Connor</w:t>
      </w:r>
      <w:r>
        <w:t xml:space="preserve">, </w:t>
      </w:r>
      <w:r w:rsidRPr="008E5DBD">
        <w:rPr>
          <w:i/>
          <w:iCs/>
        </w:rPr>
        <w:t>supra</w:t>
      </w:r>
      <w:r>
        <w:t>, 5</w:t>
      </w:r>
      <w:r>
        <w:t> </w:t>
      </w:r>
      <w:r>
        <w:t xml:space="preserve">Cal.5th at p. 1032 [the CCRAA and the ICRAA were modeled after the FCRA and “were enacted to ensure that consumer reporting agencies </w:t>
      </w:r>
      <w:r>
        <w:t>‘exercise their grave responsibilities with fairness, impartiality, and a respect for the consumer’s right to privacy’”]</w:t>
      </w:r>
      <w:r>
        <w:t xml:space="preserve">; </w:t>
      </w:r>
      <w:bookmarkStart w:id="6" w:name="_Hlk117503155"/>
      <w:r w:rsidRPr="005A1977">
        <w:rPr>
          <w:i/>
          <w:iCs/>
        </w:rPr>
        <w:t>Cisneros v. U.D. Registry, Inc.</w:t>
      </w:r>
      <w:r w:rsidRPr="00A155A4">
        <w:t>,</w:t>
      </w:r>
      <w:r>
        <w:rPr>
          <w:i/>
          <w:iCs/>
        </w:rPr>
        <w:t xml:space="preserve"> supra</w:t>
      </w:r>
      <w:r w:rsidRPr="00A155A4">
        <w:t>,</w:t>
      </w:r>
      <w:r>
        <w:rPr>
          <w:i/>
          <w:iCs/>
        </w:rPr>
        <w:t xml:space="preserve"> </w:t>
      </w:r>
      <w:r>
        <w:t xml:space="preserve">39 Cal.App.4th </w:t>
      </w:r>
      <w:r>
        <w:t xml:space="preserve">at p. </w:t>
      </w:r>
      <w:r>
        <w:t>577 [“California’s decision to offer greater protection to the consumer</w:t>
      </w:r>
      <w:r>
        <w:t xml:space="preserve"> </w:t>
      </w:r>
      <w:r>
        <w:t>.</w:t>
      </w:r>
      <w:r>
        <w:t xml:space="preserve"> . . </w:t>
      </w:r>
      <w:r>
        <w:t>does not conflict with</w:t>
      </w:r>
      <w:r>
        <w:t>” the FCRA</w:t>
      </w:r>
      <w:bookmarkEnd w:id="6"/>
      <w:r>
        <w:t>]</w:t>
      </w:r>
      <w:r>
        <w:t xml:space="preserve">; </w:t>
      </w:r>
      <w:r w:rsidRPr="00192A76">
        <w:rPr>
          <w:i/>
          <w:iCs/>
        </w:rPr>
        <w:t>Gomon v. TRW, Inc.</w:t>
      </w:r>
      <w:r>
        <w:t xml:space="preserve"> (</w:t>
      </w:r>
      <w:r>
        <w:t xml:space="preserve">1994) </w:t>
      </w:r>
      <w:r>
        <w:t xml:space="preserve">28 </w:t>
      </w:r>
      <w:r>
        <w:t xml:space="preserve">Cal.App.4th 1161, 1173 </w:t>
      </w:r>
      <w:r>
        <w:t>[</w:t>
      </w:r>
      <w:r>
        <w:t xml:space="preserve">attorney </w:t>
      </w:r>
      <w:r>
        <w:t xml:space="preserve">fee provision in a state consumer protection statute </w:t>
      </w:r>
      <w:r>
        <w:t xml:space="preserve">was </w:t>
      </w:r>
      <w:r>
        <w:t xml:space="preserve">not preempted </w:t>
      </w:r>
      <w:r>
        <w:t xml:space="preserve">by federal law </w:t>
      </w:r>
      <w:r>
        <w:t xml:space="preserve">where it did not </w:t>
      </w:r>
      <w:r>
        <w:t>“</w:t>
      </w:r>
      <w:r>
        <w:t>conflict with the FCRA</w:t>
      </w:r>
      <w:r>
        <w:t xml:space="preserve">, nor </w:t>
      </w:r>
      <w:r>
        <w:t xml:space="preserve">is it </w:t>
      </w:r>
      <w:r>
        <w:t xml:space="preserve">an obstacle to </w:t>
      </w:r>
      <w:r>
        <w:t>[</w:t>
      </w:r>
      <w:r>
        <w:t>the FCRA</w:t>
      </w:r>
      <w:r>
        <w:t>’</w:t>
      </w:r>
      <w:r>
        <w:t>s</w:t>
      </w:r>
      <w:r>
        <w:t xml:space="preserve">] </w:t>
      </w:r>
      <w:r>
        <w:t>purpose</w:t>
      </w:r>
      <w:r>
        <w:t>s</w:t>
      </w:r>
      <w:r>
        <w:t xml:space="preserve"> and objectives”</w:t>
      </w:r>
      <w:r>
        <w:t>]</w:t>
      </w:r>
      <w:r>
        <w:t>.)</w:t>
      </w:r>
    </w:p>
    <w:p w14:paraId="58D552A6" w14:textId="77777777" w:rsidR="00B97288" w:rsidRDefault="000F2DE2" w:rsidP="008F4018">
      <w:pPr>
        <w:widowControl w:val="0"/>
        <w:tabs>
          <w:tab w:val="left" w:pos="1440"/>
          <w:tab w:val="left" w:leader="underscore" w:pos="5040"/>
        </w:tabs>
        <w:spacing w:line="480" w:lineRule="atLeast"/>
      </w:pPr>
      <w:r>
        <w:tab/>
      </w:r>
      <w:r>
        <w:t xml:space="preserve">In </w:t>
      </w:r>
      <w:r>
        <w:t xml:space="preserve">conclusion, </w:t>
      </w:r>
      <w:r>
        <w:t xml:space="preserve">we </w:t>
      </w:r>
      <w:r>
        <w:t>note th</w:t>
      </w:r>
      <w:r>
        <w:t xml:space="preserve">e parties </w:t>
      </w:r>
      <w:r>
        <w:t xml:space="preserve">have </w:t>
      </w:r>
      <w:r>
        <w:t>argued</w:t>
      </w:r>
      <w:r>
        <w:t xml:space="preserve"> </w:t>
      </w:r>
      <w:r>
        <w:t xml:space="preserve">several </w:t>
      </w:r>
      <w:r>
        <w:t xml:space="preserve">competing </w:t>
      </w:r>
      <w:r>
        <w:t xml:space="preserve">public policy </w:t>
      </w:r>
      <w:r>
        <w:t>concerns</w:t>
      </w:r>
      <w:r>
        <w:t xml:space="preserve">; however, </w:t>
      </w:r>
      <w:r>
        <w:t xml:space="preserve">we find it unnecessary to </w:t>
      </w:r>
      <w:r>
        <w:t xml:space="preserve">address </w:t>
      </w:r>
      <w:r>
        <w:t>any</w:t>
      </w:r>
      <w:r>
        <w:t xml:space="preserve"> </w:t>
      </w:r>
      <w:r>
        <w:t xml:space="preserve">potential </w:t>
      </w:r>
      <w:r>
        <w:t xml:space="preserve">consequences </w:t>
      </w:r>
      <w:r>
        <w:t xml:space="preserve">of our </w:t>
      </w:r>
      <w:r>
        <w:t xml:space="preserve">interpretation </w:t>
      </w:r>
      <w:r>
        <w:t xml:space="preserve">because </w:t>
      </w:r>
      <w:r>
        <w:t xml:space="preserve">we </w:t>
      </w:r>
      <w:r>
        <w:t>find th</w:t>
      </w:r>
      <w:r>
        <w:t xml:space="preserve">e </w:t>
      </w:r>
      <w:r>
        <w:t xml:space="preserve">relevant </w:t>
      </w:r>
      <w:r>
        <w:t xml:space="preserve">provisions of the </w:t>
      </w:r>
      <w:r>
        <w:t xml:space="preserve">ICRAA, </w:t>
      </w:r>
      <w:r>
        <w:t xml:space="preserve">the </w:t>
      </w:r>
      <w:r>
        <w:t xml:space="preserve">CCRAA, </w:t>
      </w:r>
      <w:r>
        <w:t xml:space="preserve">and </w:t>
      </w:r>
      <w:r>
        <w:t xml:space="preserve">the </w:t>
      </w:r>
      <w:r>
        <w:t>FCRA</w:t>
      </w:r>
      <w:r>
        <w:t xml:space="preserve"> </w:t>
      </w:r>
      <w:r>
        <w:t xml:space="preserve">to be </w:t>
      </w:r>
      <w:r>
        <w:t xml:space="preserve">easily understood </w:t>
      </w:r>
      <w:r>
        <w:t xml:space="preserve">and </w:t>
      </w:r>
      <w:r>
        <w:t>unambiguous</w:t>
      </w:r>
      <w:r>
        <w:t xml:space="preserve">.  </w:t>
      </w:r>
      <w:r w:rsidRPr="00240236">
        <w:t>(</w:t>
      </w:r>
      <w:r>
        <w:t xml:space="preserve">See </w:t>
      </w:r>
      <w:r w:rsidRPr="00E311FF">
        <w:rPr>
          <w:i/>
          <w:iCs/>
        </w:rPr>
        <w:t>Even Zohar Construction &amp; Remodeling, Inc. v. Bellaire Townhouses, LLC</w:t>
      </w:r>
      <w:r>
        <w:t xml:space="preserve">, </w:t>
      </w:r>
      <w:r w:rsidRPr="00E311FF">
        <w:rPr>
          <w:i/>
          <w:iCs/>
        </w:rPr>
        <w:t>supra</w:t>
      </w:r>
      <w:r>
        <w:t xml:space="preserve">, </w:t>
      </w:r>
      <w:r w:rsidRPr="00240236">
        <w:t xml:space="preserve">61 Cal.4th </w:t>
      </w:r>
      <w:r>
        <w:t xml:space="preserve">at pp. </w:t>
      </w:r>
      <w:r w:rsidRPr="00240236">
        <w:t>837-838</w:t>
      </w:r>
      <w:r>
        <w:t>, italics added [</w:t>
      </w:r>
      <w:r>
        <w:t>“‘</w:t>
      </w:r>
      <w:r w:rsidRPr="00E311FF">
        <w:rPr>
          <w:i/>
          <w:iCs/>
        </w:rPr>
        <w:t xml:space="preserve">In cases of </w:t>
      </w:r>
      <w:r w:rsidRPr="00E311FF">
        <w:rPr>
          <w:i/>
          <w:iCs/>
        </w:rPr>
        <w:t>uncertain meaning</w:t>
      </w:r>
      <w:r w:rsidRPr="00240236">
        <w:t>, we may also consider the consequences of a particular interpretation, including its impact on public policy’”</w:t>
      </w:r>
      <w:r>
        <w:t>]</w:t>
      </w:r>
      <w:r>
        <w:t>.)</w:t>
      </w:r>
    </w:p>
    <w:p w14:paraId="0AD08319" w14:textId="77777777" w:rsidR="00B97288" w:rsidRDefault="000F2DE2">
      <w:pPr>
        <w:spacing w:line="240" w:lineRule="auto"/>
      </w:pPr>
      <w:r>
        <w:br w:type="page"/>
      </w:r>
    </w:p>
    <w:p w14:paraId="7C4212EC" w14:textId="77777777" w:rsidR="00305897" w:rsidRDefault="000F2DE2" w:rsidP="009610B6">
      <w:pPr>
        <w:widowControl w:val="0"/>
        <w:tabs>
          <w:tab w:val="left" w:pos="1440"/>
          <w:tab w:val="left" w:leader="underscore" w:pos="5040"/>
        </w:tabs>
        <w:spacing w:line="480" w:lineRule="atLeast"/>
        <w:jc w:val="center"/>
      </w:pPr>
      <w:bookmarkStart w:id="7" w:name="_Hlk119404958"/>
      <w:r w:rsidRPr="004D463B">
        <w:lastRenderedPageBreak/>
        <w:t>III</w:t>
      </w:r>
    </w:p>
    <w:p w14:paraId="0DDCD475" w14:textId="77777777" w:rsidR="009610B6" w:rsidRDefault="000F2DE2" w:rsidP="009610B6">
      <w:pPr>
        <w:widowControl w:val="0"/>
        <w:tabs>
          <w:tab w:val="left" w:pos="1440"/>
          <w:tab w:val="left" w:leader="underscore" w:pos="5040"/>
        </w:tabs>
        <w:spacing w:line="480" w:lineRule="atLeast"/>
        <w:jc w:val="center"/>
      </w:pPr>
      <w:r w:rsidRPr="004D463B">
        <w:t>DISPOSITION</w:t>
      </w:r>
    </w:p>
    <w:p w14:paraId="6BCF558F" w14:textId="77777777" w:rsidR="00933DF3" w:rsidRDefault="000F2DE2" w:rsidP="00855C6B">
      <w:pPr>
        <w:tabs>
          <w:tab w:val="left" w:pos="1440"/>
          <w:tab w:val="left" w:pos="2880"/>
          <w:tab w:val="left" w:pos="4320"/>
          <w:tab w:val="left" w:pos="5760"/>
          <w:tab w:val="left" w:pos="7200"/>
          <w:tab w:val="left" w:pos="8640"/>
        </w:tabs>
      </w:pPr>
      <w:r>
        <w:tab/>
      </w:r>
      <w:r>
        <w:t xml:space="preserve">Kemp’s </w:t>
      </w:r>
      <w:r>
        <w:t xml:space="preserve">writ </w:t>
      </w:r>
      <w:r>
        <w:t xml:space="preserve">petition </w:t>
      </w:r>
      <w:r>
        <w:t xml:space="preserve">in case No. G061122 is granted.  </w:t>
      </w:r>
      <w:r>
        <w:t>Accurate</w:t>
      </w:r>
      <w:r>
        <w:t xml:space="preserve">’s writ </w:t>
      </w:r>
      <w:r>
        <w:t xml:space="preserve">petition </w:t>
      </w:r>
      <w:r>
        <w:t xml:space="preserve">in case No. G061124 is denied.  </w:t>
      </w:r>
      <w:r>
        <w:t xml:space="preserve">Let a </w:t>
      </w:r>
      <w:r>
        <w:t>per</w:t>
      </w:r>
      <w:r>
        <w:t xml:space="preserve">emptory writ of mandate </w:t>
      </w:r>
      <w:r>
        <w:t>issue directing the respondent court to</w:t>
      </w:r>
      <w:r>
        <w:t xml:space="preserve"> </w:t>
      </w:r>
      <w:r>
        <w:t xml:space="preserve">vacate its </w:t>
      </w:r>
      <w:r>
        <w:t>prior</w:t>
      </w:r>
      <w:r>
        <w:t xml:space="preserve"> order</w:t>
      </w:r>
      <w:r>
        <w:t xml:space="preserve">, which </w:t>
      </w:r>
      <w:r>
        <w:t xml:space="preserve">partially </w:t>
      </w:r>
      <w:r>
        <w:t xml:space="preserve">sustained </w:t>
      </w:r>
      <w:r>
        <w:t xml:space="preserve">Accurate’s </w:t>
      </w:r>
      <w:r>
        <w:t>demurrer</w:t>
      </w:r>
      <w:r>
        <w:t xml:space="preserve">, </w:t>
      </w:r>
      <w:r>
        <w:t>and</w:t>
      </w:r>
      <w:r>
        <w:t xml:space="preserve"> to </w:t>
      </w:r>
      <w:r>
        <w:t>issue a new order</w:t>
      </w:r>
      <w:r>
        <w:t xml:space="preserve"> </w:t>
      </w:r>
      <w:r>
        <w:t xml:space="preserve">overruling </w:t>
      </w:r>
      <w:r>
        <w:t>the</w:t>
      </w:r>
      <w:r>
        <w:t xml:space="preserve"> </w:t>
      </w:r>
      <w:r>
        <w:t>demurrer in its entirety</w:t>
      </w:r>
      <w:r>
        <w:t>.</w:t>
      </w:r>
    </w:p>
    <w:p w14:paraId="0C122C9D" w14:textId="77777777" w:rsidR="00EF6718" w:rsidRDefault="000F2DE2" w:rsidP="00E91028">
      <w:pPr>
        <w:widowControl w:val="0"/>
        <w:tabs>
          <w:tab w:val="left" w:pos="1440"/>
          <w:tab w:val="left" w:leader="underscore" w:pos="5040"/>
        </w:tabs>
        <w:spacing w:line="480" w:lineRule="atLeast"/>
      </w:pPr>
      <w:r>
        <w:tab/>
        <w:t xml:space="preserve">As the </w:t>
      </w:r>
      <w:r>
        <w:t>prevailing party in both petitions (case Nos. G061122, G061124), Kemp is entitled to recover costs.  (</w:t>
      </w:r>
      <w:r>
        <w:t xml:space="preserve">See </w:t>
      </w:r>
      <w:r>
        <w:t>Cal. Rules of Court, rule 8.493(a)(1)(A).)</w:t>
      </w:r>
    </w:p>
    <w:p w14:paraId="3046389C" w14:textId="77777777" w:rsidR="002C2BEE" w:rsidRDefault="000F2DE2" w:rsidP="00E91028">
      <w:pPr>
        <w:widowControl w:val="0"/>
        <w:tabs>
          <w:tab w:val="left" w:pos="1440"/>
          <w:tab w:val="left" w:leader="underscore" w:pos="5040"/>
        </w:tabs>
        <w:spacing w:line="480" w:lineRule="atLeast"/>
      </w:pPr>
    </w:p>
    <w:bookmarkEnd w:id="7"/>
    <w:p w14:paraId="10F68DA5" w14:textId="77777777" w:rsidR="00933DF3" w:rsidRDefault="000F2DE2" w:rsidP="00933DF3">
      <w:pPr>
        <w:keepNext/>
        <w:widowControl w:val="0"/>
        <w:tabs>
          <w:tab w:val="left" w:pos="5040"/>
        </w:tabs>
        <w:spacing w:line="240" w:lineRule="auto"/>
      </w:pPr>
    </w:p>
    <w:p w14:paraId="5DA4A5AB" w14:textId="77777777" w:rsidR="00933DF3" w:rsidRDefault="000F2DE2" w:rsidP="00933DF3">
      <w:pPr>
        <w:keepNext/>
        <w:widowControl w:val="0"/>
        <w:tabs>
          <w:tab w:val="left" w:pos="5040"/>
        </w:tabs>
        <w:spacing w:line="240" w:lineRule="auto"/>
      </w:pPr>
    </w:p>
    <w:p w14:paraId="107469D7" w14:textId="77777777" w:rsidR="00933DF3" w:rsidRDefault="000F2DE2" w:rsidP="00933DF3">
      <w:pPr>
        <w:keepNext/>
        <w:widowControl w:val="0"/>
        <w:tabs>
          <w:tab w:val="left" w:pos="5040"/>
        </w:tabs>
        <w:spacing w:line="240" w:lineRule="auto"/>
      </w:pPr>
      <w:r>
        <w:tab/>
        <w:t xml:space="preserve">MOORE, </w:t>
      </w:r>
      <w:r>
        <w:t xml:space="preserve">ACTING P. </w:t>
      </w:r>
      <w:r>
        <w:t>J.</w:t>
      </w:r>
    </w:p>
    <w:p w14:paraId="5D0D12FA" w14:textId="77777777" w:rsidR="00933DF3" w:rsidRDefault="000F2DE2" w:rsidP="00933DF3">
      <w:pPr>
        <w:keepNext/>
        <w:widowControl w:val="0"/>
        <w:tabs>
          <w:tab w:val="left" w:pos="5040"/>
        </w:tabs>
        <w:spacing w:line="240" w:lineRule="auto"/>
      </w:pPr>
    </w:p>
    <w:p w14:paraId="599DF1A9" w14:textId="77777777" w:rsidR="00933DF3" w:rsidRDefault="000F2DE2" w:rsidP="00933DF3">
      <w:pPr>
        <w:keepNext/>
        <w:widowControl w:val="0"/>
        <w:tabs>
          <w:tab w:val="left" w:pos="5040"/>
        </w:tabs>
        <w:spacing w:line="240" w:lineRule="auto"/>
      </w:pPr>
      <w:r>
        <w:t>WE CONCUR:</w:t>
      </w:r>
    </w:p>
    <w:p w14:paraId="1B4CCF5E" w14:textId="77777777" w:rsidR="00933DF3" w:rsidRDefault="000F2DE2" w:rsidP="00933DF3">
      <w:pPr>
        <w:keepNext/>
        <w:widowControl w:val="0"/>
        <w:tabs>
          <w:tab w:val="left" w:pos="5040"/>
        </w:tabs>
        <w:spacing w:line="240" w:lineRule="auto"/>
      </w:pPr>
    </w:p>
    <w:p w14:paraId="6CBBFCFF" w14:textId="77777777" w:rsidR="00933DF3" w:rsidRDefault="000F2DE2" w:rsidP="00933DF3">
      <w:pPr>
        <w:keepNext/>
        <w:widowControl w:val="0"/>
        <w:tabs>
          <w:tab w:val="left" w:pos="5040"/>
        </w:tabs>
        <w:spacing w:line="240" w:lineRule="auto"/>
      </w:pPr>
    </w:p>
    <w:p w14:paraId="02E5B727" w14:textId="77777777" w:rsidR="00933DF3" w:rsidRDefault="000F2DE2" w:rsidP="00933DF3">
      <w:pPr>
        <w:keepNext/>
        <w:widowControl w:val="0"/>
        <w:tabs>
          <w:tab w:val="left" w:pos="5040"/>
        </w:tabs>
        <w:spacing w:line="240" w:lineRule="auto"/>
      </w:pPr>
    </w:p>
    <w:p w14:paraId="41B01807" w14:textId="77777777" w:rsidR="00933DF3" w:rsidRDefault="000F2DE2" w:rsidP="00933DF3">
      <w:pPr>
        <w:keepNext/>
        <w:widowControl w:val="0"/>
        <w:tabs>
          <w:tab w:val="left" w:pos="5040"/>
        </w:tabs>
        <w:spacing w:line="240" w:lineRule="auto"/>
      </w:pPr>
      <w:r>
        <w:t>SANCHEZ, J.</w:t>
      </w:r>
    </w:p>
    <w:p w14:paraId="1B969B9D" w14:textId="77777777" w:rsidR="00933DF3" w:rsidRDefault="000F2DE2" w:rsidP="00933DF3">
      <w:pPr>
        <w:keepNext/>
        <w:widowControl w:val="0"/>
        <w:tabs>
          <w:tab w:val="left" w:pos="5040"/>
        </w:tabs>
        <w:spacing w:line="240" w:lineRule="auto"/>
      </w:pPr>
    </w:p>
    <w:p w14:paraId="7BDCA30F" w14:textId="77777777" w:rsidR="00933DF3" w:rsidRDefault="000F2DE2" w:rsidP="00933DF3">
      <w:pPr>
        <w:keepNext/>
        <w:widowControl w:val="0"/>
        <w:tabs>
          <w:tab w:val="left" w:pos="5040"/>
        </w:tabs>
        <w:spacing w:line="240" w:lineRule="auto"/>
      </w:pPr>
    </w:p>
    <w:p w14:paraId="5A686C29" w14:textId="77777777" w:rsidR="00933DF3" w:rsidRDefault="000F2DE2" w:rsidP="00933DF3">
      <w:pPr>
        <w:keepNext/>
        <w:widowControl w:val="0"/>
        <w:tabs>
          <w:tab w:val="left" w:pos="5040"/>
        </w:tabs>
        <w:spacing w:line="240" w:lineRule="auto"/>
      </w:pPr>
    </w:p>
    <w:p w14:paraId="730A4884" w14:textId="77777777" w:rsidR="00933DF3" w:rsidRDefault="000F2DE2" w:rsidP="00933DF3">
      <w:pPr>
        <w:keepNext/>
        <w:widowControl w:val="0"/>
        <w:tabs>
          <w:tab w:val="left" w:pos="5040"/>
        </w:tabs>
        <w:spacing w:line="240" w:lineRule="auto"/>
      </w:pPr>
      <w:r>
        <w:t>MARKS, J.*</w:t>
      </w:r>
    </w:p>
    <w:p w14:paraId="6C8CF82C" w14:textId="77777777" w:rsidR="00933DF3" w:rsidRDefault="000F2DE2" w:rsidP="00933DF3">
      <w:pPr>
        <w:keepNext/>
        <w:widowControl w:val="0"/>
        <w:tabs>
          <w:tab w:val="left" w:pos="5040"/>
        </w:tabs>
        <w:spacing w:line="240" w:lineRule="auto"/>
      </w:pPr>
    </w:p>
    <w:p w14:paraId="77199283" w14:textId="77777777" w:rsidR="009610B6" w:rsidRPr="00DC50CC" w:rsidRDefault="000F2DE2" w:rsidP="00F81507">
      <w:pPr>
        <w:keepNext/>
        <w:widowControl w:val="0"/>
        <w:tabs>
          <w:tab w:val="left" w:pos="5040"/>
        </w:tabs>
        <w:spacing w:line="240" w:lineRule="auto"/>
        <w:rPr>
          <w:szCs w:val="26"/>
        </w:rPr>
      </w:pPr>
      <w:r>
        <w:t>*Judge of the Orange Super. Ct., assigned</w:t>
      </w:r>
      <w:r>
        <w:t xml:space="preserve"> by the Chief Justice pursuant to article VI, section 6 of the California Constitution.</w:t>
      </w:r>
    </w:p>
    <w:sectPr w:rsidR="009610B6" w:rsidRPr="00DC50CC" w:rsidSect="007D02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0277" w14:textId="77777777" w:rsidR="00000000" w:rsidRDefault="000F2DE2">
      <w:pPr>
        <w:spacing w:line="240" w:lineRule="auto"/>
      </w:pPr>
      <w:r>
        <w:separator/>
      </w:r>
    </w:p>
  </w:endnote>
  <w:endnote w:type="continuationSeparator" w:id="0">
    <w:p w14:paraId="2C643FA0" w14:textId="77777777" w:rsidR="00000000" w:rsidRDefault="000F2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B347" w14:textId="77777777" w:rsidR="007D02F4" w:rsidRDefault="000F2DE2" w:rsidP="001D4A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p w14:paraId="190F8B87" w14:textId="77777777" w:rsidR="007D02F4" w:rsidRDefault="000F2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5803" w14:textId="77777777" w:rsidR="007D02F4" w:rsidRDefault="000F2DE2" w:rsidP="001D4A0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C0C356C" w14:textId="77777777" w:rsidR="007D02F4" w:rsidRDefault="000F2D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319E" w14:textId="77777777" w:rsidR="00E72657" w:rsidRDefault="000F2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A666" w14:textId="77777777" w:rsidR="00DB59A5" w:rsidRDefault="000F2DE2" w:rsidP="007D02F4">
      <w:pPr>
        <w:spacing w:line="240" w:lineRule="auto"/>
      </w:pPr>
      <w:r>
        <w:separator/>
      </w:r>
    </w:p>
  </w:footnote>
  <w:footnote w:type="continuationSeparator" w:id="0">
    <w:p w14:paraId="07206602" w14:textId="77777777" w:rsidR="00DB59A5" w:rsidRDefault="000F2DE2" w:rsidP="007D02F4">
      <w:pPr>
        <w:spacing w:line="240" w:lineRule="auto"/>
      </w:pPr>
      <w:r>
        <w:continuationSeparator/>
      </w:r>
    </w:p>
  </w:footnote>
  <w:footnote w:type="continuationNotice" w:id="1">
    <w:p w14:paraId="79E4FA0F" w14:textId="77777777" w:rsidR="00DB59A5" w:rsidRDefault="000F2DE2">
      <w:pPr>
        <w:spacing w:line="240" w:lineRule="auto"/>
      </w:pPr>
    </w:p>
  </w:footnote>
  <w:footnote w:id="2">
    <w:p w14:paraId="038D53B9" w14:textId="77777777" w:rsidR="00626200" w:rsidRDefault="000F2DE2">
      <w:pPr>
        <w:pStyle w:val="FootnoteText"/>
      </w:pPr>
      <w:r>
        <w:rPr>
          <w:rStyle w:val="FootnoteReference"/>
        </w:rPr>
        <w:footnoteRef/>
      </w:r>
      <w:r>
        <w:t xml:space="preserve"> </w:t>
      </w:r>
      <w:r>
        <w:t xml:space="preserve">The word </w:t>
      </w:r>
      <w:r>
        <w:t>“</w:t>
      </w:r>
      <w:r>
        <w:t>a</w:t>
      </w:r>
      <w:r>
        <w:t xml:space="preserve">ntedate” is synonymous with </w:t>
      </w:r>
      <w:r>
        <w:t xml:space="preserve">the word </w:t>
      </w:r>
      <w:r w:rsidRPr="00991E87">
        <w:rPr>
          <w:i/>
          <w:iCs/>
        </w:rPr>
        <w:t>predate</w:t>
      </w:r>
      <w:r>
        <w:t>.</w:t>
      </w:r>
      <w:r>
        <w:t xml:space="preserve">  </w:t>
      </w:r>
      <w:r>
        <w:t xml:space="preserve">(See Merriam-Webster’s Collegiate Dict. (11th ed. </w:t>
      </w:r>
      <w:r>
        <w:t>2003) p. 52, col. 1 [“antedate” means “precede</w:t>
      </w:r>
      <w:r>
        <w:t>d</w:t>
      </w:r>
      <w:r>
        <w:t xml:space="preserve"> in time”].)</w:t>
      </w:r>
    </w:p>
    <w:p w14:paraId="5FD187D8" w14:textId="77777777" w:rsidR="000E2B94" w:rsidRDefault="000F2DE2">
      <w:pPr>
        <w:pStyle w:val="FootnoteText"/>
      </w:pPr>
    </w:p>
  </w:footnote>
  <w:footnote w:id="3">
    <w:p w14:paraId="045546AF" w14:textId="77777777" w:rsidR="000111CE" w:rsidRDefault="000F2DE2">
      <w:pPr>
        <w:pStyle w:val="FootnoteText"/>
      </w:pPr>
      <w:r>
        <w:rPr>
          <w:rStyle w:val="FootnoteReference"/>
        </w:rPr>
        <w:footnoteRef/>
      </w:r>
      <w:r>
        <w:t xml:space="preserve"> Further undesignated statutory references are to the Civil Code</w:t>
      </w:r>
      <w:r>
        <w:t xml:space="preserve">; </w:t>
      </w:r>
      <w:r>
        <w:t>w</w:t>
      </w:r>
      <w:r>
        <w:t xml:space="preserve">hen </w:t>
      </w:r>
      <w:r>
        <w:t xml:space="preserve">referring to </w:t>
      </w:r>
      <w:r>
        <w:t xml:space="preserve">its </w:t>
      </w:r>
      <w:r>
        <w:t xml:space="preserve">statutory subparts, we will </w:t>
      </w:r>
      <w:r>
        <w:t xml:space="preserve">also </w:t>
      </w:r>
      <w:r>
        <w:t xml:space="preserve">omit the </w:t>
      </w:r>
      <w:r>
        <w:t xml:space="preserve">word </w:t>
      </w:r>
      <w:r>
        <w:t>“subdivision”</w:t>
      </w:r>
      <w:r>
        <w:t xml:space="preserve"> or its abbreviation.</w:t>
      </w:r>
    </w:p>
  </w:footnote>
  <w:footnote w:id="4">
    <w:p w14:paraId="5685598D" w14:textId="77777777" w:rsidR="00FD37A8" w:rsidRPr="001D6BC1" w:rsidRDefault="000F2DE2">
      <w:pPr>
        <w:pStyle w:val="FootnoteText"/>
        <w:rPr>
          <w:b/>
          <w:bCs/>
        </w:rPr>
      </w:pPr>
      <w:r>
        <w:rPr>
          <w:rStyle w:val="FootnoteReference"/>
        </w:rPr>
        <w:footnoteRef/>
      </w:r>
      <w:r>
        <w:t xml:space="preserve"> </w:t>
      </w:r>
      <w:r w:rsidRPr="00FD37A8">
        <w:t>On the court’s own mot</w:t>
      </w:r>
      <w:r w:rsidRPr="00FD37A8">
        <w:t xml:space="preserve">ion and for good cause, the </w:t>
      </w:r>
      <w:r>
        <w:t xml:space="preserve">writ </w:t>
      </w:r>
      <w:r>
        <w:t xml:space="preserve">petitions </w:t>
      </w:r>
      <w:r>
        <w:t>i</w:t>
      </w:r>
      <w:r w:rsidRPr="00FD37A8">
        <w:t xml:space="preserve">n case </w:t>
      </w:r>
      <w:r>
        <w:t>No.</w:t>
      </w:r>
      <w:r w:rsidRPr="00FD37A8">
        <w:t xml:space="preserve"> G061122 and </w:t>
      </w:r>
      <w:r>
        <w:t xml:space="preserve">case No. </w:t>
      </w:r>
      <w:r w:rsidRPr="00FD37A8">
        <w:t xml:space="preserve">G01124 are </w:t>
      </w:r>
      <w:r>
        <w:t xml:space="preserve">now </w:t>
      </w:r>
      <w:r w:rsidRPr="00FD37A8">
        <w:t>consolidated for decision and all re</w:t>
      </w:r>
      <w:r>
        <w:t>levant</w:t>
      </w:r>
      <w:r w:rsidRPr="00FD37A8">
        <w:t xml:space="preserve"> purposes.</w:t>
      </w:r>
    </w:p>
  </w:footnote>
  <w:footnote w:id="5">
    <w:p w14:paraId="54C955FB" w14:textId="77777777" w:rsidR="009406BC" w:rsidRDefault="000F2DE2" w:rsidP="00741726">
      <w:pPr>
        <w:pStyle w:val="FootnoteText"/>
      </w:pPr>
      <w:r>
        <w:rPr>
          <w:rStyle w:val="FootnoteReference"/>
        </w:rPr>
        <w:footnoteRef/>
      </w:r>
      <w:r>
        <w:t xml:space="preserve"> </w:t>
      </w:r>
      <w:r>
        <w:t xml:space="preserve">The </w:t>
      </w:r>
      <w:r>
        <w:t xml:space="preserve">word </w:t>
      </w:r>
      <w:r>
        <w:t xml:space="preserve">“subchapter” refers </w:t>
      </w:r>
      <w:r>
        <w:t xml:space="preserve">to “subchapter III of chapter 41 of Title 15, containing the entirety of the </w:t>
      </w:r>
      <w:r>
        <w:t>FCRA</w:t>
      </w:r>
      <w:r>
        <w:t>.</w:t>
      </w:r>
      <w:r>
        <w:t xml:space="preserve">”  </w:t>
      </w:r>
      <w:r>
        <w:t>(</w:t>
      </w:r>
      <w:r w:rsidRPr="00DF614D">
        <w:rPr>
          <w:i/>
          <w:iCs/>
        </w:rPr>
        <w:t>Kirtz v. Trans Union LLC</w:t>
      </w:r>
      <w:r>
        <w:t xml:space="preserve"> (3d Cir. 2022) 46 F.4th 159, 165</w:t>
      </w:r>
      <w:r>
        <w:t>.)</w:t>
      </w:r>
    </w:p>
    <w:p w14:paraId="4AF45D44" w14:textId="77777777" w:rsidR="009C3FDE" w:rsidRDefault="000F2DE2" w:rsidP="00741726">
      <w:pPr>
        <w:pStyle w:val="FootnoteText"/>
      </w:pPr>
    </w:p>
  </w:footnote>
  <w:footnote w:id="6">
    <w:p w14:paraId="1BAAE6CD" w14:textId="77777777" w:rsidR="002036D4" w:rsidRDefault="000F2DE2" w:rsidP="002036D4">
      <w:pPr>
        <w:pStyle w:val="FootnoteText"/>
      </w:pPr>
      <w:r>
        <w:rPr>
          <w:rStyle w:val="FootnoteReference"/>
        </w:rPr>
        <w:footnoteRef/>
      </w:r>
      <w:r>
        <w:t xml:space="preserve"> </w:t>
      </w:r>
      <w:r>
        <w:t>S</w:t>
      </w:r>
      <w:r>
        <w:t xml:space="preserve">ubdivision (c) </w:t>
      </w:r>
      <w:r>
        <w:t>is not at issue in this case</w:t>
      </w:r>
      <w:r>
        <w:t xml:space="preserve">; </w:t>
      </w:r>
      <w:r>
        <w:t xml:space="preserve">it </w:t>
      </w:r>
      <w:r>
        <w:t>provides</w:t>
      </w:r>
      <w:r>
        <w:t xml:space="preserve"> that the </w:t>
      </w:r>
      <w:r>
        <w:t xml:space="preserve">FRCA’s </w:t>
      </w:r>
      <w:r>
        <w:t xml:space="preserve">definition of </w:t>
      </w:r>
      <w:r>
        <w:t>a</w:t>
      </w:r>
      <w:r>
        <w:t xml:space="preserve"> “</w:t>
      </w:r>
      <w:r>
        <w:t>‘</w:t>
      </w:r>
      <w:r w:rsidRPr="00967DFC">
        <w:t>firm offer of credit or insurance</w:t>
      </w:r>
      <w:r>
        <w:t>’</w:t>
      </w:r>
      <w:r w:rsidRPr="00967DFC">
        <w:t xml:space="preserve"> (or any equivalent term)</w:t>
      </w:r>
      <w:r>
        <w:t xml:space="preserve"> </w:t>
      </w:r>
      <w:r>
        <w:t xml:space="preserve">. </w:t>
      </w:r>
      <w:r>
        <w:t>. .</w:t>
      </w:r>
      <w:r w:rsidRPr="00967DFC">
        <w:t xml:space="preserve"> shall be construed to appl</w:t>
      </w:r>
      <w:r w:rsidRPr="00967DFC">
        <w:t>y</w:t>
      </w:r>
      <w:r>
        <w:t>” as to “</w:t>
      </w:r>
      <w:r>
        <w:t>t</w:t>
      </w:r>
      <w:r w:rsidRPr="00967DFC">
        <w:t>he laws of any State governing consumer reports.</w:t>
      </w:r>
      <w:r>
        <w:t>”</w:t>
      </w:r>
      <w:r>
        <w:t xml:space="preserve">  (15 U.S.C. § </w:t>
      </w:r>
      <w:r>
        <w:t>1681t(c).)</w:t>
      </w:r>
    </w:p>
  </w:footnote>
  <w:footnote w:id="7">
    <w:p w14:paraId="06650BEF" w14:textId="77777777" w:rsidR="00B64C80" w:rsidRDefault="000F2DE2">
      <w:pPr>
        <w:pStyle w:val="FootnoteText"/>
      </w:pPr>
      <w:r>
        <w:rPr>
          <w:rStyle w:val="FootnoteReference"/>
        </w:rPr>
        <w:footnoteRef/>
      </w:r>
      <w:r>
        <w:t xml:space="preserve"> </w:t>
      </w:r>
      <w:r w:rsidRPr="00B64C80">
        <w:t>Accurate d</w:t>
      </w:r>
      <w:r>
        <w:t xml:space="preserve">id not </w:t>
      </w:r>
      <w:r w:rsidRPr="00B64C80">
        <w:t xml:space="preserve">argue </w:t>
      </w:r>
      <w:r>
        <w:t>in the trial court</w:t>
      </w:r>
      <w:r>
        <w:t xml:space="preserve">, </w:t>
      </w:r>
      <w:r>
        <w:t xml:space="preserve">nor does it argue in this court, that </w:t>
      </w:r>
      <w:r>
        <w:t xml:space="preserve">Kemp’s </w:t>
      </w:r>
      <w:r w:rsidRPr="00B64C80">
        <w:t xml:space="preserve">CCRAA claim </w:t>
      </w:r>
      <w:r>
        <w:t xml:space="preserve">is </w:t>
      </w:r>
      <w:r w:rsidRPr="00B64C80">
        <w:t>preempted</w:t>
      </w:r>
      <w:r>
        <w:t xml:space="preserve"> </w:t>
      </w:r>
      <w:r>
        <w:t xml:space="preserve">by </w:t>
      </w:r>
      <w:r>
        <w:t>the FCRA</w:t>
      </w:r>
      <w:r w:rsidRPr="00B64C80">
        <w:t>.</w:t>
      </w:r>
    </w:p>
  </w:footnote>
  <w:footnote w:id="8">
    <w:p w14:paraId="6D8791E9" w14:textId="77777777" w:rsidR="00F3538C" w:rsidRDefault="000F2DE2" w:rsidP="00F3538C">
      <w:pPr>
        <w:pStyle w:val="FootnoteText"/>
      </w:pPr>
      <w:r>
        <w:rPr>
          <w:rStyle w:val="FootnoteReference"/>
        </w:rPr>
        <w:footnoteRef/>
      </w:r>
      <w:r>
        <w:t xml:space="preserve"> </w:t>
      </w:r>
      <w:r>
        <w:t xml:space="preserve">Accurate does </w:t>
      </w:r>
      <w:r w:rsidRPr="00693577">
        <w:rPr>
          <w:u w:val="single"/>
        </w:rPr>
        <w:t>not</w:t>
      </w:r>
      <w:r w:rsidRPr="00ED3C80">
        <w:t xml:space="preserve"> </w:t>
      </w:r>
      <w:r>
        <w:t xml:space="preserve">argue the CCRAA </w:t>
      </w:r>
      <w:r w:rsidRPr="00693577">
        <w:rPr>
          <w:i/>
          <w:iCs/>
        </w:rPr>
        <w:t xml:space="preserve">directly conflicts with </w:t>
      </w:r>
      <w:r w:rsidRPr="00123EF1">
        <w:t>the FCRA,</w:t>
      </w:r>
      <w:r>
        <w:t xml:space="preserve"> even though the</w:t>
      </w:r>
      <w:r>
        <w:t xml:space="preserve"> challenged </w:t>
      </w:r>
      <w:r>
        <w:t xml:space="preserve">ICRAA </w:t>
      </w:r>
      <w:r>
        <w:t>pro</w:t>
      </w:r>
      <w:r>
        <w:t xml:space="preserve">hibition </w:t>
      </w:r>
      <w:r>
        <w:t xml:space="preserve">is </w:t>
      </w:r>
      <w:r>
        <w:t xml:space="preserve">identical to </w:t>
      </w:r>
      <w:r>
        <w:t xml:space="preserve">the same </w:t>
      </w:r>
      <w:r>
        <w:t xml:space="preserve">prohibition </w:t>
      </w:r>
      <w:r>
        <w:t xml:space="preserve">in the </w:t>
      </w:r>
      <w:r>
        <w:t>CCRAA</w:t>
      </w:r>
      <w:r>
        <w:t xml:space="preserve">, which </w:t>
      </w:r>
      <w:r>
        <w:t xml:space="preserve">again </w:t>
      </w:r>
      <w:r>
        <w:t>prohibit</w:t>
      </w:r>
      <w:r>
        <w:t>s</w:t>
      </w:r>
      <w:r>
        <w:t xml:space="preserve"> agencies from reporting</w:t>
      </w:r>
      <w:r>
        <w:t xml:space="preserve">:  </w:t>
      </w:r>
      <w:r w:rsidRPr="0081506D">
        <w:t>“Records of arrest, indictment, information, misdemeanor compl</w:t>
      </w:r>
      <w:r w:rsidRPr="0081506D">
        <w:t>aint, or conviction of a crime that, from the date of disposition, release, or parole, antedate the report by more than seven years.”  (§§ 1785.13 (a)(6), 1786.18 (a)(7)</w:t>
      </w:r>
      <w:r>
        <w:t xml:space="preserve">.)  </w:t>
      </w:r>
      <w:r>
        <w:t xml:space="preserve">It is curious that </w:t>
      </w:r>
      <w:r>
        <w:t xml:space="preserve">Accurate </w:t>
      </w:r>
      <w:r>
        <w:t xml:space="preserve">contends </w:t>
      </w:r>
      <w:r>
        <w:t xml:space="preserve">the </w:t>
      </w:r>
      <w:r>
        <w:t>ICRAA direct</w:t>
      </w:r>
      <w:r>
        <w:t xml:space="preserve">ly </w:t>
      </w:r>
      <w:r>
        <w:t>conflict</w:t>
      </w:r>
      <w:r>
        <w:t>s</w:t>
      </w:r>
      <w:r>
        <w:t xml:space="preserve"> with </w:t>
      </w:r>
      <w:r>
        <w:t>the FCRA</w:t>
      </w:r>
      <w:r>
        <w:t xml:space="preserve">, </w:t>
      </w:r>
      <w:r>
        <w:t>bu</w:t>
      </w:r>
      <w:r>
        <w:t>t Accurate is n</w:t>
      </w:r>
      <w:r>
        <w:t xml:space="preserve">ot making that same argument as to the </w:t>
      </w:r>
      <w:r>
        <w:t>CCRA</w:t>
      </w:r>
      <w:r>
        <w:t>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9C53" w14:textId="77777777" w:rsidR="00E72657" w:rsidRDefault="000F2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286E" w14:textId="77777777" w:rsidR="00E72657" w:rsidRDefault="000F2D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C260" w14:textId="77777777" w:rsidR="00E72657" w:rsidRDefault="000F2D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5A"/>
    <w:rsid w:val="000F2DE2"/>
    <w:rsid w:val="0018695A"/>
    <w:rsid w:val="00606A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1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3287B"/>
    <w:pPr>
      <w:spacing w:line="480" w:lineRule="exact"/>
    </w:pPr>
    <w:rPr>
      <w:rFonts w:ascii="Times New Roman" w:hAnsi="Times New Roman"/>
      <w:szCs w:val="20"/>
    </w:rPr>
  </w:style>
  <w:style w:type="paragraph" w:styleId="Heading1">
    <w:name w:val="heading 1"/>
    <w:basedOn w:val="Normal"/>
    <w:next w:val="Normal"/>
    <w:link w:val="Heading1Char"/>
    <w:uiPriority w:val="9"/>
    <w:qFormat/>
    <w:rsid w:val="00C3287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C3287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C3287B"/>
    <w:pPr>
      <w:keepNext/>
      <w:spacing w:before="240" w:after="60"/>
      <w:outlineLvl w:val="2"/>
    </w:pPr>
    <w:rPr>
      <w:rFonts w:asciiTheme="majorHAnsi" w:eastAsiaTheme="majorEastAsia" w:hAnsiTheme="majorHAnsi"/>
      <w:b/>
      <w:bCs/>
      <w:szCs w:val="26"/>
    </w:rPr>
  </w:style>
  <w:style w:type="paragraph" w:styleId="Heading4">
    <w:name w:val="heading 4"/>
    <w:basedOn w:val="Normal"/>
    <w:next w:val="Normal"/>
    <w:link w:val="Heading4Char"/>
    <w:uiPriority w:val="9"/>
    <w:semiHidden/>
    <w:unhideWhenUsed/>
    <w:rsid w:val="00C3287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rsid w:val="00C3287B"/>
    <w:pPr>
      <w:spacing w:before="240" w:after="60"/>
      <w:outlineLvl w:val="4"/>
    </w:pPr>
    <w:rPr>
      <w:b/>
      <w:bCs/>
      <w:i/>
      <w:iCs/>
      <w:szCs w:val="26"/>
    </w:rPr>
  </w:style>
  <w:style w:type="paragraph" w:styleId="Heading6">
    <w:name w:val="heading 6"/>
    <w:basedOn w:val="Normal"/>
    <w:next w:val="Normal"/>
    <w:link w:val="Heading6Char"/>
    <w:uiPriority w:val="9"/>
    <w:semiHidden/>
    <w:unhideWhenUsed/>
    <w:qFormat/>
    <w:rsid w:val="00C3287B"/>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C3287B"/>
    <w:pPr>
      <w:spacing w:before="240" w:after="60"/>
      <w:outlineLvl w:val="6"/>
    </w:pPr>
    <w:rPr>
      <w:sz w:val="24"/>
    </w:rPr>
  </w:style>
  <w:style w:type="paragraph" w:styleId="Heading8">
    <w:name w:val="heading 8"/>
    <w:basedOn w:val="Normal"/>
    <w:next w:val="Normal"/>
    <w:link w:val="Heading8Char"/>
    <w:uiPriority w:val="9"/>
    <w:semiHidden/>
    <w:unhideWhenUsed/>
    <w:qFormat/>
    <w:rsid w:val="00C3287B"/>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C3287B"/>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87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3287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3287B"/>
    <w:rPr>
      <w:rFonts w:asciiTheme="majorHAnsi" w:eastAsiaTheme="majorEastAsia" w:hAnsiTheme="majorHAnsi"/>
      <w:b/>
      <w:bCs/>
    </w:rPr>
  </w:style>
  <w:style w:type="character" w:customStyle="1" w:styleId="Heading6Char">
    <w:name w:val="Heading 6 Char"/>
    <w:basedOn w:val="DefaultParagraphFont"/>
    <w:link w:val="Heading6"/>
    <w:uiPriority w:val="9"/>
    <w:semiHidden/>
    <w:rsid w:val="00C3287B"/>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C3287B"/>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C3287B"/>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C3287B"/>
    <w:rPr>
      <w:rFonts w:asciiTheme="majorHAnsi" w:eastAsiaTheme="majorEastAsia" w:hAnsiTheme="majorHAnsi"/>
    </w:rPr>
  </w:style>
  <w:style w:type="paragraph" w:styleId="Title">
    <w:name w:val="Title"/>
    <w:basedOn w:val="Normal"/>
    <w:next w:val="Normal"/>
    <w:link w:val="TitleChar"/>
    <w:uiPriority w:val="10"/>
    <w:qFormat/>
    <w:rsid w:val="00C3287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3287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3287B"/>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C3287B"/>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C3287B"/>
    <w:pPr>
      <w:outlineLvl w:val="9"/>
    </w:pPr>
  </w:style>
  <w:style w:type="character" w:customStyle="1" w:styleId="Heading4Char">
    <w:name w:val="Heading 4 Char"/>
    <w:basedOn w:val="DefaultParagraphFont"/>
    <w:link w:val="Heading4"/>
    <w:uiPriority w:val="9"/>
    <w:semiHidden/>
    <w:rsid w:val="00C3287B"/>
    <w:rPr>
      <w:rFonts w:ascii="Times New Roman" w:eastAsia="Times New Roman" w:hAnsi="Times New Roman"/>
      <w:b/>
      <w:bCs/>
      <w:sz w:val="28"/>
      <w:szCs w:val="28"/>
    </w:rPr>
  </w:style>
  <w:style w:type="character" w:customStyle="1" w:styleId="Heading5Char">
    <w:name w:val="Heading 5 Char"/>
    <w:basedOn w:val="DefaultParagraphFont"/>
    <w:link w:val="Heading5"/>
    <w:uiPriority w:val="9"/>
    <w:semiHidden/>
    <w:rsid w:val="00C3287B"/>
    <w:rPr>
      <w:rFonts w:ascii="Times New Roman" w:eastAsia="Times New Roman" w:hAnsi="Times New Roman"/>
      <w:b/>
      <w:bCs/>
      <w:i/>
      <w:iCs/>
    </w:rPr>
  </w:style>
  <w:style w:type="character" w:styleId="Strong">
    <w:name w:val="Strong"/>
    <w:basedOn w:val="DefaultParagraphFont"/>
    <w:uiPriority w:val="22"/>
    <w:rsid w:val="00C3287B"/>
    <w:rPr>
      <w:b/>
      <w:bCs/>
    </w:rPr>
  </w:style>
  <w:style w:type="character" w:styleId="Emphasis">
    <w:name w:val="Emphasis"/>
    <w:basedOn w:val="DefaultParagraphFont"/>
    <w:uiPriority w:val="20"/>
    <w:rsid w:val="00C3287B"/>
    <w:rPr>
      <w:rFonts w:asciiTheme="minorHAnsi" w:hAnsiTheme="minorHAnsi"/>
      <w:b/>
      <w:i/>
      <w:iCs/>
    </w:rPr>
  </w:style>
  <w:style w:type="paragraph" w:styleId="NoSpacing">
    <w:name w:val="No Spacing"/>
    <w:basedOn w:val="Normal"/>
    <w:uiPriority w:val="1"/>
    <w:rsid w:val="00C3287B"/>
    <w:rPr>
      <w:szCs w:val="32"/>
    </w:rPr>
  </w:style>
  <w:style w:type="paragraph" w:styleId="ListParagraph">
    <w:name w:val="List Paragraph"/>
    <w:basedOn w:val="Normal"/>
    <w:uiPriority w:val="34"/>
    <w:rsid w:val="00C3287B"/>
    <w:pPr>
      <w:ind w:left="720"/>
      <w:contextualSpacing/>
    </w:pPr>
  </w:style>
  <w:style w:type="paragraph" w:styleId="Quote">
    <w:name w:val="Quote"/>
    <w:basedOn w:val="Normal"/>
    <w:next w:val="Normal"/>
    <w:link w:val="QuoteChar"/>
    <w:uiPriority w:val="29"/>
    <w:rsid w:val="00C3287B"/>
    <w:rPr>
      <w:i/>
    </w:rPr>
  </w:style>
  <w:style w:type="character" w:customStyle="1" w:styleId="QuoteChar">
    <w:name w:val="Quote Char"/>
    <w:basedOn w:val="DefaultParagraphFont"/>
    <w:link w:val="Quote"/>
    <w:uiPriority w:val="29"/>
    <w:rsid w:val="00C3287B"/>
    <w:rPr>
      <w:rFonts w:ascii="Times New Roman" w:eastAsia="Times New Roman" w:hAnsi="Times New Roman"/>
      <w:i/>
      <w:szCs w:val="20"/>
    </w:rPr>
  </w:style>
  <w:style w:type="paragraph" w:styleId="IntenseQuote">
    <w:name w:val="Intense Quote"/>
    <w:basedOn w:val="Normal"/>
    <w:next w:val="Normal"/>
    <w:link w:val="IntenseQuoteChar"/>
    <w:uiPriority w:val="30"/>
    <w:rsid w:val="00C3287B"/>
    <w:pPr>
      <w:ind w:left="720" w:right="720"/>
    </w:pPr>
    <w:rPr>
      <w:b/>
      <w:i/>
      <w:szCs w:val="22"/>
    </w:rPr>
  </w:style>
  <w:style w:type="character" w:customStyle="1" w:styleId="IntenseQuoteChar">
    <w:name w:val="Intense Quote Char"/>
    <w:basedOn w:val="DefaultParagraphFont"/>
    <w:link w:val="IntenseQuote"/>
    <w:uiPriority w:val="30"/>
    <w:rsid w:val="00C3287B"/>
    <w:rPr>
      <w:rFonts w:ascii="Times New Roman" w:eastAsia="Times New Roman" w:hAnsi="Times New Roman"/>
      <w:b/>
      <w:i/>
      <w:szCs w:val="22"/>
    </w:rPr>
  </w:style>
  <w:style w:type="character" w:styleId="SubtleEmphasis">
    <w:name w:val="Subtle Emphasis"/>
    <w:uiPriority w:val="19"/>
    <w:rsid w:val="00C3287B"/>
    <w:rPr>
      <w:i/>
      <w:color w:val="5A5A5A" w:themeColor="text1" w:themeTint="A5"/>
    </w:rPr>
  </w:style>
  <w:style w:type="character" w:styleId="IntenseEmphasis">
    <w:name w:val="Intense Emphasis"/>
    <w:basedOn w:val="DefaultParagraphFont"/>
    <w:uiPriority w:val="21"/>
    <w:rsid w:val="00C3287B"/>
    <w:rPr>
      <w:b/>
      <w:i/>
      <w:sz w:val="24"/>
      <w:szCs w:val="24"/>
      <w:u w:val="single"/>
    </w:rPr>
  </w:style>
  <w:style w:type="character" w:styleId="SubtleReference">
    <w:name w:val="Subtle Reference"/>
    <w:basedOn w:val="DefaultParagraphFont"/>
    <w:uiPriority w:val="31"/>
    <w:rsid w:val="00C3287B"/>
    <w:rPr>
      <w:sz w:val="24"/>
      <w:szCs w:val="24"/>
      <w:u w:val="single"/>
    </w:rPr>
  </w:style>
  <w:style w:type="character" w:styleId="IntenseReference">
    <w:name w:val="Intense Reference"/>
    <w:basedOn w:val="DefaultParagraphFont"/>
    <w:uiPriority w:val="32"/>
    <w:rsid w:val="00C3287B"/>
    <w:rPr>
      <w:b/>
      <w:sz w:val="24"/>
      <w:u w:val="single"/>
    </w:rPr>
  </w:style>
  <w:style w:type="character" w:styleId="BookTitle">
    <w:name w:val="Book Title"/>
    <w:basedOn w:val="DefaultParagraphFont"/>
    <w:uiPriority w:val="33"/>
    <w:rsid w:val="00C3287B"/>
    <w:rPr>
      <w:rFonts w:asciiTheme="majorHAnsi" w:eastAsiaTheme="majorEastAsia" w:hAnsiTheme="majorHAnsi"/>
      <w:b/>
      <w:i/>
      <w:sz w:val="24"/>
      <w:szCs w:val="24"/>
    </w:rPr>
  </w:style>
  <w:style w:type="paragraph" w:styleId="EnvelopeAddress">
    <w:name w:val="envelope address"/>
    <w:basedOn w:val="Normal"/>
    <w:rsid w:val="00C3287B"/>
    <w:pPr>
      <w:framePr w:w="7920" w:h="1980" w:hRule="exact" w:hSpace="180" w:wrap="auto" w:hAnchor="page" w:xAlign="center" w:yAlign="bottom"/>
      <w:ind w:left="2880"/>
    </w:pPr>
  </w:style>
  <w:style w:type="paragraph" w:styleId="EnvelopeReturn">
    <w:name w:val="envelope return"/>
    <w:basedOn w:val="Normal"/>
    <w:rsid w:val="00C3287B"/>
  </w:style>
  <w:style w:type="paragraph" w:styleId="Footer">
    <w:name w:val="footer"/>
    <w:basedOn w:val="Normal"/>
    <w:link w:val="FooterChar"/>
    <w:rsid w:val="00C3287B"/>
    <w:pPr>
      <w:tabs>
        <w:tab w:val="center" w:pos="4320"/>
        <w:tab w:val="right" w:pos="8640"/>
      </w:tabs>
      <w:spacing w:line="520" w:lineRule="exact"/>
    </w:pPr>
  </w:style>
  <w:style w:type="character" w:customStyle="1" w:styleId="FooterChar">
    <w:name w:val="Footer Char"/>
    <w:basedOn w:val="DefaultParagraphFont"/>
    <w:link w:val="Footer"/>
    <w:rsid w:val="00C3287B"/>
    <w:rPr>
      <w:rFonts w:ascii="Times New Roman" w:eastAsia="Times New Roman" w:hAnsi="Times New Roman"/>
      <w:szCs w:val="20"/>
    </w:rPr>
  </w:style>
  <w:style w:type="character" w:styleId="FootnoteReference">
    <w:name w:val="footnote reference"/>
    <w:basedOn w:val="DefaultParagraphFont"/>
    <w:rsid w:val="00346358"/>
    <w:rPr>
      <w:rFonts w:ascii="Times New Roman" w:hAnsi="Times New Roman"/>
      <w:b w:val="0"/>
      <w:caps w:val="0"/>
      <w:smallCaps w:val="0"/>
      <w:strike w:val="0"/>
      <w:dstrike w:val="0"/>
      <w:vanish w:val="0"/>
      <w:color w:val="auto"/>
      <w:position w:val="6"/>
      <w:sz w:val="20"/>
      <w:vertAlign w:val="superscript"/>
    </w:rPr>
  </w:style>
  <w:style w:type="paragraph" w:styleId="FootnoteText">
    <w:name w:val="footnote text"/>
    <w:basedOn w:val="Normal"/>
    <w:link w:val="FootnoteTextChar"/>
    <w:rsid w:val="00346358"/>
    <w:pPr>
      <w:keepLines/>
      <w:widowControl w:val="0"/>
      <w:spacing w:line="240" w:lineRule="auto"/>
    </w:pPr>
  </w:style>
  <w:style w:type="character" w:customStyle="1" w:styleId="FootnoteTextChar">
    <w:name w:val="Footnote Text Char"/>
    <w:basedOn w:val="DefaultParagraphFont"/>
    <w:link w:val="FootnoteText"/>
    <w:rsid w:val="00346358"/>
    <w:rPr>
      <w:rFonts w:ascii="Times New Roman" w:eastAsia="Times New Roman" w:hAnsi="Times New Roman"/>
      <w:szCs w:val="20"/>
    </w:rPr>
  </w:style>
  <w:style w:type="paragraph" w:styleId="Header">
    <w:name w:val="header"/>
    <w:basedOn w:val="Normal"/>
    <w:link w:val="HeaderChar"/>
    <w:rsid w:val="00C3287B"/>
    <w:pPr>
      <w:tabs>
        <w:tab w:val="center" w:pos="4320"/>
        <w:tab w:val="right" w:pos="8640"/>
      </w:tabs>
    </w:pPr>
  </w:style>
  <w:style w:type="character" w:customStyle="1" w:styleId="HeaderChar">
    <w:name w:val="Header Char"/>
    <w:basedOn w:val="DefaultParagraphFont"/>
    <w:link w:val="Header"/>
    <w:rsid w:val="00C3287B"/>
    <w:rPr>
      <w:rFonts w:ascii="Times New Roman" w:eastAsia="Times New Roman" w:hAnsi="Times New Roman"/>
      <w:szCs w:val="20"/>
    </w:rPr>
  </w:style>
  <w:style w:type="paragraph" w:customStyle="1" w:styleId="IndentedQuote">
    <w:name w:val="IndentedQuote"/>
    <w:basedOn w:val="Normal"/>
    <w:rsid w:val="00C3287B"/>
    <w:pPr>
      <w:spacing w:line="260" w:lineRule="exact"/>
      <w:ind w:left="1080" w:right="1080"/>
    </w:pPr>
  </w:style>
  <w:style w:type="paragraph" w:styleId="MacroText">
    <w:name w:val="macro"/>
    <w:link w:val="MacroTextChar"/>
    <w:semiHidden/>
    <w:rsid w:val="00C3287B"/>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2"/>
      <w:szCs w:val="20"/>
    </w:rPr>
  </w:style>
  <w:style w:type="character" w:customStyle="1" w:styleId="MacroTextChar">
    <w:name w:val="Macro Text Char"/>
    <w:basedOn w:val="DefaultParagraphFont"/>
    <w:link w:val="MacroText"/>
    <w:semiHidden/>
    <w:rsid w:val="00C3287B"/>
    <w:rPr>
      <w:rFonts w:ascii="Times New Roman" w:eastAsia="Times New Roman" w:hAnsi="Times New Roman"/>
      <w:sz w:val="22"/>
      <w:szCs w:val="20"/>
    </w:rPr>
  </w:style>
  <w:style w:type="character" w:styleId="PageNumber">
    <w:name w:val="page number"/>
    <w:basedOn w:val="DefaultParagraphFont"/>
    <w:rsid w:val="00C32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5976</Words>
  <Characters>31604</Characters>
  <Application>Microsoft Office Word</Application>
  <DocSecurity>0</DocSecurity>
  <Lines>551</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2022-12-22T22:47:00Z</dcterms:created>
  <dcterms:modified xsi:type="dcterms:W3CDTF">2022-12-22T22:47:00Z</dcterms:modified>
  <cp:category/>
</cp:coreProperties>
</file>