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15AAC" w:rsidRPr="00DB74FE" w:rsidP="0027183E" w14:paraId="2BE1A884" w14:textId="4638D268">
      <w:pPr>
        <w:spacing w:line="240" w:lineRule="auto"/>
        <w:rPr>
          <w:sz w:val="20"/>
          <w:szCs w:val="20"/>
        </w:rPr>
      </w:pPr>
      <w:r w:rsidRPr="00DB74FE">
        <w:rPr>
          <w:sz w:val="20"/>
          <w:szCs w:val="20"/>
        </w:rPr>
        <w:t xml:space="preserve">Filed </w:t>
      </w:r>
      <w:r w:rsidRPr="00DB74FE" w:rsidR="00241176">
        <w:rPr>
          <w:sz w:val="20"/>
          <w:szCs w:val="20"/>
        </w:rPr>
        <w:t>9/1</w:t>
      </w:r>
      <w:r w:rsidRPr="00DB74FE">
        <w:rPr>
          <w:sz w:val="20"/>
          <w:szCs w:val="20"/>
        </w:rPr>
        <w:t>/22</w:t>
      </w:r>
    </w:p>
    <w:p w:rsidR="001E448D" w:rsidP="00E15AAC" w14:paraId="0185C21F" w14:textId="6399EE58">
      <w:pPr>
        <w:spacing w:line="240" w:lineRule="auto"/>
        <w:jc w:val="center"/>
        <w:rPr>
          <w:b/>
          <w:bCs/>
        </w:rPr>
      </w:pPr>
      <w:r w:rsidRPr="00E15AAC">
        <w:rPr>
          <w:b/>
          <w:bCs/>
        </w:rPr>
        <w:t>CERTIFIED FOR PUBLICATION</w:t>
      </w:r>
    </w:p>
    <w:p w:rsidR="00E15AAC" w:rsidP="001E448D" w14:paraId="235988F3" w14:textId="77777777">
      <w:pPr>
        <w:spacing w:line="240" w:lineRule="auto"/>
      </w:pPr>
    </w:p>
    <w:p w:rsidR="001E448D" w:rsidP="001E448D" w14:paraId="686FB20A" w14:textId="200E298A">
      <w:pPr>
        <w:spacing w:line="240" w:lineRule="auto"/>
      </w:pPr>
    </w:p>
    <w:p w:rsidR="001E448D" w:rsidP="001E448D" w14:paraId="5A5C48EE" w14:textId="7D53FBF7">
      <w:pPr>
        <w:spacing w:line="240" w:lineRule="auto"/>
        <w:jc w:val="center"/>
      </w:pPr>
      <w:r>
        <w:t>IN THE COURT OF APPEAL OF THE STATE OF CALIFORNIA</w:t>
      </w:r>
    </w:p>
    <w:p w:rsidR="001E448D" w:rsidP="001E448D" w14:paraId="19F632EF" w14:textId="150CCC93">
      <w:pPr>
        <w:spacing w:line="240" w:lineRule="auto"/>
        <w:jc w:val="center"/>
      </w:pPr>
    </w:p>
    <w:p w:rsidR="001E448D" w:rsidP="001E448D" w14:paraId="2710DD66" w14:textId="217E5D06">
      <w:pPr>
        <w:spacing w:line="240" w:lineRule="auto"/>
        <w:jc w:val="center"/>
      </w:pPr>
      <w:r>
        <w:t>SIXTH APPELLATE DISTRICT</w:t>
      </w:r>
    </w:p>
    <w:p w:rsidR="001E448D" w:rsidP="001E448D" w14:paraId="07C377A4" w14:textId="70D1747D">
      <w:pPr>
        <w:spacing w:line="240" w:lineRule="auto"/>
        <w:jc w:val="center"/>
      </w:pPr>
    </w:p>
    <w:p w:rsidR="001E448D" w:rsidP="001E448D" w14:paraId="2E6EDC2B" w14:textId="6E0121BA">
      <w:pPr>
        <w:spacing w:line="240" w:lineRule="auto"/>
        <w:jc w:val="center"/>
      </w:pPr>
    </w:p>
    <w:tbl>
      <w:tblPr>
        <w:tblW w:w="0" w:type="auto"/>
        <w:tblLayout w:type="fixed"/>
        <w:tblLook w:val="0000"/>
      </w:tblPr>
      <w:tblGrid>
        <w:gridCol w:w="4680"/>
        <w:gridCol w:w="4680"/>
      </w:tblGrid>
      <w:tr w14:paraId="51D085D9" w14:textId="77777777" w:rsidTr="001E448D">
        <w:tblPrEx>
          <w:tblW w:w="0" w:type="auto"/>
          <w:tblLayout w:type="fixed"/>
          <w:tblLook w:val="0000"/>
        </w:tblPrEx>
        <w:tc>
          <w:tcPr>
            <w:tcW w:w="4680" w:type="dxa"/>
            <w:tcBorders>
              <w:bottom w:val="single" w:sz="4" w:space="0" w:color="auto"/>
              <w:right w:val="single" w:sz="4" w:space="0" w:color="auto"/>
            </w:tcBorders>
            <w:shd w:val="clear" w:color="auto" w:fill="auto"/>
          </w:tcPr>
          <w:p w:rsidR="001E448D" w:rsidP="001E448D" w14:paraId="45D9AECB" w14:textId="77777777">
            <w:pPr>
              <w:spacing w:line="240" w:lineRule="auto"/>
            </w:pPr>
            <w:r>
              <w:t>THE PEOPLE,</w:t>
            </w:r>
          </w:p>
          <w:p w:rsidR="001E448D" w:rsidP="001E448D" w14:paraId="45705B8D" w14:textId="77777777">
            <w:pPr>
              <w:spacing w:line="240" w:lineRule="auto"/>
            </w:pPr>
          </w:p>
          <w:p w:rsidR="001E448D" w:rsidP="001E448D" w14:paraId="7BD3080D" w14:textId="77777777">
            <w:pPr>
              <w:spacing w:line="240" w:lineRule="auto"/>
              <w:ind w:left="720"/>
            </w:pPr>
            <w:r>
              <w:t>Plaintiff and Respondent,</w:t>
            </w:r>
          </w:p>
          <w:p w:rsidR="001E448D" w:rsidP="001E448D" w14:paraId="244631E1" w14:textId="77777777">
            <w:pPr>
              <w:spacing w:line="240" w:lineRule="auto"/>
              <w:ind w:left="720"/>
            </w:pPr>
          </w:p>
          <w:p w:rsidR="001E448D" w:rsidP="001E448D" w14:paraId="5BDC3E2D" w14:textId="77777777">
            <w:pPr>
              <w:spacing w:line="240" w:lineRule="auto"/>
              <w:ind w:left="720"/>
            </w:pPr>
            <w:r>
              <w:t>v.</w:t>
            </w:r>
          </w:p>
          <w:p w:rsidR="001E448D" w:rsidP="001E448D" w14:paraId="5A20B34F" w14:textId="77777777">
            <w:pPr>
              <w:spacing w:line="240" w:lineRule="auto"/>
            </w:pPr>
          </w:p>
          <w:p w:rsidR="001E448D" w:rsidP="001E448D" w14:paraId="6D5A3D63" w14:textId="77777777">
            <w:pPr>
              <w:spacing w:line="240" w:lineRule="auto"/>
            </w:pPr>
            <w:bookmarkStart w:id="0" w:name="_Hlk112672614"/>
            <w:r>
              <w:t>QUOC AI NGUYEN</w:t>
            </w:r>
            <w:bookmarkEnd w:id="0"/>
            <w:r>
              <w:t>,</w:t>
            </w:r>
          </w:p>
          <w:p w:rsidR="001E448D" w:rsidP="001E448D" w14:paraId="0F3F3B57" w14:textId="77777777">
            <w:pPr>
              <w:spacing w:line="240" w:lineRule="auto"/>
            </w:pPr>
          </w:p>
          <w:p w:rsidR="001E448D" w:rsidP="001E448D" w14:paraId="3F10784A" w14:textId="77777777">
            <w:pPr>
              <w:spacing w:line="240" w:lineRule="auto"/>
              <w:ind w:left="720"/>
            </w:pPr>
            <w:r>
              <w:t>Defendant and Appellant.</w:t>
            </w:r>
          </w:p>
          <w:p w:rsidR="001E448D" w:rsidP="001E448D" w14:paraId="242F1707" w14:textId="73528049">
            <w:pPr>
              <w:spacing w:line="240" w:lineRule="auto"/>
            </w:pPr>
          </w:p>
        </w:tc>
        <w:tc>
          <w:tcPr>
            <w:tcW w:w="4680" w:type="dxa"/>
            <w:tcBorders>
              <w:left w:val="single" w:sz="4" w:space="0" w:color="auto"/>
            </w:tcBorders>
            <w:shd w:val="clear" w:color="auto" w:fill="auto"/>
          </w:tcPr>
          <w:p w:rsidR="001E448D" w:rsidP="001E448D" w14:paraId="4B269BD8" w14:textId="77777777">
            <w:pPr>
              <w:spacing w:line="240" w:lineRule="auto"/>
            </w:pPr>
            <w:r>
              <w:t xml:space="preserve">      H047893</w:t>
            </w:r>
          </w:p>
          <w:p w:rsidR="001E448D" w:rsidP="001E448D" w14:paraId="41E9CA51" w14:textId="77777777">
            <w:pPr>
              <w:spacing w:line="240" w:lineRule="auto"/>
            </w:pPr>
            <w:r>
              <w:t xml:space="preserve">     (Santa Clara County</w:t>
            </w:r>
          </w:p>
          <w:p w:rsidR="001E448D" w:rsidP="001E448D" w14:paraId="35627A3C" w14:textId="0082918D">
            <w:pPr>
              <w:spacing w:line="240" w:lineRule="auto"/>
            </w:pPr>
            <w:r>
              <w:t xml:space="preserve">      Super. Ct. No</w:t>
            </w:r>
            <w:r w:rsidR="005772F6">
              <w:t>s</w:t>
            </w:r>
            <w:r>
              <w:t xml:space="preserve">. </w:t>
            </w:r>
            <w:bookmarkStart w:id="1" w:name="_Hlk112672424"/>
            <w:r>
              <w:t xml:space="preserve">C1910627, C1652927, </w:t>
            </w:r>
          </w:p>
          <w:p w:rsidR="001E448D" w:rsidP="001E448D" w14:paraId="3D932A74" w14:textId="0EA8BBA8">
            <w:pPr>
              <w:spacing w:line="240" w:lineRule="auto"/>
            </w:pPr>
            <w:r>
              <w:t xml:space="preserve">      C1766436</w:t>
            </w:r>
            <w:bookmarkEnd w:id="1"/>
            <w:r>
              <w:t>)</w:t>
            </w:r>
          </w:p>
        </w:tc>
      </w:tr>
    </w:tbl>
    <w:p w:rsidR="00C42FFA" w:rsidP="00C42FFA" w14:paraId="2274F11E" w14:textId="77777777">
      <w:pPr>
        <w:pStyle w:val="NoSpacing"/>
        <w:spacing w:line="480" w:lineRule="atLeast"/>
        <w:ind w:firstLine="720"/>
      </w:pPr>
    </w:p>
    <w:p w:rsidR="00C42FFA" w:rsidP="00106585" w14:paraId="16AC4FCA" w14:textId="19D73F86">
      <w:pPr>
        <w:pStyle w:val="NoSpacing"/>
        <w:spacing w:line="480" w:lineRule="atLeast"/>
        <w:ind w:firstLine="720"/>
      </w:pPr>
      <w:r>
        <w:t xml:space="preserve">Under the </w:t>
      </w:r>
      <w:bookmarkStart w:id="2" w:name="_Hlk112225317"/>
      <w:r>
        <w:t xml:space="preserve">Interstate Agreement on Detainers (Detainer Agreement, Pen. Code, </w:t>
      </w:r>
      <w:bookmarkStart w:id="3" w:name="_Hlk112403592"/>
      <w:r>
        <w:t>§ 1389</w:t>
      </w:r>
      <w:bookmarkEnd w:id="3"/>
      <w:r>
        <w:t>),</w:t>
      </w:r>
      <w:r>
        <w:rPr>
          <w:rStyle w:val="FootnoteReference"/>
        </w:rPr>
        <w:footnoteReference w:id="3"/>
      </w:r>
      <w:bookmarkEnd w:id="2"/>
      <w:r>
        <w:t xml:space="preserve"> a person serving a sentence of imprisonment in one participating state and subject to a detainer for charges pending in another participating state may demand final disposition of those pending charges within 180 days of receipt of </w:t>
      </w:r>
      <w:r w:rsidR="00E150C7">
        <w:t>the</w:t>
      </w:r>
      <w:r>
        <w:t xml:space="preserve"> demand.  Quoc Ai Nguyen’s appeal calls for us to determine</w:t>
      </w:r>
      <w:r w:rsidR="00046376">
        <w:t xml:space="preserve">, </w:t>
      </w:r>
      <w:r w:rsidR="00EC6A0B">
        <w:t>as a threshold matter</w:t>
      </w:r>
      <w:r w:rsidR="00046376">
        <w:t>,</w:t>
      </w:r>
      <w:r>
        <w:t xml:space="preserve"> whether</w:t>
      </w:r>
      <w:r w:rsidR="00597245">
        <w:t xml:space="preserve"> </w:t>
      </w:r>
      <w:r w:rsidR="00775BD3">
        <w:t>a</w:t>
      </w:r>
      <w:r w:rsidR="009F0AFF">
        <w:t>nother state’s</w:t>
      </w:r>
      <w:r w:rsidR="00125057">
        <w:t xml:space="preserve"> </w:t>
      </w:r>
      <w:r>
        <w:t xml:space="preserve">unreasonable delay in notifying him of </w:t>
      </w:r>
      <w:r w:rsidR="00E150C7">
        <w:t xml:space="preserve">his </w:t>
      </w:r>
      <w:r w:rsidR="0083301A">
        <w:t xml:space="preserve">California </w:t>
      </w:r>
      <w:r>
        <w:t xml:space="preserve">detainer and right to demand final disposition of </w:t>
      </w:r>
      <w:r w:rsidR="0083301A">
        <w:t>the underlying</w:t>
      </w:r>
      <w:r>
        <w:t xml:space="preserve"> charges </w:t>
      </w:r>
      <w:r w:rsidR="009F0AFF">
        <w:t xml:space="preserve">would </w:t>
      </w:r>
      <w:r>
        <w:t>entitle him to dismissal</w:t>
      </w:r>
      <w:r w:rsidR="00F83165">
        <w:t xml:space="preserve"> of his pending charges</w:t>
      </w:r>
      <w:r>
        <w:t>.</w:t>
      </w:r>
      <w:r w:rsidR="0015621B">
        <w:t xml:space="preserve">  (</w:t>
      </w:r>
      <w:r w:rsidRPr="001C54A3" w:rsidR="001C54A3">
        <w:t>§ 1389</w:t>
      </w:r>
      <w:r w:rsidR="001C54A3">
        <w:t>, a</w:t>
      </w:r>
      <w:r w:rsidR="0015621B">
        <w:t>rt. III, subd. (a).)</w:t>
      </w:r>
      <w:r w:rsidRPr="00B32DF9">
        <w:t xml:space="preserve"> </w:t>
      </w:r>
      <w:r>
        <w:t xml:space="preserve"> Because interpretation of the </w:t>
      </w:r>
      <w:r w:rsidR="00A215D3">
        <w:t>c</w:t>
      </w:r>
      <w:r>
        <w:t xml:space="preserve">ongressionally sanctioned agreement is a matter of federal law, we follow a series of federal decisions holding that dismissal is not a remedy for breach of this duty of prompt notice.  We </w:t>
      </w:r>
      <w:r>
        <w:t>therefore</w:t>
      </w:r>
      <w:r w:rsidR="00245AAB">
        <w:t xml:space="preserve"> conclude that </w:t>
      </w:r>
      <w:r w:rsidR="00EC6A0B">
        <w:t xml:space="preserve">the </w:t>
      </w:r>
      <w:r w:rsidR="00245AAB">
        <w:t xml:space="preserve">hearing </w:t>
      </w:r>
      <w:r w:rsidR="00EC6A0B">
        <w:t>Nguyen requests as to the reasonableness of th</w:t>
      </w:r>
      <w:r w:rsidR="0083301A">
        <w:t>is</w:t>
      </w:r>
      <w:r w:rsidR="00EC6A0B">
        <w:t xml:space="preserve"> delay</w:t>
      </w:r>
      <w:r w:rsidR="0083301A">
        <w:t xml:space="preserve"> </w:t>
      </w:r>
      <w:r w:rsidR="006B559E">
        <w:t xml:space="preserve">would </w:t>
      </w:r>
      <w:r w:rsidR="0083301A">
        <w:t>serve no purpose under the Detainer Agreement</w:t>
      </w:r>
      <w:r w:rsidR="009F0AFF">
        <w:t>,</w:t>
      </w:r>
      <w:r w:rsidR="00245AAB">
        <w:t xml:space="preserve"> and</w:t>
      </w:r>
      <w:r>
        <w:t xml:space="preserve"> </w:t>
      </w:r>
      <w:r w:rsidR="009F0AFF">
        <w:t xml:space="preserve">we </w:t>
      </w:r>
      <w:r>
        <w:t>affirm the judgment.</w:t>
      </w:r>
    </w:p>
    <w:p w:rsidR="00FC06CE" w:rsidP="001231D7" w14:paraId="23C99BCE" w14:textId="514E5315">
      <w:pPr>
        <w:pStyle w:val="NoSpacing"/>
        <w:numPr>
          <w:ilvl w:val="0"/>
          <w:numId w:val="1"/>
        </w:numPr>
        <w:spacing w:line="480" w:lineRule="atLeast"/>
        <w:jc w:val="center"/>
        <w:rPr>
          <w:b/>
          <w:bCs/>
        </w:rPr>
      </w:pPr>
      <w:r w:rsidRPr="00FC06CE">
        <w:rPr>
          <w:b/>
          <w:bCs/>
        </w:rPr>
        <w:t>BACKGROUND</w:t>
      </w:r>
    </w:p>
    <w:p w:rsidR="00580334" w:rsidP="001231D7" w14:paraId="238049DE" w14:textId="4BC36342">
      <w:pPr>
        <w:pStyle w:val="NoSpacing"/>
        <w:spacing w:line="480" w:lineRule="atLeast"/>
        <w:ind w:firstLine="720"/>
      </w:pPr>
      <w:r>
        <w:t xml:space="preserve">In December 2016, the Santa Clara County District Attorney </w:t>
      </w:r>
      <w:r w:rsidR="00176ACF">
        <w:t>(District Attorney)</w:t>
      </w:r>
      <w:r>
        <w:t xml:space="preserve"> filed a complaint </w:t>
      </w:r>
      <w:r w:rsidR="00106585">
        <w:t>(</w:t>
      </w:r>
      <w:r>
        <w:t>C1652927</w:t>
      </w:r>
      <w:r w:rsidR="00106585">
        <w:t>)</w:t>
      </w:r>
      <w:r>
        <w:t xml:space="preserve"> charging Nguyen with possession for sale and transportation of a controlled substance. </w:t>
      </w:r>
    </w:p>
    <w:p w:rsidR="00A87BF1" w:rsidP="001231D7" w14:paraId="27BC591C" w14:textId="68A87049">
      <w:pPr>
        <w:pStyle w:val="NoSpacing"/>
        <w:spacing w:line="480" w:lineRule="atLeast"/>
        <w:ind w:firstLine="720"/>
      </w:pPr>
      <w:r>
        <w:t xml:space="preserve">Six months later, the District Attorney filed a complaint in </w:t>
      </w:r>
      <w:r w:rsidR="00106585">
        <w:t xml:space="preserve">a second </w:t>
      </w:r>
      <w:r>
        <w:t xml:space="preserve">case </w:t>
      </w:r>
      <w:r w:rsidR="00106585">
        <w:t>(</w:t>
      </w:r>
      <w:r>
        <w:t>C1766436</w:t>
      </w:r>
      <w:r w:rsidR="00106585">
        <w:t>)</w:t>
      </w:r>
      <w:r>
        <w:t xml:space="preserve"> </w:t>
      </w:r>
      <w:r w:rsidR="00580334">
        <w:t xml:space="preserve">charging Nguyen </w:t>
      </w:r>
      <w:r>
        <w:t>with</w:t>
      </w:r>
      <w:r w:rsidR="00106585">
        <w:t xml:space="preserve"> additional controlled substance offenses</w:t>
      </w:r>
      <w:r>
        <w:t xml:space="preserve">. </w:t>
      </w:r>
      <w:r w:rsidR="00D7604F">
        <w:t xml:space="preserve"> </w:t>
      </w:r>
    </w:p>
    <w:p w:rsidR="00F76E34" w:rsidP="00E615E9" w14:paraId="5BCA28FD" w14:textId="7D614672">
      <w:pPr>
        <w:pStyle w:val="NoSpacing"/>
        <w:spacing w:line="480" w:lineRule="atLeast"/>
        <w:ind w:firstLine="720"/>
      </w:pPr>
      <w:r>
        <w:t xml:space="preserve">In </w:t>
      </w:r>
      <w:r w:rsidR="00B571D6">
        <w:t xml:space="preserve">July 2017, </w:t>
      </w:r>
      <w:r>
        <w:t xml:space="preserve">Nguyen </w:t>
      </w:r>
      <w:r w:rsidR="00B571D6">
        <w:t xml:space="preserve">was arrested in La Plata County, Colorado for selling marijuana. </w:t>
      </w:r>
      <w:r w:rsidR="00E615E9">
        <w:t xml:space="preserve"> </w:t>
      </w:r>
      <w:r>
        <w:t xml:space="preserve">The following year, he was </w:t>
      </w:r>
      <w:r w:rsidR="0011175C">
        <w:t xml:space="preserve">convicted and sentenced to six years in </w:t>
      </w:r>
      <w:r w:rsidR="006224F1">
        <w:t>Colorado</w:t>
      </w:r>
      <w:r w:rsidR="00106585">
        <w:t xml:space="preserve"> state prison</w:t>
      </w:r>
      <w:r w:rsidR="0011175C">
        <w:t xml:space="preserve">. </w:t>
      </w:r>
    </w:p>
    <w:p w:rsidR="007C29CB" w:rsidP="007C29CB" w14:paraId="2E36CBB5" w14:textId="767766CF">
      <w:pPr>
        <w:pStyle w:val="NoSpacing"/>
        <w:spacing w:line="480" w:lineRule="atLeast"/>
        <w:ind w:firstLine="720"/>
      </w:pPr>
      <w:r>
        <w:t xml:space="preserve">On July 18, 2018, while incarcerated in Colorado, Nguyen sent an informal request to the warden for a final disposition of his </w:t>
      </w:r>
      <w:r w:rsidR="00F76E34">
        <w:t xml:space="preserve">pending </w:t>
      </w:r>
      <w:r>
        <w:t>charges in Santa Clara County.</w:t>
      </w:r>
      <w:r>
        <w:rPr>
          <w:rStyle w:val="FootnoteReference"/>
        </w:rPr>
        <w:footnoteReference w:id="4"/>
      </w:r>
      <w:r>
        <w:t xml:space="preserve">  </w:t>
      </w:r>
      <w:r w:rsidR="0015458E">
        <w:t xml:space="preserve">Two days later, Nguyen forwarded </w:t>
      </w:r>
      <w:r w:rsidR="006550DC">
        <w:t>his</w:t>
      </w:r>
      <w:r w:rsidR="0015458E">
        <w:t xml:space="preserve"> informal request to the District Attorney. </w:t>
      </w:r>
      <w:r w:rsidR="00283332">
        <w:t xml:space="preserve"> </w:t>
      </w:r>
      <w:r>
        <w:t>Consequently, on</w:t>
      </w:r>
      <w:r w:rsidR="00F76E34">
        <w:t xml:space="preserve"> </w:t>
      </w:r>
      <w:r w:rsidR="00DA44BD">
        <w:t xml:space="preserve">August 28, 2018, the District Attorney lodged a detainer with </w:t>
      </w:r>
      <w:r>
        <w:t>the Colorado warden</w:t>
      </w:r>
      <w:r w:rsidR="005E4C73">
        <w:t xml:space="preserve">, citing </w:t>
      </w:r>
      <w:r w:rsidR="001420CA">
        <w:t>his pending felony charges</w:t>
      </w:r>
      <w:r w:rsidR="00DA44BD">
        <w:t xml:space="preserve">. </w:t>
      </w:r>
      <w:r w:rsidR="004B6A6F">
        <w:t xml:space="preserve"> </w:t>
      </w:r>
      <w:r w:rsidR="00146FDE">
        <w:t xml:space="preserve">The </w:t>
      </w:r>
      <w:r w:rsidR="00881EB4">
        <w:t xml:space="preserve">Colorado </w:t>
      </w:r>
      <w:r w:rsidR="00146FDE">
        <w:t>warden</w:t>
      </w:r>
      <w:r w:rsidR="00F76E34">
        <w:t xml:space="preserve"> </w:t>
      </w:r>
      <w:r w:rsidR="004B6A6F">
        <w:t xml:space="preserve">acknowledged receipt of the detainer </w:t>
      </w:r>
      <w:r w:rsidR="00F76E34">
        <w:t xml:space="preserve">the next day, </w:t>
      </w:r>
      <w:r w:rsidR="004B6A6F">
        <w:t xml:space="preserve">August 29, 2018. </w:t>
      </w:r>
    </w:p>
    <w:p w:rsidR="00761052" w:rsidP="001231D7" w14:paraId="11D059BD" w14:textId="12518D70">
      <w:pPr>
        <w:pStyle w:val="NoSpacing"/>
        <w:spacing w:line="480" w:lineRule="atLeast"/>
        <w:ind w:firstLine="720"/>
      </w:pPr>
      <w:r>
        <w:t xml:space="preserve">It was not </w:t>
      </w:r>
      <w:r w:rsidR="00B76F34">
        <w:t>until</w:t>
      </w:r>
      <w:r w:rsidR="004B6A6F">
        <w:t xml:space="preserve"> December 5, 2018</w:t>
      </w:r>
      <w:r w:rsidR="003C73D9">
        <w:t xml:space="preserve">, a delay of </w:t>
      </w:r>
      <w:r w:rsidR="009B0351">
        <w:t xml:space="preserve">14 </w:t>
      </w:r>
      <w:r w:rsidR="003C73D9">
        <w:t>weeks</w:t>
      </w:r>
      <w:r>
        <w:t xml:space="preserve">, that the Colorado warden served Nguyen with the detainer and </w:t>
      </w:r>
      <w:r w:rsidR="001E2B13">
        <w:t xml:space="preserve">notice of </w:t>
      </w:r>
      <w:r w:rsidR="001752BC">
        <w:t xml:space="preserve">his </w:t>
      </w:r>
      <w:r w:rsidR="001E2B13">
        <w:t>right to demand final disposition of the charges</w:t>
      </w:r>
      <w:r w:rsidR="004B6A6F">
        <w:t xml:space="preserve">. </w:t>
      </w:r>
      <w:r w:rsidR="001D60E7">
        <w:t xml:space="preserve"> </w:t>
      </w:r>
      <w:r w:rsidR="00F059DE">
        <w:t xml:space="preserve">That same day, Nguyen formally requested final disposition of the charges; the District Attorney received </w:t>
      </w:r>
      <w:r w:rsidR="001E2B13">
        <w:t xml:space="preserve">Nguyen’s </w:t>
      </w:r>
      <w:r w:rsidR="00F059DE">
        <w:t xml:space="preserve">request </w:t>
      </w:r>
      <w:r w:rsidR="001E2B13">
        <w:t xml:space="preserve">from the Colorado warden </w:t>
      </w:r>
      <w:r w:rsidR="00F059DE">
        <w:t>o</w:t>
      </w:r>
      <w:r w:rsidR="001D60E7">
        <w:t>n December</w:t>
      </w:r>
      <w:r w:rsidR="006E6043">
        <w:t> </w:t>
      </w:r>
      <w:r w:rsidR="001D60E7">
        <w:t>21,</w:t>
      </w:r>
      <w:r w:rsidR="006E6043">
        <w:t> </w:t>
      </w:r>
      <w:r w:rsidR="001D60E7">
        <w:t xml:space="preserve">2018. </w:t>
      </w:r>
    </w:p>
    <w:p w:rsidR="00DA44BD" w:rsidP="00CF5D86" w14:paraId="7D6423FA" w14:textId="6A94F17A">
      <w:pPr>
        <w:pStyle w:val="NoSpacing"/>
        <w:spacing w:line="480" w:lineRule="atLeast"/>
        <w:ind w:firstLine="720"/>
      </w:pPr>
      <w:r>
        <w:t xml:space="preserve">On March 4, 2019, Nguyen was transported to Santa Clara County and </w:t>
      </w:r>
      <w:r w:rsidR="00F510E4">
        <w:t>was</w:t>
      </w:r>
      <w:r>
        <w:t xml:space="preserve"> arraigned </w:t>
      </w:r>
      <w:r w:rsidR="00F510E4">
        <w:t xml:space="preserve">the next day </w:t>
      </w:r>
      <w:r>
        <w:t xml:space="preserve">in </w:t>
      </w:r>
      <w:r w:rsidR="007C29CB">
        <w:t>his pending felony cases</w:t>
      </w:r>
      <w:r>
        <w:t xml:space="preserve">.  Nguyen moved to dismiss </w:t>
      </w:r>
      <w:r w:rsidR="007C29CB">
        <w:t xml:space="preserve">these and three pending misdemeanor matters </w:t>
      </w:r>
      <w:r>
        <w:t xml:space="preserve">under the </w:t>
      </w:r>
      <w:r w:rsidR="00B76F34">
        <w:t>Detainer Agreement</w:t>
      </w:r>
      <w:r w:rsidR="007C29CB">
        <w:t xml:space="preserve">, citing the lapse of more than 180 days </w:t>
      </w:r>
      <w:r w:rsidR="00C63120">
        <w:t xml:space="preserve">from </w:t>
      </w:r>
      <w:r w:rsidR="007C29CB">
        <w:t xml:space="preserve">receipt by the </w:t>
      </w:r>
      <w:r w:rsidR="00B527E3">
        <w:t>Santa Clara County Superior Court and District Attorney</w:t>
      </w:r>
      <w:r w:rsidR="00F059DE">
        <w:t xml:space="preserve"> </w:t>
      </w:r>
      <w:r w:rsidR="007C29CB">
        <w:t xml:space="preserve">of his </w:t>
      </w:r>
      <w:r w:rsidR="00EA6B76">
        <w:t>informal</w:t>
      </w:r>
      <w:r w:rsidR="009831A5">
        <w:t>, predetainer</w:t>
      </w:r>
      <w:r w:rsidR="00B527E3">
        <w:t xml:space="preserve"> request for final disposition of </w:t>
      </w:r>
      <w:r w:rsidR="00241EF4">
        <w:t xml:space="preserve">his </w:t>
      </w:r>
      <w:r w:rsidR="00B527E3">
        <w:t xml:space="preserve">charges. </w:t>
      </w:r>
    </w:p>
    <w:p w:rsidR="00EF19AB" w:rsidP="001231D7" w14:paraId="3BA09E41" w14:textId="56115DA1">
      <w:pPr>
        <w:pStyle w:val="NoSpacing"/>
        <w:spacing w:line="480" w:lineRule="atLeast"/>
        <w:ind w:firstLine="720"/>
      </w:pPr>
      <w:r>
        <w:t>On May 31, 2019, a</w:t>
      </w:r>
      <w:r w:rsidR="003C73D9">
        <w:t xml:space="preserve"> magistrate granted</w:t>
      </w:r>
      <w:r>
        <w:t xml:space="preserve"> Nguyen’s motion to dismiss</w:t>
      </w:r>
      <w:r w:rsidR="008A7BA6">
        <w:t xml:space="preserve">, finding that </w:t>
      </w:r>
      <w:r w:rsidR="00BB6704">
        <w:t xml:space="preserve">“the clock [under </w:t>
      </w:r>
      <w:r w:rsidR="004D58B1">
        <w:t xml:space="preserve">section 1389, </w:t>
      </w:r>
      <w:r w:rsidR="009B1149">
        <w:t xml:space="preserve">article III of </w:t>
      </w:r>
      <w:r w:rsidR="00BB6704">
        <w:t xml:space="preserve">the </w:t>
      </w:r>
      <w:r w:rsidR="003C73D9">
        <w:t>Detainer Agreement</w:t>
      </w:r>
      <w:r w:rsidR="00BB6704">
        <w:t>] began in July of 2017</w:t>
      </w:r>
      <w:r w:rsidR="00902728">
        <w:t>,</w:t>
      </w:r>
      <w:r w:rsidR="008A7BA6">
        <w:t>”</w:t>
      </w:r>
      <w:r w:rsidR="00902728">
        <w:t xml:space="preserve"> when </w:t>
      </w:r>
      <w:r w:rsidR="00E615E9">
        <w:t>the District Attorney began extradition proceedings</w:t>
      </w:r>
      <w:r w:rsidR="00902728">
        <w:t>.</w:t>
      </w:r>
      <w:r>
        <w:rPr>
          <w:rStyle w:val="FootnoteReference"/>
        </w:rPr>
        <w:footnoteReference w:id="5"/>
      </w:r>
      <w:r>
        <w:t xml:space="preserve"> </w:t>
      </w:r>
    </w:p>
    <w:p w:rsidR="000E23DD" w:rsidP="001231D7" w14:paraId="5B9B4B35" w14:textId="6974595F">
      <w:pPr>
        <w:pStyle w:val="NoSpacing"/>
        <w:spacing w:line="480" w:lineRule="atLeast"/>
        <w:ind w:firstLine="720"/>
      </w:pPr>
      <w:r>
        <w:t xml:space="preserve">In the superior court, the </w:t>
      </w:r>
      <w:r w:rsidR="00F059DE">
        <w:t xml:space="preserve">District Attorney </w:t>
      </w:r>
      <w:r>
        <w:t xml:space="preserve">filed a motion to compel </w:t>
      </w:r>
      <w:r w:rsidR="00F42CDF">
        <w:t xml:space="preserve">the </w:t>
      </w:r>
      <w:r>
        <w:t xml:space="preserve">magistrate to reinstate the complaints pursuant to section 871.5. </w:t>
      </w:r>
      <w:r w:rsidR="006E6043">
        <w:t xml:space="preserve"> </w:t>
      </w:r>
      <w:r>
        <w:t xml:space="preserve">The superior court granted the motion and ordered the reinstatement </w:t>
      </w:r>
      <w:r w:rsidR="00255993">
        <w:t xml:space="preserve">of </w:t>
      </w:r>
      <w:r>
        <w:t xml:space="preserve">the </w:t>
      </w:r>
      <w:r w:rsidR="00930411">
        <w:t xml:space="preserve">previously dismissed </w:t>
      </w:r>
      <w:r>
        <w:t xml:space="preserve">complaints. </w:t>
      </w:r>
      <w:r w:rsidR="00E07F9F">
        <w:t xml:space="preserve"> </w:t>
      </w:r>
      <w:r w:rsidRPr="00CF5D86" w:rsidR="007D0F49">
        <w:t xml:space="preserve">Because the District Attorney had in the meantime obtained an indictment on all pending felony charges under a new case number, C1910627, </w:t>
      </w:r>
      <w:r w:rsidR="007D0F49">
        <w:t>t</w:t>
      </w:r>
      <w:r w:rsidR="00E07F9F">
        <w:t xml:space="preserve">he court </w:t>
      </w:r>
      <w:r w:rsidR="00B311F9">
        <w:t xml:space="preserve">later </w:t>
      </w:r>
      <w:r w:rsidR="00E07F9F">
        <w:t xml:space="preserve">dismissed </w:t>
      </w:r>
      <w:r w:rsidR="00F059DE">
        <w:t>the felony complaints in light</w:t>
      </w:r>
      <w:r w:rsidR="00E07F9F">
        <w:t xml:space="preserve"> </w:t>
      </w:r>
      <w:r w:rsidR="007E67CC">
        <w:t xml:space="preserve">of </w:t>
      </w:r>
      <w:r w:rsidR="00E07F9F">
        <w:t>the indictment.</w:t>
      </w:r>
      <w:r>
        <w:rPr>
          <w:rStyle w:val="FootnoteReference"/>
        </w:rPr>
        <w:footnoteReference w:id="6"/>
      </w:r>
      <w:r w:rsidR="00E07F9F">
        <w:t xml:space="preserve"> </w:t>
      </w:r>
    </w:p>
    <w:p w:rsidR="00E07F9F" w:rsidP="00B16825" w14:paraId="1694A9A3" w14:textId="2F30E98C">
      <w:pPr>
        <w:pStyle w:val="NoSpacing"/>
        <w:spacing w:line="480" w:lineRule="atLeast"/>
        <w:ind w:firstLine="720"/>
      </w:pPr>
      <w:r>
        <w:t xml:space="preserve">Nguyen </w:t>
      </w:r>
      <w:r w:rsidR="00F059DE">
        <w:t>thereafter pleaded</w:t>
      </w:r>
      <w:r w:rsidR="00016A4E">
        <w:t xml:space="preserve"> guilty </w:t>
      </w:r>
      <w:r w:rsidR="00B311F9">
        <w:t>to a subset of the charges in return for</w:t>
      </w:r>
      <w:r w:rsidR="00052978">
        <w:t xml:space="preserve"> a negotiated </w:t>
      </w:r>
      <w:r w:rsidR="00B311F9">
        <w:t>sentence and dismissal of the remaining counts</w:t>
      </w:r>
      <w:r w:rsidR="00016A4E">
        <w:t xml:space="preserve">. </w:t>
      </w:r>
      <w:r w:rsidR="00FC5BE0">
        <w:t xml:space="preserve"> </w:t>
      </w:r>
      <w:r w:rsidR="00016A4E">
        <w:t>The trial court sentenced Nguyen to the stipulated term of two years</w:t>
      </w:r>
      <w:r w:rsidR="00B16825">
        <w:t xml:space="preserve"> in prison,</w:t>
      </w:r>
      <w:r>
        <w:rPr>
          <w:rStyle w:val="FootnoteReference"/>
        </w:rPr>
        <w:footnoteReference w:id="7"/>
      </w:r>
      <w:r w:rsidR="00B311F9">
        <w:t xml:space="preserve"> concurrent to his six-year Colorado term. </w:t>
      </w:r>
      <w:r w:rsidR="00C66567">
        <w:t xml:space="preserve"> Nguyen </w:t>
      </w:r>
      <w:r w:rsidR="00B16825">
        <w:t xml:space="preserve">timely </w:t>
      </w:r>
      <w:r w:rsidR="00C66567">
        <w:t xml:space="preserve">appealed and was granted a certificate of probable cause. </w:t>
      </w:r>
    </w:p>
    <w:p w:rsidR="00496C7C" w:rsidRPr="00496C7C" w:rsidP="001231D7" w14:paraId="20A755A7" w14:textId="7A8A268C">
      <w:pPr>
        <w:pStyle w:val="NoSpacing"/>
        <w:numPr>
          <w:ilvl w:val="0"/>
          <w:numId w:val="1"/>
        </w:numPr>
        <w:spacing w:line="480" w:lineRule="atLeast"/>
        <w:jc w:val="center"/>
        <w:rPr>
          <w:b/>
          <w:bCs/>
        </w:rPr>
      </w:pPr>
      <w:r w:rsidRPr="00496C7C">
        <w:rPr>
          <w:b/>
          <w:bCs/>
        </w:rPr>
        <w:t xml:space="preserve">DISCUSSION </w:t>
      </w:r>
    </w:p>
    <w:p w:rsidR="001C08F3" w:rsidP="001231D7" w14:paraId="714B0D26" w14:textId="0B665F7B">
      <w:pPr>
        <w:pStyle w:val="NoSpacing"/>
        <w:spacing w:line="480" w:lineRule="atLeast"/>
        <w:ind w:firstLine="720"/>
      </w:pPr>
      <w:r>
        <w:t xml:space="preserve">Nguyen argues that the </w:t>
      </w:r>
      <w:r w:rsidR="007F77B7">
        <w:t xml:space="preserve">superior </w:t>
      </w:r>
      <w:r>
        <w:t xml:space="preserve">court erred </w:t>
      </w:r>
      <w:r w:rsidR="00052978">
        <w:t xml:space="preserve">by </w:t>
      </w:r>
      <w:r w:rsidR="007F77B7">
        <w:t xml:space="preserve">ordering the </w:t>
      </w:r>
      <w:r w:rsidR="00052978">
        <w:t>reinstat</w:t>
      </w:r>
      <w:r w:rsidR="007F77B7">
        <w:t>ement of</w:t>
      </w:r>
      <w:r>
        <w:t xml:space="preserve"> the</w:t>
      </w:r>
      <w:r w:rsidR="00BC561C">
        <w:t xml:space="preserve"> </w:t>
      </w:r>
      <w:r>
        <w:t xml:space="preserve">dismissed complaints under section 871.5 without </w:t>
      </w:r>
      <w:r w:rsidR="00052978">
        <w:t xml:space="preserve">conducting </w:t>
      </w:r>
      <w:r>
        <w:t xml:space="preserve">a hearing </w:t>
      </w:r>
      <w:r w:rsidR="0049196A">
        <w:t xml:space="preserve">to determine whether </w:t>
      </w:r>
      <w:r>
        <w:t xml:space="preserve">the </w:t>
      </w:r>
      <w:r w:rsidR="00557C0F">
        <w:t xml:space="preserve">Colorado </w:t>
      </w:r>
      <w:r>
        <w:t xml:space="preserve">warden unreasonably delayed </w:t>
      </w:r>
      <w:r w:rsidR="00404B35">
        <w:t xml:space="preserve">notifying him of the detainer and his </w:t>
      </w:r>
      <w:r w:rsidR="001E2B13">
        <w:t xml:space="preserve">right under article III of the Detainer Agreement to </w:t>
      </w:r>
      <w:r w:rsidR="00404B35">
        <w:t xml:space="preserve">request </w:t>
      </w:r>
      <w:r w:rsidR="00A441E9">
        <w:t xml:space="preserve">final </w:t>
      </w:r>
      <w:r>
        <w:t>disposition</w:t>
      </w:r>
      <w:r w:rsidR="00A441E9">
        <w:t xml:space="preserve"> of his </w:t>
      </w:r>
      <w:r w:rsidR="001E2B13">
        <w:t>pending California charges</w:t>
      </w:r>
      <w:r>
        <w:t xml:space="preserve">. </w:t>
      </w:r>
    </w:p>
    <w:p w:rsidR="00C6088E" w:rsidP="00C6088E" w14:paraId="5E81B51E" w14:textId="310E1D43">
      <w:pPr>
        <w:pStyle w:val="NoSpacing"/>
        <w:numPr>
          <w:ilvl w:val="0"/>
          <w:numId w:val="3"/>
        </w:numPr>
        <w:spacing w:line="480" w:lineRule="atLeast"/>
      </w:pPr>
      <w:r>
        <w:rPr>
          <w:b/>
          <w:bCs/>
          <w:i/>
          <w:iCs/>
        </w:rPr>
        <w:t>Standard of Review</w:t>
      </w:r>
    </w:p>
    <w:p w:rsidR="00C6088E" w:rsidP="00C6088E" w14:paraId="3CCA8E88" w14:textId="0D3E0DA5">
      <w:pPr>
        <w:pStyle w:val="NoSpacing"/>
        <w:spacing w:line="480" w:lineRule="atLeast"/>
        <w:ind w:firstLine="720"/>
      </w:pPr>
      <w:r>
        <w:t xml:space="preserve">Upon a magistrate’s dismissal of an action under </w:t>
      </w:r>
      <w:r w:rsidR="00C661EB">
        <w:t xml:space="preserve">the </w:t>
      </w:r>
      <w:r>
        <w:t>Detainer Agreement, the prosecutor may make a motion in the superior court to compel the magistrate to reinstate the dismissed complaint.  (§ 871.5, subd. (a).)  “The only ground for the motion shall be that, as a matter of law, the magistrate erroneously dismissed the action or a portion thereof.”  (</w:t>
      </w:r>
      <w:bookmarkStart w:id="5" w:name="_Hlk112225603"/>
      <w:r w:rsidRPr="00B16825">
        <w:t>§</w:t>
      </w:r>
      <w:bookmarkEnd w:id="5"/>
      <w:r w:rsidRPr="00B16825">
        <w:t xml:space="preserve"> 871.5</w:t>
      </w:r>
      <w:r>
        <w:t>, subd. (b).)  On appeal, we directly examine the magistrate’s ruling to determine if the dismissal was erroneous as a mat</w:t>
      </w:r>
      <w:r w:rsidR="009B5CCC">
        <w:t>t</w:t>
      </w:r>
      <w:r>
        <w:t>er of law.  (</w:t>
      </w:r>
      <w:r>
        <w:rPr>
          <w:i/>
          <w:iCs/>
        </w:rPr>
        <w:t>People v. Shrier</w:t>
      </w:r>
      <w:r>
        <w:t xml:space="preserve"> (2010) 190 Cal.App.4th 400, 409-410</w:t>
      </w:r>
      <w:r w:rsidR="006B5ED2">
        <w:t xml:space="preserve"> (</w:t>
      </w:r>
      <w:r w:rsidR="006B5ED2">
        <w:rPr>
          <w:i/>
          <w:iCs/>
        </w:rPr>
        <w:t>Shrier</w:t>
      </w:r>
      <w:r w:rsidR="006B5ED2">
        <w:t>)</w:t>
      </w:r>
      <w:r>
        <w:t xml:space="preserve">.)  </w:t>
      </w:r>
      <w:r w:rsidR="00B311F9">
        <w:t>Although we draw all reasonable inferences in favor of the magistrate’s factual findings, if any, w</w:t>
      </w:r>
      <w:r>
        <w:t>e review the magistrate’s legal conclusions de novo.  (</w:t>
      </w:r>
      <w:r>
        <w:rPr>
          <w:i/>
          <w:iCs/>
        </w:rPr>
        <w:t>Id.</w:t>
      </w:r>
      <w:r>
        <w:t xml:space="preserve"> at p. 410.)</w:t>
      </w:r>
      <w:r>
        <w:rPr>
          <w:rStyle w:val="FootnoteReference"/>
        </w:rPr>
        <w:footnoteReference w:id="8"/>
      </w:r>
    </w:p>
    <w:p w:rsidR="006E6043" w:rsidP="00C6088E" w14:paraId="209E3A6D" w14:textId="749B8129">
      <w:pPr>
        <w:pStyle w:val="NoSpacing"/>
        <w:spacing w:line="480" w:lineRule="atLeast"/>
        <w:ind w:firstLine="720"/>
      </w:pPr>
    </w:p>
    <w:p w:rsidR="006E6043" w:rsidP="00C6088E" w14:paraId="0CB6FB95" w14:textId="77777777">
      <w:pPr>
        <w:pStyle w:val="NoSpacing"/>
        <w:spacing w:line="480" w:lineRule="atLeast"/>
        <w:ind w:firstLine="720"/>
      </w:pPr>
    </w:p>
    <w:p w:rsidR="00496C7C" w:rsidRPr="000C521D" w:rsidP="001231D7" w14:paraId="1D51D187" w14:textId="7169B68A">
      <w:pPr>
        <w:pStyle w:val="NoSpacing"/>
        <w:numPr>
          <w:ilvl w:val="0"/>
          <w:numId w:val="3"/>
        </w:numPr>
        <w:spacing w:line="480" w:lineRule="atLeast"/>
      </w:pPr>
      <w:r>
        <w:rPr>
          <w:b/>
          <w:bCs/>
          <w:i/>
          <w:iCs/>
        </w:rPr>
        <w:t>Legal Prin</w:t>
      </w:r>
      <w:r w:rsidR="00C04D0A">
        <w:rPr>
          <w:b/>
          <w:bCs/>
          <w:i/>
          <w:iCs/>
        </w:rPr>
        <w:t xml:space="preserve">ciples Governing the </w:t>
      </w:r>
      <w:r w:rsidR="00027311">
        <w:rPr>
          <w:b/>
          <w:bCs/>
          <w:i/>
          <w:iCs/>
        </w:rPr>
        <w:t>Detainer Agreement</w:t>
      </w:r>
    </w:p>
    <w:p w:rsidR="00F25815" w:rsidRPr="00724687" w:rsidP="001231D7" w14:paraId="50AE7DD4" w14:textId="44509593">
      <w:pPr>
        <w:pStyle w:val="NoSpacing"/>
        <w:spacing w:line="480" w:lineRule="atLeast"/>
        <w:ind w:firstLine="720"/>
      </w:pPr>
      <w:r>
        <w:t>The Detainer Agreement, codified in California at section 1389, “ ‘</w:t>
      </w:r>
      <w:r w:rsidR="00A10BA0">
        <w:t>facilitates the resolution of detainers, based on untried indictments, informations or complaints in one jurisdiction, lodged against persons who have “entered upon a term of imprisonment” in another jurisdiction.’ ”  (</w:t>
      </w:r>
      <w:r w:rsidR="00A10BA0">
        <w:rPr>
          <w:i/>
          <w:iCs/>
        </w:rPr>
        <w:t>People v. Lavin</w:t>
      </w:r>
      <w:r w:rsidR="00A10BA0">
        <w:t xml:space="preserve"> (2001) 88 Cal.App.4th 609, 612.)</w:t>
      </w:r>
      <w:r w:rsidR="00466B23">
        <w:t xml:space="preserve">  </w:t>
      </w:r>
      <w:r>
        <w:t>An alternative to extradition</w:t>
      </w:r>
      <w:r>
        <w:rPr>
          <w:rStyle w:val="FootnoteReference"/>
        </w:rPr>
        <w:footnoteReference w:id="9"/>
      </w:r>
      <w:r>
        <w:t xml:space="preserve"> for the signatories—48 states, the federal government, and the District of Columbia—t</w:t>
      </w:r>
      <w:r w:rsidR="00724687">
        <w:t xml:space="preserve">he </w:t>
      </w:r>
      <w:r>
        <w:t>Detainer Agreement “</w:t>
      </w:r>
      <w:r w:rsidR="000F0360">
        <w:t>is</w:t>
      </w:r>
      <w:r w:rsidR="00724687">
        <w:t xml:space="preserve"> intended to ‘encourage the expeditious and orderly disposition’ of any outstanding criminal charges.”  (</w:t>
      </w:r>
      <w:r w:rsidR="00724687">
        <w:rPr>
          <w:i/>
          <w:iCs/>
        </w:rPr>
        <w:t>Netzley v. Superior Court</w:t>
      </w:r>
      <w:r w:rsidR="00724687">
        <w:t xml:space="preserve"> (2008) 160 Cal.App.4th 348, 357</w:t>
      </w:r>
      <w:r w:rsidR="005939DC">
        <w:t xml:space="preserve"> (</w:t>
      </w:r>
      <w:r w:rsidR="005939DC">
        <w:rPr>
          <w:i/>
          <w:iCs/>
        </w:rPr>
        <w:t>Netzley</w:t>
      </w:r>
      <w:r w:rsidR="005939DC">
        <w:t>)</w:t>
      </w:r>
      <w:r w:rsidR="00724687">
        <w:t xml:space="preserve">; </w:t>
      </w:r>
      <w:bookmarkStart w:id="6" w:name="_Hlk112658541"/>
      <w:r w:rsidR="00EB5C0F">
        <w:t xml:space="preserve">§1389, </w:t>
      </w:r>
      <w:bookmarkEnd w:id="6"/>
      <w:r w:rsidR="0055599C">
        <w:t>a</w:t>
      </w:r>
      <w:r w:rsidR="00724687">
        <w:t xml:space="preserve">rt. I.)  </w:t>
      </w:r>
      <w:r w:rsidR="00F363E5">
        <w:t>“[T]he Detainer Agreement is a congressionally sanctioned interstate compact, the interpretation of which presents a question of federal law.”  (</w:t>
      </w:r>
      <w:r w:rsidRPr="00A64BB3" w:rsidR="00F363E5">
        <w:rPr>
          <w:i/>
          <w:iCs/>
        </w:rPr>
        <w:t>Cuyler</w:t>
      </w:r>
      <w:r w:rsidR="00EB5C0F">
        <w:t xml:space="preserve">, </w:t>
      </w:r>
      <w:r w:rsidRPr="00EB5C0F" w:rsidR="00EB5C0F">
        <w:rPr>
          <w:i/>
          <w:iCs/>
        </w:rPr>
        <w:t>supra</w:t>
      </w:r>
      <w:r w:rsidR="00EB5C0F">
        <w:t>,</w:t>
      </w:r>
      <w:r w:rsidR="00F363E5">
        <w:t xml:space="preserve"> 449 U.S. </w:t>
      </w:r>
      <w:r w:rsidR="00EB5C0F">
        <w:t>at p.</w:t>
      </w:r>
      <w:r w:rsidR="00F363E5">
        <w:t xml:space="preserve"> 442.)</w:t>
      </w:r>
    </w:p>
    <w:p w:rsidR="00D302C7" w:rsidP="001231D7" w14:paraId="69B13BAE" w14:textId="163620BD">
      <w:pPr>
        <w:pStyle w:val="NoSpacing"/>
        <w:spacing w:line="480" w:lineRule="atLeast"/>
        <w:ind w:firstLine="720"/>
      </w:pPr>
      <w:r>
        <w:t xml:space="preserve">The Detainer Agreement defines the responsibilities of (1) the “sending state” in which a person is presently serving a sentence of imprisonment and (2) the “receiving state,” in which that person still has pending charges that are subject to a “detainer.”  </w:t>
      </w:r>
      <w:r w:rsidRPr="00F43296">
        <w:t>“</w:t>
      </w:r>
      <w:r>
        <w:t>D</w:t>
      </w:r>
      <w:r w:rsidRPr="00F43296">
        <w:t xml:space="preserve">etainer” </w:t>
      </w:r>
      <w:r>
        <w:t>i</w:t>
      </w:r>
      <w:r w:rsidRPr="00F43296">
        <w:t xml:space="preserve">s </w:t>
      </w:r>
      <w:r>
        <w:t xml:space="preserve">a term of art, </w:t>
      </w:r>
      <w:r w:rsidRPr="00F43296">
        <w:t xml:space="preserve">“ </w:t>
      </w:r>
      <w:r w:rsidRPr="00F83BFE" w:rsidR="00F83BFE">
        <w:rPr>
          <w:szCs w:val="20"/>
        </w:rPr>
        <w:t>a formal notification, lodged with the authority under which a prisoner is confined, advising that the prisoner is wanted for prosecution in another jurisdiction.</w:t>
      </w:r>
      <w:r w:rsidR="00F83BFE">
        <w:t xml:space="preserve">”  </w:t>
      </w:r>
      <w:r w:rsidRPr="00F83BFE" w:rsidR="00F83BFE">
        <w:t>(</w:t>
      </w:r>
      <w:r w:rsidRPr="00F83BFE" w:rsidR="00F83BFE">
        <w:rPr>
          <w:i/>
          <w:iCs/>
        </w:rPr>
        <w:t>United States v. Kenaan</w:t>
      </w:r>
      <w:r w:rsidRPr="00F83BFE" w:rsidR="00F83BFE">
        <w:t> (1st Cir. 1977) 557 F.2d 912, 915</w:t>
      </w:r>
      <w:r w:rsidR="00F83BFE">
        <w:t xml:space="preserve"> [distinguishing pre-Detainer Agreement practice of mere “r</w:t>
      </w:r>
      <w:r w:rsidRPr="00F83BFE" w:rsidR="00F83BFE">
        <w:t>equest that the prisoner not be released until he could be taken into custody by the requesting stat</w:t>
      </w:r>
      <w:r w:rsidR="00F83BFE">
        <w:t>e]</w:t>
      </w:r>
      <w:r w:rsidRPr="00F83BFE" w:rsidR="00F83BFE">
        <w:t>.)</w:t>
      </w:r>
      <w:r>
        <w:rPr>
          <w:rStyle w:val="FootnoteReference"/>
        </w:rPr>
        <w:footnoteReference w:id="10"/>
      </w:r>
    </w:p>
    <w:p w:rsidR="006E7084" w:rsidRPr="008372C6" w:rsidP="00FB21A5" w14:paraId="443D3AA9" w14:textId="1AFD4C06">
      <w:pPr>
        <w:pStyle w:val="NoSpacing"/>
        <w:spacing w:line="480" w:lineRule="atLeast"/>
        <w:ind w:firstLine="720"/>
      </w:pPr>
      <w:r>
        <w:t xml:space="preserve">Under </w:t>
      </w:r>
      <w:r w:rsidR="008572F5">
        <w:t>a</w:t>
      </w:r>
      <w:r>
        <w:t>rticle III</w:t>
      </w:r>
      <w:r w:rsidR="00D302C7">
        <w:t xml:space="preserve"> of the Detainer Agreement</w:t>
      </w:r>
      <w:r>
        <w:t xml:space="preserve">, </w:t>
      </w:r>
      <w:r w:rsidR="006F58ED">
        <w:t xml:space="preserve">a person serving a sentence in </w:t>
      </w:r>
      <w:r w:rsidR="00C943C3">
        <w:t xml:space="preserve">the </w:t>
      </w:r>
      <w:r w:rsidR="007B531D">
        <w:t>s</w:t>
      </w:r>
      <w:r w:rsidR="00C943C3">
        <w:t xml:space="preserve">ending </w:t>
      </w:r>
      <w:r w:rsidR="007B531D">
        <w:t>s</w:t>
      </w:r>
      <w:r w:rsidR="00C943C3">
        <w:t>tate</w:t>
      </w:r>
      <w:r w:rsidR="00D302C7">
        <w:t xml:space="preserve"> </w:t>
      </w:r>
      <w:r w:rsidR="006F58ED">
        <w:t xml:space="preserve">but subject to a detainer from </w:t>
      </w:r>
      <w:r w:rsidR="00C943C3">
        <w:t xml:space="preserve">the </w:t>
      </w:r>
      <w:r w:rsidR="007B531D">
        <w:t>r</w:t>
      </w:r>
      <w:r w:rsidR="00C943C3">
        <w:t xml:space="preserve">eceiving </w:t>
      </w:r>
      <w:r w:rsidR="007B531D">
        <w:t>s</w:t>
      </w:r>
      <w:r w:rsidR="00C943C3">
        <w:t>tate</w:t>
      </w:r>
      <w:r w:rsidR="007B531D">
        <w:t xml:space="preserve"> </w:t>
      </w:r>
      <w:r>
        <w:t xml:space="preserve">can demand a speedy disposition of the charges giving rise to the detainer. </w:t>
      </w:r>
      <w:r w:rsidR="00C943C3">
        <w:t xml:space="preserve"> (</w:t>
      </w:r>
      <w:r w:rsidR="00C943C3">
        <w:rPr>
          <w:i/>
          <w:iCs/>
        </w:rPr>
        <w:t>Mauro</w:t>
      </w:r>
      <w:r w:rsidR="00EB5C0F">
        <w:t xml:space="preserve">, </w:t>
      </w:r>
      <w:r w:rsidRPr="00EB5C0F" w:rsidR="00EB5C0F">
        <w:rPr>
          <w:i/>
          <w:iCs/>
        </w:rPr>
        <w:t>supra</w:t>
      </w:r>
      <w:r w:rsidR="00EB5C0F">
        <w:t>,</w:t>
      </w:r>
      <w:r w:rsidR="00C943C3">
        <w:t xml:space="preserve"> 436 U.S. </w:t>
      </w:r>
      <w:r w:rsidR="00EB5C0F">
        <w:t xml:space="preserve">at p. </w:t>
      </w:r>
      <w:r w:rsidR="00C943C3">
        <w:t>351.)</w:t>
      </w:r>
      <w:r>
        <w:rPr>
          <w:rStyle w:val="FootnoteReference"/>
        </w:rPr>
        <w:footnoteReference w:id="11"/>
      </w:r>
      <w:r>
        <w:t xml:space="preserve"> </w:t>
      </w:r>
      <w:r w:rsidR="00C943C3">
        <w:t xml:space="preserve"> To enable the person to make this demand, “[t]</w:t>
      </w:r>
      <w:r>
        <w:t xml:space="preserve">he warden of the institution in which the prisoner is incarcerated is required to inform him promptly of the source and contents of any detainer lodged against him and of his right to request final disposition of the charges.  </w:t>
      </w:r>
      <w:r w:rsidR="00C32876">
        <w:t>[Citation.]</w:t>
      </w:r>
      <w:r>
        <w:t xml:space="preserve">  If the prisoner does make such a request, the jurisdiction that filed the detainer must bring [the </w:t>
      </w:r>
      <w:r w:rsidR="00B43242">
        <w:t>prisoner</w:t>
      </w:r>
      <w:r>
        <w:t xml:space="preserve">] to trial within 180 days.  </w:t>
      </w:r>
      <w:r w:rsidR="00C32876">
        <w:t>[Citation</w:t>
      </w:r>
      <w:r>
        <w:t>.</w:t>
      </w:r>
      <w:r w:rsidR="00C32876">
        <w:t>]</w:t>
      </w:r>
      <w:r>
        <w:t>”  (</w:t>
      </w:r>
      <w:r w:rsidRPr="00C32876" w:rsidR="00C943C3">
        <w:rPr>
          <w:i/>
          <w:iCs/>
        </w:rPr>
        <w:t>Ibid</w:t>
      </w:r>
      <w:r w:rsidR="00C943C3">
        <w:t>.</w:t>
      </w:r>
      <w:r w:rsidR="00C47C65">
        <w:t>, fn. omitted</w:t>
      </w:r>
      <w:r w:rsidR="00555D9C">
        <w:t xml:space="preserve">; </w:t>
      </w:r>
      <w:r w:rsidR="00555D9C">
        <w:rPr>
          <w:i/>
          <w:iCs/>
        </w:rPr>
        <w:t>People v. Garner</w:t>
      </w:r>
      <w:r w:rsidR="00555D9C">
        <w:t xml:space="preserve"> (1990) 224 Cal.App.3d 1363, 1370</w:t>
      </w:r>
      <w:r>
        <w:t xml:space="preserve">.)  </w:t>
      </w:r>
      <w:r w:rsidR="00B43242">
        <w:t xml:space="preserve">The warden in the sending state “shall forthwith notify all appropriate prosecuting officers and courts” of the request.  </w:t>
      </w:r>
      <w:r w:rsidR="001B21AE">
        <w:t>(</w:t>
      </w:r>
      <w:r w:rsidRPr="00C47C65" w:rsidR="00C47C65">
        <w:t>§</w:t>
      </w:r>
      <w:r w:rsidR="00135DE3">
        <w:t xml:space="preserve"> </w:t>
      </w:r>
      <w:r w:rsidRPr="00C47C65" w:rsidR="00C47C65">
        <w:t xml:space="preserve">1389, </w:t>
      </w:r>
      <w:r w:rsidR="00C47C65">
        <w:t>a</w:t>
      </w:r>
      <w:r w:rsidR="001B21AE">
        <w:t xml:space="preserve">rt. III, subd. (d).)  </w:t>
      </w:r>
      <w:r w:rsidR="00E918A0">
        <w:t xml:space="preserve">If the matter does not proceed to trial within the 180-day time period, </w:t>
      </w:r>
      <w:r w:rsidRPr="00FB21A5" w:rsidR="00E918A0">
        <w:t xml:space="preserve">the court </w:t>
      </w:r>
      <w:r w:rsidR="00287C80">
        <w:t>“</w:t>
      </w:r>
      <w:r w:rsidRPr="00FB21A5" w:rsidR="00E918A0">
        <w:t>shall enter an order dismissing the same with prejudice</w:t>
      </w:r>
      <w:r w:rsidR="00E918A0">
        <w:t xml:space="preserve">.”  </w:t>
      </w:r>
      <w:r w:rsidRPr="00E918A0" w:rsidR="00E918A0">
        <w:t>(</w:t>
      </w:r>
      <w:r w:rsidRPr="00C47C65" w:rsidR="00C47C65">
        <w:t>§</w:t>
      </w:r>
      <w:r w:rsidR="00135DE3">
        <w:t xml:space="preserve"> </w:t>
      </w:r>
      <w:r w:rsidRPr="00C47C65" w:rsidR="00C47C65">
        <w:t xml:space="preserve">1389, </w:t>
      </w:r>
      <w:r w:rsidR="00C47C65">
        <w:t>a</w:t>
      </w:r>
      <w:r w:rsidR="00E918A0">
        <w:t xml:space="preserve">rt. </w:t>
      </w:r>
      <w:r w:rsidR="00287C80">
        <w:t>V</w:t>
      </w:r>
      <w:r w:rsidR="00E918A0">
        <w:t>, subd.</w:t>
      </w:r>
      <w:r w:rsidR="00C47C65">
        <w:t> </w:t>
      </w:r>
      <w:r w:rsidR="00E918A0">
        <w:t>(</w:t>
      </w:r>
      <w:r w:rsidR="00287C80">
        <w:t>c</w:t>
      </w:r>
      <w:r w:rsidR="00E918A0">
        <w:t xml:space="preserve">).)  </w:t>
      </w:r>
      <w:r w:rsidR="00025DF4">
        <w:t>The 180-day time period described in article III, subdivision</w:t>
      </w:r>
      <w:r w:rsidR="006E6043">
        <w:t> </w:t>
      </w:r>
      <w:r w:rsidR="00025DF4">
        <w:t xml:space="preserve">(a) </w:t>
      </w:r>
      <w:r w:rsidR="00C943C3">
        <w:t xml:space="preserve">does not </w:t>
      </w:r>
      <w:r w:rsidR="00025DF4">
        <w:t>commence</w:t>
      </w:r>
      <w:r w:rsidR="00C943C3">
        <w:t>, however, until</w:t>
      </w:r>
      <w:r w:rsidR="00025DF4">
        <w:t xml:space="preserve"> the </w:t>
      </w:r>
      <w:r w:rsidR="00C943C3">
        <w:t>p</w:t>
      </w:r>
      <w:r w:rsidR="00C32876">
        <w:t>erson</w:t>
      </w:r>
      <w:r w:rsidR="00C943C3">
        <w:t xml:space="preserve">’s </w:t>
      </w:r>
      <w:r w:rsidR="00025DF4">
        <w:t>request for final disposition has been delivered to the appropriate court and prosecuting officer of the jurisdiction that lodged the detainer.  (</w:t>
      </w:r>
      <w:r w:rsidR="00025DF4">
        <w:rPr>
          <w:i/>
          <w:iCs/>
        </w:rPr>
        <w:t>Fex v. Michigan</w:t>
      </w:r>
      <w:r w:rsidR="00025DF4">
        <w:t xml:space="preserve"> (1993) 507 U.S. 43, 52</w:t>
      </w:r>
      <w:r w:rsidR="0022485B">
        <w:t xml:space="preserve"> (</w:t>
      </w:r>
      <w:r w:rsidR="0022485B">
        <w:rPr>
          <w:i/>
          <w:iCs/>
        </w:rPr>
        <w:t>Fex</w:t>
      </w:r>
      <w:r w:rsidR="0022485B">
        <w:t>)</w:t>
      </w:r>
      <w:r w:rsidR="00025DF4">
        <w:t xml:space="preserve">.) </w:t>
      </w:r>
      <w:r w:rsidR="00FB21A5">
        <w:t xml:space="preserve"> </w:t>
      </w:r>
    </w:p>
    <w:p w:rsidR="00DB71EB" w:rsidP="001231D7" w14:paraId="00085641" w14:textId="1C1C24A7">
      <w:pPr>
        <w:pStyle w:val="NoSpacing"/>
        <w:numPr>
          <w:ilvl w:val="0"/>
          <w:numId w:val="3"/>
        </w:numPr>
        <w:spacing w:line="480" w:lineRule="atLeast"/>
      </w:pPr>
      <w:r>
        <w:rPr>
          <w:b/>
          <w:bCs/>
          <w:i/>
          <w:iCs/>
        </w:rPr>
        <w:t>Breach of Duty to Promptly Inform</w:t>
      </w:r>
    </w:p>
    <w:p w:rsidR="00FF793A" w:rsidP="007C4941" w14:paraId="7E5B1916" w14:textId="35252BAB">
      <w:pPr>
        <w:pStyle w:val="NoSpacing"/>
        <w:spacing w:line="480" w:lineRule="atLeast"/>
        <w:ind w:firstLine="720"/>
      </w:pPr>
      <w:r>
        <w:t xml:space="preserve">In contrast to his argument before the magistrate, </w:t>
      </w:r>
      <w:r w:rsidR="00B15F9F">
        <w:t xml:space="preserve">Nguyen </w:t>
      </w:r>
      <w:r>
        <w:t xml:space="preserve">on appeal </w:t>
      </w:r>
      <w:r w:rsidR="00B15F9F">
        <w:t xml:space="preserve">acknowledges that the </w:t>
      </w:r>
      <w:r w:rsidR="00995409">
        <w:t xml:space="preserve">Detainer Agreement’s </w:t>
      </w:r>
      <w:r w:rsidR="00B15F9F">
        <w:t xml:space="preserve">180-day time limit </w:t>
      </w:r>
      <w:r>
        <w:t>did not commence until</w:t>
      </w:r>
      <w:r w:rsidR="00B15F9F">
        <w:t xml:space="preserve"> December 21, 2018, when the District Attorney received his request for final disposition of his charges.  (See </w:t>
      </w:r>
      <w:r w:rsidR="00B15F9F">
        <w:rPr>
          <w:i/>
          <w:iCs/>
        </w:rPr>
        <w:t>Fex</w:t>
      </w:r>
      <w:r w:rsidR="00B15F9F">
        <w:t xml:space="preserve">, </w:t>
      </w:r>
      <w:r w:rsidR="00B15F9F">
        <w:rPr>
          <w:i/>
          <w:iCs/>
        </w:rPr>
        <w:t>supra</w:t>
      </w:r>
      <w:r w:rsidR="00B15F9F">
        <w:t>, 507 U.S. at p.</w:t>
      </w:r>
      <w:r w:rsidR="001F5A48">
        <w:t> </w:t>
      </w:r>
      <w:r w:rsidR="00B15F9F">
        <w:t xml:space="preserve">52 [180-day time limit begins when prosecuting office receives request].)  </w:t>
      </w:r>
      <w:r>
        <w:t>Accordingly</w:t>
      </w:r>
      <w:r w:rsidR="00B15F9F">
        <w:t xml:space="preserve">, Nguyen concedes that the District Attorney ordinarily would have until June 19, 2019—two weeks </w:t>
      </w:r>
      <w:r w:rsidR="00B15F9F">
        <w:rPr>
          <w:i/>
          <w:iCs/>
        </w:rPr>
        <w:t>after</w:t>
      </w:r>
      <w:r w:rsidR="00B15F9F">
        <w:t xml:space="preserve"> the magistrate dismissed the complaints—to bring Nguyen to trial under article III</w:t>
      </w:r>
      <w:r w:rsidR="00C47C65">
        <w:t xml:space="preserve">, subdivision </w:t>
      </w:r>
      <w:r w:rsidR="00B15F9F">
        <w:t>(a).</w:t>
      </w:r>
      <w:r>
        <w:rPr>
          <w:rStyle w:val="FootnoteReference"/>
        </w:rPr>
        <w:footnoteReference w:id="12"/>
      </w:r>
      <w:r w:rsidR="006F05D9">
        <w:t xml:space="preserve"> </w:t>
      </w:r>
      <w:r w:rsidR="00D431A4">
        <w:t xml:space="preserve"> </w:t>
      </w:r>
      <w:r w:rsidR="00F11BB7">
        <w:t>Nguyen</w:t>
      </w:r>
      <w:r w:rsidR="00043458">
        <w:t xml:space="preserve"> argu</w:t>
      </w:r>
      <w:r w:rsidR="00960EB4">
        <w:t>es</w:t>
      </w:r>
      <w:r w:rsidR="003C110B">
        <w:t>, however,</w:t>
      </w:r>
      <w:r w:rsidR="00DB71EB">
        <w:t xml:space="preserve"> that he </w:t>
      </w:r>
      <w:r w:rsidR="00B15F9F">
        <w:t>may nonetheless be</w:t>
      </w:r>
      <w:r w:rsidR="00DB71EB">
        <w:t xml:space="preserve"> entitled </w:t>
      </w:r>
      <w:r w:rsidR="00FE1D74">
        <w:t xml:space="preserve">to </w:t>
      </w:r>
      <w:r w:rsidR="00B15F9F">
        <w:t xml:space="preserve">dismissal </w:t>
      </w:r>
      <w:r w:rsidR="00FE1D74">
        <w:t xml:space="preserve">of the charges </w:t>
      </w:r>
      <w:r w:rsidR="00B15F9F">
        <w:t xml:space="preserve">if the </w:t>
      </w:r>
      <w:r w:rsidR="00FE1D74">
        <w:t xml:space="preserve">Colorado warden’s as-yet </w:t>
      </w:r>
      <w:r>
        <w:t xml:space="preserve">unexplained </w:t>
      </w:r>
      <w:r w:rsidR="00FE1D74">
        <w:t>delay</w:t>
      </w:r>
      <w:r>
        <w:t xml:space="preserve"> of 14</w:t>
      </w:r>
      <w:r w:rsidR="006E6043">
        <w:t> </w:t>
      </w:r>
      <w:r>
        <w:t xml:space="preserve">weeks </w:t>
      </w:r>
      <w:r w:rsidR="00FE1D74">
        <w:t>before informing Nguyen o</w:t>
      </w:r>
      <w:r w:rsidR="00B15F9F">
        <w:t xml:space="preserve">f the detainer was unreasonable; he </w:t>
      </w:r>
      <w:r>
        <w:t xml:space="preserve">therefore </w:t>
      </w:r>
      <w:r w:rsidR="00B15F9F">
        <w:t xml:space="preserve">asserts that it was error for the trial court to reinstate the </w:t>
      </w:r>
      <w:r>
        <w:t>complaints without</w:t>
      </w:r>
      <w:r w:rsidR="00DB71EB">
        <w:t xml:space="preserve"> </w:t>
      </w:r>
      <w:r w:rsidR="00703A47">
        <w:t>a hearing on</w:t>
      </w:r>
      <w:r>
        <w:t xml:space="preserve"> the reasons for delay</w:t>
      </w:r>
      <w:r w:rsidR="00DB71EB">
        <w:t xml:space="preserve">. </w:t>
      </w:r>
      <w:r w:rsidR="00BD20BF">
        <w:t xml:space="preserve"> </w:t>
      </w:r>
      <w:r w:rsidR="00590FC4">
        <w:t>In view of the prevailing</w:t>
      </w:r>
      <w:r w:rsidR="00703A47">
        <w:t xml:space="preserve"> federal interpretation of</w:t>
      </w:r>
      <w:r w:rsidR="00FE1D74">
        <w:t xml:space="preserve"> </w:t>
      </w:r>
      <w:r w:rsidR="00265BF1">
        <w:t>the Detainer Agreement</w:t>
      </w:r>
      <w:r w:rsidR="00FE1D74">
        <w:t>,</w:t>
      </w:r>
      <w:r w:rsidR="00265BF1">
        <w:t xml:space="preserve"> </w:t>
      </w:r>
      <w:r w:rsidR="00703A47">
        <w:t xml:space="preserve">we conclude that </w:t>
      </w:r>
      <w:r w:rsidR="00FE1D74">
        <w:t>even an unreasonable</w:t>
      </w:r>
      <w:r w:rsidR="00C321A5">
        <w:t xml:space="preserve"> </w:t>
      </w:r>
      <w:r w:rsidR="00FE1D74">
        <w:t xml:space="preserve">breach by the Colorado warden of the </w:t>
      </w:r>
      <w:r w:rsidR="006E6043">
        <w:t>a</w:t>
      </w:r>
      <w:r w:rsidR="00FE1D74">
        <w:t>rticle III duty to promptly inform Nguyen</w:t>
      </w:r>
      <w:r w:rsidR="00C321A5">
        <w:t xml:space="preserve"> </w:t>
      </w:r>
      <w:r w:rsidR="00FE1D74">
        <w:t>of the detainer would not</w:t>
      </w:r>
      <w:r w:rsidR="00C321A5">
        <w:t xml:space="preserve"> entitle </w:t>
      </w:r>
      <w:r w:rsidR="00703A47">
        <w:t xml:space="preserve">him </w:t>
      </w:r>
      <w:r w:rsidR="00C321A5">
        <w:t>to</w:t>
      </w:r>
      <w:r w:rsidR="00BA379C">
        <w:t xml:space="preserve"> dismissal.</w:t>
      </w:r>
    </w:p>
    <w:p w:rsidR="00590FC4" w:rsidP="003A6A29" w14:paraId="38A239F3" w14:textId="0BA449B4">
      <w:pPr>
        <w:pStyle w:val="NoSpacing"/>
        <w:spacing w:line="480" w:lineRule="atLeast"/>
        <w:ind w:firstLine="720"/>
      </w:pPr>
      <w:r>
        <w:t xml:space="preserve">Federal courts have consistently precluded dismissal as a form of relief when there has been a violation of the </w:t>
      </w:r>
      <w:r w:rsidR="00995409">
        <w:t xml:space="preserve">Detainer Agreement’s article III </w:t>
      </w:r>
      <w:r>
        <w:t xml:space="preserve">notice provision, </w:t>
      </w:r>
      <w:r w:rsidR="00530BA6">
        <w:t xml:space="preserve">whether </w:t>
      </w:r>
      <w:r>
        <w:t>due to a failure to promptly notify a defendant of a detainer or a failure to notify a defendant of his or her right to request a final disposition of a detainer. (</w:t>
      </w:r>
      <w:r>
        <w:rPr>
          <w:i/>
          <w:iCs/>
        </w:rPr>
        <w:t>United States v. Lualemaga</w:t>
      </w:r>
      <w:r>
        <w:t xml:space="preserve"> (9th Cir. 2002) 280 F.3d 1260, 1264-1265 (</w:t>
      </w:r>
      <w:r>
        <w:rPr>
          <w:i/>
          <w:iCs/>
        </w:rPr>
        <w:t>Lualemaga</w:t>
      </w:r>
      <w:r>
        <w:t xml:space="preserve">); </w:t>
      </w:r>
      <w:r>
        <w:rPr>
          <w:i/>
          <w:iCs/>
        </w:rPr>
        <w:t>United States v. Walker</w:t>
      </w:r>
      <w:r>
        <w:t xml:space="preserve"> (8th Cir. 2001) 255 F.3d 540, 543; </w:t>
      </w:r>
      <w:r>
        <w:rPr>
          <w:i/>
          <w:iCs/>
        </w:rPr>
        <w:t>United States v. Robinson</w:t>
      </w:r>
      <w:r>
        <w:t xml:space="preserve"> (6th Cir. 2006) 455 F.3d 602, 606; </w:t>
      </w:r>
      <w:r>
        <w:rPr>
          <w:i/>
          <w:iCs/>
        </w:rPr>
        <w:t>United States v. Pena-Correa</w:t>
      </w:r>
      <w:r>
        <w:t xml:space="preserve"> (11th Cir. 1999) 165 F.3d 819, 821-822.)  Although we are not bound by the decisions of the </w:t>
      </w:r>
      <w:r w:rsidR="004F0BD2">
        <w:t>federal circuit courts</w:t>
      </w:r>
      <w:r>
        <w:t xml:space="preserve"> or </w:t>
      </w:r>
      <w:r w:rsidR="004F0BD2">
        <w:t xml:space="preserve">district courts </w:t>
      </w:r>
      <w:r>
        <w:t>on questions of federal law,</w:t>
      </w:r>
      <w:r w:rsidRPr="00590FC4">
        <w:t xml:space="preserve"> </w:t>
      </w:r>
      <w:r>
        <w:t>“ ‘</w:t>
      </w:r>
      <w:r w:rsidRPr="00590FC4">
        <w:t>they are persuasive and entitled to great weight. </w:t>
      </w:r>
      <w:r>
        <w:t xml:space="preserve"> </w:t>
      </w:r>
      <w:r w:rsidRPr="00590FC4">
        <w:t xml:space="preserve">[Citation.] </w:t>
      </w:r>
      <w:r>
        <w:t xml:space="preserve"> . . .</w:t>
      </w:r>
      <w:r w:rsidRPr="00590FC4">
        <w:t xml:space="preserve"> </w:t>
      </w:r>
      <w:r w:rsidR="006E6043">
        <w:t xml:space="preserve"> </w:t>
      </w:r>
      <w:r>
        <w:t>[W]</w:t>
      </w:r>
      <w:r w:rsidRPr="00590FC4">
        <w:t xml:space="preserve">here the decisions of the lower federal courts on a federal question are </w:t>
      </w:r>
      <w:r>
        <w:t>“</w:t>
      </w:r>
      <w:r w:rsidRPr="00590FC4">
        <w:t>both numerous and consistent,</w:t>
      </w:r>
      <w:r>
        <w:t>”</w:t>
      </w:r>
      <w:r w:rsidRPr="00590FC4">
        <w:t xml:space="preserve"> we should hesitate to reject their authority [citation].</w:t>
      </w:r>
      <w:r>
        <w:t>’</w:t>
      </w:r>
      <w:r w:rsidR="006E6043">
        <w:t xml:space="preserve"> </w:t>
      </w:r>
      <w:r w:rsidRPr="00590FC4">
        <w:t>”</w:t>
      </w:r>
      <w:r>
        <w:t xml:space="preserve">  </w:t>
      </w:r>
      <w:r w:rsidRPr="00590FC4">
        <w:t>(</w:t>
      </w:r>
      <w:r w:rsidRPr="00590FC4">
        <w:rPr>
          <w:i/>
          <w:iCs/>
        </w:rPr>
        <w:t>Barrett v. Rosenthal</w:t>
      </w:r>
      <w:r w:rsidRPr="00590FC4">
        <w:t> (2006) 40 Cal.4th 33, 58</w:t>
      </w:r>
      <w:r w:rsidR="006E6043">
        <w:t>, fn. omitted</w:t>
      </w:r>
      <w:r w:rsidRPr="00590FC4">
        <w:t>.)</w:t>
      </w:r>
      <w:r>
        <w:t xml:space="preserve"> </w:t>
      </w:r>
    </w:p>
    <w:p w:rsidR="000C3F7E" w:rsidP="00056A7F" w14:paraId="58F92AAB" w14:textId="20C4B2AF">
      <w:pPr>
        <w:pStyle w:val="NoSpacing"/>
        <w:spacing w:line="480" w:lineRule="atLeast"/>
        <w:ind w:firstLine="720"/>
      </w:pPr>
      <w:r>
        <w:rPr>
          <w:i/>
          <w:iCs/>
        </w:rPr>
        <w:t>Lualemaga</w:t>
      </w:r>
      <w:r>
        <w:t xml:space="preserve"> is instructive.  There, the defendant was incarcerated in state prison when the federal government lodged a detainer that failed to notify the defendant of his right to request a final disposition.  (</w:t>
      </w:r>
      <w:bookmarkStart w:id="8" w:name="_Hlk112663054"/>
      <w:r>
        <w:rPr>
          <w:i/>
          <w:iCs/>
        </w:rPr>
        <w:t>Lualemaga</w:t>
      </w:r>
      <w:r>
        <w:t xml:space="preserve">, </w:t>
      </w:r>
      <w:r>
        <w:rPr>
          <w:i/>
          <w:iCs/>
        </w:rPr>
        <w:t>supra</w:t>
      </w:r>
      <w:r>
        <w:t>, 280 F.3d</w:t>
      </w:r>
      <w:r>
        <w:rPr>
          <w:i/>
          <w:iCs/>
        </w:rPr>
        <w:t>.</w:t>
      </w:r>
      <w:r>
        <w:t xml:space="preserve"> at p. 1262</w:t>
      </w:r>
      <w:bookmarkEnd w:id="8"/>
      <w:r>
        <w:t>.)  Consistent with the erroneous statement in the federal detainer, the state warden failed to inform the defendant under article III, subdivision (c) of the Detainer Agreement that he had the right to request a final disposition of his federal charges.  (</w:t>
      </w:r>
      <w:r w:rsidRPr="006E6043" w:rsidR="006E6043">
        <w:rPr>
          <w:i/>
          <w:iCs/>
        </w:rPr>
        <w:t>Lualemaga</w:t>
      </w:r>
      <w:r w:rsidRPr="006E6043" w:rsidR="006E6043">
        <w:t>,</w:t>
      </w:r>
      <w:r w:rsidRPr="006E6043" w:rsidR="006E6043">
        <w:rPr>
          <w:i/>
          <w:iCs/>
        </w:rPr>
        <w:t xml:space="preserve"> supra</w:t>
      </w:r>
      <w:r w:rsidRPr="006E6043" w:rsidR="006E6043">
        <w:t>, 280 F.3d. at p. 1262</w:t>
      </w:r>
      <w:r>
        <w:rPr>
          <w:i/>
          <w:iCs/>
        </w:rPr>
        <w:t>.</w:t>
      </w:r>
      <w:r>
        <w:t>)  More than 180 days later, the defendant unsuccessfully moved to dismiss the federal indictment under the Detainer Agreement.  (</w:t>
      </w:r>
      <w:r>
        <w:rPr>
          <w:i/>
          <w:iCs/>
        </w:rPr>
        <w:t>Ibid.</w:t>
      </w:r>
      <w:r>
        <w:t xml:space="preserve">)  </w:t>
      </w:r>
    </w:p>
    <w:p w:rsidR="00056A7F" w:rsidRPr="007A2FD8" w:rsidP="00056A7F" w14:paraId="3026C2B0" w14:textId="69031109">
      <w:pPr>
        <w:pStyle w:val="NoSpacing"/>
        <w:spacing w:line="480" w:lineRule="atLeast"/>
        <w:ind w:firstLine="720"/>
      </w:pPr>
      <w:r>
        <w:t xml:space="preserve">The Ninth Circuit affirmed the </w:t>
      </w:r>
      <w:r w:rsidR="000C3F7E">
        <w:t>judgment</w:t>
      </w:r>
      <w:r>
        <w:t>, determining that although the warden had “indisputably violated” the requirement of prompt notice, dismissal of the charging document was not an appropriate remedy for the failure of notice.  (</w:t>
      </w:r>
      <w:r w:rsidR="000C3F7E">
        <w:rPr>
          <w:i/>
          <w:iCs/>
        </w:rPr>
        <w:t>Lualemaga</w:t>
      </w:r>
      <w:r w:rsidR="000C3F7E">
        <w:t xml:space="preserve">, </w:t>
      </w:r>
      <w:r w:rsidR="000C3F7E">
        <w:rPr>
          <w:i/>
          <w:iCs/>
        </w:rPr>
        <w:t>supra</w:t>
      </w:r>
      <w:r w:rsidR="000C3F7E">
        <w:t>, 280 F.3d</w:t>
      </w:r>
      <w:r>
        <w:t xml:space="preserve"> at p. 1263</w:t>
      </w:r>
      <w:r>
        <w:rPr>
          <w:i/>
          <w:iCs/>
        </w:rPr>
        <w:t>.</w:t>
      </w:r>
      <w:r>
        <w:t>)</w:t>
      </w:r>
      <w:r w:rsidRPr="00316601" w:rsidR="00316601">
        <w:t xml:space="preserve"> </w:t>
      </w:r>
      <w:r>
        <w:t xml:space="preserve">The </w:t>
      </w:r>
      <w:r w:rsidR="000C3F7E">
        <w:t>court</w:t>
      </w:r>
      <w:r>
        <w:t xml:space="preserve"> explained that the Detainer Agreement mandates dismissal of a charging document in only three enumerated circumstances:  (1) </w:t>
      </w:r>
      <w:r w:rsidR="00F24A93">
        <w:t>if</w:t>
      </w:r>
      <w:r>
        <w:t xml:space="preserve"> the receiving </w:t>
      </w:r>
      <w:r w:rsidR="00F24A93">
        <w:t>s</w:t>
      </w:r>
      <w:r>
        <w:t>tate</w:t>
      </w:r>
      <w:r w:rsidR="00F24A93">
        <w:t xml:space="preserve"> returns the defendant</w:t>
      </w:r>
      <w:r>
        <w:t xml:space="preserve"> to the sending </w:t>
      </w:r>
      <w:r w:rsidR="00F24A93">
        <w:t>s</w:t>
      </w:r>
      <w:r>
        <w:t xml:space="preserve">tate </w:t>
      </w:r>
      <w:r w:rsidR="00F24A93">
        <w:t>before</w:t>
      </w:r>
      <w:r>
        <w:t xml:space="preserve"> completion of trial </w:t>
      </w:r>
      <w:r w:rsidR="007C4941">
        <w:t>(</w:t>
      </w:r>
      <w:bookmarkStart w:id="9" w:name="_Hlk112663131"/>
      <w:r w:rsidR="00D304C5">
        <w:t xml:space="preserve">§ 1389, </w:t>
      </w:r>
      <w:bookmarkEnd w:id="9"/>
      <w:r>
        <w:t>art. IV, subd. (e))</w:t>
      </w:r>
      <w:r>
        <w:rPr>
          <w:rStyle w:val="FootnoteReference"/>
        </w:rPr>
        <w:footnoteReference w:id="13"/>
      </w:r>
      <w:r>
        <w:t xml:space="preserve">; (2) </w:t>
      </w:r>
      <w:r w:rsidR="00F24A93">
        <w:t>i</w:t>
      </w:r>
      <w:r>
        <w:t xml:space="preserve">f the receiving </w:t>
      </w:r>
      <w:r w:rsidR="00F24A93">
        <w:t>s</w:t>
      </w:r>
      <w:r>
        <w:t xml:space="preserve">tate fails to accept temporary custody </w:t>
      </w:r>
      <w:r w:rsidR="00F24A93">
        <w:t xml:space="preserve">of the defendant </w:t>
      </w:r>
      <w:r>
        <w:t>after filing a detainer (</w:t>
      </w:r>
      <w:r w:rsidRPr="00D304C5" w:rsidR="00D304C5">
        <w:t xml:space="preserve">§ 1389, </w:t>
      </w:r>
      <w:r>
        <w:t xml:space="preserve">art. V, subd. (c)); and (3) </w:t>
      </w:r>
      <w:r w:rsidR="00F24A93">
        <w:t>i</w:t>
      </w:r>
      <w:r>
        <w:t xml:space="preserve">f </w:t>
      </w:r>
      <w:r w:rsidR="00F24A93">
        <w:t>the defendant</w:t>
      </w:r>
      <w:r>
        <w:t xml:space="preserve"> is not brought to trial within 180 days of a State receiving a </w:t>
      </w:r>
      <w:r w:rsidR="00F24A93">
        <w:t>defendant’s formal</w:t>
      </w:r>
      <w:r>
        <w:t xml:space="preserve"> request or within 120 days of </w:t>
      </w:r>
      <w:r w:rsidR="00F24A93">
        <w:t>the defendant’s arrival in</w:t>
      </w:r>
      <w:r>
        <w:t xml:space="preserve"> </w:t>
      </w:r>
      <w:r w:rsidR="00316601">
        <w:t xml:space="preserve">a </w:t>
      </w:r>
      <w:r>
        <w:t xml:space="preserve">receiving </w:t>
      </w:r>
      <w:r w:rsidR="00F24A93">
        <w:t>s</w:t>
      </w:r>
      <w:r>
        <w:t>tate</w:t>
      </w:r>
      <w:r w:rsidR="00316601">
        <w:t xml:space="preserve"> </w:t>
      </w:r>
      <w:r w:rsidR="00F24A93">
        <w:t>that</w:t>
      </w:r>
      <w:r>
        <w:t xml:space="preserve"> requested </w:t>
      </w:r>
      <w:r w:rsidR="00F24A93">
        <w:t>temporary custody (</w:t>
      </w:r>
      <w:r w:rsidR="005E455A">
        <w:t xml:space="preserve">§ 1389, </w:t>
      </w:r>
      <w:r w:rsidR="00F24A93">
        <w:t xml:space="preserve">arts. III, subd. (a); </w:t>
      </w:r>
      <w:r>
        <w:t>IV, subd. (c); V, subd. (c)).  (</w:t>
      </w:r>
      <w:r>
        <w:rPr>
          <w:i/>
          <w:iCs/>
        </w:rPr>
        <w:t>Lualemaga</w:t>
      </w:r>
      <w:r>
        <w:t xml:space="preserve">, </w:t>
      </w:r>
      <w:r>
        <w:rPr>
          <w:i/>
          <w:iCs/>
        </w:rPr>
        <w:t>supra</w:t>
      </w:r>
      <w:r>
        <w:t>, 280 F.3d at p</w:t>
      </w:r>
      <w:r w:rsidR="00FF5A2E">
        <w:t>p</w:t>
      </w:r>
      <w:r>
        <w:t xml:space="preserve">. 1263-1265.)  </w:t>
      </w:r>
      <w:r w:rsidR="00F24A93">
        <w:t>In contrast, the Detainer Agreement’s</w:t>
      </w:r>
      <w:r>
        <w:t xml:space="preserve"> silen</w:t>
      </w:r>
      <w:r w:rsidR="00F24A93">
        <w:t>ce</w:t>
      </w:r>
      <w:r>
        <w:t xml:space="preserve"> as to </w:t>
      </w:r>
      <w:r w:rsidR="00F24A93">
        <w:t>a</w:t>
      </w:r>
      <w:r>
        <w:t xml:space="preserve"> remedy</w:t>
      </w:r>
      <w:r w:rsidR="00F24A93">
        <w:t xml:space="preserve"> for violation of the </w:t>
      </w:r>
      <w:r>
        <w:t xml:space="preserve">notice </w:t>
      </w:r>
      <w:r w:rsidR="00F24A93">
        <w:t>requirement of</w:t>
      </w:r>
      <w:r w:rsidR="00316601">
        <w:t xml:space="preserve"> </w:t>
      </w:r>
      <w:r>
        <w:t>article III, subdivision (c), suggest</w:t>
      </w:r>
      <w:r w:rsidR="00316601">
        <w:t>s</w:t>
      </w:r>
      <w:r>
        <w:t xml:space="preserve"> that dismissal is not </w:t>
      </w:r>
      <w:r w:rsidR="00316601">
        <w:t>contemplated</w:t>
      </w:r>
      <w:r>
        <w:t>.  (</w:t>
      </w:r>
      <w:r>
        <w:rPr>
          <w:i/>
          <w:iCs/>
        </w:rPr>
        <w:t>Lualemaga</w:t>
      </w:r>
      <w:r>
        <w:t xml:space="preserve">, </w:t>
      </w:r>
      <w:r w:rsidRPr="00D304C5" w:rsidR="00D304C5">
        <w:rPr>
          <w:i/>
          <w:iCs/>
        </w:rPr>
        <w:t>supra</w:t>
      </w:r>
      <w:r w:rsidR="00D304C5">
        <w:t xml:space="preserve">, </w:t>
      </w:r>
      <w:r>
        <w:t>at p. 1264.)</w:t>
      </w:r>
      <w:r w:rsidRPr="000C3F7E" w:rsidR="000C3F7E">
        <w:t xml:space="preserve"> </w:t>
      </w:r>
      <w:r w:rsidR="000C3F7E">
        <w:t>The court</w:t>
      </w:r>
      <w:r w:rsidR="00ED1AEE">
        <w:t xml:space="preserve"> further</w:t>
      </w:r>
      <w:r w:rsidR="000C3F7E">
        <w:t xml:space="preserve"> noted that several other circuits ha</w:t>
      </w:r>
      <w:r w:rsidR="00ED1AEE">
        <w:t>d</w:t>
      </w:r>
      <w:r w:rsidR="000C3F7E">
        <w:t xml:space="preserve"> concluded that the Detainer Agreement’s “enumerated list of circumstances requiring dismissal [of a charging document] is exclusive.”</w:t>
      </w:r>
      <w:r w:rsidR="00D304C5">
        <w:t xml:space="preserve"> </w:t>
      </w:r>
      <w:r w:rsidR="000C3F7E">
        <w:t xml:space="preserve"> (</w:t>
      </w:r>
      <w:r w:rsidR="000C3F7E">
        <w:rPr>
          <w:i/>
          <w:iCs/>
        </w:rPr>
        <w:t>Id.</w:t>
      </w:r>
      <w:r w:rsidR="000C3F7E">
        <w:t xml:space="preserve"> at p.</w:t>
      </w:r>
      <w:r w:rsidR="00966890">
        <w:t> </w:t>
      </w:r>
      <w:r w:rsidR="000C3F7E">
        <w:t xml:space="preserve">1264.)  </w:t>
      </w:r>
    </w:p>
    <w:p w:rsidR="00056A7F" w:rsidP="00056A7F" w14:paraId="5A07A64A" w14:textId="23EB4992">
      <w:pPr>
        <w:pStyle w:val="NoSpacing"/>
        <w:spacing w:line="480" w:lineRule="atLeast"/>
        <w:ind w:firstLine="720"/>
      </w:pPr>
      <w:r>
        <w:t>Distinguishing between errors made between the sending state and the receiving state,</w:t>
      </w:r>
      <w:r>
        <w:rPr>
          <w:i/>
          <w:iCs/>
        </w:rPr>
        <w:t xml:space="preserve"> </w:t>
      </w:r>
      <w:r w:rsidRPr="000C3F7E">
        <w:t>the Ninth Circuit</w:t>
      </w:r>
      <w:r>
        <w:rPr>
          <w:i/>
          <w:iCs/>
        </w:rPr>
        <w:t xml:space="preserve"> </w:t>
      </w:r>
      <w:r>
        <w:t xml:space="preserve">further observed that if the violation </w:t>
      </w:r>
      <w:r w:rsidR="000C3F7E">
        <w:t xml:space="preserve">there </w:t>
      </w:r>
      <w:r>
        <w:t>had been solely attributable to the sending state,</w:t>
      </w:r>
      <w:r w:rsidRPr="000C3F7E" w:rsidR="000C3F7E">
        <w:t xml:space="preserve"> </w:t>
      </w:r>
      <w:r w:rsidR="000C3F7E">
        <w:t>“it would not be fair to penalize the receiving [s]tate” for the sending state’s negligence</w:t>
      </w:r>
      <w:r>
        <w:t>.  (</w:t>
      </w:r>
      <w:r>
        <w:rPr>
          <w:i/>
          <w:iCs/>
        </w:rPr>
        <w:t>Lualemaga</w:t>
      </w:r>
      <w:r>
        <w:t xml:space="preserve">, </w:t>
      </w:r>
      <w:r>
        <w:rPr>
          <w:i/>
          <w:iCs/>
        </w:rPr>
        <w:t>supra</w:t>
      </w:r>
      <w:r>
        <w:t>, 280 F.3d at p. 1264.)  Th</w:t>
      </w:r>
      <w:r w:rsidR="000C3F7E">
        <w:t>e court nonetheless went on to hold</w:t>
      </w:r>
      <w:r>
        <w:t xml:space="preserve"> that a “dismissal of an indictment is not an available form of relief where the notice requirement of the </w:t>
      </w:r>
      <w:r w:rsidR="006C0FAC">
        <w:t xml:space="preserve">[Detainer Agreement] </w:t>
      </w:r>
      <w:r>
        <w:t>is violated” either by the sending or the receiving state. (</w:t>
      </w:r>
      <w:r>
        <w:rPr>
          <w:i/>
          <w:iCs/>
        </w:rPr>
        <w:t>Id.</w:t>
      </w:r>
      <w:r>
        <w:t xml:space="preserve"> at p. 1265).  </w:t>
      </w:r>
    </w:p>
    <w:p w:rsidR="00FF793A" w:rsidRPr="009F2F65" w:rsidP="00FF793A" w14:paraId="03E1F5AC" w14:textId="7F8CC98F">
      <w:pPr>
        <w:pStyle w:val="NoSpacing"/>
        <w:spacing w:line="480" w:lineRule="atLeast"/>
        <w:rPr>
          <w:iCs/>
        </w:rPr>
      </w:pPr>
      <w:r>
        <w:tab/>
      </w:r>
      <w:r w:rsidR="00B2350F">
        <w:t xml:space="preserve">We agree the </w:t>
      </w:r>
      <w:r>
        <w:t>Detainer Agreement’s purpose—“to promote the expeditious resolution of detainers”—may be “easily frustrated if the sending state is not held to its obligation[s]” under the agreement.  (</w:t>
      </w:r>
      <w:r>
        <w:rPr>
          <w:i/>
          <w:iCs/>
        </w:rPr>
        <w:t>People v. Wilson</w:t>
      </w:r>
      <w:r>
        <w:t xml:space="preserve"> (1977) 69 Cal.App.3d 631, 638 (</w:t>
      </w:r>
      <w:r>
        <w:rPr>
          <w:i/>
          <w:iCs/>
        </w:rPr>
        <w:t>Wilson</w:t>
      </w:r>
      <w:r>
        <w:t xml:space="preserve">).)  If the sending state does not fulfill its obligations to </w:t>
      </w:r>
      <w:r w:rsidR="00B2350F">
        <w:t>promptly inform</w:t>
      </w:r>
      <w:r>
        <w:t xml:space="preserve"> a defendant of a detainer and his or her right to a final disposition, a defendant’s rights under the </w:t>
      </w:r>
      <w:r w:rsidR="00B2350F">
        <w:t xml:space="preserve">Detainer Agreement </w:t>
      </w:r>
      <w:r w:rsidR="00B11CF6">
        <w:t xml:space="preserve">might </w:t>
      </w:r>
      <w:r>
        <w:t>never mature.  (</w:t>
      </w:r>
      <w:r>
        <w:rPr>
          <w:i/>
          <w:iCs/>
        </w:rPr>
        <w:t>Ibid.</w:t>
      </w:r>
      <w:r>
        <w:t xml:space="preserve">)  In </w:t>
      </w:r>
      <w:r>
        <w:rPr>
          <w:i/>
          <w:iCs/>
        </w:rPr>
        <w:t>Fex</w:t>
      </w:r>
      <w:r>
        <w:t xml:space="preserve">, </w:t>
      </w:r>
      <w:r w:rsidR="00B2350F">
        <w:t xml:space="preserve">however, </w:t>
      </w:r>
      <w:r>
        <w:t xml:space="preserve">the United States Supreme Court </w:t>
      </w:r>
      <w:r w:rsidR="00B11CF6">
        <w:t xml:space="preserve">summarily </w:t>
      </w:r>
      <w:r w:rsidR="00B2350F">
        <w:t>dismissed similar</w:t>
      </w:r>
      <w:r>
        <w:t xml:space="preserve"> policy </w:t>
      </w:r>
      <w:r w:rsidR="009C0E6F">
        <w:t xml:space="preserve">considerations </w:t>
      </w:r>
      <w:r w:rsidR="00B2350F">
        <w:t xml:space="preserve">to hold </w:t>
      </w:r>
      <w:r w:rsidR="005976D3">
        <w:t>in a divided opinion</w:t>
      </w:r>
      <w:r>
        <w:t xml:space="preserve"> that article III’s 180-day time limit did not </w:t>
      </w:r>
      <w:r w:rsidR="00630612">
        <w:t>begin</w:t>
      </w:r>
      <w:r>
        <w:t xml:space="preserve"> until a defendant’s request has</w:t>
      </w:r>
      <w:r w:rsidRPr="005976D3" w:rsidR="005976D3">
        <w:t xml:space="preserve"> </w:t>
      </w:r>
      <w:r w:rsidR="005976D3">
        <w:t>actually</w:t>
      </w:r>
      <w:r>
        <w:t xml:space="preserve"> been </w:t>
      </w:r>
      <w:r w:rsidRPr="00B2350F">
        <w:t>delivered</w:t>
      </w:r>
      <w:r>
        <w:t xml:space="preserve"> to the appropriate authorities</w:t>
      </w:r>
      <w:r w:rsidR="005976D3">
        <w:t>:  “</w:t>
      </w:r>
      <w:r w:rsidRPr="005976D3" w:rsidR="005976D3">
        <w:t>Petitioner</w:t>
      </w:r>
      <w:r w:rsidR="005976D3">
        <w:t>’</w:t>
      </w:r>
      <w:r w:rsidRPr="005976D3" w:rsidR="005976D3">
        <w:t xml:space="preserve">s </w:t>
      </w:r>
      <w:r w:rsidR="005976D3">
        <w:t>‘</w:t>
      </w:r>
      <w:r w:rsidRPr="005976D3" w:rsidR="005976D3">
        <w:t>fairness</w:t>
      </w:r>
      <w:r w:rsidR="005976D3">
        <w:t>’</w:t>
      </w:r>
      <w:r w:rsidRPr="005976D3" w:rsidR="005976D3">
        <w:t xml:space="preserve"> and </w:t>
      </w:r>
      <w:r w:rsidR="005976D3">
        <w:t>‘</w:t>
      </w:r>
      <w:r w:rsidRPr="005976D3" w:rsidR="005976D3">
        <w:t>higher purpose</w:t>
      </w:r>
      <w:r w:rsidR="005976D3">
        <w:t>’</w:t>
      </w:r>
      <w:r w:rsidRPr="005976D3" w:rsidR="005976D3">
        <w:t xml:space="preserve"> arguments are</w:t>
      </w:r>
      <w:r w:rsidR="005976D3">
        <w:t xml:space="preserve"> . . .</w:t>
      </w:r>
      <w:r w:rsidRPr="005976D3" w:rsidR="005976D3">
        <w:t xml:space="preserve"> more appropriately addressed to the legislatures of the contracting States, which adopted the </w:t>
      </w:r>
      <w:r w:rsidR="005976D3">
        <w:t>[Detainer Agreement’s]</w:t>
      </w:r>
      <w:r w:rsidRPr="005976D3" w:rsidR="005976D3">
        <w:t xml:space="preserve"> text</w:t>
      </w:r>
      <w:r>
        <w:t>.</w:t>
      </w:r>
      <w:r w:rsidR="005976D3">
        <w:t>”</w:t>
      </w:r>
      <w:r>
        <w:t xml:space="preserve">  (</w:t>
      </w:r>
      <w:r w:rsidRPr="00D304C5" w:rsidR="00D304C5">
        <w:rPr>
          <w:i/>
          <w:iCs/>
        </w:rPr>
        <w:t>Fex</w:t>
      </w:r>
      <w:r w:rsidR="00D304C5">
        <w:t xml:space="preserve">, </w:t>
      </w:r>
      <w:r w:rsidRPr="00D304C5" w:rsidR="00D304C5">
        <w:rPr>
          <w:i/>
          <w:iCs/>
        </w:rPr>
        <w:t>supra</w:t>
      </w:r>
      <w:r w:rsidR="00D304C5">
        <w:t xml:space="preserve">, </w:t>
      </w:r>
      <w:r w:rsidR="00B2350F">
        <w:t xml:space="preserve">507 U.S. </w:t>
      </w:r>
      <w:r w:rsidR="005976D3">
        <w:t>at p. 52.</w:t>
      </w:r>
      <w:r>
        <w:t xml:space="preserve">)  </w:t>
      </w:r>
      <w:r w:rsidR="009F2F65">
        <w:t>In the majority’s view, t</w:t>
      </w:r>
      <w:r w:rsidR="009F2F65">
        <w:rPr>
          <w:iCs/>
        </w:rPr>
        <w:t>he hypothetical “negligence</w:t>
      </w:r>
      <w:r w:rsidR="00D304C5">
        <w:rPr>
          <w:iCs/>
        </w:rPr>
        <w:t>[</w:t>
      </w:r>
      <w:r w:rsidR="009F2F65">
        <w:rPr>
          <w:iCs/>
        </w:rPr>
        <w:t>,</w:t>
      </w:r>
      <w:r w:rsidR="00D304C5">
        <w:rPr>
          <w:iCs/>
        </w:rPr>
        <w:t>] . . .</w:t>
      </w:r>
      <w:r w:rsidR="009F2F65">
        <w:rPr>
          <w:iCs/>
        </w:rPr>
        <w:t xml:space="preserve"> even malice” of a sending state’s warden would be “bad” but “no worse than what regularly occurred before the [Detainer Agreement] was adopted.”  (</w:t>
      </w:r>
      <w:r w:rsidR="009F2F65">
        <w:rPr>
          <w:i/>
        </w:rPr>
        <w:t>Id.</w:t>
      </w:r>
      <w:r w:rsidR="009F2F65">
        <w:rPr>
          <w:iCs/>
        </w:rPr>
        <w:t xml:space="preserve"> at pp. 49-50.)</w:t>
      </w:r>
    </w:p>
    <w:p w:rsidR="003D23E9" w:rsidP="00C13AA4" w14:paraId="51BF4476" w14:textId="7CB8AD6A">
      <w:pPr>
        <w:pStyle w:val="NoSpacing"/>
        <w:spacing w:line="480" w:lineRule="atLeast"/>
        <w:ind w:firstLine="720"/>
      </w:pPr>
      <w:r>
        <w:t xml:space="preserve">Nguyen relies on </w:t>
      </w:r>
      <w:r>
        <w:rPr>
          <w:i/>
          <w:iCs/>
        </w:rPr>
        <w:t>Wilson</w:t>
      </w:r>
      <w:r w:rsidR="00FF793A">
        <w:t xml:space="preserve">, </w:t>
      </w:r>
      <w:r w:rsidR="00FF793A">
        <w:rPr>
          <w:i/>
          <w:iCs/>
        </w:rPr>
        <w:t>supra</w:t>
      </w:r>
      <w:r w:rsidR="00FF793A">
        <w:t>,</w:t>
      </w:r>
      <w:r>
        <w:t xml:space="preserve"> 69 Cal.App.3d 631 for the proposition</w:t>
      </w:r>
      <w:r w:rsidR="00630612">
        <w:t xml:space="preserve"> that he should at least be entitled to a hearing on the reasonableness of the Colorado warden’s delay</w:t>
      </w:r>
      <w:r>
        <w:t xml:space="preserve">. </w:t>
      </w:r>
      <w:r w:rsidR="003A6A29">
        <w:t xml:space="preserve"> </w:t>
      </w:r>
      <w:r w:rsidRPr="007C6D9E" w:rsidR="00AC3A98">
        <w:rPr>
          <w:i/>
          <w:iCs/>
        </w:rPr>
        <w:t>Wilson</w:t>
      </w:r>
      <w:r w:rsidR="004F0BD2">
        <w:t xml:space="preserve">, </w:t>
      </w:r>
      <w:r w:rsidR="00C77801">
        <w:t xml:space="preserve">decided </w:t>
      </w:r>
      <w:r w:rsidR="004F0BD2">
        <w:t>well before</w:t>
      </w:r>
      <w:r w:rsidR="00AC3A98">
        <w:t xml:space="preserve"> </w:t>
      </w:r>
      <w:r w:rsidRPr="00B2350F" w:rsidR="00B2350F">
        <w:rPr>
          <w:i/>
          <w:iCs/>
        </w:rPr>
        <w:t>Fex</w:t>
      </w:r>
      <w:r w:rsidR="004F0BD2">
        <w:t>,</w:t>
      </w:r>
      <w:r w:rsidR="00B2350F">
        <w:t xml:space="preserve"> </w:t>
      </w:r>
      <w:r w:rsidRPr="00B2350F" w:rsidR="00C321A5">
        <w:t>addressed</w:t>
      </w:r>
      <w:r w:rsidR="00C321A5">
        <w:t xml:space="preserve"> a </w:t>
      </w:r>
      <w:r w:rsidR="003A6A29">
        <w:t xml:space="preserve">sending </w:t>
      </w:r>
      <w:r w:rsidR="00265BF1">
        <w:t>s</w:t>
      </w:r>
      <w:r w:rsidR="00C321A5">
        <w:t>tate’s delay</w:t>
      </w:r>
      <w:r w:rsidR="00AC3A98">
        <w:t xml:space="preserve"> </w:t>
      </w:r>
      <w:r w:rsidR="00265BF1">
        <w:t xml:space="preserve">in </w:t>
      </w:r>
      <w:r w:rsidR="00AC3A98">
        <w:t xml:space="preserve">duly </w:t>
      </w:r>
      <w:r w:rsidR="00265BF1">
        <w:t xml:space="preserve">communicating </w:t>
      </w:r>
      <w:r w:rsidR="00770B23">
        <w:t>a prisoner’s request to final disposition</w:t>
      </w:r>
      <w:r w:rsidR="00C321A5">
        <w:t xml:space="preserve"> to the receiving state</w:t>
      </w:r>
      <w:r w:rsidR="00770B23">
        <w:t xml:space="preserve"> under article III</w:t>
      </w:r>
      <w:r w:rsidR="00D304C5">
        <w:t xml:space="preserve"> </w:t>
      </w:r>
      <w:bookmarkStart w:id="10" w:name="_Hlk112663517"/>
      <w:r w:rsidR="00D304C5">
        <w:t>of the Detainer Agreement</w:t>
      </w:r>
      <w:bookmarkEnd w:id="10"/>
      <w:r w:rsidR="00265BF1">
        <w:t xml:space="preserve">.  </w:t>
      </w:r>
      <w:r>
        <w:t>(</w:t>
      </w:r>
      <w:r w:rsidR="00B85FB4">
        <w:rPr>
          <w:i/>
          <w:iCs/>
        </w:rPr>
        <w:t>Wilson</w:t>
      </w:r>
      <w:r w:rsidR="00B85FB4">
        <w:t xml:space="preserve">, </w:t>
      </w:r>
      <w:r w:rsidR="00B85FB4">
        <w:rPr>
          <w:i/>
          <w:iCs/>
        </w:rPr>
        <w:t>supra</w:t>
      </w:r>
      <w:r w:rsidR="00B85FB4">
        <w:t>, 69 Cal.App.3d</w:t>
      </w:r>
      <w:r>
        <w:rPr>
          <w:i/>
          <w:iCs/>
        </w:rPr>
        <w:t>.</w:t>
      </w:r>
      <w:r>
        <w:t xml:space="preserve"> at p.</w:t>
      </w:r>
      <w:r w:rsidR="003A6A29">
        <w:t> </w:t>
      </w:r>
      <w:r>
        <w:t xml:space="preserve">634.)  </w:t>
      </w:r>
      <w:r w:rsidR="00C321A5">
        <w:t xml:space="preserve">Upon serving notice of a detainer and receiving the defendant’s request to file a formal demand for disposition of the charges, the prison’s legal department </w:t>
      </w:r>
      <w:r w:rsidR="00AC3A98">
        <w:t>took</w:t>
      </w:r>
      <w:r>
        <w:t xml:space="preserve"> two months to </w:t>
      </w:r>
      <w:r w:rsidR="00AC3A98">
        <w:t xml:space="preserve">forward </w:t>
      </w:r>
      <w:r>
        <w:t>his request</w:t>
      </w:r>
      <w:r w:rsidR="00AC3A98">
        <w:t xml:space="preserve"> to the District Attorney</w:t>
      </w:r>
      <w:r>
        <w:t>.  (</w:t>
      </w:r>
      <w:r>
        <w:rPr>
          <w:i/>
          <w:iCs/>
        </w:rPr>
        <w:t>Id.</w:t>
      </w:r>
      <w:r>
        <w:t xml:space="preserve"> at p. 634.)  </w:t>
      </w:r>
      <w:r w:rsidR="00C13AA4">
        <w:t>T</w:t>
      </w:r>
      <w:r w:rsidR="004158F5">
        <w:t xml:space="preserve">he </w:t>
      </w:r>
      <w:r>
        <w:t xml:space="preserve">defendant’s sole obligation under the </w:t>
      </w:r>
      <w:r w:rsidR="00AC3A98">
        <w:t>Detainer Agreement being</w:t>
      </w:r>
      <w:r>
        <w:t xml:space="preserve"> “to advise the warden of his request for final disposition,” </w:t>
      </w:r>
      <w:r w:rsidR="003E5871">
        <w:t>the defendant</w:t>
      </w:r>
      <w:r>
        <w:t xml:space="preserve"> </w:t>
      </w:r>
      <w:r w:rsidR="00AC3A98">
        <w:t xml:space="preserve">in </w:t>
      </w:r>
      <w:r w:rsidR="00AC3A98">
        <w:rPr>
          <w:i/>
          <w:iCs/>
        </w:rPr>
        <w:t xml:space="preserve">Wilson </w:t>
      </w:r>
      <w:r>
        <w:t xml:space="preserve">satisfied that requirement when he initially made his request </w:t>
      </w:r>
      <w:r w:rsidR="00284211">
        <w:t xml:space="preserve">for disposition </w:t>
      </w:r>
      <w:r>
        <w:t>to the correctional facility.  (</w:t>
      </w:r>
      <w:r>
        <w:rPr>
          <w:i/>
          <w:iCs/>
        </w:rPr>
        <w:t>Id.</w:t>
      </w:r>
      <w:r>
        <w:t xml:space="preserve"> at pp. 636-637.)  As </w:t>
      </w:r>
      <w:r w:rsidR="00C71E27">
        <w:t xml:space="preserve">the warden was required </w:t>
      </w:r>
      <w:r>
        <w:t xml:space="preserve">to “promptly forward” the defendant’s </w:t>
      </w:r>
      <w:r w:rsidR="006E480C">
        <w:t>request</w:t>
      </w:r>
      <w:r>
        <w:t xml:space="preserve"> to the appropriate prosecuting official, </w:t>
      </w:r>
      <w:r w:rsidR="006E480C">
        <w:rPr>
          <w:i/>
          <w:iCs/>
        </w:rPr>
        <w:t>Wilson</w:t>
      </w:r>
      <w:r>
        <w:t xml:space="preserve"> concluded that the defendant </w:t>
      </w:r>
      <w:r w:rsidR="009875AC">
        <w:t>may be</w:t>
      </w:r>
      <w:r>
        <w:t xml:space="preserve"> entitled to a dismissal because </w:t>
      </w:r>
      <w:r w:rsidR="00F165B4">
        <w:t>a</w:t>
      </w:r>
      <w:r>
        <w:t xml:space="preserve">rticle V, subdivision (c) mandates </w:t>
      </w:r>
      <w:r w:rsidR="00587268">
        <w:t>dismissal of the charging document</w:t>
      </w:r>
      <w:r>
        <w:t xml:space="preserve"> if a defendant is not brought to trial within the </w:t>
      </w:r>
      <w:r w:rsidR="00631865">
        <w:t xml:space="preserve">180-day </w:t>
      </w:r>
      <w:r>
        <w:t xml:space="preserve">period prescribed in </w:t>
      </w:r>
      <w:r w:rsidR="00F165B4">
        <w:t>a</w:t>
      </w:r>
      <w:r>
        <w:t>rticle III.  (</w:t>
      </w:r>
      <w:r>
        <w:rPr>
          <w:i/>
          <w:iCs/>
        </w:rPr>
        <w:t>Wilson</w:t>
      </w:r>
      <w:r>
        <w:t xml:space="preserve">, </w:t>
      </w:r>
      <w:r>
        <w:rPr>
          <w:i/>
          <w:iCs/>
        </w:rPr>
        <w:t>supra</w:t>
      </w:r>
      <w:r>
        <w:t>, at p.</w:t>
      </w:r>
      <w:r w:rsidR="00D304C5">
        <w:t> </w:t>
      </w:r>
      <w:r>
        <w:t xml:space="preserve">637.)  </w:t>
      </w:r>
      <w:r w:rsidR="00B2350F">
        <w:t>T</w:t>
      </w:r>
      <w:r w:rsidR="006057B6">
        <w:t>he Court of Appeal</w:t>
      </w:r>
      <w:r>
        <w:t xml:space="preserve"> </w:t>
      </w:r>
      <w:r w:rsidR="00AC3A98">
        <w:t xml:space="preserve">in </w:t>
      </w:r>
      <w:r w:rsidR="00AC3A98">
        <w:rPr>
          <w:i/>
          <w:iCs/>
        </w:rPr>
        <w:t xml:space="preserve">Wilson </w:t>
      </w:r>
      <w:r>
        <w:t xml:space="preserve">remanded </w:t>
      </w:r>
      <w:r w:rsidR="00E81195">
        <w:t>for</w:t>
      </w:r>
      <w:r w:rsidR="009875AC">
        <w:t xml:space="preserve"> a hearing as to the reasonableness of </w:t>
      </w:r>
      <w:r w:rsidR="00133FB2">
        <w:t>the sending state’</w:t>
      </w:r>
      <w:r w:rsidR="00E81195">
        <w:t xml:space="preserve">s </w:t>
      </w:r>
      <w:r>
        <w:t xml:space="preserve">two-month delay </w:t>
      </w:r>
      <w:r w:rsidR="0099452F">
        <w:t xml:space="preserve">in </w:t>
      </w:r>
      <w:r w:rsidR="00E81195">
        <w:t xml:space="preserve">sending </w:t>
      </w:r>
      <w:r w:rsidR="0099452F">
        <w:t>the</w:t>
      </w:r>
      <w:r>
        <w:t xml:space="preserve"> formal </w:t>
      </w:r>
      <w:r w:rsidR="0099452F">
        <w:t>request</w:t>
      </w:r>
      <w:r w:rsidR="00D72D6B">
        <w:t xml:space="preserve"> for disposition</w:t>
      </w:r>
      <w:r>
        <w:t>.  (</w:t>
      </w:r>
      <w:r w:rsidR="00B2350F">
        <w:rPr>
          <w:i/>
          <w:iCs/>
        </w:rPr>
        <w:t>Id.</w:t>
      </w:r>
      <w:r>
        <w:t xml:space="preserve"> at p. 637</w:t>
      </w:r>
      <w:r>
        <w:rPr>
          <w:i/>
          <w:iCs/>
        </w:rPr>
        <w:t>.</w:t>
      </w:r>
      <w:r>
        <w:t xml:space="preserve">)  </w:t>
      </w:r>
      <w:r w:rsidR="00C865B1">
        <w:t>I</w:t>
      </w:r>
      <w:r>
        <w:t>f the two-month delay was</w:t>
      </w:r>
      <w:r w:rsidR="00C865B1">
        <w:t xml:space="preserve"> </w:t>
      </w:r>
      <w:r>
        <w:t>“unreasonable[,] then the prison officials have failed to meet their statutory duty”</w:t>
      </w:r>
      <w:r w:rsidR="00CC5473">
        <w:t xml:space="preserve"> under the </w:t>
      </w:r>
      <w:r w:rsidR="00FB2500">
        <w:t>Detainer Agreement</w:t>
      </w:r>
      <w:r w:rsidR="00CC5473">
        <w:t>.</w:t>
      </w:r>
      <w:r>
        <w:t xml:space="preserve">  (</w:t>
      </w:r>
      <w:r>
        <w:rPr>
          <w:i/>
          <w:iCs/>
        </w:rPr>
        <w:t>Id.</w:t>
      </w:r>
      <w:r>
        <w:t xml:space="preserve"> at p. 638.)</w:t>
      </w:r>
    </w:p>
    <w:p w:rsidR="00BD7964" w:rsidP="00271903" w14:paraId="27719E8F" w14:textId="6E106339">
      <w:pPr>
        <w:pStyle w:val="NoSpacing"/>
        <w:spacing w:line="480" w:lineRule="atLeast"/>
      </w:pPr>
      <w:r>
        <w:tab/>
      </w:r>
      <w:r w:rsidR="00B2350F">
        <w:t>Even a</w:t>
      </w:r>
      <w:r w:rsidR="005976D3">
        <w:t xml:space="preserve">ssuming </w:t>
      </w:r>
      <w:r>
        <w:rPr>
          <w:i/>
          <w:iCs/>
        </w:rPr>
        <w:t>Wilson</w:t>
      </w:r>
      <w:r w:rsidR="005976D3">
        <w:t xml:space="preserve">’s continuing viability </w:t>
      </w:r>
      <w:r w:rsidR="00B2350F">
        <w:t>post-</w:t>
      </w:r>
      <w:r w:rsidR="00B2350F">
        <w:rPr>
          <w:i/>
          <w:iCs/>
        </w:rPr>
        <w:t>Fex</w:t>
      </w:r>
      <w:r w:rsidR="005976D3">
        <w:t>, it</w:t>
      </w:r>
      <w:r>
        <w:t xml:space="preserve"> is distinguishable </w:t>
      </w:r>
      <w:r w:rsidR="00F13B2D">
        <w:t xml:space="preserve">from </w:t>
      </w:r>
      <w:r w:rsidRPr="00F13B2D" w:rsidR="00F13B2D">
        <w:rPr>
          <w:i/>
          <w:iCs/>
        </w:rPr>
        <w:t>Lualemaga</w:t>
      </w:r>
      <w:r w:rsidR="00F13B2D">
        <w:t xml:space="preserve"> </w:t>
      </w:r>
      <w:r>
        <w:t xml:space="preserve">because </w:t>
      </w:r>
      <w:r w:rsidR="00F13B2D">
        <w:rPr>
          <w:i/>
          <w:iCs/>
        </w:rPr>
        <w:t>Wilson</w:t>
      </w:r>
      <w:r w:rsidR="00F13B2D">
        <w:t xml:space="preserve"> </w:t>
      </w:r>
      <w:r>
        <w:t xml:space="preserve">concerned a </w:t>
      </w:r>
      <w:r w:rsidR="006F01B2">
        <w:rPr>
          <w:iCs/>
        </w:rPr>
        <w:t>correctional facility</w:t>
      </w:r>
      <w:r w:rsidR="00F13B2D">
        <w:rPr>
          <w:iCs/>
        </w:rPr>
        <w:t xml:space="preserve">’s delay in processing </w:t>
      </w:r>
      <w:r w:rsidR="00F042F0">
        <w:rPr>
          <w:iCs/>
        </w:rPr>
        <w:t xml:space="preserve">the request by </w:t>
      </w:r>
      <w:r w:rsidR="00F13B2D">
        <w:rPr>
          <w:iCs/>
        </w:rPr>
        <w:t xml:space="preserve">a </w:t>
      </w:r>
      <w:r w:rsidR="00530BA6">
        <w:rPr>
          <w:iCs/>
        </w:rPr>
        <w:t xml:space="preserve">duly notified </w:t>
      </w:r>
      <w:r w:rsidR="00F13B2D">
        <w:rPr>
          <w:iCs/>
        </w:rPr>
        <w:t>defendant</w:t>
      </w:r>
      <w:r w:rsidR="00F042F0">
        <w:rPr>
          <w:iCs/>
        </w:rPr>
        <w:t xml:space="preserve"> </w:t>
      </w:r>
      <w:r w:rsidR="00F03296">
        <w:rPr>
          <w:iCs/>
        </w:rPr>
        <w:t>for</w:t>
      </w:r>
      <w:r>
        <w:rPr>
          <w:iCs/>
        </w:rPr>
        <w:t xml:space="preserve"> final disposition of </w:t>
      </w:r>
      <w:r w:rsidR="00FA2F02">
        <w:rPr>
          <w:iCs/>
        </w:rPr>
        <w:t>his</w:t>
      </w:r>
      <w:r>
        <w:rPr>
          <w:iCs/>
        </w:rPr>
        <w:t xml:space="preserve"> pending charges.  (</w:t>
      </w:r>
      <w:r>
        <w:rPr>
          <w:i/>
        </w:rPr>
        <w:t>Wilson</w:t>
      </w:r>
      <w:r>
        <w:rPr>
          <w:iCs/>
        </w:rPr>
        <w:t xml:space="preserve">, </w:t>
      </w:r>
      <w:r>
        <w:rPr>
          <w:i/>
        </w:rPr>
        <w:t>supra</w:t>
      </w:r>
      <w:r>
        <w:rPr>
          <w:iCs/>
        </w:rPr>
        <w:t>, 69 Cal.App.3d at p</w:t>
      </w:r>
      <w:r w:rsidR="00F03296">
        <w:rPr>
          <w:iCs/>
        </w:rPr>
        <w:t>p</w:t>
      </w:r>
      <w:r>
        <w:rPr>
          <w:iCs/>
        </w:rPr>
        <w:t>.</w:t>
      </w:r>
      <w:r w:rsidR="00F03296">
        <w:rPr>
          <w:iCs/>
        </w:rPr>
        <w:t xml:space="preserve"> 634,</w:t>
      </w:r>
      <w:r>
        <w:rPr>
          <w:iCs/>
        </w:rPr>
        <w:t xml:space="preserve"> 636-637.)  </w:t>
      </w:r>
      <w:r w:rsidR="003A0168">
        <w:rPr>
          <w:iCs/>
        </w:rPr>
        <w:t>H</w:t>
      </w:r>
      <w:r>
        <w:rPr>
          <w:iCs/>
        </w:rPr>
        <w:t>ere,</w:t>
      </w:r>
      <w:r w:rsidR="00F13B2D">
        <w:rPr>
          <w:iCs/>
        </w:rPr>
        <w:t xml:space="preserve"> as in </w:t>
      </w:r>
      <w:r w:rsidR="00F13B2D">
        <w:rPr>
          <w:i/>
        </w:rPr>
        <w:t>Lualemaga</w:t>
      </w:r>
      <w:r w:rsidR="00F13B2D">
        <w:rPr>
          <w:iCs/>
        </w:rPr>
        <w:t>,</w:t>
      </w:r>
      <w:r>
        <w:rPr>
          <w:iCs/>
        </w:rPr>
        <w:t xml:space="preserve"> the delay in Nguyen’s case </w:t>
      </w:r>
      <w:r w:rsidR="00C865B1">
        <w:rPr>
          <w:iCs/>
        </w:rPr>
        <w:t>oc</w:t>
      </w:r>
      <w:r>
        <w:rPr>
          <w:iCs/>
        </w:rPr>
        <w:t xml:space="preserve">curred </w:t>
      </w:r>
      <w:r w:rsidR="00FB2500">
        <w:rPr>
          <w:iCs/>
        </w:rPr>
        <w:t>before</w:t>
      </w:r>
      <w:r w:rsidR="00AF21B5">
        <w:rPr>
          <w:iCs/>
        </w:rPr>
        <w:t>—in fact prevented—</w:t>
      </w:r>
      <w:r>
        <w:rPr>
          <w:iCs/>
        </w:rPr>
        <w:t xml:space="preserve">his </w:t>
      </w:r>
      <w:r w:rsidR="00AF21B5">
        <w:rPr>
          <w:iCs/>
        </w:rPr>
        <w:t>article</w:t>
      </w:r>
      <w:r w:rsidR="00D304C5">
        <w:rPr>
          <w:iCs/>
        </w:rPr>
        <w:t> </w:t>
      </w:r>
      <w:r w:rsidR="00AF21B5">
        <w:rPr>
          <w:iCs/>
        </w:rPr>
        <w:t>III request</w:t>
      </w:r>
      <w:r w:rsidR="00FB1912">
        <w:rPr>
          <w:iCs/>
        </w:rPr>
        <w:t>.</w:t>
      </w:r>
      <w:r>
        <w:rPr>
          <w:rStyle w:val="FootnoteReference"/>
          <w:iCs/>
        </w:rPr>
        <w:footnoteReference w:id="14"/>
      </w:r>
      <w:r w:rsidR="00FB1912">
        <w:rPr>
          <w:iCs/>
        </w:rPr>
        <w:t xml:space="preserve">  </w:t>
      </w:r>
      <w:r w:rsidR="00C13AA4">
        <w:t xml:space="preserve">From Nguyen’s perspective, the distinction we observe </w:t>
      </w:r>
      <w:r w:rsidR="00AF21B5">
        <w:t xml:space="preserve">is </w:t>
      </w:r>
      <w:r w:rsidR="00C13AA4">
        <w:t xml:space="preserve">without a difference, but </w:t>
      </w:r>
      <w:r w:rsidR="006F7996">
        <w:t xml:space="preserve">on a question of federal law, </w:t>
      </w:r>
      <w:r w:rsidR="00C865B1">
        <w:t>we may not lightly disregard</w:t>
      </w:r>
      <w:r w:rsidR="00C865B1">
        <w:rPr>
          <w:iCs/>
        </w:rPr>
        <w:t xml:space="preserve"> the uniform federal authorities squarely </w:t>
      </w:r>
      <w:r w:rsidR="0014576D">
        <w:rPr>
          <w:iCs/>
        </w:rPr>
        <w:t xml:space="preserve">precluding dismissal as a remedy for a failure to abide to the Detainer Agreement’s requirement of </w:t>
      </w:r>
      <w:r w:rsidR="00C865B1">
        <w:rPr>
          <w:iCs/>
        </w:rPr>
        <w:t>prompt notice of a detainer</w:t>
      </w:r>
      <w:r>
        <w:rPr>
          <w:iCs/>
        </w:rPr>
        <w:t xml:space="preserve">.  </w:t>
      </w:r>
      <w:r w:rsidR="00C865B1">
        <w:t xml:space="preserve">To </w:t>
      </w:r>
      <w:r>
        <w:t xml:space="preserve">remand the matter to </w:t>
      </w:r>
      <w:r w:rsidR="008F3746">
        <w:t>permit a hearing to</w:t>
      </w:r>
      <w:r>
        <w:t xml:space="preserve"> determine the reasonableness of the delay would </w:t>
      </w:r>
      <w:r w:rsidR="00F13B2D">
        <w:t xml:space="preserve">serve no purpose under </w:t>
      </w:r>
      <w:r>
        <w:t>the Detainer Agreement</w:t>
      </w:r>
      <w:r w:rsidR="00AF21B5">
        <w:t>, given the text</w:t>
      </w:r>
      <w:r>
        <w:t>’s omission of a remedy for the breach of ministerial duty here at issue</w:t>
      </w:r>
      <w:r w:rsidR="00376E49">
        <w:t xml:space="preserve">.  </w:t>
      </w:r>
    </w:p>
    <w:p w:rsidR="003D23E9" w:rsidP="001231D7" w14:paraId="59C7D735" w14:textId="5E8ABC3A">
      <w:pPr>
        <w:pStyle w:val="NoSpacing"/>
        <w:spacing w:line="480" w:lineRule="atLeast"/>
        <w:ind w:firstLine="720"/>
      </w:pPr>
      <w:r>
        <w:rPr>
          <w:rFonts w:cs="Times New Roman"/>
          <w:szCs w:val="26"/>
        </w:rPr>
        <w:t xml:space="preserve">Nguyen </w:t>
      </w:r>
      <w:r w:rsidR="00C13AA4">
        <w:rPr>
          <w:rFonts w:cs="Times New Roman"/>
          <w:szCs w:val="26"/>
        </w:rPr>
        <w:t xml:space="preserve">also </w:t>
      </w:r>
      <w:r>
        <w:rPr>
          <w:rFonts w:cs="Times New Roman"/>
          <w:szCs w:val="26"/>
        </w:rPr>
        <w:t>relies on</w:t>
      </w:r>
      <w:r w:rsidR="00311547">
        <w:rPr>
          <w:rFonts w:cs="Times New Roman"/>
          <w:szCs w:val="26"/>
        </w:rPr>
        <w:t xml:space="preserve"> </w:t>
      </w:r>
      <w:r>
        <w:rPr>
          <w:rFonts w:cs="Times New Roman"/>
          <w:i/>
          <w:iCs/>
          <w:szCs w:val="26"/>
        </w:rPr>
        <w:t>Netzley</w:t>
      </w:r>
      <w:r w:rsidR="00D304C5">
        <w:rPr>
          <w:rFonts w:cs="Times New Roman"/>
          <w:szCs w:val="26"/>
        </w:rPr>
        <w:t xml:space="preserve">, </w:t>
      </w:r>
      <w:r w:rsidRPr="00D304C5" w:rsidR="00D304C5">
        <w:rPr>
          <w:rFonts w:cs="Times New Roman"/>
          <w:i/>
          <w:iCs/>
          <w:szCs w:val="26"/>
        </w:rPr>
        <w:t>supra</w:t>
      </w:r>
      <w:r w:rsidR="00D304C5">
        <w:rPr>
          <w:rFonts w:cs="Times New Roman"/>
          <w:szCs w:val="26"/>
        </w:rPr>
        <w:t>,</w:t>
      </w:r>
      <w:r>
        <w:rPr>
          <w:rFonts w:cs="Times New Roman"/>
          <w:i/>
          <w:iCs/>
          <w:szCs w:val="26"/>
        </w:rPr>
        <w:t xml:space="preserve"> </w:t>
      </w:r>
      <w:r>
        <w:rPr>
          <w:rFonts w:cs="Times New Roman"/>
          <w:szCs w:val="26"/>
        </w:rPr>
        <w:t xml:space="preserve">160 Cal.App.4th 348, which adopted </w:t>
      </w:r>
      <w:r>
        <w:rPr>
          <w:rFonts w:cs="Times New Roman"/>
          <w:i/>
          <w:iCs/>
          <w:szCs w:val="26"/>
        </w:rPr>
        <w:t>Wilson</w:t>
      </w:r>
      <w:r>
        <w:rPr>
          <w:rFonts w:cs="Times New Roman"/>
          <w:szCs w:val="26"/>
        </w:rPr>
        <w:t xml:space="preserve">’s reasonableness test to determine whether </w:t>
      </w:r>
      <w:r w:rsidR="00854BEA">
        <w:rPr>
          <w:rFonts w:cs="Times New Roman"/>
          <w:szCs w:val="26"/>
        </w:rPr>
        <w:t>a</w:t>
      </w:r>
      <w:r>
        <w:rPr>
          <w:rFonts w:cs="Times New Roman"/>
          <w:szCs w:val="26"/>
        </w:rPr>
        <w:t xml:space="preserve"> defendant’s unavailability to stand trial due to being placed in a disciplinary segregation unit tolled t</w:t>
      </w:r>
      <w:r w:rsidR="008E4923">
        <w:rPr>
          <w:rFonts w:cs="Times New Roman"/>
          <w:szCs w:val="26"/>
        </w:rPr>
        <w:t xml:space="preserve">he time limits described under the </w:t>
      </w:r>
      <w:r w:rsidR="00A756C6">
        <w:rPr>
          <w:rFonts w:cs="Times New Roman"/>
          <w:szCs w:val="26"/>
        </w:rPr>
        <w:t>Detainer Agreement</w:t>
      </w:r>
      <w:r>
        <w:rPr>
          <w:rFonts w:cs="Times New Roman"/>
          <w:szCs w:val="26"/>
        </w:rPr>
        <w:t>.  (</w:t>
      </w:r>
      <w:r>
        <w:rPr>
          <w:rFonts w:cs="Times New Roman"/>
          <w:i/>
          <w:iCs/>
          <w:szCs w:val="26"/>
        </w:rPr>
        <w:t>Id.</w:t>
      </w:r>
      <w:r>
        <w:rPr>
          <w:rFonts w:cs="Times New Roman"/>
          <w:szCs w:val="26"/>
        </w:rPr>
        <w:t xml:space="preserve"> at pp. 351, 357-358</w:t>
      </w:r>
      <w:r w:rsidR="00015305">
        <w:rPr>
          <w:rFonts w:cs="Times New Roman"/>
          <w:szCs w:val="26"/>
        </w:rPr>
        <w:t xml:space="preserve">; </w:t>
      </w:r>
      <w:bookmarkStart w:id="11" w:name="_Hlk112663543"/>
      <w:r w:rsidR="00D304C5">
        <w:rPr>
          <w:rFonts w:cs="Times New Roman"/>
          <w:szCs w:val="26"/>
        </w:rPr>
        <w:t xml:space="preserve">§ 1389, </w:t>
      </w:r>
      <w:bookmarkEnd w:id="11"/>
      <w:r w:rsidR="00015305">
        <w:rPr>
          <w:rFonts w:cs="Times New Roman"/>
          <w:szCs w:val="26"/>
        </w:rPr>
        <w:t>art. VI, subd. (a) [180-day time limit “</w:t>
      </w:r>
      <w:r w:rsidRPr="004F731A" w:rsidR="00015305">
        <w:rPr>
          <w:rFonts w:cs="Times New Roman"/>
          <w:szCs w:val="26"/>
        </w:rPr>
        <w:t>shall be tolled whenever and for as long as the prisoner is unable to stand trial, as determined by the court having jurisdiction of the matter</w:t>
      </w:r>
      <w:r w:rsidR="00015305">
        <w:rPr>
          <w:rFonts w:cs="Times New Roman"/>
          <w:szCs w:val="26"/>
        </w:rPr>
        <w:t>”]</w:t>
      </w:r>
      <w:r>
        <w:rPr>
          <w:rFonts w:cs="Times New Roman"/>
          <w:szCs w:val="26"/>
        </w:rPr>
        <w:t xml:space="preserve">.)  In </w:t>
      </w:r>
      <w:r>
        <w:rPr>
          <w:rFonts w:cs="Times New Roman"/>
          <w:i/>
          <w:iCs/>
          <w:szCs w:val="26"/>
        </w:rPr>
        <w:t>Netzley</w:t>
      </w:r>
      <w:r>
        <w:rPr>
          <w:rFonts w:cs="Times New Roman"/>
          <w:szCs w:val="26"/>
        </w:rPr>
        <w:t xml:space="preserve">, the Court of Appeal </w:t>
      </w:r>
      <w:r w:rsidR="004F0BD2">
        <w:rPr>
          <w:rFonts w:cs="Times New Roman"/>
          <w:szCs w:val="26"/>
        </w:rPr>
        <w:t xml:space="preserve">reasoned </w:t>
      </w:r>
      <w:r>
        <w:rPr>
          <w:rFonts w:cs="Times New Roman"/>
          <w:szCs w:val="26"/>
        </w:rPr>
        <w:t>that “delays occasioned by the warden’s negligence, willful misconduct, or unreasonable delays should not serve to toll the 180-day time limit.”  (</w:t>
      </w:r>
      <w:r>
        <w:rPr>
          <w:rFonts w:cs="Times New Roman"/>
          <w:i/>
          <w:iCs/>
          <w:szCs w:val="26"/>
        </w:rPr>
        <w:t>Id.</w:t>
      </w:r>
      <w:r>
        <w:rPr>
          <w:rFonts w:cs="Times New Roman"/>
          <w:szCs w:val="26"/>
        </w:rPr>
        <w:t xml:space="preserve"> at p. 357.)  </w:t>
      </w:r>
      <w:r w:rsidR="00311547">
        <w:rPr>
          <w:rFonts w:cs="Times New Roman"/>
          <w:szCs w:val="26"/>
        </w:rPr>
        <w:t xml:space="preserve">But the operative delay in </w:t>
      </w:r>
      <w:r>
        <w:rPr>
          <w:rFonts w:cs="Times New Roman"/>
          <w:i/>
          <w:iCs/>
          <w:szCs w:val="26"/>
        </w:rPr>
        <w:t>Netzley</w:t>
      </w:r>
      <w:r>
        <w:rPr>
          <w:rFonts w:cs="Times New Roman"/>
          <w:szCs w:val="26"/>
        </w:rPr>
        <w:t xml:space="preserve"> </w:t>
      </w:r>
      <w:r w:rsidR="00311547">
        <w:rPr>
          <w:rFonts w:cs="Times New Roman"/>
          <w:szCs w:val="26"/>
        </w:rPr>
        <w:t xml:space="preserve">occurred after the prosecutor in the </w:t>
      </w:r>
      <w:r w:rsidR="00A756C6">
        <w:rPr>
          <w:rFonts w:cs="Times New Roman"/>
          <w:szCs w:val="26"/>
        </w:rPr>
        <w:t xml:space="preserve">receiving </w:t>
      </w:r>
      <w:r w:rsidR="00311547">
        <w:rPr>
          <w:rFonts w:cs="Times New Roman"/>
          <w:szCs w:val="26"/>
        </w:rPr>
        <w:t>state had</w:t>
      </w:r>
      <w:r w:rsidR="003177A2">
        <w:rPr>
          <w:rFonts w:cs="Times New Roman"/>
          <w:szCs w:val="26"/>
        </w:rPr>
        <w:t xml:space="preserve"> received the defendant’s formal demand for final resolution</w:t>
      </w:r>
      <w:r w:rsidR="00C13AA4">
        <w:rPr>
          <w:rFonts w:cs="Times New Roman"/>
          <w:szCs w:val="26"/>
        </w:rPr>
        <w:t xml:space="preserve">, and </w:t>
      </w:r>
      <w:r w:rsidR="004F0BD2">
        <w:rPr>
          <w:rFonts w:cs="Times New Roman"/>
          <w:szCs w:val="26"/>
        </w:rPr>
        <w:t xml:space="preserve">accordingly </w:t>
      </w:r>
      <w:r w:rsidR="00C13AA4">
        <w:rPr>
          <w:rFonts w:cs="Times New Roman"/>
          <w:szCs w:val="26"/>
        </w:rPr>
        <w:t>after the 180-day time limit had begun</w:t>
      </w:r>
      <w:r w:rsidR="003177A2">
        <w:rPr>
          <w:rFonts w:cs="Times New Roman"/>
          <w:szCs w:val="26"/>
        </w:rPr>
        <w:t>.  Th</w:t>
      </w:r>
      <w:r w:rsidR="00C13AA4">
        <w:rPr>
          <w:rFonts w:cs="Times New Roman"/>
          <w:szCs w:val="26"/>
        </w:rPr>
        <w:t>e</w:t>
      </w:r>
      <w:r>
        <w:rPr>
          <w:rFonts w:cs="Times New Roman"/>
          <w:szCs w:val="26"/>
        </w:rPr>
        <w:t xml:space="preserve"> issue in </w:t>
      </w:r>
      <w:r>
        <w:rPr>
          <w:rFonts w:cs="Times New Roman"/>
          <w:i/>
          <w:iCs/>
          <w:szCs w:val="26"/>
        </w:rPr>
        <w:t>Netzley</w:t>
      </w:r>
      <w:r>
        <w:rPr>
          <w:rFonts w:cs="Times New Roman"/>
          <w:szCs w:val="26"/>
        </w:rPr>
        <w:t xml:space="preserve"> was whether</w:t>
      </w:r>
      <w:r w:rsidR="004F731A">
        <w:rPr>
          <w:rFonts w:cs="Times New Roman"/>
          <w:szCs w:val="26"/>
        </w:rPr>
        <w:t xml:space="preserve"> </w:t>
      </w:r>
      <w:r>
        <w:rPr>
          <w:rFonts w:cs="Times New Roman"/>
          <w:szCs w:val="26"/>
        </w:rPr>
        <w:t xml:space="preserve">the warden </w:t>
      </w:r>
      <w:r w:rsidRPr="004F731A">
        <w:rPr>
          <w:rFonts w:cs="Times New Roman"/>
          <w:szCs w:val="26"/>
        </w:rPr>
        <w:t>reasonably</w:t>
      </w:r>
      <w:r w:rsidR="003177A2">
        <w:rPr>
          <w:rFonts w:cs="Times New Roman"/>
          <w:szCs w:val="26"/>
        </w:rPr>
        <w:t xml:space="preserve"> made the defendant unavailable for timely trial in the </w:t>
      </w:r>
      <w:r w:rsidR="00A756C6">
        <w:rPr>
          <w:rFonts w:cs="Times New Roman"/>
          <w:szCs w:val="26"/>
        </w:rPr>
        <w:t xml:space="preserve">receiving </w:t>
      </w:r>
      <w:r w:rsidR="003177A2">
        <w:rPr>
          <w:rFonts w:cs="Times New Roman"/>
          <w:szCs w:val="26"/>
        </w:rPr>
        <w:t xml:space="preserve">state by </w:t>
      </w:r>
      <w:r>
        <w:rPr>
          <w:rFonts w:cs="Times New Roman"/>
          <w:szCs w:val="26"/>
        </w:rPr>
        <w:t>plac</w:t>
      </w:r>
      <w:r w:rsidR="003177A2">
        <w:rPr>
          <w:rFonts w:cs="Times New Roman"/>
          <w:szCs w:val="26"/>
        </w:rPr>
        <w:t>ing</w:t>
      </w:r>
      <w:r>
        <w:rPr>
          <w:rFonts w:cs="Times New Roman"/>
          <w:szCs w:val="26"/>
        </w:rPr>
        <w:t xml:space="preserve"> the defendant in disciplinary segregation.  (</w:t>
      </w:r>
      <w:r>
        <w:rPr>
          <w:rFonts w:cs="Times New Roman"/>
          <w:i/>
          <w:iCs/>
          <w:szCs w:val="26"/>
        </w:rPr>
        <w:t>Id.</w:t>
      </w:r>
      <w:r>
        <w:rPr>
          <w:rFonts w:cs="Times New Roman"/>
          <w:szCs w:val="26"/>
        </w:rPr>
        <w:t xml:space="preserve"> at p. 357.)  Here, </w:t>
      </w:r>
      <w:r w:rsidR="00DF57B3">
        <w:rPr>
          <w:rFonts w:cs="Times New Roman"/>
          <w:szCs w:val="26"/>
        </w:rPr>
        <w:t xml:space="preserve">any delay </w:t>
      </w:r>
      <w:r w:rsidR="00CC6A2D">
        <w:rPr>
          <w:rFonts w:cs="Times New Roman"/>
          <w:szCs w:val="26"/>
        </w:rPr>
        <w:t>caused</w:t>
      </w:r>
      <w:r w:rsidR="00DF57B3">
        <w:rPr>
          <w:rFonts w:cs="Times New Roman"/>
          <w:szCs w:val="26"/>
        </w:rPr>
        <w:t xml:space="preserve"> by the Colorado warden was made </w:t>
      </w:r>
      <w:r w:rsidRPr="004F731A" w:rsidR="00DF57B3">
        <w:rPr>
          <w:rFonts w:cs="Times New Roman"/>
          <w:szCs w:val="26"/>
        </w:rPr>
        <w:t>before</w:t>
      </w:r>
      <w:r w:rsidR="00DF57B3">
        <w:rPr>
          <w:rFonts w:cs="Times New Roman"/>
          <w:i/>
          <w:iCs/>
          <w:szCs w:val="26"/>
        </w:rPr>
        <w:t xml:space="preserve"> </w:t>
      </w:r>
      <w:r w:rsidR="00DF57B3">
        <w:rPr>
          <w:rFonts w:cs="Times New Roman"/>
          <w:szCs w:val="26"/>
        </w:rPr>
        <w:t xml:space="preserve">Nguyen made a request for final disposition and </w:t>
      </w:r>
      <w:r w:rsidRPr="004F731A" w:rsidR="00DF57B3">
        <w:rPr>
          <w:rFonts w:cs="Times New Roman"/>
          <w:szCs w:val="26"/>
        </w:rPr>
        <w:t>before</w:t>
      </w:r>
      <w:r w:rsidR="00DF57B3">
        <w:rPr>
          <w:rFonts w:cs="Times New Roman"/>
          <w:i/>
          <w:iCs/>
          <w:szCs w:val="26"/>
        </w:rPr>
        <w:t xml:space="preserve"> </w:t>
      </w:r>
      <w:r>
        <w:rPr>
          <w:rFonts w:cs="Times New Roman"/>
          <w:szCs w:val="26"/>
        </w:rPr>
        <w:t xml:space="preserve">the 180-day time limit </w:t>
      </w:r>
      <w:r w:rsidR="00630612">
        <w:rPr>
          <w:rFonts w:cs="Times New Roman"/>
          <w:szCs w:val="26"/>
        </w:rPr>
        <w:t>commenced upon</w:t>
      </w:r>
      <w:r w:rsidR="00901780">
        <w:rPr>
          <w:rFonts w:cs="Times New Roman"/>
          <w:szCs w:val="26"/>
        </w:rPr>
        <w:t xml:space="preserve"> the</w:t>
      </w:r>
      <w:r w:rsidR="00DF57B3">
        <w:rPr>
          <w:rFonts w:cs="Times New Roman"/>
          <w:szCs w:val="26"/>
        </w:rPr>
        <w:t xml:space="preserve"> District Attorney’s </w:t>
      </w:r>
      <w:r w:rsidR="00630612">
        <w:rPr>
          <w:rFonts w:cs="Times New Roman"/>
          <w:szCs w:val="26"/>
        </w:rPr>
        <w:t>receipt of</w:t>
      </w:r>
      <w:r>
        <w:rPr>
          <w:rFonts w:cs="Times New Roman"/>
          <w:szCs w:val="26"/>
        </w:rPr>
        <w:t xml:space="preserve"> </w:t>
      </w:r>
      <w:r w:rsidR="00630612">
        <w:rPr>
          <w:rFonts w:cs="Times New Roman"/>
          <w:szCs w:val="26"/>
        </w:rPr>
        <w:t xml:space="preserve">Nguyen’s </w:t>
      </w:r>
      <w:r>
        <w:rPr>
          <w:rFonts w:cs="Times New Roman"/>
          <w:szCs w:val="26"/>
        </w:rPr>
        <w:t xml:space="preserve">request for final disposition.  (See </w:t>
      </w:r>
      <w:r>
        <w:rPr>
          <w:rFonts w:cs="Times New Roman"/>
          <w:i/>
          <w:iCs/>
          <w:szCs w:val="26"/>
        </w:rPr>
        <w:t>Fex</w:t>
      </w:r>
      <w:r>
        <w:rPr>
          <w:rFonts w:cs="Times New Roman"/>
          <w:szCs w:val="26"/>
        </w:rPr>
        <w:t xml:space="preserve">, </w:t>
      </w:r>
      <w:r>
        <w:rPr>
          <w:rFonts w:cs="Times New Roman"/>
          <w:i/>
          <w:iCs/>
          <w:szCs w:val="26"/>
        </w:rPr>
        <w:t>supra</w:t>
      </w:r>
      <w:r>
        <w:rPr>
          <w:rFonts w:cs="Times New Roman"/>
          <w:szCs w:val="26"/>
        </w:rPr>
        <w:t>, 507 U.S. at p. 52.)</w:t>
      </w:r>
      <w:r>
        <w:t xml:space="preserve"> </w:t>
      </w:r>
    </w:p>
    <w:p w:rsidR="00672E1B" w:rsidP="00672E1B" w14:paraId="31AFA909" w14:textId="571D75D9">
      <w:pPr>
        <w:pStyle w:val="NoSpacing"/>
        <w:spacing w:line="480" w:lineRule="atLeast"/>
        <w:ind w:firstLine="720"/>
      </w:pPr>
      <w:r>
        <w:t xml:space="preserve">Nguyen argues that dismissal must be an appropriate remedy for </w:t>
      </w:r>
      <w:r w:rsidRPr="00EA2A5F">
        <w:rPr>
          <w:i/>
          <w:iCs/>
        </w:rPr>
        <w:t>any</w:t>
      </w:r>
      <w:r>
        <w:t xml:space="preserve"> untimeliness because the Detainer </w:t>
      </w:r>
      <w:r w:rsidR="00431B2F">
        <w:t xml:space="preserve">Agreement </w:t>
      </w:r>
      <w:r>
        <w:t>requires dismissal when the charges have not been tried “within the period provided” in articles III and IV.  (</w:t>
      </w:r>
      <w:r w:rsidRPr="00D304C5" w:rsidR="00D304C5">
        <w:t xml:space="preserve">§ 1389, </w:t>
      </w:r>
      <w:r w:rsidR="00D304C5">
        <w:t>a</w:t>
      </w:r>
      <w:r>
        <w:t xml:space="preserve">rt. V, subd. (c).) </w:t>
      </w:r>
      <w:r w:rsidR="005A5944">
        <w:t xml:space="preserve"> </w:t>
      </w:r>
      <w:r w:rsidR="00B11CF6">
        <w:t>Unlike the 180</w:t>
      </w:r>
      <w:r w:rsidR="00D304C5">
        <w:t> </w:t>
      </w:r>
      <w:r w:rsidR="00B11CF6">
        <w:t xml:space="preserve">days specified by article III and the 120 days by article IV, </w:t>
      </w:r>
      <w:r w:rsidR="00EA2A5F">
        <w:t xml:space="preserve">however, </w:t>
      </w:r>
      <w:r w:rsidR="00B11CF6">
        <w:t xml:space="preserve">“promptly” is not a “period,” as Nguyen </w:t>
      </w:r>
      <w:r w:rsidR="001E2B13">
        <w:t>implicitly</w:t>
      </w:r>
      <w:r w:rsidR="00B11CF6">
        <w:t xml:space="preserve"> recognize</w:t>
      </w:r>
      <w:r w:rsidR="001E2B13">
        <w:t>s</w:t>
      </w:r>
      <w:r w:rsidRPr="00287C80" w:rsidR="00B11CF6">
        <w:t xml:space="preserve"> </w:t>
      </w:r>
      <w:r w:rsidR="00B11CF6">
        <w:t xml:space="preserve">in </w:t>
      </w:r>
      <w:r w:rsidR="00EA2A5F">
        <w:t xml:space="preserve">his </w:t>
      </w:r>
      <w:r w:rsidR="00B11CF6">
        <w:t>suggesti</w:t>
      </w:r>
      <w:r w:rsidR="00EA2A5F">
        <w:t>on</w:t>
      </w:r>
      <w:r w:rsidR="00B11CF6">
        <w:t xml:space="preserve"> that we redefine </w:t>
      </w:r>
      <w:r w:rsidR="00EA2A5F">
        <w:t>“prompt”</w:t>
      </w:r>
      <w:r w:rsidR="00B11CF6">
        <w:t xml:space="preserve"> as </w:t>
      </w:r>
      <w:r w:rsidR="00CC6F42">
        <w:t xml:space="preserve">within </w:t>
      </w:r>
      <w:r w:rsidR="00B11CF6">
        <w:t xml:space="preserve">15 days.  </w:t>
      </w:r>
      <w:r w:rsidR="005A5944">
        <w:t xml:space="preserve">And as Nguyen has conceded, the 180-day period set forth in article III and the 120-day period set forth in article IV had not yet expired when the magistrate dismissed the complaints. </w:t>
      </w:r>
      <w:r>
        <w:t xml:space="preserve"> </w:t>
      </w:r>
    </w:p>
    <w:p w:rsidR="003D23E9" w:rsidP="001231D7" w14:paraId="7B87D42D" w14:textId="012E75AC">
      <w:pPr>
        <w:pStyle w:val="NoSpacing"/>
        <w:spacing w:line="480" w:lineRule="atLeast"/>
        <w:ind w:firstLine="720"/>
      </w:pPr>
      <w:r>
        <w:t>For these reasons, we conclude that</w:t>
      </w:r>
      <w:r w:rsidR="00673D64">
        <w:t xml:space="preserve"> because dismissal of the complaints is not an available form of relief</w:t>
      </w:r>
      <w:r w:rsidR="00A408C4">
        <w:t xml:space="preserve"> under the circumstances of this case</w:t>
      </w:r>
      <w:r w:rsidR="00673D64">
        <w:t>,</w:t>
      </w:r>
      <w:r>
        <w:t xml:space="preserve"> a remand for a hearing on the </w:t>
      </w:r>
      <w:r w:rsidR="001E2B13">
        <w:t xml:space="preserve">reasons or reasonableness of </w:t>
      </w:r>
      <w:r w:rsidR="0064278D">
        <w:t>Colorado</w:t>
      </w:r>
      <w:r>
        <w:t xml:space="preserve">’s </w:t>
      </w:r>
      <w:r w:rsidR="001E2B13">
        <w:t xml:space="preserve">delay </w:t>
      </w:r>
      <w:r>
        <w:t xml:space="preserve">would </w:t>
      </w:r>
      <w:r w:rsidR="001E2B13">
        <w:t>serve no purpose</w:t>
      </w:r>
      <w:r w:rsidR="006424D6">
        <w:t xml:space="preserve"> here</w:t>
      </w:r>
      <w:r w:rsidR="00F91E49">
        <w:t xml:space="preserve">.  </w:t>
      </w:r>
      <w:r w:rsidR="00E0472F">
        <w:t>(</w:t>
      </w:r>
      <w:r w:rsidR="000C6101">
        <w:t>S</w:t>
      </w:r>
      <w:r w:rsidR="0086754B">
        <w:t xml:space="preserve">ee </w:t>
      </w:r>
      <w:r w:rsidR="00410FC6">
        <w:rPr>
          <w:i/>
          <w:iCs/>
        </w:rPr>
        <w:t>Lualemaga</w:t>
      </w:r>
      <w:r w:rsidR="00410FC6">
        <w:t xml:space="preserve">, </w:t>
      </w:r>
      <w:r w:rsidR="00410FC6">
        <w:rPr>
          <w:i/>
          <w:iCs/>
        </w:rPr>
        <w:t>supra</w:t>
      </w:r>
      <w:r w:rsidR="00410FC6">
        <w:t xml:space="preserve">, 280 F.3d at </w:t>
      </w:r>
      <w:r w:rsidR="000B7DC8">
        <w:t>p</w:t>
      </w:r>
      <w:r w:rsidR="00410FC6">
        <w:t>p.</w:t>
      </w:r>
      <w:r w:rsidR="00091EEA">
        <w:t> </w:t>
      </w:r>
      <w:r w:rsidR="00410FC6">
        <w:t>1263-1265</w:t>
      </w:r>
      <w:r w:rsidR="00E0472F">
        <w:t xml:space="preserve">.)  </w:t>
      </w:r>
      <w:r w:rsidR="00F91E49">
        <w:t xml:space="preserve">Accordingly, </w:t>
      </w:r>
      <w:r w:rsidR="006424D6">
        <w:t>the magistrate’s dismissal of the complaints was erroneous as a matter of law, and the superior court properly ordered the magistrate’s reinstatement of the complaints under section 871.5</w:t>
      </w:r>
      <w:r>
        <w:t>.</w:t>
      </w:r>
      <w:r w:rsidR="000C6101">
        <w:t xml:space="preserve">  (See </w:t>
      </w:r>
      <w:r w:rsidR="000C6101">
        <w:rPr>
          <w:i/>
          <w:iCs/>
        </w:rPr>
        <w:t>Shrier</w:t>
      </w:r>
      <w:r w:rsidR="000C6101">
        <w:t xml:space="preserve">, </w:t>
      </w:r>
      <w:r w:rsidR="000C6101">
        <w:rPr>
          <w:i/>
          <w:iCs/>
        </w:rPr>
        <w:t>supra</w:t>
      </w:r>
      <w:r w:rsidR="000C6101">
        <w:t>, 190 Cal.App.4th at pp. 409-410.)</w:t>
      </w:r>
    </w:p>
    <w:p w:rsidR="00003CA3" w:rsidRPr="00003CA3" w:rsidP="001231D7" w14:paraId="7016F0A1" w14:textId="2F468F7B">
      <w:pPr>
        <w:pStyle w:val="NoSpacing"/>
        <w:numPr>
          <w:ilvl w:val="0"/>
          <w:numId w:val="1"/>
        </w:numPr>
        <w:spacing w:line="480" w:lineRule="atLeast"/>
        <w:jc w:val="center"/>
        <w:rPr>
          <w:b/>
          <w:bCs/>
        </w:rPr>
      </w:pPr>
      <w:r w:rsidRPr="00003CA3">
        <w:rPr>
          <w:b/>
          <w:bCs/>
        </w:rPr>
        <w:t>DISPOSITION</w:t>
      </w:r>
    </w:p>
    <w:p w:rsidR="00E73CB8" w:rsidP="007C4941" w14:paraId="72F3CF1A" w14:textId="77777777">
      <w:pPr>
        <w:pStyle w:val="NoSpacing"/>
        <w:spacing w:line="480" w:lineRule="atLeast"/>
        <w:ind w:left="720"/>
        <w:sectPr w:rsidSect="00A31404">
          <w:footerReference w:type="default" r:id="rId6"/>
          <w:pgSz w:w="12240" w:h="15840"/>
          <w:pgMar w:top="1440" w:right="1440" w:bottom="1440" w:left="1440" w:header="720" w:footer="720" w:gutter="0"/>
          <w:cols w:space="720"/>
          <w:titlePg/>
          <w:docGrid w:linePitch="360"/>
        </w:sectPr>
      </w:pPr>
      <w:r>
        <w:t>The judgment is affirmed.</w:t>
      </w:r>
    </w:p>
    <w:p w:rsidR="00E73CB8" w:rsidRPr="00E73CB8" w:rsidP="00E73CB8" w14:paraId="5C2DDBD6" w14:textId="77777777">
      <w:pPr>
        <w:pStyle w:val="NoSpacing"/>
      </w:pPr>
    </w:p>
    <w:p w:rsidR="00E73CB8" w:rsidRPr="00E73CB8" w:rsidP="00E73CB8" w14:paraId="66578F69" w14:textId="77777777">
      <w:pPr>
        <w:pStyle w:val="NoSpacing"/>
      </w:pPr>
    </w:p>
    <w:p w:rsidR="00E73CB8" w:rsidRPr="00E73CB8" w:rsidP="00E73CB8" w14:paraId="482593D9" w14:textId="77777777">
      <w:pPr>
        <w:pStyle w:val="NoSpacing"/>
      </w:pPr>
    </w:p>
    <w:p w:rsidR="00E73CB8" w:rsidRPr="00E73CB8" w:rsidP="00E73CB8" w14:paraId="64A5CA77" w14:textId="77777777">
      <w:pPr>
        <w:pStyle w:val="NoSpacing"/>
      </w:pPr>
    </w:p>
    <w:p w:rsidR="00E73CB8" w:rsidRPr="00E73CB8" w:rsidP="00E73CB8" w14:paraId="475520E1" w14:textId="77777777">
      <w:pPr>
        <w:pStyle w:val="NoSpacing"/>
      </w:pPr>
    </w:p>
    <w:p w:rsidR="00E73CB8" w:rsidRPr="00E73CB8" w:rsidP="00E73CB8" w14:paraId="27DB35ED" w14:textId="77777777">
      <w:pPr>
        <w:pStyle w:val="NoSpacing"/>
      </w:pPr>
    </w:p>
    <w:p w:rsidR="00E73CB8" w:rsidRPr="00E73CB8" w:rsidP="00E73CB8" w14:paraId="1FB084F0" w14:textId="77777777">
      <w:pPr>
        <w:pStyle w:val="NoSpacing"/>
        <w:rPr>
          <w:u w:val="single"/>
        </w:rPr>
      </w:pPr>
      <w:r w:rsidRPr="00E73CB8">
        <w:tab/>
      </w:r>
      <w:r w:rsidRPr="00E73CB8">
        <w:tab/>
      </w:r>
      <w:r w:rsidRPr="00E73CB8">
        <w:tab/>
      </w:r>
      <w:r w:rsidRPr="00E73CB8">
        <w:tab/>
      </w:r>
      <w:r w:rsidRPr="00E73CB8">
        <w:tab/>
      </w:r>
      <w:r w:rsidRPr="00E73CB8">
        <w:rPr>
          <w:u w:val="single"/>
        </w:rPr>
        <w:tab/>
      </w:r>
      <w:r w:rsidRPr="00E73CB8">
        <w:rPr>
          <w:u w:val="single"/>
        </w:rPr>
        <w:tab/>
      </w:r>
      <w:r w:rsidRPr="00E73CB8">
        <w:rPr>
          <w:u w:val="single"/>
        </w:rPr>
        <w:tab/>
      </w:r>
      <w:r w:rsidRPr="00E73CB8">
        <w:rPr>
          <w:u w:val="single"/>
        </w:rPr>
        <w:tab/>
      </w:r>
      <w:r w:rsidRPr="00E73CB8">
        <w:rPr>
          <w:u w:val="single"/>
        </w:rPr>
        <w:tab/>
      </w:r>
      <w:r w:rsidRPr="00E73CB8">
        <w:rPr>
          <w:u w:val="single"/>
        </w:rPr>
        <w:tab/>
      </w:r>
    </w:p>
    <w:p w:rsidR="00E73CB8" w:rsidRPr="00E73CB8" w:rsidP="00E73CB8" w14:paraId="51E8BBBC" w14:textId="77777777">
      <w:pPr>
        <w:pStyle w:val="NoSpacing"/>
      </w:pPr>
      <w:r w:rsidRPr="00E73CB8">
        <w:tab/>
      </w:r>
      <w:r w:rsidRPr="00E73CB8">
        <w:tab/>
      </w:r>
      <w:r w:rsidRPr="00E73CB8">
        <w:tab/>
      </w:r>
      <w:r w:rsidRPr="00E73CB8">
        <w:tab/>
      </w:r>
      <w:r w:rsidRPr="00E73CB8">
        <w:tab/>
        <w:t>LIE, J.</w:t>
      </w:r>
    </w:p>
    <w:p w:rsidR="00E73CB8" w:rsidRPr="00E73CB8" w:rsidP="00E73CB8" w14:paraId="6876FF40" w14:textId="77777777">
      <w:pPr>
        <w:pStyle w:val="NoSpacing"/>
      </w:pPr>
    </w:p>
    <w:p w:rsidR="00E73CB8" w:rsidRPr="00E73CB8" w:rsidP="00E73CB8" w14:paraId="382B1FEE" w14:textId="77777777">
      <w:pPr>
        <w:pStyle w:val="NoSpacing"/>
      </w:pPr>
    </w:p>
    <w:p w:rsidR="00E73CB8" w:rsidRPr="00E73CB8" w:rsidP="00E73CB8" w14:paraId="6974B397" w14:textId="77777777">
      <w:pPr>
        <w:pStyle w:val="NoSpacing"/>
      </w:pPr>
    </w:p>
    <w:p w:rsidR="00E73CB8" w:rsidRPr="00E73CB8" w:rsidP="00E73CB8" w14:paraId="3D1AA8A8" w14:textId="77777777">
      <w:pPr>
        <w:pStyle w:val="NoSpacing"/>
      </w:pPr>
    </w:p>
    <w:p w:rsidR="00E73CB8" w:rsidRPr="00E73CB8" w:rsidP="00E73CB8" w14:paraId="42C51816" w14:textId="77777777">
      <w:pPr>
        <w:pStyle w:val="NoSpacing"/>
      </w:pPr>
    </w:p>
    <w:p w:rsidR="00E73CB8" w:rsidRPr="00E73CB8" w:rsidP="00E73CB8" w14:paraId="1E39E2C7" w14:textId="77777777">
      <w:pPr>
        <w:pStyle w:val="NoSpacing"/>
      </w:pPr>
    </w:p>
    <w:p w:rsidR="00E73CB8" w:rsidRPr="00E73CB8" w:rsidP="00E73CB8" w14:paraId="2DBDBD84" w14:textId="77777777">
      <w:pPr>
        <w:pStyle w:val="NoSpacing"/>
      </w:pPr>
      <w:r w:rsidRPr="00E73CB8">
        <w:t>WE CONCUR:</w:t>
      </w:r>
    </w:p>
    <w:p w:rsidR="00E73CB8" w:rsidRPr="00E73CB8" w:rsidP="00E73CB8" w14:paraId="631C46E5" w14:textId="77777777">
      <w:pPr>
        <w:pStyle w:val="NoSpacing"/>
      </w:pPr>
    </w:p>
    <w:p w:rsidR="00E73CB8" w:rsidRPr="00E73CB8" w:rsidP="00E73CB8" w14:paraId="4ED8A624" w14:textId="77777777">
      <w:pPr>
        <w:pStyle w:val="NoSpacing"/>
      </w:pPr>
    </w:p>
    <w:p w:rsidR="00E73CB8" w:rsidRPr="00E73CB8" w:rsidP="00E73CB8" w14:paraId="686AA2F2" w14:textId="77777777">
      <w:pPr>
        <w:pStyle w:val="NoSpacing"/>
      </w:pPr>
    </w:p>
    <w:p w:rsidR="00E73CB8" w:rsidRPr="00E73CB8" w:rsidP="00E73CB8" w14:paraId="5DF9FF05" w14:textId="77777777">
      <w:pPr>
        <w:pStyle w:val="NoSpacing"/>
      </w:pPr>
    </w:p>
    <w:p w:rsidR="00E73CB8" w:rsidRPr="00E73CB8" w:rsidP="00E73CB8" w14:paraId="5AB94C3D" w14:textId="77777777">
      <w:pPr>
        <w:pStyle w:val="NoSpacing"/>
      </w:pPr>
    </w:p>
    <w:p w:rsidR="00E73CB8" w:rsidRPr="00E73CB8" w:rsidP="00E73CB8" w14:paraId="11AEAFCE" w14:textId="77777777">
      <w:pPr>
        <w:pStyle w:val="NoSpacing"/>
      </w:pPr>
    </w:p>
    <w:p w:rsidR="00E73CB8" w:rsidRPr="00E73CB8" w:rsidP="00E73CB8" w14:paraId="759B3E09" w14:textId="77777777">
      <w:pPr>
        <w:pStyle w:val="NoSpacing"/>
        <w:rPr>
          <w:u w:val="single"/>
        </w:rPr>
      </w:pPr>
      <w:r w:rsidRPr="00E73CB8">
        <w:rPr>
          <w:u w:val="single"/>
        </w:rPr>
        <w:tab/>
      </w:r>
      <w:r w:rsidRPr="00E73CB8">
        <w:rPr>
          <w:u w:val="single"/>
        </w:rPr>
        <w:tab/>
      </w:r>
      <w:r w:rsidRPr="00E73CB8">
        <w:rPr>
          <w:u w:val="single"/>
        </w:rPr>
        <w:tab/>
      </w:r>
      <w:r w:rsidRPr="00E73CB8">
        <w:rPr>
          <w:u w:val="single"/>
        </w:rPr>
        <w:tab/>
      </w:r>
      <w:r w:rsidRPr="00E73CB8">
        <w:rPr>
          <w:u w:val="single"/>
        </w:rPr>
        <w:tab/>
      </w:r>
    </w:p>
    <w:p w:rsidR="00E73CB8" w:rsidRPr="00E73CB8" w:rsidP="00E73CB8" w14:paraId="5FA7D50E" w14:textId="458947FC">
      <w:pPr>
        <w:pStyle w:val="NoSpacing"/>
      </w:pPr>
      <w:r w:rsidRPr="00E73CB8">
        <w:t>GREENWOOD, P.</w:t>
      </w:r>
      <w:r w:rsidR="00200A98">
        <w:t xml:space="preserve"> </w:t>
      </w:r>
      <w:r w:rsidRPr="00E73CB8">
        <w:t>J.</w:t>
      </w:r>
    </w:p>
    <w:p w:rsidR="00E73CB8" w:rsidRPr="00E73CB8" w:rsidP="00E73CB8" w14:paraId="44A5689B" w14:textId="77777777">
      <w:pPr>
        <w:pStyle w:val="NoSpacing"/>
      </w:pPr>
    </w:p>
    <w:p w:rsidR="00E73CB8" w:rsidRPr="00E73CB8" w:rsidP="00E73CB8" w14:paraId="18AAD914" w14:textId="77777777">
      <w:pPr>
        <w:pStyle w:val="NoSpacing"/>
      </w:pPr>
    </w:p>
    <w:p w:rsidR="00E73CB8" w:rsidRPr="00E73CB8" w:rsidP="00E73CB8" w14:paraId="6D5694C7" w14:textId="77777777">
      <w:pPr>
        <w:pStyle w:val="NoSpacing"/>
      </w:pPr>
    </w:p>
    <w:p w:rsidR="00E73CB8" w:rsidRPr="00E73CB8" w:rsidP="00E73CB8" w14:paraId="2D967F32" w14:textId="77777777">
      <w:pPr>
        <w:pStyle w:val="NoSpacing"/>
      </w:pPr>
    </w:p>
    <w:p w:rsidR="00E73CB8" w:rsidRPr="00E73CB8" w:rsidP="00E73CB8" w14:paraId="019A6008" w14:textId="77777777">
      <w:pPr>
        <w:pStyle w:val="NoSpacing"/>
      </w:pPr>
    </w:p>
    <w:p w:rsidR="00E73CB8" w:rsidRPr="00E73CB8" w:rsidP="00E73CB8" w14:paraId="1A62D598" w14:textId="77777777">
      <w:pPr>
        <w:pStyle w:val="NoSpacing"/>
      </w:pPr>
    </w:p>
    <w:p w:rsidR="00E73CB8" w:rsidRPr="00E73CB8" w:rsidP="00E73CB8" w14:paraId="5CA8F505" w14:textId="77777777">
      <w:pPr>
        <w:pStyle w:val="NoSpacing"/>
        <w:rPr>
          <w:u w:val="single"/>
        </w:rPr>
      </w:pPr>
      <w:r w:rsidRPr="00E73CB8">
        <w:rPr>
          <w:u w:val="single"/>
        </w:rPr>
        <w:tab/>
      </w:r>
      <w:r w:rsidRPr="00E73CB8">
        <w:rPr>
          <w:u w:val="single"/>
        </w:rPr>
        <w:tab/>
      </w:r>
      <w:r w:rsidRPr="00E73CB8">
        <w:rPr>
          <w:u w:val="single"/>
        </w:rPr>
        <w:tab/>
      </w:r>
      <w:r w:rsidRPr="00E73CB8">
        <w:rPr>
          <w:u w:val="single"/>
        </w:rPr>
        <w:tab/>
      </w:r>
      <w:r w:rsidRPr="00E73CB8">
        <w:rPr>
          <w:u w:val="single"/>
        </w:rPr>
        <w:tab/>
      </w:r>
    </w:p>
    <w:p w:rsidR="00E73CB8" w:rsidRPr="00E73CB8" w:rsidP="00E73CB8" w14:paraId="58CCAD20" w14:textId="77777777">
      <w:pPr>
        <w:pStyle w:val="NoSpacing"/>
      </w:pPr>
      <w:r w:rsidRPr="00E73CB8">
        <w:t>WILSON, J.</w:t>
      </w:r>
    </w:p>
    <w:p w:rsidR="00E73CB8" w:rsidRPr="00E73CB8" w:rsidP="00E73CB8" w14:paraId="3F1A80CA" w14:textId="77777777">
      <w:pPr>
        <w:pStyle w:val="NoSpacing"/>
      </w:pPr>
    </w:p>
    <w:p w:rsidR="00E73CB8" w:rsidRPr="00E73CB8" w:rsidP="00E73CB8" w14:paraId="76CB88E4" w14:textId="77777777">
      <w:pPr>
        <w:pStyle w:val="NoSpacing"/>
      </w:pPr>
    </w:p>
    <w:p w:rsidR="00E73CB8" w:rsidRPr="00E73CB8" w:rsidP="00E73CB8" w14:paraId="794F85EA" w14:textId="77777777">
      <w:pPr>
        <w:pStyle w:val="NoSpacing"/>
      </w:pPr>
    </w:p>
    <w:p w:rsidR="00E73CB8" w:rsidRPr="00E73CB8" w:rsidP="00E73CB8" w14:paraId="7AD16235" w14:textId="77777777">
      <w:pPr>
        <w:pStyle w:val="NoSpacing"/>
      </w:pPr>
    </w:p>
    <w:p w:rsidR="00E73CB8" w:rsidRPr="00E73CB8" w:rsidP="00E73CB8" w14:paraId="4DB1835D" w14:textId="77777777">
      <w:pPr>
        <w:pStyle w:val="NoSpacing"/>
      </w:pPr>
    </w:p>
    <w:p w:rsidR="00E73CB8" w:rsidRPr="00E73CB8" w:rsidP="00E73CB8" w14:paraId="2E096738" w14:textId="77777777">
      <w:pPr>
        <w:pStyle w:val="NoSpacing"/>
      </w:pPr>
    </w:p>
    <w:p w:rsidR="00E73CB8" w:rsidRPr="00E73CB8" w:rsidP="00E73CB8" w14:paraId="39C9A06B" w14:textId="77777777">
      <w:pPr>
        <w:pStyle w:val="NoSpacing"/>
      </w:pPr>
    </w:p>
    <w:p w:rsidR="00E73CB8" w:rsidRPr="00E73CB8" w:rsidP="00E73CB8" w14:paraId="071BF0E2" w14:textId="77777777">
      <w:pPr>
        <w:pStyle w:val="NoSpacing"/>
      </w:pPr>
    </w:p>
    <w:p w:rsidR="00E73CB8" w:rsidRPr="00E73CB8" w:rsidP="00E73CB8" w14:paraId="55F4B091" w14:textId="77777777">
      <w:pPr>
        <w:pStyle w:val="NoSpacing"/>
        <w:rPr>
          <w:bCs/>
          <w:i/>
        </w:rPr>
      </w:pPr>
      <w:r w:rsidRPr="00E73CB8">
        <w:rPr>
          <w:bCs/>
          <w:i/>
        </w:rPr>
        <w:t>People v. Nguyen</w:t>
      </w:r>
    </w:p>
    <w:p w:rsidR="00E73CB8" w:rsidP="00E73CB8" w14:paraId="017F0E0E" w14:textId="77777777">
      <w:pPr>
        <w:pStyle w:val="NoSpacing"/>
        <w:rPr>
          <w:bCs/>
        </w:rPr>
        <w:sectPr w:rsidSect="00533B38">
          <w:footerReference w:type="even" r:id="rId7"/>
          <w:footerReference w:type="default" r:id="rId8"/>
          <w:pgSz w:w="12240" w:h="15840" w:code="1"/>
          <w:pgMar w:top="1440" w:right="1152" w:bottom="1440" w:left="1440" w:header="720" w:footer="720" w:gutter="0"/>
          <w:cols w:space="720"/>
          <w:titlePg/>
          <w:docGrid w:linePitch="354"/>
        </w:sectPr>
      </w:pPr>
      <w:r w:rsidRPr="00E73CB8">
        <w:rPr>
          <w:bCs/>
        </w:rPr>
        <w:t>H047893</w:t>
      </w:r>
    </w:p>
    <w:p w:rsidR="00E73CB8" w:rsidRPr="00E73CB8" w:rsidP="00E73CB8" w14:paraId="4116C70A" w14:textId="77777777">
      <w:pPr>
        <w:pStyle w:val="NoSpacing"/>
        <w:rPr>
          <w:bCs/>
        </w:rPr>
      </w:pPr>
      <w:r w:rsidRPr="00E73CB8">
        <w:rPr>
          <w:bCs/>
        </w:rPr>
        <w:t>Trial Court:</w:t>
      </w:r>
      <w:r w:rsidRPr="00E73CB8">
        <w:rPr>
          <w:bCs/>
        </w:rPr>
        <w:tab/>
      </w:r>
      <w:r w:rsidRPr="00E73CB8">
        <w:rPr>
          <w:bCs/>
        </w:rPr>
        <w:tab/>
      </w:r>
      <w:r w:rsidRPr="00E73CB8">
        <w:rPr>
          <w:bCs/>
        </w:rPr>
        <w:tab/>
      </w:r>
      <w:r w:rsidRPr="00E73CB8">
        <w:rPr>
          <w:bCs/>
        </w:rPr>
        <w:tab/>
      </w:r>
      <w:r w:rsidRPr="00E73CB8">
        <w:rPr>
          <w:bCs/>
        </w:rPr>
        <w:tab/>
      </w:r>
      <w:r w:rsidRPr="00E73CB8">
        <w:rPr>
          <w:bCs/>
        </w:rPr>
        <w:tab/>
        <w:t>Santa Clara County</w:t>
      </w:r>
    </w:p>
    <w:p w:rsidR="00E73CB8" w:rsidRPr="00E73CB8" w:rsidP="00E73CB8" w14:paraId="21DEAD9E" w14:textId="77777777">
      <w:pPr>
        <w:pStyle w:val="NoSpacing"/>
        <w:ind w:left="5040"/>
        <w:rPr>
          <w:bCs/>
        </w:rPr>
      </w:pPr>
      <w:r w:rsidRPr="00E73CB8">
        <w:rPr>
          <w:bCs/>
        </w:rPr>
        <w:t>Superior Court Nos.:  C1910627, C1652927, C1766436</w:t>
      </w:r>
      <w:r w:rsidRPr="00E73CB8">
        <w:rPr>
          <w:bCs/>
        </w:rPr>
        <w:tab/>
      </w:r>
      <w:r w:rsidRPr="00E73CB8">
        <w:rPr>
          <w:bCs/>
        </w:rPr>
        <w:tab/>
      </w:r>
      <w:r w:rsidRPr="00E73CB8">
        <w:rPr>
          <w:bCs/>
        </w:rPr>
        <w:tab/>
      </w:r>
      <w:r w:rsidRPr="00E73CB8">
        <w:rPr>
          <w:bCs/>
        </w:rPr>
        <w:tab/>
      </w:r>
    </w:p>
    <w:p w:rsidR="00E73CB8" w:rsidRPr="00E73CB8" w:rsidP="00E73CB8" w14:paraId="6DE67B89" w14:textId="55F77D08">
      <w:pPr>
        <w:pStyle w:val="NoSpacing"/>
        <w:rPr>
          <w:bCs/>
        </w:rPr>
      </w:pPr>
      <w:r w:rsidRPr="00E73CB8">
        <w:rPr>
          <w:bCs/>
        </w:rPr>
        <w:t>Trial Judge:</w:t>
      </w:r>
      <w:r w:rsidRPr="00E73CB8">
        <w:rPr>
          <w:bCs/>
        </w:rPr>
        <w:tab/>
      </w:r>
      <w:r>
        <w:rPr>
          <w:bCs/>
        </w:rPr>
        <w:tab/>
      </w:r>
      <w:r>
        <w:rPr>
          <w:bCs/>
        </w:rPr>
        <w:tab/>
      </w:r>
      <w:r>
        <w:rPr>
          <w:bCs/>
        </w:rPr>
        <w:tab/>
      </w:r>
      <w:r>
        <w:rPr>
          <w:bCs/>
        </w:rPr>
        <w:tab/>
      </w:r>
      <w:r>
        <w:rPr>
          <w:bCs/>
        </w:rPr>
        <w:tab/>
      </w:r>
      <w:r w:rsidRPr="00E73CB8">
        <w:rPr>
          <w:bCs/>
        </w:rPr>
        <w:t>The Honorable Socrates Peter Manoukian</w:t>
      </w:r>
    </w:p>
    <w:p w:rsidR="00E73CB8" w:rsidRPr="00E73CB8" w:rsidP="00E73CB8" w14:paraId="3E1E32C7" w14:textId="77777777">
      <w:pPr>
        <w:pStyle w:val="NoSpacing"/>
        <w:rPr>
          <w:bCs/>
        </w:rPr>
      </w:pP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r>
    </w:p>
    <w:p w:rsidR="00E73CB8" w:rsidRPr="00E73CB8" w:rsidP="00E73CB8" w14:paraId="278EC773" w14:textId="77777777">
      <w:pPr>
        <w:pStyle w:val="NoSpacing"/>
        <w:rPr>
          <w:bCs/>
        </w:rPr>
      </w:pP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t>The Honorable Daniel T. Nishigaya</w:t>
      </w:r>
    </w:p>
    <w:p w:rsidR="00E73CB8" w:rsidRPr="00E73CB8" w:rsidP="00E73CB8" w14:paraId="2B86415F" w14:textId="77777777">
      <w:pPr>
        <w:pStyle w:val="NoSpacing"/>
        <w:rPr>
          <w:bCs/>
        </w:rPr>
      </w:pPr>
    </w:p>
    <w:p w:rsidR="00E73CB8" w:rsidRPr="00E73CB8" w:rsidP="00E73CB8" w14:paraId="5886B4FF" w14:textId="77777777">
      <w:pPr>
        <w:pStyle w:val="NoSpacing"/>
        <w:rPr>
          <w:bCs/>
        </w:rPr>
      </w:pPr>
    </w:p>
    <w:p w:rsidR="00E73CB8" w:rsidRPr="00E73CB8" w:rsidP="00E73CB8" w14:paraId="42DA9286" w14:textId="77777777">
      <w:pPr>
        <w:pStyle w:val="NoSpacing"/>
        <w:rPr>
          <w:bCs/>
        </w:rPr>
      </w:pPr>
      <w:r w:rsidRPr="00E73CB8">
        <w:rPr>
          <w:bCs/>
        </w:rPr>
        <w:t>Attorney for Defendant and Appellant</w:t>
      </w:r>
      <w:r w:rsidRPr="00E73CB8">
        <w:rPr>
          <w:bCs/>
        </w:rPr>
        <w:tab/>
      </w:r>
      <w:r w:rsidRPr="00E73CB8">
        <w:rPr>
          <w:bCs/>
        </w:rPr>
        <w:tab/>
        <w:t>Matthew J. Watts</w:t>
      </w:r>
    </w:p>
    <w:p w:rsidR="00E73CB8" w:rsidRPr="00E73CB8" w:rsidP="00E73CB8" w14:paraId="5633EA22" w14:textId="77777777">
      <w:pPr>
        <w:pStyle w:val="NoSpacing"/>
        <w:rPr>
          <w:bCs/>
        </w:rPr>
      </w:pPr>
      <w:r w:rsidRPr="00E73CB8">
        <w:rPr>
          <w:bCs/>
        </w:rPr>
        <w:t>Quoc Ai Nguyen:</w:t>
      </w:r>
      <w:r w:rsidRPr="00E73CB8">
        <w:rPr>
          <w:bCs/>
        </w:rPr>
        <w:tab/>
      </w:r>
      <w:r w:rsidRPr="00E73CB8">
        <w:rPr>
          <w:bCs/>
        </w:rPr>
        <w:tab/>
      </w:r>
      <w:r w:rsidRPr="00E73CB8">
        <w:rPr>
          <w:bCs/>
        </w:rPr>
        <w:tab/>
      </w:r>
      <w:r w:rsidRPr="00E73CB8">
        <w:rPr>
          <w:bCs/>
        </w:rPr>
        <w:tab/>
      </w:r>
      <w:r w:rsidRPr="00E73CB8">
        <w:rPr>
          <w:bCs/>
        </w:rPr>
        <w:tab/>
        <w:t xml:space="preserve">under appointment by the Court </w:t>
      </w: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t>of Appeal for Appellant</w:t>
      </w:r>
    </w:p>
    <w:p w:rsidR="00E73CB8" w:rsidRPr="00E73CB8" w:rsidP="00E73CB8" w14:paraId="20A9F0D2" w14:textId="77777777">
      <w:pPr>
        <w:pStyle w:val="NoSpacing"/>
        <w:rPr>
          <w:bCs/>
        </w:rPr>
      </w:pP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r>
    </w:p>
    <w:p w:rsidR="00E73CB8" w:rsidRPr="00E73CB8" w:rsidP="00E73CB8" w14:paraId="3288734B" w14:textId="77777777">
      <w:pPr>
        <w:pStyle w:val="NoSpacing"/>
        <w:rPr>
          <w:bCs/>
        </w:rPr>
      </w:pPr>
    </w:p>
    <w:p w:rsidR="00E73CB8" w:rsidRPr="00E73CB8" w:rsidP="00E73CB8" w14:paraId="37BBD744" w14:textId="77777777">
      <w:pPr>
        <w:pStyle w:val="NoSpacing"/>
        <w:rPr>
          <w:bCs/>
        </w:rPr>
      </w:pPr>
    </w:p>
    <w:p w:rsidR="00E73CB8" w:rsidRPr="00E73CB8" w:rsidP="00E73CB8" w14:paraId="3C3E2F6F" w14:textId="77777777">
      <w:pPr>
        <w:pStyle w:val="NoSpacing"/>
        <w:rPr>
          <w:bCs/>
        </w:rPr>
      </w:pPr>
      <w:r w:rsidRPr="00E73CB8">
        <w:rPr>
          <w:bCs/>
        </w:rPr>
        <w:t xml:space="preserve">Attorneys for Plaintiff and Respondent </w:t>
      </w:r>
      <w:r w:rsidRPr="00E73CB8">
        <w:rPr>
          <w:bCs/>
        </w:rPr>
        <w:tab/>
      </w:r>
      <w:r w:rsidRPr="00E73CB8">
        <w:rPr>
          <w:bCs/>
        </w:rPr>
        <w:tab/>
        <w:t>Rob Bonta</w:t>
      </w:r>
    </w:p>
    <w:p w:rsidR="00E73CB8" w:rsidRPr="00E73CB8" w:rsidP="00E73CB8" w14:paraId="38AE8619" w14:textId="77777777">
      <w:pPr>
        <w:pStyle w:val="NoSpacing"/>
        <w:rPr>
          <w:bCs/>
        </w:rPr>
      </w:pPr>
      <w:r w:rsidRPr="00E73CB8">
        <w:rPr>
          <w:bCs/>
        </w:rPr>
        <w:t xml:space="preserve">The People: </w:t>
      </w:r>
      <w:r w:rsidRPr="00E73CB8">
        <w:rPr>
          <w:bCs/>
        </w:rPr>
        <w:tab/>
      </w:r>
      <w:r w:rsidRPr="00E73CB8">
        <w:rPr>
          <w:bCs/>
        </w:rPr>
        <w:tab/>
      </w:r>
      <w:r w:rsidRPr="00E73CB8">
        <w:rPr>
          <w:bCs/>
        </w:rPr>
        <w:tab/>
      </w:r>
      <w:r w:rsidRPr="00E73CB8">
        <w:rPr>
          <w:bCs/>
        </w:rPr>
        <w:tab/>
      </w:r>
      <w:r w:rsidRPr="00E73CB8">
        <w:rPr>
          <w:bCs/>
        </w:rPr>
        <w:tab/>
      </w:r>
      <w:r w:rsidRPr="00E73CB8">
        <w:rPr>
          <w:bCs/>
        </w:rPr>
        <w:tab/>
        <w:t>Attorney General</w:t>
      </w:r>
    </w:p>
    <w:p w:rsidR="00E73CB8" w:rsidRPr="00E73CB8" w:rsidP="00E73CB8" w14:paraId="1A5B3F95" w14:textId="77777777">
      <w:pPr>
        <w:pStyle w:val="NoSpacing"/>
        <w:rPr>
          <w:bCs/>
        </w:rPr>
      </w:pP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r>
    </w:p>
    <w:p w:rsidR="00E73CB8" w:rsidRPr="00E73CB8" w:rsidP="00E73CB8" w14:paraId="39A2EA15" w14:textId="77777777">
      <w:pPr>
        <w:pStyle w:val="NoSpacing"/>
        <w:rPr>
          <w:bCs/>
        </w:rPr>
      </w:pP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t>Lance E. Winters,</w:t>
      </w:r>
    </w:p>
    <w:p w:rsidR="00E73CB8" w:rsidRPr="00E73CB8" w:rsidP="00E73CB8" w14:paraId="39FAEEE3" w14:textId="77777777">
      <w:pPr>
        <w:pStyle w:val="NoSpacing"/>
        <w:rPr>
          <w:bCs/>
        </w:rPr>
      </w:pP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t>Chief Assistant Attorney General</w:t>
      </w:r>
    </w:p>
    <w:p w:rsidR="00E73CB8" w:rsidRPr="00E73CB8" w:rsidP="00E73CB8" w14:paraId="6AAB4A56" w14:textId="77777777">
      <w:pPr>
        <w:pStyle w:val="NoSpacing"/>
        <w:rPr>
          <w:bCs/>
        </w:rPr>
      </w:pP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r>
    </w:p>
    <w:p w:rsidR="00E73CB8" w:rsidRPr="00E73CB8" w:rsidP="00E73CB8" w14:paraId="484FB735" w14:textId="77777777">
      <w:pPr>
        <w:pStyle w:val="NoSpacing"/>
        <w:rPr>
          <w:bCs/>
        </w:rPr>
      </w:pP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t>Charles C. Ragland,</w:t>
      </w:r>
    </w:p>
    <w:p w:rsidR="00E73CB8" w:rsidRPr="00E73CB8" w:rsidP="00E65D79" w14:paraId="353450A9" w14:textId="77777777">
      <w:pPr>
        <w:pStyle w:val="NoSpacing"/>
        <w:ind w:left="4320" w:firstLine="720"/>
        <w:rPr>
          <w:bCs/>
        </w:rPr>
      </w:pPr>
      <w:r w:rsidRPr="00E73CB8">
        <w:rPr>
          <w:bCs/>
        </w:rPr>
        <w:t>Senior Assistant Attorney General</w:t>
      </w:r>
    </w:p>
    <w:p w:rsidR="00E73CB8" w:rsidRPr="00E73CB8" w:rsidP="00E73CB8" w14:paraId="33072628" w14:textId="77777777">
      <w:pPr>
        <w:pStyle w:val="NoSpacing"/>
        <w:rPr>
          <w:bCs/>
        </w:rPr>
      </w:pPr>
    </w:p>
    <w:p w:rsidR="00E73CB8" w:rsidRPr="00E73CB8" w:rsidP="00E65D79" w14:paraId="344FA04D" w14:textId="77777777">
      <w:pPr>
        <w:pStyle w:val="NoSpacing"/>
        <w:ind w:left="4320" w:firstLine="720"/>
        <w:rPr>
          <w:bCs/>
        </w:rPr>
      </w:pPr>
      <w:r w:rsidRPr="00E73CB8">
        <w:rPr>
          <w:bCs/>
        </w:rPr>
        <w:t>Warren J. Williams,</w:t>
      </w:r>
    </w:p>
    <w:p w:rsidR="00E73CB8" w:rsidRPr="00E73CB8" w:rsidP="00E73CB8" w14:paraId="6DC586A8" w14:textId="77777777">
      <w:pPr>
        <w:pStyle w:val="NoSpacing"/>
        <w:rPr>
          <w:bCs/>
        </w:rPr>
      </w:pP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t>Deputy Attorney General</w:t>
      </w:r>
    </w:p>
    <w:p w:rsidR="00E73CB8" w:rsidRPr="00E73CB8" w:rsidP="00E73CB8" w14:paraId="4DCBCF52" w14:textId="77777777">
      <w:pPr>
        <w:pStyle w:val="NoSpacing"/>
        <w:rPr>
          <w:bCs/>
        </w:rPr>
      </w:pPr>
    </w:p>
    <w:p w:rsidR="00E73CB8" w:rsidRPr="00E73CB8" w:rsidP="00E73CB8" w14:paraId="1EDD5309" w14:textId="77777777">
      <w:pPr>
        <w:pStyle w:val="NoSpacing"/>
        <w:rPr>
          <w:bCs/>
        </w:rPr>
      </w:pP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r>
    </w:p>
    <w:p w:rsidR="00E73CB8" w:rsidRPr="00E73CB8" w:rsidP="00E73CB8" w14:paraId="2BC7365F" w14:textId="77777777">
      <w:pPr>
        <w:pStyle w:val="NoSpacing"/>
        <w:rPr>
          <w:bCs/>
        </w:rPr>
      </w:pP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r>
    </w:p>
    <w:p w:rsidR="00E73CB8" w:rsidRPr="00E73CB8" w:rsidP="00E73CB8" w14:paraId="147D9389" w14:textId="77777777">
      <w:pPr>
        <w:pStyle w:val="NoSpacing"/>
        <w:rPr>
          <w:bCs/>
        </w:rPr>
      </w:pP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r>
    </w:p>
    <w:p w:rsidR="00E73CB8" w:rsidRPr="00E73CB8" w:rsidP="00E73CB8" w14:paraId="3091AB03" w14:textId="77777777">
      <w:pPr>
        <w:pStyle w:val="NoSpacing"/>
        <w:rPr>
          <w:bCs/>
        </w:rPr>
      </w:pP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r>
    </w:p>
    <w:p w:rsidR="00E73CB8" w:rsidRPr="00E73CB8" w:rsidP="00E73CB8" w14:paraId="5F5A6D6D" w14:textId="77777777">
      <w:pPr>
        <w:pStyle w:val="NoSpacing"/>
        <w:rPr>
          <w:bCs/>
        </w:rPr>
      </w:pP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r>
    </w:p>
    <w:p w:rsidR="00E73CB8" w:rsidRPr="00E73CB8" w:rsidP="00E73CB8" w14:paraId="2B24D88C" w14:textId="77777777">
      <w:pPr>
        <w:pStyle w:val="NoSpacing"/>
        <w:rPr>
          <w:bCs/>
        </w:rPr>
      </w:pP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r>
    </w:p>
    <w:p w:rsidR="00E73CB8" w:rsidRPr="00E73CB8" w:rsidP="00E73CB8" w14:paraId="3F94468E" w14:textId="77777777">
      <w:pPr>
        <w:pStyle w:val="NoSpacing"/>
        <w:rPr>
          <w:bCs/>
        </w:rPr>
      </w:pP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r>
    </w:p>
    <w:p w:rsidR="00E73CB8" w:rsidRPr="00E73CB8" w:rsidP="00E73CB8" w14:paraId="36638B4E" w14:textId="77777777">
      <w:pPr>
        <w:pStyle w:val="NoSpacing"/>
        <w:rPr>
          <w:bCs/>
        </w:rPr>
      </w:pPr>
    </w:p>
    <w:p w:rsidR="00E73CB8" w:rsidRPr="00E73CB8" w:rsidP="00E73CB8" w14:paraId="23E40162" w14:textId="77777777">
      <w:pPr>
        <w:pStyle w:val="NoSpacing"/>
        <w:rPr>
          <w:bCs/>
        </w:rPr>
      </w:pPr>
    </w:p>
    <w:p w:rsidR="00E73CB8" w:rsidRPr="00E73CB8" w:rsidP="00E73CB8" w14:paraId="7D15E277" w14:textId="77777777">
      <w:pPr>
        <w:pStyle w:val="NoSpacing"/>
        <w:rPr>
          <w:bCs/>
        </w:rPr>
      </w:pP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r>
    </w:p>
    <w:p w:rsidR="00E73CB8" w:rsidRPr="00E73CB8" w:rsidP="00E73CB8" w14:paraId="4B9DF594" w14:textId="77777777">
      <w:pPr>
        <w:pStyle w:val="NoSpacing"/>
        <w:rPr>
          <w:bCs/>
        </w:rPr>
      </w:pPr>
      <w:r w:rsidRPr="00E73CB8">
        <w:rPr>
          <w:bCs/>
        </w:rPr>
        <w:tab/>
      </w:r>
      <w:r w:rsidRPr="00E73CB8">
        <w:rPr>
          <w:bCs/>
        </w:rPr>
        <w:tab/>
      </w:r>
      <w:r w:rsidRPr="00E73CB8">
        <w:rPr>
          <w:bCs/>
        </w:rPr>
        <w:tab/>
      </w:r>
      <w:r w:rsidRPr="00E73CB8">
        <w:rPr>
          <w:bCs/>
        </w:rPr>
        <w:tab/>
      </w:r>
      <w:r w:rsidRPr="00E73CB8">
        <w:rPr>
          <w:bCs/>
        </w:rPr>
        <w:tab/>
      </w:r>
    </w:p>
    <w:p w:rsidR="00E73CB8" w:rsidRPr="00E73CB8" w:rsidP="00E73CB8" w14:paraId="05E2FC78" w14:textId="77777777">
      <w:pPr>
        <w:pStyle w:val="NoSpacing"/>
        <w:rPr>
          <w:bCs/>
        </w:rPr>
      </w:pPr>
      <w:r w:rsidRPr="00E73CB8">
        <w:rPr>
          <w:bCs/>
        </w:rPr>
        <w:tab/>
      </w:r>
      <w:r w:rsidRPr="00E73CB8">
        <w:rPr>
          <w:bCs/>
        </w:rPr>
        <w:tab/>
      </w:r>
      <w:r w:rsidRPr="00E73CB8">
        <w:rPr>
          <w:bCs/>
        </w:rPr>
        <w:tab/>
      </w:r>
      <w:r w:rsidRPr="00E73CB8">
        <w:rPr>
          <w:bCs/>
        </w:rPr>
        <w:tab/>
      </w:r>
      <w:r w:rsidRPr="00E73CB8">
        <w:rPr>
          <w:bCs/>
        </w:rPr>
        <w:tab/>
      </w:r>
      <w:r w:rsidRPr="00E73CB8">
        <w:rPr>
          <w:bCs/>
        </w:rPr>
        <w:tab/>
      </w:r>
      <w:r w:rsidRPr="00E73CB8">
        <w:rPr>
          <w:bCs/>
        </w:rPr>
        <w:tab/>
      </w:r>
    </w:p>
    <w:p w:rsidR="00E73CB8" w:rsidRPr="00E73CB8" w:rsidP="00E73CB8" w14:paraId="6FFC48EE" w14:textId="77777777">
      <w:pPr>
        <w:pStyle w:val="NoSpacing"/>
        <w:rPr>
          <w:bCs/>
          <w:i/>
        </w:rPr>
      </w:pPr>
      <w:r w:rsidRPr="00E73CB8">
        <w:rPr>
          <w:bCs/>
          <w:i/>
        </w:rPr>
        <w:t>People v. Nguyen</w:t>
      </w:r>
    </w:p>
    <w:p w:rsidR="001E448D" w:rsidRPr="001218EA" w:rsidP="00056E7F" w14:paraId="6BA76355" w14:textId="62286D2F">
      <w:pPr>
        <w:pStyle w:val="NoSpacing"/>
      </w:pPr>
      <w:r w:rsidRPr="00E73CB8">
        <w:rPr>
          <w:bCs/>
        </w:rPr>
        <w:t>H047893</w:t>
      </w:r>
    </w:p>
    <w:sectPr w:rsidSect="00533B38">
      <w:pgSz w:w="12240" w:h="15840" w:code="1"/>
      <w:pgMar w:top="1440" w:right="1152" w:bottom="1440" w:left="1440" w:header="720" w:footer="720" w:gutter="0"/>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9858326"/>
      <w:docPartObj>
        <w:docPartGallery w:val="Page Numbers (Bottom of Page)"/>
        <w:docPartUnique/>
      </w:docPartObj>
    </w:sdtPr>
    <w:sdtEndPr>
      <w:rPr>
        <w:noProof/>
      </w:rPr>
    </w:sdtEndPr>
    <w:sdtContent>
      <w:p w:rsidR="00A31404" w14:paraId="1875B142" w14:textId="72DAD2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31404" w14:paraId="1E1F82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3DC" w14:paraId="0EE6E8E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378D8">
      <w:rPr>
        <w:rStyle w:val="PageNumber"/>
      </w:rPr>
      <w:fldChar w:fldCharType="separate"/>
    </w:r>
    <w:r>
      <w:rPr>
        <w:rStyle w:val="PageNumber"/>
      </w:rPr>
      <w:fldChar w:fldCharType="end"/>
    </w:r>
  </w:p>
  <w:p w:rsidR="003A03DC" w14:paraId="4B8185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3DC" w14:paraId="2306874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A03DC" w14:paraId="4C7FCCA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5A81" w:rsidP="00855A81" w14:paraId="1E850400" w14:textId="77777777">
      <w:r>
        <w:separator/>
      </w:r>
    </w:p>
  </w:footnote>
  <w:footnote w:type="continuationSeparator" w:id="1">
    <w:p w:rsidR="00855A81" w:rsidP="00855A81" w14:paraId="1028CAAF" w14:textId="77777777">
      <w:r>
        <w:continuationSeparator/>
      </w:r>
    </w:p>
  </w:footnote>
  <w:footnote w:type="continuationNotice" w:id="2">
    <w:p w:rsidR="00277955" w14:paraId="06EAA650" w14:textId="77777777">
      <w:pPr>
        <w:spacing w:line="240" w:lineRule="auto"/>
      </w:pPr>
    </w:p>
  </w:footnote>
  <w:footnote w:id="3">
    <w:p w:rsidR="00431E22" w:rsidP="007F77B7" w14:paraId="014F4CA3" w14:textId="56E937F6">
      <w:pPr>
        <w:pStyle w:val="FootnoteText"/>
        <w:spacing w:after="240" w:line="240" w:lineRule="auto"/>
        <w:ind w:firstLine="720"/>
      </w:pPr>
      <w:r>
        <w:rPr>
          <w:rStyle w:val="FootnoteReference"/>
        </w:rPr>
        <w:footnoteRef/>
      </w:r>
      <w:r>
        <w:t xml:space="preserve"> </w:t>
      </w:r>
      <w:bookmarkStart w:id="4" w:name="_Hlk112225408"/>
      <w:r w:rsidRPr="00F905CA">
        <w:rPr>
          <w:szCs w:val="26"/>
        </w:rPr>
        <w:t>Unspecified statutory references are to the Penal Code</w:t>
      </w:r>
      <w:r>
        <w:rPr>
          <w:szCs w:val="26"/>
        </w:rPr>
        <w:t xml:space="preserve"> and unspecified article references are to the Detainer Agreement (§ 1389)</w:t>
      </w:r>
      <w:r w:rsidRPr="00F905CA">
        <w:rPr>
          <w:szCs w:val="26"/>
        </w:rPr>
        <w:t>.</w:t>
      </w:r>
      <w:bookmarkEnd w:id="4"/>
    </w:p>
  </w:footnote>
  <w:footnote w:id="4">
    <w:p w:rsidR="0011175C" w:rsidRPr="00F905CA" w:rsidP="007F77B7" w14:paraId="38409CE6" w14:textId="0A6CCE83">
      <w:pPr>
        <w:pStyle w:val="FootnoteText"/>
        <w:spacing w:after="240" w:line="240" w:lineRule="auto"/>
        <w:ind w:firstLine="720"/>
        <w:rPr>
          <w:szCs w:val="26"/>
        </w:rPr>
      </w:pPr>
      <w:r w:rsidRPr="00F905CA">
        <w:rPr>
          <w:rStyle w:val="FootnoteReference"/>
          <w:szCs w:val="26"/>
        </w:rPr>
        <w:footnoteRef/>
      </w:r>
      <w:r w:rsidRPr="00F905CA">
        <w:rPr>
          <w:szCs w:val="26"/>
        </w:rPr>
        <w:t xml:space="preserve"> </w:t>
      </w:r>
      <w:r w:rsidR="00F76E34">
        <w:rPr>
          <w:szCs w:val="26"/>
        </w:rPr>
        <w:t>Nguyen’s informal request includ</w:t>
      </w:r>
      <w:r w:rsidR="00106585">
        <w:rPr>
          <w:szCs w:val="26"/>
        </w:rPr>
        <w:t>ed</w:t>
      </w:r>
      <w:r w:rsidR="00F76E34">
        <w:rPr>
          <w:szCs w:val="26"/>
        </w:rPr>
        <w:t xml:space="preserve"> the </w:t>
      </w:r>
      <w:r w:rsidR="00B16825">
        <w:rPr>
          <w:szCs w:val="26"/>
        </w:rPr>
        <w:t xml:space="preserve">charges in the </w:t>
      </w:r>
      <w:r w:rsidR="00F76E34">
        <w:rPr>
          <w:szCs w:val="26"/>
        </w:rPr>
        <w:t>instant case as well as three misdemeanor matters</w:t>
      </w:r>
      <w:r w:rsidR="009B1149">
        <w:rPr>
          <w:szCs w:val="26"/>
        </w:rPr>
        <w:t xml:space="preserve"> </w:t>
      </w:r>
      <w:r w:rsidRPr="00F905CA">
        <w:rPr>
          <w:szCs w:val="26"/>
        </w:rPr>
        <w:t xml:space="preserve">not </w:t>
      </w:r>
      <w:r w:rsidR="009B1149">
        <w:rPr>
          <w:szCs w:val="26"/>
        </w:rPr>
        <w:t>included in</w:t>
      </w:r>
      <w:r w:rsidRPr="00F905CA">
        <w:rPr>
          <w:szCs w:val="26"/>
        </w:rPr>
        <w:t xml:space="preserve"> the record on appeal. </w:t>
      </w:r>
    </w:p>
  </w:footnote>
  <w:footnote w:id="5">
    <w:p w:rsidR="00180887" w:rsidRPr="008A789D" w:rsidP="00431E22" w14:paraId="6D2E3221" w14:textId="061B4BEF">
      <w:pPr>
        <w:pStyle w:val="FootnoteText"/>
        <w:spacing w:after="240" w:line="240" w:lineRule="auto"/>
        <w:ind w:firstLine="720"/>
      </w:pPr>
      <w:r>
        <w:rPr>
          <w:rStyle w:val="FootnoteReference"/>
        </w:rPr>
        <w:footnoteRef/>
      </w:r>
      <w:r>
        <w:t xml:space="preserve"> </w:t>
      </w:r>
      <w:r w:rsidR="003C73D9">
        <w:t xml:space="preserve">In </w:t>
      </w:r>
      <w:r>
        <w:t xml:space="preserve">a previous hearing, the parties </w:t>
      </w:r>
      <w:r w:rsidR="003C73D9">
        <w:t xml:space="preserve">informed the magistrate </w:t>
      </w:r>
      <w:r>
        <w:t xml:space="preserve">that </w:t>
      </w:r>
      <w:r w:rsidR="00F35ED1">
        <w:t>an extradition warrant</w:t>
      </w:r>
      <w:r>
        <w:t xml:space="preserve"> </w:t>
      </w:r>
      <w:r w:rsidR="00286978">
        <w:t xml:space="preserve">had been approved </w:t>
      </w:r>
      <w:r>
        <w:t xml:space="preserve">in 2017. </w:t>
      </w:r>
      <w:r w:rsidR="00F35ED1">
        <w:t xml:space="preserve"> As the magistrate acknowledged, an extradition proceeding is not governed by the Detainer Agreement. </w:t>
      </w:r>
      <w:r w:rsidR="008A789D">
        <w:t xml:space="preserve"> (See </w:t>
      </w:r>
      <w:r w:rsidRPr="004D58B1" w:rsidR="004D58B1">
        <w:rPr>
          <w:i/>
          <w:iCs/>
        </w:rPr>
        <w:t xml:space="preserve">United States v. </w:t>
      </w:r>
      <w:r w:rsidRPr="008A789D" w:rsidR="008A789D">
        <w:rPr>
          <w:i/>
          <w:iCs/>
        </w:rPr>
        <w:t>Mauro</w:t>
      </w:r>
      <w:r w:rsidR="004D58B1">
        <w:t xml:space="preserve"> (1978)</w:t>
      </w:r>
      <w:r w:rsidR="008A789D">
        <w:t xml:space="preserve"> 436 U.S.</w:t>
      </w:r>
      <w:r w:rsidR="004D58B1">
        <w:t xml:space="preserve"> 351,</w:t>
      </w:r>
      <w:r w:rsidR="008A789D">
        <w:t xml:space="preserve"> 360</w:t>
      </w:r>
      <w:r w:rsidR="004D58B1">
        <w:t xml:space="preserve"> (</w:t>
      </w:r>
      <w:r w:rsidRPr="004D58B1" w:rsidR="004D58B1">
        <w:rPr>
          <w:i/>
          <w:iCs/>
        </w:rPr>
        <w:t>Mauro</w:t>
      </w:r>
      <w:r w:rsidR="004D58B1">
        <w:t>)</w:t>
      </w:r>
      <w:r w:rsidR="008A789D">
        <w:t xml:space="preserve">; see also </w:t>
      </w:r>
      <w:r w:rsidRPr="008A789D" w:rsidR="008A789D">
        <w:rPr>
          <w:i/>
          <w:iCs/>
        </w:rPr>
        <w:t>People</w:t>
      </w:r>
      <w:r w:rsidR="008A789D">
        <w:rPr>
          <w:i/>
          <w:iCs/>
        </w:rPr>
        <w:t xml:space="preserve"> v. Rhoden</w:t>
      </w:r>
      <w:r w:rsidR="008A789D">
        <w:t xml:space="preserve"> (1989) 216 Cal.App.3d 1242.)</w:t>
      </w:r>
    </w:p>
  </w:footnote>
  <w:footnote w:id="6">
    <w:p w:rsidR="000F30F9" w:rsidRPr="00F905CA" w:rsidP="000F30F9" w14:paraId="1AEF0C9D" w14:textId="50F35715">
      <w:pPr>
        <w:pStyle w:val="FootnoteText"/>
        <w:spacing w:after="120" w:line="240" w:lineRule="auto"/>
        <w:ind w:firstLine="720"/>
        <w:rPr>
          <w:szCs w:val="26"/>
        </w:rPr>
      </w:pPr>
      <w:r w:rsidRPr="00F905CA">
        <w:rPr>
          <w:rStyle w:val="FootnoteReference"/>
          <w:szCs w:val="26"/>
        </w:rPr>
        <w:footnoteRef/>
      </w:r>
      <w:r w:rsidRPr="00F905CA">
        <w:rPr>
          <w:szCs w:val="26"/>
        </w:rPr>
        <w:t xml:space="preserve"> The grand jury returned an 11-count indictment</w:t>
      </w:r>
      <w:r>
        <w:rPr>
          <w:szCs w:val="26"/>
        </w:rPr>
        <w:t xml:space="preserve"> in case number C1910627</w:t>
      </w:r>
      <w:r w:rsidRPr="00F905CA">
        <w:rPr>
          <w:szCs w:val="26"/>
        </w:rPr>
        <w:t xml:space="preserve"> as follows: two counts of possession for sale or purchase for sale of cocaine base (Health &amp; Saf. Code, § 11351.5; counts 1 &amp; 5); two counts of possession for sale or purchase for sale of controlled substance (</w:t>
      </w:r>
      <w:r w:rsidRPr="00F905CA">
        <w:rPr>
          <w:i/>
          <w:iCs/>
          <w:szCs w:val="26"/>
        </w:rPr>
        <w:t>id.</w:t>
      </w:r>
      <w:r w:rsidRPr="00F905CA">
        <w:rPr>
          <w:szCs w:val="26"/>
        </w:rPr>
        <w:t xml:space="preserve">, </w:t>
      </w:r>
      <w:r w:rsidR="008D3588">
        <w:rPr>
          <w:szCs w:val="26"/>
        </w:rPr>
        <w:t>§</w:t>
      </w:r>
      <w:r w:rsidRPr="00F905CA">
        <w:rPr>
          <w:szCs w:val="26"/>
        </w:rPr>
        <w:t xml:space="preserve"> 11351; counts 2 &amp; 6); four counts of transportation, sale, distribution of controlled substance (</w:t>
      </w:r>
      <w:r w:rsidRPr="00F905CA">
        <w:rPr>
          <w:i/>
          <w:iCs/>
          <w:szCs w:val="26"/>
        </w:rPr>
        <w:t>id.</w:t>
      </w:r>
      <w:r w:rsidRPr="00F905CA">
        <w:rPr>
          <w:szCs w:val="26"/>
        </w:rPr>
        <w:t xml:space="preserve">, </w:t>
      </w:r>
      <w:r w:rsidR="008D3588">
        <w:rPr>
          <w:szCs w:val="26"/>
        </w:rPr>
        <w:t>§</w:t>
      </w:r>
      <w:r w:rsidRPr="00F905CA">
        <w:rPr>
          <w:szCs w:val="26"/>
        </w:rPr>
        <w:t xml:space="preserve"> 11352, subd. (a); counts 3, 4, 7 &amp; 8); two counts of misdemeanor possession of controlled substance paraphernalia (</w:t>
      </w:r>
      <w:r w:rsidRPr="00F905CA">
        <w:rPr>
          <w:i/>
          <w:iCs/>
          <w:szCs w:val="26"/>
        </w:rPr>
        <w:t>id.</w:t>
      </w:r>
      <w:r w:rsidRPr="00F905CA">
        <w:rPr>
          <w:szCs w:val="26"/>
        </w:rPr>
        <w:t xml:space="preserve">, </w:t>
      </w:r>
      <w:r w:rsidR="008D3588">
        <w:rPr>
          <w:szCs w:val="26"/>
        </w:rPr>
        <w:t>§</w:t>
      </w:r>
      <w:r w:rsidRPr="00F905CA">
        <w:rPr>
          <w:szCs w:val="26"/>
        </w:rPr>
        <w:t xml:space="preserve"> 11364, subd. (a); counts 9 &amp; 11); misdemeanor possession of a specified controlled substance (</w:t>
      </w:r>
      <w:r w:rsidRPr="00F905CA">
        <w:rPr>
          <w:i/>
          <w:iCs/>
          <w:szCs w:val="26"/>
        </w:rPr>
        <w:t>id.</w:t>
      </w:r>
      <w:r w:rsidRPr="00F905CA">
        <w:rPr>
          <w:szCs w:val="26"/>
        </w:rPr>
        <w:t>, subd. 11377, subd. (a); count 10).  The indictment further alleged an on</w:t>
      </w:r>
      <w:r>
        <w:rPr>
          <w:szCs w:val="26"/>
        </w:rPr>
        <w:t>-</w:t>
      </w:r>
      <w:r w:rsidRPr="00F905CA">
        <w:rPr>
          <w:szCs w:val="26"/>
        </w:rPr>
        <w:t xml:space="preserve">bail enhancement under section 12022.1. </w:t>
      </w:r>
    </w:p>
  </w:footnote>
  <w:footnote w:id="7">
    <w:p w:rsidR="00C16DA2" w:rsidRPr="00F905CA" w:rsidP="00431E22" w14:paraId="6F963EBB" w14:textId="203EEC43">
      <w:pPr>
        <w:pStyle w:val="FootnoteText"/>
        <w:spacing w:after="240" w:line="240" w:lineRule="auto"/>
        <w:ind w:firstLine="720"/>
        <w:rPr>
          <w:szCs w:val="26"/>
        </w:rPr>
      </w:pPr>
      <w:r w:rsidRPr="00F905CA">
        <w:rPr>
          <w:rStyle w:val="FootnoteReference"/>
          <w:szCs w:val="26"/>
        </w:rPr>
        <w:footnoteRef/>
      </w:r>
      <w:r w:rsidRPr="00F905CA">
        <w:rPr>
          <w:szCs w:val="26"/>
        </w:rPr>
        <w:t xml:space="preserve"> The trial court imposed concurrent two-year terms for </w:t>
      </w:r>
      <w:r w:rsidR="00052978">
        <w:rPr>
          <w:szCs w:val="26"/>
        </w:rPr>
        <w:t>each felony count of conviction and lesser concurrent terms in Nguyen’s misdemeanor matters</w:t>
      </w:r>
      <w:r w:rsidRPr="00F905CA">
        <w:rPr>
          <w:szCs w:val="26"/>
        </w:rPr>
        <w:t xml:space="preserve">. </w:t>
      </w:r>
    </w:p>
  </w:footnote>
  <w:footnote w:id="8">
    <w:p w:rsidR="00C6088E" w:rsidRPr="009F6373" w:rsidP="00465686" w14:paraId="472EBEEB" w14:textId="38A1D915">
      <w:pPr>
        <w:pStyle w:val="NoSpacing"/>
        <w:spacing w:after="240"/>
        <w:ind w:firstLine="720"/>
      </w:pPr>
      <w:r>
        <w:rPr>
          <w:rStyle w:val="FootnoteReference"/>
        </w:rPr>
        <w:footnoteRef/>
      </w:r>
      <w:r>
        <w:t xml:space="preserve"> Section 871.5, subdivisions (f) and (g) provide for writ review if </w:t>
      </w:r>
      <w:r w:rsidR="000F55D9">
        <w:t xml:space="preserve">the superior court grants a </w:t>
      </w:r>
      <w:r>
        <w:t xml:space="preserve">motion to </w:t>
      </w:r>
      <w:r w:rsidR="000F55D9">
        <w:t xml:space="preserve">compel </w:t>
      </w:r>
      <w:r>
        <w:t>reinstate</w:t>
      </w:r>
      <w:r w:rsidR="000F55D9">
        <w:t>ment</w:t>
      </w:r>
      <w:r>
        <w:t xml:space="preserve">.  </w:t>
      </w:r>
      <w:r w:rsidR="000F55D9">
        <w:t>But a</w:t>
      </w:r>
      <w:r>
        <w:t>bsen</w:t>
      </w:r>
      <w:r w:rsidR="007C4941">
        <w:t>t</w:t>
      </w:r>
      <w:r>
        <w:t xml:space="preserve"> a statutory limitation requiring writ review </w:t>
      </w:r>
      <w:r w:rsidR="007C4941">
        <w:t>as</w:t>
      </w:r>
      <w:r>
        <w:t xml:space="preserve"> the exclusive remedy of a prejudgment order, a defendant is entitled to raise on appeal a claim that the trial court erred in issuing an order within the scope of section 1259.  (</w:t>
      </w:r>
      <w:r>
        <w:rPr>
          <w:i/>
          <w:iCs/>
        </w:rPr>
        <w:t>People v. Mena</w:t>
      </w:r>
      <w:r>
        <w:t xml:space="preserve"> (2012) 54 Cal.4th 146, 158.)</w:t>
      </w:r>
    </w:p>
  </w:footnote>
  <w:footnote w:id="9">
    <w:p w:rsidR="0056458D" w:rsidRPr="0056458D" w:rsidP="009B1149" w14:paraId="01F63F67" w14:textId="6241BE37">
      <w:pPr>
        <w:pStyle w:val="FootnoteText"/>
        <w:spacing w:after="240" w:line="240" w:lineRule="auto"/>
        <w:ind w:firstLine="720"/>
      </w:pPr>
      <w:r>
        <w:rPr>
          <w:rStyle w:val="FootnoteReference"/>
        </w:rPr>
        <w:footnoteRef/>
      </w:r>
      <w:r>
        <w:t xml:space="preserve"> Extradition is governed by the Uniform Criminal Extradition Act, codified in California at section 1584 et seq.  Unlike the Detainer Agreement in various respects, the Extradition Act has no provisions permitting a defendant to initiate or demand extradition. </w:t>
      </w:r>
      <w:r w:rsidR="001F5A48">
        <w:t xml:space="preserve"> </w:t>
      </w:r>
      <w:r>
        <w:t>(</w:t>
      </w:r>
      <w:r>
        <w:rPr>
          <w:i/>
          <w:iCs/>
        </w:rPr>
        <w:t>Cuyler v. Adams</w:t>
      </w:r>
      <w:r>
        <w:t xml:space="preserve"> (1981) 449 U.S. 433, 442</w:t>
      </w:r>
      <w:r w:rsidR="00EB5C0F">
        <w:t xml:space="preserve"> (</w:t>
      </w:r>
      <w:r w:rsidRPr="00EB5C0F" w:rsidR="00EB5C0F">
        <w:rPr>
          <w:i/>
          <w:iCs/>
        </w:rPr>
        <w:t>Cuyler</w:t>
      </w:r>
      <w:r w:rsidR="00EB5C0F">
        <w:t>)</w:t>
      </w:r>
      <w:r>
        <w:t>.)</w:t>
      </w:r>
    </w:p>
  </w:footnote>
  <w:footnote w:id="10">
    <w:p w:rsidR="00D302C7" w:rsidP="009B1149" w14:paraId="71B79EC2" w14:textId="68B7DED5">
      <w:pPr>
        <w:pStyle w:val="FootnoteText"/>
        <w:spacing w:after="240" w:line="240" w:lineRule="auto"/>
        <w:ind w:firstLine="720"/>
      </w:pPr>
      <w:r>
        <w:rPr>
          <w:rStyle w:val="FootnoteReference"/>
        </w:rPr>
        <w:footnoteRef/>
      </w:r>
      <w:r>
        <w:t xml:space="preserve"> Although Nguyen successfully argued to the magistrate that</w:t>
      </w:r>
      <w:r w:rsidR="001F4427">
        <w:t xml:space="preserve"> he was effectively subject to a detainer when the District Attorney and San Jose Police Department </w:t>
      </w:r>
      <w:r w:rsidR="00F83BFE">
        <w:t xml:space="preserve">informally </w:t>
      </w:r>
      <w:r w:rsidR="001F4427">
        <w:t>communicated an intention</w:t>
      </w:r>
      <w:r w:rsidR="00F83BFE">
        <w:t xml:space="preserve"> to seek extradition, he no longer makes this argument on appeal.  </w:t>
      </w:r>
      <w:r w:rsidR="00EC6A0B">
        <w:t>Nguyen’s trial counsel only briefly mentioned his current theory</w:t>
      </w:r>
      <w:r w:rsidR="003E4E23">
        <w:t xml:space="preserve"> </w:t>
      </w:r>
      <w:r w:rsidR="007C67E1">
        <w:t xml:space="preserve">of </w:t>
      </w:r>
      <w:r w:rsidR="003E4E23">
        <w:t>delay</w:t>
      </w:r>
      <w:r w:rsidR="007C67E1">
        <w:t>ed</w:t>
      </w:r>
      <w:r w:rsidR="00EC6A0B">
        <w:t xml:space="preserve"> </w:t>
      </w:r>
      <w:r w:rsidRPr="007C67E1" w:rsidR="007C67E1">
        <w:rPr>
          <w:i/>
          <w:iCs/>
        </w:rPr>
        <w:t>notice</w:t>
      </w:r>
      <w:r w:rsidR="007C67E1">
        <w:t xml:space="preserve"> of the detainer </w:t>
      </w:r>
      <w:r w:rsidR="00EC6A0B">
        <w:t>during a hearing on the motion to dismiss.  To the extent that this claim is subject to forfeiture due to trial counsel’s failure to pursue it below, the Attorney General does not argue forfeiture, and we may exercise our discretion to consider forfeited issues.  (</w:t>
      </w:r>
      <w:r w:rsidR="00EC6A0B">
        <w:rPr>
          <w:i/>
          <w:iCs/>
        </w:rPr>
        <w:t>People v. Williams</w:t>
      </w:r>
      <w:r w:rsidR="00EC6A0B">
        <w:t xml:space="preserve"> (1998) 17 Cal.4th 148, 161, fn. 6.)</w:t>
      </w:r>
    </w:p>
  </w:footnote>
  <w:footnote w:id="11">
    <w:p w:rsidR="00E744B8" w:rsidP="00271DF6" w14:paraId="07F7E280" w14:textId="540D7B8E">
      <w:pPr>
        <w:pStyle w:val="NoSpacing"/>
        <w:spacing w:after="240"/>
        <w:ind w:firstLine="720"/>
      </w:pPr>
      <w:r>
        <w:rPr>
          <w:rStyle w:val="FootnoteReference"/>
        </w:rPr>
        <w:footnoteRef/>
      </w:r>
      <w:r>
        <w:t xml:space="preserve"> Alternatively, under article IV</w:t>
      </w:r>
      <w:r w:rsidR="00995409">
        <w:t xml:space="preserve"> of the Detainer Agreement</w:t>
      </w:r>
      <w:r>
        <w:t xml:space="preserve">, a receiving state prosecutor </w:t>
      </w:r>
      <w:r w:rsidR="000D6097">
        <w:t xml:space="preserve">who </w:t>
      </w:r>
      <w:r>
        <w:t xml:space="preserve">has filed a detainer </w:t>
      </w:r>
      <w:r w:rsidR="000D6097">
        <w:t>“</w:t>
      </w:r>
      <w:r>
        <w:t xml:space="preserve">can have </w:t>
      </w:r>
      <w:r w:rsidR="000D6097">
        <w:t xml:space="preserve">[the prisoner] </w:t>
      </w:r>
      <w:r>
        <w:t>made available by presenting to the officials of the State in which the prisoner is incarcerated ‘a written request for temporary custody or availability.’ ”  (</w:t>
      </w:r>
      <w:r>
        <w:rPr>
          <w:i/>
          <w:iCs/>
        </w:rPr>
        <w:t>Mauro</w:t>
      </w:r>
      <w:r>
        <w:t xml:space="preserve">, </w:t>
      </w:r>
      <w:r>
        <w:rPr>
          <w:i/>
          <w:iCs/>
        </w:rPr>
        <w:t>supra</w:t>
      </w:r>
      <w:r>
        <w:t xml:space="preserve">, 436 U.S. at pp. 351-352; </w:t>
      </w:r>
      <w:bookmarkStart w:id="7" w:name="_Hlk112657255"/>
      <w:r w:rsidR="003734E9">
        <w:t xml:space="preserve">§ 1389, </w:t>
      </w:r>
      <w:bookmarkEnd w:id="7"/>
      <w:r>
        <w:t xml:space="preserve">art. IV, subd. (a).)  </w:t>
      </w:r>
      <w:r w:rsidR="00995409">
        <w:t xml:space="preserve">On such a request, </w:t>
      </w:r>
      <w:r>
        <w:t>“</w:t>
      </w:r>
      <w:r w:rsidR="00995409">
        <w:t>t</w:t>
      </w:r>
      <w:r>
        <w:t>rial shall be commenced within [120] days” of the defendant’s arrival in the receiving State” unless good cause is shown and a continuance is granted.  (</w:t>
      </w:r>
      <w:r w:rsidRPr="003734E9" w:rsidR="003734E9">
        <w:t xml:space="preserve">§ 1389, </w:t>
      </w:r>
      <w:r w:rsidR="003734E9">
        <w:t>a</w:t>
      </w:r>
      <w:r>
        <w:t>rt.</w:t>
      </w:r>
      <w:r w:rsidR="003734E9">
        <w:t> </w:t>
      </w:r>
      <w:r>
        <w:t xml:space="preserve">IV, subd. (c).)  </w:t>
      </w:r>
      <w:r w:rsidR="000D6097">
        <w:t>Here</w:t>
      </w:r>
      <w:r>
        <w:t>,</w:t>
      </w:r>
      <w:r w:rsidRPr="00B72CC7">
        <w:t xml:space="preserve"> the District Attorney </w:t>
      </w:r>
      <w:r w:rsidR="000D6097">
        <w:t>did</w:t>
      </w:r>
      <w:r w:rsidRPr="00B72CC7" w:rsidR="000D6097">
        <w:t xml:space="preserve"> </w:t>
      </w:r>
      <w:r w:rsidR="000D6097">
        <w:t>make</w:t>
      </w:r>
      <w:r w:rsidRPr="00B72CC7" w:rsidR="000D6097">
        <w:t xml:space="preserve"> </w:t>
      </w:r>
      <w:r w:rsidR="000D6097">
        <w:t xml:space="preserve">such </w:t>
      </w:r>
      <w:r w:rsidRPr="00B72CC7">
        <w:t xml:space="preserve">a request for temporary custody with the Colorado warden.  </w:t>
      </w:r>
      <w:r w:rsidR="00271DF6">
        <w:t xml:space="preserve">For the first time at oral argument, the Attorney General argued that </w:t>
      </w:r>
      <w:r w:rsidR="00F177B1">
        <w:t>a receiving state, by requesting</w:t>
      </w:r>
      <w:r w:rsidR="00271DF6">
        <w:t xml:space="preserve"> temporary custody under </w:t>
      </w:r>
      <w:r w:rsidR="00F177B1">
        <w:t>a</w:t>
      </w:r>
      <w:r w:rsidR="00271DF6">
        <w:t>rticle IV</w:t>
      </w:r>
      <w:r w:rsidR="00F177B1">
        <w:t xml:space="preserve">, </w:t>
      </w:r>
      <w:r w:rsidR="000D6097">
        <w:t xml:space="preserve">effectively </w:t>
      </w:r>
      <w:r w:rsidR="00271DF6">
        <w:t>terminate</w:t>
      </w:r>
      <w:r w:rsidR="00F177B1">
        <w:t>s</w:t>
      </w:r>
      <w:r w:rsidR="00271DF6">
        <w:t xml:space="preserve"> </w:t>
      </w:r>
      <w:r w:rsidR="00F177B1">
        <w:t>all</w:t>
      </w:r>
      <w:r w:rsidR="00271DF6">
        <w:t xml:space="preserve"> obligations under </w:t>
      </w:r>
      <w:r w:rsidR="00F177B1">
        <w:t>a</w:t>
      </w:r>
      <w:r w:rsidR="00271DF6">
        <w:t xml:space="preserve">rticle III.  Our holding here does not require our consideration of this </w:t>
      </w:r>
      <w:r w:rsidR="00F177B1">
        <w:t>novel</w:t>
      </w:r>
      <w:r w:rsidR="00271DF6">
        <w:t xml:space="preserve"> argument.  (</w:t>
      </w:r>
      <w:r w:rsidR="00F177B1">
        <w:t xml:space="preserve">See </w:t>
      </w:r>
      <w:r w:rsidRPr="00F177B1" w:rsidR="00271DF6">
        <w:rPr>
          <w:i/>
          <w:iCs/>
        </w:rPr>
        <w:t>United States v. Kurt</w:t>
      </w:r>
      <w:r w:rsidR="00271DF6">
        <w:t xml:space="preserve"> (9th Cir. 1991) 945 F.2d 248, 251 [Detainer Agreement</w:t>
      </w:r>
      <w:r w:rsidR="00F177B1">
        <w:t xml:space="preserve"> procedures </w:t>
      </w:r>
      <w:r w:rsidR="00271DF6">
        <w:t xml:space="preserve">protect against “prosecutorial abuses of the detainer” </w:t>
      </w:r>
      <w:r w:rsidR="000D6097">
        <w:t xml:space="preserve">but </w:t>
      </w:r>
      <w:r w:rsidR="00F177B1">
        <w:t>include the provisions of article IV, “[s]</w:t>
      </w:r>
      <w:r w:rsidR="00271DF6">
        <w:t xml:space="preserve">hould the prisoner fail to make an </w:t>
      </w:r>
      <w:r w:rsidR="00F177B1">
        <w:t>a</w:t>
      </w:r>
      <w:r w:rsidR="00271DF6">
        <w:t>rticle III request</w:t>
      </w:r>
      <w:r w:rsidR="00F177B1">
        <w:t>”].)</w:t>
      </w:r>
      <w:r w:rsidR="00271DF6">
        <w:t xml:space="preserve"> </w:t>
      </w:r>
    </w:p>
  </w:footnote>
  <w:footnote w:id="12">
    <w:p w:rsidR="006F05D9" w:rsidP="00180887" w14:paraId="01750F4F" w14:textId="76DD16AF">
      <w:pPr>
        <w:pStyle w:val="NoSpacing"/>
        <w:spacing w:after="120"/>
        <w:ind w:firstLine="720"/>
      </w:pPr>
      <w:r>
        <w:rPr>
          <w:rStyle w:val="FootnoteReference"/>
        </w:rPr>
        <w:footnoteRef/>
      </w:r>
      <w:r>
        <w:t xml:space="preserve"> Likewise, Nguyen acknowledges that the 120-day time limit described in section 1389, article IV, subdivision (</w:t>
      </w:r>
      <w:r w:rsidR="00C47C65">
        <w:t>c</w:t>
      </w:r>
      <w:r>
        <w:t xml:space="preserve">) began when he was transported to Santa Clara County on March 4, 2019.  Thus, </w:t>
      </w:r>
      <w:r w:rsidR="00FF3535">
        <w:t xml:space="preserve">he concedes that </w:t>
      </w:r>
      <w:r>
        <w:t xml:space="preserve">the prosecutor would have been required to bring Nguyen to trial by July 2, 2019, about a </w:t>
      </w:r>
      <w:r w:rsidRPr="00967BAD">
        <w:t>month</w:t>
      </w:r>
      <w:r>
        <w:t xml:space="preserve"> </w:t>
      </w:r>
      <w:r w:rsidRPr="00967BAD">
        <w:rPr>
          <w:i/>
          <w:iCs/>
        </w:rPr>
        <w:t>after</w:t>
      </w:r>
      <w:r>
        <w:t xml:space="preserve"> the magistrate dismissed the complaints under the </w:t>
      </w:r>
      <w:r w:rsidR="00143755">
        <w:t>Detainer Agreement</w:t>
      </w:r>
      <w:r>
        <w:t xml:space="preserve">. </w:t>
      </w:r>
    </w:p>
  </w:footnote>
  <w:footnote w:id="13">
    <w:p w:rsidR="00941F3C" w:rsidP="00941F3C" w14:paraId="35B1631B" w14:textId="261CA889">
      <w:pPr>
        <w:pStyle w:val="FootnoteText"/>
        <w:spacing w:after="240" w:line="240" w:lineRule="auto"/>
        <w:ind w:firstLine="720"/>
      </w:pPr>
      <w:r>
        <w:rPr>
          <w:rStyle w:val="FootnoteReference"/>
        </w:rPr>
        <w:footnoteRef/>
      </w:r>
      <w:r>
        <w:t xml:space="preserve"> </w:t>
      </w:r>
      <w:r w:rsidRPr="00941F3C">
        <w:t>The United States ratification of the Detainer Agreement is codified at 18 U.S.C. App</w:t>
      </w:r>
      <w:r w:rsidR="00AA76AD">
        <w:t>en</w:t>
      </w:r>
      <w:r w:rsidRPr="00941F3C">
        <w:t xml:space="preserve">. 2, § 2.  We cite to the California codification for </w:t>
      </w:r>
      <w:r>
        <w:t>consistency</w:t>
      </w:r>
      <w:r w:rsidRPr="00941F3C">
        <w:t>.</w:t>
      </w:r>
    </w:p>
  </w:footnote>
  <w:footnote w:id="14">
    <w:p w:rsidR="00F03296" w:rsidRPr="00F03296" w:rsidP="00180887" w14:paraId="1589A83E" w14:textId="34638FEB">
      <w:pPr>
        <w:pStyle w:val="FootnoteText"/>
        <w:spacing w:after="120" w:line="240" w:lineRule="auto"/>
      </w:pPr>
      <w:r>
        <w:tab/>
      </w:r>
      <w:r>
        <w:rPr>
          <w:rStyle w:val="FootnoteReference"/>
        </w:rPr>
        <w:footnoteRef/>
      </w:r>
      <w:r>
        <w:t xml:space="preserve"> None of the parties argue that Nguyen’s </w:t>
      </w:r>
      <w:r w:rsidR="00FC21F2">
        <w:t>predetainer</w:t>
      </w:r>
      <w:r>
        <w:t xml:space="preserve"> informal request started the running of </w:t>
      </w:r>
      <w:r w:rsidR="00056A7F">
        <w:t xml:space="preserve">any </w:t>
      </w:r>
      <w:r w:rsidR="005778B3">
        <w:t>time</w:t>
      </w:r>
      <w:r>
        <w:t xml:space="preserve"> period </w:t>
      </w:r>
      <w:r w:rsidR="00056A7F">
        <w:t>prescribed in the Detainer Agreement</w:t>
      </w:r>
      <w:r>
        <w:t xml:space="preserve">.  (See </w:t>
      </w:r>
      <w:r>
        <w:rPr>
          <w:i/>
          <w:iCs/>
        </w:rPr>
        <w:t>People v. Lavin</w:t>
      </w:r>
      <w:r>
        <w:t xml:space="preserve"> (2001) 88 Cal.App.4th 609, 616-617; </w:t>
      </w:r>
      <w:r>
        <w:rPr>
          <w:i/>
          <w:iCs/>
        </w:rPr>
        <w:t>People v. Cella</w:t>
      </w:r>
      <w:r>
        <w:t xml:space="preserve"> (1981) 114 Cal.App.3d 905, 917 [informal requests do not activate the provisions of article III].)</w:t>
      </w:r>
      <w:r w:rsidR="00B0199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6057E1F"/>
    <w:multiLevelType w:val="hybridMultilevel"/>
    <w:tmpl w:val="76B4353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8FD3C7F"/>
    <w:multiLevelType w:val="hybridMultilevel"/>
    <w:tmpl w:val="9DFAFC2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7416A85"/>
    <w:multiLevelType w:val="hybridMultilevel"/>
    <w:tmpl w:val="01F8EAC8"/>
    <w:lvl w:ilvl="0">
      <w:start w:val="1"/>
      <w:numFmt w:val="upperLetter"/>
      <w:lvlText w:val="%1."/>
      <w:lvlJc w:val="left"/>
      <w:pPr>
        <w:ind w:left="720" w:hanging="72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7D"/>
    <w:rsid w:val="00002178"/>
    <w:rsid w:val="00002438"/>
    <w:rsid w:val="000038F0"/>
    <w:rsid w:val="00003CA3"/>
    <w:rsid w:val="000044B7"/>
    <w:rsid w:val="0000531E"/>
    <w:rsid w:val="00015305"/>
    <w:rsid w:val="00016A4E"/>
    <w:rsid w:val="00017760"/>
    <w:rsid w:val="00020CF5"/>
    <w:rsid w:val="000248F7"/>
    <w:rsid w:val="000250BC"/>
    <w:rsid w:val="00025DF4"/>
    <w:rsid w:val="00027311"/>
    <w:rsid w:val="00033B6C"/>
    <w:rsid w:val="00036CAE"/>
    <w:rsid w:val="00043458"/>
    <w:rsid w:val="00043B53"/>
    <w:rsid w:val="00046376"/>
    <w:rsid w:val="00050601"/>
    <w:rsid w:val="00052978"/>
    <w:rsid w:val="00054AB1"/>
    <w:rsid w:val="00054FE8"/>
    <w:rsid w:val="00056A7F"/>
    <w:rsid w:val="00056E7F"/>
    <w:rsid w:val="000615FD"/>
    <w:rsid w:val="00062BB4"/>
    <w:rsid w:val="00066CD0"/>
    <w:rsid w:val="00067459"/>
    <w:rsid w:val="00071EA3"/>
    <w:rsid w:val="00073A89"/>
    <w:rsid w:val="000767AB"/>
    <w:rsid w:val="00076A83"/>
    <w:rsid w:val="00080AB4"/>
    <w:rsid w:val="000829C7"/>
    <w:rsid w:val="00084D1F"/>
    <w:rsid w:val="00085AD8"/>
    <w:rsid w:val="00086720"/>
    <w:rsid w:val="00090AC2"/>
    <w:rsid w:val="00091166"/>
    <w:rsid w:val="00091E40"/>
    <w:rsid w:val="00091EEA"/>
    <w:rsid w:val="0009503C"/>
    <w:rsid w:val="000A0491"/>
    <w:rsid w:val="000A42F6"/>
    <w:rsid w:val="000A6BDE"/>
    <w:rsid w:val="000B5ADE"/>
    <w:rsid w:val="000B5C0E"/>
    <w:rsid w:val="000B7DC8"/>
    <w:rsid w:val="000C3F7E"/>
    <w:rsid w:val="000C4975"/>
    <w:rsid w:val="000C521D"/>
    <w:rsid w:val="000C5E36"/>
    <w:rsid w:val="000C6101"/>
    <w:rsid w:val="000C6800"/>
    <w:rsid w:val="000C7873"/>
    <w:rsid w:val="000D08EE"/>
    <w:rsid w:val="000D1AEE"/>
    <w:rsid w:val="000D35D8"/>
    <w:rsid w:val="000D6097"/>
    <w:rsid w:val="000D69BB"/>
    <w:rsid w:val="000E23DD"/>
    <w:rsid w:val="000E2C22"/>
    <w:rsid w:val="000E6890"/>
    <w:rsid w:val="000E6F28"/>
    <w:rsid w:val="000E73CC"/>
    <w:rsid w:val="000F0360"/>
    <w:rsid w:val="000F30F9"/>
    <w:rsid w:val="000F55D9"/>
    <w:rsid w:val="00106585"/>
    <w:rsid w:val="0011175C"/>
    <w:rsid w:val="0011269D"/>
    <w:rsid w:val="00112E08"/>
    <w:rsid w:val="00115CDC"/>
    <w:rsid w:val="00116E27"/>
    <w:rsid w:val="001218EA"/>
    <w:rsid w:val="001231D7"/>
    <w:rsid w:val="00123790"/>
    <w:rsid w:val="00125057"/>
    <w:rsid w:val="001278BE"/>
    <w:rsid w:val="00132990"/>
    <w:rsid w:val="00132C0C"/>
    <w:rsid w:val="00133FB2"/>
    <w:rsid w:val="00135DE3"/>
    <w:rsid w:val="00136536"/>
    <w:rsid w:val="00137080"/>
    <w:rsid w:val="00137F71"/>
    <w:rsid w:val="00140779"/>
    <w:rsid w:val="001420CA"/>
    <w:rsid w:val="00143755"/>
    <w:rsid w:val="001443A3"/>
    <w:rsid w:val="0014576D"/>
    <w:rsid w:val="00145E8E"/>
    <w:rsid w:val="00146FDE"/>
    <w:rsid w:val="0015405F"/>
    <w:rsid w:val="0015458E"/>
    <w:rsid w:val="0015621B"/>
    <w:rsid w:val="00157D03"/>
    <w:rsid w:val="00162BE2"/>
    <w:rsid w:val="001709E5"/>
    <w:rsid w:val="00173451"/>
    <w:rsid w:val="00174437"/>
    <w:rsid w:val="001752BC"/>
    <w:rsid w:val="00176ACF"/>
    <w:rsid w:val="00180887"/>
    <w:rsid w:val="0018267F"/>
    <w:rsid w:val="00183444"/>
    <w:rsid w:val="00185C39"/>
    <w:rsid w:val="001870DF"/>
    <w:rsid w:val="00193087"/>
    <w:rsid w:val="00195683"/>
    <w:rsid w:val="001971DB"/>
    <w:rsid w:val="0019728B"/>
    <w:rsid w:val="00197E24"/>
    <w:rsid w:val="001A6545"/>
    <w:rsid w:val="001A67F0"/>
    <w:rsid w:val="001B06D9"/>
    <w:rsid w:val="001B21AE"/>
    <w:rsid w:val="001B412D"/>
    <w:rsid w:val="001C08F3"/>
    <w:rsid w:val="001C54A3"/>
    <w:rsid w:val="001C550E"/>
    <w:rsid w:val="001D0067"/>
    <w:rsid w:val="001D1DD6"/>
    <w:rsid w:val="001D21D4"/>
    <w:rsid w:val="001D3D00"/>
    <w:rsid w:val="001D5CF5"/>
    <w:rsid w:val="001D60E7"/>
    <w:rsid w:val="001E2B13"/>
    <w:rsid w:val="001E448D"/>
    <w:rsid w:val="001E4A1B"/>
    <w:rsid w:val="001E5256"/>
    <w:rsid w:val="001E5686"/>
    <w:rsid w:val="001E56B3"/>
    <w:rsid w:val="001E5A5B"/>
    <w:rsid w:val="001E73FB"/>
    <w:rsid w:val="001E7981"/>
    <w:rsid w:val="001F4427"/>
    <w:rsid w:val="001F5A48"/>
    <w:rsid w:val="001F5F59"/>
    <w:rsid w:val="001F6861"/>
    <w:rsid w:val="0020062B"/>
    <w:rsid w:val="00200A98"/>
    <w:rsid w:val="00203B27"/>
    <w:rsid w:val="00203BD2"/>
    <w:rsid w:val="0020583E"/>
    <w:rsid w:val="002064CA"/>
    <w:rsid w:val="00206B67"/>
    <w:rsid w:val="00213DCC"/>
    <w:rsid w:val="00217C69"/>
    <w:rsid w:val="0022159D"/>
    <w:rsid w:val="00224225"/>
    <w:rsid w:val="0022485B"/>
    <w:rsid w:val="0022662B"/>
    <w:rsid w:val="00226984"/>
    <w:rsid w:val="00230271"/>
    <w:rsid w:val="00230470"/>
    <w:rsid w:val="00231E0D"/>
    <w:rsid w:val="00232825"/>
    <w:rsid w:val="00234FC4"/>
    <w:rsid w:val="00240BAD"/>
    <w:rsid w:val="00241176"/>
    <w:rsid w:val="00241466"/>
    <w:rsid w:val="00241EF4"/>
    <w:rsid w:val="00244FAB"/>
    <w:rsid w:val="00245AAB"/>
    <w:rsid w:val="002508D3"/>
    <w:rsid w:val="00250EA6"/>
    <w:rsid w:val="00251837"/>
    <w:rsid w:val="00252140"/>
    <w:rsid w:val="002523D1"/>
    <w:rsid w:val="0025406E"/>
    <w:rsid w:val="002551B6"/>
    <w:rsid w:val="00255993"/>
    <w:rsid w:val="002570E0"/>
    <w:rsid w:val="00257318"/>
    <w:rsid w:val="002617E8"/>
    <w:rsid w:val="00262E44"/>
    <w:rsid w:val="002638B6"/>
    <w:rsid w:val="00264D70"/>
    <w:rsid w:val="00265BF1"/>
    <w:rsid w:val="0026649E"/>
    <w:rsid w:val="00266EAD"/>
    <w:rsid w:val="00267FE6"/>
    <w:rsid w:val="00270CAC"/>
    <w:rsid w:val="00271072"/>
    <w:rsid w:val="0027183E"/>
    <w:rsid w:val="00271903"/>
    <w:rsid w:val="00271A69"/>
    <w:rsid w:val="00271DF6"/>
    <w:rsid w:val="00271ED0"/>
    <w:rsid w:val="00272676"/>
    <w:rsid w:val="00276FC0"/>
    <w:rsid w:val="00277955"/>
    <w:rsid w:val="00282F92"/>
    <w:rsid w:val="00283332"/>
    <w:rsid w:val="00283C3C"/>
    <w:rsid w:val="00284211"/>
    <w:rsid w:val="00284213"/>
    <w:rsid w:val="00285C85"/>
    <w:rsid w:val="00286978"/>
    <w:rsid w:val="00287C80"/>
    <w:rsid w:val="002908FE"/>
    <w:rsid w:val="002971CE"/>
    <w:rsid w:val="002A4070"/>
    <w:rsid w:val="002B06F4"/>
    <w:rsid w:val="002B20C8"/>
    <w:rsid w:val="002B37D5"/>
    <w:rsid w:val="002B617E"/>
    <w:rsid w:val="002B7C8C"/>
    <w:rsid w:val="002C0BA9"/>
    <w:rsid w:val="002C61FA"/>
    <w:rsid w:val="002D2DD0"/>
    <w:rsid w:val="002D376C"/>
    <w:rsid w:val="002D5DA8"/>
    <w:rsid w:val="002E1C1B"/>
    <w:rsid w:val="002E2B5D"/>
    <w:rsid w:val="002E4BE0"/>
    <w:rsid w:val="002E534F"/>
    <w:rsid w:val="002E5FA5"/>
    <w:rsid w:val="002F67E2"/>
    <w:rsid w:val="0030154B"/>
    <w:rsid w:val="00303054"/>
    <w:rsid w:val="00311547"/>
    <w:rsid w:val="00311B42"/>
    <w:rsid w:val="00314A03"/>
    <w:rsid w:val="00316601"/>
    <w:rsid w:val="003177A2"/>
    <w:rsid w:val="00324A59"/>
    <w:rsid w:val="003260FF"/>
    <w:rsid w:val="003273A7"/>
    <w:rsid w:val="00327CB8"/>
    <w:rsid w:val="0033144A"/>
    <w:rsid w:val="00331BE9"/>
    <w:rsid w:val="00335750"/>
    <w:rsid w:val="003359EB"/>
    <w:rsid w:val="00336569"/>
    <w:rsid w:val="00337DF7"/>
    <w:rsid w:val="00341A39"/>
    <w:rsid w:val="00344117"/>
    <w:rsid w:val="003464EA"/>
    <w:rsid w:val="00351AE5"/>
    <w:rsid w:val="00354A03"/>
    <w:rsid w:val="00356812"/>
    <w:rsid w:val="00360701"/>
    <w:rsid w:val="003622A5"/>
    <w:rsid w:val="00363BC9"/>
    <w:rsid w:val="003645DC"/>
    <w:rsid w:val="003652EF"/>
    <w:rsid w:val="00367510"/>
    <w:rsid w:val="00370F64"/>
    <w:rsid w:val="0037170A"/>
    <w:rsid w:val="00373251"/>
    <w:rsid w:val="003734E9"/>
    <w:rsid w:val="00374F97"/>
    <w:rsid w:val="0037562B"/>
    <w:rsid w:val="00376E49"/>
    <w:rsid w:val="00384EED"/>
    <w:rsid w:val="0038527C"/>
    <w:rsid w:val="00385ABC"/>
    <w:rsid w:val="00390099"/>
    <w:rsid w:val="00394C9A"/>
    <w:rsid w:val="00395459"/>
    <w:rsid w:val="00395FB9"/>
    <w:rsid w:val="00395FE8"/>
    <w:rsid w:val="0039625B"/>
    <w:rsid w:val="003A0003"/>
    <w:rsid w:val="003A0168"/>
    <w:rsid w:val="003A03DC"/>
    <w:rsid w:val="003A349C"/>
    <w:rsid w:val="003A3FD6"/>
    <w:rsid w:val="003A6A29"/>
    <w:rsid w:val="003A7956"/>
    <w:rsid w:val="003B39B4"/>
    <w:rsid w:val="003B7E9B"/>
    <w:rsid w:val="003C00C3"/>
    <w:rsid w:val="003C110B"/>
    <w:rsid w:val="003C23E5"/>
    <w:rsid w:val="003C2ABA"/>
    <w:rsid w:val="003C73D9"/>
    <w:rsid w:val="003C7FCA"/>
    <w:rsid w:val="003D06EA"/>
    <w:rsid w:val="003D0C19"/>
    <w:rsid w:val="003D1C04"/>
    <w:rsid w:val="003D23E9"/>
    <w:rsid w:val="003D273D"/>
    <w:rsid w:val="003D4A2D"/>
    <w:rsid w:val="003D52AB"/>
    <w:rsid w:val="003D592F"/>
    <w:rsid w:val="003D6A86"/>
    <w:rsid w:val="003E0002"/>
    <w:rsid w:val="003E130D"/>
    <w:rsid w:val="003E19C5"/>
    <w:rsid w:val="003E1C02"/>
    <w:rsid w:val="003E2D95"/>
    <w:rsid w:val="003E3D86"/>
    <w:rsid w:val="003E4CD9"/>
    <w:rsid w:val="003E4E23"/>
    <w:rsid w:val="003E5871"/>
    <w:rsid w:val="003F4C43"/>
    <w:rsid w:val="003F7C20"/>
    <w:rsid w:val="003F7D96"/>
    <w:rsid w:val="00401924"/>
    <w:rsid w:val="00403687"/>
    <w:rsid w:val="00403963"/>
    <w:rsid w:val="00404B35"/>
    <w:rsid w:val="00406B23"/>
    <w:rsid w:val="00410FC6"/>
    <w:rsid w:val="004116A2"/>
    <w:rsid w:val="00412E57"/>
    <w:rsid w:val="004158F5"/>
    <w:rsid w:val="0042400C"/>
    <w:rsid w:val="00431B2F"/>
    <w:rsid w:val="00431E22"/>
    <w:rsid w:val="004320F2"/>
    <w:rsid w:val="004341C5"/>
    <w:rsid w:val="00435BCA"/>
    <w:rsid w:val="004371DD"/>
    <w:rsid w:val="00437F99"/>
    <w:rsid w:val="00444C60"/>
    <w:rsid w:val="00445DC9"/>
    <w:rsid w:val="00445F47"/>
    <w:rsid w:val="004471A7"/>
    <w:rsid w:val="00447781"/>
    <w:rsid w:val="00450A5C"/>
    <w:rsid w:val="00450B16"/>
    <w:rsid w:val="00450BB7"/>
    <w:rsid w:val="00450BE9"/>
    <w:rsid w:val="00461D21"/>
    <w:rsid w:val="00462DA5"/>
    <w:rsid w:val="00465686"/>
    <w:rsid w:val="00466B23"/>
    <w:rsid w:val="00473729"/>
    <w:rsid w:val="00474965"/>
    <w:rsid w:val="00474D44"/>
    <w:rsid w:val="00474DBA"/>
    <w:rsid w:val="00482DCF"/>
    <w:rsid w:val="00487715"/>
    <w:rsid w:val="0049196A"/>
    <w:rsid w:val="0049218F"/>
    <w:rsid w:val="00492B0C"/>
    <w:rsid w:val="00492F7D"/>
    <w:rsid w:val="00493EA0"/>
    <w:rsid w:val="00494143"/>
    <w:rsid w:val="004948B8"/>
    <w:rsid w:val="00494FE5"/>
    <w:rsid w:val="00495D42"/>
    <w:rsid w:val="00495D44"/>
    <w:rsid w:val="00496C7C"/>
    <w:rsid w:val="004A34F4"/>
    <w:rsid w:val="004A43BA"/>
    <w:rsid w:val="004A4820"/>
    <w:rsid w:val="004A6557"/>
    <w:rsid w:val="004A6896"/>
    <w:rsid w:val="004A6E82"/>
    <w:rsid w:val="004B1B8D"/>
    <w:rsid w:val="004B24AF"/>
    <w:rsid w:val="004B3982"/>
    <w:rsid w:val="004B6698"/>
    <w:rsid w:val="004B6A6F"/>
    <w:rsid w:val="004B6C82"/>
    <w:rsid w:val="004C0F59"/>
    <w:rsid w:val="004C352A"/>
    <w:rsid w:val="004C45FF"/>
    <w:rsid w:val="004D1B26"/>
    <w:rsid w:val="004D47AD"/>
    <w:rsid w:val="004D58B1"/>
    <w:rsid w:val="004D59CC"/>
    <w:rsid w:val="004D79B8"/>
    <w:rsid w:val="004E3DEE"/>
    <w:rsid w:val="004E4AEB"/>
    <w:rsid w:val="004E6DC1"/>
    <w:rsid w:val="004E792B"/>
    <w:rsid w:val="004F0BD2"/>
    <w:rsid w:val="004F1C74"/>
    <w:rsid w:val="004F2F40"/>
    <w:rsid w:val="004F5D8E"/>
    <w:rsid w:val="004F5F78"/>
    <w:rsid w:val="004F731A"/>
    <w:rsid w:val="00500BFC"/>
    <w:rsid w:val="00505019"/>
    <w:rsid w:val="0050656F"/>
    <w:rsid w:val="005075AA"/>
    <w:rsid w:val="005159A6"/>
    <w:rsid w:val="00517DED"/>
    <w:rsid w:val="00521D8F"/>
    <w:rsid w:val="00523820"/>
    <w:rsid w:val="0052580A"/>
    <w:rsid w:val="00527768"/>
    <w:rsid w:val="00530BA6"/>
    <w:rsid w:val="0053287F"/>
    <w:rsid w:val="005346A4"/>
    <w:rsid w:val="005527EA"/>
    <w:rsid w:val="00554DC8"/>
    <w:rsid w:val="0055599C"/>
    <w:rsid w:val="00555D9C"/>
    <w:rsid w:val="00556B79"/>
    <w:rsid w:val="00556C3B"/>
    <w:rsid w:val="00557C0F"/>
    <w:rsid w:val="005607DA"/>
    <w:rsid w:val="00560C6D"/>
    <w:rsid w:val="00561DA8"/>
    <w:rsid w:val="00563CF4"/>
    <w:rsid w:val="00563EAF"/>
    <w:rsid w:val="0056458D"/>
    <w:rsid w:val="005719FB"/>
    <w:rsid w:val="005762D1"/>
    <w:rsid w:val="00576D47"/>
    <w:rsid w:val="005772F6"/>
    <w:rsid w:val="005778B3"/>
    <w:rsid w:val="005802DD"/>
    <w:rsid w:val="00580334"/>
    <w:rsid w:val="00585070"/>
    <w:rsid w:val="005853BB"/>
    <w:rsid w:val="00587268"/>
    <w:rsid w:val="00590796"/>
    <w:rsid w:val="00590FC4"/>
    <w:rsid w:val="00591188"/>
    <w:rsid w:val="005913E7"/>
    <w:rsid w:val="00591F4B"/>
    <w:rsid w:val="005924F3"/>
    <w:rsid w:val="005939DC"/>
    <w:rsid w:val="00596964"/>
    <w:rsid w:val="00597245"/>
    <w:rsid w:val="005976D3"/>
    <w:rsid w:val="005A0324"/>
    <w:rsid w:val="005A554B"/>
    <w:rsid w:val="005A5944"/>
    <w:rsid w:val="005A7109"/>
    <w:rsid w:val="005B06D2"/>
    <w:rsid w:val="005B0988"/>
    <w:rsid w:val="005B137C"/>
    <w:rsid w:val="005B2DFD"/>
    <w:rsid w:val="005B37F5"/>
    <w:rsid w:val="005B6E97"/>
    <w:rsid w:val="005C2F17"/>
    <w:rsid w:val="005C446D"/>
    <w:rsid w:val="005C7320"/>
    <w:rsid w:val="005D2705"/>
    <w:rsid w:val="005D3759"/>
    <w:rsid w:val="005D4004"/>
    <w:rsid w:val="005D49D3"/>
    <w:rsid w:val="005D4BF0"/>
    <w:rsid w:val="005E3FEA"/>
    <w:rsid w:val="005E455A"/>
    <w:rsid w:val="005E4C73"/>
    <w:rsid w:val="005E5F7B"/>
    <w:rsid w:val="005E6043"/>
    <w:rsid w:val="005F1236"/>
    <w:rsid w:val="005F3890"/>
    <w:rsid w:val="005F3CA3"/>
    <w:rsid w:val="005F4789"/>
    <w:rsid w:val="005F4F56"/>
    <w:rsid w:val="005F5FD6"/>
    <w:rsid w:val="005F685A"/>
    <w:rsid w:val="005F7E21"/>
    <w:rsid w:val="006019A6"/>
    <w:rsid w:val="0060345C"/>
    <w:rsid w:val="00603F2D"/>
    <w:rsid w:val="00604088"/>
    <w:rsid w:val="006054E2"/>
    <w:rsid w:val="006057B6"/>
    <w:rsid w:val="006069EA"/>
    <w:rsid w:val="00611BF4"/>
    <w:rsid w:val="00612D06"/>
    <w:rsid w:val="006131DB"/>
    <w:rsid w:val="00614A35"/>
    <w:rsid w:val="00614EA5"/>
    <w:rsid w:val="0061522C"/>
    <w:rsid w:val="006155EF"/>
    <w:rsid w:val="00616D6B"/>
    <w:rsid w:val="00620D99"/>
    <w:rsid w:val="006224F1"/>
    <w:rsid w:val="00623121"/>
    <w:rsid w:val="00623977"/>
    <w:rsid w:val="00623D11"/>
    <w:rsid w:val="00626356"/>
    <w:rsid w:val="00630612"/>
    <w:rsid w:val="00631865"/>
    <w:rsid w:val="00632F7E"/>
    <w:rsid w:val="00636677"/>
    <w:rsid w:val="006424D6"/>
    <w:rsid w:val="0064278D"/>
    <w:rsid w:val="00650A76"/>
    <w:rsid w:val="00654354"/>
    <w:rsid w:val="006550DC"/>
    <w:rsid w:val="0065513E"/>
    <w:rsid w:val="006608FF"/>
    <w:rsid w:val="00661EE1"/>
    <w:rsid w:val="0066429F"/>
    <w:rsid w:val="00665AC3"/>
    <w:rsid w:val="00667853"/>
    <w:rsid w:val="006678D0"/>
    <w:rsid w:val="00670ACF"/>
    <w:rsid w:val="00672456"/>
    <w:rsid w:val="00672E1B"/>
    <w:rsid w:val="00673CB3"/>
    <w:rsid w:val="00673D64"/>
    <w:rsid w:val="00674FD8"/>
    <w:rsid w:val="00676A0E"/>
    <w:rsid w:val="00676BAD"/>
    <w:rsid w:val="0067736D"/>
    <w:rsid w:val="00686630"/>
    <w:rsid w:val="00690A19"/>
    <w:rsid w:val="006920F7"/>
    <w:rsid w:val="00696D81"/>
    <w:rsid w:val="006A6D4A"/>
    <w:rsid w:val="006B074C"/>
    <w:rsid w:val="006B2AC0"/>
    <w:rsid w:val="006B559E"/>
    <w:rsid w:val="006B5BCB"/>
    <w:rsid w:val="006B5ED2"/>
    <w:rsid w:val="006B775F"/>
    <w:rsid w:val="006C082D"/>
    <w:rsid w:val="006C0ABF"/>
    <w:rsid w:val="006C0FAC"/>
    <w:rsid w:val="006C214C"/>
    <w:rsid w:val="006D184A"/>
    <w:rsid w:val="006D54CF"/>
    <w:rsid w:val="006D5ECE"/>
    <w:rsid w:val="006D78F1"/>
    <w:rsid w:val="006E06ED"/>
    <w:rsid w:val="006E480C"/>
    <w:rsid w:val="006E4EC7"/>
    <w:rsid w:val="006E6043"/>
    <w:rsid w:val="006E7084"/>
    <w:rsid w:val="006F01B2"/>
    <w:rsid w:val="006F05D9"/>
    <w:rsid w:val="006F1C77"/>
    <w:rsid w:val="006F58ED"/>
    <w:rsid w:val="006F66F5"/>
    <w:rsid w:val="006F7996"/>
    <w:rsid w:val="00700E8E"/>
    <w:rsid w:val="00703A47"/>
    <w:rsid w:val="00703C1E"/>
    <w:rsid w:val="00710B69"/>
    <w:rsid w:val="00715FEA"/>
    <w:rsid w:val="007207BB"/>
    <w:rsid w:val="00721598"/>
    <w:rsid w:val="00724687"/>
    <w:rsid w:val="007326F1"/>
    <w:rsid w:val="00735B3C"/>
    <w:rsid w:val="00737171"/>
    <w:rsid w:val="00742DE2"/>
    <w:rsid w:val="00743BF3"/>
    <w:rsid w:val="00743DF9"/>
    <w:rsid w:val="00747463"/>
    <w:rsid w:val="00747EC0"/>
    <w:rsid w:val="00750957"/>
    <w:rsid w:val="007521E0"/>
    <w:rsid w:val="00754D14"/>
    <w:rsid w:val="0075757A"/>
    <w:rsid w:val="00761052"/>
    <w:rsid w:val="00762DC6"/>
    <w:rsid w:val="00770B23"/>
    <w:rsid w:val="00771F0D"/>
    <w:rsid w:val="0077340F"/>
    <w:rsid w:val="00773EE4"/>
    <w:rsid w:val="00774FAC"/>
    <w:rsid w:val="0077516D"/>
    <w:rsid w:val="00775BD3"/>
    <w:rsid w:val="00775C60"/>
    <w:rsid w:val="00781291"/>
    <w:rsid w:val="00781620"/>
    <w:rsid w:val="00794A39"/>
    <w:rsid w:val="0079592F"/>
    <w:rsid w:val="007A2FD8"/>
    <w:rsid w:val="007A7DC3"/>
    <w:rsid w:val="007B531D"/>
    <w:rsid w:val="007C0A46"/>
    <w:rsid w:val="007C0DB4"/>
    <w:rsid w:val="007C2451"/>
    <w:rsid w:val="007C29CB"/>
    <w:rsid w:val="007C4941"/>
    <w:rsid w:val="007C67E1"/>
    <w:rsid w:val="007C6D9E"/>
    <w:rsid w:val="007D0153"/>
    <w:rsid w:val="007D049B"/>
    <w:rsid w:val="007D0F49"/>
    <w:rsid w:val="007D3C6D"/>
    <w:rsid w:val="007D4DB3"/>
    <w:rsid w:val="007D5BC1"/>
    <w:rsid w:val="007D65F5"/>
    <w:rsid w:val="007E327F"/>
    <w:rsid w:val="007E4594"/>
    <w:rsid w:val="007E67CC"/>
    <w:rsid w:val="007F0E86"/>
    <w:rsid w:val="007F16F6"/>
    <w:rsid w:val="007F332E"/>
    <w:rsid w:val="007F5AA0"/>
    <w:rsid w:val="007F6A53"/>
    <w:rsid w:val="007F77B7"/>
    <w:rsid w:val="00800BC9"/>
    <w:rsid w:val="00810922"/>
    <w:rsid w:val="00811A46"/>
    <w:rsid w:val="008122C3"/>
    <w:rsid w:val="00812854"/>
    <w:rsid w:val="00814ACF"/>
    <w:rsid w:val="00821E68"/>
    <w:rsid w:val="008223D5"/>
    <w:rsid w:val="00825B81"/>
    <w:rsid w:val="008278AB"/>
    <w:rsid w:val="0083301A"/>
    <w:rsid w:val="008334DF"/>
    <w:rsid w:val="008367DE"/>
    <w:rsid w:val="008372C6"/>
    <w:rsid w:val="0084404D"/>
    <w:rsid w:val="00844940"/>
    <w:rsid w:val="00844E9E"/>
    <w:rsid w:val="00851715"/>
    <w:rsid w:val="0085185E"/>
    <w:rsid w:val="00852345"/>
    <w:rsid w:val="00854BEA"/>
    <w:rsid w:val="00855A81"/>
    <w:rsid w:val="008572F5"/>
    <w:rsid w:val="00865F76"/>
    <w:rsid w:val="0086754B"/>
    <w:rsid w:val="00867B35"/>
    <w:rsid w:val="00867EC5"/>
    <w:rsid w:val="00870DDC"/>
    <w:rsid w:val="00873DC8"/>
    <w:rsid w:val="00876D25"/>
    <w:rsid w:val="00877A73"/>
    <w:rsid w:val="00880684"/>
    <w:rsid w:val="0088167C"/>
    <w:rsid w:val="00881EB4"/>
    <w:rsid w:val="00886160"/>
    <w:rsid w:val="00886EC3"/>
    <w:rsid w:val="0089210A"/>
    <w:rsid w:val="00894BC1"/>
    <w:rsid w:val="008A789D"/>
    <w:rsid w:val="008A7BA6"/>
    <w:rsid w:val="008B2FE7"/>
    <w:rsid w:val="008B3C8E"/>
    <w:rsid w:val="008B46EA"/>
    <w:rsid w:val="008B6690"/>
    <w:rsid w:val="008C1154"/>
    <w:rsid w:val="008C2E07"/>
    <w:rsid w:val="008C3B89"/>
    <w:rsid w:val="008C6561"/>
    <w:rsid w:val="008D0889"/>
    <w:rsid w:val="008D202B"/>
    <w:rsid w:val="008D3588"/>
    <w:rsid w:val="008D53C9"/>
    <w:rsid w:val="008D599B"/>
    <w:rsid w:val="008D68B5"/>
    <w:rsid w:val="008D7718"/>
    <w:rsid w:val="008E4923"/>
    <w:rsid w:val="008E6440"/>
    <w:rsid w:val="008F3746"/>
    <w:rsid w:val="008F46F6"/>
    <w:rsid w:val="008F4998"/>
    <w:rsid w:val="008F523E"/>
    <w:rsid w:val="008F587B"/>
    <w:rsid w:val="008F711D"/>
    <w:rsid w:val="0090164A"/>
    <w:rsid w:val="00901780"/>
    <w:rsid w:val="00902728"/>
    <w:rsid w:val="00905568"/>
    <w:rsid w:val="00905883"/>
    <w:rsid w:val="00907AAB"/>
    <w:rsid w:val="00910317"/>
    <w:rsid w:val="009126E7"/>
    <w:rsid w:val="0091316D"/>
    <w:rsid w:val="00913C1C"/>
    <w:rsid w:val="00914E64"/>
    <w:rsid w:val="00915FF3"/>
    <w:rsid w:val="009215D8"/>
    <w:rsid w:val="0092190D"/>
    <w:rsid w:val="009240A5"/>
    <w:rsid w:val="009272E3"/>
    <w:rsid w:val="00927BA2"/>
    <w:rsid w:val="00930411"/>
    <w:rsid w:val="009378D8"/>
    <w:rsid w:val="00940426"/>
    <w:rsid w:val="00941E4C"/>
    <w:rsid w:val="00941F3C"/>
    <w:rsid w:val="00943E1C"/>
    <w:rsid w:val="00944C23"/>
    <w:rsid w:val="00954330"/>
    <w:rsid w:val="00955D5C"/>
    <w:rsid w:val="009561F9"/>
    <w:rsid w:val="009565B9"/>
    <w:rsid w:val="00957B12"/>
    <w:rsid w:val="00960EB4"/>
    <w:rsid w:val="0096130E"/>
    <w:rsid w:val="009648C8"/>
    <w:rsid w:val="00964B03"/>
    <w:rsid w:val="00964B47"/>
    <w:rsid w:val="009654B4"/>
    <w:rsid w:val="00966890"/>
    <w:rsid w:val="00966D10"/>
    <w:rsid w:val="00967BAD"/>
    <w:rsid w:val="0097310E"/>
    <w:rsid w:val="00973164"/>
    <w:rsid w:val="00973290"/>
    <w:rsid w:val="00977444"/>
    <w:rsid w:val="00977F92"/>
    <w:rsid w:val="00981E36"/>
    <w:rsid w:val="009831A5"/>
    <w:rsid w:val="009833F6"/>
    <w:rsid w:val="00983704"/>
    <w:rsid w:val="009875AC"/>
    <w:rsid w:val="00990075"/>
    <w:rsid w:val="00990A27"/>
    <w:rsid w:val="009932E2"/>
    <w:rsid w:val="0099452F"/>
    <w:rsid w:val="00995409"/>
    <w:rsid w:val="00997D0B"/>
    <w:rsid w:val="009A3394"/>
    <w:rsid w:val="009A495B"/>
    <w:rsid w:val="009A681A"/>
    <w:rsid w:val="009A7520"/>
    <w:rsid w:val="009B0351"/>
    <w:rsid w:val="009B1149"/>
    <w:rsid w:val="009B189A"/>
    <w:rsid w:val="009B1957"/>
    <w:rsid w:val="009B314D"/>
    <w:rsid w:val="009B5CCC"/>
    <w:rsid w:val="009B7919"/>
    <w:rsid w:val="009B7E9D"/>
    <w:rsid w:val="009C036D"/>
    <w:rsid w:val="009C0E6F"/>
    <w:rsid w:val="009C204E"/>
    <w:rsid w:val="009C625B"/>
    <w:rsid w:val="009D07C9"/>
    <w:rsid w:val="009D0BF1"/>
    <w:rsid w:val="009D2F93"/>
    <w:rsid w:val="009D3110"/>
    <w:rsid w:val="009D49AC"/>
    <w:rsid w:val="009D51B1"/>
    <w:rsid w:val="009D59D7"/>
    <w:rsid w:val="009E3524"/>
    <w:rsid w:val="009E53A8"/>
    <w:rsid w:val="009F0AFF"/>
    <w:rsid w:val="009F182D"/>
    <w:rsid w:val="009F29BA"/>
    <w:rsid w:val="009F2F65"/>
    <w:rsid w:val="009F3314"/>
    <w:rsid w:val="009F43F9"/>
    <w:rsid w:val="009F6368"/>
    <w:rsid w:val="009F6373"/>
    <w:rsid w:val="009F771D"/>
    <w:rsid w:val="00A016B9"/>
    <w:rsid w:val="00A018A1"/>
    <w:rsid w:val="00A02D58"/>
    <w:rsid w:val="00A036CF"/>
    <w:rsid w:val="00A04E74"/>
    <w:rsid w:val="00A10BA0"/>
    <w:rsid w:val="00A10D13"/>
    <w:rsid w:val="00A121FF"/>
    <w:rsid w:val="00A16716"/>
    <w:rsid w:val="00A16757"/>
    <w:rsid w:val="00A20704"/>
    <w:rsid w:val="00A2095D"/>
    <w:rsid w:val="00A215D3"/>
    <w:rsid w:val="00A223BB"/>
    <w:rsid w:val="00A23588"/>
    <w:rsid w:val="00A24C66"/>
    <w:rsid w:val="00A31404"/>
    <w:rsid w:val="00A3263F"/>
    <w:rsid w:val="00A348DF"/>
    <w:rsid w:val="00A3766F"/>
    <w:rsid w:val="00A408C4"/>
    <w:rsid w:val="00A43269"/>
    <w:rsid w:val="00A43774"/>
    <w:rsid w:val="00A441E9"/>
    <w:rsid w:val="00A47AFB"/>
    <w:rsid w:val="00A47F11"/>
    <w:rsid w:val="00A50906"/>
    <w:rsid w:val="00A50C9D"/>
    <w:rsid w:val="00A538C4"/>
    <w:rsid w:val="00A56180"/>
    <w:rsid w:val="00A6110D"/>
    <w:rsid w:val="00A62513"/>
    <w:rsid w:val="00A64A23"/>
    <w:rsid w:val="00A64BB3"/>
    <w:rsid w:val="00A64D74"/>
    <w:rsid w:val="00A64DA4"/>
    <w:rsid w:val="00A66DDE"/>
    <w:rsid w:val="00A756C6"/>
    <w:rsid w:val="00A816E4"/>
    <w:rsid w:val="00A8319F"/>
    <w:rsid w:val="00A85234"/>
    <w:rsid w:val="00A87309"/>
    <w:rsid w:val="00A87BF1"/>
    <w:rsid w:val="00A91DC0"/>
    <w:rsid w:val="00A932C4"/>
    <w:rsid w:val="00A93CF1"/>
    <w:rsid w:val="00A9408C"/>
    <w:rsid w:val="00A95080"/>
    <w:rsid w:val="00A96AEC"/>
    <w:rsid w:val="00AA7300"/>
    <w:rsid w:val="00AA76AD"/>
    <w:rsid w:val="00AB0183"/>
    <w:rsid w:val="00AB2020"/>
    <w:rsid w:val="00AB2148"/>
    <w:rsid w:val="00AB3E92"/>
    <w:rsid w:val="00AC1597"/>
    <w:rsid w:val="00AC2CDE"/>
    <w:rsid w:val="00AC3A98"/>
    <w:rsid w:val="00AC5531"/>
    <w:rsid w:val="00AD1A6A"/>
    <w:rsid w:val="00AD1F3B"/>
    <w:rsid w:val="00AD3D1A"/>
    <w:rsid w:val="00AE106A"/>
    <w:rsid w:val="00AE2A82"/>
    <w:rsid w:val="00AE2E59"/>
    <w:rsid w:val="00AE36D8"/>
    <w:rsid w:val="00AF21B5"/>
    <w:rsid w:val="00AF6366"/>
    <w:rsid w:val="00B0199B"/>
    <w:rsid w:val="00B02B26"/>
    <w:rsid w:val="00B04578"/>
    <w:rsid w:val="00B11CF6"/>
    <w:rsid w:val="00B14895"/>
    <w:rsid w:val="00B14B22"/>
    <w:rsid w:val="00B15F9F"/>
    <w:rsid w:val="00B162F2"/>
    <w:rsid w:val="00B16825"/>
    <w:rsid w:val="00B17D80"/>
    <w:rsid w:val="00B2350F"/>
    <w:rsid w:val="00B235DF"/>
    <w:rsid w:val="00B236EC"/>
    <w:rsid w:val="00B2658C"/>
    <w:rsid w:val="00B311F9"/>
    <w:rsid w:val="00B32DF9"/>
    <w:rsid w:val="00B33BC1"/>
    <w:rsid w:val="00B37C80"/>
    <w:rsid w:val="00B415AD"/>
    <w:rsid w:val="00B42990"/>
    <w:rsid w:val="00B43242"/>
    <w:rsid w:val="00B43CB2"/>
    <w:rsid w:val="00B4577A"/>
    <w:rsid w:val="00B4717D"/>
    <w:rsid w:val="00B527E3"/>
    <w:rsid w:val="00B571D6"/>
    <w:rsid w:val="00B57B46"/>
    <w:rsid w:val="00B61336"/>
    <w:rsid w:val="00B62457"/>
    <w:rsid w:val="00B66125"/>
    <w:rsid w:val="00B66FEC"/>
    <w:rsid w:val="00B673A6"/>
    <w:rsid w:val="00B67C1D"/>
    <w:rsid w:val="00B72CC7"/>
    <w:rsid w:val="00B7604B"/>
    <w:rsid w:val="00B76AAA"/>
    <w:rsid w:val="00B76F34"/>
    <w:rsid w:val="00B82C84"/>
    <w:rsid w:val="00B831DB"/>
    <w:rsid w:val="00B845CF"/>
    <w:rsid w:val="00B85FB4"/>
    <w:rsid w:val="00B87ECF"/>
    <w:rsid w:val="00B913C1"/>
    <w:rsid w:val="00B922DB"/>
    <w:rsid w:val="00B932BE"/>
    <w:rsid w:val="00B936A5"/>
    <w:rsid w:val="00B93E0B"/>
    <w:rsid w:val="00BA1BBE"/>
    <w:rsid w:val="00BA379C"/>
    <w:rsid w:val="00BB125E"/>
    <w:rsid w:val="00BB262B"/>
    <w:rsid w:val="00BB2C66"/>
    <w:rsid w:val="00BB5AB5"/>
    <w:rsid w:val="00BB6704"/>
    <w:rsid w:val="00BB7EEC"/>
    <w:rsid w:val="00BC1933"/>
    <w:rsid w:val="00BC49F8"/>
    <w:rsid w:val="00BC561C"/>
    <w:rsid w:val="00BD13F4"/>
    <w:rsid w:val="00BD20BF"/>
    <w:rsid w:val="00BD5329"/>
    <w:rsid w:val="00BD6290"/>
    <w:rsid w:val="00BD7938"/>
    <w:rsid w:val="00BD7964"/>
    <w:rsid w:val="00BD7F50"/>
    <w:rsid w:val="00BE0AC8"/>
    <w:rsid w:val="00BE11CF"/>
    <w:rsid w:val="00BF0A51"/>
    <w:rsid w:val="00BF242E"/>
    <w:rsid w:val="00C0171B"/>
    <w:rsid w:val="00C02BA9"/>
    <w:rsid w:val="00C03F7E"/>
    <w:rsid w:val="00C04D0A"/>
    <w:rsid w:val="00C057FE"/>
    <w:rsid w:val="00C07A2A"/>
    <w:rsid w:val="00C12665"/>
    <w:rsid w:val="00C12EC8"/>
    <w:rsid w:val="00C13AA4"/>
    <w:rsid w:val="00C1676E"/>
    <w:rsid w:val="00C16DA2"/>
    <w:rsid w:val="00C1796C"/>
    <w:rsid w:val="00C21896"/>
    <w:rsid w:val="00C2662E"/>
    <w:rsid w:val="00C27C5B"/>
    <w:rsid w:val="00C30965"/>
    <w:rsid w:val="00C31ECF"/>
    <w:rsid w:val="00C321A5"/>
    <w:rsid w:val="00C32876"/>
    <w:rsid w:val="00C34261"/>
    <w:rsid w:val="00C353C9"/>
    <w:rsid w:val="00C37F75"/>
    <w:rsid w:val="00C42FFA"/>
    <w:rsid w:val="00C43422"/>
    <w:rsid w:val="00C47C65"/>
    <w:rsid w:val="00C51C8B"/>
    <w:rsid w:val="00C56568"/>
    <w:rsid w:val="00C565EC"/>
    <w:rsid w:val="00C57EEB"/>
    <w:rsid w:val="00C6088E"/>
    <w:rsid w:val="00C63120"/>
    <w:rsid w:val="00C6544A"/>
    <w:rsid w:val="00C657B8"/>
    <w:rsid w:val="00C661EB"/>
    <w:rsid w:val="00C66567"/>
    <w:rsid w:val="00C67E96"/>
    <w:rsid w:val="00C71625"/>
    <w:rsid w:val="00C71E27"/>
    <w:rsid w:val="00C7237A"/>
    <w:rsid w:val="00C724B4"/>
    <w:rsid w:val="00C726F7"/>
    <w:rsid w:val="00C73C91"/>
    <w:rsid w:val="00C75167"/>
    <w:rsid w:val="00C777A0"/>
    <w:rsid w:val="00C77801"/>
    <w:rsid w:val="00C844D9"/>
    <w:rsid w:val="00C8458D"/>
    <w:rsid w:val="00C865B1"/>
    <w:rsid w:val="00C87EA7"/>
    <w:rsid w:val="00C93BF3"/>
    <w:rsid w:val="00C94388"/>
    <w:rsid w:val="00C943C3"/>
    <w:rsid w:val="00C96765"/>
    <w:rsid w:val="00CA41D3"/>
    <w:rsid w:val="00CA4905"/>
    <w:rsid w:val="00CB1FBE"/>
    <w:rsid w:val="00CB424B"/>
    <w:rsid w:val="00CB4AC2"/>
    <w:rsid w:val="00CB4D81"/>
    <w:rsid w:val="00CB6A6D"/>
    <w:rsid w:val="00CC5473"/>
    <w:rsid w:val="00CC6A2D"/>
    <w:rsid w:val="00CC6F42"/>
    <w:rsid w:val="00CD513C"/>
    <w:rsid w:val="00CD70A6"/>
    <w:rsid w:val="00CD7402"/>
    <w:rsid w:val="00CE1816"/>
    <w:rsid w:val="00CF1F9B"/>
    <w:rsid w:val="00CF20B8"/>
    <w:rsid w:val="00CF5D86"/>
    <w:rsid w:val="00D01CA1"/>
    <w:rsid w:val="00D01D69"/>
    <w:rsid w:val="00D03CD7"/>
    <w:rsid w:val="00D04C1D"/>
    <w:rsid w:val="00D05E12"/>
    <w:rsid w:val="00D107F2"/>
    <w:rsid w:val="00D11507"/>
    <w:rsid w:val="00D213B3"/>
    <w:rsid w:val="00D22E21"/>
    <w:rsid w:val="00D302C7"/>
    <w:rsid w:val="00D302D3"/>
    <w:rsid w:val="00D304C5"/>
    <w:rsid w:val="00D3299B"/>
    <w:rsid w:val="00D42030"/>
    <w:rsid w:val="00D431A4"/>
    <w:rsid w:val="00D46810"/>
    <w:rsid w:val="00D5076C"/>
    <w:rsid w:val="00D607DE"/>
    <w:rsid w:val="00D60D15"/>
    <w:rsid w:val="00D62BCC"/>
    <w:rsid w:val="00D66B1B"/>
    <w:rsid w:val="00D716EA"/>
    <w:rsid w:val="00D71EBE"/>
    <w:rsid w:val="00D72D2B"/>
    <w:rsid w:val="00D72D6B"/>
    <w:rsid w:val="00D730FF"/>
    <w:rsid w:val="00D7604F"/>
    <w:rsid w:val="00D84946"/>
    <w:rsid w:val="00D87361"/>
    <w:rsid w:val="00D918AA"/>
    <w:rsid w:val="00D93077"/>
    <w:rsid w:val="00D93D93"/>
    <w:rsid w:val="00DA26FA"/>
    <w:rsid w:val="00DA413D"/>
    <w:rsid w:val="00DA44BD"/>
    <w:rsid w:val="00DA5FBD"/>
    <w:rsid w:val="00DB6D61"/>
    <w:rsid w:val="00DB71EB"/>
    <w:rsid w:val="00DB74FE"/>
    <w:rsid w:val="00DC0BA7"/>
    <w:rsid w:val="00DC10D2"/>
    <w:rsid w:val="00DD0602"/>
    <w:rsid w:val="00DD32EB"/>
    <w:rsid w:val="00DD3754"/>
    <w:rsid w:val="00DD454C"/>
    <w:rsid w:val="00DD5E94"/>
    <w:rsid w:val="00DE117D"/>
    <w:rsid w:val="00DE1554"/>
    <w:rsid w:val="00DE195A"/>
    <w:rsid w:val="00DE2A2B"/>
    <w:rsid w:val="00DE36E6"/>
    <w:rsid w:val="00DE4649"/>
    <w:rsid w:val="00DF2DF3"/>
    <w:rsid w:val="00DF359C"/>
    <w:rsid w:val="00DF4104"/>
    <w:rsid w:val="00DF4EA0"/>
    <w:rsid w:val="00DF57B3"/>
    <w:rsid w:val="00E00B66"/>
    <w:rsid w:val="00E03E25"/>
    <w:rsid w:val="00E0472F"/>
    <w:rsid w:val="00E07F9F"/>
    <w:rsid w:val="00E1286A"/>
    <w:rsid w:val="00E150C7"/>
    <w:rsid w:val="00E15AAC"/>
    <w:rsid w:val="00E1617C"/>
    <w:rsid w:val="00E21C52"/>
    <w:rsid w:val="00E25D46"/>
    <w:rsid w:val="00E269C7"/>
    <w:rsid w:val="00E326C8"/>
    <w:rsid w:val="00E3583E"/>
    <w:rsid w:val="00E464B6"/>
    <w:rsid w:val="00E51C44"/>
    <w:rsid w:val="00E5201B"/>
    <w:rsid w:val="00E54C2F"/>
    <w:rsid w:val="00E552EB"/>
    <w:rsid w:val="00E56F14"/>
    <w:rsid w:val="00E57516"/>
    <w:rsid w:val="00E615E9"/>
    <w:rsid w:val="00E622D2"/>
    <w:rsid w:val="00E65647"/>
    <w:rsid w:val="00E65D79"/>
    <w:rsid w:val="00E70EFD"/>
    <w:rsid w:val="00E73AD7"/>
    <w:rsid w:val="00E73AFB"/>
    <w:rsid w:val="00E73CB8"/>
    <w:rsid w:val="00E744B8"/>
    <w:rsid w:val="00E77060"/>
    <w:rsid w:val="00E77169"/>
    <w:rsid w:val="00E803B6"/>
    <w:rsid w:val="00E81195"/>
    <w:rsid w:val="00E83E3E"/>
    <w:rsid w:val="00E918A0"/>
    <w:rsid w:val="00E96824"/>
    <w:rsid w:val="00E978DA"/>
    <w:rsid w:val="00EA1265"/>
    <w:rsid w:val="00EA29C7"/>
    <w:rsid w:val="00EA2A5F"/>
    <w:rsid w:val="00EA42F2"/>
    <w:rsid w:val="00EA4CBA"/>
    <w:rsid w:val="00EA5BAA"/>
    <w:rsid w:val="00EA6B76"/>
    <w:rsid w:val="00EB111B"/>
    <w:rsid w:val="00EB5C0F"/>
    <w:rsid w:val="00EB6427"/>
    <w:rsid w:val="00EC20C1"/>
    <w:rsid w:val="00EC34BD"/>
    <w:rsid w:val="00EC5A99"/>
    <w:rsid w:val="00EC63D1"/>
    <w:rsid w:val="00EC6A0B"/>
    <w:rsid w:val="00ED13E4"/>
    <w:rsid w:val="00ED1AEE"/>
    <w:rsid w:val="00ED2284"/>
    <w:rsid w:val="00ED29EE"/>
    <w:rsid w:val="00ED3E25"/>
    <w:rsid w:val="00ED4752"/>
    <w:rsid w:val="00ED4DE7"/>
    <w:rsid w:val="00ED7587"/>
    <w:rsid w:val="00EE2DCD"/>
    <w:rsid w:val="00EF19AB"/>
    <w:rsid w:val="00EF339D"/>
    <w:rsid w:val="00EF3576"/>
    <w:rsid w:val="00F01AF5"/>
    <w:rsid w:val="00F02DA0"/>
    <w:rsid w:val="00F03296"/>
    <w:rsid w:val="00F042F0"/>
    <w:rsid w:val="00F0532B"/>
    <w:rsid w:val="00F059DE"/>
    <w:rsid w:val="00F07ED5"/>
    <w:rsid w:val="00F11BB7"/>
    <w:rsid w:val="00F13B2D"/>
    <w:rsid w:val="00F15082"/>
    <w:rsid w:val="00F165B4"/>
    <w:rsid w:val="00F16D50"/>
    <w:rsid w:val="00F177B1"/>
    <w:rsid w:val="00F21F44"/>
    <w:rsid w:val="00F2459C"/>
    <w:rsid w:val="00F24A93"/>
    <w:rsid w:val="00F25815"/>
    <w:rsid w:val="00F310EA"/>
    <w:rsid w:val="00F333C9"/>
    <w:rsid w:val="00F35ED1"/>
    <w:rsid w:val="00F363E5"/>
    <w:rsid w:val="00F42CDF"/>
    <w:rsid w:val="00F43296"/>
    <w:rsid w:val="00F50673"/>
    <w:rsid w:val="00F510E4"/>
    <w:rsid w:val="00F5142A"/>
    <w:rsid w:val="00F52C36"/>
    <w:rsid w:val="00F534FB"/>
    <w:rsid w:val="00F62A2E"/>
    <w:rsid w:val="00F71A8F"/>
    <w:rsid w:val="00F74713"/>
    <w:rsid w:val="00F7589C"/>
    <w:rsid w:val="00F76873"/>
    <w:rsid w:val="00F76E34"/>
    <w:rsid w:val="00F777E3"/>
    <w:rsid w:val="00F7783F"/>
    <w:rsid w:val="00F77B4F"/>
    <w:rsid w:val="00F77D35"/>
    <w:rsid w:val="00F80628"/>
    <w:rsid w:val="00F80B70"/>
    <w:rsid w:val="00F81C6C"/>
    <w:rsid w:val="00F83165"/>
    <w:rsid w:val="00F83BFE"/>
    <w:rsid w:val="00F862CF"/>
    <w:rsid w:val="00F905CA"/>
    <w:rsid w:val="00F91E49"/>
    <w:rsid w:val="00F94AC0"/>
    <w:rsid w:val="00FA1F5B"/>
    <w:rsid w:val="00FA2534"/>
    <w:rsid w:val="00FA29C0"/>
    <w:rsid w:val="00FA2F02"/>
    <w:rsid w:val="00FA423A"/>
    <w:rsid w:val="00FA7415"/>
    <w:rsid w:val="00FB1912"/>
    <w:rsid w:val="00FB21A5"/>
    <w:rsid w:val="00FB2500"/>
    <w:rsid w:val="00FB3163"/>
    <w:rsid w:val="00FB3549"/>
    <w:rsid w:val="00FC06CE"/>
    <w:rsid w:val="00FC1FCD"/>
    <w:rsid w:val="00FC21F2"/>
    <w:rsid w:val="00FC356B"/>
    <w:rsid w:val="00FC3A64"/>
    <w:rsid w:val="00FC4893"/>
    <w:rsid w:val="00FC5BE0"/>
    <w:rsid w:val="00FD0E61"/>
    <w:rsid w:val="00FD4A0E"/>
    <w:rsid w:val="00FE09AE"/>
    <w:rsid w:val="00FE0BAA"/>
    <w:rsid w:val="00FE0FE9"/>
    <w:rsid w:val="00FE1D74"/>
    <w:rsid w:val="00FE6E77"/>
    <w:rsid w:val="00FF015A"/>
    <w:rsid w:val="00FF135C"/>
    <w:rsid w:val="00FF3535"/>
    <w:rsid w:val="00FF50BA"/>
    <w:rsid w:val="00FF5A2E"/>
    <w:rsid w:val="00FF66C2"/>
    <w:rsid w:val="00FF79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2F"/>
    <w:pPr>
      <w:tabs>
        <w:tab w:val="left" w:pos="720"/>
      </w:tabs>
      <w:spacing w:after="0" w:line="480" w:lineRule="atLeast"/>
    </w:pPr>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E"/>
    <w:pPr>
      <w:spacing w:after="0" w:line="240" w:lineRule="auto"/>
    </w:pPr>
    <w:rPr>
      <w:rFonts w:ascii="Times New Roman" w:hAnsi="Times New Roman"/>
      <w:sz w:val="26"/>
    </w:rPr>
  </w:style>
  <w:style w:type="paragraph" w:styleId="FootnoteText">
    <w:name w:val="footnote text"/>
    <w:basedOn w:val="Normal"/>
    <w:link w:val="FootnoteTextChar"/>
    <w:uiPriority w:val="99"/>
    <w:unhideWhenUsed/>
    <w:rsid w:val="00855A81"/>
    <w:rPr>
      <w:szCs w:val="20"/>
    </w:rPr>
  </w:style>
  <w:style w:type="character" w:customStyle="1" w:styleId="FootnoteTextChar">
    <w:name w:val="Footnote Text Char"/>
    <w:basedOn w:val="DefaultParagraphFont"/>
    <w:link w:val="FootnoteText"/>
    <w:uiPriority w:val="99"/>
    <w:rsid w:val="00855A81"/>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855A81"/>
    <w:rPr>
      <w:vertAlign w:val="superscript"/>
    </w:rPr>
  </w:style>
  <w:style w:type="character" w:styleId="CommentReference">
    <w:name w:val="annotation reference"/>
    <w:basedOn w:val="DefaultParagraphFont"/>
    <w:uiPriority w:val="99"/>
    <w:semiHidden/>
    <w:unhideWhenUsed/>
    <w:rsid w:val="006B5BCB"/>
    <w:rPr>
      <w:sz w:val="16"/>
      <w:szCs w:val="16"/>
    </w:rPr>
  </w:style>
  <w:style w:type="paragraph" w:styleId="CommentText">
    <w:name w:val="annotation text"/>
    <w:basedOn w:val="Normal"/>
    <w:link w:val="CommentTextChar"/>
    <w:uiPriority w:val="99"/>
    <w:semiHidden/>
    <w:unhideWhenUsed/>
    <w:rsid w:val="006B5BCB"/>
    <w:rPr>
      <w:sz w:val="20"/>
      <w:szCs w:val="20"/>
    </w:rPr>
  </w:style>
  <w:style w:type="character" w:customStyle="1" w:styleId="CommentTextChar">
    <w:name w:val="Comment Text Char"/>
    <w:basedOn w:val="DefaultParagraphFont"/>
    <w:link w:val="CommentText"/>
    <w:uiPriority w:val="99"/>
    <w:semiHidden/>
    <w:rsid w:val="006B5BCB"/>
    <w:rPr>
      <w:sz w:val="20"/>
      <w:szCs w:val="20"/>
    </w:rPr>
  </w:style>
  <w:style w:type="paragraph" w:styleId="CommentSubject">
    <w:name w:val="annotation subject"/>
    <w:basedOn w:val="CommentText"/>
    <w:next w:val="CommentText"/>
    <w:link w:val="CommentSubjectChar"/>
    <w:uiPriority w:val="99"/>
    <w:semiHidden/>
    <w:unhideWhenUsed/>
    <w:rsid w:val="006B5BCB"/>
    <w:rPr>
      <w:b/>
      <w:bCs/>
    </w:rPr>
  </w:style>
  <w:style w:type="character" w:customStyle="1" w:styleId="CommentSubjectChar">
    <w:name w:val="Comment Subject Char"/>
    <w:basedOn w:val="CommentTextChar"/>
    <w:link w:val="CommentSubject"/>
    <w:uiPriority w:val="99"/>
    <w:semiHidden/>
    <w:rsid w:val="006B5BCB"/>
    <w:rPr>
      <w:b/>
      <w:bCs/>
      <w:sz w:val="20"/>
      <w:szCs w:val="20"/>
    </w:rPr>
  </w:style>
  <w:style w:type="paragraph" w:styleId="Header">
    <w:name w:val="header"/>
    <w:basedOn w:val="Normal"/>
    <w:link w:val="HeaderChar"/>
    <w:uiPriority w:val="99"/>
    <w:unhideWhenUsed/>
    <w:rsid w:val="00A31404"/>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31404"/>
    <w:rPr>
      <w:rFonts w:ascii="Times New Roman" w:hAnsi="Times New Roman" w:cs="Times New Roman"/>
      <w:sz w:val="26"/>
    </w:rPr>
  </w:style>
  <w:style w:type="paragraph" w:styleId="Footer">
    <w:name w:val="footer"/>
    <w:basedOn w:val="Normal"/>
    <w:link w:val="FooterChar"/>
    <w:uiPriority w:val="99"/>
    <w:unhideWhenUsed/>
    <w:rsid w:val="00A31404"/>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A31404"/>
    <w:rPr>
      <w:rFonts w:ascii="Times New Roman" w:hAnsi="Times New Roman" w:cs="Times New Roman"/>
      <w:sz w:val="26"/>
    </w:rPr>
  </w:style>
  <w:style w:type="paragraph" w:styleId="EndnoteText">
    <w:name w:val="endnote text"/>
    <w:basedOn w:val="Normal"/>
    <w:link w:val="EndnoteTextChar"/>
    <w:uiPriority w:val="99"/>
    <w:semiHidden/>
    <w:unhideWhenUsed/>
    <w:rsid w:val="006F05D9"/>
    <w:pPr>
      <w:spacing w:line="240" w:lineRule="auto"/>
    </w:pPr>
    <w:rPr>
      <w:sz w:val="20"/>
      <w:szCs w:val="20"/>
    </w:rPr>
  </w:style>
  <w:style w:type="character" w:customStyle="1" w:styleId="EndnoteTextChar">
    <w:name w:val="Endnote Text Char"/>
    <w:basedOn w:val="DefaultParagraphFont"/>
    <w:link w:val="EndnoteText"/>
    <w:uiPriority w:val="99"/>
    <w:semiHidden/>
    <w:rsid w:val="006F05D9"/>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6F05D9"/>
    <w:rPr>
      <w:vertAlign w:val="superscript"/>
    </w:rPr>
  </w:style>
  <w:style w:type="character" w:styleId="Hyperlink">
    <w:name w:val="Hyperlink"/>
    <w:basedOn w:val="DefaultParagraphFont"/>
    <w:uiPriority w:val="99"/>
    <w:unhideWhenUsed/>
    <w:rsid w:val="00271903"/>
    <w:rPr>
      <w:color w:val="0000FF"/>
      <w:u w:val="single"/>
    </w:rPr>
  </w:style>
  <w:style w:type="character" w:customStyle="1" w:styleId="UnresolvedMention1">
    <w:name w:val="Unresolved Mention1"/>
    <w:basedOn w:val="DefaultParagraphFont"/>
    <w:uiPriority w:val="99"/>
    <w:semiHidden/>
    <w:unhideWhenUsed/>
    <w:rsid w:val="00271903"/>
    <w:rPr>
      <w:color w:val="605E5C"/>
      <w:shd w:val="clear" w:color="auto" w:fill="E1DFDD"/>
    </w:rPr>
  </w:style>
  <w:style w:type="character" w:styleId="PageNumber">
    <w:name w:val="page number"/>
    <w:basedOn w:val="DefaultParagraphFont"/>
    <w:rsid w:val="00E73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94BBE-457D-44D5-8D54-B0625763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2022-09-01T22:58:55Z</dcterms:created>
  <dcterms:modified xsi:type="dcterms:W3CDTF">2022-09-01T22:58:55Z</dcterms:modified>
</cp:coreProperties>
</file>