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71B51" w14:textId="756D861A" w:rsidR="00BA7DC3" w:rsidRDefault="00C12B09" w:rsidP="00C12B09">
      <w:pPr>
        <w:spacing w:after="0" w:line="240" w:lineRule="auto"/>
        <w:jc w:val="center"/>
        <w:rPr>
          <w:b/>
          <w:sz w:val="36"/>
        </w:rPr>
      </w:pPr>
      <w:r>
        <w:rPr>
          <w:b/>
          <w:sz w:val="36"/>
        </w:rPr>
        <w:t xml:space="preserve">IN THE SUPREME COURT OF </w:t>
      </w:r>
    </w:p>
    <w:p w14:paraId="7F5814E5" w14:textId="7E593805" w:rsidR="00C12B09" w:rsidRPr="00C12B09" w:rsidRDefault="00C12B09" w:rsidP="00C12B09">
      <w:pPr>
        <w:spacing w:after="0" w:line="240" w:lineRule="auto"/>
        <w:jc w:val="center"/>
        <w:rPr>
          <w:b/>
          <w:spacing w:val="100"/>
        </w:rPr>
      </w:pPr>
      <w:r>
        <w:rPr>
          <w:b/>
          <w:sz w:val="36"/>
        </w:rPr>
        <w:t>CALIFORNIA</w:t>
      </w:r>
    </w:p>
    <w:p w14:paraId="712681C3" w14:textId="77777777" w:rsidR="00C12B09" w:rsidRDefault="00C12B09" w:rsidP="00C12B09">
      <w:pPr>
        <w:tabs>
          <w:tab w:val="left" w:pos="1440"/>
          <w:tab w:val="left" w:pos="4680"/>
          <w:tab w:val="center" w:pos="7200"/>
        </w:tabs>
        <w:spacing w:after="0"/>
        <w:jc w:val="center"/>
      </w:pPr>
    </w:p>
    <w:p w14:paraId="6D4CF752" w14:textId="77777777" w:rsidR="00C12B09" w:rsidRDefault="00C12B09" w:rsidP="00273587">
      <w:pPr>
        <w:tabs>
          <w:tab w:val="left" w:pos="1440"/>
          <w:tab w:val="left" w:pos="4680"/>
          <w:tab w:val="center" w:pos="7200"/>
        </w:tabs>
        <w:spacing w:after="0"/>
        <w:ind w:left="2160" w:right="2160"/>
        <w:jc w:val="center"/>
      </w:pPr>
      <w:r>
        <w:t>THE PEOPLE,</w:t>
      </w:r>
    </w:p>
    <w:p w14:paraId="3CB8EAC4" w14:textId="77777777" w:rsidR="00C12B09" w:rsidRDefault="00C12B09" w:rsidP="00273587">
      <w:pPr>
        <w:tabs>
          <w:tab w:val="left" w:pos="1440"/>
          <w:tab w:val="left" w:pos="4680"/>
          <w:tab w:val="center" w:pos="7200"/>
        </w:tabs>
        <w:spacing w:after="0"/>
        <w:ind w:left="2160" w:right="2160"/>
        <w:jc w:val="center"/>
      </w:pPr>
      <w:r>
        <w:t>Plaintiff and Respondent,</w:t>
      </w:r>
    </w:p>
    <w:p w14:paraId="1D134349" w14:textId="77777777" w:rsidR="00C12B09" w:rsidRDefault="00C12B09" w:rsidP="00273587">
      <w:pPr>
        <w:tabs>
          <w:tab w:val="left" w:pos="1440"/>
          <w:tab w:val="left" w:pos="4680"/>
          <w:tab w:val="center" w:pos="7200"/>
        </w:tabs>
        <w:spacing w:after="0"/>
        <w:ind w:left="2160" w:right="2160"/>
        <w:jc w:val="center"/>
      </w:pPr>
      <w:r>
        <w:t>v.</w:t>
      </w:r>
    </w:p>
    <w:p w14:paraId="07091872" w14:textId="3D3B0B84" w:rsidR="00C12B09" w:rsidRDefault="00BA7DC3" w:rsidP="00273587">
      <w:pPr>
        <w:tabs>
          <w:tab w:val="left" w:pos="1440"/>
          <w:tab w:val="left" w:pos="4680"/>
          <w:tab w:val="center" w:pos="7200"/>
        </w:tabs>
        <w:spacing w:after="0"/>
        <w:ind w:left="2160" w:right="2160"/>
        <w:jc w:val="center"/>
      </w:pPr>
      <w:r>
        <w:t>ROBERT WALTER SCULLY</w:t>
      </w:r>
      <w:r w:rsidR="00C12B09">
        <w:t>,</w:t>
      </w:r>
    </w:p>
    <w:p w14:paraId="02FB877D" w14:textId="77777777" w:rsidR="00C12B09" w:rsidRDefault="00C12B09" w:rsidP="00273587">
      <w:pPr>
        <w:tabs>
          <w:tab w:val="left" w:pos="1440"/>
          <w:tab w:val="left" w:pos="4680"/>
          <w:tab w:val="center" w:pos="7200"/>
        </w:tabs>
        <w:spacing w:after="0"/>
        <w:ind w:left="2160" w:right="2160"/>
        <w:jc w:val="center"/>
      </w:pPr>
      <w:r>
        <w:t>Defendant and Appellant.</w:t>
      </w:r>
    </w:p>
    <w:p w14:paraId="06897120" w14:textId="77777777" w:rsidR="00C12B09" w:rsidRDefault="00C12B09" w:rsidP="00273587">
      <w:pPr>
        <w:tabs>
          <w:tab w:val="left" w:pos="1440"/>
          <w:tab w:val="left" w:pos="4680"/>
          <w:tab w:val="center" w:pos="7200"/>
        </w:tabs>
        <w:spacing w:after="0"/>
        <w:ind w:left="2160" w:right="2160"/>
        <w:jc w:val="center"/>
      </w:pPr>
    </w:p>
    <w:p w14:paraId="61C57A45" w14:textId="3EB6294A" w:rsidR="00C12B09" w:rsidRDefault="00C12B09" w:rsidP="00273587">
      <w:pPr>
        <w:tabs>
          <w:tab w:val="left" w:pos="1440"/>
          <w:tab w:val="left" w:pos="4680"/>
          <w:tab w:val="center" w:pos="7200"/>
        </w:tabs>
        <w:spacing w:after="0"/>
        <w:ind w:left="2160" w:right="2160"/>
        <w:jc w:val="center"/>
      </w:pPr>
      <w:r>
        <w:t>S</w:t>
      </w:r>
      <w:r w:rsidR="00BA7DC3">
        <w:t>062259</w:t>
      </w:r>
    </w:p>
    <w:p w14:paraId="3F77E86F" w14:textId="77777777" w:rsidR="00C12B09" w:rsidRDefault="00C12B09" w:rsidP="00273587">
      <w:pPr>
        <w:tabs>
          <w:tab w:val="left" w:pos="1440"/>
          <w:tab w:val="left" w:pos="4680"/>
          <w:tab w:val="center" w:pos="7200"/>
        </w:tabs>
        <w:spacing w:after="0"/>
        <w:ind w:left="2160" w:right="2160"/>
      </w:pPr>
    </w:p>
    <w:p w14:paraId="761CCE47" w14:textId="2EF6CCA6" w:rsidR="00C12B09" w:rsidRDefault="00C84BAD" w:rsidP="00273587">
      <w:pPr>
        <w:tabs>
          <w:tab w:val="left" w:pos="1440"/>
          <w:tab w:val="left" w:pos="4680"/>
          <w:tab w:val="center" w:pos="7200"/>
        </w:tabs>
        <w:spacing w:after="0"/>
        <w:ind w:left="2160" w:right="2160"/>
        <w:jc w:val="center"/>
      </w:pPr>
      <w:r>
        <w:t>Sonoma</w:t>
      </w:r>
      <w:r w:rsidR="00C12B09">
        <w:t xml:space="preserve"> County Superior Court</w:t>
      </w:r>
    </w:p>
    <w:p w14:paraId="4A225F78" w14:textId="10AE627D" w:rsidR="00C12B09" w:rsidRDefault="00C84BAD" w:rsidP="00273587">
      <w:pPr>
        <w:tabs>
          <w:tab w:val="left" w:pos="1440"/>
          <w:tab w:val="left" w:pos="4680"/>
          <w:tab w:val="center" w:pos="7200"/>
        </w:tabs>
        <w:spacing w:after="0"/>
        <w:ind w:left="2160" w:right="2160"/>
        <w:jc w:val="center"/>
      </w:pPr>
      <w:r>
        <w:t>SCR-22</w:t>
      </w:r>
      <w:r w:rsidR="00550A03">
        <w:t>9</w:t>
      </w:r>
      <w:r>
        <w:t>69</w:t>
      </w:r>
    </w:p>
    <w:p w14:paraId="23B56B2B" w14:textId="77777777" w:rsidR="00C12B09" w:rsidRDefault="00C12B09" w:rsidP="00C12B09">
      <w:pPr>
        <w:pBdr>
          <w:bottom w:val="single" w:sz="4" w:space="1" w:color="auto"/>
        </w:pBdr>
        <w:tabs>
          <w:tab w:val="left" w:pos="1440"/>
          <w:tab w:val="left" w:pos="4680"/>
          <w:tab w:val="center" w:pos="7200"/>
        </w:tabs>
        <w:spacing w:after="0"/>
        <w:jc w:val="center"/>
      </w:pPr>
    </w:p>
    <w:p w14:paraId="01DD0BAB" w14:textId="77777777" w:rsidR="00C12B09" w:rsidRDefault="00C12B09" w:rsidP="00C12B09">
      <w:pPr>
        <w:tabs>
          <w:tab w:val="left" w:pos="1440"/>
          <w:tab w:val="left" w:pos="4680"/>
          <w:tab w:val="center" w:pos="7200"/>
        </w:tabs>
        <w:spacing w:after="0"/>
        <w:jc w:val="center"/>
      </w:pPr>
    </w:p>
    <w:p w14:paraId="181557B2" w14:textId="3A94F191" w:rsidR="00C12B09" w:rsidRDefault="00CC5F01" w:rsidP="00C12B09">
      <w:pPr>
        <w:tabs>
          <w:tab w:val="left" w:pos="1440"/>
          <w:tab w:val="left" w:pos="4680"/>
          <w:tab w:val="center" w:pos="7200"/>
        </w:tabs>
        <w:spacing w:after="0"/>
        <w:jc w:val="center"/>
      </w:pPr>
      <w:r>
        <w:t>May 24</w:t>
      </w:r>
      <w:r w:rsidR="00C12B09">
        <w:t>, 202</w:t>
      </w:r>
      <w:r w:rsidR="00FB5809">
        <w:t>1</w:t>
      </w:r>
    </w:p>
    <w:p w14:paraId="3EFDA6CE" w14:textId="77777777" w:rsidR="006E302F" w:rsidRDefault="006E302F" w:rsidP="002E7377">
      <w:pPr>
        <w:tabs>
          <w:tab w:val="left" w:pos="1440"/>
          <w:tab w:val="left" w:pos="4680"/>
          <w:tab w:val="center" w:pos="7200"/>
        </w:tabs>
        <w:spacing w:after="0"/>
      </w:pPr>
    </w:p>
    <w:p w14:paraId="1AF226AD" w14:textId="0A025E5C" w:rsidR="00C12B09" w:rsidRDefault="00C12B09" w:rsidP="002E7377">
      <w:pPr>
        <w:tabs>
          <w:tab w:val="left" w:pos="1440"/>
          <w:tab w:val="left" w:pos="4680"/>
          <w:tab w:val="center" w:pos="7200"/>
        </w:tabs>
        <w:spacing w:after="0"/>
        <w:jc w:val="left"/>
      </w:pPr>
      <w:r>
        <w:t xml:space="preserve">Chief Justice Cantil-Sakauye authored the opinion of the Court, in which Justices </w:t>
      </w:r>
      <w:r w:rsidR="00CC5F01">
        <w:t>Liu, Cuéllar, Kruger, Groban, Jenkins</w:t>
      </w:r>
      <w:r w:rsidR="00A42168">
        <w:t>,</w:t>
      </w:r>
      <w:r>
        <w:t xml:space="preserve"> and </w:t>
      </w:r>
      <w:r w:rsidR="00496A98">
        <w:t>Jackson</w:t>
      </w:r>
      <w:r w:rsidR="00496A98" w:rsidRPr="009D2BEC">
        <w:rPr>
          <w:szCs w:val="27"/>
          <w:vertAlign w:val="superscript"/>
        </w:rPr>
        <w:t>*</w:t>
      </w:r>
      <w:r>
        <w:t xml:space="preserve"> concurred.</w:t>
      </w:r>
    </w:p>
    <w:p w14:paraId="56C27E22" w14:textId="77777777" w:rsidR="00C12B09" w:rsidRPr="00B51E49" w:rsidRDefault="00C12B09" w:rsidP="00C12B09">
      <w:pPr>
        <w:pBdr>
          <w:bottom w:val="single" w:sz="4" w:space="1" w:color="auto"/>
        </w:pBdr>
        <w:tabs>
          <w:tab w:val="left" w:pos="1440"/>
          <w:tab w:val="left" w:pos="4680"/>
          <w:tab w:val="center" w:pos="7200"/>
        </w:tabs>
        <w:spacing w:line="480" w:lineRule="atLeast"/>
        <w:jc w:val="left"/>
      </w:pPr>
      <w:bookmarkStart w:id="0" w:name="Return"/>
      <w:bookmarkEnd w:id="0"/>
    </w:p>
    <w:p w14:paraId="2FB59D9E" w14:textId="1DD6CEEA" w:rsidR="00BB4045" w:rsidRDefault="00BB4045">
      <w:pPr>
        <w:spacing w:after="0" w:line="240" w:lineRule="auto"/>
        <w:jc w:val="left"/>
        <w:rPr>
          <w:b/>
          <w:spacing w:val="100"/>
        </w:rPr>
      </w:pPr>
    </w:p>
    <w:p w14:paraId="54CC9E14" w14:textId="48D95283" w:rsidR="00513407" w:rsidRDefault="00513407">
      <w:pPr>
        <w:spacing w:after="0" w:line="240" w:lineRule="auto"/>
        <w:jc w:val="left"/>
        <w:rPr>
          <w:b/>
          <w:spacing w:val="100"/>
        </w:rPr>
      </w:pPr>
    </w:p>
    <w:p w14:paraId="543F3EFC" w14:textId="196029C2" w:rsidR="00513407" w:rsidRDefault="00513407">
      <w:pPr>
        <w:spacing w:after="0" w:line="240" w:lineRule="auto"/>
        <w:jc w:val="left"/>
        <w:rPr>
          <w:b/>
          <w:spacing w:val="100"/>
        </w:rPr>
      </w:pPr>
    </w:p>
    <w:p w14:paraId="192EB3A6" w14:textId="2FAE9550" w:rsidR="00513407" w:rsidRDefault="00513407">
      <w:pPr>
        <w:spacing w:after="0" w:line="240" w:lineRule="auto"/>
        <w:jc w:val="left"/>
        <w:rPr>
          <w:b/>
          <w:spacing w:val="100"/>
        </w:rPr>
      </w:pPr>
    </w:p>
    <w:p w14:paraId="57A2E5C5" w14:textId="1F5589E4" w:rsidR="00513407" w:rsidRDefault="00513407">
      <w:pPr>
        <w:spacing w:after="0" w:line="240" w:lineRule="auto"/>
        <w:jc w:val="left"/>
        <w:rPr>
          <w:b/>
          <w:spacing w:val="100"/>
        </w:rPr>
      </w:pPr>
    </w:p>
    <w:p w14:paraId="2F97A2B5" w14:textId="6749BA0A" w:rsidR="00513407" w:rsidRDefault="00513407">
      <w:pPr>
        <w:spacing w:after="0" w:line="240" w:lineRule="auto"/>
        <w:jc w:val="left"/>
        <w:rPr>
          <w:b/>
          <w:spacing w:val="100"/>
        </w:rPr>
      </w:pPr>
    </w:p>
    <w:p w14:paraId="12730BFE" w14:textId="629FDA80" w:rsidR="00513407" w:rsidRDefault="00513407">
      <w:pPr>
        <w:spacing w:after="0" w:line="240" w:lineRule="auto"/>
        <w:jc w:val="left"/>
        <w:rPr>
          <w:b/>
          <w:spacing w:val="100"/>
        </w:rPr>
      </w:pPr>
    </w:p>
    <w:p w14:paraId="298E486D" w14:textId="527D54F7" w:rsidR="00513407" w:rsidRDefault="00513407">
      <w:pPr>
        <w:spacing w:after="0" w:line="240" w:lineRule="auto"/>
        <w:jc w:val="left"/>
        <w:rPr>
          <w:b/>
          <w:spacing w:val="100"/>
        </w:rPr>
      </w:pPr>
    </w:p>
    <w:p w14:paraId="43691A19" w14:textId="0E4C42A1" w:rsidR="00513407" w:rsidRDefault="00513407">
      <w:pPr>
        <w:spacing w:after="0" w:line="240" w:lineRule="auto"/>
        <w:jc w:val="left"/>
        <w:rPr>
          <w:b/>
          <w:spacing w:val="100"/>
        </w:rPr>
      </w:pPr>
      <w:r>
        <w:t>________________________</w:t>
      </w:r>
    </w:p>
    <w:p w14:paraId="6EECF0BF" w14:textId="45B4F5A3" w:rsidR="00496A98" w:rsidRDefault="00B20827" w:rsidP="00B20827">
      <w:pPr>
        <w:tabs>
          <w:tab w:val="left" w:pos="360"/>
        </w:tabs>
        <w:spacing w:after="0"/>
        <w:rPr>
          <w:b/>
          <w:spacing w:val="100"/>
        </w:rPr>
      </w:pPr>
      <w:r w:rsidRPr="00866D59">
        <w:rPr>
          <w:b/>
          <w:spacing w:val="100"/>
          <w:szCs w:val="27"/>
          <w:vertAlign w:val="superscript"/>
        </w:rPr>
        <w:t>*</w:t>
      </w:r>
      <w:r>
        <w:rPr>
          <w:b/>
          <w:spacing w:val="100"/>
          <w:sz w:val="20"/>
          <w:vertAlign w:val="superscript"/>
        </w:rPr>
        <w:t xml:space="preserve"> </w:t>
      </w:r>
      <w:r>
        <w:rPr>
          <w:b/>
          <w:spacing w:val="100"/>
          <w:sz w:val="20"/>
          <w:vertAlign w:val="superscript"/>
        </w:rPr>
        <w:tab/>
      </w:r>
      <w:r w:rsidR="00496A98">
        <w:t xml:space="preserve">Associate Justice of the Court of Appeal, First Appellate District, Division Three, assigned by the Chief Justice pursuant to article VI, section 6 of the California Constitution. </w:t>
      </w:r>
    </w:p>
    <w:p w14:paraId="1C1CBD34" w14:textId="1B002089" w:rsidR="00496A98" w:rsidRPr="00496A98" w:rsidRDefault="00496A98" w:rsidP="00496A98">
      <w:pPr>
        <w:spacing w:after="0" w:line="360" w:lineRule="auto"/>
        <w:sectPr w:rsidR="00496A98" w:rsidRPr="00496A98" w:rsidSect="00982E8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7"/>
        </w:sectPr>
      </w:pPr>
    </w:p>
    <w:p w14:paraId="2F045655" w14:textId="3F2888A0" w:rsidR="008E43AF" w:rsidRDefault="008E43AF" w:rsidP="008E43AF">
      <w:pPr>
        <w:jc w:val="center"/>
      </w:pPr>
      <w:bookmarkStart w:id="1" w:name="plaintiff"/>
      <w:bookmarkStart w:id="2" w:name="LD"/>
      <w:bookmarkStart w:id="3" w:name="casenum"/>
      <w:bookmarkStart w:id="4" w:name="appealnum"/>
      <w:bookmarkStart w:id="5" w:name="defendant"/>
      <w:bookmarkStart w:id="6" w:name="county"/>
      <w:bookmarkStart w:id="7" w:name="VD"/>
      <w:bookmarkStart w:id="8" w:name="supernum"/>
      <w:bookmarkStart w:id="9" w:name="MarkDocLoc"/>
      <w:bookmarkStart w:id="10" w:name="justice"/>
      <w:bookmarkStart w:id="11" w:name="mainstory"/>
      <w:bookmarkEnd w:id="1"/>
      <w:bookmarkEnd w:id="2"/>
      <w:bookmarkEnd w:id="3"/>
      <w:bookmarkEnd w:id="4"/>
      <w:bookmarkEnd w:id="5"/>
      <w:bookmarkEnd w:id="6"/>
      <w:bookmarkEnd w:id="7"/>
      <w:bookmarkEnd w:id="8"/>
      <w:bookmarkEnd w:id="9"/>
      <w:bookmarkEnd w:id="10"/>
      <w:bookmarkEnd w:id="11"/>
      <w:r>
        <w:lastRenderedPageBreak/>
        <w:t>PEOPLE v. SCULLY</w:t>
      </w:r>
    </w:p>
    <w:p w14:paraId="07302D6F" w14:textId="37656F75" w:rsidR="008E43AF" w:rsidRDefault="00E9085D" w:rsidP="00F105E8">
      <w:pPr>
        <w:jc w:val="center"/>
      </w:pPr>
      <w:r>
        <w:t>S062259</w:t>
      </w:r>
    </w:p>
    <w:p w14:paraId="6BAB0073" w14:textId="77777777" w:rsidR="00E9085D" w:rsidRDefault="00E9085D" w:rsidP="00E9085D">
      <w:pPr>
        <w:jc w:val="center"/>
      </w:pPr>
    </w:p>
    <w:p w14:paraId="4971B1BF" w14:textId="7BD313C9" w:rsidR="00E9085D" w:rsidRDefault="00E9085D" w:rsidP="00F105E8">
      <w:pPr>
        <w:jc w:val="center"/>
      </w:pPr>
      <w:r>
        <w:t>Opinion of the Court by Cantil-Sakauye, C. J.</w:t>
      </w:r>
    </w:p>
    <w:p w14:paraId="39136ADD" w14:textId="77777777" w:rsidR="00E9085D" w:rsidRDefault="00E9085D" w:rsidP="00982E8F">
      <w:pPr>
        <w:ind w:firstLine="720"/>
      </w:pPr>
    </w:p>
    <w:p w14:paraId="3774BB6E" w14:textId="21DCFBBC" w:rsidR="00E7350C" w:rsidRPr="00CB05A8" w:rsidRDefault="002254FF" w:rsidP="00982E8F">
      <w:pPr>
        <w:ind w:firstLine="720"/>
        <w:rPr>
          <w:color w:val="000000" w:themeColor="text1"/>
        </w:rPr>
      </w:pPr>
      <w:r w:rsidRPr="00CB05A8">
        <w:t xml:space="preserve">A jury convicted defendant Robert Walter Scully of </w:t>
      </w:r>
      <w:r w:rsidR="00E000B1" w:rsidRPr="00CB05A8">
        <w:t xml:space="preserve">the </w:t>
      </w:r>
      <w:r w:rsidR="009046A6" w:rsidRPr="00CB05A8">
        <w:t xml:space="preserve">first degree murder </w:t>
      </w:r>
      <w:r w:rsidR="00E000B1" w:rsidRPr="00CB05A8">
        <w:t>and</w:t>
      </w:r>
      <w:r w:rsidR="00F065DB" w:rsidRPr="00CB05A8">
        <w:t xml:space="preserve"> </w:t>
      </w:r>
      <w:r w:rsidR="004C73BB" w:rsidRPr="00CB05A8">
        <w:t xml:space="preserve">robbery </w:t>
      </w:r>
      <w:r w:rsidR="00E000B1" w:rsidRPr="00CB05A8">
        <w:t>of Sonoma County Deputy Sheriff Frank Trejo.  (Pen. Code,</w:t>
      </w:r>
      <w:r w:rsidR="000867F3" w:rsidRPr="00CB05A8">
        <w:t xml:space="preserve"> §§ 187, 211</w:t>
      </w:r>
      <w:r w:rsidR="001B3F9B">
        <w:t>.)</w:t>
      </w:r>
      <w:r w:rsidR="00E000B1" w:rsidRPr="00CB05A8">
        <w:rPr>
          <w:rStyle w:val="FootnoteReference"/>
        </w:rPr>
        <w:footnoteReference w:id="2"/>
      </w:r>
      <w:r w:rsidR="00E000B1" w:rsidRPr="00CB05A8">
        <w:t xml:space="preserve">  </w:t>
      </w:r>
      <w:r w:rsidR="009869EE" w:rsidRPr="00CB05A8">
        <w:t>The jury</w:t>
      </w:r>
      <w:r w:rsidR="00CF012A" w:rsidRPr="00CB05A8">
        <w:t xml:space="preserve"> found true the special circumstance</w:t>
      </w:r>
      <w:r w:rsidR="00DC081D" w:rsidRPr="00CB05A8">
        <w:t xml:space="preserve"> allegations </w:t>
      </w:r>
      <w:r w:rsidR="0096585E" w:rsidRPr="00CB05A8">
        <w:t xml:space="preserve">that defendant </w:t>
      </w:r>
      <w:r w:rsidR="00795A25" w:rsidRPr="00CB05A8">
        <w:t xml:space="preserve">committed </w:t>
      </w:r>
      <w:r w:rsidR="00A91782" w:rsidRPr="00CB05A8">
        <w:t>the</w:t>
      </w:r>
      <w:r w:rsidR="008F2536" w:rsidRPr="00CB05A8">
        <w:t xml:space="preserve"> </w:t>
      </w:r>
      <w:r w:rsidR="00CF012A" w:rsidRPr="00CB05A8">
        <w:t xml:space="preserve">murder for the purpose of avoiding arrest (§ 190.2, subd. (a)(5)) and </w:t>
      </w:r>
      <w:r w:rsidR="008F2536" w:rsidRPr="00CB05A8">
        <w:t xml:space="preserve">while engaged </w:t>
      </w:r>
      <w:r w:rsidR="00CF012A" w:rsidRPr="00CB05A8">
        <w:t>in the commission of a robbery (§ 190.2, subd. (a)(17))</w:t>
      </w:r>
      <w:r w:rsidR="00114A1E" w:rsidRPr="00CB05A8">
        <w:t>, and that defendant</w:t>
      </w:r>
      <w:r w:rsidR="000E0616" w:rsidRPr="00CB05A8">
        <w:t xml:space="preserve"> intentionally killed a peace officer engaged in the performance of his duties (§ 190.2, subd. (a)(7))</w:t>
      </w:r>
      <w:r w:rsidR="00CF012A" w:rsidRPr="00CB05A8">
        <w:t xml:space="preserve">.  </w:t>
      </w:r>
      <w:r w:rsidR="00E000B1" w:rsidRPr="00CB05A8">
        <w:t xml:space="preserve">The jury also convicted defendant of the </w:t>
      </w:r>
      <w:r w:rsidR="00AE75CD" w:rsidRPr="00CB05A8">
        <w:t>possession of a short-barreled shotgun (former §</w:t>
      </w:r>
      <w:r w:rsidR="00376675" w:rsidRPr="00CB05A8">
        <w:t> </w:t>
      </w:r>
      <w:r w:rsidR="00AE75CD" w:rsidRPr="00CB05A8">
        <w:t xml:space="preserve">12020, subd. (a)), possession of a firearm as a </w:t>
      </w:r>
      <w:r w:rsidR="004475DD" w:rsidRPr="00CB05A8">
        <w:t xml:space="preserve">convicted </w:t>
      </w:r>
      <w:r w:rsidR="00AE75CD" w:rsidRPr="00CB05A8">
        <w:t>felon (former</w:t>
      </w:r>
      <w:r w:rsidR="00376675" w:rsidRPr="00CB05A8">
        <w:t> </w:t>
      </w:r>
      <w:r w:rsidR="00AE75CD" w:rsidRPr="00CB05A8">
        <w:t>§ 12021, subd. (a)(1)), burglary (§ 459), assault with a firearm (§</w:t>
      </w:r>
      <w:r w:rsidR="00376675" w:rsidRPr="00CB05A8">
        <w:t> </w:t>
      </w:r>
      <w:r w:rsidR="00AE75CD" w:rsidRPr="00CB05A8">
        <w:t>245, sub</w:t>
      </w:r>
      <w:r w:rsidR="00B55CBF" w:rsidRPr="00CB05A8">
        <w:t>d</w:t>
      </w:r>
      <w:r w:rsidR="00AE75CD" w:rsidRPr="00CB05A8">
        <w:t xml:space="preserve">. (a)(2)), and six counts of false imprisonment (§§ 210.5, 236).  </w:t>
      </w:r>
      <w:r w:rsidR="003E259A" w:rsidRPr="00CB05A8">
        <w:t xml:space="preserve">It found true </w:t>
      </w:r>
      <w:r w:rsidR="00CD4659" w:rsidRPr="00CB05A8">
        <w:t xml:space="preserve">the </w:t>
      </w:r>
      <w:r w:rsidR="003E259A" w:rsidRPr="00CB05A8">
        <w:t xml:space="preserve">allegations that defendant was armed with and personally used a firearm in the commission of </w:t>
      </w:r>
      <w:r w:rsidR="007637ED" w:rsidRPr="00CB05A8">
        <w:t xml:space="preserve">each of </w:t>
      </w:r>
      <w:r w:rsidR="003E259A" w:rsidRPr="00CB05A8">
        <w:t>the offenses.  (</w:t>
      </w:r>
      <w:r w:rsidR="00EB0A5C" w:rsidRPr="00CB05A8">
        <w:t>F</w:t>
      </w:r>
      <w:r w:rsidR="003E259A" w:rsidRPr="00CB05A8">
        <w:t>ormer</w:t>
      </w:r>
      <w:r w:rsidR="00BE546D" w:rsidRPr="00CB05A8">
        <w:t> </w:t>
      </w:r>
      <w:r w:rsidR="003E259A" w:rsidRPr="00CB05A8">
        <w:t>§§</w:t>
      </w:r>
      <w:r w:rsidR="00CB05A8">
        <w:t> </w:t>
      </w:r>
      <w:r w:rsidR="003E259A" w:rsidRPr="00CB05A8">
        <w:t>12022, subd. (a)(1), 12022.5</w:t>
      </w:r>
      <w:r w:rsidR="00EB0A5C" w:rsidRPr="00CB05A8">
        <w:t>.</w:t>
      </w:r>
      <w:r w:rsidR="003E259A" w:rsidRPr="00CB05A8">
        <w:t xml:space="preserve">)  </w:t>
      </w:r>
      <w:r w:rsidR="006F13A8" w:rsidRPr="00CB05A8">
        <w:t>It</w:t>
      </w:r>
      <w:r w:rsidR="00D00D02" w:rsidRPr="00CB05A8">
        <w:t xml:space="preserve"> also found </w:t>
      </w:r>
      <w:r w:rsidR="00DF4C44" w:rsidRPr="00CB05A8">
        <w:t>true that defendant suffered three prior strike convictions (§ 1170.12)</w:t>
      </w:r>
      <w:r w:rsidR="00BF1A36" w:rsidRPr="00CB05A8">
        <w:t xml:space="preserve">, </w:t>
      </w:r>
      <w:r w:rsidR="004E1CA5" w:rsidRPr="00CB05A8">
        <w:t>seven</w:t>
      </w:r>
      <w:r w:rsidR="00D01B23" w:rsidRPr="00CB05A8">
        <w:t xml:space="preserve"> </w:t>
      </w:r>
      <w:r w:rsidR="00DF4C44" w:rsidRPr="00CB05A8">
        <w:t xml:space="preserve">prior serious felony convictions (§§ 667, subd. (a), 1192.7, subd. (c)), </w:t>
      </w:r>
      <w:r w:rsidR="00017E0A" w:rsidRPr="00CB05A8">
        <w:t xml:space="preserve">and </w:t>
      </w:r>
      <w:r w:rsidR="00BF1A36" w:rsidRPr="00CB05A8">
        <w:t xml:space="preserve">had </w:t>
      </w:r>
      <w:r w:rsidR="00255F57" w:rsidRPr="00CB05A8">
        <w:t xml:space="preserve">served </w:t>
      </w:r>
      <w:r w:rsidR="00017E0A" w:rsidRPr="00CB05A8">
        <w:t>three</w:t>
      </w:r>
      <w:r w:rsidR="006940E0" w:rsidRPr="00CB05A8">
        <w:t xml:space="preserve"> prior prison </w:t>
      </w:r>
      <w:r w:rsidR="006937C4" w:rsidRPr="00CB05A8">
        <w:t>term</w:t>
      </w:r>
      <w:r w:rsidR="00017E0A" w:rsidRPr="00CB05A8">
        <w:t>s</w:t>
      </w:r>
      <w:r w:rsidR="006940E0" w:rsidRPr="00CB05A8">
        <w:t xml:space="preserve"> (§</w:t>
      </w:r>
      <w:r w:rsidR="00017E0A" w:rsidRPr="00CB05A8">
        <w:t>§</w:t>
      </w:r>
      <w:r w:rsidR="006940E0" w:rsidRPr="00CB05A8">
        <w:t> 667.5, subd</w:t>
      </w:r>
      <w:r w:rsidR="00017E0A" w:rsidRPr="00CB05A8">
        <w:t>s</w:t>
      </w:r>
      <w:r w:rsidR="006940E0" w:rsidRPr="00CB05A8">
        <w:t>. (a)</w:t>
      </w:r>
      <w:r w:rsidR="00017E0A" w:rsidRPr="00CB05A8">
        <w:t xml:space="preserve"> &amp; (b)</w:t>
      </w:r>
      <w:r w:rsidR="006940E0" w:rsidRPr="00CB05A8">
        <w:t>).</w:t>
      </w:r>
      <w:r w:rsidR="00DF4C44" w:rsidRPr="00CB05A8">
        <w:t> </w:t>
      </w:r>
      <w:r w:rsidR="00826285" w:rsidRPr="00CB05A8">
        <w:t xml:space="preserve">  </w:t>
      </w:r>
    </w:p>
    <w:p w14:paraId="24DDD701" w14:textId="41A76545" w:rsidR="00AE7ECB" w:rsidRPr="00CB05A8" w:rsidRDefault="00F6324B" w:rsidP="00982E8F">
      <w:pPr>
        <w:ind w:firstLine="720"/>
      </w:pPr>
      <w:r w:rsidRPr="00CB05A8">
        <w:t xml:space="preserve">Following </w:t>
      </w:r>
      <w:r w:rsidR="0023140F" w:rsidRPr="00CB05A8">
        <w:t>a penalty trial, t</w:t>
      </w:r>
      <w:r w:rsidR="006C7E51" w:rsidRPr="00CB05A8">
        <w:t xml:space="preserve">he jury returned a verdict of death.  </w:t>
      </w:r>
      <w:r w:rsidR="00BE48B0" w:rsidRPr="00CB05A8">
        <w:t xml:space="preserve">The </w:t>
      </w:r>
      <w:r w:rsidR="007363AD" w:rsidRPr="00CB05A8">
        <w:t>trial</w:t>
      </w:r>
      <w:r w:rsidR="00BE48B0" w:rsidRPr="00CB05A8">
        <w:t xml:space="preserve"> court denied defendant’s motion for a new trial and </w:t>
      </w:r>
      <w:r w:rsidR="00BE4A74" w:rsidRPr="00CB05A8">
        <w:lastRenderedPageBreak/>
        <w:t xml:space="preserve">application </w:t>
      </w:r>
      <w:r w:rsidR="00BE48B0" w:rsidRPr="00CB05A8">
        <w:t>to modify the judgment</w:t>
      </w:r>
      <w:r w:rsidR="00BE4A74" w:rsidRPr="00CB05A8">
        <w:t>, and sentenced defendant to death.</w:t>
      </w:r>
      <w:r w:rsidR="00C06A49" w:rsidRPr="00CB05A8">
        <w:t xml:space="preserve">  </w:t>
      </w:r>
      <w:r w:rsidR="006C7E51" w:rsidRPr="00CB05A8">
        <w:t xml:space="preserve">This appeal is automatic.  (§ 1239, subd. (b).)  </w:t>
      </w:r>
    </w:p>
    <w:p w14:paraId="011075E4" w14:textId="74D295F3" w:rsidR="00C61A6B" w:rsidRPr="00CB05A8" w:rsidRDefault="0067426B" w:rsidP="00982E8F">
      <w:pPr>
        <w:ind w:firstLine="720"/>
      </w:pPr>
      <w:r>
        <w:t>We</w:t>
      </w:r>
      <w:r w:rsidR="00E000B1" w:rsidRPr="00CB05A8">
        <w:t xml:space="preserve"> conclude defendant’s claims of error lack merit, and therefore affirm his convictions</w:t>
      </w:r>
      <w:r w:rsidR="007637ED" w:rsidRPr="00CB05A8">
        <w:t xml:space="preserve"> and death judgment</w:t>
      </w:r>
      <w:r w:rsidR="00E000B1" w:rsidRPr="00CB05A8">
        <w:t xml:space="preserve">.  </w:t>
      </w:r>
      <w:r>
        <w:t>W</w:t>
      </w:r>
      <w:r w:rsidR="00E000B1" w:rsidRPr="00CB05A8">
        <w:t xml:space="preserve">e </w:t>
      </w:r>
      <w:r w:rsidR="00F36E22" w:rsidRPr="00CB05A8">
        <w:t xml:space="preserve">remand the matter for resentencing to strike </w:t>
      </w:r>
      <w:r w:rsidR="00C64F8E" w:rsidRPr="00CB05A8">
        <w:t>a</w:t>
      </w:r>
      <w:r w:rsidR="00F36E22" w:rsidRPr="00CB05A8">
        <w:t xml:space="preserve"> three-year prior prison term enhancement and otherwise </w:t>
      </w:r>
      <w:r w:rsidR="009F74A6" w:rsidRPr="00CB05A8">
        <w:t>affirm the judgment.</w:t>
      </w:r>
      <w:r w:rsidR="00904B19" w:rsidRPr="00CB05A8">
        <w:t xml:space="preserve">  </w:t>
      </w:r>
    </w:p>
    <w:p w14:paraId="179C8C29" w14:textId="0317CFFE" w:rsidR="00207325" w:rsidRPr="00CB05A8" w:rsidRDefault="00F70F32" w:rsidP="00CB05A8">
      <w:pPr>
        <w:pStyle w:val="Heading1"/>
      </w:pPr>
      <w:bookmarkStart w:id="12" w:name="_Toc58918767"/>
      <w:r w:rsidRPr="00CB05A8">
        <w:t xml:space="preserve">I.  </w:t>
      </w:r>
      <w:r w:rsidR="00D30D66" w:rsidRPr="00CB05A8">
        <w:t>Fact</w:t>
      </w:r>
      <w:r w:rsidR="00EC3565" w:rsidRPr="00CB05A8">
        <w:t>s</w:t>
      </w:r>
      <w:r w:rsidR="00E000B1" w:rsidRPr="00CB05A8">
        <w:t xml:space="preserve"> and Procedural Background</w:t>
      </w:r>
      <w:bookmarkEnd w:id="12"/>
    </w:p>
    <w:p w14:paraId="5FAF7E93" w14:textId="562E24F8" w:rsidR="001425B3" w:rsidRPr="00CB05A8" w:rsidRDefault="00F70F32" w:rsidP="00CB05A8">
      <w:pPr>
        <w:pStyle w:val="Heading2"/>
      </w:pPr>
      <w:bookmarkStart w:id="13" w:name="_Toc58918768"/>
      <w:r w:rsidRPr="00CB05A8">
        <w:t xml:space="preserve">A.  </w:t>
      </w:r>
      <w:r w:rsidR="0090043C" w:rsidRPr="00CB05A8">
        <w:t>Guilt Phase</w:t>
      </w:r>
      <w:r w:rsidR="004E365E" w:rsidRPr="00CB05A8">
        <w:t xml:space="preserve"> </w:t>
      </w:r>
      <w:r w:rsidR="00EC3565" w:rsidRPr="00CB05A8">
        <w:t>Evidence</w:t>
      </w:r>
      <w:bookmarkEnd w:id="13"/>
    </w:p>
    <w:p w14:paraId="2A8E9C48" w14:textId="13608FB7" w:rsidR="000D5011" w:rsidRPr="00CB05A8" w:rsidRDefault="00F70F32" w:rsidP="00CB05A8">
      <w:pPr>
        <w:pStyle w:val="Heading3"/>
        <w:rPr>
          <w:i w:val="0"/>
        </w:rPr>
      </w:pPr>
      <w:bookmarkStart w:id="14" w:name="_Toc58918769"/>
      <w:r w:rsidRPr="00CB05A8">
        <w:t xml:space="preserve">1.  </w:t>
      </w:r>
      <w:r w:rsidR="00EC3565" w:rsidRPr="00CB05A8">
        <w:t>P</w:t>
      </w:r>
      <w:r w:rsidR="00F174C3" w:rsidRPr="00CB05A8">
        <w:t>rose</w:t>
      </w:r>
      <w:r w:rsidR="00651F6E" w:rsidRPr="00CB05A8">
        <w:t xml:space="preserve">cution </w:t>
      </w:r>
      <w:r w:rsidR="00767D00" w:rsidRPr="00CB05A8">
        <w:t>evidence</w:t>
      </w:r>
      <w:bookmarkEnd w:id="14"/>
    </w:p>
    <w:p w14:paraId="5B990BEC" w14:textId="38747670" w:rsidR="00FC1E99" w:rsidRPr="00CB05A8" w:rsidRDefault="004E6154" w:rsidP="00CB05A8">
      <w:pPr>
        <w:pStyle w:val="Heading4"/>
        <w:rPr>
          <w:i w:val="0"/>
        </w:rPr>
      </w:pPr>
      <w:bookmarkStart w:id="15" w:name="_Toc58918770"/>
      <w:r w:rsidRPr="00CB05A8">
        <w:t xml:space="preserve">a.  </w:t>
      </w:r>
      <w:r w:rsidR="0065373E" w:rsidRPr="00CB05A8">
        <w:t>M</w:t>
      </w:r>
      <w:r w:rsidR="00FC1E99" w:rsidRPr="00CB05A8">
        <w:t>urder of Deputy Frank Trejo</w:t>
      </w:r>
      <w:bookmarkEnd w:id="15"/>
    </w:p>
    <w:p w14:paraId="196B4D81" w14:textId="38904266" w:rsidR="00FC1E99" w:rsidRPr="00CB05A8" w:rsidRDefault="00FC1E99" w:rsidP="00F105E8">
      <w:r w:rsidRPr="00CB05A8">
        <w:tab/>
        <w:t xml:space="preserve">On March 29, 1995, at approximately 11:30 p.m., Deputy Trejo informed dispatch that he was stopping a suspicious truck in the Santa Rosa Saddlery (Saddlery) parking lot.  </w:t>
      </w:r>
      <w:r w:rsidR="004E6154" w:rsidRPr="00CB05A8">
        <w:t xml:space="preserve">Brenda </w:t>
      </w:r>
      <w:r w:rsidRPr="00CB05A8">
        <w:t>Moore was driving the truck</w:t>
      </w:r>
      <w:r w:rsidR="000E6CDC" w:rsidRPr="00CB05A8">
        <w:t xml:space="preserve">; </w:t>
      </w:r>
      <w:r w:rsidRPr="00CB05A8">
        <w:t xml:space="preserve">defendant </w:t>
      </w:r>
      <w:r w:rsidR="000E6CDC" w:rsidRPr="00CB05A8">
        <w:t xml:space="preserve">was </w:t>
      </w:r>
      <w:r w:rsidRPr="00CB05A8">
        <w:t>in the passenger seat.  At 11:36 p.m., dispatch communicated with another deputy to check the status of Deputy Trejo.  Shortly thereafter, the first officer arrived at the Saddlery parking lot and found Deputy Trejo dead in front of his pa</w:t>
      </w:r>
      <w:r w:rsidR="002D0C01">
        <w:t>t</w:t>
      </w:r>
      <w:r w:rsidRPr="00CB05A8">
        <w:t xml:space="preserve">rol car, lying facedown on his stomach in a pool of blood.  The deputy’s arms were positioned above his head, his fists were clenched, and his legs were pointed straight back.  The deputy’s gun belt, weapon, radio, and flashlight were missing.  His patrol car headlights were </w:t>
      </w:r>
      <w:r w:rsidR="003F7E0B" w:rsidRPr="00CB05A8">
        <w:t>off,</w:t>
      </w:r>
      <w:r w:rsidRPr="00CB05A8">
        <w:t xml:space="preserve"> and the vehicle spotlight was on and turned toward the highway.   </w:t>
      </w:r>
    </w:p>
    <w:p w14:paraId="1CCF96A9" w14:textId="1F064E47" w:rsidR="001B41E0" w:rsidRPr="00CB05A8" w:rsidRDefault="00613C7E" w:rsidP="00F105E8">
      <w:pPr>
        <w:ind w:firstLine="720"/>
      </w:pPr>
      <w:r w:rsidRPr="00CB05A8">
        <w:t xml:space="preserve">Several people witnessed the events leading to the shooting of Deputy Trejo.  </w:t>
      </w:r>
      <w:r w:rsidR="00A975D9" w:rsidRPr="00CB05A8">
        <w:t>Jesus Alejandro Ramirez Gutierrez (Ramirez),</w:t>
      </w:r>
      <w:r w:rsidR="00B95A66" w:rsidRPr="00CB05A8">
        <w:rPr>
          <w:rStyle w:val="FootnoteReference"/>
        </w:rPr>
        <w:footnoteReference w:id="3"/>
      </w:r>
      <w:r w:rsidR="00A975D9" w:rsidRPr="00CB05A8">
        <w:t xml:space="preserve"> </w:t>
      </w:r>
      <w:r w:rsidR="00F341CE" w:rsidRPr="00CB05A8">
        <w:t>Onesimo Guerrero Tavarez (Guerrero),</w:t>
      </w:r>
      <w:r w:rsidR="00F341CE" w:rsidRPr="00CB05A8">
        <w:rPr>
          <w:b/>
        </w:rPr>
        <w:t xml:space="preserve"> </w:t>
      </w:r>
      <w:r w:rsidR="00BD79A4" w:rsidRPr="00CB05A8">
        <w:t>Oscar Gustavo Aguilar Lopez (Aguilar)</w:t>
      </w:r>
      <w:r w:rsidR="00A55B75" w:rsidRPr="00CB05A8">
        <w:t>, Rhonda Robbins, and Kellie Jone</w:t>
      </w:r>
      <w:r w:rsidR="00B417A1" w:rsidRPr="00CB05A8">
        <w:t>s</w:t>
      </w:r>
      <w:r w:rsidR="0053492C" w:rsidRPr="00CB05A8">
        <w:t xml:space="preserve"> </w:t>
      </w:r>
      <w:r w:rsidR="00E91925" w:rsidRPr="00CB05A8">
        <w:t>were</w:t>
      </w:r>
      <w:r w:rsidR="00945F06" w:rsidRPr="00CB05A8">
        <w:t xml:space="preserve"> </w:t>
      </w:r>
      <w:r w:rsidR="00B77423" w:rsidRPr="00CB05A8">
        <w:t xml:space="preserve">in the </w:t>
      </w:r>
      <w:r w:rsidR="00945F06" w:rsidRPr="00CB05A8">
        <w:t xml:space="preserve">R&amp;S Bar </w:t>
      </w:r>
      <w:r w:rsidR="00945F06" w:rsidRPr="00CB05A8">
        <w:lastRenderedPageBreak/>
        <w:t>parking lot</w:t>
      </w:r>
      <w:r w:rsidR="00E91925" w:rsidRPr="00CB05A8">
        <w:t xml:space="preserve"> when they </w:t>
      </w:r>
      <w:r w:rsidR="00AD010C" w:rsidRPr="00CB05A8">
        <w:t xml:space="preserve">noticed </w:t>
      </w:r>
      <w:r w:rsidR="0053492C" w:rsidRPr="00CB05A8">
        <w:t xml:space="preserve">a </w:t>
      </w:r>
      <w:r w:rsidR="00B417A1" w:rsidRPr="00CB05A8">
        <w:t xml:space="preserve">sheriff’s </w:t>
      </w:r>
      <w:r w:rsidR="0053492C" w:rsidRPr="00CB05A8">
        <w:t xml:space="preserve">patrol </w:t>
      </w:r>
      <w:r w:rsidR="00AF40C1" w:rsidRPr="00CB05A8">
        <w:t xml:space="preserve">car parked behind a green pickup truck in the </w:t>
      </w:r>
      <w:r w:rsidR="00B77423" w:rsidRPr="00CB05A8">
        <w:t>adjacent</w:t>
      </w:r>
      <w:r w:rsidR="00AF40C1" w:rsidRPr="00CB05A8">
        <w:t xml:space="preserve"> lot.  </w:t>
      </w:r>
      <w:r w:rsidR="000F391F" w:rsidRPr="00CB05A8">
        <w:rPr>
          <w:iCs/>
        </w:rPr>
        <w:t>They saw d</w:t>
      </w:r>
      <w:r w:rsidR="005B6081" w:rsidRPr="00CB05A8">
        <w:rPr>
          <w:iCs/>
        </w:rPr>
        <w:t>efendant point</w:t>
      </w:r>
      <w:r w:rsidR="000F391F" w:rsidRPr="00CB05A8">
        <w:rPr>
          <w:iCs/>
        </w:rPr>
        <w:t>ing</w:t>
      </w:r>
      <w:r w:rsidR="005B6081" w:rsidRPr="00CB05A8">
        <w:rPr>
          <w:iCs/>
        </w:rPr>
        <w:t xml:space="preserve"> a shotgun at Deputy Trejo</w:t>
      </w:r>
      <w:r w:rsidR="00B92C2C" w:rsidRPr="00CB05A8">
        <w:rPr>
          <w:iCs/>
        </w:rPr>
        <w:t xml:space="preserve"> while Moore </w:t>
      </w:r>
      <w:r w:rsidR="00B0653C" w:rsidRPr="00CB05A8">
        <w:rPr>
          <w:iCs/>
        </w:rPr>
        <w:t>removed the deputy’s radio and gun belt</w:t>
      </w:r>
      <w:r w:rsidR="00F22B70" w:rsidRPr="00CB05A8">
        <w:rPr>
          <w:iCs/>
        </w:rPr>
        <w:t xml:space="preserve"> from him.  Moore </w:t>
      </w:r>
      <w:r w:rsidR="00EC467D" w:rsidRPr="00CB05A8">
        <w:rPr>
          <w:iCs/>
        </w:rPr>
        <w:t>reached inside</w:t>
      </w:r>
      <w:r w:rsidR="00B0653C" w:rsidRPr="00CB05A8">
        <w:rPr>
          <w:iCs/>
        </w:rPr>
        <w:t xml:space="preserve"> </w:t>
      </w:r>
      <w:r w:rsidR="001F3E23" w:rsidRPr="00CB05A8">
        <w:rPr>
          <w:iCs/>
        </w:rPr>
        <w:t>the</w:t>
      </w:r>
      <w:r w:rsidR="00CC6DCF" w:rsidRPr="00CB05A8">
        <w:rPr>
          <w:iCs/>
        </w:rPr>
        <w:t xml:space="preserve"> </w:t>
      </w:r>
      <w:r w:rsidR="00D015BB" w:rsidRPr="00CB05A8">
        <w:rPr>
          <w:iCs/>
        </w:rPr>
        <w:t xml:space="preserve">deputy’s </w:t>
      </w:r>
      <w:r w:rsidR="00CC6DCF" w:rsidRPr="00CB05A8">
        <w:rPr>
          <w:iCs/>
        </w:rPr>
        <w:t>patrol car</w:t>
      </w:r>
      <w:r w:rsidR="001F3E23" w:rsidRPr="00CB05A8">
        <w:rPr>
          <w:iCs/>
        </w:rPr>
        <w:t>, turned off the</w:t>
      </w:r>
      <w:r w:rsidR="00CC6DCF" w:rsidRPr="00CB05A8">
        <w:rPr>
          <w:iCs/>
        </w:rPr>
        <w:t xml:space="preserve"> headlights</w:t>
      </w:r>
      <w:r w:rsidR="00B0653C" w:rsidRPr="00CB05A8">
        <w:rPr>
          <w:iCs/>
        </w:rPr>
        <w:t>, and</w:t>
      </w:r>
      <w:r w:rsidR="00CC6DCF" w:rsidRPr="00CB05A8">
        <w:rPr>
          <w:iCs/>
        </w:rPr>
        <w:t xml:space="preserve"> moved the spotlight toward the sky</w:t>
      </w:r>
      <w:r w:rsidR="00E84A96" w:rsidRPr="00CB05A8">
        <w:rPr>
          <w:iCs/>
        </w:rPr>
        <w:t>.</w:t>
      </w:r>
      <w:r w:rsidR="008D5DAE" w:rsidRPr="00CB05A8">
        <w:rPr>
          <w:iCs/>
        </w:rPr>
        <w:t xml:space="preserve">  </w:t>
      </w:r>
      <w:r w:rsidR="00034EF7" w:rsidRPr="00CB05A8">
        <w:rPr>
          <w:iCs/>
        </w:rPr>
        <w:t>Several</w:t>
      </w:r>
      <w:r w:rsidR="001817CD" w:rsidRPr="00CB05A8">
        <w:rPr>
          <w:iCs/>
        </w:rPr>
        <w:t xml:space="preserve"> of the witnesses observed the deputy kneel down on the ground with his arms raised.</w:t>
      </w:r>
      <w:r w:rsidR="00527179" w:rsidRPr="00CB05A8">
        <w:rPr>
          <w:iCs/>
        </w:rPr>
        <w:t xml:space="preserve">  </w:t>
      </w:r>
      <w:r w:rsidR="005C3C34" w:rsidRPr="00CB05A8">
        <w:t>Robbins and Jones saw defendant shoot Deputy Trejo in the face</w:t>
      </w:r>
      <w:r w:rsidR="00FC1E0A" w:rsidRPr="00CB05A8">
        <w:t xml:space="preserve"> </w:t>
      </w:r>
      <w:r w:rsidR="00001C58" w:rsidRPr="00CB05A8">
        <w:t>at a close range</w:t>
      </w:r>
      <w:r w:rsidR="005C3C34" w:rsidRPr="00CB05A8">
        <w:t xml:space="preserve">.  </w:t>
      </w:r>
      <w:r w:rsidR="00C17148" w:rsidRPr="00CB05A8">
        <w:t>Ramirez</w:t>
      </w:r>
      <w:r w:rsidR="002E405A" w:rsidRPr="00CB05A8">
        <w:t>, Guerrero, and Aguilar</w:t>
      </w:r>
      <w:r w:rsidR="00C17148" w:rsidRPr="00CB05A8">
        <w:t xml:space="preserve"> </w:t>
      </w:r>
      <w:r w:rsidR="005A71A5" w:rsidRPr="00CB05A8">
        <w:t xml:space="preserve">also heard a gunshot; Ramirez </w:t>
      </w:r>
      <w:r w:rsidR="00C17148" w:rsidRPr="00CB05A8">
        <w:t xml:space="preserve">noticed a flash come from defendant’s weapon, and saw the deputy’s body jump.  </w:t>
      </w:r>
      <w:r w:rsidR="00B533FB" w:rsidRPr="00CB05A8">
        <w:t>They watched as d</w:t>
      </w:r>
      <w:r w:rsidR="0024259B" w:rsidRPr="00CB05A8">
        <w:t xml:space="preserve">efendant and Moore quickly returned to the pickup truck and drove away.  </w:t>
      </w:r>
      <w:r w:rsidR="00EB3AC1" w:rsidRPr="00CB05A8">
        <w:t xml:space="preserve">  </w:t>
      </w:r>
    </w:p>
    <w:p w14:paraId="3D2C040E" w14:textId="36CB728F" w:rsidR="001B41E0" w:rsidRPr="00CB05A8" w:rsidRDefault="001B41E0" w:rsidP="00F105E8">
      <w:pPr>
        <w:tabs>
          <w:tab w:val="left" w:pos="0"/>
        </w:tabs>
        <w:ind w:firstLine="720"/>
        <w:rPr>
          <w:color w:val="000000" w:themeColor="text1"/>
          <w:highlight w:val="yellow"/>
        </w:rPr>
      </w:pPr>
      <w:r w:rsidRPr="00CB05A8">
        <w:t xml:space="preserve">Early the next morning, police officers located Moore’s truck abandoned in a church parking lot in Santa Rosa.  In a marshy area between Moore’s truck and where defendant was later apprehended, police collected a police radio, gun belt, and flashlight belonging to Deputy Trejo.  </w:t>
      </w:r>
      <w:r w:rsidRPr="00CB05A8">
        <w:rPr>
          <w:color w:val="000000" w:themeColor="text1"/>
        </w:rPr>
        <w:t xml:space="preserve">  </w:t>
      </w:r>
    </w:p>
    <w:p w14:paraId="5CA45923" w14:textId="3AC1E3E6" w:rsidR="001B41E0" w:rsidRPr="00CB05A8" w:rsidRDefault="001B41E0" w:rsidP="00F105E8">
      <w:pPr>
        <w:ind w:firstLine="720"/>
      </w:pPr>
      <w:r w:rsidRPr="00CB05A8">
        <w:t xml:space="preserve">Forensic pathologist Dr. Ervin Jindrich performed the autopsy on Deputy Trejo.  He determined the cause of death was a single gunshot wound to the head.  Dr. Jindrich </w:t>
      </w:r>
      <w:r w:rsidR="003365E2" w:rsidRPr="00CB05A8">
        <w:t>could not</w:t>
      </w:r>
      <w:r w:rsidRPr="00CB05A8">
        <w:t xml:space="preserve"> state with certainty the exact position of </w:t>
      </w:r>
      <w:r w:rsidR="003365E2" w:rsidRPr="00CB05A8">
        <w:t>Deputy Trejo’s</w:t>
      </w:r>
      <w:r w:rsidRPr="00CB05A8">
        <w:t xml:space="preserve"> body in relation to the shooter</w:t>
      </w:r>
      <w:r w:rsidR="003365E2" w:rsidRPr="00CB05A8">
        <w:t xml:space="preserve">, but he </w:t>
      </w:r>
      <w:r w:rsidRPr="00CB05A8">
        <w:t xml:space="preserve">was able to conclude that the deputy more or less faced the barrel of the shotgun.  The large defect in the deputy’s head indicated that </w:t>
      </w:r>
      <w:r w:rsidR="00D173D9">
        <w:t xml:space="preserve">he was </w:t>
      </w:r>
      <w:r w:rsidRPr="00CB05A8">
        <w:t xml:space="preserve">shot </w:t>
      </w:r>
      <w:r w:rsidR="00D173D9">
        <w:t>at close range</w:t>
      </w:r>
      <w:r w:rsidRPr="00CB05A8">
        <w:t xml:space="preserve">.  Numerous pellets from the shotgun shell were embedded in Deputy Trejo’s head, and one pellet had penetrated the distal shoulder.  Dr. Jindrich opined that the single pellet in the shoulder could have occurred if the deputy’s arm was elevated above his head.  Brain tissue was found on the back of the deputy’s left hand, indicating that his hand was in front of his body and parallel to his shoulders when shot.    </w:t>
      </w:r>
    </w:p>
    <w:p w14:paraId="4FCD0FE0" w14:textId="3559E2B5" w:rsidR="00FA0E34" w:rsidRPr="00CB05A8" w:rsidRDefault="001B41E0" w:rsidP="00F105E8">
      <w:pPr>
        <w:ind w:firstLine="720"/>
      </w:pPr>
      <w:r w:rsidRPr="00CB05A8">
        <w:lastRenderedPageBreak/>
        <w:t xml:space="preserve">Criminologist Richard Waller testified that </w:t>
      </w:r>
      <w:r w:rsidR="00581798" w:rsidRPr="00CB05A8">
        <w:t>a</w:t>
      </w:r>
      <w:r w:rsidRPr="00CB05A8">
        <w:t xml:space="preserve"> shot cup</w:t>
      </w:r>
      <w:r w:rsidR="008779FA" w:rsidRPr="00CB05A8">
        <w:t xml:space="preserve">, </w:t>
      </w:r>
      <w:r w:rsidR="00581798" w:rsidRPr="00CB05A8">
        <w:t>the</w:t>
      </w:r>
      <w:r w:rsidR="008779FA" w:rsidRPr="00CB05A8">
        <w:t xml:space="preserve"> plastic component of a shotgun shell,</w:t>
      </w:r>
      <w:r w:rsidRPr="00CB05A8">
        <w:t xml:space="preserve"> </w:t>
      </w:r>
      <w:r w:rsidR="008779FA" w:rsidRPr="00CB05A8">
        <w:t xml:space="preserve">was </w:t>
      </w:r>
      <w:r w:rsidRPr="00CB05A8">
        <w:t>recovered from the deputy’s body during his autopsy</w:t>
      </w:r>
      <w:r w:rsidR="00581798" w:rsidRPr="00CB05A8">
        <w:t xml:space="preserve">.  </w:t>
      </w:r>
      <w:r w:rsidR="00581798" w:rsidRPr="00CB05A8">
        <w:rPr>
          <w:color w:val="000000" w:themeColor="text1"/>
        </w:rPr>
        <w:t>Waller determined the shot cup</w:t>
      </w:r>
      <w:r w:rsidRPr="00CB05A8">
        <w:rPr>
          <w:color w:val="000000" w:themeColor="text1"/>
        </w:rPr>
        <w:t xml:space="preserve"> was fired from defendant’s sawed-off shotgun.  He </w:t>
      </w:r>
      <w:r w:rsidR="00581798" w:rsidRPr="00CB05A8">
        <w:t>also concluded</w:t>
      </w:r>
      <w:r w:rsidRPr="00CB05A8">
        <w:t xml:space="preserve"> that the distance from the muzzle of the gun to Deputy Trejo was approximately nine to </w:t>
      </w:r>
      <w:r w:rsidR="00BE30F6">
        <w:t>10</w:t>
      </w:r>
      <w:r w:rsidRPr="00CB05A8">
        <w:t xml:space="preserve"> feet.  He</w:t>
      </w:r>
      <w:r w:rsidR="00581798" w:rsidRPr="00CB05A8">
        <w:t xml:space="preserve"> further</w:t>
      </w:r>
      <w:r w:rsidRPr="00CB05A8">
        <w:t xml:space="preserve"> </w:t>
      </w:r>
      <w:r w:rsidR="004A1F60" w:rsidRPr="00CB05A8">
        <w:t>resolved</w:t>
      </w:r>
      <w:r w:rsidRPr="00CB05A8">
        <w:t xml:space="preserve"> that the blood spatters on the deputy’s clothing were consistent with high velocity impact </w:t>
      </w:r>
      <w:r w:rsidRPr="00CB05A8">
        <w:rPr>
          <w:color w:val="000000" w:themeColor="text1"/>
        </w:rPr>
        <w:t xml:space="preserve">spatter.  </w:t>
      </w:r>
      <w:r w:rsidRPr="00CB05A8">
        <w:t xml:space="preserve">Scuff marks on the toe area of the deputy’s boots indicated that there was force coming from the heel toward the front toe area.  Given the muzzle-to-target distance, the presence of brain matter and glass fragments on the deputy’s body and clothing, and the location of the blood spatters, Waller concluded that the deputy was not in a prone position when he was shot.  </w:t>
      </w:r>
    </w:p>
    <w:p w14:paraId="08E6D4DA" w14:textId="07AB21F4" w:rsidR="00FA0E34" w:rsidRPr="00CB05A8" w:rsidRDefault="00FA0E34" w:rsidP="00CB05A8">
      <w:pPr>
        <w:pStyle w:val="Heading4"/>
        <w:rPr>
          <w:i w:val="0"/>
          <w:iCs/>
        </w:rPr>
      </w:pPr>
      <w:bookmarkStart w:id="16" w:name="_Toc58918771"/>
      <w:r w:rsidRPr="00CB05A8">
        <w:t>b.  Crimes at Frank Cooper and Yolanda King’s residence</w:t>
      </w:r>
      <w:bookmarkEnd w:id="16"/>
    </w:p>
    <w:p w14:paraId="1A8065D2" w14:textId="00313D87" w:rsidR="00FA0E34" w:rsidRPr="00CB05A8" w:rsidRDefault="00FA0E34" w:rsidP="00F105E8">
      <w:pPr>
        <w:ind w:firstLine="720"/>
      </w:pPr>
      <w:r w:rsidRPr="00CB05A8">
        <w:t xml:space="preserve">At approximately 1:30 a.m. on March 30, 1995, </w:t>
      </w:r>
      <w:r w:rsidR="00013FF3">
        <w:t xml:space="preserve">hours after the killing of Deputy Trejo, </w:t>
      </w:r>
      <w:r w:rsidRPr="00CB05A8">
        <w:t>defendant and Moore entered the Santa Rosa home of Frank Cooper and his fiancé</w:t>
      </w:r>
      <w:r w:rsidR="006B3957">
        <w:t>e</w:t>
      </w:r>
      <w:r w:rsidRPr="00CB05A8">
        <w:t>, Yolanda King.</w:t>
      </w:r>
      <w:r w:rsidRPr="00CB05A8">
        <w:rPr>
          <w:rStyle w:val="FootnoteReference"/>
        </w:rPr>
        <w:footnoteReference w:id="4"/>
      </w:r>
      <w:r w:rsidRPr="00CB05A8">
        <w:t xml:space="preserve">  The couple and their family — Yolanda’s son Jeremy, daughter Karen, and Karen’s toddler son and infant daughter — were asleep.  Frank was awakened by the sound of the back door being kicked in.</w:t>
      </w:r>
      <w:r w:rsidRPr="00CB05A8">
        <w:rPr>
          <w:i/>
          <w:iCs/>
        </w:rPr>
        <w:t xml:space="preserve">  </w:t>
      </w:r>
      <w:r w:rsidRPr="00CB05A8">
        <w:t xml:space="preserve">He left his bedroom to check on the noise and was confronted by defendant, who pointed a shotgun at Frank’s head and shouted at him to get down on his knees or he would “blow [his] goddamn head off.”  Yolanda, who was still in their bedroom, asked </w:t>
      </w:r>
      <w:r w:rsidR="00E368DB">
        <w:t>Frank</w:t>
      </w:r>
      <w:r w:rsidRPr="00CB05A8">
        <w:t xml:space="preserve"> to comply.  At defendant’s direction, Frank </w:t>
      </w:r>
      <w:r w:rsidR="00147250">
        <w:t>awakened</w:t>
      </w:r>
      <w:r w:rsidRPr="00CB05A8">
        <w:t xml:space="preserve"> his family and gathered them in Karen’s bedroom.  Defendant repeatedly told them not to use the phone or look out the window, or someone would “get hurt.” </w:t>
      </w:r>
      <w:r w:rsidRPr="00CB05A8">
        <w:rPr>
          <w:color w:val="FF0000"/>
        </w:rPr>
        <w:t xml:space="preserve"> </w:t>
      </w:r>
      <w:r w:rsidRPr="00CB05A8">
        <w:t xml:space="preserve">    </w:t>
      </w:r>
    </w:p>
    <w:p w14:paraId="4ACEECB9" w14:textId="37FF77AA" w:rsidR="00FA0E34" w:rsidRPr="00CB05A8" w:rsidRDefault="00FA0E34" w:rsidP="00F105E8">
      <w:pPr>
        <w:tabs>
          <w:tab w:val="left" w:pos="0"/>
        </w:tabs>
        <w:ind w:firstLine="720"/>
        <w:rPr>
          <w:color w:val="000000" w:themeColor="text1"/>
        </w:rPr>
      </w:pPr>
      <w:r w:rsidRPr="00CB05A8">
        <w:lastRenderedPageBreak/>
        <w:t>Defendant was armed with a sawed-off shotgun and a pistol.  He unloaded the pistol, placed the bullets in socks, and tucked the socks into his waistband.  Moore went downstairs to make a phone call.</w:t>
      </w:r>
      <w:r w:rsidRPr="00CB05A8">
        <w:rPr>
          <w:b/>
          <w:position w:val="6"/>
          <w:sz w:val="20"/>
        </w:rPr>
        <w:footnoteReference w:id="5"/>
      </w:r>
      <w:r w:rsidRPr="00CB05A8">
        <w:t xml:space="preserve">  The Cooper/King family remained in Karen’s bedroom for approximately five hours.  At 6:30 a.m., defendant allowed Frank to leave the bedroom to make coffee.  Frank told defendant that Jeremy had a medical appointment at 7:30 a.m. and suspicions would arise if they did not appear at the appointed time.  Defendant permitted Frank and Jeremy to leave, but warned Frank that the rest of the family was still at the house and if anything went wrong, defendant would kill them.  </w:t>
      </w:r>
      <w:r w:rsidRPr="00CB05A8">
        <w:rPr>
          <w:color w:val="000000" w:themeColor="text1"/>
        </w:rPr>
        <w:t xml:space="preserve">  </w:t>
      </w:r>
    </w:p>
    <w:p w14:paraId="7F5C6153" w14:textId="2EB5AC38" w:rsidR="00FA0E34" w:rsidRPr="00CB05A8" w:rsidRDefault="00FA0E34" w:rsidP="00F105E8">
      <w:pPr>
        <w:tabs>
          <w:tab w:val="left" w:pos="0"/>
        </w:tabs>
        <w:ind w:firstLine="720"/>
      </w:pPr>
      <w:r w:rsidRPr="00CB05A8">
        <w:t xml:space="preserve">Upon leaving his home, Frank was stopped by law enforcement blocking the road.  He was able to bypass the police officers and reach his ex-wife’s house, where he telephoned his son and ultimately contacted the police.  Per police instructions, Frank called his house and told defendant that he had run out of gas and needed Yolanda to bring a gasoline can and money to a location in downtown Santa Rosa.  Defendant allowed Yolanda to leave, but he would not permit her to take Karen’s children outside.  Following several telephone calls from a police hostage negotiator and assurance that they would not be harmed, defendant and Moore surrendered and were arrested.    </w:t>
      </w:r>
    </w:p>
    <w:p w14:paraId="359F0939" w14:textId="396E90F2" w:rsidR="009F405A" w:rsidRPr="00CB05A8" w:rsidRDefault="00FA0E34" w:rsidP="00F105E8">
      <w:pPr>
        <w:ind w:firstLine="720"/>
      </w:pPr>
      <w:r w:rsidRPr="00CB05A8">
        <w:t xml:space="preserve">During a search of the Cooper/King residence, evidence specialists found a sawed-off shotgun bearing defendant’s right palm print and Deputy Trejo’s revolver and speed loader.  Specialists also recovered from the field surrounding the residence a pair of brown boots and a maroon backpack containing some clothing, a handkerchief, sunglasses, and a black purse with Moore’s driver’s license.  </w:t>
      </w:r>
    </w:p>
    <w:p w14:paraId="048FE595" w14:textId="7CA5C705" w:rsidR="00555BC7" w:rsidRPr="00CB05A8" w:rsidRDefault="00555BC7" w:rsidP="00CB05A8">
      <w:pPr>
        <w:pStyle w:val="Heading4"/>
      </w:pPr>
      <w:bookmarkStart w:id="17" w:name="_Toc58918772"/>
      <w:r w:rsidRPr="00CB05A8">
        <w:t>c.  Conspiracy to commit robbery and attempted robbery of Marian Wilson</w:t>
      </w:r>
      <w:bookmarkEnd w:id="17"/>
    </w:p>
    <w:p w14:paraId="1FB0A2BA" w14:textId="2DE2EACC" w:rsidR="00A23CEB" w:rsidRPr="00CB05A8" w:rsidRDefault="00555BC7" w:rsidP="00F105E8">
      <w:pPr>
        <w:ind w:firstLine="720"/>
        <w:rPr>
          <w:i/>
        </w:rPr>
      </w:pPr>
      <w:r w:rsidRPr="00CB05A8">
        <w:t xml:space="preserve">Marian Wilson and Sung Won Kim owned Sushi Hana, a restaurant in Sebastopol.  </w:t>
      </w:r>
      <w:r w:rsidR="00D0727B" w:rsidRPr="00CB05A8">
        <w:t xml:space="preserve">On March 30, 1995, </w:t>
      </w:r>
      <w:r w:rsidR="00A23CEB" w:rsidRPr="00CB05A8">
        <w:t>Wilson read about the shooting of Deputy Trejo in the newspaper</w:t>
      </w:r>
      <w:r w:rsidR="00554FC7" w:rsidRPr="00CB05A8">
        <w:t xml:space="preserve">.  She </w:t>
      </w:r>
      <w:r w:rsidR="00A23CEB" w:rsidRPr="00CB05A8">
        <w:t>recognized the description of the pickup truck and suspects</w:t>
      </w:r>
      <w:r w:rsidR="007F720B" w:rsidRPr="00CB05A8">
        <w:t xml:space="preserve"> from </w:t>
      </w:r>
      <w:r w:rsidR="00E344D5" w:rsidRPr="00CB05A8">
        <w:t xml:space="preserve">an incident </w:t>
      </w:r>
      <w:r w:rsidR="009D511A" w:rsidRPr="00CB05A8">
        <w:t xml:space="preserve">that </w:t>
      </w:r>
      <w:r w:rsidR="00E344D5" w:rsidRPr="00CB05A8">
        <w:t xml:space="preserve">had occurred </w:t>
      </w:r>
      <w:r w:rsidR="00F161F8" w:rsidRPr="00CB05A8">
        <w:t>near</w:t>
      </w:r>
      <w:r w:rsidR="00D654F2" w:rsidRPr="00CB05A8">
        <w:t xml:space="preserve"> her restaurant the previous evening</w:t>
      </w:r>
      <w:r w:rsidR="00A23CEB" w:rsidRPr="00CB05A8">
        <w:t xml:space="preserve">.    </w:t>
      </w:r>
    </w:p>
    <w:p w14:paraId="1F67347C" w14:textId="0E3704A5" w:rsidR="00555BC7" w:rsidRPr="00CB05A8" w:rsidRDefault="00555BC7" w:rsidP="00F105E8">
      <w:pPr>
        <w:ind w:firstLine="720"/>
        <w:rPr>
          <w:i/>
          <w:iCs/>
          <w:color w:val="000000" w:themeColor="text1"/>
        </w:rPr>
      </w:pPr>
      <w:r w:rsidRPr="00CB05A8">
        <w:rPr>
          <w:iCs/>
        </w:rPr>
        <w:t xml:space="preserve">On March 29, 1995, Wilson and Kim closed </w:t>
      </w:r>
      <w:r w:rsidR="007F720B" w:rsidRPr="00CB05A8">
        <w:rPr>
          <w:iCs/>
        </w:rPr>
        <w:t>Sushi Hana</w:t>
      </w:r>
      <w:r w:rsidRPr="00CB05A8">
        <w:rPr>
          <w:iCs/>
        </w:rPr>
        <w:t xml:space="preserve"> at around 9:00</w:t>
      </w:r>
      <w:r w:rsidR="001D6DD5" w:rsidRPr="00CB05A8">
        <w:rPr>
          <w:iCs/>
        </w:rPr>
        <w:t> </w:t>
      </w:r>
      <w:r w:rsidRPr="00CB05A8">
        <w:rPr>
          <w:iCs/>
        </w:rPr>
        <w:t>p.m. and proc</w:t>
      </w:r>
      <w:r w:rsidRPr="00CB05A8">
        <w:t xml:space="preserve">eeded to clean </w:t>
      </w:r>
      <w:r w:rsidR="003A3471">
        <w:t xml:space="preserve">the restaurant </w:t>
      </w:r>
      <w:r w:rsidRPr="00CB05A8">
        <w:t>and close out the cash</w:t>
      </w:r>
      <w:r w:rsidR="0055188A">
        <w:t xml:space="preserve"> </w:t>
      </w:r>
      <w:r w:rsidR="00147B58">
        <w:t>register</w:t>
      </w:r>
      <w:r w:rsidRPr="00CB05A8">
        <w:t xml:space="preserve">.  Wilson left to go shopping at the nearby Safeway at approximately 10:00 p.m.  On the drive back to Sushi Hana, Wilson observed a green pickup truck parked around the corner from the restaurant with defendant and Moore seated inside.  Wilson parked across the street from Sushi Hana and went inside to collect the briefcase that contained the day’s receipts and mail.  As she returned to her car, she noticed the same green pickup truck was now parked directly in front of her vehicle.  As Wilson hurried to her car, defendant and Moore got out of the truck and walked toward her.  Wilson got into her vehicle and circled the block; upon her return, she saw the green truck headed toward Highway 12.  Wilson returned to collect Kim, who had heard an old car with a loud engine coming down the alley next to the restaurant while Wilson was away.  </w:t>
      </w:r>
      <w:r w:rsidRPr="00CB05A8">
        <w:rPr>
          <w:iCs/>
        </w:rPr>
        <w:t xml:space="preserve">Kim perceived the vehicle stop in front of the restaurant for at least 20 seconds.  </w:t>
      </w:r>
      <w:r w:rsidR="00A56275">
        <w:rPr>
          <w:iCs/>
        </w:rPr>
        <w:t>Kim</w:t>
      </w:r>
      <w:r w:rsidRPr="00CB05A8">
        <w:rPr>
          <w:iCs/>
        </w:rPr>
        <w:t xml:space="preserve"> looked out the window and noticed that the vehicle was a truck.  </w:t>
      </w:r>
      <w:r w:rsidRPr="00CB05A8">
        <w:rPr>
          <w:iCs/>
          <w:color w:val="000000" w:themeColor="text1"/>
        </w:rPr>
        <w:t xml:space="preserve">            </w:t>
      </w:r>
    </w:p>
    <w:p w14:paraId="05B8268B" w14:textId="3095BE8D" w:rsidR="002A7F00" w:rsidRPr="00CB05A8" w:rsidRDefault="00555BC7" w:rsidP="00F105E8">
      <w:pPr>
        <w:ind w:firstLine="720"/>
        <w:rPr>
          <w:i/>
          <w:color w:val="000000" w:themeColor="text1"/>
        </w:rPr>
      </w:pPr>
      <w:r w:rsidRPr="00CB05A8">
        <w:t xml:space="preserve">The prosecution introduced evidence of defendant and Moore’s possession of a loaded shotgun, </w:t>
      </w:r>
      <w:r w:rsidR="004D5C8E" w:rsidRPr="00CB05A8">
        <w:t>watch cap</w:t>
      </w:r>
      <w:r w:rsidR="00BE0051" w:rsidRPr="00CB05A8">
        <w:t>s</w:t>
      </w:r>
      <w:r w:rsidR="004D5C8E" w:rsidRPr="00CB05A8">
        <w:t xml:space="preserve">, latex gloves, </w:t>
      </w:r>
      <w:r w:rsidR="00EC4931" w:rsidRPr="00CB05A8">
        <w:t xml:space="preserve">a pair of binoculars, </w:t>
      </w:r>
      <w:r w:rsidR="004D5C8E" w:rsidRPr="00CB05A8">
        <w:t xml:space="preserve">and several road maps for Vallejo, Napa, and Sonoma County that had writings or markings on them.  </w:t>
      </w:r>
      <w:r w:rsidR="00D6501F" w:rsidRPr="00CB05A8">
        <w:t>A</w:t>
      </w:r>
      <w:r w:rsidR="004D5C8E" w:rsidRPr="00CB05A8">
        <w:t xml:space="preserve">n enlarged view of Santa Rosa had several areas circled or blacked out with pen.  </w:t>
      </w:r>
    </w:p>
    <w:p w14:paraId="1E82374A" w14:textId="7BBBF6B8" w:rsidR="00555BC7" w:rsidRPr="00CB05A8" w:rsidRDefault="00A07894" w:rsidP="00F105E8">
      <w:pPr>
        <w:ind w:firstLine="720"/>
      </w:pPr>
      <w:r w:rsidRPr="00CB05A8">
        <w:t>As discussed in more detail below, d</w:t>
      </w:r>
      <w:r w:rsidR="00DD0BE6" w:rsidRPr="00CB05A8">
        <w:t>efendant was charged with conspiracy to commit robbery and attempted robbery</w:t>
      </w:r>
      <w:r w:rsidR="00425B38" w:rsidRPr="00CB05A8">
        <w:t xml:space="preserve"> of Wilson</w:t>
      </w:r>
      <w:r w:rsidRPr="00CB05A8">
        <w:t>, but he</w:t>
      </w:r>
      <w:r w:rsidR="002A7F00" w:rsidRPr="00CB05A8">
        <w:t xml:space="preserve"> was </w:t>
      </w:r>
      <w:r w:rsidR="00DD0BE6" w:rsidRPr="00CB05A8">
        <w:t>acquitted</w:t>
      </w:r>
      <w:r w:rsidR="002A7F00" w:rsidRPr="00CB05A8">
        <w:t xml:space="preserve"> on the attempted robbery charge and the court declared a mistrial on th</w:t>
      </w:r>
      <w:r w:rsidR="00425B38" w:rsidRPr="00CB05A8">
        <w:t>e</w:t>
      </w:r>
      <w:r w:rsidR="002A7F00" w:rsidRPr="00CB05A8">
        <w:t xml:space="preserve"> </w:t>
      </w:r>
      <w:r w:rsidR="00425B38" w:rsidRPr="00CB05A8">
        <w:t xml:space="preserve">conspiracy </w:t>
      </w:r>
      <w:r w:rsidR="002A7F00" w:rsidRPr="00CB05A8">
        <w:t xml:space="preserve">count.  </w:t>
      </w:r>
    </w:p>
    <w:p w14:paraId="6E0A42CF" w14:textId="28252F94" w:rsidR="002251B7" w:rsidRPr="00CB05A8" w:rsidRDefault="00033B5D" w:rsidP="00CB05A8">
      <w:pPr>
        <w:pStyle w:val="Heading4"/>
        <w:rPr>
          <w:i w:val="0"/>
        </w:rPr>
      </w:pPr>
      <w:bookmarkStart w:id="18" w:name="_Toc58918773"/>
      <w:r w:rsidRPr="00CB05A8">
        <w:t>d</w:t>
      </w:r>
      <w:r w:rsidR="002251B7" w:rsidRPr="00CB05A8">
        <w:t xml:space="preserve">.  </w:t>
      </w:r>
      <w:r w:rsidR="002B6B67" w:rsidRPr="00CB05A8">
        <w:t>P</w:t>
      </w:r>
      <w:r w:rsidR="002251B7" w:rsidRPr="00CB05A8">
        <w:t xml:space="preserve">rior </w:t>
      </w:r>
      <w:r w:rsidR="002B6B67" w:rsidRPr="00CB05A8">
        <w:t xml:space="preserve">felony </w:t>
      </w:r>
      <w:r w:rsidR="002251B7" w:rsidRPr="00CB05A8">
        <w:t>convictions</w:t>
      </w:r>
      <w:bookmarkEnd w:id="18"/>
    </w:p>
    <w:p w14:paraId="5DE27FBF" w14:textId="08DCD6C6" w:rsidR="002B6B67" w:rsidRPr="00CB05A8" w:rsidRDefault="00C87196" w:rsidP="00F105E8">
      <w:pPr>
        <w:ind w:firstLine="720"/>
        <w:rPr>
          <w:i/>
          <w:color w:val="000000" w:themeColor="text1"/>
        </w:rPr>
      </w:pPr>
      <w:r w:rsidRPr="00CB05A8">
        <w:t>In a bifurcated proceeding, t</w:t>
      </w:r>
      <w:r w:rsidR="00675997" w:rsidRPr="00CB05A8">
        <w:t xml:space="preserve">he </w:t>
      </w:r>
      <w:r w:rsidR="002B4C2E" w:rsidRPr="00CB05A8">
        <w:t xml:space="preserve">prosecution </w:t>
      </w:r>
      <w:r w:rsidR="00F34C37" w:rsidRPr="00CB05A8">
        <w:t>presented evidence of defendant’s prior</w:t>
      </w:r>
      <w:r w:rsidR="004E1CA5" w:rsidRPr="00CB05A8">
        <w:t xml:space="preserve"> serious</w:t>
      </w:r>
      <w:r w:rsidR="00F34C37" w:rsidRPr="00CB05A8">
        <w:t xml:space="preserve"> felony convictions</w:t>
      </w:r>
      <w:r w:rsidR="00B612A1" w:rsidRPr="00CB05A8">
        <w:t>, prior strike convictions, and prior prison terms</w:t>
      </w:r>
      <w:r w:rsidR="00F34C37" w:rsidRPr="00CB05A8">
        <w:t xml:space="preserve">.  </w:t>
      </w:r>
      <w:r w:rsidR="005B3E03" w:rsidRPr="00CB05A8">
        <w:t xml:space="preserve">The jury found </w:t>
      </w:r>
      <w:r w:rsidR="00B612A1" w:rsidRPr="00CB05A8">
        <w:t xml:space="preserve">the allegations </w:t>
      </w:r>
      <w:r w:rsidR="005B3E03" w:rsidRPr="00CB05A8">
        <w:t xml:space="preserve">true.  </w:t>
      </w:r>
    </w:p>
    <w:p w14:paraId="3DAB9630" w14:textId="313AE6D7" w:rsidR="0012501C" w:rsidRPr="00CB05A8" w:rsidRDefault="0012501C" w:rsidP="00CB05A8">
      <w:pPr>
        <w:pStyle w:val="Heading3"/>
      </w:pPr>
      <w:bookmarkStart w:id="19" w:name="_Toc58918774"/>
      <w:r w:rsidRPr="00CB05A8">
        <w:t xml:space="preserve">2.  </w:t>
      </w:r>
      <w:r w:rsidR="0065373E" w:rsidRPr="00CB05A8">
        <w:t>D</w:t>
      </w:r>
      <w:r w:rsidRPr="00CB05A8">
        <w:t>efense evidence</w:t>
      </w:r>
      <w:bookmarkEnd w:id="19"/>
    </w:p>
    <w:p w14:paraId="0C8F9E0B" w14:textId="215F5FEF" w:rsidR="00246748" w:rsidRPr="00CB05A8" w:rsidRDefault="00F23631" w:rsidP="00F105E8">
      <w:pPr>
        <w:tabs>
          <w:tab w:val="left" w:pos="0"/>
        </w:tabs>
        <w:ind w:firstLine="720"/>
      </w:pPr>
      <w:r w:rsidRPr="00CB05A8">
        <w:t>Defe</w:t>
      </w:r>
      <w:r w:rsidR="006B4B16" w:rsidRPr="00CB05A8">
        <w:t xml:space="preserve">ndant </w:t>
      </w:r>
      <w:r w:rsidR="00BE0A7A" w:rsidRPr="00CB05A8">
        <w:t>did not deny shooting</w:t>
      </w:r>
      <w:r w:rsidR="006B4B16" w:rsidRPr="00CB05A8">
        <w:t xml:space="preserve"> Deputy Trejo</w:t>
      </w:r>
      <w:r w:rsidR="00B40F54" w:rsidRPr="00CB05A8">
        <w:t>,</w:t>
      </w:r>
      <w:r w:rsidR="006B4B16" w:rsidRPr="00CB05A8">
        <w:t xml:space="preserve"> but </w:t>
      </w:r>
      <w:r w:rsidR="005F735A" w:rsidRPr="00CB05A8">
        <w:t>testified</w:t>
      </w:r>
      <w:r w:rsidR="00B40F54" w:rsidRPr="00CB05A8">
        <w:t xml:space="preserve"> </w:t>
      </w:r>
      <w:r w:rsidR="00EE56E6" w:rsidRPr="00CB05A8">
        <w:t>that it</w:t>
      </w:r>
      <w:r w:rsidR="006B4B16" w:rsidRPr="00CB05A8">
        <w:t xml:space="preserve"> was </w:t>
      </w:r>
      <w:r w:rsidR="00EE56E6" w:rsidRPr="00CB05A8">
        <w:t>an accident.</w:t>
      </w:r>
      <w:r w:rsidR="006B4B16" w:rsidRPr="00CB05A8">
        <w:t xml:space="preserve">  </w:t>
      </w:r>
      <w:r w:rsidR="00D95437" w:rsidRPr="00CB05A8">
        <w:t xml:space="preserve">He also presented evidence </w:t>
      </w:r>
      <w:r w:rsidR="00A8310C" w:rsidRPr="00CB05A8">
        <w:t>intend</w:t>
      </w:r>
      <w:r w:rsidR="00CD6443" w:rsidRPr="00CB05A8">
        <w:t>ed</w:t>
      </w:r>
      <w:r w:rsidR="00A8310C" w:rsidRPr="00CB05A8">
        <w:t xml:space="preserve"> to show that</w:t>
      </w:r>
      <w:r w:rsidR="00D95437" w:rsidRPr="00CB05A8">
        <w:t xml:space="preserve"> </w:t>
      </w:r>
      <w:r w:rsidR="00EE56E6" w:rsidRPr="00CB05A8">
        <w:t>prison</w:t>
      </w:r>
      <w:r w:rsidR="00D95437" w:rsidRPr="00CB05A8">
        <w:t xml:space="preserve"> living conditions </w:t>
      </w:r>
      <w:r w:rsidR="00A8310C" w:rsidRPr="00CB05A8">
        <w:t>had deleteriously impacted his state of mind</w:t>
      </w:r>
      <w:r w:rsidR="00D95437" w:rsidRPr="00CB05A8">
        <w:t>.</w:t>
      </w:r>
    </w:p>
    <w:p w14:paraId="16454951" w14:textId="41628F63" w:rsidR="00C36BC1" w:rsidRPr="00CB05A8" w:rsidRDefault="00487549" w:rsidP="00F105E8">
      <w:pPr>
        <w:tabs>
          <w:tab w:val="left" w:pos="0"/>
        </w:tabs>
        <w:ind w:firstLine="720"/>
        <w:rPr>
          <w:highlight w:val="yellow"/>
        </w:rPr>
      </w:pPr>
      <w:r w:rsidRPr="00CB05A8">
        <w:t>O</w:t>
      </w:r>
      <w:r w:rsidR="00C36BC1" w:rsidRPr="00CB05A8">
        <w:t xml:space="preserve">n March 24, 1995, </w:t>
      </w:r>
      <w:r w:rsidR="00BB371D">
        <w:t xml:space="preserve">a few days before Deputy Trejo was shot, </w:t>
      </w:r>
      <w:r w:rsidRPr="00CB05A8">
        <w:t>defendant</w:t>
      </w:r>
      <w:r w:rsidR="00C36BC1" w:rsidRPr="00CB05A8">
        <w:t xml:space="preserve"> was released from Pelican Bay State Prison (PBSP</w:t>
      </w:r>
      <w:r w:rsidR="00302604" w:rsidRPr="00CB05A8">
        <w:t xml:space="preserve">) after having </w:t>
      </w:r>
      <w:r w:rsidR="00EE56E6" w:rsidRPr="00CB05A8">
        <w:t>spent</w:t>
      </w:r>
      <w:r w:rsidR="00302604" w:rsidRPr="00CB05A8">
        <w:t xml:space="preserve"> more than a decade</w:t>
      </w:r>
      <w:r w:rsidR="00EE56E6" w:rsidRPr="00CB05A8">
        <w:t xml:space="preserve"> in prison</w:t>
      </w:r>
      <w:r w:rsidR="00C36BC1" w:rsidRPr="00CB05A8">
        <w:t xml:space="preserve">.  </w:t>
      </w:r>
      <w:r w:rsidR="00331E12" w:rsidRPr="00CB05A8">
        <w:t xml:space="preserve">He was ordered </w:t>
      </w:r>
      <w:r w:rsidR="00C36BC1" w:rsidRPr="00CB05A8">
        <w:t xml:space="preserve">to report to his parole officer in San Diego by March 27.  Moore picked up defendant from prison and offered to drive him at least part of the way to San Diego.    </w:t>
      </w:r>
    </w:p>
    <w:p w14:paraId="7B1A5C7F" w14:textId="3E2005A4" w:rsidR="00C36BC1" w:rsidRPr="00CB05A8" w:rsidRDefault="00C36BC1" w:rsidP="00F105E8">
      <w:pPr>
        <w:tabs>
          <w:tab w:val="left" w:pos="0"/>
        </w:tabs>
        <w:ind w:firstLine="720"/>
      </w:pPr>
      <w:r w:rsidRPr="00CB05A8">
        <w:t xml:space="preserve">Defendant stayed at Moore’s home in Crescent City </w:t>
      </w:r>
      <w:r w:rsidR="006E024E" w:rsidRPr="00CB05A8">
        <w:t>for two days</w:t>
      </w:r>
      <w:r w:rsidRPr="00CB05A8">
        <w:t>.  During this time and unbeknownst to Moore, defendant found a sawed-off shotgun in an old van near Moore’s home.  Defendant was aware that</w:t>
      </w:r>
      <w:r w:rsidR="00ED36CD" w:rsidRPr="00CB05A8">
        <w:t xml:space="preserve"> </w:t>
      </w:r>
      <w:r w:rsidRPr="00CB05A8">
        <w:t>it was unlawful for him to possess a firearm</w:t>
      </w:r>
      <w:r w:rsidR="00ED36CD" w:rsidRPr="00CB05A8">
        <w:t xml:space="preserve"> as a convicted felon</w:t>
      </w:r>
      <w:r w:rsidRPr="00CB05A8">
        <w:t>, and</w:t>
      </w:r>
      <w:r w:rsidR="00880960" w:rsidRPr="00CB05A8">
        <w:t xml:space="preserve"> that it was</w:t>
      </w:r>
      <w:r w:rsidRPr="00CB05A8">
        <w:t xml:space="preserve"> unlawful for anyone to possess a sawed-off shotgun.  </w:t>
      </w:r>
      <w:r w:rsidR="00BE2A0E" w:rsidRPr="00CB05A8">
        <w:t>Nevertheless, h</w:t>
      </w:r>
      <w:r w:rsidRPr="00CB05A8">
        <w:t xml:space="preserve">e kept the gun </w:t>
      </w:r>
      <w:r w:rsidR="00C000CC" w:rsidRPr="00CB05A8">
        <w:t xml:space="preserve">for protection </w:t>
      </w:r>
      <w:r w:rsidRPr="00CB05A8">
        <w:t xml:space="preserve">because he feared attack from </w:t>
      </w:r>
      <w:r w:rsidR="00880960" w:rsidRPr="00CB05A8">
        <w:t xml:space="preserve">the </w:t>
      </w:r>
      <w:r w:rsidRPr="00CB05A8">
        <w:t xml:space="preserve">enemies he had made in prison and from unknown enemies outside prison.    </w:t>
      </w:r>
    </w:p>
    <w:p w14:paraId="067F68DF" w14:textId="0EE0A671" w:rsidR="007C763E" w:rsidRPr="00CB05A8" w:rsidRDefault="007C763E" w:rsidP="00F105E8">
      <w:pPr>
        <w:tabs>
          <w:tab w:val="left" w:pos="0"/>
        </w:tabs>
        <w:ind w:firstLine="720"/>
        <w:rPr>
          <w:color w:val="000000" w:themeColor="text1"/>
        </w:rPr>
      </w:pPr>
      <w:r w:rsidRPr="00CB05A8">
        <w:t xml:space="preserve">On March 26, defendant and Moore left Crescent City and arrived in Santa Rosa that evening.  Because Moore’s truck had mechanical problems, the pair stayed in motels for the next few days awaiting repair of the truck.  Defendant was aware that he was late in reporting for parole and admitted that he did not call the San Diego parole office or look for a local parole office to explain the problems he was having in getting to San Diego to report on time.    </w:t>
      </w:r>
    </w:p>
    <w:p w14:paraId="56ED8F44" w14:textId="42760C16" w:rsidR="009F1765" w:rsidRPr="00CB05A8" w:rsidRDefault="009F1765" w:rsidP="00F105E8">
      <w:pPr>
        <w:tabs>
          <w:tab w:val="left" w:pos="0"/>
        </w:tabs>
        <w:ind w:firstLine="720"/>
        <w:rPr>
          <w:highlight w:val="yellow"/>
        </w:rPr>
      </w:pPr>
      <w:r w:rsidRPr="00CB05A8">
        <w:t xml:space="preserve">On March 29, Moore decided that she would drive defendant only as far as San Francisco.  On the way to San Francisco that evening, Moore got lost </w:t>
      </w:r>
      <w:r w:rsidR="00A254E0" w:rsidRPr="00CB05A8">
        <w:t>driving out toward the coast</w:t>
      </w:r>
      <w:r w:rsidR="00342C25" w:rsidRPr="00CB05A8">
        <w:t xml:space="preserve">.  </w:t>
      </w:r>
      <w:r w:rsidR="00801565" w:rsidRPr="00CB05A8">
        <w:t>She</w:t>
      </w:r>
      <w:r w:rsidR="00342C25" w:rsidRPr="00CB05A8">
        <w:t xml:space="preserve"> </w:t>
      </w:r>
      <w:r w:rsidR="00FC5B7D" w:rsidRPr="00CB05A8">
        <w:t xml:space="preserve">drove to Sebastopol and </w:t>
      </w:r>
      <w:r w:rsidR="00342C25" w:rsidRPr="00CB05A8">
        <w:t>t</w:t>
      </w:r>
      <w:r w:rsidRPr="00CB05A8">
        <w:t xml:space="preserve">old defendant she wanted to return home.  Defendant became upset and yelled at Moore, insisting that she drive him to San Francisco.  </w:t>
      </w:r>
      <w:r w:rsidR="00B9421F" w:rsidRPr="00CB05A8">
        <w:t xml:space="preserve">Moore </w:t>
      </w:r>
      <w:r w:rsidR="00DF6537" w:rsidRPr="00CB05A8">
        <w:t xml:space="preserve">continued to drive around in circles as they argued. </w:t>
      </w:r>
      <w:r w:rsidR="00DF6537" w:rsidRPr="00CB05A8">
        <w:rPr>
          <w:color w:val="000000" w:themeColor="text1"/>
        </w:rPr>
        <w:t xml:space="preserve"> </w:t>
      </w:r>
      <w:r w:rsidRPr="00CB05A8">
        <w:t>Moore finally stopped the truck in the Saddlery</w:t>
      </w:r>
      <w:r w:rsidR="00793885" w:rsidRPr="00CB05A8">
        <w:t xml:space="preserve"> parking lot</w:t>
      </w:r>
      <w:r w:rsidRPr="00CB05A8">
        <w:t xml:space="preserve">.  </w:t>
      </w:r>
      <w:r w:rsidR="002D7774" w:rsidRPr="00CB05A8">
        <w:t>Almost immediately</w:t>
      </w:r>
      <w:r w:rsidRPr="00CB05A8">
        <w:t>, Deputy Trejo pulled in behind them</w:t>
      </w:r>
      <w:r w:rsidR="002E7158" w:rsidRPr="00CB05A8">
        <w:t xml:space="preserve"> and shined a spotlight on the truck</w:t>
      </w:r>
      <w:r w:rsidRPr="00CB05A8">
        <w:t xml:space="preserve">.  Defendant testified that he </w:t>
      </w:r>
      <w:r w:rsidR="00C000CC" w:rsidRPr="00CB05A8">
        <w:t>panicked</w:t>
      </w:r>
      <w:r w:rsidRPr="00CB05A8">
        <w:t xml:space="preserve"> and tried to convince Moore to drive away</w:t>
      </w:r>
      <w:r w:rsidR="0085164F" w:rsidRPr="00CB05A8">
        <w:t>, but Moore had already stopped the vehicle</w:t>
      </w:r>
      <w:r w:rsidRPr="00CB05A8">
        <w:t xml:space="preserve">.  </w:t>
      </w:r>
    </w:p>
    <w:p w14:paraId="729E18E3" w14:textId="158A49E6" w:rsidR="009F1765" w:rsidRPr="00CB05A8" w:rsidRDefault="009F1765" w:rsidP="00F105E8">
      <w:pPr>
        <w:tabs>
          <w:tab w:val="left" w:pos="0"/>
        </w:tabs>
        <w:ind w:firstLine="720"/>
      </w:pPr>
      <w:r w:rsidRPr="00CB05A8">
        <w:t xml:space="preserve">As defendant attempted to hide the shotgun, Moore exited the truck to speak with the deputy.  </w:t>
      </w:r>
      <w:r w:rsidR="00D377B1" w:rsidRPr="00CB05A8">
        <w:t xml:space="preserve">Moore returned to the vehicle to retrieve her driver’s license and </w:t>
      </w:r>
      <w:r w:rsidR="00705840" w:rsidRPr="00CB05A8">
        <w:t>Deputy Trejo</w:t>
      </w:r>
      <w:r w:rsidRPr="00CB05A8">
        <w:t xml:space="preserve"> </w:t>
      </w:r>
      <w:r w:rsidR="00D15A47" w:rsidRPr="00CB05A8">
        <w:t>approached the passenger side of the truck</w:t>
      </w:r>
      <w:r w:rsidR="00607F35" w:rsidRPr="00CB05A8">
        <w:t xml:space="preserve">.  </w:t>
      </w:r>
      <w:r w:rsidR="0047503C" w:rsidRPr="00CB05A8">
        <w:t>When t</w:t>
      </w:r>
      <w:r w:rsidR="00DE7E39" w:rsidRPr="00CB05A8">
        <w:t xml:space="preserve">he </w:t>
      </w:r>
      <w:r w:rsidR="00607F35" w:rsidRPr="00CB05A8">
        <w:t>deputy</w:t>
      </w:r>
      <w:r w:rsidR="00D15A47" w:rsidRPr="00CB05A8">
        <w:t xml:space="preserve"> </w:t>
      </w:r>
      <w:r w:rsidRPr="00CB05A8">
        <w:t xml:space="preserve">asked defendant to </w:t>
      </w:r>
      <w:r w:rsidR="00DE7E39" w:rsidRPr="00CB05A8">
        <w:t>exit</w:t>
      </w:r>
      <w:r w:rsidR="00607F35" w:rsidRPr="00CB05A8">
        <w:t xml:space="preserve"> the truck</w:t>
      </w:r>
      <w:r w:rsidR="0047503C" w:rsidRPr="00CB05A8">
        <w:t xml:space="preserve">, </w:t>
      </w:r>
      <w:r w:rsidRPr="00CB05A8">
        <w:t xml:space="preserve">defendant </w:t>
      </w:r>
      <w:r w:rsidR="00D15A47" w:rsidRPr="00CB05A8">
        <w:t>got out</w:t>
      </w:r>
      <w:r w:rsidRPr="00CB05A8">
        <w:t xml:space="preserve"> pointing the shotgun at the deputy.  </w:t>
      </w:r>
      <w:r w:rsidR="00BD7FC2" w:rsidRPr="00CB05A8">
        <w:t>He</w:t>
      </w:r>
      <w:r w:rsidR="00756D69" w:rsidRPr="00CB05A8">
        <w:t xml:space="preserve"> ordered </w:t>
      </w:r>
      <w:r w:rsidR="00BD7FC2" w:rsidRPr="00CB05A8">
        <w:t>Deputy Trejo</w:t>
      </w:r>
      <w:r w:rsidR="00D15A47" w:rsidRPr="00CB05A8">
        <w:t xml:space="preserve"> to put his hands up.  </w:t>
      </w:r>
      <w:r w:rsidR="00756D69" w:rsidRPr="00CB05A8">
        <w:t>T</w:t>
      </w:r>
      <w:r w:rsidRPr="00CB05A8">
        <w:t>he deputy began to walk backward</w:t>
      </w:r>
      <w:r w:rsidR="009A25B3" w:rsidRPr="00CB05A8">
        <w:t xml:space="preserve"> toward his patrol car</w:t>
      </w:r>
      <w:r w:rsidR="00756D69" w:rsidRPr="00CB05A8">
        <w:t>.  D</w:t>
      </w:r>
      <w:r w:rsidRPr="00CB05A8">
        <w:t xml:space="preserve">efendant </w:t>
      </w:r>
      <w:r w:rsidR="009A25B3" w:rsidRPr="00CB05A8">
        <w:t xml:space="preserve">told the deputy to freeze, </w:t>
      </w:r>
      <w:r w:rsidRPr="00CB05A8">
        <w:t>chambered a round in the shotgun</w:t>
      </w:r>
      <w:r w:rsidR="009A25B3" w:rsidRPr="00CB05A8">
        <w:t>,</w:t>
      </w:r>
      <w:r w:rsidRPr="00CB05A8">
        <w:t xml:space="preserve"> and directed the deputy to kneel.  Defendant then disarmed </w:t>
      </w:r>
      <w:r w:rsidR="00705840" w:rsidRPr="00CB05A8">
        <w:t>Deputy Trejo</w:t>
      </w:r>
      <w:r w:rsidRPr="00CB05A8">
        <w:t xml:space="preserve"> by ordering him to unbuckle his gun belt and remove it.  </w:t>
      </w:r>
      <w:r w:rsidR="00310ECD" w:rsidRPr="00CB05A8">
        <w:t xml:space="preserve">He testified that he </w:t>
      </w:r>
      <w:r w:rsidR="00515ED9" w:rsidRPr="00CB05A8">
        <w:t>intended to disarm the deputy, not to steal the</w:t>
      </w:r>
      <w:r w:rsidR="00310ECD" w:rsidRPr="00CB05A8">
        <w:t xml:space="preserve"> gun belt or items on the belt. </w:t>
      </w:r>
      <w:r w:rsidR="00310ECD" w:rsidRPr="00CB05A8">
        <w:rPr>
          <w:color w:val="FF0000"/>
        </w:rPr>
        <w:t xml:space="preserve"> </w:t>
      </w:r>
    </w:p>
    <w:p w14:paraId="219082CE" w14:textId="6916DEE1" w:rsidR="00AA3165" w:rsidRPr="00CB05A8" w:rsidRDefault="00D15A47" w:rsidP="00F105E8">
      <w:pPr>
        <w:ind w:firstLine="720"/>
        <w:rPr>
          <w:color w:val="000000" w:themeColor="text1"/>
        </w:rPr>
      </w:pPr>
      <w:r w:rsidRPr="00CB05A8">
        <w:t>Deputy Trejo</w:t>
      </w:r>
      <w:r w:rsidR="009F1765" w:rsidRPr="00CB05A8">
        <w:t xml:space="preserve"> </w:t>
      </w:r>
      <w:r w:rsidR="00F06EF9" w:rsidRPr="00CB05A8">
        <w:t xml:space="preserve">followed defendant’s direction to </w:t>
      </w:r>
      <w:r w:rsidR="00975D70" w:rsidRPr="00CB05A8">
        <w:t>l</w:t>
      </w:r>
      <w:r w:rsidR="00975D70">
        <w:t>ie</w:t>
      </w:r>
      <w:r w:rsidR="00975D70" w:rsidRPr="00CB05A8">
        <w:t xml:space="preserve"> </w:t>
      </w:r>
      <w:r w:rsidR="009F1765" w:rsidRPr="00CB05A8">
        <w:t>down</w:t>
      </w:r>
      <w:r w:rsidR="002E02EC" w:rsidRPr="00CB05A8">
        <w:t xml:space="preserve"> on the ground</w:t>
      </w:r>
      <w:r w:rsidR="009F1765" w:rsidRPr="00CB05A8">
        <w:t xml:space="preserve">.  Defendant began to walk backward </w:t>
      </w:r>
      <w:r w:rsidR="00D63F15" w:rsidRPr="00CB05A8">
        <w:t>toward the pickup truck</w:t>
      </w:r>
      <w:r w:rsidR="002D7774" w:rsidRPr="00CB05A8">
        <w:t xml:space="preserve">, </w:t>
      </w:r>
      <w:r w:rsidR="009F1765" w:rsidRPr="00CB05A8">
        <w:t>still point</w:t>
      </w:r>
      <w:r w:rsidR="002D7774" w:rsidRPr="00CB05A8">
        <w:t>ing the shotgun</w:t>
      </w:r>
      <w:r w:rsidR="009F1765" w:rsidRPr="00CB05A8">
        <w:t xml:space="preserve"> in the deputy’s direction.  </w:t>
      </w:r>
      <w:r w:rsidR="009537B8" w:rsidRPr="00CB05A8">
        <w:t>According to defendant,</w:t>
      </w:r>
      <w:r w:rsidR="009F1765" w:rsidRPr="00CB05A8">
        <w:t xml:space="preserve"> he tripped and fell, </w:t>
      </w:r>
      <w:r w:rsidR="009537B8" w:rsidRPr="00CB05A8">
        <w:t>which caused</w:t>
      </w:r>
      <w:r w:rsidR="009F1765" w:rsidRPr="00CB05A8">
        <w:t xml:space="preserve"> the shotgun to hit his leg and discharge before it hit the ground.  When </w:t>
      </w:r>
      <w:r w:rsidR="00A617FB" w:rsidRPr="00CB05A8">
        <w:t xml:space="preserve">defendant </w:t>
      </w:r>
      <w:r w:rsidR="009F1765" w:rsidRPr="00CB05A8">
        <w:t xml:space="preserve">stood up, </w:t>
      </w:r>
      <w:r w:rsidR="00A617FB" w:rsidRPr="00CB05A8">
        <w:t>he saw</w:t>
      </w:r>
      <w:r w:rsidR="00F06868" w:rsidRPr="00CB05A8">
        <w:t xml:space="preserve"> </w:t>
      </w:r>
      <w:r w:rsidR="00A617FB" w:rsidRPr="00CB05A8">
        <w:t xml:space="preserve">that </w:t>
      </w:r>
      <w:r w:rsidR="009537B8" w:rsidRPr="00CB05A8">
        <w:t>Deputy Trejo</w:t>
      </w:r>
      <w:r w:rsidR="00A617FB" w:rsidRPr="00CB05A8">
        <w:t xml:space="preserve"> had been shot in the face and was dead</w:t>
      </w:r>
      <w:r w:rsidR="009F1765" w:rsidRPr="00CB05A8">
        <w:t xml:space="preserve">.  Defendant testified that he did not aim the shotgun at the deputy </w:t>
      </w:r>
      <w:r w:rsidR="00A617FB" w:rsidRPr="00CB05A8">
        <w:t>nor</w:t>
      </w:r>
      <w:r w:rsidR="009F1765" w:rsidRPr="00CB05A8">
        <w:t xml:space="preserve"> intend to shoot him.  </w:t>
      </w:r>
      <w:r w:rsidR="00A617FB" w:rsidRPr="00CB05A8">
        <w:t>Defendant</w:t>
      </w:r>
      <w:r w:rsidR="009F1765" w:rsidRPr="00CB05A8">
        <w:t xml:space="preserve"> </w:t>
      </w:r>
      <w:r w:rsidR="001C4AA6" w:rsidRPr="00CB05A8">
        <w:t>returned</w:t>
      </w:r>
      <w:r w:rsidR="00A617FB" w:rsidRPr="00CB05A8">
        <w:t xml:space="preserve"> </w:t>
      </w:r>
      <w:r w:rsidR="009F1765" w:rsidRPr="00CB05A8">
        <w:t xml:space="preserve">to the </w:t>
      </w:r>
      <w:r w:rsidR="001C4AA6" w:rsidRPr="00CB05A8">
        <w:t xml:space="preserve">pickup </w:t>
      </w:r>
      <w:r w:rsidR="009F1765" w:rsidRPr="00CB05A8">
        <w:t>truck</w:t>
      </w:r>
      <w:r w:rsidR="00A617FB" w:rsidRPr="00CB05A8">
        <w:t xml:space="preserve"> and drove off with Moore</w:t>
      </w:r>
      <w:r w:rsidR="009F1765" w:rsidRPr="00CB05A8">
        <w:t xml:space="preserve">.  </w:t>
      </w:r>
    </w:p>
    <w:p w14:paraId="5B19A929" w14:textId="2338D392" w:rsidR="003C0CFB" w:rsidRPr="00CB05A8" w:rsidRDefault="003C0CFB" w:rsidP="00F105E8">
      <w:pPr>
        <w:tabs>
          <w:tab w:val="left" w:pos="0"/>
        </w:tabs>
        <w:ind w:firstLine="720"/>
      </w:pPr>
      <w:r w:rsidRPr="00CB05A8">
        <w:t xml:space="preserve">Criminologist Peter Barnett testified for the defense.  </w:t>
      </w:r>
      <w:r w:rsidR="00DC7AEC" w:rsidRPr="00CB05A8">
        <w:t xml:space="preserve">Based on his analysis of the physical and forensic evidence collected in the investigation of Deputy Trejo’s death, Barnett </w:t>
      </w:r>
      <w:r w:rsidR="00936E18" w:rsidRPr="00CB05A8">
        <w:t xml:space="preserve">concluded that </w:t>
      </w:r>
      <w:r w:rsidR="00416BFD" w:rsidRPr="00CB05A8">
        <w:t>the deputy</w:t>
      </w:r>
      <w:r w:rsidR="00936E18" w:rsidRPr="00CB05A8">
        <w:t xml:space="preserve"> was </w:t>
      </w:r>
      <w:r w:rsidR="007D4208" w:rsidRPr="00CB05A8">
        <w:t>lying down</w:t>
      </w:r>
      <w:r w:rsidR="00835B05" w:rsidRPr="00CB05A8">
        <w:t xml:space="preserve"> </w:t>
      </w:r>
      <w:r w:rsidR="00416BFD" w:rsidRPr="00CB05A8">
        <w:t>when he was shot</w:t>
      </w:r>
      <w:r w:rsidR="00DC5C24">
        <w:t xml:space="preserve">.  </w:t>
      </w:r>
      <w:r w:rsidR="008019AD" w:rsidRPr="00CB05A8">
        <w:t>Barnett</w:t>
      </w:r>
      <w:r w:rsidR="00173E86" w:rsidRPr="00CB05A8">
        <w:t xml:space="preserve"> </w:t>
      </w:r>
      <w:r w:rsidR="000656CC" w:rsidRPr="00CB05A8">
        <w:t>explained that</w:t>
      </w:r>
      <w:r w:rsidR="00173E86" w:rsidRPr="00CB05A8">
        <w:t xml:space="preserve"> the absence of evidence of falling blood and </w:t>
      </w:r>
      <w:r w:rsidR="009538D0" w:rsidRPr="00CB05A8">
        <w:t>the</w:t>
      </w:r>
      <w:r w:rsidR="00CF615A" w:rsidRPr="00CB05A8">
        <w:t xml:space="preserve"> position</w:t>
      </w:r>
      <w:r w:rsidR="009538D0" w:rsidRPr="00CB05A8">
        <w:t xml:space="preserve"> of the deputy’s body suggested that he </w:t>
      </w:r>
      <w:r w:rsidR="00FB007B" w:rsidRPr="00CB05A8">
        <w:t>just collapsed from some slightly higher position and fell straight down</w:t>
      </w:r>
      <w:r w:rsidR="00CF615A" w:rsidRPr="00CB05A8">
        <w:t xml:space="preserve">.    </w:t>
      </w:r>
    </w:p>
    <w:p w14:paraId="38619900" w14:textId="5586E1A8" w:rsidR="002A507A" w:rsidRPr="00CB05A8" w:rsidRDefault="002A507A" w:rsidP="00F105E8">
      <w:pPr>
        <w:ind w:firstLine="720"/>
        <w:rPr>
          <w:i/>
        </w:rPr>
      </w:pPr>
      <w:r w:rsidRPr="00CB05A8">
        <w:t xml:space="preserve">Five </w:t>
      </w:r>
      <w:r w:rsidR="00DB49D8" w:rsidRPr="00CB05A8">
        <w:t xml:space="preserve">inmates incarcerated at PBSP and housed in the </w:t>
      </w:r>
      <w:r w:rsidR="007D4208" w:rsidRPr="00CB05A8">
        <w:t>Security Housing Unit (</w:t>
      </w:r>
      <w:r w:rsidR="00DB49D8" w:rsidRPr="00CB05A8">
        <w:t>SHU</w:t>
      </w:r>
      <w:r w:rsidR="007D4208" w:rsidRPr="00CB05A8">
        <w:t>)</w:t>
      </w:r>
      <w:r w:rsidR="00DB49D8" w:rsidRPr="00CB05A8">
        <w:t xml:space="preserve"> testified </w:t>
      </w:r>
      <w:r w:rsidR="007D4208" w:rsidRPr="00CB05A8">
        <w:t>about</w:t>
      </w:r>
      <w:r w:rsidR="00CD18BC" w:rsidRPr="00CB05A8">
        <w:t xml:space="preserve"> </w:t>
      </w:r>
      <w:r w:rsidR="00533C9E" w:rsidRPr="00CB05A8">
        <w:t>prison conditions</w:t>
      </w:r>
      <w:r w:rsidR="00DB49D8" w:rsidRPr="00CB05A8">
        <w:t xml:space="preserve">.  </w:t>
      </w:r>
      <w:r w:rsidR="00F072B2" w:rsidRPr="00CB05A8">
        <w:t>Inmate</w:t>
      </w:r>
      <w:r w:rsidR="009537B8" w:rsidRPr="00CB05A8">
        <w:t>s in the SHU were</w:t>
      </w:r>
      <w:r w:rsidR="00BF78DF" w:rsidRPr="00CB05A8">
        <w:t xml:space="preserve"> kept isolated for 23 hours a day, given an hour and a half for yard exercise, and fed meals in </w:t>
      </w:r>
      <w:r w:rsidR="00714F59" w:rsidRPr="00CB05A8">
        <w:t>their</w:t>
      </w:r>
      <w:r w:rsidR="00BF78DF" w:rsidRPr="00CB05A8">
        <w:t xml:space="preserve"> cell</w:t>
      </w:r>
      <w:r w:rsidR="00714F59" w:rsidRPr="00CB05A8">
        <w:t>s</w:t>
      </w:r>
      <w:r w:rsidR="00BF78DF" w:rsidRPr="00CB05A8">
        <w:t xml:space="preserve">.  </w:t>
      </w:r>
      <w:r w:rsidR="00B9538A" w:rsidRPr="00CB05A8">
        <w:t xml:space="preserve">It was common for inmates to </w:t>
      </w:r>
      <w:r w:rsidR="00214094" w:rsidRPr="00CB05A8">
        <w:t xml:space="preserve">experience paranoia and </w:t>
      </w:r>
      <w:r w:rsidR="00B9538A" w:rsidRPr="00CB05A8">
        <w:t>have enemies in prison</w:t>
      </w:r>
      <w:r w:rsidR="004C0768" w:rsidRPr="00CB05A8">
        <w:t>;</w:t>
      </w:r>
      <w:r w:rsidR="00966D35" w:rsidRPr="00CB05A8">
        <w:t xml:space="preserve"> p</w:t>
      </w:r>
      <w:r w:rsidR="00104A7D" w:rsidRPr="00CB05A8">
        <w:t xml:space="preserve">rison guards </w:t>
      </w:r>
      <w:r w:rsidR="00204B0E" w:rsidRPr="00CB05A8">
        <w:t>reinforced</w:t>
      </w:r>
      <w:r w:rsidR="00966D35" w:rsidRPr="00CB05A8">
        <w:t xml:space="preserve"> </w:t>
      </w:r>
      <w:r w:rsidR="004C0768" w:rsidRPr="00CB05A8">
        <w:t xml:space="preserve">these </w:t>
      </w:r>
      <w:r w:rsidR="00400FF3" w:rsidRPr="00CB05A8">
        <w:t xml:space="preserve">perceptions </w:t>
      </w:r>
      <w:r w:rsidR="00204B0E" w:rsidRPr="00CB05A8">
        <w:t xml:space="preserve">by </w:t>
      </w:r>
      <w:r w:rsidR="00BF78DF" w:rsidRPr="00CB05A8">
        <w:t>tell</w:t>
      </w:r>
      <w:r w:rsidR="00204B0E" w:rsidRPr="00CB05A8">
        <w:t>ing</w:t>
      </w:r>
      <w:r w:rsidR="00BF78DF" w:rsidRPr="00CB05A8">
        <w:t xml:space="preserve"> inmates </w:t>
      </w:r>
      <w:r w:rsidR="00204B0E" w:rsidRPr="00CB05A8">
        <w:t>that they had enem</w:t>
      </w:r>
      <w:r w:rsidR="006B160F" w:rsidRPr="00CB05A8">
        <w:t>ies</w:t>
      </w:r>
      <w:r w:rsidR="00BF78DF" w:rsidRPr="00CB05A8">
        <w:t xml:space="preserve">.  </w:t>
      </w:r>
      <w:r w:rsidR="00903562" w:rsidRPr="00CB05A8">
        <w:t xml:space="preserve">As a result, inmates were fearful about being released and running into another former inmate.  </w:t>
      </w:r>
      <w:r w:rsidR="00BF78DF" w:rsidRPr="00CB05A8">
        <w:t xml:space="preserve">  </w:t>
      </w:r>
    </w:p>
    <w:p w14:paraId="3EBAB051" w14:textId="7B2BD870" w:rsidR="002436B4" w:rsidRPr="00CB05A8" w:rsidRDefault="00887E0D" w:rsidP="00F105E8">
      <w:pPr>
        <w:ind w:firstLine="720"/>
        <w:rPr>
          <w:i/>
        </w:rPr>
      </w:pPr>
      <w:r w:rsidRPr="00CB05A8">
        <w:t xml:space="preserve">Dr. Stuart Grassian testified </w:t>
      </w:r>
      <w:r w:rsidR="004412F8" w:rsidRPr="00CB05A8">
        <w:t xml:space="preserve">regarding </w:t>
      </w:r>
      <w:r w:rsidRPr="00CB05A8">
        <w:t xml:space="preserve">the psychiatric effects of long-term </w:t>
      </w:r>
      <w:r w:rsidR="003F2304" w:rsidRPr="00CB05A8">
        <w:t xml:space="preserve">solitary confinement or </w:t>
      </w:r>
      <w:r w:rsidRPr="00CB05A8">
        <w:t xml:space="preserve">housing in </w:t>
      </w:r>
      <w:r w:rsidR="003F2304" w:rsidRPr="00CB05A8">
        <w:t xml:space="preserve">the </w:t>
      </w:r>
      <w:r w:rsidRPr="00CB05A8">
        <w:t>SHU</w:t>
      </w:r>
      <w:r w:rsidR="003F2304" w:rsidRPr="00CB05A8">
        <w:t xml:space="preserve">.  He found that inmates housed in </w:t>
      </w:r>
      <w:r w:rsidR="007F3320" w:rsidRPr="00CB05A8">
        <w:t xml:space="preserve">the SHU </w:t>
      </w:r>
      <w:r w:rsidR="00ED3EA2" w:rsidRPr="00CB05A8">
        <w:t>tended to be extremely anxious</w:t>
      </w:r>
      <w:r w:rsidR="008A24F4" w:rsidRPr="00CB05A8">
        <w:t xml:space="preserve">, antisocial, and </w:t>
      </w:r>
      <w:r w:rsidR="00A71ABB" w:rsidRPr="00CB05A8">
        <w:t xml:space="preserve">hypervigilant, </w:t>
      </w:r>
      <w:r w:rsidR="00ED3EA2" w:rsidRPr="00CB05A8">
        <w:t>develop panic attacks</w:t>
      </w:r>
      <w:r w:rsidR="00A71ABB" w:rsidRPr="00CB05A8">
        <w:t>,</w:t>
      </w:r>
      <w:r w:rsidR="00ED3EA2" w:rsidRPr="00CB05A8">
        <w:t xml:space="preserve"> and </w:t>
      </w:r>
      <w:r w:rsidR="00A71ABB" w:rsidRPr="00CB05A8">
        <w:t>experience hallucinations</w:t>
      </w:r>
      <w:r w:rsidR="00587073" w:rsidRPr="00CB05A8">
        <w:t xml:space="preserve">.  Based on his interview with defendant, Dr. Grassian concluded that </w:t>
      </w:r>
      <w:r w:rsidR="00717D10" w:rsidRPr="00CB05A8">
        <w:t>defendant’s thinking was narrow, rigid, and obsessi</w:t>
      </w:r>
      <w:r w:rsidR="008A4D44">
        <w:t>ve</w:t>
      </w:r>
      <w:r w:rsidR="00717D10" w:rsidRPr="00CB05A8">
        <w:t xml:space="preserve"> by the time he was released from PBSP, and </w:t>
      </w:r>
      <w:r w:rsidR="00F759FA" w:rsidRPr="00CB05A8">
        <w:t>that he was help</w:t>
      </w:r>
      <w:r w:rsidR="00741CD0" w:rsidRPr="00CB05A8">
        <w:t>less in the outside environment</w:t>
      </w:r>
      <w:r w:rsidR="00717D10" w:rsidRPr="00CB05A8">
        <w:t xml:space="preserve">.  </w:t>
      </w:r>
      <w:r w:rsidR="008E0463" w:rsidRPr="00CB05A8">
        <w:t>D</w:t>
      </w:r>
      <w:r w:rsidR="00717D10" w:rsidRPr="00CB05A8">
        <w:t xml:space="preserve">efendant was </w:t>
      </w:r>
      <w:r w:rsidR="008E0463" w:rsidRPr="00CB05A8">
        <w:t xml:space="preserve">upset and </w:t>
      </w:r>
      <w:r w:rsidR="00717D10" w:rsidRPr="00CB05A8">
        <w:t xml:space="preserve">distressed when he </w:t>
      </w:r>
      <w:r w:rsidR="008E0463" w:rsidRPr="00CB05A8">
        <w:t xml:space="preserve">spoke with Dr. Grassian </w:t>
      </w:r>
      <w:r w:rsidR="00717D10" w:rsidRPr="00CB05A8">
        <w:t>about the shooting</w:t>
      </w:r>
      <w:r w:rsidR="006C5402" w:rsidRPr="00CB05A8">
        <w:t xml:space="preserve"> of Deputy Trejo</w:t>
      </w:r>
      <w:r w:rsidR="00C30C83" w:rsidRPr="00CB05A8">
        <w:t xml:space="preserve">.  </w:t>
      </w:r>
      <w:r w:rsidR="00587073" w:rsidRPr="00CB05A8">
        <w:t xml:space="preserve">   </w:t>
      </w:r>
    </w:p>
    <w:p w14:paraId="4F1B0A9F" w14:textId="43354BAF" w:rsidR="002251B7" w:rsidRPr="00CB05A8" w:rsidRDefault="002251B7" w:rsidP="00CB05A8">
      <w:pPr>
        <w:pStyle w:val="Heading2"/>
      </w:pPr>
      <w:bookmarkStart w:id="20" w:name="_Toc58918775"/>
      <w:r w:rsidRPr="00CB05A8">
        <w:t xml:space="preserve">B.  Penalty Phase </w:t>
      </w:r>
      <w:r w:rsidR="008547CD" w:rsidRPr="00CB05A8">
        <w:t>Evidence</w:t>
      </w:r>
      <w:bookmarkEnd w:id="20"/>
    </w:p>
    <w:p w14:paraId="0050F59E" w14:textId="03395B2D" w:rsidR="002251B7" w:rsidRPr="00CB05A8" w:rsidRDefault="002251B7" w:rsidP="00CB05A8">
      <w:pPr>
        <w:pStyle w:val="Heading3"/>
        <w:rPr>
          <w:i w:val="0"/>
        </w:rPr>
      </w:pPr>
      <w:bookmarkStart w:id="21" w:name="_Toc58918776"/>
      <w:r w:rsidRPr="00CB05A8">
        <w:t xml:space="preserve">1.  </w:t>
      </w:r>
      <w:r w:rsidR="008547CD" w:rsidRPr="00CB05A8">
        <w:t>P</w:t>
      </w:r>
      <w:r w:rsidR="004D241C" w:rsidRPr="00CB05A8">
        <w:t>rosecution evidence</w:t>
      </w:r>
      <w:bookmarkEnd w:id="21"/>
    </w:p>
    <w:p w14:paraId="7E9BD40E" w14:textId="27CF654A" w:rsidR="005A6F88" w:rsidRPr="00CB05A8" w:rsidRDefault="004D241C" w:rsidP="00F105E8">
      <w:pPr>
        <w:pStyle w:val="NormalIndent"/>
        <w:ind w:left="0" w:firstLine="720"/>
      </w:pPr>
      <w:r w:rsidRPr="00CB05A8">
        <w:t>The prosecution’s case in aggravation included evidence regarding defendant’s violent criminal history</w:t>
      </w:r>
      <w:r w:rsidR="00801194" w:rsidRPr="00CB05A8">
        <w:t>,</w:t>
      </w:r>
      <w:r w:rsidRPr="00CB05A8">
        <w:t xml:space="preserve"> both in and out of custody</w:t>
      </w:r>
      <w:r w:rsidR="00801194" w:rsidRPr="00CB05A8">
        <w:t>,</w:t>
      </w:r>
      <w:r w:rsidRPr="00CB05A8">
        <w:t xml:space="preserve"> </w:t>
      </w:r>
      <w:r w:rsidR="005A6F88" w:rsidRPr="00CB05A8">
        <w:t>and victim impact testimony.</w:t>
      </w:r>
    </w:p>
    <w:p w14:paraId="379CACF9" w14:textId="40933AC8" w:rsidR="00683011" w:rsidRPr="00CB05A8" w:rsidRDefault="002E4B9A" w:rsidP="00F105E8">
      <w:pPr>
        <w:pStyle w:val="NormalIndent"/>
        <w:ind w:left="0" w:firstLine="720"/>
      </w:pPr>
      <w:r w:rsidRPr="00CB05A8">
        <w:t>Diane K. testified that o</w:t>
      </w:r>
      <w:r w:rsidR="00EC1832" w:rsidRPr="00CB05A8">
        <w:t xml:space="preserve">n October 4, 1978, defendant entered </w:t>
      </w:r>
      <w:r w:rsidRPr="00CB05A8">
        <w:t>her</w:t>
      </w:r>
      <w:r w:rsidR="00EC1832" w:rsidRPr="00CB05A8">
        <w:t xml:space="preserve"> apartment while she slept and raped her.  As </w:t>
      </w:r>
      <w:r w:rsidR="000E0E60" w:rsidRPr="00CB05A8">
        <w:t>Diane K.</w:t>
      </w:r>
      <w:r w:rsidR="00EC1832" w:rsidRPr="00CB05A8">
        <w:t xml:space="preserve"> struggled with defendant, he hit her in the fac</w:t>
      </w:r>
      <w:r w:rsidR="007F1B5C" w:rsidRPr="00CB05A8">
        <w:t>e</w:t>
      </w:r>
      <w:r w:rsidR="00EC1832" w:rsidRPr="00CB05A8">
        <w:t xml:space="preserve"> and chest and attempted to strangle her.  </w:t>
      </w:r>
    </w:p>
    <w:p w14:paraId="17C6033F" w14:textId="0BA87D77" w:rsidR="00EC1832" w:rsidRPr="00CB05A8" w:rsidRDefault="00662B1E" w:rsidP="00F105E8">
      <w:pPr>
        <w:pStyle w:val="NormalIndent"/>
        <w:ind w:left="0" w:firstLine="720"/>
        <w:rPr>
          <w:color w:val="000000" w:themeColor="text1"/>
        </w:rPr>
      </w:pPr>
      <w:r w:rsidRPr="00CB05A8">
        <w:t xml:space="preserve">The prosecution </w:t>
      </w:r>
      <w:r w:rsidR="00134C98" w:rsidRPr="00CB05A8">
        <w:t xml:space="preserve">also </w:t>
      </w:r>
      <w:r w:rsidRPr="00CB05A8">
        <w:t xml:space="preserve">presented evidence that defendant and an accomplice committed a series of </w:t>
      </w:r>
      <w:r w:rsidR="00EC1832" w:rsidRPr="00CB05A8">
        <w:t xml:space="preserve">armed robberies </w:t>
      </w:r>
      <w:r w:rsidR="00756D7F" w:rsidRPr="00CB05A8">
        <w:t>of bars and restaurants in the San Diego area</w:t>
      </w:r>
      <w:r w:rsidR="00134C98" w:rsidRPr="00CB05A8">
        <w:t xml:space="preserve"> over the course of two weeks</w:t>
      </w:r>
      <w:r w:rsidR="00341860">
        <w:t xml:space="preserve"> in </w:t>
      </w:r>
      <w:r w:rsidR="00E550C9">
        <w:t xml:space="preserve">December </w:t>
      </w:r>
      <w:r w:rsidR="00341860">
        <w:t>1981</w:t>
      </w:r>
      <w:r w:rsidR="00134C98" w:rsidRPr="00CB05A8">
        <w:t xml:space="preserve">.  </w:t>
      </w:r>
      <w:r w:rsidR="00290EE7" w:rsidRPr="00CB05A8">
        <w:rPr>
          <w:color w:val="000000" w:themeColor="text1"/>
        </w:rPr>
        <w:t xml:space="preserve">  </w:t>
      </w:r>
    </w:p>
    <w:p w14:paraId="2428D151" w14:textId="39E5FE97" w:rsidR="00683011" w:rsidRPr="00CB05A8" w:rsidRDefault="00134C98" w:rsidP="00F105E8">
      <w:pPr>
        <w:pStyle w:val="NormalIndent"/>
        <w:ind w:left="0" w:firstLine="720"/>
      </w:pPr>
      <w:r w:rsidRPr="00CB05A8">
        <w:t>Additionally, t</w:t>
      </w:r>
      <w:r w:rsidR="006D5D1A" w:rsidRPr="00CB05A8">
        <w:t>he prosecution</w:t>
      </w:r>
      <w:r w:rsidR="00606B96" w:rsidRPr="00CB05A8">
        <w:t xml:space="preserve"> </w:t>
      </w:r>
      <w:r w:rsidR="006D5D1A" w:rsidRPr="00CB05A8">
        <w:t xml:space="preserve">presented evidence </w:t>
      </w:r>
      <w:r w:rsidR="006A1577" w:rsidRPr="00CB05A8">
        <w:t>of</w:t>
      </w:r>
      <w:r w:rsidR="006D5D1A" w:rsidRPr="00CB05A8">
        <w:t xml:space="preserve"> </w:t>
      </w:r>
      <w:r w:rsidR="006A1577" w:rsidRPr="00CB05A8">
        <w:t xml:space="preserve">several </w:t>
      </w:r>
      <w:r w:rsidR="006D5D1A" w:rsidRPr="00CB05A8">
        <w:t>instances of</w:t>
      </w:r>
      <w:r w:rsidR="00A24CBB" w:rsidRPr="00CB05A8">
        <w:t xml:space="preserve"> defendant’s</w:t>
      </w:r>
      <w:r w:rsidR="006D5D1A" w:rsidRPr="00CB05A8">
        <w:t xml:space="preserve"> </w:t>
      </w:r>
      <w:r w:rsidR="00951BDC" w:rsidRPr="00CB05A8">
        <w:t xml:space="preserve">prior </w:t>
      </w:r>
      <w:r w:rsidR="006A1577" w:rsidRPr="00CB05A8">
        <w:t>violent conduct</w:t>
      </w:r>
      <w:r w:rsidR="006D5D1A" w:rsidRPr="00CB05A8">
        <w:t xml:space="preserve"> while incarcerated</w:t>
      </w:r>
      <w:r w:rsidR="00D84EF2" w:rsidRPr="00CB05A8">
        <w:t>.</w:t>
      </w:r>
      <w:r w:rsidR="006A1577" w:rsidRPr="00CB05A8">
        <w:t xml:space="preserve">  In May</w:t>
      </w:r>
      <w:r w:rsidR="00815F80" w:rsidRPr="00CB05A8">
        <w:t xml:space="preserve"> 1983, defendant stabbed another inmate</w:t>
      </w:r>
      <w:r w:rsidR="009A16DA" w:rsidRPr="00CB05A8">
        <w:t xml:space="preserve">, </w:t>
      </w:r>
      <w:r w:rsidR="00AC6A9A" w:rsidRPr="00CB05A8">
        <w:t xml:space="preserve">who suffered puncture wounds on his shoulder.  </w:t>
      </w:r>
      <w:r w:rsidR="00463354" w:rsidRPr="00CB05A8">
        <w:t>Wh</w:t>
      </w:r>
      <w:r w:rsidR="00504DC0" w:rsidRPr="00CB05A8">
        <w:t>en</w:t>
      </w:r>
      <w:r w:rsidR="00463354" w:rsidRPr="00CB05A8">
        <w:t xml:space="preserve"> investigating the incident, a correctional officer discovered </w:t>
      </w:r>
      <w:r w:rsidR="00504DC0" w:rsidRPr="00CB05A8">
        <w:t xml:space="preserve">that </w:t>
      </w:r>
      <w:r w:rsidR="00463354" w:rsidRPr="00CB05A8">
        <w:t xml:space="preserve">a portion of the bars on defendant’s cell was missing.  </w:t>
      </w:r>
      <w:r w:rsidR="00936AB5" w:rsidRPr="00CB05A8">
        <w:t>In</w:t>
      </w:r>
      <w:r w:rsidR="00CE3DF3" w:rsidRPr="00CB05A8">
        <w:t xml:space="preserve"> February</w:t>
      </w:r>
      <w:r w:rsidR="00936AB5" w:rsidRPr="00CB05A8">
        <w:t xml:space="preserve"> </w:t>
      </w:r>
      <w:r w:rsidR="00CE3DF3" w:rsidRPr="00CB05A8">
        <w:t>1984, defendant was involved in a physical altercation with another inmate</w:t>
      </w:r>
      <w:r w:rsidRPr="00CB05A8">
        <w:t xml:space="preserve"> during</w:t>
      </w:r>
      <w:r w:rsidR="00FD63C1" w:rsidRPr="00CB05A8">
        <w:t xml:space="preserve"> which the inmate sustained </w:t>
      </w:r>
      <w:r w:rsidR="00947BD0" w:rsidRPr="00CB05A8">
        <w:t>stab</w:t>
      </w:r>
      <w:r w:rsidR="00FD63C1" w:rsidRPr="00CB05A8">
        <w:t xml:space="preserve"> wounds </w:t>
      </w:r>
      <w:r w:rsidR="00633295" w:rsidRPr="00CB05A8">
        <w:t>to</w:t>
      </w:r>
      <w:r w:rsidR="00FD63C1" w:rsidRPr="00CB05A8">
        <w:t xml:space="preserve"> his torso</w:t>
      </w:r>
      <w:r w:rsidR="00926FBD" w:rsidRPr="00CB05A8">
        <w:t xml:space="preserve">.  </w:t>
      </w:r>
      <w:r w:rsidR="00FD63C1" w:rsidRPr="00CB05A8">
        <w:t>In April</w:t>
      </w:r>
      <w:r w:rsidR="003A2DAC" w:rsidRPr="00CB05A8">
        <w:t xml:space="preserve"> 1984, defendant rushed toward a correctional officer </w:t>
      </w:r>
      <w:r w:rsidR="00FD63C1" w:rsidRPr="00CB05A8">
        <w:t>with</w:t>
      </w:r>
      <w:r w:rsidR="003A2DAC" w:rsidRPr="00CB05A8">
        <w:t xml:space="preserve"> an inmate-manufactured </w:t>
      </w:r>
      <w:r w:rsidR="00037E17" w:rsidRPr="00CB05A8">
        <w:t>spear</w:t>
      </w:r>
      <w:r w:rsidR="003A2DAC" w:rsidRPr="00CB05A8">
        <w:t xml:space="preserve">.  </w:t>
      </w:r>
      <w:r w:rsidR="00A916ED" w:rsidRPr="00CB05A8">
        <w:t>The following month,</w:t>
      </w:r>
      <w:r w:rsidR="009A0EBA" w:rsidRPr="00CB05A8">
        <w:t xml:space="preserve"> </w:t>
      </w:r>
      <w:r w:rsidR="001526A4" w:rsidRPr="00CB05A8">
        <w:t xml:space="preserve">defendant stabbed another correctional officer with an inmate-manufactured weapon.  </w:t>
      </w:r>
      <w:r w:rsidR="00A916ED" w:rsidRPr="00CB05A8">
        <w:t>Three</w:t>
      </w:r>
      <w:r w:rsidR="00945AD1" w:rsidRPr="00CB05A8">
        <w:t xml:space="preserve"> hacksaw blades wrapped in plastic </w:t>
      </w:r>
      <w:r w:rsidR="00A916ED" w:rsidRPr="00CB05A8">
        <w:t xml:space="preserve">were </w:t>
      </w:r>
      <w:r w:rsidR="001A5D60" w:rsidRPr="00CB05A8">
        <w:t xml:space="preserve">subsequently </w:t>
      </w:r>
      <w:r w:rsidR="00A916ED" w:rsidRPr="00CB05A8">
        <w:t>discovered inside defendant’s</w:t>
      </w:r>
      <w:r w:rsidR="00945AD1" w:rsidRPr="00CB05A8">
        <w:t xml:space="preserve"> rectum.  </w:t>
      </w:r>
      <w:r w:rsidR="00A916ED" w:rsidRPr="00CB05A8">
        <w:t>I</w:t>
      </w:r>
      <w:r w:rsidR="00116E34" w:rsidRPr="00CB05A8">
        <w:t xml:space="preserve">n August 1990, defendant and another inmate physically assaulted a third inmate at the SHU yard at Corcoran State Prison.  </w:t>
      </w:r>
      <w:r w:rsidR="00A916ED" w:rsidRPr="00CB05A8">
        <w:t>I</w:t>
      </w:r>
      <w:r w:rsidR="00116E34" w:rsidRPr="00CB05A8">
        <w:t xml:space="preserve">n </w:t>
      </w:r>
      <w:r w:rsidR="00555C6A" w:rsidRPr="00CB05A8">
        <w:t>October</w:t>
      </w:r>
      <w:r w:rsidR="00116E34" w:rsidRPr="00CB05A8">
        <w:t xml:space="preserve"> 1996, </w:t>
      </w:r>
      <w:r w:rsidR="00347B0A" w:rsidRPr="00CB05A8">
        <w:t xml:space="preserve">defendant threw a milk carton containing urine </w:t>
      </w:r>
      <w:r w:rsidR="006024D9" w:rsidRPr="00CB05A8">
        <w:t>on three correctional officers while he was in custody at the Sonoma County jail</w:t>
      </w:r>
      <w:r w:rsidR="002C3A62" w:rsidRPr="00CB05A8">
        <w:t xml:space="preserve">.    </w:t>
      </w:r>
    </w:p>
    <w:p w14:paraId="583C0D68" w14:textId="4E70D49C" w:rsidR="009C407D" w:rsidRPr="00CB05A8" w:rsidRDefault="00CB551E" w:rsidP="00F105E8">
      <w:pPr>
        <w:pStyle w:val="NormalIndent"/>
        <w:ind w:left="0" w:firstLine="720"/>
        <w:rPr>
          <w:b/>
        </w:rPr>
      </w:pPr>
      <w:r w:rsidRPr="00CB05A8">
        <w:t>Over defense objection, t</w:t>
      </w:r>
      <w:r w:rsidR="00C97F81" w:rsidRPr="00CB05A8">
        <w:t xml:space="preserve">he prosecution presented victim impact evidence through the testimony of </w:t>
      </w:r>
      <w:r w:rsidR="00505F8D" w:rsidRPr="00CB05A8">
        <w:t xml:space="preserve">five members of </w:t>
      </w:r>
      <w:r w:rsidR="009C407D" w:rsidRPr="00CB05A8">
        <w:t>Deputy Trejo’s family</w:t>
      </w:r>
      <w:r w:rsidR="007D270E" w:rsidRPr="00CB05A8">
        <w:t xml:space="preserve"> and two members of the Cooper/King family</w:t>
      </w:r>
      <w:r w:rsidR="009C407D" w:rsidRPr="00CB05A8">
        <w:t>.</w:t>
      </w:r>
      <w:r w:rsidRPr="00CB05A8">
        <w:t xml:space="preserve">  </w:t>
      </w:r>
      <w:r w:rsidR="00C505E4" w:rsidRPr="00CB05A8">
        <w:t>Deputy Trejo’s children</w:t>
      </w:r>
      <w:r w:rsidR="00D72FDB" w:rsidRPr="00CB05A8">
        <w:t xml:space="preserve"> </w:t>
      </w:r>
      <w:r w:rsidR="005D2326" w:rsidRPr="00CB05A8">
        <w:t xml:space="preserve">described </w:t>
      </w:r>
      <w:r w:rsidR="00CD2019" w:rsidRPr="00CB05A8">
        <w:t xml:space="preserve">the close relationship they had with their father and how his death impacted their lives.  </w:t>
      </w:r>
      <w:r w:rsidR="00DF58CD" w:rsidRPr="00CB05A8">
        <w:t xml:space="preserve">Deputy Trejo’s wife, Barbara, described the grief and loss she felt after her husband died.  </w:t>
      </w:r>
      <w:r w:rsidR="00C505E4" w:rsidRPr="00CB05A8">
        <w:t xml:space="preserve">Kevin Cooper </w:t>
      </w:r>
      <w:r w:rsidR="009003B1" w:rsidRPr="00CB05A8">
        <w:t>described the physical and emotional toll that the hostage incident had taken on him</w:t>
      </w:r>
      <w:r w:rsidR="002D506F" w:rsidRPr="00CB05A8">
        <w:t xml:space="preserve">.  </w:t>
      </w:r>
      <w:r w:rsidR="00CB2AF6" w:rsidRPr="00CB05A8">
        <w:t xml:space="preserve">And </w:t>
      </w:r>
      <w:r w:rsidR="00024C49" w:rsidRPr="00CB05A8">
        <w:t>Karen King</w:t>
      </w:r>
      <w:r w:rsidR="0062558C" w:rsidRPr="00CB05A8">
        <w:t xml:space="preserve"> described the impact that the hostage incident had on her </w:t>
      </w:r>
      <w:r w:rsidR="002A35F5" w:rsidRPr="00CB05A8">
        <w:t xml:space="preserve">relationship with her family and </w:t>
      </w:r>
      <w:r w:rsidR="00421ACF" w:rsidRPr="00CB05A8">
        <w:t xml:space="preserve">her interactions with new people.  </w:t>
      </w:r>
    </w:p>
    <w:p w14:paraId="0002E72E" w14:textId="1EF2327D" w:rsidR="00A2523F" w:rsidRPr="00CB05A8" w:rsidRDefault="0082610D" w:rsidP="00CB05A8">
      <w:pPr>
        <w:pStyle w:val="Heading3"/>
        <w:rPr>
          <w:i w:val="0"/>
        </w:rPr>
      </w:pPr>
      <w:bookmarkStart w:id="22" w:name="_Toc58918777"/>
      <w:r w:rsidRPr="00CB05A8">
        <w:t xml:space="preserve">2.  </w:t>
      </w:r>
      <w:r w:rsidR="008547CD" w:rsidRPr="00CB05A8">
        <w:t>D</w:t>
      </w:r>
      <w:r w:rsidR="00A2523F" w:rsidRPr="00CB05A8">
        <w:t xml:space="preserve">efense </w:t>
      </w:r>
      <w:r w:rsidR="004D241C" w:rsidRPr="00CB05A8">
        <w:t>evidence</w:t>
      </w:r>
      <w:bookmarkEnd w:id="22"/>
    </w:p>
    <w:p w14:paraId="6F6B3B59" w14:textId="3EF2B8A4" w:rsidR="00683011" w:rsidRPr="00CB05A8" w:rsidRDefault="00FF7768" w:rsidP="00F105E8">
      <w:pPr>
        <w:pStyle w:val="NormalIndent"/>
        <w:ind w:left="0" w:firstLine="720"/>
      </w:pPr>
      <w:r w:rsidRPr="00CB05A8">
        <w:t>In mitigation, the defense focused on the effects of defendant’s childhood and background</w:t>
      </w:r>
      <w:r w:rsidR="005E0A4F" w:rsidRPr="00CB05A8">
        <w:t xml:space="preserve"> on his behavior and the psychological effects of having been incarcerated </w:t>
      </w:r>
      <w:r w:rsidR="00F0674A" w:rsidRPr="00CB05A8">
        <w:t xml:space="preserve">for </w:t>
      </w:r>
      <w:r w:rsidR="00AC5D41" w:rsidRPr="00CB05A8">
        <w:t>nearly 13 years</w:t>
      </w:r>
      <w:r w:rsidR="00F0674A" w:rsidRPr="00CB05A8">
        <w:t xml:space="preserve"> </w:t>
      </w:r>
      <w:r w:rsidR="005E0A4F" w:rsidRPr="00CB05A8">
        <w:t>in the SHU</w:t>
      </w:r>
      <w:r w:rsidR="00AC5D41" w:rsidRPr="00CB05A8">
        <w:t xml:space="preserve"> or in solitary confinement</w:t>
      </w:r>
      <w:r w:rsidR="005E0A4F" w:rsidRPr="00CB05A8">
        <w:t>.</w:t>
      </w:r>
    </w:p>
    <w:p w14:paraId="681C043C" w14:textId="2A3DAB96" w:rsidR="00530F8C" w:rsidRPr="00CB05A8" w:rsidRDefault="008204E6" w:rsidP="00F105E8">
      <w:pPr>
        <w:pStyle w:val="NormalIndent"/>
        <w:ind w:left="0" w:firstLine="720"/>
      </w:pPr>
      <w:r w:rsidRPr="00CB05A8">
        <w:t>Several</w:t>
      </w:r>
      <w:r w:rsidR="00722701" w:rsidRPr="00CB05A8">
        <w:t xml:space="preserve"> members of defendant’s family testified.  </w:t>
      </w:r>
      <w:r w:rsidR="00241E08" w:rsidRPr="00CB05A8">
        <w:t>Robert Scully, defendant’s father, testified that he divorced defendant’s mother when defendant was two or three years old</w:t>
      </w:r>
      <w:r w:rsidR="00A24CBB" w:rsidRPr="00CB05A8">
        <w:t xml:space="preserve"> </w:t>
      </w:r>
      <w:r w:rsidR="00241E08" w:rsidRPr="00CB05A8">
        <w:t xml:space="preserve">and he did not have much contact with </w:t>
      </w:r>
      <w:r w:rsidR="00886BB9" w:rsidRPr="00CB05A8">
        <w:t>defendant</w:t>
      </w:r>
      <w:r w:rsidR="00241E08" w:rsidRPr="00CB05A8">
        <w:t xml:space="preserve"> until recently.  </w:t>
      </w:r>
      <w:r w:rsidR="00C73FB6" w:rsidRPr="00CB05A8">
        <w:t>Robert Scully</w:t>
      </w:r>
      <w:r w:rsidR="00241E08" w:rsidRPr="00CB05A8">
        <w:t xml:space="preserve"> </w:t>
      </w:r>
      <w:r w:rsidR="007C65CC" w:rsidRPr="00CB05A8">
        <w:t xml:space="preserve">admitted to struggling </w:t>
      </w:r>
      <w:r w:rsidR="00241E08" w:rsidRPr="00CB05A8">
        <w:t xml:space="preserve">with alcoholism </w:t>
      </w:r>
      <w:r w:rsidR="007C65CC" w:rsidRPr="00CB05A8">
        <w:t xml:space="preserve">and acknowledged that his </w:t>
      </w:r>
      <w:r w:rsidR="002F30CF" w:rsidRPr="00CB05A8">
        <w:t xml:space="preserve">own </w:t>
      </w:r>
      <w:r w:rsidR="007C65CC" w:rsidRPr="00CB05A8">
        <w:t xml:space="preserve">father was </w:t>
      </w:r>
      <w:r w:rsidR="00353046" w:rsidRPr="00CB05A8">
        <w:t xml:space="preserve">also </w:t>
      </w:r>
      <w:r w:rsidR="007C65CC" w:rsidRPr="00CB05A8">
        <w:t>an alcoholic</w:t>
      </w:r>
      <w:r w:rsidR="00241E08" w:rsidRPr="00CB05A8">
        <w:t xml:space="preserve">.  </w:t>
      </w:r>
      <w:r w:rsidR="005A2F25" w:rsidRPr="00CB05A8">
        <w:t xml:space="preserve">  </w:t>
      </w:r>
    </w:p>
    <w:p w14:paraId="6BEE7F5A" w14:textId="4361A092" w:rsidR="00241E08" w:rsidRPr="00CB05A8" w:rsidRDefault="00241E08" w:rsidP="00F105E8">
      <w:pPr>
        <w:pStyle w:val="NormalIndent"/>
        <w:ind w:left="0" w:firstLine="720"/>
      </w:pPr>
      <w:r w:rsidRPr="00CB05A8">
        <w:t xml:space="preserve">Lola Bobby, defendant’s sister, testified that </w:t>
      </w:r>
      <w:r w:rsidR="00E939E7" w:rsidRPr="00CB05A8">
        <w:t>their family ho</w:t>
      </w:r>
      <w:r w:rsidR="00F528F3" w:rsidRPr="00CB05A8">
        <w:t xml:space="preserve">me was very stressful and disruptive due </w:t>
      </w:r>
      <w:r w:rsidR="0050101B" w:rsidRPr="00CB05A8">
        <w:t xml:space="preserve">to </w:t>
      </w:r>
      <w:r w:rsidR="00530F8C" w:rsidRPr="00CB05A8">
        <w:t>the abusive relationship</w:t>
      </w:r>
      <w:r w:rsidR="00F528F3" w:rsidRPr="00CB05A8">
        <w:t xml:space="preserve"> between </w:t>
      </w:r>
      <w:r w:rsidR="00CB0A46" w:rsidRPr="00CB05A8">
        <w:t>their mother and stepfather</w:t>
      </w:r>
      <w:r w:rsidR="00CD3F5D" w:rsidRPr="00CB05A8">
        <w:t xml:space="preserve">, who were </w:t>
      </w:r>
      <w:r w:rsidR="00EA57A3" w:rsidRPr="00CB05A8">
        <w:t xml:space="preserve">both </w:t>
      </w:r>
      <w:r w:rsidR="00CD3F5D" w:rsidRPr="00CB05A8">
        <w:t>alcoholics</w:t>
      </w:r>
      <w:r w:rsidRPr="00CB05A8">
        <w:t xml:space="preserve">.  </w:t>
      </w:r>
      <w:r w:rsidR="00530F8C" w:rsidRPr="00CB05A8">
        <w:t xml:space="preserve">The children frequently saw their mother and stepfather engaging in violent fights.  </w:t>
      </w:r>
      <w:r w:rsidRPr="00CB05A8">
        <w:t xml:space="preserve">Defendant left home when he was </w:t>
      </w:r>
      <w:r w:rsidR="004D47A0">
        <w:t>11</w:t>
      </w:r>
      <w:r w:rsidRPr="00CB05A8">
        <w:t xml:space="preserve"> or </w:t>
      </w:r>
      <w:r w:rsidR="004D47A0">
        <w:t>12</w:t>
      </w:r>
      <w:r w:rsidRPr="00CB05A8">
        <w:t xml:space="preserve"> years old</w:t>
      </w:r>
      <w:r w:rsidR="00BB1A9F" w:rsidRPr="00CB05A8">
        <w:t xml:space="preserve">.  </w:t>
      </w:r>
      <w:r w:rsidR="00530F8C" w:rsidRPr="00CB05A8">
        <w:t>Defendant’s mother, Sally Pike, and his other sist</w:t>
      </w:r>
      <w:r w:rsidR="00026FEC" w:rsidRPr="00CB05A8">
        <w:t>er</w:t>
      </w:r>
      <w:r w:rsidR="00530F8C" w:rsidRPr="00CB05A8">
        <w:t>s</w:t>
      </w:r>
      <w:r w:rsidR="00026FEC" w:rsidRPr="00CB05A8">
        <w:t>, Marilyn Beall</w:t>
      </w:r>
      <w:r w:rsidR="00530F8C" w:rsidRPr="00CB05A8">
        <w:t xml:space="preserve"> and Patricia Scully, also</w:t>
      </w:r>
      <w:r w:rsidR="00026FEC" w:rsidRPr="00CB05A8">
        <w:t xml:space="preserve"> </w:t>
      </w:r>
      <w:r w:rsidR="00134C98" w:rsidRPr="00CB05A8">
        <w:t>briefly</w:t>
      </w:r>
      <w:r w:rsidR="00BB1A9F" w:rsidRPr="00CB05A8">
        <w:t xml:space="preserve"> </w:t>
      </w:r>
      <w:r w:rsidR="00134C98" w:rsidRPr="00CB05A8">
        <w:t xml:space="preserve">testified to show their support </w:t>
      </w:r>
      <w:r w:rsidR="00FA7439" w:rsidRPr="00CB05A8">
        <w:t xml:space="preserve">for </w:t>
      </w:r>
      <w:r w:rsidR="00BB1A9F" w:rsidRPr="00CB05A8">
        <w:t xml:space="preserve">defendant.  </w:t>
      </w:r>
    </w:p>
    <w:p w14:paraId="0EBB5084" w14:textId="3167F6D7" w:rsidR="00BB1A9F" w:rsidRPr="00CB05A8" w:rsidRDefault="001B4C00" w:rsidP="00F105E8">
      <w:pPr>
        <w:pStyle w:val="NormalIndent"/>
        <w:ind w:left="0" w:firstLine="720"/>
      </w:pPr>
      <w:r w:rsidRPr="00CB05A8">
        <w:t>D</w:t>
      </w:r>
      <w:r w:rsidR="00BB1A9F" w:rsidRPr="00CB05A8">
        <w:t xml:space="preserve">efendant’s juvenile probation officer described </w:t>
      </w:r>
      <w:r w:rsidR="00A54934" w:rsidRPr="00CB05A8">
        <w:t xml:space="preserve">defendant’s </w:t>
      </w:r>
      <w:r w:rsidR="000D7AA3" w:rsidRPr="00CB05A8">
        <w:t>home</w:t>
      </w:r>
      <w:r w:rsidR="00BB1A9F" w:rsidRPr="00CB05A8">
        <w:t xml:space="preserve"> life as “emotionally impoverished</w:t>
      </w:r>
      <w:r w:rsidRPr="00CB05A8">
        <w:t>,</w:t>
      </w:r>
      <w:r w:rsidR="00BB1A9F" w:rsidRPr="00CB05A8">
        <w:t xml:space="preserve">” </w:t>
      </w:r>
      <w:r w:rsidRPr="00CB05A8">
        <w:t>explaining that defendant’s mother</w:t>
      </w:r>
      <w:r w:rsidR="00BB1A9F" w:rsidRPr="00CB05A8">
        <w:t xml:space="preserve"> was overwhelmed by her abusive marriage</w:t>
      </w:r>
      <w:r w:rsidR="00F57CD6" w:rsidRPr="00CB05A8">
        <w:t>s</w:t>
      </w:r>
      <w:r w:rsidR="00BB1A9F" w:rsidRPr="00CB05A8">
        <w:t xml:space="preserve"> and </w:t>
      </w:r>
      <w:r w:rsidRPr="00CB05A8">
        <w:t>unable</w:t>
      </w:r>
      <w:r w:rsidR="00BB1A9F" w:rsidRPr="00CB05A8">
        <w:t xml:space="preserve"> to deal with defendant and his three sisters.  Defendant </w:t>
      </w:r>
      <w:r w:rsidR="001D65D5" w:rsidRPr="00CB05A8">
        <w:t>had no</w:t>
      </w:r>
      <w:r w:rsidR="00BB1A9F" w:rsidRPr="00CB05A8">
        <w:t xml:space="preserve"> positive male role model</w:t>
      </w:r>
      <w:r w:rsidR="00924F3E" w:rsidRPr="00CB05A8">
        <w:t xml:space="preserve"> or father figure </w:t>
      </w:r>
      <w:r w:rsidR="00BB1A9F" w:rsidRPr="00CB05A8">
        <w:t>in his life</w:t>
      </w:r>
      <w:r w:rsidR="00EC2D69" w:rsidRPr="00CB05A8">
        <w:t xml:space="preserve">, </w:t>
      </w:r>
      <w:r w:rsidR="001D65D5" w:rsidRPr="00CB05A8">
        <w:t>nor</w:t>
      </w:r>
      <w:r w:rsidR="00BF6F47" w:rsidRPr="00CB05A8">
        <w:t xml:space="preserve"> </w:t>
      </w:r>
      <w:r w:rsidR="001D65D5" w:rsidRPr="00CB05A8">
        <w:t>any</w:t>
      </w:r>
      <w:r w:rsidR="006D0697" w:rsidRPr="00CB05A8">
        <w:t xml:space="preserve"> support at school or in the community</w:t>
      </w:r>
      <w:r w:rsidR="00924F3E" w:rsidRPr="00CB05A8">
        <w:t xml:space="preserve">.    </w:t>
      </w:r>
    </w:p>
    <w:p w14:paraId="3F8A219D" w14:textId="3AE3EC5A" w:rsidR="00791C60" w:rsidRPr="00CB05A8" w:rsidRDefault="00BB1A9F" w:rsidP="00F105E8">
      <w:pPr>
        <w:pStyle w:val="NormalIndent"/>
        <w:ind w:left="0" w:firstLine="720"/>
        <w:rPr>
          <w:color w:val="000000" w:themeColor="text1"/>
        </w:rPr>
      </w:pPr>
      <w:r w:rsidRPr="00CB05A8">
        <w:t xml:space="preserve">Two PBSP inmates testified </w:t>
      </w:r>
      <w:r w:rsidR="00737C5B" w:rsidRPr="00CB05A8">
        <w:t xml:space="preserve">concerning </w:t>
      </w:r>
      <w:r w:rsidRPr="00CB05A8">
        <w:t>conditions</w:t>
      </w:r>
      <w:r w:rsidR="00134C98" w:rsidRPr="00CB05A8">
        <w:t xml:space="preserve"> </w:t>
      </w:r>
      <w:r w:rsidR="00737C5B" w:rsidRPr="00CB05A8">
        <w:t xml:space="preserve">in </w:t>
      </w:r>
      <w:r w:rsidR="00134C98" w:rsidRPr="00CB05A8">
        <w:t>the prison</w:t>
      </w:r>
      <w:r w:rsidR="00737C5B" w:rsidRPr="00CB05A8">
        <w:t>’s SHU</w:t>
      </w:r>
      <w:r w:rsidRPr="00CB05A8">
        <w:t xml:space="preserve">.  They described their life </w:t>
      </w:r>
      <w:r w:rsidR="0067164F" w:rsidRPr="00CB05A8">
        <w:t xml:space="preserve">there </w:t>
      </w:r>
      <w:r w:rsidRPr="00CB05A8">
        <w:t xml:space="preserve">as filled with monotony, isolation, and fear.    </w:t>
      </w:r>
    </w:p>
    <w:p w14:paraId="58CC8265" w14:textId="6751CF04" w:rsidR="00BB1A9F" w:rsidRPr="00CB05A8" w:rsidRDefault="00BB1A9F" w:rsidP="00F105E8">
      <w:pPr>
        <w:pStyle w:val="NormalIndent"/>
        <w:ind w:left="0" w:firstLine="720"/>
      </w:pPr>
      <w:r w:rsidRPr="00CB05A8">
        <w:t xml:space="preserve">Dr. </w:t>
      </w:r>
      <w:r w:rsidR="005B5714" w:rsidRPr="00CB05A8">
        <w:t>Craig</w:t>
      </w:r>
      <w:r w:rsidRPr="00CB05A8">
        <w:t xml:space="preserve"> Haney, a professor of psychology at </w:t>
      </w:r>
      <w:r w:rsidR="00B6745B">
        <w:t>the University of California,</w:t>
      </w:r>
      <w:r w:rsidRPr="00CB05A8">
        <w:t xml:space="preserve"> Santa Cruz, testified about the causes of violence in institutional settings and </w:t>
      </w:r>
      <w:r w:rsidR="00CD0AA8">
        <w:t xml:space="preserve">the </w:t>
      </w:r>
      <w:r w:rsidRPr="00CB05A8">
        <w:t>psychological effects of living in maximum security prisons.  He described defendant’s incarceration history in various penal institutions and opined that an individual such as defendant</w:t>
      </w:r>
      <w:r w:rsidR="00372853" w:rsidRPr="00CB05A8">
        <w:t>,</w:t>
      </w:r>
      <w:r w:rsidRPr="00CB05A8">
        <w:t xml:space="preserve"> who was continuously incarcerat</w:t>
      </w:r>
      <w:r w:rsidR="006402A9" w:rsidRPr="00CB05A8">
        <w:t>ed</w:t>
      </w:r>
      <w:r w:rsidRPr="00CB05A8">
        <w:t xml:space="preserve"> in a SHU </w:t>
      </w:r>
      <w:r w:rsidR="00134C98" w:rsidRPr="00CB05A8">
        <w:t>facility</w:t>
      </w:r>
      <w:r w:rsidR="00BE3916" w:rsidRPr="00CB05A8">
        <w:t xml:space="preserve"> </w:t>
      </w:r>
      <w:r w:rsidR="00EA5BE0" w:rsidRPr="00CB05A8">
        <w:t xml:space="preserve">or </w:t>
      </w:r>
      <w:r w:rsidR="00462AE5" w:rsidRPr="00CB05A8">
        <w:t xml:space="preserve">in solitary confinement </w:t>
      </w:r>
      <w:r w:rsidR="00BE3916" w:rsidRPr="00CB05A8">
        <w:t xml:space="preserve">for </w:t>
      </w:r>
      <w:r w:rsidR="00DD2ECA" w:rsidRPr="00CB05A8">
        <w:t>more than a decade</w:t>
      </w:r>
      <w:r w:rsidR="00372853" w:rsidRPr="00CB05A8">
        <w:t>,</w:t>
      </w:r>
      <w:r w:rsidRPr="00CB05A8">
        <w:t xml:space="preserve"> would endure continuous and forced isolation</w:t>
      </w:r>
      <w:r w:rsidR="00EB4FB5" w:rsidRPr="00CB05A8">
        <w:t xml:space="preserve"> </w:t>
      </w:r>
      <w:r w:rsidRPr="00CB05A8">
        <w:t xml:space="preserve">and either </w:t>
      </w:r>
      <w:r w:rsidR="002F1641" w:rsidRPr="00CB05A8">
        <w:t xml:space="preserve">become </w:t>
      </w:r>
      <w:r w:rsidR="00534A92" w:rsidRPr="00CB05A8">
        <w:t>mentally ill or “</w:t>
      </w:r>
      <w:r w:rsidR="002F1641" w:rsidRPr="00CB05A8">
        <w:t>institutionalized</w:t>
      </w:r>
      <w:r w:rsidR="00FC4FEF" w:rsidRPr="00CB05A8">
        <w:t xml:space="preserve">” — </w:t>
      </w:r>
      <w:r w:rsidR="00F677E0" w:rsidRPr="00CB05A8">
        <w:t xml:space="preserve">that is, </w:t>
      </w:r>
      <w:r w:rsidR="00FC4FEF" w:rsidRPr="00CB05A8">
        <w:t xml:space="preserve">dependent on </w:t>
      </w:r>
      <w:r w:rsidR="00487A01" w:rsidRPr="00CB05A8">
        <w:t>the routines, practices, and logic of the prison environment</w:t>
      </w:r>
      <w:r w:rsidRPr="00CB05A8">
        <w:t xml:space="preserve">.  </w:t>
      </w:r>
      <w:r w:rsidR="00F43870" w:rsidRPr="00CB05A8">
        <w:t>He explained</w:t>
      </w:r>
      <w:r w:rsidRPr="00CB05A8">
        <w:t xml:space="preserve"> that for inmates who have been deeply institutionalized </w:t>
      </w:r>
      <w:r w:rsidR="005B5714" w:rsidRPr="00CB05A8">
        <w:t xml:space="preserve">as a result of SHU confinement, it is a disabling and frightening experience to be released from prison.  He opined that </w:t>
      </w:r>
      <w:r w:rsidR="007B26B5" w:rsidRPr="00CB05A8">
        <w:t xml:space="preserve">such </w:t>
      </w:r>
      <w:r w:rsidR="005B5714" w:rsidRPr="00CB05A8">
        <w:t xml:space="preserve">inmates are often unprepared to deal with the real world and do very poorly when they are out of prison.  </w:t>
      </w:r>
      <w:r w:rsidRPr="00CB05A8">
        <w:t xml:space="preserve">  </w:t>
      </w:r>
    </w:p>
    <w:p w14:paraId="4C26FBD3" w14:textId="21FBE0DB" w:rsidR="00A2523F" w:rsidRPr="00CB05A8" w:rsidRDefault="0082610D" w:rsidP="00CB05A8">
      <w:pPr>
        <w:pStyle w:val="Heading1"/>
      </w:pPr>
      <w:bookmarkStart w:id="23" w:name="_Toc58918778"/>
      <w:r w:rsidRPr="00CB05A8">
        <w:t xml:space="preserve">II.  </w:t>
      </w:r>
      <w:r w:rsidR="00922385" w:rsidRPr="00CB05A8">
        <w:t>Discussion</w:t>
      </w:r>
      <w:bookmarkEnd w:id="23"/>
    </w:p>
    <w:p w14:paraId="4E2B6B24" w14:textId="109DDC47" w:rsidR="00F63588" w:rsidRPr="00CB05A8" w:rsidRDefault="00881244" w:rsidP="00CB05A8">
      <w:pPr>
        <w:pStyle w:val="Heading2"/>
        <w:numPr>
          <w:ilvl w:val="0"/>
          <w:numId w:val="3"/>
        </w:numPr>
      </w:pPr>
      <w:bookmarkStart w:id="24" w:name="_Toc58918779"/>
      <w:r w:rsidRPr="00CB05A8">
        <w:t xml:space="preserve">Pretrial and </w:t>
      </w:r>
      <w:r w:rsidR="00ED3884" w:rsidRPr="00CB05A8">
        <w:t>Guilt Phase</w:t>
      </w:r>
      <w:r w:rsidR="00F63588" w:rsidRPr="00CB05A8">
        <w:t xml:space="preserve"> Issues</w:t>
      </w:r>
      <w:bookmarkEnd w:id="24"/>
    </w:p>
    <w:p w14:paraId="2B1BA4D3" w14:textId="06767D91" w:rsidR="00D40DBF" w:rsidRPr="00CB05A8" w:rsidRDefault="00F63588" w:rsidP="00F105E8">
      <w:pPr>
        <w:pStyle w:val="Heading3"/>
        <w:numPr>
          <w:ilvl w:val="0"/>
          <w:numId w:val="4"/>
        </w:numPr>
        <w:ind w:left="1584" w:hanging="432"/>
      </w:pPr>
      <w:r w:rsidRPr="00CB05A8">
        <w:t xml:space="preserve"> </w:t>
      </w:r>
      <w:bookmarkStart w:id="25" w:name="_Toc58918780"/>
      <w:r w:rsidR="00A1022E" w:rsidRPr="00CB05A8">
        <w:t>Denial of motion</w:t>
      </w:r>
      <w:r w:rsidR="00F07D5C" w:rsidRPr="00CB05A8">
        <w:t>s</w:t>
      </w:r>
      <w:r w:rsidR="00A1022E" w:rsidRPr="00CB05A8">
        <w:t xml:space="preserve"> for c</w:t>
      </w:r>
      <w:r w:rsidR="004E1421" w:rsidRPr="00CB05A8">
        <w:t>hange of venue</w:t>
      </w:r>
      <w:r w:rsidR="00196CCE" w:rsidRPr="00CB05A8">
        <w:t xml:space="preserve"> </w:t>
      </w:r>
      <w:bookmarkEnd w:id="25"/>
    </w:p>
    <w:p w14:paraId="7E3B0AD9" w14:textId="7DFE7729" w:rsidR="00B72B05" w:rsidRPr="00CB05A8" w:rsidRDefault="007B234D" w:rsidP="00F105E8">
      <w:pPr>
        <w:tabs>
          <w:tab w:val="left" w:pos="1440"/>
        </w:tabs>
        <w:ind w:firstLine="720"/>
      </w:pPr>
      <w:r w:rsidRPr="00CB05A8">
        <w:t xml:space="preserve">Defendant </w:t>
      </w:r>
      <w:r w:rsidR="000A7A1B" w:rsidRPr="00CB05A8">
        <w:t xml:space="preserve">contends </w:t>
      </w:r>
      <w:r w:rsidR="008B3030" w:rsidRPr="00CB05A8">
        <w:t xml:space="preserve">the trial court erroneously denied </w:t>
      </w:r>
      <w:r w:rsidR="00B72B05" w:rsidRPr="00CB05A8">
        <w:t xml:space="preserve">his </w:t>
      </w:r>
      <w:r w:rsidR="008B3030" w:rsidRPr="00CB05A8">
        <w:t xml:space="preserve">two </w:t>
      </w:r>
      <w:r w:rsidR="00B72B05" w:rsidRPr="00CB05A8">
        <w:t xml:space="preserve">motions for a change of venue </w:t>
      </w:r>
      <w:r w:rsidR="008B3030" w:rsidRPr="00CB05A8">
        <w:t>in violation of</w:t>
      </w:r>
      <w:r w:rsidR="00B72B05" w:rsidRPr="00CB05A8">
        <w:t xml:space="preserve"> his </w:t>
      </w:r>
      <w:r w:rsidR="00CB78B0" w:rsidRPr="00CB05A8">
        <w:t xml:space="preserve">rights to </w:t>
      </w:r>
      <w:r w:rsidR="004C49F2" w:rsidRPr="00CB05A8">
        <w:t xml:space="preserve">due process and </w:t>
      </w:r>
      <w:r w:rsidR="00CB78B0" w:rsidRPr="00CB05A8">
        <w:t xml:space="preserve">to </w:t>
      </w:r>
      <w:r w:rsidR="004C49F2" w:rsidRPr="00CB05A8">
        <w:t xml:space="preserve">a fair trial by an impartial jury under the Sixth and Fourteenth Amendments to the United States Constitution.  </w:t>
      </w:r>
      <w:r w:rsidR="0067426B">
        <w:t>We</w:t>
      </w:r>
      <w:r w:rsidR="00D950CB" w:rsidRPr="00CB05A8">
        <w:t xml:space="preserve"> conclude there was no error.</w:t>
      </w:r>
    </w:p>
    <w:p w14:paraId="4140C330" w14:textId="14626819" w:rsidR="00DA60D6" w:rsidRPr="00CB05A8" w:rsidRDefault="00E62924" w:rsidP="00F105E8">
      <w:pPr>
        <w:pStyle w:val="Heading4"/>
        <w:numPr>
          <w:ilvl w:val="0"/>
          <w:numId w:val="22"/>
        </w:numPr>
        <w:ind w:left="2016" w:hanging="432"/>
      </w:pPr>
      <w:r w:rsidRPr="00CB05A8">
        <w:t xml:space="preserve"> </w:t>
      </w:r>
      <w:bookmarkStart w:id="26" w:name="_Toc58918781"/>
      <w:r w:rsidR="00DA60D6" w:rsidRPr="00CB05A8">
        <w:t>Background</w:t>
      </w:r>
      <w:bookmarkEnd w:id="26"/>
    </w:p>
    <w:p w14:paraId="1083A2CD" w14:textId="44AB7D02" w:rsidR="005C305B" w:rsidRPr="00CB05A8" w:rsidRDefault="00C463BD" w:rsidP="00F105E8">
      <w:pPr>
        <w:tabs>
          <w:tab w:val="left" w:pos="1440"/>
        </w:tabs>
        <w:ind w:firstLine="720"/>
        <w:rPr>
          <w:color w:val="000000" w:themeColor="text1"/>
        </w:rPr>
      </w:pPr>
      <w:r w:rsidRPr="00CB05A8">
        <w:t>D</w:t>
      </w:r>
      <w:r w:rsidR="006A16B6" w:rsidRPr="00CB05A8">
        <w:t>e</w:t>
      </w:r>
      <w:r w:rsidR="00D43AD6" w:rsidRPr="00CB05A8">
        <w:t>fendant</w:t>
      </w:r>
      <w:r w:rsidR="006A16B6" w:rsidRPr="00CB05A8">
        <w:t xml:space="preserve"> </w:t>
      </w:r>
      <w:r w:rsidR="0034756F" w:rsidRPr="00CB05A8">
        <w:t>was arrested and charged in Sonoma County</w:t>
      </w:r>
      <w:r w:rsidR="00D363AE" w:rsidRPr="00CB05A8">
        <w:t>,</w:t>
      </w:r>
      <w:r w:rsidR="0034756F" w:rsidRPr="00CB05A8">
        <w:t xml:space="preserve"> </w:t>
      </w:r>
      <w:r w:rsidR="00D363AE" w:rsidRPr="00CB05A8">
        <w:t>where the alleged offenses occurred</w:t>
      </w:r>
      <w:r w:rsidR="0034756F" w:rsidRPr="00CB05A8">
        <w:t xml:space="preserve">.  </w:t>
      </w:r>
      <w:r w:rsidR="00D363AE" w:rsidRPr="00CB05A8">
        <w:t xml:space="preserve">He </w:t>
      </w:r>
      <w:r w:rsidR="007B234D" w:rsidRPr="00CB05A8">
        <w:t>moved for a change of venue</w:t>
      </w:r>
      <w:r w:rsidRPr="00CB05A8">
        <w:t xml:space="preserve"> approximately </w:t>
      </w:r>
      <w:r w:rsidR="00E50409">
        <w:t>13</w:t>
      </w:r>
      <w:r w:rsidRPr="00CB05A8">
        <w:t xml:space="preserve"> months </w:t>
      </w:r>
      <w:r w:rsidR="00254E8D" w:rsidRPr="00CB05A8">
        <w:t xml:space="preserve">later, </w:t>
      </w:r>
      <w:r w:rsidR="00515C5F" w:rsidRPr="00CB05A8">
        <w:t xml:space="preserve">in May 1996, </w:t>
      </w:r>
      <w:r w:rsidR="00254E8D" w:rsidRPr="00CB05A8">
        <w:t>arguing</w:t>
      </w:r>
      <w:r w:rsidR="007B234D" w:rsidRPr="00CB05A8">
        <w:t xml:space="preserve"> that a fair and impartial trial could not be had in </w:t>
      </w:r>
      <w:r w:rsidR="00911EC2" w:rsidRPr="00CB05A8">
        <w:t>the</w:t>
      </w:r>
      <w:r w:rsidR="00E31819" w:rsidRPr="00CB05A8">
        <w:t xml:space="preserve"> </w:t>
      </w:r>
      <w:r w:rsidR="00911EC2" w:rsidRPr="00CB05A8">
        <w:t xml:space="preserve">county </w:t>
      </w:r>
      <w:r w:rsidR="007B234D" w:rsidRPr="00CB05A8">
        <w:t xml:space="preserve">because of the extensive publicity the case had received.  </w:t>
      </w:r>
      <w:r w:rsidR="00C236BD" w:rsidRPr="00CB05A8">
        <w:rPr>
          <w:color w:val="000000" w:themeColor="text1"/>
        </w:rPr>
        <w:t xml:space="preserve">At a hearing on the motion, experts for the prosecution and defense testified about their respective survey findings based on telephonic surveys they had conducted.    </w:t>
      </w:r>
    </w:p>
    <w:p w14:paraId="44D2D911" w14:textId="1CB13B3D" w:rsidR="00042247" w:rsidRPr="00CB05A8" w:rsidRDefault="00042247" w:rsidP="00F105E8">
      <w:pPr>
        <w:tabs>
          <w:tab w:val="left" w:pos="1440"/>
        </w:tabs>
        <w:ind w:firstLine="720"/>
        <w:rPr>
          <w:color w:val="000000" w:themeColor="text1"/>
        </w:rPr>
      </w:pPr>
      <w:r w:rsidRPr="00CB05A8">
        <w:t xml:space="preserve">Dr. Edward Bronson testified for the defense regarding the results of a venue survey he had designed to determine the extent to which the media affected the community’s prejudgment of defendant in Sonoma County.  </w:t>
      </w:r>
      <w:r w:rsidR="00515C5F" w:rsidRPr="00CB05A8">
        <w:t xml:space="preserve">The results of </w:t>
      </w:r>
      <w:r w:rsidRPr="00CB05A8">
        <w:t>Bronson’s survey</w:t>
      </w:r>
      <w:r w:rsidR="00515C5F" w:rsidRPr="00CB05A8">
        <w:t xml:space="preserve">, conducted in January 1996, </w:t>
      </w:r>
      <w:r w:rsidRPr="00CB05A8">
        <w:t xml:space="preserve">showed </w:t>
      </w:r>
      <w:r w:rsidR="00FB575C" w:rsidRPr="00CB05A8">
        <w:t xml:space="preserve">that </w:t>
      </w:r>
      <w:r w:rsidR="00C608BD" w:rsidRPr="00CB05A8">
        <w:t xml:space="preserve">335 of 402 respondents recognized the case, </w:t>
      </w:r>
      <w:r w:rsidR="00F761C9" w:rsidRPr="00CB05A8">
        <w:t>a</w:t>
      </w:r>
      <w:r w:rsidR="00C608BD" w:rsidRPr="00CB05A8">
        <w:t xml:space="preserve"> rate of approximately</w:t>
      </w:r>
      <w:r w:rsidRPr="00CB05A8">
        <w:t xml:space="preserve"> 83 percent.  Of those who recognized the case, approximately 78</w:t>
      </w:r>
      <w:r w:rsidR="001D6DD5" w:rsidRPr="00CB05A8">
        <w:t> </w:t>
      </w:r>
      <w:r w:rsidRPr="00CB05A8">
        <w:t xml:space="preserve">percent </w:t>
      </w:r>
      <w:r w:rsidR="00D4420A" w:rsidRPr="00CB05A8">
        <w:t>believed</w:t>
      </w:r>
      <w:r w:rsidRPr="00CB05A8">
        <w:t xml:space="preserve"> defendant was either “definitely guilty” or “probably guilty,” and 59 percent </w:t>
      </w:r>
      <w:r w:rsidR="0079643F" w:rsidRPr="00CB05A8">
        <w:t>viewed</w:t>
      </w:r>
      <w:r w:rsidRPr="00CB05A8">
        <w:t xml:space="preserve"> death as the </w:t>
      </w:r>
      <w:r w:rsidR="006857F9" w:rsidRPr="00CB05A8">
        <w:t xml:space="preserve">appropriate </w:t>
      </w:r>
      <w:r w:rsidRPr="00CB05A8">
        <w:t xml:space="preserve">penalty.  </w:t>
      </w:r>
      <w:r w:rsidR="00BB34D5" w:rsidRPr="00CB05A8">
        <w:t xml:space="preserve">Bronson </w:t>
      </w:r>
      <w:r w:rsidR="00595AF1" w:rsidRPr="00CB05A8">
        <w:t>concluded that</w:t>
      </w:r>
      <w:r w:rsidRPr="00CB05A8">
        <w:t xml:space="preserve"> members of the community were familiar with </w:t>
      </w:r>
      <w:r w:rsidR="00F11EB2" w:rsidRPr="00CB05A8">
        <w:t xml:space="preserve">many </w:t>
      </w:r>
      <w:r w:rsidRPr="00CB05A8">
        <w:t xml:space="preserve">details </w:t>
      </w:r>
      <w:r w:rsidR="00F11EB2" w:rsidRPr="00CB05A8">
        <w:t xml:space="preserve">of the case </w:t>
      </w:r>
      <w:r w:rsidRPr="00CB05A8">
        <w:t xml:space="preserve">widely covered by the media, </w:t>
      </w:r>
      <w:r w:rsidR="00F61196" w:rsidRPr="00CB05A8">
        <w:t xml:space="preserve">and that </w:t>
      </w:r>
      <w:r w:rsidRPr="00CB05A8">
        <w:t>the rate of prejudgment of guilt increas</w:t>
      </w:r>
      <w:r w:rsidR="00F61196" w:rsidRPr="00CB05A8">
        <w:t xml:space="preserve">ed </w:t>
      </w:r>
      <w:r w:rsidRPr="00CB05A8">
        <w:t xml:space="preserve">with the </w:t>
      </w:r>
      <w:r w:rsidR="00570AC5" w:rsidRPr="00CB05A8">
        <w:t>number</w:t>
      </w:r>
      <w:r w:rsidR="00B10F4C" w:rsidRPr="00CB05A8">
        <w:t xml:space="preserve"> of </w:t>
      </w:r>
      <w:r w:rsidRPr="00CB05A8">
        <w:t>specific</w:t>
      </w:r>
      <w:r w:rsidR="00134C98" w:rsidRPr="00CB05A8">
        <w:t xml:space="preserve"> details recalled</w:t>
      </w:r>
      <w:r w:rsidRPr="00CB05A8">
        <w:t xml:space="preserve">.  </w:t>
      </w:r>
      <w:r w:rsidR="00576ADC" w:rsidRPr="00CB05A8">
        <w:t>Based on his</w:t>
      </w:r>
      <w:r w:rsidR="00BA2F45" w:rsidRPr="00CB05A8">
        <w:t xml:space="preserve"> review</w:t>
      </w:r>
      <w:r w:rsidR="00576ADC" w:rsidRPr="00CB05A8">
        <w:t xml:space="preserve"> of</w:t>
      </w:r>
      <w:r w:rsidR="00BA2F45" w:rsidRPr="00CB05A8">
        <w:t xml:space="preserve"> </w:t>
      </w:r>
      <w:r w:rsidR="00483B37" w:rsidRPr="00CB05A8">
        <w:t>nearly</w:t>
      </w:r>
      <w:r w:rsidR="00BA2F45" w:rsidRPr="00CB05A8">
        <w:t xml:space="preserve"> 140 news articles about the case, </w:t>
      </w:r>
      <w:r w:rsidR="00576ADC" w:rsidRPr="00CB05A8">
        <w:t>Bronson</w:t>
      </w:r>
      <w:r w:rsidRPr="00CB05A8">
        <w:t xml:space="preserve"> </w:t>
      </w:r>
      <w:r w:rsidR="00881894" w:rsidRPr="00CB05A8">
        <w:t>described the media coverage</w:t>
      </w:r>
      <w:r w:rsidRPr="00CB05A8">
        <w:t xml:space="preserve"> </w:t>
      </w:r>
      <w:r w:rsidR="00BA2F45" w:rsidRPr="00CB05A8">
        <w:t>as</w:t>
      </w:r>
      <w:r w:rsidRPr="00CB05A8">
        <w:t xml:space="preserve"> highly inflammatory, largely appealing to people’s emotions, and contain</w:t>
      </w:r>
      <w:r w:rsidR="00BA2F45" w:rsidRPr="00CB05A8">
        <w:t xml:space="preserve">ing </w:t>
      </w:r>
      <w:r w:rsidRPr="00CB05A8">
        <w:t xml:space="preserve">inadmissible material as well as inaccurate coverage that presumed defendant’s guilt.  He </w:t>
      </w:r>
      <w:r w:rsidR="00296AA5" w:rsidRPr="00CB05A8">
        <w:t>recalled</w:t>
      </w:r>
      <w:r w:rsidRPr="00CB05A8">
        <w:t xml:space="preserve"> the media’s description of the crime as an “execution-style slaying,” </w:t>
      </w:r>
      <w:r w:rsidR="00134C98" w:rsidRPr="00CB05A8">
        <w:t xml:space="preserve">the </w:t>
      </w:r>
      <w:r w:rsidR="0018760D" w:rsidRPr="00CB05A8">
        <w:t>depiction</w:t>
      </w:r>
      <w:r w:rsidR="00B36524" w:rsidRPr="00CB05A8">
        <w:t xml:space="preserve"> of defendant as</w:t>
      </w:r>
      <w:r w:rsidRPr="00CB05A8">
        <w:t xml:space="preserve"> a PBSP parolee</w:t>
      </w:r>
      <w:r w:rsidR="004E40E6" w:rsidRPr="00CB05A8">
        <w:t xml:space="preserve"> and a “cold-blooded killer</w:t>
      </w:r>
      <w:r w:rsidRPr="00CB05A8">
        <w:t>,</w:t>
      </w:r>
      <w:r w:rsidR="004E40E6" w:rsidRPr="00CB05A8">
        <w:t>”</w:t>
      </w:r>
      <w:r w:rsidRPr="00CB05A8">
        <w:t xml:space="preserve"> and </w:t>
      </w:r>
      <w:r w:rsidR="00134C98" w:rsidRPr="00CB05A8">
        <w:t xml:space="preserve">the </w:t>
      </w:r>
      <w:r w:rsidRPr="00CB05A8">
        <w:t xml:space="preserve">portrayal of Deputy Trejo’s </w:t>
      </w:r>
      <w:r w:rsidR="0018760D" w:rsidRPr="00CB05A8">
        <w:t xml:space="preserve">death </w:t>
      </w:r>
      <w:r w:rsidR="00F10979" w:rsidRPr="00CB05A8">
        <w:t>as a strike against the entire</w:t>
      </w:r>
      <w:r w:rsidR="00644C67" w:rsidRPr="00CB05A8">
        <w:t xml:space="preserve"> </w:t>
      </w:r>
      <w:r w:rsidRPr="00CB05A8">
        <w:t xml:space="preserve">community.  </w:t>
      </w:r>
      <w:r w:rsidR="00515997" w:rsidRPr="00CB05A8">
        <w:t xml:space="preserve">He </w:t>
      </w:r>
      <w:r w:rsidR="00A35681" w:rsidRPr="00CB05A8">
        <w:t xml:space="preserve">noted that </w:t>
      </w:r>
      <w:r w:rsidR="00173F82" w:rsidRPr="00CB05A8">
        <w:t xml:space="preserve">media coverage </w:t>
      </w:r>
      <w:r w:rsidR="00A35681" w:rsidRPr="00CB05A8">
        <w:t xml:space="preserve">was </w:t>
      </w:r>
      <w:r w:rsidR="00581BFC" w:rsidRPr="00CB05A8">
        <w:t xml:space="preserve">concentrated in the </w:t>
      </w:r>
      <w:r w:rsidR="001A6C50" w:rsidRPr="00CB05A8">
        <w:t xml:space="preserve">Press Democrat, the </w:t>
      </w:r>
      <w:r w:rsidR="00581BFC" w:rsidRPr="00CB05A8">
        <w:t>main local newspaper</w:t>
      </w:r>
      <w:r w:rsidR="00173F82" w:rsidRPr="00CB05A8">
        <w:t xml:space="preserve">. </w:t>
      </w:r>
      <w:r w:rsidR="00173F82" w:rsidRPr="00CB05A8">
        <w:rPr>
          <w:color w:val="FF0000"/>
        </w:rPr>
        <w:t xml:space="preserve"> </w:t>
      </w:r>
    </w:p>
    <w:p w14:paraId="67DE44E7" w14:textId="33956D99" w:rsidR="00042247" w:rsidRPr="00CB05A8" w:rsidRDefault="00042247" w:rsidP="00F105E8">
      <w:pPr>
        <w:tabs>
          <w:tab w:val="left" w:pos="1440"/>
        </w:tabs>
        <w:ind w:firstLine="720"/>
      </w:pPr>
      <w:r w:rsidRPr="00CB05A8">
        <w:t xml:space="preserve">Dr. Ebbe </w:t>
      </w:r>
      <w:r w:rsidR="002C3297" w:rsidRPr="00CB05A8">
        <w:t>Ebbesen</w:t>
      </w:r>
      <w:r w:rsidRPr="00CB05A8">
        <w:t xml:space="preserve"> testified for the prosecution regarding the results of his own venue survey a</w:t>
      </w:r>
      <w:r w:rsidR="00C139E0" w:rsidRPr="00CB05A8">
        <w:t>s well as</w:t>
      </w:r>
      <w:r w:rsidRPr="00CB05A8">
        <w:t xml:space="preserve"> his review of </w:t>
      </w:r>
      <w:r w:rsidR="0079643F" w:rsidRPr="00CB05A8">
        <w:t xml:space="preserve">Dr. </w:t>
      </w:r>
      <w:r w:rsidRPr="00CB05A8">
        <w:t xml:space="preserve">Bronson’s survey findings.  </w:t>
      </w:r>
      <w:r w:rsidR="002C3297" w:rsidRPr="00CB05A8">
        <w:t>Ebbesen</w:t>
      </w:r>
      <w:r w:rsidR="0066472C" w:rsidRPr="00CB05A8">
        <w:t xml:space="preserve"> surveyed</w:t>
      </w:r>
      <w:r w:rsidRPr="00CB05A8">
        <w:t xml:space="preserve"> </w:t>
      </w:r>
      <w:r w:rsidR="002F2392" w:rsidRPr="00CB05A8">
        <w:t>individual</w:t>
      </w:r>
      <w:r w:rsidRPr="00CB05A8">
        <w:t xml:space="preserve">s in Sonoma County and San Diego County, </w:t>
      </w:r>
      <w:r w:rsidR="007E568C" w:rsidRPr="00CB05A8">
        <w:t>using San Diego</w:t>
      </w:r>
      <w:r w:rsidR="000B310D" w:rsidRPr="00CB05A8">
        <w:t xml:space="preserve"> as</w:t>
      </w:r>
      <w:r w:rsidRPr="00CB05A8">
        <w:t xml:space="preserve"> a comparison county with little exposure to publicity about defendant’s case.  </w:t>
      </w:r>
      <w:r w:rsidR="002C3297" w:rsidRPr="00CB05A8">
        <w:t>Ebbesen</w:t>
      </w:r>
      <w:r w:rsidRPr="00CB05A8">
        <w:t>’s survey results showed a recognition rate of 68 percent in Sonoma County and 14</w:t>
      </w:r>
      <w:r w:rsidR="00643FA4">
        <w:t> </w:t>
      </w:r>
      <w:r w:rsidRPr="00CB05A8">
        <w:t xml:space="preserve">percent in </w:t>
      </w:r>
      <w:r w:rsidR="005D6BB0" w:rsidRPr="00CB05A8">
        <w:t xml:space="preserve">San Diego </w:t>
      </w:r>
      <w:r w:rsidRPr="00CB05A8">
        <w:t>County</w:t>
      </w:r>
      <w:r w:rsidR="00290231" w:rsidRPr="00CB05A8">
        <w:t xml:space="preserve">.  </w:t>
      </w:r>
      <w:r w:rsidR="004173A8" w:rsidRPr="00CB05A8">
        <w:t>But, h</w:t>
      </w:r>
      <w:r w:rsidR="00A81EEE" w:rsidRPr="00CB05A8">
        <w:t>e reported</w:t>
      </w:r>
      <w:r w:rsidR="004173A8" w:rsidRPr="00CB05A8">
        <w:t xml:space="preserve">, </w:t>
      </w:r>
      <w:r w:rsidRPr="00CB05A8">
        <w:t>the majority of Sonoma residents who stated familiar</w:t>
      </w:r>
      <w:r w:rsidR="004173A8" w:rsidRPr="00CB05A8">
        <w:t>ity</w:t>
      </w:r>
      <w:r w:rsidRPr="00CB05A8">
        <w:t xml:space="preserve"> with the case </w:t>
      </w:r>
      <w:r w:rsidR="00290231" w:rsidRPr="00CB05A8">
        <w:t xml:space="preserve">actually </w:t>
      </w:r>
      <w:r w:rsidRPr="00CB05A8">
        <w:t xml:space="preserve">had a very shallow knowledge of the facts when asked to recount specific details.  When questioned specifically about defendant’s guilt in this case, 70 percent </w:t>
      </w:r>
      <w:r w:rsidR="00302DC6" w:rsidRPr="00CB05A8">
        <w:t xml:space="preserve">of those surveyed </w:t>
      </w:r>
      <w:r w:rsidRPr="00CB05A8">
        <w:t xml:space="preserve">in Sonoma </w:t>
      </w:r>
      <w:r w:rsidR="00302DC6" w:rsidRPr="00CB05A8">
        <w:t>and</w:t>
      </w:r>
      <w:r w:rsidR="0011267C" w:rsidRPr="00CB05A8">
        <w:t xml:space="preserve"> </w:t>
      </w:r>
      <w:r w:rsidRPr="00CB05A8">
        <w:t>47</w:t>
      </w:r>
      <w:r w:rsidR="001D6DD5" w:rsidRPr="00CB05A8">
        <w:t> </w:t>
      </w:r>
      <w:r w:rsidRPr="00CB05A8">
        <w:t>percent in San Diego</w:t>
      </w:r>
      <w:r w:rsidR="00302DC6" w:rsidRPr="00CB05A8">
        <w:t xml:space="preserve"> thought defendant was definitely or probably guilty</w:t>
      </w:r>
      <w:r w:rsidRPr="00CB05A8">
        <w:t xml:space="preserve">.  However, </w:t>
      </w:r>
      <w:r w:rsidR="00035CB0" w:rsidRPr="00CB05A8">
        <w:t xml:space="preserve">Ebbesen related, </w:t>
      </w:r>
      <w:r w:rsidRPr="00CB05A8">
        <w:t xml:space="preserve">when </w:t>
      </w:r>
      <w:r w:rsidR="000A795F" w:rsidRPr="00CB05A8">
        <w:t>individual</w:t>
      </w:r>
      <w:r w:rsidRPr="00CB05A8">
        <w:t>s were given a definition of first degree murder and the reasonable doubt standard in considering defendant’s guilt, th</w:t>
      </w:r>
      <w:r w:rsidR="00197E87" w:rsidRPr="00CB05A8">
        <w:t xml:space="preserve">ere was virtually no difference </w:t>
      </w:r>
      <w:r w:rsidR="007342DB">
        <w:t xml:space="preserve">between the two counties </w:t>
      </w:r>
      <w:r w:rsidR="00197E87" w:rsidRPr="00CB05A8">
        <w:t xml:space="preserve">in the likelihood a respondent </w:t>
      </w:r>
      <w:r w:rsidR="001418A5" w:rsidRPr="00CB05A8">
        <w:t>believed defendant was guilty</w:t>
      </w:r>
      <w:r w:rsidRPr="00CB05A8">
        <w:t>.  In both counties, 85 to 90</w:t>
      </w:r>
      <w:r w:rsidR="001D6DD5" w:rsidRPr="00CB05A8">
        <w:t> </w:t>
      </w:r>
      <w:r w:rsidRPr="00CB05A8">
        <w:t xml:space="preserve">percent of respondents indicated they could set aside what they knew about the case and be impartial.  There were </w:t>
      </w:r>
      <w:r w:rsidR="00A13D1C" w:rsidRPr="00CB05A8">
        <w:t xml:space="preserve">also </w:t>
      </w:r>
      <w:r w:rsidRPr="00CB05A8">
        <w:t xml:space="preserve">no differences between the two counties </w:t>
      </w:r>
      <w:r w:rsidR="008F5AD3" w:rsidRPr="00CB05A8">
        <w:t xml:space="preserve">regarding </w:t>
      </w:r>
      <w:r w:rsidR="001418A5" w:rsidRPr="00CB05A8">
        <w:t xml:space="preserve">respondents’ views on the </w:t>
      </w:r>
      <w:r w:rsidRPr="00CB05A8">
        <w:t xml:space="preserve">penalty defendant should receive if he were found guilty.  </w:t>
      </w:r>
      <w:r w:rsidR="00E75045" w:rsidRPr="00CB05A8">
        <w:t xml:space="preserve">Ebbesen’s survey also showed an identical </w:t>
      </w:r>
      <w:r w:rsidRPr="00CB05A8">
        <w:t xml:space="preserve">percentage of </w:t>
      </w:r>
      <w:r w:rsidR="00F20C07" w:rsidRPr="00CB05A8">
        <w:t>individuals</w:t>
      </w:r>
      <w:r w:rsidRPr="00CB05A8">
        <w:t xml:space="preserve"> in both counties who were willing to change their opinions </w:t>
      </w:r>
      <w:r w:rsidR="00E2010A" w:rsidRPr="00CB05A8">
        <w:t xml:space="preserve">about guilt </w:t>
      </w:r>
      <w:r w:rsidRPr="00CB05A8">
        <w:t xml:space="preserve">when confronted with new </w:t>
      </w:r>
      <w:r w:rsidR="000A795F" w:rsidRPr="00CB05A8">
        <w:t>evidence</w:t>
      </w:r>
      <w:r w:rsidRPr="00CB05A8">
        <w:t xml:space="preserve">.  </w:t>
      </w:r>
      <w:r w:rsidRPr="00CB05A8">
        <w:rPr>
          <w:color w:val="FF0000"/>
        </w:rPr>
        <w:t xml:space="preserve">  </w:t>
      </w:r>
    </w:p>
    <w:p w14:paraId="5506490E" w14:textId="5FC9F1F2" w:rsidR="00042247" w:rsidRPr="00CB05A8" w:rsidRDefault="00042247" w:rsidP="00F105E8">
      <w:pPr>
        <w:tabs>
          <w:tab w:val="left" w:pos="1440"/>
        </w:tabs>
        <w:ind w:firstLine="720"/>
      </w:pPr>
      <w:r w:rsidRPr="00CB05A8">
        <w:t xml:space="preserve">Dr. </w:t>
      </w:r>
      <w:r w:rsidR="002C3297" w:rsidRPr="00CB05A8">
        <w:t>Ebbesen</w:t>
      </w:r>
      <w:r w:rsidRPr="00CB05A8">
        <w:t xml:space="preserve"> criticized Dr. Bronson’s survey for failing to measure respondents who were unfamiliar with the case but would still find defendant guilty based on their general attitudes toward criminal justice.  He also disagreed with Bronson’s assumptions about the extent of people’s knowledge </w:t>
      </w:r>
      <w:r w:rsidR="007B6524" w:rsidRPr="00CB05A8">
        <w:t xml:space="preserve">concerning </w:t>
      </w:r>
      <w:r w:rsidRPr="00CB05A8">
        <w:t xml:space="preserve">the case and the breadth of publicity.  </w:t>
      </w:r>
      <w:r w:rsidR="002C3297" w:rsidRPr="00CB05A8">
        <w:t>Ebbesen</w:t>
      </w:r>
      <w:r w:rsidR="00B84016" w:rsidRPr="00CB05A8">
        <w:t xml:space="preserve"> </w:t>
      </w:r>
      <w:r w:rsidR="00B34ACC" w:rsidRPr="00CB05A8">
        <w:t>theorized that most people start with a presumption of guilt</w:t>
      </w:r>
      <w:r w:rsidR="00C65F2A" w:rsidRPr="00CB05A8">
        <w:t>,</w:t>
      </w:r>
      <w:r w:rsidR="00B34ACC" w:rsidRPr="00CB05A8">
        <w:t xml:space="preserve"> which may have caused the high percentage of </w:t>
      </w:r>
      <w:r w:rsidR="00F33284">
        <w:t xml:space="preserve">“definitely” or “probably” </w:t>
      </w:r>
      <w:r w:rsidR="00C805AB" w:rsidRPr="00CB05A8">
        <w:t>guilt</w:t>
      </w:r>
      <w:r w:rsidR="001418A5" w:rsidRPr="00CB05A8">
        <w:t xml:space="preserve">y responses </w:t>
      </w:r>
      <w:r w:rsidR="00C805AB" w:rsidRPr="00CB05A8">
        <w:t>in Sonoma County.</w:t>
      </w:r>
      <w:r w:rsidR="009B4877" w:rsidRPr="00CB05A8">
        <w:t xml:space="preserve">  </w:t>
      </w:r>
      <w:r w:rsidR="00B1610B" w:rsidRPr="00CB05A8">
        <w:t xml:space="preserve">He also opined that </w:t>
      </w:r>
      <w:r w:rsidR="008738A8" w:rsidRPr="00CB05A8">
        <w:t>there could be reasonable alternative explanations for hostility against defendant that were not necessarily publicity</w:t>
      </w:r>
      <w:r w:rsidR="00806F33">
        <w:t xml:space="preserve"> </w:t>
      </w:r>
      <w:r w:rsidR="008738A8" w:rsidRPr="00CB05A8">
        <w:t>induced, such as the emotional nature of the</w:t>
      </w:r>
      <w:r w:rsidR="001B45A2" w:rsidRPr="00CB05A8">
        <w:t xml:space="preserve"> crime — the murder of a police officer.  </w:t>
      </w:r>
    </w:p>
    <w:p w14:paraId="6D2D7094" w14:textId="78B9525B" w:rsidR="00042247" w:rsidRPr="00CB05A8" w:rsidRDefault="00042247" w:rsidP="00F105E8">
      <w:pPr>
        <w:tabs>
          <w:tab w:val="left" w:pos="1440"/>
        </w:tabs>
        <w:ind w:firstLine="720"/>
      </w:pPr>
      <w:r w:rsidRPr="00CB05A8">
        <w:t>Dr. Ronald Dillehay testified for the defense</w:t>
      </w:r>
      <w:r w:rsidR="00C65F2A" w:rsidRPr="00CB05A8">
        <w:t xml:space="preserve"> in rebuttal</w:t>
      </w:r>
      <w:r w:rsidRPr="00CB05A8">
        <w:t xml:space="preserve">.  </w:t>
      </w:r>
      <w:r w:rsidR="006F2616" w:rsidRPr="00CB05A8">
        <w:t>After reviewing</w:t>
      </w:r>
      <w:r w:rsidRPr="00CB05A8">
        <w:t xml:space="preserve"> both survey results, </w:t>
      </w:r>
      <w:r w:rsidR="006F2616" w:rsidRPr="00CB05A8">
        <w:t xml:space="preserve">Dillehay concluded that </w:t>
      </w:r>
      <w:r w:rsidRPr="00CB05A8">
        <w:t>Dr. Bronson’s methodology and conclusions</w:t>
      </w:r>
      <w:r w:rsidR="006F2616" w:rsidRPr="00CB05A8">
        <w:t xml:space="preserve"> were </w:t>
      </w:r>
      <w:r w:rsidR="003F7E0B" w:rsidRPr="00CB05A8">
        <w:t>valid,</w:t>
      </w:r>
      <w:r w:rsidR="00174FE9" w:rsidRPr="00CB05A8">
        <w:t xml:space="preserve"> and</w:t>
      </w:r>
      <w:r w:rsidRPr="00CB05A8">
        <w:t xml:space="preserve"> Dr. </w:t>
      </w:r>
      <w:r w:rsidR="002C3297" w:rsidRPr="00CB05A8">
        <w:t>Ebbesen</w:t>
      </w:r>
      <w:r w:rsidRPr="00CB05A8">
        <w:t xml:space="preserve">’s survey </w:t>
      </w:r>
      <w:r w:rsidR="00174FE9" w:rsidRPr="00CB05A8">
        <w:t>was</w:t>
      </w:r>
      <w:r w:rsidRPr="00CB05A8">
        <w:t xml:space="preserve"> too long and complex.    </w:t>
      </w:r>
    </w:p>
    <w:p w14:paraId="1DFA4F6B" w14:textId="2E4EF083" w:rsidR="00C236BD" w:rsidRPr="00CB05A8" w:rsidRDefault="00520069" w:rsidP="00F105E8">
      <w:pPr>
        <w:tabs>
          <w:tab w:val="left" w:pos="1440"/>
        </w:tabs>
        <w:ind w:firstLine="720"/>
      </w:pPr>
      <w:r w:rsidRPr="00CB05A8">
        <w:t xml:space="preserve">Following </w:t>
      </w:r>
      <w:r w:rsidR="001418A5" w:rsidRPr="00CB05A8">
        <w:t xml:space="preserve">the </w:t>
      </w:r>
      <w:r w:rsidRPr="00CB05A8">
        <w:t>hearing, t</w:t>
      </w:r>
      <w:r w:rsidR="007B234D" w:rsidRPr="00CB05A8">
        <w:t xml:space="preserve">he </w:t>
      </w:r>
      <w:r w:rsidR="007363AD" w:rsidRPr="00CB05A8">
        <w:t>trial</w:t>
      </w:r>
      <w:r w:rsidR="00A13CB0" w:rsidRPr="00CB05A8">
        <w:t xml:space="preserve"> </w:t>
      </w:r>
      <w:r w:rsidR="006A16B6" w:rsidRPr="00CB05A8">
        <w:t xml:space="preserve">court denied </w:t>
      </w:r>
      <w:r w:rsidR="00EC2064" w:rsidRPr="00CB05A8">
        <w:t>defendant’s</w:t>
      </w:r>
      <w:r w:rsidR="006A16B6" w:rsidRPr="00CB05A8">
        <w:t xml:space="preserve"> motion</w:t>
      </w:r>
      <w:r w:rsidR="00BE268E" w:rsidRPr="00CB05A8">
        <w:t xml:space="preserve"> without prejudice, subject to renewal after voir dire</w:t>
      </w:r>
      <w:r w:rsidR="006A16B6" w:rsidRPr="00CB05A8">
        <w:t xml:space="preserve">.  </w:t>
      </w:r>
      <w:r w:rsidR="00C236BD" w:rsidRPr="00CB05A8">
        <w:t xml:space="preserve">It deemed the surveys too speculative, and declined to consider them in its analysis.  </w:t>
      </w:r>
      <w:r w:rsidR="00F46BFD" w:rsidRPr="00CB05A8">
        <w:t xml:space="preserve">Based on its review of the </w:t>
      </w:r>
      <w:r w:rsidR="003A5D11">
        <w:t xml:space="preserve">68 </w:t>
      </w:r>
      <w:r w:rsidR="00F46BFD" w:rsidRPr="00CB05A8">
        <w:t>newspaper articles submitted by the defense</w:t>
      </w:r>
      <w:r w:rsidRPr="00CB05A8">
        <w:t xml:space="preserve">, </w:t>
      </w:r>
      <w:r w:rsidR="00C236BD" w:rsidRPr="00CB05A8">
        <w:t xml:space="preserve">the court ruled that the pretrial publicity was not inflammatory or pervasive enough to warrant a change of venue.  </w:t>
      </w:r>
    </w:p>
    <w:p w14:paraId="43D1D238" w14:textId="293C5BDB" w:rsidR="00E00850" w:rsidRPr="00CB05A8" w:rsidRDefault="006A16B6" w:rsidP="00F105E8">
      <w:pPr>
        <w:tabs>
          <w:tab w:val="left" w:pos="1440"/>
        </w:tabs>
        <w:ind w:firstLine="720"/>
      </w:pPr>
      <w:r w:rsidRPr="00CB05A8">
        <w:t xml:space="preserve">Jury selection began </w:t>
      </w:r>
      <w:r w:rsidR="00BC7243" w:rsidRPr="00CB05A8">
        <w:t>i</w:t>
      </w:r>
      <w:r w:rsidRPr="00CB05A8">
        <w:t xml:space="preserve">n </w:t>
      </w:r>
      <w:r w:rsidR="00EC74F3" w:rsidRPr="00CB05A8">
        <w:t>October 1996</w:t>
      </w:r>
      <w:r w:rsidRPr="00CB05A8">
        <w:t xml:space="preserve">.  </w:t>
      </w:r>
      <w:r w:rsidR="00887D42" w:rsidRPr="00CB05A8">
        <w:t>Approximately 800 prospective juror</w:t>
      </w:r>
      <w:r w:rsidR="00EC74F3" w:rsidRPr="00CB05A8">
        <w:t>s</w:t>
      </w:r>
      <w:r w:rsidR="00887D42" w:rsidRPr="00CB05A8">
        <w:t xml:space="preserve"> were summoned.  </w:t>
      </w:r>
      <w:r w:rsidR="00E039D5" w:rsidRPr="00CB05A8">
        <w:t xml:space="preserve">After </w:t>
      </w:r>
      <w:r w:rsidR="002F590C" w:rsidRPr="00CB05A8">
        <w:t>a majority</w:t>
      </w:r>
      <w:r w:rsidR="00E039D5" w:rsidRPr="00CB05A8">
        <w:t xml:space="preserve"> of the jury pool was excused for hardship</w:t>
      </w:r>
      <w:r w:rsidR="00887D42" w:rsidRPr="00CB05A8">
        <w:t>, 197</w:t>
      </w:r>
      <w:r w:rsidR="002F590C" w:rsidRPr="00CB05A8">
        <w:t xml:space="preserve"> prospective jurors</w:t>
      </w:r>
      <w:r w:rsidR="00887D42" w:rsidRPr="00CB05A8">
        <w:t xml:space="preserve"> remained.  </w:t>
      </w:r>
      <w:r w:rsidR="00250034" w:rsidRPr="00CB05A8">
        <w:t xml:space="preserve">Based on </w:t>
      </w:r>
      <w:r w:rsidR="00911F5D" w:rsidRPr="00CB05A8">
        <w:t xml:space="preserve">their </w:t>
      </w:r>
      <w:r w:rsidR="00BE4AB7" w:rsidRPr="00CB05A8">
        <w:t xml:space="preserve">written </w:t>
      </w:r>
      <w:r w:rsidR="00911F5D" w:rsidRPr="00CB05A8">
        <w:t xml:space="preserve">responses to </w:t>
      </w:r>
      <w:r w:rsidR="00BE4AB7" w:rsidRPr="00CB05A8">
        <w:t>questions in the jury questionnaire</w:t>
      </w:r>
      <w:r w:rsidR="00250034" w:rsidRPr="00CB05A8">
        <w:t xml:space="preserve"> regarding </w:t>
      </w:r>
      <w:r w:rsidR="00911F5D" w:rsidRPr="00CB05A8">
        <w:t>pretrial publicity, 163 of the 19</w:t>
      </w:r>
      <w:r w:rsidR="00E7245E" w:rsidRPr="00CB05A8">
        <w:t>7</w:t>
      </w:r>
      <w:r w:rsidR="00911F5D" w:rsidRPr="00CB05A8">
        <w:t xml:space="preserve"> prospective jurors recognized the case, a rate of approximately 8</w:t>
      </w:r>
      <w:r w:rsidR="00BA60DB" w:rsidRPr="00CB05A8">
        <w:t>3</w:t>
      </w:r>
      <w:r w:rsidR="00911F5D" w:rsidRPr="00CB05A8">
        <w:t xml:space="preserve"> percent.  </w:t>
      </w:r>
      <w:r w:rsidR="00246DF7" w:rsidRPr="00CB05A8">
        <w:t xml:space="preserve">Thirty to </w:t>
      </w:r>
      <w:r w:rsidR="00A3391B">
        <w:t>40</w:t>
      </w:r>
      <w:r w:rsidR="00246DF7" w:rsidRPr="00CB05A8">
        <w:t xml:space="preserve"> prospective jurors were </w:t>
      </w:r>
      <w:r w:rsidR="00520069" w:rsidRPr="00CB05A8">
        <w:t xml:space="preserve">subsequently </w:t>
      </w:r>
      <w:r w:rsidR="00246DF7" w:rsidRPr="00CB05A8">
        <w:t xml:space="preserve">excused </w:t>
      </w:r>
      <w:r w:rsidR="001418A5" w:rsidRPr="00CB05A8">
        <w:t xml:space="preserve">by </w:t>
      </w:r>
      <w:r w:rsidR="00246DF7" w:rsidRPr="00CB05A8">
        <w:t xml:space="preserve">stipulation.  </w:t>
      </w:r>
      <w:r w:rsidR="00124EF9" w:rsidRPr="00CB05A8">
        <w:t>After</w:t>
      </w:r>
      <w:r w:rsidR="00887D42" w:rsidRPr="00CB05A8">
        <w:t xml:space="preserve"> </w:t>
      </w:r>
      <w:r w:rsidR="00A3216E" w:rsidRPr="00CB05A8">
        <w:t xml:space="preserve">the remaining </w:t>
      </w:r>
      <w:r w:rsidR="00887D42" w:rsidRPr="00CB05A8">
        <w:t>prospective jurors</w:t>
      </w:r>
      <w:r w:rsidR="00124EF9" w:rsidRPr="00CB05A8">
        <w:t xml:space="preserve"> were questioned</w:t>
      </w:r>
      <w:r w:rsidR="00887D42" w:rsidRPr="00CB05A8">
        <w:t xml:space="preserve"> </w:t>
      </w:r>
      <w:r w:rsidR="00A3216E" w:rsidRPr="00CB05A8">
        <w:t>regarding</w:t>
      </w:r>
      <w:r w:rsidR="00887D42" w:rsidRPr="00CB05A8">
        <w:t xml:space="preserve"> their knowledge of the case from pretrial publicity a</w:t>
      </w:r>
      <w:r w:rsidR="001418A5" w:rsidRPr="00CB05A8">
        <w:t xml:space="preserve">s well as </w:t>
      </w:r>
      <w:r w:rsidR="00887D42" w:rsidRPr="00CB05A8">
        <w:t xml:space="preserve">their death penalty views, the jury pool was </w:t>
      </w:r>
      <w:r w:rsidR="00033973" w:rsidRPr="00CB05A8">
        <w:t xml:space="preserve">further </w:t>
      </w:r>
      <w:r w:rsidR="00887D42" w:rsidRPr="00CB05A8">
        <w:t xml:space="preserve">reduced to 88.   </w:t>
      </w:r>
      <w:r w:rsidR="005A7D91" w:rsidRPr="00CB05A8">
        <w:t xml:space="preserve"> </w:t>
      </w:r>
    </w:p>
    <w:p w14:paraId="5ABFC976" w14:textId="4E67B182" w:rsidR="00471F77" w:rsidRPr="00CB05A8" w:rsidRDefault="00B3602B" w:rsidP="00F105E8">
      <w:pPr>
        <w:ind w:firstLine="720"/>
      </w:pPr>
      <w:r w:rsidRPr="00CB05A8">
        <w:t>Defendant renewed his motion for change of venue i</w:t>
      </w:r>
      <w:r w:rsidR="00124EF9" w:rsidRPr="00CB05A8">
        <w:t xml:space="preserve">n mid-November 1996, </w:t>
      </w:r>
      <w:r w:rsidRPr="00CB05A8">
        <w:t>a few</w:t>
      </w:r>
      <w:r w:rsidR="003703C1" w:rsidRPr="00CB05A8">
        <w:t xml:space="preserve"> days before the completion of jury selection</w:t>
      </w:r>
      <w:r w:rsidR="004657A2" w:rsidRPr="00CB05A8">
        <w:t xml:space="preserve"> </w:t>
      </w:r>
      <w:r w:rsidRPr="00CB05A8">
        <w:t xml:space="preserve">— </w:t>
      </w:r>
      <w:r w:rsidR="004657A2" w:rsidRPr="00CB05A8">
        <w:t xml:space="preserve">and approximately </w:t>
      </w:r>
      <w:r w:rsidR="0006684B">
        <w:t>19</w:t>
      </w:r>
      <w:r w:rsidR="004657A2" w:rsidRPr="00CB05A8">
        <w:t xml:space="preserve"> months after the charged crimes occurred</w:t>
      </w:r>
      <w:r w:rsidR="00682A0B" w:rsidRPr="00CB05A8">
        <w:t xml:space="preserve">.  </w:t>
      </w:r>
      <w:r w:rsidR="00E32079" w:rsidRPr="00CB05A8">
        <w:t xml:space="preserve">He </w:t>
      </w:r>
      <w:r w:rsidR="002C0ED6" w:rsidRPr="00CB05A8">
        <w:t>claime</w:t>
      </w:r>
      <w:r w:rsidR="00E32079" w:rsidRPr="00CB05A8">
        <w:t xml:space="preserve">d </w:t>
      </w:r>
      <w:r w:rsidR="001A504A" w:rsidRPr="00CB05A8">
        <w:t>the questionnaire</w:t>
      </w:r>
      <w:r w:rsidR="002E635F" w:rsidRPr="00CB05A8">
        <w:t xml:space="preserve"> responses and individual voir dire</w:t>
      </w:r>
      <w:r w:rsidR="001A504A" w:rsidRPr="00CB05A8">
        <w:t xml:space="preserve"> </w:t>
      </w:r>
      <w:r w:rsidR="002C0ED6" w:rsidRPr="00CB05A8">
        <w:t>show</w:t>
      </w:r>
      <w:r w:rsidR="00036B49" w:rsidRPr="00CB05A8">
        <w:t>e</w:t>
      </w:r>
      <w:r w:rsidR="002E635F" w:rsidRPr="00CB05A8">
        <w:t>d</w:t>
      </w:r>
      <w:r w:rsidR="00D42899" w:rsidRPr="00CB05A8">
        <w:t xml:space="preserve"> that </w:t>
      </w:r>
      <w:r w:rsidR="00036B49" w:rsidRPr="00CB05A8">
        <w:t xml:space="preserve">pretrial publicity </w:t>
      </w:r>
      <w:r w:rsidR="003300D8" w:rsidRPr="00CB05A8">
        <w:t>continued to have an effect</w:t>
      </w:r>
      <w:r w:rsidR="0023512A" w:rsidRPr="00CB05A8">
        <w:t xml:space="preserve"> on the community and jury venire</w:t>
      </w:r>
      <w:r w:rsidR="00E32079" w:rsidRPr="00CB05A8">
        <w:t xml:space="preserve">.  </w:t>
      </w:r>
      <w:r w:rsidR="00AC241E" w:rsidRPr="00CB05A8">
        <w:t xml:space="preserve">The court </w:t>
      </w:r>
      <w:r w:rsidR="00D42899" w:rsidRPr="00CB05A8">
        <w:t>waited</w:t>
      </w:r>
      <w:r w:rsidR="00AC241E" w:rsidRPr="00CB05A8">
        <w:t xml:space="preserve"> to rule on the motion </w:t>
      </w:r>
      <w:r w:rsidR="00D42899" w:rsidRPr="00CB05A8">
        <w:t xml:space="preserve">until </w:t>
      </w:r>
      <w:r w:rsidR="00AC241E" w:rsidRPr="00CB05A8">
        <w:t xml:space="preserve">after the </w:t>
      </w:r>
      <w:r w:rsidR="0095562A" w:rsidRPr="00CB05A8">
        <w:t>completion of jury selection</w:t>
      </w:r>
      <w:r w:rsidR="00452B59" w:rsidRPr="00CB05A8">
        <w:t xml:space="preserve">. </w:t>
      </w:r>
      <w:r w:rsidR="00452B59" w:rsidRPr="00CB05A8">
        <w:rPr>
          <w:color w:val="FF0000"/>
        </w:rPr>
        <w:t xml:space="preserve"> </w:t>
      </w:r>
      <w:r w:rsidR="00452B59" w:rsidRPr="00CB05A8">
        <w:t xml:space="preserve">  </w:t>
      </w:r>
    </w:p>
    <w:p w14:paraId="4FC0863A" w14:textId="67EE2962" w:rsidR="00AE11FD" w:rsidRPr="00CB05A8" w:rsidRDefault="0095562A" w:rsidP="00F105E8">
      <w:pPr>
        <w:ind w:firstLine="720"/>
      </w:pPr>
      <w:r w:rsidRPr="00CB05A8">
        <w:t>Once</w:t>
      </w:r>
      <w:r w:rsidR="00D07065" w:rsidRPr="00CB05A8">
        <w:t xml:space="preserve"> </w:t>
      </w:r>
      <w:r w:rsidR="00B21F6B" w:rsidRPr="00CB05A8">
        <w:t>both sides declined to exercise further peremptory challenges and accepted the panel</w:t>
      </w:r>
      <w:r w:rsidR="00D07065" w:rsidRPr="00CB05A8">
        <w:t xml:space="preserve">, defendant </w:t>
      </w:r>
      <w:r w:rsidRPr="00CB05A8">
        <w:t>asked</w:t>
      </w:r>
      <w:r w:rsidR="00D07065" w:rsidRPr="00CB05A8">
        <w:t xml:space="preserve"> the court </w:t>
      </w:r>
      <w:r w:rsidR="00A4645B" w:rsidRPr="00CB05A8">
        <w:t xml:space="preserve">to </w:t>
      </w:r>
      <w:r w:rsidR="00D07065" w:rsidRPr="00CB05A8">
        <w:t xml:space="preserve">revisit </w:t>
      </w:r>
      <w:r w:rsidR="001D326B" w:rsidRPr="00CB05A8">
        <w:t xml:space="preserve">the </w:t>
      </w:r>
      <w:r w:rsidR="00AF1C5D" w:rsidRPr="00CB05A8">
        <w:t>motion</w:t>
      </w:r>
      <w:r w:rsidR="00B21F6B" w:rsidRPr="00CB05A8">
        <w:t>.</w:t>
      </w:r>
      <w:r w:rsidR="00D6446F" w:rsidRPr="00CB05A8">
        <w:rPr>
          <w:rStyle w:val="FootnoteReference"/>
        </w:rPr>
        <w:footnoteReference w:id="6"/>
      </w:r>
      <w:r w:rsidR="00B21F6B" w:rsidRPr="00CB05A8">
        <w:t xml:space="preserve">  </w:t>
      </w:r>
      <w:r w:rsidR="00B671AE" w:rsidRPr="00CB05A8">
        <w:t>According to defense counsel</w:t>
      </w:r>
      <w:r w:rsidR="00FB3896" w:rsidRPr="00CB05A8">
        <w:t xml:space="preserve">, </w:t>
      </w:r>
      <w:r w:rsidR="00CB1B01" w:rsidRPr="00CB05A8">
        <w:t xml:space="preserve">approximately </w:t>
      </w:r>
      <w:r w:rsidR="00931811" w:rsidRPr="00CB05A8">
        <w:t>85</w:t>
      </w:r>
      <w:r w:rsidR="00643FA4">
        <w:t> </w:t>
      </w:r>
      <w:r w:rsidR="00931811" w:rsidRPr="00CB05A8">
        <w:t xml:space="preserve">percent of the </w:t>
      </w:r>
      <w:r w:rsidR="00E47BA6" w:rsidRPr="00CB05A8">
        <w:t xml:space="preserve">potential jurors who had </w:t>
      </w:r>
      <w:r w:rsidR="00922716" w:rsidRPr="00CB05A8">
        <w:t>completed</w:t>
      </w:r>
      <w:r w:rsidR="00E47BA6" w:rsidRPr="00CB05A8">
        <w:t xml:space="preserve"> the questionnaire recognized the case</w:t>
      </w:r>
      <w:r w:rsidR="001F2770" w:rsidRPr="00CB05A8">
        <w:t>.  This included</w:t>
      </w:r>
      <w:r w:rsidR="00E47BA6" w:rsidRPr="00CB05A8">
        <w:t xml:space="preserve"> </w:t>
      </w:r>
      <w:r w:rsidR="003D5106">
        <w:t>14</w:t>
      </w:r>
      <w:r w:rsidR="00B21F6B" w:rsidRPr="00CB05A8">
        <w:t xml:space="preserve"> of the </w:t>
      </w:r>
      <w:r w:rsidR="003D5106">
        <w:t>18</w:t>
      </w:r>
      <w:r w:rsidR="0058257A" w:rsidRPr="00CB05A8">
        <w:t xml:space="preserve"> </w:t>
      </w:r>
      <w:r w:rsidR="00B21F6B" w:rsidRPr="00CB05A8">
        <w:t>seated jurors and alternates</w:t>
      </w:r>
      <w:r w:rsidR="001F2770" w:rsidRPr="00CB05A8">
        <w:t xml:space="preserve">, a recognition rate of </w:t>
      </w:r>
      <w:r w:rsidR="009855B7" w:rsidRPr="00CB05A8">
        <w:t xml:space="preserve">approximately </w:t>
      </w:r>
      <w:r w:rsidR="001F2770" w:rsidRPr="00CB05A8">
        <w:t>77 percent</w:t>
      </w:r>
      <w:r w:rsidR="00B21F6B" w:rsidRPr="00CB05A8">
        <w:rPr>
          <w:color w:val="000000" w:themeColor="text1"/>
        </w:rPr>
        <w:t>.</w:t>
      </w:r>
      <w:r w:rsidR="00FB3896" w:rsidRPr="00CB05A8">
        <w:rPr>
          <w:rStyle w:val="FootnoteReference"/>
          <w:color w:val="000000" w:themeColor="text1"/>
        </w:rPr>
        <w:footnoteReference w:id="7"/>
      </w:r>
      <w:r w:rsidR="00B21F6B" w:rsidRPr="00CB05A8">
        <w:rPr>
          <w:color w:val="000000" w:themeColor="text1"/>
        </w:rPr>
        <w:t xml:space="preserve">  </w:t>
      </w:r>
      <w:r w:rsidR="00B21F6B" w:rsidRPr="00CB05A8">
        <w:t xml:space="preserve">  </w:t>
      </w:r>
    </w:p>
    <w:p w14:paraId="2D9F540D" w14:textId="1AA61637" w:rsidR="00E32079" w:rsidRPr="00CB05A8" w:rsidRDefault="003703C1" w:rsidP="00F105E8">
      <w:pPr>
        <w:ind w:firstLine="720"/>
      </w:pPr>
      <w:r w:rsidRPr="00CB05A8">
        <w:t>T</w:t>
      </w:r>
      <w:r w:rsidR="00E32079" w:rsidRPr="00CB05A8">
        <w:t xml:space="preserve">he court </w:t>
      </w:r>
      <w:r w:rsidR="00AE11FD" w:rsidRPr="00CB05A8">
        <w:t>denied defendant’s renewed motion</w:t>
      </w:r>
      <w:r w:rsidR="003F26CD" w:rsidRPr="00CB05A8">
        <w:t xml:space="preserve">.  </w:t>
      </w:r>
      <w:r w:rsidR="00E566F3" w:rsidRPr="00CB05A8">
        <w:rPr>
          <w:color w:val="000000" w:themeColor="text1"/>
        </w:rPr>
        <w:t>I</w:t>
      </w:r>
      <w:r w:rsidR="00E566F3" w:rsidRPr="00CB05A8">
        <w:t>n so ruling, the court</w:t>
      </w:r>
      <w:r w:rsidR="003F26CD" w:rsidRPr="00CB05A8">
        <w:t xml:space="preserve"> explained that it had </w:t>
      </w:r>
      <w:r w:rsidR="00E45595" w:rsidRPr="00CB05A8">
        <w:t xml:space="preserve">carefully </w:t>
      </w:r>
      <w:r w:rsidR="00D03AF7" w:rsidRPr="00CB05A8">
        <w:t xml:space="preserve">reviewed the written </w:t>
      </w:r>
      <w:r w:rsidR="00EB407E" w:rsidRPr="00CB05A8">
        <w:t xml:space="preserve">questionnaire responses of prospective jurors, individually questioned them about the influence of the pretrial publicity on their opinions and their ability to be impartial, and observed their demeanor during voir dire.  </w:t>
      </w:r>
      <w:r w:rsidR="00CB42CC" w:rsidRPr="00CB05A8">
        <w:t xml:space="preserve">It found that </w:t>
      </w:r>
      <w:r w:rsidR="001D4317" w:rsidRPr="00CB05A8">
        <w:t xml:space="preserve">the venire </w:t>
      </w:r>
      <w:r w:rsidR="00EA1A70" w:rsidRPr="00CB05A8">
        <w:t>did</w:t>
      </w:r>
      <w:r w:rsidR="001D4317" w:rsidRPr="00CB05A8">
        <w:t xml:space="preserve"> not demonstrate th</w:t>
      </w:r>
      <w:r w:rsidR="00B03E98">
        <w:t>e</w:t>
      </w:r>
      <w:r w:rsidR="001D4317" w:rsidRPr="00CB05A8">
        <w:t xml:space="preserve"> level of pretrial publicity necessary to disqualify them as a group of prospective jurors.  </w:t>
      </w:r>
      <w:r w:rsidR="00993956" w:rsidRPr="00CB05A8">
        <w:t>It</w:t>
      </w:r>
      <w:r w:rsidR="00EA1A70" w:rsidRPr="00CB05A8">
        <w:t xml:space="preserve"> separately considered the written and </w:t>
      </w:r>
      <w:r w:rsidR="003A75D4" w:rsidRPr="00CB05A8">
        <w:t>oral responses to pretrial publicity questions from the seated and alternate jurors</w:t>
      </w:r>
      <w:r w:rsidR="00993956" w:rsidRPr="00CB05A8">
        <w:t xml:space="preserve">, </w:t>
      </w:r>
      <w:r w:rsidR="00426746" w:rsidRPr="00CB05A8">
        <w:t>and ruled</w:t>
      </w:r>
      <w:r w:rsidR="00993956" w:rsidRPr="00CB05A8">
        <w:t xml:space="preserve"> that </w:t>
      </w:r>
      <w:r w:rsidR="0008046A" w:rsidRPr="00CB05A8">
        <w:t xml:space="preserve">defendant failed to meet his burden of proving that </w:t>
      </w:r>
      <w:r w:rsidR="00C41946" w:rsidRPr="00CB05A8">
        <w:t xml:space="preserve">he could not </w:t>
      </w:r>
      <w:r w:rsidR="00523FCE" w:rsidRPr="00CB05A8">
        <w:t xml:space="preserve">receive </w:t>
      </w:r>
      <w:r w:rsidR="00C41946" w:rsidRPr="00CB05A8">
        <w:t xml:space="preserve">a fair trial based on the responses of the actual jurors selected.  </w:t>
      </w:r>
    </w:p>
    <w:p w14:paraId="2A07D0E3" w14:textId="6AAEA9F9" w:rsidR="009F3A1E" w:rsidRPr="00CB05A8" w:rsidRDefault="00E62924" w:rsidP="00F105E8">
      <w:pPr>
        <w:pStyle w:val="Heading4"/>
        <w:numPr>
          <w:ilvl w:val="0"/>
          <w:numId w:val="22"/>
        </w:numPr>
        <w:ind w:left="2016" w:hanging="432"/>
      </w:pPr>
      <w:r w:rsidRPr="00CB05A8">
        <w:t xml:space="preserve"> </w:t>
      </w:r>
      <w:bookmarkStart w:id="27" w:name="_Toc58918782"/>
      <w:r w:rsidR="00455F8D" w:rsidRPr="00CB05A8">
        <w:t>Discussion</w:t>
      </w:r>
      <w:bookmarkEnd w:id="27"/>
    </w:p>
    <w:p w14:paraId="297E1DD7" w14:textId="3C63CA6F" w:rsidR="0014285F" w:rsidRPr="00CB05A8" w:rsidRDefault="00373B6D" w:rsidP="00F105E8">
      <w:pPr>
        <w:tabs>
          <w:tab w:val="left" w:pos="1440"/>
        </w:tabs>
        <w:ind w:firstLine="720"/>
        <w:contextualSpacing/>
        <w:rPr>
          <w:iCs/>
          <w:color w:val="000000" w:themeColor="text1"/>
        </w:rPr>
      </w:pPr>
      <w:r w:rsidRPr="00CB05A8">
        <w:rPr>
          <w:iCs/>
        </w:rPr>
        <w:t>On a defendant’s motion, the</w:t>
      </w:r>
      <w:r w:rsidR="007E08F7" w:rsidRPr="00CB05A8">
        <w:rPr>
          <w:iCs/>
        </w:rPr>
        <w:t xml:space="preserve"> court</w:t>
      </w:r>
      <w:r w:rsidR="009F3A1E" w:rsidRPr="00CB05A8">
        <w:rPr>
          <w:iCs/>
        </w:rPr>
        <w:t xml:space="preserve"> </w:t>
      </w:r>
      <w:r w:rsidRPr="00CB05A8">
        <w:rPr>
          <w:iCs/>
        </w:rPr>
        <w:t>shall order</w:t>
      </w:r>
      <w:r w:rsidR="009F3A1E" w:rsidRPr="00CB05A8">
        <w:rPr>
          <w:iCs/>
        </w:rPr>
        <w:t xml:space="preserve"> a change of venue </w:t>
      </w:r>
      <w:r w:rsidRPr="00CB05A8">
        <w:rPr>
          <w:iCs/>
        </w:rPr>
        <w:t>“when it appears that there is a reasonable likelihood that a fair and impartial trial cannot be had in the county</w:t>
      </w:r>
      <w:r w:rsidR="009F3A1E" w:rsidRPr="00CB05A8">
        <w:rPr>
          <w:iCs/>
        </w:rPr>
        <w:t>.</w:t>
      </w:r>
      <w:r w:rsidRPr="00CB05A8">
        <w:rPr>
          <w:iCs/>
        </w:rPr>
        <w:t>”</w:t>
      </w:r>
      <w:r w:rsidR="003B0DCC" w:rsidRPr="00CB05A8">
        <w:rPr>
          <w:iCs/>
        </w:rPr>
        <w:t xml:space="preserve">  (</w:t>
      </w:r>
      <w:r w:rsidRPr="00CB05A8">
        <w:rPr>
          <w:iCs/>
        </w:rPr>
        <w:t xml:space="preserve">§ 1033, subd. (a); </w:t>
      </w:r>
      <w:r w:rsidR="00DD0A70">
        <w:rPr>
          <w:iCs/>
        </w:rPr>
        <w:t xml:space="preserve">see </w:t>
      </w:r>
      <w:r w:rsidR="003B0DCC" w:rsidRPr="00CB05A8">
        <w:rPr>
          <w:i/>
          <w:iCs/>
        </w:rPr>
        <w:t xml:space="preserve">People v. Panah </w:t>
      </w:r>
      <w:r w:rsidR="003B0DCC" w:rsidRPr="00CB05A8">
        <w:rPr>
          <w:iCs/>
        </w:rPr>
        <w:t>(2005) 35 Cal.4th 395, 447</w:t>
      </w:r>
      <w:r w:rsidR="00060974" w:rsidRPr="00CB05A8">
        <w:rPr>
          <w:iCs/>
        </w:rPr>
        <w:t xml:space="preserve"> </w:t>
      </w:r>
      <w:r w:rsidR="003B0DCC" w:rsidRPr="00CB05A8">
        <w:rPr>
          <w:iCs/>
        </w:rPr>
        <w:t>(</w:t>
      </w:r>
      <w:r w:rsidR="003B0DCC" w:rsidRPr="00CB05A8">
        <w:rPr>
          <w:i/>
          <w:iCs/>
        </w:rPr>
        <w:t>Panah</w:t>
      </w:r>
      <w:r w:rsidR="003B0DCC" w:rsidRPr="00CB05A8">
        <w:rPr>
          <w:iCs/>
        </w:rPr>
        <w:t>).)</w:t>
      </w:r>
      <w:r w:rsidR="009F3A1E" w:rsidRPr="00CB05A8">
        <w:rPr>
          <w:iCs/>
        </w:rPr>
        <w:t xml:space="preserve">  </w:t>
      </w:r>
      <w:r w:rsidRPr="00CB05A8">
        <w:rPr>
          <w:iCs/>
        </w:rPr>
        <w:t xml:space="preserve">In deciding whether to change venue, </w:t>
      </w:r>
      <w:r w:rsidR="00A36636" w:rsidRPr="00CB05A8">
        <w:rPr>
          <w:iCs/>
        </w:rPr>
        <w:t>a court must consider</w:t>
      </w:r>
      <w:r w:rsidRPr="00CB05A8">
        <w:rPr>
          <w:iCs/>
        </w:rPr>
        <w:t xml:space="preserve"> “</w:t>
      </w:r>
      <w:r w:rsidR="003B0DCC" w:rsidRPr="00CB05A8">
        <w:rPr>
          <w:iCs/>
        </w:rPr>
        <w:t xml:space="preserve">the </w:t>
      </w:r>
      <w:r w:rsidR="009F3A1E" w:rsidRPr="00CB05A8">
        <w:rPr>
          <w:iCs/>
        </w:rPr>
        <w:t>nature and gravity of the offense</w:t>
      </w:r>
      <w:r w:rsidRPr="00CB05A8">
        <w:rPr>
          <w:iCs/>
        </w:rPr>
        <w:t xml:space="preserve">, </w:t>
      </w:r>
      <w:r w:rsidR="003B0DCC" w:rsidRPr="00CB05A8">
        <w:rPr>
          <w:iCs/>
        </w:rPr>
        <w:t xml:space="preserve">the </w:t>
      </w:r>
      <w:r w:rsidR="009F3A1E" w:rsidRPr="00CB05A8">
        <w:rPr>
          <w:iCs/>
        </w:rPr>
        <w:t>nature and extent of the media coverage</w:t>
      </w:r>
      <w:r w:rsidRPr="00CB05A8">
        <w:rPr>
          <w:iCs/>
        </w:rPr>
        <w:t>,</w:t>
      </w:r>
      <w:r w:rsidR="009F3A1E" w:rsidRPr="00CB05A8">
        <w:rPr>
          <w:iCs/>
        </w:rPr>
        <w:t xml:space="preserve"> </w:t>
      </w:r>
      <w:r w:rsidR="003B0DCC" w:rsidRPr="00CB05A8">
        <w:rPr>
          <w:iCs/>
        </w:rPr>
        <w:t xml:space="preserve">the </w:t>
      </w:r>
      <w:r w:rsidR="009F3A1E" w:rsidRPr="00CB05A8">
        <w:rPr>
          <w:iCs/>
        </w:rPr>
        <w:t>size of the community</w:t>
      </w:r>
      <w:r w:rsidRPr="00CB05A8">
        <w:rPr>
          <w:iCs/>
        </w:rPr>
        <w:t>,</w:t>
      </w:r>
      <w:r w:rsidR="003B0DCC" w:rsidRPr="00CB05A8">
        <w:rPr>
          <w:iCs/>
        </w:rPr>
        <w:t xml:space="preserve"> </w:t>
      </w:r>
      <w:r w:rsidR="009F3A1E" w:rsidRPr="00CB05A8">
        <w:rPr>
          <w:iCs/>
        </w:rPr>
        <w:t>the defendant’s status within the community</w:t>
      </w:r>
      <w:r w:rsidRPr="00CB05A8">
        <w:rPr>
          <w:iCs/>
        </w:rPr>
        <w:t xml:space="preserve">, </w:t>
      </w:r>
      <w:r w:rsidR="009F3A1E" w:rsidRPr="00CB05A8">
        <w:rPr>
          <w:iCs/>
        </w:rPr>
        <w:t>and the victim</w:t>
      </w:r>
      <w:r w:rsidR="003B0DCC" w:rsidRPr="00CB05A8">
        <w:rPr>
          <w:iCs/>
        </w:rPr>
        <w:t>’</w:t>
      </w:r>
      <w:r w:rsidR="009F3A1E" w:rsidRPr="00CB05A8">
        <w:rPr>
          <w:iCs/>
        </w:rPr>
        <w:t>s prominence.</w:t>
      </w:r>
      <w:r w:rsidRPr="00CB05A8">
        <w:rPr>
          <w:iCs/>
        </w:rPr>
        <w:t>”</w:t>
      </w:r>
      <w:r w:rsidR="009F3A1E" w:rsidRPr="00CB05A8">
        <w:rPr>
          <w:iCs/>
        </w:rPr>
        <w:t xml:space="preserve">  (</w:t>
      </w:r>
      <w:r w:rsidR="00C832BF" w:rsidRPr="00CB05A8">
        <w:rPr>
          <w:i/>
          <w:iCs/>
        </w:rPr>
        <w:t xml:space="preserve">People v. Rountree </w:t>
      </w:r>
      <w:r w:rsidR="00C832BF" w:rsidRPr="00CB05A8">
        <w:rPr>
          <w:iCs/>
        </w:rPr>
        <w:t>(2013) 56 Cal.4th 823, 837 (</w:t>
      </w:r>
      <w:r w:rsidR="00C832BF" w:rsidRPr="00CB05A8">
        <w:rPr>
          <w:i/>
          <w:iCs/>
        </w:rPr>
        <w:t>Rountree</w:t>
      </w:r>
      <w:r w:rsidR="00C832BF" w:rsidRPr="00CB05A8">
        <w:rPr>
          <w:iCs/>
        </w:rPr>
        <w:t>)</w:t>
      </w:r>
      <w:r w:rsidR="00C832BF">
        <w:rPr>
          <w:iCs/>
        </w:rPr>
        <w:t>.</w:t>
      </w:r>
      <w:r w:rsidR="009F3A1E" w:rsidRPr="00CB05A8">
        <w:rPr>
          <w:iCs/>
        </w:rPr>
        <w:t xml:space="preserve">)  </w:t>
      </w:r>
      <w:r w:rsidR="003449C0" w:rsidRPr="00CB05A8">
        <w:rPr>
          <w:iCs/>
        </w:rPr>
        <w:t>“</w:t>
      </w:r>
      <w:r w:rsidR="003B0DCC" w:rsidRPr="00CB05A8">
        <w:rPr>
          <w:iCs/>
        </w:rPr>
        <w:t>P</w:t>
      </w:r>
      <w:r w:rsidR="009F3A1E" w:rsidRPr="00CB05A8">
        <w:rPr>
          <w:iCs/>
        </w:rPr>
        <w:t xml:space="preserve">olitical </w:t>
      </w:r>
      <w:r w:rsidR="003449C0" w:rsidRPr="00CB05A8">
        <w:rPr>
          <w:iCs/>
        </w:rPr>
        <w:t xml:space="preserve">overtone” </w:t>
      </w:r>
      <w:r w:rsidR="009F3A1E" w:rsidRPr="00CB05A8">
        <w:rPr>
          <w:iCs/>
        </w:rPr>
        <w:t>factors</w:t>
      </w:r>
      <w:r w:rsidR="00AD2490" w:rsidRPr="00CB05A8">
        <w:rPr>
          <w:iCs/>
        </w:rPr>
        <w:t>, if present,</w:t>
      </w:r>
      <w:r w:rsidR="009F3A1E" w:rsidRPr="00CB05A8">
        <w:rPr>
          <w:iCs/>
        </w:rPr>
        <w:t xml:space="preserve"> </w:t>
      </w:r>
      <w:r w:rsidR="003B0DCC" w:rsidRPr="00CB05A8">
        <w:rPr>
          <w:iCs/>
        </w:rPr>
        <w:t>may also be a pertinent consideration</w:t>
      </w:r>
      <w:r w:rsidR="009F3A1E" w:rsidRPr="00CB05A8">
        <w:rPr>
          <w:iCs/>
        </w:rPr>
        <w:t>.  (</w:t>
      </w:r>
      <w:r w:rsidR="007B1258">
        <w:rPr>
          <w:iCs/>
        </w:rPr>
        <w:t xml:space="preserve">See </w:t>
      </w:r>
      <w:r w:rsidR="007B1258" w:rsidRPr="00CB05A8">
        <w:rPr>
          <w:i/>
          <w:iCs/>
        </w:rPr>
        <w:t>People v. Harris</w:t>
      </w:r>
      <w:r w:rsidR="007B1258" w:rsidRPr="00CB05A8">
        <w:rPr>
          <w:iCs/>
        </w:rPr>
        <w:t xml:space="preserve"> (2013) 57 Cal.4th 804, 822 (</w:t>
      </w:r>
      <w:r w:rsidR="007B1258" w:rsidRPr="00CB05A8">
        <w:rPr>
          <w:i/>
          <w:iCs/>
        </w:rPr>
        <w:t>Harris</w:t>
      </w:r>
      <w:r w:rsidR="007B1258" w:rsidRPr="00CB05A8">
        <w:rPr>
          <w:iCs/>
          <w:color w:val="000000" w:themeColor="text1"/>
        </w:rPr>
        <w:t>)</w:t>
      </w:r>
      <w:r w:rsidR="007B1258">
        <w:rPr>
          <w:iCs/>
          <w:color w:val="000000" w:themeColor="text1"/>
        </w:rPr>
        <w:t xml:space="preserve">; </w:t>
      </w:r>
      <w:r w:rsidR="009F3A1E" w:rsidRPr="00CB05A8">
        <w:rPr>
          <w:i/>
          <w:iCs/>
        </w:rPr>
        <w:t>Maine v. Superior Court of Mendocino County</w:t>
      </w:r>
      <w:r w:rsidR="009F3A1E" w:rsidRPr="00CB05A8">
        <w:rPr>
          <w:iCs/>
        </w:rPr>
        <w:t xml:space="preserve"> (1968) 68 Cal.2d 375</w:t>
      </w:r>
      <w:r w:rsidR="00F61614" w:rsidRPr="00CB05A8">
        <w:rPr>
          <w:iCs/>
        </w:rPr>
        <w:t>, 387</w:t>
      </w:r>
      <w:r w:rsidR="009F3A1E" w:rsidRPr="00CB05A8">
        <w:rPr>
          <w:iCs/>
        </w:rPr>
        <w:t xml:space="preserve"> (</w:t>
      </w:r>
      <w:r w:rsidR="009F3A1E" w:rsidRPr="00CB05A8">
        <w:rPr>
          <w:i/>
          <w:iCs/>
        </w:rPr>
        <w:t>Maine</w:t>
      </w:r>
      <w:r w:rsidR="00323FF8">
        <w:t>)</w:t>
      </w:r>
      <w:r w:rsidR="009F3A1E" w:rsidRPr="00CB05A8">
        <w:rPr>
          <w:iCs/>
          <w:color w:val="000000" w:themeColor="text1"/>
        </w:rPr>
        <w:t>.)</w:t>
      </w:r>
      <w:r w:rsidR="007B635C" w:rsidRPr="00CB05A8">
        <w:rPr>
          <w:iCs/>
          <w:color w:val="000000" w:themeColor="text1"/>
        </w:rPr>
        <w:t xml:space="preserve">  </w:t>
      </w:r>
    </w:p>
    <w:p w14:paraId="724C883E" w14:textId="1D132040" w:rsidR="009F3A1E" w:rsidRPr="00CB05A8" w:rsidRDefault="000C11D6" w:rsidP="00F105E8">
      <w:pPr>
        <w:tabs>
          <w:tab w:val="left" w:pos="1440"/>
        </w:tabs>
        <w:ind w:firstLine="720"/>
        <w:contextualSpacing/>
        <w:rPr>
          <w:iCs/>
        </w:rPr>
      </w:pPr>
      <w:r w:rsidRPr="00CB05A8">
        <w:rPr>
          <w:iCs/>
        </w:rPr>
        <w:t>“</w:t>
      </w:r>
      <w:r w:rsidR="00EB50E3" w:rsidRPr="00CB05A8">
        <w:rPr>
          <w:iCs/>
        </w:rPr>
        <w:t xml:space="preserve">On appeal, </w:t>
      </w:r>
      <w:r w:rsidR="00886EFC" w:rsidRPr="00CB05A8">
        <w:rPr>
          <w:iCs/>
        </w:rPr>
        <w:t>the defense bears the burden of showing both error and prejudice.  It must establish a reasonable likelihood both that a fair trial could not be had at the time of the motion, and that the defendant did not actually receive a fair trial</w:t>
      </w:r>
      <w:r w:rsidR="00EB50E3" w:rsidRPr="00CB05A8">
        <w:rPr>
          <w:iCs/>
        </w:rPr>
        <w:t>.</w:t>
      </w:r>
      <w:r w:rsidR="00954912" w:rsidRPr="00CB05A8">
        <w:rPr>
          <w:iCs/>
        </w:rPr>
        <w:t>”</w:t>
      </w:r>
      <w:r w:rsidR="00EB50E3" w:rsidRPr="00CB05A8">
        <w:rPr>
          <w:iCs/>
        </w:rPr>
        <w:t xml:space="preserve">  (</w:t>
      </w:r>
      <w:r w:rsidR="00886EFC" w:rsidRPr="00CB05A8">
        <w:rPr>
          <w:i/>
          <w:iCs/>
        </w:rPr>
        <w:t>People v. Smith</w:t>
      </w:r>
      <w:r w:rsidR="00886EFC" w:rsidRPr="00CB05A8">
        <w:rPr>
          <w:iCs/>
        </w:rPr>
        <w:t xml:space="preserve"> (2015) 61 Cal.4th 18, 39</w:t>
      </w:r>
      <w:r w:rsidR="009F5D0E" w:rsidRPr="00CB05A8">
        <w:rPr>
          <w:iCs/>
        </w:rPr>
        <w:t xml:space="preserve"> (</w:t>
      </w:r>
      <w:r w:rsidR="009F5D0E" w:rsidRPr="00CB05A8">
        <w:rPr>
          <w:i/>
          <w:iCs/>
        </w:rPr>
        <w:t>Smith</w:t>
      </w:r>
      <w:r w:rsidR="009F5D0E" w:rsidRPr="00CB05A8">
        <w:rPr>
          <w:iCs/>
        </w:rPr>
        <w:t>)</w:t>
      </w:r>
      <w:r w:rsidR="00886EFC" w:rsidRPr="00CB05A8">
        <w:rPr>
          <w:iCs/>
        </w:rPr>
        <w:t xml:space="preserve">; see </w:t>
      </w:r>
      <w:r w:rsidR="00EB50E3" w:rsidRPr="00CB05A8">
        <w:rPr>
          <w:i/>
          <w:iCs/>
        </w:rPr>
        <w:t>People v. Rices</w:t>
      </w:r>
      <w:r w:rsidR="00EB50E3" w:rsidRPr="00CB05A8">
        <w:rPr>
          <w:iCs/>
        </w:rPr>
        <w:t xml:space="preserve"> (2017) 4 Cal.5th 49, 72 (</w:t>
      </w:r>
      <w:r w:rsidR="00EB50E3" w:rsidRPr="00CB05A8">
        <w:rPr>
          <w:i/>
          <w:iCs/>
        </w:rPr>
        <w:t>Rices</w:t>
      </w:r>
      <w:r w:rsidR="00EB50E3" w:rsidRPr="00CB05A8">
        <w:rPr>
          <w:iCs/>
        </w:rPr>
        <w:t>).)</w:t>
      </w:r>
      <w:r w:rsidR="002E1F78" w:rsidRPr="00CB05A8">
        <w:rPr>
          <w:iCs/>
        </w:rPr>
        <w:t xml:space="preserve">  </w:t>
      </w:r>
      <w:r w:rsidR="0014285F" w:rsidRPr="00CB05A8">
        <w:rPr>
          <w:iCs/>
        </w:rPr>
        <w:t>“</w:t>
      </w:r>
      <w:r w:rsidR="001242B9" w:rsidRPr="00CB05A8">
        <w:rPr>
          <w:iCs/>
        </w:rPr>
        <w:t>[W]</w:t>
      </w:r>
      <w:r w:rsidR="0014285F" w:rsidRPr="00CB05A8">
        <w:rPr>
          <w:iCs/>
        </w:rPr>
        <w:t>e accept the trial court’s factual findings where supported by substantial evidence, but we review independently the court’s ultimate determination whether it was reasonably likely the defendant could receive a fair trial in the county.”  (</w:t>
      </w:r>
      <w:r w:rsidR="0014285F" w:rsidRPr="00CB05A8">
        <w:rPr>
          <w:i/>
          <w:iCs/>
        </w:rPr>
        <w:t>Rountree</w:t>
      </w:r>
      <w:r w:rsidR="007B1258">
        <w:t xml:space="preserve">, </w:t>
      </w:r>
      <w:r w:rsidR="007B1258">
        <w:rPr>
          <w:i/>
          <w:iCs/>
        </w:rPr>
        <w:t>supra</w:t>
      </w:r>
      <w:r w:rsidR="007B1258">
        <w:t>,</w:t>
      </w:r>
      <w:r w:rsidR="0014285F" w:rsidRPr="00CB05A8">
        <w:rPr>
          <w:i/>
          <w:iCs/>
        </w:rPr>
        <w:t xml:space="preserve"> </w:t>
      </w:r>
      <w:r w:rsidR="0014285F" w:rsidRPr="00CB05A8">
        <w:rPr>
          <w:iCs/>
        </w:rPr>
        <w:t xml:space="preserve">56 Cal.4th </w:t>
      </w:r>
      <w:r w:rsidR="007B1258">
        <w:rPr>
          <w:iCs/>
        </w:rPr>
        <w:t>at p.</w:t>
      </w:r>
      <w:r w:rsidR="0014285F" w:rsidRPr="00CB05A8">
        <w:rPr>
          <w:iCs/>
        </w:rPr>
        <w:t xml:space="preserve"> 837.)  </w:t>
      </w:r>
    </w:p>
    <w:p w14:paraId="26C52560" w14:textId="42653175" w:rsidR="00627EB8" w:rsidRPr="00CB05A8" w:rsidRDefault="00341B66" w:rsidP="00F105E8">
      <w:pPr>
        <w:pStyle w:val="Heading5"/>
        <w:numPr>
          <w:ilvl w:val="0"/>
          <w:numId w:val="38"/>
        </w:numPr>
        <w:ind w:left="2448" w:hanging="432"/>
        <w:rPr>
          <w:iCs/>
        </w:rPr>
      </w:pPr>
      <w:bookmarkStart w:id="28" w:name="_Toc58918783"/>
      <w:r w:rsidRPr="00CB05A8">
        <w:t>N</w:t>
      </w:r>
      <w:r w:rsidR="007B635C" w:rsidRPr="00CB05A8">
        <w:t>ature and gravity of the offense</w:t>
      </w:r>
      <w:bookmarkEnd w:id="28"/>
      <w:r w:rsidR="000F1AB5" w:rsidRPr="00CB05A8">
        <w:rPr>
          <w:iCs/>
        </w:rPr>
        <w:t xml:space="preserve">  </w:t>
      </w:r>
    </w:p>
    <w:p w14:paraId="6202F181" w14:textId="133B6E3F" w:rsidR="00B07D8A" w:rsidRPr="00CB05A8" w:rsidRDefault="000F1AB5" w:rsidP="00F105E8">
      <w:pPr>
        <w:tabs>
          <w:tab w:val="left" w:pos="1440"/>
        </w:tabs>
        <w:ind w:firstLine="720"/>
        <w:rPr>
          <w:color w:val="000000" w:themeColor="text1"/>
        </w:rPr>
      </w:pPr>
      <w:r w:rsidRPr="00CB05A8">
        <w:t>The “nature” of an offense refers to the “</w:t>
      </w:r>
      <w:r w:rsidR="00F0086A">
        <w:t> ‘</w:t>
      </w:r>
      <w:r w:rsidRPr="00CB05A8">
        <w:t>peculiar facts or aspects of a crime which make it sensational, or otherwise bring it to the consciousness of the community.</w:t>
      </w:r>
      <w:r w:rsidR="00F0086A">
        <w:t>’ </w:t>
      </w:r>
      <w:r w:rsidRPr="00CB05A8">
        <w:t>”  (</w:t>
      </w:r>
      <w:r w:rsidRPr="00CB05A8">
        <w:rPr>
          <w:i/>
        </w:rPr>
        <w:t>People v. Hamilton</w:t>
      </w:r>
      <w:r w:rsidRPr="00CB05A8">
        <w:t xml:space="preserve"> (1989) 48</w:t>
      </w:r>
      <w:r w:rsidR="00643FA4">
        <w:t> </w:t>
      </w:r>
      <w:r w:rsidRPr="00CB05A8">
        <w:t>Cal.3d 1142, 1159 (</w:t>
      </w:r>
      <w:r w:rsidRPr="00CB05A8">
        <w:rPr>
          <w:i/>
        </w:rPr>
        <w:t>Hamilton</w:t>
      </w:r>
      <w:r w:rsidRPr="00CB05A8">
        <w:t xml:space="preserve">).)  </w:t>
      </w:r>
      <w:r w:rsidR="00A46A87" w:rsidRPr="00CB05A8">
        <w:t>The “gravity” of an offense refers to “</w:t>
      </w:r>
      <w:r w:rsidR="00F0086A">
        <w:t> ‘</w:t>
      </w:r>
      <w:r w:rsidR="00A46A87" w:rsidRPr="00CB05A8">
        <w:t>its seriousness in the law and to the possible consequences to an accused in the event of a guilty verdict.</w:t>
      </w:r>
      <w:r w:rsidR="00F0086A">
        <w:t>’ </w:t>
      </w:r>
      <w:r w:rsidR="00A46A87" w:rsidRPr="00CB05A8">
        <w:t>”  (</w:t>
      </w:r>
      <w:r w:rsidR="00A46A87" w:rsidRPr="00CB05A8">
        <w:rPr>
          <w:i/>
        </w:rPr>
        <w:t>Ibid.</w:t>
      </w:r>
      <w:r w:rsidR="00A46A87" w:rsidRPr="00CB05A8">
        <w:t xml:space="preserve">; </w:t>
      </w:r>
      <w:r w:rsidR="00F0086A">
        <w:t xml:space="preserve">see </w:t>
      </w:r>
      <w:r w:rsidR="00A46A87" w:rsidRPr="00CB05A8">
        <w:rPr>
          <w:i/>
        </w:rPr>
        <w:t>Martinez v. Superior Court</w:t>
      </w:r>
      <w:r w:rsidR="00A46A87" w:rsidRPr="00CB05A8">
        <w:t xml:space="preserve"> (1981) 29 Ca</w:t>
      </w:r>
      <w:r w:rsidR="0067024A" w:rsidRPr="00CB05A8">
        <w:t>l</w:t>
      </w:r>
      <w:r w:rsidR="00A46A87" w:rsidRPr="00CB05A8">
        <w:t xml:space="preserve">.3d </w:t>
      </w:r>
      <w:r w:rsidR="00AE03A4" w:rsidRPr="00CB05A8">
        <w:t>574,</w:t>
      </w:r>
      <w:r w:rsidR="00A46A87" w:rsidRPr="00CB05A8">
        <w:t xml:space="preserve"> 582</w:t>
      </w:r>
      <w:r w:rsidR="00A46A87" w:rsidRPr="00CB05A8">
        <w:rPr>
          <w:color w:val="000000" w:themeColor="text1"/>
        </w:rPr>
        <w:t xml:space="preserve">.)  </w:t>
      </w:r>
    </w:p>
    <w:p w14:paraId="5E86EDEA" w14:textId="0E9D5157" w:rsidR="001219E2" w:rsidRDefault="00A46A87" w:rsidP="001219E2">
      <w:pPr>
        <w:tabs>
          <w:tab w:val="left" w:pos="1440"/>
        </w:tabs>
        <w:ind w:firstLine="720"/>
      </w:pPr>
      <w:r w:rsidRPr="00CB05A8">
        <w:t xml:space="preserve">Here, </w:t>
      </w:r>
      <w:r w:rsidR="00330C39">
        <w:t>t</w:t>
      </w:r>
      <w:r w:rsidR="001219E2" w:rsidRPr="00CB05A8">
        <w:t>he gravity of the offense, capital murder, weighs in favor of a venue change.</w:t>
      </w:r>
      <w:r w:rsidR="001219E2" w:rsidRPr="00CB05A8">
        <w:rPr>
          <w:i/>
          <w:color w:val="000000" w:themeColor="text1"/>
        </w:rPr>
        <w:t xml:space="preserve">  </w:t>
      </w:r>
      <w:r w:rsidR="001219E2" w:rsidRPr="00CB05A8">
        <w:t>Yet we have repeatedly held that this factor is not dispositive</w:t>
      </w:r>
      <w:r w:rsidR="001219E2" w:rsidRPr="00CB05A8">
        <w:rPr>
          <w:color w:val="FF0000"/>
        </w:rPr>
        <w:t xml:space="preserve"> </w:t>
      </w:r>
      <w:r w:rsidR="001219E2" w:rsidRPr="00CB05A8">
        <w:t>(</w:t>
      </w:r>
      <w:r w:rsidR="001219E2" w:rsidRPr="00CB05A8">
        <w:rPr>
          <w:i/>
        </w:rPr>
        <w:t>Rountree</w:t>
      </w:r>
      <w:r w:rsidR="001219E2" w:rsidRPr="00CB05A8">
        <w:t xml:space="preserve">, </w:t>
      </w:r>
      <w:r w:rsidR="001219E2" w:rsidRPr="00CB05A8">
        <w:rPr>
          <w:i/>
        </w:rPr>
        <w:t>supra</w:t>
      </w:r>
      <w:r w:rsidR="001219E2" w:rsidRPr="00CB05A8">
        <w:t>, 56 Cal.4th at p. 837), and have rejected calls to establish a presumption of a venue change in all capital cases (</w:t>
      </w:r>
      <w:r w:rsidR="001219E2" w:rsidRPr="00CB05A8">
        <w:rPr>
          <w:i/>
        </w:rPr>
        <w:t xml:space="preserve">People v. Sanders </w:t>
      </w:r>
      <w:r w:rsidR="001219E2" w:rsidRPr="00CB05A8">
        <w:t>(1995) 11 Cal.4th 475, 506).  Indeed, “ ‘every capital case involves a serious charge.  While this factor adds weight to a motion to change venue, it does not in itself require a change.’ ”  (</w:t>
      </w:r>
      <w:r w:rsidR="001219E2" w:rsidRPr="00CB05A8">
        <w:rPr>
          <w:i/>
        </w:rPr>
        <w:t>People v. Hart</w:t>
      </w:r>
      <w:r w:rsidR="001219E2" w:rsidRPr="00CB05A8">
        <w:t xml:space="preserve"> (1999) 20 Cal.4th 546, 598.)</w:t>
      </w:r>
    </w:p>
    <w:p w14:paraId="25019476" w14:textId="4976BB46" w:rsidR="00F6716D" w:rsidRPr="00CB05A8" w:rsidRDefault="001219E2" w:rsidP="001219E2">
      <w:pPr>
        <w:tabs>
          <w:tab w:val="left" w:pos="1440"/>
        </w:tabs>
        <w:ind w:firstLine="720"/>
      </w:pPr>
      <w:r>
        <w:t>T</w:t>
      </w:r>
      <w:r w:rsidR="00EB50E3" w:rsidRPr="00CB05A8">
        <w:t>he nature of the offense</w:t>
      </w:r>
      <w:r w:rsidR="008061E6">
        <w:t>s</w:t>
      </w:r>
      <w:r w:rsidR="00EB50E3" w:rsidRPr="00CB05A8">
        <w:t xml:space="preserve"> — a single </w:t>
      </w:r>
      <w:r w:rsidR="00A46A87" w:rsidRPr="00CB05A8">
        <w:t xml:space="preserve">fatal </w:t>
      </w:r>
      <w:r w:rsidR="00EB50E3" w:rsidRPr="00CB05A8">
        <w:t xml:space="preserve">gunshot </w:t>
      </w:r>
      <w:r w:rsidR="006F7E14" w:rsidRPr="00CB05A8">
        <w:t xml:space="preserve">fired at close range </w:t>
      </w:r>
      <w:r w:rsidR="007E452A">
        <w:t xml:space="preserve">and </w:t>
      </w:r>
      <w:r w:rsidR="002A711A">
        <w:t xml:space="preserve">the </w:t>
      </w:r>
      <w:r w:rsidR="008061E6">
        <w:t xml:space="preserve">subsequent </w:t>
      </w:r>
      <w:r w:rsidR="002A711A">
        <w:t>taking</w:t>
      </w:r>
      <w:r w:rsidR="00590084">
        <w:t xml:space="preserve"> </w:t>
      </w:r>
      <w:r w:rsidR="008061E6">
        <w:t xml:space="preserve">family </w:t>
      </w:r>
      <w:r w:rsidR="000F672E">
        <w:t xml:space="preserve">members </w:t>
      </w:r>
      <w:r w:rsidR="008061E6">
        <w:t xml:space="preserve">hostage </w:t>
      </w:r>
      <w:r w:rsidR="00590084">
        <w:t xml:space="preserve">before releasing them </w:t>
      </w:r>
      <w:r w:rsidR="00F53410" w:rsidRPr="00CB05A8">
        <w:t xml:space="preserve">— </w:t>
      </w:r>
      <w:r w:rsidR="00556508">
        <w:t>were</w:t>
      </w:r>
      <w:r w:rsidR="00556508" w:rsidRPr="00CB05A8">
        <w:t xml:space="preserve"> </w:t>
      </w:r>
      <w:r w:rsidR="008D7FFA" w:rsidRPr="00CB05A8">
        <w:t xml:space="preserve">not particularly </w:t>
      </w:r>
      <w:r w:rsidR="00556508">
        <w:t xml:space="preserve">aggravated in comparison </w:t>
      </w:r>
      <w:r w:rsidR="00E356C9">
        <w:t>with</w:t>
      </w:r>
      <w:r w:rsidR="00556508">
        <w:t xml:space="preserve"> other capital murders.  There were certainly gruesome details, but nothing approaching the sensational overtones of other cases in which we have upheld the denial of venue motions.</w:t>
      </w:r>
      <w:r w:rsidR="00EB50E3" w:rsidRPr="00CB05A8">
        <w:t xml:space="preserve">  </w:t>
      </w:r>
      <w:r w:rsidR="00B07D8A" w:rsidRPr="00CB05A8">
        <w:t>(</w:t>
      </w:r>
      <w:r w:rsidR="00F53410" w:rsidRPr="00CB05A8">
        <w:rPr>
          <w:i/>
          <w:iCs/>
        </w:rPr>
        <w:t>Smith</w:t>
      </w:r>
      <w:r w:rsidR="001242B9" w:rsidRPr="00CB05A8">
        <w:rPr>
          <w:iCs/>
        </w:rPr>
        <w:t xml:space="preserve">, </w:t>
      </w:r>
      <w:r w:rsidR="001242B9" w:rsidRPr="00CB05A8">
        <w:rPr>
          <w:i/>
          <w:iCs/>
        </w:rPr>
        <w:t>supra</w:t>
      </w:r>
      <w:r w:rsidR="001242B9" w:rsidRPr="00CB05A8">
        <w:rPr>
          <w:iCs/>
        </w:rPr>
        <w:t>,</w:t>
      </w:r>
      <w:r w:rsidR="00F53410" w:rsidRPr="00CB05A8">
        <w:rPr>
          <w:i/>
          <w:iCs/>
        </w:rPr>
        <w:t xml:space="preserve"> </w:t>
      </w:r>
      <w:r w:rsidR="00F53410" w:rsidRPr="00CB05A8">
        <w:rPr>
          <w:iCs/>
        </w:rPr>
        <w:t xml:space="preserve">61 Cal.4th </w:t>
      </w:r>
      <w:r w:rsidR="001242B9" w:rsidRPr="00CB05A8">
        <w:rPr>
          <w:iCs/>
        </w:rPr>
        <w:t>at p.</w:t>
      </w:r>
      <w:r w:rsidR="00F53410" w:rsidRPr="00CB05A8">
        <w:rPr>
          <w:iCs/>
        </w:rPr>
        <w:t xml:space="preserve"> 40</w:t>
      </w:r>
      <w:r w:rsidR="00830C32" w:rsidRPr="00CB05A8">
        <w:rPr>
          <w:iCs/>
        </w:rPr>
        <w:t xml:space="preserve">; </w:t>
      </w:r>
      <w:r w:rsidR="00556508">
        <w:rPr>
          <w:iCs/>
        </w:rPr>
        <w:t xml:space="preserve">see also </w:t>
      </w:r>
      <w:r w:rsidR="00556508" w:rsidRPr="00CB05A8">
        <w:rPr>
          <w:i/>
        </w:rPr>
        <w:t>Rountree</w:t>
      </w:r>
      <w:r w:rsidR="00556508" w:rsidRPr="00CB05A8">
        <w:t xml:space="preserve">, </w:t>
      </w:r>
      <w:r w:rsidR="00556508" w:rsidRPr="00CB05A8">
        <w:rPr>
          <w:i/>
        </w:rPr>
        <w:t>supra</w:t>
      </w:r>
      <w:r w:rsidR="00556508" w:rsidRPr="00CB05A8">
        <w:t xml:space="preserve">, </w:t>
      </w:r>
      <w:r w:rsidR="00556508" w:rsidRPr="00CB05A8">
        <w:rPr>
          <w:iCs/>
        </w:rPr>
        <w:t xml:space="preserve">56 Cal.4th at p. 838; </w:t>
      </w:r>
      <w:r w:rsidR="00830C32" w:rsidRPr="00CB05A8">
        <w:rPr>
          <w:i/>
          <w:iCs/>
        </w:rPr>
        <w:t xml:space="preserve">People v. Ramirez </w:t>
      </w:r>
      <w:r w:rsidR="00830C32" w:rsidRPr="00CB05A8">
        <w:rPr>
          <w:iCs/>
        </w:rPr>
        <w:t>(2006) 39 Cal.4th 398, 407, 434</w:t>
      </w:r>
      <w:r w:rsidR="005A61E8" w:rsidRPr="00CB05A8">
        <w:rPr>
          <w:iCs/>
        </w:rPr>
        <w:t>–</w:t>
      </w:r>
      <w:r w:rsidR="00830C32" w:rsidRPr="00CB05A8">
        <w:rPr>
          <w:iCs/>
        </w:rPr>
        <w:t>435</w:t>
      </w:r>
      <w:r w:rsidR="00494274" w:rsidRPr="00CB05A8">
        <w:rPr>
          <w:iCs/>
        </w:rPr>
        <w:t xml:space="preserve"> (</w:t>
      </w:r>
      <w:r w:rsidR="00494274" w:rsidRPr="00CB05A8">
        <w:rPr>
          <w:i/>
        </w:rPr>
        <w:t>Ramirez</w:t>
      </w:r>
      <w:r w:rsidR="00494274" w:rsidRPr="00CB05A8">
        <w:rPr>
          <w:iCs/>
        </w:rPr>
        <w:t>)</w:t>
      </w:r>
      <w:r w:rsidR="00B07D8A" w:rsidRPr="00CB05A8">
        <w:rPr>
          <w:iCs/>
        </w:rPr>
        <w:t xml:space="preserve">.)  </w:t>
      </w:r>
      <w:r w:rsidR="00A46A87" w:rsidRPr="00CB05A8">
        <w:t>T</w:t>
      </w:r>
      <w:r w:rsidR="000F1AB5" w:rsidRPr="00CB05A8">
        <w:t xml:space="preserve">he </w:t>
      </w:r>
      <w:r w:rsidR="00A46A87" w:rsidRPr="00CB05A8">
        <w:t>fact that</w:t>
      </w:r>
      <w:r w:rsidR="000F1AB5" w:rsidRPr="00CB05A8">
        <w:t xml:space="preserve"> </w:t>
      </w:r>
      <w:r w:rsidR="00A46A87" w:rsidRPr="00CB05A8">
        <w:t xml:space="preserve">the victim was </w:t>
      </w:r>
      <w:r w:rsidR="000F1AB5" w:rsidRPr="00CB05A8">
        <w:t xml:space="preserve">a police officer </w:t>
      </w:r>
      <w:r w:rsidR="008C14D2">
        <w:t xml:space="preserve">likewise </w:t>
      </w:r>
      <w:r w:rsidR="00A46A87" w:rsidRPr="00CB05A8">
        <w:t>does no</w:t>
      </w:r>
      <w:r w:rsidR="00B07D8A" w:rsidRPr="00CB05A8">
        <w:t xml:space="preserve">t </w:t>
      </w:r>
      <w:r w:rsidR="00D81940">
        <w:t xml:space="preserve">require </w:t>
      </w:r>
      <w:r w:rsidR="000F1AB5" w:rsidRPr="00CB05A8">
        <w:t>a venue change.  (</w:t>
      </w:r>
      <w:r w:rsidR="000F1AB5" w:rsidRPr="00CB05A8">
        <w:rPr>
          <w:i/>
        </w:rPr>
        <w:t>People v. Jenkins</w:t>
      </w:r>
      <w:r w:rsidR="000F1AB5" w:rsidRPr="00CB05A8">
        <w:t xml:space="preserve"> (2000) 22 Cal.4th 900</w:t>
      </w:r>
      <w:r w:rsidR="00A54C41" w:rsidRPr="00CB05A8">
        <w:t xml:space="preserve">, </w:t>
      </w:r>
      <w:r w:rsidR="004E78D9" w:rsidRPr="00CB05A8">
        <w:t>94</w:t>
      </w:r>
      <w:r w:rsidR="001156E7" w:rsidRPr="00CB05A8">
        <w:t>3</w:t>
      </w:r>
      <w:r w:rsidR="000F1AB5" w:rsidRPr="00CB05A8">
        <w:t xml:space="preserve">; </w:t>
      </w:r>
      <w:r w:rsidR="000F1AB5" w:rsidRPr="00CB05A8">
        <w:rPr>
          <w:i/>
          <w:iCs/>
        </w:rPr>
        <w:t>Rices</w:t>
      </w:r>
      <w:r w:rsidR="004D121A" w:rsidRPr="00CB05A8">
        <w:rPr>
          <w:iCs/>
        </w:rPr>
        <w:t xml:space="preserve">, </w:t>
      </w:r>
      <w:r w:rsidR="004D121A" w:rsidRPr="00CB05A8">
        <w:rPr>
          <w:i/>
          <w:iCs/>
        </w:rPr>
        <w:t>supra</w:t>
      </w:r>
      <w:r w:rsidR="004D121A" w:rsidRPr="00CB05A8">
        <w:rPr>
          <w:iCs/>
        </w:rPr>
        <w:t>,</w:t>
      </w:r>
      <w:r w:rsidR="000F1AB5" w:rsidRPr="00CB05A8">
        <w:rPr>
          <w:iCs/>
        </w:rPr>
        <w:t xml:space="preserve"> 4</w:t>
      </w:r>
      <w:r w:rsidR="00643FA4">
        <w:rPr>
          <w:iCs/>
        </w:rPr>
        <w:t> </w:t>
      </w:r>
      <w:r w:rsidR="000F1AB5" w:rsidRPr="00CB05A8">
        <w:rPr>
          <w:iCs/>
        </w:rPr>
        <w:t xml:space="preserve">Cal.5th </w:t>
      </w:r>
      <w:r w:rsidR="004D121A" w:rsidRPr="00CB05A8">
        <w:rPr>
          <w:iCs/>
        </w:rPr>
        <w:t>at p.</w:t>
      </w:r>
      <w:r w:rsidR="000F1AB5" w:rsidRPr="00CB05A8">
        <w:rPr>
          <w:iCs/>
        </w:rPr>
        <w:t xml:space="preserve"> 72</w:t>
      </w:r>
      <w:r w:rsidR="006A4E6F" w:rsidRPr="00CB05A8">
        <w:rPr>
          <w:iCs/>
        </w:rPr>
        <w:t xml:space="preserve">; </w:t>
      </w:r>
      <w:r w:rsidR="006A4E6F" w:rsidRPr="00CB05A8">
        <w:rPr>
          <w:i/>
          <w:iCs/>
        </w:rPr>
        <w:t>Odle v. Superior Court</w:t>
      </w:r>
      <w:r w:rsidR="006A4E6F" w:rsidRPr="00CB05A8">
        <w:t xml:space="preserve"> (1982) 32 Cal.3d 932, 94</w:t>
      </w:r>
      <w:r w:rsidR="004E3EE3">
        <w:t>1</w:t>
      </w:r>
      <w:r w:rsidR="006A4E6F" w:rsidRPr="00CB05A8">
        <w:t xml:space="preserve"> (</w:t>
      </w:r>
      <w:r w:rsidR="006A4E6F" w:rsidRPr="00CB05A8">
        <w:rPr>
          <w:i/>
        </w:rPr>
        <w:t>Odle</w:t>
      </w:r>
      <w:r w:rsidR="006A4E6F" w:rsidRPr="00CB05A8">
        <w:t>)</w:t>
      </w:r>
      <w:r w:rsidR="00251583">
        <w:t xml:space="preserve"> [</w:t>
      </w:r>
      <w:r w:rsidR="004A780D">
        <w:t>“</w:t>
      </w:r>
      <w:r w:rsidR="0019245B">
        <w:t> ‘</w:t>
      </w:r>
      <w:r w:rsidR="004A780D">
        <w:t xml:space="preserve">brutal </w:t>
      </w:r>
      <w:r w:rsidR="00251583">
        <w:t>stabbing</w:t>
      </w:r>
      <w:r w:rsidR="0019245B">
        <w:t>’ </w:t>
      </w:r>
      <w:r w:rsidR="004A780D">
        <w:t>”</w:t>
      </w:r>
      <w:r w:rsidR="00251583">
        <w:t xml:space="preserve"> of a young woman and murder of a police officer </w:t>
      </w:r>
      <w:r w:rsidR="00A077D6">
        <w:t xml:space="preserve">were “not </w:t>
      </w:r>
      <w:r w:rsidR="00126C7C">
        <w:t>. . . </w:t>
      </w:r>
      <w:r w:rsidR="00A077D6">
        <w:t xml:space="preserve">the type of </w:t>
      </w:r>
      <w:r w:rsidR="002516E2">
        <w:t>multiple</w:t>
      </w:r>
      <w:r w:rsidR="00A077D6">
        <w:t xml:space="preserve"> and bizarre killings that were the object of media attention” that would weigh in favor of a venue change]</w:t>
      </w:r>
      <w:r w:rsidR="00131DA1" w:rsidRPr="00CB05A8">
        <w:t>.)</w:t>
      </w:r>
      <w:r w:rsidR="000F1AB5" w:rsidRPr="00CB05A8">
        <w:t xml:space="preserve"> </w:t>
      </w:r>
      <w:r w:rsidR="00830C32" w:rsidRPr="00CB05A8">
        <w:t xml:space="preserve"> </w:t>
      </w:r>
    </w:p>
    <w:p w14:paraId="117A83E9" w14:textId="3ABC7D28" w:rsidR="00EE01F1" w:rsidRPr="00CB05A8" w:rsidRDefault="00341B66" w:rsidP="00F105E8">
      <w:pPr>
        <w:pStyle w:val="Heading5"/>
        <w:numPr>
          <w:ilvl w:val="0"/>
          <w:numId w:val="39"/>
        </w:numPr>
        <w:ind w:left="2448" w:hanging="432"/>
        <w:rPr>
          <w:iCs/>
        </w:rPr>
      </w:pPr>
      <w:bookmarkStart w:id="29" w:name="_Toc58918784"/>
      <w:r w:rsidRPr="00CB05A8">
        <w:t>N</w:t>
      </w:r>
      <w:r w:rsidR="007B635C" w:rsidRPr="00CB05A8">
        <w:t>ature and extent of media coverage</w:t>
      </w:r>
      <w:bookmarkEnd w:id="29"/>
      <w:r w:rsidR="000F1AB5" w:rsidRPr="00CB05A8">
        <w:rPr>
          <w:iCs/>
        </w:rPr>
        <w:t xml:space="preserve">  </w:t>
      </w:r>
    </w:p>
    <w:p w14:paraId="3B3545CE" w14:textId="743F90F6" w:rsidR="00FE14B1" w:rsidRPr="00CB05A8" w:rsidRDefault="00FE14B1" w:rsidP="00F105E8">
      <w:pPr>
        <w:tabs>
          <w:tab w:val="left" w:pos="1440"/>
        </w:tabs>
        <w:ind w:firstLine="720"/>
        <w:contextualSpacing/>
        <w:rPr>
          <w:color w:val="000000" w:themeColor="text1"/>
        </w:rPr>
      </w:pPr>
      <w:r w:rsidRPr="00CB05A8">
        <w:t xml:space="preserve">We next </w:t>
      </w:r>
      <w:r w:rsidR="00691A06" w:rsidRPr="00CB05A8">
        <w:t>consider the nature and extent of the media coverage, the factor upon which defendant primarily relies.</w:t>
      </w:r>
      <w:r w:rsidR="00D86D5B" w:rsidRPr="00CB05A8">
        <w:t xml:space="preserve">  </w:t>
      </w:r>
      <w:r w:rsidR="00AB0AFB" w:rsidRPr="00CB05A8">
        <w:t xml:space="preserve">Defendant contends the pretrial publicity was </w:t>
      </w:r>
      <w:r w:rsidR="004503C6" w:rsidRPr="00CB05A8">
        <w:t xml:space="preserve">so </w:t>
      </w:r>
      <w:r w:rsidR="00387AC0" w:rsidRPr="00CB05A8">
        <w:t>extensive,</w:t>
      </w:r>
      <w:r w:rsidR="00AB0AFB" w:rsidRPr="00CB05A8">
        <w:t xml:space="preserve"> sensational, </w:t>
      </w:r>
      <w:r w:rsidR="00387AC0" w:rsidRPr="00CB05A8">
        <w:t>and prejudicial</w:t>
      </w:r>
      <w:r w:rsidR="004503C6" w:rsidRPr="00CB05A8">
        <w:t xml:space="preserve"> that it was reasonably likely that a fair </w:t>
      </w:r>
      <w:r w:rsidR="005C5BB1" w:rsidRPr="00CB05A8">
        <w:t xml:space="preserve">and impartial </w:t>
      </w:r>
      <w:r w:rsidR="004503C6" w:rsidRPr="00CB05A8">
        <w:t>trial could not be had in Sonoma County</w:t>
      </w:r>
      <w:r w:rsidR="00AB0AFB" w:rsidRPr="00CB05A8">
        <w:rPr>
          <w:color w:val="000000" w:themeColor="text1"/>
        </w:rPr>
        <w:t>.</w:t>
      </w:r>
      <w:r w:rsidR="00FC362E" w:rsidRPr="00CB05A8">
        <w:rPr>
          <w:color w:val="000000" w:themeColor="text1"/>
        </w:rPr>
        <w:t xml:space="preserve">  </w:t>
      </w:r>
    </w:p>
    <w:p w14:paraId="4E045E0B" w14:textId="328351D6" w:rsidR="00EB50E3" w:rsidRPr="00CB05A8" w:rsidRDefault="00DE629F" w:rsidP="00F105E8">
      <w:pPr>
        <w:tabs>
          <w:tab w:val="left" w:pos="1440"/>
        </w:tabs>
        <w:ind w:firstLine="720"/>
        <w:contextualSpacing/>
      </w:pPr>
      <w:r w:rsidRPr="00CB05A8">
        <w:t>“</w:t>
      </w:r>
      <w:r w:rsidR="00642B0A">
        <w:t> ‘</w:t>
      </w:r>
      <w:r w:rsidRPr="00CB05A8">
        <w:t xml:space="preserve">When pretrial publicity is at issue, </w:t>
      </w:r>
      <w:r w:rsidR="00642B0A">
        <w:t>“</w:t>
      </w:r>
      <w:r w:rsidRPr="00CB05A8">
        <w:t>primary reliance on the judgment of the trial court makes [especially] good sense</w:t>
      </w:r>
      <w:r w:rsidR="00642B0A">
        <w:t>”</w:t>
      </w:r>
      <w:r w:rsidRPr="00CB05A8">
        <w:t xml:space="preserve"> because the judge </w:t>
      </w:r>
      <w:r w:rsidR="00642B0A">
        <w:t>“</w:t>
      </w:r>
      <w:r w:rsidRPr="00CB05A8">
        <w:t>sits in the locale where the publicity is said to have had its effect</w:t>
      </w:r>
      <w:r w:rsidR="00642B0A">
        <w:t>”</w:t>
      </w:r>
      <w:r w:rsidRPr="00CB05A8">
        <w:t xml:space="preserve"> and may base her evaluation on her </w:t>
      </w:r>
      <w:r w:rsidR="00642B0A">
        <w:t>“</w:t>
      </w:r>
      <w:r w:rsidRPr="00CB05A8">
        <w:t>own perception of the depth and</w:t>
      </w:r>
      <w:r w:rsidR="004721AE" w:rsidRPr="00CB05A8">
        <w:t xml:space="preserve"> </w:t>
      </w:r>
      <w:r w:rsidRPr="00CB05A8">
        <w:t>extent of news stories that might influence a juror.</w:t>
      </w:r>
      <w:r w:rsidR="00761261">
        <w:t>” </w:t>
      </w:r>
      <w:r w:rsidRPr="00CB05A8">
        <w:t>’ ”  (</w:t>
      </w:r>
      <w:r w:rsidRPr="00CB05A8">
        <w:rPr>
          <w:i/>
          <w:iCs/>
        </w:rPr>
        <w:t>Rices</w:t>
      </w:r>
      <w:r w:rsidRPr="00CB05A8">
        <w:t xml:space="preserve">, </w:t>
      </w:r>
      <w:r w:rsidRPr="00CB05A8">
        <w:rPr>
          <w:i/>
        </w:rPr>
        <w:t>supra</w:t>
      </w:r>
      <w:r w:rsidRPr="00CB05A8">
        <w:t xml:space="preserve">, 4 Cal.5th at p. 74, quoting </w:t>
      </w:r>
      <w:r w:rsidRPr="00CB05A8">
        <w:rPr>
          <w:i/>
          <w:iCs/>
        </w:rPr>
        <w:t>Skilling v. United States</w:t>
      </w:r>
      <w:r w:rsidRPr="00CB05A8">
        <w:t xml:space="preserve"> (2010) 561 U.S. 358, 386.)</w:t>
      </w:r>
      <w:r w:rsidR="007B0468" w:rsidRPr="00CB05A8">
        <w:t xml:space="preserve">  </w:t>
      </w:r>
      <w:r w:rsidR="0007389B" w:rsidRPr="00CB05A8">
        <w:t>In th</w:t>
      </w:r>
      <w:r w:rsidR="00F50DCF">
        <w:t>e</w:t>
      </w:r>
      <w:r w:rsidR="0007389B" w:rsidRPr="00CB05A8">
        <w:t xml:space="preserve"> case</w:t>
      </w:r>
      <w:r w:rsidR="00F50DCF">
        <w:t xml:space="preserve"> below</w:t>
      </w:r>
      <w:r w:rsidR="00C50444" w:rsidRPr="00CB05A8">
        <w:t>, the trial court considered the 68 newspaper articles submitted</w:t>
      </w:r>
      <w:r w:rsidR="00DA708F" w:rsidRPr="00CB05A8">
        <w:t xml:space="preserve"> in support of defendant’s motion for change of venue.  The</w:t>
      </w:r>
      <w:r w:rsidR="00E73585" w:rsidRPr="00CB05A8">
        <w:t xml:space="preserve"> court described the reporting as </w:t>
      </w:r>
      <w:r w:rsidR="00F00458" w:rsidRPr="00CB05A8">
        <w:t>“</w:t>
      </w:r>
      <w:r w:rsidR="00FC362E" w:rsidRPr="00CB05A8">
        <w:t xml:space="preserve">extensive and detailed within the first two weeks </w:t>
      </w:r>
      <w:r w:rsidR="00F00458" w:rsidRPr="00CB05A8">
        <w:t>of the killing</w:t>
      </w:r>
      <w:r w:rsidR="00FC362E" w:rsidRPr="00CB05A8">
        <w:t>,</w:t>
      </w:r>
      <w:r w:rsidR="00F00458" w:rsidRPr="00CB05A8">
        <w:t>”</w:t>
      </w:r>
      <w:r w:rsidR="00FC362E" w:rsidRPr="00CB05A8">
        <w:t xml:space="preserve"> </w:t>
      </w:r>
      <w:r w:rsidR="00DC5EA5" w:rsidRPr="00CB05A8">
        <w:t>but</w:t>
      </w:r>
      <w:r w:rsidR="00F83894" w:rsidRPr="00CB05A8">
        <w:t xml:space="preserve"> </w:t>
      </w:r>
      <w:r w:rsidR="0007389B" w:rsidRPr="00CB05A8">
        <w:t xml:space="preserve">pointed out that </w:t>
      </w:r>
      <w:r w:rsidR="00795C2A" w:rsidRPr="00CB05A8">
        <w:t>“[</w:t>
      </w:r>
      <w:r w:rsidR="00FC362E" w:rsidRPr="00CB05A8">
        <w:t>t</w:t>
      </w:r>
      <w:r w:rsidR="00795C2A" w:rsidRPr="00CB05A8">
        <w:t>]</w:t>
      </w:r>
      <w:r w:rsidR="00FC362E" w:rsidRPr="00CB05A8">
        <w:t>hey tapered off in number and frequency as time passed</w:t>
      </w:r>
      <w:r w:rsidR="00795C2A" w:rsidRPr="00CB05A8">
        <w:t>” and “there was no reporting between the various court appearances.”</w:t>
      </w:r>
      <w:r w:rsidR="00FC362E" w:rsidRPr="00CB05A8">
        <w:t xml:space="preserve">  </w:t>
      </w:r>
      <w:bookmarkStart w:id="30" w:name="_Hlk53579582"/>
      <w:r w:rsidR="00DA7FD5" w:rsidRPr="00CB05A8">
        <w:t>It</w:t>
      </w:r>
      <w:r w:rsidR="00F83894" w:rsidRPr="00CB05A8">
        <w:t xml:space="preserve"> also</w:t>
      </w:r>
      <w:r w:rsidR="00C248B2" w:rsidRPr="00CB05A8">
        <w:t xml:space="preserve"> observed</w:t>
      </w:r>
      <w:r w:rsidR="006A5A0D" w:rsidRPr="00CB05A8">
        <w:t xml:space="preserve"> that</w:t>
      </w:r>
      <w:r w:rsidR="00FC362E" w:rsidRPr="00CB05A8">
        <w:t xml:space="preserve"> several of the</w:t>
      </w:r>
      <w:r w:rsidR="006A5A0D" w:rsidRPr="00CB05A8">
        <w:t xml:space="preserve"> </w:t>
      </w:r>
      <w:r w:rsidR="00FC362E" w:rsidRPr="00CB05A8">
        <w:t xml:space="preserve">articles submitted by defendant did not </w:t>
      </w:r>
      <w:r w:rsidR="00CC5E73" w:rsidRPr="00CB05A8">
        <w:t xml:space="preserve">at all </w:t>
      </w:r>
      <w:r w:rsidR="00FC362E" w:rsidRPr="00CB05A8">
        <w:t xml:space="preserve">relate to his case and </w:t>
      </w:r>
      <w:r w:rsidR="000A07CA" w:rsidRPr="00CB05A8">
        <w:t xml:space="preserve">some of the </w:t>
      </w:r>
      <w:r w:rsidR="00FC362E" w:rsidRPr="00CB05A8">
        <w:t xml:space="preserve">others </w:t>
      </w:r>
      <w:r w:rsidR="00E71A80" w:rsidRPr="00CB05A8">
        <w:t xml:space="preserve">merely </w:t>
      </w:r>
      <w:r w:rsidR="000A07CA" w:rsidRPr="00CB05A8">
        <w:t xml:space="preserve">mentioned </w:t>
      </w:r>
      <w:r w:rsidR="00E71A80" w:rsidRPr="00CB05A8">
        <w:t>him or Deputy Trejo peripherally</w:t>
      </w:r>
      <w:r w:rsidR="00C57DF3" w:rsidRPr="00CB05A8">
        <w:t>.</w:t>
      </w:r>
      <w:r w:rsidR="00FC362E" w:rsidRPr="00CB05A8">
        <w:rPr>
          <w:color w:val="FF0000"/>
        </w:rPr>
        <w:t xml:space="preserve">  </w:t>
      </w:r>
      <w:bookmarkEnd w:id="30"/>
      <w:r w:rsidR="00DA7FD5" w:rsidRPr="00CB05A8">
        <w:t>The court</w:t>
      </w:r>
      <w:r w:rsidR="00F94ED3" w:rsidRPr="00CB05A8">
        <w:t xml:space="preserve"> </w:t>
      </w:r>
      <w:r w:rsidR="009E4303" w:rsidRPr="00CB05A8">
        <w:t>found</w:t>
      </w:r>
      <w:r w:rsidR="00F94ED3" w:rsidRPr="00CB05A8">
        <w:t xml:space="preserve"> the media coverage </w:t>
      </w:r>
      <w:r w:rsidR="003B0729" w:rsidRPr="00CB05A8">
        <w:t xml:space="preserve">to be predominantly factual, intermittent, and </w:t>
      </w:r>
      <w:r w:rsidR="00E852A1" w:rsidRPr="00CB05A8">
        <w:t>not inflammatory or sensational</w:t>
      </w:r>
      <w:r w:rsidR="0077492E" w:rsidRPr="00CB05A8">
        <w:t>ized</w:t>
      </w:r>
      <w:r w:rsidR="00F94ED3" w:rsidRPr="00CB05A8">
        <w:t xml:space="preserve">.  </w:t>
      </w:r>
    </w:p>
    <w:p w14:paraId="39D43F80" w14:textId="3317FA82" w:rsidR="00902146" w:rsidRPr="00CB05A8" w:rsidRDefault="00C248B2" w:rsidP="00F105E8">
      <w:pPr>
        <w:tabs>
          <w:tab w:val="left" w:pos="1440"/>
        </w:tabs>
        <w:ind w:firstLine="720"/>
        <w:contextualSpacing/>
        <w:rPr>
          <w:color w:val="000000" w:themeColor="text1"/>
        </w:rPr>
      </w:pPr>
      <w:r w:rsidRPr="00CB05A8">
        <w:t>T</w:t>
      </w:r>
      <w:r w:rsidR="0034742B" w:rsidRPr="00CB05A8">
        <w:t>he</w:t>
      </w:r>
      <w:r w:rsidR="00F04B29" w:rsidRPr="00CB05A8">
        <w:t xml:space="preserve"> </w:t>
      </w:r>
      <w:r w:rsidR="0034742B" w:rsidRPr="00CB05A8">
        <w:t xml:space="preserve">court </w:t>
      </w:r>
      <w:r w:rsidRPr="00CB05A8">
        <w:t>compared</w:t>
      </w:r>
      <w:r w:rsidR="0034742B" w:rsidRPr="00CB05A8">
        <w:t xml:space="preserve"> the nature and extent of the media </w:t>
      </w:r>
      <w:r w:rsidR="001E6C0F" w:rsidRPr="00CB05A8">
        <w:t xml:space="preserve">coverage </w:t>
      </w:r>
      <w:r w:rsidRPr="00CB05A8">
        <w:t xml:space="preserve">in this case to </w:t>
      </w:r>
      <w:r w:rsidR="00BE3CAA" w:rsidRPr="00CB05A8">
        <w:t xml:space="preserve">that in </w:t>
      </w:r>
      <w:r w:rsidR="0034742B" w:rsidRPr="00CB05A8">
        <w:rPr>
          <w:i/>
        </w:rPr>
        <w:t>Odle</w:t>
      </w:r>
      <w:r w:rsidR="00200491" w:rsidRPr="00CB05A8">
        <w:t xml:space="preserve">, </w:t>
      </w:r>
      <w:r w:rsidR="00BE3CAA" w:rsidRPr="00CB05A8">
        <w:rPr>
          <w:i/>
        </w:rPr>
        <w:t>supra</w:t>
      </w:r>
      <w:r w:rsidR="00BE3CAA" w:rsidRPr="00CB05A8">
        <w:t>,</w:t>
      </w:r>
      <w:r w:rsidR="00BE3CAA" w:rsidRPr="00CB05A8">
        <w:rPr>
          <w:i/>
        </w:rPr>
        <w:t xml:space="preserve"> </w:t>
      </w:r>
      <w:r w:rsidR="00F04B29" w:rsidRPr="00CB05A8">
        <w:t xml:space="preserve">32 Cal.3d 932, </w:t>
      </w:r>
      <w:r w:rsidR="002B00DB" w:rsidRPr="00CB05A8">
        <w:t xml:space="preserve">which </w:t>
      </w:r>
      <w:r w:rsidR="00200491" w:rsidRPr="00CB05A8">
        <w:t>also concerned the killing of a police officer</w:t>
      </w:r>
      <w:r w:rsidR="0034742B" w:rsidRPr="00CB05A8">
        <w:t xml:space="preserve">.  </w:t>
      </w:r>
      <w:r w:rsidR="00A4012E" w:rsidRPr="00CB05A8">
        <w:t xml:space="preserve">In </w:t>
      </w:r>
      <w:r w:rsidR="00A4012E" w:rsidRPr="00CB05A8">
        <w:rPr>
          <w:i/>
        </w:rPr>
        <w:t>Odle</w:t>
      </w:r>
      <w:r w:rsidR="002B00DB" w:rsidRPr="00CB05A8">
        <w:t>, the</w:t>
      </w:r>
      <w:r w:rsidR="00A4659D" w:rsidRPr="00CB05A8">
        <w:t xml:space="preserve"> defendant presented </w:t>
      </w:r>
      <w:r w:rsidR="005A05F6" w:rsidRPr="00CB05A8">
        <w:t>approximately 150</w:t>
      </w:r>
      <w:r w:rsidR="0034742B" w:rsidRPr="00CB05A8">
        <w:t xml:space="preserve"> newspaper articles </w:t>
      </w:r>
      <w:r w:rsidR="00035CF4" w:rsidRPr="00CB05A8">
        <w:t>containing potentially inflammatory and prejudicial information</w:t>
      </w:r>
      <w:r w:rsidR="00B65064" w:rsidRPr="00CB05A8">
        <w:t>, including local and regional papers covering the funeral of the slain officer and report</w:t>
      </w:r>
      <w:r w:rsidR="003835F2" w:rsidRPr="00CB05A8">
        <w:t>s on pretrial proceedings and developments</w:t>
      </w:r>
      <w:r w:rsidR="0034742B" w:rsidRPr="00CB05A8">
        <w:t>.  (</w:t>
      </w:r>
      <w:r w:rsidR="0034742B" w:rsidRPr="00CB05A8">
        <w:rPr>
          <w:i/>
        </w:rPr>
        <w:t>Id</w:t>
      </w:r>
      <w:r w:rsidR="0034742B" w:rsidRPr="00CB05A8">
        <w:t>.</w:t>
      </w:r>
      <w:r w:rsidR="00644919" w:rsidRPr="00CB05A8">
        <w:t xml:space="preserve"> </w:t>
      </w:r>
      <w:r w:rsidR="00E73817" w:rsidRPr="00CB05A8">
        <w:t>a</w:t>
      </w:r>
      <w:r w:rsidR="00644919" w:rsidRPr="00CB05A8">
        <w:t>t p. 939</w:t>
      </w:r>
      <w:r w:rsidR="00E122BC" w:rsidRPr="00CB05A8">
        <w:t>.</w:t>
      </w:r>
      <w:r w:rsidR="0034742B" w:rsidRPr="00CB05A8">
        <w:t xml:space="preserve">)  </w:t>
      </w:r>
      <w:r w:rsidR="0007389B" w:rsidRPr="00CB05A8">
        <w:t xml:space="preserve">We concluded that a </w:t>
      </w:r>
      <w:r w:rsidR="00DC25EE" w:rsidRPr="00CB05A8">
        <w:t>change of venue was not warranted</w:t>
      </w:r>
      <w:r w:rsidR="00FB1EF8" w:rsidRPr="00CB05A8">
        <w:t xml:space="preserve"> </w:t>
      </w:r>
      <w:r w:rsidR="00DC25EE" w:rsidRPr="00CB05A8">
        <w:t xml:space="preserve">in </w:t>
      </w:r>
      <w:r w:rsidR="00FB1EF8" w:rsidRPr="00CB05A8">
        <w:t xml:space="preserve">light of the </w:t>
      </w:r>
      <w:r w:rsidR="008D3760" w:rsidRPr="00CB05A8">
        <w:t xml:space="preserve">lengthy period </w:t>
      </w:r>
      <w:r w:rsidR="00FB1EF8" w:rsidRPr="00CB05A8">
        <w:t xml:space="preserve">of time </w:t>
      </w:r>
      <w:r w:rsidR="008D3760" w:rsidRPr="00CB05A8">
        <w:t xml:space="preserve">between </w:t>
      </w:r>
      <w:r w:rsidR="00FB1EF8" w:rsidRPr="00CB05A8">
        <w:t xml:space="preserve">the initial </w:t>
      </w:r>
      <w:r w:rsidR="005B1677" w:rsidRPr="00CB05A8">
        <w:t xml:space="preserve">two-week period of </w:t>
      </w:r>
      <w:r w:rsidR="00FB1EF8" w:rsidRPr="00CB05A8">
        <w:t>extensive media coverage</w:t>
      </w:r>
      <w:r w:rsidR="008D3760" w:rsidRPr="00CB05A8">
        <w:t xml:space="preserve"> and</w:t>
      </w:r>
      <w:r w:rsidR="001418A5" w:rsidRPr="00CB05A8">
        <w:t xml:space="preserve"> the </w:t>
      </w:r>
      <w:r w:rsidR="008D3760" w:rsidRPr="00CB05A8">
        <w:t>change of venue motion</w:t>
      </w:r>
      <w:r w:rsidR="0034742B" w:rsidRPr="00CB05A8">
        <w:t xml:space="preserve">.  </w:t>
      </w:r>
      <w:r w:rsidR="00035CF4" w:rsidRPr="00CB05A8">
        <w:t>(</w:t>
      </w:r>
      <w:r w:rsidR="005B1677" w:rsidRPr="00CB05A8">
        <w:rPr>
          <w:i/>
        </w:rPr>
        <w:t>I</w:t>
      </w:r>
      <w:r w:rsidR="00035CF4" w:rsidRPr="00CB05A8">
        <w:rPr>
          <w:i/>
        </w:rPr>
        <w:t>d.</w:t>
      </w:r>
      <w:r w:rsidR="005B1677" w:rsidRPr="00CB05A8">
        <w:t xml:space="preserve"> at p. 940.</w:t>
      </w:r>
      <w:r w:rsidR="00035CF4" w:rsidRPr="00CB05A8">
        <w:t>)</w:t>
      </w:r>
      <w:r w:rsidR="00035CF4" w:rsidRPr="00CB05A8">
        <w:rPr>
          <w:i/>
        </w:rPr>
        <w:t xml:space="preserve">  </w:t>
      </w:r>
      <w:r w:rsidR="00922B31" w:rsidRPr="00CB05A8">
        <w:t xml:space="preserve">Citing </w:t>
      </w:r>
      <w:r w:rsidR="009E4303" w:rsidRPr="00CB05A8">
        <w:rPr>
          <w:i/>
        </w:rPr>
        <w:t>Odle</w:t>
      </w:r>
      <w:r w:rsidR="002B62B3" w:rsidRPr="00CB05A8">
        <w:t>,</w:t>
      </w:r>
      <w:r w:rsidR="009E4303" w:rsidRPr="00CB05A8">
        <w:t xml:space="preserve"> </w:t>
      </w:r>
      <w:r w:rsidR="002B62B3" w:rsidRPr="00CB05A8">
        <w:t>the trial court found</w:t>
      </w:r>
      <w:r w:rsidR="00902146" w:rsidRPr="00CB05A8">
        <w:t xml:space="preserve"> that the </w:t>
      </w:r>
      <w:r w:rsidR="00E94BD8" w:rsidRPr="00CB05A8">
        <w:t>media coverage</w:t>
      </w:r>
      <w:r w:rsidR="00902146" w:rsidRPr="00CB05A8">
        <w:t xml:space="preserve"> </w:t>
      </w:r>
      <w:r w:rsidR="00E94BD8" w:rsidRPr="00CB05A8">
        <w:t>of</w:t>
      </w:r>
      <w:r w:rsidR="00902146" w:rsidRPr="00CB05A8">
        <w:t xml:space="preserve"> </w:t>
      </w:r>
      <w:r w:rsidR="00E94BD8" w:rsidRPr="00CB05A8">
        <w:t>defendant’s</w:t>
      </w:r>
      <w:r w:rsidR="00902146" w:rsidRPr="00CB05A8">
        <w:t xml:space="preserve"> case did not warrant a change of venue.  </w:t>
      </w:r>
      <w:r w:rsidR="00902146" w:rsidRPr="00CB05A8">
        <w:rPr>
          <w:color w:val="000000" w:themeColor="text1"/>
        </w:rPr>
        <w:t xml:space="preserve">  </w:t>
      </w:r>
    </w:p>
    <w:p w14:paraId="7D16B0C7" w14:textId="5D13C9EC" w:rsidR="00EC1B61" w:rsidRPr="00CB05A8" w:rsidRDefault="0067426B" w:rsidP="00F105E8">
      <w:pPr>
        <w:tabs>
          <w:tab w:val="left" w:pos="1440"/>
        </w:tabs>
        <w:ind w:firstLine="720"/>
        <w:contextualSpacing/>
        <w:rPr>
          <w:color w:val="000000" w:themeColor="text1"/>
        </w:rPr>
      </w:pPr>
      <w:r>
        <w:t xml:space="preserve">We </w:t>
      </w:r>
      <w:r w:rsidR="00B34063" w:rsidRPr="00CB05A8">
        <w:t xml:space="preserve">have reviewed the </w:t>
      </w:r>
      <w:r w:rsidR="00D73D64" w:rsidRPr="00CB05A8">
        <w:t xml:space="preserve">68 </w:t>
      </w:r>
      <w:r w:rsidR="00B34063" w:rsidRPr="00CB05A8">
        <w:t xml:space="preserve">newspaper articles </w:t>
      </w:r>
      <w:r w:rsidR="00642ED0" w:rsidRPr="00CB05A8">
        <w:t>attached to defendant’s first motion for change of venue</w:t>
      </w:r>
      <w:r w:rsidR="00E24E22" w:rsidRPr="00CB05A8">
        <w:t xml:space="preserve"> and agree with the trial court’s assessment of the media coverage in this case</w:t>
      </w:r>
      <w:r w:rsidR="00642ED0" w:rsidRPr="00CB05A8">
        <w:t xml:space="preserve">.  </w:t>
      </w:r>
      <w:r w:rsidR="003B11D3" w:rsidRPr="00CB05A8">
        <w:rPr>
          <w:color w:val="000000" w:themeColor="text1"/>
        </w:rPr>
        <w:t xml:space="preserve">Several articles described </w:t>
      </w:r>
      <w:r w:rsidR="008A64EF" w:rsidRPr="00CB05A8">
        <w:rPr>
          <w:color w:val="000000" w:themeColor="text1"/>
        </w:rPr>
        <w:t xml:space="preserve">defendant as a </w:t>
      </w:r>
      <w:r w:rsidR="00CA4086" w:rsidRPr="00CB05A8">
        <w:rPr>
          <w:color w:val="000000" w:themeColor="text1"/>
        </w:rPr>
        <w:t>parolee, violent felon</w:t>
      </w:r>
      <w:r w:rsidR="004760FE" w:rsidRPr="00CB05A8">
        <w:rPr>
          <w:color w:val="000000" w:themeColor="text1"/>
        </w:rPr>
        <w:t>, career criminal</w:t>
      </w:r>
      <w:r w:rsidR="00FE3030" w:rsidRPr="00CB05A8">
        <w:rPr>
          <w:color w:val="000000" w:themeColor="text1"/>
        </w:rPr>
        <w:t xml:space="preserve">, or </w:t>
      </w:r>
      <w:r w:rsidR="005F1592" w:rsidRPr="00CB05A8">
        <w:rPr>
          <w:color w:val="000000" w:themeColor="text1"/>
        </w:rPr>
        <w:t>reputed</w:t>
      </w:r>
      <w:r w:rsidR="00FE3030" w:rsidRPr="00CB05A8">
        <w:rPr>
          <w:color w:val="000000" w:themeColor="text1"/>
        </w:rPr>
        <w:t xml:space="preserve"> member of the Aryan Brotherhood</w:t>
      </w:r>
      <w:r w:rsidR="004760FE" w:rsidRPr="00CB05A8">
        <w:rPr>
          <w:color w:val="000000" w:themeColor="text1"/>
        </w:rPr>
        <w:t xml:space="preserve">.  </w:t>
      </w:r>
      <w:r w:rsidR="00360DE1" w:rsidRPr="00CB05A8">
        <w:t>They also characterized the murder of Deputy Trejo as “cold-blooded” and “execution-style.”</w:t>
      </w:r>
      <w:r w:rsidR="00243B2A" w:rsidRPr="00CB05A8">
        <w:t xml:space="preserve">  </w:t>
      </w:r>
      <w:r w:rsidR="005F765B" w:rsidRPr="00CB05A8">
        <w:t>Each,</w:t>
      </w:r>
      <w:r w:rsidR="00AB1A86" w:rsidRPr="00CB05A8">
        <w:t xml:space="preserve"> however, took care to refer</w:t>
      </w:r>
      <w:r w:rsidR="00B63B82" w:rsidRPr="00CB05A8">
        <w:t xml:space="preserve"> to defendant </w:t>
      </w:r>
      <w:r w:rsidR="00AB1A86" w:rsidRPr="00CB05A8">
        <w:t xml:space="preserve">as </w:t>
      </w:r>
      <w:r w:rsidR="00B63B82" w:rsidRPr="00CB05A8">
        <w:t>“suspect</w:t>
      </w:r>
      <w:r w:rsidR="00B07131" w:rsidRPr="00CB05A8">
        <w:t>ed</w:t>
      </w:r>
      <w:r w:rsidR="00B63B82" w:rsidRPr="00CB05A8">
        <w:t xml:space="preserve">” or “accused” </w:t>
      </w:r>
      <w:r w:rsidR="00AB1A86" w:rsidRPr="00CB05A8">
        <w:t xml:space="preserve">of </w:t>
      </w:r>
      <w:r w:rsidR="00B07131" w:rsidRPr="00CB05A8">
        <w:t>“allegedly” shooting</w:t>
      </w:r>
      <w:r w:rsidR="000C563B" w:rsidRPr="00CB05A8">
        <w:t xml:space="preserve"> the deputy.</w:t>
      </w:r>
      <w:r w:rsidR="00B63B82" w:rsidRPr="00CB05A8">
        <w:t xml:space="preserve">  </w:t>
      </w:r>
      <w:r w:rsidR="004052FE" w:rsidRPr="00CB05A8">
        <w:t>Most of these articles</w:t>
      </w:r>
      <w:r w:rsidR="0001575D" w:rsidRPr="00CB05A8">
        <w:t xml:space="preserve">, which </w:t>
      </w:r>
      <w:r w:rsidR="00220E66" w:rsidRPr="00CB05A8">
        <w:t xml:space="preserve">were generally factual, fair, and </w:t>
      </w:r>
      <w:r w:rsidR="00E1116D" w:rsidRPr="00CB05A8">
        <w:t>not inflammatory,</w:t>
      </w:r>
      <w:r w:rsidR="00AC35B9" w:rsidRPr="00CB05A8">
        <w:t xml:space="preserve"> </w:t>
      </w:r>
      <w:r w:rsidR="004052FE" w:rsidRPr="00CB05A8">
        <w:t xml:space="preserve">were published within the first several months following defendant’s arrest.  </w:t>
      </w:r>
      <w:r w:rsidR="004A654D" w:rsidRPr="00CB05A8">
        <w:rPr>
          <w:color w:val="000000" w:themeColor="text1"/>
        </w:rPr>
        <w:t xml:space="preserve">  </w:t>
      </w:r>
    </w:p>
    <w:p w14:paraId="369D45D8" w14:textId="37E75D66" w:rsidR="00CA3ADF" w:rsidRPr="00CB05A8" w:rsidRDefault="00EB27B6" w:rsidP="00F105E8">
      <w:pPr>
        <w:tabs>
          <w:tab w:val="left" w:pos="1440"/>
        </w:tabs>
        <w:ind w:firstLine="720"/>
        <w:contextualSpacing/>
        <w:rPr>
          <w:color w:val="000000" w:themeColor="text1"/>
        </w:rPr>
      </w:pPr>
      <w:r w:rsidRPr="00CB05A8">
        <w:t xml:space="preserve">As the trial court observed, the pretrial publicity in this case demonstrates less hostile and less pervasive media </w:t>
      </w:r>
      <w:r w:rsidR="00977136">
        <w:t xml:space="preserve">coverage </w:t>
      </w:r>
      <w:r w:rsidRPr="00CB05A8">
        <w:t xml:space="preserve">than in </w:t>
      </w:r>
      <w:r w:rsidRPr="00CB05A8">
        <w:rPr>
          <w:i/>
        </w:rPr>
        <w:t>Odle</w:t>
      </w:r>
      <w:r w:rsidRPr="00CB05A8">
        <w:t xml:space="preserve">.  Defendant submitted less than half the number of articles presented in </w:t>
      </w:r>
      <w:r w:rsidRPr="00CB05A8">
        <w:rPr>
          <w:i/>
        </w:rPr>
        <w:t>Odle</w:t>
      </w:r>
      <w:r w:rsidRPr="00CB05A8">
        <w:rPr>
          <w:iCs/>
        </w:rPr>
        <w:t xml:space="preserve">, and </w:t>
      </w:r>
      <w:r w:rsidR="002C7E38" w:rsidRPr="00CB05A8">
        <w:rPr>
          <w:iCs/>
        </w:rPr>
        <w:t>a majority</w:t>
      </w:r>
      <w:r w:rsidRPr="00CB05A8">
        <w:rPr>
          <w:iCs/>
        </w:rPr>
        <w:t xml:space="preserve"> were published within the first several months following his arrest</w:t>
      </w:r>
      <w:r w:rsidRPr="00CB05A8">
        <w:t xml:space="preserve">.  </w:t>
      </w:r>
      <w:r w:rsidR="00CE7B7B" w:rsidRPr="00CB05A8">
        <w:t>Indeed, w</w:t>
      </w:r>
      <w:r w:rsidR="00E24E22" w:rsidRPr="00CB05A8">
        <w:t>e</w:t>
      </w:r>
      <w:r w:rsidR="00443654" w:rsidRPr="00CB05A8">
        <w:t xml:space="preserve"> have </w:t>
      </w:r>
      <w:r w:rsidR="00E24E22" w:rsidRPr="00CB05A8">
        <w:t xml:space="preserve">repeatedly </w:t>
      </w:r>
      <w:r w:rsidR="00304599" w:rsidRPr="00CB05A8">
        <w:t xml:space="preserve">upheld the denial of change of venue motions in numerous cases involving a similar or greater degree of media coverage.  </w:t>
      </w:r>
      <w:r w:rsidR="005B66B7" w:rsidRPr="00CB05A8">
        <w:t>(</w:t>
      </w:r>
      <w:r w:rsidR="001418A5" w:rsidRPr="00CB05A8">
        <w:t>See, e</w:t>
      </w:r>
      <w:r w:rsidR="0020282B" w:rsidRPr="00CB05A8">
        <w:t>.g.,</w:t>
      </w:r>
      <w:r w:rsidR="005B66B7" w:rsidRPr="00CB05A8">
        <w:t xml:space="preserve"> </w:t>
      </w:r>
      <w:r w:rsidR="00023552" w:rsidRPr="00CB05A8">
        <w:rPr>
          <w:i/>
        </w:rPr>
        <w:t xml:space="preserve">People v. </w:t>
      </w:r>
      <w:r w:rsidR="00E17DFE" w:rsidRPr="00CB05A8">
        <w:rPr>
          <w:i/>
          <w:szCs w:val="26"/>
        </w:rPr>
        <w:t xml:space="preserve">Famalaro </w:t>
      </w:r>
      <w:r w:rsidR="00E17DFE" w:rsidRPr="00CB05A8">
        <w:rPr>
          <w:szCs w:val="26"/>
        </w:rPr>
        <w:t xml:space="preserve">(2011) 52 Cal.4th 1, 22 </w:t>
      </w:r>
      <w:r w:rsidR="008A5A5D">
        <w:rPr>
          <w:szCs w:val="26"/>
        </w:rPr>
        <w:t>(</w:t>
      </w:r>
      <w:r w:rsidR="008A5A5D">
        <w:rPr>
          <w:i/>
          <w:iCs/>
          <w:szCs w:val="26"/>
        </w:rPr>
        <w:t>Famalaro</w:t>
      </w:r>
      <w:r w:rsidR="008A5A5D">
        <w:rPr>
          <w:szCs w:val="26"/>
        </w:rPr>
        <w:t>)</w:t>
      </w:r>
      <w:r w:rsidR="008A5A5D">
        <w:rPr>
          <w:i/>
          <w:iCs/>
          <w:szCs w:val="26"/>
        </w:rPr>
        <w:t xml:space="preserve"> </w:t>
      </w:r>
      <w:r w:rsidR="00566CE2" w:rsidRPr="00CB05A8">
        <w:rPr>
          <w:szCs w:val="26"/>
        </w:rPr>
        <w:t>[</w:t>
      </w:r>
      <w:r w:rsidR="00E17DFE" w:rsidRPr="00CB05A8">
        <w:rPr>
          <w:szCs w:val="26"/>
        </w:rPr>
        <w:t>289 newspaper articles and editorials</w:t>
      </w:r>
      <w:r w:rsidR="00F05FF3" w:rsidRPr="00CB05A8">
        <w:rPr>
          <w:szCs w:val="26"/>
        </w:rPr>
        <w:t xml:space="preserve"> and television coverage on all major stations]; </w:t>
      </w:r>
      <w:r w:rsidR="005B66B7" w:rsidRPr="00CB05A8">
        <w:rPr>
          <w:i/>
          <w:iCs/>
        </w:rPr>
        <w:t>People v. Prince</w:t>
      </w:r>
      <w:r w:rsidR="005B66B7" w:rsidRPr="00CB05A8">
        <w:rPr>
          <w:iCs/>
        </w:rPr>
        <w:t xml:space="preserve"> (2007) 40 Cal.4th 1179, </w:t>
      </w:r>
      <w:r w:rsidR="005B66B7" w:rsidRPr="00CB05A8">
        <w:t>1210–1214 (</w:t>
      </w:r>
      <w:r w:rsidR="005B66B7" w:rsidRPr="00CB05A8">
        <w:rPr>
          <w:i/>
        </w:rPr>
        <w:t>Prince</w:t>
      </w:r>
      <w:r w:rsidR="005B66B7" w:rsidRPr="00CB05A8">
        <w:t>)</w:t>
      </w:r>
      <w:r w:rsidR="005B66B7" w:rsidRPr="00CB05A8">
        <w:rPr>
          <w:i/>
        </w:rPr>
        <w:t xml:space="preserve"> </w:t>
      </w:r>
      <w:r w:rsidR="005B66B7" w:rsidRPr="00CB05A8">
        <w:t xml:space="preserve">[270 newspaper articles and extensive television coverage]; </w:t>
      </w:r>
      <w:r w:rsidR="005B66B7" w:rsidRPr="00CB05A8">
        <w:rPr>
          <w:i/>
          <w:iCs/>
        </w:rPr>
        <w:t>People v. Sully</w:t>
      </w:r>
      <w:r w:rsidR="005B66B7" w:rsidRPr="00CB05A8">
        <w:t xml:space="preserve"> (1991) 53 Cal.3d 1195, 1237 [193 newspaper articles, 300 pages of television transcripts, and eight videotapes].) </w:t>
      </w:r>
      <w:r w:rsidR="00942094" w:rsidRPr="00CB05A8">
        <w:t xml:space="preserve"> </w:t>
      </w:r>
      <w:r w:rsidR="00304599" w:rsidRPr="00CB05A8">
        <w:t xml:space="preserve">In </w:t>
      </w:r>
      <w:r w:rsidR="00304599" w:rsidRPr="00CB05A8">
        <w:rPr>
          <w:i/>
        </w:rPr>
        <w:t>People v. McCurdy</w:t>
      </w:r>
      <w:r w:rsidR="00304599" w:rsidRPr="00CB05A8">
        <w:t xml:space="preserve"> (2014) </w:t>
      </w:r>
      <w:r w:rsidR="008359E1" w:rsidRPr="00CB05A8">
        <w:t>5</w:t>
      </w:r>
      <w:r w:rsidR="00304599" w:rsidRPr="00CB05A8">
        <w:t>9 Cal.4th 1063</w:t>
      </w:r>
      <w:r w:rsidR="009B1857" w:rsidRPr="00CB05A8">
        <w:t xml:space="preserve">, </w:t>
      </w:r>
      <w:r w:rsidR="00A649D7" w:rsidRPr="00CB05A8">
        <w:t>1077</w:t>
      </w:r>
      <w:r w:rsidR="008359E1" w:rsidRPr="00CB05A8">
        <w:t xml:space="preserve"> (</w:t>
      </w:r>
      <w:r w:rsidR="008359E1" w:rsidRPr="00CB05A8">
        <w:rPr>
          <w:i/>
        </w:rPr>
        <w:t>McCurdy</w:t>
      </w:r>
      <w:r w:rsidR="008359E1" w:rsidRPr="00CB05A8">
        <w:t>)</w:t>
      </w:r>
      <w:r w:rsidR="00A649D7" w:rsidRPr="00CB05A8">
        <w:t xml:space="preserve">, </w:t>
      </w:r>
      <w:r w:rsidR="00304599" w:rsidRPr="00CB05A8">
        <w:t>for example, we concluded that the nature and extent of the media coverage —</w:t>
      </w:r>
      <w:r w:rsidR="001418A5" w:rsidRPr="00CB05A8">
        <w:t xml:space="preserve"> </w:t>
      </w:r>
      <w:r w:rsidR="00304599" w:rsidRPr="00CB05A8">
        <w:t xml:space="preserve">approximately 60 newspaper articles published about defendant’s case, a third of which </w:t>
      </w:r>
      <w:r w:rsidR="006C367B" w:rsidRPr="00CB05A8">
        <w:t xml:space="preserve">appeared </w:t>
      </w:r>
      <w:r w:rsidR="00304599" w:rsidRPr="00CB05A8">
        <w:t xml:space="preserve">in the </w:t>
      </w:r>
      <w:r w:rsidR="009E0AB5" w:rsidRPr="00CB05A8">
        <w:t>first few</w:t>
      </w:r>
      <w:r w:rsidR="00304599" w:rsidRPr="00CB05A8">
        <w:t xml:space="preserve"> months following his arrest — did not heavily favor a change of venue.  </w:t>
      </w:r>
      <w:r w:rsidR="00AA0546" w:rsidRPr="00CB05A8">
        <w:t>Similarly, we upheld the trial court’s denial of a change of venue motion i</w:t>
      </w:r>
      <w:r w:rsidR="00304599" w:rsidRPr="00CB05A8">
        <w:t xml:space="preserve">n </w:t>
      </w:r>
      <w:r w:rsidR="00304599" w:rsidRPr="00CB05A8">
        <w:rPr>
          <w:i/>
        </w:rPr>
        <w:t>People v. Coffman and Marlow</w:t>
      </w:r>
      <w:r w:rsidR="00304599" w:rsidRPr="00CB05A8">
        <w:t xml:space="preserve"> (2004) 34 Cal.4th 1</w:t>
      </w:r>
      <w:r w:rsidR="002D2237" w:rsidRPr="00CB05A8">
        <w:t>, 44, 46</w:t>
      </w:r>
      <w:r w:rsidR="008F5A66" w:rsidRPr="00CB05A8">
        <w:t xml:space="preserve"> (</w:t>
      </w:r>
      <w:r w:rsidR="008F5A66" w:rsidRPr="00CB05A8">
        <w:rPr>
          <w:i/>
        </w:rPr>
        <w:t>Coffman and Marlow</w:t>
      </w:r>
      <w:r w:rsidR="008F5A66" w:rsidRPr="00CB05A8">
        <w:t>)</w:t>
      </w:r>
      <w:r w:rsidR="00AA0546" w:rsidRPr="00CB05A8">
        <w:t xml:space="preserve">, even though </w:t>
      </w:r>
      <w:r w:rsidR="00304599" w:rsidRPr="00CB05A8">
        <w:t xml:space="preserve">the defense presented more than 150 articles from regional newspapers and </w:t>
      </w:r>
      <w:r w:rsidR="00576183" w:rsidRPr="00CB05A8">
        <w:t>several</w:t>
      </w:r>
      <w:r w:rsidR="00304599" w:rsidRPr="00CB05A8">
        <w:t xml:space="preserve"> videos of television coverage of the case</w:t>
      </w:r>
      <w:r w:rsidR="00603A71" w:rsidRPr="00CB05A8">
        <w:t xml:space="preserve">.  We </w:t>
      </w:r>
      <w:r w:rsidR="004E70DA" w:rsidRPr="00CB05A8">
        <w:t xml:space="preserve">observed </w:t>
      </w:r>
      <w:r w:rsidR="00603A71" w:rsidRPr="00CB05A8">
        <w:t xml:space="preserve">that </w:t>
      </w:r>
      <w:r w:rsidR="00FD2097" w:rsidRPr="00CB05A8">
        <w:rPr>
          <w:szCs w:val="26"/>
        </w:rPr>
        <w:t>the media coverage “substantially predated the trial” and all of the seated jurors who remembered hearing about the case indicated during voir dire that pretrial publicity would not prevent them from acting fairly and impartially.</w:t>
      </w:r>
      <w:r w:rsidR="007E18BF">
        <w:rPr>
          <w:szCs w:val="26"/>
        </w:rPr>
        <w:t xml:space="preserve">  (</w:t>
      </w:r>
      <w:r w:rsidR="007E18BF">
        <w:rPr>
          <w:i/>
          <w:iCs/>
          <w:szCs w:val="26"/>
        </w:rPr>
        <w:t>Ibid.</w:t>
      </w:r>
      <w:r w:rsidR="007E18BF">
        <w:rPr>
          <w:szCs w:val="26"/>
        </w:rPr>
        <w:t>)</w:t>
      </w:r>
      <w:r w:rsidR="00FD2097" w:rsidRPr="00CB05A8">
        <w:rPr>
          <w:szCs w:val="26"/>
        </w:rPr>
        <w:t xml:space="preserve">  </w:t>
      </w:r>
    </w:p>
    <w:p w14:paraId="2DAE0B8D" w14:textId="4430FD55" w:rsidR="00E71E5A" w:rsidRPr="00CB05A8" w:rsidRDefault="00CA3ADF" w:rsidP="00F105E8">
      <w:pPr>
        <w:tabs>
          <w:tab w:val="left" w:pos="1440"/>
        </w:tabs>
        <w:ind w:firstLine="720"/>
        <w:contextualSpacing/>
      </w:pPr>
      <w:r w:rsidRPr="00CB05A8">
        <w:t>Moreover</w:t>
      </w:r>
      <w:r w:rsidR="003562D9" w:rsidRPr="00CB05A8">
        <w:t>, the pu</w:t>
      </w:r>
      <w:r w:rsidR="001F5E28" w:rsidRPr="00CB05A8">
        <w:t xml:space="preserve">blicity </w:t>
      </w:r>
      <w:r w:rsidR="009C4364" w:rsidRPr="00CB05A8">
        <w:t xml:space="preserve">in this case </w:t>
      </w:r>
      <w:r w:rsidR="001F5E28" w:rsidRPr="00CB05A8">
        <w:t xml:space="preserve">was not so inflammatory as to preclude a fair trial.  </w:t>
      </w:r>
      <w:r w:rsidR="00AA201E" w:rsidRPr="00CB05A8">
        <w:t>“ ‘Media coverage is not biased or inflammatory simply because it recounts the inherently disturbing circumstances of the case.’  [Citation.]  Although ‘press coverage need not be inflammatory to justify a change of venue</w:t>
      </w:r>
      <w:r w:rsidR="004F6A1C" w:rsidRPr="00CB05A8">
        <w:t> </w:t>
      </w:r>
      <w:r w:rsidR="005962FA" w:rsidRPr="00CB05A8">
        <w:t>. . </w:t>
      </w:r>
      <w:r w:rsidR="00AA201E" w:rsidRPr="00CB05A8">
        <w:t>.’ [citation], something more than sensational facts has been present in cases in which a change of venue was required.”  (</w:t>
      </w:r>
      <w:r w:rsidR="00C723E3" w:rsidRPr="00CB05A8">
        <w:rPr>
          <w:i/>
        </w:rPr>
        <w:t xml:space="preserve">People v. </w:t>
      </w:r>
      <w:r w:rsidR="00AA201E" w:rsidRPr="00CB05A8">
        <w:rPr>
          <w:i/>
          <w:iCs/>
        </w:rPr>
        <w:t>Suff</w:t>
      </w:r>
      <w:r w:rsidR="00C723E3" w:rsidRPr="00CB05A8">
        <w:rPr>
          <w:iCs/>
        </w:rPr>
        <w:t xml:space="preserve"> (</w:t>
      </w:r>
      <w:r w:rsidR="00622206" w:rsidRPr="00CB05A8">
        <w:rPr>
          <w:iCs/>
        </w:rPr>
        <w:t>2014</w:t>
      </w:r>
      <w:r w:rsidR="00C723E3" w:rsidRPr="00CB05A8">
        <w:rPr>
          <w:iCs/>
        </w:rPr>
        <w:t xml:space="preserve">) </w:t>
      </w:r>
      <w:r w:rsidR="00AA201E" w:rsidRPr="00CB05A8">
        <w:t>58</w:t>
      </w:r>
      <w:r w:rsidR="00643FA4">
        <w:t> </w:t>
      </w:r>
      <w:r w:rsidR="00AA201E" w:rsidRPr="00CB05A8">
        <w:t xml:space="preserve">Cal.4th </w:t>
      </w:r>
      <w:r w:rsidR="00622206" w:rsidRPr="00CB05A8">
        <w:t xml:space="preserve">1013, </w:t>
      </w:r>
      <w:r w:rsidR="00AA201E" w:rsidRPr="00CB05A8">
        <w:t>1048</w:t>
      </w:r>
      <w:r w:rsidR="00622206" w:rsidRPr="00CB05A8">
        <w:t xml:space="preserve"> (</w:t>
      </w:r>
      <w:r w:rsidR="00622206" w:rsidRPr="00CB05A8">
        <w:rPr>
          <w:i/>
        </w:rPr>
        <w:t>Suff</w:t>
      </w:r>
      <w:r w:rsidR="00622206" w:rsidRPr="00CB05A8">
        <w:t>)</w:t>
      </w:r>
      <w:r w:rsidR="00352FE4" w:rsidRPr="00CB05A8">
        <w:t>; see also</w:t>
      </w:r>
      <w:r w:rsidR="004853BB" w:rsidRPr="00CB05A8">
        <w:t xml:space="preserve"> </w:t>
      </w:r>
      <w:r w:rsidR="004853BB" w:rsidRPr="00CB05A8">
        <w:rPr>
          <w:i/>
        </w:rPr>
        <w:t xml:space="preserve">People v. Zambrano </w:t>
      </w:r>
      <w:r w:rsidR="004853BB" w:rsidRPr="00CB05A8">
        <w:t>(2007) 41</w:t>
      </w:r>
      <w:r w:rsidR="002140EA" w:rsidRPr="00CB05A8">
        <w:t> </w:t>
      </w:r>
      <w:r w:rsidR="004853BB" w:rsidRPr="00CB05A8">
        <w:t>Cal.4th 1082, 1126 [</w:t>
      </w:r>
      <w:r w:rsidR="00645F21" w:rsidRPr="00CB05A8">
        <w:t>Although “</w:t>
      </w:r>
      <w:r w:rsidR="003F4E74" w:rsidRPr="00CB05A8">
        <w:t>local coverage disclosed the brutal details of the crimes, and elicited their effects on the victims and their families, the reporting was essentially factual, not sensationalized”]</w:t>
      </w:r>
      <w:r w:rsidR="006E2B18" w:rsidRPr="00CB05A8">
        <w:t xml:space="preserve">.)  </w:t>
      </w:r>
      <w:r w:rsidR="0075129F" w:rsidRPr="00CB05A8">
        <w:t>We have previously held</w:t>
      </w:r>
      <w:r w:rsidR="00951BE7" w:rsidRPr="00CB05A8">
        <w:t xml:space="preserve"> that media description</w:t>
      </w:r>
      <w:r w:rsidR="0075129F" w:rsidRPr="00CB05A8">
        <w:t>s</w:t>
      </w:r>
      <w:r w:rsidR="00951BE7" w:rsidRPr="00CB05A8">
        <w:t xml:space="preserve"> of crimes as “execution-style murders,</w:t>
      </w:r>
      <w:r w:rsidR="0090051C" w:rsidRPr="00CB05A8">
        <w:t>” “ ‘brutal,’ ‘cold-blooded,’ ‘evil,’ ‘horrible,’ or ‘horrific</w:t>
      </w:r>
      <w:r w:rsidR="00FB2474" w:rsidRPr="00CB05A8">
        <w:t>’ </w:t>
      </w:r>
      <w:r w:rsidR="0090051C" w:rsidRPr="00CB05A8">
        <w:t>”</w:t>
      </w:r>
      <w:r w:rsidR="00FB2474" w:rsidRPr="00CB05A8">
        <w:t xml:space="preserve"> </w:t>
      </w:r>
      <w:r w:rsidR="0075129F" w:rsidRPr="00CB05A8">
        <w:t xml:space="preserve">were not by themselves necessarily prejudicial </w:t>
      </w:r>
      <w:r w:rsidR="006B727A" w:rsidRPr="00CB05A8">
        <w:t xml:space="preserve">when they appeared in </w:t>
      </w:r>
      <w:r w:rsidR="00FB2474" w:rsidRPr="00CB05A8">
        <w:t>generally factual and noninflammatory reporting.  (</w:t>
      </w:r>
      <w:r w:rsidR="00FB2474" w:rsidRPr="00CB05A8">
        <w:rPr>
          <w:i/>
        </w:rPr>
        <w:t>Rices</w:t>
      </w:r>
      <w:r w:rsidR="00FB2474" w:rsidRPr="00CB05A8">
        <w:t xml:space="preserve">, </w:t>
      </w:r>
      <w:r w:rsidR="00FB2474" w:rsidRPr="00CB05A8">
        <w:rPr>
          <w:i/>
        </w:rPr>
        <w:t>supra</w:t>
      </w:r>
      <w:r w:rsidR="00FB2474" w:rsidRPr="00CB05A8">
        <w:t xml:space="preserve">, </w:t>
      </w:r>
      <w:r w:rsidR="00024A27" w:rsidRPr="00CB05A8">
        <w:t>4 Cal.5th</w:t>
      </w:r>
      <w:r w:rsidR="00024A27" w:rsidRPr="00CB05A8">
        <w:rPr>
          <w:vertAlign w:val="superscript"/>
        </w:rPr>
        <w:t xml:space="preserve"> </w:t>
      </w:r>
      <w:r w:rsidR="00FB2474" w:rsidRPr="00CB05A8">
        <w:t>at p. 73</w:t>
      </w:r>
      <w:r w:rsidR="0074084E" w:rsidRPr="00CB05A8">
        <w:t>.)</w:t>
      </w:r>
      <w:r w:rsidR="00C54C0F" w:rsidRPr="00CB05A8">
        <w:t xml:space="preserve">  </w:t>
      </w:r>
      <w:r w:rsidR="001E0BD0" w:rsidRPr="00CB05A8">
        <w:t>Similarly h</w:t>
      </w:r>
      <w:r w:rsidR="008B07A4" w:rsidRPr="00CB05A8">
        <w:t xml:space="preserve">ere, </w:t>
      </w:r>
      <w:r w:rsidR="008E31E8" w:rsidRPr="00CB05A8">
        <w:t xml:space="preserve">the media description of defendant as a </w:t>
      </w:r>
      <w:r w:rsidR="00DF279D" w:rsidRPr="00CB05A8">
        <w:t>“cop killer,” “violent criminal,</w:t>
      </w:r>
      <w:r w:rsidR="00845341">
        <w:t>”</w:t>
      </w:r>
      <w:r w:rsidR="00DF279D" w:rsidRPr="00CB05A8">
        <w:t xml:space="preserve"> or “state parolee</w:t>
      </w:r>
      <w:r w:rsidR="00A80408" w:rsidRPr="00CB05A8">
        <w:t xml:space="preserve">,” and characterization of the crime as “cold-blooded” or “execution-style” </w:t>
      </w:r>
      <w:r w:rsidR="008E31E8" w:rsidRPr="00CB05A8">
        <w:t xml:space="preserve">does not approach the </w:t>
      </w:r>
      <w:r w:rsidR="008362C2" w:rsidRPr="00CB05A8">
        <w:t xml:space="preserve">type of incendiary reporting </w:t>
      </w:r>
      <w:r w:rsidR="00A6355D" w:rsidRPr="00CB05A8">
        <w:t xml:space="preserve">that would warrant a change of venue.  </w:t>
      </w:r>
      <w:r w:rsidR="00E71E5A" w:rsidRPr="00CB05A8">
        <w:t xml:space="preserve">  </w:t>
      </w:r>
    </w:p>
    <w:p w14:paraId="071EB5D3" w14:textId="3AA9687A" w:rsidR="00A4026A" w:rsidRPr="00CB05A8" w:rsidRDefault="00CC010F" w:rsidP="00F105E8">
      <w:pPr>
        <w:tabs>
          <w:tab w:val="left" w:pos="1440"/>
        </w:tabs>
        <w:ind w:firstLine="720"/>
        <w:contextualSpacing/>
        <w:rPr>
          <w:color w:val="000000" w:themeColor="text1"/>
          <w:szCs w:val="26"/>
        </w:rPr>
      </w:pPr>
      <w:r w:rsidRPr="00CB05A8">
        <w:t xml:space="preserve">Nor does the </w:t>
      </w:r>
      <w:r w:rsidR="004F2B76" w:rsidRPr="00CB05A8">
        <w:t>media</w:t>
      </w:r>
      <w:r w:rsidR="00654491" w:rsidRPr="00CB05A8">
        <w:t>’s</w:t>
      </w:r>
      <w:r w:rsidR="000E0B05" w:rsidRPr="00CB05A8">
        <w:t xml:space="preserve"> description of defendant</w:t>
      </w:r>
      <w:r w:rsidR="000F6380" w:rsidRPr="00CB05A8">
        <w:t xml:space="preserve">’s </w:t>
      </w:r>
      <w:r w:rsidR="002C7E38" w:rsidRPr="00CB05A8">
        <w:t>repute</w:t>
      </w:r>
      <w:r w:rsidR="000F6380" w:rsidRPr="00CB05A8">
        <w:t xml:space="preserve">d Aryan Brotherhood affiliation or </w:t>
      </w:r>
      <w:r w:rsidR="004F651C" w:rsidRPr="00CB05A8">
        <w:t>recounting of his criminal history</w:t>
      </w:r>
      <w:r w:rsidR="000E0B05" w:rsidRPr="00CB05A8">
        <w:t xml:space="preserve"> </w:t>
      </w:r>
      <w:r w:rsidR="004F2B76" w:rsidRPr="00CB05A8">
        <w:t xml:space="preserve">warrant </w:t>
      </w:r>
      <w:r w:rsidR="004F651C" w:rsidRPr="00CB05A8">
        <w:t>a venue change</w:t>
      </w:r>
      <w:r w:rsidR="003833E6" w:rsidRPr="00CB05A8">
        <w:t xml:space="preserve">.  There are approximately </w:t>
      </w:r>
      <w:r w:rsidR="00796C91">
        <w:t>10</w:t>
      </w:r>
      <w:r w:rsidR="003833E6" w:rsidRPr="00CB05A8">
        <w:t xml:space="preserve"> articles, </w:t>
      </w:r>
      <w:r w:rsidR="00223677" w:rsidRPr="00CB05A8">
        <w:t xml:space="preserve">published </w:t>
      </w:r>
      <w:r w:rsidR="003833E6" w:rsidRPr="00CB05A8">
        <w:t xml:space="preserve">over </w:t>
      </w:r>
      <w:r w:rsidR="00223677" w:rsidRPr="00CB05A8">
        <w:t xml:space="preserve">the course of </w:t>
      </w:r>
      <w:r w:rsidR="003833E6" w:rsidRPr="00CB05A8">
        <w:t xml:space="preserve">nearly </w:t>
      </w:r>
      <w:r w:rsidR="00796C91">
        <w:t>18</w:t>
      </w:r>
      <w:r w:rsidR="00223677" w:rsidRPr="00CB05A8">
        <w:t xml:space="preserve"> months</w:t>
      </w:r>
      <w:r w:rsidR="003833E6" w:rsidRPr="00CB05A8">
        <w:t xml:space="preserve">, that mention defendant’s </w:t>
      </w:r>
      <w:r w:rsidR="00C34A5C" w:rsidRPr="00CB05A8">
        <w:t xml:space="preserve">alleged </w:t>
      </w:r>
      <w:r w:rsidR="003833E6" w:rsidRPr="00CB05A8">
        <w:t>affiliation with the Aryan Brotherhood or</w:t>
      </w:r>
      <w:r w:rsidR="00C70899" w:rsidRPr="00CB05A8">
        <w:t xml:space="preserve"> </w:t>
      </w:r>
      <w:r w:rsidR="00CB7B4E" w:rsidRPr="00CB05A8">
        <w:t>w</w:t>
      </w:r>
      <w:r w:rsidR="003833E6" w:rsidRPr="00CB05A8">
        <w:t xml:space="preserve">hite supremacist group.  </w:t>
      </w:r>
      <w:r w:rsidR="009238FC">
        <w:t xml:space="preserve">Most were published within the first three weeks following Deputy Trejo’s </w:t>
      </w:r>
      <w:r w:rsidR="004C3550">
        <w:t>killing</w:t>
      </w:r>
      <w:r w:rsidR="009238FC">
        <w:t xml:space="preserve">.  </w:t>
      </w:r>
      <w:r w:rsidR="00987638">
        <w:t>The</w:t>
      </w:r>
      <w:r w:rsidR="00CB4D31">
        <w:t xml:space="preserve"> articles made only passing reference</w:t>
      </w:r>
      <w:r w:rsidR="0067286F">
        <w:t xml:space="preserve"> to defendant’s Aryan Brotherhood</w:t>
      </w:r>
      <w:r w:rsidR="00651B89">
        <w:t xml:space="preserve"> </w:t>
      </w:r>
      <w:r w:rsidR="009238FC">
        <w:t>connection</w:t>
      </w:r>
      <w:r w:rsidR="009537A1">
        <w:t xml:space="preserve">, </w:t>
      </w:r>
      <w:r w:rsidR="009238FC">
        <w:t>which was largely described</w:t>
      </w:r>
      <w:r w:rsidR="00986179">
        <w:t xml:space="preserve"> as “alleged” or “reputed.”</w:t>
      </w:r>
      <w:r w:rsidR="009537A1">
        <w:t xml:space="preserve"> </w:t>
      </w:r>
      <w:r w:rsidR="00DE65EB">
        <w:t xml:space="preserve"> </w:t>
      </w:r>
      <w:r w:rsidR="00532383">
        <w:t>In addition</w:t>
      </w:r>
      <w:r w:rsidR="00920FEC">
        <w:t xml:space="preserve">, </w:t>
      </w:r>
      <w:r w:rsidR="00532383">
        <w:t xml:space="preserve">in response to </w:t>
      </w:r>
      <w:r w:rsidR="00C46B77">
        <w:t xml:space="preserve">written questions regarding media coverage of the case, </w:t>
      </w:r>
      <w:r w:rsidR="00920FEC">
        <w:t xml:space="preserve">only a handful of the 197 prospective jurors </w:t>
      </w:r>
      <w:r w:rsidR="004D2E2B">
        <w:t xml:space="preserve">stated they </w:t>
      </w:r>
      <w:r w:rsidR="00025FD5">
        <w:t xml:space="preserve">recalled defendant’s alleged affiliation with a white supremacist group.  </w:t>
      </w:r>
      <w:r w:rsidR="00352FA8" w:rsidRPr="00CB05A8">
        <w:t xml:space="preserve">In </w:t>
      </w:r>
      <w:r w:rsidR="00352FA8" w:rsidRPr="00CB05A8">
        <w:rPr>
          <w:i/>
        </w:rPr>
        <w:t>Coffman and Marlow</w:t>
      </w:r>
      <w:r w:rsidR="003833E6" w:rsidRPr="00CB05A8">
        <w:t xml:space="preserve">, </w:t>
      </w:r>
      <w:r w:rsidR="00465F41" w:rsidRPr="00CB05A8">
        <w:t xml:space="preserve">we </w:t>
      </w:r>
      <w:r w:rsidR="002D5570" w:rsidRPr="00CB05A8">
        <w:t xml:space="preserve">upheld the denial of a </w:t>
      </w:r>
      <w:r w:rsidR="00465F41" w:rsidRPr="00CB05A8">
        <w:t xml:space="preserve">motion for change of venue, even though </w:t>
      </w:r>
      <w:r w:rsidR="00250F41" w:rsidRPr="00CB05A8">
        <w:t>much of the reporting</w:t>
      </w:r>
      <w:r w:rsidR="001D2902" w:rsidRPr="00CB05A8">
        <w:t xml:space="preserve"> “</w:t>
      </w:r>
      <w:r w:rsidR="00730485" w:rsidRPr="00CB05A8">
        <w:t>characterized defendants as armed and dangerous transients implicated in serial killings</w:t>
      </w:r>
      <w:r w:rsidR="001E4AF2" w:rsidRPr="00CB05A8">
        <w:t xml:space="preserve">” and </w:t>
      </w:r>
      <w:r w:rsidR="0059790B" w:rsidRPr="00CB05A8">
        <w:t xml:space="preserve">some </w:t>
      </w:r>
      <w:r w:rsidR="00B574EE" w:rsidRPr="00CB05A8">
        <w:t>“recounted</w:t>
      </w:r>
      <w:r w:rsidR="00D052CA" w:rsidRPr="00CB05A8">
        <w:t xml:space="preserve"> </w:t>
      </w:r>
      <w:r w:rsidR="00B574EE" w:rsidRPr="00CB05A8">
        <w:t>[</w:t>
      </w:r>
      <w:r w:rsidR="009F338F" w:rsidRPr="00CB05A8">
        <w:t>the codefendant’s]</w:t>
      </w:r>
      <w:r w:rsidR="00D052CA" w:rsidRPr="00CB05A8">
        <w:t xml:space="preserve"> </w:t>
      </w:r>
      <w:r w:rsidR="00730485" w:rsidRPr="00CB05A8">
        <w:t xml:space="preserve">criminal history and alleged ties to the </w:t>
      </w:r>
      <w:r w:rsidR="00275AE9" w:rsidRPr="00CB05A8">
        <w:t>[</w:t>
      </w:r>
      <w:r w:rsidR="004E37E3" w:rsidRPr="00CB05A8">
        <w:t>w</w:t>
      </w:r>
      <w:r w:rsidR="00275AE9" w:rsidRPr="00CB05A8">
        <w:t>]</w:t>
      </w:r>
      <w:r w:rsidR="00730485" w:rsidRPr="00CB05A8">
        <w:t>hite supremacist Aryan Brotherhood.</w:t>
      </w:r>
      <w:r w:rsidR="009F338F" w:rsidRPr="00CB05A8">
        <w:t>”  (</w:t>
      </w:r>
      <w:r w:rsidR="009D6EF5" w:rsidRPr="00CB05A8">
        <w:rPr>
          <w:i/>
        </w:rPr>
        <w:t>Coffman and Marlow</w:t>
      </w:r>
      <w:r w:rsidR="009D6EF5" w:rsidRPr="00CB05A8">
        <w:t xml:space="preserve">, </w:t>
      </w:r>
      <w:r w:rsidR="009D6EF5" w:rsidRPr="00CB05A8">
        <w:rPr>
          <w:i/>
        </w:rPr>
        <w:t>supra</w:t>
      </w:r>
      <w:r w:rsidR="009D6EF5" w:rsidRPr="00CB05A8">
        <w:t>,</w:t>
      </w:r>
      <w:r w:rsidR="009D6EF5" w:rsidRPr="00CB05A8">
        <w:rPr>
          <w:i/>
        </w:rPr>
        <w:t xml:space="preserve"> </w:t>
      </w:r>
      <w:bookmarkStart w:id="31" w:name="_Hlk56071575"/>
      <w:r w:rsidR="009D6EF5" w:rsidRPr="00CB05A8">
        <w:t>34</w:t>
      </w:r>
      <w:r w:rsidR="002140EA" w:rsidRPr="00CB05A8">
        <w:t> </w:t>
      </w:r>
      <w:r w:rsidR="009D6EF5" w:rsidRPr="00CB05A8">
        <w:t xml:space="preserve">Cal.4th </w:t>
      </w:r>
      <w:bookmarkEnd w:id="31"/>
      <w:r w:rsidR="009D6EF5" w:rsidRPr="00CB05A8">
        <w:t>at p. 44</w:t>
      </w:r>
      <w:r w:rsidR="00A4026A" w:rsidRPr="00CB05A8">
        <w:t>.</w:t>
      </w:r>
      <w:r w:rsidR="009F338F" w:rsidRPr="00CB05A8">
        <w:t xml:space="preserve">) </w:t>
      </w:r>
      <w:r w:rsidR="00EF69EB" w:rsidRPr="00CB05A8">
        <w:t xml:space="preserve"> </w:t>
      </w:r>
      <w:r w:rsidR="00B40A8B" w:rsidRPr="00CB05A8">
        <w:rPr>
          <w:szCs w:val="26"/>
        </w:rPr>
        <w:t xml:space="preserve">Similarly, in </w:t>
      </w:r>
      <w:r w:rsidR="00EC04B4" w:rsidRPr="00CB05A8">
        <w:rPr>
          <w:i/>
          <w:szCs w:val="26"/>
        </w:rPr>
        <w:t>Famalaro</w:t>
      </w:r>
      <w:r w:rsidR="00901F36" w:rsidRPr="00CB05A8">
        <w:rPr>
          <w:szCs w:val="26"/>
        </w:rPr>
        <w:t xml:space="preserve">, </w:t>
      </w:r>
      <w:r w:rsidR="00B40A8B" w:rsidRPr="00CB05A8">
        <w:rPr>
          <w:szCs w:val="26"/>
        </w:rPr>
        <w:t xml:space="preserve">we </w:t>
      </w:r>
      <w:r w:rsidR="00046F07" w:rsidRPr="00CB05A8">
        <w:rPr>
          <w:szCs w:val="26"/>
        </w:rPr>
        <w:t>conclud</w:t>
      </w:r>
      <w:r w:rsidR="00B40A8B" w:rsidRPr="00CB05A8">
        <w:rPr>
          <w:szCs w:val="26"/>
        </w:rPr>
        <w:t>ed</w:t>
      </w:r>
      <w:r w:rsidR="006F4626" w:rsidRPr="00CB05A8">
        <w:rPr>
          <w:szCs w:val="26"/>
        </w:rPr>
        <w:t xml:space="preserve"> that</w:t>
      </w:r>
      <w:r w:rsidR="00046F07" w:rsidRPr="00CB05A8">
        <w:rPr>
          <w:szCs w:val="26"/>
        </w:rPr>
        <w:t xml:space="preserve"> </w:t>
      </w:r>
      <w:r w:rsidR="006F4626" w:rsidRPr="00CB05A8">
        <w:rPr>
          <w:szCs w:val="26"/>
        </w:rPr>
        <w:t>it was</w:t>
      </w:r>
      <w:r w:rsidR="00046F07" w:rsidRPr="00CB05A8">
        <w:rPr>
          <w:szCs w:val="26"/>
        </w:rPr>
        <w:t xml:space="preserve"> </w:t>
      </w:r>
      <w:r w:rsidR="006F4626" w:rsidRPr="00CB05A8">
        <w:rPr>
          <w:szCs w:val="26"/>
        </w:rPr>
        <w:t>“</w:t>
      </w:r>
      <w:r w:rsidR="00046F07" w:rsidRPr="00CB05A8">
        <w:rPr>
          <w:szCs w:val="26"/>
        </w:rPr>
        <w:t xml:space="preserve">reasonable to infer that </w:t>
      </w:r>
      <w:r w:rsidR="00B40A8B" w:rsidRPr="00CB05A8">
        <w:rPr>
          <w:szCs w:val="26"/>
        </w:rPr>
        <w:t xml:space="preserve">the </w:t>
      </w:r>
      <w:r w:rsidR="00046F07" w:rsidRPr="00CB05A8">
        <w:rPr>
          <w:szCs w:val="26"/>
        </w:rPr>
        <w:t xml:space="preserve">memories of </w:t>
      </w:r>
      <w:r w:rsidR="00B40A8B" w:rsidRPr="00CB05A8">
        <w:rPr>
          <w:szCs w:val="26"/>
        </w:rPr>
        <w:t xml:space="preserve">any </w:t>
      </w:r>
      <w:r w:rsidR="00046F07" w:rsidRPr="00CB05A8">
        <w:rPr>
          <w:szCs w:val="26"/>
        </w:rPr>
        <w:t>prospective jurors</w:t>
      </w:r>
      <w:r w:rsidR="006F4626" w:rsidRPr="00CB05A8">
        <w:rPr>
          <w:szCs w:val="26"/>
        </w:rPr>
        <w:t>”</w:t>
      </w:r>
      <w:r w:rsidR="00046F07" w:rsidRPr="00CB05A8">
        <w:rPr>
          <w:szCs w:val="26"/>
        </w:rPr>
        <w:t xml:space="preserve"> </w:t>
      </w:r>
      <w:r w:rsidR="00AF4C43" w:rsidRPr="00CB05A8">
        <w:rPr>
          <w:szCs w:val="26"/>
        </w:rPr>
        <w:t xml:space="preserve">who had been </w:t>
      </w:r>
      <w:r w:rsidR="002025C7" w:rsidRPr="00CB05A8">
        <w:rPr>
          <w:szCs w:val="26"/>
        </w:rPr>
        <w:t xml:space="preserve">exposed to </w:t>
      </w:r>
      <w:r w:rsidR="00AF4C43" w:rsidRPr="00CB05A8">
        <w:rPr>
          <w:szCs w:val="26"/>
        </w:rPr>
        <w:t xml:space="preserve">a few news </w:t>
      </w:r>
      <w:r w:rsidR="00B40A8B" w:rsidRPr="00CB05A8">
        <w:rPr>
          <w:szCs w:val="26"/>
        </w:rPr>
        <w:t>reports containing inadmissible</w:t>
      </w:r>
      <w:r w:rsidR="00AF4C43" w:rsidRPr="00CB05A8">
        <w:rPr>
          <w:szCs w:val="26"/>
        </w:rPr>
        <w:t xml:space="preserve"> material or potentially prejudicial information </w:t>
      </w:r>
      <w:r w:rsidR="006F4626" w:rsidRPr="00CB05A8">
        <w:rPr>
          <w:szCs w:val="26"/>
        </w:rPr>
        <w:t>“would have been dimmed by the passage of time.”  (</w:t>
      </w:r>
      <w:r w:rsidR="009D6EF5" w:rsidRPr="00CB05A8">
        <w:rPr>
          <w:i/>
          <w:szCs w:val="26"/>
        </w:rPr>
        <w:t>Famalaro</w:t>
      </w:r>
      <w:r w:rsidR="009D6EF5" w:rsidRPr="00CB05A8">
        <w:rPr>
          <w:szCs w:val="26"/>
        </w:rPr>
        <w:t xml:space="preserve">, </w:t>
      </w:r>
      <w:r w:rsidR="009D6EF5" w:rsidRPr="00CB05A8">
        <w:rPr>
          <w:i/>
          <w:szCs w:val="26"/>
        </w:rPr>
        <w:t>supra</w:t>
      </w:r>
      <w:r w:rsidR="009D6EF5" w:rsidRPr="00CB05A8">
        <w:rPr>
          <w:szCs w:val="26"/>
        </w:rPr>
        <w:t>,</w:t>
      </w:r>
      <w:r w:rsidR="009D6EF5" w:rsidRPr="00CB05A8">
        <w:rPr>
          <w:i/>
          <w:szCs w:val="26"/>
        </w:rPr>
        <w:t xml:space="preserve"> </w:t>
      </w:r>
      <w:r w:rsidR="009D6EF5" w:rsidRPr="00CB05A8">
        <w:rPr>
          <w:szCs w:val="26"/>
        </w:rPr>
        <w:t>52</w:t>
      </w:r>
      <w:r w:rsidR="00643FA4">
        <w:rPr>
          <w:szCs w:val="26"/>
        </w:rPr>
        <w:t> </w:t>
      </w:r>
      <w:r w:rsidR="009D6EF5" w:rsidRPr="00CB05A8">
        <w:rPr>
          <w:szCs w:val="26"/>
        </w:rPr>
        <w:t xml:space="preserve">Cal.4th </w:t>
      </w:r>
      <w:r w:rsidR="006F4626" w:rsidRPr="00CB05A8">
        <w:rPr>
          <w:szCs w:val="26"/>
        </w:rPr>
        <w:t>at p. 22</w:t>
      </w:r>
      <w:r w:rsidR="006F4626" w:rsidRPr="00CB05A8">
        <w:rPr>
          <w:color w:val="000000" w:themeColor="text1"/>
          <w:szCs w:val="26"/>
        </w:rPr>
        <w:t>.)</w:t>
      </w:r>
      <w:r w:rsidR="00443D76">
        <w:rPr>
          <w:color w:val="000000" w:themeColor="text1"/>
          <w:szCs w:val="26"/>
        </w:rPr>
        <w:t xml:space="preserve">  </w:t>
      </w:r>
      <w:r w:rsidR="00F54AFC">
        <w:rPr>
          <w:color w:val="000000" w:themeColor="text1"/>
          <w:szCs w:val="26"/>
        </w:rPr>
        <w:t xml:space="preserve"> </w:t>
      </w:r>
      <w:r w:rsidR="00443D76">
        <w:rPr>
          <w:color w:val="000000" w:themeColor="text1"/>
          <w:szCs w:val="26"/>
        </w:rPr>
        <w:t xml:space="preserve">  </w:t>
      </w:r>
      <w:r w:rsidR="00B40A8B" w:rsidRPr="00CB05A8">
        <w:rPr>
          <w:color w:val="000000" w:themeColor="text1"/>
          <w:szCs w:val="26"/>
        </w:rPr>
        <w:t xml:space="preserve"> </w:t>
      </w:r>
      <w:r w:rsidR="00C750D0" w:rsidRPr="00CB05A8">
        <w:rPr>
          <w:color w:val="000000" w:themeColor="text1"/>
          <w:szCs w:val="26"/>
        </w:rPr>
        <w:t xml:space="preserve">  </w:t>
      </w:r>
    </w:p>
    <w:p w14:paraId="2350E884" w14:textId="1C299118" w:rsidR="004D7F28" w:rsidRPr="00CB05A8" w:rsidRDefault="00F66744" w:rsidP="00F105E8">
      <w:pPr>
        <w:tabs>
          <w:tab w:val="left" w:pos="1440"/>
        </w:tabs>
        <w:ind w:firstLine="720"/>
        <w:rPr>
          <w:iCs/>
          <w:color w:val="000000" w:themeColor="text1"/>
        </w:rPr>
      </w:pPr>
      <w:r>
        <w:t>Significantly</w:t>
      </w:r>
      <w:r w:rsidR="00FC3358" w:rsidRPr="00CB05A8">
        <w:t xml:space="preserve">, </w:t>
      </w:r>
      <w:r w:rsidR="0024661B" w:rsidRPr="00CB05A8">
        <w:t>when a</w:t>
      </w:r>
      <w:r w:rsidR="00957730" w:rsidRPr="00CB05A8">
        <w:t xml:space="preserve">n extended </w:t>
      </w:r>
      <w:r w:rsidR="0024661B" w:rsidRPr="00CB05A8">
        <w:t>period of time passes between most of the publicity and the trial, the</w:t>
      </w:r>
      <w:r w:rsidR="00DB6FFD" w:rsidRPr="00CB05A8">
        <w:t xml:space="preserve"> prejudicial impact of initial media coverage </w:t>
      </w:r>
      <w:r w:rsidR="0024661B" w:rsidRPr="00CB05A8">
        <w:t>diminishes</w:t>
      </w:r>
      <w:r w:rsidR="00106211" w:rsidRPr="00CB05A8">
        <w:rPr>
          <w:iCs/>
        </w:rPr>
        <w:t>.</w:t>
      </w:r>
      <w:r w:rsidR="004D7F28" w:rsidRPr="00CB05A8">
        <w:rPr>
          <w:iCs/>
        </w:rPr>
        <w:t xml:space="preserve">  </w:t>
      </w:r>
      <w:r w:rsidR="004D7F28" w:rsidRPr="00CB05A8">
        <w:t>(</w:t>
      </w:r>
      <w:r w:rsidR="004D7F28" w:rsidRPr="00CB05A8">
        <w:rPr>
          <w:i/>
        </w:rPr>
        <w:t>Rountree</w:t>
      </w:r>
      <w:r w:rsidR="004D7F28" w:rsidRPr="00CB05A8">
        <w:t xml:space="preserve">, </w:t>
      </w:r>
      <w:r w:rsidR="004D7F28" w:rsidRPr="00CB05A8">
        <w:rPr>
          <w:i/>
        </w:rPr>
        <w:t>supra</w:t>
      </w:r>
      <w:r w:rsidR="004D7F28" w:rsidRPr="00CB05A8">
        <w:t xml:space="preserve">, </w:t>
      </w:r>
      <w:r w:rsidR="004D7F28" w:rsidRPr="00CB05A8">
        <w:rPr>
          <w:iCs/>
        </w:rPr>
        <w:t>56 Cal.4th at p. 838.)  “It is . . . difficult to envision an eventual capital case which will not receive extensive media coverage, at least for a short period of time.  If the early publicity attendant on a capital case alone suffices to raise a doubt as to the likelihood of a fair and impartial trial, a change of venue would perforce be required in every such case.”  (</w:t>
      </w:r>
      <w:r w:rsidR="004D7F28" w:rsidRPr="00CB05A8">
        <w:rPr>
          <w:i/>
          <w:iCs/>
        </w:rPr>
        <w:t>Odle</w:t>
      </w:r>
      <w:r w:rsidR="004D7F28" w:rsidRPr="00CB05A8">
        <w:rPr>
          <w:iCs/>
        </w:rPr>
        <w:t xml:space="preserve">, </w:t>
      </w:r>
      <w:r w:rsidR="004D7F28" w:rsidRPr="00CB05A8">
        <w:rPr>
          <w:i/>
          <w:iCs/>
        </w:rPr>
        <w:t>supra</w:t>
      </w:r>
      <w:r w:rsidR="004D7F28" w:rsidRPr="00CB05A8">
        <w:rPr>
          <w:iCs/>
        </w:rPr>
        <w:t>,</w:t>
      </w:r>
      <w:r w:rsidR="004D7F28" w:rsidRPr="00CB05A8">
        <w:rPr>
          <w:i/>
          <w:iCs/>
        </w:rPr>
        <w:t xml:space="preserve"> </w:t>
      </w:r>
      <w:r w:rsidR="004D7F28" w:rsidRPr="00CB05A8">
        <w:rPr>
          <w:iCs/>
        </w:rPr>
        <w:t>32 Cal.3d at p.</w:t>
      </w:r>
      <w:r w:rsidR="002140EA" w:rsidRPr="00CB05A8">
        <w:rPr>
          <w:iCs/>
        </w:rPr>
        <w:t> </w:t>
      </w:r>
      <w:r w:rsidR="004D7F28" w:rsidRPr="00CB05A8">
        <w:rPr>
          <w:iCs/>
        </w:rPr>
        <w:t xml:space="preserve">942.)  </w:t>
      </w:r>
      <w:r w:rsidR="00C47946" w:rsidRPr="00CB05A8">
        <w:rPr>
          <w:iCs/>
        </w:rPr>
        <w:t>Even in cases with</w:t>
      </w:r>
      <w:r w:rsidR="004D7F28" w:rsidRPr="00CB05A8">
        <w:rPr>
          <w:iCs/>
        </w:rPr>
        <w:t xml:space="preserve"> </w:t>
      </w:r>
      <w:r w:rsidR="009D2497" w:rsidRPr="00CB05A8">
        <w:rPr>
          <w:iCs/>
        </w:rPr>
        <w:t>saturated</w:t>
      </w:r>
      <w:r w:rsidR="004D7F28" w:rsidRPr="00CB05A8">
        <w:rPr>
          <w:iCs/>
        </w:rPr>
        <w:t xml:space="preserve"> media coverage</w:t>
      </w:r>
      <w:r w:rsidR="009D2497" w:rsidRPr="00CB05A8">
        <w:rPr>
          <w:iCs/>
        </w:rPr>
        <w:t>, we have concluded</w:t>
      </w:r>
      <w:r w:rsidR="004D7F28" w:rsidRPr="00CB05A8">
        <w:rPr>
          <w:iCs/>
        </w:rPr>
        <w:t xml:space="preserve"> that “the passage of more than a year from the time of the extensive media coverage served to attenuate any possible prejudice . . . .”  (</w:t>
      </w:r>
      <w:r w:rsidR="004D7F28" w:rsidRPr="00CB05A8">
        <w:rPr>
          <w:i/>
          <w:iCs/>
        </w:rPr>
        <w:t>Ramirez</w:t>
      </w:r>
      <w:r w:rsidR="004D7F28" w:rsidRPr="00CB05A8">
        <w:rPr>
          <w:iCs/>
        </w:rPr>
        <w:t xml:space="preserve">, </w:t>
      </w:r>
      <w:r w:rsidR="004D7F28" w:rsidRPr="00CB05A8">
        <w:rPr>
          <w:i/>
          <w:iCs/>
        </w:rPr>
        <w:t>supra</w:t>
      </w:r>
      <w:r w:rsidR="004D7F28" w:rsidRPr="00CB05A8">
        <w:rPr>
          <w:iCs/>
        </w:rPr>
        <w:t xml:space="preserve">, 39 Cal.4th at </w:t>
      </w:r>
      <w:r w:rsidR="00F45B9C" w:rsidRPr="00CB05A8">
        <w:rPr>
          <w:iCs/>
        </w:rPr>
        <w:t>p</w:t>
      </w:r>
      <w:r w:rsidR="004D7F28" w:rsidRPr="00CB05A8">
        <w:rPr>
          <w:iCs/>
        </w:rPr>
        <w:t>.</w:t>
      </w:r>
      <w:r w:rsidR="002140EA" w:rsidRPr="00CB05A8">
        <w:rPr>
          <w:iCs/>
        </w:rPr>
        <w:t> </w:t>
      </w:r>
      <w:r w:rsidR="004D7F28" w:rsidRPr="00CB05A8">
        <w:rPr>
          <w:iCs/>
        </w:rPr>
        <w:t xml:space="preserve">434.)  In </w:t>
      </w:r>
      <w:r w:rsidR="004D7F28" w:rsidRPr="00CB05A8">
        <w:rPr>
          <w:i/>
          <w:iCs/>
        </w:rPr>
        <w:t>People v. Lewis</w:t>
      </w:r>
      <w:r w:rsidR="004D7F28" w:rsidRPr="00CB05A8">
        <w:rPr>
          <w:iCs/>
        </w:rPr>
        <w:t xml:space="preserve"> (2008) 43 Cal.4th 415, many articles used inflammatory terms, and some revealed inadmissible facts such as the defendant’s prior incarceration, his gang affiliations, and his codefendant’s confession, as well as prejudicial information concerning his status as a suspect in other offenses and his confessions to several charged murders.  In affirming the trial court’s denial of the defendant’s change of venue motion, we observed that “[m]ost of the coverage —</w:t>
      </w:r>
      <w:r w:rsidR="001418A5" w:rsidRPr="00CB05A8">
        <w:rPr>
          <w:iCs/>
        </w:rPr>
        <w:t xml:space="preserve"> </w:t>
      </w:r>
      <w:r w:rsidR="004D7F28" w:rsidRPr="00CB05A8">
        <w:rPr>
          <w:iCs/>
        </w:rPr>
        <w:t>and nearly all of the potentially inflammatory coverage — occurred . . . nearly a year before jury selection occurred.”  (</w:t>
      </w:r>
      <w:r w:rsidR="004D7F28" w:rsidRPr="00CB05A8">
        <w:rPr>
          <w:i/>
          <w:iCs/>
        </w:rPr>
        <w:t>Id.</w:t>
      </w:r>
      <w:r w:rsidR="004D7F28" w:rsidRPr="00CB05A8">
        <w:rPr>
          <w:iCs/>
        </w:rPr>
        <w:t xml:space="preserve"> at p. 449.)  </w:t>
      </w:r>
      <w:r w:rsidR="00221959" w:rsidRPr="00CB05A8">
        <w:rPr>
          <w:iCs/>
        </w:rPr>
        <w:t>Likewise,</w:t>
      </w:r>
      <w:r w:rsidR="00431177" w:rsidRPr="00CB05A8">
        <w:rPr>
          <w:iCs/>
        </w:rPr>
        <w:t xml:space="preserve"> i</w:t>
      </w:r>
      <w:r w:rsidR="004D7F28" w:rsidRPr="00CB05A8">
        <w:rPr>
          <w:iCs/>
        </w:rPr>
        <w:t xml:space="preserve">n </w:t>
      </w:r>
      <w:r w:rsidR="004D7F28" w:rsidRPr="00CB05A8">
        <w:rPr>
          <w:i/>
          <w:iCs/>
        </w:rPr>
        <w:t>Odle</w:t>
      </w:r>
      <w:r w:rsidR="004D7F28" w:rsidRPr="00CB05A8">
        <w:rPr>
          <w:iCs/>
        </w:rPr>
        <w:t>, we held that the two-year gap between the period of extensive media coverage and the prospective trial date resolved any doubt concerning the likelihood that the defendant could receive a fair and impartial trial in the county where the crimes occurred.  (</w:t>
      </w:r>
      <w:r w:rsidR="004D7F28" w:rsidRPr="00CB05A8">
        <w:rPr>
          <w:i/>
          <w:iCs/>
        </w:rPr>
        <w:t>Odle</w:t>
      </w:r>
      <w:r w:rsidR="004D7F28" w:rsidRPr="00CB05A8">
        <w:rPr>
          <w:iCs/>
        </w:rPr>
        <w:t xml:space="preserve">, </w:t>
      </w:r>
      <w:r w:rsidR="004D7F28" w:rsidRPr="00CB05A8">
        <w:rPr>
          <w:i/>
          <w:iCs/>
        </w:rPr>
        <w:t>supra</w:t>
      </w:r>
      <w:r w:rsidR="004D7F28" w:rsidRPr="00CB05A8">
        <w:rPr>
          <w:iCs/>
        </w:rPr>
        <w:t>, 32 Cal.3d at p. 943.)  We explained that “[t]ime dims all memory and its passage serves to attenuate the likelihood that early extensive publicity will have any significant impact at the time of trial.”  (</w:t>
      </w:r>
      <w:r w:rsidR="004D7F28" w:rsidRPr="00CB05A8">
        <w:rPr>
          <w:i/>
          <w:iCs/>
        </w:rPr>
        <w:t>Ibid.</w:t>
      </w:r>
      <w:r w:rsidR="004D7F28" w:rsidRPr="00CB05A8">
        <w:rPr>
          <w:iCs/>
        </w:rPr>
        <w:t xml:space="preserve">; see also </w:t>
      </w:r>
      <w:r w:rsidR="004D7F28" w:rsidRPr="00CB05A8">
        <w:rPr>
          <w:i/>
          <w:iCs/>
        </w:rPr>
        <w:t>Panah</w:t>
      </w:r>
      <w:r w:rsidR="004D7F28" w:rsidRPr="00CB05A8">
        <w:rPr>
          <w:iCs/>
        </w:rPr>
        <w:t xml:space="preserve">, </w:t>
      </w:r>
      <w:r w:rsidR="004D7F28" w:rsidRPr="00CB05A8">
        <w:rPr>
          <w:i/>
          <w:iCs/>
        </w:rPr>
        <w:t>supra</w:t>
      </w:r>
      <w:r w:rsidR="004D7F28" w:rsidRPr="00CB05A8">
        <w:rPr>
          <w:iCs/>
        </w:rPr>
        <w:t>, 35 Cal.4th at p. 448 [any potential prejudice from media coverage was attenuated by yearlong gap between time when most articles had appeared and defendant’s trial].)</w:t>
      </w:r>
    </w:p>
    <w:p w14:paraId="71F4CA8B" w14:textId="59102E5C" w:rsidR="004D7F28" w:rsidRPr="00CB05A8" w:rsidRDefault="004D7F28" w:rsidP="00F105E8">
      <w:pPr>
        <w:tabs>
          <w:tab w:val="left" w:pos="1440"/>
        </w:tabs>
        <w:ind w:firstLine="720"/>
        <w:contextualSpacing/>
        <w:rPr>
          <w:iCs/>
          <w:color w:val="000000" w:themeColor="text1"/>
        </w:rPr>
      </w:pPr>
      <w:r w:rsidRPr="00CB05A8">
        <w:t xml:space="preserve">Here, as in </w:t>
      </w:r>
      <w:r w:rsidRPr="00CB05A8">
        <w:rPr>
          <w:i/>
        </w:rPr>
        <w:t>Lewis</w:t>
      </w:r>
      <w:r w:rsidR="0095316D" w:rsidRPr="00CB05A8">
        <w:t xml:space="preserve"> and </w:t>
      </w:r>
      <w:r w:rsidR="0095316D" w:rsidRPr="00CB05A8">
        <w:rPr>
          <w:i/>
        </w:rPr>
        <w:t>Odle</w:t>
      </w:r>
      <w:r w:rsidRPr="00CB05A8">
        <w:t xml:space="preserve">, most of the press coverage </w:t>
      </w:r>
      <w:r w:rsidR="003151F9" w:rsidRPr="00CB05A8">
        <w:t xml:space="preserve">was </w:t>
      </w:r>
      <w:r w:rsidRPr="00CB05A8">
        <w:t xml:space="preserve">attenuated.  </w:t>
      </w:r>
      <w:r w:rsidR="00800071" w:rsidRPr="00CB05A8">
        <w:t>D</w:t>
      </w:r>
      <w:r w:rsidR="00E4760F" w:rsidRPr="00CB05A8">
        <w:t>efendant’s trial</w:t>
      </w:r>
      <w:r w:rsidR="00800071" w:rsidRPr="00CB05A8">
        <w:t xml:space="preserve"> began</w:t>
      </w:r>
      <w:r w:rsidR="00E4760F" w:rsidRPr="00CB05A8">
        <w:t xml:space="preserve"> </w:t>
      </w:r>
      <w:r w:rsidR="0042349B" w:rsidRPr="00CB05A8">
        <w:rPr>
          <w:iCs/>
        </w:rPr>
        <w:t xml:space="preserve">more than a year and a half </w:t>
      </w:r>
      <w:r w:rsidR="00800071" w:rsidRPr="00CB05A8">
        <w:rPr>
          <w:iCs/>
        </w:rPr>
        <w:t>after</w:t>
      </w:r>
      <w:r w:rsidRPr="00CB05A8">
        <w:rPr>
          <w:iCs/>
        </w:rPr>
        <w:t xml:space="preserve"> the initial pretrial publicity </w:t>
      </w:r>
      <w:r w:rsidR="003151F9" w:rsidRPr="00CB05A8">
        <w:rPr>
          <w:iCs/>
        </w:rPr>
        <w:t>period</w:t>
      </w:r>
      <w:r w:rsidR="007A4791" w:rsidRPr="00CB05A8">
        <w:rPr>
          <w:iCs/>
        </w:rPr>
        <w:t xml:space="preserve"> </w:t>
      </w:r>
      <w:r w:rsidR="00800071" w:rsidRPr="00CB05A8">
        <w:rPr>
          <w:iCs/>
        </w:rPr>
        <w:t>had subsided</w:t>
      </w:r>
      <w:r w:rsidRPr="00CB05A8">
        <w:t xml:space="preserve">.  Approximately half of </w:t>
      </w:r>
      <w:r w:rsidR="00957730" w:rsidRPr="00CB05A8">
        <w:t xml:space="preserve">the </w:t>
      </w:r>
      <w:r w:rsidRPr="00CB05A8">
        <w:t xml:space="preserve">articles </w:t>
      </w:r>
      <w:r w:rsidR="00274796" w:rsidRPr="00CB05A8">
        <w:t xml:space="preserve">submitted by defendant </w:t>
      </w:r>
      <w:r w:rsidRPr="00CB05A8">
        <w:t xml:space="preserve">were published within the first month </w:t>
      </w:r>
      <w:r w:rsidR="00AA5919">
        <w:t>after</w:t>
      </w:r>
      <w:r w:rsidRPr="00CB05A8">
        <w:t xml:space="preserve"> the offense, and the</w:t>
      </w:r>
      <w:r w:rsidR="00082F74" w:rsidRPr="00CB05A8">
        <w:t xml:space="preserve"> vast</w:t>
      </w:r>
      <w:r w:rsidRPr="00CB05A8">
        <w:t xml:space="preserve"> majority of articles were published within </w:t>
      </w:r>
      <w:r w:rsidR="00563E9C" w:rsidRPr="00CB05A8">
        <w:t>the initial five</w:t>
      </w:r>
      <w:r w:rsidRPr="00CB05A8">
        <w:t xml:space="preserve"> months of the offense.  </w:t>
      </w:r>
      <w:r w:rsidRPr="00CB05A8">
        <w:rPr>
          <w:color w:val="000000" w:themeColor="text1"/>
        </w:rPr>
        <w:t xml:space="preserve">Thereafter, coverage was sporadic.  </w:t>
      </w:r>
      <w:r w:rsidRPr="00CB05A8">
        <w:t xml:space="preserve">Of those </w:t>
      </w:r>
      <w:r w:rsidR="00530D37" w:rsidRPr="00CB05A8">
        <w:t xml:space="preserve">that </w:t>
      </w:r>
      <w:r w:rsidR="00917236" w:rsidRPr="00CB05A8">
        <w:t xml:space="preserve">were </w:t>
      </w:r>
      <w:r w:rsidRPr="00CB05A8">
        <w:t>published after the five</w:t>
      </w:r>
      <w:r w:rsidR="00082F74" w:rsidRPr="00CB05A8">
        <w:t>-month</w:t>
      </w:r>
      <w:r w:rsidRPr="00CB05A8">
        <w:t xml:space="preserve"> m</w:t>
      </w:r>
      <w:r w:rsidR="00082F74" w:rsidRPr="00CB05A8">
        <w:t>ark</w:t>
      </w:r>
      <w:r w:rsidRPr="00CB05A8">
        <w:t xml:space="preserve">, </w:t>
      </w:r>
      <w:r w:rsidR="00082F74" w:rsidRPr="00CB05A8">
        <w:t>which was still one year</w:t>
      </w:r>
      <w:r w:rsidRPr="00CB05A8">
        <w:t xml:space="preserve"> before</w:t>
      </w:r>
      <w:r w:rsidRPr="00CB05A8">
        <w:rPr>
          <w:i/>
        </w:rPr>
        <w:t xml:space="preserve"> </w:t>
      </w:r>
      <w:r w:rsidRPr="00CB05A8">
        <w:t xml:space="preserve">jurors were summoned, all but two </w:t>
      </w:r>
      <w:r w:rsidR="000D20D2" w:rsidRPr="00CB05A8">
        <w:t>articles contain</w:t>
      </w:r>
      <w:r w:rsidR="00E921C1">
        <w:t>ed</w:t>
      </w:r>
      <w:r w:rsidRPr="00CB05A8">
        <w:t xml:space="preserve"> factual updates about </w:t>
      </w:r>
      <w:r w:rsidR="000D20D2" w:rsidRPr="00CB05A8">
        <w:t>pretrial proceedings</w:t>
      </w:r>
      <w:r w:rsidRPr="00CB05A8">
        <w:t xml:space="preserve">.  Radio and television coverage of the case occurred on only five days in 1995 </w:t>
      </w:r>
      <w:r w:rsidR="001418A5" w:rsidRPr="00CB05A8">
        <w:t>(</w:t>
      </w:r>
      <w:r w:rsidRPr="00CB05A8">
        <w:t>mainly covering the days after the offense, the police search for defendant, and Deputy Trejo’s memorial service</w:t>
      </w:r>
      <w:r w:rsidR="001418A5" w:rsidRPr="00CB05A8">
        <w:t>)</w:t>
      </w:r>
      <w:r w:rsidRPr="00CB05A8">
        <w:t xml:space="preserve"> and once in July 1996</w:t>
      </w:r>
      <w:r w:rsidR="001418A5" w:rsidRPr="00CB05A8">
        <w:t xml:space="preserve"> (</w:t>
      </w:r>
      <w:r w:rsidRPr="00CB05A8">
        <w:t>covering the change of venue motion</w:t>
      </w:r>
      <w:r w:rsidR="001418A5" w:rsidRPr="00CB05A8">
        <w:t>)</w:t>
      </w:r>
      <w:r w:rsidRPr="00CB05A8">
        <w:t xml:space="preserve">.   </w:t>
      </w:r>
      <w:r w:rsidRPr="00CB05A8">
        <w:rPr>
          <w:color w:val="000000" w:themeColor="text1"/>
        </w:rPr>
        <w:t xml:space="preserve"> </w:t>
      </w:r>
    </w:p>
    <w:p w14:paraId="75DDC892" w14:textId="2F4D4800" w:rsidR="004D7F28" w:rsidRPr="00CB05A8" w:rsidRDefault="00325A73" w:rsidP="004A6703">
      <w:pPr>
        <w:tabs>
          <w:tab w:val="left" w:pos="1440"/>
        </w:tabs>
        <w:ind w:firstLine="720"/>
        <w:contextualSpacing/>
      </w:pPr>
      <w:r w:rsidRPr="00CB05A8">
        <w:rPr>
          <w:szCs w:val="26"/>
        </w:rPr>
        <w:t xml:space="preserve">Defendant </w:t>
      </w:r>
      <w:r w:rsidR="006F7011" w:rsidRPr="00CB05A8">
        <w:rPr>
          <w:szCs w:val="26"/>
        </w:rPr>
        <w:t>urges us to follow</w:t>
      </w:r>
      <w:r w:rsidRPr="00CB05A8">
        <w:rPr>
          <w:szCs w:val="26"/>
        </w:rPr>
        <w:t xml:space="preserve"> </w:t>
      </w:r>
      <w:r w:rsidRPr="00CB05A8">
        <w:rPr>
          <w:i/>
          <w:szCs w:val="26"/>
        </w:rPr>
        <w:t xml:space="preserve">Daniels v. Woodford </w:t>
      </w:r>
      <w:r w:rsidRPr="00CB05A8">
        <w:rPr>
          <w:szCs w:val="26"/>
        </w:rPr>
        <w:t>(9th Cir. 2005) 428 F.3d 1181,</w:t>
      </w:r>
      <w:r w:rsidR="00C757D5" w:rsidRPr="00CB05A8">
        <w:rPr>
          <w:szCs w:val="26"/>
        </w:rPr>
        <w:t xml:space="preserve"> 1212,</w:t>
      </w:r>
      <w:r w:rsidRPr="00CB05A8">
        <w:rPr>
          <w:szCs w:val="26"/>
        </w:rPr>
        <w:t xml:space="preserve"> in which the </w:t>
      </w:r>
      <w:r w:rsidR="00917236" w:rsidRPr="00CB05A8">
        <w:rPr>
          <w:szCs w:val="26"/>
        </w:rPr>
        <w:t xml:space="preserve">United States Court of Appeals for the </w:t>
      </w:r>
      <w:r w:rsidRPr="00CB05A8">
        <w:rPr>
          <w:szCs w:val="26"/>
        </w:rPr>
        <w:t xml:space="preserve">Ninth Circuit </w:t>
      </w:r>
      <w:r w:rsidR="004168E8" w:rsidRPr="00CB05A8">
        <w:rPr>
          <w:szCs w:val="26"/>
        </w:rPr>
        <w:t>held that</w:t>
      </w:r>
      <w:r w:rsidRPr="00CB05A8">
        <w:rPr>
          <w:szCs w:val="26"/>
        </w:rPr>
        <w:t xml:space="preserve"> </w:t>
      </w:r>
      <w:r w:rsidR="00EC2D22" w:rsidRPr="00CB05A8">
        <w:rPr>
          <w:szCs w:val="26"/>
        </w:rPr>
        <w:t>the nature and extent of the pretrial publicity</w:t>
      </w:r>
      <w:r w:rsidR="004E3A83" w:rsidRPr="00CB05A8">
        <w:rPr>
          <w:szCs w:val="26"/>
        </w:rPr>
        <w:t xml:space="preserve"> warranted</w:t>
      </w:r>
      <w:r w:rsidR="00DF6E52" w:rsidRPr="00CB05A8">
        <w:rPr>
          <w:szCs w:val="26"/>
        </w:rPr>
        <w:t xml:space="preserve"> a change of venue.</w:t>
      </w:r>
      <w:r w:rsidR="00EC2D22" w:rsidRPr="00CB05A8">
        <w:rPr>
          <w:szCs w:val="26"/>
        </w:rPr>
        <w:t xml:space="preserve"> </w:t>
      </w:r>
      <w:r w:rsidR="00AD3F4B" w:rsidRPr="00CB05A8">
        <w:rPr>
          <w:szCs w:val="26"/>
        </w:rPr>
        <w:t xml:space="preserve"> </w:t>
      </w:r>
      <w:r w:rsidR="00D84DDD" w:rsidRPr="00CB05A8">
        <w:rPr>
          <w:i/>
          <w:szCs w:val="26"/>
        </w:rPr>
        <w:t xml:space="preserve">Daniels </w:t>
      </w:r>
      <w:r w:rsidR="00D84DDD" w:rsidRPr="00CB05A8">
        <w:rPr>
          <w:szCs w:val="26"/>
        </w:rPr>
        <w:t xml:space="preserve">involved the </w:t>
      </w:r>
      <w:r w:rsidR="00F82D19" w:rsidRPr="00CB05A8">
        <w:rPr>
          <w:szCs w:val="26"/>
        </w:rPr>
        <w:t>shooting deaths</w:t>
      </w:r>
      <w:r w:rsidR="00250510" w:rsidRPr="00CB05A8">
        <w:rPr>
          <w:szCs w:val="26"/>
        </w:rPr>
        <w:t xml:space="preserve"> of two police officers</w:t>
      </w:r>
      <w:r w:rsidR="00F82D19" w:rsidRPr="00CB05A8">
        <w:rPr>
          <w:szCs w:val="26"/>
        </w:rPr>
        <w:t>.  (</w:t>
      </w:r>
      <w:r w:rsidR="00F82D19" w:rsidRPr="00CB05A8">
        <w:rPr>
          <w:i/>
          <w:szCs w:val="26"/>
        </w:rPr>
        <w:t xml:space="preserve">Id. </w:t>
      </w:r>
      <w:r w:rsidR="00F82D19" w:rsidRPr="00CB05A8">
        <w:rPr>
          <w:szCs w:val="26"/>
        </w:rPr>
        <w:t xml:space="preserve">at p. 1186.)  </w:t>
      </w:r>
      <w:r w:rsidR="00C01652" w:rsidRPr="00CB05A8">
        <w:rPr>
          <w:szCs w:val="26"/>
        </w:rPr>
        <w:t xml:space="preserve">But </w:t>
      </w:r>
      <w:r w:rsidR="00C01652" w:rsidRPr="00CB05A8">
        <w:rPr>
          <w:i/>
          <w:szCs w:val="26"/>
        </w:rPr>
        <w:t xml:space="preserve">Daniels </w:t>
      </w:r>
      <w:r w:rsidR="00C01652" w:rsidRPr="00CB05A8">
        <w:rPr>
          <w:szCs w:val="26"/>
        </w:rPr>
        <w:t xml:space="preserve">is distinguishable from </w:t>
      </w:r>
      <w:r w:rsidR="00DC6084" w:rsidRPr="00CB05A8">
        <w:rPr>
          <w:szCs w:val="26"/>
        </w:rPr>
        <w:t>defendant’s case in at least one key respect</w:t>
      </w:r>
      <w:r w:rsidR="00F93AB0" w:rsidRPr="00CB05A8">
        <w:rPr>
          <w:szCs w:val="26"/>
        </w:rPr>
        <w:t xml:space="preserve"> — t</w:t>
      </w:r>
      <w:r w:rsidR="002624EE" w:rsidRPr="00CB05A8">
        <w:rPr>
          <w:szCs w:val="26"/>
        </w:rPr>
        <w:t>here</w:t>
      </w:r>
      <w:r w:rsidRPr="00CB05A8">
        <w:rPr>
          <w:szCs w:val="26"/>
        </w:rPr>
        <w:t xml:space="preserve"> was extensive and nearly continuous publicity </w:t>
      </w:r>
      <w:r w:rsidR="004E3A83" w:rsidRPr="00CB05A8">
        <w:rPr>
          <w:szCs w:val="26"/>
        </w:rPr>
        <w:t xml:space="preserve">in </w:t>
      </w:r>
      <w:r w:rsidR="004E3A83" w:rsidRPr="00CB05A8">
        <w:rPr>
          <w:i/>
          <w:szCs w:val="26"/>
        </w:rPr>
        <w:t xml:space="preserve">Daniels </w:t>
      </w:r>
      <w:r w:rsidR="00BE5FFB" w:rsidRPr="00CB05A8">
        <w:rPr>
          <w:szCs w:val="26"/>
        </w:rPr>
        <w:t xml:space="preserve">just </w:t>
      </w:r>
      <w:r w:rsidRPr="00CB05A8">
        <w:rPr>
          <w:szCs w:val="26"/>
        </w:rPr>
        <w:t>before the defendant’s trial.  (</w:t>
      </w:r>
      <w:r w:rsidRPr="00CB05A8">
        <w:rPr>
          <w:i/>
          <w:szCs w:val="26"/>
        </w:rPr>
        <w:t>Id.</w:t>
      </w:r>
      <w:r w:rsidR="00CD6BEB" w:rsidRPr="00CB05A8">
        <w:rPr>
          <w:szCs w:val="26"/>
        </w:rPr>
        <w:t xml:space="preserve"> at p. 1211.</w:t>
      </w:r>
      <w:r w:rsidRPr="00CB05A8">
        <w:rPr>
          <w:szCs w:val="26"/>
        </w:rPr>
        <w:t xml:space="preserve">)  </w:t>
      </w:r>
      <w:r w:rsidR="0019680C" w:rsidRPr="00CB05A8">
        <w:rPr>
          <w:szCs w:val="26"/>
        </w:rPr>
        <w:t>P</w:t>
      </w:r>
      <w:r w:rsidRPr="00CB05A8">
        <w:rPr>
          <w:szCs w:val="26"/>
        </w:rPr>
        <w:t xml:space="preserve">ervasive publicity “saturated the county” and amounted to a “ ‘huge’ wave of public passion” </w:t>
      </w:r>
      <w:r w:rsidR="00033F71" w:rsidRPr="00CB05A8">
        <w:rPr>
          <w:szCs w:val="26"/>
        </w:rPr>
        <w:t>during the period immediately preceding trial</w:t>
      </w:r>
      <w:r w:rsidRPr="00CB05A8">
        <w:rPr>
          <w:szCs w:val="26"/>
        </w:rPr>
        <w:t>.  (</w:t>
      </w:r>
      <w:r w:rsidR="00CD6BEB" w:rsidRPr="00CB05A8">
        <w:rPr>
          <w:i/>
          <w:szCs w:val="26"/>
        </w:rPr>
        <w:t>Ibid.</w:t>
      </w:r>
      <w:r w:rsidRPr="00CB05A8">
        <w:rPr>
          <w:szCs w:val="26"/>
        </w:rPr>
        <w:t xml:space="preserve">)  Here, by contrast, media coverage dissipated shortly after defendant’s arrest and remained sporadic as trial approached.  Thus, unlike in </w:t>
      </w:r>
      <w:r w:rsidRPr="00CB05A8">
        <w:rPr>
          <w:i/>
          <w:szCs w:val="26"/>
        </w:rPr>
        <w:t>Daniels</w:t>
      </w:r>
      <w:r w:rsidRPr="00CB05A8">
        <w:rPr>
          <w:szCs w:val="26"/>
        </w:rPr>
        <w:t xml:space="preserve">, the passage of </w:t>
      </w:r>
      <w:r w:rsidR="00390F62">
        <w:rPr>
          <w:szCs w:val="26"/>
        </w:rPr>
        <w:t>18</w:t>
      </w:r>
      <w:r w:rsidRPr="00CB05A8">
        <w:rPr>
          <w:szCs w:val="26"/>
        </w:rPr>
        <w:t xml:space="preserve"> months between the initial publicity and defendant’s trial “serves to attenuate the likelihood that early extensive publicity w[ould] have any significant impact at the time of trial”</w:t>
      </w:r>
      <w:r w:rsidRPr="00CB05A8">
        <w:t xml:space="preserve"> and “resolve[s] any doubt concerning the likelihood that [defendant] c[ould] receive a fair and impartial trial” in Sonoma County.  (</w:t>
      </w:r>
      <w:r w:rsidRPr="00CB05A8">
        <w:rPr>
          <w:i/>
        </w:rPr>
        <w:t>Odle</w:t>
      </w:r>
      <w:r w:rsidRPr="00CB05A8">
        <w:t xml:space="preserve">, </w:t>
      </w:r>
      <w:r w:rsidRPr="00CB05A8">
        <w:rPr>
          <w:i/>
        </w:rPr>
        <w:t>supra</w:t>
      </w:r>
      <w:r w:rsidRPr="00CB05A8">
        <w:t xml:space="preserve">, 32 Cal.3d at p. 943.) </w:t>
      </w:r>
    </w:p>
    <w:p w14:paraId="07119380" w14:textId="1653AD17" w:rsidR="00143881" w:rsidRPr="00CB05A8" w:rsidRDefault="00A120CC" w:rsidP="00F105E8">
      <w:pPr>
        <w:tabs>
          <w:tab w:val="left" w:pos="1440"/>
        </w:tabs>
        <w:ind w:firstLine="720"/>
        <w:contextualSpacing/>
        <w:rPr>
          <w:szCs w:val="26"/>
        </w:rPr>
      </w:pPr>
      <w:r w:rsidRPr="00CB05A8">
        <w:rPr>
          <w:iCs/>
        </w:rPr>
        <w:t>Defendant</w:t>
      </w:r>
      <w:r w:rsidR="00476C47" w:rsidRPr="00CB05A8">
        <w:rPr>
          <w:iCs/>
        </w:rPr>
        <w:t xml:space="preserve"> </w:t>
      </w:r>
      <w:r w:rsidR="0031449D" w:rsidRPr="00CB05A8">
        <w:rPr>
          <w:iCs/>
        </w:rPr>
        <w:t xml:space="preserve">maintains that </w:t>
      </w:r>
      <w:r w:rsidR="00A710FA" w:rsidRPr="00CB05A8">
        <w:rPr>
          <w:iCs/>
        </w:rPr>
        <w:t>the high recognition and guilt rate presented in Dr. Bronson’s survey compelled a change of venue</w:t>
      </w:r>
      <w:r w:rsidRPr="00CB05A8">
        <w:rPr>
          <w:iCs/>
        </w:rPr>
        <w:t xml:space="preserve">.  </w:t>
      </w:r>
      <w:r w:rsidR="00A710FA" w:rsidRPr="00CB05A8">
        <w:rPr>
          <w:iCs/>
        </w:rPr>
        <w:t>But e</w:t>
      </w:r>
      <w:r w:rsidR="00E623A9" w:rsidRPr="00CB05A8">
        <w:rPr>
          <w:iCs/>
        </w:rPr>
        <w:t xml:space="preserve">ven assuming that Bronson’s survey </w:t>
      </w:r>
      <w:r w:rsidR="001D474D" w:rsidRPr="00CB05A8">
        <w:rPr>
          <w:iCs/>
        </w:rPr>
        <w:t>produced accurate results</w:t>
      </w:r>
      <w:r w:rsidR="00E623A9" w:rsidRPr="00CB05A8">
        <w:rPr>
          <w:iCs/>
        </w:rPr>
        <w:t xml:space="preserve">, </w:t>
      </w:r>
      <w:r w:rsidR="00C4435E" w:rsidRPr="00CB05A8">
        <w:rPr>
          <w:iCs/>
        </w:rPr>
        <w:t>“</w:t>
      </w:r>
      <w:r w:rsidRPr="00CB05A8">
        <w:rPr>
          <w:iCs/>
        </w:rPr>
        <w:t>the degree of exposure was not significantly higher than in other cases in which a change of venue was not required.”  (</w:t>
      </w:r>
      <w:r w:rsidRPr="00CB05A8">
        <w:rPr>
          <w:i/>
        </w:rPr>
        <w:t>Rountree</w:t>
      </w:r>
      <w:r w:rsidRPr="00CB05A8">
        <w:rPr>
          <w:iCs/>
        </w:rPr>
        <w:t xml:space="preserve">, </w:t>
      </w:r>
      <w:r w:rsidRPr="00CB05A8">
        <w:rPr>
          <w:i/>
        </w:rPr>
        <w:t>supra</w:t>
      </w:r>
      <w:r w:rsidRPr="00CB05A8">
        <w:rPr>
          <w:iCs/>
        </w:rPr>
        <w:t>, 56</w:t>
      </w:r>
      <w:r w:rsidR="00643FA4">
        <w:rPr>
          <w:iCs/>
        </w:rPr>
        <w:t> </w:t>
      </w:r>
      <w:r w:rsidRPr="00CB05A8">
        <w:rPr>
          <w:iCs/>
        </w:rPr>
        <w:t xml:space="preserve">Cal.4th at p. 838, citing </w:t>
      </w:r>
      <w:r w:rsidRPr="00CB05A8">
        <w:rPr>
          <w:i/>
        </w:rPr>
        <w:t xml:space="preserve">People v. Leonard </w:t>
      </w:r>
      <w:r w:rsidRPr="00CB05A8">
        <w:rPr>
          <w:iCs/>
        </w:rPr>
        <w:t>(2007) 40 Cal.4th 1370, 1396</w:t>
      </w:r>
      <w:r w:rsidR="006C09BF" w:rsidRPr="00CB05A8">
        <w:rPr>
          <w:iCs/>
        </w:rPr>
        <w:t xml:space="preserve"> (</w:t>
      </w:r>
      <w:r w:rsidR="006C09BF" w:rsidRPr="00CB05A8">
        <w:rPr>
          <w:i/>
          <w:iCs/>
        </w:rPr>
        <w:t>Leonard</w:t>
      </w:r>
      <w:r w:rsidR="006C09BF" w:rsidRPr="00CB05A8">
        <w:rPr>
          <w:iCs/>
        </w:rPr>
        <w:t>)</w:t>
      </w:r>
      <w:r w:rsidRPr="00CB05A8">
        <w:rPr>
          <w:iCs/>
        </w:rPr>
        <w:t xml:space="preserve"> [85 percent </w:t>
      </w:r>
      <w:r w:rsidR="00F378EE" w:rsidRPr="00CB05A8">
        <w:rPr>
          <w:iCs/>
        </w:rPr>
        <w:t xml:space="preserve">surveyed </w:t>
      </w:r>
      <w:r w:rsidRPr="00CB05A8">
        <w:rPr>
          <w:iCs/>
        </w:rPr>
        <w:t>had heard of the case</w:t>
      </w:r>
      <w:r w:rsidR="00F378EE" w:rsidRPr="00CB05A8">
        <w:rPr>
          <w:iCs/>
        </w:rPr>
        <w:t>,</w:t>
      </w:r>
      <w:r w:rsidRPr="00CB05A8">
        <w:rPr>
          <w:iCs/>
        </w:rPr>
        <w:t xml:space="preserve"> and of those, 58 percent believed </w:t>
      </w:r>
      <w:r w:rsidR="00F471FC" w:rsidRPr="00CB05A8">
        <w:rPr>
          <w:iCs/>
        </w:rPr>
        <w:t xml:space="preserve">the </w:t>
      </w:r>
      <w:r w:rsidRPr="00CB05A8">
        <w:rPr>
          <w:iCs/>
        </w:rPr>
        <w:t>defendant was probably or definitely guilty]</w:t>
      </w:r>
      <w:r w:rsidR="00CF5647">
        <w:rPr>
          <w:iCs/>
        </w:rPr>
        <w:t>,</w:t>
      </w:r>
      <w:r w:rsidRPr="00CB05A8">
        <w:rPr>
          <w:iCs/>
        </w:rPr>
        <w:t xml:space="preserve"> </w:t>
      </w:r>
      <w:r w:rsidRPr="00CB05A8">
        <w:rPr>
          <w:i/>
        </w:rPr>
        <w:t>Ramirez</w:t>
      </w:r>
      <w:r w:rsidR="00C701A7" w:rsidRPr="00CB05A8">
        <w:rPr>
          <w:iCs/>
        </w:rPr>
        <w:t xml:space="preserve">, </w:t>
      </w:r>
      <w:r w:rsidR="00C701A7" w:rsidRPr="00CB05A8">
        <w:rPr>
          <w:i/>
        </w:rPr>
        <w:t>supra</w:t>
      </w:r>
      <w:r w:rsidR="00C701A7" w:rsidRPr="00CB05A8">
        <w:rPr>
          <w:iCs/>
        </w:rPr>
        <w:t>,</w:t>
      </w:r>
      <w:r w:rsidRPr="00CB05A8">
        <w:rPr>
          <w:iCs/>
        </w:rPr>
        <w:t xml:space="preserve"> 39 Cal.4th </w:t>
      </w:r>
      <w:r w:rsidR="00C701A7" w:rsidRPr="00CB05A8">
        <w:rPr>
          <w:iCs/>
        </w:rPr>
        <w:t>at p.</w:t>
      </w:r>
      <w:r w:rsidRPr="00CB05A8">
        <w:rPr>
          <w:iCs/>
        </w:rPr>
        <w:t xml:space="preserve"> 433 [94.3 percent </w:t>
      </w:r>
      <w:r w:rsidR="00F378EE" w:rsidRPr="00CB05A8">
        <w:rPr>
          <w:iCs/>
        </w:rPr>
        <w:t xml:space="preserve">surveyed </w:t>
      </w:r>
      <w:r w:rsidRPr="00CB05A8">
        <w:rPr>
          <w:iCs/>
        </w:rPr>
        <w:t>had heard of the case</w:t>
      </w:r>
      <w:r w:rsidR="00F378EE" w:rsidRPr="00CB05A8">
        <w:rPr>
          <w:iCs/>
        </w:rPr>
        <w:t>,</w:t>
      </w:r>
      <w:r w:rsidRPr="00CB05A8">
        <w:rPr>
          <w:iCs/>
        </w:rPr>
        <w:t xml:space="preserve"> and </w:t>
      </w:r>
      <w:r w:rsidR="00F378EE" w:rsidRPr="00CB05A8">
        <w:rPr>
          <w:iCs/>
        </w:rPr>
        <w:t xml:space="preserve">of those, </w:t>
      </w:r>
      <w:r w:rsidRPr="00CB05A8">
        <w:rPr>
          <w:iCs/>
        </w:rPr>
        <w:t xml:space="preserve">51.7 thought </w:t>
      </w:r>
      <w:r w:rsidR="00F471FC" w:rsidRPr="00CB05A8">
        <w:rPr>
          <w:iCs/>
        </w:rPr>
        <w:t xml:space="preserve">the </w:t>
      </w:r>
      <w:r w:rsidRPr="00CB05A8">
        <w:rPr>
          <w:iCs/>
        </w:rPr>
        <w:t>defendant was responsible for the charged crimes]</w:t>
      </w:r>
      <w:r w:rsidR="00CF5647">
        <w:rPr>
          <w:iCs/>
        </w:rPr>
        <w:t>,</w:t>
      </w:r>
      <w:r w:rsidRPr="00CB05A8">
        <w:rPr>
          <w:iCs/>
        </w:rPr>
        <w:t xml:space="preserve"> </w:t>
      </w:r>
      <w:r w:rsidRPr="00CB05A8">
        <w:rPr>
          <w:i/>
        </w:rPr>
        <w:t>Coffman and Marlow</w:t>
      </w:r>
      <w:r w:rsidR="00B346DA" w:rsidRPr="00CB05A8">
        <w:rPr>
          <w:iCs/>
        </w:rPr>
        <w:t xml:space="preserve">, </w:t>
      </w:r>
      <w:r w:rsidR="00B346DA" w:rsidRPr="00CB05A8">
        <w:rPr>
          <w:i/>
          <w:iCs/>
        </w:rPr>
        <w:t>supra</w:t>
      </w:r>
      <w:r w:rsidR="00B346DA" w:rsidRPr="00CB05A8">
        <w:rPr>
          <w:iCs/>
        </w:rPr>
        <w:t>,</w:t>
      </w:r>
      <w:r w:rsidR="00B346DA" w:rsidRPr="00CB05A8">
        <w:rPr>
          <w:i/>
          <w:iCs/>
        </w:rPr>
        <w:t xml:space="preserve"> </w:t>
      </w:r>
      <w:r w:rsidRPr="00CB05A8">
        <w:rPr>
          <w:iCs/>
        </w:rPr>
        <w:t>34</w:t>
      </w:r>
      <w:r w:rsidR="00643FA4">
        <w:rPr>
          <w:iCs/>
        </w:rPr>
        <w:t> </w:t>
      </w:r>
      <w:r w:rsidRPr="00CB05A8">
        <w:rPr>
          <w:iCs/>
        </w:rPr>
        <w:t xml:space="preserve">Cal.4th </w:t>
      </w:r>
      <w:r w:rsidR="00B346DA" w:rsidRPr="00CB05A8">
        <w:rPr>
          <w:iCs/>
        </w:rPr>
        <w:t>at p.</w:t>
      </w:r>
      <w:r w:rsidRPr="00CB05A8">
        <w:rPr>
          <w:iCs/>
        </w:rPr>
        <w:t xml:space="preserve"> 45 [71 percent </w:t>
      </w:r>
      <w:r w:rsidR="00DA07B8" w:rsidRPr="00CB05A8">
        <w:rPr>
          <w:iCs/>
        </w:rPr>
        <w:t xml:space="preserve">surveyed </w:t>
      </w:r>
      <w:r w:rsidRPr="00CB05A8">
        <w:rPr>
          <w:iCs/>
        </w:rPr>
        <w:t>had heard of the case</w:t>
      </w:r>
      <w:r w:rsidR="00DA07B8" w:rsidRPr="00CB05A8">
        <w:rPr>
          <w:iCs/>
        </w:rPr>
        <w:t>,</w:t>
      </w:r>
      <w:r w:rsidRPr="00CB05A8">
        <w:rPr>
          <w:iCs/>
        </w:rPr>
        <w:t xml:space="preserve"> and of those, </w:t>
      </w:r>
      <w:r w:rsidR="00B66DA5" w:rsidRPr="00CB05A8">
        <w:rPr>
          <w:iCs/>
        </w:rPr>
        <w:t>more than</w:t>
      </w:r>
      <w:r w:rsidRPr="00CB05A8">
        <w:rPr>
          <w:iCs/>
        </w:rPr>
        <w:t xml:space="preserve"> 80 percent thought </w:t>
      </w:r>
      <w:r w:rsidR="00F471FC" w:rsidRPr="00CB05A8">
        <w:rPr>
          <w:iCs/>
        </w:rPr>
        <w:t xml:space="preserve">the </w:t>
      </w:r>
      <w:r w:rsidRPr="00CB05A8">
        <w:rPr>
          <w:iCs/>
        </w:rPr>
        <w:t>defendant was definitely or probably guilty]</w:t>
      </w:r>
      <w:r w:rsidR="00951CBC" w:rsidRPr="00CB05A8">
        <w:rPr>
          <w:iCs/>
        </w:rPr>
        <w:t xml:space="preserve">; </w:t>
      </w:r>
      <w:r w:rsidR="00CF5647">
        <w:rPr>
          <w:iCs/>
        </w:rPr>
        <w:t xml:space="preserve">see also </w:t>
      </w:r>
      <w:r w:rsidR="004F2C7D" w:rsidRPr="00CB05A8">
        <w:rPr>
          <w:i/>
          <w:szCs w:val="26"/>
        </w:rPr>
        <w:t>Suff</w:t>
      </w:r>
      <w:r w:rsidR="004F2C7D" w:rsidRPr="00CB05A8">
        <w:rPr>
          <w:szCs w:val="26"/>
        </w:rPr>
        <w:t xml:space="preserve">, </w:t>
      </w:r>
      <w:r w:rsidR="004F2C7D" w:rsidRPr="00CB05A8">
        <w:rPr>
          <w:i/>
          <w:szCs w:val="26"/>
        </w:rPr>
        <w:t>supra</w:t>
      </w:r>
      <w:r w:rsidR="004F2C7D" w:rsidRPr="00CB05A8">
        <w:rPr>
          <w:szCs w:val="26"/>
        </w:rPr>
        <w:t>, 58 Cal.4th at p. 1041 [73.2</w:t>
      </w:r>
      <w:r w:rsidR="00643FA4">
        <w:rPr>
          <w:szCs w:val="26"/>
        </w:rPr>
        <w:t> </w:t>
      </w:r>
      <w:r w:rsidR="004F2C7D" w:rsidRPr="00CB05A8">
        <w:rPr>
          <w:szCs w:val="26"/>
        </w:rPr>
        <w:t xml:space="preserve">percent surveyed had heard of the case, and of those, 66.9 percent thought </w:t>
      </w:r>
      <w:r w:rsidR="00F471FC" w:rsidRPr="00CB05A8">
        <w:rPr>
          <w:szCs w:val="26"/>
        </w:rPr>
        <w:t xml:space="preserve">the </w:t>
      </w:r>
      <w:r w:rsidR="004F2C7D" w:rsidRPr="00CB05A8">
        <w:rPr>
          <w:szCs w:val="26"/>
        </w:rPr>
        <w:t xml:space="preserve">defendant was definitely or probably guilty]; </w:t>
      </w:r>
      <w:r w:rsidR="00951CBC" w:rsidRPr="00CB05A8">
        <w:rPr>
          <w:i/>
          <w:iCs/>
        </w:rPr>
        <w:t>Harris</w:t>
      </w:r>
      <w:r w:rsidR="00951CBC" w:rsidRPr="00CB05A8">
        <w:rPr>
          <w:iCs/>
        </w:rPr>
        <w:t xml:space="preserve">, </w:t>
      </w:r>
      <w:r w:rsidR="00951CBC" w:rsidRPr="00CB05A8">
        <w:rPr>
          <w:i/>
          <w:iCs/>
        </w:rPr>
        <w:t>supra</w:t>
      </w:r>
      <w:r w:rsidR="00951CBC" w:rsidRPr="00CB05A8">
        <w:rPr>
          <w:iCs/>
        </w:rPr>
        <w:t>,</w:t>
      </w:r>
      <w:r w:rsidR="00951CBC" w:rsidRPr="00CB05A8">
        <w:rPr>
          <w:i/>
          <w:iCs/>
        </w:rPr>
        <w:t xml:space="preserve"> </w:t>
      </w:r>
      <w:r w:rsidR="00996481" w:rsidRPr="00CB05A8">
        <w:rPr>
          <w:iCs/>
        </w:rPr>
        <w:t>57 Cal.4th at pp. 826–827 [</w:t>
      </w:r>
      <w:r w:rsidR="00F378EE" w:rsidRPr="00CB05A8">
        <w:rPr>
          <w:iCs/>
        </w:rPr>
        <w:t>72</w:t>
      </w:r>
      <w:r w:rsidR="002140EA" w:rsidRPr="00CB05A8">
        <w:rPr>
          <w:iCs/>
        </w:rPr>
        <w:t> </w:t>
      </w:r>
      <w:r w:rsidR="00F378EE" w:rsidRPr="00CB05A8">
        <w:rPr>
          <w:iCs/>
        </w:rPr>
        <w:t xml:space="preserve">percent </w:t>
      </w:r>
      <w:r w:rsidR="00DA07B8" w:rsidRPr="00CB05A8">
        <w:rPr>
          <w:iCs/>
        </w:rPr>
        <w:t xml:space="preserve">surveyed </w:t>
      </w:r>
      <w:r w:rsidR="00375D2F" w:rsidRPr="00CB05A8">
        <w:rPr>
          <w:iCs/>
        </w:rPr>
        <w:t xml:space="preserve">had heard of the case, and of those, 66 percent thought </w:t>
      </w:r>
      <w:r w:rsidR="00F471FC" w:rsidRPr="00CB05A8">
        <w:rPr>
          <w:iCs/>
        </w:rPr>
        <w:t xml:space="preserve">the </w:t>
      </w:r>
      <w:r w:rsidR="00375D2F" w:rsidRPr="00CB05A8">
        <w:rPr>
          <w:iCs/>
        </w:rPr>
        <w:t xml:space="preserve">defendant was definitely or probably guilty]; </w:t>
      </w:r>
      <w:r w:rsidR="00375D2F" w:rsidRPr="00CB05A8">
        <w:rPr>
          <w:i/>
          <w:iCs/>
        </w:rPr>
        <w:t>Famalaro</w:t>
      </w:r>
      <w:r w:rsidR="00375D2F" w:rsidRPr="00CB05A8">
        <w:rPr>
          <w:iCs/>
        </w:rPr>
        <w:t xml:space="preserve">, </w:t>
      </w:r>
      <w:r w:rsidR="00375D2F" w:rsidRPr="00CB05A8">
        <w:rPr>
          <w:i/>
          <w:iCs/>
        </w:rPr>
        <w:t>supra</w:t>
      </w:r>
      <w:r w:rsidR="00375D2F" w:rsidRPr="00CB05A8">
        <w:rPr>
          <w:iCs/>
        </w:rPr>
        <w:t>, 52 Cal.4th at p.</w:t>
      </w:r>
      <w:r w:rsidR="00643FA4">
        <w:rPr>
          <w:iCs/>
        </w:rPr>
        <w:t> </w:t>
      </w:r>
      <w:r w:rsidR="00375D2F" w:rsidRPr="00CB05A8">
        <w:rPr>
          <w:iCs/>
        </w:rPr>
        <w:t>19 [</w:t>
      </w:r>
      <w:r w:rsidR="00476A39" w:rsidRPr="00CB05A8">
        <w:rPr>
          <w:iCs/>
        </w:rPr>
        <w:t>83</w:t>
      </w:r>
      <w:r w:rsidR="00643FA4">
        <w:rPr>
          <w:iCs/>
        </w:rPr>
        <w:t> </w:t>
      </w:r>
      <w:r w:rsidR="00476A39" w:rsidRPr="00CB05A8">
        <w:rPr>
          <w:iCs/>
        </w:rPr>
        <w:t xml:space="preserve">percent surveyed had heard of the case, and of those, 70 percent </w:t>
      </w:r>
      <w:r w:rsidR="00A9139C" w:rsidRPr="00CB05A8">
        <w:rPr>
          <w:iCs/>
        </w:rPr>
        <w:t xml:space="preserve">thought </w:t>
      </w:r>
      <w:r w:rsidR="00476A39" w:rsidRPr="00CB05A8">
        <w:rPr>
          <w:iCs/>
        </w:rPr>
        <w:t>the defendant was definitely or probably guilty</w:t>
      </w:r>
      <w:r w:rsidR="00143881" w:rsidRPr="00CB05A8">
        <w:rPr>
          <w:szCs w:val="26"/>
        </w:rPr>
        <w:t xml:space="preserve">].) </w:t>
      </w:r>
      <w:r w:rsidR="00143881" w:rsidRPr="00CB05A8">
        <w:rPr>
          <w:i/>
          <w:szCs w:val="26"/>
        </w:rPr>
        <w:t xml:space="preserve"> </w:t>
      </w:r>
      <w:r w:rsidR="00A40E54" w:rsidRPr="00CB05A8">
        <w:rPr>
          <w:szCs w:val="26"/>
        </w:rPr>
        <w:t>“Moreover, the survey did not ask whether the interviewees could set aside anything they had heard of the case and decide guilt or innocence based solely on the evidence presented at trial.”  (</w:t>
      </w:r>
      <w:r w:rsidR="00A40E54" w:rsidRPr="00CB05A8">
        <w:rPr>
          <w:i/>
          <w:szCs w:val="26"/>
        </w:rPr>
        <w:t>Rountree</w:t>
      </w:r>
      <w:r w:rsidR="00A40E54" w:rsidRPr="00CB05A8">
        <w:rPr>
          <w:szCs w:val="26"/>
        </w:rPr>
        <w:t xml:space="preserve">, at p. </w:t>
      </w:r>
      <w:r w:rsidR="00720534" w:rsidRPr="00CB05A8">
        <w:rPr>
          <w:szCs w:val="26"/>
        </w:rPr>
        <w:t>839.)</w:t>
      </w:r>
      <w:r w:rsidR="00E71A4C" w:rsidRPr="00CB05A8">
        <w:rPr>
          <w:szCs w:val="26"/>
        </w:rPr>
        <w:t xml:space="preserve">  </w:t>
      </w:r>
    </w:p>
    <w:p w14:paraId="3A01296A" w14:textId="15ECD635" w:rsidR="00035ADA" w:rsidRPr="00CB05A8" w:rsidRDefault="000D56C9" w:rsidP="00F105E8">
      <w:pPr>
        <w:tabs>
          <w:tab w:val="left" w:pos="1440"/>
        </w:tabs>
        <w:ind w:firstLine="720"/>
        <w:rPr>
          <w:iCs/>
          <w:color w:val="000000" w:themeColor="text1"/>
        </w:rPr>
      </w:pPr>
      <w:r w:rsidRPr="00CB05A8">
        <w:rPr>
          <w:iCs/>
        </w:rPr>
        <w:t>With regard to his second change of venue motion, d</w:t>
      </w:r>
      <w:r w:rsidR="005E40DC" w:rsidRPr="00CB05A8">
        <w:rPr>
          <w:iCs/>
        </w:rPr>
        <w:t xml:space="preserve">efendant </w:t>
      </w:r>
      <w:r w:rsidRPr="00CB05A8">
        <w:rPr>
          <w:iCs/>
        </w:rPr>
        <w:t>contends</w:t>
      </w:r>
      <w:r w:rsidR="005E40DC" w:rsidRPr="00CB05A8">
        <w:rPr>
          <w:iCs/>
        </w:rPr>
        <w:t xml:space="preserve"> th</w:t>
      </w:r>
      <w:r w:rsidR="00EE5686" w:rsidRPr="00CB05A8">
        <w:rPr>
          <w:iCs/>
        </w:rPr>
        <w:t>e</w:t>
      </w:r>
      <w:r w:rsidR="00475A70" w:rsidRPr="00CB05A8">
        <w:rPr>
          <w:iCs/>
        </w:rPr>
        <w:t xml:space="preserve"> actual</w:t>
      </w:r>
      <w:r w:rsidR="009C2CC3" w:rsidRPr="00CB05A8">
        <w:rPr>
          <w:iCs/>
        </w:rPr>
        <w:t xml:space="preserve"> </w:t>
      </w:r>
      <w:r w:rsidR="00106908" w:rsidRPr="00CB05A8">
        <w:rPr>
          <w:iCs/>
        </w:rPr>
        <w:t xml:space="preserve">jury selection </w:t>
      </w:r>
      <w:r w:rsidR="003E35CA" w:rsidRPr="00CB05A8">
        <w:rPr>
          <w:iCs/>
        </w:rPr>
        <w:t>demonstrated</w:t>
      </w:r>
      <w:r w:rsidR="005E40DC" w:rsidRPr="00CB05A8">
        <w:rPr>
          <w:iCs/>
        </w:rPr>
        <w:t xml:space="preserve"> </w:t>
      </w:r>
      <w:r w:rsidR="00445F46" w:rsidRPr="00CB05A8">
        <w:rPr>
          <w:iCs/>
        </w:rPr>
        <w:t xml:space="preserve">that a fair trial </w:t>
      </w:r>
      <w:r w:rsidR="00B41103" w:rsidRPr="00CB05A8">
        <w:rPr>
          <w:iCs/>
        </w:rPr>
        <w:t>could not</w:t>
      </w:r>
      <w:r w:rsidR="00D402B6" w:rsidRPr="00CB05A8">
        <w:rPr>
          <w:iCs/>
        </w:rPr>
        <w:t xml:space="preserve"> </w:t>
      </w:r>
      <w:r w:rsidR="00B41103" w:rsidRPr="00CB05A8">
        <w:rPr>
          <w:iCs/>
        </w:rPr>
        <w:t>be</w:t>
      </w:r>
      <w:r w:rsidR="00445F46" w:rsidRPr="00CB05A8">
        <w:rPr>
          <w:iCs/>
        </w:rPr>
        <w:t xml:space="preserve"> had in Sonoma County</w:t>
      </w:r>
      <w:r w:rsidR="00FF2594" w:rsidRPr="00CB05A8">
        <w:rPr>
          <w:iCs/>
        </w:rPr>
        <w:t xml:space="preserve">. </w:t>
      </w:r>
      <w:r w:rsidR="009C2CC3" w:rsidRPr="00CB05A8">
        <w:rPr>
          <w:iCs/>
          <w:color w:val="000000" w:themeColor="text1"/>
        </w:rPr>
        <w:t xml:space="preserve"> </w:t>
      </w:r>
      <w:r w:rsidR="005E40DC" w:rsidRPr="00CB05A8">
        <w:rPr>
          <w:iCs/>
          <w:color w:val="000000" w:themeColor="text1"/>
        </w:rPr>
        <w:t>H</w:t>
      </w:r>
      <w:r w:rsidR="005E40DC" w:rsidRPr="00CB05A8">
        <w:rPr>
          <w:iCs/>
        </w:rPr>
        <w:t>e</w:t>
      </w:r>
      <w:r w:rsidR="00872C52" w:rsidRPr="00CB05A8">
        <w:rPr>
          <w:iCs/>
        </w:rPr>
        <w:t xml:space="preserve"> claims that the </w:t>
      </w:r>
      <w:r w:rsidR="00273F6E" w:rsidRPr="00CB05A8">
        <w:rPr>
          <w:iCs/>
        </w:rPr>
        <w:t xml:space="preserve">jury pool’s written and oral answers to questions concerning pretrial publicity </w:t>
      </w:r>
      <w:r w:rsidR="004D7E68" w:rsidRPr="00CB05A8">
        <w:rPr>
          <w:iCs/>
        </w:rPr>
        <w:t>show</w:t>
      </w:r>
      <w:r w:rsidR="00273F6E" w:rsidRPr="00CB05A8">
        <w:rPr>
          <w:iCs/>
        </w:rPr>
        <w:t xml:space="preserve"> that media coverage had prejudiced the pool against him.  </w:t>
      </w:r>
      <w:r w:rsidR="004D7E68" w:rsidRPr="00CB05A8">
        <w:rPr>
          <w:iCs/>
        </w:rPr>
        <w:t>Defendant</w:t>
      </w:r>
      <w:r w:rsidR="001B7C7B" w:rsidRPr="00CB05A8">
        <w:rPr>
          <w:iCs/>
        </w:rPr>
        <w:t xml:space="preserve"> </w:t>
      </w:r>
      <w:r w:rsidR="003E35CA" w:rsidRPr="00CB05A8">
        <w:rPr>
          <w:iCs/>
        </w:rPr>
        <w:t xml:space="preserve">also </w:t>
      </w:r>
      <w:r w:rsidR="00BE4E1D" w:rsidRPr="00CB05A8">
        <w:rPr>
          <w:iCs/>
        </w:rPr>
        <w:t>emphasizes</w:t>
      </w:r>
      <w:r w:rsidR="001B7C7B" w:rsidRPr="00CB05A8">
        <w:rPr>
          <w:iCs/>
        </w:rPr>
        <w:t xml:space="preserve"> that </w:t>
      </w:r>
      <w:r w:rsidR="00BE4E1D" w:rsidRPr="00CB05A8">
        <w:rPr>
          <w:iCs/>
        </w:rPr>
        <w:t>approximately 83</w:t>
      </w:r>
      <w:r w:rsidR="001B7C7B" w:rsidRPr="00CB05A8">
        <w:rPr>
          <w:iCs/>
        </w:rPr>
        <w:t xml:space="preserve"> percent of the </w:t>
      </w:r>
      <w:r w:rsidR="00C52210" w:rsidRPr="00CB05A8">
        <w:rPr>
          <w:iCs/>
        </w:rPr>
        <w:t xml:space="preserve">potential jurors, and 77 percent of the seated jurors </w:t>
      </w:r>
      <w:r w:rsidR="005050FA" w:rsidRPr="00CB05A8">
        <w:rPr>
          <w:iCs/>
        </w:rPr>
        <w:t>and alternates</w:t>
      </w:r>
      <w:r w:rsidR="00C06E74" w:rsidRPr="00CB05A8">
        <w:rPr>
          <w:iCs/>
        </w:rPr>
        <w:t>,</w:t>
      </w:r>
      <w:r w:rsidR="005050FA" w:rsidRPr="00CB05A8">
        <w:rPr>
          <w:iCs/>
        </w:rPr>
        <w:t xml:space="preserve"> recognized the </w:t>
      </w:r>
      <w:r w:rsidR="00C06E74" w:rsidRPr="00CB05A8">
        <w:rPr>
          <w:iCs/>
        </w:rPr>
        <w:t xml:space="preserve">case </w:t>
      </w:r>
      <w:r w:rsidR="006B3D26" w:rsidRPr="00CB05A8">
        <w:rPr>
          <w:iCs/>
        </w:rPr>
        <w:t>from the media</w:t>
      </w:r>
      <w:r w:rsidR="00273F6E" w:rsidRPr="00CB05A8">
        <w:rPr>
          <w:iCs/>
          <w:color w:val="000000" w:themeColor="text1"/>
        </w:rPr>
        <w:t xml:space="preserve">.  </w:t>
      </w:r>
    </w:p>
    <w:p w14:paraId="6EBF2BE9" w14:textId="676A3E2E" w:rsidR="009C2CC3" w:rsidRPr="00CB05A8" w:rsidRDefault="007453A9" w:rsidP="00F105E8">
      <w:pPr>
        <w:tabs>
          <w:tab w:val="left" w:pos="1440"/>
        </w:tabs>
        <w:ind w:firstLine="720"/>
        <w:rPr>
          <w:color w:val="000000" w:themeColor="text1"/>
        </w:rPr>
      </w:pPr>
      <w:r w:rsidRPr="00CB05A8">
        <w:t xml:space="preserve">It is true that </w:t>
      </w:r>
      <w:r w:rsidR="00D066B1" w:rsidRPr="00CB05A8">
        <w:t xml:space="preserve">jury selection showed that most prospective jurors had heard of </w:t>
      </w:r>
      <w:r w:rsidR="00FE769D" w:rsidRPr="00CB05A8">
        <w:t>defendant’s</w:t>
      </w:r>
      <w:r w:rsidR="00D066B1" w:rsidRPr="00CB05A8">
        <w:t xml:space="preserve"> case.  However, </w:t>
      </w:r>
      <w:r w:rsidR="00BD0E8D" w:rsidRPr="00CB05A8">
        <w:rPr>
          <w:iCs/>
        </w:rPr>
        <w:t>“ ‘[w]e must distinguish between mere familiarity with [the defendant] or his past and an actual prejudice against him.’ ”  (</w:t>
      </w:r>
      <w:r w:rsidR="00BD0E8D" w:rsidRPr="00CB05A8">
        <w:rPr>
          <w:i/>
        </w:rPr>
        <w:t>People v. Farley</w:t>
      </w:r>
      <w:r w:rsidR="00BD0E8D" w:rsidRPr="00CB05A8">
        <w:rPr>
          <w:iCs/>
        </w:rPr>
        <w:t xml:space="preserve"> (2009) 46 Cal.4th 1053, 1086, </w:t>
      </w:r>
      <w:r w:rsidR="003C09E0">
        <w:rPr>
          <w:iCs/>
        </w:rPr>
        <w:t>quo</w:t>
      </w:r>
      <w:r w:rsidR="00BD0E8D" w:rsidRPr="00CB05A8">
        <w:rPr>
          <w:iCs/>
        </w:rPr>
        <w:t xml:space="preserve">ting </w:t>
      </w:r>
      <w:r w:rsidR="00BD0E8D" w:rsidRPr="00CB05A8">
        <w:rPr>
          <w:i/>
        </w:rPr>
        <w:t>Murphy v. Florida</w:t>
      </w:r>
      <w:r w:rsidR="00BD0E8D" w:rsidRPr="00CB05A8">
        <w:rPr>
          <w:iCs/>
        </w:rPr>
        <w:t xml:space="preserve"> (1975) 421 U.S. 794, 800, fn. 4; see </w:t>
      </w:r>
      <w:r w:rsidR="00BD0E8D" w:rsidRPr="00CB05A8">
        <w:rPr>
          <w:i/>
          <w:iCs/>
        </w:rPr>
        <w:t>Skilling v. United States</w:t>
      </w:r>
      <w:r w:rsidR="00B876D1">
        <w:t xml:space="preserve">, </w:t>
      </w:r>
      <w:r w:rsidR="00B876D1">
        <w:rPr>
          <w:i/>
          <w:iCs/>
        </w:rPr>
        <w:t>supra</w:t>
      </w:r>
      <w:r w:rsidR="00B876D1">
        <w:t>,</w:t>
      </w:r>
      <w:r w:rsidR="00BD0E8D" w:rsidRPr="00CB05A8">
        <w:rPr>
          <w:i/>
          <w:iCs/>
        </w:rPr>
        <w:t xml:space="preserve"> </w:t>
      </w:r>
      <w:r w:rsidR="00BD0E8D" w:rsidRPr="00CB05A8">
        <w:rPr>
          <w:iCs/>
        </w:rPr>
        <w:t xml:space="preserve">561 U.S. </w:t>
      </w:r>
      <w:r w:rsidR="00B876D1">
        <w:rPr>
          <w:iCs/>
        </w:rPr>
        <w:t>at p.</w:t>
      </w:r>
      <w:r w:rsidR="00BD0E8D" w:rsidRPr="00CB05A8">
        <w:rPr>
          <w:iCs/>
        </w:rPr>
        <w:t xml:space="preserve"> 381 [</w:t>
      </w:r>
      <w:r w:rsidR="00BD0E8D" w:rsidRPr="00CB05A8">
        <w:rPr>
          <w:szCs w:val="26"/>
        </w:rPr>
        <w:t xml:space="preserve">“Prominence does not necessarily produce prejudice, and juror </w:t>
      </w:r>
      <w:r w:rsidR="00BD0E8D" w:rsidRPr="00CB05A8">
        <w:rPr>
          <w:i/>
          <w:szCs w:val="26"/>
        </w:rPr>
        <w:t>impartiality</w:t>
      </w:r>
      <w:r w:rsidR="00BD0E8D" w:rsidRPr="00CB05A8">
        <w:rPr>
          <w:szCs w:val="26"/>
        </w:rPr>
        <w:t xml:space="preserve">, </w:t>
      </w:r>
      <w:r w:rsidR="00BD0E8D" w:rsidRPr="00CB05A8">
        <w:rPr>
          <w:color w:val="000000" w:themeColor="text1"/>
          <w:szCs w:val="26"/>
        </w:rPr>
        <w:t xml:space="preserve">we have reiterated, does not require </w:t>
      </w:r>
      <w:r w:rsidR="00BD0E8D" w:rsidRPr="00CB05A8">
        <w:rPr>
          <w:i/>
          <w:color w:val="000000" w:themeColor="text1"/>
          <w:szCs w:val="26"/>
        </w:rPr>
        <w:t>ignoranc</w:t>
      </w:r>
      <w:r w:rsidR="00BD0E8D" w:rsidRPr="00CB05A8">
        <w:rPr>
          <w:i/>
          <w:szCs w:val="26"/>
        </w:rPr>
        <w:t>e</w:t>
      </w:r>
      <w:r w:rsidR="00BD0E8D" w:rsidRPr="00CB05A8">
        <w:rPr>
          <w:szCs w:val="26"/>
        </w:rPr>
        <w:t>”]</w:t>
      </w:r>
      <w:r w:rsidR="00BD0E8D" w:rsidRPr="00CB05A8">
        <w:rPr>
          <w:iCs/>
        </w:rPr>
        <w:t xml:space="preserve">.)  </w:t>
      </w:r>
      <w:r w:rsidR="004574EB" w:rsidRPr="00CB05A8">
        <w:t>“</w:t>
      </w:r>
      <w:r w:rsidR="00BD0E8D" w:rsidRPr="00CB05A8">
        <w:t>[T]</w:t>
      </w:r>
      <w:r w:rsidR="004574EB" w:rsidRPr="00CB05A8">
        <w:t>he fact that prospective jurors may have been exposed to pretrial publicity about the case does not necessarily require a change of venue.  [Citation.]  ‘ “It is sufficient if the juror can lay aside his [or her] impression or opinion and render a verdict based on the evidence presented in court.” ’ ”  (</w:t>
      </w:r>
      <w:r w:rsidR="004574EB" w:rsidRPr="00CB05A8">
        <w:rPr>
          <w:i/>
        </w:rPr>
        <w:t>Panah</w:t>
      </w:r>
      <w:r w:rsidR="004574EB" w:rsidRPr="00CB05A8">
        <w:t xml:space="preserve">, </w:t>
      </w:r>
      <w:r w:rsidR="004574EB" w:rsidRPr="00CB05A8">
        <w:rPr>
          <w:i/>
        </w:rPr>
        <w:t>supra</w:t>
      </w:r>
      <w:r w:rsidR="004574EB" w:rsidRPr="00CB05A8">
        <w:t>, 35 Cal.4th at p. 448</w:t>
      </w:r>
      <w:r w:rsidR="00943D08" w:rsidRPr="00CB05A8">
        <w:t xml:space="preserve">; </w:t>
      </w:r>
      <w:r w:rsidR="006B1B39">
        <w:t xml:space="preserve">see </w:t>
      </w:r>
      <w:r w:rsidR="000369B3" w:rsidRPr="00CB05A8">
        <w:rPr>
          <w:i/>
          <w:iCs/>
        </w:rPr>
        <w:t xml:space="preserve">People v. </w:t>
      </w:r>
      <w:r w:rsidR="00943D08" w:rsidRPr="00CB05A8">
        <w:rPr>
          <w:i/>
          <w:iCs/>
        </w:rPr>
        <w:t>Harris</w:t>
      </w:r>
      <w:r w:rsidR="000369B3" w:rsidRPr="00CB05A8">
        <w:t xml:space="preserve"> (</w:t>
      </w:r>
      <w:r w:rsidR="00B00287" w:rsidRPr="00CB05A8">
        <w:t xml:space="preserve">1981) </w:t>
      </w:r>
      <w:r w:rsidR="00943D08" w:rsidRPr="00CB05A8">
        <w:t xml:space="preserve">28 Cal.3d </w:t>
      </w:r>
      <w:r w:rsidR="00B00287" w:rsidRPr="00CB05A8">
        <w:t>935,</w:t>
      </w:r>
      <w:r w:rsidR="00943D08" w:rsidRPr="00CB05A8">
        <w:t xml:space="preserve"> 949</w:t>
      </w:r>
      <w:r w:rsidR="004574EB" w:rsidRPr="00CB05A8">
        <w:t xml:space="preserve">.)  </w:t>
      </w:r>
    </w:p>
    <w:p w14:paraId="7577FCA1" w14:textId="3B3851E8" w:rsidR="00950C85" w:rsidRPr="00CB05A8" w:rsidRDefault="009C2CC3" w:rsidP="006A39FD">
      <w:pPr>
        <w:tabs>
          <w:tab w:val="left" w:pos="1440"/>
        </w:tabs>
        <w:ind w:firstLine="720"/>
        <w:rPr>
          <w:iCs/>
        </w:rPr>
      </w:pPr>
      <w:r w:rsidRPr="00CB05A8">
        <w:rPr>
          <w:iCs/>
        </w:rPr>
        <w:t xml:space="preserve">Defendant asserts that </w:t>
      </w:r>
      <w:r w:rsidR="00C347B9" w:rsidRPr="00CB05A8">
        <w:rPr>
          <w:iCs/>
        </w:rPr>
        <w:t xml:space="preserve">the high percentage of seated jurors who </w:t>
      </w:r>
      <w:r w:rsidR="006C3090" w:rsidRPr="00CB05A8">
        <w:rPr>
          <w:iCs/>
        </w:rPr>
        <w:t>recognized</w:t>
      </w:r>
      <w:r w:rsidRPr="00CB05A8">
        <w:rPr>
          <w:iCs/>
        </w:rPr>
        <w:t xml:space="preserve"> the case demonstrates that </w:t>
      </w:r>
      <w:r w:rsidR="00B41103" w:rsidRPr="00CB05A8">
        <w:rPr>
          <w:iCs/>
        </w:rPr>
        <w:t>he did not receive a fair trial</w:t>
      </w:r>
      <w:r w:rsidRPr="00CB05A8">
        <w:rPr>
          <w:iCs/>
        </w:rPr>
        <w:t xml:space="preserve"> in Sonoma County.  </w:t>
      </w:r>
      <w:r w:rsidR="00D01EE5" w:rsidRPr="00CB05A8">
        <w:rPr>
          <w:iCs/>
        </w:rPr>
        <w:t>But</w:t>
      </w:r>
      <w:r w:rsidRPr="00CB05A8">
        <w:rPr>
          <w:iCs/>
        </w:rPr>
        <w:t xml:space="preserve"> we have upheld the denial of a change of venue in cases with a </w:t>
      </w:r>
      <w:r w:rsidR="004A4CF8" w:rsidRPr="00CB05A8">
        <w:rPr>
          <w:iCs/>
        </w:rPr>
        <w:t xml:space="preserve">similar or </w:t>
      </w:r>
      <w:r w:rsidRPr="00CB05A8">
        <w:rPr>
          <w:iCs/>
        </w:rPr>
        <w:t>higher percentage of</w:t>
      </w:r>
      <w:r w:rsidR="00BF1111" w:rsidRPr="00CB05A8">
        <w:rPr>
          <w:iCs/>
        </w:rPr>
        <w:t xml:space="preserve"> seated</w:t>
      </w:r>
      <w:r w:rsidRPr="00CB05A8">
        <w:rPr>
          <w:iCs/>
        </w:rPr>
        <w:t xml:space="preserve"> jurors</w:t>
      </w:r>
      <w:r w:rsidR="00FD762A" w:rsidRPr="00CB05A8">
        <w:rPr>
          <w:iCs/>
        </w:rPr>
        <w:t xml:space="preserve"> who </w:t>
      </w:r>
      <w:r w:rsidRPr="00CB05A8">
        <w:rPr>
          <w:iCs/>
        </w:rPr>
        <w:t>ha</w:t>
      </w:r>
      <w:r w:rsidR="00FD762A" w:rsidRPr="00CB05A8">
        <w:rPr>
          <w:iCs/>
        </w:rPr>
        <w:t>d</w:t>
      </w:r>
      <w:r w:rsidRPr="00CB05A8">
        <w:rPr>
          <w:iCs/>
        </w:rPr>
        <w:t xml:space="preserve"> some prior knowledge of the case.  (</w:t>
      </w:r>
      <w:r w:rsidR="001418A5" w:rsidRPr="00CB05A8">
        <w:rPr>
          <w:iCs/>
        </w:rPr>
        <w:t>See, e</w:t>
      </w:r>
      <w:r w:rsidRPr="00CB05A8">
        <w:rPr>
          <w:iCs/>
        </w:rPr>
        <w:t xml:space="preserve">.g., </w:t>
      </w:r>
      <w:r w:rsidRPr="00CB05A8">
        <w:rPr>
          <w:i/>
          <w:iCs/>
        </w:rPr>
        <w:t>Harris</w:t>
      </w:r>
      <w:r w:rsidRPr="00CB05A8">
        <w:rPr>
          <w:iCs/>
        </w:rPr>
        <w:t xml:space="preserve">, </w:t>
      </w:r>
      <w:r w:rsidRPr="00CB05A8">
        <w:rPr>
          <w:i/>
          <w:iCs/>
        </w:rPr>
        <w:t>supra</w:t>
      </w:r>
      <w:r w:rsidRPr="00CB05A8">
        <w:rPr>
          <w:iCs/>
        </w:rPr>
        <w:t>, 57 Cal.4th at p. 830 [</w:t>
      </w:r>
      <w:r w:rsidR="006B1B39">
        <w:rPr>
          <w:iCs/>
        </w:rPr>
        <w:t>10</w:t>
      </w:r>
      <w:r w:rsidRPr="00CB05A8">
        <w:rPr>
          <w:iCs/>
        </w:rPr>
        <w:t xml:space="preserve"> of </w:t>
      </w:r>
      <w:r w:rsidR="006B1B39">
        <w:rPr>
          <w:iCs/>
        </w:rPr>
        <w:t>12</w:t>
      </w:r>
      <w:r w:rsidRPr="00CB05A8">
        <w:rPr>
          <w:iCs/>
        </w:rPr>
        <w:t xml:space="preserve"> seated jurors]</w:t>
      </w:r>
      <w:r w:rsidR="004A4CF8" w:rsidRPr="00CB05A8">
        <w:rPr>
          <w:iCs/>
        </w:rPr>
        <w:t xml:space="preserve">; </w:t>
      </w:r>
      <w:r w:rsidR="004A4CF8" w:rsidRPr="00CB05A8">
        <w:rPr>
          <w:i/>
          <w:iCs/>
        </w:rPr>
        <w:t>Rountree</w:t>
      </w:r>
      <w:r w:rsidR="004A4CF8" w:rsidRPr="00CB05A8">
        <w:rPr>
          <w:iCs/>
        </w:rPr>
        <w:t xml:space="preserve">, </w:t>
      </w:r>
      <w:r w:rsidR="004A4CF8" w:rsidRPr="00CB05A8">
        <w:rPr>
          <w:i/>
          <w:iCs/>
        </w:rPr>
        <w:t>supra</w:t>
      </w:r>
      <w:r w:rsidR="004A4CF8" w:rsidRPr="00CB05A8">
        <w:rPr>
          <w:iCs/>
        </w:rPr>
        <w:t xml:space="preserve">, 56 Cal.4th at p. </w:t>
      </w:r>
      <w:r w:rsidR="00947614" w:rsidRPr="00CB05A8">
        <w:rPr>
          <w:iCs/>
        </w:rPr>
        <w:t xml:space="preserve">840 [eight of </w:t>
      </w:r>
      <w:r w:rsidR="006B1B39">
        <w:rPr>
          <w:iCs/>
        </w:rPr>
        <w:t>12</w:t>
      </w:r>
      <w:r w:rsidR="00947614" w:rsidRPr="00CB05A8">
        <w:rPr>
          <w:iCs/>
        </w:rPr>
        <w:t xml:space="preserve"> seated jurors</w:t>
      </w:r>
      <w:r w:rsidR="006C3090" w:rsidRPr="00CB05A8">
        <w:rPr>
          <w:iCs/>
        </w:rPr>
        <w:t>]</w:t>
      </w:r>
      <w:r w:rsidR="007E5468" w:rsidRPr="00CB05A8">
        <w:rPr>
          <w:iCs/>
        </w:rPr>
        <w:t xml:space="preserve">; </w:t>
      </w:r>
      <w:r w:rsidR="007E5468" w:rsidRPr="00CB05A8">
        <w:rPr>
          <w:i/>
        </w:rPr>
        <w:t>Ramirez</w:t>
      </w:r>
      <w:r w:rsidR="007E5468" w:rsidRPr="00CB05A8">
        <w:rPr>
          <w:iCs/>
        </w:rPr>
        <w:t xml:space="preserve">, </w:t>
      </w:r>
      <w:r w:rsidR="007E5468" w:rsidRPr="00CB05A8">
        <w:rPr>
          <w:i/>
        </w:rPr>
        <w:t>supra</w:t>
      </w:r>
      <w:r w:rsidR="007E5468" w:rsidRPr="00CB05A8">
        <w:rPr>
          <w:iCs/>
        </w:rPr>
        <w:t>, 39 Cal.4th at p. 434 [</w:t>
      </w:r>
      <w:r w:rsidR="006B1B39">
        <w:rPr>
          <w:iCs/>
        </w:rPr>
        <w:t>11</w:t>
      </w:r>
      <w:r w:rsidR="007E5468" w:rsidRPr="00CB05A8">
        <w:rPr>
          <w:iCs/>
        </w:rPr>
        <w:t xml:space="preserve"> of </w:t>
      </w:r>
      <w:r w:rsidR="006B1B39">
        <w:rPr>
          <w:iCs/>
        </w:rPr>
        <w:t>12</w:t>
      </w:r>
      <w:r w:rsidR="007E5468" w:rsidRPr="00CB05A8">
        <w:rPr>
          <w:iCs/>
        </w:rPr>
        <w:t xml:space="preserve"> seated jurors</w:t>
      </w:r>
      <w:r w:rsidR="00186D00" w:rsidRPr="00CB05A8">
        <w:rPr>
          <w:iCs/>
        </w:rPr>
        <w:t>]</w:t>
      </w:r>
      <w:r w:rsidRPr="00CB05A8">
        <w:rPr>
          <w:iCs/>
        </w:rPr>
        <w:t xml:space="preserve">.)  </w:t>
      </w:r>
      <w:r w:rsidR="00950C85" w:rsidRPr="00CB05A8">
        <w:rPr>
          <w:iCs/>
        </w:rPr>
        <w:t xml:space="preserve">In </w:t>
      </w:r>
      <w:r w:rsidR="00950C85" w:rsidRPr="00CB05A8">
        <w:rPr>
          <w:i/>
          <w:iCs/>
        </w:rPr>
        <w:t>Prince</w:t>
      </w:r>
      <w:r w:rsidR="00950C85" w:rsidRPr="00CB05A8">
        <w:rPr>
          <w:iCs/>
        </w:rPr>
        <w:t>, we affirmed the denial of a venue change even though</w:t>
      </w:r>
      <w:r w:rsidR="00950C85" w:rsidRPr="00CB05A8">
        <w:rPr>
          <w:i/>
          <w:iCs/>
        </w:rPr>
        <w:t xml:space="preserve"> </w:t>
      </w:r>
      <w:r w:rsidR="00950C85" w:rsidRPr="00CB05A8">
        <w:rPr>
          <w:iCs/>
        </w:rPr>
        <w:t>“a high percentage of the prospective jurors and 12 of the 13 jurors who actually served at trial . . . had been exposed to the publicity</w:t>
      </w:r>
      <w:r w:rsidR="00461C96">
        <w:rPr>
          <w:iCs/>
        </w:rPr>
        <w:t> . . . .</w:t>
      </w:r>
      <w:r w:rsidR="00950C85" w:rsidRPr="00CB05A8">
        <w:rPr>
          <w:iCs/>
        </w:rPr>
        <w:t>”  (</w:t>
      </w:r>
      <w:r w:rsidR="00950C85" w:rsidRPr="00CB05A8">
        <w:rPr>
          <w:i/>
          <w:iCs/>
        </w:rPr>
        <w:t>Prince</w:t>
      </w:r>
      <w:r w:rsidR="00950C85" w:rsidRPr="00CB05A8">
        <w:rPr>
          <w:iCs/>
        </w:rPr>
        <w:t xml:space="preserve">, </w:t>
      </w:r>
      <w:r w:rsidR="00950C85" w:rsidRPr="00CB05A8">
        <w:rPr>
          <w:i/>
          <w:iCs/>
        </w:rPr>
        <w:t>supra</w:t>
      </w:r>
      <w:r w:rsidR="00950C85" w:rsidRPr="00CB05A8">
        <w:rPr>
          <w:iCs/>
        </w:rPr>
        <w:t>, 40 Cal.4th at p. 1215.)  We based our decision on the jurors’ responses to the juror questionnaire and voir dire, which “did not disclose any prejudgment or emotional bias.”  (</w:t>
      </w:r>
      <w:r w:rsidR="00950C85" w:rsidRPr="00CB05A8">
        <w:rPr>
          <w:i/>
          <w:iCs/>
        </w:rPr>
        <w:t>Ibid.</w:t>
      </w:r>
      <w:r w:rsidR="00950C85" w:rsidRPr="00CB05A8">
        <w:rPr>
          <w:iCs/>
        </w:rPr>
        <w:t>)  We observed that the jurors mostly “displayed only a vague recollection of past news coverage,” and found significant the jurors’ assertions that “the publicity would not prevent them from serving as unbiased jurors.”  (</w:t>
      </w:r>
      <w:r w:rsidR="00950C85" w:rsidRPr="00CB05A8">
        <w:rPr>
          <w:i/>
          <w:iCs/>
        </w:rPr>
        <w:t>Ibid.</w:t>
      </w:r>
      <w:r w:rsidR="00950C85" w:rsidRPr="00CB05A8">
        <w:rPr>
          <w:iCs/>
        </w:rPr>
        <w:t xml:space="preserve">, citing </w:t>
      </w:r>
      <w:r w:rsidR="00950C85" w:rsidRPr="00CB05A8">
        <w:rPr>
          <w:i/>
          <w:iCs/>
        </w:rPr>
        <w:t>Panah</w:t>
      </w:r>
      <w:r w:rsidR="00950C85" w:rsidRPr="00CB05A8">
        <w:rPr>
          <w:iCs/>
        </w:rPr>
        <w:t xml:space="preserve">, </w:t>
      </w:r>
      <w:r w:rsidR="00950C85" w:rsidRPr="00CB05A8">
        <w:rPr>
          <w:i/>
          <w:iCs/>
        </w:rPr>
        <w:t>supra</w:t>
      </w:r>
      <w:r w:rsidR="00950C85" w:rsidRPr="00CB05A8">
        <w:rPr>
          <w:iCs/>
        </w:rPr>
        <w:t xml:space="preserve">, 35 Cal.4th at p. 448 [relying upon similar </w:t>
      </w:r>
      <w:r w:rsidR="001A5CB4">
        <w:rPr>
          <w:iCs/>
        </w:rPr>
        <w:t>claims</w:t>
      </w:r>
      <w:r w:rsidR="00950C85" w:rsidRPr="00CB05A8">
        <w:rPr>
          <w:iCs/>
        </w:rPr>
        <w:t xml:space="preserve">] </w:t>
      </w:r>
      <w:r w:rsidR="001A5CB4">
        <w:rPr>
          <w:iCs/>
        </w:rPr>
        <w:t>&amp;</w:t>
      </w:r>
      <w:r w:rsidR="00950C85" w:rsidRPr="00CB05A8">
        <w:rPr>
          <w:iCs/>
        </w:rPr>
        <w:t xml:space="preserve"> </w:t>
      </w:r>
      <w:r w:rsidR="00950C85" w:rsidRPr="00CB05A8">
        <w:rPr>
          <w:i/>
          <w:iCs/>
        </w:rPr>
        <w:t>Coffman and Marlow</w:t>
      </w:r>
      <w:r w:rsidR="00950C85" w:rsidRPr="00CB05A8">
        <w:rPr>
          <w:iCs/>
        </w:rPr>
        <w:t xml:space="preserve">, </w:t>
      </w:r>
      <w:r w:rsidR="00950C85" w:rsidRPr="00CB05A8">
        <w:rPr>
          <w:i/>
          <w:iCs/>
        </w:rPr>
        <w:t>supra</w:t>
      </w:r>
      <w:r w:rsidR="00950C85" w:rsidRPr="00CB05A8">
        <w:rPr>
          <w:iCs/>
        </w:rPr>
        <w:t>, 34</w:t>
      </w:r>
      <w:r w:rsidR="00643FA4">
        <w:rPr>
          <w:iCs/>
        </w:rPr>
        <w:t> </w:t>
      </w:r>
      <w:r w:rsidR="00950C85" w:rsidRPr="00CB05A8">
        <w:rPr>
          <w:iCs/>
        </w:rPr>
        <w:t>Cal.4th at p. 46 [same].)</w:t>
      </w:r>
      <w:r w:rsidR="00FA4690" w:rsidRPr="00CB05A8">
        <w:rPr>
          <w:iCs/>
        </w:rPr>
        <w:t xml:space="preserve">  Here too, the </w:t>
      </w:r>
      <w:r w:rsidR="00375428" w:rsidRPr="00CB05A8">
        <w:rPr>
          <w:iCs/>
        </w:rPr>
        <w:t xml:space="preserve">vast </w:t>
      </w:r>
      <w:r w:rsidR="00FA4690" w:rsidRPr="00CB05A8">
        <w:rPr>
          <w:iCs/>
        </w:rPr>
        <w:t xml:space="preserve">majority of seated jurors had only </w:t>
      </w:r>
      <w:r w:rsidR="00167952" w:rsidRPr="00CB05A8">
        <w:rPr>
          <w:iCs/>
        </w:rPr>
        <w:t>superficial knowledge of</w:t>
      </w:r>
      <w:r w:rsidR="00FA4690" w:rsidRPr="00CB05A8">
        <w:rPr>
          <w:iCs/>
        </w:rPr>
        <w:t xml:space="preserve"> the case</w:t>
      </w:r>
      <w:r w:rsidR="00167952" w:rsidRPr="00CB05A8">
        <w:rPr>
          <w:iCs/>
        </w:rPr>
        <w:t xml:space="preserve"> from pretrial publicity</w:t>
      </w:r>
      <w:r w:rsidR="000507EE" w:rsidRPr="00CB05A8">
        <w:rPr>
          <w:iCs/>
        </w:rPr>
        <w:t>, and some had none at all</w:t>
      </w:r>
      <w:r w:rsidR="00FA4690" w:rsidRPr="00CB05A8">
        <w:rPr>
          <w:iCs/>
        </w:rPr>
        <w:t>.</w:t>
      </w:r>
      <w:r w:rsidR="00167952" w:rsidRPr="00CB05A8">
        <w:rPr>
          <w:iCs/>
        </w:rPr>
        <w:t xml:space="preserve">  </w:t>
      </w:r>
      <w:r w:rsidR="00FA4690" w:rsidRPr="00CB05A8">
        <w:rPr>
          <w:iCs/>
        </w:rPr>
        <w:t xml:space="preserve">  </w:t>
      </w:r>
    </w:p>
    <w:p w14:paraId="791DBD08" w14:textId="2854B7DF" w:rsidR="009C2CC3" w:rsidRPr="00CB05A8" w:rsidRDefault="00513C34" w:rsidP="00F105E8">
      <w:pPr>
        <w:tabs>
          <w:tab w:val="left" w:pos="1440"/>
        </w:tabs>
        <w:ind w:firstLine="720"/>
        <w:rPr>
          <w:iCs/>
        </w:rPr>
      </w:pPr>
      <w:r w:rsidRPr="00CB05A8">
        <w:rPr>
          <w:iCs/>
        </w:rPr>
        <w:t>Moreover</w:t>
      </w:r>
      <w:r w:rsidR="009C2CC3" w:rsidRPr="00CB05A8">
        <w:rPr>
          <w:iCs/>
        </w:rPr>
        <w:t xml:space="preserve">, </w:t>
      </w:r>
      <w:r w:rsidR="00915CA3" w:rsidRPr="00CB05A8">
        <w:rPr>
          <w:iCs/>
        </w:rPr>
        <w:t>all of</w:t>
      </w:r>
      <w:r w:rsidR="009C2CC3" w:rsidRPr="00CB05A8">
        <w:rPr>
          <w:iCs/>
        </w:rPr>
        <w:t xml:space="preserve"> </w:t>
      </w:r>
      <w:r w:rsidR="00915CA3" w:rsidRPr="00CB05A8">
        <w:rPr>
          <w:iCs/>
        </w:rPr>
        <w:t xml:space="preserve">the jurors </w:t>
      </w:r>
      <w:r w:rsidR="009C2CC3" w:rsidRPr="00CB05A8">
        <w:rPr>
          <w:iCs/>
        </w:rPr>
        <w:t xml:space="preserve">chosen to serve </w:t>
      </w:r>
      <w:r w:rsidR="00815F66" w:rsidRPr="00CB05A8">
        <w:rPr>
          <w:iCs/>
        </w:rPr>
        <w:t xml:space="preserve">had </w:t>
      </w:r>
      <w:r w:rsidR="00637077" w:rsidRPr="00CB05A8">
        <w:rPr>
          <w:iCs/>
        </w:rPr>
        <w:t>confirmed</w:t>
      </w:r>
      <w:r w:rsidR="009C2CC3" w:rsidRPr="00CB05A8">
        <w:rPr>
          <w:iCs/>
        </w:rPr>
        <w:t xml:space="preserve"> that they had no </w:t>
      </w:r>
      <w:r w:rsidR="00784BDE" w:rsidRPr="00CB05A8">
        <w:rPr>
          <w:iCs/>
        </w:rPr>
        <w:t>preset</w:t>
      </w:r>
      <w:r w:rsidR="00594471" w:rsidRPr="00CB05A8">
        <w:rPr>
          <w:iCs/>
        </w:rPr>
        <w:t xml:space="preserve"> </w:t>
      </w:r>
      <w:r w:rsidR="00637077" w:rsidRPr="00CB05A8">
        <w:rPr>
          <w:iCs/>
        </w:rPr>
        <w:t xml:space="preserve">views </w:t>
      </w:r>
      <w:r w:rsidR="005124AE" w:rsidRPr="00CB05A8">
        <w:rPr>
          <w:iCs/>
        </w:rPr>
        <w:t xml:space="preserve">concerning </w:t>
      </w:r>
      <w:r w:rsidR="00637077" w:rsidRPr="00CB05A8">
        <w:rPr>
          <w:iCs/>
        </w:rPr>
        <w:t>the case</w:t>
      </w:r>
      <w:r w:rsidR="00F6485F" w:rsidRPr="00CB05A8">
        <w:rPr>
          <w:iCs/>
        </w:rPr>
        <w:t xml:space="preserve"> that</w:t>
      </w:r>
      <w:r w:rsidR="00637077" w:rsidRPr="00CB05A8">
        <w:rPr>
          <w:iCs/>
        </w:rPr>
        <w:t xml:space="preserve"> </w:t>
      </w:r>
      <w:r w:rsidR="00BE57AD" w:rsidRPr="00CB05A8">
        <w:rPr>
          <w:iCs/>
        </w:rPr>
        <w:t xml:space="preserve">they would be unable to set aside </w:t>
      </w:r>
      <w:r w:rsidR="00594471" w:rsidRPr="00CB05A8">
        <w:rPr>
          <w:iCs/>
        </w:rPr>
        <w:t>based on what they had read</w:t>
      </w:r>
      <w:r w:rsidR="00322437" w:rsidRPr="00CB05A8">
        <w:rPr>
          <w:iCs/>
        </w:rPr>
        <w:t xml:space="preserve"> or heard.  </w:t>
      </w:r>
      <w:r w:rsidR="0060706D" w:rsidRPr="00CB05A8">
        <w:rPr>
          <w:iCs/>
        </w:rPr>
        <w:t>(</w:t>
      </w:r>
      <w:r w:rsidR="0060706D" w:rsidRPr="00CB05A8">
        <w:rPr>
          <w:i/>
        </w:rPr>
        <w:t xml:space="preserve">People v. </w:t>
      </w:r>
      <w:r w:rsidR="0060706D" w:rsidRPr="00CB05A8">
        <w:rPr>
          <w:i/>
          <w:iCs/>
        </w:rPr>
        <w:t>Peterson</w:t>
      </w:r>
      <w:r w:rsidR="0060706D" w:rsidRPr="00CB05A8">
        <w:rPr>
          <w:iCs/>
        </w:rPr>
        <w:t xml:space="preserve"> (2020) 10 Cal.5th 409, 442.)  </w:t>
      </w:r>
      <w:r w:rsidR="00C91BA3" w:rsidRPr="00CB05A8">
        <w:rPr>
          <w:iCs/>
        </w:rPr>
        <w:t xml:space="preserve">Although Juror </w:t>
      </w:r>
      <w:r w:rsidR="00941CF1">
        <w:rPr>
          <w:iCs/>
        </w:rPr>
        <w:t xml:space="preserve">No. </w:t>
      </w:r>
      <w:r w:rsidR="00C91BA3" w:rsidRPr="00CB05A8">
        <w:rPr>
          <w:iCs/>
        </w:rPr>
        <w:t>3360</w:t>
      </w:r>
      <w:r w:rsidR="00815F66" w:rsidRPr="00CB05A8">
        <w:rPr>
          <w:iCs/>
        </w:rPr>
        <w:t xml:space="preserve"> </w:t>
      </w:r>
      <w:r w:rsidR="00C91BA3" w:rsidRPr="00CB05A8">
        <w:rPr>
          <w:iCs/>
        </w:rPr>
        <w:t xml:space="preserve">indicated </w:t>
      </w:r>
      <w:r w:rsidR="003328FC" w:rsidRPr="00CB05A8">
        <w:rPr>
          <w:iCs/>
        </w:rPr>
        <w:t xml:space="preserve">in his questionnaire </w:t>
      </w:r>
      <w:r w:rsidR="00C91BA3" w:rsidRPr="00CB05A8">
        <w:rPr>
          <w:iCs/>
        </w:rPr>
        <w:t>that</w:t>
      </w:r>
      <w:r w:rsidR="003328FC" w:rsidRPr="00CB05A8">
        <w:rPr>
          <w:iCs/>
        </w:rPr>
        <w:t>,</w:t>
      </w:r>
      <w:r w:rsidR="00C91BA3" w:rsidRPr="00CB05A8">
        <w:rPr>
          <w:iCs/>
        </w:rPr>
        <w:t xml:space="preserve"> </w:t>
      </w:r>
      <w:r w:rsidR="003A3BAD" w:rsidRPr="00CB05A8">
        <w:rPr>
          <w:iCs/>
        </w:rPr>
        <w:t xml:space="preserve">based on media reports, he </w:t>
      </w:r>
      <w:r w:rsidR="00330FA9" w:rsidRPr="00CB05A8">
        <w:rPr>
          <w:iCs/>
        </w:rPr>
        <w:t xml:space="preserve">thought “a violent criminal commit[ed] another violent crime,” he also </w:t>
      </w:r>
      <w:r w:rsidR="000A1D18" w:rsidRPr="00CB05A8">
        <w:rPr>
          <w:iCs/>
        </w:rPr>
        <w:t>affirmed that he could set aside his personal opinion a</w:t>
      </w:r>
      <w:r w:rsidR="00D53ECF" w:rsidRPr="00CB05A8">
        <w:rPr>
          <w:iCs/>
        </w:rPr>
        <w:t xml:space="preserve">bout defendant’s guilt if selected to serve as a juror and explained that the information he </w:t>
      </w:r>
      <w:r w:rsidR="00AC5A6D" w:rsidRPr="00CB05A8">
        <w:rPr>
          <w:iCs/>
        </w:rPr>
        <w:t xml:space="preserve">had </w:t>
      </w:r>
      <w:r w:rsidR="00300049" w:rsidRPr="00CB05A8">
        <w:rPr>
          <w:iCs/>
        </w:rPr>
        <w:t>regarding</w:t>
      </w:r>
      <w:r w:rsidR="00AC5A6D" w:rsidRPr="00CB05A8">
        <w:rPr>
          <w:iCs/>
        </w:rPr>
        <w:t xml:space="preserve"> the case came from the media, which</w:t>
      </w:r>
      <w:r w:rsidR="00DE522C" w:rsidRPr="00CB05A8">
        <w:rPr>
          <w:iCs/>
        </w:rPr>
        <w:t>, he offered,</w:t>
      </w:r>
      <w:r w:rsidR="00AC5A6D" w:rsidRPr="00CB05A8">
        <w:rPr>
          <w:iCs/>
        </w:rPr>
        <w:t xml:space="preserve"> “has [been] proven wrong more times than not concerning important facts.”  </w:t>
      </w:r>
      <w:r w:rsidR="00AC32A1" w:rsidRPr="00CB05A8">
        <w:rPr>
          <w:iCs/>
        </w:rPr>
        <w:t>During voir dire, he</w:t>
      </w:r>
      <w:r w:rsidR="00784BDE" w:rsidRPr="00CB05A8">
        <w:rPr>
          <w:iCs/>
        </w:rPr>
        <w:t xml:space="preserve"> reiterated that </w:t>
      </w:r>
      <w:r w:rsidR="0069377F" w:rsidRPr="00CB05A8">
        <w:rPr>
          <w:iCs/>
        </w:rPr>
        <w:t xml:space="preserve">although </w:t>
      </w:r>
      <w:r w:rsidR="001F0513" w:rsidRPr="00CB05A8">
        <w:rPr>
          <w:iCs/>
        </w:rPr>
        <w:t xml:space="preserve">he had read a </w:t>
      </w:r>
      <w:r w:rsidR="0069377F" w:rsidRPr="00CB05A8">
        <w:rPr>
          <w:iCs/>
        </w:rPr>
        <w:t xml:space="preserve">newspaper article </w:t>
      </w:r>
      <w:r w:rsidR="00D92325" w:rsidRPr="00CB05A8">
        <w:rPr>
          <w:iCs/>
        </w:rPr>
        <w:t xml:space="preserve">that </w:t>
      </w:r>
      <w:r w:rsidR="0069377F" w:rsidRPr="00CB05A8">
        <w:rPr>
          <w:iCs/>
        </w:rPr>
        <w:t xml:space="preserve">made it </w:t>
      </w:r>
      <w:r w:rsidR="004336D9" w:rsidRPr="00CB05A8">
        <w:rPr>
          <w:iCs/>
        </w:rPr>
        <w:t xml:space="preserve">seem like defendant had committed the crime, </w:t>
      </w:r>
      <w:r w:rsidR="001F0513" w:rsidRPr="00CB05A8">
        <w:rPr>
          <w:iCs/>
        </w:rPr>
        <w:t xml:space="preserve">he believed </w:t>
      </w:r>
      <w:r w:rsidR="004336D9" w:rsidRPr="00CB05A8">
        <w:rPr>
          <w:iCs/>
        </w:rPr>
        <w:t xml:space="preserve">“the </w:t>
      </w:r>
      <w:r w:rsidR="001F0513" w:rsidRPr="00CB05A8">
        <w:rPr>
          <w:iCs/>
        </w:rPr>
        <w:t>[news]</w:t>
      </w:r>
      <w:r w:rsidR="004336D9" w:rsidRPr="00CB05A8">
        <w:rPr>
          <w:iCs/>
        </w:rPr>
        <w:t xml:space="preserve">paper more often than not gets proven wrong later on” and </w:t>
      </w:r>
      <w:r w:rsidR="00784BDE" w:rsidRPr="00CB05A8">
        <w:rPr>
          <w:iCs/>
        </w:rPr>
        <w:t>he viewed the media with skepticism</w:t>
      </w:r>
      <w:r w:rsidR="0060706D" w:rsidRPr="00CB05A8">
        <w:rPr>
          <w:iCs/>
        </w:rPr>
        <w:t>.</w:t>
      </w:r>
      <w:r w:rsidR="00DC5374" w:rsidRPr="00CB05A8">
        <w:rPr>
          <w:iCs/>
        </w:rPr>
        <w:t xml:space="preserve">  </w:t>
      </w:r>
      <w:r w:rsidR="00606DB2" w:rsidRPr="00CB05A8">
        <w:rPr>
          <w:iCs/>
        </w:rPr>
        <w:t xml:space="preserve">Juror </w:t>
      </w:r>
      <w:r w:rsidR="00941CF1">
        <w:rPr>
          <w:iCs/>
        </w:rPr>
        <w:t xml:space="preserve">No. </w:t>
      </w:r>
      <w:r w:rsidR="00606DB2" w:rsidRPr="00CB05A8">
        <w:rPr>
          <w:iCs/>
        </w:rPr>
        <w:t xml:space="preserve">3360 also affirmed that he would </w:t>
      </w:r>
      <w:r w:rsidR="00BC25CE" w:rsidRPr="00CB05A8">
        <w:rPr>
          <w:iCs/>
        </w:rPr>
        <w:t xml:space="preserve">“absolutely” </w:t>
      </w:r>
      <w:r w:rsidR="00606DB2" w:rsidRPr="00CB05A8">
        <w:rPr>
          <w:iCs/>
        </w:rPr>
        <w:t>keep an open mind regard</w:t>
      </w:r>
      <w:r w:rsidR="002F6336" w:rsidRPr="00CB05A8">
        <w:rPr>
          <w:iCs/>
        </w:rPr>
        <w:t>ing</w:t>
      </w:r>
      <w:r w:rsidR="00606DB2" w:rsidRPr="00CB05A8">
        <w:rPr>
          <w:iCs/>
        </w:rPr>
        <w:t xml:space="preserve"> the charges against defendant and assu</w:t>
      </w:r>
      <w:r w:rsidR="00E05852" w:rsidRPr="00CB05A8">
        <w:rPr>
          <w:iCs/>
        </w:rPr>
        <w:t xml:space="preserve">red the court that he would base his decision only on the evidence, not on what he might have learned from the media.  </w:t>
      </w:r>
      <w:r w:rsidR="005B0564" w:rsidRPr="00CB05A8">
        <w:rPr>
          <w:iCs/>
        </w:rPr>
        <w:t>The trial court found that</w:t>
      </w:r>
      <w:r w:rsidR="005C77DA" w:rsidRPr="00CB05A8">
        <w:rPr>
          <w:iCs/>
        </w:rPr>
        <w:t xml:space="preserve"> although Juror </w:t>
      </w:r>
      <w:r w:rsidR="00941CF1">
        <w:rPr>
          <w:iCs/>
        </w:rPr>
        <w:t xml:space="preserve">No. </w:t>
      </w:r>
      <w:r w:rsidR="005C77DA" w:rsidRPr="00CB05A8">
        <w:rPr>
          <w:iCs/>
        </w:rPr>
        <w:t xml:space="preserve">3360 </w:t>
      </w:r>
      <w:r w:rsidR="009F2ABF" w:rsidRPr="00CB05A8">
        <w:rPr>
          <w:iCs/>
        </w:rPr>
        <w:t xml:space="preserve">said he </w:t>
      </w:r>
      <w:r w:rsidR="005C77DA" w:rsidRPr="00CB05A8">
        <w:rPr>
          <w:iCs/>
        </w:rPr>
        <w:t xml:space="preserve">had heard </w:t>
      </w:r>
      <w:r w:rsidR="00C45590" w:rsidRPr="00CB05A8">
        <w:rPr>
          <w:iCs/>
        </w:rPr>
        <w:t xml:space="preserve">a lot about the case, </w:t>
      </w:r>
      <w:r w:rsidR="00561268" w:rsidRPr="00CB05A8">
        <w:rPr>
          <w:iCs/>
        </w:rPr>
        <w:t xml:space="preserve">his </w:t>
      </w:r>
      <w:r w:rsidR="007543AD" w:rsidRPr="00CB05A8">
        <w:rPr>
          <w:iCs/>
        </w:rPr>
        <w:t>responses to questions in</w:t>
      </w:r>
      <w:r w:rsidR="00561268" w:rsidRPr="00CB05A8">
        <w:rPr>
          <w:iCs/>
        </w:rPr>
        <w:t xml:space="preserve"> the </w:t>
      </w:r>
      <w:r w:rsidR="002F76A9" w:rsidRPr="00CB05A8">
        <w:rPr>
          <w:iCs/>
        </w:rPr>
        <w:t xml:space="preserve">jury </w:t>
      </w:r>
      <w:r w:rsidR="00561268" w:rsidRPr="00CB05A8">
        <w:rPr>
          <w:iCs/>
        </w:rPr>
        <w:t>questionnaire and during voir dire</w:t>
      </w:r>
      <w:r w:rsidR="002F76A9" w:rsidRPr="00CB05A8">
        <w:rPr>
          <w:iCs/>
        </w:rPr>
        <w:t xml:space="preserve"> demonstrated that he had</w:t>
      </w:r>
      <w:r w:rsidR="00C45590" w:rsidRPr="00CB05A8">
        <w:rPr>
          <w:iCs/>
        </w:rPr>
        <w:t xml:space="preserve"> an open mind.  </w:t>
      </w:r>
      <w:r w:rsidR="00A155FC" w:rsidRPr="00CB05A8">
        <w:rPr>
          <w:iCs/>
        </w:rPr>
        <w:t xml:space="preserve">It is sufficient </w:t>
      </w:r>
      <w:r w:rsidRPr="00CB05A8">
        <w:rPr>
          <w:iCs/>
        </w:rPr>
        <w:t>that</w:t>
      </w:r>
      <w:r w:rsidR="00956217" w:rsidRPr="00CB05A8">
        <w:rPr>
          <w:iCs/>
        </w:rPr>
        <w:t xml:space="preserve"> the trial court found that the actual juror</w:t>
      </w:r>
      <w:r w:rsidR="00A155FC" w:rsidRPr="00CB05A8">
        <w:rPr>
          <w:iCs/>
        </w:rPr>
        <w:t>s “</w:t>
      </w:r>
      <w:r w:rsidR="00F223DC">
        <w:rPr>
          <w:iCs/>
        </w:rPr>
        <w:t> ‘</w:t>
      </w:r>
      <w:r w:rsidR="00A155FC" w:rsidRPr="00CB05A8">
        <w:rPr>
          <w:iCs/>
        </w:rPr>
        <w:t xml:space="preserve">had demonstrated </w:t>
      </w:r>
      <w:r w:rsidR="00B93B03" w:rsidRPr="00CB05A8">
        <w:rPr>
          <w:iCs/>
        </w:rPr>
        <w:t>an ability to set aside any preconceived impressions derived from the media.</w:t>
      </w:r>
      <w:r w:rsidR="005B6D5C" w:rsidRPr="00CB05A8">
        <w:rPr>
          <w:iCs/>
        </w:rPr>
        <w:t>’</w:t>
      </w:r>
      <w:r w:rsidR="00A155FC" w:rsidRPr="00CB05A8">
        <w:rPr>
          <w:iCs/>
        </w:rPr>
        <w:t> </w:t>
      </w:r>
      <w:r w:rsidR="00B93B03" w:rsidRPr="00CB05A8">
        <w:rPr>
          <w:iCs/>
        </w:rPr>
        <w:t>”</w:t>
      </w:r>
      <w:r w:rsidR="00153CDD" w:rsidRPr="00CB05A8">
        <w:rPr>
          <w:iCs/>
        </w:rPr>
        <w:t xml:space="preserve">  (</w:t>
      </w:r>
      <w:r w:rsidR="00153CDD" w:rsidRPr="00CB05A8">
        <w:rPr>
          <w:i/>
          <w:iCs/>
        </w:rPr>
        <w:t>Rountree</w:t>
      </w:r>
      <w:r w:rsidR="00153CDD" w:rsidRPr="00CB05A8">
        <w:rPr>
          <w:iCs/>
        </w:rPr>
        <w:t xml:space="preserve">, </w:t>
      </w:r>
      <w:r w:rsidR="00153CDD" w:rsidRPr="00CB05A8">
        <w:rPr>
          <w:i/>
          <w:iCs/>
        </w:rPr>
        <w:t>supra</w:t>
      </w:r>
      <w:r w:rsidR="00153CDD" w:rsidRPr="00CB05A8">
        <w:rPr>
          <w:iCs/>
        </w:rPr>
        <w:t>, 56 Cal.4th at p. 840</w:t>
      </w:r>
      <w:r w:rsidR="0066626F" w:rsidRPr="00CB05A8">
        <w:rPr>
          <w:iCs/>
        </w:rPr>
        <w:t xml:space="preserve">; see also </w:t>
      </w:r>
      <w:r w:rsidR="00983E52" w:rsidRPr="00CB05A8">
        <w:rPr>
          <w:i/>
          <w:iCs/>
        </w:rPr>
        <w:t>Prince</w:t>
      </w:r>
      <w:r w:rsidR="00983E52" w:rsidRPr="00CB05A8">
        <w:rPr>
          <w:iCs/>
        </w:rPr>
        <w:t xml:space="preserve">, </w:t>
      </w:r>
      <w:r w:rsidR="00983E52" w:rsidRPr="00CB05A8">
        <w:rPr>
          <w:i/>
          <w:iCs/>
        </w:rPr>
        <w:t>supra</w:t>
      </w:r>
      <w:r w:rsidR="00983E52" w:rsidRPr="00CB05A8">
        <w:rPr>
          <w:iCs/>
        </w:rPr>
        <w:t>, 40</w:t>
      </w:r>
      <w:r w:rsidR="002140EA" w:rsidRPr="00CB05A8">
        <w:rPr>
          <w:iCs/>
        </w:rPr>
        <w:t> </w:t>
      </w:r>
      <w:r w:rsidR="00983E52" w:rsidRPr="00CB05A8">
        <w:rPr>
          <w:iCs/>
        </w:rPr>
        <w:t>Cal.4th at p. 1216 [</w:t>
      </w:r>
      <w:r w:rsidR="006A6FF0" w:rsidRPr="00CB05A8">
        <w:rPr>
          <w:iCs/>
        </w:rPr>
        <w:t>“</w:t>
      </w:r>
      <w:r w:rsidR="00BD7EAA" w:rsidRPr="00CB05A8">
        <w:rPr>
          <w:iCs/>
        </w:rPr>
        <w:t> ‘T</w:t>
      </w:r>
      <w:r w:rsidR="006A6FF0" w:rsidRPr="00CB05A8">
        <w:rPr>
          <w:iCs/>
        </w:rPr>
        <w:t>he category of cases where prejudice has been presumed in the face of juror attestation to the contrary is extremely narrow</w:t>
      </w:r>
      <w:r w:rsidR="007A53E9" w:rsidRPr="00CB05A8">
        <w:rPr>
          <w:iCs/>
        </w:rPr>
        <w:t>’ </w:t>
      </w:r>
      <w:r w:rsidR="006A6FF0" w:rsidRPr="00CB05A8">
        <w:rPr>
          <w:iCs/>
        </w:rPr>
        <w:t>”]</w:t>
      </w:r>
      <w:r w:rsidR="00153CDD" w:rsidRPr="00CB05A8">
        <w:rPr>
          <w:iCs/>
        </w:rPr>
        <w:t>.)</w:t>
      </w:r>
    </w:p>
    <w:p w14:paraId="727BF56E" w14:textId="7CA5CF92" w:rsidR="00BE449E" w:rsidRPr="00CB05A8" w:rsidRDefault="00172B69" w:rsidP="00F105E8">
      <w:pPr>
        <w:tabs>
          <w:tab w:val="left" w:pos="1440"/>
        </w:tabs>
        <w:ind w:firstLine="720"/>
        <w:rPr>
          <w:iCs/>
        </w:rPr>
      </w:pPr>
      <w:r w:rsidRPr="00CB05A8">
        <w:rPr>
          <w:iCs/>
        </w:rPr>
        <w:t>In view of t</w:t>
      </w:r>
      <w:r w:rsidR="00CF6F0C" w:rsidRPr="00CB05A8">
        <w:rPr>
          <w:iCs/>
        </w:rPr>
        <w:t xml:space="preserve">his record, </w:t>
      </w:r>
      <w:r w:rsidR="008572A3" w:rsidRPr="00CB05A8">
        <w:rPr>
          <w:iCs/>
        </w:rPr>
        <w:t xml:space="preserve">we </w:t>
      </w:r>
      <w:r w:rsidR="00335C47" w:rsidRPr="00CB05A8">
        <w:rPr>
          <w:iCs/>
        </w:rPr>
        <w:t xml:space="preserve">conclude that </w:t>
      </w:r>
      <w:r w:rsidR="00335C47" w:rsidRPr="00CB05A8">
        <w:t>substantial evidence supports the trial court’s assessment that the nature and the extent of media coverage in defendant’s case does not weigh in favor of a venue change.</w:t>
      </w:r>
      <w:r w:rsidR="00CF6AB1">
        <w:t xml:space="preserve">  </w:t>
      </w:r>
      <w:r w:rsidR="00E875C9">
        <w:t xml:space="preserve">We </w:t>
      </w:r>
      <w:r w:rsidR="0074322C">
        <w:t>afford</w:t>
      </w:r>
      <w:r w:rsidR="00E875C9">
        <w:t xml:space="preserve"> the court’s judgment </w:t>
      </w:r>
      <w:r w:rsidR="00935D40">
        <w:t>here particular</w:t>
      </w:r>
      <w:r w:rsidR="00E875C9">
        <w:t xml:space="preserve"> weight</w:t>
      </w:r>
      <w:r w:rsidR="00935D40">
        <w:t xml:space="preserve"> </w:t>
      </w:r>
      <w:r w:rsidR="00731EBA">
        <w:t xml:space="preserve">because </w:t>
      </w:r>
      <w:r w:rsidR="0074322C">
        <w:t xml:space="preserve">the </w:t>
      </w:r>
      <w:r w:rsidR="0033330F">
        <w:t>judge</w:t>
      </w:r>
      <w:r w:rsidR="00731EBA">
        <w:t xml:space="preserve"> s</w:t>
      </w:r>
      <w:r w:rsidR="002F008E">
        <w:t>at</w:t>
      </w:r>
      <w:r w:rsidR="00731EBA">
        <w:t xml:space="preserve"> in the </w:t>
      </w:r>
      <w:r w:rsidR="00D03A37">
        <w:t>county</w:t>
      </w:r>
      <w:r w:rsidR="00935D40">
        <w:t xml:space="preserve"> where the publicity </w:t>
      </w:r>
      <w:r w:rsidR="002F008E">
        <w:t>was</w:t>
      </w:r>
      <w:r w:rsidR="00935D40">
        <w:t xml:space="preserve"> said to have had its effect</w:t>
      </w:r>
      <w:r w:rsidR="002F008E">
        <w:t>, and could therefore “</w:t>
      </w:r>
      <w:r w:rsidR="00FF70F7">
        <w:t> ‘</w:t>
      </w:r>
      <w:r w:rsidR="002F008E">
        <w:t xml:space="preserve">base her evaluation on her </w:t>
      </w:r>
      <w:r w:rsidR="00FF70F7">
        <w:t>“</w:t>
      </w:r>
      <w:r w:rsidR="002F008E">
        <w:t>own perception of the depth and extent of news stories that might influence a juror.</w:t>
      </w:r>
      <w:r w:rsidR="00FF70F7">
        <w:t>” </w:t>
      </w:r>
      <w:r w:rsidR="002F008E">
        <w:t>’</w:t>
      </w:r>
      <w:r w:rsidR="000161CE">
        <w:t> </w:t>
      </w:r>
      <w:r w:rsidR="002F008E">
        <w:t>”</w:t>
      </w:r>
      <w:r w:rsidR="000161CE">
        <w:t xml:space="preserve">  (</w:t>
      </w:r>
      <w:r w:rsidR="000161CE" w:rsidRPr="00CB05A8">
        <w:rPr>
          <w:i/>
          <w:iCs/>
        </w:rPr>
        <w:t>Rices</w:t>
      </w:r>
      <w:r w:rsidR="000161CE" w:rsidRPr="00CB05A8">
        <w:t xml:space="preserve">, </w:t>
      </w:r>
      <w:r w:rsidR="000161CE" w:rsidRPr="00CB05A8">
        <w:rPr>
          <w:i/>
        </w:rPr>
        <w:t>supra</w:t>
      </w:r>
      <w:r w:rsidR="000161CE" w:rsidRPr="00CB05A8">
        <w:t>, 4 Cal.5th at p. 74</w:t>
      </w:r>
      <w:r w:rsidR="000161CE">
        <w:t>.)</w:t>
      </w:r>
    </w:p>
    <w:p w14:paraId="49129D9F" w14:textId="3DBEC3D3" w:rsidR="001211AD" w:rsidRPr="00CB05A8" w:rsidRDefault="00AD79E2" w:rsidP="00F105E8">
      <w:pPr>
        <w:pStyle w:val="Heading5"/>
        <w:numPr>
          <w:ilvl w:val="0"/>
          <w:numId w:val="39"/>
        </w:numPr>
        <w:ind w:left="2448" w:hanging="432"/>
        <w:rPr>
          <w:iCs/>
        </w:rPr>
      </w:pPr>
      <w:bookmarkStart w:id="32" w:name="_Toc58918785"/>
      <w:r w:rsidRPr="00CB05A8">
        <w:t>S</w:t>
      </w:r>
      <w:r w:rsidR="007B635C" w:rsidRPr="00CB05A8">
        <w:t>ize of the community</w:t>
      </w:r>
      <w:bookmarkEnd w:id="32"/>
      <w:r w:rsidR="004B7812" w:rsidRPr="00CB05A8">
        <w:rPr>
          <w:iCs/>
        </w:rPr>
        <w:t xml:space="preserve">  </w:t>
      </w:r>
    </w:p>
    <w:p w14:paraId="231869E4" w14:textId="48B602AC" w:rsidR="007E2A3E" w:rsidRDefault="004B7812" w:rsidP="00F105E8">
      <w:pPr>
        <w:tabs>
          <w:tab w:val="left" w:pos="1440"/>
        </w:tabs>
        <w:ind w:firstLine="720"/>
        <w:rPr>
          <w:iCs/>
        </w:rPr>
      </w:pPr>
      <w:r w:rsidRPr="00CB05A8">
        <w:rPr>
          <w:iCs/>
        </w:rPr>
        <w:t xml:space="preserve">“The size of the community is important because </w:t>
      </w:r>
      <w:r w:rsidR="00122193" w:rsidRPr="00CB05A8">
        <w:rPr>
          <w:iCs/>
        </w:rPr>
        <w:t xml:space="preserve">. . . </w:t>
      </w:r>
      <w:r w:rsidRPr="00CB05A8">
        <w:rPr>
          <w:iCs/>
        </w:rPr>
        <w:t xml:space="preserve">a major crime is likely to be embedded in the public consciousness more deeply and for a longer time </w:t>
      </w:r>
      <w:r w:rsidR="00122193" w:rsidRPr="00CB05A8">
        <w:rPr>
          <w:iCs/>
        </w:rPr>
        <w:t xml:space="preserve">[in a small rural community] </w:t>
      </w:r>
      <w:r w:rsidRPr="00CB05A8">
        <w:rPr>
          <w:iCs/>
        </w:rPr>
        <w:t xml:space="preserve">than in a populous </w:t>
      </w:r>
      <w:r w:rsidRPr="00CB05A8">
        <w:rPr>
          <w:i/>
          <w:iCs/>
        </w:rPr>
        <w:t>urban</w:t>
      </w:r>
      <w:r w:rsidRPr="00CB05A8">
        <w:rPr>
          <w:iCs/>
        </w:rPr>
        <w:t xml:space="preserve"> area.”  (</w:t>
      </w:r>
      <w:r w:rsidR="00122193" w:rsidRPr="00CB05A8">
        <w:rPr>
          <w:i/>
        </w:rPr>
        <w:t>People v. Coleman</w:t>
      </w:r>
      <w:r w:rsidR="00122193" w:rsidRPr="00CB05A8">
        <w:rPr>
          <w:iCs/>
        </w:rPr>
        <w:t xml:space="preserve"> (1989) 48 Cal.3d 112, </w:t>
      </w:r>
      <w:r w:rsidRPr="00CB05A8">
        <w:rPr>
          <w:iCs/>
        </w:rPr>
        <w:t>134</w:t>
      </w:r>
      <w:r w:rsidR="00C72B21">
        <w:rPr>
          <w:iCs/>
        </w:rPr>
        <w:t xml:space="preserve"> (</w:t>
      </w:r>
      <w:r w:rsidR="00C72B21">
        <w:rPr>
          <w:i/>
        </w:rPr>
        <w:t>Coleman</w:t>
      </w:r>
      <w:r w:rsidR="00C72B21">
        <w:rPr>
          <w:iCs/>
        </w:rPr>
        <w:t>)</w:t>
      </w:r>
      <w:r w:rsidR="00A331E1" w:rsidRPr="00CB05A8">
        <w:rPr>
          <w:iCs/>
        </w:rPr>
        <w:t xml:space="preserve">, </w:t>
      </w:r>
      <w:r w:rsidR="007D1A6F">
        <w:rPr>
          <w:iCs/>
        </w:rPr>
        <w:t>italics added</w:t>
      </w:r>
      <w:r w:rsidR="00E16425" w:rsidRPr="00CB05A8">
        <w:rPr>
          <w:iCs/>
        </w:rPr>
        <w:t xml:space="preserve">; </w:t>
      </w:r>
      <w:r w:rsidR="00335C47" w:rsidRPr="00CB05A8">
        <w:rPr>
          <w:iCs/>
        </w:rPr>
        <w:t xml:space="preserve">see </w:t>
      </w:r>
      <w:r w:rsidR="00E16425" w:rsidRPr="00CB05A8">
        <w:rPr>
          <w:i/>
          <w:iCs/>
        </w:rPr>
        <w:t>Martinez</w:t>
      </w:r>
      <w:r w:rsidR="007D1A6F">
        <w:rPr>
          <w:i/>
          <w:iCs/>
        </w:rPr>
        <w:t xml:space="preserve"> v. Superior Court</w:t>
      </w:r>
      <w:r w:rsidR="00E16425" w:rsidRPr="00CB05A8">
        <w:rPr>
          <w:iCs/>
        </w:rPr>
        <w:t xml:space="preserve">, </w:t>
      </w:r>
      <w:r w:rsidR="00E16425" w:rsidRPr="00CB05A8">
        <w:rPr>
          <w:i/>
          <w:iCs/>
        </w:rPr>
        <w:t>supra</w:t>
      </w:r>
      <w:r w:rsidR="00E16425" w:rsidRPr="00CB05A8">
        <w:rPr>
          <w:iCs/>
        </w:rPr>
        <w:t>, 29 Cal.3d at p.</w:t>
      </w:r>
      <w:r w:rsidR="002140EA" w:rsidRPr="00CB05A8">
        <w:rPr>
          <w:iCs/>
        </w:rPr>
        <w:t> </w:t>
      </w:r>
      <w:r w:rsidR="00E16425" w:rsidRPr="00CB05A8">
        <w:rPr>
          <w:iCs/>
        </w:rPr>
        <w:t>581</w:t>
      </w:r>
      <w:r w:rsidRPr="00CB05A8">
        <w:rPr>
          <w:iCs/>
        </w:rPr>
        <w:t xml:space="preserve">.)  </w:t>
      </w:r>
      <w:r w:rsidR="0033330F">
        <w:rPr>
          <w:iCs/>
        </w:rPr>
        <w:t>Although</w:t>
      </w:r>
      <w:r w:rsidR="009D4A81">
        <w:rPr>
          <w:iCs/>
        </w:rPr>
        <w:t xml:space="preserve"> a lengthy </w:t>
      </w:r>
      <w:r w:rsidR="00FA7E69">
        <w:rPr>
          <w:iCs/>
        </w:rPr>
        <w:t>passage of time between the crime</w:t>
      </w:r>
      <w:r w:rsidR="00F9228F">
        <w:rPr>
          <w:iCs/>
        </w:rPr>
        <w:t xml:space="preserve"> and trial </w:t>
      </w:r>
      <w:r w:rsidR="006D108F">
        <w:rPr>
          <w:iCs/>
        </w:rPr>
        <w:t>“may be an efficacious antidote to publicity in me</w:t>
      </w:r>
      <w:r w:rsidR="00FA7E69">
        <w:rPr>
          <w:iCs/>
        </w:rPr>
        <w:t>di</w:t>
      </w:r>
      <w:r w:rsidR="006D108F">
        <w:rPr>
          <w:iCs/>
        </w:rPr>
        <w:t>um-size and large cities</w:t>
      </w:r>
      <w:r w:rsidR="00AC1257">
        <w:rPr>
          <w:iCs/>
        </w:rPr>
        <w:t>,</w:t>
      </w:r>
      <w:r w:rsidR="00BC03D7">
        <w:rPr>
          <w:iCs/>
        </w:rPr>
        <w:t>”</w:t>
      </w:r>
      <w:r w:rsidR="00AC1257">
        <w:rPr>
          <w:iCs/>
        </w:rPr>
        <w:t xml:space="preserve"> </w:t>
      </w:r>
      <w:r w:rsidR="002B0B15">
        <w:rPr>
          <w:iCs/>
        </w:rPr>
        <w:t xml:space="preserve">the </w:t>
      </w:r>
      <w:r w:rsidR="00BC03D7">
        <w:rPr>
          <w:iCs/>
        </w:rPr>
        <w:t>delay may be less effective</w:t>
      </w:r>
      <w:r w:rsidR="002B0B15">
        <w:rPr>
          <w:iCs/>
        </w:rPr>
        <w:t xml:space="preserve"> in a small community</w:t>
      </w:r>
      <w:r w:rsidR="00BC03D7">
        <w:rPr>
          <w:iCs/>
        </w:rPr>
        <w:t>.  (</w:t>
      </w:r>
      <w:r w:rsidR="00BC03D7">
        <w:rPr>
          <w:i/>
        </w:rPr>
        <w:t>Maine</w:t>
      </w:r>
      <w:r w:rsidR="00BC03D7">
        <w:rPr>
          <w:iCs/>
        </w:rPr>
        <w:t xml:space="preserve">, </w:t>
      </w:r>
      <w:r w:rsidR="00BC03D7">
        <w:rPr>
          <w:i/>
        </w:rPr>
        <w:t>supra</w:t>
      </w:r>
      <w:r w:rsidR="00BC03D7">
        <w:rPr>
          <w:iCs/>
        </w:rPr>
        <w:t xml:space="preserve">, 68 Cal.2d at p. </w:t>
      </w:r>
      <w:r w:rsidR="00725119">
        <w:rPr>
          <w:iCs/>
        </w:rPr>
        <w:t>387</w:t>
      </w:r>
      <w:r w:rsidR="006C7E05">
        <w:rPr>
          <w:iCs/>
        </w:rPr>
        <w:t xml:space="preserve">.)  </w:t>
      </w:r>
      <w:r w:rsidR="004F7418">
        <w:rPr>
          <w:iCs/>
        </w:rPr>
        <w:t>“The larger the local population, the more</w:t>
      </w:r>
      <w:r w:rsidR="00DC5C24">
        <w:rPr>
          <w:iCs/>
        </w:rPr>
        <w:t xml:space="preserve"> </w:t>
      </w:r>
      <w:r w:rsidR="004F7418">
        <w:rPr>
          <w:iCs/>
        </w:rPr>
        <w:t>likely it is that preconceptions about the case have not become imbedded in the public consciousness.”  (</w:t>
      </w:r>
      <w:r w:rsidR="00D56944">
        <w:rPr>
          <w:i/>
        </w:rPr>
        <w:t xml:space="preserve">People v. Balderas </w:t>
      </w:r>
      <w:r w:rsidR="00D56944">
        <w:rPr>
          <w:iCs/>
        </w:rPr>
        <w:t>(1985) 41 Cal.3d 144, 178 (</w:t>
      </w:r>
      <w:r w:rsidR="00D56944">
        <w:rPr>
          <w:i/>
        </w:rPr>
        <w:t>Balderas</w:t>
      </w:r>
      <w:r w:rsidR="00D56944">
        <w:rPr>
          <w:iCs/>
        </w:rPr>
        <w:t>)</w:t>
      </w:r>
      <w:r w:rsidR="004F7418">
        <w:rPr>
          <w:iCs/>
        </w:rPr>
        <w:t>.)</w:t>
      </w:r>
      <w:r w:rsidR="004F7418">
        <w:rPr>
          <w:i/>
        </w:rPr>
        <w:t xml:space="preserve">  </w:t>
      </w:r>
      <w:r w:rsidR="00D943F5">
        <w:rPr>
          <w:iCs/>
        </w:rPr>
        <w:t xml:space="preserve">However, even </w:t>
      </w:r>
      <w:r w:rsidR="001C7120">
        <w:rPr>
          <w:iCs/>
        </w:rPr>
        <w:t>“</w:t>
      </w:r>
      <w:r w:rsidR="00D943F5">
        <w:rPr>
          <w:iCs/>
        </w:rPr>
        <w:t xml:space="preserve">a large city may . . . also </w:t>
      </w:r>
      <w:r w:rsidR="00FF7EEA">
        <w:rPr>
          <w:iCs/>
        </w:rPr>
        <w:t>become so hostile to a defendant as to make a fair trial unlikely.”  (</w:t>
      </w:r>
      <w:r w:rsidR="00BF4A97">
        <w:rPr>
          <w:i/>
        </w:rPr>
        <w:t>Maine</w:t>
      </w:r>
      <w:r w:rsidR="00BF4A97">
        <w:rPr>
          <w:iCs/>
        </w:rPr>
        <w:t>,</w:t>
      </w:r>
      <w:r w:rsidR="00FF7EEA">
        <w:rPr>
          <w:iCs/>
        </w:rPr>
        <w:t xml:space="preserve"> at p. 387, fn. 13.)</w:t>
      </w:r>
      <w:r w:rsidR="00424419">
        <w:rPr>
          <w:iCs/>
        </w:rPr>
        <w:t xml:space="preserve">  “In any event, population size alone is not determinative.”  (</w:t>
      </w:r>
      <w:r w:rsidR="00424419">
        <w:rPr>
          <w:i/>
        </w:rPr>
        <w:t>Fain v. Superior Court</w:t>
      </w:r>
      <w:r w:rsidR="00424419">
        <w:rPr>
          <w:iCs/>
        </w:rPr>
        <w:t xml:space="preserve"> (1970) 2 Cal.3d 46, 52, fn. 1.)</w:t>
      </w:r>
      <w:r w:rsidR="002B0B15">
        <w:rPr>
          <w:iCs/>
        </w:rPr>
        <w:t xml:space="preserve"> </w:t>
      </w:r>
      <w:r w:rsidR="00AC1257">
        <w:rPr>
          <w:iCs/>
        </w:rPr>
        <w:t xml:space="preserve"> </w:t>
      </w:r>
    </w:p>
    <w:p w14:paraId="1731C399" w14:textId="0FCDAAD1" w:rsidR="007B635C" w:rsidRPr="00CB05A8" w:rsidRDefault="00AD75AC" w:rsidP="00F105E8">
      <w:pPr>
        <w:tabs>
          <w:tab w:val="left" w:pos="1440"/>
        </w:tabs>
        <w:ind w:firstLine="720"/>
        <w:rPr>
          <w:iCs/>
          <w:color w:val="000000" w:themeColor="text1"/>
        </w:rPr>
      </w:pPr>
      <w:r w:rsidRPr="00CB05A8">
        <w:rPr>
          <w:iCs/>
        </w:rPr>
        <w:t>At the time of defendant’s initial motion for change of venue</w:t>
      </w:r>
      <w:r w:rsidR="00E16425" w:rsidRPr="00CB05A8">
        <w:rPr>
          <w:iCs/>
        </w:rPr>
        <w:t>, the population of Sonoma County was 421,500 and ranked 16</w:t>
      </w:r>
      <w:r w:rsidRPr="00CB05A8">
        <w:rPr>
          <w:iCs/>
        </w:rPr>
        <w:t>th</w:t>
      </w:r>
      <w:r w:rsidR="00E16425" w:rsidRPr="00CB05A8">
        <w:rPr>
          <w:iCs/>
        </w:rPr>
        <w:t xml:space="preserve"> of California’s 58 counties in population size.  </w:t>
      </w:r>
      <w:r w:rsidR="005452BB" w:rsidRPr="00CB05A8">
        <w:rPr>
          <w:iCs/>
        </w:rPr>
        <w:t xml:space="preserve">In </w:t>
      </w:r>
      <w:r w:rsidR="005452BB" w:rsidRPr="00CB05A8">
        <w:rPr>
          <w:i/>
          <w:iCs/>
        </w:rPr>
        <w:t>Coleman</w:t>
      </w:r>
      <w:r w:rsidR="005452BB" w:rsidRPr="00CB05A8">
        <w:rPr>
          <w:iCs/>
        </w:rPr>
        <w:t>, decided seven years before defendant’s trial commenced, we</w:t>
      </w:r>
      <w:r w:rsidR="00464C02" w:rsidRPr="00CB05A8">
        <w:rPr>
          <w:iCs/>
        </w:rPr>
        <w:t xml:space="preserve"> </w:t>
      </w:r>
      <w:r w:rsidR="005452BB" w:rsidRPr="00CB05A8">
        <w:rPr>
          <w:iCs/>
        </w:rPr>
        <w:t>concluded</w:t>
      </w:r>
      <w:r w:rsidR="00464C02" w:rsidRPr="00CB05A8">
        <w:rPr>
          <w:iCs/>
        </w:rPr>
        <w:t xml:space="preserve"> that Sonoma County’s size did not weigh in favor of a venue change. </w:t>
      </w:r>
      <w:r w:rsidR="00464C02" w:rsidRPr="00CB05A8">
        <w:rPr>
          <w:i/>
        </w:rPr>
        <w:t xml:space="preserve"> </w:t>
      </w:r>
      <w:r w:rsidR="00464C02" w:rsidRPr="00CB05A8">
        <w:t>(</w:t>
      </w:r>
      <w:r w:rsidR="00464C02" w:rsidRPr="00CB05A8">
        <w:rPr>
          <w:i/>
        </w:rPr>
        <w:t>Coleman</w:t>
      </w:r>
      <w:r w:rsidR="00464C02" w:rsidRPr="00CB05A8">
        <w:t xml:space="preserve">, </w:t>
      </w:r>
      <w:r w:rsidR="00ED32E6">
        <w:rPr>
          <w:i/>
          <w:iCs/>
        </w:rPr>
        <w:t>supra</w:t>
      </w:r>
      <w:r w:rsidR="00ED32E6">
        <w:t>, 48 Cal.3d</w:t>
      </w:r>
      <w:r w:rsidR="00ED32E6">
        <w:rPr>
          <w:i/>
          <w:iCs/>
        </w:rPr>
        <w:t xml:space="preserve"> </w:t>
      </w:r>
      <w:r w:rsidR="00464C02" w:rsidRPr="00CB05A8">
        <w:t xml:space="preserve">at p. 134 [Sonoma County, population approximately 300,000 in 1980].) </w:t>
      </w:r>
      <w:r w:rsidR="00464C02" w:rsidRPr="00CB05A8">
        <w:rPr>
          <w:i/>
        </w:rPr>
        <w:t xml:space="preserve"> </w:t>
      </w:r>
      <w:r w:rsidR="00A84371">
        <w:rPr>
          <w:iCs/>
        </w:rPr>
        <w:t>“Though not one of the state’s major population centers,” we noted, “the county is substantially larger than most of the counties from which this court has ordered venue changes.”  (</w:t>
      </w:r>
      <w:r w:rsidR="00A84371">
        <w:rPr>
          <w:i/>
        </w:rPr>
        <w:t>Ibid.</w:t>
      </w:r>
      <w:r w:rsidR="00A84371">
        <w:rPr>
          <w:iCs/>
        </w:rPr>
        <w:t>)</w:t>
      </w:r>
      <w:r w:rsidR="00A84371">
        <w:rPr>
          <w:i/>
        </w:rPr>
        <w:t xml:space="preserve">  </w:t>
      </w:r>
      <w:r w:rsidR="00A84371">
        <w:rPr>
          <w:iCs/>
        </w:rPr>
        <w:t>Indeed, w</w:t>
      </w:r>
      <w:r w:rsidR="00A84371" w:rsidRPr="00CB05A8">
        <w:rPr>
          <w:iCs/>
        </w:rPr>
        <w:t xml:space="preserve">e </w:t>
      </w:r>
      <w:r w:rsidR="00215440" w:rsidRPr="00CB05A8">
        <w:rPr>
          <w:iCs/>
        </w:rPr>
        <w:t xml:space="preserve">have upheld the denial of motions for change of venue in </w:t>
      </w:r>
      <w:r w:rsidR="00F80B63" w:rsidRPr="00CB05A8">
        <w:rPr>
          <w:iCs/>
        </w:rPr>
        <w:t xml:space="preserve">similar or </w:t>
      </w:r>
      <w:r w:rsidR="00215440" w:rsidRPr="00CB05A8">
        <w:rPr>
          <w:iCs/>
        </w:rPr>
        <w:t>smaller counties.  (</w:t>
      </w:r>
      <w:r w:rsidR="001418A5" w:rsidRPr="00CB05A8">
        <w:rPr>
          <w:iCs/>
        </w:rPr>
        <w:t>See, e</w:t>
      </w:r>
      <w:r w:rsidR="00215440" w:rsidRPr="00CB05A8">
        <w:rPr>
          <w:iCs/>
        </w:rPr>
        <w:t xml:space="preserve">.g., </w:t>
      </w:r>
      <w:r w:rsidR="00215440" w:rsidRPr="00CB05A8">
        <w:rPr>
          <w:i/>
          <w:iCs/>
        </w:rPr>
        <w:t xml:space="preserve">People v. Vieira </w:t>
      </w:r>
      <w:r w:rsidR="00215440" w:rsidRPr="00CB05A8">
        <w:rPr>
          <w:iCs/>
        </w:rPr>
        <w:t>(2005) 35</w:t>
      </w:r>
      <w:r w:rsidR="00643FA4">
        <w:rPr>
          <w:iCs/>
        </w:rPr>
        <w:t> </w:t>
      </w:r>
      <w:r w:rsidR="00215440" w:rsidRPr="00CB05A8">
        <w:rPr>
          <w:iCs/>
        </w:rPr>
        <w:t>Cal.4th 264, 280</w:t>
      </w:r>
      <w:r w:rsidR="00045720" w:rsidRPr="00CB05A8">
        <w:rPr>
          <w:iCs/>
        </w:rPr>
        <w:t>–</w:t>
      </w:r>
      <w:r w:rsidR="00215440" w:rsidRPr="00CB05A8">
        <w:rPr>
          <w:iCs/>
        </w:rPr>
        <w:t>283 [Stanislaus County, population</w:t>
      </w:r>
      <w:r w:rsidR="007431FA" w:rsidRPr="00CB05A8">
        <w:rPr>
          <w:iCs/>
        </w:rPr>
        <w:t xml:space="preserve"> approximately</w:t>
      </w:r>
      <w:r w:rsidR="00215440" w:rsidRPr="00CB05A8">
        <w:rPr>
          <w:iCs/>
        </w:rPr>
        <w:t xml:space="preserve"> 370,000</w:t>
      </w:r>
      <w:r w:rsidR="00131AA1" w:rsidRPr="00CB05A8">
        <w:rPr>
          <w:iCs/>
        </w:rPr>
        <w:t xml:space="preserve">]; </w:t>
      </w:r>
      <w:r w:rsidR="00215440" w:rsidRPr="00CB05A8">
        <w:rPr>
          <w:i/>
          <w:iCs/>
        </w:rPr>
        <w:t>P</w:t>
      </w:r>
      <w:r w:rsidR="003D3D26" w:rsidRPr="00CB05A8">
        <w:rPr>
          <w:i/>
          <w:iCs/>
        </w:rPr>
        <w:t xml:space="preserve">eople v. Weaver </w:t>
      </w:r>
      <w:r w:rsidR="003D3D26" w:rsidRPr="00CB05A8">
        <w:rPr>
          <w:iCs/>
        </w:rPr>
        <w:t xml:space="preserve">(2001) 26 Cal.4th 876, </w:t>
      </w:r>
      <w:r w:rsidR="00131AA1" w:rsidRPr="00CB05A8">
        <w:rPr>
          <w:iCs/>
        </w:rPr>
        <w:t xml:space="preserve">905 </w:t>
      </w:r>
      <w:r w:rsidR="003D3D26" w:rsidRPr="00CB05A8">
        <w:rPr>
          <w:iCs/>
        </w:rPr>
        <w:t>[</w:t>
      </w:r>
      <w:r w:rsidR="00131AA1" w:rsidRPr="00CB05A8">
        <w:rPr>
          <w:iCs/>
        </w:rPr>
        <w:t>Kern County, population approximately 450,000]</w:t>
      </w:r>
      <w:r w:rsidR="00426617">
        <w:rPr>
          <w:iCs/>
        </w:rPr>
        <w:t xml:space="preserve">; </w:t>
      </w:r>
      <w:r w:rsidR="00426617">
        <w:rPr>
          <w:i/>
        </w:rPr>
        <w:t>Balderas</w:t>
      </w:r>
      <w:r w:rsidR="00D56944">
        <w:rPr>
          <w:iCs/>
        </w:rPr>
        <w:t xml:space="preserve">, </w:t>
      </w:r>
      <w:r w:rsidR="00D56944">
        <w:rPr>
          <w:i/>
        </w:rPr>
        <w:t>supra</w:t>
      </w:r>
      <w:r w:rsidR="00D56944">
        <w:rPr>
          <w:iCs/>
        </w:rPr>
        <w:t>,</w:t>
      </w:r>
      <w:r w:rsidR="00D56944">
        <w:rPr>
          <w:i/>
        </w:rPr>
        <w:t xml:space="preserve"> </w:t>
      </w:r>
      <w:r w:rsidR="00426617">
        <w:rPr>
          <w:iCs/>
        </w:rPr>
        <w:t xml:space="preserve">41 Cal.3d </w:t>
      </w:r>
      <w:r w:rsidR="00D56944">
        <w:rPr>
          <w:iCs/>
        </w:rPr>
        <w:t>at pp.</w:t>
      </w:r>
      <w:r w:rsidR="00426617">
        <w:rPr>
          <w:iCs/>
        </w:rPr>
        <w:t xml:space="preserve"> </w:t>
      </w:r>
      <w:r w:rsidR="00AC3DC4">
        <w:rPr>
          <w:iCs/>
        </w:rPr>
        <w:t>178–179</w:t>
      </w:r>
      <w:r w:rsidR="00D56944">
        <w:rPr>
          <w:i/>
        </w:rPr>
        <w:t xml:space="preserve"> </w:t>
      </w:r>
      <w:r w:rsidR="00AC3DC4">
        <w:rPr>
          <w:iCs/>
        </w:rPr>
        <w:t>[“Cases in which venue changes were granted or ordered on review have usually involved counties with much smaller populations</w:t>
      </w:r>
      <w:r w:rsidR="003D6B13">
        <w:rPr>
          <w:iCs/>
        </w:rPr>
        <w:t xml:space="preserve">” than </w:t>
      </w:r>
      <w:r w:rsidR="001074BC">
        <w:rPr>
          <w:iCs/>
        </w:rPr>
        <w:t>approximately 400,000</w:t>
      </w:r>
      <w:r w:rsidR="00B24E00">
        <w:rPr>
          <w:iCs/>
        </w:rPr>
        <w:t>]</w:t>
      </w:r>
      <w:r w:rsidR="00215440" w:rsidRPr="00CB05A8">
        <w:t>.)</w:t>
      </w:r>
      <w:r w:rsidR="005452BB" w:rsidRPr="00CB05A8">
        <w:t xml:space="preserve">  </w:t>
      </w:r>
      <w:r w:rsidR="00DA75F3">
        <w:t xml:space="preserve">In </w:t>
      </w:r>
      <w:r w:rsidR="009F3FE7">
        <w:t>finding</w:t>
      </w:r>
      <w:r w:rsidR="00873C7E">
        <w:t xml:space="preserve"> that the size and nature of Sonoma County did not support of venue in this case</w:t>
      </w:r>
      <w:r w:rsidR="00DA75F3">
        <w:t>, the trial court</w:t>
      </w:r>
      <w:r w:rsidR="00873C7E">
        <w:t xml:space="preserve"> also </w:t>
      </w:r>
      <w:r w:rsidR="009B74FF">
        <w:t>determined that “this County cannot be categorized as rural.  It has as many suburban areas as rural communities.”</w:t>
      </w:r>
      <w:r w:rsidR="00DA75F3">
        <w:t xml:space="preserve"> </w:t>
      </w:r>
      <w:r w:rsidR="009B74FF">
        <w:t xml:space="preserve"> </w:t>
      </w:r>
      <w:r w:rsidR="005452BB" w:rsidRPr="00CB05A8">
        <w:t>Accordingly, this factor does not weigh in favor of a venue change</w:t>
      </w:r>
      <w:r w:rsidR="005452BB" w:rsidRPr="00CB05A8">
        <w:rPr>
          <w:color w:val="000000" w:themeColor="text1"/>
        </w:rPr>
        <w:t>.</w:t>
      </w:r>
      <w:r w:rsidR="00215440" w:rsidRPr="00CB05A8">
        <w:rPr>
          <w:color w:val="000000" w:themeColor="text1"/>
        </w:rPr>
        <w:t xml:space="preserve">  </w:t>
      </w:r>
    </w:p>
    <w:p w14:paraId="3C886FE5" w14:textId="56B66DDD" w:rsidR="001211AD" w:rsidRPr="00CB05A8" w:rsidRDefault="00DA4F23" w:rsidP="00F105E8">
      <w:pPr>
        <w:pStyle w:val="Heading5"/>
        <w:numPr>
          <w:ilvl w:val="0"/>
          <w:numId w:val="39"/>
        </w:numPr>
        <w:ind w:left="2448" w:hanging="432"/>
        <w:rPr>
          <w:iCs/>
        </w:rPr>
      </w:pPr>
      <w:bookmarkStart w:id="33" w:name="_Toc58918786"/>
      <w:r w:rsidRPr="00CB05A8">
        <w:t>D</w:t>
      </w:r>
      <w:r w:rsidR="007B635C" w:rsidRPr="00CB05A8">
        <w:t>efendant’s status in the community</w:t>
      </w:r>
      <w:bookmarkEnd w:id="33"/>
    </w:p>
    <w:p w14:paraId="36A6BECC" w14:textId="16649CA5" w:rsidR="009756D7" w:rsidRDefault="002812D5" w:rsidP="00F105E8">
      <w:pPr>
        <w:tabs>
          <w:tab w:val="left" w:pos="1440"/>
        </w:tabs>
        <w:ind w:firstLine="720"/>
      </w:pPr>
      <w:r w:rsidRPr="00CB05A8">
        <w:rPr>
          <w:iCs/>
        </w:rPr>
        <w:t xml:space="preserve">In evaluating </w:t>
      </w:r>
      <w:r w:rsidR="00D31923" w:rsidRPr="00CB05A8">
        <w:rPr>
          <w:iCs/>
        </w:rPr>
        <w:t>defendant’s status withi</w:t>
      </w:r>
      <w:r w:rsidR="00203A8C" w:rsidRPr="00CB05A8">
        <w:rPr>
          <w:iCs/>
        </w:rPr>
        <w:t>n</w:t>
      </w:r>
      <w:r w:rsidR="00D31923" w:rsidRPr="00CB05A8">
        <w:rPr>
          <w:iCs/>
        </w:rPr>
        <w:t xml:space="preserve"> the community</w:t>
      </w:r>
      <w:r w:rsidRPr="00CB05A8">
        <w:rPr>
          <w:iCs/>
        </w:rPr>
        <w:t>, courts consider “whether [he or she] was viewed by the press as an outsider, unknown in the community or associated with a group to which the community is likely to be hostile.”  (</w:t>
      </w:r>
      <w:r w:rsidRPr="00CB05A8">
        <w:rPr>
          <w:i/>
          <w:iCs/>
        </w:rPr>
        <w:t>Odle</w:t>
      </w:r>
      <w:r w:rsidR="00475564" w:rsidRPr="00CB05A8">
        <w:rPr>
          <w:iCs/>
        </w:rPr>
        <w:t xml:space="preserve">, </w:t>
      </w:r>
      <w:r w:rsidR="00475564" w:rsidRPr="00CB05A8">
        <w:rPr>
          <w:i/>
          <w:iCs/>
        </w:rPr>
        <w:t>supra</w:t>
      </w:r>
      <w:r w:rsidR="00475564" w:rsidRPr="00CB05A8">
        <w:rPr>
          <w:iCs/>
        </w:rPr>
        <w:t>,</w:t>
      </w:r>
      <w:r w:rsidRPr="00CB05A8">
        <w:rPr>
          <w:i/>
          <w:iCs/>
        </w:rPr>
        <w:t xml:space="preserve"> </w:t>
      </w:r>
      <w:r w:rsidRPr="00CB05A8">
        <w:rPr>
          <w:iCs/>
        </w:rPr>
        <w:t xml:space="preserve">32 Cal.3d </w:t>
      </w:r>
      <w:r w:rsidR="00475564" w:rsidRPr="00CB05A8">
        <w:rPr>
          <w:iCs/>
        </w:rPr>
        <w:t>at p.</w:t>
      </w:r>
      <w:r w:rsidRPr="00CB05A8">
        <w:rPr>
          <w:iCs/>
        </w:rPr>
        <w:t xml:space="preserve"> 940.)  </w:t>
      </w:r>
      <w:r w:rsidR="006E2690">
        <w:rPr>
          <w:iCs/>
        </w:rPr>
        <w:t>Based on our</w:t>
      </w:r>
      <w:r w:rsidR="0008455D">
        <w:rPr>
          <w:iCs/>
        </w:rPr>
        <w:t xml:space="preserve"> review of the articles attached </w:t>
      </w:r>
      <w:r w:rsidR="006E2690">
        <w:rPr>
          <w:iCs/>
        </w:rPr>
        <w:t>to defendant’s first</w:t>
      </w:r>
      <w:r w:rsidR="005D0A17">
        <w:rPr>
          <w:iCs/>
        </w:rPr>
        <w:t xml:space="preserve"> change of venue</w:t>
      </w:r>
      <w:r w:rsidR="006E2690">
        <w:rPr>
          <w:iCs/>
        </w:rPr>
        <w:t xml:space="preserve"> motion, </w:t>
      </w:r>
      <w:r w:rsidR="0008455D">
        <w:rPr>
          <w:iCs/>
        </w:rPr>
        <w:t>d</w:t>
      </w:r>
      <w:r w:rsidR="00713060">
        <w:rPr>
          <w:iCs/>
        </w:rPr>
        <w:t>efendant’s claim that the press treated him as an “outsider”</w:t>
      </w:r>
      <w:r w:rsidR="00C70E30">
        <w:rPr>
          <w:iCs/>
        </w:rPr>
        <w:t xml:space="preserve"> is unsupported.</w:t>
      </w:r>
      <w:r w:rsidR="00713060">
        <w:rPr>
          <w:iCs/>
        </w:rPr>
        <w:t xml:space="preserve"> </w:t>
      </w:r>
      <w:r w:rsidR="0008455D">
        <w:rPr>
          <w:iCs/>
        </w:rPr>
        <w:t xml:space="preserve"> Moreover,</w:t>
      </w:r>
      <w:r w:rsidR="00791D26" w:rsidRPr="00CB05A8">
        <w:rPr>
          <w:iCs/>
        </w:rPr>
        <w:t xml:space="preserve"> a</w:t>
      </w:r>
      <w:r w:rsidR="00826ACB" w:rsidRPr="00CB05A8">
        <w:rPr>
          <w:iCs/>
        </w:rPr>
        <w:t xml:space="preserve">lthough </w:t>
      </w:r>
      <w:r w:rsidR="00791D26" w:rsidRPr="00CB05A8">
        <w:rPr>
          <w:iCs/>
        </w:rPr>
        <w:t xml:space="preserve">defendant was </w:t>
      </w:r>
      <w:r w:rsidR="00826ACB" w:rsidRPr="00CB05A8">
        <w:rPr>
          <w:iCs/>
        </w:rPr>
        <w:t xml:space="preserve">not from Sonoma County, </w:t>
      </w:r>
      <w:r w:rsidR="003D48B0" w:rsidRPr="00CB05A8">
        <w:rPr>
          <w:iCs/>
        </w:rPr>
        <w:t xml:space="preserve">as a </w:t>
      </w:r>
      <w:r w:rsidR="00FC48E1" w:rsidRPr="00CB05A8">
        <w:rPr>
          <w:iCs/>
        </w:rPr>
        <w:t xml:space="preserve">white </w:t>
      </w:r>
      <w:r w:rsidR="003D48B0" w:rsidRPr="00CB05A8">
        <w:rPr>
          <w:iCs/>
        </w:rPr>
        <w:t xml:space="preserve">male </w:t>
      </w:r>
      <w:r w:rsidR="00791D26" w:rsidRPr="00CB05A8">
        <w:rPr>
          <w:iCs/>
        </w:rPr>
        <w:t>he</w:t>
      </w:r>
      <w:r w:rsidR="00826ACB" w:rsidRPr="00CB05A8">
        <w:rPr>
          <w:iCs/>
        </w:rPr>
        <w:t xml:space="preserve"> was not an outsider “in any ethnic, racial, or gender sense.”  (</w:t>
      </w:r>
      <w:r w:rsidR="00826ACB" w:rsidRPr="00CB05A8">
        <w:rPr>
          <w:i/>
        </w:rPr>
        <w:t>Rountree</w:t>
      </w:r>
      <w:r w:rsidR="00826ACB" w:rsidRPr="00CB05A8">
        <w:rPr>
          <w:iCs/>
        </w:rPr>
        <w:t xml:space="preserve">, </w:t>
      </w:r>
      <w:r w:rsidR="00826ACB" w:rsidRPr="00CB05A8">
        <w:rPr>
          <w:i/>
        </w:rPr>
        <w:t>supra</w:t>
      </w:r>
      <w:r w:rsidR="00826ACB" w:rsidRPr="00CB05A8">
        <w:rPr>
          <w:iCs/>
        </w:rPr>
        <w:t>, 56 Cal.4th at p. 839</w:t>
      </w:r>
      <w:r w:rsidR="00CA2D47" w:rsidRPr="00CB05A8">
        <w:rPr>
          <w:iCs/>
        </w:rPr>
        <w:t xml:space="preserve">; see </w:t>
      </w:r>
      <w:r w:rsidR="004E3B33" w:rsidRPr="00CB05A8">
        <w:rPr>
          <w:i/>
          <w:iCs/>
        </w:rPr>
        <w:t>Leonard</w:t>
      </w:r>
      <w:r w:rsidR="004E3B33" w:rsidRPr="00CB05A8">
        <w:rPr>
          <w:iCs/>
        </w:rPr>
        <w:t xml:space="preserve">, </w:t>
      </w:r>
      <w:r w:rsidR="004E3B33" w:rsidRPr="00CB05A8">
        <w:rPr>
          <w:i/>
          <w:iCs/>
        </w:rPr>
        <w:t>supra</w:t>
      </w:r>
      <w:r w:rsidR="004E3B33" w:rsidRPr="00CB05A8">
        <w:rPr>
          <w:iCs/>
        </w:rPr>
        <w:t>, 40 Cal.4th at p. 1397</w:t>
      </w:r>
      <w:r w:rsidR="00346977" w:rsidRPr="00CB05A8">
        <w:rPr>
          <w:iCs/>
        </w:rPr>
        <w:t xml:space="preserve">; </w:t>
      </w:r>
      <w:r w:rsidR="00EA7501" w:rsidRPr="00CB05A8">
        <w:rPr>
          <w:i/>
          <w:iCs/>
        </w:rPr>
        <w:t>McCurdy</w:t>
      </w:r>
      <w:r w:rsidR="00EA7501" w:rsidRPr="00CB05A8">
        <w:rPr>
          <w:iCs/>
        </w:rPr>
        <w:t xml:space="preserve">, </w:t>
      </w:r>
      <w:r w:rsidR="00EA7501" w:rsidRPr="00CB05A8">
        <w:rPr>
          <w:i/>
          <w:iCs/>
        </w:rPr>
        <w:t>supra</w:t>
      </w:r>
      <w:r w:rsidR="00EA7501" w:rsidRPr="00CB05A8">
        <w:rPr>
          <w:iCs/>
        </w:rPr>
        <w:t xml:space="preserve">, </w:t>
      </w:r>
      <w:r w:rsidR="008359E1" w:rsidRPr="00CB05A8">
        <w:rPr>
          <w:iCs/>
        </w:rPr>
        <w:t>5</w:t>
      </w:r>
      <w:r w:rsidR="00EA7501" w:rsidRPr="00CB05A8">
        <w:rPr>
          <w:iCs/>
        </w:rPr>
        <w:t>9</w:t>
      </w:r>
      <w:r w:rsidR="00643FA4">
        <w:rPr>
          <w:iCs/>
        </w:rPr>
        <w:t> </w:t>
      </w:r>
      <w:r w:rsidR="00EA7501" w:rsidRPr="00CB05A8">
        <w:rPr>
          <w:iCs/>
        </w:rPr>
        <w:t>Cal.4th at p. 1079</w:t>
      </w:r>
      <w:r w:rsidR="004E3B33" w:rsidRPr="00CB05A8">
        <w:rPr>
          <w:iCs/>
        </w:rPr>
        <w:t xml:space="preserve">.) </w:t>
      </w:r>
      <w:r w:rsidR="004E3B33" w:rsidRPr="00CB05A8">
        <w:rPr>
          <w:i/>
          <w:iCs/>
        </w:rPr>
        <w:t xml:space="preserve"> </w:t>
      </w:r>
      <w:r w:rsidR="00D24511">
        <w:t>And, given Sonoma County’s</w:t>
      </w:r>
      <w:r w:rsidR="00C73EC4">
        <w:t xml:space="preserve"> substantial population, </w:t>
      </w:r>
      <w:r w:rsidR="001F67D4">
        <w:t xml:space="preserve">the fact that defendant was not from that county is </w:t>
      </w:r>
      <w:r w:rsidR="000A1661">
        <w:t xml:space="preserve">of less significance.  </w:t>
      </w:r>
      <w:r w:rsidR="000F7FE4">
        <w:t xml:space="preserve">In </w:t>
      </w:r>
      <w:r w:rsidR="000F7FE4">
        <w:rPr>
          <w:i/>
          <w:iCs/>
        </w:rPr>
        <w:t>Col</w:t>
      </w:r>
      <w:r w:rsidR="00796475">
        <w:rPr>
          <w:i/>
          <w:iCs/>
        </w:rPr>
        <w:t>eman</w:t>
      </w:r>
      <w:r w:rsidR="00796475">
        <w:t xml:space="preserve">, the defendant was black, </w:t>
      </w:r>
      <w:r w:rsidR="00A7062A">
        <w:t xml:space="preserve">an ex-convict who had just been released from prison, and </w:t>
      </w:r>
      <w:r w:rsidR="004012D8">
        <w:t xml:space="preserve">not from Sonoma County, </w:t>
      </w:r>
      <w:r w:rsidR="00A7062A">
        <w:t xml:space="preserve">where the </w:t>
      </w:r>
      <w:r w:rsidR="00C75AD3">
        <w:t>case was tried</w:t>
      </w:r>
      <w:r w:rsidR="00A7062A">
        <w:t>.  (</w:t>
      </w:r>
      <w:r w:rsidR="00A7062A">
        <w:rPr>
          <w:i/>
          <w:iCs/>
        </w:rPr>
        <w:t>Coleman</w:t>
      </w:r>
      <w:r w:rsidR="00A7062A">
        <w:t xml:space="preserve">, </w:t>
      </w:r>
      <w:r w:rsidR="00A7062A">
        <w:rPr>
          <w:i/>
          <w:iCs/>
        </w:rPr>
        <w:t>supra</w:t>
      </w:r>
      <w:r w:rsidR="00A7062A">
        <w:t>, 48 Cal.3d at p. 134</w:t>
      </w:r>
      <w:r w:rsidR="00C75AD3">
        <w:t>.)</w:t>
      </w:r>
      <w:r w:rsidR="004012D8">
        <w:t xml:space="preserve"> </w:t>
      </w:r>
      <w:r w:rsidR="00796475">
        <w:rPr>
          <w:i/>
          <w:iCs/>
        </w:rPr>
        <w:t xml:space="preserve"> </w:t>
      </w:r>
      <w:r w:rsidR="00C75AD3">
        <w:t>We held that “[t]he lack</w:t>
      </w:r>
      <w:r w:rsidR="0019076C">
        <w:t xml:space="preserve"> </w:t>
      </w:r>
      <w:r w:rsidR="00C75AD3">
        <w:t xml:space="preserve">of county residents personally acquainted with </w:t>
      </w:r>
      <w:r w:rsidR="0019076C">
        <w:t>defendant, however, seems of little weight since the county is of such size that most of its inhabitants would probably not expect to be acquainted with more than a small proportion of their fellow citizens.”  (</w:t>
      </w:r>
      <w:r w:rsidR="0019076C">
        <w:rPr>
          <w:i/>
          <w:iCs/>
        </w:rPr>
        <w:t>Ibid.</w:t>
      </w:r>
      <w:r w:rsidR="0019076C">
        <w:t>)</w:t>
      </w:r>
      <w:r w:rsidR="0019076C">
        <w:rPr>
          <w:i/>
          <w:iCs/>
        </w:rPr>
        <w:t xml:space="preserve">  </w:t>
      </w:r>
    </w:p>
    <w:p w14:paraId="05EA802B" w14:textId="4A4C7EA8" w:rsidR="002812D5" w:rsidRPr="00CB05A8" w:rsidRDefault="00986733" w:rsidP="00F105E8">
      <w:pPr>
        <w:tabs>
          <w:tab w:val="left" w:pos="1440"/>
        </w:tabs>
        <w:ind w:firstLine="720"/>
        <w:rPr>
          <w:iCs/>
        </w:rPr>
      </w:pPr>
      <w:r w:rsidRPr="00CB05A8">
        <w:rPr>
          <w:iCs/>
        </w:rPr>
        <w:t>Additionally,</w:t>
      </w:r>
      <w:r w:rsidR="00CB5347" w:rsidRPr="00CB05A8">
        <w:rPr>
          <w:iCs/>
        </w:rPr>
        <w:t xml:space="preserve"> </w:t>
      </w:r>
      <w:r w:rsidR="00756999" w:rsidRPr="00CB05A8">
        <w:rPr>
          <w:iCs/>
        </w:rPr>
        <w:t>any disdain for defendant as</w:t>
      </w:r>
      <w:r w:rsidR="005A319E" w:rsidRPr="00CB05A8">
        <w:rPr>
          <w:iCs/>
        </w:rPr>
        <w:t xml:space="preserve"> a </w:t>
      </w:r>
      <w:r w:rsidR="00756999" w:rsidRPr="00CB05A8">
        <w:rPr>
          <w:iCs/>
        </w:rPr>
        <w:t>“</w:t>
      </w:r>
      <w:r w:rsidR="005A319E" w:rsidRPr="00CB05A8">
        <w:rPr>
          <w:iCs/>
        </w:rPr>
        <w:t>career criminal</w:t>
      </w:r>
      <w:r w:rsidR="00756999" w:rsidRPr="00CB05A8">
        <w:rPr>
          <w:iCs/>
        </w:rPr>
        <w:t>,”</w:t>
      </w:r>
      <w:r w:rsidR="005A319E" w:rsidRPr="00CB05A8">
        <w:rPr>
          <w:iCs/>
        </w:rPr>
        <w:t xml:space="preserve"> </w:t>
      </w:r>
      <w:r w:rsidR="00756999" w:rsidRPr="00CB05A8">
        <w:rPr>
          <w:iCs/>
        </w:rPr>
        <w:t>“</w:t>
      </w:r>
      <w:r w:rsidR="005A319E" w:rsidRPr="00CB05A8">
        <w:rPr>
          <w:iCs/>
        </w:rPr>
        <w:t>recent parolee,</w:t>
      </w:r>
      <w:r w:rsidR="00756999" w:rsidRPr="00CB05A8">
        <w:rPr>
          <w:iCs/>
        </w:rPr>
        <w:t>” or alleged member of the Aryan Brotherhood</w:t>
      </w:r>
      <w:r w:rsidR="00B23A67" w:rsidRPr="00CB05A8">
        <w:rPr>
          <w:iCs/>
        </w:rPr>
        <w:t xml:space="preserve"> </w:t>
      </w:r>
      <w:r w:rsidR="008E0487" w:rsidRPr="00CB05A8">
        <w:rPr>
          <w:iCs/>
        </w:rPr>
        <w:t>was not specific to</w:t>
      </w:r>
      <w:r w:rsidR="005A319E" w:rsidRPr="00CB05A8">
        <w:rPr>
          <w:iCs/>
        </w:rPr>
        <w:t xml:space="preserve"> Sonoma County.  </w:t>
      </w:r>
      <w:r w:rsidR="00C50A7A">
        <w:rPr>
          <w:iCs/>
        </w:rPr>
        <w:t xml:space="preserve">Here, </w:t>
      </w:r>
      <w:r w:rsidR="00B02467">
        <w:t>“ ‘</w:t>
      </w:r>
      <w:r w:rsidR="00C50A7A">
        <w:t>t</w:t>
      </w:r>
      <w:r w:rsidR="00BA6AFA">
        <w:t>here</w:t>
      </w:r>
      <w:r w:rsidR="00B02467">
        <w:t xml:space="preserve"> was no evidence of </w:t>
      </w:r>
      <w:r w:rsidR="00B02467" w:rsidRPr="00E7148C">
        <w:rPr>
          <w:i/>
          <w:iCs/>
        </w:rPr>
        <w:t>unusual local hostility</w:t>
      </w:r>
      <w:r w:rsidR="00B02467">
        <w:t xml:space="preserve"> to such persons, such that a change of venue would likely produce a less biased panel.</w:t>
      </w:r>
      <w:r w:rsidR="00606D28">
        <w:t>’ ”  (</w:t>
      </w:r>
      <w:r w:rsidR="00606D28">
        <w:rPr>
          <w:i/>
          <w:iCs/>
        </w:rPr>
        <w:t>Panah</w:t>
      </w:r>
      <w:r w:rsidR="00606D28">
        <w:t xml:space="preserve">, </w:t>
      </w:r>
      <w:r w:rsidR="00606D28">
        <w:rPr>
          <w:i/>
          <w:iCs/>
        </w:rPr>
        <w:t>supra</w:t>
      </w:r>
      <w:r w:rsidR="00606D28">
        <w:t xml:space="preserve">, </w:t>
      </w:r>
      <w:r w:rsidR="00E7148C">
        <w:t>35 Cal.4th at p.</w:t>
      </w:r>
      <w:r w:rsidR="00643FA4">
        <w:t> </w:t>
      </w:r>
      <w:r w:rsidR="00E7148C">
        <w:t>449, italics added</w:t>
      </w:r>
      <w:r w:rsidR="00067B46">
        <w:t xml:space="preserve">; </w:t>
      </w:r>
      <w:r w:rsidR="00646C61">
        <w:t xml:space="preserve">see </w:t>
      </w:r>
      <w:r w:rsidR="00067B46">
        <w:rPr>
          <w:i/>
          <w:iCs/>
        </w:rPr>
        <w:t>Balderas</w:t>
      </w:r>
      <w:r w:rsidR="00067B46">
        <w:t xml:space="preserve">, </w:t>
      </w:r>
      <w:r w:rsidR="00067B46">
        <w:rPr>
          <w:i/>
          <w:iCs/>
        </w:rPr>
        <w:t>supra</w:t>
      </w:r>
      <w:r w:rsidR="00067B46">
        <w:t>, 41 Cal.3d at p. 179 [</w:t>
      </w:r>
      <w:r w:rsidR="00442BA6">
        <w:t>n</w:t>
      </w:r>
      <w:r w:rsidR="00067B46">
        <w:t xml:space="preserve">o evidence of </w:t>
      </w:r>
      <w:r w:rsidR="00442BA6">
        <w:t>“</w:t>
      </w:r>
      <w:r w:rsidR="00067B46">
        <w:t>unusual local hostility</w:t>
      </w:r>
      <w:r w:rsidR="00442BA6">
        <w:t>”</w:t>
      </w:r>
      <w:r w:rsidR="00067B46">
        <w:t xml:space="preserve"> to </w:t>
      </w:r>
      <w:r w:rsidR="00216226">
        <w:t>Mexican-Americans or chronic drug abusers</w:t>
      </w:r>
      <w:r w:rsidR="000202F9">
        <w:t xml:space="preserve">, </w:t>
      </w:r>
      <w:r w:rsidR="00D25113">
        <w:t xml:space="preserve">or any other associations </w:t>
      </w:r>
      <w:r w:rsidR="00646C61">
        <w:t>that</w:t>
      </w:r>
      <w:r w:rsidR="00D25113">
        <w:t xml:space="preserve"> might arouse hostility specific to </w:t>
      </w:r>
      <w:r w:rsidR="00CE535A">
        <w:t>local community</w:t>
      </w:r>
      <w:r w:rsidR="00442BA6">
        <w:t>]</w:t>
      </w:r>
      <w:r w:rsidR="00C16CFE">
        <w:t xml:space="preserve">; see also </w:t>
      </w:r>
      <w:r w:rsidR="00CA6C82">
        <w:rPr>
          <w:i/>
          <w:iCs/>
        </w:rPr>
        <w:t>Corona v. Superior Court</w:t>
      </w:r>
      <w:r w:rsidR="00CA6C82">
        <w:t xml:space="preserve"> (1972) 24 Cal.App.3d 872, 877</w:t>
      </w:r>
      <w:r w:rsidR="00E7148C">
        <w:t>.)</w:t>
      </w:r>
      <w:r w:rsidR="00606D28">
        <w:rPr>
          <w:i/>
          <w:iCs/>
        </w:rPr>
        <w:t xml:space="preserve"> </w:t>
      </w:r>
      <w:r w:rsidR="00E7148C">
        <w:rPr>
          <w:i/>
          <w:iCs/>
        </w:rPr>
        <w:t xml:space="preserve"> </w:t>
      </w:r>
      <w:r w:rsidR="0067426B">
        <w:t>W</w:t>
      </w:r>
      <w:r w:rsidR="005E49F1" w:rsidRPr="00CB05A8">
        <w:t>e conclude that defendant’s status in the community does not weigh in favor of a change of venue.</w:t>
      </w:r>
    </w:p>
    <w:p w14:paraId="612F9943" w14:textId="793CAD3D" w:rsidR="00DA4F23" w:rsidRPr="00CB05A8" w:rsidRDefault="000F1AB5" w:rsidP="00F105E8">
      <w:pPr>
        <w:pStyle w:val="Heading5"/>
        <w:numPr>
          <w:ilvl w:val="0"/>
          <w:numId w:val="39"/>
        </w:numPr>
        <w:ind w:left="2448" w:hanging="432"/>
        <w:rPr>
          <w:iCs/>
        </w:rPr>
      </w:pPr>
      <w:bookmarkStart w:id="34" w:name="_Toc58918787"/>
      <w:r w:rsidRPr="00CB05A8">
        <w:t>T</w:t>
      </w:r>
      <w:r w:rsidR="007B635C" w:rsidRPr="00CB05A8">
        <w:t>he victim’s status in the community</w:t>
      </w:r>
      <w:bookmarkEnd w:id="34"/>
      <w:r w:rsidRPr="00CB05A8">
        <w:rPr>
          <w:iCs/>
        </w:rPr>
        <w:t xml:space="preserve"> </w:t>
      </w:r>
    </w:p>
    <w:p w14:paraId="7B5ED7C6" w14:textId="1F4FD5F6" w:rsidR="00BB5E42" w:rsidRPr="00CB05A8" w:rsidRDefault="007125BC" w:rsidP="00F105E8">
      <w:pPr>
        <w:tabs>
          <w:tab w:val="left" w:pos="1440"/>
        </w:tabs>
        <w:ind w:firstLine="720"/>
        <w:rPr>
          <w:iCs/>
        </w:rPr>
      </w:pPr>
      <w:r w:rsidRPr="00CB05A8">
        <w:rPr>
          <w:iCs/>
        </w:rPr>
        <w:t xml:space="preserve">The community status of the victim </w:t>
      </w:r>
      <w:r w:rsidR="001E28B0" w:rsidRPr="00CB05A8">
        <w:rPr>
          <w:iCs/>
        </w:rPr>
        <w:t xml:space="preserve">generally </w:t>
      </w:r>
      <w:r w:rsidR="003D5124" w:rsidRPr="00CB05A8">
        <w:rPr>
          <w:iCs/>
        </w:rPr>
        <w:t xml:space="preserve">focuses on </w:t>
      </w:r>
      <w:r w:rsidR="0001010C" w:rsidRPr="00CB05A8">
        <w:rPr>
          <w:iCs/>
        </w:rPr>
        <w:t>“</w:t>
      </w:r>
      <w:r w:rsidRPr="00CB05A8">
        <w:rPr>
          <w:iCs/>
        </w:rPr>
        <w:t xml:space="preserve">whether the victim had any prominence in the community </w:t>
      </w:r>
      <w:r w:rsidRPr="00CB05A8">
        <w:rPr>
          <w:i/>
          <w:iCs/>
        </w:rPr>
        <w:t>before</w:t>
      </w:r>
      <w:r w:rsidRPr="00CB05A8">
        <w:rPr>
          <w:iCs/>
        </w:rPr>
        <w:t xml:space="preserve"> the crimes</w:t>
      </w:r>
      <w:r w:rsidR="00491E5E" w:rsidRPr="00CB05A8">
        <w:rPr>
          <w:iCs/>
        </w:rPr>
        <w:t>.</w:t>
      </w:r>
      <w:r w:rsidR="0001010C" w:rsidRPr="00CB05A8">
        <w:rPr>
          <w:iCs/>
        </w:rPr>
        <w:t>”</w:t>
      </w:r>
      <w:r w:rsidR="00491E5E" w:rsidRPr="00CB05A8">
        <w:rPr>
          <w:iCs/>
        </w:rPr>
        <w:t xml:space="preserve">  </w:t>
      </w:r>
      <w:r w:rsidR="00215440" w:rsidRPr="00CB05A8">
        <w:rPr>
          <w:iCs/>
        </w:rPr>
        <w:t>(</w:t>
      </w:r>
      <w:r w:rsidR="00C83305" w:rsidRPr="00CB05A8">
        <w:rPr>
          <w:i/>
          <w:iCs/>
        </w:rPr>
        <w:t>McCurdy</w:t>
      </w:r>
      <w:r w:rsidR="00C83305" w:rsidRPr="00CB05A8">
        <w:rPr>
          <w:iCs/>
        </w:rPr>
        <w:t xml:space="preserve">, </w:t>
      </w:r>
      <w:r w:rsidR="00C83305" w:rsidRPr="00CB05A8">
        <w:rPr>
          <w:i/>
          <w:iCs/>
        </w:rPr>
        <w:t>supra</w:t>
      </w:r>
      <w:r w:rsidR="00C83305" w:rsidRPr="00CB05A8">
        <w:rPr>
          <w:iCs/>
        </w:rPr>
        <w:t xml:space="preserve">, </w:t>
      </w:r>
      <w:r w:rsidR="008359E1" w:rsidRPr="00CB05A8">
        <w:rPr>
          <w:iCs/>
        </w:rPr>
        <w:t>5</w:t>
      </w:r>
      <w:r w:rsidR="00C83305" w:rsidRPr="00CB05A8">
        <w:rPr>
          <w:iCs/>
        </w:rPr>
        <w:t>9 Cal.4th at p. 1079</w:t>
      </w:r>
      <w:r w:rsidR="0001010C" w:rsidRPr="00CB05A8">
        <w:rPr>
          <w:iCs/>
        </w:rPr>
        <w:t>, italics added</w:t>
      </w:r>
      <w:r w:rsidR="00C83305" w:rsidRPr="00CB05A8">
        <w:rPr>
          <w:iCs/>
        </w:rPr>
        <w:t xml:space="preserve">; </w:t>
      </w:r>
      <w:r w:rsidR="00646C61">
        <w:rPr>
          <w:iCs/>
        </w:rPr>
        <w:t xml:space="preserve">see </w:t>
      </w:r>
      <w:r w:rsidR="00215440" w:rsidRPr="00CB05A8">
        <w:rPr>
          <w:i/>
          <w:iCs/>
        </w:rPr>
        <w:t>Harris</w:t>
      </w:r>
      <w:r w:rsidR="001910D0" w:rsidRPr="00CB05A8">
        <w:rPr>
          <w:iCs/>
        </w:rPr>
        <w:t xml:space="preserve">, </w:t>
      </w:r>
      <w:r w:rsidR="001910D0" w:rsidRPr="00CB05A8">
        <w:rPr>
          <w:i/>
          <w:iCs/>
        </w:rPr>
        <w:t>supra</w:t>
      </w:r>
      <w:r w:rsidR="001910D0" w:rsidRPr="00CB05A8">
        <w:rPr>
          <w:iCs/>
        </w:rPr>
        <w:t>,</w:t>
      </w:r>
      <w:r w:rsidR="00215440" w:rsidRPr="00CB05A8">
        <w:t xml:space="preserve"> 57 Cal.4th </w:t>
      </w:r>
      <w:r w:rsidR="001910D0" w:rsidRPr="00CB05A8">
        <w:t>at p.</w:t>
      </w:r>
      <w:r w:rsidR="002140EA" w:rsidRPr="00CB05A8">
        <w:t> </w:t>
      </w:r>
      <w:r w:rsidR="00215440" w:rsidRPr="00CB05A8">
        <w:t>829 [prominence of the victim means “whether the victim was known to the public before the crime”].)</w:t>
      </w:r>
      <w:r w:rsidR="00491E5E" w:rsidRPr="00CB05A8">
        <w:rPr>
          <w:iCs/>
        </w:rPr>
        <w:t xml:space="preserve">  </w:t>
      </w:r>
      <w:r w:rsidR="00A87C0E">
        <w:rPr>
          <w:iCs/>
        </w:rPr>
        <w:t xml:space="preserve">Neither </w:t>
      </w:r>
      <w:r w:rsidR="00B61D25">
        <w:rPr>
          <w:iCs/>
        </w:rPr>
        <w:t xml:space="preserve">Deputy Trejo nor </w:t>
      </w:r>
      <w:r w:rsidR="00A87C0E">
        <w:rPr>
          <w:iCs/>
        </w:rPr>
        <w:t xml:space="preserve">the </w:t>
      </w:r>
      <w:r w:rsidR="00B61D25">
        <w:rPr>
          <w:iCs/>
        </w:rPr>
        <w:t>Cooper/King family were</w:t>
      </w:r>
      <w:r w:rsidR="00215440" w:rsidRPr="00CB05A8">
        <w:rPr>
          <w:iCs/>
        </w:rPr>
        <w:t xml:space="preserve"> known to the public before </w:t>
      </w:r>
      <w:r w:rsidR="00B61D25">
        <w:rPr>
          <w:iCs/>
        </w:rPr>
        <w:t>the offenses occurred</w:t>
      </w:r>
      <w:r w:rsidR="00215440" w:rsidRPr="00CB05A8">
        <w:rPr>
          <w:iCs/>
        </w:rPr>
        <w:t xml:space="preserve">.  </w:t>
      </w:r>
      <w:r w:rsidR="001806FC">
        <w:rPr>
          <w:iCs/>
        </w:rPr>
        <w:t>W</w:t>
      </w:r>
      <w:r w:rsidR="001E28B0" w:rsidRPr="00CB05A8">
        <w:rPr>
          <w:iCs/>
        </w:rPr>
        <w:t>e have</w:t>
      </w:r>
      <w:r w:rsidR="00857A71">
        <w:rPr>
          <w:iCs/>
        </w:rPr>
        <w:t>, however,</w:t>
      </w:r>
      <w:r w:rsidR="001E28B0" w:rsidRPr="00CB05A8">
        <w:rPr>
          <w:iCs/>
        </w:rPr>
        <w:t xml:space="preserve"> </w:t>
      </w:r>
      <w:r w:rsidR="00334499" w:rsidRPr="00CB05A8">
        <w:rPr>
          <w:iCs/>
        </w:rPr>
        <w:t xml:space="preserve">considered the posthumous status of a slain </w:t>
      </w:r>
      <w:r w:rsidR="00371A37" w:rsidRPr="00CB05A8">
        <w:rPr>
          <w:iCs/>
        </w:rPr>
        <w:t xml:space="preserve">police </w:t>
      </w:r>
      <w:r w:rsidR="00334499" w:rsidRPr="00CB05A8">
        <w:rPr>
          <w:iCs/>
        </w:rPr>
        <w:t>officer</w:t>
      </w:r>
      <w:r w:rsidR="00C50550" w:rsidRPr="00CB05A8">
        <w:rPr>
          <w:iCs/>
        </w:rPr>
        <w:t xml:space="preserve"> </w:t>
      </w:r>
      <w:r w:rsidR="00CA30EA" w:rsidRPr="00CB05A8">
        <w:rPr>
          <w:iCs/>
        </w:rPr>
        <w:t xml:space="preserve">when the </w:t>
      </w:r>
      <w:r w:rsidR="00C50550" w:rsidRPr="00CB05A8">
        <w:rPr>
          <w:iCs/>
        </w:rPr>
        <w:t xml:space="preserve">events and media coverage following the crimes </w:t>
      </w:r>
      <w:r w:rsidR="00255199" w:rsidRPr="00CB05A8">
        <w:rPr>
          <w:iCs/>
        </w:rPr>
        <w:t xml:space="preserve">made </w:t>
      </w:r>
      <w:r w:rsidR="00A56EEB" w:rsidRPr="00CB05A8">
        <w:rPr>
          <w:iCs/>
        </w:rPr>
        <w:t xml:space="preserve">the officer </w:t>
      </w:r>
      <w:r w:rsidR="00493670" w:rsidRPr="00CB05A8">
        <w:rPr>
          <w:iCs/>
        </w:rPr>
        <w:t xml:space="preserve">a </w:t>
      </w:r>
      <w:r w:rsidR="00A56EEB" w:rsidRPr="00CB05A8">
        <w:rPr>
          <w:iCs/>
        </w:rPr>
        <w:t>celebrity</w:t>
      </w:r>
      <w:r w:rsidR="00493670" w:rsidRPr="00CB05A8">
        <w:rPr>
          <w:iCs/>
        </w:rPr>
        <w:t xml:space="preserve"> after he was killed</w:t>
      </w:r>
      <w:r w:rsidR="00C50550" w:rsidRPr="00CB05A8">
        <w:rPr>
          <w:iCs/>
        </w:rPr>
        <w:t xml:space="preserve">.  </w:t>
      </w:r>
      <w:r w:rsidR="00215440" w:rsidRPr="00CB05A8">
        <w:rPr>
          <w:iCs/>
        </w:rPr>
        <w:t>(</w:t>
      </w:r>
      <w:r w:rsidR="00215440" w:rsidRPr="00CB05A8">
        <w:rPr>
          <w:i/>
          <w:iCs/>
        </w:rPr>
        <w:t>Odle</w:t>
      </w:r>
      <w:r w:rsidR="00215440" w:rsidRPr="00CB05A8">
        <w:rPr>
          <w:iCs/>
        </w:rPr>
        <w:t xml:space="preserve">, </w:t>
      </w:r>
      <w:r w:rsidR="00215440" w:rsidRPr="00CB05A8">
        <w:rPr>
          <w:i/>
          <w:iCs/>
        </w:rPr>
        <w:t>supra</w:t>
      </w:r>
      <w:r w:rsidR="00215440" w:rsidRPr="00CB05A8">
        <w:rPr>
          <w:iCs/>
        </w:rPr>
        <w:t>, 32 Cal.3d at p. 942.)</w:t>
      </w:r>
      <w:r w:rsidR="00642564">
        <w:rPr>
          <w:iCs/>
        </w:rPr>
        <w:t xml:space="preserve">  </w:t>
      </w:r>
      <w:r w:rsidR="00866ED2">
        <w:rPr>
          <w:iCs/>
        </w:rPr>
        <w:t>Numerous</w:t>
      </w:r>
      <w:r w:rsidR="00BA0FB1">
        <w:rPr>
          <w:iCs/>
        </w:rPr>
        <w:t xml:space="preserve"> articles </w:t>
      </w:r>
      <w:r w:rsidR="00F9500A">
        <w:rPr>
          <w:iCs/>
        </w:rPr>
        <w:t xml:space="preserve">portrayed Deputy Trejo </w:t>
      </w:r>
      <w:r w:rsidR="00AF0A09">
        <w:rPr>
          <w:iCs/>
        </w:rPr>
        <w:t xml:space="preserve">as a dedicated public servant and “fallen hero,” and </w:t>
      </w:r>
      <w:r w:rsidR="0035291F">
        <w:rPr>
          <w:iCs/>
        </w:rPr>
        <w:t xml:space="preserve">his </w:t>
      </w:r>
      <w:r w:rsidR="00CB5BE6">
        <w:rPr>
          <w:iCs/>
        </w:rPr>
        <w:t>memorial service</w:t>
      </w:r>
      <w:r w:rsidR="0035291F">
        <w:rPr>
          <w:iCs/>
        </w:rPr>
        <w:t xml:space="preserve"> was well attended and televised.  </w:t>
      </w:r>
      <w:r w:rsidR="00C005F9">
        <w:rPr>
          <w:iCs/>
        </w:rPr>
        <w:t xml:space="preserve">Nevertheless, </w:t>
      </w:r>
      <w:r w:rsidR="00642564">
        <w:rPr>
          <w:iCs/>
        </w:rPr>
        <w:t xml:space="preserve">as </w:t>
      </w:r>
      <w:r w:rsidR="001806FC">
        <w:rPr>
          <w:iCs/>
        </w:rPr>
        <w:t>we have already concluded</w:t>
      </w:r>
      <w:r w:rsidR="00E21E39">
        <w:rPr>
          <w:iCs/>
        </w:rPr>
        <w:t>,</w:t>
      </w:r>
      <w:r w:rsidR="00E21E39">
        <w:rPr>
          <w:i/>
        </w:rPr>
        <w:t xml:space="preserve"> </w:t>
      </w:r>
      <w:r w:rsidR="007C28C0">
        <w:rPr>
          <w:iCs/>
        </w:rPr>
        <w:t xml:space="preserve">the media coverage tapered off </w:t>
      </w:r>
      <w:r w:rsidR="00444DAC">
        <w:rPr>
          <w:iCs/>
        </w:rPr>
        <w:t>several</w:t>
      </w:r>
      <w:r w:rsidR="007C28C0">
        <w:rPr>
          <w:iCs/>
        </w:rPr>
        <w:t xml:space="preserve"> weeks </w:t>
      </w:r>
      <w:r w:rsidR="007213EF">
        <w:rPr>
          <w:iCs/>
        </w:rPr>
        <w:t>after</w:t>
      </w:r>
      <w:r w:rsidR="007C28C0">
        <w:rPr>
          <w:iCs/>
        </w:rPr>
        <w:t xml:space="preserve"> the </w:t>
      </w:r>
      <w:r w:rsidR="00335152">
        <w:rPr>
          <w:iCs/>
        </w:rPr>
        <w:t xml:space="preserve">deputy’s </w:t>
      </w:r>
      <w:r w:rsidR="007C28C0">
        <w:rPr>
          <w:iCs/>
        </w:rPr>
        <w:t>killing</w:t>
      </w:r>
      <w:r w:rsidR="00877409">
        <w:rPr>
          <w:iCs/>
        </w:rPr>
        <w:t xml:space="preserve"> and </w:t>
      </w:r>
      <w:r w:rsidR="00877409" w:rsidRPr="00CB05A8">
        <w:rPr>
          <w:szCs w:val="26"/>
        </w:rPr>
        <w:t xml:space="preserve">substantially predated </w:t>
      </w:r>
      <w:r w:rsidR="00C76E34">
        <w:rPr>
          <w:szCs w:val="26"/>
        </w:rPr>
        <w:t>defendant’s</w:t>
      </w:r>
      <w:r w:rsidR="00877409" w:rsidRPr="00CB05A8">
        <w:rPr>
          <w:szCs w:val="26"/>
        </w:rPr>
        <w:t xml:space="preserve"> trial</w:t>
      </w:r>
      <w:r w:rsidR="00877409">
        <w:t xml:space="preserve">.  </w:t>
      </w:r>
      <w:r w:rsidR="002F7080">
        <w:t xml:space="preserve">Thus, </w:t>
      </w:r>
      <w:r w:rsidR="00E21E39">
        <w:t xml:space="preserve">Deputy Trejo’s </w:t>
      </w:r>
      <w:r w:rsidR="002F7080">
        <w:t>posthumous promin</w:t>
      </w:r>
      <w:r w:rsidR="00D04599">
        <w:t>ence in the community</w:t>
      </w:r>
      <w:r w:rsidR="005B5F9F">
        <w:t xml:space="preserve"> may weigh somewhat in favor of a venue change, but it</w:t>
      </w:r>
      <w:r w:rsidR="00D04599">
        <w:t xml:space="preserve"> </w:t>
      </w:r>
      <w:r w:rsidR="00642564" w:rsidRPr="00EE30B1">
        <w:t xml:space="preserve">does not </w:t>
      </w:r>
      <w:r w:rsidR="00C74D33">
        <w:t>compel</w:t>
      </w:r>
      <w:r w:rsidR="00642564" w:rsidRPr="00EE30B1">
        <w:t xml:space="preserve"> a venue change.</w:t>
      </w:r>
    </w:p>
    <w:p w14:paraId="15DE80CC" w14:textId="2C90D53C" w:rsidR="00024972" w:rsidRPr="00CB05A8" w:rsidRDefault="003D09D6" w:rsidP="00F105E8">
      <w:pPr>
        <w:pStyle w:val="Heading5"/>
        <w:numPr>
          <w:ilvl w:val="0"/>
          <w:numId w:val="39"/>
        </w:numPr>
        <w:ind w:left="2448" w:hanging="432"/>
      </w:pPr>
      <w:bookmarkStart w:id="35" w:name="_Toc58918788"/>
      <w:r w:rsidRPr="00CB05A8">
        <w:t>P</w:t>
      </w:r>
      <w:r w:rsidR="00FF3D39" w:rsidRPr="00CB05A8">
        <w:t>resence of political overtones</w:t>
      </w:r>
      <w:bookmarkEnd w:id="35"/>
      <w:r w:rsidR="008924FD" w:rsidRPr="00CB05A8">
        <w:t xml:space="preserve">  </w:t>
      </w:r>
    </w:p>
    <w:p w14:paraId="36F6CE7A" w14:textId="1D150B41" w:rsidR="007B635C" w:rsidRPr="00CB05A8" w:rsidRDefault="008924FD" w:rsidP="00F105E8">
      <w:pPr>
        <w:tabs>
          <w:tab w:val="left" w:pos="1440"/>
        </w:tabs>
        <w:ind w:firstLine="720"/>
        <w:rPr>
          <w:iCs/>
        </w:rPr>
      </w:pPr>
      <w:r w:rsidRPr="00CB05A8">
        <w:rPr>
          <w:iCs/>
        </w:rPr>
        <w:t>As an additional factor to consider</w:t>
      </w:r>
      <w:r w:rsidR="00D36424" w:rsidRPr="00CB05A8">
        <w:rPr>
          <w:iCs/>
        </w:rPr>
        <w:t xml:space="preserve">, defendant asserts that there were </w:t>
      </w:r>
      <w:r w:rsidR="009E1DB8" w:rsidRPr="00CB05A8">
        <w:rPr>
          <w:iCs/>
        </w:rPr>
        <w:t>“</w:t>
      </w:r>
      <w:r w:rsidR="00D36424" w:rsidRPr="00CB05A8">
        <w:rPr>
          <w:iCs/>
        </w:rPr>
        <w:t xml:space="preserve">political </w:t>
      </w:r>
      <w:r w:rsidR="009E1DB8" w:rsidRPr="00CB05A8">
        <w:rPr>
          <w:iCs/>
        </w:rPr>
        <w:t>ramifications”</w:t>
      </w:r>
      <w:r w:rsidR="00D36424" w:rsidRPr="00CB05A8">
        <w:rPr>
          <w:iCs/>
        </w:rPr>
        <w:t xml:space="preserve"> </w:t>
      </w:r>
      <w:r w:rsidR="009E1DB8" w:rsidRPr="00CB05A8">
        <w:rPr>
          <w:iCs/>
        </w:rPr>
        <w:t xml:space="preserve">stemming from his case </w:t>
      </w:r>
      <w:r w:rsidR="00D36424" w:rsidRPr="00CB05A8">
        <w:rPr>
          <w:iCs/>
        </w:rPr>
        <w:t xml:space="preserve">that weighed in favor of a venue change.  </w:t>
      </w:r>
      <w:r w:rsidR="00F45C15" w:rsidRPr="00CB05A8">
        <w:rPr>
          <w:iCs/>
        </w:rPr>
        <w:t xml:space="preserve">Defendant points to </w:t>
      </w:r>
      <w:r w:rsidR="00E109A6" w:rsidRPr="00CB05A8">
        <w:rPr>
          <w:iCs/>
        </w:rPr>
        <w:t xml:space="preserve">proposed </w:t>
      </w:r>
      <w:r w:rsidR="00F45C15" w:rsidRPr="00CB05A8">
        <w:rPr>
          <w:iCs/>
        </w:rPr>
        <w:t xml:space="preserve">legislation </w:t>
      </w:r>
      <w:r w:rsidR="00B438CC" w:rsidRPr="00CB05A8">
        <w:rPr>
          <w:iCs/>
        </w:rPr>
        <w:t>that would have</w:t>
      </w:r>
      <w:r w:rsidR="00E109A6" w:rsidRPr="00CB05A8">
        <w:rPr>
          <w:iCs/>
        </w:rPr>
        <w:t xml:space="preserve"> </w:t>
      </w:r>
      <w:r w:rsidR="00AD76CA">
        <w:rPr>
          <w:iCs/>
        </w:rPr>
        <w:t xml:space="preserve">required </w:t>
      </w:r>
      <w:r w:rsidR="006D0E0D">
        <w:rPr>
          <w:iCs/>
        </w:rPr>
        <w:t xml:space="preserve">the Department of Corrections to </w:t>
      </w:r>
      <w:r w:rsidR="00B841B7" w:rsidRPr="00CB05A8">
        <w:rPr>
          <w:iCs/>
        </w:rPr>
        <w:t xml:space="preserve">physically transport persons released from PBSP to their parole destination, which was reintroduced </w:t>
      </w:r>
      <w:r w:rsidR="006472ED">
        <w:rPr>
          <w:iCs/>
        </w:rPr>
        <w:t>after</w:t>
      </w:r>
      <w:r w:rsidR="00B841B7" w:rsidRPr="00CB05A8">
        <w:rPr>
          <w:iCs/>
        </w:rPr>
        <w:t xml:space="preserve"> </w:t>
      </w:r>
      <w:r w:rsidR="003A7BAA" w:rsidRPr="00CB05A8">
        <w:rPr>
          <w:iCs/>
        </w:rPr>
        <w:t xml:space="preserve">defendant’s arrest.  </w:t>
      </w:r>
      <w:r w:rsidR="00E42C54" w:rsidRPr="00CB05A8">
        <w:rPr>
          <w:iCs/>
        </w:rPr>
        <w:t xml:space="preserve">Following Deputy Trejo’s death, </w:t>
      </w:r>
      <w:r w:rsidR="002C5A5F" w:rsidRPr="00CB05A8">
        <w:rPr>
          <w:iCs/>
        </w:rPr>
        <w:t xml:space="preserve">legislators supporting this bill </w:t>
      </w:r>
      <w:r w:rsidR="00E64799" w:rsidRPr="00CB05A8">
        <w:rPr>
          <w:iCs/>
        </w:rPr>
        <w:t>implied</w:t>
      </w:r>
      <w:r w:rsidR="004D682A" w:rsidRPr="00CB05A8">
        <w:rPr>
          <w:iCs/>
        </w:rPr>
        <w:t xml:space="preserve"> that the Governor’s prior veto of their prison transport legislation </w:t>
      </w:r>
      <w:r w:rsidR="0087575F" w:rsidRPr="00CB05A8">
        <w:rPr>
          <w:iCs/>
        </w:rPr>
        <w:t>resulted in</w:t>
      </w:r>
      <w:r w:rsidR="004D682A" w:rsidRPr="00CB05A8">
        <w:rPr>
          <w:iCs/>
        </w:rPr>
        <w:t xml:space="preserve"> </w:t>
      </w:r>
      <w:r w:rsidR="0087575F" w:rsidRPr="00CB05A8">
        <w:rPr>
          <w:iCs/>
        </w:rPr>
        <w:t>the</w:t>
      </w:r>
      <w:r w:rsidR="004B21B1" w:rsidRPr="00CB05A8">
        <w:rPr>
          <w:iCs/>
        </w:rPr>
        <w:t xml:space="preserve"> deputy’s</w:t>
      </w:r>
      <w:r w:rsidR="0087575F" w:rsidRPr="00CB05A8">
        <w:rPr>
          <w:iCs/>
        </w:rPr>
        <w:t xml:space="preserve"> death.  </w:t>
      </w:r>
      <w:r w:rsidR="003D48B0" w:rsidRPr="00CB05A8">
        <w:rPr>
          <w:iCs/>
        </w:rPr>
        <w:t xml:space="preserve">There is no evidence, however, </w:t>
      </w:r>
      <w:r w:rsidR="00DA0FAA">
        <w:rPr>
          <w:iCs/>
        </w:rPr>
        <w:t xml:space="preserve">to suggest </w:t>
      </w:r>
      <w:r w:rsidR="00A84E9E">
        <w:rPr>
          <w:iCs/>
        </w:rPr>
        <w:t>that</w:t>
      </w:r>
      <w:r w:rsidR="003D48B0" w:rsidRPr="00CB05A8">
        <w:rPr>
          <w:iCs/>
        </w:rPr>
        <w:t xml:space="preserve"> </w:t>
      </w:r>
      <w:r w:rsidR="00DA0FAA">
        <w:rPr>
          <w:iCs/>
        </w:rPr>
        <w:t>the proposed legislation</w:t>
      </w:r>
      <w:r w:rsidR="003D48B0" w:rsidRPr="00CB05A8">
        <w:rPr>
          <w:iCs/>
        </w:rPr>
        <w:t xml:space="preserve"> </w:t>
      </w:r>
      <w:r w:rsidR="00E14F4B">
        <w:rPr>
          <w:iCs/>
        </w:rPr>
        <w:t xml:space="preserve">might have </w:t>
      </w:r>
      <w:r w:rsidR="00246A31">
        <w:rPr>
          <w:iCs/>
        </w:rPr>
        <w:t>affected the proceedings</w:t>
      </w:r>
      <w:r w:rsidR="003D48B0" w:rsidRPr="00CB05A8">
        <w:rPr>
          <w:iCs/>
        </w:rPr>
        <w:t xml:space="preserve">.  </w:t>
      </w:r>
      <w:r w:rsidR="00246A31" w:rsidRPr="00CB05A8">
        <w:rPr>
          <w:iCs/>
        </w:rPr>
        <w:t xml:space="preserve">(See, e.g., </w:t>
      </w:r>
      <w:r w:rsidR="00246A31" w:rsidRPr="00CB05A8">
        <w:rPr>
          <w:i/>
          <w:iCs/>
        </w:rPr>
        <w:t>Maine</w:t>
      </w:r>
      <w:r w:rsidR="00246A31" w:rsidRPr="00CB05A8">
        <w:rPr>
          <w:iCs/>
        </w:rPr>
        <w:t xml:space="preserve">, </w:t>
      </w:r>
      <w:r w:rsidR="00246A31" w:rsidRPr="00CB05A8">
        <w:rPr>
          <w:i/>
          <w:iCs/>
        </w:rPr>
        <w:t>supra</w:t>
      </w:r>
      <w:r w:rsidR="00246A31" w:rsidRPr="00CB05A8">
        <w:rPr>
          <w:iCs/>
        </w:rPr>
        <w:t>,</w:t>
      </w:r>
      <w:r w:rsidR="00246A31" w:rsidRPr="00CB05A8">
        <w:rPr>
          <w:i/>
          <w:iCs/>
        </w:rPr>
        <w:t xml:space="preserve"> </w:t>
      </w:r>
      <w:r w:rsidR="00246A31" w:rsidRPr="00CB05A8">
        <w:rPr>
          <w:iCs/>
        </w:rPr>
        <w:t>68 Cal.2d at p. </w:t>
      </w:r>
      <w:r w:rsidR="005E6C64">
        <w:rPr>
          <w:iCs/>
        </w:rPr>
        <w:t>3</w:t>
      </w:r>
      <w:r w:rsidR="00246A31" w:rsidRPr="00CB05A8">
        <w:rPr>
          <w:iCs/>
        </w:rPr>
        <w:t xml:space="preserve">87 [political overtone factor was present </w:t>
      </w:r>
      <w:r w:rsidR="005E6C64">
        <w:rPr>
          <w:iCs/>
        </w:rPr>
        <w:t xml:space="preserve">when we </w:t>
      </w:r>
      <w:r w:rsidR="005E6C64" w:rsidRPr="005E6C64">
        <w:rPr>
          <w:iCs/>
        </w:rPr>
        <w:t>“harbor[ed] a gnawing fear</w:t>
      </w:r>
      <w:r w:rsidR="006C47EB">
        <w:rPr>
          <w:iCs/>
        </w:rPr>
        <w:t>”</w:t>
      </w:r>
      <w:r w:rsidR="005E6C64" w:rsidRPr="005E6C64">
        <w:rPr>
          <w:iCs/>
        </w:rPr>
        <w:t xml:space="preserve"> that the </w:t>
      </w:r>
      <w:r w:rsidR="006C47EB">
        <w:rPr>
          <w:iCs/>
        </w:rPr>
        <w:t xml:space="preserve">judgeship </w:t>
      </w:r>
      <w:r w:rsidR="005E6C64" w:rsidRPr="005E6C64">
        <w:rPr>
          <w:iCs/>
        </w:rPr>
        <w:t xml:space="preserve">campaign competition between </w:t>
      </w:r>
      <w:r w:rsidR="006C47EB" w:rsidRPr="00CB05A8">
        <w:rPr>
          <w:iCs/>
        </w:rPr>
        <w:t xml:space="preserve">the district attorney and defense counsel </w:t>
      </w:r>
      <w:r w:rsidR="006C47EB">
        <w:rPr>
          <w:iCs/>
        </w:rPr>
        <w:t>“</w:t>
      </w:r>
      <w:r w:rsidR="005E6C64" w:rsidRPr="005E6C64">
        <w:rPr>
          <w:iCs/>
        </w:rPr>
        <w:t>might inadvertently intrude during the course of a proceeding in which they are also trial adversaries</w:t>
      </w:r>
      <w:r w:rsidR="006C47EB">
        <w:rPr>
          <w:iCs/>
        </w:rPr>
        <w:t>”</w:t>
      </w:r>
      <w:r w:rsidR="00246A31" w:rsidRPr="00CB05A8">
        <w:rPr>
          <w:iCs/>
        </w:rPr>
        <w:t>].)</w:t>
      </w:r>
      <w:r w:rsidR="00246A31">
        <w:rPr>
          <w:iCs/>
        </w:rPr>
        <w:t xml:space="preserve">  </w:t>
      </w:r>
      <w:r w:rsidR="00B00C41">
        <w:rPr>
          <w:iCs/>
        </w:rPr>
        <w:t>W</w:t>
      </w:r>
      <w:r w:rsidR="00B2797E" w:rsidRPr="00CB05A8">
        <w:rPr>
          <w:iCs/>
        </w:rPr>
        <w:t xml:space="preserve">e agree with the </w:t>
      </w:r>
      <w:r w:rsidR="007363AD" w:rsidRPr="00CB05A8">
        <w:rPr>
          <w:iCs/>
        </w:rPr>
        <w:t>trial</w:t>
      </w:r>
      <w:r w:rsidR="00B2797E" w:rsidRPr="00CB05A8">
        <w:rPr>
          <w:iCs/>
        </w:rPr>
        <w:t xml:space="preserve"> court that </w:t>
      </w:r>
      <w:r w:rsidR="00B41222">
        <w:rPr>
          <w:iCs/>
        </w:rPr>
        <w:t xml:space="preserve">there were </w:t>
      </w:r>
      <w:r w:rsidR="009B0558" w:rsidRPr="00CB05A8">
        <w:rPr>
          <w:iCs/>
        </w:rPr>
        <w:t>no political overtone</w:t>
      </w:r>
      <w:r w:rsidR="00B41222">
        <w:rPr>
          <w:iCs/>
        </w:rPr>
        <w:t xml:space="preserve">s </w:t>
      </w:r>
      <w:r w:rsidR="0011128C" w:rsidRPr="00CB05A8">
        <w:rPr>
          <w:iCs/>
        </w:rPr>
        <w:t xml:space="preserve">present in this case </w:t>
      </w:r>
      <w:r w:rsidR="00B41222">
        <w:rPr>
          <w:iCs/>
        </w:rPr>
        <w:t xml:space="preserve">to </w:t>
      </w:r>
      <w:r w:rsidR="003962C8" w:rsidRPr="00CB05A8">
        <w:rPr>
          <w:iCs/>
        </w:rPr>
        <w:t xml:space="preserve">warrant a change of venue.  </w:t>
      </w:r>
      <w:r w:rsidR="0079571C" w:rsidRPr="00CB05A8">
        <w:rPr>
          <w:iCs/>
        </w:rPr>
        <w:t xml:space="preserve">  </w:t>
      </w:r>
      <w:r w:rsidR="003962C8" w:rsidRPr="00CB05A8">
        <w:rPr>
          <w:iCs/>
        </w:rPr>
        <w:t xml:space="preserve"> </w:t>
      </w:r>
      <w:r w:rsidR="00C75BEC" w:rsidRPr="00CB05A8">
        <w:rPr>
          <w:iCs/>
        </w:rPr>
        <w:t xml:space="preserve">  </w:t>
      </w:r>
      <w:r w:rsidR="000F1AB5" w:rsidRPr="00CB05A8">
        <w:rPr>
          <w:iCs/>
        </w:rPr>
        <w:t xml:space="preserve">  </w:t>
      </w:r>
      <w:r w:rsidR="007B635C" w:rsidRPr="00CB05A8">
        <w:rPr>
          <w:iCs/>
        </w:rPr>
        <w:t xml:space="preserve"> </w:t>
      </w:r>
    </w:p>
    <w:p w14:paraId="3F1077A2" w14:textId="4246B3FF" w:rsidR="0071689A" w:rsidRPr="00CB05A8" w:rsidRDefault="00491E5E" w:rsidP="00F105E8">
      <w:pPr>
        <w:pStyle w:val="Heading5"/>
        <w:numPr>
          <w:ilvl w:val="0"/>
          <w:numId w:val="39"/>
        </w:numPr>
        <w:ind w:left="2448" w:hanging="432"/>
      </w:pPr>
      <w:bookmarkStart w:id="36" w:name="_Toc58918789"/>
      <w:r w:rsidRPr="00CB05A8">
        <w:t>Summary</w:t>
      </w:r>
      <w:bookmarkEnd w:id="36"/>
      <w:r w:rsidRPr="00CB05A8">
        <w:t xml:space="preserve">  </w:t>
      </w:r>
    </w:p>
    <w:p w14:paraId="4F5A0855" w14:textId="38FED694" w:rsidR="00B268D3" w:rsidRDefault="007F0189" w:rsidP="00F105E8">
      <w:pPr>
        <w:tabs>
          <w:tab w:val="left" w:pos="1440"/>
        </w:tabs>
        <w:ind w:firstLine="720"/>
      </w:pPr>
      <w:r>
        <w:rPr>
          <w:iCs/>
        </w:rPr>
        <w:t>E</w:t>
      </w:r>
      <w:r w:rsidR="00616C80" w:rsidRPr="002E390C">
        <w:rPr>
          <w:iCs/>
        </w:rPr>
        <w:t xml:space="preserve">ven assuming </w:t>
      </w:r>
      <w:r w:rsidR="00706504" w:rsidRPr="002E390C">
        <w:t xml:space="preserve">the </w:t>
      </w:r>
      <w:r w:rsidR="002E390C" w:rsidRPr="002E390C">
        <w:t xml:space="preserve">nature and </w:t>
      </w:r>
      <w:r w:rsidR="005C738A" w:rsidRPr="002E390C">
        <w:t>gravity of the offense</w:t>
      </w:r>
      <w:r w:rsidR="00706504" w:rsidRPr="002E390C">
        <w:t xml:space="preserve"> </w:t>
      </w:r>
      <w:r w:rsidR="009B46B4">
        <w:t xml:space="preserve">and the status of </w:t>
      </w:r>
      <w:r w:rsidR="00B17E42">
        <w:t>the victim</w:t>
      </w:r>
      <w:r w:rsidR="009B46B4">
        <w:t xml:space="preserve"> somewhat </w:t>
      </w:r>
      <w:r w:rsidR="00706504" w:rsidRPr="002E390C">
        <w:t>favor</w:t>
      </w:r>
      <w:r w:rsidR="00E70DE6" w:rsidRPr="002E390C">
        <w:t>ed</w:t>
      </w:r>
      <w:r w:rsidR="00706504" w:rsidRPr="002E390C">
        <w:t xml:space="preserve"> a change of venue</w:t>
      </w:r>
      <w:r w:rsidR="006C0F84" w:rsidRPr="002E390C">
        <w:t xml:space="preserve">, </w:t>
      </w:r>
      <w:r w:rsidR="00EE0C06" w:rsidRPr="002E390C">
        <w:t xml:space="preserve">the </w:t>
      </w:r>
      <w:r w:rsidR="009B46B4">
        <w:t xml:space="preserve">totality </w:t>
      </w:r>
      <w:r w:rsidR="005C738A" w:rsidRPr="002E390C">
        <w:t>of the factors</w:t>
      </w:r>
      <w:r w:rsidR="00B424BD" w:rsidRPr="002E390C">
        <w:t xml:space="preserve"> did not</w:t>
      </w:r>
      <w:r w:rsidR="00706504" w:rsidRPr="002E390C">
        <w:t>.</w:t>
      </w:r>
      <w:r w:rsidR="00A9772C" w:rsidRPr="002E390C">
        <w:rPr>
          <w:iCs/>
        </w:rPr>
        <w:t xml:space="preserve"> </w:t>
      </w:r>
      <w:r w:rsidR="00B85901" w:rsidRPr="002E390C">
        <w:rPr>
          <w:iCs/>
        </w:rPr>
        <w:t xml:space="preserve"> </w:t>
      </w:r>
      <w:r w:rsidR="004632A2" w:rsidRPr="002E390C">
        <w:rPr>
          <w:iCs/>
        </w:rPr>
        <w:t xml:space="preserve">Reviewing the legal question de novo based on the factors above, </w:t>
      </w:r>
      <w:r w:rsidR="00B00C41" w:rsidRPr="002E390C">
        <w:rPr>
          <w:iCs/>
        </w:rPr>
        <w:t>we</w:t>
      </w:r>
      <w:r w:rsidR="004632A2" w:rsidRPr="002E390C">
        <w:rPr>
          <w:iCs/>
        </w:rPr>
        <w:t xml:space="preserve"> conclude defendant has not shown a reasonable likelihood that a fair trial could not be had in Sonoma County at the time of his venue change motions.  </w:t>
      </w:r>
      <w:r w:rsidR="00360CA0" w:rsidRPr="002E390C">
        <w:rPr>
          <w:iCs/>
        </w:rPr>
        <w:t>(</w:t>
      </w:r>
      <w:r w:rsidR="000578AC" w:rsidRPr="002E390C">
        <w:rPr>
          <w:iCs/>
        </w:rPr>
        <w:t>See</w:t>
      </w:r>
      <w:r w:rsidR="003C3873" w:rsidRPr="002E390C">
        <w:rPr>
          <w:iCs/>
        </w:rPr>
        <w:t xml:space="preserve">, e.g., </w:t>
      </w:r>
      <w:r w:rsidR="003C3873" w:rsidRPr="002E390C">
        <w:rPr>
          <w:i/>
          <w:iCs/>
        </w:rPr>
        <w:t xml:space="preserve">People v. Duong </w:t>
      </w:r>
      <w:r w:rsidR="003C3873" w:rsidRPr="002E390C">
        <w:rPr>
          <w:iCs/>
        </w:rPr>
        <w:t xml:space="preserve">(2020) </w:t>
      </w:r>
      <w:r w:rsidR="008F7230" w:rsidRPr="002E390C">
        <w:rPr>
          <w:iCs/>
        </w:rPr>
        <w:t>10</w:t>
      </w:r>
      <w:r w:rsidR="003C3873" w:rsidRPr="002E390C">
        <w:rPr>
          <w:iCs/>
        </w:rPr>
        <w:t xml:space="preserve"> Cal.5th </w:t>
      </w:r>
      <w:r w:rsidR="008F7230" w:rsidRPr="002E390C">
        <w:rPr>
          <w:iCs/>
        </w:rPr>
        <w:t>36</w:t>
      </w:r>
      <w:r w:rsidR="003C3873" w:rsidRPr="002E390C">
        <w:rPr>
          <w:iCs/>
        </w:rPr>
        <w:t xml:space="preserve">, </w:t>
      </w:r>
      <w:r w:rsidR="008F7230" w:rsidRPr="002E390C">
        <w:rPr>
          <w:iCs/>
        </w:rPr>
        <w:t>50</w:t>
      </w:r>
      <w:r w:rsidR="003C3873" w:rsidRPr="002E390C">
        <w:rPr>
          <w:iCs/>
        </w:rPr>
        <w:t xml:space="preserve"> [</w:t>
      </w:r>
      <w:r w:rsidR="004078E9" w:rsidRPr="002E390C">
        <w:rPr>
          <w:iCs/>
        </w:rPr>
        <w:t>affirming denial of change of venue whe</w:t>
      </w:r>
      <w:r w:rsidR="0002588E" w:rsidRPr="002E390C">
        <w:rPr>
          <w:iCs/>
        </w:rPr>
        <w:t>n</w:t>
      </w:r>
      <w:r w:rsidR="004078E9" w:rsidRPr="002E390C">
        <w:rPr>
          <w:iCs/>
        </w:rPr>
        <w:t xml:space="preserve"> only</w:t>
      </w:r>
      <w:r w:rsidR="00F70174" w:rsidRPr="002E390C">
        <w:rPr>
          <w:iCs/>
        </w:rPr>
        <w:t xml:space="preserve"> the nature and gravity of the offense weighed in favor of a venue change]</w:t>
      </w:r>
      <w:r w:rsidR="003C3873" w:rsidRPr="002E390C">
        <w:rPr>
          <w:iCs/>
        </w:rPr>
        <w:t xml:space="preserve">; </w:t>
      </w:r>
      <w:r w:rsidR="00360CA0" w:rsidRPr="002E390C">
        <w:rPr>
          <w:i/>
        </w:rPr>
        <w:t>McCurdy</w:t>
      </w:r>
      <w:r w:rsidR="00360CA0" w:rsidRPr="002E390C">
        <w:t xml:space="preserve">, </w:t>
      </w:r>
      <w:r w:rsidR="00360CA0" w:rsidRPr="002E390C">
        <w:rPr>
          <w:i/>
        </w:rPr>
        <w:t>supra</w:t>
      </w:r>
      <w:r w:rsidR="00360CA0" w:rsidRPr="002E390C">
        <w:t>,</w:t>
      </w:r>
      <w:r w:rsidR="00360CA0" w:rsidRPr="002E390C">
        <w:rPr>
          <w:i/>
        </w:rPr>
        <w:t xml:space="preserve"> </w:t>
      </w:r>
      <w:r w:rsidR="00360CA0" w:rsidRPr="002E390C">
        <w:t>59 Cal.4th at p.</w:t>
      </w:r>
      <w:r w:rsidR="002140EA" w:rsidRPr="002E390C">
        <w:t> </w:t>
      </w:r>
      <w:r w:rsidR="00360CA0" w:rsidRPr="002E390C">
        <w:t>1079</w:t>
      </w:r>
      <w:r w:rsidR="000578AC" w:rsidRPr="002E390C">
        <w:t xml:space="preserve"> [</w:t>
      </w:r>
      <w:r w:rsidR="000578AC" w:rsidRPr="002E390C">
        <w:rPr>
          <w:iCs/>
        </w:rPr>
        <w:t>“</w:t>
      </w:r>
      <w:r w:rsidR="00307584" w:rsidRPr="002E390C">
        <w:rPr>
          <w:iCs/>
        </w:rPr>
        <w:t xml:space="preserve">[A]lthough </w:t>
      </w:r>
      <w:r w:rsidR="000578AC" w:rsidRPr="002E390C">
        <w:rPr>
          <w:iCs/>
        </w:rPr>
        <w:t>some of the factors may have favored a changed venue, the totality of circumstances did not require one”]</w:t>
      </w:r>
      <w:r w:rsidR="00360CA0" w:rsidRPr="002E390C">
        <w:t>.)</w:t>
      </w:r>
      <w:r w:rsidR="00D43EB3" w:rsidRPr="00CB05A8">
        <w:t xml:space="preserve">  </w:t>
      </w:r>
    </w:p>
    <w:p w14:paraId="425CCF27" w14:textId="5832FBA0" w:rsidR="005F2168" w:rsidRPr="00CB05A8" w:rsidRDefault="005F2168" w:rsidP="005B5750">
      <w:pPr>
        <w:pStyle w:val="Heading3"/>
        <w:rPr>
          <w:highlight w:val="yellow"/>
        </w:rPr>
      </w:pPr>
      <w:r>
        <w:t>2</w:t>
      </w:r>
      <w:r w:rsidRPr="00CB05A8">
        <w:t xml:space="preserve">.   Excusal of prospective juror based on death penalty views </w:t>
      </w:r>
    </w:p>
    <w:p w14:paraId="7D83F351" w14:textId="61EF4E1C" w:rsidR="005F2168" w:rsidRPr="00CB05A8" w:rsidRDefault="005F2168" w:rsidP="005F2168">
      <w:pPr>
        <w:ind w:firstLine="720"/>
        <w:rPr>
          <w:szCs w:val="26"/>
        </w:rPr>
      </w:pPr>
      <w:r w:rsidRPr="00CB05A8">
        <w:rPr>
          <w:szCs w:val="26"/>
        </w:rPr>
        <w:t>Defendant claims the trial court committed reversible err</w:t>
      </w:r>
      <w:r w:rsidR="00626444">
        <w:rPr>
          <w:szCs w:val="26"/>
        </w:rPr>
        <w:t>or</w:t>
      </w:r>
      <w:r w:rsidRPr="00CB05A8">
        <w:rPr>
          <w:szCs w:val="26"/>
        </w:rPr>
        <w:t xml:space="preserve"> when it granted the prosecution’s challenge for cause of Prospective Juror </w:t>
      </w:r>
      <w:r w:rsidR="001A56C5">
        <w:rPr>
          <w:szCs w:val="26"/>
        </w:rPr>
        <w:t xml:space="preserve"> No. </w:t>
      </w:r>
      <w:r w:rsidRPr="00CB05A8">
        <w:rPr>
          <w:szCs w:val="26"/>
        </w:rPr>
        <w:t xml:space="preserve">3727 based on her views on the death penalty.  </w:t>
      </w:r>
      <w:r w:rsidR="00B00C41">
        <w:rPr>
          <w:szCs w:val="26"/>
        </w:rPr>
        <w:t>W</w:t>
      </w:r>
      <w:r w:rsidRPr="00CB05A8">
        <w:rPr>
          <w:szCs w:val="26"/>
        </w:rPr>
        <w:t xml:space="preserve">e conclude the record fairly supports the excusal and uphold the trial court’s ruling.  </w:t>
      </w:r>
    </w:p>
    <w:p w14:paraId="4A1A56B2" w14:textId="77777777" w:rsidR="005F2168" w:rsidRPr="00CB05A8" w:rsidRDefault="005F2168" w:rsidP="005F2168">
      <w:pPr>
        <w:pStyle w:val="Heading4"/>
        <w:numPr>
          <w:ilvl w:val="0"/>
          <w:numId w:val="28"/>
        </w:numPr>
        <w:ind w:left="2016" w:hanging="432"/>
      </w:pPr>
      <w:r w:rsidRPr="00CB05A8">
        <w:t>Background</w:t>
      </w:r>
    </w:p>
    <w:p w14:paraId="6F7CD6A2" w14:textId="2E449535" w:rsidR="005F2168" w:rsidRPr="00CB05A8" w:rsidRDefault="005F2168" w:rsidP="005F2168">
      <w:pPr>
        <w:ind w:firstLine="720"/>
        <w:rPr>
          <w:szCs w:val="26"/>
        </w:rPr>
      </w:pPr>
      <w:r w:rsidRPr="00CB05A8">
        <w:rPr>
          <w:szCs w:val="26"/>
        </w:rPr>
        <w:t xml:space="preserve">Prospective Juror </w:t>
      </w:r>
      <w:r w:rsidR="00A77A54">
        <w:rPr>
          <w:szCs w:val="26"/>
        </w:rPr>
        <w:t xml:space="preserve">No. </w:t>
      </w:r>
      <w:r w:rsidRPr="00CB05A8">
        <w:rPr>
          <w:szCs w:val="26"/>
        </w:rPr>
        <w:t>3727 provided conflicting answers in her questionnaire and during voir dire concerning whether she would be able to consider the death penalty as punishment.  In her jury questionnaire, she described her view on the death penalty as “moderately against” and expressed the view that “the death penalty does nothing to deter murder, and may be more expensive to the community in the long run, due to appeals and court costs.”  She indicated that there were crimes in which her “knee-jerk reaction is to give the death penalty,” but believed it “should be used sparingly in the most heinous cases, considering the remorse of the criminal and considering his/her background.”  She described her philosophical view as “[m]oderately against” the death penalty.  She stated that she did not know if she would be able to set aside her personal beliefs about the death penalty and apply the law, rules, and instructions as given to her by the court.  She elaborated:  “I</w:t>
      </w:r>
      <w:r>
        <w:rPr>
          <w:szCs w:val="26"/>
        </w:rPr>
        <w:t> </w:t>
      </w:r>
      <w:r w:rsidRPr="00CB05A8">
        <w:rPr>
          <w:szCs w:val="26"/>
        </w:rPr>
        <w:t xml:space="preserve">would certainly try — but I am subject to emotions like anyone else, and I do rely on intuition to guide me through much of life.  When looking around this room I’m thinking, do we really have the right to decide another person’s fate?”  She also explained that she opposed the death penalty because of its high cost, the possibility that the jury might be wrong, and the fact that people of color are disproportionally sentenced to death.    </w:t>
      </w:r>
    </w:p>
    <w:p w14:paraId="2342FB3E" w14:textId="12946819" w:rsidR="005F2168" w:rsidRPr="00CB05A8" w:rsidRDefault="005F2168" w:rsidP="005F2168">
      <w:pPr>
        <w:ind w:firstLine="720"/>
        <w:rPr>
          <w:szCs w:val="26"/>
        </w:rPr>
      </w:pPr>
      <w:r w:rsidRPr="00CB05A8">
        <w:rPr>
          <w:szCs w:val="26"/>
        </w:rPr>
        <w:t xml:space="preserve">During sequestered </w:t>
      </w:r>
      <w:r w:rsidRPr="00CB05A8">
        <w:rPr>
          <w:i/>
          <w:szCs w:val="26"/>
        </w:rPr>
        <w:t xml:space="preserve">Hovey </w:t>
      </w:r>
      <w:r w:rsidRPr="00CB05A8">
        <w:rPr>
          <w:szCs w:val="26"/>
        </w:rPr>
        <w:t>voir dire (</w:t>
      </w:r>
      <w:r w:rsidRPr="00CB05A8">
        <w:rPr>
          <w:i/>
          <w:szCs w:val="26"/>
        </w:rPr>
        <w:t xml:space="preserve">Hovey v. Superior Court </w:t>
      </w:r>
      <w:r w:rsidRPr="00CB05A8">
        <w:rPr>
          <w:szCs w:val="26"/>
        </w:rPr>
        <w:t xml:space="preserve">(1980) 28 Cal.3d 1, 80–81), the trial court explained to Prospective Juror </w:t>
      </w:r>
      <w:r w:rsidR="000C70ED">
        <w:rPr>
          <w:szCs w:val="26"/>
        </w:rPr>
        <w:t xml:space="preserve">No. </w:t>
      </w:r>
      <w:r w:rsidRPr="00CB05A8">
        <w:rPr>
          <w:szCs w:val="26"/>
        </w:rPr>
        <w:t xml:space="preserve">3727 that she would have to weigh the factors that supported death against those that supported a life sentence, and asked whether she could vote for death if she was convinced that the factors in favor of death substantially outweighed the factors in favor of life without the possibility of parole.  Prospective Juror </w:t>
      </w:r>
      <w:r w:rsidR="000C70ED">
        <w:rPr>
          <w:szCs w:val="26"/>
        </w:rPr>
        <w:t xml:space="preserve">No. </w:t>
      </w:r>
      <w:r w:rsidRPr="00CB05A8">
        <w:rPr>
          <w:szCs w:val="26"/>
        </w:rPr>
        <w:t xml:space="preserve">3727 answered that it would depend on the factors she had to consider and whether she agreed with all the factors, but ultimately responded that she could decide the case in accordance with the court’s instructions.  Yet when the court asked Prospective Juror </w:t>
      </w:r>
      <w:r w:rsidR="000C70ED">
        <w:rPr>
          <w:szCs w:val="26"/>
        </w:rPr>
        <w:t xml:space="preserve">No. </w:t>
      </w:r>
      <w:r w:rsidRPr="00CB05A8">
        <w:rPr>
          <w:szCs w:val="26"/>
        </w:rPr>
        <w:t xml:space="preserve">3727 whether she could impose the death penalty if warranted after hearing all the evidence, instructions, arguments by the attorneys and hearing the view of the other jurors, she replied, “I would have a hard time doing that.”  </w:t>
      </w:r>
      <w:r w:rsidRPr="00CB05A8">
        <w:rPr>
          <w:color w:val="000000" w:themeColor="text1"/>
          <w:szCs w:val="26"/>
        </w:rPr>
        <w:t>S</w:t>
      </w:r>
      <w:r w:rsidRPr="00CB05A8">
        <w:rPr>
          <w:szCs w:val="26"/>
        </w:rPr>
        <w:t xml:space="preserve">he reiterated that her “knee-jerk reaction is to say, no, it would be very hard to vote for the death penalty.”  When the court reminded her that in order to vote for death she would have to be convinced that the factors in favor of death substantially outweighed those in favor of life without the possibility of parole, and inquired again whether she could vote to impose the death penalty under those circumstances, Prospective </w:t>
      </w:r>
      <w:r w:rsidR="000C70ED">
        <w:rPr>
          <w:szCs w:val="26"/>
        </w:rPr>
        <w:t xml:space="preserve">No. </w:t>
      </w:r>
      <w:r w:rsidRPr="00CB05A8">
        <w:rPr>
          <w:szCs w:val="26"/>
        </w:rPr>
        <w:t xml:space="preserve">Juror 3727 responded, “No, I don’t think so.”  She stated that her belief against the death penalty stemmed from her basic philosophy of life she held for the past </w:t>
      </w:r>
      <w:r w:rsidR="0012083F">
        <w:rPr>
          <w:szCs w:val="26"/>
        </w:rPr>
        <w:t>10</w:t>
      </w:r>
      <w:r w:rsidR="00643FA4">
        <w:rPr>
          <w:szCs w:val="26"/>
        </w:rPr>
        <w:t> </w:t>
      </w:r>
      <w:r w:rsidRPr="00CB05A8">
        <w:rPr>
          <w:szCs w:val="26"/>
        </w:rPr>
        <w:t>years, and explained that the crime would have to be extremely severe for her to vote for death, providing the example of somebody who had “repeatedly committed crimes . . . repeatedly murdered people or a rapist who was a repeated rapist, or something like that.”  She stated that she was “85 or 90 percent” unable to sentence anyone to death and “would always consider life without parole as better, a better option.”  She expressed that she did not want to be responsible for deciding death, because doing so would not be good for her mental health.  She repeated that it would be very difficult for her to impose the death penalty, and drew a distinction between being personally involved in the decision</w:t>
      </w:r>
      <w:r w:rsidR="004A113A">
        <w:rPr>
          <w:szCs w:val="26"/>
        </w:rPr>
        <w:t xml:space="preserve"> </w:t>
      </w:r>
      <w:r w:rsidRPr="00CB05A8">
        <w:rPr>
          <w:szCs w:val="26"/>
        </w:rPr>
        <w:t xml:space="preserve">making, on the one hand, and others who might make the sentencing decision.  At the close of Prospective Juror </w:t>
      </w:r>
      <w:r w:rsidR="0012083F">
        <w:rPr>
          <w:szCs w:val="26"/>
        </w:rPr>
        <w:t xml:space="preserve">No. </w:t>
      </w:r>
      <w:r w:rsidRPr="00CB05A8">
        <w:rPr>
          <w:szCs w:val="26"/>
        </w:rPr>
        <w:t xml:space="preserve">3727’s voir dire, when asked by the court a third time if she could vote in favor of death, she replied, “It would be a possibility.  So I guess that says yes.  I mean, it would be a consideration.  It would be a possibility.”  </w:t>
      </w:r>
    </w:p>
    <w:p w14:paraId="5BAD2CB3" w14:textId="751615B9" w:rsidR="005F2168" w:rsidRPr="00CB05A8" w:rsidRDefault="005F2168" w:rsidP="005F2168">
      <w:pPr>
        <w:ind w:firstLine="720"/>
        <w:rPr>
          <w:color w:val="000000" w:themeColor="text1"/>
          <w:szCs w:val="26"/>
        </w:rPr>
      </w:pPr>
      <w:r w:rsidRPr="00CB05A8">
        <w:rPr>
          <w:szCs w:val="26"/>
        </w:rPr>
        <w:t xml:space="preserve">The prosecution challenged Prospective Juror </w:t>
      </w:r>
      <w:r w:rsidR="00621610">
        <w:rPr>
          <w:szCs w:val="26"/>
        </w:rPr>
        <w:t xml:space="preserve">No. </w:t>
      </w:r>
      <w:r w:rsidRPr="00CB05A8">
        <w:rPr>
          <w:szCs w:val="26"/>
        </w:rPr>
        <w:t xml:space="preserve">3727 for cause based on her asserted inability to properly consider and weigh whether to impose the death penalty. </w:t>
      </w:r>
      <w:r w:rsidRPr="00CB05A8">
        <w:rPr>
          <w:color w:val="FF0000"/>
          <w:szCs w:val="26"/>
        </w:rPr>
        <w:t xml:space="preserve"> </w:t>
      </w:r>
      <w:r w:rsidRPr="00CB05A8">
        <w:rPr>
          <w:szCs w:val="26"/>
        </w:rPr>
        <w:t xml:space="preserve">The court ultimately concluded that Prospective Juror </w:t>
      </w:r>
      <w:r w:rsidR="001B0EDD">
        <w:rPr>
          <w:szCs w:val="26"/>
        </w:rPr>
        <w:t xml:space="preserve">No. </w:t>
      </w:r>
      <w:r w:rsidRPr="00CB05A8">
        <w:rPr>
          <w:szCs w:val="26"/>
        </w:rPr>
        <w:t xml:space="preserve">3727 was substantially impaired in this respect, and dismissed her.  After reviewing again all of her answers, the court stated it did not believe Prospective Juror </w:t>
      </w:r>
      <w:r w:rsidR="00621610">
        <w:rPr>
          <w:szCs w:val="26"/>
        </w:rPr>
        <w:t xml:space="preserve">No. </w:t>
      </w:r>
      <w:r w:rsidRPr="00CB05A8">
        <w:rPr>
          <w:szCs w:val="26"/>
        </w:rPr>
        <w:t xml:space="preserve">3727 was capable of fulfilling her duties as a juror.  The court emphasized that the juror never “unequivocally stated that she could consider the death penalty as a reasonable possibility.”  </w:t>
      </w:r>
      <w:r w:rsidRPr="00CB05A8">
        <w:rPr>
          <w:color w:val="000000" w:themeColor="text1"/>
          <w:szCs w:val="26"/>
        </w:rPr>
        <w:t xml:space="preserve">  </w:t>
      </w:r>
    </w:p>
    <w:p w14:paraId="1D98AB31" w14:textId="77777777" w:rsidR="005F2168" w:rsidRPr="00CB05A8" w:rsidRDefault="005F2168" w:rsidP="005F2168">
      <w:pPr>
        <w:pStyle w:val="Heading4"/>
        <w:numPr>
          <w:ilvl w:val="0"/>
          <w:numId w:val="28"/>
        </w:numPr>
        <w:ind w:left="2016" w:hanging="432"/>
      </w:pPr>
      <w:r w:rsidRPr="00CB05A8">
        <w:t xml:space="preserve"> Discussion</w:t>
      </w:r>
    </w:p>
    <w:p w14:paraId="04EC3A51" w14:textId="40B1784E" w:rsidR="005F2168" w:rsidRPr="00CB05A8" w:rsidRDefault="005905C7" w:rsidP="005F2168">
      <w:pPr>
        <w:ind w:firstLine="720"/>
      </w:pPr>
      <w:r>
        <w:t>“</w:t>
      </w:r>
      <w:r w:rsidR="005F2168" w:rsidRPr="00CB05A8">
        <w:t>Under state and federal constitutional principles, a criminal defendant has the right to be tried by an impartial jury.  (Cal. Const., art. I, § 16; U.S. Const., 6th &amp; 14th Amends.)  With regard to jury selection in a capital case, decisions by this court and the United States Supreme Court have made clear that prospective jurors’ personal opposition to the death penalty is not a sufficient basis on which to remove them from jury service in a capital case, ‘ “so long as they clearly state that they are willing to temporarily set aside their own beliefs in deference to the rule of law.”</w:t>
      </w:r>
      <w:r w:rsidR="00246357">
        <w:t> </w:t>
      </w:r>
      <w:r w:rsidR="005F2168" w:rsidRPr="00CB05A8">
        <w:t>’ ”  (</w:t>
      </w:r>
      <w:r w:rsidR="005F2168" w:rsidRPr="00CB05A8">
        <w:rPr>
          <w:i/>
        </w:rPr>
        <w:t xml:space="preserve">People v. Schultz </w:t>
      </w:r>
      <w:r w:rsidR="005F2168" w:rsidRPr="00CB05A8">
        <w:t xml:space="preserve">(2020) </w:t>
      </w:r>
      <w:r w:rsidR="001577E0">
        <w:t>10</w:t>
      </w:r>
      <w:r w:rsidR="005F2168" w:rsidRPr="00CB05A8">
        <w:t xml:space="preserve"> Cal.5th </w:t>
      </w:r>
      <w:r w:rsidR="001577E0">
        <w:t>623</w:t>
      </w:r>
      <w:r w:rsidR="005F2168" w:rsidRPr="00CB05A8">
        <w:t xml:space="preserve">, </w:t>
      </w:r>
      <w:r w:rsidR="00267448">
        <w:t>646</w:t>
      </w:r>
      <w:r w:rsidR="005F2168" w:rsidRPr="00CB05A8">
        <w:t xml:space="preserve"> (</w:t>
      </w:r>
      <w:r w:rsidR="005F2168" w:rsidRPr="00CB05A8">
        <w:rPr>
          <w:i/>
        </w:rPr>
        <w:t>Schultz</w:t>
      </w:r>
      <w:r w:rsidR="005F2168" w:rsidRPr="00CB05A8">
        <w:t xml:space="preserve">).)  </w:t>
      </w:r>
    </w:p>
    <w:p w14:paraId="7585DBC9" w14:textId="66AE9B83" w:rsidR="005F2168" w:rsidRPr="00CB05A8" w:rsidRDefault="005F2168" w:rsidP="005F2168">
      <w:pPr>
        <w:ind w:firstLine="720"/>
        <w:rPr>
          <w:szCs w:val="26"/>
        </w:rPr>
      </w:pPr>
      <w:r w:rsidRPr="00CB05A8">
        <w:rPr>
          <w:szCs w:val="26"/>
        </w:rPr>
        <w:t xml:space="preserve">Still, excusal for cause is permissible when </w:t>
      </w:r>
      <w:r w:rsidRPr="00CB05A8">
        <w:t>the prospective juror’s beliefs regarding the death penalty “would ‘prevent or substantially impair the performance of his [or her] duties as a juror in accordance with [the court’s] instructions and [the juror’s] oath.’ ”  (</w:t>
      </w:r>
      <w:r w:rsidRPr="00CB05A8">
        <w:rPr>
          <w:i/>
          <w:szCs w:val="26"/>
        </w:rPr>
        <w:t>Wainwright v. Witt</w:t>
      </w:r>
      <w:r w:rsidRPr="00CB05A8">
        <w:rPr>
          <w:szCs w:val="26"/>
        </w:rPr>
        <w:t xml:space="preserve"> (1985) 469 U.S. 412, 424, </w:t>
      </w:r>
      <w:r w:rsidRPr="00CB05A8">
        <w:t xml:space="preserve">quoting </w:t>
      </w:r>
      <w:r w:rsidRPr="00CB05A8">
        <w:rPr>
          <w:i/>
          <w:iCs/>
        </w:rPr>
        <w:t>Adams v. Texas</w:t>
      </w:r>
      <w:r w:rsidRPr="00CB05A8">
        <w:t xml:space="preserve"> (1980) 448 U.S. 38, 45</w:t>
      </w:r>
      <w:r w:rsidR="005905C7">
        <w:t xml:space="preserve"> (</w:t>
      </w:r>
      <w:r w:rsidR="005905C7">
        <w:rPr>
          <w:i/>
          <w:iCs/>
        </w:rPr>
        <w:t>Adams</w:t>
      </w:r>
      <w:r w:rsidR="005905C7">
        <w:t>)</w:t>
      </w:r>
      <w:r w:rsidRPr="00CB05A8">
        <w:t xml:space="preserve">.)  “While a prospective juror may not be excused for cause based on ‘general objections’ or ‘conscientious or religious scruples’ against the death penalty </w:t>
      </w:r>
      <w:r w:rsidR="00527A84">
        <w:t>(</w:t>
      </w:r>
      <w:r w:rsidR="00527A84" w:rsidRPr="00CB05A8">
        <w:rPr>
          <w:i/>
        </w:rPr>
        <w:t>Witherspoon</w:t>
      </w:r>
      <w:r w:rsidR="00527A84">
        <w:rPr>
          <w:iCs/>
        </w:rPr>
        <w:t>[</w:t>
      </w:r>
      <w:r w:rsidR="00527A84" w:rsidRPr="00CB05A8">
        <w:t xml:space="preserve"> </w:t>
      </w:r>
      <w:r w:rsidR="00527A84" w:rsidRPr="00CB05A8">
        <w:rPr>
          <w:i/>
        </w:rPr>
        <w:t>v. Illinois</w:t>
      </w:r>
      <w:r w:rsidR="00527A84" w:rsidRPr="00CB05A8">
        <w:t xml:space="preserve"> (1968)</w:t>
      </w:r>
      <w:r w:rsidR="00527A84">
        <w:t>]</w:t>
      </w:r>
      <w:r w:rsidR="00527A84" w:rsidRPr="00CB05A8">
        <w:t xml:space="preserve"> 391 U.S. </w:t>
      </w:r>
      <w:r w:rsidR="00527A84">
        <w:t>[</w:t>
      </w:r>
      <w:r w:rsidR="00527A84" w:rsidRPr="00CB05A8">
        <w:t>510,</w:t>
      </w:r>
      <w:r w:rsidR="00527A84">
        <w:t>]</w:t>
      </w:r>
      <w:r w:rsidR="00527A84" w:rsidRPr="00CB05A8">
        <w:t xml:space="preserve"> 522</w:t>
      </w:r>
      <w:r w:rsidR="00527A84">
        <w:t>)</w:t>
      </w:r>
      <w:r w:rsidRPr="00CB05A8">
        <w:t xml:space="preserve">, excusal is proper when a prospective juror cannot ‘consider and decide the facts impartially and conscientiously apply the law as charged by the court’ </w:t>
      </w:r>
      <w:r w:rsidR="00176A9D">
        <w:t>(</w:t>
      </w:r>
      <w:r w:rsidR="00176A9D">
        <w:rPr>
          <w:i/>
          <w:iCs/>
        </w:rPr>
        <w:t>Adams</w:t>
      </w:r>
      <w:r w:rsidR="00176A9D">
        <w:t xml:space="preserve">, </w:t>
      </w:r>
      <w:r w:rsidR="00176A9D">
        <w:rPr>
          <w:i/>
          <w:iCs/>
        </w:rPr>
        <w:t>supra</w:t>
      </w:r>
      <w:r w:rsidR="00176A9D">
        <w:t>, 448 U.S. at p.</w:t>
      </w:r>
      <w:r w:rsidR="00643FA4">
        <w:t> </w:t>
      </w:r>
      <w:r w:rsidR="00176A9D">
        <w:t>45)</w:t>
      </w:r>
      <w:r w:rsidRPr="00CB05A8">
        <w:t>.”  (</w:t>
      </w:r>
      <w:r w:rsidRPr="00CB05A8">
        <w:rPr>
          <w:i/>
        </w:rPr>
        <w:t>Schultz</w:t>
      </w:r>
      <w:r w:rsidRPr="00CB05A8">
        <w:t xml:space="preserve">, </w:t>
      </w:r>
      <w:r w:rsidRPr="00CB05A8">
        <w:rPr>
          <w:i/>
        </w:rPr>
        <w:t>supra</w:t>
      </w:r>
      <w:r w:rsidRPr="00CB05A8">
        <w:t xml:space="preserve">, </w:t>
      </w:r>
      <w:r w:rsidR="003A6535">
        <w:t>10</w:t>
      </w:r>
      <w:r w:rsidRPr="00CB05A8">
        <w:t xml:space="preserve"> Cal.5th at p.</w:t>
      </w:r>
      <w:r>
        <w:t> </w:t>
      </w:r>
      <w:r w:rsidR="00AE4457">
        <w:t>649</w:t>
      </w:r>
      <w:r w:rsidRPr="00CB05A8">
        <w:t xml:space="preserve">.)  </w:t>
      </w:r>
    </w:p>
    <w:p w14:paraId="661B04FB" w14:textId="77777777" w:rsidR="00844104" w:rsidRDefault="005F2168" w:rsidP="00844104">
      <w:pPr>
        <w:ind w:firstLine="720"/>
        <w:rPr>
          <w:szCs w:val="26"/>
        </w:rPr>
      </w:pPr>
      <w:r w:rsidRPr="00CB05A8">
        <w:rPr>
          <w:szCs w:val="26"/>
        </w:rPr>
        <w:t>On review, we consider whether the record “fairly supports” the trial court’s determination that a prospective juror’s views on the death penalty would have prevented or substantially impaired her performance as a juror.  (</w:t>
      </w:r>
      <w:r w:rsidRPr="00CB05A8">
        <w:rPr>
          <w:i/>
          <w:szCs w:val="26"/>
        </w:rPr>
        <w:t>People v. Thomas</w:t>
      </w:r>
      <w:r w:rsidRPr="00CB05A8">
        <w:rPr>
          <w:szCs w:val="26"/>
        </w:rPr>
        <w:t xml:space="preserve"> (2011) 52 Cal.4th 336, 357.)  “ ‘ “Generally, a trial court’s rulings on motions to exclude for cause are afforded deference on appeal, for ‘appellate courts recognize that a trial judge who observes and speaks with a prospective juror and hears that person’s responses (noting, among other things, the person’s tone of voice, apparent level of confidence, and demeanor), gleans valuable information that simply does not appear on the record.’ ” ’ ”  (</w:t>
      </w:r>
      <w:r w:rsidRPr="00CB05A8">
        <w:rPr>
          <w:i/>
          <w:szCs w:val="26"/>
        </w:rPr>
        <w:t>Id.</w:t>
      </w:r>
      <w:r w:rsidRPr="00CB05A8">
        <w:rPr>
          <w:szCs w:val="26"/>
        </w:rPr>
        <w:t xml:space="preserve"> at p. 358.)  “ ‘When the prospective juror’s answers on voir dire are conflicting or equivocal, the trial court’s findings as to the prospective juror’s state of mind are binding on appellate courts if supported by substantial evidence.’ ”  (</w:t>
      </w:r>
      <w:r w:rsidRPr="00CB05A8">
        <w:rPr>
          <w:i/>
          <w:szCs w:val="26"/>
        </w:rPr>
        <w:t>People v. Wall</w:t>
      </w:r>
      <w:r w:rsidRPr="00CB05A8">
        <w:rPr>
          <w:i/>
        </w:rPr>
        <w:t xml:space="preserve"> </w:t>
      </w:r>
      <w:r w:rsidRPr="00CB05A8">
        <w:t xml:space="preserve">(2017) 3 Cal.5th 1048, </w:t>
      </w:r>
      <w:r w:rsidRPr="00CB05A8">
        <w:rPr>
          <w:szCs w:val="26"/>
        </w:rPr>
        <w:t>1062 (</w:t>
      </w:r>
      <w:r w:rsidRPr="00CB05A8">
        <w:rPr>
          <w:i/>
          <w:szCs w:val="26"/>
        </w:rPr>
        <w:t>Wall</w:t>
      </w:r>
      <w:r w:rsidRPr="00CB05A8">
        <w:rPr>
          <w:szCs w:val="26"/>
        </w:rPr>
        <w:t xml:space="preserve">); see also </w:t>
      </w:r>
      <w:r w:rsidRPr="00CB05A8">
        <w:rPr>
          <w:i/>
          <w:szCs w:val="26"/>
        </w:rPr>
        <w:t xml:space="preserve">People v. Wilson </w:t>
      </w:r>
      <w:r w:rsidRPr="00CB05A8">
        <w:rPr>
          <w:szCs w:val="26"/>
        </w:rPr>
        <w:t xml:space="preserve">(2008) 44 Cal.4th 758, 779.)  </w:t>
      </w:r>
    </w:p>
    <w:p w14:paraId="66C22D9D" w14:textId="764B7A8A" w:rsidR="005F2168" w:rsidRPr="00844104" w:rsidRDefault="005F2168" w:rsidP="00844104">
      <w:pPr>
        <w:ind w:firstLine="720"/>
        <w:rPr>
          <w:szCs w:val="26"/>
        </w:rPr>
      </w:pPr>
      <w:r w:rsidRPr="00CB05A8">
        <w:rPr>
          <w:szCs w:val="26"/>
        </w:rPr>
        <w:t xml:space="preserve">Prospective Juror </w:t>
      </w:r>
      <w:r w:rsidR="00BC34CA">
        <w:rPr>
          <w:szCs w:val="26"/>
        </w:rPr>
        <w:t xml:space="preserve">No. </w:t>
      </w:r>
      <w:r w:rsidRPr="00CB05A8">
        <w:rPr>
          <w:szCs w:val="26"/>
        </w:rPr>
        <w:t xml:space="preserve">3727’s responses regarding her ability to vote for death indicated that she was not capable of fulfilling her duties as a juror.  Although she described a death vote as a “possibility” following clarification from the court about her discretion, she never stated that she could actually impose the death penalty when warranted, instead reiterating that it would be very difficult for her to do so.  In her questionnaire responses and during </w:t>
      </w:r>
      <w:r w:rsidRPr="00CB05A8">
        <w:rPr>
          <w:i/>
          <w:szCs w:val="26"/>
        </w:rPr>
        <w:t xml:space="preserve">Hovey </w:t>
      </w:r>
      <w:r w:rsidRPr="00CB05A8">
        <w:rPr>
          <w:szCs w:val="26"/>
        </w:rPr>
        <w:t xml:space="preserve">questioning, she stated that she did not know if she would be able to set aside her personal beliefs about the death penalty and apply the law, rules, and instructions as given to her by the court, and later conveyed that she did not think she could do so.  Given Prospective Juror </w:t>
      </w:r>
      <w:r w:rsidR="00891BBE">
        <w:rPr>
          <w:szCs w:val="26"/>
        </w:rPr>
        <w:t xml:space="preserve">No. </w:t>
      </w:r>
      <w:r w:rsidRPr="00CB05A8">
        <w:rPr>
          <w:szCs w:val="26"/>
        </w:rPr>
        <w:t>3727’s repeated equivocation regarding her ability to “conscientiously apply the law as charged by the court” (</w:t>
      </w:r>
      <w:r w:rsidRPr="00CB05A8">
        <w:rPr>
          <w:i/>
          <w:iCs/>
        </w:rPr>
        <w:t>Adams</w:t>
      </w:r>
      <w:r w:rsidRPr="00CB05A8">
        <w:t xml:space="preserve">, </w:t>
      </w:r>
      <w:r w:rsidRPr="00CB05A8">
        <w:rPr>
          <w:i/>
          <w:iCs/>
        </w:rPr>
        <w:t>supra</w:t>
      </w:r>
      <w:r w:rsidRPr="00CB05A8">
        <w:t>, 448 U.S. at p. 45)</w:t>
      </w:r>
      <w:r w:rsidRPr="00CB05A8">
        <w:rPr>
          <w:szCs w:val="26"/>
        </w:rPr>
        <w:t xml:space="preserve">, </w:t>
      </w:r>
      <w:r w:rsidR="002D7BE2">
        <w:rPr>
          <w:szCs w:val="26"/>
        </w:rPr>
        <w:t>w</w:t>
      </w:r>
      <w:r w:rsidRPr="00CB05A8">
        <w:rPr>
          <w:szCs w:val="26"/>
        </w:rPr>
        <w:t xml:space="preserve">e conclude </w:t>
      </w:r>
      <w:r w:rsidR="00095D9A">
        <w:rPr>
          <w:szCs w:val="26"/>
        </w:rPr>
        <w:t xml:space="preserve">that </w:t>
      </w:r>
      <w:r w:rsidRPr="00CB05A8">
        <w:rPr>
          <w:szCs w:val="26"/>
        </w:rPr>
        <w:t>the record fairly supports the trial court’s excusal of the juror for cause.  (</w:t>
      </w:r>
      <w:r w:rsidR="000655EF">
        <w:rPr>
          <w:szCs w:val="26"/>
        </w:rPr>
        <w:t xml:space="preserve">See </w:t>
      </w:r>
      <w:r w:rsidRPr="00CB05A8">
        <w:rPr>
          <w:i/>
        </w:rPr>
        <w:t>Wall</w:t>
      </w:r>
      <w:r w:rsidRPr="00CB05A8">
        <w:t xml:space="preserve">, </w:t>
      </w:r>
      <w:r w:rsidRPr="00CB05A8">
        <w:rPr>
          <w:i/>
        </w:rPr>
        <w:t>supra</w:t>
      </w:r>
      <w:r w:rsidRPr="00CB05A8">
        <w:t xml:space="preserve">, 3 Cal.5th at p. 1063 [upholding excusal of a prospective juror who repeatedly expressed uncertainty regarding her ability to impose a death sentence]; </w:t>
      </w:r>
      <w:r w:rsidRPr="00CB05A8">
        <w:rPr>
          <w:i/>
        </w:rPr>
        <w:t>People v. Duenas</w:t>
      </w:r>
      <w:r w:rsidRPr="00CB05A8">
        <w:t xml:space="preserve"> (2012) 55 Cal.4th 1, </w:t>
      </w:r>
      <w:r w:rsidRPr="00CB05A8">
        <w:rPr>
          <w:shd w:val="clear" w:color="auto" w:fill="FFFFFF"/>
        </w:rPr>
        <w:t>12 (</w:t>
      </w:r>
      <w:r w:rsidRPr="00CB05A8">
        <w:rPr>
          <w:i/>
          <w:shd w:val="clear" w:color="auto" w:fill="FFFFFF"/>
        </w:rPr>
        <w:t>Duenas</w:t>
      </w:r>
      <w:r w:rsidRPr="00CB05A8">
        <w:rPr>
          <w:shd w:val="clear" w:color="auto" w:fill="FFFFFF"/>
        </w:rPr>
        <w:t xml:space="preserve">) [“Comments that a prospective juror would have a ‘hard time’ or find it ‘very difficult’ to vote for death reflect ‘a degree of equivocation’ that, considered ‘with the juror’s . . . demeanor, can justify a trial court’s conclusion . . . that the juror’s views would “ ‘prevent or substantially impair the performance of his duties as a juror . . . .’ ” ’ ”]; </w:t>
      </w:r>
      <w:r w:rsidRPr="00CB05A8">
        <w:rPr>
          <w:i/>
          <w:iCs/>
          <w:szCs w:val="26"/>
        </w:rPr>
        <w:t>People v. Martinez</w:t>
      </w:r>
      <w:r w:rsidRPr="00CB05A8">
        <w:rPr>
          <w:szCs w:val="26"/>
        </w:rPr>
        <w:t xml:space="preserve"> (2009) 47 Cal.4th 399, 431–432 [upholding dismissal of juror even though some of her responses reflected a willingness to follow the law and the court’s instructions]; </w:t>
      </w:r>
      <w:r w:rsidRPr="00CB05A8">
        <w:rPr>
          <w:i/>
          <w:szCs w:val="26"/>
        </w:rPr>
        <w:t>People v. Barnett</w:t>
      </w:r>
      <w:r w:rsidRPr="00CB05A8">
        <w:rPr>
          <w:szCs w:val="26"/>
        </w:rPr>
        <w:t xml:space="preserve"> (1998) 17 Cal.4th 1044, 1114–1115 [same].)  </w:t>
      </w:r>
    </w:p>
    <w:p w14:paraId="2723F606" w14:textId="57BCE213" w:rsidR="00BF1C40" w:rsidRPr="00CB05A8" w:rsidRDefault="004D2B86" w:rsidP="00CB05A8">
      <w:pPr>
        <w:pStyle w:val="Heading3"/>
        <w:rPr>
          <w:b/>
        </w:rPr>
      </w:pPr>
      <w:bookmarkStart w:id="37" w:name="_Toc58918790"/>
      <w:r>
        <w:t>3</w:t>
      </w:r>
      <w:r w:rsidR="00312C79" w:rsidRPr="00CB05A8">
        <w:t xml:space="preserve">.  </w:t>
      </w:r>
      <w:r w:rsidR="00312C79" w:rsidRPr="00CB05A8">
        <w:tab/>
      </w:r>
      <w:r w:rsidR="00A03A51" w:rsidRPr="00CB05A8">
        <w:t>Denial of defendant’s motion to</w:t>
      </w:r>
      <w:r w:rsidR="00BF1C40" w:rsidRPr="00CB05A8">
        <w:t xml:space="preserve"> </w:t>
      </w:r>
      <w:r w:rsidR="00A03A51" w:rsidRPr="00CB05A8">
        <w:t>d</w:t>
      </w:r>
      <w:r w:rsidR="00BF1C40" w:rsidRPr="00CB05A8">
        <w:t xml:space="preserve">ismiss </w:t>
      </w:r>
      <w:r w:rsidR="00A03A51" w:rsidRPr="00CB05A8">
        <w:t>t</w:t>
      </w:r>
      <w:r w:rsidR="004F3F9E" w:rsidRPr="00CB05A8">
        <w:t xml:space="preserve">wo </w:t>
      </w:r>
      <w:r w:rsidR="00A03A51" w:rsidRPr="00CB05A8">
        <w:t>c</w:t>
      </w:r>
      <w:r w:rsidR="004F3F9E" w:rsidRPr="00CB05A8">
        <w:t>ounts</w:t>
      </w:r>
      <w:r w:rsidR="00C1162D" w:rsidRPr="00CB05A8">
        <w:t xml:space="preserve"> </w:t>
      </w:r>
      <w:bookmarkEnd w:id="37"/>
    </w:p>
    <w:p w14:paraId="78E9C65B" w14:textId="4143B7A6" w:rsidR="005202CA" w:rsidRPr="00CB05A8" w:rsidRDefault="00F12FC1" w:rsidP="00F105E8">
      <w:pPr>
        <w:ind w:firstLine="720"/>
      </w:pPr>
      <w:r w:rsidRPr="00CB05A8">
        <w:t xml:space="preserve">Defendant </w:t>
      </w:r>
      <w:r w:rsidR="0002134F" w:rsidRPr="00CB05A8">
        <w:t>contend</w:t>
      </w:r>
      <w:r w:rsidRPr="00CB05A8">
        <w:t xml:space="preserve">s the </w:t>
      </w:r>
      <w:r w:rsidR="007363AD" w:rsidRPr="00CB05A8">
        <w:t>trial</w:t>
      </w:r>
      <w:r w:rsidRPr="00CB05A8">
        <w:t xml:space="preserve"> court erred </w:t>
      </w:r>
      <w:r w:rsidR="000E1DBF" w:rsidRPr="00CB05A8">
        <w:t>when it denied</w:t>
      </w:r>
      <w:r w:rsidRPr="00CB05A8">
        <w:t xml:space="preserve"> his </w:t>
      </w:r>
      <w:r w:rsidR="001B65CE" w:rsidRPr="00CB05A8">
        <w:t xml:space="preserve">section 995 </w:t>
      </w:r>
      <w:r w:rsidRPr="00CB05A8">
        <w:t>motion</w:t>
      </w:r>
      <w:r w:rsidR="00E6473C" w:rsidRPr="00CB05A8">
        <w:t xml:space="preserve"> </w:t>
      </w:r>
      <w:r w:rsidRPr="00CB05A8">
        <w:t xml:space="preserve">to dismiss the counts of conspiracy </w:t>
      </w:r>
      <w:r w:rsidR="001B65CE" w:rsidRPr="00CB05A8">
        <w:t xml:space="preserve">to commit robbery </w:t>
      </w:r>
      <w:r w:rsidRPr="00CB05A8">
        <w:t xml:space="preserve">and attempted robbery of </w:t>
      </w:r>
      <w:r w:rsidR="00215F28" w:rsidRPr="00CB05A8">
        <w:t xml:space="preserve">Marian </w:t>
      </w:r>
      <w:r w:rsidRPr="00CB05A8">
        <w:t>Wilson</w:t>
      </w:r>
      <w:r w:rsidR="007E4606" w:rsidRPr="00CB05A8">
        <w:t xml:space="preserve"> </w:t>
      </w:r>
      <w:r w:rsidR="006471DD" w:rsidRPr="00CB05A8">
        <w:t xml:space="preserve">on the ground that </w:t>
      </w:r>
      <w:r w:rsidR="007E4606" w:rsidRPr="00CB05A8">
        <w:t>there was insufficient evidence to support those counts</w:t>
      </w:r>
      <w:r w:rsidRPr="00CB05A8">
        <w:t xml:space="preserve">.  </w:t>
      </w:r>
      <w:r w:rsidR="006A4C50" w:rsidRPr="00CB05A8">
        <w:t>He maintains</w:t>
      </w:r>
      <w:r w:rsidR="00E95DDC" w:rsidRPr="00CB05A8">
        <w:t xml:space="preserve"> that, as a consequence, </w:t>
      </w:r>
      <w:r w:rsidR="008F01BC" w:rsidRPr="00CB05A8">
        <w:t xml:space="preserve">the </w:t>
      </w:r>
      <w:r w:rsidR="00890BAB" w:rsidRPr="00CB05A8">
        <w:t>prosecutor was allowed to introduce prejudicial evidence of defendant’s prior armed robberies, which</w:t>
      </w:r>
      <w:r w:rsidR="0033216A" w:rsidRPr="00CB05A8">
        <w:t xml:space="preserve"> </w:t>
      </w:r>
      <w:r w:rsidR="006A4C50" w:rsidRPr="00CB05A8">
        <w:t xml:space="preserve">portrayed </w:t>
      </w:r>
      <w:r w:rsidR="00890BAB" w:rsidRPr="00CB05A8">
        <w:t xml:space="preserve">him </w:t>
      </w:r>
      <w:r w:rsidR="006A4C50" w:rsidRPr="00CB05A8">
        <w:t>as a person of bad character</w:t>
      </w:r>
      <w:r w:rsidR="00512ABA" w:rsidRPr="00CB05A8">
        <w:t xml:space="preserve">.  And, he asserts, </w:t>
      </w:r>
      <w:r w:rsidR="00B44875" w:rsidRPr="00CB05A8">
        <w:t xml:space="preserve">this </w:t>
      </w:r>
      <w:r w:rsidR="006A4C50" w:rsidRPr="00CB05A8">
        <w:t xml:space="preserve">predisposed the jury to reject his testimony that he accidentally shot Deputy Trejo.  </w:t>
      </w:r>
      <w:r w:rsidR="00095D9A">
        <w:t>We</w:t>
      </w:r>
      <w:r w:rsidRPr="00CB05A8">
        <w:t xml:space="preserve"> conclude </w:t>
      </w:r>
      <w:r w:rsidR="00F47086" w:rsidRPr="00CB05A8">
        <w:t>the trial court properly denied the motion</w:t>
      </w:r>
      <w:r w:rsidRPr="00CB05A8">
        <w:t xml:space="preserve">.  </w:t>
      </w:r>
    </w:p>
    <w:p w14:paraId="1B2E05C8" w14:textId="2BFDD532" w:rsidR="001D3B47" w:rsidRPr="00CB05A8" w:rsidRDefault="000E1DBF" w:rsidP="00F105E8">
      <w:pPr>
        <w:pStyle w:val="Heading4"/>
        <w:numPr>
          <w:ilvl w:val="0"/>
          <w:numId w:val="34"/>
        </w:numPr>
        <w:ind w:left="2016" w:hanging="432"/>
      </w:pPr>
      <w:bookmarkStart w:id="38" w:name="_Toc58918791"/>
      <w:r w:rsidRPr="00CB05A8">
        <w:t>Background</w:t>
      </w:r>
      <w:bookmarkEnd w:id="38"/>
    </w:p>
    <w:p w14:paraId="7005448A" w14:textId="6476C08B" w:rsidR="00701E46" w:rsidRPr="00CB05A8" w:rsidRDefault="00701E46" w:rsidP="00F105E8">
      <w:pPr>
        <w:ind w:firstLine="720"/>
      </w:pPr>
      <w:r w:rsidRPr="00CB05A8">
        <w:t>As pertinent here, the complaint charged defendant and Moore with conspiracy to commit robbery</w:t>
      </w:r>
      <w:r w:rsidR="00215F28" w:rsidRPr="00CB05A8">
        <w:t xml:space="preserve"> of Wilson</w:t>
      </w:r>
      <w:r w:rsidRPr="00CB05A8">
        <w:t xml:space="preserve">, attempted robbery of Wilson, and attempted robbery of patrons and employees of the R&amp;S Bar.  It also alleged in the fourth special circumstance that the murder of Deputy Trejo took place during an attempted robbery of the R&amp;S Bar.  </w:t>
      </w:r>
      <w:r w:rsidR="00F615C9" w:rsidRPr="00CB05A8">
        <w:t>In connection with the attempted robbery counts</w:t>
      </w:r>
      <w:r w:rsidR="008D60D8" w:rsidRPr="00CB05A8">
        <w:t>, t</w:t>
      </w:r>
      <w:r w:rsidRPr="00CB05A8">
        <w:t xml:space="preserve">he prosecution sought to admit evidence of defendant’s prior </w:t>
      </w:r>
      <w:r w:rsidR="003E52FA" w:rsidRPr="00CB05A8">
        <w:t xml:space="preserve">armed </w:t>
      </w:r>
      <w:r w:rsidRPr="00CB05A8">
        <w:t xml:space="preserve">robberies under Evidence Code section 1101, subdivision (b) as evidence of intent and common plan or scheme.  </w:t>
      </w:r>
      <w:r w:rsidR="009878E4" w:rsidRPr="00CB05A8">
        <w:t xml:space="preserve">  </w:t>
      </w:r>
    </w:p>
    <w:p w14:paraId="152357C6" w14:textId="06CC2617" w:rsidR="00701E46" w:rsidRPr="00CB05A8" w:rsidRDefault="00701E46" w:rsidP="00F105E8">
      <w:pPr>
        <w:ind w:firstLine="720"/>
      </w:pPr>
      <w:r w:rsidRPr="00CB05A8">
        <w:t>At the preliminary hearing, the prosecution presented the following evidence in support of the conspiracy to commit robbery and attempted robbery of Wilson:  Wilson and Sung Won Kim owned Sushi Hana, a restaurant located in Sebastopol.  On March 29, 1995,</w:t>
      </w:r>
      <w:r w:rsidR="0019459E" w:rsidRPr="00CB05A8">
        <w:t xml:space="preserve"> at approximately 9:00</w:t>
      </w:r>
      <w:r w:rsidR="002140EA" w:rsidRPr="00CB05A8">
        <w:t> </w:t>
      </w:r>
      <w:r w:rsidR="0019459E" w:rsidRPr="00CB05A8">
        <w:t>p.m.,</w:t>
      </w:r>
      <w:r w:rsidRPr="00CB05A8">
        <w:t xml:space="preserve"> </w:t>
      </w:r>
      <w:r w:rsidR="0019459E" w:rsidRPr="00CB05A8">
        <w:t xml:space="preserve">Wilson and Kim closed </w:t>
      </w:r>
      <w:r w:rsidRPr="00CB05A8">
        <w:t xml:space="preserve">Sushi Hana to customers but remained inside to </w:t>
      </w:r>
      <w:r w:rsidR="00E87141">
        <w:t xml:space="preserve">clean and </w:t>
      </w:r>
      <w:r w:rsidR="00EA1F5D" w:rsidRPr="00CB05A8">
        <w:t>shut</w:t>
      </w:r>
      <w:r w:rsidRPr="00CB05A8">
        <w:t xml:space="preserve"> the restaurant.  Wilson </w:t>
      </w:r>
      <w:r w:rsidR="00CB60DD" w:rsidRPr="00CB05A8">
        <w:t>went</w:t>
      </w:r>
      <w:r w:rsidRPr="00CB05A8">
        <w:t xml:space="preserve"> grocery shopping</w:t>
      </w:r>
      <w:r w:rsidR="00FE04C5" w:rsidRPr="00CB05A8">
        <w:t xml:space="preserve"> about an hour later</w:t>
      </w:r>
      <w:r w:rsidRPr="00CB05A8">
        <w:t xml:space="preserve">.  As she was </w:t>
      </w:r>
      <w:r w:rsidR="003F6E34" w:rsidRPr="00CB05A8">
        <w:t>returning</w:t>
      </w:r>
      <w:r w:rsidRPr="00CB05A8">
        <w:t xml:space="preserve"> to Sushi Hana, Wilson observed a green pickup truck parked around the corner </w:t>
      </w:r>
      <w:r w:rsidR="004C309C" w:rsidRPr="00CB05A8">
        <w:t xml:space="preserve">from the restaurant </w:t>
      </w:r>
      <w:r w:rsidRPr="00CB05A8">
        <w:t xml:space="preserve">with two people sitting inside.  Wilson noticed the unusual rack on the back of the </w:t>
      </w:r>
      <w:r w:rsidR="003F6E34" w:rsidRPr="00CB05A8">
        <w:t>t</w:t>
      </w:r>
      <w:r w:rsidRPr="00CB05A8">
        <w:t xml:space="preserve">ruck.  </w:t>
      </w:r>
      <w:r w:rsidR="00C77335" w:rsidRPr="00CB05A8">
        <w:t xml:space="preserve">She </w:t>
      </w:r>
      <w:r w:rsidRPr="00CB05A8">
        <w:t xml:space="preserve">parked </w:t>
      </w:r>
      <w:r w:rsidR="003F6E34" w:rsidRPr="00CB05A8">
        <w:t xml:space="preserve">her vehicle </w:t>
      </w:r>
      <w:r w:rsidRPr="00CB05A8">
        <w:t xml:space="preserve">across the street from Sushi Hana </w:t>
      </w:r>
      <w:r w:rsidR="00B031B9" w:rsidRPr="00CB05A8">
        <w:t xml:space="preserve">and went inside </w:t>
      </w:r>
      <w:r w:rsidRPr="00CB05A8">
        <w:t xml:space="preserve">to retrieve the </w:t>
      </w:r>
      <w:r w:rsidR="00FD24C3" w:rsidRPr="00CB05A8">
        <w:t xml:space="preserve">mail and </w:t>
      </w:r>
      <w:r w:rsidRPr="00CB05A8">
        <w:t xml:space="preserve">day’s receipts.  When Wilson left the restaurant and began to cross the street, she noticed </w:t>
      </w:r>
      <w:r w:rsidR="001D11C3" w:rsidRPr="00CB05A8">
        <w:t xml:space="preserve">that </w:t>
      </w:r>
      <w:r w:rsidRPr="00CB05A8">
        <w:t xml:space="preserve">the same green pickup truck </w:t>
      </w:r>
      <w:r w:rsidR="001D11C3" w:rsidRPr="00CB05A8">
        <w:t xml:space="preserve">was </w:t>
      </w:r>
      <w:r w:rsidRPr="00CB05A8">
        <w:t xml:space="preserve">now parked in front of her vehicle with the passenger door open.  </w:t>
      </w:r>
      <w:r w:rsidR="00071227">
        <w:t>As</w:t>
      </w:r>
      <w:r w:rsidR="003F59B7" w:rsidRPr="00CB05A8">
        <w:t xml:space="preserve"> </w:t>
      </w:r>
      <w:r w:rsidRPr="00CB05A8">
        <w:t xml:space="preserve">Wilson </w:t>
      </w:r>
      <w:r w:rsidR="003F59B7" w:rsidRPr="00CB05A8">
        <w:t>got into</w:t>
      </w:r>
      <w:r w:rsidRPr="00CB05A8">
        <w:t xml:space="preserve"> her vehicle, she saw </w:t>
      </w:r>
      <w:r w:rsidR="00CD5467" w:rsidRPr="00CB05A8">
        <w:t>both</w:t>
      </w:r>
      <w:r w:rsidRPr="00CB05A8">
        <w:t xml:space="preserve"> individuals exit the pickup truck and walk toward her.  Wilson quickly drove away, circled the block, and </w:t>
      </w:r>
      <w:r w:rsidR="00CD5467" w:rsidRPr="00CB05A8">
        <w:t>saw the pickup truck leaving</w:t>
      </w:r>
      <w:r w:rsidRPr="00CB05A8">
        <w:t xml:space="preserve">.  </w:t>
      </w:r>
      <w:r w:rsidR="00CD5467" w:rsidRPr="00CB05A8">
        <w:t>Wilson deposited the mail and returned to Sushi Hana</w:t>
      </w:r>
      <w:r w:rsidRPr="00CB05A8">
        <w:t xml:space="preserve">.  Although Wilson did not see </w:t>
      </w:r>
      <w:r w:rsidR="00FD24C3" w:rsidRPr="00CB05A8">
        <w:t xml:space="preserve">either individual </w:t>
      </w:r>
      <w:r w:rsidRPr="00CB05A8">
        <w:t xml:space="preserve">holding a weapon, the prosecution presented evidence that </w:t>
      </w:r>
      <w:r w:rsidR="006A4C50" w:rsidRPr="00CB05A8">
        <w:t>defendant</w:t>
      </w:r>
      <w:r w:rsidRPr="00CB05A8">
        <w:t xml:space="preserve"> was in possession of a sawed-off shotgun that evening.  </w:t>
      </w:r>
      <w:r w:rsidR="00E05990" w:rsidRPr="00CB05A8">
        <w:t xml:space="preserve">Wilson identified Moore as the woman in the pickup truck.  </w:t>
      </w:r>
    </w:p>
    <w:p w14:paraId="07EB014D" w14:textId="76401379" w:rsidR="00701E46" w:rsidRPr="00CB05A8" w:rsidRDefault="00701E46" w:rsidP="00F105E8">
      <w:pPr>
        <w:ind w:firstLine="720"/>
      </w:pPr>
      <w:r w:rsidRPr="00CB05A8">
        <w:t xml:space="preserve">Following the </w:t>
      </w:r>
      <w:r w:rsidR="006A4C50" w:rsidRPr="00CB05A8">
        <w:t xml:space="preserve">preliminary </w:t>
      </w:r>
      <w:r w:rsidRPr="00CB05A8">
        <w:t xml:space="preserve">hearing, the magistrate judge found </w:t>
      </w:r>
      <w:r w:rsidR="00DC1734" w:rsidRPr="00CB05A8">
        <w:t xml:space="preserve">there was </w:t>
      </w:r>
      <w:r w:rsidR="00193E99" w:rsidRPr="00CB05A8">
        <w:t>in</w:t>
      </w:r>
      <w:r w:rsidRPr="00CB05A8">
        <w:t>sufficient evidence to hold defendant and Moore on the charges of conspiracy</w:t>
      </w:r>
      <w:r w:rsidR="00743A02" w:rsidRPr="00CB05A8">
        <w:t xml:space="preserve"> to commit robbery </w:t>
      </w:r>
      <w:r w:rsidR="00D55A8F" w:rsidRPr="00CB05A8">
        <w:t>of Wilson</w:t>
      </w:r>
      <w:r w:rsidRPr="00CB05A8">
        <w:t>,</w:t>
      </w:r>
      <w:r w:rsidR="00D55A8F" w:rsidRPr="00CB05A8">
        <w:t xml:space="preserve"> the</w:t>
      </w:r>
      <w:r w:rsidRPr="00CB05A8">
        <w:t xml:space="preserve"> attempted robberies</w:t>
      </w:r>
      <w:r w:rsidR="00D55A8F" w:rsidRPr="00CB05A8">
        <w:t xml:space="preserve"> of Wilson and the R&amp;S Bar patrons</w:t>
      </w:r>
      <w:r w:rsidRPr="00CB05A8">
        <w:t>, and the attempted</w:t>
      </w:r>
      <w:r w:rsidR="00E86D88" w:rsidRPr="00CB05A8">
        <w:t>-</w:t>
      </w:r>
      <w:r w:rsidRPr="00CB05A8">
        <w:t xml:space="preserve">robbery-murder special circumstance.  </w:t>
      </w:r>
      <w:r w:rsidR="00E86D88" w:rsidRPr="00CB05A8">
        <w:t xml:space="preserve">The magistrate judge </w:t>
      </w:r>
      <w:r w:rsidR="006071E2" w:rsidRPr="00CB05A8">
        <w:t>also</w:t>
      </w:r>
      <w:r w:rsidR="006071E2" w:rsidRPr="00CB05A8">
        <w:rPr>
          <w:color w:val="FF0000"/>
        </w:rPr>
        <w:t xml:space="preserve"> </w:t>
      </w:r>
      <w:r w:rsidR="006071E2" w:rsidRPr="00CB05A8">
        <w:t xml:space="preserve">denied the prosecution’s motion to admit </w:t>
      </w:r>
      <w:r w:rsidR="009F1C23">
        <w:t xml:space="preserve">evidence of </w:t>
      </w:r>
      <w:r w:rsidR="006071E2" w:rsidRPr="00CB05A8">
        <w:t xml:space="preserve">defendant’s prior </w:t>
      </w:r>
      <w:r w:rsidR="009F1C23">
        <w:t>armed robberies</w:t>
      </w:r>
      <w:r w:rsidR="006071E2" w:rsidRPr="00CB05A8">
        <w:t xml:space="preserve">, finding the prior crimes and </w:t>
      </w:r>
      <w:r w:rsidR="00F55C53" w:rsidRPr="00CB05A8">
        <w:t xml:space="preserve">charged </w:t>
      </w:r>
      <w:r w:rsidR="006071E2" w:rsidRPr="00CB05A8">
        <w:t xml:space="preserve">offenses were not sufficiently similar.    </w:t>
      </w:r>
    </w:p>
    <w:p w14:paraId="04D16466" w14:textId="2387FE3A" w:rsidR="00701E46" w:rsidRPr="00CB05A8" w:rsidRDefault="00701E46" w:rsidP="00F105E8">
      <w:pPr>
        <w:ind w:firstLine="720"/>
        <w:rPr>
          <w:color w:val="000000" w:themeColor="text1"/>
        </w:rPr>
      </w:pPr>
      <w:r w:rsidRPr="00CB05A8">
        <w:t xml:space="preserve">Subsequently, the prosecution filed an information </w:t>
      </w:r>
      <w:r w:rsidR="00557468" w:rsidRPr="00CB05A8">
        <w:t>recharging</w:t>
      </w:r>
      <w:r w:rsidRPr="00CB05A8">
        <w:t xml:space="preserve"> defendant with</w:t>
      </w:r>
      <w:r w:rsidR="001A33C7" w:rsidRPr="00CB05A8">
        <w:t>, among other offenses,</w:t>
      </w:r>
      <w:r w:rsidRPr="00CB05A8">
        <w:t xml:space="preserve"> </w:t>
      </w:r>
      <w:r w:rsidR="00D05CD5" w:rsidRPr="00CB05A8">
        <w:t xml:space="preserve">the same </w:t>
      </w:r>
      <w:r w:rsidR="001A33C7" w:rsidRPr="00CB05A8">
        <w:t xml:space="preserve">counts that the magistrate judge had </w:t>
      </w:r>
      <w:r w:rsidR="00B55C9D" w:rsidRPr="00CB05A8">
        <w:t>dismissed based on insufficient evidence</w:t>
      </w:r>
      <w:r w:rsidRPr="00CB05A8">
        <w:t xml:space="preserve">.  </w:t>
      </w:r>
      <w:r w:rsidR="007941D4" w:rsidRPr="00CB05A8">
        <w:t>(§ </w:t>
      </w:r>
      <w:r w:rsidR="00F25735" w:rsidRPr="00CB05A8">
        <w:t xml:space="preserve">739.)  </w:t>
      </w:r>
      <w:r w:rsidRPr="00CB05A8">
        <w:t xml:space="preserve">The </w:t>
      </w:r>
      <w:r w:rsidR="002C7DC9" w:rsidRPr="00CB05A8">
        <w:t xml:space="preserve">trial </w:t>
      </w:r>
      <w:r w:rsidRPr="00CB05A8">
        <w:t xml:space="preserve">court granted defendant’s motion to dismiss the attempted robbery of R&amp;S Bar </w:t>
      </w:r>
      <w:r w:rsidR="001D5A0A" w:rsidRPr="00CB05A8">
        <w:t xml:space="preserve">patrons </w:t>
      </w:r>
      <w:r w:rsidRPr="00CB05A8">
        <w:t>and attempted</w:t>
      </w:r>
      <w:r w:rsidR="001D5A0A" w:rsidRPr="00CB05A8">
        <w:t>-</w:t>
      </w:r>
      <w:r w:rsidRPr="00CB05A8">
        <w:t>robbery-murder special</w:t>
      </w:r>
      <w:r w:rsidR="004A6339">
        <w:t>-</w:t>
      </w:r>
      <w:r w:rsidRPr="00CB05A8">
        <w:t xml:space="preserve">circumstance allegation, but denied the motion as to conspiracy </w:t>
      </w:r>
      <w:r w:rsidR="009A08B5" w:rsidRPr="00CB05A8">
        <w:t xml:space="preserve">to commit robbery </w:t>
      </w:r>
      <w:r w:rsidRPr="00CB05A8">
        <w:t xml:space="preserve">and attempted robbery of Wilson.  </w:t>
      </w:r>
      <w:r w:rsidR="005C2351" w:rsidRPr="00CB05A8">
        <w:t xml:space="preserve">It </w:t>
      </w:r>
      <w:r w:rsidR="00CE3E39" w:rsidRPr="00CB05A8">
        <w:t>found</w:t>
      </w:r>
      <w:r w:rsidR="001D756B" w:rsidRPr="00CB05A8">
        <w:t xml:space="preserve"> that the prosecution had presented sufficient evidence </w:t>
      </w:r>
      <w:r w:rsidR="00CE3E39" w:rsidRPr="00CB05A8">
        <w:t xml:space="preserve">at the preliminary hearing </w:t>
      </w:r>
      <w:r w:rsidR="001D756B" w:rsidRPr="00CB05A8">
        <w:t xml:space="preserve">to charge defendant with conspiracy and attempted robbery of Wilson.  </w:t>
      </w:r>
      <w:r w:rsidRPr="00CB05A8">
        <w:t>The court also admitted</w:t>
      </w:r>
      <w:r w:rsidR="00D80679" w:rsidRPr="00CB05A8">
        <w:t xml:space="preserve"> evidence</w:t>
      </w:r>
      <w:r w:rsidR="00045B4C" w:rsidRPr="00CB05A8">
        <w:t xml:space="preserve"> establishing</w:t>
      </w:r>
      <w:r w:rsidRPr="00CB05A8">
        <w:t xml:space="preserve"> four of the prior robberies under Evidence Code section 1101</w:t>
      </w:r>
      <w:r w:rsidR="00D906FB" w:rsidRPr="00CB05A8">
        <w:t xml:space="preserve">, subdivision </w:t>
      </w:r>
      <w:r w:rsidRPr="00CB05A8">
        <w:t xml:space="preserve">(b), </w:t>
      </w:r>
      <w:r w:rsidR="00E67934" w:rsidRPr="00CB05A8">
        <w:t xml:space="preserve">finding </w:t>
      </w:r>
      <w:r w:rsidRPr="00CB05A8">
        <w:t xml:space="preserve">they </w:t>
      </w:r>
      <w:r w:rsidR="00E67934" w:rsidRPr="00CB05A8">
        <w:t>bore sufficient similarities</w:t>
      </w:r>
      <w:r w:rsidRPr="00CB05A8">
        <w:t xml:space="preserve"> to the charged offenses of conspiracy to commit robbery and attempted robbery of Wilson.  </w:t>
      </w:r>
    </w:p>
    <w:p w14:paraId="5D9E125F" w14:textId="1B2C150F" w:rsidR="006B0CF3" w:rsidRPr="00CB05A8" w:rsidRDefault="00FE3284" w:rsidP="00F105E8">
      <w:pPr>
        <w:ind w:firstLine="720"/>
      </w:pPr>
      <w:r w:rsidRPr="00CB05A8">
        <w:t>After the close of the</w:t>
      </w:r>
      <w:r w:rsidR="006B0CF3" w:rsidRPr="00CB05A8">
        <w:t xml:space="preserve"> prosecution’s case, the </w:t>
      </w:r>
      <w:r w:rsidR="007363AD" w:rsidRPr="00CB05A8">
        <w:t>trial</w:t>
      </w:r>
      <w:r w:rsidR="006B0CF3" w:rsidRPr="00CB05A8">
        <w:t xml:space="preserve"> court granted the defense’s motion for judgment of acquittal on the attempted robbery charge based on insufficient evidence.  The jury hung on the conspiracy charge and the court declared a mistrial on that count.  </w:t>
      </w:r>
    </w:p>
    <w:p w14:paraId="2E2281A7" w14:textId="02152F79" w:rsidR="00D45827" w:rsidRPr="00CB05A8" w:rsidRDefault="00D45827" w:rsidP="00F105E8">
      <w:pPr>
        <w:pStyle w:val="Heading4"/>
        <w:numPr>
          <w:ilvl w:val="0"/>
          <w:numId w:val="34"/>
        </w:numPr>
        <w:ind w:left="2016" w:hanging="432"/>
      </w:pPr>
      <w:bookmarkStart w:id="39" w:name="_Toc58918792"/>
      <w:r w:rsidRPr="00CB05A8">
        <w:t>Discussion</w:t>
      </w:r>
      <w:bookmarkEnd w:id="39"/>
      <w:r w:rsidRPr="00CB05A8">
        <w:t xml:space="preserve"> </w:t>
      </w:r>
    </w:p>
    <w:p w14:paraId="1FF397AD" w14:textId="528480DA" w:rsidR="00FA3156" w:rsidRDefault="006E30D9" w:rsidP="006C4148">
      <w:pPr>
        <w:ind w:firstLine="720"/>
      </w:pPr>
      <w:r w:rsidRPr="006E30D9">
        <w:t>“</w:t>
      </w:r>
      <w:r>
        <w:t>W</w:t>
      </w:r>
      <w:r w:rsidRPr="006E30D9">
        <w:t>hen the defendant challenges the district attorney’s election to include charges for which defendant was not held to answer at the preliminary hearing, ‘[t]he character of judicial review under section 739 depends on whether the magistrate has exercised his power to render findings of fact.  If he has made findings, those findings are conclusive if supported by substantial evidence.  [Citations.]  If he has not rendered findings, however, the reviewing court cannot assume that he has resolved factual disputes or passed upon the credibility of witnesses.  A dismissal unsupported by findings therefore receives the independent scrutiny appropriate for review of questions of law.  The cases arising under section 739 explain this distinction.’</w:t>
      </w:r>
      <w:r w:rsidR="00F8442A">
        <w:t> </w:t>
      </w:r>
      <w:r w:rsidRPr="006E30D9">
        <w:t>”  (</w:t>
      </w:r>
      <w:r w:rsidRPr="00EB5DC7">
        <w:rPr>
          <w:i/>
          <w:iCs/>
        </w:rPr>
        <w:t>People v. Bautista</w:t>
      </w:r>
      <w:r w:rsidRPr="006E30D9">
        <w:t xml:space="preserve"> (2014) 223 Cal.App.4th 1096, 1101</w:t>
      </w:r>
      <w:r w:rsidR="00751D19">
        <w:t xml:space="preserve"> (</w:t>
      </w:r>
      <w:r w:rsidR="00751D19">
        <w:rPr>
          <w:i/>
          <w:iCs/>
        </w:rPr>
        <w:t>Bautista</w:t>
      </w:r>
      <w:r w:rsidR="00751D19">
        <w:t>)</w:t>
      </w:r>
      <w:r w:rsidRPr="006E30D9">
        <w:t xml:space="preserve">, quoting </w:t>
      </w:r>
      <w:r w:rsidRPr="006E72A6">
        <w:rPr>
          <w:i/>
          <w:iCs/>
        </w:rPr>
        <w:t>People v. Slaughter</w:t>
      </w:r>
      <w:r w:rsidRPr="006E72A6">
        <w:t xml:space="preserve"> </w:t>
      </w:r>
      <w:r w:rsidRPr="006E30D9">
        <w:t xml:space="preserve">(1984) 35 Cal.3d 629, 638; see also </w:t>
      </w:r>
      <w:r w:rsidRPr="00EB5DC7">
        <w:rPr>
          <w:i/>
          <w:iCs/>
        </w:rPr>
        <w:t>Pizano v. Superior Court of Tulare County</w:t>
      </w:r>
      <w:r w:rsidRPr="006E30D9">
        <w:t xml:space="preserve"> (1978) 21 Cal.3d 128, 133 </w:t>
      </w:r>
      <w:r w:rsidR="00751D19">
        <w:t>(</w:t>
      </w:r>
      <w:r w:rsidR="00751D19">
        <w:rPr>
          <w:i/>
          <w:iCs/>
        </w:rPr>
        <w:t>Pizano</w:t>
      </w:r>
      <w:r w:rsidR="00751D19">
        <w:t>)</w:t>
      </w:r>
      <w:r w:rsidR="00751D19">
        <w:rPr>
          <w:i/>
          <w:iCs/>
        </w:rPr>
        <w:t xml:space="preserve"> </w:t>
      </w:r>
      <w:r w:rsidRPr="006E30D9">
        <w:t>[“</w:t>
      </w:r>
      <w:r w:rsidR="009A4297">
        <w:t>[A]</w:t>
      </w:r>
      <w:r w:rsidRPr="006E30D9">
        <w:t xml:space="preserve">n offense not named in the commitment order may not be added to the information if the magistrate made </w:t>
      </w:r>
      <w:r w:rsidRPr="00EB5DC7">
        <w:rPr>
          <w:i/>
          <w:iCs/>
        </w:rPr>
        <w:t>factual findings</w:t>
      </w:r>
      <w:r w:rsidRPr="006E30D9">
        <w:t xml:space="preserve"> which are fatal to the asserted conclusion that the offense was committed. . . . When, however, the magistrate either expressly or impliedly accepts the evidence and simply reaches the ultimate </w:t>
      </w:r>
      <w:r w:rsidRPr="00EB5DC7">
        <w:rPr>
          <w:i/>
          <w:iCs/>
        </w:rPr>
        <w:t xml:space="preserve">legal </w:t>
      </w:r>
      <w:r w:rsidRPr="006E30D9">
        <w:t>conclusion that it does not provide probable cause to believe the offense was committed, such conclusion is open to challenge by adding the offense to the information</w:t>
      </w:r>
      <w:r w:rsidR="009129B4">
        <w:t>.</w:t>
      </w:r>
      <w:r w:rsidRPr="006E30D9">
        <w:t xml:space="preserve">”].)  </w:t>
      </w:r>
    </w:p>
    <w:p w14:paraId="56D14609" w14:textId="7830A769" w:rsidR="006E30D9" w:rsidRPr="00CB05A8" w:rsidRDefault="002F0804" w:rsidP="00EB5DC7">
      <w:pPr>
        <w:ind w:firstLine="720"/>
      </w:pPr>
      <w:r>
        <w:t xml:space="preserve">Here, the preliminary hearing transcript reflects that the magistrate </w:t>
      </w:r>
      <w:r w:rsidR="009129B4">
        <w:t xml:space="preserve">judge </w:t>
      </w:r>
      <w:r>
        <w:t>did not make factual findings or credibility determinations, but simply concluded that the People did not put forth sufficient evidence to support the charges</w:t>
      </w:r>
      <w:r w:rsidR="0051151C">
        <w:t xml:space="preserve">.  Accordingly, we </w:t>
      </w:r>
      <w:r w:rsidR="001212C2" w:rsidRPr="0045647F">
        <w:rPr>
          <w:color w:val="212121"/>
          <w:szCs w:val="26"/>
          <w:bdr w:val="none" w:sz="0" w:space="0" w:color="auto" w:frame="1"/>
        </w:rPr>
        <w:t xml:space="preserve">independently determine the sufficiency of the record at the preliminary hearing </w:t>
      </w:r>
      <w:r w:rsidR="001212C2">
        <w:rPr>
          <w:color w:val="212121"/>
          <w:szCs w:val="26"/>
          <w:bdr w:val="none" w:sz="0" w:space="0" w:color="auto" w:frame="1"/>
        </w:rPr>
        <w:t>to</w:t>
      </w:r>
      <w:r w:rsidR="001212C2" w:rsidRPr="0045647F">
        <w:rPr>
          <w:color w:val="212121"/>
          <w:szCs w:val="26"/>
          <w:bdr w:val="none" w:sz="0" w:space="0" w:color="auto" w:frame="1"/>
        </w:rPr>
        <w:t xml:space="preserve"> support the charges related to Wilson</w:t>
      </w:r>
      <w:r w:rsidR="001212C2" w:rsidRPr="0045647F">
        <w:rPr>
          <w:szCs w:val="26"/>
        </w:rPr>
        <w:t>.</w:t>
      </w:r>
      <w:r w:rsidR="0032060B">
        <w:rPr>
          <w:szCs w:val="26"/>
        </w:rPr>
        <w:t xml:space="preserve">  (</w:t>
      </w:r>
      <w:r w:rsidR="0032060B">
        <w:rPr>
          <w:i/>
          <w:iCs/>
          <w:szCs w:val="26"/>
        </w:rPr>
        <w:t>Pizano</w:t>
      </w:r>
      <w:r w:rsidR="0032060B">
        <w:rPr>
          <w:szCs w:val="26"/>
        </w:rPr>
        <w:t xml:space="preserve">, </w:t>
      </w:r>
      <w:r w:rsidR="004E66D9">
        <w:rPr>
          <w:i/>
          <w:iCs/>
          <w:szCs w:val="26"/>
        </w:rPr>
        <w:t>supra</w:t>
      </w:r>
      <w:r w:rsidR="004E66D9">
        <w:rPr>
          <w:szCs w:val="26"/>
        </w:rPr>
        <w:t>,</w:t>
      </w:r>
      <w:r w:rsidR="004E66D9">
        <w:rPr>
          <w:i/>
          <w:iCs/>
          <w:szCs w:val="26"/>
        </w:rPr>
        <w:t xml:space="preserve"> </w:t>
      </w:r>
      <w:r w:rsidR="004E66D9">
        <w:rPr>
          <w:szCs w:val="26"/>
        </w:rPr>
        <w:t xml:space="preserve">21 Cal.3d </w:t>
      </w:r>
      <w:r w:rsidR="0032060B">
        <w:rPr>
          <w:szCs w:val="26"/>
        </w:rPr>
        <w:t>at pp. 133–134</w:t>
      </w:r>
      <w:r w:rsidR="004E66D9">
        <w:rPr>
          <w:szCs w:val="26"/>
        </w:rPr>
        <w:t xml:space="preserve">; </w:t>
      </w:r>
      <w:r w:rsidR="00751D19">
        <w:rPr>
          <w:i/>
          <w:iCs/>
          <w:szCs w:val="26"/>
        </w:rPr>
        <w:t>Bautista</w:t>
      </w:r>
      <w:r w:rsidR="00751D19">
        <w:rPr>
          <w:szCs w:val="26"/>
        </w:rPr>
        <w:t xml:space="preserve">, </w:t>
      </w:r>
      <w:r w:rsidR="00751D19">
        <w:rPr>
          <w:i/>
          <w:iCs/>
          <w:szCs w:val="26"/>
        </w:rPr>
        <w:t>supra</w:t>
      </w:r>
      <w:r w:rsidR="00751D19">
        <w:rPr>
          <w:szCs w:val="26"/>
        </w:rPr>
        <w:t>, 223</w:t>
      </w:r>
      <w:r w:rsidR="00643FA4">
        <w:rPr>
          <w:szCs w:val="26"/>
        </w:rPr>
        <w:t> </w:t>
      </w:r>
      <w:r w:rsidR="00751D19">
        <w:rPr>
          <w:szCs w:val="26"/>
        </w:rPr>
        <w:t>Cal.App.4th at p. 1103</w:t>
      </w:r>
      <w:r w:rsidR="0032060B">
        <w:rPr>
          <w:szCs w:val="26"/>
        </w:rPr>
        <w:t>.)</w:t>
      </w:r>
      <w:r w:rsidR="001212C2" w:rsidRPr="0045647F">
        <w:rPr>
          <w:szCs w:val="26"/>
        </w:rPr>
        <w:t xml:space="preserve">  </w:t>
      </w:r>
    </w:p>
    <w:p w14:paraId="54822B9F" w14:textId="18868ED0" w:rsidR="0054233C" w:rsidRPr="00CB05A8" w:rsidRDefault="00E050EE" w:rsidP="00F105E8">
      <w:pPr>
        <w:ind w:firstLine="720"/>
      </w:pPr>
      <w:r w:rsidRPr="00CB05A8">
        <w:t xml:space="preserve">To establish probable cause sufficient to overcome a section 995 motion, </w:t>
      </w:r>
      <w:r w:rsidR="00E65BC7">
        <w:t>“</w:t>
      </w:r>
      <w:r w:rsidRPr="00CB05A8">
        <w:t>the People must make some showing as to the existence of each element of the charged offense.</w:t>
      </w:r>
      <w:r w:rsidR="00644BB9" w:rsidRPr="00CB05A8">
        <w:t>”</w:t>
      </w:r>
      <w:r w:rsidRPr="00CB05A8">
        <w:t xml:space="preserve">  (</w:t>
      </w:r>
      <w:r w:rsidRPr="00CB05A8">
        <w:rPr>
          <w:i/>
        </w:rPr>
        <w:t>Thompson v. Superior Court</w:t>
      </w:r>
      <w:r w:rsidRPr="00CB05A8">
        <w:t xml:space="preserve"> (2001) 91 Cal.App.4th 144, 148</w:t>
      </w:r>
      <w:r w:rsidR="001E4CCA" w:rsidRPr="00CB05A8">
        <w:t xml:space="preserve"> (</w:t>
      </w:r>
      <w:r w:rsidR="001E4CCA" w:rsidRPr="00CB05A8">
        <w:rPr>
          <w:i/>
        </w:rPr>
        <w:t>Thompson</w:t>
      </w:r>
      <w:r w:rsidR="001E4CCA" w:rsidRPr="00CB05A8">
        <w:t>)</w:t>
      </w:r>
      <w:r w:rsidRPr="00CB05A8">
        <w:t>.)</w:t>
      </w:r>
      <w:r w:rsidR="00677135" w:rsidRPr="00CB05A8">
        <w:t xml:space="preserve">  </w:t>
      </w:r>
      <w:r w:rsidR="00264088" w:rsidRPr="00CB05A8">
        <w:t>“Evidence that will justify a prosecution need not be sufficient to support a conviction.”  (</w:t>
      </w:r>
      <w:r w:rsidR="00264088" w:rsidRPr="00CB05A8">
        <w:rPr>
          <w:i/>
        </w:rPr>
        <w:t>Rideout v. Superior Court</w:t>
      </w:r>
      <w:r w:rsidR="00264088" w:rsidRPr="00CB05A8">
        <w:t xml:space="preserve"> (1967) 67 Cal.2d 471, 474</w:t>
      </w:r>
      <w:r w:rsidR="00A30BA4" w:rsidRPr="00CB05A8">
        <w:t xml:space="preserve"> (</w:t>
      </w:r>
      <w:r w:rsidR="00A30BA4" w:rsidRPr="00CB05A8">
        <w:rPr>
          <w:i/>
        </w:rPr>
        <w:t>Rideout</w:t>
      </w:r>
      <w:r w:rsidR="00A30BA4" w:rsidRPr="00CB05A8">
        <w:t>)</w:t>
      </w:r>
      <w:r w:rsidR="00264088" w:rsidRPr="00CB05A8">
        <w:t>);</w:t>
      </w:r>
      <w:r w:rsidR="00264088" w:rsidRPr="00CB05A8">
        <w:rPr>
          <w:i/>
        </w:rPr>
        <w:t xml:space="preserve"> People v. Superior Court (Jurado)</w:t>
      </w:r>
      <w:r w:rsidR="00264088" w:rsidRPr="00CB05A8">
        <w:t xml:space="preserve"> (1992) 4 Cal.App.4th 1217, 1226 </w:t>
      </w:r>
      <w:r w:rsidR="00E15FC4" w:rsidRPr="00CB05A8">
        <w:t>(</w:t>
      </w:r>
      <w:r w:rsidR="00E15FC4" w:rsidRPr="00CB05A8">
        <w:rPr>
          <w:i/>
        </w:rPr>
        <w:t>Jurado</w:t>
      </w:r>
      <w:r w:rsidR="00E15FC4" w:rsidRPr="00CB05A8">
        <w:t>)</w:t>
      </w:r>
      <w:r w:rsidR="00E15FC4" w:rsidRPr="00CB05A8">
        <w:rPr>
          <w:i/>
        </w:rPr>
        <w:t xml:space="preserve"> </w:t>
      </w:r>
      <w:r w:rsidR="00264088" w:rsidRPr="00CB05A8">
        <w:t xml:space="preserve">[“[A]n indictment or information should be set aside only when there is a total absence of evidence to support a necessary element of the offense charged”].)  </w:t>
      </w:r>
      <w:r w:rsidR="00677135" w:rsidRPr="00CB05A8">
        <w:t xml:space="preserve">“We will not set aside an information ‘if there is some rational ground for assuming </w:t>
      </w:r>
      <w:r w:rsidR="00171D68" w:rsidRPr="00CB05A8">
        <w:t xml:space="preserve">the possibility </w:t>
      </w:r>
      <w:r w:rsidR="00677135" w:rsidRPr="00CB05A8">
        <w:t>that an offense has been committed and the accused is guilty of it.’ ”  (</w:t>
      </w:r>
      <w:r w:rsidR="00677135" w:rsidRPr="00CB05A8">
        <w:rPr>
          <w:i/>
        </w:rPr>
        <w:t>People v. San Nicolas</w:t>
      </w:r>
      <w:r w:rsidR="00677135" w:rsidRPr="00CB05A8">
        <w:t xml:space="preserve"> (</w:t>
      </w:r>
      <w:r w:rsidR="0071575B" w:rsidRPr="00CB05A8">
        <w:t>2004) 34 Cal.4th 614, 654</w:t>
      </w:r>
      <w:r w:rsidR="00935970">
        <w:t xml:space="preserve">, quoting </w:t>
      </w:r>
      <w:r w:rsidR="00935970">
        <w:rPr>
          <w:i/>
          <w:iCs/>
        </w:rPr>
        <w:t xml:space="preserve">People v. Hall </w:t>
      </w:r>
      <w:r w:rsidR="00935970">
        <w:t xml:space="preserve">(1971) </w:t>
      </w:r>
      <w:r w:rsidR="00CE03EF">
        <w:t>3</w:t>
      </w:r>
      <w:r w:rsidR="00643FA4">
        <w:t> </w:t>
      </w:r>
      <w:r w:rsidR="00CE03EF">
        <w:t>Cal.3d 992, 996</w:t>
      </w:r>
      <w:r w:rsidR="0071575B" w:rsidRPr="00CB05A8">
        <w:t>.)</w:t>
      </w:r>
      <w:r w:rsidR="0054233C" w:rsidRPr="00CB05A8">
        <w:t xml:space="preserve">  </w:t>
      </w:r>
      <w:r w:rsidR="001E4CCA" w:rsidRPr="00CB05A8">
        <w:t xml:space="preserve">With this low </w:t>
      </w:r>
      <w:r w:rsidR="008E3B3D" w:rsidRPr="00CB05A8">
        <w:t xml:space="preserve">evidentiary bar in mind, we conclude </w:t>
      </w:r>
      <w:r w:rsidR="00C141CF" w:rsidRPr="00CB05A8">
        <w:t xml:space="preserve">the </w:t>
      </w:r>
      <w:r w:rsidR="009D0571">
        <w:t>evidence presented to the magistrate provided probable cause</w:t>
      </w:r>
      <w:r w:rsidR="003C317E">
        <w:t xml:space="preserve"> </w:t>
      </w:r>
      <w:r w:rsidR="00EA4B43">
        <w:t>to believe the offenses against Wilson were committed</w:t>
      </w:r>
      <w:r w:rsidR="00C141CF" w:rsidRPr="00CB05A8">
        <w:t>.</w:t>
      </w:r>
    </w:p>
    <w:p w14:paraId="7F6C0453" w14:textId="04D10802" w:rsidR="00C7259A" w:rsidRPr="00CB05A8" w:rsidRDefault="0054233C" w:rsidP="00F105E8">
      <w:pPr>
        <w:pStyle w:val="Heading5"/>
        <w:numPr>
          <w:ilvl w:val="0"/>
          <w:numId w:val="40"/>
        </w:numPr>
        <w:ind w:left="2448" w:hanging="432"/>
      </w:pPr>
      <w:bookmarkStart w:id="40" w:name="_Toc58918793"/>
      <w:r w:rsidRPr="00CB05A8">
        <w:t>Evidence of conspiracy to commit robbery</w:t>
      </w:r>
      <w:r w:rsidR="00EC2131" w:rsidRPr="00CB05A8">
        <w:t xml:space="preserve"> of Wilson</w:t>
      </w:r>
      <w:bookmarkEnd w:id="40"/>
    </w:p>
    <w:p w14:paraId="73C9E325" w14:textId="6BA5DD75" w:rsidR="00E050EE" w:rsidRPr="00CB05A8" w:rsidRDefault="00CE3537" w:rsidP="00F105E8">
      <w:pPr>
        <w:ind w:firstLine="720"/>
      </w:pPr>
      <w:r w:rsidRPr="00CB05A8">
        <w:t>“</w:t>
      </w:r>
      <w:r w:rsidR="0068651A" w:rsidRPr="00CB05A8">
        <w:t>Pursuant</w:t>
      </w:r>
      <w:r w:rsidRPr="00CB05A8">
        <w:t xml:space="preserve"> to section 182, subdivision (a)(1), a conspiracy consists of two or more persons conspiring to commit any crime.  </w:t>
      </w:r>
      <w:r w:rsidR="0068651A" w:rsidRPr="00CB05A8">
        <w:t>A</w:t>
      </w:r>
      <w:r w:rsidR="00643FA4">
        <w:t> </w:t>
      </w:r>
      <w:r w:rsidR="0068651A" w:rsidRPr="00CB05A8">
        <w:t>conviction of conspiracy requires proof that the defendant and another person had the specific intent to agree or conspire to commit an offense, as well as the specific intent to commit the elements of that offense, together with proof of the commission of an overt act ‘by one or more of the parties to such agreement’ in furtherance of the conspiracy.”  (</w:t>
      </w:r>
      <w:r w:rsidR="0068651A" w:rsidRPr="00CB05A8">
        <w:rPr>
          <w:i/>
        </w:rPr>
        <w:t xml:space="preserve">People v. Morante </w:t>
      </w:r>
      <w:r w:rsidR="0068651A" w:rsidRPr="00CB05A8">
        <w:t>(1999) 20 Cal.4th 403, 416, fn.</w:t>
      </w:r>
      <w:r w:rsidR="00643FA4">
        <w:t> </w:t>
      </w:r>
      <w:r w:rsidR="0068651A" w:rsidRPr="00CB05A8">
        <w:t>omitted</w:t>
      </w:r>
      <w:r w:rsidR="001767A6">
        <w:t>, quoting § 184</w:t>
      </w:r>
      <w:r w:rsidR="0068651A" w:rsidRPr="00CB05A8">
        <w:t>.)</w:t>
      </w:r>
    </w:p>
    <w:p w14:paraId="27E50AB2" w14:textId="058404F9" w:rsidR="005F5E71" w:rsidRPr="00CB05A8" w:rsidRDefault="005F5E71" w:rsidP="00F105E8">
      <w:pPr>
        <w:ind w:firstLine="720"/>
      </w:pPr>
      <w:r w:rsidRPr="00CB05A8">
        <w:t xml:space="preserve">“Conspiracy is an inchoate crime.  </w:t>
      </w:r>
      <w:r w:rsidR="00E43D8D" w:rsidRPr="00CB05A8">
        <w:t>[Citation.]</w:t>
      </w:r>
      <w:r w:rsidR="0085782B" w:rsidRPr="00CB05A8">
        <w:t xml:space="preserve">  </w:t>
      </w:r>
      <w:r w:rsidR="00573CC7" w:rsidRPr="00CB05A8">
        <w:t xml:space="preserve">It does not require the commission of the substantive offense that is the subject of the conspiracy.  [Citation.]  </w:t>
      </w:r>
      <w:r w:rsidR="006318F0" w:rsidRPr="00CB05A8">
        <w:t>‘As an inchoate crime, conspiracy fixes the point of legal intervention at [the time of] the agreement to commit a crime,’ and ‘thus reaches further back into preparatory conduct than attempt .</w:t>
      </w:r>
      <w:r w:rsidR="008A2EA7" w:rsidRPr="00CB05A8">
        <w:t> . . .’</w:t>
      </w:r>
      <w:r w:rsidR="00DA12A6">
        <w:t> </w:t>
      </w:r>
      <w:r w:rsidR="008A2EA7" w:rsidRPr="00CB05A8">
        <w:t>”  (</w:t>
      </w:r>
      <w:r w:rsidR="008A2EA7" w:rsidRPr="00CB05A8">
        <w:rPr>
          <w:i/>
        </w:rPr>
        <w:t>People v. Swain</w:t>
      </w:r>
      <w:r w:rsidR="008A2EA7" w:rsidRPr="00CB05A8">
        <w:t xml:space="preserve"> (1996) 12 Cal.4th 593, 599–600.)</w:t>
      </w:r>
      <w:r w:rsidR="00067DDC" w:rsidRPr="00CB05A8">
        <w:t xml:space="preserve">  The </w:t>
      </w:r>
      <w:r w:rsidR="00A1158A" w:rsidRPr="00CB05A8">
        <w:t>agreement to commit a crime</w:t>
      </w:r>
      <w:r w:rsidR="00CD75B3" w:rsidRPr="00CB05A8">
        <w:t xml:space="preserve"> plus the </w:t>
      </w:r>
      <w:r w:rsidR="00067DDC" w:rsidRPr="00CB05A8">
        <w:t xml:space="preserve">commission of an overt act — </w:t>
      </w:r>
      <w:r w:rsidR="005F12C5" w:rsidRPr="00CB05A8">
        <w:t>“ ‘ “</w:t>
      </w:r>
      <w:r w:rsidR="00DA6DB1">
        <w:t>[</w:t>
      </w:r>
      <w:r w:rsidR="005F12C5" w:rsidRPr="00CB05A8">
        <w:t>a</w:t>
      </w:r>
      <w:r w:rsidR="00DA6DB1">
        <w:t>]</w:t>
      </w:r>
      <w:r w:rsidR="005F12C5" w:rsidRPr="00CB05A8">
        <w:t>n outward act done in pursuance of the crime and in manifestation of an intent or design, looking toward the accomplishment of the crime” ’ ” — completes the crime of conspiracy.</w:t>
      </w:r>
      <w:r w:rsidR="00CD75B3" w:rsidRPr="00CB05A8">
        <w:t xml:space="preserve">  (</w:t>
      </w:r>
      <w:r w:rsidR="00CD75B3" w:rsidRPr="00CB05A8">
        <w:rPr>
          <w:i/>
        </w:rPr>
        <w:t>People v. Johnson</w:t>
      </w:r>
      <w:r w:rsidR="00CD75B3" w:rsidRPr="00CB05A8">
        <w:t xml:space="preserve"> (2013) 57</w:t>
      </w:r>
      <w:r w:rsidR="002140EA" w:rsidRPr="00CB05A8">
        <w:t> </w:t>
      </w:r>
      <w:r w:rsidR="00CD75B3" w:rsidRPr="00CB05A8">
        <w:t>Cal.4th 250, 259</w:t>
      </w:r>
      <w:r w:rsidR="00A32BF3" w:rsidRPr="00CB05A8">
        <w:t>.)</w:t>
      </w:r>
    </w:p>
    <w:p w14:paraId="31E0DA38" w14:textId="77777777" w:rsidR="00830961" w:rsidRPr="00CB05A8" w:rsidRDefault="008C4073" w:rsidP="00F105E8">
      <w:pPr>
        <w:ind w:firstLine="720"/>
      </w:pPr>
      <w:r w:rsidRPr="00CB05A8">
        <w:t xml:space="preserve">The information charged defendant with </w:t>
      </w:r>
      <w:r w:rsidR="00ED4FC5" w:rsidRPr="00CB05A8">
        <w:t xml:space="preserve">conspiracy to commit robbery, </w:t>
      </w:r>
      <w:r w:rsidR="00960417" w:rsidRPr="00CB05A8">
        <w:t xml:space="preserve">defined as “the felonious taking of personal property in the possession of another, from his person or immediate presence, and against his will, accomplished by means of force or fear.”  </w:t>
      </w:r>
      <w:r w:rsidR="00A827E1" w:rsidRPr="00CB05A8">
        <w:t>(§ 211.)</w:t>
      </w:r>
      <w:r w:rsidR="00ED4FC5" w:rsidRPr="00CB05A8">
        <w:t xml:space="preserve">  </w:t>
      </w:r>
    </w:p>
    <w:p w14:paraId="14F08FF2" w14:textId="46D54D82" w:rsidR="008B5060" w:rsidRPr="00CB05A8" w:rsidRDefault="00DE1802" w:rsidP="00F105E8">
      <w:pPr>
        <w:ind w:firstLine="720"/>
      </w:pPr>
      <w:r w:rsidRPr="00CB05A8">
        <w:t xml:space="preserve">Under the standard of review, </w:t>
      </w:r>
      <w:r w:rsidR="003118C8" w:rsidRPr="00CB05A8">
        <w:t>we conclude</w:t>
      </w:r>
      <w:r w:rsidR="00830961" w:rsidRPr="00CB05A8">
        <w:t xml:space="preserve"> </w:t>
      </w:r>
      <w:r w:rsidR="00A32BF3" w:rsidRPr="00CB05A8">
        <w:t xml:space="preserve">the </w:t>
      </w:r>
      <w:r w:rsidR="004D48D9" w:rsidRPr="00CB05A8">
        <w:t xml:space="preserve">prosecution </w:t>
      </w:r>
      <w:r w:rsidR="007247D7" w:rsidRPr="00CB05A8">
        <w:t xml:space="preserve">made a </w:t>
      </w:r>
      <w:r w:rsidR="00B77FA3" w:rsidRPr="00CB05A8">
        <w:t xml:space="preserve">sufficient </w:t>
      </w:r>
      <w:r w:rsidR="007247D7" w:rsidRPr="00CB05A8">
        <w:t xml:space="preserve">showing </w:t>
      </w:r>
      <w:r w:rsidR="00565338" w:rsidRPr="00CB05A8">
        <w:t>to try defendant for conspiracy to commit robbery</w:t>
      </w:r>
      <w:r w:rsidR="004E64B0" w:rsidRPr="00CB05A8">
        <w:t xml:space="preserve">.  </w:t>
      </w:r>
      <w:r w:rsidR="00514D1B" w:rsidRPr="00CB05A8">
        <w:t xml:space="preserve">The existence of defendant and Moore’s specific intent to </w:t>
      </w:r>
      <w:r w:rsidR="003D4757" w:rsidRPr="00CB05A8">
        <w:t>agree</w:t>
      </w:r>
      <w:r w:rsidR="00190939" w:rsidRPr="00CB05A8">
        <w:t xml:space="preserve"> or conspire</w:t>
      </w:r>
      <w:r w:rsidR="003D4757" w:rsidRPr="00CB05A8">
        <w:t xml:space="preserve"> to commit robbery</w:t>
      </w:r>
      <w:r w:rsidR="00B93D87" w:rsidRPr="00CB05A8">
        <w:t xml:space="preserve"> and to commit robbery was adequately established by the following evidence </w:t>
      </w:r>
      <w:r w:rsidR="00845AAC" w:rsidRPr="00CB05A8">
        <w:t>(</w:t>
      </w:r>
      <w:r w:rsidR="00B93D87" w:rsidRPr="00CB05A8">
        <w:t xml:space="preserve">and </w:t>
      </w:r>
      <w:r w:rsidR="00845AAC" w:rsidRPr="00CB05A8">
        <w:t xml:space="preserve">from the </w:t>
      </w:r>
      <w:r w:rsidR="00B93D87" w:rsidRPr="00CB05A8">
        <w:t>reasonable inferences that could be drawn from it</w:t>
      </w:r>
      <w:r w:rsidR="00845AAC" w:rsidRPr="00CB05A8">
        <w:t>)</w:t>
      </w:r>
      <w:r w:rsidR="00B93D87" w:rsidRPr="00CB05A8">
        <w:t>:</w:t>
      </w:r>
      <w:r w:rsidR="00845AAC" w:rsidRPr="00CB05A8">
        <w:t xml:space="preserve"> </w:t>
      </w:r>
      <w:r w:rsidR="00F87C15" w:rsidRPr="00CB05A8">
        <w:t xml:space="preserve"> </w:t>
      </w:r>
      <w:r w:rsidR="00845AAC" w:rsidRPr="00CB05A8">
        <w:t>(1)</w:t>
      </w:r>
      <w:r w:rsidR="002140EA" w:rsidRPr="00CB05A8">
        <w:t> </w:t>
      </w:r>
      <w:r w:rsidR="008637A2" w:rsidRPr="00CB05A8">
        <w:t xml:space="preserve">on March 29, 1995, </w:t>
      </w:r>
      <w:r w:rsidR="00845AAC" w:rsidRPr="00CB05A8">
        <w:t xml:space="preserve">defendant and Moore continued driving around the Santa Rosa/Sebastopol area, despite </w:t>
      </w:r>
      <w:r w:rsidR="00B72C46" w:rsidRPr="00CB05A8">
        <w:t xml:space="preserve">defendant’s imminent parole reporting date in San Diego; (2) </w:t>
      </w:r>
      <w:r w:rsidR="00875373" w:rsidRPr="00CB05A8">
        <w:t xml:space="preserve">defendant and Moore parked </w:t>
      </w:r>
      <w:r w:rsidR="000155C6" w:rsidRPr="00CB05A8">
        <w:t xml:space="preserve">down the street from Sushi Hana </w:t>
      </w:r>
      <w:r w:rsidR="00C34A77" w:rsidRPr="00CB05A8">
        <w:t xml:space="preserve">after it had closed </w:t>
      </w:r>
      <w:r w:rsidR="000155C6" w:rsidRPr="00CB05A8">
        <w:t>and, a few minutes later, positioned themselves directly across the street from the restaurant and in front of Wilson’s truck; (</w:t>
      </w:r>
      <w:r w:rsidR="00C34A77" w:rsidRPr="00CB05A8">
        <w:t>3</w:t>
      </w:r>
      <w:r w:rsidR="000155C6" w:rsidRPr="00CB05A8">
        <w:t>)</w:t>
      </w:r>
      <w:r w:rsidR="002140EA" w:rsidRPr="00CB05A8">
        <w:t> </w:t>
      </w:r>
      <w:r w:rsidR="004612BA" w:rsidRPr="00CB05A8">
        <w:t xml:space="preserve">as Wilson walked out of Sushi Hana and approached her </w:t>
      </w:r>
      <w:r w:rsidR="00574811" w:rsidRPr="00CB05A8">
        <w:t>vehicle</w:t>
      </w:r>
      <w:r w:rsidR="004612BA" w:rsidRPr="00CB05A8">
        <w:t xml:space="preserve">, Moore and defendant exited Moore’s truck </w:t>
      </w:r>
      <w:r w:rsidR="00CC585F" w:rsidRPr="00CB05A8">
        <w:t xml:space="preserve">at the same time </w:t>
      </w:r>
      <w:r w:rsidR="004612BA" w:rsidRPr="00CB05A8">
        <w:t>and walked toward Wilson</w:t>
      </w:r>
      <w:r w:rsidR="00CC3229" w:rsidRPr="00CB05A8">
        <w:t>; (</w:t>
      </w:r>
      <w:r w:rsidR="00C34A77" w:rsidRPr="00CB05A8">
        <w:t>4</w:t>
      </w:r>
      <w:r w:rsidR="00CC3229" w:rsidRPr="00CB05A8">
        <w:t xml:space="preserve">) when Wilson drove away, both defendant and Moore returned to the truck and </w:t>
      </w:r>
      <w:r w:rsidR="006A4C50" w:rsidRPr="00CB05A8">
        <w:t>drove off</w:t>
      </w:r>
      <w:r w:rsidR="00CC3229" w:rsidRPr="00CB05A8">
        <w:t>; (</w:t>
      </w:r>
      <w:r w:rsidR="00C34A77" w:rsidRPr="00CB05A8">
        <w:t>5</w:t>
      </w:r>
      <w:r w:rsidR="007954FC" w:rsidRPr="00CB05A8">
        <w:t xml:space="preserve">) </w:t>
      </w:r>
      <w:r w:rsidR="006834E3" w:rsidRPr="00CB05A8">
        <w:t xml:space="preserve">a </w:t>
      </w:r>
      <w:r w:rsidR="005F0B14" w:rsidRPr="00CB05A8">
        <w:t>watch cap</w:t>
      </w:r>
      <w:r w:rsidR="00CA3D75" w:rsidRPr="00CB05A8">
        <w:t xml:space="preserve">, binoculars, and </w:t>
      </w:r>
      <w:r w:rsidR="003978EB" w:rsidRPr="00CB05A8">
        <w:t xml:space="preserve">several latex gloves </w:t>
      </w:r>
      <w:r w:rsidR="007A403C" w:rsidRPr="00CB05A8">
        <w:t>were found in Moore’s truck</w:t>
      </w:r>
      <w:r w:rsidR="009D6DF5" w:rsidRPr="00CB05A8">
        <w:t xml:space="preserve">; </w:t>
      </w:r>
      <w:r w:rsidR="00CC3229" w:rsidRPr="00CB05A8">
        <w:t>and (</w:t>
      </w:r>
      <w:r w:rsidR="00C34A77" w:rsidRPr="00CB05A8">
        <w:t>6</w:t>
      </w:r>
      <w:r w:rsidR="00CC3229" w:rsidRPr="00CB05A8">
        <w:t xml:space="preserve">) </w:t>
      </w:r>
      <w:r w:rsidR="009D6DF5" w:rsidRPr="00CB05A8">
        <w:t xml:space="preserve">police located additional latex gloves and </w:t>
      </w:r>
      <w:r w:rsidR="008E5541" w:rsidRPr="00CB05A8">
        <w:t xml:space="preserve">a </w:t>
      </w:r>
      <w:r w:rsidR="009D6DF5" w:rsidRPr="00CB05A8">
        <w:t>watch</w:t>
      </w:r>
      <w:r w:rsidR="00A200A1" w:rsidRPr="00CB05A8">
        <w:t xml:space="preserve"> </w:t>
      </w:r>
      <w:r w:rsidR="009D6DF5" w:rsidRPr="00CB05A8">
        <w:t xml:space="preserve">cap </w:t>
      </w:r>
      <w:r w:rsidR="008E5541" w:rsidRPr="00CB05A8">
        <w:t xml:space="preserve">with the top cut open </w:t>
      </w:r>
      <w:r w:rsidR="001E6F42" w:rsidRPr="00CB05A8">
        <w:t>in a field near the Cooper/King residence</w:t>
      </w:r>
      <w:r w:rsidR="00CC5BC6" w:rsidRPr="00CB05A8">
        <w:t>.</w:t>
      </w:r>
      <w:r w:rsidR="00752CA1" w:rsidRPr="00CB05A8">
        <w:t xml:space="preserve">  </w:t>
      </w:r>
      <w:r w:rsidR="00F87C15" w:rsidRPr="00CB05A8">
        <w:t>Similarly, t</w:t>
      </w:r>
      <w:r w:rsidR="004D48D9" w:rsidRPr="00CB05A8">
        <w:t xml:space="preserve">he </w:t>
      </w:r>
      <w:r w:rsidR="006F288D" w:rsidRPr="00CB05A8">
        <w:t>existence</w:t>
      </w:r>
      <w:r w:rsidR="008B5060" w:rsidRPr="00CB05A8">
        <w:t xml:space="preserve"> of </w:t>
      </w:r>
      <w:r w:rsidR="00E322C0" w:rsidRPr="00CB05A8">
        <w:t>overt acts committed in furtherance of the conspiracy to commit robbery</w:t>
      </w:r>
      <w:r w:rsidR="00F87C15" w:rsidRPr="00CB05A8">
        <w:t xml:space="preserve"> was established by the following evidence:</w:t>
      </w:r>
      <w:r w:rsidR="005B1C00" w:rsidRPr="00CB05A8">
        <w:t xml:space="preserve"> </w:t>
      </w:r>
      <w:r w:rsidR="00F87C15" w:rsidRPr="00CB05A8">
        <w:t xml:space="preserve"> (1)</w:t>
      </w:r>
      <w:r w:rsidR="005B1C00" w:rsidRPr="00CB05A8">
        <w:t xml:space="preserve"> defendant </w:t>
      </w:r>
      <w:r w:rsidR="00970D01" w:rsidRPr="00CB05A8">
        <w:t xml:space="preserve">and Moore </w:t>
      </w:r>
      <w:r w:rsidR="00530409" w:rsidRPr="00CB05A8">
        <w:t>were armed with a loaded short-barreled shotgun</w:t>
      </w:r>
      <w:r w:rsidR="00F15DA7" w:rsidRPr="00CB05A8">
        <w:t xml:space="preserve">; (2) the pair </w:t>
      </w:r>
      <w:r w:rsidR="00ED79BE" w:rsidRPr="00CB05A8">
        <w:t xml:space="preserve">obtained a street map of Santa Rosa, marking </w:t>
      </w:r>
      <w:r w:rsidR="00F05387" w:rsidRPr="00CB05A8">
        <w:t xml:space="preserve">several </w:t>
      </w:r>
      <w:r w:rsidR="00ED79BE" w:rsidRPr="00CB05A8">
        <w:t>locations</w:t>
      </w:r>
      <w:r w:rsidR="00C34A77" w:rsidRPr="00CB05A8">
        <w:t>, which they may have intended to rob</w:t>
      </w:r>
      <w:r w:rsidR="00F15DA7" w:rsidRPr="00CB05A8">
        <w:t>; (3)</w:t>
      </w:r>
      <w:r w:rsidR="00ED79BE" w:rsidRPr="00CB05A8">
        <w:t xml:space="preserve"> </w:t>
      </w:r>
      <w:r w:rsidR="00F15DA7" w:rsidRPr="00CB05A8">
        <w:t>they possessed</w:t>
      </w:r>
      <w:r w:rsidR="00ED79BE" w:rsidRPr="00CB05A8">
        <w:t xml:space="preserve"> </w:t>
      </w:r>
      <w:r w:rsidR="00B10B92">
        <w:t>watch caps</w:t>
      </w:r>
      <w:r w:rsidR="00ED79BE" w:rsidRPr="00CB05A8">
        <w:t xml:space="preserve"> and </w:t>
      </w:r>
      <w:r w:rsidR="002F6435" w:rsidRPr="00CB05A8">
        <w:t xml:space="preserve">latex </w:t>
      </w:r>
      <w:r w:rsidR="00ED79BE" w:rsidRPr="00CB05A8">
        <w:t>gloves</w:t>
      </w:r>
      <w:r w:rsidR="00306E95" w:rsidRPr="00CB05A8">
        <w:t>, app</w:t>
      </w:r>
      <w:r w:rsidR="002678B1" w:rsidRPr="00CB05A8">
        <w:t>arently</w:t>
      </w:r>
      <w:r w:rsidR="00ED79BE" w:rsidRPr="00CB05A8">
        <w:t xml:space="preserve"> to avoid identification</w:t>
      </w:r>
      <w:r w:rsidR="00F15DA7" w:rsidRPr="00CB05A8">
        <w:t>;</w:t>
      </w:r>
      <w:r w:rsidR="00ED79BE" w:rsidRPr="00CB05A8">
        <w:t xml:space="preserve"> </w:t>
      </w:r>
      <w:r w:rsidR="00742088" w:rsidRPr="00CB05A8">
        <w:t xml:space="preserve">and </w:t>
      </w:r>
      <w:r w:rsidR="00F15DA7" w:rsidRPr="00CB05A8">
        <w:t xml:space="preserve">(4) they </w:t>
      </w:r>
      <w:r w:rsidR="00742088" w:rsidRPr="00CB05A8">
        <w:t>surveilled the area of the Sushi Hana restaurant</w:t>
      </w:r>
      <w:r w:rsidR="00B51226" w:rsidRPr="00CB05A8">
        <w:t>.</w:t>
      </w:r>
      <w:r w:rsidR="000D1981" w:rsidRPr="00CB05A8">
        <w:t xml:space="preserve">  </w:t>
      </w:r>
      <w:r w:rsidR="00E572A2" w:rsidRPr="00CB05A8">
        <w:t>Drawing every legitimate inference from the evidence in favor of the information, as we must</w:t>
      </w:r>
      <w:r w:rsidR="00BB3CD7" w:rsidRPr="00CB05A8">
        <w:t>, we conclude</w:t>
      </w:r>
      <w:r w:rsidR="00BA15A1" w:rsidRPr="00CB05A8">
        <w:t xml:space="preserve"> </w:t>
      </w:r>
      <w:r w:rsidR="00095D9A">
        <w:t xml:space="preserve">that </w:t>
      </w:r>
      <w:r w:rsidR="00131C4E" w:rsidRPr="00CB05A8">
        <w:t>the prosecution presented</w:t>
      </w:r>
      <w:r w:rsidR="00BB3CD7" w:rsidRPr="00CB05A8">
        <w:t xml:space="preserve"> some evidence to support the count of conspiracy </w:t>
      </w:r>
      <w:r w:rsidR="00A30BA4" w:rsidRPr="00CB05A8">
        <w:t>and therefore reinstatement of this charge was proper.</w:t>
      </w:r>
      <w:r w:rsidR="00131C4E" w:rsidRPr="00CB05A8">
        <w:t xml:space="preserve">  (</w:t>
      </w:r>
      <w:r w:rsidR="006A0C9E">
        <w:t xml:space="preserve">See </w:t>
      </w:r>
      <w:r w:rsidR="00131C4E" w:rsidRPr="00CB05A8">
        <w:rPr>
          <w:i/>
        </w:rPr>
        <w:t>Rideout</w:t>
      </w:r>
      <w:r w:rsidR="00131C4E" w:rsidRPr="00CB05A8">
        <w:t xml:space="preserve">, </w:t>
      </w:r>
      <w:r w:rsidR="00131C4E" w:rsidRPr="00CB05A8">
        <w:rPr>
          <w:i/>
        </w:rPr>
        <w:t>supra</w:t>
      </w:r>
      <w:r w:rsidR="00131C4E" w:rsidRPr="00CB05A8">
        <w:t xml:space="preserve">, 67 Cal.2d at p. 474 [“[I]f there is some evidence to support the information, </w:t>
      </w:r>
      <w:r w:rsidR="00DF1AA7" w:rsidRPr="00CB05A8">
        <w:t>the [reviewing] court will not inquire into its sufficiency.  [Citations.]  Every legitimate inference that may be drawn from the evidence must be drawn in favor of the information.”].)</w:t>
      </w:r>
    </w:p>
    <w:p w14:paraId="63581942" w14:textId="233D6CA5" w:rsidR="0054233C" w:rsidRPr="00CB05A8" w:rsidRDefault="0054233C" w:rsidP="00F105E8">
      <w:pPr>
        <w:pStyle w:val="Heading5"/>
        <w:numPr>
          <w:ilvl w:val="0"/>
          <w:numId w:val="41"/>
        </w:numPr>
        <w:ind w:left="2448" w:hanging="432"/>
      </w:pPr>
      <w:bookmarkStart w:id="41" w:name="_Toc58918794"/>
      <w:r w:rsidRPr="00CB05A8">
        <w:t>Evidence of attempt</w:t>
      </w:r>
      <w:r w:rsidR="00A06798" w:rsidRPr="00CB05A8">
        <w:t xml:space="preserve">ed </w:t>
      </w:r>
      <w:r w:rsidRPr="00CB05A8">
        <w:t>robbery</w:t>
      </w:r>
      <w:r w:rsidR="00A06798" w:rsidRPr="00CB05A8">
        <w:t xml:space="preserve"> of Wilson</w:t>
      </w:r>
      <w:bookmarkEnd w:id="41"/>
    </w:p>
    <w:p w14:paraId="5E88ED45" w14:textId="60EAA05B" w:rsidR="00870BC1" w:rsidRPr="00650555" w:rsidRDefault="00863835" w:rsidP="00F105E8">
      <w:pPr>
        <w:ind w:firstLine="720"/>
      </w:pPr>
      <w:r w:rsidRPr="00CB05A8">
        <w:t>“</w:t>
      </w:r>
      <w:r w:rsidR="00FF52C5" w:rsidRPr="00CB05A8">
        <w:t xml:space="preserve">Attempted robbery requires the </w:t>
      </w:r>
      <w:r w:rsidR="00024BF5" w:rsidRPr="00CB05A8">
        <w:t>‘</w:t>
      </w:r>
      <w:r w:rsidRPr="00CB05A8">
        <w:t xml:space="preserve">specific intent to commit robbery </w:t>
      </w:r>
      <w:r w:rsidR="00024BF5" w:rsidRPr="00CB05A8">
        <w:t>and . . . a direct but ineffectual act toward the commission of the crime.’ ”  (</w:t>
      </w:r>
      <w:r w:rsidR="00024BF5" w:rsidRPr="00CB05A8">
        <w:rPr>
          <w:i/>
        </w:rPr>
        <w:t>People v. S</w:t>
      </w:r>
      <w:r w:rsidR="00770FE9">
        <w:rPr>
          <w:i/>
        </w:rPr>
        <w:t>á</w:t>
      </w:r>
      <w:r w:rsidR="00024BF5" w:rsidRPr="00CB05A8">
        <w:rPr>
          <w:i/>
        </w:rPr>
        <w:t xml:space="preserve">nchez </w:t>
      </w:r>
      <w:r w:rsidR="00024BF5" w:rsidRPr="00CB05A8">
        <w:t>(2016) 63 Cal.4th 411, 470.)</w:t>
      </w:r>
      <w:r w:rsidR="00012510" w:rsidRPr="00CB05A8">
        <w:t xml:space="preserve">  The act requires more than mere prepa</w:t>
      </w:r>
      <w:r w:rsidR="005D0DD6" w:rsidRPr="00CB05A8">
        <w:t>ration, but it need not be the last step toward commission of the crime.</w:t>
      </w:r>
      <w:r w:rsidR="007D0A95" w:rsidRPr="00CB05A8">
        <w:t xml:space="preserve">  (</w:t>
      </w:r>
      <w:r w:rsidR="007D0A95" w:rsidRPr="00CB05A8">
        <w:rPr>
          <w:i/>
        </w:rPr>
        <w:t>Ibid.</w:t>
      </w:r>
      <w:r w:rsidR="007D0A95" w:rsidRPr="00CB05A8">
        <w:t xml:space="preserve">)  In </w:t>
      </w:r>
      <w:r w:rsidR="0090065A" w:rsidRPr="00CB05A8">
        <w:rPr>
          <w:i/>
        </w:rPr>
        <w:t>S</w:t>
      </w:r>
      <w:r w:rsidR="0090065A">
        <w:rPr>
          <w:i/>
        </w:rPr>
        <w:t>á</w:t>
      </w:r>
      <w:r w:rsidR="0090065A" w:rsidRPr="00CB05A8">
        <w:rPr>
          <w:i/>
        </w:rPr>
        <w:t>nchez</w:t>
      </w:r>
      <w:r w:rsidR="007D0A95" w:rsidRPr="00CB05A8">
        <w:t xml:space="preserve">, we held that </w:t>
      </w:r>
      <w:r w:rsidR="00FB23E0" w:rsidRPr="00CB05A8">
        <w:t xml:space="preserve">evidence showing five armed men </w:t>
      </w:r>
      <w:r w:rsidR="00363DA9" w:rsidRPr="00CB05A8">
        <w:t>arriving at a coffee shop, positioning a car to make a quick getaway, and actually entering the coffee shop was enough for a jury to find the necessary act beyond mere preparation.  (</w:t>
      </w:r>
      <w:r w:rsidR="00363DA9" w:rsidRPr="00CB05A8">
        <w:rPr>
          <w:i/>
        </w:rPr>
        <w:t>Ibid.</w:t>
      </w:r>
      <w:r w:rsidR="00363DA9" w:rsidRPr="00CB05A8">
        <w:t xml:space="preserve">)  </w:t>
      </w:r>
      <w:r w:rsidR="0079013A" w:rsidRPr="00CB05A8">
        <w:t xml:space="preserve">We </w:t>
      </w:r>
      <w:r w:rsidR="00E474E1" w:rsidRPr="00CB05A8">
        <w:t xml:space="preserve">also </w:t>
      </w:r>
      <w:r w:rsidR="0079013A" w:rsidRPr="00CB05A8">
        <w:t xml:space="preserve">cited with approval </w:t>
      </w:r>
      <w:r w:rsidR="0079013A" w:rsidRPr="00CB05A8">
        <w:rPr>
          <w:i/>
        </w:rPr>
        <w:t xml:space="preserve">People v. Dillon </w:t>
      </w:r>
      <w:r w:rsidR="0079013A" w:rsidRPr="00CB05A8">
        <w:t>(19</w:t>
      </w:r>
      <w:r w:rsidR="00E474E1" w:rsidRPr="00CB05A8">
        <w:t>83) 34</w:t>
      </w:r>
      <w:r w:rsidR="002140EA" w:rsidRPr="00CB05A8">
        <w:t> </w:t>
      </w:r>
      <w:r w:rsidR="00E474E1" w:rsidRPr="00CB05A8">
        <w:t>Cal.3d 441</w:t>
      </w:r>
      <w:r w:rsidR="00F7750A">
        <w:t xml:space="preserve">  and </w:t>
      </w:r>
      <w:r w:rsidR="00F7750A">
        <w:rPr>
          <w:i/>
          <w:iCs/>
        </w:rPr>
        <w:t>People v. Bonner</w:t>
      </w:r>
      <w:r w:rsidR="008A02D1">
        <w:t xml:space="preserve"> (2000) 80 Cal.App.4th 759. </w:t>
      </w:r>
      <w:r w:rsidR="00F7750A">
        <w:rPr>
          <w:i/>
          <w:iCs/>
        </w:rPr>
        <w:t xml:space="preserve"> </w:t>
      </w:r>
      <w:r w:rsidR="00650555" w:rsidRPr="00CB05A8">
        <w:t>(</w:t>
      </w:r>
      <w:r w:rsidR="00650555" w:rsidRPr="00CB05A8">
        <w:rPr>
          <w:i/>
        </w:rPr>
        <w:t>S</w:t>
      </w:r>
      <w:r w:rsidR="00770FE9">
        <w:rPr>
          <w:i/>
        </w:rPr>
        <w:t>á</w:t>
      </w:r>
      <w:r w:rsidR="00650555" w:rsidRPr="00CB05A8">
        <w:rPr>
          <w:i/>
        </w:rPr>
        <w:t>nchez</w:t>
      </w:r>
      <w:r w:rsidR="00650555" w:rsidRPr="00CB05A8">
        <w:t>, at p. 470.)</w:t>
      </w:r>
      <w:r w:rsidR="00650555">
        <w:t xml:space="preserve">  </w:t>
      </w:r>
      <w:r w:rsidR="00F7750A">
        <w:t xml:space="preserve">In </w:t>
      </w:r>
      <w:r w:rsidR="00F7750A">
        <w:rPr>
          <w:i/>
          <w:iCs/>
        </w:rPr>
        <w:t>Dillon</w:t>
      </w:r>
      <w:r w:rsidR="00EB177B">
        <w:t>,</w:t>
      </w:r>
      <w:r w:rsidR="00F7750A">
        <w:rPr>
          <w:i/>
          <w:iCs/>
        </w:rPr>
        <w:t xml:space="preserve"> </w:t>
      </w:r>
      <w:r w:rsidR="00E474E1" w:rsidRPr="00CB05A8">
        <w:t xml:space="preserve"> this court found sufficient evidence of attempted robbery when the </w:t>
      </w:r>
      <w:r w:rsidR="00DA7DB2" w:rsidRPr="00CB05A8">
        <w:t>would-be robbers armed and disguised themselves, approached but did not enter the targeted marijuana field, passing “no trespassing” signs on the way, and then watched for their opportunity.</w:t>
      </w:r>
      <w:r w:rsidR="00EB177B">
        <w:t xml:space="preserve">  </w:t>
      </w:r>
      <w:r w:rsidR="00650555">
        <w:t>(</w:t>
      </w:r>
      <w:r w:rsidR="00650555">
        <w:rPr>
          <w:i/>
          <w:iCs/>
        </w:rPr>
        <w:t>Dillon</w:t>
      </w:r>
      <w:r w:rsidR="00650555">
        <w:t xml:space="preserve">, at p. </w:t>
      </w:r>
      <w:r w:rsidR="00650555" w:rsidRPr="00CB05A8">
        <w:t>456</w:t>
      </w:r>
      <w:r w:rsidR="00650555">
        <w:t xml:space="preserve">.) </w:t>
      </w:r>
      <w:r w:rsidR="00650555">
        <w:rPr>
          <w:i/>
          <w:iCs/>
        </w:rPr>
        <w:t xml:space="preserve"> </w:t>
      </w:r>
      <w:r w:rsidR="009B7BEB">
        <w:t>Likewise, i</w:t>
      </w:r>
      <w:r w:rsidR="00EB177B">
        <w:t xml:space="preserve">n </w:t>
      </w:r>
      <w:r w:rsidR="00EB177B">
        <w:rPr>
          <w:i/>
          <w:iCs/>
        </w:rPr>
        <w:t>Bonner</w:t>
      </w:r>
      <w:r w:rsidR="00EB177B">
        <w:t xml:space="preserve">, the Court of Appeal concluded there was sufficient evidence to convict the defendant of </w:t>
      </w:r>
      <w:r w:rsidR="00647E4B">
        <w:t>attempted robbery when the defendant made detailed preparations for the robbery, went armed to the scene, placed a mask over his face, and waited in hiding moments before the victim’s approach</w:t>
      </w:r>
      <w:r w:rsidR="00E32DA5">
        <w:t xml:space="preserve">, even though he </w:t>
      </w:r>
      <w:r w:rsidR="00E32DA5" w:rsidRPr="00E32DA5">
        <w:t xml:space="preserve">was never in close proximity to </w:t>
      </w:r>
      <w:r w:rsidR="00E32DA5">
        <w:t>the</w:t>
      </w:r>
      <w:r w:rsidR="00E32DA5" w:rsidRPr="00E32DA5">
        <w:t xml:space="preserve"> victim and made no demand for money</w:t>
      </w:r>
      <w:r w:rsidR="00647E4B">
        <w:t>.  (</w:t>
      </w:r>
      <w:r w:rsidR="00647E4B">
        <w:rPr>
          <w:i/>
          <w:iCs/>
        </w:rPr>
        <w:t>Bonner</w:t>
      </w:r>
      <w:r w:rsidR="00647E4B">
        <w:t>, at p</w:t>
      </w:r>
      <w:r w:rsidR="00650555">
        <w:t>p</w:t>
      </w:r>
      <w:r w:rsidR="00647E4B">
        <w:t xml:space="preserve">. </w:t>
      </w:r>
      <w:r w:rsidR="00650555">
        <w:t>763, 764</w:t>
      </w:r>
      <w:r w:rsidR="00647E4B">
        <w:t>, fn. 3.)</w:t>
      </w:r>
      <w:r w:rsidR="00647E4B">
        <w:rPr>
          <w:i/>
          <w:iCs/>
        </w:rPr>
        <w:t xml:space="preserve"> </w:t>
      </w:r>
    </w:p>
    <w:p w14:paraId="6221AC8A" w14:textId="1F5365AA" w:rsidR="00EB6274" w:rsidRPr="00CB05A8" w:rsidRDefault="001237E4" w:rsidP="00F105E8">
      <w:pPr>
        <w:ind w:firstLine="720"/>
      </w:pPr>
      <w:r w:rsidRPr="00CB05A8">
        <w:t xml:space="preserve">Given that the evidence presented in </w:t>
      </w:r>
      <w:r w:rsidRPr="00CB05A8">
        <w:rPr>
          <w:i/>
        </w:rPr>
        <w:t>S</w:t>
      </w:r>
      <w:r w:rsidR="00770FE9">
        <w:rPr>
          <w:i/>
        </w:rPr>
        <w:t>á</w:t>
      </w:r>
      <w:r w:rsidRPr="00CB05A8">
        <w:rPr>
          <w:i/>
        </w:rPr>
        <w:t>nchez</w:t>
      </w:r>
      <w:r w:rsidR="00650555">
        <w:rPr>
          <w:iCs/>
        </w:rPr>
        <w:t>,</w:t>
      </w:r>
      <w:r w:rsidRPr="00CB05A8">
        <w:rPr>
          <w:i/>
        </w:rPr>
        <w:t xml:space="preserve"> Dillon</w:t>
      </w:r>
      <w:r w:rsidR="00650555">
        <w:rPr>
          <w:iCs/>
        </w:rPr>
        <w:t xml:space="preserve">, and </w:t>
      </w:r>
      <w:r w:rsidR="00650555">
        <w:rPr>
          <w:i/>
        </w:rPr>
        <w:t>Bonner</w:t>
      </w:r>
      <w:r w:rsidRPr="00CB05A8">
        <w:rPr>
          <w:i/>
        </w:rPr>
        <w:t xml:space="preserve"> </w:t>
      </w:r>
      <w:r w:rsidRPr="00CB05A8">
        <w:t xml:space="preserve">was held </w:t>
      </w:r>
      <w:r w:rsidR="0013306A" w:rsidRPr="00CB05A8">
        <w:t xml:space="preserve">to be sufficient to support a </w:t>
      </w:r>
      <w:r w:rsidR="0013306A" w:rsidRPr="00CB05A8">
        <w:rPr>
          <w:i/>
        </w:rPr>
        <w:t xml:space="preserve">conviction </w:t>
      </w:r>
      <w:r w:rsidR="0013306A" w:rsidRPr="00CB05A8">
        <w:t>of armed robbery</w:t>
      </w:r>
      <w:r w:rsidR="0095409F" w:rsidRPr="00CB05A8">
        <w:t>, which requires the prosecution prove each element beyond a reasonable doubt</w:t>
      </w:r>
      <w:r w:rsidR="00723114" w:rsidRPr="00CB05A8">
        <w:t>,</w:t>
      </w:r>
      <w:r w:rsidR="0095409F" w:rsidRPr="00CB05A8">
        <w:t xml:space="preserve"> </w:t>
      </w:r>
      <w:r w:rsidR="00095D9A">
        <w:t>we</w:t>
      </w:r>
      <w:r w:rsidR="00E97ECF" w:rsidRPr="00CB05A8">
        <w:t xml:space="preserve"> conclude</w:t>
      </w:r>
      <w:r w:rsidR="00895C9B" w:rsidRPr="00CB05A8">
        <w:t xml:space="preserve"> that </w:t>
      </w:r>
      <w:r w:rsidR="0013306A" w:rsidRPr="00CB05A8">
        <w:t xml:space="preserve">the </w:t>
      </w:r>
      <w:r w:rsidR="00B5117B" w:rsidRPr="00CB05A8">
        <w:t xml:space="preserve">evidence </w:t>
      </w:r>
      <w:r w:rsidR="00440729" w:rsidRPr="00CB05A8">
        <w:t xml:space="preserve">presented </w:t>
      </w:r>
      <w:r w:rsidR="00CC2747" w:rsidRPr="00CB05A8">
        <w:t xml:space="preserve">in this case </w:t>
      </w:r>
      <w:r w:rsidR="00B5117B" w:rsidRPr="00CB05A8">
        <w:t>was sufficient to</w:t>
      </w:r>
      <w:r w:rsidR="00220831" w:rsidRPr="00CB05A8">
        <w:t xml:space="preserve"> support </w:t>
      </w:r>
      <w:r w:rsidR="002F2D75" w:rsidRPr="00CB05A8">
        <w:t xml:space="preserve">a </w:t>
      </w:r>
      <w:r w:rsidR="002F2D75" w:rsidRPr="00CB05A8">
        <w:rPr>
          <w:i/>
        </w:rPr>
        <w:t>prosecution</w:t>
      </w:r>
      <w:r w:rsidR="000D1981" w:rsidRPr="00CB05A8">
        <w:t xml:space="preserve"> </w:t>
      </w:r>
      <w:r w:rsidR="002B44B0" w:rsidRPr="00CB05A8">
        <w:t>of the</w:t>
      </w:r>
      <w:r w:rsidR="00220831" w:rsidRPr="00CB05A8">
        <w:t xml:space="preserve"> attempted robbery </w:t>
      </w:r>
      <w:r w:rsidR="00B5117B" w:rsidRPr="00CB05A8">
        <w:t>count</w:t>
      </w:r>
      <w:r w:rsidR="009D46BC" w:rsidRPr="00CB05A8">
        <w:t xml:space="preserve">, which merely requires “some showing </w:t>
      </w:r>
      <w:r w:rsidR="001E4CCA" w:rsidRPr="00CB05A8">
        <w:t>as to the existence of each element of the charged offense.”</w:t>
      </w:r>
      <w:r w:rsidR="002F2050" w:rsidRPr="00CB05A8">
        <w:t xml:space="preserve">  </w:t>
      </w:r>
      <w:r w:rsidR="008A2DD7" w:rsidRPr="00CB05A8">
        <w:t>(</w:t>
      </w:r>
      <w:r w:rsidR="001E4CCA" w:rsidRPr="00CB05A8">
        <w:rPr>
          <w:i/>
        </w:rPr>
        <w:t>Thompson</w:t>
      </w:r>
      <w:r w:rsidR="001E4CCA" w:rsidRPr="00CB05A8">
        <w:t xml:space="preserve">, </w:t>
      </w:r>
      <w:r w:rsidR="001E4CCA" w:rsidRPr="00CB05A8">
        <w:rPr>
          <w:i/>
        </w:rPr>
        <w:t>supra</w:t>
      </w:r>
      <w:r w:rsidR="001E4CCA" w:rsidRPr="00CB05A8">
        <w:t>, 91 Cal.App.4th at p.</w:t>
      </w:r>
      <w:r w:rsidR="002140EA" w:rsidRPr="00CB05A8">
        <w:t> </w:t>
      </w:r>
      <w:r w:rsidR="001E4CCA" w:rsidRPr="00CB05A8">
        <w:t>148;</w:t>
      </w:r>
      <w:r w:rsidR="001E4CCA" w:rsidRPr="00CB05A8">
        <w:rPr>
          <w:i/>
        </w:rPr>
        <w:t xml:space="preserve"> </w:t>
      </w:r>
      <w:r w:rsidR="001E4CCA" w:rsidRPr="00CB05A8">
        <w:t xml:space="preserve">see also </w:t>
      </w:r>
      <w:r w:rsidR="00ED47BB" w:rsidRPr="00CB05A8">
        <w:rPr>
          <w:i/>
        </w:rPr>
        <w:t>Rideout</w:t>
      </w:r>
      <w:r w:rsidR="005F704B" w:rsidRPr="00CB05A8">
        <w:t xml:space="preserve">, </w:t>
      </w:r>
      <w:r w:rsidR="005F704B" w:rsidRPr="00CB05A8">
        <w:rPr>
          <w:i/>
        </w:rPr>
        <w:t>supra</w:t>
      </w:r>
      <w:r w:rsidR="005F704B" w:rsidRPr="00CB05A8">
        <w:t>,</w:t>
      </w:r>
      <w:r w:rsidR="00ED47BB" w:rsidRPr="00CB05A8">
        <w:rPr>
          <w:i/>
        </w:rPr>
        <w:t xml:space="preserve"> </w:t>
      </w:r>
      <w:r w:rsidR="00B932BA" w:rsidRPr="00CB05A8">
        <w:t xml:space="preserve">67 Cal.2d </w:t>
      </w:r>
      <w:r w:rsidR="005F704B" w:rsidRPr="00CB05A8">
        <w:t>at p.</w:t>
      </w:r>
      <w:r w:rsidR="00B932BA" w:rsidRPr="00CB05A8">
        <w:t xml:space="preserve"> 474</w:t>
      </w:r>
      <w:r w:rsidR="006A75D5" w:rsidRPr="00CB05A8">
        <w:t xml:space="preserve">.)  </w:t>
      </w:r>
      <w:r w:rsidR="002F2050" w:rsidRPr="00CB05A8">
        <w:t xml:space="preserve">Defendant and Moore </w:t>
      </w:r>
      <w:r w:rsidR="00497ACD" w:rsidRPr="00CB05A8">
        <w:t xml:space="preserve">armed themselves with a loaded short-barreled shotgun, </w:t>
      </w:r>
      <w:r w:rsidR="002B5741" w:rsidRPr="00CB05A8">
        <w:t>obtained a street map of Santa Rosa</w:t>
      </w:r>
      <w:r w:rsidR="001D3CE9" w:rsidRPr="00CB05A8">
        <w:t xml:space="preserve"> and </w:t>
      </w:r>
      <w:r w:rsidR="00D828BF" w:rsidRPr="00CB05A8">
        <w:t xml:space="preserve">apparently </w:t>
      </w:r>
      <w:r w:rsidR="001D3CE9" w:rsidRPr="00CB05A8">
        <w:t>marked</w:t>
      </w:r>
      <w:r w:rsidR="002B5741" w:rsidRPr="00CB05A8">
        <w:t xml:space="preserve"> potential locations of robbery victims</w:t>
      </w:r>
      <w:r w:rsidR="00214B46">
        <w:t xml:space="preserve"> on the map</w:t>
      </w:r>
      <w:r w:rsidR="002B5741" w:rsidRPr="00CB05A8">
        <w:t xml:space="preserve">, </w:t>
      </w:r>
      <w:r w:rsidR="00CA09E2" w:rsidRPr="00CB05A8">
        <w:t xml:space="preserve">and </w:t>
      </w:r>
      <w:r w:rsidR="001D3CE9" w:rsidRPr="00CB05A8">
        <w:t xml:space="preserve">obtained </w:t>
      </w:r>
      <w:r w:rsidR="0092336E" w:rsidRPr="00CB05A8">
        <w:t>watch cap</w:t>
      </w:r>
      <w:r w:rsidR="001D3CE9" w:rsidRPr="00CB05A8">
        <w:t>s and gloves</w:t>
      </w:r>
      <w:r w:rsidR="00CB1B35" w:rsidRPr="00CB05A8">
        <w:t>, again apparently</w:t>
      </w:r>
      <w:r w:rsidR="001D3CE9" w:rsidRPr="00CB05A8">
        <w:t xml:space="preserve"> to avoid identification</w:t>
      </w:r>
      <w:r w:rsidR="00CA09E2" w:rsidRPr="00CB05A8">
        <w:t xml:space="preserve">.  They </w:t>
      </w:r>
      <w:r w:rsidR="002E1AAF" w:rsidRPr="00CB05A8">
        <w:t xml:space="preserve">next </w:t>
      </w:r>
      <w:r w:rsidR="002F2050" w:rsidRPr="00CB05A8">
        <w:t xml:space="preserve">surveilled </w:t>
      </w:r>
      <w:r w:rsidR="004742C6" w:rsidRPr="00CB05A8">
        <w:t xml:space="preserve">Sushi Hana after closing hours, </w:t>
      </w:r>
      <w:r w:rsidR="00CA09E2" w:rsidRPr="00CB05A8">
        <w:t xml:space="preserve">first </w:t>
      </w:r>
      <w:r w:rsidR="004742C6" w:rsidRPr="00CB05A8">
        <w:t xml:space="preserve">parking down the street from the </w:t>
      </w:r>
      <w:r w:rsidR="00CA09E2" w:rsidRPr="00CB05A8">
        <w:t>restaurant</w:t>
      </w:r>
      <w:r w:rsidR="004742C6" w:rsidRPr="00CB05A8">
        <w:t xml:space="preserve"> and then moving to a location directly across the street where the</w:t>
      </w:r>
      <w:r w:rsidR="001A529D" w:rsidRPr="00CB05A8">
        <w:t xml:space="preserve">y could see inside of the </w:t>
      </w:r>
      <w:r w:rsidR="00D73620" w:rsidRPr="00CB05A8">
        <w:t>restaurant</w:t>
      </w:r>
      <w:r w:rsidR="001A529D" w:rsidRPr="00CB05A8">
        <w:t xml:space="preserve"> through its large front window.</w:t>
      </w:r>
      <w:r w:rsidR="00532418" w:rsidRPr="00CB05A8">
        <w:t xml:space="preserve">  </w:t>
      </w:r>
      <w:r w:rsidR="00CA09E2" w:rsidRPr="00CB05A8">
        <w:t xml:space="preserve">They </w:t>
      </w:r>
      <w:r w:rsidR="001B00CB" w:rsidRPr="00CB05A8">
        <w:t xml:space="preserve">waited for Wilson to leave the restaurant with </w:t>
      </w:r>
      <w:r w:rsidR="000F7506" w:rsidRPr="00CB05A8">
        <w:t xml:space="preserve">her </w:t>
      </w:r>
      <w:r w:rsidR="001B00CB" w:rsidRPr="00CB05A8">
        <w:t xml:space="preserve">briefcase in hand before exiting Moore’s truck and walking </w:t>
      </w:r>
      <w:r w:rsidR="00EC4554" w:rsidRPr="00CB05A8">
        <w:t xml:space="preserve">toward Wilson.  </w:t>
      </w:r>
      <w:r w:rsidR="00D10FD6" w:rsidRPr="00CB05A8">
        <w:t>T</w:t>
      </w:r>
      <w:r w:rsidR="005B0640" w:rsidRPr="00CB05A8">
        <w:t xml:space="preserve">aken together, and </w:t>
      </w:r>
      <w:r w:rsidR="00445AEA" w:rsidRPr="00CB05A8">
        <w:t>drawing all legitimate inferences in favor of the information</w:t>
      </w:r>
      <w:r w:rsidR="00DC6E6B" w:rsidRPr="00CB05A8">
        <w:t xml:space="preserve"> (</w:t>
      </w:r>
      <w:r w:rsidR="00DC6E6B" w:rsidRPr="00CB05A8">
        <w:rPr>
          <w:i/>
        </w:rPr>
        <w:t>Rideout</w:t>
      </w:r>
      <w:r w:rsidR="00DC6E6B" w:rsidRPr="00CB05A8">
        <w:t>, at p. 474)</w:t>
      </w:r>
      <w:r w:rsidR="00445AEA" w:rsidRPr="00CB05A8">
        <w:t xml:space="preserve">, </w:t>
      </w:r>
      <w:r w:rsidR="00DE4846" w:rsidRPr="00CB05A8">
        <w:t>we conclude</w:t>
      </w:r>
      <w:r w:rsidR="00A60085" w:rsidRPr="00CB05A8">
        <w:t xml:space="preserve"> the </w:t>
      </w:r>
      <w:r w:rsidR="00B07430" w:rsidRPr="00CB05A8">
        <w:t>prosecution established probable cause sufficient to overcome defendant’s section 995 motion</w:t>
      </w:r>
      <w:r w:rsidR="00306B85" w:rsidRPr="00CB05A8">
        <w:t xml:space="preserve"> on this count</w:t>
      </w:r>
      <w:r w:rsidR="000B41E7" w:rsidRPr="00CB05A8">
        <w:t xml:space="preserve">.  </w:t>
      </w:r>
      <w:r w:rsidR="007D210F" w:rsidRPr="00CB05A8">
        <w:t xml:space="preserve">Because the attempted robbery </w:t>
      </w:r>
      <w:r w:rsidR="008D00E7" w:rsidRPr="00CB05A8">
        <w:t xml:space="preserve">allegation </w:t>
      </w:r>
      <w:r w:rsidR="007D210F" w:rsidRPr="00CB05A8">
        <w:t xml:space="preserve">should have been set aside only if there was </w:t>
      </w:r>
      <w:r w:rsidR="008D00E7" w:rsidRPr="00CB05A8">
        <w:t>“</w:t>
      </w:r>
      <w:r w:rsidR="007D210F" w:rsidRPr="00CB05A8">
        <w:t>a total absence of evidence” to support a necessary element of that offense (</w:t>
      </w:r>
      <w:r w:rsidR="007D210F" w:rsidRPr="00CB05A8">
        <w:rPr>
          <w:i/>
        </w:rPr>
        <w:t>Jurado</w:t>
      </w:r>
      <w:r w:rsidR="007D210F" w:rsidRPr="00CB05A8">
        <w:t xml:space="preserve">, </w:t>
      </w:r>
      <w:r w:rsidR="007D210F" w:rsidRPr="00CB05A8">
        <w:rPr>
          <w:i/>
        </w:rPr>
        <w:t>supra</w:t>
      </w:r>
      <w:r w:rsidR="007D210F" w:rsidRPr="00CB05A8">
        <w:t>, 4 Cal.App.4th at p.</w:t>
      </w:r>
      <w:r w:rsidR="002140EA" w:rsidRPr="00CB05A8">
        <w:t> </w:t>
      </w:r>
      <w:r w:rsidR="007D210F" w:rsidRPr="00CB05A8">
        <w:t>1226)</w:t>
      </w:r>
      <w:r w:rsidR="00F847D9" w:rsidRPr="00CB05A8">
        <w:t xml:space="preserve">, </w:t>
      </w:r>
      <w:r w:rsidR="008F5808" w:rsidRPr="00CB05A8">
        <w:t>and the prosecution here presented at least some evidence to support each element</w:t>
      </w:r>
      <w:r w:rsidR="00A60085" w:rsidRPr="00CB05A8">
        <w:t>,</w:t>
      </w:r>
      <w:r w:rsidR="007D210F" w:rsidRPr="00CB05A8">
        <w:t xml:space="preserve"> </w:t>
      </w:r>
      <w:r w:rsidR="00B07430" w:rsidRPr="00CB05A8">
        <w:t xml:space="preserve">the </w:t>
      </w:r>
      <w:r w:rsidR="00475051" w:rsidRPr="00CB05A8">
        <w:t>trial</w:t>
      </w:r>
      <w:r w:rsidR="00B07430" w:rsidRPr="00CB05A8">
        <w:t xml:space="preserve"> court properly reinstated the attempted robbery allegation</w:t>
      </w:r>
      <w:r w:rsidR="00DE4846" w:rsidRPr="00CB05A8">
        <w:t xml:space="preserve">.  </w:t>
      </w:r>
    </w:p>
    <w:p w14:paraId="7C39D4AB" w14:textId="43F026FE" w:rsidR="000A215E" w:rsidRPr="00CB05A8" w:rsidRDefault="004D2B86" w:rsidP="005B5750">
      <w:pPr>
        <w:pStyle w:val="Heading3"/>
        <w:ind w:left="1152" w:firstLine="0"/>
      </w:pPr>
      <w:bookmarkStart w:id="42" w:name="_Toc58918795"/>
      <w:r>
        <w:t xml:space="preserve">4.  </w:t>
      </w:r>
      <w:r w:rsidR="000A215E" w:rsidRPr="00CB05A8">
        <w:t xml:space="preserve">Admission of evidence of other crimes </w:t>
      </w:r>
      <w:bookmarkEnd w:id="42"/>
    </w:p>
    <w:p w14:paraId="51A090D7" w14:textId="5640C7A0" w:rsidR="000A215E" w:rsidRPr="00CB05A8" w:rsidRDefault="000A215E" w:rsidP="00F105E8">
      <w:pPr>
        <w:ind w:firstLine="720"/>
      </w:pPr>
      <w:r w:rsidRPr="00CB05A8">
        <w:t xml:space="preserve">Defendant claims the </w:t>
      </w:r>
      <w:r w:rsidR="00084D70" w:rsidRPr="00CB05A8">
        <w:t>trial</w:t>
      </w:r>
      <w:r w:rsidR="003118C8" w:rsidRPr="00CB05A8">
        <w:t xml:space="preserve"> </w:t>
      </w:r>
      <w:r w:rsidRPr="00CB05A8">
        <w:t>court prejudicially erred in allowing the introduction of his past armed robberies</w:t>
      </w:r>
      <w:r w:rsidR="00654CEB" w:rsidRPr="00CB05A8">
        <w:t xml:space="preserve">.  He </w:t>
      </w:r>
      <w:r w:rsidRPr="00CB05A8">
        <w:t>contend</w:t>
      </w:r>
      <w:r w:rsidR="00654CEB" w:rsidRPr="00CB05A8">
        <w:t xml:space="preserve">s </w:t>
      </w:r>
      <w:r w:rsidRPr="00CB05A8">
        <w:t xml:space="preserve">the previous incidents were not sufficiently similar to the charged offenses to prove intent or a common scheme and were used for the impermissible purpose of showing his propensity to commit the charged crimes and portraying him as a person of bad character.  </w:t>
      </w:r>
      <w:r w:rsidR="00095D9A">
        <w:t>We</w:t>
      </w:r>
      <w:r w:rsidR="00643FA4">
        <w:t> </w:t>
      </w:r>
      <w:r w:rsidRPr="00CB05A8">
        <w:t>conclude this claim lacks merit.</w:t>
      </w:r>
    </w:p>
    <w:p w14:paraId="17E17787" w14:textId="77777777" w:rsidR="000A215E" w:rsidRPr="00CB05A8" w:rsidRDefault="000A215E" w:rsidP="00F105E8">
      <w:pPr>
        <w:pStyle w:val="Heading4"/>
        <w:numPr>
          <w:ilvl w:val="0"/>
          <w:numId w:val="30"/>
        </w:numPr>
        <w:ind w:left="2016" w:hanging="432"/>
      </w:pPr>
      <w:bookmarkStart w:id="43" w:name="_Toc58918796"/>
      <w:r w:rsidRPr="00CB05A8">
        <w:t>Background</w:t>
      </w:r>
      <w:bookmarkEnd w:id="43"/>
    </w:p>
    <w:p w14:paraId="74789F19" w14:textId="0A619193" w:rsidR="000A215E" w:rsidRPr="00CB05A8" w:rsidRDefault="000E1DBF" w:rsidP="00F105E8">
      <w:pPr>
        <w:ind w:firstLine="720"/>
      </w:pPr>
      <w:r w:rsidRPr="00CB05A8">
        <w:t xml:space="preserve">As discussed in </w:t>
      </w:r>
      <w:r w:rsidR="00C776C6">
        <w:t>part</w:t>
      </w:r>
      <w:r w:rsidRPr="00CB05A8">
        <w:t xml:space="preserve"> </w:t>
      </w:r>
      <w:r w:rsidR="008C0EE9" w:rsidRPr="00CB05A8">
        <w:t>II.A.</w:t>
      </w:r>
      <w:r w:rsidR="00524AEE">
        <w:t>3</w:t>
      </w:r>
      <w:r w:rsidR="008C0EE9" w:rsidRPr="00CB05A8">
        <w:t>.</w:t>
      </w:r>
      <w:r w:rsidRPr="00CB05A8">
        <w:t xml:space="preserve">, </w:t>
      </w:r>
      <w:r w:rsidR="00C776C6">
        <w:rPr>
          <w:i/>
        </w:rPr>
        <w:t>ante</w:t>
      </w:r>
      <w:r w:rsidRPr="00CB05A8">
        <w:t xml:space="preserve">, based on the evidence presented at the preliminary hearing, the magistrate judge </w:t>
      </w:r>
      <w:r w:rsidR="00144C47" w:rsidRPr="00CB05A8">
        <w:t xml:space="preserve">denied the prosecution’s motion to admit defendant’s prior crime evidence on the grounds that the prior </w:t>
      </w:r>
      <w:r w:rsidR="004C7BDB" w:rsidRPr="00CB05A8">
        <w:t>robberies were not sufficiently similar</w:t>
      </w:r>
      <w:r w:rsidR="00992DC4" w:rsidRPr="00CB05A8">
        <w:t xml:space="preserve"> to the charged attempted robbery</w:t>
      </w:r>
      <w:r w:rsidR="004C7BDB" w:rsidRPr="00CB05A8">
        <w:t>.</w:t>
      </w:r>
      <w:r w:rsidRPr="00CB05A8">
        <w:t xml:space="preserve"> </w:t>
      </w:r>
      <w:r w:rsidR="004C7BDB" w:rsidRPr="00CB05A8">
        <w:t xml:space="preserve"> </w:t>
      </w:r>
      <w:r w:rsidR="003827DB" w:rsidRPr="00CB05A8">
        <w:t xml:space="preserve">Yet </w:t>
      </w:r>
      <w:r w:rsidRPr="00CB05A8">
        <w:t>after the prosecution recharged defendant in the information</w:t>
      </w:r>
      <w:r w:rsidR="00044C3C" w:rsidRPr="00CB05A8">
        <w:t xml:space="preserve"> and filed a motion to admit defendant’s prior acts under Evidence Code section 1</w:t>
      </w:r>
      <w:r w:rsidR="004D2DAF" w:rsidRPr="00CB05A8">
        <w:t>1</w:t>
      </w:r>
      <w:r w:rsidR="00044C3C" w:rsidRPr="00CB05A8">
        <w:t>01, subdivision (b)</w:t>
      </w:r>
      <w:r w:rsidRPr="00CB05A8">
        <w:t xml:space="preserve">, the </w:t>
      </w:r>
      <w:r w:rsidR="00084D70" w:rsidRPr="00CB05A8">
        <w:t>trial</w:t>
      </w:r>
      <w:r w:rsidRPr="00CB05A8">
        <w:t xml:space="preserve"> court </w:t>
      </w:r>
      <w:r w:rsidR="009948B6" w:rsidRPr="00CB05A8">
        <w:t xml:space="preserve">allowed the prosecution to introduce evidence of four armed robberies of bars and restaurants committed by defendant and an accomplice </w:t>
      </w:r>
      <w:r w:rsidR="000A215E" w:rsidRPr="00CB05A8">
        <w:t xml:space="preserve">in December 1981 in San Diego County.  </w:t>
      </w:r>
      <w:r w:rsidR="0061314D" w:rsidRPr="00CB05A8">
        <w:t xml:space="preserve">  </w:t>
      </w:r>
    </w:p>
    <w:p w14:paraId="16B2EEFC" w14:textId="0439CF25" w:rsidR="009B5677" w:rsidRPr="00CB05A8" w:rsidRDefault="005E3EFD" w:rsidP="00F105E8">
      <w:pPr>
        <w:ind w:firstLine="720"/>
      </w:pPr>
      <w:r w:rsidRPr="00CB05A8">
        <w:t xml:space="preserve">The evidence introduced at trial </w:t>
      </w:r>
      <w:r w:rsidR="004D0064" w:rsidRPr="00CB05A8">
        <w:t>concerning</w:t>
      </w:r>
      <w:r w:rsidR="00BF4C6F" w:rsidRPr="00CB05A8">
        <w:t xml:space="preserve"> defendant’s prior crimes </w:t>
      </w:r>
      <w:r w:rsidRPr="00CB05A8">
        <w:t xml:space="preserve">can be summarized as follows:  </w:t>
      </w:r>
      <w:r w:rsidR="000A215E" w:rsidRPr="00CB05A8">
        <w:t xml:space="preserve">On December 10, </w:t>
      </w:r>
      <w:r w:rsidR="00F5137C" w:rsidRPr="00CB05A8">
        <w:t xml:space="preserve">1981, </w:t>
      </w:r>
      <w:r w:rsidR="000A215E" w:rsidRPr="00CB05A8">
        <w:t xml:space="preserve">defendant and </w:t>
      </w:r>
      <w:r w:rsidR="009B5677" w:rsidRPr="00CB05A8">
        <w:t xml:space="preserve">an accomplice </w:t>
      </w:r>
      <w:r w:rsidR="000A215E" w:rsidRPr="00CB05A8">
        <w:t xml:space="preserve">entered the Bull Pen Bar shortly after the bar closed.  Defendant confronted the bartender and another </w:t>
      </w:r>
      <w:r w:rsidR="00B97007" w:rsidRPr="00CB05A8">
        <w:t>individual</w:t>
      </w:r>
      <w:r w:rsidR="000A215E" w:rsidRPr="00CB05A8">
        <w:t xml:space="preserve"> with a sawed-off shotgun</w:t>
      </w:r>
      <w:r w:rsidR="00B97007" w:rsidRPr="00CB05A8">
        <w:t>,</w:t>
      </w:r>
      <w:r w:rsidR="000A215E" w:rsidRPr="00CB05A8">
        <w:t xml:space="preserve"> </w:t>
      </w:r>
      <w:r w:rsidR="00B97007" w:rsidRPr="00CB05A8">
        <w:t>ordered the bartender to give him money from the register, and comman</w:t>
      </w:r>
      <w:r w:rsidR="00AE5CD5" w:rsidRPr="00CB05A8">
        <w:t xml:space="preserve">ded them to </w:t>
      </w:r>
      <w:r w:rsidR="00975D70" w:rsidRPr="00CB05A8">
        <w:t>l</w:t>
      </w:r>
      <w:r w:rsidR="00975D70">
        <w:t>ie</w:t>
      </w:r>
      <w:r w:rsidR="00975D70" w:rsidRPr="00CB05A8">
        <w:t xml:space="preserve"> </w:t>
      </w:r>
      <w:r w:rsidR="00AE5CD5" w:rsidRPr="00CB05A8">
        <w:t>on the floor until the pair left</w:t>
      </w:r>
      <w:r w:rsidR="000A215E" w:rsidRPr="00CB05A8">
        <w:t xml:space="preserve">.  On December 16, </w:t>
      </w:r>
      <w:r w:rsidR="00E84730" w:rsidRPr="00CB05A8">
        <w:t xml:space="preserve">1981, </w:t>
      </w:r>
      <w:r w:rsidR="000A215E" w:rsidRPr="00CB05A8">
        <w:t xml:space="preserve">defendant </w:t>
      </w:r>
      <w:r w:rsidR="00C17F6F" w:rsidRPr="00CB05A8">
        <w:t xml:space="preserve">and </w:t>
      </w:r>
      <w:r w:rsidR="009E0297" w:rsidRPr="00CB05A8">
        <w:t>an accomplice</w:t>
      </w:r>
      <w:r w:rsidR="000A215E" w:rsidRPr="00CB05A8">
        <w:t xml:space="preserve"> robbed the Bollweevil Restaurant shortly after closing.  Defendant approached the night supervisor, pointed a gun at her head, and ordered her to retrieve cash from the office cash box and register.  On December 23, </w:t>
      </w:r>
      <w:r w:rsidR="00E84730" w:rsidRPr="00CB05A8">
        <w:t xml:space="preserve">1981, </w:t>
      </w:r>
      <w:r w:rsidR="000A215E" w:rsidRPr="00CB05A8">
        <w:t xml:space="preserve">defendant and </w:t>
      </w:r>
      <w:r w:rsidR="00700196" w:rsidRPr="00CB05A8">
        <w:t xml:space="preserve">an accomplice </w:t>
      </w:r>
      <w:r w:rsidR="000A215E" w:rsidRPr="00CB05A8">
        <w:t>robbed a Pizza Hut soon after the restaurant had closed</w:t>
      </w:r>
      <w:r w:rsidR="006C790D" w:rsidRPr="00CB05A8">
        <w:t xml:space="preserve"> for the evening</w:t>
      </w:r>
      <w:r w:rsidR="000A215E" w:rsidRPr="00CB05A8">
        <w:t xml:space="preserve">.  Defendant, armed with a </w:t>
      </w:r>
      <w:r w:rsidR="006C790D" w:rsidRPr="00CB05A8">
        <w:t>shotgun</w:t>
      </w:r>
      <w:r w:rsidR="000A215E" w:rsidRPr="00CB05A8">
        <w:t xml:space="preserve">, confronted the </w:t>
      </w:r>
      <w:r w:rsidR="006C790D" w:rsidRPr="00CB05A8">
        <w:t xml:space="preserve">assistant </w:t>
      </w:r>
      <w:r w:rsidR="000A215E" w:rsidRPr="00CB05A8">
        <w:t>manager</w:t>
      </w:r>
      <w:r w:rsidR="00986795">
        <w:t>,</w:t>
      </w:r>
      <w:r w:rsidR="000A215E" w:rsidRPr="00CB05A8">
        <w:t xml:space="preserve"> and </w:t>
      </w:r>
      <w:r w:rsidR="006C790D" w:rsidRPr="00CB05A8">
        <w:t>ordered her to give him money from the safe and cash register</w:t>
      </w:r>
      <w:r w:rsidR="000A215E" w:rsidRPr="00CB05A8">
        <w:t xml:space="preserve">.  </w:t>
      </w:r>
      <w:r w:rsidR="00745501" w:rsidRPr="00CB05A8">
        <w:t xml:space="preserve">The accomplice pointed a handgun at another employee.  </w:t>
      </w:r>
      <w:r w:rsidR="000A215E" w:rsidRPr="00CB05A8">
        <w:t xml:space="preserve">On December 29, </w:t>
      </w:r>
      <w:r w:rsidR="00E84730" w:rsidRPr="00CB05A8">
        <w:t xml:space="preserve">1981, </w:t>
      </w:r>
      <w:r w:rsidR="000A215E" w:rsidRPr="00CB05A8">
        <w:t xml:space="preserve">defendant and </w:t>
      </w:r>
      <w:r w:rsidR="00EE17FF" w:rsidRPr="00CB05A8">
        <w:t xml:space="preserve">an accomplice </w:t>
      </w:r>
      <w:r w:rsidR="000A215E" w:rsidRPr="00CB05A8">
        <w:t xml:space="preserve">robbed a different Pizza Hut just after the restaurant closed.  Defendant approached the assistant manager </w:t>
      </w:r>
      <w:r w:rsidR="004549AE" w:rsidRPr="00CB05A8">
        <w:t>and displayed</w:t>
      </w:r>
      <w:r w:rsidR="000A215E" w:rsidRPr="00CB05A8">
        <w:t xml:space="preserve"> a sawed-off shotgun</w:t>
      </w:r>
      <w:r w:rsidR="004549AE" w:rsidRPr="00CB05A8">
        <w:t xml:space="preserve">.  He </w:t>
      </w:r>
      <w:r w:rsidR="000A215E" w:rsidRPr="00CB05A8">
        <w:t>ordered her to open the safe</w:t>
      </w:r>
      <w:r w:rsidR="004549AE" w:rsidRPr="00CB05A8">
        <w:t xml:space="preserve"> and proceeded to take money from it</w:t>
      </w:r>
      <w:r w:rsidR="000A215E" w:rsidRPr="00CB05A8">
        <w:t xml:space="preserve">.  </w:t>
      </w:r>
      <w:r w:rsidR="00041E84" w:rsidRPr="00CB05A8">
        <w:t>The accomplice th</w:t>
      </w:r>
      <w:r w:rsidR="00FF5AFC" w:rsidRPr="00CB05A8">
        <w:t>e</w:t>
      </w:r>
      <w:r w:rsidR="00041E84" w:rsidRPr="00CB05A8">
        <w:t xml:space="preserve">n ordered the assistant manager to open the cash register and give him </w:t>
      </w:r>
      <w:r w:rsidR="000B6B3F" w:rsidRPr="00CB05A8">
        <w:t xml:space="preserve">money from it.  </w:t>
      </w:r>
    </w:p>
    <w:p w14:paraId="527C655C" w14:textId="305A7C7F" w:rsidR="000A215E" w:rsidRPr="00CB05A8" w:rsidRDefault="009807A5" w:rsidP="00F105E8">
      <w:pPr>
        <w:ind w:firstLine="720"/>
      </w:pPr>
      <w:r w:rsidRPr="00CB05A8">
        <w:rPr>
          <w:iCs/>
        </w:rPr>
        <w:t xml:space="preserve">Stephen </w:t>
      </w:r>
      <w:r w:rsidR="002960AA" w:rsidRPr="00CB05A8">
        <w:rPr>
          <w:iCs/>
        </w:rPr>
        <w:t xml:space="preserve">Jarrett testified that he </w:t>
      </w:r>
      <w:r w:rsidRPr="00CB05A8">
        <w:rPr>
          <w:iCs/>
        </w:rPr>
        <w:t xml:space="preserve">committed the string of robberies with </w:t>
      </w:r>
      <w:r w:rsidR="002960AA" w:rsidRPr="00CB05A8">
        <w:rPr>
          <w:iCs/>
        </w:rPr>
        <w:t>defendant</w:t>
      </w:r>
      <w:r w:rsidRPr="00CB05A8">
        <w:rPr>
          <w:iCs/>
        </w:rPr>
        <w:t xml:space="preserve">.  According to Jarrett, the duo </w:t>
      </w:r>
      <w:r w:rsidR="002960AA" w:rsidRPr="00CB05A8">
        <w:rPr>
          <w:iCs/>
        </w:rPr>
        <w:t>targeted restaurants and bars they were familiar with and knew had late business hours and accessible cash.  Jarrett</w:t>
      </w:r>
      <w:r w:rsidR="00431787">
        <w:rPr>
          <w:iCs/>
        </w:rPr>
        <w:t xml:space="preserve"> </w:t>
      </w:r>
      <w:r w:rsidR="007956E4">
        <w:rPr>
          <w:iCs/>
        </w:rPr>
        <w:t>attested</w:t>
      </w:r>
      <w:r w:rsidR="00431787">
        <w:rPr>
          <w:iCs/>
        </w:rPr>
        <w:t xml:space="preserve"> that</w:t>
      </w:r>
      <w:r w:rsidR="002960AA" w:rsidRPr="00CB05A8">
        <w:rPr>
          <w:iCs/>
        </w:rPr>
        <w:t xml:space="preserve"> they looked for businesses that were isolated and had easy access</w:t>
      </w:r>
      <w:r w:rsidR="007127A5">
        <w:rPr>
          <w:iCs/>
        </w:rPr>
        <w:t xml:space="preserve"> to roads</w:t>
      </w:r>
      <w:r w:rsidR="00714323" w:rsidRPr="00CB05A8">
        <w:rPr>
          <w:iCs/>
        </w:rPr>
        <w:t xml:space="preserve">.  The pair would </w:t>
      </w:r>
      <w:r w:rsidR="002960AA" w:rsidRPr="00CB05A8">
        <w:rPr>
          <w:iCs/>
        </w:rPr>
        <w:t>wait</w:t>
      </w:r>
      <w:r w:rsidR="0031557E" w:rsidRPr="00CB05A8">
        <w:rPr>
          <w:iCs/>
        </w:rPr>
        <w:t xml:space="preserve"> for the business to close before </w:t>
      </w:r>
      <w:r w:rsidR="00CD05C6" w:rsidRPr="00CB05A8">
        <w:rPr>
          <w:iCs/>
        </w:rPr>
        <w:t>robbing it</w:t>
      </w:r>
      <w:r w:rsidR="0031557E" w:rsidRPr="00CB05A8">
        <w:rPr>
          <w:iCs/>
        </w:rPr>
        <w:t xml:space="preserve"> </w:t>
      </w:r>
      <w:r w:rsidR="002960AA" w:rsidRPr="00CB05A8">
        <w:rPr>
          <w:iCs/>
        </w:rPr>
        <w:t xml:space="preserve">so there would be no customers inside and less interference.     </w:t>
      </w:r>
    </w:p>
    <w:p w14:paraId="09496E31" w14:textId="77777777" w:rsidR="000A215E" w:rsidRPr="00CB05A8" w:rsidRDefault="000A215E" w:rsidP="00F105E8">
      <w:pPr>
        <w:pStyle w:val="Heading4"/>
        <w:numPr>
          <w:ilvl w:val="0"/>
          <w:numId w:val="30"/>
        </w:numPr>
        <w:ind w:left="2016" w:hanging="432"/>
      </w:pPr>
      <w:bookmarkStart w:id="44" w:name="_Toc58918797"/>
      <w:r w:rsidRPr="00CB05A8">
        <w:t>Discussion</w:t>
      </w:r>
      <w:bookmarkEnd w:id="44"/>
    </w:p>
    <w:p w14:paraId="6114F343" w14:textId="0307BC62" w:rsidR="000A215E" w:rsidRPr="00CB05A8" w:rsidRDefault="000A215E" w:rsidP="00F105E8">
      <w:pPr>
        <w:ind w:firstLine="720"/>
        <w:rPr>
          <w:szCs w:val="26"/>
        </w:rPr>
      </w:pPr>
      <w:r w:rsidRPr="00CB05A8">
        <w:rPr>
          <w:szCs w:val="26"/>
        </w:rPr>
        <w:t>“The rules governing the admissibility of evidence under Evidence Code section 1101</w:t>
      </w:r>
      <w:r w:rsidR="003A37C7">
        <w:rPr>
          <w:szCs w:val="26"/>
        </w:rPr>
        <w:t>[, subdivision ]</w:t>
      </w:r>
      <w:r w:rsidRPr="00CB05A8">
        <w:rPr>
          <w:szCs w:val="26"/>
        </w:rPr>
        <w:t>(b) are well settled.”  (</w:t>
      </w:r>
      <w:r w:rsidRPr="00CB05A8">
        <w:rPr>
          <w:i/>
          <w:szCs w:val="26"/>
        </w:rPr>
        <w:t xml:space="preserve">People v. Cage </w:t>
      </w:r>
      <w:r w:rsidRPr="00CB05A8">
        <w:rPr>
          <w:szCs w:val="26"/>
        </w:rPr>
        <w:t>(2015) 62 Cal.4th 256, 273.)  “ ‘ “[O]ther crimes” evidence is admissible under Evidence Code section 1101</w:t>
      </w:r>
      <w:r w:rsidR="003A37C7">
        <w:rPr>
          <w:szCs w:val="26"/>
        </w:rPr>
        <w:t xml:space="preserve">, subdivision </w:t>
      </w:r>
      <w:r w:rsidRPr="00CB05A8">
        <w:rPr>
          <w:szCs w:val="26"/>
        </w:rPr>
        <w:t>(b) “when offered as evidence of a defendant’s motive, common scheme or plan, preparation, intent, knowledge, identity, or absence of mistake or accident in the charged crimes.”</w:t>
      </w:r>
      <w:r w:rsidR="00AC378B" w:rsidRPr="00CB05A8">
        <w:rPr>
          <w:szCs w:val="26"/>
        </w:rPr>
        <w:t> </w:t>
      </w:r>
      <w:r w:rsidRPr="00CB05A8">
        <w:rPr>
          <w:szCs w:val="26"/>
        </w:rPr>
        <w:t>’  [Citation.]  ‘In this inquiry, the degree of similarity of criminal acts is often a key factor, and “there exists a continuum concerning the degree of similarity required for cross-admissibility, depending upon the purpose for which introduction of the evidence is sought:  ‘The least degree of similarity . . .</w:t>
      </w:r>
      <w:r w:rsidR="007C2E6C" w:rsidRPr="00CB05A8">
        <w:rPr>
          <w:szCs w:val="26"/>
        </w:rPr>
        <w:t xml:space="preserve"> </w:t>
      </w:r>
      <w:r w:rsidRPr="00CB05A8">
        <w:rPr>
          <w:szCs w:val="26"/>
        </w:rPr>
        <w:t>is required in order to prove intent</w:t>
      </w:r>
      <w:r w:rsidR="007C2E6C" w:rsidRPr="00CB05A8">
        <w:rPr>
          <w:szCs w:val="26"/>
        </w:rPr>
        <w:t> </w:t>
      </w:r>
      <w:r w:rsidRPr="00CB05A8">
        <w:rPr>
          <w:szCs w:val="26"/>
        </w:rPr>
        <w:t>.</w:t>
      </w:r>
      <w:r w:rsidR="007C2E6C" w:rsidRPr="00CB05A8">
        <w:rPr>
          <w:szCs w:val="26"/>
        </w:rPr>
        <w:t> </w:t>
      </w:r>
      <w:r w:rsidRPr="00CB05A8">
        <w:rPr>
          <w:szCs w:val="26"/>
        </w:rPr>
        <w:t>.</w:t>
      </w:r>
      <w:r w:rsidR="007C2E6C" w:rsidRPr="00CB05A8">
        <w:rPr>
          <w:szCs w:val="26"/>
        </w:rPr>
        <w:t> </w:t>
      </w:r>
      <w:r w:rsidRPr="00CB05A8">
        <w:rPr>
          <w:szCs w:val="26"/>
        </w:rPr>
        <w:t>.</w:t>
      </w:r>
      <w:r w:rsidR="007C2E6C" w:rsidRPr="00CB05A8">
        <w:rPr>
          <w:szCs w:val="26"/>
        </w:rPr>
        <w:t> </w:t>
      </w:r>
      <w:r w:rsidRPr="00CB05A8">
        <w:rPr>
          <w:szCs w:val="26"/>
        </w:rPr>
        <w:t>.’</w:t>
      </w:r>
      <w:r w:rsidR="007C2E6C" w:rsidRPr="00CB05A8">
        <w:rPr>
          <w:szCs w:val="26"/>
        </w:rPr>
        <w:t xml:space="preserve"> </w:t>
      </w:r>
      <w:r w:rsidRPr="00CB05A8">
        <w:rPr>
          <w:szCs w:val="26"/>
        </w:rPr>
        <w:t xml:space="preserve"> </w:t>
      </w:r>
      <w:r w:rsidR="009A6B8B">
        <w:rPr>
          <w:szCs w:val="26"/>
        </w:rPr>
        <w:t>. . . </w:t>
      </w:r>
      <w:r w:rsidRPr="00CB05A8">
        <w:rPr>
          <w:szCs w:val="26"/>
        </w:rPr>
        <w:t>By contrast, a higher degree of similarity is required to prove common design or plan, and the highest degree of similarity is required to prove identity.” ’ ”  (</w:t>
      </w:r>
      <w:r w:rsidRPr="00CB05A8">
        <w:rPr>
          <w:i/>
          <w:szCs w:val="26"/>
        </w:rPr>
        <w:t>People v. Erskine</w:t>
      </w:r>
      <w:r w:rsidRPr="00CB05A8">
        <w:rPr>
          <w:szCs w:val="26"/>
        </w:rPr>
        <w:t xml:space="preserve"> (2019) 7</w:t>
      </w:r>
      <w:r w:rsidR="002140EA" w:rsidRPr="00CB05A8">
        <w:rPr>
          <w:szCs w:val="26"/>
        </w:rPr>
        <w:t> </w:t>
      </w:r>
      <w:r w:rsidRPr="00CB05A8">
        <w:rPr>
          <w:szCs w:val="26"/>
        </w:rPr>
        <w:t>Cal.5th 279, 295</w:t>
      </w:r>
      <w:r w:rsidR="00855222" w:rsidRPr="00CB05A8">
        <w:rPr>
          <w:szCs w:val="26"/>
        </w:rPr>
        <w:t xml:space="preserve"> (</w:t>
      </w:r>
      <w:r w:rsidR="00855222" w:rsidRPr="00CB05A8">
        <w:rPr>
          <w:i/>
          <w:szCs w:val="26"/>
        </w:rPr>
        <w:t>Erskine</w:t>
      </w:r>
      <w:r w:rsidR="00855222" w:rsidRPr="00CB05A8">
        <w:rPr>
          <w:szCs w:val="26"/>
        </w:rPr>
        <w:t>)</w:t>
      </w:r>
      <w:r w:rsidRPr="00CB05A8">
        <w:rPr>
          <w:szCs w:val="26"/>
        </w:rPr>
        <w:t xml:space="preserve">.)  </w:t>
      </w:r>
    </w:p>
    <w:p w14:paraId="7BC54AA5" w14:textId="69F2D6D5" w:rsidR="000A215E" w:rsidRPr="00CB05A8" w:rsidRDefault="000A215E" w:rsidP="00F105E8">
      <w:pPr>
        <w:ind w:firstLine="720"/>
        <w:rPr>
          <w:szCs w:val="26"/>
        </w:rPr>
      </w:pPr>
      <w:r w:rsidRPr="00CB05A8">
        <w:rPr>
          <w:szCs w:val="24"/>
        </w:rPr>
        <w:t>Evidence is admissible to prove intent if there is “ ‘sufficient evidence for the jury to find defendant committed both sets of acts, and sufficient similarities to demonstrate that in each instance the perpetrator acted with the same intent or motive.’</w:t>
      </w:r>
      <w:r w:rsidR="00E574F1" w:rsidRPr="00CB05A8">
        <w:rPr>
          <w:szCs w:val="24"/>
        </w:rPr>
        <w:t> </w:t>
      </w:r>
      <w:r w:rsidRPr="00CB05A8">
        <w:rPr>
          <w:szCs w:val="24"/>
        </w:rPr>
        <w:t>”  (</w:t>
      </w:r>
      <w:r w:rsidRPr="00CB05A8">
        <w:rPr>
          <w:i/>
          <w:szCs w:val="24"/>
        </w:rPr>
        <w:t>People v. Daveggio and Michaud</w:t>
      </w:r>
      <w:r w:rsidRPr="00CB05A8">
        <w:rPr>
          <w:szCs w:val="24"/>
        </w:rPr>
        <w:t xml:space="preserve"> (2018) 4 Cal.5th 790, 827</w:t>
      </w:r>
      <w:r w:rsidR="002E049E" w:rsidRPr="00CB05A8">
        <w:rPr>
          <w:szCs w:val="24"/>
        </w:rPr>
        <w:t xml:space="preserve"> (</w:t>
      </w:r>
      <w:r w:rsidR="002E049E" w:rsidRPr="00CB05A8">
        <w:rPr>
          <w:i/>
          <w:szCs w:val="24"/>
        </w:rPr>
        <w:t>Daveggio and Michaud</w:t>
      </w:r>
      <w:r w:rsidR="002E049E" w:rsidRPr="00CB05A8">
        <w:rPr>
          <w:szCs w:val="24"/>
        </w:rPr>
        <w:t>)</w:t>
      </w:r>
      <w:r w:rsidRPr="00CB05A8">
        <w:rPr>
          <w:szCs w:val="24"/>
        </w:rPr>
        <w:t xml:space="preserve">.)  In order to establish the existence of a </w:t>
      </w:r>
      <w:r w:rsidRPr="00CB05A8">
        <w:rPr>
          <w:iCs/>
          <w:szCs w:val="24"/>
        </w:rPr>
        <w:t>common</w:t>
      </w:r>
      <w:r w:rsidRPr="00CB05A8">
        <w:rPr>
          <w:szCs w:val="24"/>
        </w:rPr>
        <w:t xml:space="preserve"> design or plan, “ ‘the common features must indicate the existence of a plan rather than a series of similar spontaneous acts, but the plan thus revealed need not be distinctive or unusual.’</w:t>
      </w:r>
      <w:r w:rsidR="00EE068E" w:rsidRPr="00CB05A8">
        <w:rPr>
          <w:szCs w:val="24"/>
        </w:rPr>
        <w:t> </w:t>
      </w:r>
      <w:r w:rsidRPr="00CB05A8">
        <w:rPr>
          <w:szCs w:val="24"/>
        </w:rPr>
        <w:t>”  (</w:t>
      </w:r>
      <w:r w:rsidRPr="00CB05A8">
        <w:rPr>
          <w:i/>
          <w:szCs w:val="24"/>
        </w:rPr>
        <w:t>Id</w:t>
      </w:r>
      <w:r w:rsidRPr="00CB05A8">
        <w:rPr>
          <w:szCs w:val="24"/>
        </w:rPr>
        <w:t>. at p. 828.)</w:t>
      </w:r>
    </w:p>
    <w:p w14:paraId="5ACD9F11" w14:textId="25CF41DB" w:rsidR="000A215E" w:rsidRPr="00CB05A8" w:rsidRDefault="000A215E" w:rsidP="00F105E8">
      <w:pPr>
        <w:ind w:firstLine="720"/>
      </w:pPr>
      <w:r w:rsidRPr="00CB05A8">
        <w:rPr>
          <w:szCs w:val="26"/>
        </w:rPr>
        <w:t xml:space="preserve">We review the </w:t>
      </w:r>
      <w:r w:rsidR="00B424FB" w:rsidRPr="00CB05A8">
        <w:rPr>
          <w:szCs w:val="26"/>
        </w:rPr>
        <w:t>trial</w:t>
      </w:r>
      <w:r w:rsidR="007363AD" w:rsidRPr="00CB05A8">
        <w:rPr>
          <w:szCs w:val="26"/>
        </w:rPr>
        <w:t xml:space="preserve"> </w:t>
      </w:r>
      <w:r w:rsidRPr="00CB05A8">
        <w:rPr>
          <w:szCs w:val="26"/>
        </w:rPr>
        <w:t>court’s ruling on the admissibility of other crimes evidence for abuse of discretion.  (</w:t>
      </w:r>
      <w:r w:rsidRPr="00CB05A8">
        <w:rPr>
          <w:i/>
          <w:szCs w:val="26"/>
        </w:rPr>
        <w:t>People v. Cole</w:t>
      </w:r>
      <w:r w:rsidRPr="00CB05A8">
        <w:rPr>
          <w:szCs w:val="26"/>
        </w:rPr>
        <w:t xml:space="preserve"> (2004) 33</w:t>
      </w:r>
      <w:r w:rsidR="00195D4E">
        <w:rPr>
          <w:szCs w:val="26"/>
        </w:rPr>
        <w:t> </w:t>
      </w:r>
      <w:r w:rsidRPr="00CB05A8">
        <w:rPr>
          <w:szCs w:val="26"/>
        </w:rPr>
        <w:t xml:space="preserve">Cal.4th 1158, 1195.)  We will not disturb </w:t>
      </w:r>
      <w:r w:rsidR="008E09F2" w:rsidRPr="00CB05A8">
        <w:rPr>
          <w:szCs w:val="26"/>
        </w:rPr>
        <w:t>its</w:t>
      </w:r>
      <w:r w:rsidRPr="00CB05A8">
        <w:rPr>
          <w:szCs w:val="26"/>
        </w:rPr>
        <w:t xml:space="preserve"> ruling on appeal absent a showing that it exercised its discretion in an arbitrary manner resulting in a manifest miscarriage of justice.  (</w:t>
      </w:r>
      <w:r w:rsidRPr="00CB05A8">
        <w:rPr>
          <w:i/>
          <w:szCs w:val="26"/>
        </w:rPr>
        <w:t>People v. Rodrigues</w:t>
      </w:r>
      <w:r w:rsidRPr="00CB05A8">
        <w:rPr>
          <w:szCs w:val="26"/>
        </w:rPr>
        <w:t xml:space="preserve"> (1994) 8 Cal.4th 1060, 1124–1125.)  </w:t>
      </w:r>
      <w:r w:rsidRPr="00CB05A8">
        <w:t xml:space="preserve"> </w:t>
      </w:r>
    </w:p>
    <w:p w14:paraId="1D5C2439" w14:textId="0BD23CF3" w:rsidR="000A215E" w:rsidRPr="00CB05A8" w:rsidRDefault="000A215E" w:rsidP="00F105E8">
      <w:pPr>
        <w:tabs>
          <w:tab w:val="left" w:pos="720"/>
          <w:tab w:val="left" w:pos="1170"/>
        </w:tabs>
        <w:rPr>
          <w:szCs w:val="24"/>
        </w:rPr>
      </w:pPr>
      <w:r w:rsidRPr="00CB05A8">
        <w:tab/>
      </w:r>
      <w:r w:rsidR="00095D9A">
        <w:t>W</w:t>
      </w:r>
      <w:r w:rsidRPr="00CB05A8">
        <w:t xml:space="preserve">e </w:t>
      </w:r>
      <w:r w:rsidR="00095D9A">
        <w:t>conclude</w:t>
      </w:r>
      <w:r w:rsidRPr="00CB05A8">
        <w:t xml:space="preserve"> that the four prior robberies were, at a minimum, admissible </w:t>
      </w:r>
      <w:r w:rsidR="00B357E1" w:rsidRPr="00CB05A8">
        <w:t>under Evidence Code section 1101</w:t>
      </w:r>
      <w:r w:rsidR="00D567CF" w:rsidRPr="00CB05A8">
        <w:t xml:space="preserve">, subdivision </w:t>
      </w:r>
      <w:r w:rsidR="00B357E1" w:rsidRPr="00CB05A8">
        <w:t xml:space="preserve">(b) </w:t>
      </w:r>
      <w:r w:rsidRPr="00CB05A8">
        <w:t>as evidence of defendant’s intent</w:t>
      </w:r>
      <w:r w:rsidR="00975614" w:rsidRPr="00CB05A8">
        <w:t xml:space="preserve"> </w:t>
      </w:r>
      <w:r w:rsidR="00D567CF" w:rsidRPr="00CB05A8">
        <w:t>regarding attempted robbery</w:t>
      </w:r>
      <w:r w:rsidRPr="00CB05A8">
        <w:t xml:space="preserve">.  The </w:t>
      </w:r>
      <w:r w:rsidRPr="00CB05A8">
        <w:rPr>
          <w:szCs w:val="26"/>
        </w:rPr>
        <w:t>prior robberies shared several similarities with the instant offense</w:t>
      </w:r>
      <w:r w:rsidR="00D567CF" w:rsidRPr="00CB05A8">
        <w:rPr>
          <w:szCs w:val="26"/>
        </w:rPr>
        <w:t>,</w:t>
      </w:r>
      <w:r w:rsidRPr="00CB05A8">
        <w:rPr>
          <w:szCs w:val="26"/>
        </w:rPr>
        <w:t xml:space="preserve"> including defendant and an accomplice surveilling a restaurant or bar</w:t>
      </w:r>
      <w:r w:rsidR="0031557E" w:rsidRPr="00CB05A8">
        <w:rPr>
          <w:szCs w:val="26"/>
        </w:rPr>
        <w:t xml:space="preserve"> located </w:t>
      </w:r>
      <w:r w:rsidR="00A054ED" w:rsidRPr="00CB05A8">
        <w:rPr>
          <w:szCs w:val="26"/>
        </w:rPr>
        <w:t xml:space="preserve">in </w:t>
      </w:r>
      <w:r w:rsidR="0031557E" w:rsidRPr="00CB05A8">
        <w:rPr>
          <w:szCs w:val="26"/>
        </w:rPr>
        <w:t>an isolated area with easy road access</w:t>
      </w:r>
      <w:r w:rsidRPr="00CB05A8">
        <w:rPr>
          <w:szCs w:val="26"/>
        </w:rPr>
        <w:t xml:space="preserve">, </w:t>
      </w:r>
      <w:r w:rsidR="00602C32" w:rsidRPr="00CB05A8">
        <w:rPr>
          <w:szCs w:val="26"/>
        </w:rPr>
        <w:t>targeting</w:t>
      </w:r>
      <w:r w:rsidRPr="00CB05A8">
        <w:rPr>
          <w:szCs w:val="26"/>
        </w:rPr>
        <w:t xml:space="preserve"> restaurants or bars late at night after they were closed to customers but still had employees inside, brandishing or possessing a firearm, and using a vehicle in facilitating the robberies.  </w:t>
      </w:r>
      <w:r w:rsidR="00AC6BA0">
        <w:rPr>
          <w:szCs w:val="26"/>
        </w:rPr>
        <w:t>Although there were some differences</w:t>
      </w:r>
      <w:r w:rsidR="008B2C35">
        <w:rPr>
          <w:szCs w:val="26"/>
        </w:rPr>
        <w:t xml:space="preserve"> between the San Diego robberies and the events outside of Sushi Hana</w:t>
      </w:r>
      <w:r w:rsidR="00A455A7">
        <w:rPr>
          <w:szCs w:val="26"/>
        </w:rPr>
        <w:t xml:space="preserve">, such as </w:t>
      </w:r>
      <w:r w:rsidR="002431A7">
        <w:rPr>
          <w:szCs w:val="26"/>
        </w:rPr>
        <w:t>defendant</w:t>
      </w:r>
      <w:r w:rsidR="00A455A7">
        <w:rPr>
          <w:szCs w:val="26"/>
        </w:rPr>
        <w:t xml:space="preserve"> and Moore approaching Wilson outside of the restaurant</w:t>
      </w:r>
      <w:r w:rsidR="000F3F1D">
        <w:rPr>
          <w:szCs w:val="26"/>
        </w:rPr>
        <w:t xml:space="preserve"> and without </w:t>
      </w:r>
      <w:r w:rsidR="008C7F5B">
        <w:rPr>
          <w:szCs w:val="26"/>
        </w:rPr>
        <w:t xml:space="preserve">displaying </w:t>
      </w:r>
      <w:r w:rsidR="000F3F1D">
        <w:rPr>
          <w:szCs w:val="26"/>
        </w:rPr>
        <w:t xml:space="preserve">weapons, </w:t>
      </w:r>
      <w:r w:rsidR="00A455A7">
        <w:rPr>
          <w:szCs w:val="24"/>
        </w:rPr>
        <w:t>t</w:t>
      </w:r>
      <w:r w:rsidRPr="00CB05A8">
        <w:rPr>
          <w:szCs w:val="24"/>
        </w:rPr>
        <w:t>he similarities between the prior and charged offenses “provided a sufficient basis for the jury to conclude that defendant[] acted with the same criminal intent or motive, rather than by ‘ “accident or inadvertence or self-defense or good faith or other innocent mental state.” ’ ”  (</w:t>
      </w:r>
      <w:r w:rsidRPr="00CB05A8">
        <w:rPr>
          <w:i/>
          <w:szCs w:val="24"/>
        </w:rPr>
        <w:t>Daveggio and Michaud</w:t>
      </w:r>
      <w:r w:rsidRPr="00CB05A8">
        <w:rPr>
          <w:szCs w:val="24"/>
        </w:rPr>
        <w:t xml:space="preserve">, </w:t>
      </w:r>
      <w:r w:rsidRPr="00CB05A8">
        <w:rPr>
          <w:i/>
          <w:szCs w:val="24"/>
        </w:rPr>
        <w:t>supra</w:t>
      </w:r>
      <w:r w:rsidRPr="00CB05A8">
        <w:rPr>
          <w:szCs w:val="24"/>
        </w:rPr>
        <w:t xml:space="preserve">, 4 Cal.5th at p. 827.)  </w:t>
      </w:r>
    </w:p>
    <w:p w14:paraId="77E3E0F3" w14:textId="1B73317A" w:rsidR="000A215E" w:rsidRPr="00CB05A8" w:rsidRDefault="00095D9A" w:rsidP="00F105E8">
      <w:pPr>
        <w:ind w:firstLine="720"/>
      </w:pPr>
      <w:r>
        <w:rPr>
          <w:szCs w:val="24"/>
        </w:rPr>
        <w:t>W</w:t>
      </w:r>
      <w:r w:rsidR="000A215E" w:rsidRPr="00CB05A8">
        <w:rPr>
          <w:szCs w:val="24"/>
        </w:rPr>
        <w:t xml:space="preserve">e </w:t>
      </w:r>
      <w:r w:rsidR="00D059E2">
        <w:rPr>
          <w:szCs w:val="24"/>
        </w:rPr>
        <w:t xml:space="preserve">also </w:t>
      </w:r>
      <w:r w:rsidR="000A215E" w:rsidRPr="00CB05A8">
        <w:rPr>
          <w:szCs w:val="24"/>
        </w:rPr>
        <w:t xml:space="preserve">conclude </w:t>
      </w:r>
      <w:r>
        <w:rPr>
          <w:szCs w:val="24"/>
        </w:rPr>
        <w:t xml:space="preserve">that </w:t>
      </w:r>
      <w:r w:rsidR="000A215E" w:rsidRPr="00CB05A8">
        <w:rPr>
          <w:szCs w:val="24"/>
        </w:rPr>
        <w:t xml:space="preserve">the </w:t>
      </w:r>
      <w:r w:rsidR="00475051" w:rsidRPr="00CB05A8">
        <w:rPr>
          <w:szCs w:val="24"/>
        </w:rPr>
        <w:t>trial</w:t>
      </w:r>
      <w:r w:rsidR="000A215E" w:rsidRPr="00CB05A8">
        <w:rPr>
          <w:szCs w:val="24"/>
        </w:rPr>
        <w:t xml:space="preserve"> court acted within its discretion in </w:t>
      </w:r>
      <w:r w:rsidR="002F4944">
        <w:rPr>
          <w:szCs w:val="24"/>
        </w:rPr>
        <w:t>finding</w:t>
      </w:r>
      <w:r w:rsidR="000A215E" w:rsidRPr="00CB05A8">
        <w:rPr>
          <w:szCs w:val="24"/>
        </w:rPr>
        <w:t xml:space="preserve"> the evidence more probative than prejudicial under Evidence Code section 352.  None of the prior crime evidence was particularly inflammatory or likely to invoke an emotional bias against defendant.  (</w:t>
      </w:r>
      <w:r w:rsidR="000A215E" w:rsidRPr="00CB05A8">
        <w:rPr>
          <w:i/>
          <w:szCs w:val="24"/>
        </w:rPr>
        <w:t>People v. Foster</w:t>
      </w:r>
      <w:r w:rsidR="000A215E" w:rsidRPr="00CB05A8">
        <w:t xml:space="preserve"> (2010) 50</w:t>
      </w:r>
      <w:r w:rsidR="002140EA" w:rsidRPr="00CB05A8">
        <w:t> </w:t>
      </w:r>
      <w:r w:rsidR="000A215E" w:rsidRPr="00CB05A8">
        <w:t xml:space="preserve">Cal.4th 1301, 1331; </w:t>
      </w:r>
      <w:r w:rsidR="000D7512" w:rsidRPr="00CB05A8">
        <w:rPr>
          <w:i/>
        </w:rPr>
        <w:t xml:space="preserve">People v. </w:t>
      </w:r>
      <w:r w:rsidR="000A215E" w:rsidRPr="00CB05A8">
        <w:rPr>
          <w:i/>
        </w:rPr>
        <w:t>Ewoldt</w:t>
      </w:r>
      <w:r w:rsidR="000D7512" w:rsidRPr="00CB05A8">
        <w:t xml:space="preserve"> (</w:t>
      </w:r>
      <w:r w:rsidR="00974217" w:rsidRPr="00CB05A8">
        <w:t>1994)</w:t>
      </w:r>
      <w:r w:rsidR="000A215E" w:rsidRPr="00CB05A8">
        <w:t xml:space="preserve"> 7 Cal.4th </w:t>
      </w:r>
      <w:r w:rsidR="00974217" w:rsidRPr="00CB05A8">
        <w:t xml:space="preserve">380, </w:t>
      </w:r>
      <w:r w:rsidR="000A215E" w:rsidRPr="00CB05A8">
        <w:t>405.)</w:t>
      </w:r>
      <w:r w:rsidR="000A215E" w:rsidRPr="00CB05A8">
        <w:rPr>
          <w:szCs w:val="24"/>
        </w:rPr>
        <w:t xml:space="preserve">  </w:t>
      </w:r>
      <w:r w:rsidR="00C32881" w:rsidRPr="00CB05A8">
        <w:rPr>
          <w:szCs w:val="24"/>
        </w:rPr>
        <w:t xml:space="preserve"> </w:t>
      </w:r>
    </w:p>
    <w:p w14:paraId="3DB1A6BD" w14:textId="38CC628F" w:rsidR="004F3F9E" w:rsidRPr="00CB05A8" w:rsidRDefault="004D2B86" w:rsidP="005B5750">
      <w:pPr>
        <w:pStyle w:val="Heading3"/>
      </w:pPr>
      <w:bookmarkStart w:id="45" w:name="_Toc58918798"/>
      <w:r>
        <w:t>5</w:t>
      </w:r>
      <w:r w:rsidR="004F3F9E" w:rsidRPr="00CB05A8">
        <w:t xml:space="preserve">.  Admission of </w:t>
      </w:r>
      <w:r w:rsidR="00A03A51" w:rsidRPr="00CB05A8">
        <w:t>d</w:t>
      </w:r>
      <w:r w:rsidR="004F3F9E" w:rsidRPr="00CB05A8">
        <w:t xml:space="preserve">efendant’s </w:t>
      </w:r>
      <w:r w:rsidR="00A03A51" w:rsidRPr="00CB05A8">
        <w:t>r</w:t>
      </w:r>
      <w:r w:rsidR="004F3F9E" w:rsidRPr="00CB05A8">
        <w:t xml:space="preserve">efusal to </w:t>
      </w:r>
      <w:r w:rsidR="00A03A51" w:rsidRPr="00CB05A8">
        <w:t>p</w:t>
      </w:r>
      <w:r w:rsidR="004F3F9E" w:rsidRPr="00CB05A8">
        <w:t xml:space="preserve">articipate in </w:t>
      </w:r>
      <w:r w:rsidR="00A03A51" w:rsidRPr="00CB05A8">
        <w:t>l</w:t>
      </w:r>
      <w:r w:rsidR="004F3F9E" w:rsidRPr="00CB05A8">
        <w:t>ineup</w:t>
      </w:r>
      <w:r w:rsidR="00C1162D" w:rsidRPr="00CB05A8">
        <w:t xml:space="preserve"> </w:t>
      </w:r>
      <w:bookmarkEnd w:id="45"/>
    </w:p>
    <w:p w14:paraId="6A3D8DEE" w14:textId="5DD59AE8" w:rsidR="00A24D61" w:rsidRPr="00CB05A8" w:rsidRDefault="00A24D61" w:rsidP="00F105E8">
      <w:pPr>
        <w:ind w:firstLine="720"/>
      </w:pPr>
      <w:r w:rsidRPr="00CB05A8">
        <w:t xml:space="preserve">Defendant </w:t>
      </w:r>
      <w:r w:rsidR="004C1FAD" w:rsidRPr="00CB05A8">
        <w:t>contends</w:t>
      </w:r>
      <w:r w:rsidR="007469EE" w:rsidRPr="00CB05A8">
        <w:t xml:space="preserve"> the </w:t>
      </w:r>
      <w:r w:rsidR="007363AD" w:rsidRPr="00CB05A8">
        <w:t>trial</w:t>
      </w:r>
      <w:r w:rsidR="007469EE" w:rsidRPr="00CB05A8">
        <w:t xml:space="preserve"> court erred in admitting evidence that he refused to participate in a lineup</w:t>
      </w:r>
      <w:r w:rsidR="00CF414E" w:rsidRPr="00CB05A8">
        <w:t xml:space="preserve">.  He asserts that </w:t>
      </w:r>
      <w:r w:rsidR="00D378DE" w:rsidRPr="00CB05A8">
        <w:t>any probative value was outweighed by its prejudicial effect</w:t>
      </w:r>
      <w:r w:rsidR="00F2081D" w:rsidRPr="00CB05A8">
        <w:t xml:space="preserve">, and </w:t>
      </w:r>
      <w:r w:rsidR="00625510" w:rsidRPr="00CB05A8">
        <w:t xml:space="preserve">the evidence </w:t>
      </w:r>
      <w:r w:rsidR="00737D9E" w:rsidRPr="00CB05A8">
        <w:t>denied him due process and a fair trial</w:t>
      </w:r>
      <w:r w:rsidR="0091457E" w:rsidRPr="00CB05A8">
        <w:t xml:space="preserve">.  </w:t>
      </w:r>
      <w:r w:rsidR="000E35D8" w:rsidRPr="00CB05A8">
        <w:t>Defendant</w:t>
      </w:r>
      <w:r w:rsidR="001E1B20" w:rsidRPr="00CB05A8">
        <w:t xml:space="preserve"> also </w:t>
      </w:r>
      <w:r w:rsidR="000E35D8" w:rsidRPr="00CB05A8">
        <w:t>claims</w:t>
      </w:r>
      <w:r w:rsidR="001E1B20" w:rsidRPr="00CB05A8">
        <w:t xml:space="preserve"> </w:t>
      </w:r>
      <w:r w:rsidR="0020017C" w:rsidRPr="00CB05A8">
        <w:t xml:space="preserve">it is reasonably probable the verdict would have been more favorable to him absent the </w:t>
      </w:r>
      <w:r w:rsidR="00583A6E" w:rsidRPr="00CB05A8">
        <w:t xml:space="preserve">alleged </w:t>
      </w:r>
      <w:r w:rsidR="0020017C" w:rsidRPr="00CB05A8">
        <w:t xml:space="preserve">error.  </w:t>
      </w:r>
      <w:r w:rsidR="00095D9A">
        <w:t>W</w:t>
      </w:r>
      <w:r w:rsidR="0058500E" w:rsidRPr="00CB05A8">
        <w:t xml:space="preserve">e conclude that the </w:t>
      </w:r>
      <w:r w:rsidR="002557B5" w:rsidRPr="00CB05A8">
        <w:t>evidence was properly admitted.</w:t>
      </w:r>
    </w:p>
    <w:p w14:paraId="643325D2" w14:textId="339641AA" w:rsidR="00024CC8" w:rsidRPr="00CB05A8" w:rsidRDefault="00EE2AD7" w:rsidP="00F105E8">
      <w:pPr>
        <w:pStyle w:val="Heading4"/>
        <w:numPr>
          <w:ilvl w:val="0"/>
          <w:numId w:val="6"/>
        </w:numPr>
        <w:ind w:left="2016" w:hanging="432"/>
      </w:pPr>
      <w:r w:rsidRPr="00CB05A8">
        <w:t xml:space="preserve"> </w:t>
      </w:r>
      <w:bookmarkStart w:id="46" w:name="_Toc58918799"/>
      <w:r w:rsidR="008852D4" w:rsidRPr="00CB05A8">
        <w:t>Background</w:t>
      </w:r>
      <w:bookmarkEnd w:id="46"/>
      <w:r w:rsidR="003D7181" w:rsidRPr="00CB05A8">
        <w:t xml:space="preserve"> </w:t>
      </w:r>
    </w:p>
    <w:p w14:paraId="40D5A132" w14:textId="11E4D48A" w:rsidR="00B32EBD" w:rsidRPr="00CB05A8" w:rsidRDefault="00127A17" w:rsidP="00F105E8">
      <w:pPr>
        <w:ind w:firstLine="720"/>
      </w:pPr>
      <w:r w:rsidRPr="00CB05A8">
        <w:t xml:space="preserve">On April 1, 1995, two days after defendant’s arrest, </w:t>
      </w:r>
      <w:r w:rsidR="002359DE">
        <w:t xml:space="preserve">Sonoma County Sheriff’s Department </w:t>
      </w:r>
      <w:r w:rsidRPr="00CB05A8">
        <w:t xml:space="preserve">Correctional Officer </w:t>
      </w:r>
      <w:r w:rsidR="00B32EBD" w:rsidRPr="00CB05A8">
        <w:t xml:space="preserve">Meredith Helton approached defendant in his jail cell and read a prewritten statement asking if he would participate in a live lineup.  </w:t>
      </w:r>
      <w:r w:rsidR="00A575B5" w:rsidRPr="00CB05A8">
        <w:t>Initially, d</w:t>
      </w:r>
      <w:r w:rsidR="003843B7" w:rsidRPr="00CB05A8">
        <w:t xml:space="preserve">efendant asked to speak </w:t>
      </w:r>
      <w:r w:rsidR="00590887" w:rsidRPr="00CB05A8">
        <w:t>with</w:t>
      </w:r>
      <w:r w:rsidR="003843B7" w:rsidRPr="00CB05A8">
        <w:t xml:space="preserve"> an attorney before </w:t>
      </w:r>
      <w:r w:rsidR="00590887" w:rsidRPr="00CB05A8">
        <w:t xml:space="preserve">answering the question.  </w:t>
      </w:r>
      <w:r w:rsidR="004E5573" w:rsidRPr="00CB05A8">
        <w:t xml:space="preserve">Later that evening, after </w:t>
      </w:r>
      <w:r w:rsidR="00DF7880" w:rsidRPr="00CB05A8">
        <w:t>Officer Helton informed</w:t>
      </w:r>
      <w:r w:rsidR="004E5573" w:rsidRPr="00CB05A8">
        <w:t xml:space="preserve"> defendant that a representative from the public defender’s office would be present and willing to answer any questions, defendant </w:t>
      </w:r>
      <w:r w:rsidR="00BA532C" w:rsidRPr="00CB05A8">
        <w:t>stated</w:t>
      </w:r>
      <w:r w:rsidR="004E5573" w:rsidRPr="00CB05A8">
        <w:t xml:space="preserve"> that he did not wish to participate in a lineup.    </w:t>
      </w:r>
      <w:r w:rsidR="00B32EBD" w:rsidRPr="00CB05A8">
        <w:t xml:space="preserve">  </w:t>
      </w:r>
    </w:p>
    <w:p w14:paraId="4C46173A" w14:textId="7404FECC" w:rsidR="00DA6202" w:rsidRPr="00CB05A8" w:rsidRDefault="000A58D0" w:rsidP="00F105E8">
      <w:pPr>
        <w:ind w:firstLine="720"/>
      </w:pPr>
      <w:r w:rsidRPr="00CB05A8">
        <w:t xml:space="preserve">The following day, </w:t>
      </w:r>
      <w:r w:rsidR="009E197F" w:rsidRPr="00CB05A8">
        <w:t xml:space="preserve">Santa Rosa Police </w:t>
      </w:r>
      <w:r w:rsidR="007C0895" w:rsidRPr="00CB05A8">
        <w:t xml:space="preserve">Sergeant </w:t>
      </w:r>
      <w:r w:rsidR="009E197F" w:rsidRPr="00CB05A8">
        <w:t xml:space="preserve">Thomas </w:t>
      </w:r>
      <w:r w:rsidR="007C0895" w:rsidRPr="00CB05A8">
        <w:t xml:space="preserve">Schwedhelm </w:t>
      </w:r>
      <w:r w:rsidRPr="00CB05A8">
        <w:t xml:space="preserve">asked defendant if he would participate in the lineup process.  </w:t>
      </w:r>
      <w:r w:rsidR="00150FF1" w:rsidRPr="00CB05A8">
        <w:t>After d</w:t>
      </w:r>
      <w:r w:rsidRPr="00CB05A8">
        <w:t xml:space="preserve">efendant shook his </w:t>
      </w:r>
      <w:r w:rsidR="00150FF1" w:rsidRPr="00CB05A8">
        <w:t>head, Sergeant Sch</w:t>
      </w:r>
      <w:r w:rsidR="00DA6202" w:rsidRPr="00CB05A8">
        <w:t>w</w:t>
      </w:r>
      <w:r w:rsidR="00150FF1" w:rsidRPr="00CB05A8">
        <w:t xml:space="preserve">edhelm informed defendant that his failure to cooperate in the process would indicate a consciousness of </w:t>
      </w:r>
      <w:r w:rsidR="00DA6202" w:rsidRPr="00CB05A8">
        <w:t xml:space="preserve">guilt on his part and could be admitted in a court of law.    </w:t>
      </w:r>
    </w:p>
    <w:p w14:paraId="4A254470" w14:textId="20B74861" w:rsidR="0091457E" w:rsidRPr="00CB05A8" w:rsidRDefault="00DA6202" w:rsidP="00F105E8">
      <w:pPr>
        <w:ind w:firstLine="720"/>
        <w:rPr>
          <w:color w:val="000000" w:themeColor="text1"/>
        </w:rPr>
      </w:pPr>
      <w:r w:rsidRPr="00CB05A8">
        <w:t xml:space="preserve">On April 11, 1995, Sergeant Schwedhelm </w:t>
      </w:r>
      <w:r w:rsidR="00D44EE6" w:rsidRPr="00CB05A8">
        <w:t xml:space="preserve">again </w:t>
      </w:r>
      <w:r w:rsidR="003459C0" w:rsidRPr="00CB05A8">
        <w:t xml:space="preserve">asked defendant and his counsel </w:t>
      </w:r>
      <w:r w:rsidR="009D4295" w:rsidRPr="00CB05A8">
        <w:t xml:space="preserve">if he would be willing to participate in a lineup, to which counsel responded, “no.”  Sergeant Schwedhelm </w:t>
      </w:r>
      <w:r w:rsidR="003379CE" w:rsidRPr="00CB05A8">
        <w:t>the</w:t>
      </w:r>
      <w:r w:rsidR="008C65FF" w:rsidRPr="00CB05A8">
        <w:t>n</w:t>
      </w:r>
      <w:r w:rsidR="003379CE" w:rsidRPr="00CB05A8">
        <w:t xml:space="preserve"> contacted </w:t>
      </w:r>
      <w:r w:rsidR="009D4295" w:rsidRPr="00CB05A8">
        <w:t xml:space="preserve">defendant </w:t>
      </w:r>
      <w:r w:rsidR="003379CE" w:rsidRPr="00CB05A8">
        <w:t xml:space="preserve">and reminded him </w:t>
      </w:r>
      <w:r w:rsidR="009D4295" w:rsidRPr="00CB05A8">
        <w:t xml:space="preserve">that </w:t>
      </w:r>
      <w:r w:rsidR="008C65FF" w:rsidRPr="00CB05A8">
        <w:t>his refusal to cooperate in a live lineup</w:t>
      </w:r>
      <w:r w:rsidR="007F0828" w:rsidRPr="00CB05A8">
        <w:t xml:space="preserve"> could be </w:t>
      </w:r>
      <w:r w:rsidR="008C65FF" w:rsidRPr="00CB05A8">
        <w:t>used against him in court to show consciousness of guilt</w:t>
      </w:r>
      <w:r w:rsidR="007F0828" w:rsidRPr="00CB05A8">
        <w:t xml:space="preserve">.  </w:t>
      </w:r>
      <w:r w:rsidR="008C65FF" w:rsidRPr="00CB05A8">
        <w:t xml:space="preserve">Defendant confirmed that </w:t>
      </w:r>
      <w:r w:rsidR="001C7FE5" w:rsidRPr="00CB05A8">
        <w:t xml:space="preserve">he did not wish to participate.  </w:t>
      </w:r>
    </w:p>
    <w:p w14:paraId="5C343887" w14:textId="30CC3542" w:rsidR="00F04C5C" w:rsidRPr="00CB05A8" w:rsidRDefault="00F04C5C" w:rsidP="00F105E8">
      <w:pPr>
        <w:pStyle w:val="Heading4"/>
        <w:numPr>
          <w:ilvl w:val="0"/>
          <w:numId w:val="6"/>
        </w:numPr>
        <w:ind w:left="2016" w:hanging="432"/>
      </w:pPr>
      <w:bookmarkStart w:id="47" w:name="_Toc58918800"/>
      <w:r w:rsidRPr="00CB05A8">
        <w:t>Analysis</w:t>
      </w:r>
      <w:bookmarkEnd w:id="47"/>
    </w:p>
    <w:p w14:paraId="52010997" w14:textId="2581AB82" w:rsidR="00C32FB0" w:rsidRPr="00CB05A8" w:rsidRDefault="00D51E54" w:rsidP="00F105E8">
      <w:pPr>
        <w:ind w:firstLine="720"/>
      </w:pPr>
      <w:r w:rsidRPr="00CB05A8">
        <w:t xml:space="preserve">As the </w:t>
      </w:r>
      <w:r w:rsidR="00F014B1" w:rsidRPr="00CB05A8">
        <w:t>officer advised, e</w:t>
      </w:r>
      <w:r w:rsidR="004311CD" w:rsidRPr="00CB05A8">
        <w:t>vidence of a</w:t>
      </w:r>
      <w:r w:rsidR="006737FF" w:rsidRPr="00CB05A8">
        <w:t xml:space="preserve"> defendant’s refusal to participate in </w:t>
      </w:r>
      <w:r w:rsidR="004311CD" w:rsidRPr="00CB05A8">
        <w:t>a lineup may be used against him or her at trial.  (</w:t>
      </w:r>
      <w:r w:rsidR="004311CD" w:rsidRPr="00CB05A8">
        <w:rPr>
          <w:i/>
        </w:rPr>
        <w:t xml:space="preserve">People v. Johnson </w:t>
      </w:r>
      <w:r w:rsidR="004311CD" w:rsidRPr="00CB05A8">
        <w:t>(1992) 3</w:t>
      </w:r>
      <w:r w:rsidR="002140EA" w:rsidRPr="00CB05A8">
        <w:t> </w:t>
      </w:r>
      <w:r w:rsidR="004311CD" w:rsidRPr="00CB05A8">
        <w:t xml:space="preserve">Cal.4th 1183, 1222.)  </w:t>
      </w:r>
      <w:r w:rsidR="009E6186" w:rsidRPr="00CB05A8">
        <w:t>“A defendant’s refusal to participate in a lineup is admissible evidence supporting an inference of consciousness of guilt.”  (</w:t>
      </w:r>
      <w:r w:rsidR="009E6186" w:rsidRPr="00CB05A8">
        <w:rPr>
          <w:i/>
        </w:rPr>
        <w:t>People v. Watkins</w:t>
      </w:r>
      <w:r w:rsidR="009E6186" w:rsidRPr="00CB05A8">
        <w:t xml:space="preserve"> (2012) 55 Cal.4th 999, 1027.)</w:t>
      </w:r>
    </w:p>
    <w:p w14:paraId="10DCD48F" w14:textId="705E44AA" w:rsidR="0083034C" w:rsidRPr="00CB05A8" w:rsidRDefault="00396A9B" w:rsidP="00F105E8">
      <w:pPr>
        <w:ind w:firstLine="720"/>
      </w:pPr>
      <w:r w:rsidRPr="00CB05A8">
        <w:t>Defendant argues that because his identi</w:t>
      </w:r>
      <w:r w:rsidR="00AF08AE" w:rsidRPr="00CB05A8">
        <w:t>t</w:t>
      </w:r>
      <w:r w:rsidRPr="00CB05A8">
        <w:t xml:space="preserve">y was </w:t>
      </w:r>
      <w:r w:rsidR="00257D81" w:rsidRPr="00CB05A8">
        <w:t>not an issue at trial</w:t>
      </w:r>
      <w:r w:rsidR="00AF08AE" w:rsidRPr="00CB05A8">
        <w:t xml:space="preserve">, evidence of his refusal to participate in a lineup was </w:t>
      </w:r>
      <w:r w:rsidR="00D02B5D" w:rsidRPr="00CB05A8">
        <w:t>irrelevant and unduly prejudicial</w:t>
      </w:r>
      <w:r w:rsidR="00AF08AE" w:rsidRPr="00CB05A8">
        <w:t xml:space="preserve">.  </w:t>
      </w:r>
      <w:r w:rsidR="00B75A78" w:rsidRPr="00CB05A8">
        <w:t xml:space="preserve">He is incorrect.  </w:t>
      </w:r>
      <w:r w:rsidR="00CD5C15" w:rsidRPr="00CB05A8">
        <w:t>At the time he was asked to participate in a lineup</w:t>
      </w:r>
      <w:r w:rsidR="006202A0" w:rsidRPr="00CB05A8">
        <w:t xml:space="preserve">, identity was an issue, as were all elements of the crimes, and the prosecutor was required to prepare to prove them beyond a reasonable doubt.  </w:t>
      </w:r>
      <w:r w:rsidR="00355CDE" w:rsidRPr="00CB05A8">
        <w:t xml:space="preserve">The prosecutor could not and should not rely solely on defendant’s statements being admitted into evidence.  The defense could have sought to exclude the statements and </w:t>
      </w:r>
      <w:r w:rsidR="00221959" w:rsidRPr="00CB05A8">
        <w:t>prevailed,</w:t>
      </w:r>
      <w:r w:rsidR="00355CDE" w:rsidRPr="00CB05A8">
        <w:t xml:space="preserve"> or the statements could be undermined. </w:t>
      </w:r>
      <w:r w:rsidR="0083034C" w:rsidRPr="00CB05A8">
        <w:t xml:space="preserve"> </w:t>
      </w:r>
      <w:r w:rsidR="00355CDE" w:rsidRPr="00CB05A8">
        <w:t xml:space="preserve">Given that there were multiple witnesses to the shooting, and notwithstanding what the ongoing investigation revealed at that time, the prosecutor was entitled to develop the case. </w:t>
      </w:r>
    </w:p>
    <w:p w14:paraId="1990A305" w14:textId="4823A71A" w:rsidR="003420F8" w:rsidRPr="00CB05A8" w:rsidRDefault="001C61EE" w:rsidP="00F105E8">
      <w:pPr>
        <w:ind w:firstLine="720"/>
      </w:pPr>
      <w:r w:rsidRPr="00CB05A8">
        <w:t xml:space="preserve">Furthermore, </w:t>
      </w:r>
      <w:r w:rsidR="00B75A78" w:rsidRPr="00CB05A8">
        <w:t>“</w:t>
      </w:r>
      <w:r w:rsidRPr="00CB05A8">
        <w:t>[i]</w:t>
      </w:r>
      <w:r w:rsidR="00B75A78" w:rsidRPr="00CB05A8">
        <w:t>nstructions on consciousness of guilt are proper not only when identity is an issue, but also when ‘the accused admits some or all of the charged conduct, merely disputing its criminal implications.’ ”  (</w:t>
      </w:r>
      <w:r w:rsidR="00B75A78" w:rsidRPr="00CB05A8">
        <w:rPr>
          <w:i/>
        </w:rPr>
        <w:t xml:space="preserve">People v. Thornton </w:t>
      </w:r>
      <w:r w:rsidR="00B75A78" w:rsidRPr="00CB05A8">
        <w:t xml:space="preserve">(2007) 41 Cal.4th 391, 438, quoting </w:t>
      </w:r>
      <w:r w:rsidR="00B75A78" w:rsidRPr="00CB05A8">
        <w:rPr>
          <w:i/>
        </w:rPr>
        <w:t xml:space="preserve">People v. Turner </w:t>
      </w:r>
      <w:r w:rsidR="00B75A78" w:rsidRPr="00CB05A8">
        <w:t>(</w:t>
      </w:r>
      <w:r w:rsidR="008124DC" w:rsidRPr="00CB05A8">
        <w:t>1990</w:t>
      </w:r>
      <w:r w:rsidR="00B75A78" w:rsidRPr="00CB05A8">
        <w:t>) 50 Cal.3d 668, 694, fn. 10.)</w:t>
      </w:r>
      <w:r w:rsidR="002818EC" w:rsidRPr="00CB05A8">
        <w:t xml:space="preserve">  </w:t>
      </w:r>
      <w:r w:rsidR="00DB06A6" w:rsidRPr="00CB05A8">
        <w:t>At trial, d</w:t>
      </w:r>
      <w:r w:rsidR="008D392F" w:rsidRPr="00CB05A8">
        <w:t>efendant ad</w:t>
      </w:r>
      <w:r w:rsidR="00671395" w:rsidRPr="00CB05A8">
        <w:t xml:space="preserve">mitted shooting Deputy Trejo but maintained that it was an accident </w:t>
      </w:r>
      <w:r w:rsidR="0007441A" w:rsidRPr="00CB05A8">
        <w:t>and plead</w:t>
      </w:r>
      <w:r w:rsidR="00742CFB" w:rsidRPr="00CB05A8">
        <w:t>ed</w:t>
      </w:r>
      <w:r w:rsidR="0007441A" w:rsidRPr="00CB05A8">
        <w:t xml:space="preserve"> not guilty to </w:t>
      </w:r>
      <w:r w:rsidR="00742CFB" w:rsidRPr="00CB05A8">
        <w:t xml:space="preserve">all </w:t>
      </w:r>
      <w:r w:rsidR="0007441A" w:rsidRPr="00CB05A8">
        <w:t xml:space="preserve">charges.  </w:t>
      </w:r>
      <w:r w:rsidR="001E53AD" w:rsidRPr="00CB05A8">
        <w:t xml:space="preserve">Several witnesses testified that the shooting was intentional, contradicting the defense version that it was an accident.  These witnesses’ identification of defendant was a critical part of the prosecution’s case.   </w:t>
      </w:r>
      <w:r w:rsidR="0007441A" w:rsidRPr="00CB05A8">
        <w:t xml:space="preserve">Thus, </w:t>
      </w:r>
      <w:r w:rsidR="006B640C" w:rsidRPr="00CB05A8">
        <w:t>“</w:t>
      </w:r>
      <w:r w:rsidR="001F4B68" w:rsidRPr="00CB05A8">
        <w:t>the jury had before it the issue of guilt on all charges</w:t>
      </w:r>
      <w:r w:rsidR="006B640C" w:rsidRPr="00CB05A8">
        <w:t>.</w:t>
      </w:r>
      <w:r w:rsidR="00396A9B" w:rsidRPr="00CB05A8">
        <w:t>”</w:t>
      </w:r>
      <w:r w:rsidR="006B640C" w:rsidRPr="00CB05A8">
        <w:t xml:space="preserve">  (</w:t>
      </w:r>
      <w:r w:rsidR="00770055" w:rsidRPr="00CB05A8">
        <w:rPr>
          <w:i/>
        </w:rPr>
        <w:t xml:space="preserve">People v. Breaux </w:t>
      </w:r>
      <w:r w:rsidR="00770055" w:rsidRPr="00CB05A8">
        <w:t>(1991) 1 Cal.4</w:t>
      </w:r>
      <w:r w:rsidR="009E3A3F">
        <w:t>t</w:t>
      </w:r>
      <w:r w:rsidR="00770055" w:rsidRPr="00CB05A8">
        <w:t>h 281, 304.)</w:t>
      </w:r>
      <w:r w:rsidR="009A5732" w:rsidRPr="00CB05A8">
        <w:t xml:space="preserve">  </w:t>
      </w:r>
      <w:r w:rsidR="0074532C">
        <w:t>Further, u</w:t>
      </w:r>
      <w:r w:rsidR="009A5732" w:rsidRPr="00CB05A8">
        <w:t>nder the circumstances, the evidence was more probative than prejudicial under Evidence Code section 352.</w:t>
      </w:r>
      <w:r w:rsidR="003420F8" w:rsidRPr="00CB05A8">
        <w:t xml:space="preserve"> </w:t>
      </w:r>
      <w:r w:rsidR="0051348B" w:rsidRPr="00CB05A8">
        <w:t xml:space="preserve"> </w:t>
      </w:r>
    </w:p>
    <w:p w14:paraId="23CC981E" w14:textId="2D628C68" w:rsidR="004F3F9E" w:rsidRPr="00CB05A8" w:rsidRDefault="004D2B86" w:rsidP="005B5750">
      <w:pPr>
        <w:pStyle w:val="Heading3"/>
        <w:ind w:left="1260" w:firstLine="0"/>
      </w:pPr>
      <w:r>
        <w:t xml:space="preserve">6. </w:t>
      </w:r>
      <w:r w:rsidR="00182195" w:rsidRPr="00CB05A8">
        <w:t xml:space="preserve"> </w:t>
      </w:r>
      <w:bookmarkStart w:id="48" w:name="_Toc58918801"/>
      <w:r w:rsidR="00666D2C" w:rsidRPr="00CB05A8">
        <w:t xml:space="preserve">Admission of </w:t>
      </w:r>
      <w:r w:rsidR="00A03A51" w:rsidRPr="00CB05A8">
        <w:t>p</w:t>
      </w:r>
      <w:r w:rsidR="00666D2C" w:rsidRPr="00CB05A8">
        <w:t>hotographs</w:t>
      </w:r>
      <w:r w:rsidR="00B86750" w:rsidRPr="00CB05A8">
        <w:t xml:space="preserve"> </w:t>
      </w:r>
      <w:bookmarkEnd w:id="48"/>
    </w:p>
    <w:p w14:paraId="03F677C2" w14:textId="1ACE6F15" w:rsidR="00E271B2" w:rsidRPr="00CB05A8" w:rsidRDefault="00E271B2" w:rsidP="00F105E8">
      <w:pPr>
        <w:pStyle w:val="NormalIndent"/>
        <w:ind w:left="0" w:firstLine="720"/>
      </w:pPr>
      <w:r w:rsidRPr="00CB05A8">
        <w:t xml:space="preserve">Defendant contends the </w:t>
      </w:r>
      <w:r w:rsidR="007363AD" w:rsidRPr="00CB05A8">
        <w:t>trial</w:t>
      </w:r>
      <w:r w:rsidRPr="00CB05A8">
        <w:t xml:space="preserve"> court </w:t>
      </w:r>
      <w:r w:rsidR="006800AA" w:rsidRPr="00CB05A8">
        <w:t>abused its discretion by</w:t>
      </w:r>
      <w:r w:rsidRPr="00CB05A8">
        <w:t xml:space="preserve"> permitt</w:t>
      </w:r>
      <w:r w:rsidR="006800AA" w:rsidRPr="00CB05A8">
        <w:t>ing</w:t>
      </w:r>
      <w:r w:rsidRPr="00CB05A8">
        <w:t xml:space="preserve"> the introduction of 18 photographs of Deputy Trejo’s body </w:t>
      </w:r>
      <w:r w:rsidR="006800AA" w:rsidRPr="00CB05A8">
        <w:t>taken</w:t>
      </w:r>
      <w:r w:rsidRPr="00CB05A8">
        <w:t xml:space="preserve"> at the scene of his death and during </w:t>
      </w:r>
      <w:r w:rsidR="00E951CC" w:rsidRPr="00CB05A8">
        <w:t xml:space="preserve">the </w:t>
      </w:r>
      <w:r w:rsidRPr="00CB05A8">
        <w:t xml:space="preserve">autopsy.  </w:t>
      </w:r>
      <w:r w:rsidR="009C4E62" w:rsidRPr="00CB05A8">
        <w:t>He claims</w:t>
      </w:r>
      <w:r w:rsidRPr="00CB05A8">
        <w:t xml:space="preserve"> the photographs were more prejudicial than probative </w:t>
      </w:r>
      <w:r w:rsidR="006800AA" w:rsidRPr="00CB05A8">
        <w:t>under Evidence Code section 352</w:t>
      </w:r>
      <w:r w:rsidR="009E3A3F">
        <w:t>,</w:t>
      </w:r>
      <w:r w:rsidR="006800AA" w:rsidRPr="00CB05A8">
        <w:t xml:space="preserve"> </w:t>
      </w:r>
      <w:r w:rsidRPr="00CB05A8">
        <w:t xml:space="preserve">and </w:t>
      </w:r>
      <w:r w:rsidR="006800AA" w:rsidRPr="00CB05A8">
        <w:t>their admission violated his state and federal constitutional rights</w:t>
      </w:r>
      <w:r w:rsidRPr="00CB05A8">
        <w:t xml:space="preserve">.  </w:t>
      </w:r>
      <w:r w:rsidR="00095D9A">
        <w:t>W</w:t>
      </w:r>
      <w:r w:rsidRPr="00CB05A8">
        <w:t>e conclude there was no error.</w:t>
      </w:r>
    </w:p>
    <w:p w14:paraId="751008BC" w14:textId="287FF2D5" w:rsidR="00B86FD2" w:rsidRPr="00CB05A8" w:rsidRDefault="006800AA" w:rsidP="00F105E8">
      <w:pPr>
        <w:pStyle w:val="NormalIndent"/>
        <w:ind w:left="0" w:firstLine="720"/>
      </w:pPr>
      <w:r w:rsidRPr="00CB05A8">
        <w:rPr>
          <w:szCs w:val="26"/>
        </w:rPr>
        <w:t>T</w:t>
      </w:r>
      <w:r w:rsidR="00E271B2" w:rsidRPr="00CB05A8">
        <w:rPr>
          <w:szCs w:val="26"/>
        </w:rPr>
        <w:t xml:space="preserve">he prosecution </w:t>
      </w:r>
      <w:r w:rsidR="007631D6" w:rsidRPr="00CB05A8">
        <w:rPr>
          <w:szCs w:val="26"/>
        </w:rPr>
        <w:t xml:space="preserve">initially </w:t>
      </w:r>
      <w:r w:rsidR="00E271B2" w:rsidRPr="00CB05A8">
        <w:rPr>
          <w:szCs w:val="26"/>
        </w:rPr>
        <w:t>sought to introduce 25 photo</w:t>
      </w:r>
      <w:r w:rsidRPr="00CB05A8">
        <w:rPr>
          <w:szCs w:val="26"/>
        </w:rPr>
        <w:t>graphs</w:t>
      </w:r>
      <w:r w:rsidR="00E271B2" w:rsidRPr="00CB05A8">
        <w:rPr>
          <w:szCs w:val="26"/>
        </w:rPr>
        <w:t xml:space="preserve"> of Deputy Trejo’s body</w:t>
      </w:r>
      <w:r w:rsidRPr="00CB05A8">
        <w:rPr>
          <w:szCs w:val="26"/>
        </w:rPr>
        <w:t xml:space="preserve"> at the crime scene and</w:t>
      </w:r>
      <w:r w:rsidR="00630C17" w:rsidRPr="00CB05A8">
        <w:rPr>
          <w:szCs w:val="26"/>
        </w:rPr>
        <w:t xml:space="preserve"> during</w:t>
      </w:r>
      <w:r w:rsidRPr="00CB05A8">
        <w:rPr>
          <w:szCs w:val="26"/>
        </w:rPr>
        <w:t xml:space="preserve"> autopsy</w:t>
      </w:r>
      <w:r w:rsidR="00E271B2" w:rsidRPr="00CB05A8">
        <w:rPr>
          <w:szCs w:val="26"/>
        </w:rPr>
        <w:t xml:space="preserve">.  Defendant moved </w:t>
      </w:r>
      <w:r w:rsidR="00200CF9" w:rsidRPr="00CB05A8">
        <w:rPr>
          <w:szCs w:val="26"/>
        </w:rPr>
        <w:t xml:space="preserve">in limine </w:t>
      </w:r>
      <w:r w:rsidR="00E271B2" w:rsidRPr="00CB05A8">
        <w:rPr>
          <w:szCs w:val="26"/>
        </w:rPr>
        <w:t>to exclude the photos, arguing that they were irrelevant and</w:t>
      </w:r>
      <w:r w:rsidRPr="00CB05A8">
        <w:rPr>
          <w:szCs w:val="26"/>
        </w:rPr>
        <w:t xml:space="preserve"> inflammatory</w:t>
      </w:r>
      <w:r w:rsidR="00E271B2" w:rsidRPr="00CB05A8">
        <w:rPr>
          <w:szCs w:val="26"/>
        </w:rPr>
        <w:t xml:space="preserve">.  </w:t>
      </w:r>
      <w:r w:rsidR="00971CE8" w:rsidRPr="00CB05A8">
        <w:rPr>
          <w:szCs w:val="26"/>
        </w:rPr>
        <w:t>After reviewing the evidence, t</w:t>
      </w:r>
      <w:r w:rsidR="00E271B2" w:rsidRPr="00CB05A8">
        <w:rPr>
          <w:szCs w:val="26"/>
        </w:rPr>
        <w:t xml:space="preserve">he </w:t>
      </w:r>
      <w:r w:rsidR="007363AD" w:rsidRPr="00CB05A8">
        <w:rPr>
          <w:szCs w:val="26"/>
        </w:rPr>
        <w:t>trial</w:t>
      </w:r>
      <w:r w:rsidR="00971CE8" w:rsidRPr="00CB05A8">
        <w:rPr>
          <w:szCs w:val="26"/>
        </w:rPr>
        <w:t xml:space="preserve"> </w:t>
      </w:r>
      <w:r w:rsidR="00E271B2" w:rsidRPr="00CB05A8">
        <w:rPr>
          <w:szCs w:val="26"/>
        </w:rPr>
        <w:t>court admitted</w:t>
      </w:r>
      <w:r w:rsidRPr="00CB05A8">
        <w:rPr>
          <w:szCs w:val="26"/>
        </w:rPr>
        <w:t xml:space="preserve"> 18 photographs, excluding the rest as overly gruesome </w:t>
      </w:r>
      <w:r w:rsidR="00C32881" w:rsidRPr="00CB05A8">
        <w:rPr>
          <w:szCs w:val="26"/>
        </w:rPr>
        <w:t>or</w:t>
      </w:r>
      <w:r w:rsidRPr="00CB05A8">
        <w:rPr>
          <w:szCs w:val="26"/>
        </w:rPr>
        <w:t xml:space="preserve"> cumulative</w:t>
      </w:r>
      <w:r w:rsidR="00E271B2" w:rsidRPr="00CB05A8">
        <w:rPr>
          <w:szCs w:val="26"/>
        </w:rPr>
        <w:t xml:space="preserve">.  </w:t>
      </w:r>
    </w:p>
    <w:p w14:paraId="7BF1FBE8" w14:textId="6B1BAD04" w:rsidR="00E271B2" w:rsidRPr="00CB05A8" w:rsidRDefault="00B86FD2" w:rsidP="00F105E8">
      <w:pPr>
        <w:pStyle w:val="NormalIndent"/>
        <w:ind w:left="0" w:firstLine="720"/>
        <w:rPr>
          <w:color w:val="000000" w:themeColor="text1"/>
          <w:szCs w:val="26"/>
        </w:rPr>
      </w:pPr>
      <w:r w:rsidRPr="00CB05A8">
        <w:rPr>
          <w:szCs w:val="26"/>
        </w:rPr>
        <w:t>The photographs fell into three categories</w:t>
      </w:r>
      <w:r w:rsidR="008000CF" w:rsidRPr="00CB05A8">
        <w:rPr>
          <w:szCs w:val="26"/>
        </w:rPr>
        <w:t xml:space="preserve">, depicting:  </w:t>
      </w:r>
      <w:r w:rsidRPr="00CB05A8">
        <w:rPr>
          <w:szCs w:val="26"/>
        </w:rPr>
        <w:t xml:space="preserve">the deputy’s body </w:t>
      </w:r>
      <w:r w:rsidR="00C32881" w:rsidRPr="00CB05A8">
        <w:rPr>
          <w:szCs w:val="26"/>
        </w:rPr>
        <w:t xml:space="preserve">facedown </w:t>
      </w:r>
      <w:r w:rsidRPr="00CB05A8">
        <w:rPr>
          <w:szCs w:val="26"/>
        </w:rPr>
        <w:t xml:space="preserve">at the crime scene; the </w:t>
      </w:r>
      <w:r w:rsidR="00CA43CD">
        <w:rPr>
          <w:szCs w:val="26"/>
        </w:rPr>
        <w:t xml:space="preserve">deputy’s </w:t>
      </w:r>
      <w:r w:rsidRPr="00CB05A8">
        <w:rPr>
          <w:szCs w:val="26"/>
        </w:rPr>
        <w:t>body after he was turned on his back</w:t>
      </w:r>
      <w:r w:rsidR="00C32881" w:rsidRPr="00CB05A8">
        <w:rPr>
          <w:szCs w:val="26"/>
        </w:rPr>
        <w:t xml:space="preserve"> at the crime scene</w:t>
      </w:r>
      <w:r w:rsidRPr="00CB05A8">
        <w:rPr>
          <w:szCs w:val="26"/>
        </w:rPr>
        <w:t xml:space="preserve">; and </w:t>
      </w:r>
      <w:r w:rsidR="008000CF" w:rsidRPr="00CB05A8">
        <w:rPr>
          <w:szCs w:val="26"/>
        </w:rPr>
        <w:t xml:space="preserve">images </w:t>
      </w:r>
      <w:r w:rsidRPr="00CB05A8">
        <w:rPr>
          <w:szCs w:val="26"/>
        </w:rPr>
        <w:t>from the autopsy.</w:t>
      </w:r>
      <w:r w:rsidR="00E271B2" w:rsidRPr="00CB05A8">
        <w:rPr>
          <w:szCs w:val="26"/>
        </w:rPr>
        <w:t xml:space="preserve">  </w:t>
      </w:r>
      <w:r w:rsidRPr="00CB05A8">
        <w:rPr>
          <w:szCs w:val="26"/>
        </w:rPr>
        <w:t xml:space="preserve">The court admitted </w:t>
      </w:r>
      <w:r w:rsidR="00693CBE">
        <w:rPr>
          <w:szCs w:val="26"/>
        </w:rPr>
        <w:t xml:space="preserve">10 </w:t>
      </w:r>
      <w:r w:rsidRPr="00CB05A8">
        <w:rPr>
          <w:szCs w:val="26"/>
        </w:rPr>
        <w:t xml:space="preserve">photographs of Deputy Trejo’s body </w:t>
      </w:r>
      <w:r w:rsidR="00C32881" w:rsidRPr="00CB05A8">
        <w:rPr>
          <w:szCs w:val="26"/>
        </w:rPr>
        <w:t xml:space="preserve">facedown </w:t>
      </w:r>
      <w:r w:rsidRPr="00CB05A8">
        <w:rPr>
          <w:szCs w:val="26"/>
        </w:rPr>
        <w:t xml:space="preserve">at the crime scene </w:t>
      </w:r>
      <w:r w:rsidR="00E271B2" w:rsidRPr="00CB05A8">
        <w:rPr>
          <w:szCs w:val="26"/>
        </w:rPr>
        <w:t xml:space="preserve">based on the prosecution’s argument that they were needed to show </w:t>
      </w:r>
      <w:r w:rsidRPr="00CB05A8">
        <w:rPr>
          <w:szCs w:val="26"/>
        </w:rPr>
        <w:t>the deputy’s</w:t>
      </w:r>
      <w:r w:rsidR="00E271B2" w:rsidRPr="00CB05A8">
        <w:rPr>
          <w:szCs w:val="26"/>
        </w:rPr>
        <w:t xml:space="preserve"> position in the </w:t>
      </w:r>
      <w:r w:rsidR="00841AC1" w:rsidRPr="00CB05A8">
        <w:rPr>
          <w:szCs w:val="26"/>
        </w:rPr>
        <w:t xml:space="preserve">R&amp;S Bar </w:t>
      </w:r>
      <w:r w:rsidR="00E271B2" w:rsidRPr="00CB05A8">
        <w:rPr>
          <w:szCs w:val="26"/>
        </w:rPr>
        <w:t xml:space="preserve">parking lot, the position of his hands relative to his body, and the placement of blood, tissue fragments, and debris on his body.  </w:t>
      </w:r>
      <w:r w:rsidR="00D47120" w:rsidRPr="00CB05A8">
        <w:rPr>
          <w:szCs w:val="26"/>
        </w:rPr>
        <w:t xml:space="preserve">It excluded three </w:t>
      </w:r>
      <w:r w:rsidR="00B90D42" w:rsidRPr="00CB05A8">
        <w:rPr>
          <w:szCs w:val="26"/>
        </w:rPr>
        <w:t xml:space="preserve">crime scene photographs </w:t>
      </w:r>
      <w:r w:rsidR="00D47120" w:rsidRPr="00CB05A8">
        <w:rPr>
          <w:szCs w:val="26"/>
        </w:rPr>
        <w:t xml:space="preserve">as cumulative and overly gruesome.  The </w:t>
      </w:r>
      <w:r w:rsidR="00063AF8" w:rsidRPr="00CB05A8">
        <w:rPr>
          <w:szCs w:val="26"/>
        </w:rPr>
        <w:t xml:space="preserve">court </w:t>
      </w:r>
      <w:r w:rsidRPr="00CB05A8">
        <w:rPr>
          <w:szCs w:val="26"/>
        </w:rPr>
        <w:t>admitted three photographs of the deputy’s body</w:t>
      </w:r>
      <w:r w:rsidR="00C32881" w:rsidRPr="00CB05A8">
        <w:rPr>
          <w:szCs w:val="26"/>
        </w:rPr>
        <w:t xml:space="preserve"> at the crime scene</w:t>
      </w:r>
      <w:r w:rsidRPr="00CB05A8">
        <w:rPr>
          <w:szCs w:val="26"/>
        </w:rPr>
        <w:t xml:space="preserve"> after he was turned </w:t>
      </w:r>
      <w:r w:rsidR="004672F6">
        <w:rPr>
          <w:szCs w:val="26"/>
        </w:rPr>
        <w:t>on his</w:t>
      </w:r>
      <w:r w:rsidRPr="00CB05A8">
        <w:rPr>
          <w:szCs w:val="26"/>
        </w:rPr>
        <w:t xml:space="preserve"> back as relevant to </w:t>
      </w:r>
      <w:r w:rsidR="008852FC" w:rsidRPr="00CB05A8">
        <w:rPr>
          <w:szCs w:val="26"/>
        </w:rPr>
        <w:t>Dr.</w:t>
      </w:r>
      <w:r w:rsidR="002140EA" w:rsidRPr="00CB05A8">
        <w:rPr>
          <w:szCs w:val="26"/>
        </w:rPr>
        <w:t> </w:t>
      </w:r>
      <w:r w:rsidR="008852FC" w:rsidRPr="00CB05A8">
        <w:rPr>
          <w:szCs w:val="26"/>
        </w:rPr>
        <w:t xml:space="preserve">Jindrich’s </w:t>
      </w:r>
      <w:r w:rsidRPr="00CB05A8">
        <w:rPr>
          <w:szCs w:val="26"/>
        </w:rPr>
        <w:t xml:space="preserve">testimony about blood and brain matter on Deputy Trejo, but asked the prosecution to crop two of the photographs to lessen their gruesomeness.  It admitted five photographs of Deputy Trejo’s autopsy, which depicted closeup images of the deputy’s facial wounds, </w:t>
      </w:r>
      <w:r w:rsidR="006A3C94" w:rsidRPr="00CB05A8">
        <w:rPr>
          <w:szCs w:val="26"/>
        </w:rPr>
        <w:t xml:space="preserve">as relevant to </w:t>
      </w:r>
      <w:r w:rsidR="00936A43">
        <w:rPr>
          <w:szCs w:val="26"/>
        </w:rPr>
        <w:t xml:space="preserve">Dr. </w:t>
      </w:r>
      <w:r w:rsidR="0042670D" w:rsidRPr="00CB05A8">
        <w:rPr>
          <w:szCs w:val="26"/>
        </w:rPr>
        <w:t>Jindrich’s</w:t>
      </w:r>
      <w:r w:rsidR="006A3C94" w:rsidRPr="00CB05A8">
        <w:rPr>
          <w:szCs w:val="26"/>
        </w:rPr>
        <w:t xml:space="preserve"> testimony regarding </w:t>
      </w:r>
      <w:r w:rsidR="0042670D" w:rsidRPr="00CB05A8">
        <w:rPr>
          <w:szCs w:val="26"/>
        </w:rPr>
        <w:t xml:space="preserve">the position of Deputy Trejo’s body in relation to the </w:t>
      </w:r>
      <w:r w:rsidR="00D665E6" w:rsidRPr="00CB05A8">
        <w:rPr>
          <w:szCs w:val="26"/>
        </w:rPr>
        <w:t>shot fired</w:t>
      </w:r>
      <w:r w:rsidR="00FF6ACC" w:rsidRPr="00CB05A8">
        <w:rPr>
          <w:szCs w:val="26"/>
        </w:rPr>
        <w:t xml:space="preserve"> and the extent of the injury</w:t>
      </w:r>
      <w:r w:rsidR="0077731E" w:rsidRPr="00CB05A8">
        <w:rPr>
          <w:szCs w:val="26"/>
        </w:rPr>
        <w:t xml:space="preserve"> as well as </w:t>
      </w:r>
      <w:r w:rsidR="00623CEA">
        <w:rPr>
          <w:szCs w:val="26"/>
        </w:rPr>
        <w:t xml:space="preserve">criminologist </w:t>
      </w:r>
      <w:r w:rsidR="0077731E" w:rsidRPr="00CB05A8">
        <w:rPr>
          <w:szCs w:val="26"/>
        </w:rPr>
        <w:t>Waller’s testimony regarding the distance from which D</w:t>
      </w:r>
      <w:r w:rsidR="006443AC" w:rsidRPr="00CB05A8">
        <w:rPr>
          <w:szCs w:val="26"/>
        </w:rPr>
        <w:t>eputy Trejo was shot</w:t>
      </w:r>
      <w:r w:rsidR="00D665E6" w:rsidRPr="00CB05A8">
        <w:rPr>
          <w:szCs w:val="26"/>
        </w:rPr>
        <w:t xml:space="preserve">, </w:t>
      </w:r>
      <w:r w:rsidRPr="00CB05A8">
        <w:rPr>
          <w:szCs w:val="26"/>
        </w:rPr>
        <w:t>but requested</w:t>
      </w:r>
      <w:r w:rsidR="00E951CC" w:rsidRPr="00CB05A8">
        <w:rPr>
          <w:szCs w:val="26"/>
        </w:rPr>
        <w:t xml:space="preserve"> that</w:t>
      </w:r>
      <w:r w:rsidRPr="00CB05A8">
        <w:rPr>
          <w:szCs w:val="26"/>
        </w:rPr>
        <w:t xml:space="preserve"> one of the photographs be cropped to lessen its gruesome effect.  </w:t>
      </w:r>
      <w:r w:rsidR="00E951CC" w:rsidRPr="00CB05A8">
        <w:rPr>
          <w:szCs w:val="26"/>
        </w:rPr>
        <w:t xml:space="preserve">The court </w:t>
      </w:r>
      <w:r w:rsidR="007C457A" w:rsidRPr="00CB05A8">
        <w:rPr>
          <w:szCs w:val="26"/>
        </w:rPr>
        <w:t xml:space="preserve">excluded four of the autopsy photographs as overly gruesome. </w:t>
      </w:r>
      <w:r w:rsidR="007C457A" w:rsidRPr="00CB05A8">
        <w:rPr>
          <w:color w:val="FF0000"/>
          <w:szCs w:val="26"/>
        </w:rPr>
        <w:t xml:space="preserve"> </w:t>
      </w:r>
    </w:p>
    <w:p w14:paraId="36BA341A" w14:textId="485F2EC4" w:rsidR="00E271B2" w:rsidRPr="00CB05A8" w:rsidRDefault="00B86FD2" w:rsidP="00F105E8">
      <w:pPr>
        <w:pStyle w:val="NormalIndent"/>
        <w:ind w:left="0" w:firstLine="720"/>
        <w:rPr>
          <w:color w:val="000000" w:themeColor="text1"/>
          <w:szCs w:val="26"/>
        </w:rPr>
      </w:pPr>
      <w:r w:rsidRPr="00CB05A8">
        <w:rPr>
          <w:szCs w:val="26"/>
        </w:rPr>
        <w:t xml:space="preserve">“This court is often asked to rule on the propriety of the admission of allegedly gruesome photographs.  [Citations.] </w:t>
      </w:r>
      <w:r w:rsidR="000D4119" w:rsidRPr="00CB05A8">
        <w:rPr>
          <w:szCs w:val="26"/>
        </w:rPr>
        <w:t xml:space="preserve"> </w:t>
      </w:r>
      <w:r w:rsidRPr="00CB05A8">
        <w:rPr>
          <w:szCs w:val="26"/>
        </w:rPr>
        <w:t>At base, the applicable rule is simply one of relevance, and the trial court has broad discretion in determining such relevance.  [Citation.] ‘</w:t>
      </w:r>
      <w:r w:rsidR="00AC72A8" w:rsidRPr="00CB05A8">
        <w:rPr>
          <w:szCs w:val="26"/>
        </w:rPr>
        <w:t> </w:t>
      </w:r>
      <w:r w:rsidRPr="00CB05A8">
        <w:rPr>
          <w:szCs w:val="26"/>
        </w:rPr>
        <w:t>“[M]urder is seldom pretty, and pictures, testimony and physical evidence in such a case are always unpleasant”</w:t>
      </w:r>
      <w:r w:rsidR="00AC72A8" w:rsidRPr="00CB05A8">
        <w:rPr>
          <w:szCs w:val="26"/>
        </w:rPr>
        <w:t> </w:t>
      </w:r>
      <w:r w:rsidRPr="00CB05A8">
        <w:rPr>
          <w:szCs w:val="26"/>
        </w:rPr>
        <w:t>’ [citation], and we rely on our trial courts to ensure that relevant, otherwise admissible evidence is not more prejudicial than probative</w:t>
      </w:r>
      <w:r w:rsidR="005419F9" w:rsidRPr="00CB05A8">
        <w:rPr>
          <w:szCs w:val="26"/>
        </w:rPr>
        <w:t xml:space="preserve"> [citation]</w:t>
      </w:r>
      <w:r w:rsidRPr="00CB05A8">
        <w:rPr>
          <w:szCs w:val="26"/>
        </w:rPr>
        <w:t>.  A trial court’s decision to admit photographs under Evidence Code section 352 will be upheld on appeal unless the prejudicial effect of such photographs clearly outweighs their probative value.</w:t>
      </w:r>
      <w:r w:rsidR="005419F9" w:rsidRPr="00CB05A8">
        <w:rPr>
          <w:szCs w:val="26"/>
        </w:rPr>
        <w:t>”</w:t>
      </w:r>
      <w:r w:rsidRPr="00CB05A8">
        <w:rPr>
          <w:szCs w:val="26"/>
        </w:rPr>
        <w:t xml:space="preserve">  (</w:t>
      </w:r>
      <w:r w:rsidRPr="00CB05A8">
        <w:rPr>
          <w:i/>
          <w:szCs w:val="26"/>
        </w:rPr>
        <w:t>People v. Gurule</w:t>
      </w:r>
      <w:r w:rsidRPr="00CB05A8">
        <w:rPr>
          <w:szCs w:val="26"/>
        </w:rPr>
        <w:t xml:space="preserve"> (2002) 28 Cal.4th 557, 624</w:t>
      </w:r>
      <w:r w:rsidR="007F2F25" w:rsidRPr="00CB05A8">
        <w:rPr>
          <w:szCs w:val="26"/>
        </w:rPr>
        <w:t>.)</w:t>
      </w:r>
      <w:r w:rsidR="00B62920" w:rsidRPr="00CB05A8">
        <w:rPr>
          <w:szCs w:val="26"/>
        </w:rPr>
        <w:t xml:space="preserve"> </w:t>
      </w:r>
      <w:r w:rsidR="007F2F25" w:rsidRPr="00CB05A8">
        <w:rPr>
          <w:szCs w:val="26"/>
        </w:rPr>
        <w:t xml:space="preserve"> “In a prosecution for murder, photographs of the murder victim and the crime scene are always relevant to prove how the char</w:t>
      </w:r>
      <w:r w:rsidR="00DD0AF0" w:rsidRPr="00CB05A8">
        <w:rPr>
          <w:szCs w:val="26"/>
        </w:rPr>
        <w:t>ged crime occurred</w:t>
      </w:r>
      <w:r w:rsidR="00CD263C">
        <w:rPr>
          <w:szCs w:val="26"/>
        </w:rPr>
        <w:t> . . . </w:t>
      </w:r>
      <w:r w:rsidR="00DD0AF0" w:rsidRPr="00CB05A8">
        <w:rPr>
          <w:szCs w:val="26"/>
        </w:rPr>
        <w:t xml:space="preserve">.”  </w:t>
      </w:r>
      <w:r w:rsidR="00DD0AF0" w:rsidRPr="00CB05A8">
        <w:rPr>
          <w:i/>
          <w:szCs w:val="26"/>
        </w:rPr>
        <w:t xml:space="preserve">People v. Pollock </w:t>
      </w:r>
      <w:r w:rsidR="00DD0AF0" w:rsidRPr="00CB05A8">
        <w:rPr>
          <w:iCs/>
          <w:szCs w:val="26"/>
        </w:rPr>
        <w:t>(2004) 32 Cal.4th 1153, 1170</w:t>
      </w:r>
      <w:r w:rsidR="000D0D68" w:rsidRPr="00CB05A8">
        <w:rPr>
          <w:iCs/>
          <w:szCs w:val="26"/>
        </w:rPr>
        <w:t xml:space="preserve"> (</w:t>
      </w:r>
      <w:r w:rsidR="000D0D68" w:rsidRPr="00CB05A8">
        <w:rPr>
          <w:i/>
          <w:iCs/>
          <w:szCs w:val="26"/>
        </w:rPr>
        <w:t>Pollock</w:t>
      </w:r>
      <w:r w:rsidR="000D0D68" w:rsidRPr="00CB05A8">
        <w:rPr>
          <w:iCs/>
          <w:szCs w:val="26"/>
        </w:rPr>
        <w:t>)</w:t>
      </w:r>
      <w:r w:rsidR="00DD0AF0" w:rsidRPr="00CB05A8">
        <w:rPr>
          <w:iCs/>
          <w:szCs w:val="26"/>
        </w:rPr>
        <w:t>.)</w:t>
      </w:r>
      <w:r w:rsidR="00B62920" w:rsidRPr="00CB05A8">
        <w:rPr>
          <w:szCs w:val="26"/>
        </w:rPr>
        <w:t xml:space="preserve"> </w:t>
      </w:r>
      <w:r w:rsidR="00DD0AF0" w:rsidRPr="00CB05A8">
        <w:rPr>
          <w:szCs w:val="26"/>
        </w:rPr>
        <w:t xml:space="preserve"> </w:t>
      </w:r>
      <w:r w:rsidR="006005DA" w:rsidRPr="00CB05A8">
        <w:rPr>
          <w:szCs w:val="26"/>
        </w:rPr>
        <w:t xml:space="preserve">The prosecution is </w:t>
      </w:r>
      <w:r w:rsidR="007F2F25" w:rsidRPr="00CB05A8">
        <w:rPr>
          <w:szCs w:val="26"/>
        </w:rPr>
        <w:t xml:space="preserve">not obliged to prove </w:t>
      </w:r>
      <w:r w:rsidR="00152EF0" w:rsidRPr="00CB05A8">
        <w:rPr>
          <w:szCs w:val="26"/>
        </w:rPr>
        <w:t>its</w:t>
      </w:r>
      <w:r w:rsidR="007F2F25" w:rsidRPr="00CB05A8">
        <w:rPr>
          <w:szCs w:val="26"/>
        </w:rPr>
        <w:t xml:space="preserve"> case </w:t>
      </w:r>
      <w:r w:rsidR="0032600B" w:rsidRPr="00CB05A8">
        <w:rPr>
          <w:szCs w:val="26"/>
        </w:rPr>
        <w:t>solely from the testimony o</w:t>
      </w:r>
      <w:r w:rsidR="007F2F25" w:rsidRPr="00CB05A8">
        <w:rPr>
          <w:szCs w:val="26"/>
        </w:rPr>
        <w:t>f</w:t>
      </w:r>
      <w:r w:rsidR="0032600B" w:rsidRPr="00CB05A8">
        <w:rPr>
          <w:szCs w:val="26"/>
        </w:rPr>
        <w:t xml:space="preserve"> </w:t>
      </w:r>
      <w:r w:rsidR="007F2F25" w:rsidRPr="00CB05A8">
        <w:rPr>
          <w:szCs w:val="26"/>
        </w:rPr>
        <w:t xml:space="preserve">live witnesses; </w:t>
      </w:r>
      <w:r w:rsidR="0032600B" w:rsidRPr="00CB05A8">
        <w:rPr>
          <w:szCs w:val="26"/>
        </w:rPr>
        <w:t>“</w:t>
      </w:r>
      <w:r w:rsidR="007F2F25" w:rsidRPr="00CB05A8">
        <w:rPr>
          <w:szCs w:val="26"/>
        </w:rPr>
        <w:t xml:space="preserve">the jury is entitled to see details of the victims’ bodies to determine if the evidence supports the prosecution’s theory of the case.”  </w:t>
      </w:r>
      <w:r w:rsidR="0032600B" w:rsidRPr="00CB05A8">
        <w:rPr>
          <w:szCs w:val="26"/>
        </w:rPr>
        <w:t>(</w:t>
      </w:r>
      <w:r w:rsidR="0032600B" w:rsidRPr="00CB05A8">
        <w:rPr>
          <w:i/>
          <w:iCs/>
          <w:szCs w:val="26"/>
        </w:rPr>
        <w:t>Gurule</w:t>
      </w:r>
      <w:r w:rsidR="0032600B" w:rsidRPr="00CB05A8">
        <w:rPr>
          <w:szCs w:val="26"/>
        </w:rPr>
        <w:t xml:space="preserve">, at p. </w:t>
      </w:r>
      <w:r w:rsidR="0032600B" w:rsidRPr="00CB05A8">
        <w:rPr>
          <w:color w:val="000000" w:themeColor="text1"/>
          <w:szCs w:val="26"/>
        </w:rPr>
        <w:t>624.)</w:t>
      </w:r>
    </w:p>
    <w:p w14:paraId="0F49F552" w14:textId="2B30FB23" w:rsidR="009B7831" w:rsidRPr="00CB05A8" w:rsidRDefault="009B7831" w:rsidP="00F105E8">
      <w:pPr>
        <w:pStyle w:val="NormalIndent"/>
        <w:ind w:left="0" w:firstLine="720"/>
        <w:rPr>
          <w:color w:val="000000" w:themeColor="text1"/>
        </w:rPr>
      </w:pPr>
      <w:r w:rsidRPr="00CB05A8">
        <w:t>“</w:t>
      </w:r>
      <w:r w:rsidR="00163C79" w:rsidRPr="00CB05A8">
        <w:t> ‘</w:t>
      </w:r>
      <w:r w:rsidRPr="00CB05A8">
        <w:t>To determine whether there was an abuse of discretion, we address two factors: (1) whether the photographs were relevant, and (2) whether the trial court abused its discretion in finding that the probative value of each photograph outweighed its prejudicial effect.</w:t>
      </w:r>
      <w:r w:rsidR="003C4120" w:rsidRPr="00CB05A8">
        <w:t>’ </w:t>
      </w:r>
      <w:r w:rsidRPr="00CB05A8">
        <w:t xml:space="preserve">”  </w:t>
      </w:r>
      <w:r w:rsidR="005419F9" w:rsidRPr="00CB05A8">
        <w:t>(</w:t>
      </w:r>
      <w:r w:rsidR="005C074C" w:rsidRPr="00CB05A8">
        <w:rPr>
          <w:i/>
        </w:rPr>
        <w:t xml:space="preserve">People v. Lewis </w:t>
      </w:r>
      <w:r w:rsidR="003C4120" w:rsidRPr="00CB05A8">
        <w:t>(2009) 46 Cal.4th 1255, 1282</w:t>
      </w:r>
      <w:r w:rsidR="005419F9" w:rsidRPr="00CB05A8">
        <w:t xml:space="preserve">.)  </w:t>
      </w:r>
      <w:r w:rsidRPr="00CB05A8">
        <w:t xml:space="preserve">Having examined all of the photographs, </w:t>
      </w:r>
      <w:r w:rsidR="003C4120" w:rsidRPr="00CB05A8">
        <w:t xml:space="preserve">we find that the trial court did not abuse its </w:t>
      </w:r>
      <w:r w:rsidR="003C4120" w:rsidRPr="00CB05A8">
        <w:rPr>
          <w:color w:val="000000" w:themeColor="text1"/>
        </w:rPr>
        <w:t>discretion.</w:t>
      </w:r>
    </w:p>
    <w:p w14:paraId="56AC96BD" w14:textId="1D345EAE" w:rsidR="009B7A65" w:rsidRPr="00CB05A8" w:rsidRDefault="00267657" w:rsidP="00F105E8">
      <w:pPr>
        <w:pStyle w:val="NormalIndent"/>
        <w:ind w:left="0" w:firstLine="720"/>
      </w:pPr>
      <w:r w:rsidRPr="00CB05A8">
        <w:t>T</w:t>
      </w:r>
      <w:r w:rsidR="00823654" w:rsidRPr="00CB05A8">
        <w:t xml:space="preserve">he photographs of Deputy Trejo’s facial </w:t>
      </w:r>
      <w:r w:rsidR="00EF6E2D" w:rsidRPr="00CB05A8">
        <w:t xml:space="preserve">wounds, </w:t>
      </w:r>
      <w:r w:rsidR="003B176B" w:rsidRPr="00CB05A8">
        <w:t xml:space="preserve">his </w:t>
      </w:r>
      <w:r w:rsidR="00EF6E2D" w:rsidRPr="00CB05A8">
        <w:t xml:space="preserve">body position, </w:t>
      </w:r>
      <w:r w:rsidR="00084E41" w:rsidRPr="00CB05A8">
        <w:t xml:space="preserve">the </w:t>
      </w:r>
      <w:r w:rsidR="003B176B" w:rsidRPr="00CB05A8">
        <w:t xml:space="preserve">position of his hands relative to his body, </w:t>
      </w:r>
      <w:r w:rsidR="00EF6E2D" w:rsidRPr="00CB05A8">
        <w:t xml:space="preserve">and </w:t>
      </w:r>
      <w:r w:rsidR="003B176B" w:rsidRPr="00CB05A8">
        <w:t xml:space="preserve">the </w:t>
      </w:r>
      <w:r w:rsidR="007E5C4D" w:rsidRPr="00CB05A8">
        <w:t xml:space="preserve">position of blood and brain matter </w:t>
      </w:r>
      <w:r w:rsidR="00341315" w:rsidRPr="00CB05A8">
        <w:t>supported</w:t>
      </w:r>
      <w:r w:rsidR="00096C9C" w:rsidRPr="00CB05A8">
        <w:t xml:space="preserve"> the prosecution’s theory that defendant </w:t>
      </w:r>
      <w:r w:rsidR="00341315" w:rsidRPr="00CB05A8">
        <w:t xml:space="preserve">intentionally shot </w:t>
      </w:r>
      <w:r w:rsidRPr="00CB05A8">
        <w:t>the deputy</w:t>
      </w:r>
      <w:r w:rsidR="00CB56ED" w:rsidRPr="00CB05A8">
        <w:t xml:space="preserve"> </w:t>
      </w:r>
      <w:r w:rsidR="00A02516" w:rsidRPr="00CB05A8">
        <w:t xml:space="preserve">when </w:t>
      </w:r>
      <w:r w:rsidRPr="00CB05A8">
        <w:t>he</w:t>
      </w:r>
      <w:r w:rsidR="00A02516" w:rsidRPr="00CB05A8">
        <w:t xml:space="preserve"> was on his knees, and </w:t>
      </w:r>
      <w:r w:rsidR="00DF605A" w:rsidRPr="00CB05A8">
        <w:t>were incon</w:t>
      </w:r>
      <w:r w:rsidR="00CA0908" w:rsidRPr="00CB05A8">
        <w:t>sistent with</w:t>
      </w:r>
      <w:r w:rsidR="00A02516" w:rsidRPr="00CB05A8">
        <w:t xml:space="preserve"> defendant’s claim that the shooting was accidental and that Deputy Trejo was prone on the ground when </w:t>
      </w:r>
      <w:r w:rsidR="00452A36" w:rsidRPr="00CB05A8">
        <w:t xml:space="preserve">the gun discharged.  </w:t>
      </w:r>
      <w:r w:rsidR="0042598C" w:rsidRPr="00CB05A8">
        <w:t xml:space="preserve">They were relevant to corroborate and illustrate the testimony of </w:t>
      </w:r>
      <w:r w:rsidR="00027293" w:rsidRPr="00CB05A8">
        <w:t>several</w:t>
      </w:r>
      <w:r w:rsidR="0042598C" w:rsidRPr="00CB05A8">
        <w:t xml:space="preserve"> </w:t>
      </w:r>
      <w:r w:rsidR="00CA48D7" w:rsidRPr="00CB05A8">
        <w:t xml:space="preserve">witnesses who saw the </w:t>
      </w:r>
      <w:r w:rsidRPr="00CB05A8">
        <w:t>crim</w:t>
      </w:r>
      <w:r w:rsidR="00CA48D7" w:rsidRPr="00CB05A8">
        <w:t>e occur</w:t>
      </w:r>
      <w:r w:rsidR="000B5BE9" w:rsidRPr="00CB05A8">
        <w:t xml:space="preserve">, the testimony of </w:t>
      </w:r>
      <w:r w:rsidR="00390CE2" w:rsidRPr="00CB05A8">
        <w:t xml:space="preserve">the </w:t>
      </w:r>
      <w:r w:rsidR="0042598C" w:rsidRPr="00CB05A8">
        <w:t>investigating officers about the condition in which they found the crime scene</w:t>
      </w:r>
      <w:r w:rsidR="000B5BE9" w:rsidRPr="00CB05A8">
        <w:t xml:space="preserve">, and the testimony of the </w:t>
      </w:r>
      <w:r w:rsidR="001700D6" w:rsidRPr="00CB05A8">
        <w:t>forensic pathologist</w:t>
      </w:r>
      <w:r w:rsidR="000B5BE9" w:rsidRPr="00CB05A8">
        <w:t xml:space="preserve"> about the </w:t>
      </w:r>
      <w:r w:rsidR="0005338C" w:rsidRPr="00CB05A8">
        <w:t xml:space="preserve">position of </w:t>
      </w:r>
      <w:r w:rsidR="0040334A" w:rsidRPr="00CB05A8">
        <w:t xml:space="preserve">the </w:t>
      </w:r>
      <w:r w:rsidR="0005338C" w:rsidRPr="00CB05A8">
        <w:t>deputy’s body when he was killed</w:t>
      </w:r>
      <w:r w:rsidR="000B5BE9" w:rsidRPr="00CB05A8">
        <w:t>.</w:t>
      </w:r>
      <w:r w:rsidR="00DF605A" w:rsidRPr="00CB05A8">
        <w:t xml:space="preserve">  </w:t>
      </w:r>
      <w:r w:rsidR="00840A97" w:rsidRPr="00CB05A8">
        <w:t>Thus, each of these photographs was probative as to significant issues.</w:t>
      </w:r>
      <w:r w:rsidR="00E07FB5" w:rsidRPr="00CB05A8">
        <w:t xml:space="preserve">  </w:t>
      </w:r>
    </w:p>
    <w:p w14:paraId="20CA6469" w14:textId="26046D60" w:rsidR="00572540" w:rsidRPr="00CB05A8" w:rsidRDefault="00840A97" w:rsidP="00F105E8">
      <w:pPr>
        <w:pStyle w:val="NormalIndent"/>
        <w:ind w:left="0" w:firstLine="720"/>
        <w:rPr>
          <w:color w:val="000000" w:themeColor="text1"/>
        </w:rPr>
      </w:pPr>
      <w:r w:rsidRPr="00CB05A8">
        <w:t>Moreover,</w:t>
      </w:r>
      <w:r w:rsidR="009B049C" w:rsidRPr="00CB05A8">
        <w:t xml:space="preserve"> </w:t>
      </w:r>
      <w:r w:rsidR="00725B5A" w:rsidRPr="00CB05A8">
        <w:t>even though some of the photographs were gruesome, none w</w:t>
      </w:r>
      <w:r w:rsidR="00D3379E" w:rsidRPr="00CB05A8">
        <w:t>as</w:t>
      </w:r>
      <w:r w:rsidR="00725B5A" w:rsidRPr="00CB05A8">
        <w:t xml:space="preserve"> </w:t>
      </w:r>
      <w:r w:rsidR="007215AC" w:rsidRPr="00CB05A8">
        <w:t>unduly</w:t>
      </w:r>
      <w:r w:rsidR="00725B5A" w:rsidRPr="00CB05A8">
        <w:t xml:space="preserve"> so.</w:t>
      </w:r>
      <w:r w:rsidR="00244BD7" w:rsidRPr="00CB05A8">
        <w:t xml:space="preserve">  </w:t>
      </w:r>
      <w:r w:rsidR="007215AC" w:rsidRPr="00CB05A8">
        <w:rPr>
          <w:szCs w:val="26"/>
        </w:rPr>
        <w:t>Photographs of victims</w:t>
      </w:r>
      <w:r w:rsidR="00244BD7" w:rsidRPr="00CB05A8">
        <w:rPr>
          <w:szCs w:val="26"/>
        </w:rPr>
        <w:t xml:space="preserve"> in murder cases are </w:t>
      </w:r>
      <w:r w:rsidR="007E7F5A" w:rsidRPr="00CB05A8">
        <w:rPr>
          <w:szCs w:val="26"/>
        </w:rPr>
        <w:t xml:space="preserve">always </w:t>
      </w:r>
      <w:r w:rsidR="00244BD7" w:rsidRPr="00CB05A8">
        <w:rPr>
          <w:szCs w:val="26"/>
        </w:rPr>
        <w:t>disturbing.</w:t>
      </w:r>
      <w:r w:rsidR="00632B5E" w:rsidRPr="00CB05A8">
        <w:rPr>
          <w:szCs w:val="26"/>
        </w:rPr>
        <w:t xml:space="preserve"> </w:t>
      </w:r>
      <w:r w:rsidR="00244BD7" w:rsidRPr="00CB05A8">
        <w:rPr>
          <w:szCs w:val="26"/>
        </w:rPr>
        <w:t xml:space="preserve"> </w:t>
      </w:r>
      <w:r w:rsidR="00BC3E33" w:rsidRPr="00CB05A8">
        <w:rPr>
          <w:szCs w:val="26"/>
        </w:rPr>
        <w:t>(</w:t>
      </w:r>
      <w:r w:rsidR="00BC3E33" w:rsidRPr="00CB05A8">
        <w:rPr>
          <w:i/>
          <w:szCs w:val="26"/>
        </w:rPr>
        <w:t>People v. Gonzales</w:t>
      </w:r>
      <w:r w:rsidR="00BC3E33" w:rsidRPr="00CB05A8">
        <w:rPr>
          <w:szCs w:val="26"/>
        </w:rPr>
        <w:t xml:space="preserve"> (2012) 54 Cal.4th 1234, 1272.)  “</w:t>
      </w:r>
      <w:r w:rsidR="00C27946" w:rsidRPr="00CB05A8">
        <w:rPr>
          <w:szCs w:val="26"/>
        </w:rPr>
        <w:t> ‘</w:t>
      </w:r>
      <w:r w:rsidR="00244BD7" w:rsidRPr="00CB05A8">
        <w:rPr>
          <w:szCs w:val="26"/>
        </w:rPr>
        <w:t>The photographs at issue here are gruesome because the charged offenses were gruesome, but they did no more than accurately portray the shocking nature of the crimes.’</w:t>
      </w:r>
      <w:r w:rsidR="000468BD" w:rsidRPr="00CB05A8">
        <w:rPr>
          <w:szCs w:val="26"/>
        </w:rPr>
        <w:t> </w:t>
      </w:r>
      <w:r w:rsidR="00244BD7" w:rsidRPr="00CB05A8">
        <w:rPr>
          <w:szCs w:val="26"/>
        </w:rPr>
        <w:t>”  (</w:t>
      </w:r>
      <w:r w:rsidR="00C27946" w:rsidRPr="00CB05A8">
        <w:rPr>
          <w:i/>
          <w:szCs w:val="26"/>
        </w:rPr>
        <w:t>Ibid.</w:t>
      </w:r>
      <w:r w:rsidR="00244BD7" w:rsidRPr="00CB05A8">
        <w:rPr>
          <w:szCs w:val="26"/>
        </w:rPr>
        <w:t xml:space="preserve">)  </w:t>
      </w:r>
      <w:r w:rsidR="00FB0CE1" w:rsidRPr="00CB05A8">
        <w:rPr>
          <w:szCs w:val="26"/>
        </w:rPr>
        <w:t>Moreover</w:t>
      </w:r>
      <w:r w:rsidR="007739C0" w:rsidRPr="00CB05A8">
        <w:rPr>
          <w:szCs w:val="26"/>
        </w:rPr>
        <w:t xml:space="preserve">, </w:t>
      </w:r>
      <w:r w:rsidR="009E2660" w:rsidRPr="00CB05A8">
        <w:t>“</w:t>
      </w:r>
      <w:r w:rsidR="007739C0" w:rsidRPr="00CB05A8">
        <w:t>[a]</w:t>
      </w:r>
      <w:r w:rsidR="009E2660" w:rsidRPr="00CB05A8">
        <w:t xml:space="preserve">utopsy photographs are routinely </w:t>
      </w:r>
      <w:r w:rsidR="00675737" w:rsidRPr="00CB05A8">
        <w:t>admitted to establish the nature and placement of the victim’s wounds and to clarify the testimony of prosecution witnesses regarding the crime scene and the autopsy, even if other evidence may serve the same purposes.”  (</w:t>
      </w:r>
      <w:r w:rsidR="00675737" w:rsidRPr="00CB05A8">
        <w:rPr>
          <w:i/>
        </w:rPr>
        <w:t xml:space="preserve">People v. Howard </w:t>
      </w:r>
      <w:r w:rsidR="00675737" w:rsidRPr="00CB05A8">
        <w:t>(2010) 51 Cal.4th 15, 33.)</w:t>
      </w:r>
      <w:r w:rsidR="007739C0" w:rsidRPr="00CB05A8">
        <w:t xml:space="preserve">  </w:t>
      </w:r>
      <w:r w:rsidR="003F21B9" w:rsidRPr="00CB05A8">
        <w:rPr>
          <w:szCs w:val="26"/>
        </w:rPr>
        <w:t>Additionally</w:t>
      </w:r>
      <w:r w:rsidR="007739C0" w:rsidRPr="00CB05A8">
        <w:rPr>
          <w:szCs w:val="26"/>
        </w:rPr>
        <w:t xml:space="preserve">, given the </w:t>
      </w:r>
      <w:r w:rsidR="007739C0" w:rsidRPr="00CB05A8">
        <w:t xml:space="preserve">witnesses’ detailed description of the circumstances of the crime scene and the deputy’s condition, the photographs corroborating such testimony are not so gruesome </w:t>
      </w:r>
      <w:r w:rsidR="00AE2129" w:rsidRPr="00CB05A8">
        <w:t xml:space="preserve">or inflammatory </w:t>
      </w:r>
      <w:r w:rsidR="007739C0" w:rsidRPr="00CB05A8">
        <w:t>as to have impermissibly swayed the jury.  (</w:t>
      </w:r>
      <w:r w:rsidR="007739C0" w:rsidRPr="00CB05A8">
        <w:rPr>
          <w:i/>
        </w:rPr>
        <w:t>People v. Smithey</w:t>
      </w:r>
      <w:r w:rsidR="007739C0" w:rsidRPr="00CB05A8">
        <w:t xml:space="preserve"> (1999) 20 Cal.4th 936, 974.)  </w:t>
      </w:r>
      <w:r w:rsidR="00A85D00" w:rsidRPr="00CB05A8">
        <w:t>Therefore, the</w:t>
      </w:r>
      <w:r w:rsidR="00A85D00" w:rsidRPr="00CB05A8">
        <w:rPr>
          <w:szCs w:val="26"/>
        </w:rPr>
        <w:t xml:space="preserve"> </w:t>
      </w:r>
      <w:r w:rsidR="007363AD" w:rsidRPr="00CB05A8">
        <w:rPr>
          <w:szCs w:val="26"/>
        </w:rPr>
        <w:t>trial</w:t>
      </w:r>
      <w:r w:rsidR="00A85D00" w:rsidRPr="00CB05A8">
        <w:rPr>
          <w:szCs w:val="26"/>
        </w:rPr>
        <w:t xml:space="preserve"> court did not </w:t>
      </w:r>
      <w:r w:rsidR="008D7524" w:rsidRPr="00CB05A8">
        <w:rPr>
          <w:szCs w:val="26"/>
        </w:rPr>
        <w:t>abuse its discretion</w:t>
      </w:r>
      <w:r w:rsidR="00A85D00" w:rsidRPr="00CB05A8">
        <w:rPr>
          <w:szCs w:val="26"/>
        </w:rPr>
        <w:t xml:space="preserve"> in admitting the photographs in question</w:t>
      </w:r>
      <w:r w:rsidR="00A85D00" w:rsidRPr="00CB05A8">
        <w:rPr>
          <w:color w:val="000000" w:themeColor="text1"/>
          <w:szCs w:val="26"/>
        </w:rPr>
        <w:t>.</w:t>
      </w:r>
    </w:p>
    <w:p w14:paraId="2BCA8E93" w14:textId="617065B6" w:rsidR="0038437A" w:rsidRPr="00CB05A8" w:rsidRDefault="004D2B86" w:rsidP="005B5750">
      <w:pPr>
        <w:pStyle w:val="Heading3"/>
      </w:pPr>
      <w:bookmarkStart w:id="49" w:name="_Toc58918802"/>
      <w:r>
        <w:t xml:space="preserve">7.  </w:t>
      </w:r>
      <w:r w:rsidR="0038437A" w:rsidRPr="00CB05A8">
        <w:t>Claims of instructional error</w:t>
      </w:r>
      <w:bookmarkEnd w:id="49"/>
    </w:p>
    <w:p w14:paraId="4E9BC8F2" w14:textId="01E94397" w:rsidR="00666D2C" w:rsidRPr="00CB05A8" w:rsidRDefault="0039130D" w:rsidP="00F105E8">
      <w:pPr>
        <w:pStyle w:val="Heading4"/>
        <w:numPr>
          <w:ilvl w:val="0"/>
          <w:numId w:val="36"/>
        </w:numPr>
        <w:ind w:left="2016" w:hanging="432"/>
      </w:pPr>
      <w:r w:rsidRPr="00CB05A8">
        <w:t xml:space="preserve"> </w:t>
      </w:r>
      <w:bookmarkStart w:id="50" w:name="_Toc58918803"/>
      <w:r w:rsidRPr="00CB05A8">
        <w:t>Requested accident instruction relating to premeditated murder</w:t>
      </w:r>
      <w:r w:rsidR="00B86750" w:rsidRPr="00CB05A8">
        <w:t xml:space="preserve"> </w:t>
      </w:r>
      <w:bookmarkEnd w:id="50"/>
    </w:p>
    <w:p w14:paraId="2F63A6F0" w14:textId="2878618F" w:rsidR="008D3C66" w:rsidRPr="00CB05A8" w:rsidRDefault="00336B1E" w:rsidP="00F105E8">
      <w:pPr>
        <w:pStyle w:val="NormalIndent"/>
        <w:ind w:left="0" w:firstLine="720"/>
      </w:pPr>
      <w:r w:rsidRPr="00CB05A8">
        <w:t xml:space="preserve">Defendant </w:t>
      </w:r>
      <w:r w:rsidR="007F3AF8" w:rsidRPr="00CB05A8">
        <w:t xml:space="preserve">requested a pinpoint instruction </w:t>
      </w:r>
      <w:r w:rsidR="00712354" w:rsidRPr="00CB05A8">
        <w:t>on his accident defense as it applied to the prosecution’s the</w:t>
      </w:r>
      <w:r w:rsidR="00D95B82" w:rsidRPr="00CB05A8">
        <w:t>ory of premedit</w:t>
      </w:r>
      <w:r w:rsidR="007C1C4C" w:rsidRPr="00CB05A8">
        <w:t>ated murder</w:t>
      </w:r>
      <w:r w:rsidR="00D95B82" w:rsidRPr="00CB05A8">
        <w:t>.</w:t>
      </w:r>
      <w:r w:rsidR="00740AFE" w:rsidRPr="00CB05A8">
        <w:t xml:space="preserve">  </w:t>
      </w:r>
      <w:r w:rsidR="00457BE6" w:rsidRPr="00CB05A8">
        <w:t>CALJIC No. 4.45, t</w:t>
      </w:r>
      <w:r w:rsidR="00335EBA" w:rsidRPr="00CB05A8">
        <w:t xml:space="preserve">he </w:t>
      </w:r>
      <w:r w:rsidR="00AD662C" w:rsidRPr="00CB05A8">
        <w:t xml:space="preserve">standard </w:t>
      </w:r>
      <w:r w:rsidR="00335EBA" w:rsidRPr="00CB05A8">
        <w:t xml:space="preserve">instruction </w:t>
      </w:r>
      <w:r w:rsidR="003925DD" w:rsidRPr="00CB05A8">
        <w:t>concerning</w:t>
      </w:r>
      <w:r w:rsidR="00335EBA" w:rsidRPr="00CB05A8">
        <w:t xml:space="preserve"> accident, provides</w:t>
      </w:r>
      <w:r w:rsidR="00C3193E" w:rsidRPr="00CB05A8">
        <w:t xml:space="preserve"> that the defense applies whe</w:t>
      </w:r>
      <w:r w:rsidR="00D57CC6" w:rsidRPr="00CB05A8">
        <w:t>n</w:t>
      </w:r>
      <w:r w:rsidR="00335EBA" w:rsidRPr="00CB05A8">
        <w:t xml:space="preserve"> </w:t>
      </w:r>
      <w:r w:rsidR="00B55A86" w:rsidRPr="00CB05A8">
        <w:t>“</w:t>
      </w:r>
      <w:r w:rsidR="00623227" w:rsidRPr="00CB05A8">
        <w:t xml:space="preserve">circumstances </w:t>
      </w:r>
      <w:r w:rsidR="00B55A86" w:rsidRPr="00CB05A8">
        <w:t>. . .</w:t>
      </w:r>
      <w:r w:rsidR="00623227" w:rsidRPr="00CB05A8">
        <w:t xml:space="preserve"> show neither criminal intent </w:t>
      </w:r>
      <w:r w:rsidR="00B55A86" w:rsidRPr="00CB05A8">
        <w:t>n</w:t>
      </w:r>
      <w:r w:rsidR="00623227" w:rsidRPr="00CB05A8">
        <w:t>or purpose,</w:t>
      </w:r>
      <w:r w:rsidR="00964DCA" w:rsidRPr="00CB05A8">
        <w:t xml:space="preserve"> </w:t>
      </w:r>
      <w:r w:rsidR="00623227" w:rsidRPr="00CB05A8">
        <w:t>nor</w:t>
      </w:r>
      <w:r w:rsidR="00D16276" w:rsidRPr="00CB05A8">
        <w:t xml:space="preserve"> [criminal] negligence</w:t>
      </w:r>
      <w:r w:rsidR="00082C2A">
        <w:t> </w:t>
      </w:r>
      <w:r w:rsidR="00964DCA" w:rsidRPr="00CB05A8">
        <w:t>. . . .”</w:t>
      </w:r>
      <w:r w:rsidR="00D16276" w:rsidRPr="00CB05A8">
        <w:t xml:space="preserve">  </w:t>
      </w:r>
      <w:r w:rsidR="00707FD0" w:rsidRPr="00CB05A8">
        <w:t>D</w:t>
      </w:r>
      <w:r w:rsidR="00D73E58" w:rsidRPr="00CB05A8">
        <w:t xml:space="preserve">efense counsel </w:t>
      </w:r>
      <w:r w:rsidR="00D542E8" w:rsidRPr="00CB05A8">
        <w:t xml:space="preserve">acknowledged </w:t>
      </w:r>
      <w:r w:rsidR="00D73E58" w:rsidRPr="00CB05A8">
        <w:t>that</w:t>
      </w:r>
      <w:r w:rsidR="00457BE6" w:rsidRPr="00CB05A8">
        <w:t xml:space="preserve"> th</w:t>
      </w:r>
      <w:r w:rsidR="00D542E8" w:rsidRPr="00CB05A8">
        <w:t>is</w:t>
      </w:r>
      <w:r w:rsidR="00457BE6" w:rsidRPr="00CB05A8">
        <w:t xml:space="preserve"> standard version of</w:t>
      </w:r>
      <w:r w:rsidR="00D73E58" w:rsidRPr="00CB05A8">
        <w:t xml:space="preserve"> CALJIC No. 4.45 would be </w:t>
      </w:r>
      <w:r w:rsidR="00564ECC" w:rsidRPr="00CB05A8">
        <w:t>in</w:t>
      </w:r>
      <w:r w:rsidR="00D73E58" w:rsidRPr="00CB05A8">
        <w:t xml:space="preserve">appropriate in </w:t>
      </w:r>
      <w:r w:rsidR="006B6335" w:rsidRPr="00CB05A8">
        <w:t>this case because their theor</w:t>
      </w:r>
      <w:r w:rsidR="00255EF7" w:rsidRPr="00CB05A8">
        <w:t xml:space="preserve">y was not that there was no criminal intent or purpose, but rather that the accident negated premeditation and deliberation for first degree murder.  </w:t>
      </w:r>
      <w:r w:rsidR="00965CEB" w:rsidRPr="00CB05A8">
        <w:t xml:space="preserve">Counsel </w:t>
      </w:r>
      <w:r w:rsidR="00BA431B" w:rsidRPr="00CB05A8">
        <w:t xml:space="preserve">instead </w:t>
      </w:r>
      <w:r w:rsidR="000A06C7" w:rsidRPr="00CB05A8">
        <w:t>proposed a modified version of CALJIC No. 4.45</w:t>
      </w:r>
      <w:r w:rsidR="002C469A" w:rsidRPr="00CB05A8">
        <w:t>, which would have instructed the jury as follows</w:t>
      </w:r>
      <w:r w:rsidR="003B2167" w:rsidRPr="00CB05A8">
        <w:t xml:space="preserve">:  “In considering the prosecution theory of first degree premeditated murder, if there is a reasonable doubt of whether or not the killing of Deputy Trejo </w:t>
      </w:r>
      <w:r w:rsidR="00664E84" w:rsidRPr="00CB05A8">
        <w:t xml:space="preserve">was an accident, you must resolve the doubt in favor of the defendant and bring in a verdict of no more than second degree murder.”  </w:t>
      </w:r>
      <w:r w:rsidR="00333262" w:rsidRPr="00CB05A8">
        <w:t xml:space="preserve">  </w:t>
      </w:r>
    </w:p>
    <w:p w14:paraId="34C2450D" w14:textId="5EA669C8" w:rsidR="00333262" w:rsidRPr="00CB05A8" w:rsidRDefault="009211D5" w:rsidP="00F105E8">
      <w:pPr>
        <w:pStyle w:val="NormalIndent"/>
        <w:ind w:left="0" w:firstLine="720"/>
        <w:rPr>
          <w:color w:val="FF0000"/>
        </w:rPr>
      </w:pPr>
      <w:r w:rsidRPr="00CB05A8">
        <w:t xml:space="preserve">The prosecution objected to the proposed </w:t>
      </w:r>
      <w:r w:rsidR="00707103" w:rsidRPr="00CB05A8">
        <w:t xml:space="preserve">modified </w:t>
      </w:r>
      <w:r w:rsidRPr="00CB05A8">
        <w:t xml:space="preserve">instruction </w:t>
      </w:r>
      <w:r w:rsidR="0086717D" w:rsidRPr="00CB05A8">
        <w:t>a</w:t>
      </w:r>
      <w:r w:rsidR="00742402" w:rsidRPr="00CB05A8">
        <w:t>s problematic because</w:t>
      </w:r>
      <w:r w:rsidR="0095379C" w:rsidRPr="00CB05A8">
        <w:t>, it observed,</w:t>
      </w:r>
      <w:r w:rsidR="00742402" w:rsidRPr="00CB05A8">
        <w:t xml:space="preserve"> defendant </w:t>
      </w:r>
      <w:r w:rsidR="0054057F" w:rsidRPr="00CB05A8">
        <w:t>c</w:t>
      </w:r>
      <w:r w:rsidR="00742402" w:rsidRPr="00CB05A8">
        <w:t>ould still be found guilty of first degree murder under the felony</w:t>
      </w:r>
      <w:r w:rsidR="00AC4499" w:rsidRPr="00CB05A8">
        <w:t xml:space="preserve"> </w:t>
      </w:r>
      <w:r w:rsidR="00742402" w:rsidRPr="00CB05A8">
        <w:t>murder theory</w:t>
      </w:r>
      <w:r w:rsidR="002D367D" w:rsidRPr="00CB05A8">
        <w:t xml:space="preserve"> even if the jury found the shooting was accidental</w:t>
      </w:r>
      <w:r w:rsidR="00742402" w:rsidRPr="00CB05A8">
        <w:t xml:space="preserve">.  </w:t>
      </w:r>
      <w:r w:rsidR="00DF46D2" w:rsidRPr="00CB05A8">
        <w:t xml:space="preserve">The prosecution </w:t>
      </w:r>
      <w:r w:rsidR="00622E94">
        <w:t>maintained</w:t>
      </w:r>
      <w:r w:rsidR="00DF46D2" w:rsidRPr="00CB05A8">
        <w:t xml:space="preserve"> </w:t>
      </w:r>
      <w:r w:rsidR="004B11C8" w:rsidRPr="00CB05A8">
        <w:t xml:space="preserve">that the </w:t>
      </w:r>
      <w:r w:rsidR="002D0B8E" w:rsidRPr="00CB05A8">
        <w:t xml:space="preserve">proposed </w:t>
      </w:r>
      <w:r w:rsidR="004B11C8" w:rsidRPr="00CB05A8">
        <w:t>instruction failed to clarify that accident was not a defense to felony murder</w:t>
      </w:r>
      <w:r w:rsidR="002D0B8E" w:rsidRPr="00CB05A8">
        <w:t xml:space="preserve"> —</w:t>
      </w:r>
      <w:r w:rsidR="00856A37" w:rsidRPr="00CB05A8">
        <w:t xml:space="preserve"> </w:t>
      </w:r>
      <w:r w:rsidR="004C14D4" w:rsidRPr="00CB05A8">
        <w:t xml:space="preserve">its </w:t>
      </w:r>
      <w:r w:rsidR="00544D65" w:rsidRPr="00CB05A8">
        <w:t>alternate theory of first degree murder</w:t>
      </w:r>
      <w:r w:rsidR="004B11C8" w:rsidRPr="00CB05A8">
        <w:t xml:space="preserve">.  </w:t>
      </w:r>
      <w:r w:rsidR="00282395" w:rsidRPr="00CB05A8">
        <w:t xml:space="preserve">The prosecution </w:t>
      </w:r>
      <w:r w:rsidR="00642A87" w:rsidRPr="00CB05A8">
        <w:t xml:space="preserve">argued that even though the proposed instruction </w:t>
      </w:r>
      <w:r w:rsidR="00C84A4D" w:rsidRPr="00CB05A8">
        <w:t xml:space="preserve">began with the limiting phrase regarding first degree murder, the jury </w:t>
      </w:r>
      <w:r w:rsidR="00392A63" w:rsidRPr="00CB05A8">
        <w:t xml:space="preserve">was </w:t>
      </w:r>
      <w:r w:rsidR="00C84A4D" w:rsidRPr="00CB05A8">
        <w:t xml:space="preserve">nevertheless being instructed that it must </w:t>
      </w:r>
      <w:r w:rsidR="009E12AD" w:rsidRPr="00CB05A8">
        <w:t xml:space="preserve">return </w:t>
      </w:r>
      <w:r w:rsidR="00B46E2C" w:rsidRPr="00CB05A8">
        <w:t>a verdict of no more than</w:t>
      </w:r>
      <w:r w:rsidR="00C84A4D" w:rsidRPr="00CB05A8">
        <w:t xml:space="preserve"> second degree murder</w:t>
      </w:r>
      <w:r w:rsidR="00B46E2C" w:rsidRPr="00CB05A8">
        <w:t xml:space="preserve"> if it found the killing of Deputy Trejo was an accident</w:t>
      </w:r>
      <w:r w:rsidR="008432DE" w:rsidRPr="00CB05A8">
        <w:t xml:space="preserve">, an improper instruction in light of the </w:t>
      </w:r>
      <w:r w:rsidR="00A03488" w:rsidRPr="00CB05A8">
        <w:t>alternative felony murder theory</w:t>
      </w:r>
      <w:r w:rsidR="00C84A4D" w:rsidRPr="00CB05A8">
        <w:t xml:space="preserve">.  </w:t>
      </w:r>
    </w:p>
    <w:p w14:paraId="552C8B04" w14:textId="3F50E6FB" w:rsidR="00C442DB" w:rsidRPr="00CB05A8" w:rsidRDefault="00C84A4D" w:rsidP="00F105E8">
      <w:pPr>
        <w:pStyle w:val="NormalIndent"/>
        <w:ind w:left="0" w:firstLine="720"/>
      </w:pPr>
      <w:r w:rsidRPr="00CB05A8">
        <w:t xml:space="preserve">The </w:t>
      </w:r>
      <w:r w:rsidR="007363AD" w:rsidRPr="00CB05A8">
        <w:t>trial</w:t>
      </w:r>
      <w:r w:rsidRPr="00CB05A8">
        <w:t xml:space="preserve"> court agreed that the proposed instruction </w:t>
      </w:r>
      <w:r w:rsidR="00E0149E" w:rsidRPr="00CB05A8">
        <w:t xml:space="preserve">would </w:t>
      </w:r>
      <w:r w:rsidRPr="00CB05A8">
        <w:t>potentially confus</w:t>
      </w:r>
      <w:r w:rsidR="00E0149E" w:rsidRPr="00CB05A8">
        <w:t xml:space="preserve">e </w:t>
      </w:r>
      <w:r w:rsidRPr="00CB05A8">
        <w:t xml:space="preserve">the jury and </w:t>
      </w:r>
      <w:r w:rsidR="00E0149E" w:rsidRPr="00CB05A8">
        <w:t xml:space="preserve">was </w:t>
      </w:r>
      <w:r w:rsidRPr="00CB05A8">
        <w:t xml:space="preserve">an incorrect statement of the law.  </w:t>
      </w:r>
      <w:r w:rsidR="00E0149E" w:rsidRPr="00CB05A8">
        <w:t xml:space="preserve">The court </w:t>
      </w:r>
      <w:r w:rsidR="00AA2C84" w:rsidRPr="00CB05A8">
        <w:t>reason</w:t>
      </w:r>
      <w:r w:rsidR="00A61690" w:rsidRPr="00CB05A8">
        <w:t xml:space="preserve">ed that </w:t>
      </w:r>
      <w:r w:rsidR="002217DA" w:rsidRPr="00CB05A8">
        <w:t xml:space="preserve">if the jury adopted the felony murder theory, </w:t>
      </w:r>
      <w:r w:rsidR="00D34AB5" w:rsidRPr="00CB05A8">
        <w:t xml:space="preserve">then </w:t>
      </w:r>
      <w:r w:rsidR="00911312" w:rsidRPr="00CB05A8">
        <w:t>“</w:t>
      </w:r>
      <w:r w:rsidR="00D34AB5" w:rsidRPr="00CB05A8">
        <w:t xml:space="preserve">it </w:t>
      </w:r>
      <w:r w:rsidR="00911312" w:rsidRPr="00CB05A8">
        <w:t>is not true that if there’s a reasonable doubt as to whether or not the killing of Deputy Trejo was an accident</w:t>
      </w:r>
      <w:r w:rsidR="0094466B">
        <w:t>,</w:t>
      </w:r>
      <w:r w:rsidR="00911312" w:rsidRPr="00CB05A8">
        <w:t xml:space="preserve"> they must resolve the doubt in his favor and bring in a verdict of no more than second degree murder.</w:t>
      </w:r>
      <w:r w:rsidR="009209CC" w:rsidRPr="00CB05A8">
        <w:t xml:space="preserve">  </w:t>
      </w:r>
      <w:r w:rsidR="00502381" w:rsidRPr="00CB05A8">
        <w:t>That is a completely incorrect statement.</w:t>
      </w:r>
      <w:r w:rsidR="00911312" w:rsidRPr="00CB05A8">
        <w:t xml:space="preserve">”  </w:t>
      </w:r>
      <w:r w:rsidR="008E0E09" w:rsidRPr="00CB05A8">
        <w:t>It</w:t>
      </w:r>
      <w:r w:rsidR="00351BC4" w:rsidRPr="00CB05A8">
        <w:t xml:space="preserve"> offered </w:t>
      </w:r>
      <w:r w:rsidR="0073110D" w:rsidRPr="00CB05A8">
        <w:t>defense counsel the choice of either giving</w:t>
      </w:r>
      <w:r w:rsidR="00351BC4" w:rsidRPr="00CB05A8">
        <w:t xml:space="preserve"> the standard CALJIC </w:t>
      </w:r>
      <w:r w:rsidR="00B4548B" w:rsidRPr="00CB05A8">
        <w:t xml:space="preserve">No. </w:t>
      </w:r>
      <w:r w:rsidR="00351BC4" w:rsidRPr="00CB05A8">
        <w:t>4.45 instruction</w:t>
      </w:r>
      <w:r w:rsidR="008105B7" w:rsidRPr="00CB05A8">
        <w:t xml:space="preserve"> </w:t>
      </w:r>
      <w:r w:rsidR="00805CBF">
        <w:t xml:space="preserve">without modification </w:t>
      </w:r>
      <w:r w:rsidR="0073110D" w:rsidRPr="00CB05A8">
        <w:t>or not gi</w:t>
      </w:r>
      <w:r w:rsidR="00080FE4" w:rsidRPr="00CB05A8">
        <w:t xml:space="preserve">ving any accident instruction related to first degree murder.  Defense </w:t>
      </w:r>
      <w:r w:rsidR="00871A38" w:rsidRPr="00CB05A8">
        <w:t xml:space="preserve">counsel </w:t>
      </w:r>
      <w:r w:rsidR="00080FE4" w:rsidRPr="00CB05A8">
        <w:t>confirm</w:t>
      </w:r>
      <w:r w:rsidR="00871A38" w:rsidRPr="00CB05A8">
        <w:t>ed that they did not want th</w:t>
      </w:r>
      <w:r w:rsidR="00080FE4" w:rsidRPr="00CB05A8">
        <w:t>e standard</w:t>
      </w:r>
      <w:r w:rsidR="00871A38" w:rsidRPr="00CB05A8">
        <w:t xml:space="preserve"> instruction to be given because</w:t>
      </w:r>
      <w:r w:rsidR="00330C97" w:rsidRPr="00CB05A8">
        <w:t>, in their view,</w:t>
      </w:r>
      <w:r w:rsidR="00871A38" w:rsidRPr="00CB05A8">
        <w:t xml:space="preserve"> it did not apply to </w:t>
      </w:r>
      <w:r w:rsidR="00080FE4" w:rsidRPr="00CB05A8">
        <w:t>defendant’s</w:t>
      </w:r>
      <w:r w:rsidR="00871A38" w:rsidRPr="00CB05A8">
        <w:t xml:space="preserve"> case.  </w:t>
      </w:r>
      <w:r w:rsidR="00AC49D1" w:rsidRPr="00CB05A8">
        <w:t xml:space="preserve"> </w:t>
      </w:r>
      <w:r w:rsidR="00E33DC4" w:rsidRPr="00CB05A8">
        <w:t xml:space="preserve"> </w:t>
      </w:r>
    </w:p>
    <w:p w14:paraId="166E12DE" w14:textId="2BBB5CCA" w:rsidR="003D7A62" w:rsidRPr="00CB05A8" w:rsidRDefault="003D7A62" w:rsidP="00F105E8">
      <w:pPr>
        <w:pStyle w:val="NormalIndent"/>
        <w:ind w:left="0" w:firstLine="720"/>
        <w:rPr>
          <w:shd w:val="clear" w:color="auto" w:fill="FFFFFF"/>
        </w:rPr>
      </w:pPr>
      <w:r w:rsidRPr="00CB05A8">
        <w:t xml:space="preserve">Pinpoint instructions “relate </w:t>
      </w:r>
      <w:r w:rsidRPr="00CB05A8">
        <w:rPr>
          <w:shd w:val="clear" w:color="auto" w:fill="FFFFFF"/>
        </w:rPr>
        <w:t>particular facts to a legal issue in the case or ‘pinpoint’ the crux of a defendant’s case, such as mistaken identification or alibi.  [Citation.]  They are required to be given upon request when there is evidence supportive of the theory</w:t>
      </w:r>
      <w:r w:rsidR="00CD297C" w:rsidRPr="00CB05A8">
        <w:rPr>
          <w:shd w:val="clear" w:color="auto" w:fill="FFFFFF"/>
        </w:rPr>
        <w:t>, but they are not required to be given sua sponte</w:t>
      </w:r>
      <w:r w:rsidRPr="00CB05A8">
        <w:rPr>
          <w:shd w:val="clear" w:color="auto" w:fill="FFFFFF"/>
        </w:rPr>
        <w:t>.”  (</w:t>
      </w:r>
      <w:r w:rsidRPr="00CB05A8">
        <w:rPr>
          <w:rStyle w:val="Emphasis"/>
          <w:bdr w:val="none" w:sz="0" w:space="0" w:color="auto" w:frame="1"/>
        </w:rPr>
        <w:t>People v. Saille</w:t>
      </w:r>
      <w:r w:rsidRPr="00CB05A8">
        <w:rPr>
          <w:bdr w:val="none" w:sz="0" w:space="0" w:color="auto" w:frame="1"/>
        </w:rPr>
        <w:t xml:space="preserve"> (1991) 54 Cal.3d 1103, 1119</w:t>
      </w:r>
      <w:r w:rsidRPr="00CB05A8">
        <w:rPr>
          <w:shd w:val="clear" w:color="auto" w:fill="FFFFFF"/>
        </w:rPr>
        <w:t xml:space="preserve">.)  </w:t>
      </w:r>
      <w:r w:rsidR="00C428E7" w:rsidRPr="00CB05A8">
        <w:rPr>
          <w:shd w:val="clear" w:color="auto" w:fill="FFFFFF"/>
        </w:rPr>
        <w:t>We are “mindful of the general rule that a</w:t>
      </w:r>
      <w:r w:rsidRPr="00CB05A8">
        <w:rPr>
          <w:shd w:val="clear" w:color="auto" w:fill="FFFFFF"/>
        </w:rPr>
        <w:t xml:space="preserve"> trial court may properly refuse an instruction offered by the defendant if it incorrectly states the law, is argumentative, duplicative, or potentially confusing [citation], or if it is not supported by substantial evidence.”  (</w:t>
      </w:r>
      <w:r w:rsidRPr="00CB05A8">
        <w:rPr>
          <w:i/>
          <w:shd w:val="clear" w:color="auto" w:fill="FFFFFF"/>
        </w:rPr>
        <w:t xml:space="preserve">People v. Moon </w:t>
      </w:r>
      <w:r w:rsidRPr="00CB05A8">
        <w:rPr>
          <w:shd w:val="clear" w:color="auto" w:fill="FFFFFF"/>
        </w:rPr>
        <w:t>(2005) 37 Cal.4th 1, 30</w:t>
      </w:r>
      <w:r w:rsidR="00703B94" w:rsidRPr="00CB05A8">
        <w:rPr>
          <w:shd w:val="clear" w:color="auto" w:fill="FFFFFF"/>
        </w:rPr>
        <w:t xml:space="preserve"> (</w:t>
      </w:r>
      <w:r w:rsidR="00703B94" w:rsidRPr="00CB05A8">
        <w:rPr>
          <w:i/>
          <w:shd w:val="clear" w:color="auto" w:fill="FFFFFF"/>
        </w:rPr>
        <w:t>Moon</w:t>
      </w:r>
      <w:r w:rsidR="00703B94" w:rsidRPr="00CB05A8">
        <w:rPr>
          <w:shd w:val="clear" w:color="auto" w:fill="FFFFFF"/>
        </w:rPr>
        <w:t>)</w:t>
      </w:r>
      <w:r w:rsidRPr="00CB05A8">
        <w:rPr>
          <w:shd w:val="clear" w:color="auto" w:fill="FFFFFF"/>
        </w:rPr>
        <w:t xml:space="preserve">.) </w:t>
      </w:r>
      <w:r w:rsidRPr="00CB05A8">
        <w:rPr>
          <w:color w:val="FF0000"/>
          <w:shd w:val="clear" w:color="auto" w:fill="FFFFFF"/>
        </w:rPr>
        <w:t xml:space="preserve"> </w:t>
      </w:r>
      <w:r w:rsidR="00C91080" w:rsidRPr="00CB05A8">
        <w:rPr>
          <w:shd w:val="clear" w:color="auto" w:fill="FFFFFF"/>
        </w:rPr>
        <w:t>We review de novo whether instructions correctly state the law.  (</w:t>
      </w:r>
      <w:r w:rsidR="00D10FD7" w:rsidRPr="00CB05A8">
        <w:rPr>
          <w:i/>
          <w:shd w:val="clear" w:color="auto" w:fill="FFFFFF"/>
        </w:rPr>
        <w:t>P</w:t>
      </w:r>
      <w:r w:rsidR="00C91080" w:rsidRPr="00CB05A8">
        <w:rPr>
          <w:i/>
          <w:shd w:val="clear" w:color="auto" w:fill="FFFFFF"/>
        </w:rPr>
        <w:t>eople v. Berryman</w:t>
      </w:r>
      <w:r w:rsidR="00C91080" w:rsidRPr="00CB05A8">
        <w:rPr>
          <w:shd w:val="clear" w:color="auto" w:fill="FFFFFF"/>
        </w:rPr>
        <w:t xml:space="preserve"> (1993) </w:t>
      </w:r>
      <w:r w:rsidR="005A29E1" w:rsidRPr="00CB05A8">
        <w:rPr>
          <w:shd w:val="clear" w:color="auto" w:fill="FFFFFF"/>
        </w:rPr>
        <w:t xml:space="preserve">6 Cal.4th 1048, 1089, overruled on another </w:t>
      </w:r>
      <w:r w:rsidR="00235A38" w:rsidRPr="00CB05A8">
        <w:rPr>
          <w:shd w:val="clear" w:color="auto" w:fill="FFFFFF"/>
        </w:rPr>
        <w:t xml:space="preserve">ground in </w:t>
      </w:r>
      <w:r w:rsidR="00235A38" w:rsidRPr="00CB05A8">
        <w:rPr>
          <w:i/>
          <w:shd w:val="clear" w:color="auto" w:fill="FFFFFF"/>
        </w:rPr>
        <w:t>People v. Hill</w:t>
      </w:r>
      <w:r w:rsidR="00235A38" w:rsidRPr="00CB05A8">
        <w:rPr>
          <w:shd w:val="clear" w:color="auto" w:fill="FFFFFF"/>
        </w:rPr>
        <w:t xml:space="preserve"> (1998) </w:t>
      </w:r>
      <w:r w:rsidR="00245FD7" w:rsidRPr="00CB05A8">
        <w:rPr>
          <w:shd w:val="clear" w:color="auto" w:fill="FFFFFF"/>
        </w:rPr>
        <w:t>17 Cal.4th 800, 823, fn. 1.)</w:t>
      </w:r>
      <w:r w:rsidR="005A29E1" w:rsidRPr="00CB05A8">
        <w:rPr>
          <w:shd w:val="clear" w:color="auto" w:fill="FFFFFF"/>
        </w:rPr>
        <w:t xml:space="preserve"> </w:t>
      </w:r>
    </w:p>
    <w:p w14:paraId="2B2140A8" w14:textId="21905B93" w:rsidR="00E10AA1" w:rsidRPr="00CB05A8" w:rsidRDefault="00B647EE" w:rsidP="00F105E8">
      <w:pPr>
        <w:pStyle w:val="NormalIndent"/>
        <w:ind w:left="0" w:firstLine="720"/>
        <w:rPr>
          <w:shd w:val="clear" w:color="auto" w:fill="FFFFFF"/>
        </w:rPr>
      </w:pPr>
      <w:r w:rsidRPr="00CB05A8">
        <w:rPr>
          <w:shd w:val="clear" w:color="auto" w:fill="FFFFFF"/>
        </w:rPr>
        <w:t xml:space="preserve">Defendant maintains the </w:t>
      </w:r>
      <w:r w:rsidR="007363AD" w:rsidRPr="00CB05A8">
        <w:rPr>
          <w:shd w:val="clear" w:color="auto" w:fill="FFFFFF"/>
        </w:rPr>
        <w:t>trial</w:t>
      </w:r>
      <w:r w:rsidRPr="00CB05A8">
        <w:rPr>
          <w:shd w:val="clear" w:color="auto" w:fill="FFFFFF"/>
        </w:rPr>
        <w:t xml:space="preserve"> court erred in failing to instruct the jury that accident should be considered a defense to </w:t>
      </w:r>
      <w:r w:rsidR="00F65DE4" w:rsidRPr="00CB05A8">
        <w:rPr>
          <w:shd w:val="clear" w:color="auto" w:fill="FFFFFF"/>
        </w:rPr>
        <w:t>premeditated</w:t>
      </w:r>
      <w:r w:rsidR="00D14A91" w:rsidRPr="00CB05A8">
        <w:rPr>
          <w:shd w:val="clear" w:color="auto" w:fill="FFFFFF"/>
        </w:rPr>
        <w:t xml:space="preserve"> murder.</w:t>
      </w:r>
      <w:r w:rsidR="00846078" w:rsidRPr="00CB05A8">
        <w:rPr>
          <w:shd w:val="clear" w:color="auto" w:fill="FFFFFF"/>
        </w:rPr>
        <w:t xml:space="preserve">  </w:t>
      </w:r>
      <w:r w:rsidR="00BA37E5" w:rsidRPr="00CB05A8">
        <w:rPr>
          <w:shd w:val="clear" w:color="auto" w:fill="FFFFFF"/>
        </w:rPr>
        <w:t>But</w:t>
      </w:r>
      <w:r w:rsidR="00EF4223" w:rsidRPr="00CB05A8">
        <w:rPr>
          <w:shd w:val="clear" w:color="auto" w:fill="FFFFFF"/>
        </w:rPr>
        <w:t xml:space="preserve"> </w:t>
      </w:r>
      <w:r w:rsidR="00FB53CC" w:rsidRPr="00CB05A8">
        <w:rPr>
          <w:shd w:val="clear" w:color="auto" w:fill="FFFFFF"/>
        </w:rPr>
        <w:t xml:space="preserve">as the prosecution and trial court explained, </w:t>
      </w:r>
      <w:r w:rsidR="00EF4223" w:rsidRPr="00CB05A8">
        <w:rPr>
          <w:shd w:val="clear" w:color="auto" w:fill="FFFFFF"/>
        </w:rPr>
        <w:t>accident is not a defense to felony murder, and the proposed instruction risked confusing the jury by not making this distinction clear.</w:t>
      </w:r>
      <w:r w:rsidR="007C63B4" w:rsidRPr="00CB05A8">
        <w:rPr>
          <w:shd w:val="clear" w:color="auto" w:fill="FFFFFF"/>
        </w:rPr>
        <w:t xml:space="preserve">  </w:t>
      </w:r>
      <w:r w:rsidR="00743D0C" w:rsidRPr="00CB05A8">
        <w:rPr>
          <w:shd w:val="clear" w:color="auto" w:fill="FFFFFF"/>
        </w:rPr>
        <w:t>In that vein</w:t>
      </w:r>
      <w:r w:rsidR="0087341E" w:rsidRPr="00CB05A8">
        <w:rPr>
          <w:shd w:val="clear" w:color="auto" w:fill="FFFFFF"/>
        </w:rPr>
        <w:t>, to the extent</w:t>
      </w:r>
      <w:r w:rsidR="00D77DB0" w:rsidRPr="00CB05A8">
        <w:rPr>
          <w:shd w:val="clear" w:color="auto" w:fill="FFFFFF"/>
        </w:rPr>
        <w:t xml:space="preserve"> the</w:t>
      </w:r>
      <w:r w:rsidR="00E97A61" w:rsidRPr="00CB05A8">
        <w:rPr>
          <w:shd w:val="clear" w:color="auto" w:fill="FFFFFF"/>
        </w:rPr>
        <w:t xml:space="preserve"> </w:t>
      </w:r>
      <w:r w:rsidR="00820756" w:rsidRPr="00CB05A8">
        <w:rPr>
          <w:shd w:val="clear" w:color="auto" w:fill="FFFFFF"/>
        </w:rPr>
        <w:t xml:space="preserve">proposed </w:t>
      </w:r>
      <w:r w:rsidR="00E97A61" w:rsidRPr="00CB05A8">
        <w:rPr>
          <w:shd w:val="clear" w:color="auto" w:fill="FFFFFF"/>
        </w:rPr>
        <w:t xml:space="preserve">instruction </w:t>
      </w:r>
      <w:r w:rsidR="00D77DB0" w:rsidRPr="00CB05A8">
        <w:rPr>
          <w:shd w:val="clear" w:color="auto" w:fill="FFFFFF"/>
        </w:rPr>
        <w:t xml:space="preserve">purported to limit the jury </w:t>
      </w:r>
      <w:r w:rsidR="00A96A34" w:rsidRPr="00CB05A8">
        <w:rPr>
          <w:shd w:val="clear" w:color="auto" w:fill="FFFFFF"/>
        </w:rPr>
        <w:t xml:space="preserve">to </w:t>
      </w:r>
      <w:r w:rsidR="00820756" w:rsidRPr="00CB05A8">
        <w:rPr>
          <w:shd w:val="clear" w:color="auto" w:fill="FFFFFF"/>
        </w:rPr>
        <w:t xml:space="preserve">returning </w:t>
      </w:r>
      <w:r w:rsidR="00A96A34" w:rsidRPr="00CB05A8">
        <w:rPr>
          <w:shd w:val="clear" w:color="auto" w:fill="FFFFFF"/>
        </w:rPr>
        <w:t xml:space="preserve">a verdict of no more than second degree murder if it found the killing of Deputy Trejo was </w:t>
      </w:r>
      <w:r w:rsidR="00743D0C" w:rsidRPr="00CB05A8">
        <w:rPr>
          <w:shd w:val="clear" w:color="auto" w:fill="FFFFFF"/>
        </w:rPr>
        <w:t xml:space="preserve">accidental, it </w:t>
      </w:r>
      <w:r w:rsidR="00E97A61" w:rsidRPr="00CB05A8">
        <w:rPr>
          <w:shd w:val="clear" w:color="auto" w:fill="FFFFFF"/>
        </w:rPr>
        <w:t>also constituted an incorrect statement of law</w:t>
      </w:r>
      <w:r w:rsidR="00786649" w:rsidRPr="00CB05A8">
        <w:rPr>
          <w:shd w:val="clear" w:color="auto" w:fill="FFFFFF"/>
        </w:rPr>
        <w:t xml:space="preserve"> and the trial court properly refused to </w:t>
      </w:r>
      <w:r w:rsidR="00172816" w:rsidRPr="00CB05A8">
        <w:rPr>
          <w:shd w:val="clear" w:color="auto" w:fill="FFFFFF"/>
        </w:rPr>
        <w:t>give it</w:t>
      </w:r>
      <w:r w:rsidR="00743D0C" w:rsidRPr="00CB05A8">
        <w:rPr>
          <w:shd w:val="clear" w:color="auto" w:fill="FFFFFF"/>
        </w:rPr>
        <w:t xml:space="preserve">.  </w:t>
      </w:r>
      <w:r w:rsidR="00703B94" w:rsidRPr="00CB05A8">
        <w:rPr>
          <w:shd w:val="clear" w:color="auto" w:fill="FFFFFF"/>
        </w:rPr>
        <w:t>(</w:t>
      </w:r>
      <w:r w:rsidR="00655220" w:rsidRPr="00CB05A8">
        <w:rPr>
          <w:shd w:val="clear" w:color="auto" w:fill="FFFFFF"/>
        </w:rPr>
        <w:t xml:space="preserve">See </w:t>
      </w:r>
      <w:r w:rsidR="00703B94" w:rsidRPr="00CB05A8">
        <w:rPr>
          <w:i/>
          <w:shd w:val="clear" w:color="auto" w:fill="FFFFFF"/>
        </w:rPr>
        <w:t>Moon</w:t>
      </w:r>
      <w:r w:rsidR="00703B94" w:rsidRPr="00CB05A8">
        <w:rPr>
          <w:shd w:val="clear" w:color="auto" w:fill="FFFFFF"/>
        </w:rPr>
        <w:t xml:space="preserve">, </w:t>
      </w:r>
      <w:r w:rsidR="00703B94" w:rsidRPr="00CB05A8">
        <w:rPr>
          <w:i/>
          <w:shd w:val="clear" w:color="auto" w:fill="FFFFFF"/>
        </w:rPr>
        <w:t>supra</w:t>
      </w:r>
      <w:r w:rsidR="00703B94" w:rsidRPr="00CB05A8">
        <w:rPr>
          <w:shd w:val="clear" w:color="auto" w:fill="FFFFFF"/>
        </w:rPr>
        <w:t xml:space="preserve">, 37 Cal.4th at p. </w:t>
      </w:r>
      <w:r w:rsidR="00655220" w:rsidRPr="00CB05A8">
        <w:rPr>
          <w:shd w:val="clear" w:color="auto" w:fill="FFFFFF"/>
        </w:rPr>
        <w:t xml:space="preserve">31.)  </w:t>
      </w:r>
    </w:p>
    <w:p w14:paraId="487831F9" w14:textId="25050E43" w:rsidR="00B03341" w:rsidRPr="00CB05A8" w:rsidRDefault="00B56EA1" w:rsidP="00F105E8">
      <w:pPr>
        <w:pStyle w:val="NormalIndent"/>
        <w:ind w:left="0" w:firstLine="720"/>
        <w:rPr>
          <w:shd w:val="clear" w:color="auto" w:fill="FFFFFF"/>
        </w:rPr>
      </w:pPr>
      <w:r w:rsidRPr="00CB05A8">
        <w:rPr>
          <w:shd w:val="clear" w:color="auto" w:fill="FFFFFF"/>
        </w:rPr>
        <w:t xml:space="preserve">Furthermore, the point of the requested instruction was readily apparent to the jury from the remaining instructions.  </w:t>
      </w:r>
      <w:r w:rsidR="00BE7CAA" w:rsidRPr="00CB05A8">
        <w:rPr>
          <w:shd w:val="clear" w:color="auto" w:fill="FFFFFF"/>
        </w:rPr>
        <w:t xml:space="preserve">(See </w:t>
      </w:r>
      <w:r w:rsidR="00BE7CAA" w:rsidRPr="00CB05A8">
        <w:rPr>
          <w:i/>
          <w:shd w:val="clear" w:color="auto" w:fill="FFFFFF"/>
        </w:rPr>
        <w:t xml:space="preserve">People v. Bolden </w:t>
      </w:r>
      <w:r w:rsidR="00BE7CAA" w:rsidRPr="00CB05A8">
        <w:rPr>
          <w:shd w:val="clear" w:color="auto" w:fill="FFFFFF"/>
        </w:rPr>
        <w:t>(2002) 29 Cal.4th 515, 558–5</w:t>
      </w:r>
      <w:r w:rsidR="00522C83" w:rsidRPr="00CB05A8">
        <w:rPr>
          <w:shd w:val="clear" w:color="auto" w:fill="FFFFFF"/>
        </w:rPr>
        <w:t>5</w:t>
      </w:r>
      <w:r w:rsidR="00BE7CAA" w:rsidRPr="00CB05A8">
        <w:rPr>
          <w:shd w:val="clear" w:color="auto" w:fill="FFFFFF"/>
        </w:rPr>
        <w:t>9</w:t>
      </w:r>
      <w:r w:rsidR="00522C83" w:rsidRPr="00CB05A8">
        <w:rPr>
          <w:shd w:val="clear" w:color="auto" w:fill="FFFFFF"/>
        </w:rPr>
        <w:t xml:space="preserve"> </w:t>
      </w:r>
      <w:r w:rsidR="00DF5906" w:rsidRPr="00CB05A8">
        <w:rPr>
          <w:shd w:val="clear" w:color="auto" w:fill="FFFFFF"/>
        </w:rPr>
        <w:t>(</w:t>
      </w:r>
      <w:r w:rsidR="00DF5906" w:rsidRPr="00CB05A8">
        <w:rPr>
          <w:i/>
          <w:iCs/>
          <w:shd w:val="clear" w:color="auto" w:fill="FFFFFF"/>
        </w:rPr>
        <w:t>Bolden</w:t>
      </w:r>
      <w:r w:rsidR="00DF5906" w:rsidRPr="00CB05A8">
        <w:rPr>
          <w:shd w:val="clear" w:color="auto" w:fill="FFFFFF"/>
        </w:rPr>
        <w:t xml:space="preserve">) </w:t>
      </w:r>
      <w:r w:rsidR="00522C83" w:rsidRPr="00CB05A8">
        <w:rPr>
          <w:shd w:val="clear" w:color="auto" w:fill="FFFFFF"/>
        </w:rPr>
        <w:t>[</w:t>
      </w:r>
      <w:r w:rsidR="003814A7" w:rsidRPr="00CB05A8">
        <w:rPr>
          <w:shd w:val="clear" w:color="auto" w:fill="FFFFFF"/>
        </w:rPr>
        <w:t xml:space="preserve">“An instruction that does no more than affirm that the prosecution must prove a particular element of a charged offense beyond a reasonable doubt merely duplicates the standard instructions defining the charged </w:t>
      </w:r>
      <w:r w:rsidR="00A03E37" w:rsidRPr="00CB05A8">
        <w:rPr>
          <w:shd w:val="clear" w:color="auto" w:fill="FFFFFF"/>
        </w:rPr>
        <w:t>offense and explaining the prosecution’s burden to prove guilt beyond a reasonable doubt.</w:t>
      </w:r>
      <w:r w:rsidR="005243CE" w:rsidRPr="00CB05A8">
        <w:rPr>
          <w:shd w:val="clear" w:color="auto" w:fill="FFFFFF"/>
        </w:rPr>
        <w:t xml:space="preserve">  Accordingly, a trial court is required to give a requested instruction relating to the reasonable doubt standard of proof to a particular element of the crime charged only when the point of the instruction would not be readily apparent to the jury from the remaining instructions.”]</w:t>
      </w:r>
      <w:r w:rsidR="00BE7CAA" w:rsidRPr="00CB05A8">
        <w:rPr>
          <w:shd w:val="clear" w:color="auto" w:fill="FFFFFF"/>
        </w:rPr>
        <w:t xml:space="preserve">.)  </w:t>
      </w:r>
      <w:r w:rsidR="009E5242" w:rsidRPr="00CB05A8">
        <w:rPr>
          <w:shd w:val="clear" w:color="auto" w:fill="FFFFFF"/>
        </w:rPr>
        <w:t xml:space="preserve">The </w:t>
      </w:r>
      <w:r w:rsidR="007363AD" w:rsidRPr="00CB05A8">
        <w:rPr>
          <w:shd w:val="clear" w:color="auto" w:fill="FFFFFF"/>
        </w:rPr>
        <w:t>trial</w:t>
      </w:r>
      <w:r w:rsidR="00F65DE4" w:rsidRPr="00CB05A8">
        <w:rPr>
          <w:shd w:val="clear" w:color="auto" w:fill="FFFFFF"/>
        </w:rPr>
        <w:t xml:space="preserve"> court </w:t>
      </w:r>
      <w:r w:rsidR="00FD142E" w:rsidRPr="00CB05A8">
        <w:rPr>
          <w:shd w:val="clear" w:color="auto" w:fill="FFFFFF"/>
        </w:rPr>
        <w:t xml:space="preserve">properly </w:t>
      </w:r>
      <w:r w:rsidR="00F65DE4" w:rsidRPr="00CB05A8">
        <w:rPr>
          <w:shd w:val="clear" w:color="auto" w:fill="FFFFFF"/>
        </w:rPr>
        <w:t>instructed the jury on the dual theories of first degree murder</w:t>
      </w:r>
      <w:r w:rsidR="00026E5B" w:rsidRPr="00CB05A8">
        <w:rPr>
          <w:shd w:val="clear" w:color="auto" w:fill="FFFFFF"/>
        </w:rPr>
        <w:t xml:space="preserve">, </w:t>
      </w:r>
      <w:r w:rsidR="000642F3" w:rsidRPr="00CB05A8">
        <w:rPr>
          <w:shd w:val="clear" w:color="auto" w:fill="FFFFFF"/>
        </w:rPr>
        <w:t>stating</w:t>
      </w:r>
      <w:r w:rsidR="00C02569" w:rsidRPr="00CB05A8">
        <w:rPr>
          <w:shd w:val="clear" w:color="auto" w:fill="FFFFFF"/>
        </w:rPr>
        <w:t xml:space="preserve">:  </w:t>
      </w:r>
      <w:r w:rsidR="00DB4DD3" w:rsidRPr="00CB05A8">
        <w:rPr>
          <w:shd w:val="clear" w:color="auto" w:fill="FFFFFF"/>
        </w:rPr>
        <w:t>“</w:t>
      </w:r>
      <w:r w:rsidR="00C02569" w:rsidRPr="00CB05A8">
        <w:rPr>
          <w:shd w:val="clear" w:color="auto" w:fill="FFFFFF"/>
        </w:rPr>
        <w:t>There are two theories upon which a conviction of first degree murder can be based.  The first theory is the willful, premeditated, deliberate killing of a human being with malice aforethought.  The second theory is the killing of that human being during the</w:t>
      </w:r>
      <w:r w:rsidR="00013689" w:rsidRPr="00CB05A8">
        <w:rPr>
          <w:shd w:val="clear" w:color="auto" w:fill="FFFFFF"/>
        </w:rPr>
        <w:t xml:space="preserve"> </w:t>
      </w:r>
      <w:r w:rsidR="00C02569" w:rsidRPr="00CB05A8">
        <w:rPr>
          <w:shd w:val="clear" w:color="auto" w:fill="FFFFFF"/>
        </w:rPr>
        <w:t xml:space="preserve">commission of a robbery.  If you find that the evidence proves either one or both of these theories beyond a reasonable doubt, a verdict of guilty for first degree murder is appropriate. </w:t>
      </w:r>
      <w:r w:rsidR="004D0A5A" w:rsidRPr="00CB05A8">
        <w:rPr>
          <w:shd w:val="clear" w:color="auto" w:fill="FFFFFF"/>
        </w:rPr>
        <w:t xml:space="preserve"> [¶]  It is not necessary for jurors to agree upon which theory of first degree murder they based a guilty verdict.</w:t>
      </w:r>
      <w:r w:rsidR="00106D1B" w:rsidRPr="00CB05A8">
        <w:rPr>
          <w:shd w:val="clear" w:color="auto" w:fill="FFFFFF"/>
        </w:rPr>
        <w:t xml:space="preserve">”  </w:t>
      </w:r>
      <w:r w:rsidR="0073454E" w:rsidRPr="00CB05A8">
        <w:rPr>
          <w:shd w:val="clear" w:color="auto" w:fill="FFFFFF"/>
        </w:rPr>
        <w:t xml:space="preserve">  </w:t>
      </w:r>
    </w:p>
    <w:p w14:paraId="6A6859ED" w14:textId="71961251" w:rsidR="007F2918" w:rsidRPr="00CB05A8" w:rsidRDefault="0073454E" w:rsidP="00F105E8">
      <w:pPr>
        <w:pStyle w:val="NormalIndent"/>
        <w:ind w:left="0" w:firstLine="720"/>
        <w:rPr>
          <w:shd w:val="clear" w:color="auto" w:fill="FFFFFF"/>
        </w:rPr>
      </w:pPr>
      <w:r w:rsidRPr="00CB05A8">
        <w:rPr>
          <w:shd w:val="clear" w:color="auto" w:fill="FFFFFF"/>
        </w:rPr>
        <w:t xml:space="preserve">The court </w:t>
      </w:r>
      <w:r w:rsidR="00223A6B" w:rsidRPr="00CB05A8">
        <w:rPr>
          <w:shd w:val="clear" w:color="auto" w:fill="FFFFFF"/>
        </w:rPr>
        <w:t xml:space="preserve">also </w:t>
      </w:r>
      <w:r w:rsidR="003F35C5" w:rsidRPr="00CB05A8">
        <w:rPr>
          <w:shd w:val="clear" w:color="auto" w:fill="FFFFFF"/>
        </w:rPr>
        <w:t>defined the terms “willful, deliberate, and premedi</w:t>
      </w:r>
      <w:r w:rsidR="00C32881" w:rsidRPr="00CB05A8">
        <w:rPr>
          <w:shd w:val="clear" w:color="auto" w:fill="FFFFFF"/>
        </w:rPr>
        <w:t>t</w:t>
      </w:r>
      <w:r w:rsidR="003F35C5" w:rsidRPr="00CB05A8">
        <w:rPr>
          <w:shd w:val="clear" w:color="auto" w:fill="FFFFFF"/>
        </w:rPr>
        <w:t>ated,”</w:t>
      </w:r>
      <w:r w:rsidR="00026E5B" w:rsidRPr="00CB05A8">
        <w:rPr>
          <w:shd w:val="clear" w:color="auto" w:fill="FFFFFF"/>
        </w:rPr>
        <w:t xml:space="preserve"> </w:t>
      </w:r>
      <w:r w:rsidR="00DA2A07" w:rsidRPr="00CB05A8">
        <w:rPr>
          <w:shd w:val="clear" w:color="auto" w:fill="FFFFFF"/>
        </w:rPr>
        <w:t>making</w:t>
      </w:r>
      <w:r w:rsidR="007717FD" w:rsidRPr="00CB05A8">
        <w:rPr>
          <w:shd w:val="clear" w:color="auto" w:fill="FFFFFF"/>
        </w:rPr>
        <w:t xml:space="preserve"> </w:t>
      </w:r>
      <w:r w:rsidR="00C32881" w:rsidRPr="00CB05A8">
        <w:rPr>
          <w:shd w:val="clear" w:color="auto" w:fill="FFFFFF"/>
        </w:rPr>
        <w:t xml:space="preserve">clear </w:t>
      </w:r>
      <w:r w:rsidR="007717FD" w:rsidRPr="00CB05A8">
        <w:rPr>
          <w:shd w:val="clear" w:color="auto" w:fill="FFFFFF"/>
        </w:rPr>
        <w:t xml:space="preserve">that an accidental killing would not </w:t>
      </w:r>
      <w:r w:rsidR="00D31684" w:rsidRPr="00CB05A8">
        <w:rPr>
          <w:shd w:val="clear" w:color="auto" w:fill="FFFFFF"/>
        </w:rPr>
        <w:t>satisfy this theory of first degree</w:t>
      </w:r>
      <w:r w:rsidR="007717FD" w:rsidRPr="00CB05A8">
        <w:rPr>
          <w:shd w:val="clear" w:color="auto" w:fill="FFFFFF"/>
        </w:rPr>
        <w:t xml:space="preserve"> murder.  It </w:t>
      </w:r>
      <w:r w:rsidR="001253A9" w:rsidRPr="00CB05A8">
        <w:rPr>
          <w:shd w:val="clear" w:color="auto" w:fill="FFFFFF"/>
        </w:rPr>
        <w:t>further</w:t>
      </w:r>
      <w:r w:rsidR="0011460C" w:rsidRPr="00CB05A8">
        <w:rPr>
          <w:shd w:val="clear" w:color="auto" w:fill="FFFFFF"/>
        </w:rPr>
        <w:t xml:space="preserve"> </w:t>
      </w:r>
      <w:r w:rsidR="00FD142E" w:rsidRPr="00CB05A8">
        <w:rPr>
          <w:shd w:val="clear" w:color="auto" w:fill="FFFFFF"/>
        </w:rPr>
        <w:t xml:space="preserve">informed the jury that </w:t>
      </w:r>
      <w:r w:rsidR="00D47E58" w:rsidRPr="00CB05A8">
        <w:rPr>
          <w:shd w:val="clear" w:color="auto" w:fill="FFFFFF"/>
        </w:rPr>
        <w:t xml:space="preserve">an unintentional or accidental killing </w:t>
      </w:r>
      <w:r w:rsidR="002306CC" w:rsidRPr="00CB05A8">
        <w:rPr>
          <w:shd w:val="clear" w:color="auto" w:fill="FFFFFF"/>
        </w:rPr>
        <w:t xml:space="preserve">that occurs during the commission of a robbery </w:t>
      </w:r>
      <w:r w:rsidR="00DA2A07" w:rsidRPr="00CB05A8">
        <w:rPr>
          <w:shd w:val="clear" w:color="auto" w:fill="FFFFFF"/>
        </w:rPr>
        <w:t>would satisfy</w:t>
      </w:r>
      <w:r w:rsidR="00D47E58" w:rsidRPr="00CB05A8">
        <w:rPr>
          <w:shd w:val="clear" w:color="auto" w:fill="FFFFFF"/>
        </w:rPr>
        <w:t xml:space="preserve"> </w:t>
      </w:r>
      <w:r w:rsidR="002306CC" w:rsidRPr="00CB05A8">
        <w:rPr>
          <w:shd w:val="clear" w:color="auto" w:fill="FFFFFF"/>
        </w:rPr>
        <w:t>the</w:t>
      </w:r>
      <w:r w:rsidR="00D47E58" w:rsidRPr="00CB05A8">
        <w:rPr>
          <w:shd w:val="clear" w:color="auto" w:fill="FFFFFF"/>
        </w:rPr>
        <w:t xml:space="preserve"> felony murder</w:t>
      </w:r>
      <w:r w:rsidR="00DA2A07" w:rsidRPr="00CB05A8">
        <w:rPr>
          <w:shd w:val="clear" w:color="auto" w:fill="FFFFFF"/>
        </w:rPr>
        <w:t xml:space="preserve"> theory of first degree murder</w:t>
      </w:r>
      <w:r w:rsidR="002171E7" w:rsidRPr="00CB05A8">
        <w:rPr>
          <w:shd w:val="clear" w:color="auto" w:fill="FFFFFF"/>
        </w:rPr>
        <w:t xml:space="preserve"> if the perpetrator intended to commit the robbery</w:t>
      </w:r>
      <w:r w:rsidR="00FD142E" w:rsidRPr="00CB05A8">
        <w:rPr>
          <w:shd w:val="clear" w:color="auto" w:fill="FFFFFF"/>
        </w:rPr>
        <w:t>.</w:t>
      </w:r>
      <w:r w:rsidR="00D47E58" w:rsidRPr="00CB05A8">
        <w:rPr>
          <w:shd w:val="clear" w:color="auto" w:fill="FFFFFF"/>
        </w:rPr>
        <w:t xml:space="preserve">  </w:t>
      </w:r>
      <w:r w:rsidR="001902B0" w:rsidRPr="00CB05A8">
        <w:rPr>
          <w:shd w:val="clear" w:color="auto" w:fill="FFFFFF"/>
        </w:rPr>
        <w:t xml:space="preserve">The court </w:t>
      </w:r>
      <w:r w:rsidR="00F3599B" w:rsidRPr="00CB05A8">
        <w:rPr>
          <w:shd w:val="clear" w:color="auto" w:fill="FFFFFF"/>
        </w:rPr>
        <w:t>also</w:t>
      </w:r>
      <w:r w:rsidR="00EE4E19" w:rsidRPr="00CB05A8">
        <w:rPr>
          <w:shd w:val="clear" w:color="auto" w:fill="FFFFFF"/>
        </w:rPr>
        <w:t xml:space="preserve"> </w:t>
      </w:r>
      <w:r w:rsidR="001A5849" w:rsidRPr="00CB05A8">
        <w:rPr>
          <w:shd w:val="clear" w:color="auto" w:fill="FFFFFF"/>
        </w:rPr>
        <w:t xml:space="preserve">informed the jury that if it was not satisfied beyond a reasonable </w:t>
      </w:r>
      <w:r w:rsidR="00EE4E19" w:rsidRPr="00CB05A8">
        <w:rPr>
          <w:shd w:val="clear" w:color="auto" w:fill="FFFFFF"/>
        </w:rPr>
        <w:t>doubt</w:t>
      </w:r>
      <w:r w:rsidR="001A5849" w:rsidRPr="00CB05A8">
        <w:rPr>
          <w:shd w:val="clear" w:color="auto" w:fill="FFFFFF"/>
        </w:rPr>
        <w:t xml:space="preserve"> that defendant </w:t>
      </w:r>
      <w:r w:rsidR="001D067E" w:rsidRPr="00CB05A8">
        <w:rPr>
          <w:shd w:val="clear" w:color="auto" w:fill="FFFFFF"/>
        </w:rPr>
        <w:t>wa</w:t>
      </w:r>
      <w:r w:rsidR="001A5849" w:rsidRPr="00CB05A8">
        <w:rPr>
          <w:shd w:val="clear" w:color="auto" w:fill="FFFFFF"/>
        </w:rPr>
        <w:t xml:space="preserve">s guilty of the </w:t>
      </w:r>
      <w:r w:rsidR="001D067E" w:rsidRPr="00CB05A8">
        <w:rPr>
          <w:shd w:val="clear" w:color="auto" w:fill="FFFFFF"/>
        </w:rPr>
        <w:t>c</w:t>
      </w:r>
      <w:r w:rsidR="001A5849" w:rsidRPr="00CB05A8">
        <w:rPr>
          <w:shd w:val="clear" w:color="auto" w:fill="FFFFFF"/>
        </w:rPr>
        <w:t>rime of first degree mu</w:t>
      </w:r>
      <w:r w:rsidR="001D067E" w:rsidRPr="00CB05A8">
        <w:rPr>
          <w:shd w:val="clear" w:color="auto" w:fill="FFFFFF"/>
        </w:rPr>
        <w:t>r</w:t>
      </w:r>
      <w:r w:rsidR="001A5849" w:rsidRPr="00CB05A8">
        <w:rPr>
          <w:shd w:val="clear" w:color="auto" w:fill="FFFFFF"/>
        </w:rPr>
        <w:t>der as char</w:t>
      </w:r>
      <w:r w:rsidR="001D067E" w:rsidRPr="00CB05A8">
        <w:rPr>
          <w:shd w:val="clear" w:color="auto" w:fill="FFFFFF"/>
        </w:rPr>
        <w:t xml:space="preserve">ged in </w:t>
      </w:r>
      <w:r w:rsidR="00FE76B9" w:rsidRPr="00CB05A8">
        <w:rPr>
          <w:shd w:val="clear" w:color="auto" w:fill="FFFFFF"/>
        </w:rPr>
        <w:t>c</w:t>
      </w:r>
      <w:r w:rsidR="001D067E" w:rsidRPr="00CB05A8">
        <w:rPr>
          <w:shd w:val="clear" w:color="auto" w:fill="FFFFFF"/>
        </w:rPr>
        <w:t xml:space="preserve">ount </w:t>
      </w:r>
      <w:r w:rsidR="00FE76B9" w:rsidRPr="00CB05A8">
        <w:rPr>
          <w:shd w:val="clear" w:color="auto" w:fill="FFFFFF"/>
        </w:rPr>
        <w:t>one</w:t>
      </w:r>
      <w:r w:rsidR="001D067E" w:rsidRPr="00CB05A8">
        <w:rPr>
          <w:shd w:val="clear" w:color="auto" w:fill="FFFFFF"/>
        </w:rPr>
        <w:t>, it could convict him of any lesser crime prove</w:t>
      </w:r>
      <w:r w:rsidR="0088506D" w:rsidRPr="00CB05A8">
        <w:rPr>
          <w:shd w:val="clear" w:color="auto" w:fill="FFFFFF"/>
        </w:rPr>
        <w:t>d</w:t>
      </w:r>
      <w:r w:rsidR="001D067E" w:rsidRPr="00CB05A8">
        <w:rPr>
          <w:shd w:val="clear" w:color="auto" w:fill="FFFFFF"/>
        </w:rPr>
        <w:t xml:space="preserve"> beyond a reasonable doubt.</w:t>
      </w:r>
      <w:r w:rsidR="001A53C8" w:rsidRPr="00CB05A8">
        <w:rPr>
          <w:shd w:val="clear" w:color="auto" w:fill="FFFFFF"/>
        </w:rPr>
        <w:t xml:space="preserve"> </w:t>
      </w:r>
      <w:r w:rsidR="001D067E" w:rsidRPr="00CB05A8">
        <w:rPr>
          <w:shd w:val="clear" w:color="auto" w:fill="FFFFFF"/>
        </w:rPr>
        <w:t xml:space="preserve"> </w:t>
      </w:r>
      <w:r w:rsidR="00600D0A">
        <w:rPr>
          <w:shd w:val="clear" w:color="auto" w:fill="FFFFFF"/>
        </w:rPr>
        <w:t>“</w:t>
      </w:r>
      <w:r w:rsidR="00E60FE6" w:rsidRPr="00CB05A8">
        <w:rPr>
          <w:shd w:val="clear" w:color="auto" w:fill="FFFFFF"/>
        </w:rPr>
        <w:t>Here</w:t>
      </w:r>
      <w:r w:rsidR="00600D0A">
        <w:rPr>
          <w:shd w:val="clear" w:color="auto" w:fill="FFFFFF"/>
        </w:rPr>
        <w:t>,</w:t>
      </w:r>
      <w:r w:rsidR="00E60FE6" w:rsidRPr="00CB05A8">
        <w:rPr>
          <w:shd w:val="clear" w:color="auto" w:fill="FFFFFF"/>
        </w:rPr>
        <w:t xml:space="preserve"> </w:t>
      </w:r>
      <w:r w:rsidR="0043057A" w:rsidRPr="00CB05A8">
        <w:rPr>
          <w:shd w:val="clear" w:color="auto" w:fill="FFFFFF"/>
        </w:rPr>
        <w:t>the jury received accurate and complete instructions</w:t>
      </w:r>
      <w:r w:rsidR="00BB63FD" w:rsidRPr="00CB05A8">
        <w:rPr>
          <w:shd w:val="clear" w:color="auto" w:fill="FFFFFF"/>
        </w:rPr>
        <w:t>”</w:t>
      </w:r>
      <w:r w:rsidR="0043057A" w:rsidRPr="00CB05A8">
        <w:rPr>
          <w:shd w:val="clear" w:color="auto" w:fill="FFFFFF"/>
        </w:rPr>
        <w:t xml:space="preserve"> </w:t>
      </w:r>
      <w:r w:rsidR="00D22998" w:rsidRPr="00CB05A8">
        <w:rPr>
          <w:shd w:val="clear" w:color="auto" w:fill="FFFFFF"/>
        </w:rPr>
        <w:t xml:space="preserve">concerning </w:t>
      </w:r>
      <w:r w:rsidR="0043057A" w:rsidRPr="00CB05A8">
        <w:rPr>
          <w:shd w:val="clear" w:color="auto" w:fill="FFFFFF"/>
        </w:rPr>
        <w:t xml:space="preserve">the </w:t>
      </w:r>
      <w:r w:rsidR="00074CF3" w:rsidRPr="00CB05A8">
        <w:rPr>
          <w:shd w:val="clear" w:color="auto" w:fill="FFFFFF"/>
        </w:rPr>
        <w:t xml:space="preserve">specific intent required for </w:t>
      </w:r>
      <w:r w:rsidR="00163EB7" w:rsidRPr="00CB05A8">
        <w:rPr>
          <w:shd w:val="clear" w:color="auto" w:fill="FFFFFF"/>
        </w:rPr>
        <w:t>the premedi</w:t>
      </w:r>
      <w:r w:rsidR="00C32881" w:rsidRPr="00CB05A8">
        <w:rPr>
          <w:shd w:val="clear" w:color="auto" w:fill="FFFFFF"/>
        </w:rPr>
        <w:t>t</w:t>
      </w:r>
      <w:r w:rsidR="00545A6F" w:rsidRPr="00CB05A8">
        <w:rPr>
          <w:shd w:val="clear" w:color="auto" w:fill="FFFFFF"/>
        </w:rPr>
        <w:t>ated first degree murder theory</w:t>
      </w:r>
      <w:r w:rsidR="00BB63FD" w:rsidRPr="00CB05A8">
        <w:rPr>
          <w:shd w:val="clear" w:color="auto" w:fill="FFFFFF"/>
        </w:rPr>
        <w:t>,</w:t>
      </w:r>
      <w:r w:rsidR="00545A6F" w:rsidRPr="00CB05A8">
        <w:rPr>
          <w:shd w:val="clear" w:color="auto" w:fill="FFFFFF"/>
        </w:rPr>
        <w:t xml:space="preserve"> and </w:t>
      </w:r>
      <w:r w:rsidR="00BB63FD" w:rsidRPr="00CB05A8">
        <w:rPr>
          <w:shd w:val="clear" w:color="auto" w:fill="FFFFFF"/>
        </w:rPr>
        <w:t>“</w:t>
      </w:r>
      <w:r w:rsidR="00545A6F" w:rsidRPr="00CB05A8">
        <w:rPr>
          <w:shd w:val="clear" w:color="auto" w:fill="FFFFFF"/>
        </w:rPr>
        <w:t xml:space="preserve">nothing in the particular circumstances </w:t>
      </w:r>
      <w:r w:rsidR="00C60D77" w:rsidRPr="00CB05A8">
        <w:rPr>
          <w:shd w:val="clear" w:color="auto" w:fill="FFFFFF"/>
        </w:rPr>
        <w:t xml:space="preserve">of this case </w:t>
      </w:r>
      <w:r w:rsidR="00545A6F" w:rsidRPr="00CB05A8">
        <w:rPr>
          <w:shd w:val="clear" w:color="auto" w:fill="FFFFFF"/>
        </w:rPr>
        <w:t>suggested a need for additional clarification</w:t>
      </w:r>
      <w:r w:rsidR="004C5147" w:rsidRPr="00CB05A8">
        <w:rPr>
          <w:shd w:val="clear" w:color="auto" w:fill="FFFFFF"/>
        </w:rPr>
        <w:t>.</w:t>
      </w:r>
      <w:r w:rsidR="00BB63FD" w:rsidRPr="00CB05A8">
        <w:rPr>
          <w:shd w:val="clear" w:color="auto" w:fill="FFFFFF"/>
        </w:rPr>
        <w:t xml:space="preserve">” </w:t>
      </w:r>
      <w:r w:rsidR="004C5147" w:rsidRPr="00CB05A8">
        <w:rPr>
          <w:shd w:val="clear" w:color="auto" w:fill="FFFFFF"/>
        </w:rPr>
        <w:t xml:space="preserve"> </w:t>
      </w:r>
      <w:r w:rsidR="00B156BF" w:rsidRPr="00CB05A8">
        <w:rPr>
          <w:shd w:val="clear" w:color="auto" w:fill="FFFFFF"/>
        </w:rPr>
        <w:t>(</w:t>
      </w:r>
      <w:r w:rsidR="00B156BF" w:rsidRPr="00CB05A8">
        <w:rPr>
          <w:i/>
          <w:shd w:val="clear" w:color="auto" w:fill="FFFFFF"/>
        </w:rPr>
        <w:t>Bolden</w:t>
      </w:r>
      <w:r w:rsidR="00B156BF" w:rsidRPr="00CB05A8">
        <w:rPr>
          <w:shd w:val="clear" w:color="auto" w:fill="FFFFFF"/>
        </w:rPr>
        <w:t xml:space="preserve">, </w:t>
      </w:r>
      <w:r w:rsidR="00B156BF" w:rsidRPr="00CB05A8">
        <w:rPr>
          <w:i/>
          <w:iCs/>
          <w:shd w:val="clear" w:color="auto" w:fill="FFFFFF"/>
        </w:rPr>
        <w:t>supra</w:t>
      </w:r>
      <w:r w:rsidR="00B156BF" w:rsidRPr="00CB05A8">
        <w:rPr>
          <w:shd w:val="clear" w:color="auto" w:fill="FFFFFF"/>
        </w:rPr>
        <w:t>, 29 Cal.4th</w:t>
      </w:r>
      <w:r w:rsidR="00B156BF" w:rsidRPr="00CB05A8">
        <w:rPr>
          <w:i/>
          <w:iCs/>
          <w:shd w:val="clear" w:color="auto" w:fill="FFFFFF"/>
        </w:rPr>
        <w:t xml:space="preserve"> </w:t>
      </w:r>
      <w:r w:rsidR="00B156BF" w:rsidRPr="00CB05A8">
        <w:rPr>
          <w:shd w:val="clear" w:color="auto" w:fill="FFFFFF"/>
        </w:rPr>
        <w:t>at p.</w:t>
      </w:r>
      <w:r w:rsidR="00B156BF">
        <w:rPr>
          <w:shd w:val="clear" w:color="auto" w:fill="FFFFFF"/>
        </w:rPr>
        <w:t> </w:t>
      </w:r>
      <w:r w:rsidR="00B156BF" w:rsidRPr="00CB05A8">
        <w:rPr>
          <w:shd w:val="clear" w:color="auto" w:fill="FFFFFF"/>
        </w:rPr>
        <w:t>559.)</w:t>
      </w:r>
      <w:r w:rsidR="00B156BF">
        <w:rPr>
          <w:shd w:val="clear" w:color="auto" w:fill="FFFFFF"/>
        </w:rPr>
        <w:t xml:space="preserve">  </w:t>
      </w:r>
      <w:r w:rsidR="004C5147" w:rsidRPr="00CB05A8">
        <w:rPr>
          <w:shd w:val="clear" w:color="auto" w:fill="FFFFFF"/>
        </w:rPr>
        <w:t xml:space="preserve">Accordingly, </w:t>
      </w:r>
      <w:r w:rsidR="00D853C1" w:rsidRPr="00CB05A8">
        <w:rPr>
          <w:shd w:val="clear" w:color="auto" w:fill="FFFFFF"/>
        </w:rPr>
        <w:t xml:space="preserve">and because the proposed </w:t>
      </w:r>
      <w:r w:rsidR="00A8093F" w:rsidRPr="00CB05A8">
        <w:rPr>
          <w:shd w:val="clear" w:color="auto" w:fill="FFFFFF"/>
        </w:rPr>
        <w:t xml:space="preserve">instruction </w:t>
      </w:r>
      <w:r w:rsidR="00B76C39" w:rsidRPr="00CB05A8">
        <w:rPr>
          <w:shd w:val="clear" w:color="auto" w:fill="FFFFFF"/>
        </w:rPr>
        <w:t xml:space="preserve">was </w:t>
      </w:r>
      <w:r w:rsidR="000D49CB" w:rsidRPr="00CB05A8">
        <w:rPr>
          <w:shd w:val="clear" w:color="auto" w:fill="FFFFFF"/>
        </w:rPr>
        <w:t>both misleading and incorrect on the law</w:t>
      </w:r>
      <w:r w:rsidR="00A8093F" w:rsidRPr="00CB05A8">
        <w:rPr>
          <w:shd w:val="clear" w:color="auto" w:fill="FFFFFF"/>
        </w:rPr>
        <w:t xml:space="preserve">, </w:t>
      </w:r>
      <w:r w:rsidR="00BB63FD" w:rsidRPr="00CB05A8">
        <w:rPr>
          <w:shd w:val="clear" w:color="auto" w:fill="FFFFFF"/>
        </w:rPr>
        <w:t xml:space="preserve">we conclude </w:t>
      </w:r>
      <w:r w:rsidR="00B912C1" w:rsidRPr="00CB05A8">
        <w:rPr>
          <w:shd w:val="clear" w:color="auto" w:fill="FFFFFF"/>
        </w:rPr>
        <w:t>“[t]he trial court did not error in refusing to give this requested pinpoint instruction</w:t>
      </w:r>
      <w:r w:rsidR="00545A6F" w:rsidRPr="00CB05A8">
        <w:rPr>
          <w:shd w:val="clear" w:color="auto" w:fill="FFFFFF"/>
        </w:rPr>
        <w:t>.</w:t>
      </w:r>
      <w:r w:rsidR="00B912C1" w:rsidRPr="00CB05A8">
        <w:rPr>
          <w:shd w:val="clear" w:color="auto" w:fill="FFFFFF"/>
        </w:rPr>
        <w:t xml:space="preserve">”  </w:t>
      </w:r>
      <w:r w:rsidR="00B156BF">
        <w:rPr>
          <w:shd w:val="clear" w:color="auto" w:fill="FFFFFF"/>
        </w:rPr>
        <w:t>(</w:t>
      </w:r>
      <w:r w:rsidR="00B156BF">
        <w:rPr>
          <w:i/>
          <w:iCs/>
          <w:shd w:val="clear" w:color="auto" w:fill="FFFFFF"/>
        </w:rPr>
        <w:t>Ibid.</w:t>
      </w:r>
      <w:r w:rsidR="00B156BF">
        <w:rPr>
          <w:shd w:val="clear" w:color="auto" w:fill="FFFFFF"/>
        </w:rPr>
        <w:t>)</w:t>
      </w:r>
      <w:r w:rsidR="00074CF3" w:rsidRPr="00CB05A8">
        <w:rPr>
          <w:shd w:val="clear" w:color="auto" w:fill="FFFFFF"/>
        </w:rPr>
        <w:t xml:space="preserve"> </w:t>
      </w:r>
      <w:r w:rsidR="0043057A" w:rsidRPr="00CB05A8">
        <w:rPr>
          <w:shd w:val="clear" w:color="auto" w:fill="FFFFFF"/>
        </w:rPr>
        <w:t xml:space="preserve"> </w:t>
      </w:r>
    </w:p>
    <w:p w14:paraId="73E3DC6A" w14:textId="350CC291" w:rsidR="003D7A62" w:rsidRPr="00CB05A8" w:rsidRDefault="004166C9" w:rsidP="00F105E8">
      <w:pPr>
        <w:pStyle w:val="Heading4"/>
        <w:numPr>
          <w:ilvl w:val="0"/>
          <w:numId w:val="36"/>
        </w:numPr>
        <w:ind w:left="2016" w:hanging="432"/>
        <w:rPr>
          <w:shd w:val="clear" w:color="auto" w:fill="FFFFFF"/>
        </w:rPr>
      </w:pPr>
      <w:r w:rsidRPr="00CB05A8">
        <w:t xml:space="preserve"> </w:t>
      </w:r>
      <w:bookmarkStart w:id="51" w:name="_Toc58918804"/>
      <w:r w:rsidRPr="00CB05A8">
        <w:t>R</w:t>
      </w:r>
      <w:r w:rsidR="00843BC4" w:rsidRPr="00CB05A8">
        <w:t xml:space="preserve">equested accident instruction relating to </w:t>
      </w:r>
      <w:r w:rsidRPr="00CB05A8">
        <w:t>robbery</w:t>
      </w:r>
      <w:r w:rsidR="005526A2" w:rsidRPr="00CB05A8">
        <w:t>-</w:t>
      </w:r>
      <w:r w:rsidR="00843BC4" w:rsidRPr="00CB05A8">
        <w:t>murder special circumstance</w:t>
      </w:r>
      <w:r w:rsidR="00113B41" w:rsidRPr="00CB05A8">
        <w:t xml:space="preserve"> </w:t>
      </w:r>
      <w:bookmarkEnd w:id="51"/>
    </w:p>
    <w:p w14:paraId="042670DE" w14:textId="76C09B8A" w:rsidR="0080302F" w:rsidRPr="00CB05A8" w:rsidRDefault="0080302F" w:rsidP="00F105E8">
      <w:pPr>
        <w:pStyle w:val="NormalIndent"/>
        <w:ind w:left="0" w:firstLine="720"/>
        <w:rPr>
          <w:shd w:val="clear" w:color="auto" w:fill="FFFFFF"/>
        </w:rPr>
      </w:pPr>
      <w:r w:rsidRPr="00CB05A8">
        <w:rPr>
          <w:shd w:val="clear" w:color="auto" w:fill="FFFFFF"/>
        </w:rPr>
        <w:t xml:space="preserve">Defendant </w:t>
      </w:r>
      <w:r w:rsidR="00B50148" w:rsidRPr="00CB05A8">
        <w:rPr>
          <w:shd w:val="clear" w:color="auto" w:fill="FFFFFF"/>
        </w:rPr>
        <w:t>also requested</w:t>
      </w:r>
      <w:r w:rsidR="00843B35" w:rsidRPr="00CB05A8">
        <w:rPr>
          <w:shd w:val="clear" w:color="auto" w:fill="FFFFFF"/>
        </w:rPr>
        <w:t xml:space="preserve"> </w:t>
      </w:r>
      <w:r w:rsidR="00511983" w:rsidRPr="00CB05A8">
        <w:rPr>
          <w:shd w:val="clear" w:color="auto" w:fill="FFFFFF"/>
        </w:rPr>
        <w:t xml:space="preserve">a </w:t>
      </w:r>
      <w:r w:rsidR="00843B35" w:rsidRPr="00CB05A8">
        <w:rPr>
          <w:shd w:val="clear" w:color="auto" w:fill="FFFFFF"/>
        </w:rPr>
        <w:t xml:space="preserve">pinpoint instruction </w:t>
      </w:r>
      <w:r w:rsidR="00C8460B" w:rsidRPr="00CB05A8">
        <w:rPr>
          <w:shd w:val="clear" w:color="auto" w:fill="FFFFFF"/>
        </w:rPr>
        <w:t xml:space="preserve">regarding </w:t>
      </w:r>
      <w:r w:rsidR="00843B35" w:rsidRPr="00CB05A8">
        <w:rPr>
          <w:shd w:val="clear" w:color="auto" w:fill="FFFFFF"/>
        </w:rPr>
        <w:t xml:space="preserve">accident </w:t>
      </w:r>
      <w:r w:rsidR="00B50148" w:rsidRPr="00CB05A8">
        <w:rPr>
          <w:shd w:val="clear" w:color="auto" w:fill="FFFFFF"/>
        </w:rPr>
        <w:t xml:space="preserve">as </w:t>
      </w:r>
      <w:r w:rsidR="002F32B7" w:rsidRPr="00CB05A8">
        <w:rPr>
          <w:shd w:val="clear" w:color="auto" w:fill="FFFFFF"/>
        </w:rPr>
        <w:t>a defense</w:t>
      </w:r>
      <w:r w:rsidR="00843B35" w:rsidRPr="00CB05A8">
        <w:rPr>
          <w:shd w:val="clear" w:color="auto" w:fill="FFFFFF"/>
        </w:rPr>
        <w:t xml:space="preserve"> to the </w:t>
      </w:r>
      <w:r w:rsidR="00A64B1B" w:rsidRPr="00CB05A8">
        <w:rPr>
          <w:shd w:val="clear" w:color="auto" w:fill="FFFFFF"/>
        </w:rPr>
        <w:t>robbery</w:t>
      </w:r>
      <w:r w:rsidR="005526A2" w:rsidRPr="00CB05A8">
        <w:rPr>
          <w:shd w:val="clear" w:color="auto" w:fill="FFFFFF"/>
        </w:rPr>
        <w:t>-</w:t>
      </w:r>
      <w:r w:rsidR="00843B35" w:rsidRPr="00CB05A8">
        <w:rPr>
          <w:shd w:val="clear" w:color="auto" w:fill="FFFFFF"/>
        </w:rPr>
        <w:t xml:space="preserve">murder special circumstance.  </w:t>
      </w:r>
      <w:r w:rsidR="00AC7413" w:rsidRPr="00CB05A8">
        <w:rPr>
          <w:shd w:val="clear" w:color="auto" w:fill="FFFFFF"/>
        </w:rPr>
        <w:t>He</w:t>
      </w:r>
      <w:r w:rsidR="00D71F0E" w:rsidRPr="00CB05A8">
        <w:rPr>
          <w:shd w:val="clear" w:color="auto" w:fill="FFFFFF"/>
        </w:rPr>
        <w:t xml:space="preserve"> </w:t>
      </w:r>
      <w:r w:rsidR="001A0DB4" w:rsidRPr="00CB05A8">
        <w:rPr>
          <w:shd w:val="clear" w:color="auto" w:fill="FFFFFF"/>
        </w:rPr>
        <w:t xml:space="preserve">proposed </w:t>
      </w:r>
      <w:r w:rsidR="00C84904" w:rsidRPr="00CB05A8">
        <w:rPr>
          <w:shd w:val="clear" w:color="auto" w:fill="FFFFFF"/>
        </w:rPr>
        <w:t>add</w:t>
      </w:r>
      <w:r w:rsidR="000B58E6" w:rsidRPr="00CB05A8">
        <w:rPr>
          <w:shd w:val="clear" w:color="auto" w:fill="FFFFFF"/>
        </w:rPr>
        <w:t>ing</w:t>
      </w:r>
      <w:r w:rsidR="00C84904" w:rsidRPr="00CB05A8">
        <w:rPr>
          <w:shd w:val="clear" w:color="auto" w:fill="FFFFFF"/>
        </w:rPr>
        <w:t xml:space="preserve"> language to </w:t>
      </w:r>
      <w:r w:rsidR="00125871" w:rsidRPr="00CB05A8">
        <w:rPr>
          <w:shd w:val="clear" w:color="auto" w:fill="FFFFFF"/>
        </w:rPr>
        <w:t xml:space="preserve">the </w:t>
      </w:r>
      <w:r w:rsidR="00213C25" w:rsidRPr="00CB05A8">
        <w:rPr>
          <w:shd w:val="clear" w:color="auto" w:fill="FFFFFF"/>
        </w:rPr>
        <w:t>robbery-murder special</w:t>
      </w:r>
      <w:r w:rsidR="00F21392">
        <w:rPr>
          <w:shd w:val="clear" w:color="auto" w:fill="FFFFFF"/>
        </w:rPr>
        <w:t>-</w:t>
      </w:r>
      <w:r w:rsidR="00213C25" w:rsidRPr="00CB05A8">
        <w:rPr>
          <w:shd w:val="clear" w:color="auto" w:fill="FFFFFF"/>
        </w:rPr>
        <w:t xml:space="preserve">circumstance instruction to make clear that </w:t>
      </w:r>
      <w:r w:rsidR="005A023C" w:rsidRPr="00CB05A8">
        <w:rPr>
          <w:shd w:val="clear" w:color="auto" w:fill="FFFFFF"/>
        </w:rPr>
        <w:t xml:space="preserve">the </w:t>
      </w:r>
      <w:r w:rsidR="000C4CEC" w:rsidRPr="00CB05A8">
        <w:rPr>
          <w:shd w:val="clear" w:color="auto" w:fill="FFFFFF"/>
        </w:rPr>
        <w:t xml:space="preserve">shooting of Deputy Trejo must be committed “in order to advance an independent felonious purpose,” </w:t>
      </w:r>
      <w:r w:rsidR="003C3440" w:rsidRPr="00CB05A8">
        <w:rPr>
          <w:shd w:val="clear" w:color="auto" w:fill="FFFFFF"/>
        </w:rPr>
        <w:t xml:space="preserve">that </w:t>
      </w:r>
      <w:r w:rsidR="002C12A8" w:rsidRPr="00CB05A8">
        <w:rPr>
          <w:shd w:val="clear" w:color="auto" w:fill="FFFFFF"/>
        </w:rPr>
        <w:t>“[a]n act committed by accident is not committed in order to advance an independent felonious purpose</w:t>
      </w:r>
      <w:r w:rsidR="00D46F60" w:rsidRPr="00CB05A8">
        <w:rPr>
          <w:shd w:val="clear" w:color="auto" w:fill="FFFFFF"/>
        </w:rPr>
        <w:t>,</w:t>
      </w:r>
      <w:r w:rsidR="002C12A8" w:rsidRPr="00CB05A8">
        <w:rPr>
          <w:shd w:val="clear" w:color="auto" w:fill="FFFFFF"/>
        </w:rPr>
        <w:t>”</w:t>
      </w:r>
      <w:r w:rsidR="004E55EE" w:rsidRPr="00CB05A8">
        <w:rPr>
          <w:shd w:val="clear" w:color="auto" w:fill="FFFFFF"/>
        </w:rPr>
        <w:t xml:space="preserve"> and</w:t>
      </w:r>
      <w:r w:rsidR="003C3440" w:rsidRPr="00CB05A8">
        <w:rPr>
          <w:shd w:val="clear" w:color="auto" w:fill="FFFFFF"/>
        </w:rPr>
        <w:t xml:space="preserve"> that</w:t>
      </w:r>
      <w:r w:rsidR="004E55EE" w:rsidRPr="00CB05A8">
        <w:rPr>
          <w:shd w:val="clear" w:color="auto" w:fill="FFFFFF"/>
        </w:rPr>
        <w:t xml:space="preserve"> </w:t>
      </w:r>
      <w:r w:rsidR="00D46F60" w:rsidRPr="00CB05A8">
        <w:rPr>
          <w:shd w:val="clear" w:color="auto" w:fill="FFFFFF"/>
        </w:rPr>
        <w:t xml:space="preserve">if the jury </w:t>
      </w:r>
      <w:r w:rsidR="002C12A8" w:rsidRPr="00CB05A8">
        <w:rPr>
          <w:shd w:val="clear" w:color="auto" w:fill="FFFFFF"/>
        </w:rPr>
        <w:t>“ha</w:t>
      </w:r>
      <w:r w:rsidR="003C3440" w:rsidRPr="00CB05A8">
        <w:rPr>
          <w:shd w:val="clear" w:color="auto" w:fill="FFFFFF"/>
        </w:rPr>
        <w:t>[</w:t>
      </w:r>
      <w:r w:rsidR="008E33D3" w:rsidRPr="00CB05A8">
        <w:rPr>
          <w:shd w:val="clear" w:color="auto" w:fill="FFFFFF"/>
        </w:rPr>
        <w:t>s]</w:t>
      </w:r>
      <w:r w:rsidR="00D46F60" w:rsidRPr="00CB05A8">
        <w:rPr>
          <w:shd w:val="clear" w:color="auto" w:fill="FFFFFF"/>
        </w:rPr>
        <w:t xml:space="preserve"> a reasonable </w:t>
      </w:r>
      <w:r w:rsidR="002C12A8" w:rsidRPr="00CB05A8">
        <w:rPr>
          <w:shd w:val="clear" w:color="auto" w:fill="FFFFFF"/>
        </w:rPr>
        <w:t>doubt whether the act resulting in the victim’s death</w:t>
      </w:r>
      <w:r w:rsidR="00D46F60" w:rsidRPr="00CB05A8">
        <w:rPr>
          <w:shd w:val="clear" w:color="auto" w:fill="FFFFFF"/>
        </w:rPr>
        <w:t xml:space="preserve"> </w:t>
      </w:r>
      <w:r w:rsidR="00B36CC8" w:rsidRPr="00CB05A8">
        <w:rPr>
          <w:shd w:val="clear" w:color="auto" w:fill="FFFFFF"/>
        </w:rPr>
        <w:t xml:space="preserve">was committed by accident, [it] must give the defendant the benefit of the doubt and </w:t>
      </w:r>
      <w:r w:rsidR="00255CF4" w:rsidRPr="00CB05A8">
        <w:rPr>
          <w:shd w:val="clear" w:color="auto" w:fill="FFFFFF"/>
        </w:rPr>
        <w:t>find</w:t>
      </w:r>
      <w:r w:rsidR="004E55EE" w:rsidRPr="00CB05A8">
        <w:rPr>
          <w:shd w:val="clear" w:color="auto" w:fill="FFFFFF"/>
        </w:rPr>
        <w:t xml:space="preserve"> the special circumstance untrue</w:t>
      </w:r>
      <w:r w:rsidR="000B6D61" w:rsidRPr="00CB05A8">
        <w:rPr>
          <w:shd w:val="clear" w:color="auto" w:fill="FFFFFF"/>
        </w:rPr>
        <w:t>.</w:t>
      </w:r>
      <w:r w:rsidR="008E33D3" w:rsidRPr="00CB05A8">
        <w:rPr>
          <w:shd w:val="clear" w:color="auto" w:fill="FFFFFF"/>
        </w:rPr>
        <w:t>”</w:t>
      </w:r>
      <w:r w:rsidR="000B6D61" w:rsidRPr="00CB05A8">
        <w:rPr>
          <w:shd w:val="clear" w:color="auto" w:fill="FFFFFF"/>
        </w:rPr>
        <w:t xml:space="preserve"> </w:t>
      </w:r>
      <w:r w:rsidR="00125871" w:rsidRPr="00CB05A8">
        <w:rPr>
          <w:shd w:val="clear" w:color="auto" w:fill="FFFFFF"/>
        </w:rPr>
        <w:t xml:space="preserve"> </w:t>
      </w:r>
      <w:r w:rsidR="00055A7B" w:rsidRPr="00CB05A8">
        <w:rPr>
          <w:shd w:val="clear" w:color="auto" w:fill="FFFFFF"/>
        </w:rPr>
        <w:t xml:space="preserve">The </w:t>
      </w:r>
      <w:r w:rsidR="007363AD" w:rsidRPr="00CB05A8">
        <w:rPr>
          <w:shd w:val="clear" w:color="auto" w:fill="FFFFFF"/>
        </w:rPr>
        <w:t>trial</w:t>
      </w:r>
      <w:r w:rsidR="00055A7B" w:rsidRPr="00CB05A8">
        <w:rPr>
          <w:shd w:val="clear" w:color="auto" w:fill="FFFFFF"/>
        </w:rPr>
        <w:t xml:space="preserve"> court declined to give th</w:t>
      </w:r>
      <w:r w:rsidR="0062181B" w:rsidRPr="00CB05A8">
        <w:rPr>
          <w:shd w:val="clear" w:color="auto" w:fill="FFFFFF"/>
        </w:rPr>
        <w:t>e</w:t>
      </w:r>
      <w:r w:rsidR="00055A7B" w:rsidRPr="00CB05A8">
        <w:rPr>
          <w:shd w:val="clear" w:color="auto" w:fill="FFFFFF"/>
        </w:rPr>
        <w:t xml:space="preserve"> </w:t>
      </w:r>
      <w:r w:rsidR="00973E42" w:rsidRPr="00CB05A8">
        <w:rPr>
          <w:shd w:val="clear" w:color="auto" w:fill="FFFFFF"/>
        </w:rPr>
        <w:t>pinpoint</w:t>
      </w:r>
      <w:r w:rsidR="007844E2" w:rsidRPr="00CB05A8">
        <w:rPr>
          <w:shd w:val="clear" w:color="auto" w:fill="FFFFFF"/>
        </w:rPr>
        <w:t xml:space="preserve"> </w:t>
      </w:r>
      <w:r w:rsidR="00055A7B" w:rsidRPr="00CB05A8">
        <w:rPr>
          <w:shd w:val="clear" w:color="auto" w:fill="FFFFFF"/>
        </w:rPr>
        <w:t>instruction</w:t>
      </w:r>
      <w:r w:rsidR="004367D8" w:rsidRPr="00CB05A8">
        <w:rPr>
          <w:shd w:val="clear" w:color="auto" w:fill="FFFFFF"/>
        </w:rPr>
        <w:t xml:space="preserve">, </w:t>
      </w:r>
      <w:r w:rsidR="00E65DFC" w:rsidRPr="00CB05A8">
        <w:rPr>
          <w:shd w:val="clear" w:color="auto" w:fill="FFFFFF"/>
        </w:rPr>
        <w:t>finding</w:t>
      </w:r>
      <w:r w:rsidR="004367D8" w:rsidRPr="00CB05A8">
        <w:rPr>
          <w:shd w:val="clear" w:color="auto" w:fill="FFFFFF"/>
        </w:rPr>
        <w:t xml:space="preserve"> that it</w:t>
      </w:r>
      <w:r w:rsidR="0062181B" w:rsidRPr="00CB05A8">
        <w:rPr>
          <w:shd w:val="clear" w:color="auto" w:fill="FFFFFF"/>
        </w:rPr>
        <w:t xml:space="preserve"> constituted an inaccurate statement of the law.  </w:t>
      </w:r>
      <w:r w:rsidR="001C76BC" w:rsidRPr="00CB05A8">
        <w:rPr>
          <w:shd w:val="clear" w:color="auto" w:fill="FFFFFF"/>
        </w:rPr>
        <w:t xml:space="preserve">  </w:t>
      </w:r>
    </w:p>
    <w:p w14:paraId="10C66023" w14:textId="006A6D2C" w:rsidR="00162FCA" w:rsidRPr="00CB05A8" w:rsidRDefault="008E33D3" w:rsidP="00F105E8">
      <w:pPr>
        <w:pStyle w:val="NormalIndent"/>
        <w:ind w:left="0" w:firstLine="720"/>
        <w:rPr>
          <w:shd w:val="clear" w:color="auto" w:fill="FFFFFF"/>
        </w:rPr>
      </w:pPr>
      <w:r w:rsidRPr="00CB05A8">
        <w:rPr>
          <w:shd w:val="clear" w:color="auto" w:fill="FFFFFF"/>
        </w:rPr>
        <w:t>The trial court gave</w:t>
      </w:r>
      <w:r w:rsidR="00C54C5D" w:rsidRPr="00CB05A8">
        <w:rPr>
          <w:shd w:val="clear" w:color="auto" w:fill="FFFFFF"/>
        </w:rPr>
        <w:t xml:space="preserve"> CALJIC No. 8.81.17, </w:t>
      </w:r>
      <w:r w:rsidRPr="00CB05A8">
        <w:rPr>
          <w:shd w:val="clear" w:color="auto" w:fill="FFFFFF"/>
        </w:rPr>
        <w:t>the standard robbery-murder special</w:t>
      </w:r>
      <w:r w:rsidR="00424AAD">
        <w:rPr>
          <w:shd w:val="clear" w:color="auto" w:fill="FFFFFF"/>
        </w:rPr>
        <w:t>-</w:t>
      </w:r>
      <w:r w:rsidRPr="00CB05A8">
        <w:rPr>
          <w:shd w:val="clear" w:color="auto" w:fill="FFFFFF"/>
        </w:rPr>
        <w:t>circumstance instruction, which</w:t>
      </w:r>
      <w:r w:rsidR="00424AAD">
        <w:rPr>
          <w:shd w:val="clear" w:color="auto" w:fill="FFFFFF"/>
        </w:rPr>
        <w:t>, as given,</w:t>
      </w:r>
      <w:r w:rsidRPr="00CB05A8">
        <w:rPr>
          <w:shd w:val="clear" w:color="auto" w:fill="FFFFFF"/>
        </w:rPr>
        <w:t xml:space="preserve"> instructed the jury</w:t>
      </w:r>
      <w:r w:rsidR="00C54C5D" w:rsidRPr="00CB05A8">
        <w:rPr>
          <w:shd w:val="clear" w:color="auto" w:fill="FFFFFF"/>
        </w:rPr>
        <w:t xml:space="preserve"> </w:t>
      </w:r>
      <w:r w:rsidR="00002C81" w:rsidRPr="00CB05A8">
        <w:rPr>
          <w:shd w:val="clear" w:color="auto" w:fill="FFFFFF"/>
        </w:rPr>
        <w:t xml:space="preserve">as follows: </w:t>
      </w:r>
      <w:r w:rsidR="005F361C" w:rsidRPr="00CB05A8">
        <w:rPr>
          <w:shd w:val="clear" w:color="auto" w:fill="FFFFFF"/>
        </w:rPr>
        <w:t xml:space="preserve"> “</w:t>
      </w:r>
      <w:r w:rsidR="007E09D2" w:rsidRPr="00CB05A8">
        <w:rPr>
          <w:shd w:val="clear" w:color="auto" w:fill="FFFFFF"/>
        </w:rPr>
        <w:t>T</w:t>
      </w:r>
      <w:r w:rsidR="00FD014A" w:rsidRPr="00CB05A8">
        <w:rPr>
          <w:shd w:val="clear" w:color="auto" w:fill="FFFFFF"/>
        </w:rPr>
        <w:t xml:space="preserve">o find the special circumstance </w:t>
      </w:r>
      <w:r w:rsidR="00F4016D" w:rsidRPr="00CB05A8">
        <w:rPr>
          <w:shd w:val="clear" w:color="auto" w:fill="FFFFFF"/>
        </w:rPr>
        <w:t xml:space="preserve">referred </w:t>
      </w:r>
      <w:r w:rsidR="00FD014A" w:rsidRPr="00CB05A8">
        <w:rPr>
          <w:shd w:val="clear" w:color="auto" w:fill="FFFFFF"/>
        </w:rPr>
        <w:t>to in these instructions as murder in the commission of robbery is true, it must be proved (1) the murder was committed while the defendant was engaged in or was an accomplice in the commission of a robbery of Frank Trejo</w:t>
      </w:r>
      <w:r w:rsidR="00FC6DCF" w:rsidRPr="00CB05A8">
        <w:rPr>
          <w:shd w:val="clear" w:color="auto" w:fill="FFFFFF"/>
        </w:rPr>
        <w:t xml:space="preserve">, and (2) the murder was committed in order to carry out or advance the commission of the crime of robbery of Frank Trejo or to facilitate the escape </w:t>
      </w:r>
      <w:r w:rsidR="00162FCA" w:rsidRPr="00CB05A8">
        <w:rPr>
          <w:shd w:val="clear" w:color="auto" w:fill="FFFFFF"/>
        </w:rPr>
        <w:t>therefrom or to avoid detection.  In other words, the special circumstance referred to in these instructions is not established if the robbery was merely incidental to the commission of the murder.  However, the special circumstance referred to in these instructions is still proven if the defendant had the separate specific intent to commit the crime of robbery, even if he also had the specific intent to kill.  Concurrent intent to kill and to commit an independent felony will support a felony murder special circumstance.</w:t>
      </w:r>
      <w:r w:rsidR="005F361C" w:rsidRPr="00CB05A8">
        <w:rPr>
          <w:shd w:val="clear" w:color="auto" w:fill="FFFFFF"/>
        </w:rPr>
        <w:t>”</w:t>
      </w:r>
      <w:r w:rsidR="00162FCA" w:rsidRPr="00CB05A8">
        <w:rPr>
          <w:shd w:val="clear" w:color="auto" w:fill="FFFFFF"/>
        </w:rPr>
        <w:t xml:space="preserve">  </w:t>
      </w:r>
    </w:p>
    <w:p w14:paraId="2B4ACD7D" w14:textId="21F313C1" w:rsidR="00FC1508" w:rsidRPr="00CB05A8" w:rsidRDefault="003A10E6" w:rsidP="00F105E8">
      <w:pPr>
        <w:pStyle w:val="NormalIndent"/>
        <w:ind w:left="0" w:firstLine="720"/>
        <w:rPr>
          <w:shd w:val="clear" w:color="auto" w:fill="FFFFFF"/>
        </w:rPr>
      </w:pPr>
      <w:r w:rsidRPr="00CB05A8">
        <w:rPr>
          <w:shd w:val="clear" w:color="auto" w:fill="FFFFFF"/>
        </w:rPr>
        <w:t xml:space="preserve">Defendant </w:t>
      </w:r>
      <w:r w:rsidR="00872D74" w:rsidRPr="00CB05A8">
        <w:rPr>
          <w:shd w:val="clear" w:color="auto" w:fill="FFFFFF"/>
        </w:rPr>
        <w:t xml:space="preserve">maintains that </w:t>
      </w:r>
      <w:r w:rsidR="00C54C5D" w:rsidRPr="00CB05A8">
        <w:rPr>
          <w:shd w:val="clear" w:color="auto" w:fill="FFFFFF"/>
        </w:rPr>
        <w:t>a</w:t>
      </w:r>
      <w:r w:rsidR="00872D74" w:rsidRPr="00CB05A8">
        <w:rPr>
          <w:shd w:val="clear" w:color="auto" w:fill="FFFFFF"/>
        </w:rPr>
        <w:t xml:space="preserve"> </w:t>
      </w:r>
      <w:r w:rsidR="00D848A1" w:rsidRPr="00CB05A8">
        <w:rPr>
          <w:shd w:val="clear" w:color="auto" w:fill="FFFFFF"/>
        </w:rPr>
        <w:t xml:space="preserve">robbery-murder </w:t>
      </w:r>
      <w:r w:rsidR="00872D74" w:rsidRPr="00CB05A8">
        <w:rPr>
          <w:shd w:val="clear" w:color="auto" w:fill="FFFFFF"/>
        </w:rPr>
        <w:t xml:space="preserve">special circumstance requires a finding that the killing was done to carry out or advance </w:t>
      </w:r>
      <w:r w:rsidR="00EE069D" w:rsidRPr="00CB05A8">
        <w:rPr>
          <w:shd w:val="clear" w:color="auto" w:fill="FFFFFF"/>
        </w:rPr>
        <w:t>a</w:t>
      </w:r>
      <w:r w:rsidR="00872D74" w:rsidRPr="00CB05A8">
        <w:rPr>
          <w:shd w:val="clear" w:color="auto" w:fill="FFFFFF"/>
        </w:rPr>
        <w:t xml:space="preserve"> robbery, and if the jurors accepted defendant’s testimony that the shooting was accidental, there </w:t>
      </w:r>
      <w:r w:rsidR="00E57A56" w:rsidRPr="00CB05A8">
        <w:rPr>
          <w:shd w:val="clear" w:color="auto" w:fill="FFFFFF"/>
        </w:rPr>
        <w:t>was no logical basis to conclude that the shooting was committed for any purpose</w:t>
      </w:r>
      <w:r w:rsidR="00EF046C" w:rsidRPr="00CB05A8">
        <w:rPr>
          <w:shd w:val="clear" w:color="auto" w:fill="FFFFFF"/>
        </w:rPr>
        <w:t xml:space="preserve"> at all</w:t>
      </w:r>
      <w:r w:rsidR="00872D74" w:rsidRPr="00CB05A8">
        <w:rPr>
          <w:shd w:val="clear" w:color="auto" w:fill="FFFFFF"/>
        </w:rPr>
        <w:t xml:space="preserve">.  </w:t>
      </w:r>
      <w:r w:rsidR="001F5CD2" w:rsidRPr="00CB05A8">
        <w:rPr>
          <w:shd w:val="clear" w:color="auto" w:fill="FFFFFF"/>
        </w:rPr>
        <w:t xml:space="preserve">In other words, defendant contends the robbery-murder special circumstance </w:t>
      </w:r>
      <w:r w:rsidR="0050091A" w:rsidRPr="00CB05A8">
        <w:rPr>
          <w:shd w:val="clear" w:color="auto" w:fill="FFFFFF"/>
        </w:rPr>
        <w:t xml:space="preserve">does not apply to an accidental killing committed during the perpetration </w:t>
      </w:r>
      <w:r w:rsidR="00C54C5D" w:rsidRPr="00CB05A8">
        <w:rPr>
          <w:shd w:val="clear" w:color="auto" w:fill="FFFFFF"/>
        </w:rPr>
        <w:t>of a robbery</w:t>
      </w:r>
      <w:r w:rsidR="001F5CD2" w:rsidRPr="00CB05A8">
        <w:rPr>
          <w:shd w:val="clear" w:color="auto" w:fill="FFFFFF"/>
        </w:rPr>
        <w:t>.</w:t>
      </w:r>
      <w:r w:rsidR="00D211F3" w:rsidRPr="00CB05A8">
        <w:rPr>
          <w:shd w:val="clear" w:color="auto" w:fill="FFFFFF"/>
        </w:rPr>
        <w:t xml:space="preserve">  </w:t>
      </w:r>
    </w:p>
    <w:p w14:paraId="658E445A" w14:textId="7591858B" w:rsidR="00A41F78" w:rsidRPr="00CB05A8" w:rsidRDefault="00DC04E2" w:rsidP="00F105E8">
      <w:pPr>
        <w:ind w:firstLine="720"/>
      </w:pPr>
      <w:r w:rsidRPr="00CB05A8">
        <w:rPr>
          <w:shd w:val="clear" w:color="auto" w:fill="FFFFFF"/>
        </w:rPr>
        <w:t>E</w:t>
      </w:r>
      <w:r w:rsidR="00885EDC" w:rsidRPr="00CB05A8">
        <w:rPr>
          <w:shd w:val="clear" w:color="auto" w:fill="FFFFFF"/>
        </w:rPr>
        <w:t xml:space="preserve">ven assuming the trial court should have </w:t>
      </w:r>
      <w:r w:rsidR="004B17DD" w:rsidRPr="00CB05A8">
        <w:rPr>
          <w:shd w:val="clear" w:color="auto" w:fill="FFFFFF"/>
        </w:rPr>
        <w:t>given defendant’s requested instruction</w:t>
      </w:r>
      <w:r w:rsidR="00885EDC" w:rsidRPr="00CB05A8">
        <w:rPr>
          <w:shd w:val="clear" w:color="auto" w:fill="FFFFFF"/>
        </w:rPr>
        <w:t xml:space="preserve">, </w:t>
      </w:r>
      <w:r w:rsidR="00095D9A">
        <w:rPr>
          <w:shd w:val="clear" w:color="auto" w:fill="FFFFFF"/>
        </w:rPr>
        <w:t>we</w:t>
      </w:r>
      <w:r w:rsidR="00885EDC" w:rsidRPr="00CB05A8">
        <w:rPr>
          <w:shd w:val="clear" w:color="auto" w:fill="FFFFFF"/>
        </w:rPr>
        <w:t xml:space="preserve"> conclude that any error was harmless</w:t>
      </w:r>
      <w:r w:rsidR="00A41F78" w:rsidRPr="00CB05A8">
        <w:t xml:space="preserve"> under the standard articulated in either </w:t>
      </w:r>
      <w:r w:rsidR="00A41F78" w:rsidRPr="00CB05A8">
        <w:rPr>
          <w:i/>
          <w:iCs/>
        </w:rPr>
        <w:t>Chapman v. California</w:t>
      </w:r>
      <w:r w:rsidR="00A41F78" w:rsidRPr="00CB05A8">
        <w:t xml:space="preserve"> (1967) 386</w:t>
      </w:r>
      <w:r w:rsidR="00643FA4">
        <w:t> </w:t>
      </w:r>
      <w:r w:rsidR="00A41F78" w:rsidRPr="00CB05A8">
        <w:t xml:space="preserve">U.S. 18, 36 (error is prejudicial unless it appears beyond a reasonable doubt that the error did not contribute to the verdict) or </w:t>
      </w:r>
      <w:r w:rsidR="00A41F78" w:rsidRPr="00CB05A8">
        <w:rPr>
          <w:i/>
          <w:iCs/>
        </w:rPr>
        <w:t>People v. Watson</w:t>
      </w:r>
      <w:r w:rsidR="00A41F78" w:rsidRPr="00CB05A8">
        <w:t xml:space="preserve"> (1956) 46 Cal.2d 818, 836 (error is prejudicial if it is reasonably probable the defendant would have obtained a more favorable result absent the error).</w:t>
      </w:r>
    </w:p>
    <w:p w14:paraId="08FA36A5" w14:textId="591F4473" w:rsidR="002D3832" w:rsidRPr="00CB05A8" w:rsidRDefault="00151540" w:rsidP="00F105E8">
      <w:pPr>
        <w:pStyle w:val="NormalIndent"/>
        <w:ind w:left="0" w:firstLine="720"/>
        <w:rPr>
          <w:shd w:val="clear" w:color="auto" w:fill="FFFFFF"/>
        </w:rPr>
      </w:pPr>
      <w:r w:rsidRPr="00CB05A8">
        <w:rPr>
          <w:shd w:val="clear" w:color="auto" w:fill="FFFFFF"/>
        </w:rPr>
        <w:t xml:space="preserve">Harmless error analysis is appropriate when, in the circumstances, </w:t>
      </w:r>
      <w:r w:rsidR="00C70497" w:rsidRPr="00CB05A8">
        <w:rPr>
          <w:shd w:val="clear" w:color="auto" w:fill="FFFFFF"/>
        </w:rPr>
        <w:t xml:space="preserve">it can be said </w:t>
      </w:r>
      <w:r w:rsidR="00FB5488" w:rsidRPr="00CB05A8">
        <w:rPr>
          <w:shd w:val="clear" w:color="auto" w:fill="FFFFFF"/>
        </w:rPr>
        <w:t>that assuming instructional error,</w:t>
      </w:r>
      <w:r w:rsidRPr="00CB05A8">
        <w:rPr>
          <w:shd w:val="clear" w:color="auto" w:fill="FFFFFF"/>
        </w:rPr>
        <w:t xml:space="preserve"> </w:t>
      </w:r>
      <w:r w:rsidR="00FB5488" w:rsidRPr="00CB05A8">
        <w:rPr>
          <w:shd w:val="clear" w:color="auto" w:fill="FFFFFF"/>
        </w:rPr>
        <w:t>“ ‘</w:t>
      </w:r>
      <w:r w:rsidRPr="00CB05A8">
        <w:rPr>
          <w:shd w:val="clear" w:color="auto" w:fill="FFFFFF"/>
        </w:rPr>
        <w:t xml:space="preserve">the factual question posed by the omitted instruction was necessarily resolved adversely to the defendant under other, properly given instructions.’ ”  (See </w:t>
      </w:r>
      <w:r w:rsidRPr="00CB05A8">
        <w:rPr>
          <w:i/>
          <w:shd w:val="clear" w:color="auto" w:fill="FFFFFF"/>
        </w:rPr>
        <w:t>People v. Kobrin</w:t>
      </w:r>
      <w:r w:rsidRPr="00CB05A8">
        <w:rPr>
          <w:shd w:val="clear" w:color="auto" w:fill="FFFFFF"/>
        </w:rPr>
        <w:t xml:space="preserve"> (1995) 11 Cal.4th 416, 428, fn.</w:t>
      </w:r>
      <w:r w:rsidR="00195D4E">
        <w:rPr>
          <w:shd w:val="clear" w:color="auto" w:fill="FFFFFF"/>
        </w:rPr>
        <w:t> </w:t>
      </w:r>
      <w:r w:rsidRPr="00CB05A8">
        <w:rPr>
          <w:shd w:val="clear" w:color="auto" w:fill="FFFFFF"/>
        </w:rPr>
        <w:t xml:space="preserve">8.)  </w:t>
      </w:r>
      <w:r w:rsidR="001D3173" w:rsidRPr="00CB05A8">
        <w:rPr>
          <w:shd w:val="clear" w:color="auto" w:fill="FFFFFF"/>
        </w:rPr>
        <w:t>Here</w:t>
      </w:r>
      <w:r w:rsidR="00B33ED9" w:rsidRPr="00CB05A8">
        <w:rPr>
          <w:shd w:val="clear" w:color="auto" w:fill="FFFFFF"/>
        </w:rPr>
        <w:t>, t</w:t>
      </w:r>
      <w:r w:rsidR="00E97904" w:rsidRPr="00CB05A8">
        <w:rPr>
          <w:shd w:val="clear" w:color="auto" w:fill="FFFFFF"/>
        </w:rPr>
        <w:t xml:space="preserve">he jury </w:t>
      </w:r>
      <w:r w:rsidR="00B25628" w:rsidRPr="00CB05A8">
        <w:rPr>
          <w:shd w:val="clear" w:color="auto" w:fill="FFFFFF"/>
        </w:rPr>
        <w:t>found true</w:t>
      </w:r>
      <w:r w:rsidR="00A81F28" w:rsidRPr="00CB05A8">
        <w:rPr>
          <w:shd w:val="clear" w:color="auto" w:fill="FFFFFF"/>
        </w:rPr>
        <w:t xml:space="preserve"> </w:t>
      </w:r>
      <w:r w:rsidR="00EC5073" w:rsidRPr="00CB05A8">
        <w:rPr>
          <w:shd w:val="clear" w:color="auto" w:fill="FFFFFF"/>
        </w:rPr>
        <w:t xml:space="preserve">that defendant </w:t>
      </w:r>
      <w:r w:rsidR="00F70817" w:rsidRPr="00CB05A8">
        <w:rPr>
          <w:shd w:val="clear" w:color="auto" w:fill="FFFFFF"/>
        </w:rPr>
        <w:t xml:space="preserve">intentionally </w:t>
      </w:r>
      <w:r w:rsidR="00EC5073" w:rsidRPr="00CB05A8">
        <w:rPr>
          <w:shd w:val="clear" w:color="auto" w:fill="FFFFFF"/>
        </w:rPr>
        <w:t xml:space="preserve">killed Deputy Trejo while </w:t>
      </w:r>
      <w:r w:rsidR="00A81F28" w:rsidRPr="00CB05A8">
        <w:rPr>
          <w:shd w:val="clear" w:color="auto" w:fill="FFFFFF"/>
        </w:rPr>
        <w:t>he</w:t>
      </w:r>
      <w:r w:rsidR="00EC5073" w:rsidRPr="00CB05A8">
        <w:rPr>
          <w:shd w:val="clear" w:color="auto" w:fill="FFFFFF"/>
        </w:rPr>
        <w:t xml:space="preserve"> was engaged in the performance of his duties (§ 190.2, subd. (a)(7)</w:t>
      </w:r>
      <w:r w:rsidR="00FD47FF" w:rsidRPr="00CB05A8">
        <w:rPr>
          <w:shd w:val="clear" w:color="auto" w:fill="FFFFFF"/>
        </w:rPr>
        <w:t xml:space="preserve"> [</w:t>
      </w:r>
      <w:r w:rsidR="00333FCA" w:rsidRPr="00CB05A8">
        <w:rPr>
          <w:shd w:val="clear" w:color="auto" w:fill="FFFFFF"/>
        </w:rPr>
        <w:t>“[t]he victim was a peace officer . . . who, while engaged in the course of the performance of his or her duties</w:t>
      </w:r>
      <w:r w:rsidR="002A2CD5" w:rsidRPr="00CB05A8">
        <w:rPr>
          <w:shd w:val="clear" w:color="auto" w:fill="FFFFFF"/>
        </w:rPr>
        <w:t>, was intentionally killed</w:t>
      </w:r>
      <w:r w:rsidR="00F916EA">
        <w:rPr>
          <w:shd w:val="clear" w:color="auto" w:fill="FFFFFF"/>
        </w:rPr>
        <w:t> . . . .</w:t>
      </w:r>
      <w:r w:rsidR="002A2CD5" w:rsidRPr="00CB05A8">
        <w:rPr>
          <w:shd w:val="clear" w:color="auto" w:fill="FFFFFF"/>
        </w:rPr>
        <w:t>”]</w:t>
      </w:r>
      <w:r w:rsidR="00EC5073" w:rsidRPr="00CB05A8">
        <w:rPr>
          <w:shd w:val="clear" w:color="auto" w:fill="FFFFFF"/>
        </w:rPr>
        <w:t>)</w:t>
      </w:r>
      <w:r w:rsidR="00CF6878" w:rsidRPr="00CB05A8">
        <w:rPr>
          <w:shd w:val="clear" w:color="auto" w:fill="FFFFFF"/>
        </w:rPr>
        <w:t>, and that he killed the deputy for the purpose of avoiding arrest (§ 190.2, subd. (a)(5)</w:t>
      </w:r>
      <w:r w:rsidR="004A3D09" w:rsidRPr="00CB05A8">
        <w:rPr>
          <w:shd w:val="clear" w:color="auto" w:fill="FFFFFF"/>
        </w:rPr>
        <w:t xml:space="preserve"> [“[t]he murder was committed for the purpose of avoiding or preventing a lawful arrest</w:t>
      </w:r>
      <w:r w:rsidR="00F916EA">
        <w:rPr>
          <w:shd w:val="clear" w:color="auto" w:fill="FFFFFF"/>
        </w:rPr>
        <w:t> . . . .</w:t>
      </w:r>
      <w:r w:rsidR="004A3D09" w:rsidRPr="00CB05A8">
        <w:rPr>
          <w:shd w:val="clear" w:color="auto" w:fill="FFFFFF"/>
        </w:rPr>
        <w:t>”])</w:t>
      </w:r>
      <w:r w:rsidR="00EC5073" w:rsidRPr="00CB05A8">
        <w:rPr>
          <w:shd w:val="clear" w:color="auto" w:fill="FFFFFF"/>
        </w:rPr>
        <w:t xml:space="preserve">.  These explicit findings demonstrate that the jury </w:t>
      </w:r>
      <w:r w:rsidR="009273F8" w:rsidRPr="00CB05A8">
        <w:rPr>
          <w:shd w:val="clear" w:color="auto" w:fill="FFFFFF"/>
        </w:rPr>
        <w:t xml:space="preserve">necessarily </w:t>
      </w:r>
      <w:r w:rsidR="00EC5073" w:rsidRPr="00CB05A8">
        <w:rPr>
          <w:shd w:val="clear" w:color="auto" w:fill="FFFFFF"/>
        </w:rPr>
        <w:t xml:space="preserve">rejected defendant’s argument that he accidentally shot the deputy.  </w:t>
      </w:r>
    </w:p>
    <w:p w14:paraId="7D74B6BC" w14:textId="0744B4F3" w:rsidR="002D3832" w:rsidRPr="00CB05A8" w:rsidRDefault="002D3832" w:rsidP="00F105E8">
      <w:pPr>
        <w:pStyle w:val="NormalIndent"/>
        <w:ind w:left="0" w:firstLine="720"/>
        <w:rPr>
          <w:shd w:val="clear" w:color="auto" w:fill="FFFFFF"/>
        </w:rPr>
      </w:pPr>
      <w:r w:rsidRPr="00CB05A8">
        <w:rPr>
          <w:shd w:val="clear" w:color="auto" w:fill="FFFFFF"/>
        </w:rPr>
        <w:t xml:space="preserve">Moreover, </w:t>
      </w:r>
      <w:r w:rsidR="007B79F0" w:rsidRPr="00CB05A8">
        <w:rPr>
          <w:shd w:val="clear" w:color="auto" w:fill="FFFFFF"/>
        </w:rPr>
        <w:t xml:space="preserve">defendant does not challenge the </w:t>
      </w:r>
      <w:r w:rsidR="00D87F0D" w:rsidRPr="00CB05A8">
        <w:rPr>
          <w:shd w:val="clear" w:color="auto" w:fill="FFFFFF"/>
        </w:rPr>
        <w:t xml:space="preserve">sufficiency of evidence </w:t>
      </w:r>
      <w:r w:rsidR="004A0CBA" w:rsidRPr="00CB05A8">
        <w:rPr>
          <w:shd w:val="clear" w:color="auto" w:fill="FFFFFF"/>
        </w:rPr>
        <w:t xml:space="preserve">sustaining </w:t>
      </w:r>
      <w:r w:rsidR="00D87F0D" w:rsidRPr="00CB05A8">
        <w:rPr>
          <w:shd w:val="clear" w:color="auto" w:fill="FFFFFF"/>
        </w:rPr>
        <w:t xml:space="preserve">the </w:t>
      </w:r>
      <w:r w:rsidR="00B33CD4" w:rsidRPr="00CB05A8">
        <w:rPr>
          <w:shd w:val="clear" w:color="auto" w:fill="FFFFFF"/>
        </w:rPr>
        <w:t xml:space="preserve">special circumstances of </w:t>
      </w:r>
      <w:r w:rsidR="000B5BF7" w:rsidRPr="00CB05A8">
        <w:rPr>
          <w:shd w:val="clear" w:color="auto" w:fill="FFFFFF"/>
        </w:rPr>
        <w:t xml:space="preserve">the intentional </w:t>
      </w:r>
      <w:r w:rsidR="002B12EC" w:rsidRPr="00CB05A8">
        <w:rPr>
          <w:shd w:val="clear" w:color="auto" w:fill="FFFFFF"/>
        </w:rPr>
        <w:t>murder of a peace officer or murder for the purpose of avoiding</w:t>
      </w:r>
      <w:r w:rsidR="00506436" w:rsidRPr="00CB05A8">
        <w:rPr>
          <w:shd w:val="clear" w:color="auto" w:fill="FFFFFF"/>
        </w:rPr>
        <w:t xml:space="preserve"> a lawful arrest</w:t>
      </w:r>
      <w:r w:rsidR="002B12EC" w:rsidRPr="00CB05A8">
        <w:rPr>
          <w:shd w:val="clear" w:color="auto" w:fill="FFFFFF"/>
        </w:rPr>
        <w:t xml:space="preserve">.  </w:t>
      </w:r>
      <w:r w:rsidR="00806204" w:rsidRPr="00CB05A8">
        <w:rPr>
          <w:shd w:val="clear" w:color="auto" w:fill="FFFFFF"/>
        </w:rPr>
        <w:t>The record contains ample evidence support</w:t>
      </w:r>
      <w:r w:rsidR="007551B7" w:rsidRPr="00CB05A8">
        <w:rPr>
          <w:shd w:val="clear" w:color="auto" w:fill="FFFFFF"/>
        </w:rPr>
        <w:t>ing</w:t>
      </w:r>
      <w:r w:rsidR="00806204" w:rsidRPr="00CB05A8">
        <w:rPr>
          <w:shd w:val="clear" w:color="auto" w:fill="FFFFFF"/>
        </w:rPr>
        <w:t xml:space="preserve"> these theories:  Deputy Trejo was a </w:t>
      </w:r>
      <w:r w:rsidR="00685400" w:rsidRPr="00CB05A8">
        <w:rPr>
          <w:shd w:val="clear" w:color="auto" w:fill="FFFFFF"/>
        </w:rPr>
        <w:t xml:space="preserve">uniformed </w:t>
      </w:r>
      <w:r w:rsidR="00806204" w:rsidRPr="00CB05A8">
        <w:rPr>
          <w:shd w:val="clear" w:color="auto" w:fill="FFFFFF"/>
        </w:rPr>
        <w:t xml:space="preserve">peace officer engaged in the performance of his duties when he was </w:t>
      </w:r>
      <w:r w:rsidR="001B66E1" w:rsidRPr="00CB05A8">
        <w:rPr>
          <w:shd w:val="clear" w:color="auto" w:fill="FFFFFF"/>
        </w:rPr>
        <w:t>killed</w:t>
      </w:r>
      <w:r w:rsidR="0028550F" w:rsidRPr="00CB05A8">
        <w:rPr>
          <w:shd w:val="clear" w:color="auto" w:fill="FFFFFF"/>
        </w:rPr>
        <w:t xml:space="preserve">.  </w:t>
      </w:r>
      <w:r w:rsidR="0007019D" w:rsidRPr="00CB05A8">
        <w:rPr>
          <w:shd w:val="clear" w:color="auto" w:fill="FFFFFF"/>
        </w:rPr>
        <w:t>D</w:t>
      </w:r>
      <w:r w:rsidR="0028550F" w:rsidRPr="00CB05A8">
        <w:rPr>
          <w:shd w:val="clear" w:color="auto" w:fill="FFFFFF"/>
        </w:rPr>
        <w:t>efendant knew he was in violation of the terms of his parole and that it was not lawful for him to possess a firearm</w:t>
      </w:r>
      <w:r w:rsidR="008510D4" w:rsidRPr="00CB05A8">
        <w:rPr>
          <w:shd w:val="clear" w:color="auto" w:fill="FFFFFF"/>
        </w:rPr>
        <w:t xml:space="preserve">.  </w:t>
      </w:r>
      <w:r w:rsidR="005D0366" w:rsidRPr="00CB05A8">
        <w:rPr>
          <w:shd w:val="clear" w:color="auto" w:fill="FFFFFF"/>
        </w:rPr>
        <w:t xml:space="preserve">After shooting Deputy Trejo, defendant and Moore quickly returned to Moore’s truck and drove toward Highway 12.  </w:t>
      </w:r>
      <w:r w:rsidR="00B33CD4" w:rsidRPr="00CB05A8">
        <w:rPr>
          <w:shd w:val="clear" w:color="auto" w:fill="FFFFFF"/>
        </w:rPr>
        <w:t>The jury</w:t>
      </w:r>
      <w:r w:rsidR="00685400" w:rsidRPr="00CB05A8">
        <w:rPr>
          <w:shd w:val="clear" w:color="auto" w:fill="FFFFFF"/>
        </w:rPr>
        <w:t xml:space="preserve"> also</w:t>
      </w:r>
      <w:r w:rsidR="00B33CD4" w:rsidRPr="00CB05A8">
        <w:rPr>
          <w:shd w:val="clear" w:color="auto" w:fill="FFFFFF"/>
        </w:rPr>
        <w:t xml:space="preserve"> found true the special circumstances that defendant killed Deputy Trejo</w:t>
      </w:r>
      <w:r w:rsidR="00696E86" w:rsidRPr="00CB05A8">
        <w:rPr>
          <w:shd w:val="clear" w:color="auto" w:fill="FFFFFF"/>
        </w:rPr>
        <w:t xml:space="preserve"> while in the performance of his duties and for the purpose of avoiding arrest, </w:t>
      </w:r>
      <w:r w:rsidR="001A7811" w:rsidRPr="00CB05A8">
        <w:rPr>
          <w:shd w:val="clear" w:color="auto" w:fill="FFFFFF"/>
        </w:rPr>
        <w:t xml:space="preserve">either of </w:t>
      </w:r>
      <w:r w:rsidR="00696E86" w:rsidRPr="00CB05A8">
        <w:rPr>
          <w:shd w:val="clear" w:color="auto" w:fill="FFFFFF"/>
        </w:rPr>
        <w:t>which ma</w:t>
      </w:r>
      <w:r w:rsidR="001A7811" w:rsidRPr="00CB05A8">
        <w:rPr>
          <w:shd w:val="clear" w:color="auto" w:fill="FFFFFF"/>
        </w:rPr>
        <w:t>de defendant eligible for the death penalty.  (§ 190.2, subd. (a)</w:t>
      </w:r>
      <w:r w:rsidR="00EE42DF" w:rsidRPr="00CB05A8">
        <w:rPr>
          <w:shd w:val="clear" w:color="auto" w:fill="FFFFFF"/>
        </w:rPr>
        <w:t xml:space="preserve">(5) &amp; (7).)  </w:t>
      </w:r>
      <w:r w:rsidR="00763935" w:rsidRPr="00CB05A8">
        <w:rPr>
          <w:shd w:val="clear" w:color="auto" w:fill="FFFFFF"/>
        </w:rPr>
        <w:t xml:space="preserve">Thus, even assuming the trial court erred in refusing to instruct the jury on defendant’s proffered </w:t>
      </w:r>
      <w:r w:rsidR="0053173C" w:rsidRPr="00CB05A8">
        <w:rPr>
          <w:shd w:val="clear" w:color="auto" w:fill="FFFFFF"/>
        </w:rPr>
        <w:t xml:space="preserve">accident </w:t>
      </w:r>
      <w:r w:rsidR="00763935" w:rsidRPr="00CB05A8">
        <w:rPr>
          <w:shd w:val="clear" w:color="auto" w:fill="FFFFFF"/>
        </w:rPr>
        <w:t>instruction on robbery-murder special circumstance</w:t>
      </w:r>
      <w:r w:rsidR="0053173C" w:rsidRPr="00CB05A8">
        <w:rPr>
          <w:shd w:val="clear" w:color="auto" w:fill="FFFFFF"/>
        </w:rPr>
        <w:t xml:space="preserve">, we would still uphold the </w:t>
      </w:r>
      <w:r w:rsidR="00C75B59" w:rsidRPr="00CB05A8">
        <w:rPr>
          <w:shd w:val="clear" w:color="auto" w:fill="FFFFFF"/>
        </w:rPr>
        <w:t xml:space="preserve">verdicts here.  (See, e.g., </w:t>
      </w:r>
      <w:r w:rsidR="00C75B59" w:rsidRPr="00CB05A8">
        <w:rPr>
          <w:i/>
          <w:shd w:val="clear" w:color="auto" w:fill="FFFFFF"/>
        </w:rPr>
        <w:t xml:space="preserve">People v. Suarez </w:t>
      </w:r>
      <w:r w:rsidR="00C75B59" w:rsidRPr="00CB05A8">
        <w:rPr>
          <w:shd w:val="clear" w:color="auto" w:fill="FFFFFF"/>
        </w:rPr>
        <w:t xml:space="preserve">(2020) 10 Cal.5th 116, 170.)  </w:t>
      </w:r>
    </w:p>
    <w:p w14:paraId="36319970" w14:textId="780226A5" w:rsidR="00666D2C" w:rsidRPr="00CB05A8" w:rsidRDefault="003D0EB1" w:rsidP="00F105E8">
      <w:pPr>
        <w:pStyle w:val="Heading4"/>
        <w:numPr>
          <w:ilvl w:val="0"/>
          <w:numId w:val="36"/>
        </w:numPr>
        <w:ind w:left="2016" w:hanging="432"/>
      </w:pPr>
      <w:bookmarkStart w:id="52" w:name="_Toc58918805"/>
      <w:r w:rsidRPr="00CB05A8">
        <w:t>I</w:t>
      </w:r>
      <w:r w:rsidR="00666D2C" w:rsidRPr="00CB05A8">
        <w:t xml:space="preserve">nstructions on </w:t>
      </w:r>
      <w:r w:rsidR="00B13729" w:rsidRPr="00CB05A8">
        <w:t>d</w:t>
      </w:r>
      <w:r w:rsidR="004766BE" w:rsidRPr="00CB05A8">
        <w:t>efendant</w:t>
      </w:r>
      <w:r w:rsidR="00666D2C" w:rsidRPr="00CB05A8">
        <w:t xml:space="preserve">’s </w:t>
      </w:r>
      <w:r w:rsidR="00B13729" w:rsidRPr="00CB05A8">
        <w:t>f</w:t>
      </w:r>
      <w:r w:rsidR="00666D2C" w:rsidRPr="00CB05A8">
        <w:t xml:space="preserve">light and </w:t>
      </w:r>
      <w:r w:rsidR="00B13729" w:rsidRPr="00CB05A8">
        <w:t>r</w:t>
      </w:r>
      <w:r w:rsidR="00666D2C" w:rsidRPr="00CB05A8">
        <w:t xml:space="preserve">efusal to </w:t>
      </w:r>
      <w:r w:rsidR="00B13729" w:rsidRPr="00CB05A8">
        <w:t>p</w:t>
      </w:r>
      <w:r w:rsidR="00666D2C" w:rsidRPr="00CB05A8">
        <w:t xml:space="preserve">articipate in </w:t>
      </w:r>
      <w:r w:rsidR="00B13729" w:rsidRPr="00CB05A8">
        <w:t>l</w:t>
      </w:r>
      <w:r w:rsidR="00666D2C" w:rsidRPr="00CB05A8">
        <w:t>ineup</w:t>
      </w:r>
      <w:r w:rsidR="0060325F" w:rsidRPr="00CB05A8">
        <w:t xml:space="preserve"> </w:t>
      </w:r>
      <w:bookmarkEnd w:id="52"/>
    </w:p>
    <w:p w14:paraId="26CB3558" w14:textId="56DC94E8" w:rsidR="000147F7" w:rsidRPr="00CB05A8" w:rsidRDefault="00B649FE" w:rsidP="00F105E8">
      <w:pPr>
        <w:pStyle w:val="NormalIndent"/>
        <w:ind w:left="0" w:firstLine="720"/>
      </w:pPr>
      <w:r w:rsidRPr="00CB05A8">
        <w:t xml:space="preserve">Defendant </w:t>
      </w:r>
      <w:r w:rsidR="00C604E6" w:rsidRPr="00CB05A8">
        <w:t>asserts that</w:t>
      </w:r>
      <w:r w:rsidRPr="00CB05A8">
        <w:t xml:space="preserve"> the </w:t>
      </w:r>
      <w:r w:rsidR="007363AD" w:rsidRPr="00CB05A8">
        <w:t>trial</w:t>
      </w:r>
      <w:r w:rsidRPr="00CB05A8">
        <w:t xml:space="preserve"> court </w:t>
      </w:r>
      <w:r w:rsidR="00D34F3E" w:rsidRPr="00CB05A8">
        <w:t>committed prejudicial error when it instructed</w:t>
      </w:r>
      <w:r w:rsidRPr="00CB05A8">
        <w:t xml:space="preserve"> the jury </w:t>
      </w:r>
      <w:r w:rsidR="00452BE9" w:rsidRPr="00CB05A8">
        <w:t>that it could consider</w:t>
      </w:r>
      <w:r w:rsidRPr="00CB05A8">
        <w:t xml:space="preserve"> </w:t>
      </w:r>
      <w:r w:rsidR="00452BE9" w:rsidRPr="00CB05A8">
        <w:t xml:space="preserve">defendant’s </w:t>
      </w:r>
      <w:r w:rsidRPr="00CB05A8">
        <w:t xml:space="preserve">refusal to appear in a lineup and his flight from the crime scene as evidence of consciousness of guilt.  </w:t>
      </w:r>
      <w:r w:rsidR="00095D9A">
        <w:t>W</w:t>
      </w:r>
      <w:r w:rsidRPr="00CB05A8">
        <w:t xml:space="preserve">e conclude </w:t>
      </w:r>
      <w:r w:rsidR="00701AFC" w:rsidRPr="00CB05A8">
        <w:t>the</w:t>
      </w:r>
      <w:r w:rsidR="002D1977" w:rsidRPr="00CB05A8">
        <w:t xml:space="preserve"> instructions were proper.  </w:t>
      </w:r>
    </w:p>
    <w:p w14:paraId="4BE3A1C8" w14:textId="034F06C4" w:rsidR="00F92A65" w:rsidRPr="00CB05A8" w:rsidRDefault="00496D69" w:rsidP="00F105E8">
      <w:pPr>
        <w:pStyle w:val="NormalIndent"/>
        <w:ind w:left="0" w:firstLine="720"/>
      </w:pPr>
      <w:r w:rsidRPr="00CB05A8">
        <w:t xml:space="preserve">The court instructed </w:t>
      </w:r>
      <w:r w:rsidR="00151283" w:rsidRPr="00CB05A8">
        <w:t xml:space="preserve">the jury with </w:t>
      </w:r>
      <w:r w:rsidR="003D0EB1" w:rsidRPr="00CB05A8">
        <w:t xml:space="preserve">a modified version of </w:t>
      </w:r>
      <w:r w:rsidR="00151283" w:rsidRPr="00CB05A8">
        <w:t xml:space="preserve">CALJIC No. 2.06, as follows:  </w:t>
      </w:r>
      <w:r w:rsidR="00FB5488" w:rsidRPr="00CB05A8">
        <w:t>“</w:t>
      </w:r>
      <w:r w:rsidR="00151283" w:rsidRPr="00CB05A8">
        <w:t xml:space="preserve">If you find that a defendant attempted to suppress evidence against himself in any manner, such as by refusing to participate in a line-up, this attempt may be </w:t>
      </w:r>
      <w:r w:rsidR="006F24CA" w:rsidRPr="00CB05A8">
        <w:t>considered by you as a circumstance tending to show a consciousness of guilt.  However, this conduct is not sufficient by itself to prove guilt, and its weight and significance, if any, are for you to decide.</w:t>
      </w:r>
      <w:r w:rsidR="00FB5488" w:rsidRPr="00CB05A8">
        <w:t xml:space="preserve">”  </w:t>
      </w:r>
    </w:p>
    <w:p w14:paraId="07D96A7C" w14:textId="09C33020" w:rsidR="005027FF" w:rsidRPr="00CB05A8" w:rsidRDefault="006F24CA" w:rsidP="00F105E8">
      <w:pPr>
        <w:pStyle w:val="NormalIndent"/>
        <w:ind w:left="0" w:firstLine="720"/>
      </w:pPr>
      <w:r w:rsidRPr="00CB05A8">
        <w:t>The court als</w:t>
      </w:r>
      <w:r w:rsidR="00F92A65" w:rsidRPr="00CB05A8">
        <w:t xml:space="preserve">o </w:t>
      </w:r>
      <w:r w:rsidR="003D0EB1" w:rsidRPr="00CB05A8">
        <w:t>gave</w:t>
      </w:r>
      <w:r w:rsidR="00F92A65" w:rsidRPr="00CB05A8">
        <w:t xml:space="preserve"> CALJIC No. 2.52, which states:  </w:t>
      </w:r>
      <w:r w:rsidR="00FB5488" w:rsidRPr="00CB05A8">
        <w:t>“</w:t>
      </w:r>
      <w:r w:rsidR="00F92A65" w:rsidRPr="00CB05A8">
        <w:t>The flight of a person</w:t>
      </w:r>
      <w:r w:rsidR="002403E6" w:rsidRPr="00CB05A8">
        <w:t xml:space="preserve"> immediately after the commission of a crime or after he is accused of a crime is not sufficient in itself </w:t>
      </w:r>
      <w:r w:rsidR="00F26F2F" w:rsidRPr="00CB05A8">
        <w:t>to establish his guilt, but is a fact which, if proved</w:t>
      </w:r>
      <w:r w:rsidR="00BA2D09" w:rsidRPr="00CB05A8">
        <w:t>,</w:t>
      </w:r>
      <w:r w:rsidR="00F26F2F" w:rsidRPr="00CB05A8">
        <w:t xml:space="preserve"> may be considered by you in the light of all other proved facts in deciding whether a defendant is guilty or not guilty.  The weight to which this circumstance is entitled is a matter for you to decide.</w:t>
      </w:r>
      <w:r w:rsidR="00FB5488" w:rsidRPr="00CB05A8">
        <w:t xml:space="preserve">”  </w:t>
      </w:r>
    </w:p>
    <w:p w14:paraId="637CCF71" w14:textId="394BD083" w:rsidR="005027FF" w:rsidRPr="00CB05A8" w:rsidRDefault="001546E0" w:rsidP="00F105E8">
      <w:pPr>
        <w:pStyle w:val="NormalIndent"/>
        <w:ind w:left="0" w:firstLine="720"/>
      </w:pPr>
      <w:r w:rsidRPr="00CB05A8">
        <w:t>Defendant asserts the consciousness-of-guilt instructions were unfairly argumentative</w:t>
      </w:r>
      <w:r w:rsidR="00222AE1" w:rsidRPr="00CB05A8">
        <w:t xml:space="preserve"> because they invited the jury to draw inferences favorable to the prosecution</w:t>
      </w:r>
      <w:r w:rsidR="00773B3A" w:rsidRPr="00CB05A8">
        <w:t xml:space="preserve"> from </w:t>
      </w:r>
      <w:r w:rsidR="005044F6" w:rsidRPr="00CB05A8">
        <w:t>particular e</w:t>
      </w:r>
      <w:r w:rsidR="00773B3A" w:rsidRPr="00CB05A8">
        <w:t>vidence.</w:t>
      </w:r>
      <w:r w:rsidR="005044F6" w:rsidRPr="00CB05A8">
        <w:t xml:space="preserve">  We have repeatedly rejected the same challenges to consciousness-of-guilt instructions involving suppression of evidence and fligh</w:t>
      </w:r>
      <w:r w:rsidR="002D72AA" w:rsidRPr="00CB05A8">
        <w:t xml:space="preserve">t.  </w:t>
      </w:r>
      <w:r w:rsidR="004B494D" w:rsidRPr="00CB05A8">
        <w:t>(</w:t>
      </w:r>
      <w:r w:rsidR="004B494D" w:rsidRPr="00CB05A8">
        <w:rPr>
          <w:i/>
        </w:rPr>
        <w:t xml:space="preserve">People v. Tully </w:t>
      </w:r>
      <w:r w:rsidR="004B494D" w:rsidRPr="00CB05A8">
        <w:t>(2012) 54 Cal.</w:t>
      </w:r>
      <w:r w:rsidR="00C0286D" w:rsidRPr="00CB05A8">
        <w:t>4th</w:t>
      </w:r>
      <w:r w:rsidR="004B494D" w:rsidRPr="00CB05A8">
        <w:t xml:space="preserve"> 952,</w:t>
      </w:r>
      <w:r w:rsidR="00C0286D" w:rsidRPr="00CB05A8">
        <w:t xml:space="preserve"> 1024; </w:t>
      </w:r>
      <w:r w:rsidR="00DD047C" w:rsidRPr="00CB05A8">
        <w:rPr>
          <w:i/>
        </w:rPr>
        <w:t xml:space="preserve">People v. Jurado </w:t>
      </w:r>
      <w:r w:rsidR="00DD047C" w:rsidRPr="00CB05A8">
        <w:t xml:space="preserve">(2006) 38 Cal.4th 72, 125–126; </w:t>
      </w:r>
      <w:r w:rsidR="00DE2BC2" w:rsidRPr="00CB05A8">
        <w:rPr>
          <w:i/>
        </w:rPr>
        <w:t xml:space="preserve">People v. Benavides </w:t>
      </w:r>
      <w:r w:rsidR="00DE2BC2" w:rsidRPr="00CB05A8">
        <w:t xml:space="preserve">(2005) </w:t>
      </w:r>
      <w:r w:rsidR="006119E4" w:rsidRPr="00CB05A8">
        <w:t xml:space="preserve">35 Cal.4th 69, 100; </w:t>
      </w:r>
      <w:r w:rsidR="006119E4" w:rsidRPr="00CB05A8">
        <w:rPr>
          <w:i/>
        </w:rPr>
        <w:t xml:space="preserve">People v. Nakahara </w:t>
      </w:r>
      <w:r w:rsidR="006119E4" w:rsidRPr="00CB05A8">
        <w:t>(2003) 30 Cal.4th 705, 7</w:t>
      </w:r>
      <w:r w:rsidR="00E568C3" w:rsidRPr="00CB05A8">
        <w:t>13</w:t>
      </w:r>
      <w:r w:rsidR="000231E7" w:rsidRPr="00CB05A8">
        <w:t xml:space="preserve"> (</w:t>
      </w:r>
      <w:r w:rsidR="000231E7" w:rsidRPr="00CB05A8">
        <w:rPr>
          <w:i/>
        </w:rPr>
        <w:t>Nakahara</w:t>
      </w:r>
      <w:r w:rsidR="000231E7" w:rsidRPr="00CB05A8">
        <w:t>)</w:t>
      </w:r>
      <w:r w:rsidR="00E568C3" w:rsidRPr="00CB05A8">
        <w:t xml:space="preserve">.) </w:t>
      </w:r>
      <w:r w:rsidR="00DD047C" w:rsidRPr="00CB05A8">
        <w:t xml:space="preserve"> </w:t>
      </w:r>
      <w:r w:rsidR="00095D9A">
        <w:t xml:space="preserve">We </w:t>
      </w:r>
      <w:r w:rsidR="002D72AA" w:rsidRPr="00CB05A8">
        <w:t xml:space="preserve">perceive no reason to </w:t>
      </w:r>
      <w:r w:rsidR="00E47A2D" w:rsidRPr="00CB05A8">
        <w:t>revisit this authority</w:t>
      </w:r>
      <w:r w:rsidR="00B4018E" w:rsidRPr="00CB05A8">
        <w:t xml:space="preserve">.  </w:t>
      </w:r>
    </w:p>
    <w:p w14:paraId="3E09C3B7" w14:textId="540E6E04" w:rsidR="00666D2C" w:rsidRPr="00CB05A8" w:rsidRDefault="004024D0" w:rsidP="00F105E8">
      <w:pPr>
        <w:pStyle w:val="Heading4"/>
        <w:numPr>
          <w:ilvl w:val="0"/>
          <w:numId w:val="36"/>
        </w:numPr>
        <w:ind w:left="2016" w:hanging="432"/>
      </w:pPr>
      <w:r w:rsidRPr="00CB05A8">
        <w:t xml:space="preserve"> </w:t>
      </w:r>
      <w:bookmarkStart w:id="53" w:name="_Toc58918806"/>
      <w:r w:rsidR="00DB574E" w:rsidRPr="00CB05A8">
        <w:t xml:space="preserve">Use of CALJIC </w:t>
      </w:r>
      <w:r w:rsidR="009702AB" w:rsidRPr="00CB05A8">
        <w:t xml:space="preserve">former </w:t>
      </w:r>
      <w:r w:rsidR="00DB574E" w:rsidRPr="00CB05A8">
        <w:t>No. 8.71</w:t>
      </w:r>
      <w:r w:rsidR="0060325F" w:rsidRPr="00CB05A8">
        <w:t xml:space="preserve"> </w:t>
      </w:r>
      <w:bookmarkEnd w:id="53"/>
    </w:p>
    <w:p w14:paraId="37C6A545" w14:textId="7A717CAE" w:rsidR="00112E92" w:rsidRPr="00CB05A8" w:rsidRDefault="0032046E" w:rsidP="00F105E8">
      <w:pPr>
        <w:pStyle w:val="NormalIndent"/>
        <w:ind w:left="0" w:firstLine="720"/>
      </w:pPr>
      <w:r w:rsidRPr="00CB05A8">
        <w:t xml:space="preserve">Defendant </w:t>
      </w:r>
      <w:r w:rsidR="00C960EA" w:rsidRPr="00CB05A8">
        <w:t>claim</w:t>
      </w:r>
      <w:r w:rsidR="00752A4D" w:rsidRPr="00CB05A8">
        <w:t>s</w:t>
      </w:r>
      <w:r w:rsidR="00C960EA" w:rsidRPr="00CB05A8">
        <w:t xml:space="preserve"> the </w:t>
      </w:r>
      <w:r w:rsidR="007363AD" w:rsidRPr="00CB05A8">
        <w:t>trial</w:t>
      </w:r>
      <w:r w:rsidR="00C960EA" w:rsidRPr="00CB05A8">
        <w:t xml:space="preserve"> court</w:t>
      </w:r>
      <w:r w:rsidR="000E0EDE" w:rsidRPr="00CB05A8">
        <w:t>’</w:t>
      </w:r>
      <w:r w:rsidR="00B858CC" w:rsidRPr="00CB05A8">
        <w:t xml:space="preserve">s use of the 1996 </w:t>
      </w:r>
      <w:r w:rsidR="00CF1972" w:rsidRPr="00CB05A8">
        <w:t xml:space="preserve">revised </w:t>
      </w:r>
      <w:r w:rsidR="00B858CC" w:rsidRPr="00CB05A8">
        <w:t>version of CALJIC No. 8.71</w:t>
      </w:r>
      <w:r w:rsidR="003E25A3" w:rsidRPr="00CB05A8">
        <w:t>,</w:t>
      </w:r>
      <w:r w:rsidR="00B858CC" w:rsidRPr="00CB05A8">
        <w:t xml:space="preserve"> </w:t>
      </w:r>
      <w:r w:rsidR="00DD3B39" w:rsidRPr="00CB05A8">
        <w:t>combined with</w:t>
      </w:r>
      <w:r w:rsidR="00B858CC" w:rsidRPr="00CB05A8">
        <w:t xml:space="preserve"> </w:t>
      </w:r>
      <w:r w:rsidR="00343F08" w:rsidRPr="00CB05A8">
        <w:t>the court’s</w:t>
      </w:r>
      <w:r w:rsidR="00B858CC" w:rsidRPr="00CB05A8">
        <w:t xml:space="preserve"> </w:t>
      </w:r>
      <w:r w:rsidR="00DD3B39" w:rsidRPr="00CB05A8">
        <w:t>failure to give CALJIC No. 17.11</w:t>
      </w:r>
      <w:r w:rsidR="003E25A3" w:rsidRPr="00CB05A8">
        <w:t>,</w:t>
      </w:r>
      <w:r w:rsidR="00E8525D" w:rsidRPr="00CB05A8">
        <w:t xml:space="preserve"> skewed the jury’s deliberations toward first degree murder and lowered the prosecution’s burden of proof in violation of his rights to due process and trial by jury.  (U.S. Const., 5th, 6th, 14th Amends.; Cal. Const., art. I, §§ 7, 15,</w:t>
      </w:r>
      <w:r w:rsidR="009702AB">
        <w:t xml:space="preserve"> </w:t>
      </w:r>
      <w:r w:rsidR="00E8525D" w:rsidRPr="00CB05A8">
        <w:t>16.)</w:t>
      </w:r>
      <w:r w:rsidR="00041958" w:rsidRPr="00CB05A8">
        <w:t xml:space="preserve"> </w:t>
      </w:r>
      <w:r w:rsidR="00E8525D" w:rsidRPr="00CB05A8">
        <w:t xml:space="preserve"> </w:t>
      </w:r>
      <w:r w:rsidR="00095D9A">
        <w:t>W</w:t>
      </w:r>
      <w:r w:rsidR="00E8525D" w:rsidRPr="00CB05A8">
        <w:t xml:space="preserve">e </w:t>
      </w:r>
      <w:r w:rsidR="0007238C">
        <w:t>conclude that any error</w:t>
      </w:r>
      <w:r w:rsidR="00401E2C">
        <w:t xml:space="preserve"> was harmless beyond a reasonable doubt</w:t>
      </w:r>
      <w:r w:rsidR="00E8525D" w:rsidRPr="00CB05A8">
        <w:t xml:space="preserve">. </w:t>
      </w:r>
    </w:p>
    <w:p w14:paraId="20B29800" w14:textId="7467C0D7" w:rsidR="008B4D51" w:rsidRPr="00CB05A8" w:rsidRDefault="00F12A16" w:rsidP="00F105E8">
      <w:pPr>
        <w:pStyle w:val="NormalIndent"/>
        <w:ind w:left="0" w:firstLine="720"/>
      </w:pPr>
      <w:r w:rsidRPr="00CB05A8">
        <w:t>The trial court gave</w:t>
      </w:r>
      <w:r w:rsidR="000C5FD7" w:rsidRPr="00CB05A8">
        <w:t xml:space="preserve"> the </w:t>
      </w:r>
      <w:r w:rsidR="006C4008" w:rsidRPr="00CB05A8">
        <w:t xml:space="preserve">1996 revised </w:t>
      </w:r>
      <w:r w:rsidR="000C5FD7" w:rsidRPr="00CB05A8">
        <w:t>version of CALJIC No.</w:t>
      </w:r>
      <w:r w:rsidR="00643FA4">
        <w:t> </w:t>
      </w:r>
      <w:r w:rsidR="000C5FD7" w:rsidRPr="00CB05A8">
        <w:t xml:space="preserve">8.71, </w:t>
      </w:r>
      <w:r w:rsidR="00CD2BBA" w:rsidRPr="00CB05A8">
        <w:t>which</w:t>
      </w:r>
      <w:r w:rsidR="00F93A16" w:rsidRPr="00CB05A8">
        <w:t xml:space="preserve"> </w:t>
      </w:r>
      <w:r w:rsidR="00675A58" w:rsidRPr="00CB05A8">
        <w:t>informed the jury</w:t>
      </w:r>
      <w:r w:rsidR="007F6C42" w:rsidRPr="00CB05A8">
        <w:t xml:space="preserve">:  “If you are convinced beyond a reasonable doubt and unanimously agree that the crime of murder has been committed by a defendant, </w:t>
      </w:r>
      <w:r w:rsidR="006E2B55" w:rsidRPr="00CB05A8">
        <w:t>b</w:t>
      </w:r>
      <w:r w:rsidR="007F6C42" w:rsidRPr="00CB05A8">
        <w:t xml:space="preserve">ut you </w:t>
      </w:r>
      <w:r w:rsidR="007F6C42" w:rsidRPr="00CB05A8">
        <w:rPr>
          <w:i/>
        </w:rPr>
        <w:t>unanimously</w:t>
      </w:r>
      <w:r w:rsidR="007F6C42" w:rsidRPr="00CB05A8">
        <w:t xml:space="preserve"> agree that </w:t>
      </w:r>
      <w:r w:rsidR="006E2B55" w:rsidRPr="00CB05A8">
        <w:t>you have a reasonable doubt whether the murder was of the first or of the second degree, you must give defendant the benefit of that doubt and return a verdict fixing the murder as of the second degree</w:t>
      </w:r>
      <w:r w:rsidR="005842C5" w:rsidRPr="00CB05A8">
        <w:t xml:space="preserve"> as well as a verdict of not guilty of murder in the first degree</w:t>
      </w:r>
      <w:r w:rsidR="006E2B55" w:rsidRPr="00CB05A8">
        <w:t>.”</w:t>
      </w:r>
      <w:r w:rsidR="00E937FA" w:rsidRPr="00CB05A8">
        <w:t xml:space="preserve">  (Italics added.)  </w:t>
      </w:r>
      <w:r w:rsidR="003A1899" w:rsidRPr="00CB05A8">
        <w:t xml:space="preserve">  </w:t>
      </w:r>
    </w:p>
    <w:p w14:paraId="0BE7D25A" w14:textId="5167AC31" w:rsidR="00AC2A97" w:rsidRPr="00CB05A8" w:rsidRDefault="003A1899" w:rsidP="00F105E8">
      <w:pPr>
        <w:pStyle w:val="NormalIndent"/>
        <w:ind w:left="0" w:firstLine="720"/>
      </w:pPr>
      <w:r w:rsidRPr="00CB05A8">
        <w:t xml:space="preserve">The </w:t>
      </w:r>
      <w:r w:rsidR="00F61F81" w:rsidRPr="00CB05A8">
        <w:t xml:space="preserve">trial </w:t>
      </w:r>
      <w:r w:rsidRPr="00CB05A8">
        <w:t xml:space="preserve">court also provided CALJIC No. 17.40, </w:t>
      </w:r>
      <w:r w:rsidR="005750CA" w:rsidRPr="00CB05A8">
        <w:t>as follows</w:t>
      </w:r>
      <w:r w:rsidR="00AC2A97" w:rsidRPr="00CB05A8">
        <w:t xml:space="preserve">:  </w:t>
      </w:r>
      <w:r w:rsidR="00010E46" w:rsidRPr="00CB05A8">
        <w:t>“</w:t>
      </w:r>
      <w:r w:rsidR="00AC2A97" w:rsidRPr="00CB05A8">
        <w:t>The People and the defendant are entitled to the individual opinion of each juror.  Each of you must consider the evidence for the purpose of reaching a verdict if you can do so.  Each of you must decide the case for yourself, but should do so only after discussing the evidence and instructions with the other jurors.  Do not hesitate to change an opinion if you are convinced it is wrong</w:t>
      </w:r>
      <w:r w:rsidR="00E62FE3" w:rsidRPr="00CB05A8">
        <w:t>, h</w:t>
      </w:r>
      <w:r w:rsidR="00AC2A97" w:rsidRPr="00CB05A8">
        <w:t>owever, do not decide any question in a particular way because a majority of the jurors, or any of them, favor that decision</w:t>
      </w:r>
      <w:r w:rsidR="00E62FE3" w:rsidRPr="00CB05A8">
        <w:t xml:space="preserve">.  </w:t>
      </w:r>
      <w:r w:rsidR="00AC2A97" w:rsidRPr="00CB05A8">
        <w:t>Do not decide any issue in this case by the flip of a coin, or by any other chance determination.</w:t>
      </w:r>
      <w:r w:rsidR="00010E46" w:rsidRPr="00CB05A8">
        <w:t>”</w:t>
      </w:r>
      <w:r w:rsidR="00AC2A97" w:rsidRPr="00CB05A8">
        <w:t xml:space="preserve"> </w:t>
      </w:r>
      <w:r w:rsidR="00010E46" w:rsidRPr="00CB05A8">
        <w:t xml:space="preserve"> </w:t>
      </w:r>
      <w:r w:rsidR="00AC2A97" w:rsidRPr="00CB05A8">
        <w:rPr>
          <w:color w:val="000000" w:themeColor="text1"/>
        </w:rPr>
        <w:t xml:space="preserve">  </w:t>
      </w:r>
    </w:p>
    <w:p w14:paraId="3C95D80A" w14:textId="46C3462A" w:rsidR="005310D9" w:rsidRPr="00CB05A8" w:rsidRDefault="005310D9" w:rsidP="00F105E8">
      <w:pPr>
        <w:pStyle w:val="NormalIndent"/>
        <w:ind w:left="0" w:firstLine="720"/>
      </w:pPr>
      <w:r w:rsidRPr="00CB05A8">
        <w:t xml:space="preserve">The court </w:t>
      </w:r>
      <w:r w:rsidR="00AA2D00" w:rsidRPr="00CB05A8">
        <w:t xml:space="preserve">further instructed the jury </w:t>
      </w:r>
      <w:r w:rsidR="003439F8" w:rsidRPr="00CB05A8">
        <w:t>with</w:t>
      </w:r>
      <w:r w:rsidR="00AA2D00" w:rsidRPr="00CB05A8">
        <w:t xml:space="preserve"> </w:t>
      </w:r>
      <w:r w:rsidRPr="00CB05A8">
        <w:t xml:space="preserve">CALJIC </w:t>
      </w:r>
      <w:r w:rsidR="00AA2D00" w:rsidRPr="00CB05A8">
        <w:t xml:space="preserve">No. </w:t>
      </w:r>
      <w:r w:rsidRPr="00CB05A8">
        <w:t>8.75</w:t>
      </w:r>
      <w:r w:rsidR="00E17D96" w:rsidRPr="00CB05A8">
        <w:t>, stating:  “If you are not satisfied beyond a reasonable doubt that the defendant is guilty of the crime of first degree murder as charged in Count I and you unanimously so find, you may convict him of any lesser crime provided you are satisfied beyond a reasonable doubt that he is guilty of the lesser crime</w:t>
      </w:r>
      <w:r w:rsidRPr="00CB05A8">
        <w:t>.</w:t>
      </w:r>
      <w:r w:rsidR="00C457D3" w:rsidRPr="00CB05A8">
        <w:t>”</w:t>
      </w:r>
      <w:r w:rsidRPr="00CB05A8">
        <w:t xml:space="preserve">  </w:t>
      </w:r>
      <w:r w:rsidR="008B0AB0" w:rsidRPr="00CB05A8">
        <w:t xml:space="preserve">The court also gave CALJIC No. 17.10, which instructs the jury </w:t>
      </w:r>
      <w:r w:rsidR="00707AA2" w:rsidRPr="00CB05A8">
        <w:t xml:space="preserve">that if it is not satisfied beyond a reasonable doubt that the defendant is guilty of the crime charged, it may nevertheless convict him of any lesser crime if it is convinced beyond a reasonable doubt that the defendant is guilty of the lesser crime. </w:t>
      </w:r>
      <w:r w:rsidR="008B0AB0" w:rsidRPr="00CB05A8">
        <w:t xml:space="preserve"> </w:t>
      </w:r>
      <w:r w:rsidR="009C0691" w:rsidRPr="00CB05A8">
        <w:t>Additionally</w:t>
      </w:r>
      <w:r w:rsidR="008B0AB0" w:rsidRPr="00CB05A8">
        <w:t>, t</w:t>
      </w:r>
      <w:r w:rsidR="000213D7" w:rsidRPr="00CB05A8">
        <w:t>he court</w:t>
      </w:r>
      <w:r w:rsidR="00ED1496" w:rsidRPr="00CB05A8">
        <w:t xml:space="preserve"> directed the jury</w:t>
      </w:r>
      <w:r w:rsidRPr="00CB05A8">
        <w:t xml:space="preserve"> to read the instructions as a whole and in light of all the others</w:t>
      </w:r>
      <w:r w:rsidR="00971776" w:rsidRPr="00CB05A8">
        <w:t>;</w:t>
      </w:r>
      <w:r w:rsidR="009C0691" w:rsidRPr="00CB05A8">
        <w:t xml:space="preserve"> and </w:t>
      </w:r>
      <w:r w:rsidR="00971776" w:rsidRPr="00CB05A8">
        <w:t xml:space="preserve">the jury </w:t>
      </w:r>
      <w:r w:rsidR="009C0691" w:rsidRPr="00CB05A8">
        <w:t>was generally instructed on reasonable doubt</w:t>
      </w:r>
      <w:r w:rsidRPr="00CB05A8">
        <w:t xml:space="preserve">.  </w:t>
      </w:r>
    </w:p>
    <w:p w14:paraId="5B6F8168" w14:textId="6C1202CA" w:rsidR="00A32279" w:rsidRPr="00CB05A8" w:rsidRDefault="00A11439" w:rsidP="00F105E8">
      <w:pPr>
        <w:pStyle w:val="NormalIndent"/>
        <w:ind w:left="0" w:firstLine="720"/>
      </w:pPr>
      <w:r w:rsidRPr="00CB05A8">
        <w:t>T</w:t>
      </w:r>
      <w:r w:rsidR="0051130F" w:rsidRPr="00CB05A8">
        <w:t xml:space="preserve">he </w:t>
      </w:r>
      <w:r w:rsidR="00F61F81" w:rsidRPr="00CB05A8">
        <w:t xml:space="preserve">trial </w:t>
      </w:r>
      <w:r w:rsidR="0051130F" w:rsidRPr="00CB05A8">
        <w:t xml:space="preserve">court </w:t>
      </w:r>
      <w:r w:rsidRPr="00CB05A8">
        <w:t xml:space="preserve">initially </w:t>
      </w:r>
      <w:r w:rsidR="006D771E" w:rsidRPr="00CB05A8">
        <w:t>confirmed</w:t>
      </w:r>
      <w:r w:rsidR="003D4DDF" w:rsidRPr="00CB05A8">
        <w:t xml:space="preserve"> </w:t>
      </w:r>
      <w:r w:rsidR="002B217E" w:rsidRPr="00CB05A8">
        <w:t xml:space="preserve">that </w:t>
      </w:r>
      <w:r w:rsidR="003D4DDF" w:rsidRPr="00CB05A8">
        <w:t xml:space="preserve">it would </w:t>
      </w:r>
      <w:r w:rsidR="00654036" w:rsidRPr="00CB05A8">
        <w:t>also give CALJIC No. 17.11, which provides</w:t>
      </w:r>
      <w:r w:rsidR="00D61819" w:rsidRPr="00CB05A8">
        <w:t xml:space="preserve">:  “If you find the defendant guilty of the crime of murder, but have a reasonable doubt as to whether it is of the first or second degree, you must find him guilty of that crime in the second degree.”  </w:t>
      </w:r>
      <w:r w:rsidRPr="00CB05A8">
        <w:t xml:space="preserve">However, after </w:t>
      </w:r>
      <w:r w:rsidR="00D61819" w:rsidRPr="00CB05A8">
        <w:t xml:space="preserve">defense counsel informed the court that he could not find CALJIC No. 17.11 among the prepared packet of </w:t>
      </w:r>
      <w:r w:rsidR="0094009F" w:rsidRPr="00CB05A8">
        <w:t>instructions to be given</w:t>
      </w:r>
      <w:r w:rsidRPr="00CB05A8">
        <w:t xml:space="preserve">, the court </w:t>
      </w:r>
      <w:r w:rsidR="008276C7" w:rsidRPr="00CB05A8">
        <w:t>decided</w:t>
      </w:r>
      <w:r w:rsidRPr="00CB05A8">
        <w:t xml:space="preserve"> that CALJIC No.</w:t>
      </w:r>
      <w:r w:rsidR="00643FA4">
        <w:t> </w:t>
      </w:r>
      <w:r w:rsidRPr="00CB05A8">
        <w:t>8.71 sufficiently covered CALJIC No. 17.11</w:t>
      </w:r>
      <w:r w:rsidR="0094009F" w:rsidRPr="00CB05A8">
        <w:t xml:space="preserve">.  </w:t>
      </w:r>
      <w:r w:rsidR="00AF1212" w:rsidRPr="00CB05A8">
        <w:t xml:space="preserve"> </w:t>
      </w:r>
      <w:r w:rsidR="003C7529" w:rsidRPr="00CB05A8">
        <w:t xml:space="preserve"> </w:t>
      </w:r>
    </w:p>
    <w:p w14:paraId="4DFA0435" w14:textId="35F7785D" w:rsidR="00AA03AF" w:rsidRDefault="002610B9" w:rsidP="00AA03AF">
      <w:pPr>
        <w:pStyle w:val="NormalIndent"/>
        <w:ind w:left="0" w:firstLine="720"/>
      </w:pPr>
      <w:r w:rsidRPr="00CB05A8">
        <w:t xml:space="preserve">In </w:t>
      </w:r>
      <w:r w:rsidRPr="00CB05A8">
        <w:rPr>
          <w:i/>
        </w:rPr>
        <w:t>People v. Moore</w:t>
      </w:r>
      <w:r w:rsidRPr="00CB05A8">
        <w:t xml:space="preserve"> (2011) 51 Cal.4th 386</w:t>
      </w:r>
      <w:r w:rsidR="00B80A67" w:rsidRPr="00CB05A8">
        <w:t>, 411–412</w:t>
      </w:r>
      <w:r w:rsidR="00F14E02" w:rsidRPr="00CB05A8">
        <w:t xml:space="preserve"> </w:t>
      </w:r>
      <w:r w:rsidR="00617688" w:rsidRPr="00CB05A8">
        <w:t>(</w:t>
      </w:r>
      <w:r w:rsidR="00617688" w:rsidRPr="00CB05A8">
        <w:rPr>
          <w:i/>
        </w:rPr>
        <w:t>Moore</w:t>
      </w:r>
      <w:r w:rsidR="00617688" w:rsidRPr="00CB05A8">
        <w:t>)</w:t>
      </w:r>
      <w:r w:rsidRPr="00CB05A8">
        <w:t xml:space="preserve">, </w:t>
      </w:r>
      <w:r w:rsidR="00E079A8" w:rsidRPr="00CB05A8">
        <w:t>we advised</w:t>
      </w:r>
      <w:r w:rsidR="00DC7DEC" w:rsidRPr="00CB05A8">
        <w:t xml:space="preserve"> that</w:t>
      </w:r>
      <w:r w:rsidR="00E079A8" w:rsidRPr="00CB05A8">
        <w:t xml:space="preserve"> </w:t>
      </w:r>
      <w:r w:rsidR="00C10425" w:rsidRPr="00CB05A8">
        <w:t>“the better practice is not to use the 1996 revised versions of CALJIC Nos. 8.71 and 8.72</w:t>
      </w:r>
      <w:r w:rsidR="00962ACD" w:rsidRPr="00CB05A8">
        <w:t xml:space="preserve"> [relating to manslaughter]</w:t>
      </w:r>
      <w:r w:rsidR="00C10425" w:rsidRPr="00CB05A8">
        <w:t xml:space="preserve">, as the instructions carry at least some potential for confusing jurors about the role of their individual judgments in deciding between first and second degree murder, and between murder and manslaughter.  The references to unanimity in these instructions were presumably added to convey the principle that the jury as a whole may not return a verdict for a lesser included offense unless it first reaches an acquittal on the charged greater offense. </w:t>
      </w:r>
      <w:r w:rsidR="007B6FEC" w:rsidRPr="00CB05A8">
        <w:t xml:space="preserve"> </w:t>
      </w:r>
      <w:r w:rsidR="00C10425" w:rsidRPr="00CB05A8">
        <w:t>[Citation</w:t>
      </w:r>
      <w:r w:rsidR="006432DD" w:rsidRPr="00CB05A8">
        <w:t>.</w:t>
      </w:r>
      <w:r w:rsidR="00C10425" w:rsidRPr="00CB05A8">
        <w:t xml:space="preserve">] </w:t>
      </w:r>
      <w:r w:rsidR="007B6FEC" w:rsidRPr="00CB05A8">
        <w:t xml:space="preserve"> </w:t>
      </w:r>
      <w:r w:rsidR="00C10425" w:rsidRPr="00CB05A8">
        <w:t xml:space="preserve">But inserting this language into CALJIC Nos. 8.71 and 8.72, which address the role of reasonable doubt in choosing between </w:t>
      </w:r>
      <w:r w:rsidR="007B6FEC" w:rsidRPr="00CB05A8">
        <w:t xml:space="preserve">greater </w:t>
      </w:r>
      <w:r w:rsidR="00C10425" w:rsidRPr="00CB05A8">
        <w:t xml:space="preserve">and lesser homicide offenses, was unnecessary, as CALJIC No. 8.75 fully explains that the jury must unanimously agree to not guilty verdicts on the greater homicide offenses before the jury as a whole may return verdicts on the lesser.” </w:t>
      </w:r>
      <w:r w:rsidR="007B6FEC" w:rsidRPr="00CB05A8">
        <w:t xml:space="preserve"> </w:t>
      </w:r>
      <w:r w:rsidR="00595B1E">
        <w:t xml:space="preserve">Nevertheless, we </w:t>
      </w:r>
      <w:r w:rsidR="00342BD0">
        <w:t>determin</w:t>
      </w:r>
      <w:r w:rsidR="00A63C09">
        <w:t xml:space="preserve">ed that any error in giving these instructions was harmless beyond a reasonable doubt in light of the jury’s true findings on the </w:t>
      </w:r>
      <w:r w:rsidR="00FF586D">
        <w:t xml:space="preserve">burglary-murder and robbery-murder special circumstances, reasoning that the jury must have found the defendant guilty of first degree murder on </w:t>
      </w:r>
      <w:r w:rsidR="003D0D27">
        <w:t xml:space="preserve">the </w:t>
      </w:r>
      <w:r w:rsidR="00035CED">
        <w:t xml:space="preserve">same </w:t>
      </w:r>
      <w:r w:rsidR="003D0D27">
        <w:t>felony-murder theory</w:t>
      </w:r>
      <w:r w:rsidR="00035CED">
        <w:t>.  (</w:t>
      </w:r>
      <w:r w:rsidR="00035CED">
        <w:rPr>
          <w:i/>
          <w:iCs/>
        </w:rPr>
        <w:t>Id.</w:t>
      </w:r>
      <w:r w:rsidR="00035CED">
        <w:t xml:space="preserve"> at p. 412.)</w:t>
      </w:r>
    </w:p>
    <w:p w14:paraId="2DBC8694" w14:textId="716F3EAF" w:rsidR="006D3C1D" w:rsidRPr="007A7189" w:rsidRDefault="00C11DCA" w:rsidP="00AA03AF">
      <w:pPr>
        <w:pStyle w:val="NormalIndent"/>
        <w:ind w:left="0" w:firstLine="720"/>
      </w:pPr>
      <w:r>
        <w:t xml:space="preserve">We conclude, as we did in </w:t>
      </w:r>
      <w:r>
        <w:rPr>
          <w:i/>
          <w:iCs/>
        </w:rPr>
        <w:t>Moore</w:t>
      </w:r>
      <w:r>
        <w:t xml:space="preserve">, that any error in giving the </w:t>
      </w:r>
      <w:r w:rsidR="00345E78">
        <w:t xml:space="preserve">1996 </w:t>
      </w:r>
      <w:r>
        <w:t>revised version of CALJIC No. 8.71</w:t>
      </w:r>
      <w:r w:rsidR="00345E78">
        <w:t xml:space="preserve"> was harmless beyond a reasonable doubt in light of the jury’s true findings </w:t>
      </w:r>
      <w:r w:rsidR="00076754" w:rsidRPr="00CB05A8">
        <w:t>that defendant committed the murder for the purpose of avoiding arrest and while engaged in the commission of a robbery, and that defendant intentionally killed a peace officer engaged in the performance of his duties</w:t>
      </w:r>
      <w:r w:rsidR="009851B6">
        <w:t>.</w:t>
      </w:r>
      <w:r w:rsidR="007A7189">
        <w:t xml:space="preserve">  (</w:t>
      </w:r>
      <w:r w:rsidR="007A7189">
        <w:rPr>
          <w:i/>
          <w:iCs/>
        </w:rPr>
        <w:t>Moore</w:t>
      </w:r>
      <w:r w:rsidR="007A7189">
        <w:t xml:space="preserve">, </w:t>
      </w:r>
      <w:r w:rsidR="007A7189">
        <w:rPr>
          <w:i/>
          <w:iCs/>
        </w:rPr>
        <w:t>supra</w:t>
      </w:r>
      <w:r w:rsidR="007A7189">
        <w:t>, 51 Cal.4th at p. 412.)</w:t>
      </w:r>
      <w:r w:rsidR="008C62CD">
        <w:t xml:space="preserve">  </w:t>
      </w:r>
      <w:r w:rsidR="008C62CD">
        <w:rPr>
          <w:iCs/>
        </w:rPr>
        <w:t>These findings</w:t>
      </w:r>
      <w:r w:rsidR="008C62CD" w:rsidRPr="00A61796">
        <w:rPr>
          <w:iCs/>
        </w:rPr>
        <w:t xml:space="preserve"> </w:t>
      </w:r>
      <w:r w:rsidR="008C62CD">
        <w:rPr>
          <w:iCs/>
        </w:rPr>
        <w:t>“</w:t>
      </w:r>
      <w:r w:rsidR="008C62CD" w:rsidRPr="00A61796">
        <w:rPr>
          <w:iCs/>
        </w:rPr>
        <w:t>left no room for the lesser offense</w:t>
      </w:r>
      <w:r w:rsidR="00144243">
        <w:rPr>
          <w:iCs/>
        </w:rPr>
        <w:t>[]</w:t>
      </w:r>
      <w:r w:rsidR="008C62CD" w:rsidRPr="00A61796">
        <w:rPr>
          <w:iCs/>
        </w:rPr>
        <w:t xml:space="preserve"> of second degree murder.</w:t>
      </w:r>
      <w:r w:rsidR="008C62CD">
        <w:rPr>
          <w:iCs/>
        </w:rPr>
        <w:t>”  (</w:t>
      </w:r>
      <w:r w:rsidR="00144243">
        <w:rPr>
          <w:i/>
        </w:rPr>
        <w:t xml:space="preserve">People v. </w:t>
      </w:r>
      <w:r w:rsidR="008C62CD">
        <w:rPr>
          <w:i/>
        </w:rPr>
        <w:t>Salazar</w:t>
      </w:r>
      <w:r w:rsidR="00144243">
        <w:rPr>
          <w:iCs/>
        </w:rPr>
        <w:t xml:space="preserve"> (2016)</w:t>
      </w:r>
      <w:r w:rsidR="008C62CD" w:rsidRPr="00A61796">
        <w:rPr>
          <w:iCs/>
        </w:rPr>
        <w:t xml:space="preserve"> 63 Cal.4th </w:t>
      </w:r>
      <w:r w:rsidR="00144243">
        <w:rPr>
          <w:iCs/>
        </w:rPr>
        <w:t>214,</w:t>
      </w:r>
      <w:r w:rsidR="008C62CD">
        <w:rPr>
          <w:iCs/>
        </w:rPr>
        <w:t> </w:t>
      </w:r>
      <w:r w:rsidR="008C62CD" w:rsidRPr="00A61796">
        <w:rPr>
          <w:iCs/>
        </w:rPr>
        <w:t>247</w:t>
      </w:r>
      <w:r w:rsidR="008C62CD">
        <w:rPr>
          <w:iCs/>
        </w:rPr>
        <w:t xml:space="preserve">.)  </w:t>
      </w:r>
      <w:r w:rsidR="00BB6BEB">
        <w:rPr>
          <w:iCs/>
        </w:rPr>
        <w:t>“A</w:t>
      </w:r>
      <w:r w:rsidR="008C62CD" w:rsidRPr="00431A46">
        <w:rPr>
          <w:iCs/>
        </w:rPr>
        <w:t>ny confusion generated by the challenged instructions, therefore, could not have affected the jury</w:t>
      </w:r>
      <w:r w:rsidR="008C62CD">
        <w:rPr>
          <w:iCs/>
        </w:rPr>
        <w:t>’</w:t>
      </w:r>
      <w:r w:rsidR="008C62CD" w:rsidRPr="00431A46">
        <w:rPr>
          <w:iCs/>
        </w:rPr>
        <w:t>s verdicts.</w:t>
      </w:r>
      <w:r w:rsidR="008C62CD">
        <w:rPr>
          <w:iCs/>
        </w:rPr>
        <w:t>”  (</w:t>
      </w:r>
      <w:r w:rsidR="008C62CD">
        <w:rPr>
          <w:i/>
        </w:rPr>
        <w:t>Moore</w:t>
      </w:r>
      <w:r w:rsidR="008C62CD">
        <w:rPr>
          <w:iCs/>
        </w:rPr>
        <w:t xml:space="preserve">, at p. 412.)  </w:t>
      </w:r>
    </w:p>
    <w:p w14:paraId="28131564" w14:textId="720B5506" w:rsidR="00B24EBD" w:rsidRPr="00CB05A8" w:rsidRDefault="00467EF3" w:rsidP="00F105E8">
      <w:pPr>
        <w:pStyle w:val="Heading4"/>
        <w:numPr>
          <w:ilvl w:val="0"/>
          <w:numId w:val="36"/>
        </w:numPr>
        <w:ind w:left="2016" w:hanging="432"/>
      </w:pPr>
      <w:bookmarkStart w:id="54" w:name="_Toc58918807"/>
      <w:r w:rsidRPr="00CB05A8">
        <w:t>U</w:t>
      </w:r>
      <w:r w:rsidR="007178CA" w:rsidRPr="00CB05A8">
        <w:t>nanimity instruction</w:t>
      </w:r>
      <w:r w:rsidR="00206D9E" w:rsidRPr="00CB05A8">
        <w:t xml:space="preserve"> on </w:t>
      </w:r>
      <w:r w:rsidR="00112D10" w:rsidRPr="00CB05A8">
        <w:t>first degree</w:t>
      </w:r>
      <w:r w:rsidR="00206D9E" w:rsidRPr="00CB05A8">
        <w:t xml:space="preserve"> </w:t>
      </w:r>
      <w:r w:rsidR="00B13729" w:rsidRPr="00CB05A8">
        <w:t>m</w:t>
      </w:r>
      <w:r w:rsidR="00206D9E" w:rsidRPr="00CB05A8">
        <w:t>urder</w:t>
      </w:r>
      <w:r w:rsidR="00113814" w:rsidRPr="00CB05A8">
        <w:t xml:space="preserve"> </w:t>
      </w:r>
      <w:r w:rsidRPr="00CB05A8">
        <w:t xml:space="preserve">theory </w:t>
      </w:r>
      <w:bookmarkEnd w:id="54"/>
    </w:p>
    <w:p w14:paraId="3F0D2E5A" w14:textId="77F453EC" w:rsidR="00130A99" w:rsidRPr="00CB05A8" w:rsidRDefault="00130A99" w:rsidP="00F105E8">
      <w:pPr>
        <w:pStyle w:val="NormalIndent"/>
        <w:ind w:left="0" w:firstLine="720"/>
      </w:pPr>
      <w:r w:rsidRPr="00CB05A8">
        <w:t xml:space="preserve">Defendant </w:t>
      </w:r>
      <w:r w:rsidR="0015589F" w:rsidRPr="00CB05A8">
        <w:t xml:space="preserve">contends </w:t>
      </w:r>
      <w:r w:rsidRPr="00CB05A8">
        <w:t xml:space="preserve">the </w:t>
      </w:r>
      <w:r w:rsidR="007363AD" w:rsidRPr="00CB05A8">
        <w:t>trial</w:t>
      </w:r>
      <w:r w:rsidRPr="00CB05A8">
        <w:t xml:space="preserve"> court erred by failing to require </w:t>
      </w:r>
      <w:r w:rsidR="00B80B53" w:rsidRPr="00CB05A8">
        <w:t xml:space="preserve">unanimous agreement as to which theory of guilt the jury accepted </w:t>
      </w:r>
      <w:r w:rsidR="000C773C" w:rsidRPr="00CB05A8">
        <w:t>in</w:t>
      </w:r>
      <w:r w:rsidR="00B80B53" w:rsidRPr="00CB05A8">
        <w:t xml:space="preserve"> support </w:t>
      </w:r>
      <w:r w:rsidR="000C773C" w:rsidRPr="00CB05A8">
        <w:t xml:space="preserve">of </w:t>
      </w:r>
      <w:r w:rsidR="00B80B53" w:rsidRPr="00CB05A8">
        <w:t>a first degree murder verdict</w:t>
      </w:r>
      <w:r w:rsidR="00767BCA" w:rsidRPr="00CB05A8">
        <w:t xml:space="preserve">.  </w:t>
      </w:r>
      <w:r w:rsidR="00901CD0" w:rsidRPr="00CB05A8">
        <w:rPr>
          <w:szCs w:val="26"/>
        </w:rPr>
        <w:t xml:space="preserve">As we explained in </w:t>
      </w:r>
      <w:r w:rsidR="00901CD0" w:rsidRPr="00CB05A8">
        <w:rPr>
          <w:i/>
          <w:szCs w:val="26"/>
        </w:rPr>
        <w:t>People v. Sattiewhite</w:t>
      </w:r>
      <w:r w:rsidR="00672E2F" w:rsidRPr="00CB05A8">
        <w:rPr>
          <w:szCs w:val="26"/>
        </w:rPr>
        <w:t xml:space="preserve"> </w:t>
      </w:r>
      <w:r w:rsidR="00672E2F" w:rsidRPr="00CB05A8">
        <w:rPr>
          <w:szCs w:val="24"/>
        </w:rPr>
        <w:t>(2014) 59</w:t>
      </w:r>
      <w:r w:rsidR="000C773C" w:rsidRPr="00CB05A8">
        <w:rPr>
          <w:szCs w:val="24"/>
        </w:rPr>
        <w:t xml:space="preserve"> </w:t>
      </w:r>
      <w:r w:rsidR="00672E2F" w:rsidRPr="00CB05A8">
        <w:rPr>
          <w:szCs w:val="24"/>
        </w:rPr>
        <w:t xml:space="preserve">Cal.4th 446, </w:t>
      </w:r>
      <w:r w:rsidR="00471DF9" w:rsidRPr="00CB05A8">
        <w:rPr>
          <w:szCs w:val="24"/>
        </w:rPr>
        <w:t xml:space="preserve">479, </w:t>
      </w:r>
      <w:r w:rsidR="00901CD0" w:rsidRPr="00CB05A8">
        <w:rPr>
          <w:szCs w:val="26"/>
        </w:rPr>
        <w:t>premeditated murder and felony murder</w:t>
      </w:r>
      <w:r w:rsidR="003A5136" w:rsidRPr="00CB05A8">
        <w:rPr>
          <w:szCs w:val="26"/>
        </w:rPr>
        <w:t xml:space="preserve"> </w:t>
      </w:r>
      <w:r w:rsidR="00672E2F" w:rsidRPr="00CB05A8">
        <w:rPr>
          <w:szCs w:val="26"/>
        </w:rPr>
        <w:t>a</w:t>
      </w:r>
      <w:r w:rsidR="00901CD0" w:rsidRPr="00CB05A8">
        <w:rPr>
          <w:szCs w:val="26"/>
        </w:rPr>
        <w:t>re not different crimes</w:t>
      </w:r>
      <w:r w:rsidR="0085576E" w:rsidRPr="00CB05A8">
        <w:rPr>
          <w:szCs w:val="26"/>
        </w:rPr>
        <w:t>,</w:t>
      </w:r>
      <w:r w:rsidR="00901CD0" w:rsidRPr="00CB05A8">
        <w:rPr>
          <w:szCs w:val="26"/>
        </w:rPr>
        <w:t xml:space="preserve"> but </w:t>
      </w:r>
      <w:r w:rsidR="00672E2F" w:rsidRPr="00CB05A8">
        <w:rPr>
          <w:szCs w:val="26"/>
        </w:rPr>
        <w:t>a</w:t>
      </w:r>
      <w:r w:rsidR="00901CD0" w:rsidRPr="00CB05A8">
        <w:rPr>
          <w:szCs w:val="26"/>
        </w:rPr>
        <w:t xml:space="preserve">re instead alternate mechanisms of determining liability. </w:t>
      </w:r>
      <w:r w:rsidR="00672E2F" w:rsidRPr="00CB05A8">
        <w:rPr>
          <w:szCs w:val="26"/>
        </w:rPr>
        <w:t xml:space="preserve"> </w:t>
      </w:r>
      <w:r w:rsidR="0085576E" w:rsidRPr="00CB05A8">
        <w:rPr>
          <w:szCs w:val="26"/>
        </w:rPr>
        <w:t xml:space="preserve">Accordingly, </w:t>
      </w:r>
      <w:r w:rsidR="00FF2714" w:rsidRPr="00CB05A8">
        <w:rPr>
          <w:szCs w:val="26"/>
        </w:rPr>
        <w:t>“</w:t>
      </w:r>
      <w:r w:rsidR="0085576E" w:rsidRPr="00CB05A8">
        <w:rPr>
          <w:szCs w:val="26"/>
        </w:rPr>
        <w:t>a</w:t>
      </w:r>
      <w:r w:rsidR="00FF2714" w:rsidRPr="00CB05A8">
        <w:rPr>
          <w:szCs w:val="26"/>
        </w:rPr>
        <w:t>s long as each juror is convinced beyond a reasonable doubt that defendant is guilty of murder as that offense is defined by statute, it need not decide unanimously by which theory he is guilty.”  (</w:t>
      </w:r>
      <w:r w:rsidR="00FF2714" w:rsidRPr="00CB05A8">
        <w:rPr>
          <w:i/>
          <w:iCs/>
          <w:szCs w:val="26"/>
        </w:rPr>
        <w:t>People v. Santamaria</w:t>
      </w:r>
      <w:r w:rsidR="00FF2714" w:rsidRPr="00CB05A8">
        <w:rPr>
          <w:szCs w:val="26"/>
        </w:rPr>
        <w:t xml:space="preserve"> (1994) 8 Cal.4th 903, 918; see also</w:t>
      </w:r>
      <w:r w:rsidR="00DE2D90" w:rsidRPr="00CB05A8">
        <w:rPr>
          <w:i/>
          <w:szCs w:val="26"/>
        </w:rPr>
        <w:t xml:space="preserve"> People v. Potts</w:t>
      </w:r>
      <w:r w:rsidR="00DE2D90" w:rsidRPr="00CB05A8">
        <w:rPr>
          <w:szCs w:val="26"/>
        </w:rPr>
        <w:t xml:space="preserve"> (2019) 6 Cal.5th 1012, 1048.)  </w:t>
      </w:r>
      <w:r w:rsidR="0085576E" w:rsidRPr="00CB05A8">
        <w:t>D</w:t>
      </w:r>
      <w:r w:rsidR="00DE2D90" w:rsidRPr="00CB05A8">
        <w:t xml:space="preserve">efendant offers no reasoned basis for us to reconsider </w:t>
      </w:r>
      <w:r w:rsidR="002609EE" w:rsidRPr="00CB05A8">
        <w:t xml:space="preserve">our previously expressed view.  </w:t>
      </w:r>
    </w:p>
    <w:p w14:paraId="48FE72BB" w14:textId="023A8A65" w:rsidR="00206D9E" w:rsidRPr="00CB05A8" w:rsidRDefault="00D86471" w:rsidP="00F105E8">
      <w:pPr>
        <w:pStyle w:val="Heading4"/>
        <w:numPr>
          <w:ilvl w:val="0"/>
          <w:numId w:val="36"/>
        </w:numPr>
        <w:ind w:left="2016" w:hanging="432"/>
      </w:pPr>
      <w:bookmarkStart w:id="55" w:name="_Toc58918808"/>
      <w:r w:rsidRPr="00CB05A8">
        <w:t>Other f</w:t>
      </w:r>
      <w:r w:rsidR="000E0AB5" w:rsidRPr="00CB05A8">
        <w:t xml:space="preserve">irst </w:t>
      </w:r>
      <w:r w:rsidR="006A776E" w:rsidRPr="00CB05A8">
        <w:t>d</w:t>
      </w:r>
      <w:r w:rsidR="000E0AB5" w:rsidRPr="00CB05A8">
        <w:t xml:space="preserve">egree </w:t>
      </w:r>
      <w:r w:rsidR="006A776E" w:rsidRPr="00CB05A8">
        <w:t>m</w:t>
      </w:r>
      <w:r w:rsidR="000E0AB5" w:rsidRPr="00CB05A8">
        <w:t xml:space="preserve">urder </w:t>
      </w:r>
      <w:r w:rsidRPr="00CB05A8">
        <w:t xml:space="preserve">instructions </w:t>
      </w:r>
      <w:bookmarkEnd w:id="55"/>
    </w:p>
    <w:p w14:paraId="18B15C80" w14:textId="16B27202" w:rsidR="008831B0" w:rsidRPr="00CB05A8" w:rsidRDefault="007F55E7" w:rsidP="00F105E8">
      <w:pPr>
        <w:pStyle w:val="NormalIndent"/>
        <w:ind w:left="0" w:firstLine="720"/>
      </w:pPr>
      <w:r w:rsidRPr="00CB05A8">
        <w:t>Defendant</w:t>
      </w:r>
      <w:r w:rsidR="00C91171" w:rsidRPr="00CB05A8">
        <w:t xml:space="preserve"> </w:t>
      </w:r>
      <w:r w:rsidR="00EF1739" w:rsidRPr="00CB05A8">
        <w:t xml:space="preserve">alleges the </w:t>
      </w:r>
      <w:r w:rsidR="007363AD" w:rsidRPr="00CB05A8">
        <w:t>trial</w:t>
      </w:r>
      <w:r w:rsidR="00EF1739" w:rsidRPr="00CB05A8">
        <w:t xml:space="preserve"> court</w:t>
      </w:r>
      <w:r w:rsidR="00253DDE" w:rsidRPr="00CB05A8">
        <w:t xml:space="preserve"> erred</w:t>
      </w:r>
      <w:r w:rsidR="00EF1739" w:rsidRPr="00CB05A8">
        <w:t xml:space="preserve"> in instructing the jury on first degree mu</w:t>
      </w:r>
      <w:r w:rsidR="00253DDE" w:rsidRPr="00CB05A8">
        <w:t>r</w:t>
      </w:r>
      <w:r w:rsidR="00EF1739" w:rsidRPr="00CB05A8">
        <w:t xml:space="preserve">der </w:t>
      </w:r>
      <w:r w:rsidR="00253DDE" w:rsidRPr="00CB05A8">
        <w:t xml:space="preserve">because the amended information charged him </w:t>
      </w:r>
      <w:r w:rsidR="00CC38F5" w:rsidRPr="00CB05A8">
        <w:t xml:space="preserve">only with “malice murder” under section 187.  </w:t>
      </w:r>
      <w:r w:rsidR="00DE380B" w:rsidRPr="00CB05A8">
        <w:t xml:space="preserve">He </w:t>
      </w:r>
      <w:r w:rsidR="00921EF0" w:rsidRPr="00CB05A8">
        <w:t>claims</w:t>
      </w:r>
      <w:r w:rsidR="00DE380B" w:rsidRPr="00CB05A8">
        <w:t xml:space="preserve"> the </w:t>
      </w:r>
      <w:r w:rsidR="00921EF0" w:rsidRPr="00CB05A8">
        <w:t xml:space="preserve">trial </w:t>
      </w:r>
      <w:r w:rsidR="00DE380B" w:rsidRPr="00CB05A8">
        <w:t>court lacked jurisdiction to try him for the uncharged crime of first degree murder</w:t>
      </w:r>
      <w:r w:rsidR="00230B84" w:rsidRPr="00CB05A8">
        <w:t xml:space="preserve">.  </w:t>
      </w:r>
    </w:p>
    <w:p w14:paraId="4439AD7D" w14:textId="5FC2ACCD" w:rsidR="000D4E40" w:rsidRPr="00CB05A8" w:rsidRDefault="005308F1" w:rsidP="00F105E8">
      <w:pPr>
        <w:pStyle w:val="NormalIndent"/>
        <w:ind w:left="0" w:firstLine="720"/>
      </w:pPr>
      <w:r w:rsidRPr="00CB05A8">
        <w:t xml:space="preserve">We </w:t>
      </w:r>
      <w:r w:rsidR="00D32D39" w:rsidRPr="00CB05A8">
        <w:t xml:space="preserve">have </w:t>
      </w:r>
      <w:r w:rsidRPr="00CB05A8">
        <w:t>previously held that a defendant may be convicted of first degree mu</w:t>
      </w:r>
      <w:r w:rsidR="00AE024D" w:rsidRPr="00CB05A8">
        <w:t>r</w:t>
      </w:r>
      <w:r w:rsidRPr="00CB05A8">
        <w:t xml:space="preserve">der even though the information charged </w:t>
      </w:r>
      <w:r w:rsidR="00AE024D" w:rsidRPr="00CB05A8">
        <w:t xml:space="preserve">only murder with malice in violation of section 187. </w:t>
      </w:r>
      <w:r w:rsidR="00230B84" w:rsidRPr="00CB05A8">
        <w:t xml:space="preserve"> </w:t>
      </w:r>
      <w:r w:rsidR="00AE024D" w:rsidRPr="00CB05A8">
        <w:t>(</w:t>
      </w:r>
      <w:r w:rsidR="001418A5" w:rsidRPr="00CB05A8">
        <w:t>See, e</w:t>
      </w:r>
      <w:r w:rsidR="004839CB" w:rsidRPr="00CB05A8">
        <w:t xml:space="preserve">.g., </w:t>
      </w:r>
      <w:r w:rsidR="002F09AD" w:rsidRPr="00CB05A8">
        <w:rPr>
          <w:i/>
        </w:rPr>
        <w:t>People v. Hughes</w:t>
      </w:r>
      <w:r w:rsidR="002F09AD" w:rsidRPr="00CB05A8">
        <w:t xml:space="preserve"> (2002) 27 Cal.4th 287</w:t>
      </w:r>
      <w:r w:rsidR="00AE024D" w:rsidRPr="00CB05A8">
        <w:t>, 368–370</w:t>
      </w:r>
      <w:r w:rsidR="00A069E6" w:rsidRPr="00CB05A8">
        <w:t xml:space="preserve"> (</w:t>
      </w:r>
      <w:r w:rsidR="00A069E6" w:rsidRPr="00CB05A8">
        <w:rPr>
          <w:i/>
        </w:rPr>
        <w:t>Hughes</w:t>
      </w:r>
      <w:r w:rsidR="00A069E6" w:rsidRPr="00CB05A8">
        <w:t>)</w:t>
      </w:r>
      <w:r w:rsidR="00230B84" w:rsidRPr="00CB05A8">
        <w:t>.</w:t>
      </w:r>
      <w:r w:rsidR="00AE024D" w:rsidRPr="00CB05A8">
        <w:t>)</w:t>
      </w:r>
      <w:r w:rsidR="008224A4" w:rsidRPr="00CB05A8">
        <w:t xml:space="preserve">  </w:t>
      </w:r>
      <w:r w:rsidR="004839CB" w:rsidRPr="00CB05A8">
        <w:t xml:space="preserve">In </w:t>
      </w:r>
      <w:r w:rsidR="00ED29AF" w:rsidRPr="00CB05A8">
        <w:rPr>
          <w:i/>
        </w:rPr>
        <w:t>Hughes</w:t>
      </w:r>
      <w:r w:rsidR="004839CB" w:rsidRPr="00CB05A8">
        <w:t>, we</w:t>
      </w:r>
      <w:r w:rsidR="00675AFE" w:rsidRPr="00CB05A8">
        <w:t xml:space="preserve"> rejected </w:t>
      </w:r>
      <w:r w:rsidR="004839CB" w:rsidRPr="00CB05A8">
        <w:t xml:space="preserve">the </w:t>
      </w:r>
      <w:r w:rsidR="00675AFE" w:rsidRPr="00CB05A8">
        <w:t>defendant’s</w:t>
      </w:r>
      <w:r w:rsidR="00ED29AF" w:rsidRPr="00CB05A8">
        <w:t xml:space="preserve"> </w:t>
      </w:r>
      <w:r w:rsidR="008E032D" w:rsidRPr="00CB05A8">
        <w:t>premise that</w:t>
      </w:r>
      <w:r w:rsidR="00ED29AF" w:rsidRPr="00CB05A8">
        <w:t xml:space="preserve"> felony murder and malice murder are separate offenses</w:t>
      </w:r>
      <w:r w:rsidR="004A16F1" w:rsidRPr="00CB05A8">
        <w:t>.  (</w:t>
      </w:r>
      <w:r w:rsidR="004A16F1" w:rsidRPr="00CB05A8">
        <w:rPr>
          <w:i/>
        </w:rPr>
        <w:t>Id.</w:t>
      </w:r>
      <w:r w:rsidR="004A16F1" w:rsidRPr="00CB05A8">
        <w:t xml:space="preserve"> at p. 369.)  </w:t>
      </w:r>
      <w:r w:rsidR="000F3C3F" w:rsidRPr="00CB05A8">
        <w:t xml:space="preserve">Consistent with our precedent, </w:t>
      </w:r>
      <w:r w:rsidR="00595EA5" w:rsidRPr="00CB05A8">
        <w:t>we</w:t>
      </w:r>
      <w:r w:rsidR="00D34762" w:rsidRPr="00CB05A8">
        <w:t xml:space="preserve"> </w:t>
      </w:r>
      <w:r w:rsidR="00595EA5" w:rsidRPr="00CB05A8">
        <w:t>“</w:t>
      </w:r>
      <w:r w:rsidR="00D34762" w:rsidRPr="00CB05A8">
        <w:t xml:space="preserve">reject defendant’s interrelated claims that the trial court lacked jurisdiction to try him for first degree murder and improperly instructed on theories of first degree murder.” </w:t>
      </w:r>
      <w:r w:rsidR="000520C6" w:rsidRPr="00CB05A8">
        <w:t xml:space="preserve"> </w:t>
      </w:r>
      <w:r w:rsidR="00D34762" w:rsidRPr="00CB05A8">
        <w:t>(</w:t>
      </w:r>
      <w:r w:rsidR="00D34762" w:rsidRPr="00CB05A8">
        <w:rPr>
          <w:i/>
        </w:rPr>
        <w:t>People v. Morgan</w:t>
      </w:r>
      <w:r w:rsidR="00D34762" w:rsidRPr="00CB05A8">
        <w:t xml:space="preserve"> (2007) 42 Cal.4th 593, 616</w:t>
      </w:r>
      <w:r w:rsidR="00A771D6" w:rsidRPr="00CB05A8">
        <w:t xml:space="preserve"> (</w:t>
      </w:r>
      <w:r w:rsidR="00A771D6" w:rsidRPr="00CB05A8">
        <w:rPr>
          <w:i/>
        </w:rPr>
        <w:t>Morgan</w:t>
      </w:r>
      <w:r w:rsidR="00A771D6" w:rsidRPr="00CB05A8">
        <w:t>)</w:t>
      </w:r>
      <w:r w:rsidR="008C73CD" w:rsidRPr="00CB05A8">
        <w:t>.)</w:t>
      </w:r>
    </w:p>
    <w:p w14:paraId="20D2A71B" w14:textId="328CD546" w:rsidR="00B0633E" w:rsidRPr="00CB05A8" w:rsidRDefault="000D4E40" w:rsidP="00F105E8">
      <w:pPr>
        <w:pStyle w:val="NormalIndent"/>
        <w:ind w:left="0" w:firstLine="720"/>
      </w:pPr>
      <w:r w:rsidRPr="00CB05A8">
        <w:t xml:space="preserve">To the extent defendant asserts he received inadequate notice of the prosecution’s </w:t>
      </w:r>
      <w:r w:rsidR="00A069E6" w:rsidRPr="00CB05A8">
        <w:t>theory of the case, we have explained</w:t>
      </w:r>
      <w:r w:rsidR="004A16F1" w:rsidRPr="00CB05A8">
        <w:t xml:space="preserve"> </w:t>
      </w:r>
      <w:r w:rsidR="00B35482" w:rsidRPr="00CB05A8">
        <w:t>that a</w:t>
      </w:r>
      <w:r w:rsidR="008736FC" w:rsidRPr="00CB05A8">
        <w:t xml:space="preserve"> defendant will generally receive </w:t>
      </w:r>
      <w:r w:rsidR="00002498" w:rsidRPr="00CB05A8">
        <w:t xml:space="preserve">such </w:t>
      </w:r>
      <w:r w:rsidR="008736FC" w:rsidRPr="00CB05A8">
        <w:t>notice fro</w:t>
      </w:r>
      <w:r w:rsidR="000F0342" w:rsidRPr="00CB05A8">
        <w:t>m</w:t>
      </w:r>
      <w:r w:rsidR="008736FC" w:rsidRPr="00CB05A8">
        <w:t xml:space="preserve"> the testimony presented at the preliminary hearing or </w:t>
      </w:r>
      <w:r w:rsidR="000F0342" w:rsidRPr="00CB05A8">
        <w:t>at the indictment proceedings.  (</w:t>
      </w:r>
      <w:r w:rsidR="00A069E6" w:rsidRPr="00CB05A8">
        <w:rPr>
          <w:i/>
        </w:rPr>
        <w:t>Hughes</w:t>
      </w:r>
      <w:r w:rsidR="00A069E6" w:rsidRPr="00CB05A8">
        <w:t xml:space="preserve">, </w:t>
      </w:r>
      <w:r w:rsidR="00A069E6" w:rsidRPr="00CB05A8">
        <w:rPr>
          <w:i/>
        </w:rPr>
        <w:t>supra</w:t>
      </w:r>
      <w:r w:rsidR="00A069E6" w:rsidRPr="00CB05A8">
        <w:t>, 27 Cal.4th</w:t>
      </w:r>
      <w:r w:rsidR="000F0342" w:rsidRPr="00CB05A8">
        <w:t xml:space="preserve"> at pp.</w:t>
      </w:r>
      <w:r w:rsidR="000F006F">
        <w:t> </w:t>
      </w:r>
      <w:r w:rsidR="000F0342" w:rsidRPr="00CB05A8">
        <w:t>369–370</w:t>
      </w:r>
      <w:r w:rsidR="000E3EC0" w:rsidRPr="00CB05A8">
        <w:t xml:space="preserve">, citing, e.g., </w:t>
      </w:r>
      <w:r w:rsidR="000E3EC0" w:rsidRPr="00CB05A8">
        <w:rPr>
          <w:i/>
        </w:rPr>
        <w:t>People v. Diaz</w:t>
      </w:r>
      <w:r w:rsidR="000F0342" w:rsidRPr="00CB05A8">
        <w:t xml:space="preserve"> </w:t>
      </w:r>
      <w:r w:rsidR="000E3EC0" w:rsidRPr="00CB05A8">
        <w:t>(1992) 3 Cal.4th 495, 557.)</w:t>
      </w:r>
      <w:r w:rsidR="008831B0" w:rsidRPr="00CB05A8">
        <w:t xml:space="preserve">  Here, the information alleged the special circumstance of murder in the commission of a robbery as part of the murder charge in count one, and separately charged defendant with robbery in count two</w:t>
      </w:r>
      <w:r w:rsidR="00D976C1" w:rsidRPr="00CB05A8">
        <w:t>;</w:t>
      </w:r>
      <w:r w:rsidR="00222AB6" w:rsidRPr="00CB05A8">
        <w:t xml:space="preserve"> the preliminary hearing testimony made clear the prosecution’s intent to establish that defendant killed Deputy Trejo with premeditation and deliberation and, alternatively, during the commission of a robbery</w:t>
      </w:r>
      <w:r w:rsidR="00D976C1" w:rsidRPr="00CB05A8">
        <w:t>; and</w:t>
      </w:r>
      <w:r w:rsidR="00232F05" w:rsidRPr="00CB05A8">
        <w:t xml:space="preserve"> the evidence at trial </w:t>
      </w:r>
      <w:r w:rsidR="00685400" w:rsidRPr="00CB05A8">
        <w:t xml:space="preserve">further </w:t>
      </w:r>
      <w:r w:rsidR="00232F05" w:rsidRPr="00CB05A8">
        <w:t>alerted defendant to the premeditated murder and felony murder theories.</w:t>
      </w:r>
      <w:r w:rsidR="00844482" w:rsidRPr="00CB05A8">
        <w:t xml:space="preserve">  </w:t>
      </w:r>
      <w:r w:rsidR="00095D9A">
        <w:t>W</w:t>
      </w:r>
      <w:r w:rsidR="00933B14" w:rsidRPr="00CB05A8">
        <w:t>e conclude that t</w:t>
      </w:r>
      <w:r w:rsidR="00D976C1" w:rsidRPr="00CB05A8">
        <w:t xml:space="preserve">hose allegations </w:t>
      </w:r>
      <w:r w:rsidR="003B7C5C">
        <w:t xml:space="preserve">and that evidence </w:t>
      </w:r>
      <w:r w:rsidR="00D976C1" w:rsidRPr="00CB05A8">
        <w:t xml:space="preserve">provided notice that the prosecutor would proceed under </w:t>
      </w:r>
      <w:r w:rsidR="00960E2A" w:rsidRPr="00CB05A8">
        <w:t xml:space="preserve">premeditated-murder and felony-murder theories.  </w:t>
      </w:r>
      <w:r w:rsidR="00F5307D" w:rsidRPr="00CB05A8">
        <w:t>(</w:t>
      </w:r>
      <w:r w:rsidR="00F5307D" w:rsidRPr="00CB05A8">
        <w:rPr>
          <w:i/>
        </w:rPr>
        <w:t>Morgan</w:t>
      </w:r>
      <w:r w:rsidR="008C73CD" w:rsidRPr="00CB05A8">
        <w:t xml:space="preserve">, </w:t>
      </w:r>
      <w:r w:rsidR="008C73CD" w:rsidRPr="00CB05A8">
        <w:rPr>
          <w:i/>
        </w:rPr>
        <w:t>supra</w:t>
      </w:r>
      <w:r w:rsidR="008C73CD" w:rsidRPr="00CB05A8">
        <w:t xml:space="preserve">, </w:t>
      </w:r>
      <w:r w:rsidR="00F5307D" w:rsidRPr="00CB05A8">
        <w:t xml:space="preserve">42 Cal.4th </w:t>
      </w:r>
      <w:r w:rsidR="008C73CD" w:rsidRPr="00CB05A8">
        <w:t>at pp.</w:t>
      </w:r>
      <w:r w:rsidR="00F5307D" w:rsidRPr="00CB05A8">
        <w:t xml:space="preserve"> 616–617.)</w:t>
      </w:r>
      <w:r w:rsidR="00232F05" w:rsidRPr="00CB05A8">
        <w:t xml:space="preserve">    </w:t>
      </w:r>
    </w:p>
    <w:p w14:paraId="2C06E0D1" w14:textId="790356B3" w:rsidR="000E0AB5" w:rsidRPr="00CB05A8" w:rsidRDefault="00467EF3" w:rsidP="00F105E8">
      <w:pPr>
        <w:pStyle w:val="Heading4"/>
        <w:numPr>
          <w:ilvl w:val="0"/>
          <w:numId w:val="36"/>
        </w:numPr>
        <w:ind w:left="2016" w:hanging="432"/>
      </w:pPr>
      <w:r w:rsidRPr="00CB05A8">
        <w:t xml:space="preserve"> </w:t>
      </w:r>
      <w:bookmarkStart w:id="56" w:name="_Toc58918809"/>
      <w:r w:rsidR="009A4EFC" w:rsidRPr="00CB05A8">
        <w:t xml:space="preserve">Reasonable doubt and related </w:t>
      </w:r>
      <w:bookmarkEnd w:id="56"/>
      <w:r w:rsidR="004D2B86">
        <w:t>instructions</w:t>
      </w:r>
    </w:p>
    <w:p w14:paraId="38893826" w14:textId="03BFC6C0" w:rsidR="006652C8" w:rsidRPr="00CB05A8" w:rsidRDefault="004F4868" w:rsidP="00F105E8">
      <w:pPr>
        <w:pStyle w:val="NormalIndent"/>
        <w:ind w:left="0" w:firstLine="720"/>
      </w:pPr>
      <w:r w:rsidRPr="00CB05A8">
        <w:t xml:space="preserve">Defendant contends the </w:t>
      </w:r>
      <w:r w:rsidR="007363AD" w:rsidRPr="00CB05A8">
        <w:t>trial</w:t>
      </w:r>
      <w:r w:rsidRPr="00CB05A8">
        <w:t xml:space="preserve"> court denied him due process by giving several standard </w:t>
      </w:r>
      <w:r w:rsidR="00C454A0" w:rsidRPr="00CB05A8">
        <w:t xml:space="preserve">CALJIC </w:t>
      </w:r>
      <w:r w:rsidRPr="00CB05A8">
        <w:t xml:space="preserve">instructions </w:t>
      </w:r>
      <w:r w:rsidR="00DB1C94" w:rsidRPr="00CB05A8">
        <w:t>regarding</w:t>
      </w:r>
      <w:r w:rsidRPr="00CB05A8">
        <w:t xml:space="preserve"> how the jury </w:t>
      </w:r>
      <w:r w:rsidR="00DB1C94" w:rsidRPr="00CB05A8">
        <w:t>should</w:t>
      </w:r>
      <w:r w:rsidRPr="00CB05A8">
        <w:t xml:space="preserve"> consider and weigh the evidence,</w:t>
      </w:r>
      <w:r w:rsidR="007229AD" w:rsidRPr="00CB05A8">
        <w:t xml:space="preserve"> thereby diluti</w:t>
      </w:r>
      <w:r w:rsidR="00B63328" w:rsidRPr="00CB05A8">
        <w:t>n</w:t>
      </w:r>
      <w:r w:rsidR="007229AD" w:rsidRPr="00CB05A8">
        <w:t>g the reasonable doubt standard</w:t>
      </w:r>
      <w:r w:rsidRPr="00CB05A8">
        <w:t>.</w:t>
      </w:r>
      <w:r w:rsidR="000E19CB" w:rsidRPr="00CB05A8">
        <w:t xml:space="preserve">  </w:t>
      </w:r>
      <w:r w:rsidR="006652C8" w:rsidRPr="00CB05A8">
        <w:t xml:space="preserve">Specifically, defendant </w:t>
      </w:r>
      <w:r w:rsidR="006830A3" w:rsidRPr="00CB05A8">
        <w:t xml:space="preserve">challenges the propriety of the following CALJIC instructions:  </w:t>
      </w:r>
      <w:r w:rsidR="008222A7" w:rsidRPr="00CB05A8">
        <w:t>No</w:t>
      </w:r>
      <w:r w:rsidR="00847F02">
        <w:t>s</w:t>
      </w:r>
      <w:r w:rsidR="008222A7" w:rsidRPr="00CB05A8">
        <w:t>.</w:t>
      </w:r>
      <w:r w:rsidR="00A1053C" w:rsidRPr="00CB05A8">
        <w:t> </w:t>
      </w:r>
      <w:r w:rsidR="008222A7" w:rsidRPr="00CB05A8">
        <w:t>2.01 (sufficiency of circumstantial evidence)</w:t>
      </w:r>
      <w:r w:rsidR="00847F02">
        <w:t>,</w:t>
      </w:r>
      <w:r w:rsidR="008222A7" w:rsidRPr="00CB05A8">
        <w:t xml:space="preserve"> 2.02 (sufficiency of circumstantial evidence to prove specific intent or mental state)</w:t>
      </w:r>
      <w:r w:rsidR="00847F02">
        <w:t>,</w:t>
      </w:r>
      <w:r w:rsidR="00C7676A" w:rsidRPr="00CB05A8">
        <w:t xml:space="preserve"> </w:t>
      </w:r>
      <w:r w:rsidR="008222A7" w:rsidRPr="00CB05A8">
        <w:t>8.83 (special circumstances</w:t>
      </w:r>
      <w:r w:rsidR="00725055" w:rsidRPr="00CB05A8">
        <w:t xml:space="preserve"> — </w:t>
      </w:r>
      <w:r w:rsidR="008222A7" w:rsidRPr="00CB05A8">
        <w:t>sufficiency of circumstantial evidence — generally)</w:t>
      </w:r>
      <w:r w:rsidR="00847F02">
        <w:t>,</w:t>
      </w:r>
      <w:r w:rsidR="00C7676A" w:rsidRPr="00CB05A8">
        <w:t xml:space="preserve"> </w:t>
      </w:r>
      <w:r w:rsidR="00860409" w:rsidRPr="00CB05A8">
        <w:t>8.83.1 (special circumstances — sufficiency of circumstantial evidence to prove required mental state</w:t>
      </w:r>
      <w:r w:rsidR="00725055" w:rsidRPr="00CB05A8">
        <w:t>)</w:t>
      </w:r>
      <w:r w:rsidR="00847F02">
        <w:t>,</w:t>
      </w:r>
      <w:r w:rsidR="007F1BD9" w:rsidRPr="00CB05A8">
        <w:t> </w:t>
      </w:r>
      <w:r w:rsidR="00860409" w:rsidRPr="00CB05A8">
        <w:t>2.21.1 (discrepancies in witness testimony)</w:t>
      </w:r>
      <w:r w:rsidR="00477F8C">
        <w:t>,</w:t>
      </w:r>
      <w:r w:rsidR="007F1BD9" w:rsidRPr="00CB05A8">
        <w:t> </w:t>
      </w:r>
      <w:r w:rsidR="00860409" w:rsidRPr="00CB05A8">
        <w:t>2.21.2 (willfully false witnesses)</w:t>
      </w:r>
      <w:r w:rsidR="00477F8C">
        <w:t>,</w:t>
      </w:r>
      <w:r w:rsidR="007F1BD9" w:rsidRPr="00CB05A8">
        <w:t> </w:t>
      </w:r>
      <w:r w:rsidR="00860409" w:rsidRPr="00CB05A8">
        <w:t>2.22 (weighing conflicting testimony)</w:t>
      </w:r>
      <w:r w:rsidR="00477F8C">
        <w:t>,</w:t>
      </w:r>
      <w:r w:rsidR="007F1BD9" w:rsidRPr="00CB05A8">
        <w:t> </w:t>
      </w:r>
      <w:r w:rsidR="00860409" w:rsidRPr="00CB05A8">
        <w:t>2.27 (sufficiency of testimony of one witness)</w:t>
      </w:r>
      <w:r w:rsidR="00477F8C">
        <w:t>,</w:t>
      </w:r>
      <w:r w:rsidR="00860409" w:rsidRPr="00CB05A8">
        <w:t xml:space="preserve"> 8.20 (</w:t>
      </w:r>
      <w:r w:rsidR="00D97440" w:rsidRPr="00CB05A8">
        <w:t>definition of premeditation and deliberation)</w:t>
      </w:r>
      <w:r w:rsidR="00477F8C">
        <w:t>,</w:t>
      </w:r>
      <w:r w:rsidR="00D97440" w:rsidRPr="00CB05A8">
        <w:t xml:space="preserve"> and 2.51 (motive).  </w:t>
      </w:r>
      <w:r w:rsidR="00D71F96" w:rsidRPr="00CB05A8">
        <w:t xml:space="preserve">  </w:t>
      </w:r>
    </w:p>
    <w:p w14:paraId="1A8923B7" w14:textId="3DF54843" w:rsidR="000E19CB" w:rsidRPr="00CB05A8" w:rsidRDefault="000E19CB" w:rsidP="00F105E8">
      <w:pPr>
        <w:pStyle w:val="NormalIndent"/>
        <w:ind w:left="0" w:firstLine="720"/>
      </w:pPr>
      <w:r w:rsidRPr="00CB05A8">
        <w:t>We have previously considered and rejected similar claims challenging these same jury instructions</w:t>
      </w:r>
      <w:r w:rsidR="0091712B" w:rsidRPr="00CB05A8">
        <w:t xml:space="preserve">. </w:t>
      </w:r>
      <w:r w:rsidR="00E51C5D" w:rsidRPr="00CB05A8">
        <w:t xml:space="preserve"> (</w:t>
      </w:r>
      <w:r w:rsidR="001F6D37" w:rsidRPr="00CB05A8">
        <w:t xml:space="preserve">See, e.g., </w:t>
      </w:r>
      <w:r w:rsidR="001F6D37" w:rsidRPr="00CB05A8">
        <w:rPr>
          <w:i/>
        </w:rPr>
        <w:t xml:space="preserve">People v. McKinzie </w:t>
      </w:r>
      <w:r w:rsidR="001F6D37" w:rsidRPr="00CB05A8">
        <w:t xml:space="preserve">(2012) 54 Cal.4th 1302, </w:t>
      </w:r>
      <w:r w:rsidR="007B0122" w:rsidRPr="00CB05A8">
        <w:t>1354–135</w:t>
      </w:r>
      <w:r w:rsidR="00DD6DB4" w:rsidRPr="00CB05A8">
        <w:t>7</w:t>
      </w:r>
      <w:r w:rsidR="001F6D37" w:rsidRPr="00CB05A8">
        <w:t xml:space="preserve">, abrogated on other grounds </w:t>
      </w:r>
      <w:r w:rsidR="00ED7CB3">
        <w:t>in</w:t>
      </w:r>
      <w:r w:rsidR="001F6D37" w:rsidRPr="00CB05A8">
        <w:t xml:space="preserve"> </w:t>
      </w:r>
      <w:r w:rsidR="00BE7CFE" w:rsidRPr="00CB05A8">
        <w:rPr>
          <w:i/>
        </w:rPr>
        <w:t xml:space="preserve">People v. Scott </w:t>
      </w:r>
      <w:r w:rsidR="00BE7CFE" w:rsidRPr="00CB05A8">
        <w:t>(2015) 61</w:t>
      </w:r>
      <w:r w:rsidR="00D066F0" w:rsidRPr="00CB05A8">
        <w:t> </w:t>
      </w:r>
      <w:r w:rsidR="00BE7CFE" w:rsidRPr="00CB05A8">
        <w:t xml:space="preserve">Cal.4th 363; </w:t>
      </w:r>
      <w:r w:rsidR="00E51C5D" w:rsidRPr="00CB05A8">
        <w:rPr>
          <w:i/>
        </w:rPr>
        <w:t xml:space="preserve">People v. Brasure </w:t>
      </w:r>
      <w:r w:rsidR="0062759E" w:rsidRPr="00CB05A8">
        <w:t xml:space="preserve">(2008) </w:t>
      </w:r>
      <w:r w:rsidR="00E51C5D" w:rsidRPr="00CB05A8">
        <w:t xml:space="preserve">42 Cal.4th </w:t>
      </w:r>
      <w:r w:rsidR="0062759E" w:rsidRPr="00CB05A8">
        <w:t>1037</w:t>
      </w:r>
      <w:r w:rsidR="00E51C5D" w:rsidRPr="00CB05A8">
        <w:t>, 1058–1059</w:t>
      </w:r>
      <w:r w:rsidR="00F11E09" w:rsidRPr="00CB05A8">
        <w:t xml:space="preserve"> (</w:t>
      </w:r>
      <w:r w:rsidR="00F11E09" w:rsidRPr="00CB05A8">
        <w:rPr>
          <w:i/>
        </w:rPr>
        <w:t>Brasure</w:t>
      </w:r>
      <w:r w:rsidR="00F11E09" w:rsidRPr="00CB05A8">
        <w:t>)</w:t>
      </w:r>
      <w:r w:rsidR="00907405" w:rsidRPr="00CB05A8">
        <w:t xml:space="preserve">; </w:t>
      </w:r>
      <w:r w:rsidR="00037AA3" w:rsidRPr="00CB05A8">
        <w:rPr>
          <w:i/>
        </w:rPr>
        <w:t>People v. Riggs</w:t>
      </w:r>
      <w:r w:rsidR="00037AA3" w:rsidRPr="00CB05A8">
        <w:t xml:space="preserve"> (</w:t>
      </w:r>
      <w:r w:rsidR="005C3516" w:rsidRPr="00CB05A8">
        <w:t>2008</w:t>
      </w:r>
      <w:r w:rsidR="00037AA3" w:rsidRPr="00CB05A8">
        <w:t xml:space="preserve">) </w:t>
      </w:r>
      <w:r w:rsidR="005C3516" w:rsidRPr="00CB05A8">
        <w:t>44 Cal.4th 248, 314</w:t>
      </w:r>
      <w:r w:rsidR="00E01A8A" w:rsidRPr="00CB05A8">
        <w:t xml:space="preserve">; </w:t>
      </w:r>
      <w:r w:rsidR="00E01A8A" w:rsidRPr="00CB05A8">
        <w:rPr>
          <w:i/>
        </w:rPr>
        <w:t>Nakahara</w:t>
      </w:r>
      <w:r w:rsidR="000231E7" w:rsidRPr="00CB05A8">
        <w:t xml:space="preserve">, </w:t>
      </w:r>
      <w:r w:rsidR="000231E7" w:rsidRPr="00CB05A8">
        <w:rPr>
          <w:i/>
        </w:rPr>
        <w:t>supra</w:t>
      </w:r>
      <w:r w:rsidR="000231E7" w:rsidRPr="00CB05A8">
        <w:t>,</w:t>
      </w:r>
      <w:r w:rsidR="00E01A8A" w:rsidRPr="00CB05A8">
        <w:rPr>
          <w:i/>
        </w:rPr>
        <w:t xml:space="preserve"> </w:t>
      </w:r>
      <w:r w:rsidR="00E01A8A" w:rsidRPr="00CB05A8">
        <w:t xml:space="preserve">30 Cal.4th </w:t>
      </w:r>
      <w:r w:rsidR="000231E7" w:rsidRPr="00CB05A8">
        <w:t>at pp.</w:t>
      </w:r>
      <w:r w:rsidR="00D066F0" w:rsidRPr="00CB05A8">
        <w:t> </w:t>
      </w:r>
      <w:r w:rsidR="00E01A8A" w:rsidRPr="00CB05A8">
        <w:t>713–7</w:t>
      </w:r>
      <w:r w:rsidR="00D85E5E" w:rsidRPr="00CB05A8">
        <w:t>15</w:t>
      </w:r>
      <w:r w:rsidR="0091712B" w:rsidRPr="00CB05A8">
        <w:t xml:space="preserve">.)  </w:t>
      </w:r>
      <w:r w:rsidR="009F21C6" w:rsidRPr="00CB05A8">
        <w:t>I</w:t>
      </w:r>
      <w:r w:rsidR="0091712B" w:rsidRPr="00CB05A8">
        <w:t xml:space="preserve">n </w:t>
      </w:r>
      <w:r w:rsidR="0091712B" w:rsidRPr="00CB05A8">
        <w:rPr>
          <w:i/>
        </w:rPr>
        <w:t>Brasure</w:t>
      </w:r>
      <w:r w:rsidR="0091712B" w:rsidRPr="00CB05A8">
        <w:t>, we determined that</w:t>
      </w:r>
      <w:r w:rsidR="006E740C" w:rsidRPr="00CB05A8">
        <w:t>,</w:t>
      </w:r>
      <w:r w:rsidR="0091712B" w:rsidRPr="00CB05A8">
        <w:rPr>
          <w:i/>
        </w:rPr>
        <w:t xml:space="preserve"> </w:t>
      </w:r>
      <w:r w:rsidR="006E740C" w:rsidRPr="00CB05A8">
        <w:t>“[i]</w:t>
      </w:r>
      <w:r w:rsidR="0091712B" w:rsidRPr="00CB05A8">
        <w:t xml:space="preserve">n light of the entire charge, </w:t>
      </w:r>
      <w:r w:rsidR="00361365" w:rsidRPr="00CB05A8">
        <w:t>. . . </w:t>
      </w:r>
      <w:r w:rsidR="0091712B" w:rsidRPr="00CB05A8">
        <w:t>none</w:t>
      </w:r>
      <w:r w:rsidR="006E740C" w:rsidRPr="00CB05A8">
        <w:t xml:space="preserve"> [of the challenged instructions]</w:t>
      </w:r>
      <w:r w:rsidR="0091712B" w:rsidRPr="00CB05A8">
        <w:t xml:space="preserve"> tends to suggest that </w:t>
      </w:r>
      <w:r w:rsidR="00AD0CD3">
        <w:t>[</w:t>
      </w:r>
      <w:r w:rsidR="0091712B" w:rsidRPr="00CB05A8">
        <w:t>the</w:t>
      </w:r>
      <w:r w:rsidR="00AD0CD3">
        <w:t>]</w:t>
      </w:r>
      <w:r w:rsidR="0091712B" w:rsidRPr="00CB05A8">
        <w:t xml:space="preserve"> defendant bears a burden of proving his innocence or that the prosecution</w:t>
      </w:r>
      <w:r w:rsidR="006E740C" w:rsidRPr="00CB05A8">
        <w:t>’</w:t>
      </w:r>
      <w:r w:rsidR="0091712B" w:rsidRPr="00CB05A8">
        <w:t xml:space="preserve">s burden is less than one of proof beyond a reasonable doubt. </w:t>
      </w:r>
      <w:r w:rsidR="006E740C" w:rsidRPr="00CB05A8">
        <w:t xml:space="preserve"> </w:t>
      </w:r>
      <w:r w:rsidR="0091712B" w:rsidRPr="00CB05A8">
        <w:t>Jurors are not reasonably likely to draw, from bits of language in instructions that focus on how particular types of evidence are to be assessed and weighed, a conclusion overriding the direction, often repeated in voir dire, instruction and argument, that they may convict only if they find the People have proven guilt beyond a reasonable doubt.</w:t>
      </w:r>
      <w:r w:rsidR="006E740C" w:rsidRPr="00CB05A8">
        <w:t>”  (</w:t>
      </w:r>
      <w:r w:rsidR="006E740C" w:rsidRPr="00CB05A8">
        <w:rPr>
          <w:i/>
        </w:rPr>
        <w:t>Brasure</w:t>
      </w:r>
      <w:r w:rsidR="006E740C" w:rsidRPr="00CB05A8">
        <w:t>, at p.</w:t>
      </w:r>
      <w:r w:rsidR="000F006F">
        <w:t> </w:t>
      </w:r>
      <w:r w:rsidR="006E740C" w:rsidRPr="00CB05A8">
        <w:t>1059.)</w:t>
      </w:r>
      <w:r w:rsidR="006E740C" w:rsidRPr="00CB05A8">
        <w:rPr>
          <w:i/>
        </w:rPr>
        <w:t xml:space="preserve"> </w:t>
      </w:r>
      <w:r w:rsidRPr="00CB05A8">
        <w:t xml:space="preserve"> </w:t>
      </w:r>
      <w:r w:rsidR="00095D9A">
        <w:t>W</w:t>
      </w:r>
      <w:r w:rsidR="00A90D97" w:rsidRPr="00CB05A8">
        <w:t>e conclude, as we have before, that “defendant’s multifaceted challenge to the court’s reasonable doubt and related instructions lacks merit.”  (</w:t>
      </w:r>
      <w:r w:rsidR="00A90D97" w:rsidRPr="00CB05A8">
        <w:rPr>
          <w:i/>
        </w:rPr>
        <w:t>Nakahara</w:t>
      </w:r>
      <w:r w:rsidR="00A90D97" w:rsidRPr="00CB05A8">
        <w:t>, at p. 715.)</w:t>
      </w:r>
    </w:p>
    <w:p w14:paraId="6FF8D0CB" w14:textId="47484B0C" w:rsidR="00827238" w:rsidRPr="00CB05A8" w:rsidRDefault="00D86BCC" w:rsidP="00CB05A8">
      <w:pPr>
        <w:pStyle w:val="Heading2"/>
      </w:pPr>
      <w:bookmarkStart w:id="57" w:name="_Toc58918810"/>
      <w:r w:rsidRPr="00CB05A8">
        <w:t>B</w:t>
      </w:r>
      <w:r w:rsidR="00507C15" w:rsidRPr="00CB05A8">
        <w:t xml:space="preserve">.  </w:t>
      </w:r>
      <w:r w:rsidR="00827238" w:rsidRPr="00CB05A8">
        <w:t>Penalty Phase Issues</w:t>
      </w:r>
      <w:bookmarkEnd w:id="57"/>
    </w:p>
    <w:p w14:paraId="5032F599" w14:textId="2566B1CD" w:rsidR="00B6016A" w:rsidRPr="00CB05A8" w:rsidRDefault="00A12109" w:rsidP="00CB05A8">
      <w:pPr>
        <w:pStyle w:val="Heading3"/>
        <w:rPr>
          <w:szCs w:val="26"/>
        </w:rPr>
      </w:pPr>
      <w:bookmarkStart w:id="58" w:name="_Toc58918814"/>
      <w:r>
        <w:t>1</w:t>
      </w:r>
      <w:r w:rsidR="00323513" w:rsidRPr="00CB05A8">
        <w:t xml:space="preserve">.  </w:t>
      </w:r>
      <w:r w:rsidR="00AC2E78" w:rsidRPr="00CB05A8">
        <w:t xml:space="preserve">Admission of </w:t>
      </w:r>
      <w:r w:rsidR="00A03A51" w:rsidRPr="00CB05A8">
        <w:t>e</w:t>
      </w:r>
      <w:r w:rsidR="00B6016A" w:rsidRPr="00CB05A8">
        <w:t xml:space="preserve">vidence </w:t>
      </w:r>
      <w:r w:rsidR="00B47A2A" w:rsidRPr="00CB05A8">
        <w:t xml:space="preserve">in </w:t>
      </w:r>
      <w:r w:rsidR="00A03A51" w:rsidRPr="00CB05A8">
        <w:t>a</w:t>
      </w:r>
      <w:r w:rsidR="00B47A2A" w:rsidRPr="00CB05A8">
        <w:t>ggravation u</w:t>
      </w:r>
      <w:r w:rsidR="00B6016A" w:rsidRPr="00CB05A8">
        <w:t xml:space="preserve">nder </w:t>
      </w:r>
      <w:r w:rsidR="00A03A51" w:rsidRPr="00CB05A8">
        <w:t>s</w:t>
      </w:r>
      <w:r w:rsidR="00B6016A" w:rsidRPr="00CB05A8">
        <w:t xml:space="preserve">ection 190.3, </w:t>
      </w:r>
      <w:r w:rsidR="00A03A51" w:rsidRPr="00CB05A8">
        <w:t>factor</w:t>
      </w:r>
      <w:r w:rsidR="00273BF8" w:rsidRPr="00CB05A8">
        <w:t xml:space="preserve"> </w:t>
      </w:r>
      <w:r w:rsidR="00B6016A" w:rsidRPr="00CB05A8">
        <w:t>(b)</w:t>
      </w:r>
      <w:bookmarkEnd w:id="58"/>
    </w:p>
    <w:p w14:paraId="3099E171" w14:textId="4E85F31D" w:rsidR="003D7289" w:rsidRPr="00CB05A8" w:rsidRDefault="003D7289" w:rsidP="00C84BAD">
      <w:pPr>
        <w:pStyle w:val="NormalIndent"/>
        <w:ind w:left="0" w:firstLine="720"/>
        <w:rPr>
          <w:color w:val="000000" w:themeColor="text1"/>
        </w:rPr>
      </w:pPr>
      <w:r w:rsidRPr="00CB05A8">
        <w:t>Defendant contends the trial court erred in admitting certain evidence related to prior acts of violence</w:t>
      </w:r>
      <w:r w:rsidR="003F0288" w:rsidRPr="00CB05A8">
        <w:t xml:space="preserve"> during the penalty phase</w:t>
      </w:r>
      <w:r w:rsidRPr="00CB05A8">
        <w:t>.  He</w:t>
      </w:r>
      <w:r w:rsidRPr="00CB05A8">
        <w:rPr>
          <w:szCs w:val="26"/>
          <w:shd w:val="clear" w:color="auto" w:fill="FFFFFF"/>
        </w:rPr>
        <w:t xml:space="preserve"> asserts </w:t>
      </w:r>
      <w:r w:rsidR="00EE3184" w:rsidRPr="00CB05A8">
        <w:rPr>
          <w:szCs w:val="26"/>
          <w:shd w:val="clear" w:color="auto" w:fill="FFFFFF"/>
        </w:rPr>
        <w:t xml:space="preserve">that </w:t>
      </w:r>
      <w:r w:rsidR="00E200A7" w:rsidRPr="00CB05A8">
        <w:rPr>
          <w:szCs w:val="26"/>
          <w:shd w:val="clear" w:color="auto" w:fill="FFFFFF"/>
        </w:rPr>
        <w:t xml:space="preserve">absent </w:t>
      </w:r>
      <w:r w:rsidRPr="00CB05A8">
        <w:rPr>
          <w:szCs w:val="26"/>
          <w:shd w:val="clear" w:color="auto" w:fill="FFFFFF"/>
        </w:rPr>
        <w:t>the allegedly inadmissible evidence, it is reasonably probable</w:t>
      </w:r>
      <w:r w:rsidR="00411E94" w:rsidRPr="00CB05A8">
        <w:rPr>
          <w:szCs w:val="26"/>
          <w:shd w:val="clear" w:color="auto" w:fill="FFFFFF"/>
        </w:rPr>
        <w:t xml:space="preserve"> that </w:t>
      </w:r>
      <w:r w:rsidRPr="00CB05A8">
        <w:rPr>
          <w:szCs w:val="26"/>
          <w:shd w:val="clear" w:color="auto" w:fill="FFFFFF"/>
        </w:rPr>
        <w:t>he would not have been sentenced to death</w:t>
      </w:r>
      <w:r w:rsidRPr="00CB05A8">
        <w:rPr>
          <w:color w:val="000000" w:themeColor="text1"/>
          <w:szCs w:val="26"/>
          <w:shd w:val="clear" w:color="auto" w:fill="FFFFFF"/>
        </w:rPr>
        <w:t xml:space="preserve">.  </w:t>
      </w:r>
    </w:p>
    <w:p w14:paraId="312344FE" w14:textId="3DADD45C" w:rsidR="0079145E" w:rsidRPr="00CB05A8" w:rsidRDefault="00443126" w:rsidP="00C84BAD">
      <w:pPr>
        <w:pStyle w:val="NormalIndent"/>
        <w:ind w:left="0" w:firstLine="720"/>
      </w:pPr>
      <w:r w:rsidRPr="00CB05A8">
        <w:t xml:space="preserve">At the penalty phase, </w:t>
      </w:r>
      <w:r w:rsidR="000868FB" w:rsidRPr="00CB05A8">
        <w:t xml:space="preserve">the jury is permitted to consider “[t]he presence or absence of criminal activity by the defendant which involved the use or attempted use of force or violence or the express or implied threat to use force or violence.”  (§ 190.3, </w:t>
      </w:r>
      <w:r w:rsidR="00322D6E" w:rsidRPr="00CB05A8">
        <w:t>factor</w:t>
      </w:r>
      <w:r w:rsidR="000868FB" w:rsidRPr="00CB05A8">
        <w:t xml:space="preserve"> (b)</w:t>
      </w:r>
      <w:r w:rsidR="001E47A2" w:rsidRPr="00CB05A8">
        <w:t xml:space="preserve">.)  The </w:t>
      </w:r>
      <w:r w:rsidR="00C973BE" w:rsidRPr="00CB05A8">
        <w:t xml:space="preserve">evidence admitted under </w:t>
      </w:r>
      <w:r w:rsidR="00EE3184" w:rsidRPr="00CB05A8">
        <w:t>this factor</w:t>
      </w:r>
      <w:r w:rsidR="00C973BE" w:rsidRPr="00CB05A8">
        <w:t xml:space="preserve"> must establish </w:t>
      </w:r>
      <w:r w:rsidR="00EE3184" w:rsidRPr="00CB05A8">
        <w:t xml:space="preserve">beyond a reasonable doubt </w:t>
      </w:r>
      <w:r w:rsidR="00C973BE" w:rsidRPr="00CB05A8">
        <w:t>that the conduct was prohibited by a criminal statute and satisfied the essential elements of the crime.  (</w:t>
      </w:r>
      <w:r w:rsidR="000A06A0" w:rsidRPr="00CB05A8">
        <w:rPr>
          <w:i/>
        </w:rPr>
        <w:t>Schultz</w:t>
      </w:r>
      <w:r w:rsidR="000A06A0" w:rsidRPr="00CB05A8">
        <w:t xml:space="preserve">, </w:t>
      </w:r>
      <w:r w:rsidR="000A06A0" w:rsidRPr="00CB05A8">
        <w:rPr>
          <w:i/>
        </w:rPr>
        <w:t>supra</w:t>
      </w:r>
      <w:r w:rsidR="00D05BCC">
        <w:rPr>
          <w:iCs/>
        </w:rPr>
        <w:t>,</w:t>
      </w:r>
      <w:r w:rsidR="000A06A0" w:rsidRPr="00CB05A8">
        <w:rPr>
          <w:i/>
        </w:rPr>
        <w:t xml:space="preserve"> </w:t>
      </w:r>
      <w:r w:rsidR="00567FE9">
        <w:t>10</w:t>
      </w:r>
      <w:r w:rsidR="000A06A0" w:rsidRPr="00CB05A8">
        <w:t xml:space="preserve"> Cal.5th at p.</w:t>
      </w:r>
      <w:r w:rsidR="00CC1DDE" w:rsidRPr="00CB05A8">
        <w:t> </w:t>
      </w:r>
      <w:r w:rsidR="00D05BCC">
        <w:t>681</w:t>
      </w:r>
      <w:r w:rsidR="000A06A0" w:rsidRPr="00CB05A8">
        <w:t xml:space="preserve">; </w:t>
      </w:r>
      <w:r w:rsidR="00C973BE" w:rsidRPr="00CB05A8">
        <w:rPr>
          <w:i/>
        </w:rPr>
        <w:t>People v. Phillips</w:t>
      </w:r>
      <w:r w:rsidR="00C973BE" w:rsidRPr="00CB05A8">
        <w:t xml:space="preserve"> (1985) </w:t>
      </w:r>
      <w:r w:rsidR="00A930ED" w:rsidRPr="00CB05A8">
        <w:t>41 Cal.3d 29, 72.)</w:t>
      </w:r>
    </w:p>
    <w:p w14:paraId="1BA0DB52" w14:textId="1BB4879D" w:rsidR="00AC2E78" w:rsidRPr="00CB05A8" w:rsidRDefault="00B6016A" w:rsidP="00CB05A8">
      <w:pPr>
        <w:pStyle w:val="Heading4"/>
        <w:rPr>
          <w:i w:val="0"/>
        </w:rPr>
      </w:pPr>
      <w:bookmarkStart w:id="59" w:name="_Toc58918815"/>
      <w:r w:rsidRPr="00CB05A8">
        <w:t xml:space="preserve">a.  </w:t>
      </w:r>
      <w:r w:rsidR="0078734D" w:rsidRPr="00CB05A8">
        <w:t>T</w:t>
      </w:r>
      <w:r w:rsidR="00AC2E78" w:rsidRPr="00CB05A8">
        <w:t xml:space="preserve">hrowing </w:t>
      </w:r>
      <w:r w:rsidR="00273BF8" w:rsidRPr="00CB05A8">
        <w:t>u</w:t>
      </w:r>
      <w:r w:rsidR="00AC2E78" w:rsidRPr="00CB05A8">
        <w:t xml:space="preserve">rine on </w:t>
      </w:r>
      <w:r w:rsidR="00273BF8" w:rsidRPr="00CB05A8">
        <w:t>p</w:t>
      </w:r>
      <w:r w:rsidR="00AC2E78" w:rsidRPr="00CB05A8">
        <w:t xml:space="preserve">rison </w:t>
      </w:r>
      <w:r w:rsidR="00273BF8" w:rsidRPr="00CB05A8">
        <w:t>g</w:t>
      </w:r>
      <w:r w:rsidR="00AC2E78" w:rsidRPr="00CB05A8">
        <w:t>uard</w:t>
      </w:r>
      <w:r w:rsidR="003D7289" w:rsidRPr="00CB05A8">
        <w:t>s</w:t>
      </w:r>
      <w:r w:rsidR="007B3A38" w:rsidRPr="00CB05A8">
        <w:t xml:space="preserve"> </w:t>
      </w:r>
      <w:bookmarkEnd w:id="59"/>
    </w:p>
    <w:p w14:paraId="6BF01BFF" w14:textId="2BCA94B3" w:rsidR="001004E7" w:rsidRPr="00CB05A8" w:rsidRDefault="00530711" w:rsidP="00C84BAD">
      <w:pPr>
        <w:ind w:firstLine="720"/>
        <w:rPr>
          <w:color w:val="000000" w:themeColor="text1"/>
          <w:szCs w:val="26"/>
          <w:shd w:val="clear" w:color="auto" w:fill="FFFFFF"/>
        </w:rPr>
      </w:pPr>
      <w:r w:rsidRPr="00CB05A8">
        <w:rPr>
          <w:szCs w:val="26"/>
          <w:shd w:val="clear" w:color="auto" w:fill="FFFFFF"/>
        </w:rPr>
        <w:t xml:space="preserve">The prosecution presented evidence that defendant threw urine at several </w:t>
      </w:r>
      <w:r w:rsidR="009B00A3" w:rsidRPr="00CB05A8">
        <w:rPr>
          <w:szCs w:val="26"/>
          <w:shd w:val="clear" w:color="auto" w:fill="FFFFFF"/>
        </w:rPr>
        <w:t>correctiona</w:t>
      </w:r>
      <w:r w:rsidRPr="00CB05A8">
        <w:rPr>
          <w:szCs w:val="26"/>
          <w:shd w:val="clear" w:color="auto" w:fill="FFFFFF"/>
        </w:rPr>
        <w:t xml:space="preserve">l officers at the Sonoma County </w:t>
      </w:r>
      <w:r w:rsidR="00E569D1">
        <w:rPr>
          <w:szCs w:val="26"/>
          <w:shd w:val="clear" w:color="auto" w:fill="FFFFFF"/>
        </w:rPr>
        <w:t>j</w:t>
      </w:r>
      <w:r w:rsidRPr="00CB05A8">
        <w:rPr>
          <w:szCs w:val="26"/>
          <w:shd w:val="clear" w:color="auto" w:fill="FFFFFF"/>
        </w:rPr>
        <w:t xml:space="preserve">ail.  </w:t>
      </w:r>
      <w:r w:rsidR="001004E7" w:rsidRPr="00CB05A8">
        <w:rPr>
          <w:szCs w:val="26"/>
          <w:shd w:val="clear" w:color="auto" w:fill="FFFFFF"/>
        </w:rPr>
        <w:t xml:space="preserve">On October 13, 1996, </w:t>
      </w:r>
      <w:r w:rsidR="009B00A3" w:rsidRPr="00CB05A8">
        <w:rPr>
          <w:szCs w:val="26"/>
          <w:shd w:val="clear" w:color="auto" w:fill="FFFFFF"/>
        </w:rPr>
        <w:t>five</w:t>
      </w:r>
      <w:r w:rsidR="001004E7" w:rsidRPr="00CB05A8">
        <w:rPr>
          <w:szCs w:val="26"/>
          <w:shd w:val="clear" w:color="auto" w:fill="FFFFFF"/>
        </w:rPr>
        <w:t xml:space="preserve"> officers approached defendant’s cell</w:t>
      </w:r>
      <w:r w:rsidR="00D30887" w:rsidRPr="00CB05A8">
        <w:rPr>
          <w:szCs w:val="26"/>
          <w:shd w:val="clear" w:color="auto" w:fill="FFFFFF"/>
        </w:rPr>
        <w:t xml:space="preserve"> to conduct a cell search</w:t>
      </w:r>
      <w:r w:rsidR="001004E7" w:rsidRPr="00CB05A8">
        <w:rPr>
          <w:szCs w:val="26"/>
          <w:shd w:val="clear" w:color="auto" w:fill="FFFFFF"/>
        </w:rPr>
        <w:t xml:space="preserve">.  </w:t>
      </w:r>
      <w:r w:rsidR="00932BD8" w:rsidRPr="00CB05A8">
        <w:rPr>
          <w:szCs w:val="26"/>
          <w:shd w:val="clear" w:color="auto" w:fill="FFFFFF"/>
        </w:rPr>
        <w:t xml:space="preserve">The officers opened the cell door </w:t>
      </w:r>
      <w:r w:rsidR="00DD7783" w:rsidRPr="00CB05A8">
        <w:rPr>
          <w:szCs w:val="26"/>
          <w:shd w:val="clear" w:color="auto" w:fill="FFFFFF"/>
        </w:rPr>
        <w:t>food port in order to handcuff</w:t>
      </w:r>
      <w:r w:rsidR="00932BD8" w:rsidRPr="00CB05A8">
        <w:rPr>
          <w:szCs w:val="26"/>
          <w:shd w:val="clear" w:color="auto" w:fill="FFFFFF"/>
        </w:rPr>
        <w:t xml:space="preserve"> defendant.  </w:t>
      </w:r>
      <w:r w:rsidR="0024758C" w:rsidRPr="00CB05A8">
        <w:rPr>
          <w:szCs w:val="26"/>
          <w:shd w:val="clear" w:color="auto" w:fill="FFFFFF"/>
        </w:rPr>
        <w:t>Once the port was open,</w:t>
      </w:r>
      <w:r w:rsidR="001004E7" w:rsidRPr="00CB05A8">
        <w:rPr>
          <w:szCs w:val="26"/>
          <w:shd w:val="clear" w:color="auto" w:fill="FFFFFF"/>
        </w:rPr>
        <w:t xml:space="preserve"> </w:t>
      </w:r>
      <w:r w:rsidR="0024758C" w:rsidRPr="00CB05A8">
        <w:rPr>
          <w:szCs w:val="26"/>
          <w:shd w:val="clear" w:color="auto" w:fill="FFFFFF"/>
        </w:rPr>
        <w:t>defendant</w:t>
      </w:r>
      <w:r w:rsidR="001004E7" w:rsidRPr="00CB05A8">
        <w:rPr>
          <w:szCs w:val="26"/>
          <w:shd w:val="clear" w:color="auto" w:fill="FFFFFF"/>
        </w:rPr>
        <w:t xml:space="preserve"> threw a milk carton containing urine </w:t>
      </w:r>
      <w:r w:rsidR="0024758C" w:rsidRPr="00CB05A8">
        <w:rPr>
          <w:szCs w:val="26"/>
          <w:shd w:val="clear" w:color="auto" w:fill="FFFFFF"/>
        </w:rPr>
        <w:t>at the officers</w:t>
      </w:r>
      <w:r w:rsidR="00397228" w:rsidRPr="00CB05A8">
        <w:rPr>
          <w:szCs w:val="26"/>
          <w:shd w:val="clear" w:color="auto" w:fill="FFFFFF"/>
        </w:rPr>
        <w:t xml:space="preserve"> </w:t>
      </w:r>
      <w:r w:rsidR="00DD7783" w:rsidRPr="00CB05A8">
        <w:rPr>
          <w:szCs w:val="26"/>
          <w:shd w:val="clear" w:color="auto" w:fill="FFFFFF"/>
        </w:rPr>
        <w:t>and yelled profanities at them</w:t>
      </w:r>
      <w:r w:rsidR="001004E7" w:rsidRPr="00CB05A8">
        <w:rPr>
          <w:szCs w:val="26"/>
          <w:shd w:val="clear" w:color="auto" w:fill="FFFFFF"/>
        </w:rPr>
        <w:t xml:space="preserve">.  </w:t>
      </w:r>
      <w:r w:rsidR="001B4261" w:rsidRPr="00CB05A8">
        <w:rPr>
          <w:szCs w:val="26"/>
          <w:shd w:val="clear" w:color="auto" w:fill="FFFFFF"/>
        </w:rPr>
        <w:t>The substance</w:t>
      </w:r>
      <w:r w:rsidR="00BA58D8" w:rsidRPr="00CB05A8">
        <w:rPr>
          <w:szCs w:val="26"/>
          <w:shd w:val="clear" w:color="auto" w:fill="FFFFFF"/>
        </w:rPr>
        <w:t xml:space="preserve"> </w:t>
      </w:r>
      <w:r w:rsidR="00397228" w:rsidRPr="00CB05A8">
        <w:rPr>
          <w:szCs w:val="26"/>
          <w:shd w:val="clear" w:color="auto" w:fill="FFFFFF"/>
        </w:rPr>
        <w:t>struck three officers</w:t>
      </w:r>
      <w:r w:rsidR="001B4261" w:rsidRPr="00CB05A8">
        <w:rPr>
          <w:szCs w:val="26"/>
          <w:shd w:val="clear" w:color="auto" w:fill="FFFFFF"/>
        </w:rPr>
        <w:t xml:space="preserve">.  </w:t>
      </w:r>
    </w:p>
    <w:p w14:paraId="2CC8A136" w14:textId="553AFE73" w:rsidR="007E4225" w:rsidRPr="00CB05A8" w:rsidRDefault="007E4225" w:rsidP="00C84BAD">
      <w:pPr>
        <w:ind w:firstLine="720"/>
        <w:rPr>
          <w:szCs w:val="26"/>
          <w:shd w:val="clear" w:color="auto" w:fill="FFFFFF"/>
        </w:rPr>
      </w:pPr>
      <w:r w:rsidRPr="00CB05A8">
        <w:rPr>
          <w:szCs w:val="26"/>
          <w:shd w:val="clear" w:color="auto" w:fill="FFFFFF"/>
        </w:rPr>
        <w:t xml:space="preserve">Defendant contends the </w:t>
      </w:r>
      <w:r w:rsidR="007363AD" w:rsidRPr="00CB05A8">
        <w:rPr>
          <w:szCs w:val="26"/>
          <w:shd w:val="clear" w:color="auto" w:fill="FFFFFF"/>
        </w:rPr>
        <w:t>trial</w:t>
      </w:r>
      <w:r w:rsidRPr="00CB05A8">
        <w:rPr>
          <w:szCs w:val="26"/>
          <w:shd w:val="clear" w:color="auto" w:fill="FFFFFF"/>
        </w:rPr>
        <w:t xml:space="preserve"> court erred in admitting this evidence because </w:t>
      </w:r>
      <w:r w:rsidR="00C0158B" w:rsidRPr="00CB05A8">
        <w:rPr>
          <w:szCs w:val="26"/>
          <w:shd w:val="clear" w:color="auto" w:fill="FFFFFF"/>
        </w:rPr>
        <w:t xml:space="preserve">it constituted a “technical battery” and was not a crime of force or violence under </w:t>
      </w:r>
      <w:r w:rsidR="00EE3184" w:rsidRPr="00CB05A8">
        <w:rPr>
          <w:szCs w:val="26"/>
          <w:shd w:val="clear" w:color="auto" w:fill="FFFFFF"/>
        </w:rPr>
        <w:t xml:space="preserve">section 190.3, </w:t>
      </w:r>
      <w:r w:rsidR="00C0158B" w:rsidRPr="00CB05A8">
        <w:rPr>
          <w:szCs w:val="26"/>
          <w:shd w:val="clear" w:color="auto" w:fill="FFFFFF"/>
        </w:rPr>
        <w:t>factor (b)</w:t>
      </w:r>
      <w:r w:rsidRPr="00CB05A8">
        <w:rPr>
          <w:szCs w:val="26"/>
          <w:shd w:val="clear" w:color="auto" w:fill="FFFFFF"/>
        </w:rPr>
        <w:t xml:space="preserve">.  </w:t>
      </w:r>
      <w:r w:rsidR="00535F50" w:rsidRPr="00CB05A8">
        <w:rPr>
          <w:szCs w:val="26"/>
          <w:shd w:val="clear" w:color="auto" w:fill="FFFFFF"/>
        </w:rPr>
        <w:t xml:space="preserve">Defendant is incorrect.  </w:t>
      </w:r>
      <w:r w:rsidR="008231A1" w:rsidRPr="00CB05A8">
        <w:rPr>
          <w:szCs w:val="26"/>
          <w:shd w:val="clear" w:color="auto" w:fill="FFFFFF"/>
        </w:rPr>
        <w:t>We have held</w:t>
      </w:r>
      <w:r w:rsidRPr="00CB05A8">
        <w:rPr>
          <w:szCs w:val="26"/>
          <w:shd w:val="clear" w:color="auto" w:fill="FFFFFF"/>
        </w:rPr>
        <w:t xml:space="preserve"> that “</w:t>
      </w:r>
      <w:r w:rsidR="003748AF">
        <w:rPr>
          <w:szCs w:val="26"/>
          <w:shd w:val="clear" w:color="auto" w:fill="FFFFFF"/>
        </w:rPr>
        <w:t> ‘</w:t>
      </w:r>
      <w:r w:rsidR="00E569D1">
        <w:rPr>
          <w:szCs w:val="26"/>
          <w:shd w:val="clear" w:color="auto" w:fill="FFFFFF"/>
        </w:rPr>
        <w:t>[</w:t>
      </w:r>
      <w:r w:rsidRPr="00CB05A8">
        <w:rPr>
          <w:szCs w:val="26"/>
          <w:shd w:val="clear" w:color="auto" w:fill="FFFFFF"/>
        </w:rPr>
        <w:t>a</w:t>
      </w:r>
      <w:r w:rsidR="00E569D1">
        <w:rPr>
          <w:szCs w:val="26"/>
          <w:shd w:val="clear" w:color="auto" w:fill="FFFFFF"/>
        </w:rPr>
        <w:t>]</w:t>
      </w:r>
      <w:r w:rsidRPr="00CB05A8">
        <w:rPr>
          <w:szCs w:val="26"/>
          <w:shd w:val="clear" w:color="auto" w:fill="FFFFFF"/>
        </w:rPr>
        <w:t>ny harmful or offensive touching constitutes an unlawful use of force or violence</w:t>
      </w:r>
      <w:r w:rsidR="003748AF">
        <w:rPr>
          <w:szCs w:val="26"/>
          <w:shd w:val="clear" w:color="auto" w:fill="FFFFFF"/>
        </w:rPr>
        <w:t>’ </w:t>
      </w:r>
      <w:r w:rsidRPr="00CB05A8">
        <w:rPr>
          <w:szCs w:val="26"/>
          <w:shd w:val="clear" w:color="auto" w:fill="FFFFFF"/>
        </w:rPr>
        <w:t xml:space="preserve">” and is admissible </w:t>
      </w:r>
      <w:r w:rsidR="00BF22FB" w:rsidRPr="00CB05A8">
        <w:rPr>
          <w:szCs w:val="26"/>
          <w:shd w:val="clear" w:color="auto" w:fill="FFFFFF"/>
        </w:rPr>
        <w:t xml:space="preserve">criminal activity </w:t>
      </w:r>
      <w:r w:rsidRPr="00CB05A8">
        <w:rPr>
          <w:szCs w:val="26"/>
          <w:shd w:val="clear" w:color="auto" w:fill="FFFFFF"/>
        </w:rPr>
        <w:t xml:space="preserve">under </w:t>
      </w:r>
      <w:r w:rsidR="003748AF">
        <w:rPr>
          <w:szCs w:val="26"/>
          <w:shd w:val="clear" w:color="auto" w:fill="FFFFFF"/>
        </w:rPr>
        <w:t xml:space="preserve">section 190.3, </w:t>
      </w:r>
      <w:r w:rsidRPr="00CB05A8">
        <w:rPr>
          <w:szCs w:val="26"/>
          <w:shd w:val="clear" w:color="auto" w:fill="FFFFFF"/>
        </w:rPr>
        <w:t>factor (b).  (</w:t>
      </w:r>
      <w:r w:rsidRPr="00CB05A8">
        <w:rPr>
          <w:i/>
          <w:iCs/>
          <w:szCs w:val="26"/>
          <w:shd w:val="clear" w:color="auto" w:fill="FFFFFF"/>
        </w:rPr>
        <w:t xml:space="preserve">People v. Pinholster </w:t>
      </w:r>
      <w:r w:rsidRPr="00CB05A8">
        <w:rPr>
          <w:szCs w:val="26"/>
          <w:shd w:val="clear" w:color="auto" w:fill="FFFFFF"/>
        </w:rPr>
        <w:t>(1992) 1</w:t>
      </w:r>
      <w:r w:rsidR="004D7847">
        <w:rPr>
          <w:szCs w:val="26"/>
          <w:shd w:val="clear" w:color="auto" w:fill="FFFFFF"/>
        </w:rPr>
        <w:t> </w:t>
      </w:r>
      <w:r w:rsidRPr="00CB05A8">
        <w:rPr>
          <w:szCs w:val="26"/>
          <w:shd w:val="clear" w:color="auto" w:fill="FFFFFF"/>
        </w:rPr>
        <w:t>Cal.4th 865, 961</w:t>
      </w:r>
      <w:r w:rsidR="00881A6F" w:rsidRPr="00CB05A8">
        <w:rPr>
          <w:szCs w:val="26"/>
          <w:shd w:val="clear" w:color="auto" w:fill="FFFFFF"/>
        </w:rPr>
        <w:t xml:space="preserve">.)  This includes </w:t>
      </w:r>
      <w:r w:rsidR="002371DB" w:rsidRPr="00CB05A8">
        <w:rPr>
          <w:szCs w:val="26"/>
          <w:shd w:val="clear" w:color="auto" w:fill="FFFFFF"/>
        </w:rPr>
        <w:t xml:space="preserve">throwing various items or substances at custodial officers </w:t>
      </w:r>
      <w:r w:rsidR="007D42BA" w:rsidRPr="00CB05A8">
        <w:rPr>
          <w:szCs w:val="26"/>
          <w:shd w:val="clear" w:color="auto" w:fill="FFFFFF"/>
        </w:rPr>
        <w:t>or other persons</w:t>
      </w:r>
      <w:r w:rsidR="00681131" w:rsidRPr="00CB05A8">
        <w:rPr>
          <w:szCs w:val="26"/>
          <w:shd w:val="clear" w:color="auto" w:fill="FFFFFF"/>
        </w:rPr>
        <w:t xml:space="preserve">.  </w:t>
      </w:r>
      <w:r w:rsidR="002371DB" w:rsidRPr="00CB05A8">
        <w:rPr>
          <w:szCs w:val="26"/>
          <w:shd w:val="clear" w:color="auto" w:fill="FFFFFF"/>
        </w:rPr>
        <w:t>(</w:t>
      </w:r>
      <w:r w:rsidR="00681131" w:rsidRPr="00CB05A8">
        <w:rPr>
          <w:i/>
          <w:szCs w:val="26"/>
          <w:shd w:val="clear" w:color="auto" w:fill="FFFFFF"/>
        </w:rPr>
        <w:t>I</w:t>
      </w:r>
      <w:r w:rsidR="00E86429" w:rsidRPr="00CB05A8">
        <w:rPr>
          <w:i/>
          <w:szCs w:val="26"/>
          <w:shd w:val="clear" w:color="auto" w:fill="FFFFFF"/>
        </w:rPr>
        <w:t>bid.</w:t>
      </w:r>
      <w:r w:rsidR="002371DB" w:rsidRPr="00CB05A8">
        <w:rPr>
          <w:i/>
          <w:szCs w:val="26"/>
          <w:shd w:val="clear" w:color="auto" w:fill="FFFFFF"/>
        </w:rPr>
        <w:t xml:space="preserve"> </w:t>
      </w:r>
      <w:r w:rsidRPr="00CB05A8">
        <w:rPr>
          <w:szCs w:val="26"/>
          <w:shd w:val="clear" w:color="auto" w:fill="FFFFFF"/>
        </w:rPr>
        <w:t xml:space="preserve">[throwing a cup of urine </w:t>
      </w:r>
      <w:r w:rsidR="00744D27" w:rsidRPr="00CB05A8">
        <w:rPr>
          <w:szCs w:val="26"/>
          <w:shd w:val="clear" w:color="auto" w:fill="FFFFFF"/>
        </w:rPr>
        <w:t>at</w:t>
      </w:r>
      <w:r w:rsidRPr="00CB05A8">
        <w:rPr>
          <w:szCs w:val="26"/>
          <w:shd w:val="clear" w:color="auto" w:fill="FFFFFF"/>
        </w:rPr>
        <w:t xml:space="preserve"> </w:t>
      </w:r>
      <w:r w:rsidR="00744D27" w:rsidRPr="00CB05A8">
        <w:rPr>
          <w:szCs w:val="26"/>
          <w:shd w:val="clear" w:color="auto" w:fill="FFFFFF"/>
        </w:rPr>
        <w:t>officer</w:t>
      </w:r>
      <w:r w:rsidRPr="00CB05A8">
        <w:rPr>
          <w:szCs w:val="26"/>
          <w:shd w:val="clear" w:color="auto" w:fill="FFFFFF"/>
        </w:rPr>
        <w:t xml:space="preserve">]; </w:t>
      </w:r>
      <w:r w:rsidR="00681131" w:rsidRPr="00CB05A8">
        <w:rPr>
          <w:i/>
          <w:szCs w:val="26"/>
          <w:shd w:val="clear" w:color="auto" w:fill="FFFFFF"/>
        </w:rPr>
        <w:t xml:space="preserve">People v. Romero and Self </w:t>
      </w:r>
      <w:r w:rsidR="00681131" w:rsidRPr="00CB05A8">
        <w:rPr>
          <w:szCs w:val="26"/>
          <w:shd w:val="clear" w:color="auto" w:fill="FFFFFF"/>
        </w:rPr>
        <w:t>(2015) 62 Cal.4th 1, 48</w:t>
      </w:r>
      <w:r w:rsidR="00681131" w:rsidRPr="00CB05A8">
        <w:rPr>
          <w:i/>
          <w:szCs w:val="26"/>
          <w:shd w:val="clear" w:color="auto" w:fill="FFFFFF"/>
        </w:rPr>
        <w:t xml:space="preserve"> </w:t>
      </w:r>
      <w:r w:rsidR="001D5AA6" w:rsidRPr="00CB05A8">
        <w:rPr>
          <w:szCs w:val="26"/>
          <w:shd w:val="clear" w:color="auto" w:fill="FFFFFF"/>
        </w:rPr>
        <w:t>(</w:t>
      </w:r>
      <w:r w:rsidR="001D5AA6" w:rsidRPr="00CB05A8">
        <w:rPr>
          <w:i/>
          <w:szCs w:val="26"/>
          <w:shd w:val="clear" w:color="auto" w:fill="FFFFFF"/>
        </w:rPr>
        <w:t>Romero and Self</w:t>
      </w:r>
      <w:r w:rsidR="001D5AA6" w:rsidRPr="00CB05A8">
        <w:rPr>
          <w:szCs w:val="26"/>
          <w:shd w:val="clear" w:color="auto" w:fill="FFFFFF"/>
        </w:rPr>
        <w:t>)</w:t>
      </w:r>
      <w:r w:rsidR="001D5AA6" w:rsidRPr="00CB05A8">
        <w:rPr>
          <w:i/>
          <w:szCs w:val="26"/>
          <w:shd w:val="clear" w:color="auto" w:fill="FFFFFF"/>
        </w:rPr>
        <w:t xml:space="preserve"> </w:t>
      </w:r>
      <w:r w:rsidR="00681131" w:rsidRPr="00CB05A8">
        <w:rPr>
          <w:szCs w:val="26"/>
          <w:shd w:val="clear" w:color="auto" w:fill="FFFFFF"/>
        </w:rPr>
        <w:t xml:space="preserve">[squirting bottle containing urine and splattering carton of feces on individual]; </w:t>
      </w:r>
      <w:r w:rsidR="00090B4F" w:rsidRPr="00CB05A8">
        <w:rPr>
          <w:i/>
          <w:szCs w:val="26"/>
          <w:shd w:val="clear" w:color="auto" w:fill="FFFFFF"/>
        </w:rPr>
        <w:t xml:space="preserve">People v. Banks </w:t>
      </w:r>
      <w:r w:rsidR="00090B4F" w:rsidRPr="00CB05A8">
        <w:rPr>
          <w:szCs w:val="26"/>
          <w:shd w:val="clear" w:color="auto" w:fill="FFFFFF"/>
        </w:rPr>
        <w:t>(2014) 59</w:t>
      </w:r>
      <w:r w:rsidR="004D7847">
        <w:rPr>
          <w:szCs w:val="26"/>
          <w:shd w:val="clear" w:color="auto" w:fill="FFFFFF"/>
        </w:rPr>
        <w:t> </w:t>
      </w:r>
      <w:r w:rsidR="00090B4F" w:rsidRPr="00CB05A8">
        <w:rPr>
          <w:szCs w:val="26"/>
          <w:shd w:val="clear" w:color="auto" w:fill="FFFFFF"/>
        </w:rPr>
        <w:t>Cal.4</w:t>
      </w:r>
      <w:r w:rsidR="00090B4F" w:rsidRPr="00CB05A8">
        <w:rPr>
          <w:iCs/>
          <w:szCs w:val="26"/>
          <w:shd w:val="clear" w:color="auto" w:fill="FFFFFF"/>
        </w:rPr>
        <w:t>th 1113, 1197–1198 [</w:t>
      </w:r>
      <w:r w:rsidR="00BA6030" w:rsidRPr="00CB05A8">
        <w:rPr>
          <w:iCs/>
          <w:szCs w:val="26"/>
          <w:shd w:val="clear" w:color="auto" w:fill="FFFFFF"/>
        </w:rPr>
        <w:t xml:space="preserve">throwing </w:t>
      </w:r>
      <w:r w:rsidR="004664DB" w:rsidRPr="00CB05A8">
        <w:rPr>
          <w:iCs/>
          <w:szCs w:val="26"/>
          <w:shd w:val="clear" w:color="auto" w:fill="FFFFFF"/>
        </w:rPr>
        <w:t xml:space="preserve">container filled with urine and feces </w:t>
      </w:r>
      <w:r w:rsidR="0036358F" w:rsidRPr="00CB05A8">
        <w:rPr>
          <w:iCs/>
          <w:szCs w:val="26"/>
          <w:shd w:val="clear" w:color="auto" w:fill="FFFFFF"/>
        </w:rPr>
        <w:t xml:space="preserve">at </w:t>
      </w:r>
      <w:r w:rsidR="00BA6030" w:rsidRPr="00CB05A8">
        <w:rPr>
          <w:iCs/>
          <w:szCs w:val="26"/>
          <w:shd w:val="clear" w:color="auto" w:fill="FFFFFF"/>
        </w:rPr>
        <w:t>correctional o</w:t>
      </w:r>
      <w:r w:rsidR="000571AB" w:rsidRPr="00CB05A8">
        <w:rPr>
          <w:iCs/>
          <w:szCs w:val="26"/>
          <w:shd w:val="clear" w:color="auto" w:fill="FFFFFF"/>
        </w:rPr>
        <w:t>f</w:t>
      </w:r>
      <w:r w:rsidR="00BA6030" w:rsidRPr="00CB05A8">
        <w:rPr>
          <w:iCs/>
          <w:szCs w:val="26"/>
          <w:shd w:val="clear" w:color="auto" w:fill="FFFFFF"/>
        </w:rPr>
        <w:t>ficer</w:t>
      </w:r>
      <w:r w:rsidR="004664DB" w:rsidRPr="00CB05A8">
        <w:rPr>
          <w:iCs/>
          <w:szCs w:val="26"/>
          <w:shd w:val="clear" w:color="auto" w:fill="FFFFFF"/>
        </w:rPr>
        <w:t>]</w:t>
      </w:r>
      <w:r w:rsidR="00090B4F" w:rsidRPr="00CB05A8">
        <w:rPr>
          <w:iCs/>
          <w:szCs w:val="26"/>
          <w:shd w:val="clear" w:color="auto" w:fill="FFFFFF"/>
        </w:rPr>
        <w:t xml:space="preserve">; </w:t>
      </w:r>
      <w:r w:rsidRPr="00CB05A8">
        <w:rPr>
          <w:i/>
          <w:iCs/>
          <w:szCs w:val="26"/>
          <w:shd w:val="clear" w:color="auto" w:fill="FFFFFF"/>
        </w:rPr>
        <w:t>People v. Hamilton</w:t>
      </w:r>
      <w:r w:rsidRPr="00CB05A8">
        <w:rPr>
          <w:szCs w:val="26"/>
          <w:shd w:val="clear" w:color="auto" w:fill="FFFFFF"/>
        </w:rPr>
        <w:t xml:space="preserve"> (2009) 45 Cal.4th 863, 934 [spitting on </w:t>
      </w:r>
      <w:r w:rsidR="00744D27" w:rsidRPr="00CB05A8">
        <w:rPr>
          <w:szCs w:val="26"/>
          <w:shd w:val="clear" w:color="auto" w:fill="FFFFFF"/>
        </w:rPr>
        <w:t>officer</w:t>
      </w:r>
      <w:r w:rsidRPr="00CB05A8">
        <w:rPr>
          <w:szCs w:val="26"/>
          <w:shd w:val="clear" w:color="auto" w:fill="FFFFFF"/>
        </w:rPr>
        <w:t>]</w:t>
      </w:r>
      <w:r w:rsidR="0059270B" w:rsidRPr="00CB05A8">
        <w:rPr>
          <w:szCs w:val="26"/>
          <w:shd w:val="clear" w:color="auto" w:fill="FFFFFF"/>
        </w:rPr>
        <w:t xml:space="preserve">; </w:t>
      </w:r>
      <w:r w:rsidR="0059270B" w:rsidRPr="00CB05A8">
        <w:rPr>
          <w:i/>
          <w:szCs w:val="26"/>
          <w:shd w:val="clear" w:color="auto" w:fill="FFFFFF"/>
        </w:rPr>
        <w:t>People v. Lewis and Oliver</w:t>
      </w:r>
      <w:r w:rsidR="0059270B" w:rsidRPr="00CB05A8">
        <w:t xml:space="preserve"> (2006) 39 Cal.4th 970, 1053 </w:t>
      </w:r>
      <w:r w:rsidR="001B07F5" w:rsidRPr="00CB05A8">
        <w:t>(</w:t>
      </w:r>
      <w:r w:rsidR="001B07F5" w:rsidRPr="00CB05A8">
        <w:rPr>
          <w:i/>
        </w:rPr>
        <w:t>Lewis and Oliver</w:t>
      </w:r>
      <w:r w:rsidR="001B07F5" w:rsidRPr="00CB05A8">
        <w:t xml:space="preserve">) </w:t>
      </w:r>
      <w:r w:rsidR="0059270B" w:rsidRPr="00CB05A8">
        <w:t>[throwing a milk carton and hot coffee at officer]</w:t>
      </w:r>
      <w:r w:rsidR="003E447C" w:rsidRPr="00CB05A8">
        <w:t xml:space="preserve">; </w:t>
      </w:r>
      <w:r w:rsidR="003E447C" w:rsidRPr="00CB05A8">
        <w:rPr>
          <w:i/>
        </w:rPr>
        <w:t xml:space="preserve">People v. Burgener </w:t>
      </w:r>
      <w:r w:rsidR="003E447C" w:rsidRPr="00CB05A8">
        <w:t>(2003) 29</w:t>
      </w:r>
      <w:r w:rsidR="004D7847">
        <w:t> </w:t>
      </w:r>
      <w:r w:rsidR="003E447C" w:rsidRPr="00CB05A8">
        <w:t>Cal.4th 833, 868 [</w:t>
      </w:r>
      <w:r w:rsidR="0071173E" w:rsidRPr="00CB05A8">
        <w:t>throwing water, urine, scouring powder, bleach, and other substances at correctional officers]</w:t>
      </w:r>
      <w:r w:rsidR="00681131" w:rsidRPr="00CB05A8">
        <w:t>.</w:t>
      </w:r>
      <w:r w:rsidRPr="00CB05A8">
        <w:rPr>
          <w:szCs w:val="26"/>
          <w:shd w:val="clear" w:color="auto" w:fill="FFFFFF"/>
        </w:rPr>
        <w:t>)</w:t>
      </w:r>
      <w:r w:rsidR="00E86429" w:rsidRPr="00CB05A8">
        <w:rPr>
          <w:szCs w:val="26"/>
          <w:shd w:val="clear" w:color="auto" w:fill="FFFFFF"/>
        </w:rPr>
        <w:t xml:space="preserve"> </w:t>
      </w:r>
      <w:r w:rsidR="00681131" w:rsidRPr="00CB05A8">
        <w:rPr>
          <w:szCs w:val="26"/>
          <w:shd w:val="clear" w:color="auto" w:fill="FFFFFF"/>
        </w:rPr>
        <w:t xml:space="preserve"> </w:t>
      </w:r>
      <w:r w:rsidR="00102003" w:rsidRPr="00CB05A8">
        <w:rPr>
          <w:szCs w:val="26"/>
          <w:shd w:val="clear" w:color="auto" w:fill="FFFFFF"/>
        </w:rPr>
        <w:t xml:space="preserve">We </w:t>
      </w:r>
      <w:r w:rsidR="0059270B" w:rsidRPr="00CB05A8">
        <w:rPr>
          <w:szCs w:val="26"/>
          <w:shd w:val="clear" w:color="auto" w:fill="FFFFFF"/>
        </w:rPr>
        <w:t xml:space="preserve">also </w:t>
      </w:r>
      <w:r w:rsidR="00102003" w:rsidRPr="00CB05A8">
        <w:rPr>
          <w:szCs w:val="26"/>
          <w:shd w:val="clear" w:color="auto" w:fill="FFFFFF"/>
        </w:rPr>
        <w:t>recently reaffirmed that “[f]actor (b) is not limited in all circumstances to acts as to which the defendant has used forcible violence or violent force.”  (</w:t>
      </w:r>
      <w:r w:rsidR="00102003" w:rsidRPr="00CB05A8">
        <w:rPr>
          <w:i/>
          <w:szCs w:val="26"/>
          <w:shd w:val="clear" w:color="auto" w:fill="FFFFFF"/>
        </w:rPr>
        <w:t>People v. Westerfield</w:t>
      </w:r>
      <w:r w:rsidR="00102003" w:rsidRPr="00CB05A8">
        <w:rPr>
          <w:szCs w:val="26"/>
          <w:shd w:val="clear" w:color="auto" w:fill="FFFFFF"/>
        </w:rPr>
        <w:t xml:space="preserve"> (</w:t>
      </w:r>
      <w:r w:rsidR="00EC576E" w:rsidRPr="00CB05A8">
        <w:rPr>
          <w:szCs w:val="26"/>
          <w:shd w:val="clear" w:color="auto" w:fill="FFFFFF"/>
        </w:rPr>
        <w:t>2019) 6</w:t>
      </w:r>
      <w:r w:rsidR="00D066F0" w:rsidRPr="00CB05A8">
        <w:rPr>
          <w:szCs w:val="26"/>
          <w:shd w:val="clear" w:color="auto" w:fill="FFFFFF"/>
        </w:rPr>
        <w:t> </w:t>
      </w:r>
      <w:r w:rsidR="00EC576E" w:rsidRPr="00CB05A8">
        <w:rPr>
          <w:szCs w:val="26"/>
          <w:shd w:val="clear" w:color="auto" w:fill="FFFFFF"/>
        </w:rPr>
        <w:t xml:space="preserve">Cal.5th 632, </w:t>
      </w:r>
      <w:r w:rsidR="000352D0" w:rsidRPr="00CB05A8">
        <w:rPr>
          <w:szCs w:val="26"/>
          <w:shd w:val="clear" w:color="auto" w:fill="FFFFFF"/>
        </w:rPr>
        <w:t>720.)</w:t>
      </w:r>
      <w:r w:rsidR="00102003" w:rsidRPr="00CB05A8">
        <w:rPr>
          <w:szCs w:val="26"/>
          <w:shd w:val="clear" w:color="auto" w:fill="FFFFFF"/>
        </w:rPr>
        <w:t xml:space="preserve"> </w:t>
      </w:r>
      <w:r w:rsidR="000352D0" w:rsidRPr="00CB05A8">
        <w:rPr>
          <w:szCs w:val="26"/>
          <w:shd w:val="clear" w:color="auto" w:fill="FFFFFF"/>
        </w:rPr>
        <w:t xml:space="preserve"> </w:t>
      </w:r>
      <w:r w:rsidR="00095D9A">
        <w:rPr>
          <w:szCs w:val="26"/>
          <w:shd w:val="clear" w:color="auto" w:fill="FFFFFF"/>
        </w:rPr>
        <w:t>W</w:t>
      </w:r>
      <w:r w:rsidR="00A7378B" w:rsidRPr="00CB05A8">
        <w:rPr>
          <w:szCs w:val="26"/>
          <w:shd w:val="clear" w:color="auto" w:fill="FFFFFF"/>
        </w:rPr>
        <w:t>e conclude</w:t>
      </w:r>
      <w:r w:rsidRPr="00CB05A8">
        <w:rPr>
          <w:szCs w:val="26"/>
          <w:shd w:val="clear" w:color="auto" w:fill="FFFFFF"/>
        </w:rPr>
        <w:t xml:space="preserve"> the jury was permitted to </w:t>
      </w:r>
      <w:r w:rsidR="00BA7F22" w:rsidRPr="00CB05A8">
        <w:rPr>
          <w:szCs w:val="26"/>
          <w:shd w:val="clear" w:color="auto" w:fill="FFFFFF"/>
        </w:rPr>
        <w:t>consider</w:t>
      </w:r>
      <w:r w:rsidRPr="00CB05A8">
        <w:rPr>
          <w:szCs w:val="26"/>
          <w:shd w:val="clear" w:color="auto" w:fill="FFFFFF"/>
        </w:rPr>
        <w:t xml:space="preserve"> </w:t>
      </w:r>
      <w:r w:rsidR="00417E5A" w:rsidRPr="00CB05A8">
        <w:rPr>
          <w:szCs w:val="26"/>
          <w:shd w:val="clear" w:color="auto" w:fill="FFFFFF"/>
        </w:rPr>
        <w:t>this activity</w:t>
      </w:r>
      <w:r w:rsidRPr="00CB05A8">
        <w:rPr>
          <w:szCs w:val="26"/>
          <w:shd w:val="clear" w:color="auto" w:fill="FFFFFF"/>
        </w:rPr>
        <w:t xml:space="preserve"> in determining </w:t>
      </w:r>
      <w:r w:rsidR="00552CE1" w:rsidRPr="00CB05A8">
        <w:rPr>
          <w:szCs w:val="26"/>
          <w:shd w:val="clear" w:color="auto" w:fill="FFFFFF"/>
        </w:rPr>
        <w:t>defendant’s</w:t>
      </w:r>
      <w:r w:rsidRPr="00CB05A8">
        <w:rPr>
          <w:szCs w:val="26"/>
          <w:shd w:val="clear" w:color="auto" w:fill="FFFFFF"/>
        </w:rPr>
        <w:t xml:space="preserve"> sentence.</w:t>
      </w:r>
    </w:p>
    <w:p w14:paraId="40A50C68" w14:textId="51DD0133" w:rsidR="007E4225" w:rsidRPr="00CB05A8" w:rsidRDefault="007E4225" w:rsidP="00C84BAD">
      <w:pPr>
        <w:ind w:firstLine="720"/>
        <w:rPr>
          <w:szCs w:val="26"/>
          <w:shd w:val="clear" w:color="auto" w:fill="FFFFFF"/>
        </w:rPr>
      </w:pPr>
      <w:r w:rsidRPr="00CB05A8">
        <w:rPr>
          <w:szCs w:val="26"/>
          <w:shd w:val="clear" w:color="auto" w:fill="FFFFFF"/>
        </w:rPr>
        <w:t xml:space="preserve">Defendant also </w:t>
      </w:r>
      <w:r w:rsidR="00A7378B" w:rsidRPr="00CB05A8">
        <w:rPr>
          <w:szCs w:val="26"/>
          <w:shd w:val="clear" w:color="auto" w:fill="FFFFFF"/>
        </w:rPr>
        <w:t>maintain</w:t>
      </w:r>
      <w:r w:rsidRPr="00CB05A8">
        <w:rPr>
          <w:szCs w:val="26"/>
          <w:shd w:val="clear" w:color="auto" w:fill="FFFFFF"/>
        </w:rPr>
        <w:t xml:space="preserve">s that allowing the jury to know the </w:t>
      </w:r>
      <w:r w:rsidR="00A7378B" w:rsidRPr="00CB05A8">
        <w:rPr>
          <w:szCs w:val="26"/>
          <w:shd w:val="clear" w:color="auto" w:fill="FFFFFF"/>
        </w:rPr>
        <w:t>substance</w:t>
      </w:r>
      <w:r w:rsidRPr="00CB05A8">
        <w:rPr>
          <w:szCs w:val="26"/>
          <w:shd w:val="clear" w:color="auto" w:fill="FFFFFF"/>
        </w:rPr>
        <w:t xml:space="preserve"> was urine was more prejudicial than probative</w:t>
      </w:r>
      <w:r w:rsidR="002248E0" w:rsidRPr="00CB05A8">
        <w:rPr>
          <w:szCs w:val="26"/>
          <w:shd w:val="clear" w:color="auto" w:fill="FFFFFF"/>
        </w:rPr>
        <w:t xml:space="preserve"> and should have been excluded</w:t>
      </w:r>
      <w:r w:rsidRPr="00CB05A8">
        <w:rPr>
          <w:szCs w:val="26"/>
          <w:shd w:val="clear" w:color="auto" w:fill="FFFFFF"/>
        </w:rPr>
        <w:t xml:space="preserve">.  </w:t>
      </w:r>
      <w:r w:rsidR="002248E0" w:rsidRPr="00CB05A8">
        <w:rPr>
          <w:szCs w:val="26"/>
          <w:shd w:val="clear" w:color="auto" w:fill="FFFFFF"/>
        </w:rPr>
        <w:t xml:space="preserve">(Evid. Code, § 352, subd. (a).)  </w:t>
      </w:r>
      <w:r w:rsidR="00493093" w:rsidRPr="00CB05A8">
        <w:rPr>
          <w:szCs w:val="26"/>
          <w:shd w:val="clear" w:color="auto" w:fill="FFFFFF"/>
        </w:rPr>
        <w:t>Not so.</w:t>
      </w:r>
      <w:r w:rsidRPr="00CB05A8">
        <w:rPr>
          <w:szCs w:val="26"/>
          <w:shd w:val="clear" w:color="auto" w:fill="FFFFFF"/>
        </w:rPr>
        <w:t xml:space="preserve">  </w:t>
      </w:r>
      <w:r w:rsidR="00212CF3" w:rsidRPr="00CB05A8">
        <w:rPr>
          <w:szCs w:val="26"/>
          <w:shd w:val="clear" w:color="auto" w:fill="FFFFFF"/>
        </w:rPr>
        <w:t>The fact that defendant, while refusing to be handcuffed for a cell search, yelled profanities at</w:t>
      </w:r>
      <w:r w:rsidR="00244AF5" w:rsidRPr="00CB05A8">
        <w:rPr>
          <w:szCs w:val="26"/>
          <w:shd w:val="clear" w:color="auto" w:fill="FFFFFF"/>
        </w:rPr>
        <w:t xml:space="preserve"> custodial</w:t>
      </w:r>
      <w:r w:rsidR="00212CF3" w:rsidRPr="00CB05A8">
        <w:rPr>
          <w:szCs w:val="26"/>
          <w:shd w:val="clear" w:color="auto" w:fill="FFFFFF"/>
        </w:rPr>
        <w:t xml:space="preserve"> officers and </w:t>
      </w:r>
      <w:r w:rsidR="009068FD">
        <w:rPr>
          <w:szCs w:val="26"/>
          <w:shd w:val="clear" w:color="auto" w:fill="FFFFFF"/>
        </w:rPr>
        <w:t>threw</w:t>
      </w:r>
      <w:r w:rsidR="00212CF3" w:rsidRPr="00CB05A8">
        <w:rPr>
          <w:szCs w:val="26"/>
          <w:shd w:val="clear" w:color="auto" w:fill="FFFFFF"/>
        </w:rPr>
        <w:t xml:space="preserve"> urine </w:t>
      </w:r>
      <w:r w:rsidR="002E39C6" w:rsidRPr="00CB05A8">
        <w:rPr>
          <w:szCs w:val="26"/>
          <w:shd w:val="clear" w:color="auto" w:fill="FFFFFF"/>
        </w:rPr>
        <w:t xml:space="preserve">on them </w:t>
      </w:r>
      <w:r w:rsidR="00212CF3" w:rsidRPr="00CB05A8">
        <w:rPr>
          <w:szCs w:val="26"/>
          <w:shd w:val="clear" w:color="auto" w:fill="FFFFFF"/>
        </w:rPr>
        <w:t xml:space="preserve">was probative of the violent nature of the act.  </w:t>
      </w:r>
      <w:r w:rsidR="00244AF5" w:rsidRPr="00CB05A8">
        <w:rPr>
          <w:szCs w:val="26"/>
          <w:shd w:val="clear" w:color="auto" w:fill="FFFFFF"/>
        </w:rPr>
        <w:t xml:space="preserve">In denying </w:t>
      </w:r>
      <w:r w:rsidR="00C36485" w:rsidRPr="00CB05A8">
        <w:rPr>
          <w:szCs w:val="26"/>
          <w:shd w:val="clear" w:color="auto" w:fill="FFFFFF"/>
        </w:rPr>
        <w:t xml:space="preserve">defendant’s request to limit the evidence to </w:t>
      </w:r>
      <w:r w:rsidR="009F04FB" w:rsidRPr="00CB05A8">
        <w:rPr>
          <w:szCs w:val="26"/>
          <w:shd w:val="clear" w:color="auto" w:fill="FFFFFF"/>
        </w:rPr>
        <w:t xml:space="preserve">the throwing of a liquid, </w:t>
      </w:r>
      <w:r w:rsidR="00244AF5" w:rsidRPr="00CB05A8">
        <w:rPr>
          <w:szCs w:val="26"/>
          <w:shd w:val="clear" w:color="auto" w:fill="FFFFFF"/>
        </w:rPr>
        <w:t>the trial court elaborated</w:t>
      </w:r>
      <w:r w:rsidR="009F04FB" w:rsidRPr="00CB05A8">
        <w:rPr>
          <w:szCs w:val="26"/>
          <w:shd w:val="clear" w:color="auto" w:fill="FFFFFF"/>
        </w:rPr>
        <w:t xml:space="preserve">:  “I can’t believe </w:t>
      </w:r>
      <w:r w:rsidR="008F1F21" w:rsidRPr="00CB05A8">
        <w:rPr>
          <w:szCs w:val="26"/>
          <w:shd w:val="clear" w:color="auto" w:fill="FFFFFF"/>
        </w:rPr>
        <w:t xml:space="preserve">that </w:t>
      </w:r>
      <w:r w:rsidR="009F04FB" w:rsidRPr="00CB05A8">
        <w:rPr>
          <w:szCs w:val="26"/>
          <w:shd w:val="clear" w:color="auto" w:fill="FFFFFF"/>
        </w:rPr>
        <w:t>you’re arguing to me that urine is no more possibly caustic or dangerous or violent really than water</w:t>
      </w:r>
      <w:r w:rsidR="00295824" w:rsidRPr="00CB05A8">
        <w:rPr>
          <w:szCs w:val="26"/>
          <w:shd w:val="clear" w:color="auto" w:fill="FFFFFF"/>
        </w:rPr>
        <w:t>.</w:t>
      </w:r>
      <w:r w:rsidR="00B63BA3" w:rsidRPr="00CB05A8">
        <w:rPr>
          <w:szCs w:val="26"/>
          <w:shd w:val="clear" w:color="auto" w:fill="FFFFFF"/>
        </w:rPr>
        <w:t> </w:t>
      </w:r>
      <w:r w:rsidR="006F51BE" w:rsidRPr="00CB05A8">
        <w:rPr>
          <w:szCs w:val="26"/>
          <w:shd w:val="clear" w:color="auto" w:fill="FFFFFF"/>
        </w:rPr>
        <w:t xml:space="preserve">. . . </w:t>
      </w:r>
      <w:r w:rsidR="00B63BA3" w:rsidRPr="00CB05A8">
        <w:rPr>
          <w:szCs w:val="26"/>
          <w:shd w:val="clear" w:color="auto" w:fill="FFFFFF"/>
        </w:rPr>
        <w:t xml:space="preserve"> </w:t>
      </w:r>
      <w:r w:rsidR="006F51BE" w:rsidRPr="00CB05A8">
        <w:rPr>
          <w:szCs w:val="26"/>
          <w:shd w:val="clear" w:color="auto" w:fill="FFFFFF"/>
        </w:rPr>
        <w:t>“[T]he jury can fairly infer from the act .</w:t>
      </w:r>
      <w:r w:rsidR="00FA1F97" w:rsidRPr="00CB05A8">
        <w:rPr>
          <w:szCs w:val="26"/>
          <w:shd w:val="clear" w:color="auto" w:fill="FFFFFF"/>
        </w:rPr>
        <w:t> </w:t>
      </w:r>
      <w:r w:rsidR="006F51BE" w:rsidRPr="00CB05A8">
        <w:rPr>
          <w:szCs w:val="26"/>
          <w:shd w:val="clear" w:color="auto" w:fill="FFFFFF"/>
        </w:rPr>
        <w:t>.</w:t>
      </w:r>
      <w:r w:rsidR="00FA1F97" w:rsidRPr="00CB05A8">
        <w:rPr>
          <w:szCs w:val="26"/>
          <w:shd w:val="clear" w:color="auto" w:fill="FFFFFF"/>
        </w:rPr>
        <w:t> </w:t>
      </w:r>
      <w:r w:rsidR="006F51BE" w:rsidRPr="00CB05A8">
        <w:rPr>
          <w:szCs w:val="26"/>
          <w:shd w:val="clear" w:color="auto" w:fill="FFFFFF"/>
        </w:rPr>
        <w:t xml:space="preserve">. </w:t>
      </w:r>
      <w:r w:rsidR="009D58C3" w:rsidRPr="00CB05A8">
        <w:rPr>
          <w:szCs w:val="26"/>
          <w:shd w:val="clear" w:color="auto" w:fill="FFFFFF"/>
        </w:rPr>
        <w:t xml:space="preserve">that </w:t>
      </w:r>
      <w:r w:rsidR="006F51BE" w:rsidRPr="00CB05A8">
        <w:rPr>
          <w:szCs w:val="26"/>
          <w:shd w:val="clear" w:color="auto" w:fill="FFFFFF"/>
        </w:rPr>
        <w:t xml:space="preserve">there’s a specific reason why urine is used </w:t>
      </w:r>
      <w:r w:rsidR="002248E0" w:rsidRPr="00CB05A8">
        <w:rPr>
          <w:szCs w:val="26"/>
          <w:shd w:val="clear" w:color="auto" w:fill="FFFFFF"/>
        </w:rPr>
        <w:t xml:space="preserve">instead of water.”  </w:t>
      </w:r>
      <w:r w:rsidR="00095D9A">
        <w:rPr>
          <w:szCs w:val="26"/>
          <w:shd w:val="clear" w:color="auto" w:fill="FFFFFF"/>
        </w:rPr>
        <w:t>We</w:t>
      </w:r>
      <w:r w:rsidR="00000931" w:rsidRPr="00CB05A8">
        <w:rPr>
          <w:szCs w:val="26"/>
          <w:shd w:val="clear" w:color="auto" w:fill="FFFFFF"/>
        </w:rPr>
        <w:t xml:space="preserve"> conclude the </w:t>
      </w:r>
      <w:r w:rsidRPr="00CB05A8">
        <w:rPr>
          <w:szCs w:val="26"/>
          <w:shd w:val="clear" w:color="auto" w:fill="FFFFFF"/>
        </w:rPr>
        <w:t xml:space="preserve">court properly </w:t>
      </w:r>
      <w:r w:rsidR="00493093" w:rsidRPr="00CB05A8">
        <w:rPr>
          <w:szCs w:val="26"/>
          <w:shd w:val="clear" w:color="auto" w:fill="FFFFFF"/>
        </w:rPr>
        <w:t>exercised</w:t>
      </w:r>
      <w:r w:rsidRPr="00CB05A8">
        <w:rPr>
          <w:szCs w:val="26"/>
          <w:shd w:val="clear" w:color="auto" w:fill="FFFFFF"/>
        </w:rPr>
        <w:t xml:space="preserve"> its discretion </w:t>
      </w:r>
      <w:r w:rsidR="007503BD" w:rsidRPr="00CB05A8">
        <w:rPr>
          <w:szCs w:val="26"/>
          <w:shd w:val="clear" w:color="auto" w:fill="FFFFFF"/>
        </w:rPr>
        <w:t xml:space="preserve">in determining </w:t>
      </w:r>
      <w:r w:rsidRPr="00CB05A8">
        <w:rPr>
          <w:szCs w:val="26"/>
          <w:shd w:val="clear" w:color="auto" w:fill="FFFFFF"/>
        </w:rPr>
        <w:t>the probative value of the evidence</w:t>
      </w:r>
      <w:r w:rsidR="00272B5D" w:rsidRPr="00CB05A8">
        <w:rPr>
          <w:szCs w:val="26"/>
          <w:shd w:val="clear" w:color="auto" w:fill="FFFFFF"/>
        </w:rPr>
        <w:t xml:space="preserve"> outweighed its potential prejudice.</w:t>
      </w:r>
      <w:r w:rsidRPr="00CB05A8">
        <w:rPr>
          <w:szCs w:val="26"/>
          <w:shd w:val="clear" w:color="auto" w:fill="FFFFFF"/>
        </w:rPr>
        <w:t xml:space="preserve">  </w:t>
      </w:r>
    </w:p>
    <w:p w14:paraId="4ADC0126" w14:textId="1BF63154" w:rsidR="00AC2E78" w:rsidRPr="00CB05A8" w:rsidRDefault="00ED1F09" w:rsidP="00CB05A8">
      <w:pPr>
        <w:pStyle w:val="Heading4"/>
        <w:rPr>
          <w:i w:val="0"/>
        </w:rPr>
      </w:pPr>
      <w:bookmarkStart w:id="60" w:name="_Toc58918816"/>
      <w:r w:rsidRPr="00CB05A8">
        <w:t>b</w:t>
      </w:r>
      <w:r w:rsidR="00AC2E78" w:rsidRPr="00CB05A8">
        <w:t xml:space="preserve">. </w:t>
      </w:r>
      <w:r w:rsidRPr="00CB05A8">
        <w:t xml:space="preserve"> </w:t>
      </w:r>
      <w:r w:rsidR="0078734D" w:rsidRPr="00CB05A8">
        <w:t>P</w:t>
      </w:r>
      <w:r w:rsidR="00D852FD" w:rsidRPr="00CB05A8">
        <w:t>ossess</w:t>
      </w:r>
      <w:r w:rsidR="0079145E" w:rsidRPr="00CB05A8">
        <w:t>ion of</w:t>
      </w:r>
      <w:r w:rsidR="00D852FD" w:rsidRPr="00CB05A8">
        <w:t xml:space="preserve"> </w:t>
      </w:r>
      <w:r w:rsidR="00273BF8" w:rsidRPr="00CB05A8">
        <w:t>h</w:t>
      </w:r>
      <w:r w:rsidR="00D852FD" w:rsidRPr="00CB05A8">
        <w:t xml:space="preserve">acksaw </w:t>
      </w:r>
      <w:r w:rsidR="00273BF8" w:rsidRPr="00CB05A8">
        <w:t>b</w:t>
      </w:r>
      <w:r w:rsidR="00D852FD" w:rsidRPr="00CB05A8">
        <w:t>lades</w:t>
      </w:r>
      <w:r w:rsidR="001E11E8" w:rsidRPr="00CB05A8">
        <w:t xml:space="preserve"> </w:t>
      </w:r>
      <w:bookmarkEnd w:id="60"/>
    </w:p>
    <w:p w14:paraId="60064C1B" w14:textId="0FF4AF34" w:rsidR="001B2127" w:rsidRPr="00CB05A8" w:rsidRDefault="001B2127" w:rsidP="00C84BAD">
      <w:pPr>
        <w:ind w:firstLine="720"/>
        <w:rPr>
          <w:color w:val="000000" w:themeColor="text1"/>
          <w:szCs w:val="26"/>
        </w:rPr>
      </w:pPr>
      <w:r w:rsidRPr="00CB05A8">
        <w:rPr>
          <w:szCs w:val="26"/>
        </w:rPr>
        <w:t xml:space="preserve">The prosecution also presented evidence of </w:t>
      </w:r>
      <w:r w:rsidR="00314014" w:rsidRPr="00CB05A8">
        <w:rPr>
          <w:szCs w:val="26"/>
        </w:rPr>
        <w:t>defendant’s</w:t>
      </w:r>
      <w:r w:rsidRPr="00CB05A8">
        <w:rPr>
          <w:szCs w:val="26"/>
        </w:rPr>
        <w:t xml:space="preserve"> possession of hacksaw blade</w:t>
      </w:r>
      <w:r w:rsidR="00314014" w:rsidRPr="00CB05A8">
        <w:rPr>
          <w:szCs w:val="26"/>
        </w:rPr>
        <w:t>s while incarcerated</w:t>
      </w:r>
      <w:r w:rsidR="00DD2701" w:rsidRPr="00CB05A8">
        <w:rPr>
          <w:szCs w:val="26"/>
        </w:rPr>
        <w:t xml:space="preserve">.  This was </w:t>
      </w:r>
      <w:r w:rsidR="00343F5B" w:rsidRPr="00CB05A8">
        <w:rPr>
          <w:szCs w:val="26"/>
        </w:rPr>
        <w:t>a violation of</w:t>
      </w:r>
      <w:r w:rsidRPr="00CB05A8">
        <w:rPr>
          <w:szCs w:val="26"/>
        </w:rPr>
        <w:t xml:space="preserve"> section 4502, subdivision (a)</w:t>
      </w:r>
      <w:r w:rsidR="00343F5B" w:rsidRPr="00CB05A8">
        <w:rPr>
          <w:szCs w:val="26"/>
        </w:rPr>
        <w:t>, which prohibits the possession of a “dirk</w:t>
      </w:r>
      <w:r w:rsidR="00B26141">
        <w:rPr>
          <w:szCs w:val="26"/>
        </w:rPr>
        <w:t xml:space="preserve"> or dagger</w:t>
      </w:r>
      <w:r w:rsidR="00343F5B" w:rsidRPr="00CB05A8">
        <w:rPr>
          <w:szCs w:val="26"/>
        </w:rPr>
        <w:t xml:space="preserve"> or </w:t>
      </w:r>
      <w:r w:rsidR="00343F5B" w:rsidRPr="00CB05A8">
        <w:rPr>
          <w:iCs/>
          <w:szCs w:val="26"/>
        </w:rPr>
        <w:t>sharp instrument</w:t>
      </w:r>
      <w:r w:rsidR="00343F5B" w:rsidRPr="00CB05A8">
        <w:rPr>
          <w:szCs w:val="26"/>
        </w:rPr>
        <w:t xml:space="preserve">” while confined in a penal institution.  </w:t>
      </w:r>
      <w:r w:rsidR="000C11B7" w:rsidRPr="00CB05A8">
        <w:rPr>
          <w:szCs w:val="26"/>
        </w:rPr>
        <w:t xml:space="preserve">On May </w:t>
      </w:r>
      <w:r w:rsidR="00900546" w:rsidRPr="00CB05A8">
        <w:rPr>
          <w:szCs w:val="26"/>
        </w:rPr>
        <w:t>1</w:t>
      </w:r>
      <w:r w:rsidR="000C11B7" w:rsidRPr="00CB05A8">
        <w:rPr>
          <w:szCs w:val="26"/>
        </w:rPr>
        <w:t xml:space="preserve">, 1984, a </w:t>
      </w:r>
      <w:r w:rsidR="00DB78CC" w:rsidRPr="00CB05A8">
        <w:rPr>
          <w:szCs w:val="26"/>
        </w:rPr>
        <w:t xml:space="preserve">San Quentin </w:t>
      </w:r>
      <w:r w:rsidR="009A0EBA" w:rsidRPr="00CB05A8">
        <w:rPr>
          <w:szCs w:val="26"/>
        </w:rPr>
        <w:t>correctional</w:t>
      </w:r>
      <w:r w:rsidRPr="00CB05A8">
        <w:rPr>
          <w:szCs w:val="26"/>
        </w:rPr>
        <w:t xml:space="preserve"> officer </w:t>
      </w:r>
      <w:r w:rsidR="0059419E" w:rsidRPr="00CB05A8">
        <w:rPr>
          <w:szCs w:val="26"/>
        </w:rPr>
        <w:t>conducted a search of defendant</w:t>
      </w:r>
      <w:r w:rsidRPr="00CB05A8">
        <w:rPr>
          <w:szCs w:val="26"/>
        </w:rPr>
        <w:t xml:space="preserve"> </w:t>
      </w:r>
      <w:r w:rsidR="0059419E" w:rsidRPr="00CB05A8">
        <w:rPr>
          <w:szCs w:val="26"/>
        </w:rPr>
        <w:t xml:space="preserve">while in custody.  </w:t>
      </w:r>
      <w:r w:rsidR="003A4D3B" w:rsidRPr="00CB05A8">
        <w:rPr>
          <w:szCs w:val="26"/>
        </w:rPr>
        <w:t>The officer’s</w:t>
      </w:r>
      <w:r w:rsidR="00473E0D" w:rsidRPr="00CB05A8">
        <w:rPr>
          <w:szCs w:val="26"/>
        </w:rPr>
        <w:t xml:space="preserve"> metal detector</w:t>
      </w:r>
      <w:r w:rsidRPr="00CB05A8">
        <w:rPr>
          <w:szCs w:val="26"/>
        </w:rPr>
        <w:t xml:space="preserve"> </w:t>
      </w:r>
      <w:r w:rsidR="003A4D3B" w:rsidRPr="00CB05A8">
        <w:rPr>
          <w:szCs w:val="26"/>
        </w:rPr>
        <w:t xml:space="preserve">sounded an alarm when placed </w:t>
      </w:r>
      <w:r w:rsidRPr="00CB05A8">
        <w:rPr>
          <w:szCs w:val="26"/>
        </w:rPr>
        <w:t xml:space="preserve">near defendant’s rectum.  Defendant then voluntarily removed three hacksaw blades </w:t>
      </w:r>
      <w:r w:rsidR="00AE7F1B" w:rsidRPr="00CB05A8">
        <w:rPr>
          <w:szCs w:val="26"/>
        </w:rPr>
        <w:t xml:space="preserve">in plastic wrap </w:t>
      </w:r>
      <w:r w:rsidRPr="00CB05A8">
        <w:rPr>
          <w:szCs w:val="26"/>
        </w:rPr>
        <w:t xml:space="preserve">from his rectum.  </w:t>
      </w:r>
      <w:r w:rsidRPr="00CB05A8">
        <w:rPr>
          <w:color w:val="000000" w:themeColor="text1"/>
          <w:szCs w:val="26"/>
        </w:rPr>
        <w:t xml:space="preserve">  </w:t>
      </w:r>
    </w:p>
    <w:p w14:paraId="6CA29AE5" w14:textId="08AB9B58" w:rsidR="001B2127" w:rsidRPr="00CB05A8" w:rsidRDefault="001B2127" w:rsidP="00C84BAD">
      <w:pPr>
        <w:ind w:firstLine="720"/>
        <w:rPr>
          <w:szCs w:val="26"/>
        </w:rPr>
      </w:pPr>
      <w:r w:rsidRPr="00CB05A8">
        <w:rPr>
          <w:szCs w:val="26"/>
        </w:rPr>
        <w:t xml:space="preserve">Defendant </w:t>
      </w:r>
      <w:r w:rsidR="00AD2099" w:rsidRPr="00CB05A8">
        <w:rPr>
          <w:szCs w:val="26"/>
        </w:rPr>
        <w:t xml:space="preserve">asserts the </w:t>
      </w:r>
      <w:r w:rsidR="007363AD" w:rsidRPr="00CB05A8">
        <w:rPr>
          <w:szCs w:val="26"/>
        </w:rPr>
        <w:t>trial</w:t>
      </w:r>
      <w:r w:rsidR="00AD2099" w:rsidRPr="00CB05A8">
        <w:rPr>
          <w:szCs w:val="26"/>
        </w:rPr>
        <w:t xml:space="preserve"> court erroneously admitted </w:t>
      </w:r>
      <w:r w:rsidR="008F1EA9" w:rsidRPr="00CB05A8">
        <w:rPr>
          <w:szCs w:val="26"/>
        </w:rPr>
        <w:t xml:space="preserve">this </w:t>
      </w:r>
      <w:r w:rsidR="00AD2099" w:rsidRPr="00CB05A8">
        <w:rPr>
          <w:szCs w:val="26"/>
        </w:rPr>
        <w:t xml:space="preserve">evidence </w:t>
      </w:r>
      <w:r w:rsidR="005E581E" w:rsidRPr="00CB05A8">
        <w:rPr>
          <w:szCs w:val="26"/>
        </w:rPr>
        <w:t>because</w:t>
      </w:r>
      <w:r w:rsidRPr="00CB05A8">
        <w:rPr>
          <w:szCs w:val="26"/>
        </w:rPr>
        <w:t xml:space="preserve"> a hacksaw blade does not qualify as a “sharp instrument” as contemplated </w:t>
      </w:r>
      <w:r w:rsidR="00781C80" w:rsidRPr="00CB05A8">
        <w:rPr>
          <w:szCs w:val="26"/>
        </w:rPr>
        <w:t>by</w:t>
      </w:r>
      <w:r w:rsidRPr="00CB05A8">
        <w:rPr>
          <w:szCs w:val="26"/>
        </w:rPr>
        <w:t xml:space="preserve"> section 4502</w:t>
      </w:r>
      <w:r w:rsidR="005D26DD" w:rsidRPr="00CB05A8">
        <w:rPr>
          <w:szCs w:val="26"/>
        </w:rPr>
        <w:t>, subdivision (a)</w:t>
      </w:r>
      <w:r w:rsidRPr="00CB05A8">
        <w:rPr>
          <w:szCs w:val="26"/>
        </w:rPr>
        <w:t xml:space="preserve">.  </w:t>
      </w:r>
      <w:r w:rsidR="00FB3021" w:rsidRPr="00CB05A8">
        <w:rPr>
          <w:szCs w:val="26"/>
        </w:rPr>
        <w:t>Relying on a dictionary definition of the word “sharp,” defendant</w:t>
      </w:r>
      <w:r w:rsidRPr="00CB05A8">
        <w:rPr>
          <w:szCs w:val="26"/>
        </w:rPr>
        <w:t xml:space="preserve"> </w:t>
      </w:r>
      <w:r w:rsidR="00465AA3" w:rsidRPr="00CB05A8">
        <w:rPr>
          <w:szCs w:val="26"/>
        </w:rPr>
        <w:t xml:space="preserve">maintains that </w:t>
      </w:r>
      <w:r w:rsidR="00FB3021" w:rsidRPr="00CB05A8">
        <w:rPr>
          <w:szCs w:val="26"/>
        </w:rPr>
        <w:t xml:space="preserve">a </w:t>
      </w:r>
      <w:r w:rsidR="009545D3" w:rsidRPr="00CB05A8">
        <w:rPr>
          <w:szCs w:val="26"/>
        </w:rPr>
        <w:t>sharp instrument must</w:t>
      </w:r>
      <w:r w:rsidR="00FB3021" w:rsidRPr="00CB05A8">
        <w:rPr>
          <w:szCs w:val="26"/>
        </w:rPr>
        <w:t xml:space="preserve"> have a “thin keen edge” and a hacksaw blade</w:t>
      </w:r>
      <w:r w:rsidR="000126B3" w:rsidRPr="00CB05A8">
        <w:rPr>
          <w:szCs w:val="26"/>
        </w:rPr>
        <w:t xml:space="preserve"> </w:t>
      </w:r>
      <w:r w:rsidR="005D26DD" w:rsidRPr="00CB05A8">
        <w:rPr>
          <w:szCs w:val="26"/>
        </w:rPr>
        <w:t>ha</w:t>
      </w:r>
      <w:r w:rsidR="000126B3" w:rsidRPr="00CB05A8">
        <w:rPr>
          <w:szCs w:val="26"/>
        </w:rPr>
        <w:t xml:space="preserve">s a </w:t>
      </w:r>
      <w:r w:rsidR="00B93F3E">
        <w:rPr>
          <w:szCs w:val="26"/>
        </w:rPr>
        <w:t>“</w:t>
      </w:r>
      <w:r w:rsidR="000126B3" w:rsidRPr="00CB05A8">
        <w:rPr>
          <w:szCs w:val="26"/>
        </w:rPr>
        <w:t>fine tooth saw.</w:t>
      </w:r>
      <w:r w:rsidR="00B93F3E">
        <w:rPr>
          <w:szCs w:val="26"/>
        </w:rPr>
        <w:t>”</w:t>
      </w:r>
      <w:r w:rsidR="000126B3" w:rsidRPr="00CB05A8">
        <w:rPr>
          <w:szCs w:val="26"/>
        </w:rPr>
        <w:t xml:space="preserve">  </w:t>
      </w:r>
      <w:r w:rsidR="00AB2EDE" w:rsidRPr="00CB05A8">
        <w:rPr>
          <w:szCs w:val="26"/>
        </w:rPr>
        <w:t>In</w:t>
      </w:r>
      <w:r w:rsidRPr="00CB05A8">
        <w:rPr>
          <w:szCs w:val="26"/>
        </w:rPr>
        <w:t xml:space="preserve"> </w:t>
      </w:r>
      <w:r w:rsidRPr="00CB05A8">
        <w:rPr>
          <w:i/>
          <w:iCs/>
          <w:szCs w:val="26"/>
        </w:rPr>
        <w:t>People v. Hayes</w:t>
      </w:r>
      <w:r w:rsidRPr="00CB05A8">
        <w:rPr>
          <w:szCs w:val="26"/>
        </w:rPr>
        <w:t xml:space="preserve"> (2009) 171</w:t>
      </w:r>
      <w:r w:rsidR="00643FA4">
        <w:rPr>
          <w:szCs w:val="26"/>
        </w:rPr>
        <w:t> </w:t>
      </w:r>
      <w:r w:rsidRPr="00CB05A8">
        <w:rPr>
          <w:szCs w:val="26"/>
        </w:rPr>
        <w:t>Cal.</w:t>
      </w:r>
      <w:r w:rsidR="005156DA" w:rsidRPr="00CB05A8">
        <w:rPr>
          <w:szCs w:val="26"/>
        </w:rPr>
        <w:t>App.</w:t>
      </w:r>
      <w:r w:rsidRPr="00CB05A8">
        <w:rPr>
          <w:szCs w:val="26"/>
        </w:rPr>
        <w:t>4th 54</w:t>
      </w:r>
      <w:r w:rsidR="00F724D1" w:rsidRPr="00CB05A8">
        <w:rPr>
          <w:szCs w:val="26"/>
        </w:rPr>
        <w:t>9, 560,</w:t>
      </w:r>
      <w:r w:rsidR="00AB2EDE" w:rsidRPr="00CB05A8">
        <w:rPr>
          <w:szCs w:val="26"/>
        </w:rPr>
        <w:t xml:space="preserve"> the Court of Appeal </w:t>
      </w:r>
      <w:r w:rsidR="00D75EFC" w:rsidRPr="00CB05A8">
        <w:rPr>
          <w:szCs w:val="26"/>
        </w:rPr>
        <w:t>determined that a sharp</w:t>
      </w:r>
      <w:r w:rsidR="00F22B2B" w:rsidRPr="00CB05A8">
        <w:rPr>
          <w:szCs w:val="26"/>
        </w:rPr>
        <w:t xml:space="preserve"> instrument under section 4502 “does not necessarily mean the object must have a cutting blade, like a knife or razor blade</w:t>
      </w:r>
      <w:r w:rsidR="00996497" w:rsidRPr="00CB05A8">
        <w:rPr>
          <w:szCs w:val="26"/>
        </w:rPr>
        <w:t>,</w:t>
      </w:r>
      <w:r w:rsidR="00F22B2B" w:rsidRPr="00CB05A8">
        <w:rPr>
          <w:szCs w:val="26"/>
        </w:rPr>
        <w:t xml:space="preserve">” </w:t>
      </w:r>
      <w:r w:rsidR="00996497" w:rsidRPr="00CB05A8">
        <w:rPr>
          <w:szCs w:val="26"/>
        </w:rPr>
        <w:t xml:space="preserve">and could include a pointed object. </w:t>
      </w:r>
      <w:r w:rsidR="00F22B2B" w:rsidRPr="00CB05A8">
        <w:rPr>
          <w:szCs w:val="26"/>
        </w:rPr>
        <w:t xml:space="preserve"> </w:t>
      </w:r>
      <w:r w:rsidR="00095D9A">
        <w:rPr>
          <w:szCs w:val="26"/>
        </w:rPr>
        <w:t>W</w:t>
      </w:r>
      <w:r w:rsidR="00C91282" w:rsidRPr="00CB05A8">
        <w:rPr>
          <w:szCs w:val="26"/>
        </w:rPr>
        <w:t>e conclude, as</w:t>
      </w:r>
      <w:r w:rsidR="00EE3184" w:rsidRPr="00CB05A8">
        <w:rPr>
          <w:szCs w:val="26"/>
        </w:rPr>
        <w:t xml:space="preserve"> did the Court of Appeal</w:t>
      </w:r>
      <w:r w:rsidR="00C91282" w:rsidRPr="00CB05A8">
        <w:rPr>
          <w:szCs w:val="26"/>
        </w:rPr>
        <w:t xml:space="preserve"> in </w:t>
      </w:r>
      <w:r w:rsidR="00C91282" w:rsidRPr="00CB05A8">
        <w:rPr>
          <w:i/>
          <w:szCs w:val="26"/>
        </w:rPr>
        <w:t>Hayes</w:t>
      </w:r>
      <w:r w:rsidR="00C91282" w:rsidRPr="00CB05A8">
        <w:rPr>
          <w:szCs w:val="26"/>
        </w:rPr>
        <w:t>,</w:t>
      </w:r>
      <w:r w:rsidRPr="00CB05A8">
        <w:rPr>
          <w:szCs w:val="26"/>
        </w:rPr>
        <w:t xml:space="preserve"> </w:t>
      </w:r>
      <w:r w:rsidR="00C91282" w:rsidRPr="00CB05A8">
        <w:rPr>
          <w:szCs w:val="26"/>
        </w:rPr>
        <w:t xml:space="preserve">that an instrument </w:t>
      </w:r>
      <w:r w:rsidR="006C4CC9" w:rsidRPr="00CB05A8">
        <w:rPr>
          <w:szCs w:val="26"/>
        </w:rPr>
        <w:t xml:space="preserve">with pointed edges, such as a hacksaw blade, qualifies as </w:t>
      </w:r>
      <w:r w:rsidRPr="00CB05A8">
        <w:rPr>
          <w:szCs w:val="26"/>
        </w:rPr>
        <w:t xml:space="preserve">a “sharp instrument” under section 4502, subdivision (a).  </w:t>
      </w:r>
    </w:p>
    <w:p w14:paraId="7422FB94" w14:textId="7FE85B96" w:rsidR="007503BD" w:rsidRPr="00CB05A8" w:rsidRDefault="001B2127" w:rsidP="00C84BAD">
      <w:pPr>
        <w:ind w:firstLine="720"/>
        <w:rPr>
          <w:szCs w:val="26"/>
        </w:rPr>
      </w:pPr>
      <w:r w:rsidRPr="00CB05A8">
        <w:rPr>
          <w:szCs w:val="26"/>
        </w:rPr>
        <w:t xml:space="preserve">Defendant also argues that </w:t>
      </w:r>
      <w:r w:rsidR="00FC231A" w:rsidRPr="00CB05A8">
        <w:rPr>
          <w:szCs w:val="26"/>
        </w:rPr>
        <w:t xml:space="preserve">his </w:t>
      </w:r>
      <w:r w:rsidRPr="00CB05A8">
        <w:rPr>
          <w:szCs w:val="26"/>
        </w:rPr>
        <w:t xml:space="preserve">possession of a hacksaw blade </w:t>
      </w:r>
      <w:r w:rsidR="00FC231A" w:rsidRPr="00CB05A8">
        <w:rPr>
          <w:szCs w:val="26"/>
        </w:rPr>
        <w:t>does not involve</w:t>
      </w:r>
      <w:r w:rsidRPr="00CB05A8">
        <w:rPr>
          <w:szCs w:val="26"/>
        </w:rPr>
        <w:t xml:space="preserve"> an act of implied force or violence as contemplated by factor (b).  Defendant relies on out</w:t>
      </w:r>
      <w:r w:rsidR="00114DD8" w:rsidRPr="00CB05A8">
        <w:rPr>
          <w:szCs w:val="26"/>
        </w:rPr>
        <w:t>-</w:t>
      </w:r>
      <w:r w:rsidRPr="00CB05A8">
        <w:rPr>
          <w:szCs w:val="26"/>
        </w:rPr>
        <w:t>of</w:t>
      </w:r>
      <w:r w:rsidR="00114DD8" w:rsidRPr="00CB05A8">
        <w:rPr>
          <w:szCs w:val="26"/>
        </w:rPr>
        <w:t>-</w:t>
      </w:r>
      <w:r w:rsidRPr="00CB05A8">
        <w:rPr>
          <w:szCs w:val="26"/>
        </w:rPr>
        <w:t>state decisions</w:t>
      </w:r>
      <w:r w:rsidR="00144588" w:rsidRPr="00CB05A8">
        <w:rPr>
          <w:szCs w:val="26"/>
        </w:rPr>
        <w:t xml:space="preserve"> to support his claim</w:t>
      </w:r>
      <w:r w:rsidRPr="00CB05A8">
        <w:rPr>
          <w:szCs w:val="26"/>
        </w:rPr>
        <w:t xml:space="preserve">.  (See, e.g., </w:t>
      </w:r>
      <w:r w:rsidRPr="00CB05A8">
        <w:rPr>
          <w:i/>
          <w:iCs/>
          <w:szCs w:val="26"/>
        </w:rPr>
        <w:t>People v. Morrisette</w:t>
      </w:r>
      <w:r w:rsidRPr="00CB05A8">
        <w:rPr>
          <w:szCs w:val="26"/>
        </w:rPr>
        <w:t xml:space="preserve"> (Ill. Ct. </w:t>
      </w:r>
      <w:r w:rsidR="004E1DA0">
        <w:rPr>
          <w:szCs w:val="26"/>
        </w:rPr>
        <w:t xml:space="preserve">App. </w:t>
      </w:r>
      <w:r w:rsidRPr="00CB05A8">
        <w:rPr>
          <w:szCs w:val="26"/>
        </w:rPr>
        <w:t xml:space="preserve">1992) 589 N.E.2d 144, 147 [holding that a hacksaw blade </w:t>
      </w:r>
      <w:r w:rsidR="00BE3DAB" w:rsidRPr="00CB05A8">
        <w:rPr>
          <w:szCs w:val="26"/>
        </w:rPr>
        <w:t>i</w:t>
      </w:r>
      <w:r w:rsidRPr="00CB05A8">
        <w:rPr>
          <w:szCs w:val="26"/>
        </w:rPr>
        <w:t xml:space="preserve">s distinguishable from a “dangerous weapon” </w:t>
      </w:r>
      <w:r w:rsidR="00500112" w:rsidRPr="00CB05A8">
        <w:rPr>
          <w:szCs w:val="26"/>
        </w:rPr>
        <w:t xml:space="preserve">absent </w:t>
      </w:r>
      <w:r w:rsidRPr="00CB05A8">
        <w:rPr>
          <w:szCs w:val="26"/>
        </w:rPr>
        <w:t xml:space="preserve">an accompanying act </w:t>
      </w:r>
      <w:r w:rsidR="00500112" w:rsidRPr="00CB05A8">
        <w:rPr>
          <w:szCs w:val="26"/>
        </w:rPr>
        <w:t xml:space="preserve">showing that the </w:t>
      </w:r>
      <w:r w:rsidR="003C5A89" w:rsidRPr="00CB05A8">
        <w:rPr>
          <w:szCs w:val="26"/>
        </w:rPr>
        <w:t>blade</w:t>
      </w:r>
      <w:r w:rsidRPr="00CB05A8">
        <w:rPr>
          <w:szCs w:val="26"/>
        </w:rPr>
        <w:t xml:space="preserve"> </w:t>
      </w:r>
      <w:r w:rsidR="00500112" w:rsidRPr="00CB05A8">
        <w:rPr>
          <w:szCs w:val="26"/>
        </w:rPr>
        <w:t xml:space="preserve">was </w:t>
      </w:r>
      <w:r w:rsidR="00A8652C" w:rsidRPr="00CB05A8">
        <w:rPr>
          <w:szCs w:val="26"/>
        </w:rPr>
        <w:t xml:space="preserve">used </w:t>
      </w:r>
      <w:r w:rsidRPr="00CB05A8">
        <w:rPr>
          <w:szCs w:val="26"/>
        </w:rPr>
        <w:t xml:space="preserve">in a dangerous or violent manner].)  </w:t>
      </w:r>
      <w:r w:rsidR="00095D9A">
        <w:rPr>
          <w:szCs w:val="26"/>
        </w:rPr>
        <w:t>We</w:t>
      </w:r>
      <w:r w:rsidR="00144588" w:rsidRPr="00CB05A8">
        <w:rPr>
          <w:szCs w:val="26"/>
        </w:rPr>
        <w:t xml:space="preserve"> remain unpersuaded.  W</w:t>
      </w:r>
      <w:r w:rsidR="00FF5235" w:rsidRPr="00CB05A8">
        <w:rPr>
          <w:szCs w:val="26"/>
        </w:rPr>
        <w:t xml:space="preserve">e have held </w:t>
      </w:r>
      <w:r w:rsidR="00C51C39" w:rsidRPr="00CB05A8">
        <w:rPr>
          <w:szCs w:val="26"/>
        </w:rPr>
        <w:t>that “possession of a potentially dangerous weapon in custody ‘is unlawful and involves an implied threat of violence even where there is no evidence defendant used or displayed it in a provocative or threatening manner.</w:t>
      </w:r>
      <w:r w:rsidR="00ED5EFB">
        <w:rPr>
          <w:szCs w:val="26"/>
        </w:rPr>
        <w:t>’ </w:t>
      </w:r>
      <w:r w:rsidR="00C51C39" w:rsidRPr="00CB05A8">
        <w:rPr>
          <w:szCs w:val="26"/>
        </w:rPr>
        <w:t>”  (</w:t>
      </w:r>
      <w:r w:rsidR="00C51C39" w:rsidRPr="00CB05A8">
        <w:rPr>
          <w:i/>
          <w:szCs w:val="26"/>
        </w:rPr>
        <w:t xml:space="preserve">People v. Delgado </w:t>
      </w:r>
      <w:r w:rsidR="00C51C39" w:rsidRPr="00CB05A8">
        <w:rPr>
          <w:szCs w:val="26"/>
        </w:rPr>
        <w:t xml:space="preserve">(2017) 2 Cal.5th 544, 586.)  </w:t>
      </w:r>
      <w:r w:rsidR="005916FE" w:rsidRPr="00CB05A8">
        <w:rPr>
          <w:szCs w:val="26"/>
        </w:rPr>
        <w:t xml:space="preserve">We have found that </w:t>
      </w:r>
      <w:r w:rsidR="00FF5235" w:rsidRPr="00CB05A8">
        <w:rPr>
          <w:szCs w:val="26"/>
        </w:rPr>
        <w:t>an inmate’s possession of razor blade</w:t>
      </w:r>
      <w:r w:rsidR="00DF3050" w:rsidRPr="00CB05A8">
        <w:rPr>
          <w:szCs w:val="26"/>
        </w:rPr>
        <w:t>s</w:t>
      </w:r>
      <w:r w:rsidR="00FF5235" w:rsidRPr="00CB05A8">
        <w:rPr>
          <w:szCs w:val="26"/>
        </w:rPr>
        <w:t xml:space="preserve"> </w:t>
      </w:r>
      <w:r w:rsidR="00A74587" w:rsidRPr="00CB05A8">
        <w:rPr>
          <w:szCs w:val="26"/>
        </w:rPr>
        <w:t>i</w:t>
      </w:r>
      <w:r w:rsidR="00FF5235" w:rsidRPr="00CB05A8">
        <w:rPr>
          <w:szCs w:val="26"/>
        </w:rPr>
        <w:t xml:space="preserve">s admissible under </w:t>
      </w:r>
      <w:r w:rsidR="00EE3184" w:rsidRPr="00CB05A8">
        <w:rPr>
          <w:szCs w:val="26"/>
        </w:rPr>
        <w:t xml:space="preserve">section 190.3, </w:t>
      </w:r>
      <w:r w:rsidR="00FF5235" w:rsidRPr="00CB05A8">
        <w:rPr>
          <w:szCs w:val="26"/>
        </w:rPr>
        <w:t>factor (b)</w:t>
      </w:r>
      <w:r w:rsidR="005916FE" w:rsidRPr="00CB05A8">
        <w:rPr>
          <w:szCs w:val="26"/>
        </w:rPr>
        <w:t xml:space="preserve"> </w:t>
      </w:r>
      <w:r w:rsidR="00FF5235" w:rsidRPr="00CB05A8">
        <w:rPr>
          <w:szCs w:val="26"/>
        </w:rPr>
        <w:t>(</w:t>
      </w:r>
      <w:r w:rsidR="00FF5235" w:rsidRPr="00CB05A8">
        <w:rPr>
          <w:i/>
          <w:iCs/>
          <w:szCs w:val="26"/>
        </w:rPr>
        <w:t xml:space="preserve">People v. Tuilaepa </w:t>
      </w:r>
      <w:r w:rsidR="00FF5235" w:rsidRPr="00CB05A8">
        <w:rPr>
          <w:szCs w:val="26"/>
        </w:rPr>
        <w:t>(1992) 4 Cal.4th 569, 589)</w:t>
      </w:r>
      <w:r w:rsidR="005916FE" w:rsidRPr="00CB05A8">
        <w:rPr>
          <w:szCs w:val="26"/>
        </w:rPr>
        <w:t xml:space="preserve">, </w:t>
      </w:r>
      <w:r w:rsidR="00DF050D" w:rsidRPr="00CB05A8">
        <w:rPr>
          <w:szCs w:val="26"/>
        </w:rPr>
        <w:t>as is an inmate’s possession of</w:t>
      </w:r>
      <w:r w:rsidR="002114D8">
        <w:rPr>
          <w:szCs w:val="26"/>
        </w:rPr>
        <w:t xml:space="preserve"> </w:t>
      </w:r>
      <w:r w:rsidR="00337C0F" w:rsidRPr="00CB05A8">
        <w:t>sharpened toothbrushes</w:t>
      </w:r>
      <w:r w:rsidR="00DF050D" w:rsidRPr="00CB05A8">
        <w:t xml:space="preserve"> </w:t>
      </w:r>
      <w:r w:rsidR="007743F9" w:rsidRPr="00CB05A8">
        <w:t>(</w:t>
      </w:r>
      <w:r w:rsidR="007743F9" w:rsidRPr="00CB05A8">
        <w:rPr>
          <w:i/>
        </w:rPr>
        <w:t xml:space="preserve">People v. Mills </w:t>
      </w:r>
      <w:r w:rsidR="007743F9" w:rsidRPr="00CB05A8">
        <w:t>(2010) 48</w:t>
      </w:r>
      <w:r w:rsidR="004D7847">
        <w:t> </w:t>
      </w:r>
      <w:r w:rsidR="007743F9" w:rsidRPr="00CB05A8">
        <w:t>Cal.4th 158, 208)</w:t>
      </w:r>
      <w:r w:rsidR="006A7647" w:rsidRPr="00CB05A8">
        <w:t>.</w:t>
      </w:r>
      <w:r w:rsidR="007743F9" w:rsidRPr="00CB05A8">
        <w:t xml:space="preserve">  </w:t>
      </w:r>
      <w:r w:rsidR="007778A8" w:rsidRPr="00CB05A8">
        <w:rPr>
          <w:szCs w:val="26"/>
        </w:rPr>
        <w:t>N</w:t>
      </w:r>
      <w:r w:rsidR="000167E8" w:rsidRPr="00CB05A8">
        <w:rPr>
          <w:szCs w:val="26"/>
        </w:rPr>
        <w:t xml:space="preserve">o stretch of imagination is needed to </w:t>
      </w:r>
      <w:r w:rsidR="00DF050D" w:rsidRPr="00CB05A8">
        <w:rPr>
          <w:szCs w:val="26"/>
        </w:rPr>
        <w:t>conclude</w:t>
      </w:r>
      <w:r w:rsidR="000167E8" w:rsidRPr="00CB05A8">
        <w:rPr>
          <w:szCs w:val="26"/>
        </w:rPr>
        <w:t xml:space="preserve"> that </w:t>
      </w:r>
      <w:r w:rsidR="007778A8" w:rsidRPr="00CB05A8">
        <w:rPr>
          <w:szCs w:val="26"/>
        </w:rPr>
        <w:t>defendant’s possession of three hacksaw blades, concealed in his rectum, amounts to an “</w:t>
      </w:r>
      <w:r w:rsidR="007778A8" w:rsidRPr="00CB05A8">
        <w:t xml:space="preserve">implied threat to use force or violence.”  </w:t>
      </w:r>
      <w:r w:rsidR="007778A8" w:rsidRPr="00CB05A8">
        <w:rPr>
          <w:szCs w:val="26"/>
        </w:rPr>
        <w:t xml:space="preserve">(§ 190.3, factor (b).)  </w:t>
      </w:r>
      <w:r w:rsidRPr="00CB05A8">
        <w:rPr>
          <w:szCs w:val="26"/>
        </w:rPr>
        <w:t xml:space="preserve">Accordingly, we conclude the </w:t>
      </w:r>
      <w:r w:rsidR="007363AD" w:rsidRPr="00CB05A8">
        <w:rPr>
          <w:szCs w:val="26"/>
        </w:rPr>
        <w:t>trial</w:t>
      </w:r>
      <w:r w:rsidRPr="00CB05A8">
        <w:rPr>
          <w:szCs w:val="26"/>
        </w:rPr>
        <w:t xml:space="preserve"> court properly admitted </w:t>
      </w:r>
      <w:r w:rsidR="007778A8" w:rsidRPr="00CB05A8">
        <w:rPr>
          <w:szCs w:val="26"/>
        </w:rPr>
        <w:t xml:space="preserve">such </w:t>
      </w:r>
      <w:r w:rsidR="00DF3050" w:rsidRPr="00CB05A8">
        <w:rPr>
          <w:szCs w:val="26"/>
        </w:rPr>
        <w:t xml:space="preserve">evidence </w:t>
      </w:r>
      <w:r w:rsidR="007778A8" w:rsidRPr="00CB05A8">
        <w:rPr>
          <w:szCs w:val="26"/>
        </w:rPr>
        <w:t>under</w:t>
      </w:r>
      <w:r w:rsidR="006669D3">
        <w:rPr>
          <w:szCs w:val="26"/>
        </w:rPr>
        <w:t xml:space="preserve"> section 190.3,</w:t>
      </w:r>
      <w:r w:rsidR="00EE3184" w:rsidRPr="00CB05A8">
        <w:rPr>
          <w:szCs w:val="26"/>
        </w:rPr>
        <w:t xml:space="preserve"> </w:t>
      </w:r>
      <w:r w:rsidRPr="00CB05A8">
        <w:rPr>
          <w:szCs w:val="26"/>
        </w:rPr>
        <w:t xml:space="preserve">factor (b).  </w:t>
      </w:r>
    </w:p>
    <w:p w14:paraId="1C558C56" w14:textId="2945073E" w:rsidR="0074397D" w:rsidRPr="00CB05A8" w:rsidRDefault="00795ED5" w:rsidP="00CB05A8">
      <w:pPr>
        <w:pStyle w:val="Heading4"/>
      </w:pPr>
      <w:bookmarkStart w:id="61" w:name="_Toc58918817"/>
      <w:r w:rsidRPr="00CB05A8">
        <w:t>c</w:t>
      </w:r>
      <w:r w:rsidR="00D852FD" w:rsidRPr="00CB05A8">
        <w:t xml:space="preserve">.  </w:t>
      </w:r>
      <w:r w:rsidR="0079145E" w:rsidRPr="00CB05A8">
        <w:tab/>
      </w:r>
      <w:r w:rsidR="00AE1015" w:rsidRPr="00CB05A8">
        <w:t xml:space="preserve">Admission of </w:t>
      </w:r>
      <w:r w:rsidR="00273BF8" w:rsidRPr="00CB05A8">
        <w:t>p</w:t>
      </w:r>
      <w:r w:rsidR="00AE1015" w:rsidRPr="00CB05A8">
        <w:t>hotographs</w:t>
      </w:r>
      <w:r w:rsidR="00831956" w:rsidRPr="00CB05A8">
        <w:t xml:space="preserve"> </w:t>
      </w:r>
      <w:bookmarkEnd w:id="61"/>
    </w:p>
    <w:p w14:paraId="4963A5E3" w14:textId="3F98C1D7" w:rsidR="008B0EA9" w:rsidRPr="00CB05A8" w:rsidRDefault="00117063" w:rsidP="00C84BAD">
      <w:pPr>
        <w:ind w:firstLine="720"/>
      </w:pPr>
      <w:r w:rsidRPr="00CB05A8">
        <w:t>The prosecution introduced five photographs during testimony regarding two incidents of prior acts of violence for which defendant was convi</w:t>
      </w:r>
      <w:r w:rsidR="00C25F4B" w:rsidRPr="00CB05A8">
        <w:t>cted.</w:t>
      </w:r>
      <w:r w:rsidR="00C25F4B" w:rsidRPr="00CB05A8">
        <w:rPr>
          <w:rStyle w:val="FootnoteReference"/>
        </w:rPr>
        <w:footnoteReference w:id="8"/>
      </w:r>
      <w:r w:rsidR="00C25F4B" w:rsidRPr="00CB05A8">
        <w:t xml:space="preserve">  </w:t>
      </w:r>
      <w:r w:rsidR="00897908" w:rsidRPr="00CB05A8">
        <w:t xml:space="preserve">Four of the photographs related to the 1978 </w:t>
      </w:r>
      <w:r w:rsidR="005F49F1" w:rsidRPr="00CB05A8">
        <w:t xml:space="preserve">sexual assault of Diane </w:t>
      </w:r>
      <w:r w:rsidR="000E0E60" w:rsidRPr="00CB05A8">
        <w:t>K.</w:t>
      </w:r>
      <w:r w:rsidR="000E0980" w:rsidRPr="00CB05A8">
        <w:t>:</w:t>
      </w:r>
      <w:r w:rsidR="005F49F1" w:rsidRPr="00CB05A8">
        <w:t xml:space="preserve"> </w:t>
      </w:r>
      <w:r w:rsidR="000656F4" w:rsidRPr="00CB05A8">
        <w:t xml:space="preserve"> </w:t>
      </w:r>
      <w:r w:rsidR="005F49F1" w:rsidRPr="00CB05A8">
        <w:t xml:space="preserve">three </w:t>
      </w:r>
      <w:r w:rsidR="000E0980" w:rsidRPr="00CB05A8">
        <w:t>showed</w:t>
      </w:r>
      <w:r w:rsidR="004B5978" w:rsidRPr="00CB05A8">
        <w:t xml:space="preserve"> </w:t>
      </w:r>
      <w:r w:rsidR="000E0E60" w:rsidRPr="00CB05A8">
        <w:t>Diane K.</w:t>
      </w:r>
      <w:r w:rsidR="004B5978" w:rsidRPr="00CB05A8">
        <w:t>’s facial injuries</w:t>
      </w:r>
      <w:r w:rsidR="00A7238B" w:rsidRPr="00CB05A8">
        <w:t xml:space="preserve"> and one </w:t>
      </w:r>
      <w:r w:rsidR="000E0980" w:rsidRPr="00CB05A8">
        <w:t>depicted</w:t>
      </w:r>
      <w:r w:rsidR="00A72EB9" w:rsidRPr="00CB05A8">
        <w:t xml:space="preserve"> defendant as he appeared around the time of the </w:t>
      </w:r>
      <w:r w:rsidR="007F120C" w:rsidRPr="00CB05A8">
        <w:t>assault</w:t>
      </w:r>
      <w:r w:rsidR="00A72EB9" w:rsidRPr="00CB05A8">
        <w:t>.</w:t>
      </w:r>
      <w:r w:rsidR="004B5978" w:rsidRPr="00CB05A8">
        <w:t xml:space="preserve"> </w:t>
      </w:r>
      <w:r w:rsidR="005F49F1" w:rsidRPr="00CB05A8">
        <w:t xml:space="preserve"> </w:t>
      </w:r>
      <w:r w:rsidR="007F120C" w:rsidRPr="00CB05A8">
        <w:t>The fifth photograph</w:t>
      </w:r>
      <w:r w:rsidR="008B0EA9" w:rsidRPr="00CB05A8">
        <w:t xml:space="preserve"> </w:t>
      </w:r>
      <w:r w:rsidR="00501EB6" w:rsidRPr="00CB05A8">
        <w:t>illustrated the</w:t>
      </w:r>
      <w:r w:rsidR="009A528F" w:rsidRPr="00CB05A8">
        <w:t xml:space="preserve"> injuries sustained by Louis Moody, a prison inmate whom appellant had assaulted</w:t>
      </w:r>
      <w:r w:rsidR="00D36F39" w:rsidRPr="00CB05A8">
        <w:t xml:space="preserve"> in 1985</w:t>
      </w:r>
      <w:r w:rsidR="009A528F" w:rsidRPr="00CB05A8">
        <w:t>.</w:t>
      </w:r>
      <w:r w:rsidR="00D36F39" w:rsidRPr="00CB05A8">
        <w:t xml:space="preserve">  </w:t>
      </w:r>
    </w:p>
    <w:p w14:paraId="1DB09A39" w14:textId="4808182E" w:rsidR="009D2AFA" w:rsidRPr="00CB05A8" w:rsidRDefault="003A3382" w:rsidP="00C84BAD">
      <w:pPr>
        <w:ind w:firstLine="720"/>
        <w:rPr>
          <w:szCs w:val="26"/>
        </w:rPr>
      </w:pPr>
      <w:r w:rsidRPr="00CB05A8">
        <w:rPr>
          <w:color w:val="000000"/>
          <w:szCs w:val="26"/>
        </w:rPr>
        <w:t xml:space="preserve">Under Evidence Code section 352, </w:t>
      </w:r>
      <w:r w:rsidRPr="00CB05A8">
        <w:rPr>
          <w:szCs w:val="26"/>
        </w:rPr>
        <w:t>“[t]he court in its discretion may exclude evidence if its probative value is substantially outweighed by the probability that its admission will</w:t>
      </w:r>
      <w:r w:rsidR="003E1B35" w:rsidRPr="00CB05A8">
        <w:rPr>
          <w:szCs w:val="26"/>
        </w:rPr>
        <w:t xml:space="preserve"> </w:t>
      </w:r>
      <w:r w:rsidRPr="00CB05A8">
        <w:rPr>
          <w:szCs w:val="26"/>
        </w:rPr>
        <w:t>(a)</w:t>
      </w:r>
      <w:r w:rsidR="003E1B35" w:rsidRPr="00CB05A8">
        <w:rPr>
          <w:szCs w:val="26"/>
        </w:rPr>
        <w:t xml:space="preserve"> </w:t>
      </w:r>
      <w:r w:rsidRPr="00CB05A8">
        <w:rPr>
          <w:szCs w:val="26"/>
        </w:rPr>
        <w:t>necessitate undue consumption of time or (b)</w:t>
      </w:r>
      <w:r w:rsidR="00D066F0" w:rsidRPr="00CB05A8">
        <w:rPr>
          <w:szCs w:val="26"/>
        </w:rPr>
        <w:t> </w:t>
      </w:r>
      <w:r w:rsidRPr="00CB05A8">
        <w:rPr>
          <w:szCs w:val="26"/>
        </w:rPr>
        <w:t xml:space="preserve">create substantial danger of undue prejudice, of confusing the issues, or of misleading the jury.”  </w:t>
      </w:r>
      <w:r w:rsidR="00F03C1A" w:rsidRPr="00CB05A8">
        <w:rPr>
          <w:color w:val="000000"/>
          <w:szCs w:val="26"/>
        </w:rPr>
        <w:t>“As we have noted repeatedly, t</w:t>
      </w:r>
      <w:r w:rsidRPr="00CB05A8">
        <w:rPr>
          <w:color w:val="000000"/>
          <w:szCs w:val="26"/>
        </w:rPr>
        <w:t xml:space="preserve">he trial court’s discretion to </w:t>
      </w:r>
      <w:r w:rsidR="000F2A4B" w:rsidRPr="00CB05A8">
        <w:rPr>
          <w:color w:val="000000"/>
          <w:szCs w:val="26"/>
        </w:rPr>
        <w:t>excl</w:t>
      </w:r>
      <w:r w:rsidRPr="00CB05A8">
        <w:rPr>
          <w:color w:val="000000"/>
          <w:szCs w:val="26"/>
        </w:rPr>
        <w:t xml:space="preserve">ude photographs </w:t>
      </w:r>
      <w:r w:rsidR="00F03C1A" w:rsidRPr="00CB05A8">
        <w:rPr>
          <w:color w:val="000000"/>
          <w:szCs w:val="26"/>
        </w:rPr>
        <w:t>as unduly prejudicial</w:t>
      </w:r>
      <w:r w:rsidRPr="00CB05A8">
        <w:rPr>
          <w:color w:val="000000"/>
          <w:szCs w:val="26"/>
        </w:rPr>
        <w:t xml:space="preserve"> </w:t>
      </w:r>
      <w:r w:rsidR="00F03C1A" w:rsidRPr="00CB05A8">
        <w:rPr>
          <w:color w:val="000000"/>
          <w:szCs w:val="26"/>
        </w:rPr>
        <w:t>during the penalty phase is even more circumscribed than admission of photographs during the guilt phase</w:t>
      </w:r>
      <w:r w:rsidR="00DD363B">
        <w:rPr>
          <w:color w:val="000000"/>
          <w:szCs w:val="26"/>
        </w:rPr>
        <w:t> . . . </w:t>
      </w:r>
      <w:r w:rsidR="00F03C1A" w:rsidRPr="00CB05A8">
        <w:rPr>
          <w:color w:val="000000"/>
          <w:szCs w:val="26"/>
        </w:rPr>
        <w:t>.”  (</w:t>
      </w:r>
      <w:r w:rsidR="008A58E3" w:rsidRPr="00CB05A8">
        <w:rPr>
          <w:i/>
          <w:szCs w:val="26"/>
        </w:rPr>
        <w:t xml:space="preserve">People v. Booker </w:t>
      </w:r>
      <w:r w:rsidR="008A58E3" w:rsidRPr="00CB05A8">
        <w:rPr>
          <w:szCs w:val="26"/>
        </w:rPr>
        <w:t>(2011) 51 Cal.4th 141</w:t>
      </w:r>
      <w:r w:rsidR="00FC48C5" w:rsidRPr="00CB05A8">
        <w:rPr>
          <w:szCs w:val="26"/>
        </w:rPr>
        <w:t xml:space="preserve">, </w:t>
      </w:r>
      <w:r w:rsidR="00F03C1A" w:rsidRPr="00CB05A8">
        <w:rPr>
          <w:color w:val="000000"/>
          <w:szCs w:val="26"/>
        </w:rPr>
        <w:t>187.)  “ ‘</w:t>
      </w:r>
      <w:r w:rsidRPr="00CB05A8">
        <w:rPr>
          <w:color w:val="000000"/>
          <w:szCs w:val="26"/>
        </w:rPr>
        <w:t xml:space="preserve">This is so because the prosecution has the right to establish </w:t>
      </w:r>
      <w:r w:rsidR="00D8757B" w:rsidRPr="00CB05A8">
        <w:rPr>
          <w:color w:val="000000"/>
          <w:szCs w:val="26"/>
        </w:rPr>
        <w:t>[section 190.3 factors]</w:t>
      </w:r>
      <w:r w:rsidRPr="00CB05A8">
        <w:rPr>
          <w:color w:val="000000"/>
          <w:szCs w:val="26"/>
        </w:rPr>
        <w:t xml:space="preserve">, and because the risk of an improper guilt finding based on visceral reactions is no longer present.’  [Citations.]  At the penalty phase, the jury ‘is </w:t>
      </w:r>
      <w:r w:rsidRPr="00CB05A8">
        <w:rPr>
          <w:i/>
          <w:iCs/>
          <w:color w:val="000000"/>
          <w:szCs w:val="26"/>
          <w:bdr w:val="none" w:sz="0" w:space="0" w:color="auto" w:frame="1"/>
        </w:rPr>
        <w:t xml:space="preserve">expected </w:t>
      </w:r>
      <w:r w:rsidRPr="00CB05A8">
        <w:rPr>
          <w:color w:val="000000"/>
          <w:szCs w:val="26"/>
        </w:rPr>
        <w:t xml:space="preserve">to subjectively weigh the evidence, and the prosecution is entitled to place the capital offense and the offender in a morally bad light.’ ”  </w:t>
      </w:r>
      <w:r w:rsidRPr="00CB05A8">
        <w:rPr>
          <w:szCs w:val="26"/>
        </w:rPr>
        <w:t>(</w:t>
      </w:r>
      <w:r w:rsidR="00BE08D3" w:rsidRPr="00CB05A8">
        <w:rPr>
          <w:i/>
          <w:iCs/>
        </w:rPr>
        <w:t>People v. Bell</w:t>
      </w:r>
      <w:r w:rsidR="00BE08D3" w:rsidRPr="00CB05A8">
        <w:t xml:space="preserve"> (2019) 7 Cal.5th 70, </w:t>
      </w:r>
      <w:r w:rsidRPr="00CB05A8">
        <w:rPr>
          <w:szCs w:val="26"/>
        </w:rPr>
        <w:t>106.)</w:t>
      </w:r>
    </w:p>
    <w:p w14:paraId="33871C22" w14:textId="4824052C" w:rsidR="000E1546" w:rsidRPr="00CB05A8" w:rsidRDefault="00095D9A" w:rsidP="00C84BAD">
      <w:pPr>
        <w:ind w:firstLine="720"/>
        <w:rPr>
          <w:color w:val="000000"/>
          <w:szCs w:val="26"/>
        </w:rPr>
      </w:pPr>
      <w:r>
        <w:rPr>
          <w:szCs w:val="26"/>
        </w:rPr>
        <w:t xml:space="preserve">We </w:t>
      </w:r>
      <w:r w:rsidR="005A01FA" w:rsidRPr="00CB05A8">
        <w:rPr>
          <w:szCs w:val="26"/>
        </w:rPr>
        <w:t>have reviewed the photographs</w:t>
      </w:r>
      <w:r w:rsidR="00FD5FDF" w:rsidRPr="00CB05A8">
        <w:rPr>
          <w:szCs w:val="26"/>
        </w:rPr>
        <w:t>.</w:t>
      </w:r>
      <w:r w:rsidR="003A3382" w:rsidRPr="00CB05A8">
        <w:rPr>
          <w:szCs w:val="26"/>
        </w:rPr>
        <w:t xml:space="preserve">  </w:t>
      </w:r>
      <w:r w:rsidR="00D721A0" w:rsidRPr="00CB05A8">
        <w:rPr>
          <w:szCs w:val="26"/>
        </w:rPr>
        <w:t>Although the</w:t>
      </w:r>
      <w:r w:rsidR="00A65916" w:rsidRPr="00CB05A8">
        <w:rPr>
          <w:szCs w:val="26"/>
        </w:rPr>
        <w:t xml:space="preserve"> photographs depicting </w:t>
      </w:r>
      <w:r w:rsidR="000E0E60" w:rsidRPr="00CB05A8">
        <w:rPr>
          <w:szCs w:val="26"/>
        </w:rPr>
        <w:t>Diane K.</w:t>
      </w:r>
      <w:r w:rsidR="003A4227">
        <w:rPr>
          <w:szCs w:val="26"/>
        </w:rPr>
        <w:t>’s</w:t>
      </w:r>
      <w:r w:rsidR="00A65916" w:rsidRPr="00CB05A8">
        <w:rPr>
          <w:szCs w:val="26"/>
        </w:rPr>
        <w:t xml:space="preserve"> and Moody’s injuries</w:t>
      </w:r>
      <w:r w:rsidR="00D721A0" w:rsidRPr="00CB05A8">
        <w:rPr>
          <w:szCs w:val="26"/>
        </w:rPr>
        <w:t xml:space="preserve"> are unpleasant, they illustrated for the jury the </w:t>
      </w:r>
      <w:r w:rsidR="00554E97" w:rsidRPr="00CB05A8">
        <w:rPr>
          <w:szCs w:val="26"/>
        </w:rPr>
        <w:t>prior acts of violence for which defendant was convicted</w:t>
      </w:r>
      <w:r w:rsidR="00D721A0" w:rsidRPr="00CB05A8">
        <w:rPr>
          <w:szCs w:val="26"/>
        </w:rPr>
        <w:t xml:space="preserve">.  </w:t>
      </w:r>
      <w:r w:rsidR="00554E97" w:rsidRPr="00CB05A8">
        <w:rPr>
          <w:szCs w:val="26"/>
        </w:rPr>
        <w:t xml:space="preserve">(§ 190.3, factors (b) &amp; (c).)  </w:t>
      </w:r>
      <w:r w:rsidR="00E25BCA" w:rsidRPr="00CB05A8">
        <w:rPr>
          <w:szCs w:val="26"/>
        </w:rPr>
        <w:t xml:space="preserve">Moreover, </w:t>
      </w:r>
      <w:r w:rsidR="00F86AB2" w:rsidRPr="00CB05A8">
        <w:rPr>
          <w:szCs w:val="26"/>
        </w:rPr>
        <w:t xml:space="preserve">to avoid any </w:t>
      </w:r>
      <w:r w:rsidR="00EB46D6" w:rsidRPr="00CB05A8">
        <w:rPr>
          <w:szCs w:val="26"/>
        </w:rPr>
        <w:t>impression</w:t>
      </w:r>
      <w:r w:rsidR="00DC15E3" w:rsidRPr="00CB05A8">
        <w:rPr>
          <w:szCs w:val="26"/>
        </w:rPr>
        <w:t xml:space="preserve"> that Moody was dea</w:t>
      </w:r>
      <w:r w:rsidR="005D268A" w:rsidRPr="00CB05A8">
        <w:rPr>
          <w:szCs w:val="26"/>
        </w:rPr>
        <w:t>d</w:t>
      </w:r>
      <w:r w:rsidR="00DC15E3" w:rsidRPr="00CB05A8">
        <w:rPr>
          <w:szCs w:val="26"/>
        </w:rPr>
        <w:t xml:space="preserve"> in the photograph, </w:t>
      </w:r>
      <w:r w:rsidR="00E25BCA" w:rsidRPr="00CB05A8">
        <w:rPr>
          <w:szCs w:val="26"/>
        </w:rPr>
        <w:t xml:space="preserve">the </w:t>
      </w:r>
      <w:r w:rsidR="00F86AB2" w:rsidRPr="00CB05A8">
        <w:rPr>
          <w:szCs w:val="26"/>
        </w:rPr>
        <w:t xml:space="preserve">jury </w:t>
      </w:r>
      <w:r w:rsidR="0006153F" w:rsidRPr="00CB05A8">
        <w:rPr>
          <w:szCs w:val="26"/>
        </w:rPr>
        <w:t xml:space="preserve">was informed </w:t>
      </w:r>
      <w:r w:rsidR="00F86AB2" w:rsidRPr="00CB05A8">
        <w:rPr>
          <w:szCs w:val="26"/>
        </w:rPr>
        <w:t>that Moody’s injuries were not life</w:t>
      </w:r>
      <w:r w:rsidR="003A4227">
        <w:rPr>
          <w:szCs w:val="26"/>
        </w:rPr>
        <w:t xml:space="preserve"> </w:t>
      </w:r>
      <w:r w:rsidR="00F86AB2" w:rsidRPr="00CB05A8">
        <w:rPr>
          <w:szCs w:val="26"/>
        </w:rPr>
        <w:t>threatening</w:t>
      </w:r>
      <w:r w:rsidR="0006153F" w:rsidRPr="00CB05A8">
        <w:rPr>
          <w:szCs w:val="26"/>
        </w:rPr>
        <w:t xml:space="preserve">, he was treated and released at a later date, </w:t>
      </w:r>
      <w:r w:rsidR="00F11237" w:rsidRPr="00CB05A8">
        <w:rPr>
          <w:szCs w:val="26"/>
        </w:rPr>
        <w:t>and that he remained</w:t>
      </w:r>
      <w:r w:rsidR="0006153F" w:rsidRPr="00CB05A8">
        <w:rPr>
          <w:szCs w:val="26"/>
        </w:rPr>
        <w:t xml:space="preserve"> housed within </w:t>
      </w:r>
      <w:r w:rsidR="00A9418C">
        <w:rPr>
          <w:szCs w:val="26"/>
        </w:rPr>
        <w:t>state prison</w:t>
      </w:r>
      <w:r w:rsidR="00A40746" w:rsidRPr="00CB05A8">
        <w:rPr>
          <w:szCs w:val="26"/>
        </w:rPr>
        <w:t xml:space="preserve">.  </w:t>
      </w:r>
      <w:r>
        <w:rPr>
          <w:color w:val="000000" w:themeColor="text1"/>
          <w:szCs w:val="26"/>
        </w:rPr>
        <w:t>Thus, the</w:t>
      </w:r>
      <w:r w:rsidR="00F54F4E">
        <w:rPr>
          <w:color w:val="000000" w:themeColor="text1"/>
          <w:szCs w:val="26"/>
        </w:rPr>
        <w:t xml:space="preserve"> trial</w:t>
      </w:r>
      <w:r w:rsidR="00D721A0" w:rsidRPr="00CB05A8">
        <w:rPr>
          <w:color w:val="000000"/>
          <w:szCs w:val="26"/>
        </w:rPr>
        <w:t xml:space="preserve"> court acted within its discretion in </w:t>
      </w:r>
      <w:r w:rsidR="005A01FA" w:rsidRPr="00CB05A8">
        <w:rPr>
          <w:color w:val="000000"/>
          <w:szCs w:val="26"/>
        </w:rPr>
        <w:t>admitting the</w:t>
      </w:r>
      <w:r w:rsidR="00CF29E4" w:rsidRPr="00CB05A8">
        <w:rPr>
          <w:color w:val="000000"/>
          <w:szCs w:val="26"/>
        </w:rPr>
        <w:t xml:space="preserve"> photographs of Diane K. and Moody</w:t>
      </w:r>
      <w:r w:rsidR="00D721A0" w:rsidRPr="00CB05A8">
        <w:rPr>
          <w:color w:val="000000"/>
          <w:szCs w:val="26"/>
        </w:rPr>
        <w:t>.</w:t>
      </w:r>
      <w:r w:rsidR="001D7205" w:rsidRPr="00CB05A8">
        <w:rPr>
          <w:color w:val="000000"/>
          <w:szCs w:val="26"/>
        </w:rPr>
        <w:t xml:space="preserve">  </w:t>
      </w:r>
    </w:p>
    <w:p w14:paraId="0666DF5E" w14:textId="59D1A365" w:rsidR="003A3382" w:rsidRPr="00CB05A8" w:rsidRDefault="00CF29E4" w:rsidP="00C84BAD">
      <w:pPr>
        <w:ind w:firstLine="720"/>
      </w:pPr>
      <w:r w:rsidRPr="00CB05A8">
        <w:rPr>
          <w:color w:val="000000"/>
          <w:szCs w:val="26"/>
        </w:rPr>
        <w:t xml:space="preserve">Regarding the </w:t>
      </w:r>
      <w:r w:rsidR="00027CF3" w:rsidRPr="00CB05A8">
        <w:rPr>
          <w:color w:val="000000"/>
          <w:szCs w:val="26"/>
        </w:rPr>
        <w:t xml:space="preserve">1978 </w:t>
      </w:r>
      <w:r w:rsidRPr="00CB05A8">
        <w:rPr>
          <w:color w:val="000000"/>
          <w:szCs w:val="26"/>
        </w:rPr>
        <w:t xml:space="preserve">photograph </w:t>
      </w:r>
      <w:r w:rsidR="000B128F" w:rsidRPr="00CB05A8">
        <w:rPr>
          <w:color w:val="000000"/>
          <w:szCs w:val="26"/>
        </w:rPr>
        <w:t xml:space="preserve">of defendant, </w:t>
      </w:r>
      <w:r w:rsidR="00D605EF" w:rsidRPr="00CB05A8">
        <w:rPr>
          <w:color w:val="000000"/>
          <w:szCs w:val="26"/>
        </w:rPr>
        <w:t xml:space="preserve">we </w:t>
      </w:r>
      <w:r w:rsidR="00027CF3" w:rsidRPr="00CB05A8">
        <w:rPr>
          <w:color w:val="000000"/>
          <w:szCs w:val="26"/>
        </w:rPr>
        <w:t>assume without</w:t>
      </w:r>
      <w:r w:rsidR="00D605EF" w:rsidRPr="00CB05A8">
        <w:rPr>
          <w:color w:val="000000"/>
          <w:szCs w:val="26"/>
        </w:rPr>
        <w:t xml:space="preserve"> decid</w:t>
      </w:r>
      <w:r w:rsidR="00027CF3" w:rsidRPr="00CB05A8">
        <w:rPr>
          <w:color w:val="000000"/>
          <w:szCs w:val="26"/>
        </w:rPr>
        <w:t>ing that</w:t>
      </w:r>
      <w:r w:rsidR="00D605EF" w:rsidRPr="00CB05A8">
        <w:rPr>
          <w:color w:val="000000"/>
          <w:szCs w:val="26"/>
        </w:rPr>
        <w:t xml:space="preserve"> the </w:t>
      </w:r>
      <w:r w:rsidR="007363AD" w:rsidRPr="00CB05A8">
        <w:rPr>
          <w:color w:val="000000"/>
          <w:szCs w:val="26"/>
        </w:rPr>
        <w:t>trial</w:t>
      </w:r>
      <w:r w:rsidR="00D605EF" w:rsidRPr="00CB05A8">
        <w:rPr>
          <w:color w:val="000000"/>
          <w:szCs w:val="26"/>
        </w:rPr>
        <w:t xml:space="preserve"> court’s admission of it was erroneous, </w:t>
      </w:r>
      <w:r w:rsidR="00027CF3" w:rsidRPr="00CB05A8">
        <w:rPr>
          <w:color w:val="000000"/>
          <w:szCs w:val="26"/>
        </w:rPr>
        <w:t xml:space="preserve">but that </w:t>
      </w:r>
      <w:r w:rsidR="00914437" w:rsidRPr="00CB05A8">
        <w:rPr>
          <w:color w:val="000000"/>
          <w:szCs w:val="26"/>
        </w:rPr>
        <w:t>any such error</w:t>
      </w:r>
      <w:r w:rsidR="001D7205" w:rsidRPr="00CB05A8">
        <w:rPr>
          <w:color w:val="000000"/>
          <w:szCs w:val="26"/>
        </w:rPr>
        <w:t xml:space="preserve"> would be harmless beyond a reasonable doubt</w:t>
      </w:r>
      <w:r w:rsidR="00E551AE" w:rsidRPr="00CB05A8">
        <w:rPr>
          <w:color w:val="000000"/>
          <w:szCs w:val="26"/>
        </w:rPr>
        <w:t xml:space="preserve"> because there is no reasonable probability that </w:t>
      </w:r>
      <w:r w:rsidR="00B228E2" w:rsidRPr="00CB05A8">
        <w:rPr>
          <w:color w:val="000000"/>
          <w:szCs w:val="26"/>
        </w:rPr>
        <w:t>its admission affected the jury’s verdict</w:t>
      </w:r>
      <w:r w:rsidR="001D7205" w:rsidRPr="00CB05A8">
        <w:rPr>
          <w:color w:val="000000"/>
          <w:szCs w:val="26"/>
        </w:rPr>
        <w:t xml:space="preserve">.  </w:t>
      </w:r>
      <w:r w:rsidR="001D7205" w:rsidRPr="00CB05A8">
        <w:rPr>
          <w:szCs w:val="26"/>
        </w:rPr>
        <w:t>(</w:t>
      </w:r>
      <w:r w:rsidR="00D605EF" w:rsidRPr="00CB05A8">
        <w:rPr>
          <w:szCs w:val="26"/>
        </w:rPr>
        <w:t xml:space="preserve">See, e.g., </w:t>
      </w:r>
      <w:r w:rsidR="001D7205" w:rsidRPr="00CB05A8">
        <w:rPr>
          <w:i/>
          <w:szCs w:val="26"/>
        </w:rPr>
        <w:t>People v. Frank</w:t>
      </w:r>
      <w:r w:rsidR="00914437" w:rsidRPr="00CB05A8">
        <w:rPr>
          <w:szCs w:val="26"/>
        </w:rPr>
        <w:t xml:space="preserve"> (1990) 51 Cal.3d 718, </w:t>
      </w:r>
      <w:r w:rsidR="00B228E2" w:rsidRPr="00CB05A8">
        <w:rPr>
          <w:szCs w:val="26"/>
        </w:rPr>
        <w:t>734–</w:t>
      </w:r>
      <w:r w:rsidR="00914437" w:rsidRPr="00CB05A8">
        <w:rPr>
          <w:szCs w:val="26"/>
        </w:rPr>
        <w:t>735.)</w:t>
      </w:r>
    </w:p>
    <w:p w14:paraId="020DB5E4" w14:textId="7C40AEE0" w:rsidR="00B47A2A" w:rsidRPr="00CB05A8" w:rsidRDefault="00A12109" w:rsidP="00C84BAD">
      <w:pPr>
        <w:pStyle w:val="Heading3"/>
        <w:tabs>
          <w:tab w:val="clear" w:pos="1584"/>
        </w:tabs>
      </w:pPr>
      <w:bookmarkStart w:id="62" w:name="_Toc58918818"/>
      <w:r>
        <w:t>2</w:t>
      </w:r>
      <w:r w:rsidR="002306BD" w:rsidRPr="00CB05A8">
        <w:t xml:space="preserve">.  </w:t>
      </w:r>
      <w:r w:rsidR="00AE1015" w:rsidRPr="00CB05A8">
        <w:t xml:space="preserve">Admission of </w:t>
      </w:r>
      <w:r w:rsidR="001270B8" w:rsidRPr="00CB05A8">
        <w:t>e</w:t>
      </w:r>
      <w:r w:rsidR="00B47A2A" w:rsidRPr="00CB05A8">
        <w:t xml:space="preserve">vidence in </w:t>
      </w:r>
      <w:r w:rsidR="001270B8" w:rsidRPr="00CB05A8">
        <w:t>a</w:t>
      </w:r>
      <w:r w:rsidR="00B47A2A" w:rsidRPr="00CB05A8">
        <w:t xml:space="preserve">ggravation under </w:t>
      </w:r>
      <w:r w:rsidR="001270B8" w:rsidRPr="00CB05A8">
        <w:t>s</w:t>
      </w:r>
      <w:r w:rsidR="00B47A2A" w:rsidRPr="00CB05A8">
        <w:t xml:space="preserve">ection 190.3, </w:t>
      </w:r>
      <w:r w:rsidR="001270B8" w:rsidRPr="00CB05A8">
        <w:t xml:space="preserve">factor </w:t>
      </w:r>
      <w:r w:rsidR="00B47A2A" w:rsidRPr="00CB05A8">
        <w:t>(a)</w:t>
      </w:r>
      <w:bookmarkEnd w:id="62"/>
      <w:r w:rsidR="00B47A2A" w:rsidRPr="00CB05A8">
        <w:t xml:space="preserve"> </w:t>
      </w:r>
    </w:p>
    <w:p w14:paraId="04436FE2" w14:textId="0EF33C2B" w:rsidR="00AE1015" w:rsidRPr="00CB05A8" w:rsidRDefault="00174049" w:rsidP="00CB05A8">
      <w:pPr>
        <w:pStyle w:val="Heading4"/>
      </w:pPr>
      <w:bookmarkStart w:id="63" w:name="_Toc58918819"/>
      <w:r w:rsidRPr="00CB05A8">
        <w:t xml:space="preserve">a.  </w:t>
      </w:r>
      <w:r w:rsidR="00AE1015" w:rsidRPr="00CB05A8">
        <w:t xml:space="preserve">Victim </w:t>
      </w:r>
      <w:r w:rsidR="001270B8" w:rsidRPr="00CB05A8">
        <w:t>i</w:t>
      </w:r>
      <w:r w:rsidR="00AE1015" w:rsidRPr="00CB05A8">
        <w:t xml:space="preserve">mpact </w:t>
      </w:r>
      <w:r w:rsidR="001270B8" w:rsidRPr="00CB05A8">
        <w:t>e</w:t>
      </w:r>
      <w:r w:rsidR="00AE1015" w:rsidRPr="00CB05A8">
        <w:t>vidence</w:t>
      </w:r>
      <w:r w:rsidR="000760E8" w:rsidRPr="00CB05A8">
        <w:t xml:space="preserve"> </w:t>
      </w:r>
      <w:r w:rsidR="006A2E89" w:rsidRPr="00CB05A8">
        <w:t xml:space="preserve">from Deputy Trejo’s </w:t>
      </w:r>
      <w:r w:rsidR="001270B8" w:rsidRPr="00CB05A8">
        <w:t>f</w:t>
      </w:r>
      <w:r w:rsidR="006A2E89" w:rsidRPr="00CB05A8">
        <w:t xml:space="preserve">amily </w:t>
      </w:r>
      <w:bookmarkEnd w:id="63"/>
    </w:p>
    <w:p w14:paraId="32D24849" w14:textId="03367EFF" w:rsidR="00A02AA2" w:rsidRPr="00CB05A8" w:rsidRDefault="00D955C7" w:rsidP="00C84BAD">
      <w:pPr>
        <w:ind w:firstLine="720"/>
      </w:pPr>
      <w:r w:rsidRPr="00CB05A8">
        <w:t xml:space="preserve">Defendant contends the </w:t>
      </w:r>
      <w:r w:rsidR="007363AD" w:rsidRPr="00CB05A8">
        <w:t>trial</w:t>
      </w:r>
      <w:r w:rsidRPr="00CB05A8">
        <w:t xml:space="preserve"> court</w:t>
      </w:r>
      <w:r w:rsidR="002969B3" w:rsidRPr="00CB05A8">
        <w:t>’s</w:t>
      </w:r>
      <w:r w:rsidRPr="00CB05A8">
        <w:t xml:space="preserve"> </w:t>
      </w:r>
      <w:r w:rsidR="002969B3" w:rsidRPr="00CB05A8">
        <w:t>admission of</w:t>
      </w:r>
      <w:r w:rsidRPr="00CB05A8">
        <w:t xml:space="preserve"> </w:t>
      </w:r>
      <w:r w:rsidR="002969B3" w:rsidRPr="00CB05A8">
        <w:t xml:space="preserve">victim impact </w:t>
      </w:r>
      <w:r w:rsidRPr="00CB05A8">
        <w:t xml:space="preserve">testimony from Deputy Trejo’s </w:t>
      </w:r>
      <w:r w:rsidR="00FB585F" w:rsidRPr="00CB05A8">
        <w:t xml:space="preserve">immediate </w:t>
      </w:r>
      <w:r w:rsidRPr="00CB05A8">
        <w:t xml:space="preserve">family </w:t>
      </w:r>
      <w:r w:rsidR="00FB585F" w:rsidRPr="00CB05A8">
        <w:t xml:space="preserve">members and several family photographs violated his right to a fair </w:t>
      </w:r>
      <w:r w:rsidR="008446D3" w:rsidRPr="00CB05A8">
        <w:t xml:space="preserve">and reliable penalty hearing </w:t>
      </w:r>
      <w:r w:rsidR="009910C0" w:rsidRPr="00CB05A8">
        <w:t xml:space="preserve">because the evidence was </w:t>
      </w:r>
      <w:r w:rsidR="003A20EB" w:rsidRPr="00CB05A8">
        <w:t xml:space="preserve">so </w:t>
      </w:r>
      <w:r w:rsidR="009910C0" w:rsidRPr="00CB05A8">
        <w:t>excessive, inflammatory, and cumulative</w:t>
      </w:r>
      <w:r w:rsidR="003A20EB" w:rsidRPr="00CB05A8">
        <w:t xml:space="preserve"> that it served to unfairly sway the jury to vote for death</w:t>
      </w:r>
      <w:r w:rsidR="009910C0" w:rsidRPr="00CB05A8">
        <w:t xml:space="preserve">.  Defendant also maintains the </w:t>
      </w:r>
      <w:r w:rsidR="00E91A27" w:rsidRPr="00CB05A8">
        <w:t xml:space="preserve">trial </w:t>
      </w:r>
      <w:r w:rsidR="009910C0" w:rsidRPr="00CB05A8">
        <w:t xml:space="preserve">court </w:t>
      </w:r>
      <w:r w:rsidR="00427893" w:rsidRPr="00CB05A8">
        <w:t>should have given</w:t>
      </w:r>
      <w:r w:rsidR="008C06FA" w:rsidRPr="00CB05A8">
        <w:t xml:space="preserve"> his proposed</w:t>
      </w:r>
      <w:r w:rsidR="009910C0" w:rsidRPr="00CB05A8">
        <w:t xml:space="preserve"> cautionary instruction informing the jury how to consider the victim impact evidence.  </w:t>
      </w:r>
      <w:r w:rsidR="00F54F4E">
        <w:t>W</w:t>
      </w:r>
      <w:r w:rsidR="0075409A" w:rsidRPr="00CB05A8">
        <w:t xml:space="preserve">e </w:t>
      </w:r>
      <w:r w:rsidR="00E91A27" w:rsidRPr="00CB05A8">
        <w:t>find</w:t>
      </w:r>
      <w:r w:rsidR="001A39DE" w:rsidRPr="00CB05A8">
        <w:t xml:space="preserve"> no error</w:t>
      </w:r>
      <w:r w:rsidR="0075409A" w:rsidRPr="00CB05A8">
        <w:t>.</w:t>
      </w:r>
    </w:p>
    <w:p w14:paraId="73178A82" w14:textId="7EFEBE1F" w:rsidR="0075409A" w:rsidRPr="00CB05A8" w:rsidRDefault="009B6E52" w:rsidP="00C84BAD">
      <w:pPr>
        <w:pStyle w:val="NormalIndent"/>
        <w:ind w:left="0" w:firstLine="720"/>
      </w:pPr>
      <w:r w:rsidRPr="00CB05A8">
        <w:t xml:space="preserve">Over defendant’s objection, </w:t>
      </w:r>
      <w:r w:rsidRPr="00CB05A8">
        <w:rPr>
          <w:szCs w:val="26"/>
        </w:rPr>
        <w:t xml:space="preserve">the court allowed Deputy Trejo’s wife and four </w:t>
      </w:r>
      <w:r w:rsidR="007778A8" w:rsidRPr="00CB05A8">
        <w:rPr>
          <w:szCs w:val="26"/>
        </w:rPr>
        <w:t xml:space="preserve">adult </w:t>
      </w:r>
      <w:r w:rsidRPr="00CB05A8">
        <w:rPr>
          <w:szCs w:val="26"/>
        </w:rPr>
        <w:t xml:space="preserve">children to testify during the penalty phase.  </w:t>
      </w:r>
      <w:r w:rsidR="003B2A90" w:rsidRPr="00CB05A8">
        <w:rPr>
          <w:szCs w:val="26"/>
        </w:rPr>
        <w:t xml:space="preserve">The family members described </w:t>
      </w:r>
      <w:r w:rsidR="002206A4" w:rsidRPr="00CB05A8">
        <w:rPr>
          <w:szCs w:val="26"/>
        </w:rPr>
        <w:t xml:space="preserve">their relationship with Deputy Trejo and </w:t>
      </w:r>
      <w:r w:rsidR="003B2A90" w:rsidRPr="00CB05A8">
        <w:rPr>
          <w:szCs w:val="26"/>
        </w:rPr>
        <w:t xml:space="preserve">how their lives were </w:t>
      </w:r>
      <w:r w:rsidR="0026616B" w:rsidRPr="00CB05A8">
        <w:rPr>
          <w:szCs w:val="26"/>
        </w:rPr>
        <w:t xml:space="preserve">impacted by </w:t>
      </w:r>
      <w:r w:rsidR="00A6540C" w:rsidRPr="00CB05A8">
        <w:rPr>
          <w:szCs w:val="26"/>
        </w:rPr>
        <w:t>his</w:t>
      </w:r>
      <w:r w:rsidR="003B2A90" w:rsidRPr="00CB05A8">
        <w:rPr>
          <w:szCs w:val="26"/>
        </w:rPr>
        <w:t xml:space="preserve"> death. </w:t>
      </w:r>
      <w:r w:rsidR="00801355" w:rsidRPr="00CB05A8">
        <w:rPr>
          <w:szCs w:val="26"/>
        </w:rPr>
        <w:t xml:space="preserve"> </w:t>
      </w:r>
      <w:r w:rsidR="00F35E72" w:rsidRPr="00CB05A8">
        <w:t xml:space="preserve">Barbara Trejo, Deputy Trejo’s widow, conveyed the grief and loss she felt after the death of her husband, to whom she had been married for 40 years.  Deputy Trejo’s children described their close relationship with their father, who was actively involved in the lives of his grandchildren, and the sorrow they experienced as a result of their father’s death.  </w:t>
      </w:r>
      <w:r w:rsidR="0026616B" w:rsidRPr="00CB05A8">
        <w:rPr>
          <w:color w:val="000000" w:themeColor="text1"/>
          <w:szCs w:val="26"/>
        </w:rPr>
        <w:t xml:space="preserve">The </w:t>
      </w:r>
      <w:r w:rsidR="0026616B" w:rsidRPr="00CB05A8">
        <w:rPr>
          <w:szCs w:val="26"/>
        </w:rPr>
        <w:t xml:space="preserve">court also </w:t>
      </w:r>
      <w:r w:rsidR="004E1EF9" w:rsidRPr="00CB05A8">
        <w:rPr>
          <w:szCs w:val="26"/>
        </w:rPr>
        <w:t xml:space="preserve">admitted five photographs illustrating Deputy Trejo’s close relationship with his </w:t>
      </w:r>
      <w:r w:rsidR="006B78FB" w:rsidRPr="00CB05A8">
        <w:rPr>
          <w:szCs w:val="26"/>
        </w:rPr>
        <w:t>family</w:t>
      </w:r>
      <w:r w:rsidR="004E1EF9" w:rsidRPr="00CB05A8">
        <w:rPr>
          <w:szCs w:val="26"/>
        </w:rPr>
        <w:t>.</w:t>
      </w:r>
      <w:r w:rsidR="00801355" w:rsidRPr="00CB05A8">
        <w:rPr>
          <w:szCs w:val="26"/>
        </w:rPr>
        <w:t xml:space="preserve">  </w:t>
      </w:r>
    </w:p>
    <w:p w14:paraId="56AC6DD6" w14:textId="052E284B" w:rsidR="003F7A82" w:rsidRPr="00CB05A8" w:rsidRDefault="00FC6559" w:rsidP="00C84BAD">
      <w:pPr>
        <w:ind w:firstLine="720"/>
        <w:rPr>
          <w:szCs w:val="26"/>
        </w:rPr>
      </w:pPr>
      <w:r w:rsidRPr="00CB05A8">
        <w:rPr>
          <w:szCs w:val="26"/>
        </w:rPr>
        <w:t xml:space="preserve">“[V]ictim impact testimony </w:t>
      </w:r>
      <w:r w:rsidR="00037C61" w:rsidRPr="00CB05A8">
        <w:rPr>
          <w:szCs w:val="26"/>
        </w:rPr>
        <w:t xml:space="preserve">is admissible at the penalty phase under </w:t>
      </w:r>
      <w:r w:rsidR="008948CF">
        <w:rPr>
          <w:szCs w:val="26"/>
        </w:rPr>
        <w:t xml:space="preserve">section 190.3, </w:t>
      </w:r>
      <w:r w:rsidR="00037C61" w:rsidRPr="00CB05A8">
        <w:rPr>
          <w:szCs w:val="26"/>
        </w:rPr>
        <w:t>factor (a), as a circumstance of the crime, provided the evidence is not so inflammatory as to elicit from the jur</w:t>
      </w:r>
      <w:r w:rsidR="00226774" w:rsidRPr="00CB05A8">
        <w:rPr>
          <w:szCs w:val="26"/>
        </w:rPr>
        <w:t>y</w:t>
      </w:r>
      <w:r w:rsidR="00037C61" w:rsidRPr="00CB05A8">
        <w:rPr>
          <w:szCs w:val="26"/>
        </w:rPr>
        <w:t xml:space="preserve"> an irrational or emotional response untethered to the facts of the case.”  (</w:t>
      </w:r>
      <w:r w:rsidR="001D0D6B" w:rsidRPr="00CB05A8">
        <w:rPr>
          <w:i/>
          <w:szCs w:val="26"/>
        </w:rPr>
        <w:t>Pollock</w:t>
      </w:r>
      <w:r w:rsidR="000D0D68" w:rsidRPr="00CB05A8">
        <w:rPr>
          <w:szCs w:val="26"/>
        </w:rPr>
        <w:t xml:space="preserve">, </w:t>
      </w:r>
      <w:r w:rsidR="000D0D68" w:rsidRPr="00CB05A8">
        <w:rPr>
          <w:i/>
          <w:szCs w:val="26"/>
        </w:rPr>
        <w:t>supra</w:t>
      </w:r>
      <w:r w:rsidR="000D0D68" w:rsidRPr="00CB05A8">
        <w:rPr>
          <w:szCs w:val="26"/>
        </w:rPr>
        <w:t>,</w:t>
      </w:r>
      <w:r w:rsidR="000D0D68" w:rsidRPr="00CB05A8">
        <w:rPr>
          <w:i/>
          <w:szCs w:val="26"/>
        </w:rPr>
        <w:t xml:space="preserve"> </w:t>
      </w:r>
      <w:r w:rsidR="001D0D6B" w:rsidRPr="00CB05A8">
        <w:rPr>
          <w:szCs w:val="26"/>
        </w:rPr>
        <w:t xml:space="preserve">32 Cal.4th </w:t>
      </w:r>
      <w:r w:rsidR="000D0D68" w:rsidRPr="00CB05A8">
        <w:rPr>
          <w:szCs w:val="26"/>
        </w:rPr>
        <w:t>at p.</w:t>
      </w:r>
      <w:r w:rsidR="001D0D6B" w:rsidRPr="00CB05A8">
        <w:rPr>
          <w:szCs w:val="26"/>
        </w:rPr>
        <w:t xml:space="preserve"> 1180.</w:t>
      </w:r>
      <w:r w:rsidR="00037C61" w:rsidRPr="00CB05A8">
        <w:rPr>
          <w:szCs w:val="26"/>
        </w:rPr>
        <w:t>)</w:t>
      </w:r>
      <w:r w:rsidR="00DE02F1" w:rsidRPr="00CB05A8">
        <w:rPr>
          <w:szCs w:val="26"/>
        </w:rPr>
        <w:t xml:space="preserve">  </w:t>
      </w:r>
      <w:r w:rsidR="00FE7C4A" w:rsidRPr="00CB05A8">
        <w:rPr>
          <w:szCs w:val="26"/>
        </w:rPr>
        <w:t>“Unless it invites a purely irrational response from the jury, the devastating effect of a capital crime on loved ones and the community is relevant and admissible as a circumstance of the crime</w:t>
      </w:r>
      <w:r w:rsidR="003F0508" w:rsidRPr="00CB05A8">
        <w:rPr>
          <w:szCs w:val="26"/>
        </w:rPr>
        <w:t xml:space="preserve"> under section 190.3, factor (a).”</w:t>
      </w:r>
      <w:r w:rsidR="00025FC7" w:rsidRPr="00CB05A8">
        <w:rPr>
          <w:szCs w:val="26"/>
        </w:rPr>
        <w:t xml:space="preserve">  (</w:t>
      </w:r>
      <w:r w:rsidR="003F0508" w:rsidRPr="00CB05A8">
        <w:rPr>
          <w:i/>
          <w:iCs/>
          <w:szCs w:val="26"/>
        </w:rPr>
        <w:t>Lewis and Oliver</w:t>
      </w:r>
      <w:r w:rsidR="001B07F5" w:rsidRPr="00CB05A8">
        <w:rPr>
          <w:szCs w:val="26"/>
        </w:rPr>
        <w:t xml:space="preserve">, </w:t>
      </w:r>
      <w:r w:rsidR="001B07F5" w:rsidRPr="00CB05A8">
        <w:rPr>
          <w:i/>
          <w:szCs w:val="26"/>
        </w:rPr>
        <w:t>supra</w:t>
      </w:r>
      <w:r w:rsidR="001B07F5" w:rsidRPr="00CB05A8">
        <w:rPr>
          <w:szCs w:val="26"/>
        </w:rPr>
        <w:t>,</w:t>
      </w:r>
      <w:r w:rsidR="001B07F5" w:rsidRPr="00CB05A8">
        <w:rPr>
          <w:i/>
          <w:szCs w:val="26"/>
        </w:rPr>
        <w:t xml:space="preserve"> </w:t>
      </w:r>
      <w:r w:rsidR="003F0508" w:rsidRPr="00CB05A8">
        <w:rPr>
          <w:szCs w:val="26"/>
        </w:rPr>
        <w:t>39 Cal.</w:t>
      </w:r>
      <w:r w:rsidR="000D65BC" w:rsidRPr="00CB05A8">
        <w:rPr>
          <w:szCs w:val="26"/>
        </w:rPr>
        <w:t xml:space="preserve">4th </w:t>
      </w:r>
      <w:r w:rsidR="001B07F5" w:rsidRPr="00CB05A8">
        <w:rPr>
          <w:szCs w:val="26"/>
        </w:rPr>
        <w:t>at pp.</w:t>
      </w:r>
      <w:r w:rsidR="000D65BC" w:rsidRPr="00CB05A8">
        <w:rPr>
          <w:szCs w:val="26"/>
        </w:rPr>
        <w:t xml:space="preserve"> 1056–1057</w:t>
      </w:r>
      <w:r w:rsidR="00025FC7" w:rsidRPr="00CB05A8">
        <w:rPr>
          <w:szCs w:val="26"/>
        </w:rPr>
        <w:t>.)</w:t>
      </w:r>
      <w:r w:rsidR="005F3336" w:rsidRPr="00CB05A8">
        <w:rPr>
          <w:szCs w:val="26"/>
        </w:rPr>
        <w:t xml:space="preserve">  “The federal Constitution bars victim impact evidence only if it</w:t>
      </w:r>
      <w:r w:rsidR="001158C6" w:rsidRPr="00CB05A8">
        <w:rPr>
          <w:szCs w:val="26"/>
        </w:rPr>
        <w:t xml:space="preserve"> is ‘so unduly prejudicial’ as to render the trial ‘fundamentally unfair.’ ”  (</w:t>
      </w:r>
      <w:r w:rsidR="001158C6" w:rsidRPr="00CB05A8">
        <w:rPr>
          <w:i/>
          <w:iCs/>
          <w:szCs w:val="26"/>
        </w:rPr>
        <w:t>Id.</w:t>
      </w:r>
      <w:r w:rsidR="001158C6" w:rsidRPr="00CB05A8">
        <w:rPr>
          <w:szCs w:val="26"/>
        </w:rPr>
        <w:t xml:space="preserve"> at p.</w:t>
      </w:r>
      <w:r w:rsidR="004D7847">
        <w:rPr>
          <w:szCs w:val="26"/>
        </w:rPr>
        <w:t> </w:t>
      </w:r>
      <w:r w:rsidR="001158C6" w:rsidRPr="00CB05A8">
        <w:rPr>
          <w:szCs w:val="26"/>
        </w:rPr>
        <w:t xml:space="preserve">1056, quoting </w:t>
      </w:r>
      <w:r w:rsidR="001158C6" w:rsidRPr="00CB05A8">
        <w:rPr>
          <w:i/>
          <w:iCs/>
          <w:szCs w:val="26"/>
        </w:rPr>
        <w:t xml:space="preserve">Payne v. Tennessee </w:t>
      </w:r>
      <w:r w:rsidR="001158C6" w:rsidRPr="00CB05A8">
        <w:rPr>
          <w:szCs w:val="26"/>
        </w:rPr>
        <w:t>(1991) 501 U.S. 808, 825.)</w:t>
      </w:r>
    </w:p>
    <w:p w14:paraId="7DE9ECEE" w14:textId="763D7F3B" w:rsidR="00F020B5" w:rsidRPr="00CB05A8" w:rsidRDefault="00737104" w:rsidP="00C84BAD">
      <w:pPr>
        <w:ind w:firstLine="720"/>
        <w:rPr>
          <w:szCs w:val="26"/>
        </w:rPr>
      </w:pPr>
      <w:r w:rsidRPr="00CB05A8">
        <w:rPr>
          <w:szCs w:val="26"/>
        </w:rPr>
        <w:t xml:space="preserve">Defendant contends </w:t>
      </w:r>
      <w:r w:rsidR="001A39DE" w:rsidRPr="00CB05A8">
        <w:rPr>
          <w:szCs w:val="26"/>
        </w:rPr>
        <w:t xml:space="preserve">that allowing </w:t>
      </w:r>
      <w:r w:rsidRPr="00CB05A8">
        <w:rPr>
          <w:szCs w:val="26"/>
        </w:rPr>
        <w:t xml:space="preserve">five family members to testify about the </w:t>
      </w:r>
      <w:r w:rsidR="00B828D4" w:rsidRPr="00CB05A8">
        <w:rPr>
          <w:szCs w:val="26"/>
        </w:rPr>
        <w:t>impact of Deputy Trejo’s death</w:t>
      </w:r>
      <w:r w:rsidR="001A39DE" w:rsidRPr="00CB05A8">
        <w:rPr>
          <w:szCs w:val="26"/>
        </w:rPr>
        <w:t xml:space="preserve"> was unfairly cumulative and unduly inflammatory</w:t>
      </w:r>
      <w:r w:rsidR="00B828D4" w:rsidRPr="00CB05A8">
        <w:rPr>
          <w:szCs w:val="26"/>
        </w:rPr>
        <w:t xml:space="preserve">.  </w:t>
      </w:r>
      <w:r w:rsidR="00E82D98" w:rsidRPr="00CB05A8">
        <w:rPr>
          <w:szCs w:val="26"/>
        </w:rPr>
        <w:t>“This court previously has rejected arguments ‘that victim impact evidence must be confined to</w:t>
      </w:r>
      <w:r w:rsidR="00A22C4D">
        <w:rPr>
          <w:szCs w:val="26"/>
        </w:rPr>
        <w:t> . . . </w:t>
      </w:r>
      <w:r w:rsidR="00E82D98" w:rsidRPr="00CB05A8">
        <w:rPr>
          <w:szCs w:val="26"/>
        </w:rPr>
        <w:t>a single witness.</w:t>
      </w:r>
      <w:r w:rsidR="005C3646" w:rsidRPr="00CB05A8">
        <w:rPr>
          <w:szCs w:val="26"/>
        </w:rPr>
        <w:t>’ </w:t>
      </w:r>
      <w:r w:rsidR="00E82D98" w:rsidRPr="00CB05A8">
        <w:rPr>
          <w:szCs w:val="26"/>
        </w:rPr>
        <w:t>”  (</w:t>
      </w:r>
      <w:r w:rsidR="005C3646" w:rsidRPr="00CB05A8">
        <w:rPr>
          <w:i/>
          <w:iCs/>
          <w:szCs w:val="26"/>
        </w:rPr>
        <w:t>People v. McKinnon</w:t>
      </w:r>
      <w:r w:rsidR="00ED27D6" w:rsidRPr="00CB05A8">
        <w:rPr>
          <w:szCs w:val="26"/>
        </w:rPr>
        <w:t xml:space="preserve"> (</w:t>
      </w:r>
      <w:r w:rsidR="009142DF" w:rsidRPr="00CB05A8">
        <w:rPr>
          <w:szCs w:val="26"/>
        </w:rPr>
        <w:t>2011</w:t>
      </w:r>
      <w:r w:rsidR="00ED27D6" w:rsidRPr="00CB05A8">
        <w:rPr>
          <w:szCs w:val="26"/>
        </w:rPr>
        <w:t>)</w:t>
      </w:r>
      <w:r w:rsidR="005C3646" w:rsidRPr="00CB05A8">
        <w:rPr>
          <w:i/>
          <w:iCs/>
          <w:szCs w:val="26"/>
        </w:rPr>
        <w:t xml:space="preserve"> </w:t>
      </w:r>
      <w:r w:rsidR="005C3646" w:rsidRPr="00CB05A8">
        <w:rPr>
          <w:szCs w:val="26"/>
        </w:rPr>
        <w:t>52 Cal.4th</w:t>
      </w:r>
      <w:r w:rsidR="00297ED2" w:rsidRPr="00CB05A8">
        <w:rPr>
          <w:szCs w:val="26"/>
        </w:rPr>
        <w:t xml:space="preserve"> </w:t>
      </w:r>
      <w:r w:rsidR="009142DF" w:rsidRPr="00CB05A8">
        <w:rPr>
          <w:szCs w:val="26"/>
        </w:rPr>
        <w:t>610</w:t>
      </w:r>
      <w:r w:rsidR="00297ED2" w:rsidRPr="00CB05A8">
        <w:rPr>
          <w:szCs w:val="26"/>
        </w:rPr>
        <w:t>,</w:t>
      </w:r>
      <w:r w:rsidR="005C3646" w:rsidRPr="00CB05A8">
        <w:rPr>
          <w:szCs w:val="26"/>
        </w:rPr>
        <w:t xml:space="preserve"> 690.)  </w:t>
      </w:r>
      <w:r w:rsidR="00493E6B" w:rsidRPr="00CB05A8">
        <w:rPr>
          <w:szCs w:val="26"/>
        </w:rPr>
        <w:t>“We have approved victim impact testimony from multiple witnesses who were not present at the murder scene and who described circumstances and victim characteristics unknown to the defendant” (</w:t>
      </w:r>
      <w:r w:rsidR="00493E6B" w:rsidRPr="00CB05A8">
        <w:rPr>
          <w:i/>
          <w:szCs w:val="26"/>
        </w:rPr>
        <w:t>Pollock</w:t>
      </w:r>
      <w:r w:rsidR="00493E6B" w:rsidRPr="00CB05A8">
        <w:rPr>
          <w:szCs w:val="26"/>
        </w:rPr>
        <w:t xml:space="preserve">, </w:t>
      </w:r>
      <w:r w:rsidR="00493E6B" w:rsidRPr="00CB05A8">
        <w:rPr>
          <w:i/>
          <w:szCs w:val="26"/>
        </w:rPr>
        <w:t>supra</w:t>
      </w:r>
      <w:r w:rsidR="00493E6B" w:rsidRPr="00CB05A8">
        <w:rPr>
          <w:szCs w:val="26"/>
        </w:rPr>
        <w:t xml:space="preserve">, </w:t>
      </w:r>
      <w:r w:rsidR="00CF7B5B" w:rsidRPr="00CB05A8">
        <w:rPr>
          <w:szCs w:val="26"/>
        </w:rPr>
        <w:t>32</w:t>
      </w:r>
      <w:r w:rsidR="004D7847">
        <w:rPr>
          <w:szCs w:val="26"/>
        </w:rPr>
        <w:t> </w:t>
      </w:r>
      <w:r w:rsidR="00CF7B5B" w:rsidRPr="00CB05A8">
        <w:rPr>
          <w:szCs w:val="26"/>
        </w:rPr>
        <w:t xml:space="preserve">Cal.4th </w:t>
      </w:r>
      <w:r w:rsidR="00493E6B" w:rsidRPr="00CB05A8">
        <w:rPr>
          <w:szCs w:val="26"/>
        </w:rPr>
        <w:t>at p.</w:t>
      </w:r>
      <w:r w:rsidR="00D066F0" w:rsidRPr="00CB05A8">
        <w:rPr>
          <w:szCs w:val="26"/>
        </w:rPr>
        <w:t> </w:t>
      </w:r>
      <w:r w:rsidR="00493E6B" w:rsidRPr="00CB05A8">
        <w:rPr>
          <w:szCs w:val="26"/>
        </w:rPr>
        <w:t>1183)</w:t>
      </w:r>
      <w:r w:rsidR="00CF7B5B" w:rsidRPr="00CB05A8">
        <w:rPr>
          <w:szCs w:val="26"/>
        </w:rPr>
        <w:t>,</w:t>
      </w:r>
      <w:r w:rsidR="00493E6B" w:rsidRPr="00CB05A8">
        <w:rPr>
          <w:szCs w:val="26"/>
        </w:rPr>
        <w:t xml:space="preserve"> </w:t>
      </w:r>
      <w:r w:rsidR="00CF7B5B" w:rsidRPr="00CB05A8">
        <w:rPr>
          <w:szCs w:val="26"/>
        </w:rPr>
        <w:t xml:space="preserve">including </w:t>
      </w:r>
      <w:r w:rsidR="00B60BA8" w:rsidRPr="00CB05A8">
        <w:rPr>
          <w:szCs w:val="26"/>
        </w:rPr>
        <w:t xml:space="preserve">by </w:t>
      </w:r>
      <w:r w:rsidR="006061C5" w:rsidRPr="00CB05A8">
        <w:rPr>
          <w:szCs w:val="26"/>
        </w:rPr>
        <w:t>a greater number of friends and family than</w:t>
      </w:r>
      <w:r w:rsidR="00493E6B" w:rsidRPr="00CB05A8">
        <w:rPr>
          <w:szCs w:val="26"/>
        </w:rPr>
        <w:t xml:space="preserve"> </w:t>
      </w:r>
      <w:r w:rsidR="00D3339C" w:rsidRPr="00CB05A8">
        <w:rPr>
          <w:szCs w:val="26"/>
        </w:rPr>
        <w:t>those testifying in this case (</w:t>
      </w:r>
      <w:r w:rsidR="005135CD" w:rsidRPr="00CB05A8">
        <w:rPr>
          <w:i/>
          <w:szCs w:val="26"/>
        </w:rPr>
        <w:t>Romero and Self</w:t>
      </w:r>
      <w:r w:rsidR="001D5AA6" w:rsidRPr="00CB05A8">
        <w:rPr>
          <w:szCs w:val="26"/>
        </w:rPr>
        <w:t xml:space="preserve">, </w:t>
      </w:r>
      <w:r w:rsidR="001D5AA6" w:rsidRPr="00CB05A8">
        <w:rPr>
          <w:i/>
          <w:szCs w:val="26"/>
        </w:rPr>
        <w:t>supra</w:t>
      </w:r>
      <w:r w:rsidR="001D5AA6" w:rsidRPr="00CB05A8">
        <w:rPr>
          <w:szCs w:val="26"/>
        </w:rPr>
        <w:t>,</w:t>
      </w:r>
      <w:r w:rsidR="005135CD" w:rsidRPr="00CB05A8">
        <w:rPr>
          <w:szCs w:val="26"/>
        </w:rPr>
        <w:t xml:space="preserve"> 62</w:t>
      </w:r>
      <w:r w:rsidR="004D7847">
        <w:rPr>
          <w:szCs w:val="26"/>
        </w:rPr>
        <w:t> </w:t>
      </w:r>
      <w:r w:rsidR="005135CD" w:rsidRPr="00CB05A8">
        <w:rPr>
          <w:szCs w:val="26"/>
        </w:rPr>
        <w:t xml:space="preserve">Cal.4th </w:t>
      </w:r>
      <w:r w:rsidR="001D5AA6" w:rsidRPr="00CB05A8">
        <w:rPr>
          <w:szCs w:val="26"/>
        </w:rPr>
        <w:t>at p.</w:t>
      </w:r>
      <w:r w:rsidR="004D7847">
        <w:rPr>
          <w:szCs w:val="26"/>
        </w:rPr>
        <w:t> </w:t>
      </w:r>
      <w:r w:rsidR="005135CD" w:rsidRPr="00CB05A8">
        <w:rPr>
          <w:szCs w:val="26"/>
        </w:rPr>
        <w:t>46 [testimony from six friends and family</w:t>
      </w:r>
      <w:r w:rsidR="003B4CC5" w:rsidRPr="00CB05A8">
        <w:rPr>
          <w:szCs w:val="26"/>
        </w:rPr>
        <w:t xml:space="preserve"> members</w:t>
      </w:r>
      <w:r w:rsidR="005135CD" w:rsidRPr="00CB05A8">
        <w:rPr>
          <w:szCs w:val="26"/>
        </w:rPr>
        <w:t xml:space="preserve">]; </w:t>
      </w:r>
      <w:r w:rsidR="005135CD" w:rsidRPr="00CB05A8">
        <w:rPr>
          <w:i/>
          <w:szCs w:val="26"/>
        </w:rPr>
        <w:t>People v. Kopatz</w:t>
      </w:r>
      <w:r w:rsidR="005135CD" w:rsidRPr="00CB05A8">
        <w:rPr>
          <w:szCs w:val="26"/>
        </w:rPr>
        <w:t xml:space="preserve"> (2015) 61 Cal.4th 62, 89 [testimony from seven family members])</w:t>
      </w:r>
      <w:r w:rsidR="0014524C" w:rsidRPr="00CB05A8">
        <w:rPr>
          <w:szCs w:val="26"/>
        </w:rPr>
        <w:t>.</w:t>
      </w:r>
      <w:r w:rsidR="00907F77" w:rsidRPr="00CB05A8">
        <w:rPr>
          <w:szCs w:val="26"/>
        </w:rPr>
        <w:t xml:space="preserve">  </w:t>
      </w:r>
      <w:r w:rsidR="00A86ADA" w:rsidRPr="00CB05A8">
        <w:rPr>
          <w:szCs w:val="26"/>
        </w:rPr>
        <w:t xml:space="preserve">Moreover, </w:t>
      </w:r>
      <w:r w:rsidR="005E0248" w:rsidRPr="00CB05A8">
        <w:rPr>
          <w:szCs w:val="26"/>
        </w:rPr>
        <w:t xml:space="preserve">the testimony elicited from Deputy Trejo’s </w:t>
      </w:r>
      <w:r w:rsidR="00A86ADA" w:rsidRPr="00CB05A8">
        <w:rPr>
          <w:szCs w:val="26"/>
        </w:rPr>
        <w:t xml:space="preserve">family members </w:t>
      </w:r>
      <w:r w:rsidR="005E0248" w:rsidRPr="00CB05A8">
        <w:rPr>
          <w:szCs w:val="26"/>
        </w:rPr>
        <w:t xml:space="preserve">was </w:t>
      </w:r>
      <w:r w:rsidR="00A86ADA" w:rsidRPr="00CB05A8">
        <w:rPr>
          <w:szCs w:val="26"/>
        </w:rPr>
        <w:t xml:space="preserve">well within the bounds of proper victim impact testimony.  </w:t>
      </w:r>
      <w:r w:rsidR="00633B41" w:rsidRPr="00CB05A8">
        <w:rPr>
          <w:szCs w:val="26"/>
        </w:rPr>
        <w:t xml:space="preserve">(See, e.g., </w:t>
      </w:r>
      <w:r w:rsidR="00633B41" w:rsidRPr="00CB05A8">
        <w:rPr>
          <w:i/>
          <w:iCs/>
          <w:szCs w:val="26"/>
        </w:rPr>
        <w:t xml:space="preserve">People v. </w:t>
      </w:r>
      <w:r w:rsidR="00633B41" w:rsidRPr="00B25BD5">
        <w:rPr>
          <w:i/>
          <w:iCs/>
        </w:rPr>
        <w:t>Scott</w:t>
      </w:r>
      <w:r w:rsidR="00633B41" w:rsidRPr="00CB05A8">
        <w:t xml:space="preserve"> (2011) 52 Cal.4th 452, </w:t>
      </w:r>
      <w:r w:rsidR="007C13C5" w:rsidRPr="00CB05A8">
        <w:t xml:space="preserve">466–467, 494–495.)  </w:t>
      </w:r>
      <w:r w:rsidR="00E0149A" w:rsidRPr="00CB05A8">
        <w:t>T</w:t>
      </w:r>
      <w:r w:rsidR="0014524C" w:rsidRPr="00CB05A8">
        <w:t>hus</w:t>
      </w:r>
      <w:r w:rsidR="0014524C" w:rsidRPr="00CB05A8">
        <w:rPr>
          <w:szCs w:val="26"/>
        </w:rPr>
        <w:t>, t</w:t>
      </w:r>
      <w:r w:rsidR="00E0149A" w:rsidRPr="00CB05A8">
        <w:rPr>
          <w:szCs w:val="26"/>
        </w:rPr>
        <w:t xml:space="preserve">he </w:t>
      </w:r>
      <w:r w:rsidR="007363AD" w:rsidRPr="00CB05A8">
        <w:rPr>
          <w:szCs w:val="26"/>
        </w:rPr>
        <w:t>trial</w:t>
      </w:r>
      <w:r w:rsidR="00E0149A" w:rsidRPr="00CB05A8">
        <w:rPr>
          <w:szCs w:val="26"/>
        </w:rPr>
        <w:t xml:space="preserve"> court properly </w:t>
      </w:r>
      <w:r w:rsidR="00175BF3" w:rsidRPr="00CB05A8">
        <w:rPr>
          <w:szCs w:val="26"/>
        </w:rPr>
        <w:t>admitted the testimony</w:t>
      </w:r>
      <w:r w:rsidR="00907F77" w:rsidRPr="00CB05A8">
        <w:rPr>
          <w:szCs w:val="26"/>
        </w:rPr>
        <w:t>.</w:t>
      </w:r>
    </w:p>
    <w:p w14:paraId="6C6F5E04" w14:textId="75F6576B" w:rsidR="00662364" w:rsidRPr="00CB05A8" w:rsidRDefault="004F7398" w:rsidP="00C84BAD">
      <w:pPr>
        <w:ind w:firstLine="720"/>
      </w:pPr>
      <w:r w:rsidRPr="00CB05A8">
        <w:t xml:space="preserve">Defendant also asserts the </w:t>
      </w:r>
      <w:r w:rsidR="007363AD" w:rsidRPr="00CB05A8">
        <w:t>trial</w:t>
      </w:r>
      <w:r w:rsidRPr="00CB05A8">
        <w:t xml:space="preserve"> court improperly admitted </w:t>
      </w:r>
      <w:r w:rsidR="00454A98" w:rsidRPr="00CB05A8">
        <w:t>the</w:t>
      </w:r>
      <w:r w:rsidRPr="00CB05A8">
        <w:t xml:space="preserve"> photographs of Deputy Trejo with his family </w:t>
      </w:r>
      <w:r w:rsidR="00897045" w:rsidRPr="00CB05A8">
        <w:t>on the ground</w:t>
      </w:r>
      <w:r w:rsidR="00AA54FD" w:rsidRPr="00CB05A8">
        <w:t>s</w:t>
      </w:r>
      <w:r w:rsidR="00897045" w:rsidRPr="00CB05A8">
        <w:t xml:space="preserve"> </w:t>
      </w:r>
      <w:r w:rsidRPr="00CB05A8">
        <w:t xml:space="preserve">they were not probative </w:t>
      </w:r>
      <w:r w:rsidR="00957F2B" w:rsidRPr="00CB05A8">
        <w:t>regarding</w:t>
      </w:r>
      <w:r w:rsidRPr="00CB05A8">
        <w:t xml:space="preserve"> the impact of </w:t>
      </w:r>
      <w:r w:rsidR="0020071C" w:rsidRPr="00CB05A8">
        <w:t>the deputy’s death or necessary to humanize him</w:t>
      </w:r>
      <w:r w:rsidR="00DB0F89" w:rsidRPr="00CB05A8">
        <w:t xml:space="preserve">, and that they were </w:t>
      </w:r>
      <w:r w:rsidR="00AD63AF" w:rsidRPr="00CB05A8">
        <w:t>designed to elicit a purely emotional response from the jury</w:t>
      </w:r>
      <w:r w:rsidR="0020071C" w:rsidRPr="00CB05A8">
        <w:t>.</w:t>
      </w:r>
      <w:r w:rsidR="003F6260" w:rsidRPr="00CB05A8">
        <w:t xml:space="preserve">  </w:t>
      </w:r>
      <w:r w:rsidR="00F020B5" w:rsidRPr="00CB05A8">
        <w:rPr>
          <w:szCs w:val="26"/>
        </w:rPr>
        <w:t>Photo</w:t>
      </w:r>
      <w:r w:rsidR="00A77B72" w:rsidRPr="00CB05A8">
        <w:rPr>
          <w:szCs w:val="26"/>
        </w:rPr>
        <w:t>graphs</w:t>
      </w:r>
      <w:r w:rsidR="00F020B5" w:rsidRPr="00CB05A8">
        <w:rPr>
          <w:szCs w:val="26"/>
        </w:rPr>
        <w:t xml:space="preserve"> of a victim may be relevant to the penalty determination because they “humanize[]” the victim, “as victim impact evidence is designed to do.”  (</w:t>
      </w:r>
      <w:r w:rsidR="00F020B5" w:rsidRPr="00CB05A8">
        <w:rPr>
          <w:i/>
          <w:szCs w:val="26"/>
        </w:rPr>
        <w:t xml:space="preserve">People v. Kelly </w:t>
      </w:r>
      <w:r w:rsidR="00F020B5" w:rsidRPr="00CB05A8">
        <w:rPr>
          <w:szCs w:val="26"/>
        </w:rPr>
        <w:t>(2007) 42 Cal.4th 763, 797.)  “Although emotion must not ‘reign over reason’ at the penalty phase [citations], photographs of the victims of the charged offenses are generally admissible.”  (</w:t>
      </w:r>
      <w:r w:rsidR="00F020B5" w:rsidRPr="00CB05A8">
        <w:rPr>
          <w:i/>
          <w:szCs w:val="26"/>
        </w:rPr>
        <w:t>People v. Carpenter</w:t>
      </w:r>
      <w:r w:rsidR="00F020B5" w:rsidRPr="00CB05A8">
        <w:rPr>
          <w:szCs w:val="26"/>
        </w:rPr>
        <w:t xml:space="preserve"> (1997) 15 Cal.4th 312, 400</w:t>
      </w:r>
      <w:r w:rsidR="00E67436">
        <w:rPr>
          <w:szCs w:val="26"/>
        </w:rPr>
        <w:t>–401</w:t>
      </w:r>
      <w:r w:rsidR="00F020B5" w:rsidRPr="00CB05A8">
        <w:rPr>
          <w:szCs w:val="26"/>
        </w:rPr>
        <w:t xml:space="preserve">.)  </w:t>
      </w:r>
    </w:p>
    <w:p w14:paraId="08DA1E8A" w14:textId="3D5613C3" w:rsidR="00A02AA2" w:rsidRPr="00CB05A8" w:rsidRDefault="00F54F4E" w:rsidP="00C84BAD">
      <w:pPr>
        <w:ind w:firstLine="720"/>
        <w:rPr>
          <w:szCs w:val="26"/>
        </w:rPr>
      </w:pPr>
      <w:r>
        <w:t xml:space="preserve">We </w:t>
      </w:r>
      <w:r w:rsidR="00662364" w:rsidRPr="00CB05A8">
        <w:t xml:space="preserve">have reviewed the photographs.  The five images included Deputy Trejo in his uniform kissing his grandchild, hugging family members at a graduation, and playing with his grandchildren.  </w:t>
      </w:r>
      <w:r w:rsidR="00A73E79">
        <w:rPr>
          <w:szCs w:val="26"/>
        </w:rPr>
        <w:t xml:space="preserve">We conclude that </w:t>
      </w:r>
      <w:r w:rsidR="002448FA" w:rsidRPr="00CB05A8">
        <w:rPr>
          <w:szCs w:val="26"/>
        </w:rPr>
        <w:t>t</w:t>
      </w:r>
      <w:r w:rsidR="00473AB8" w:rsidRPr="00CB05A8">
        <w:rPr>
          <w:szCs w:val="26"/>
        </w:rPr>
        <w:t xml:space="preserve">he photographs </w:t>
      </w:r>
      <w:r w:rsidR="007778A8" w:rsidRPr="00CB05A8">
        <w:rPr>
          <w:szCs w:val="26"/>
        </w:rPr>
        <w:t xml:space="preserve">appropriately </w:t>
      </w:r>
      <w:r w:rsidR="00473AB8" w:rsidRPr="00CB05A8">
        <w:rPr>
          <w:szCs w:val="26"/>
        </w:rPr>
        <w:t>served to humanize Deputy Trejo and were not unduly emotional</w:t>
      </w:r>
      <w:r w:rsidR="00F020B5" w:rsidRPr="00CB05A8">
        <w:rPr>
          <w:szCs w:val="26"/>
        </w:rPr>
        <w:t xml:space="preserve">.   </w:t>
      </w:r>
    </w:p>
    <w:p w14:paraId="000F39F7" w14:textId="7C76CFB3" w:rsidR="00FE2E82" w:rsidRPr="00CB05A8" w:rsidRDefault="009504CA" w:rsidP="00C84BAD">
      <w:pPr>
        <w:ind w:firstLine="720"/>
        <w:rPr>
          <w:szCs w:val="26"/>
        </w:rPr>
      </w:pPr>
      <w:r w:rsidRPr="00CB05A8">
        <w:rPr>
          <w:szCs w:val="26"/>
        </w:rPr>
        <w:t>Additionally, d</w:t>
      </w:r>
      <w:r w:rsidR="00FE2E82" w:rsidRPr="00CB05A8">
        <w:rPr>
          <w:szCs w:val="26"/>
        </w:rPr>
        <w:t xml:space="preserve">efendant </w:t>
      </w:r>
      <w:r w:rsidR="00A37212" w:rsidRPr="00CB05A8">
        <w:rPr>
          <w:szCs w:val="26"/>
        </w:rPr>
        <w:t xml:space="preserve">broadly </w:t>
      </w:r>
      <w:r w:rsidR="00FE2E82" w:rsidRPr="00CB05A8">
        <w:rPr>
          <w:szCs w:val="26"/>
        </w:rPr>
        <w:t xml:space="preserve">challenges the scope of permissible victim impact evidence under </w:t>
      </w:r>
      <w:r w:rsidR="00E67436">
        <w:rPr>
          <w:szCs w:val="26"/>
        </w:rPr>
        <w:t xml:space="preserve">section 190.3, </w:t>
      </w:r>
      <w:r w:rsidR="00FE2E82" w:rsidRPr="00CB05A8">
        <w:rPr>
          <w:szCs w:val="26"/>
        </w:rPr>
        <w:t>factor (a) as unconstitutionally vague and overbroad.  We</w:t>
      </w:r>
      <w:r w:rsidR="00D066F0" w:rsidRPr="00CB05A8">
        <w:rPr>
          <w:szCs w:val="26"/>
        </w:rPr>
        <w:t> </w:t>
      </w:r>
      <w:r w:rsidR="00FE2E82" w:rsidRPr="00CB05A8">
        <w:rPr>
          <w:szCs w:val="26"/>
        </w:rPr>
        <w:t>have previously considered and rejected this argument (</w:t>
      </w:r>
      <w:r w:rsidR="00FE2E82" w:rsidRPr="00CB05A8">
        <w:rPr>
          <w:i/>
          <w:iCs/>
          <w:szCs w:val="26"/>
        </w:rPr>
        <w:t>People v. Hamilton</w:t>
      </w:r>
      <w:r w:rsidR="00E67436">
        <w:rPr>
          <w:szCs w:val="26"/>
        </w:rPr>
        <w:t xml:space="preserve">, </w:t>
      </w:r>
      <w:r w:rsidR="00E67436">
        <w:rPr>
          <w:i/>
          <w:iCs/>
          <w:szCs w:val="26"/>
        </w:rPr>
        <w:t>supra</w:t>
      </w:r>
      <w:r w:rsidR="00E67436">
        <w:rPr>
          <w:szCs w:val="26"/>
        </w:rPr>
        <w:t>,</w:t>
      </w:r>
      <w:r w:rsidR="00FE2E82" w:rsidRPr="00CB05A8">
        <w:rPr>
          <w:i/>
          <w:iCs/>
          <w:szCs w:val="26"/>
        </w:rPr>
        <w:t xml:space="preserve"> </w:t>
      </w:r>
      <w:r w:rsidR="00FE2E82" w:rsidRPr="00CB05A8">
        <w:rPr>
          <w:szCs w:val="26"/>
        </w:rPr>
        <w:t>45</w:t>
      </w:r>
      <w:r w:rsidR="004D7847">
        <w:rPr>
          <w:szCs w:val="26"/>
        </w:rPr>
        <w:t> </w:t>
      </w:r>
      <w:r w:rsidR="00FE2E82" w:rsidRPr="00CB05A8">
        <w:rPr>
          <w:szCs w:val="26"/>
        </w:rPr>
        <w:t xml:space="preserve">Cal.4th </w:t>
      </w:r>
      <w:r w:rsidR="00E67436">
        <w:rPr>
          <w:szCs w:val="26"/>
        </w:rPr>
        <w:t>at p.</w:t>
      </w:r>
      <w:r w:rsidR="00FE2E82" w:rsidRPr="00CB05A8">
        <w:rPr>
          <w:szCs w:val="26"/>
        </w:rPr>
        <w:t xml:space="preserve"> 931), and defendant provides no persuasive reason for us to reconsider our conclusion here.</w:t>
      </w:r>
    </w:p>
    <w:p w14:paraId="3F837E69" w14:textId="6FD92010" w:rsidR="00352551" w:rsidRPr="00CB05A8" w:rsidRDefault="00FE2E82" w:rsidP="00C84BAD">
      <w:pPr>
        <w:ind w:firstLine="720"/>
        <w:rPr>
          <w:szCs w:val="26"/>
        </w:rPr>
      </w:pPr>
      <w:r w:rsidRPr="00CB05A8">
        <w:rPr>
          <w:szCs w:val="26"/>
        </w:rPr>
        <w:t>Last, d</w:t>
      </w:r>
      <w:r w:rsidR="00723D8A" w:rsidRPr="00CB05A8">
        <w:rPr>
          <w:szCs w:val="26"/>
        </w:rPr>
        <w:t xml:space="preserve">efendant </w:t>
      </w:r>
      <w:r w:rsidR="00766761" w:rsidRPr="00CB05A8">
        <w:rPr>
          <w:szCs w:val="26"/>
        </w:rPr>
        <w:t xml:space="preserve">maintains the </w:t>
      </w:r>
      <w:r w:rsidR="007363AD" w:rsidRPr="00CB05A8">
        <w:rPr>
          <w:szCs w:val="26"/>
        </w:rPr>
        <w:t>trial</w:t>
      </w:r>
      <w:r w:rsidR="00766761" w:rsidRPr="00CB05A8">
        <w:rPr>
          <w:szCs w:val="26"/>
        </w:rPr>
        <w:t xml:space="preserve"> court erred when it refused to </w:t>
      </w:r>
      <w:r w:rsidR="00083656" w:rsidRPr="00CB05A8">
        <w:rPr>
          <w:szCs w:val="26"/>
        </w:rPr>
        <w:t xml:space="preserve">give </w:t>
      </w:r>
      <w:r w:rsidR="005D38D4" w:rsidRPr="00CB05A8">
        <w:rPr>
          <w:szCs w:val="26"/>
        </w:rPr>
        <w:t>hi</w:t>
      </w:r>
      <w:r w:rsidR="00083656" w:rsidRPr="00CB05A8">
        <w:rPr>
          <w:szCs w:val="26"/>
        </w:rPr>
        <w:t>s proposed instruction directing the jur</w:t>
      </w:r>
      <w:r w:rsidR="005F2DEB" w:rsidRPr="00CB05A8">
        <w:rPr>
          <w:szCs w:val="26"/>
        </w:rPr>
        <w:t>ors</w:t>
      </w:r>
      <w:r w:rsidR="00083656" w:rsidRPr="00CB05A8">
        <w:rPr>
          <w:szCs w:val="26"/>
        </w:rPr>
        <w:t xml:space="preserve"> not to </w:t>
      </w:r>
      <w:r w:rsidR="00E708EB" w:rsidRPr="00CB05A8">
        <w:rPr>
          <w:szCs w:val="26"/>
        </w:rPr>
        <w:t xml:space="preserve">allow </w:t>
      </w:r>
      <w:r w:rsidR="00083656" w:rsidRPr="00CB05A8">
        <w:rPr>
          <w:szCs w:val="26"/>
        </w:rPr>
        <w:t xml:space="preserve">victim impact evidence to </w:t>
      </w:r>
      <w:r w:rsidR="0000500E" w:rsidRPr="00CB05A8">
        <w:rPr>
          <w:szCs w:val="26"/>
        </w:rPr>
        <w:t xml:space="preserve">divert their attention from their proper role of deciding whether defendant should live or die and </w:t>
      </w:r>
      <w:r w:rsidR="005D38D4" w:rsidRPr="00CB05A8">
        <w:rPr>
          <w:szCs w:val="26"/>
        </w:rPr>
        <w:t>instructing the</w:t>
      </w:r>
      <w:r w:rsidR="00F91C4F" w:rsidRPr="00CB05A8">
        <w:rPr>
          <w:szCs w:val="26"/>
        </w:rPr>
        <w:t xml:space="preserve">m to </w:t>
      </w:r>
      <w:r w:rsidR="0000500E" w:rsidRPr="00CB05A8">
        <w:rPr>
          <w:szCs w:val="26"/>
        </w:rPr>
        <w:t>face their obligation soberly and rationally.  We ha</w:t>
      </w:r>
      <w:r w:rsidR="00CC4873">
        <w:rPr>
          <w:szCs w:val="26"/>
        </w:rPr>
        <w:t>ve</w:t>
      </w:r>
      <w:r w:rsidR="0000500E" w:rsidRPr="00CB05A8">
        <w:rPr>
          <w:szCs w:val="26"/>
        </w:rPr>
        <w:t xml:space="preserve"> repeatedly rejected </w:t>
      </w:r>
      <w:r w:rsidR="00857748" w:rsidRPr="00CB05A8">
        <w:rPr>
          <w:szCs w:val="26"/>
        </w:rPr>
        <w:t xml:space="preserve">claims of error regarding similar cautionary instructions.  </w:t>
      </w:r>
      <w:r w:rsidR="0001032A" w:rsidRPr="00CB05A8">
        <w:rPr>
          <w:szCs w:val="26"/>
        </w:rPr>
        <w:t>(</w:t>
      </w:r>
      <w:r w:rsidR="00223051" w:rsidRPr="00CB05A8">
        <w:rPr>
          <w:iCs/>
          <w:szCs w:val="26"/>
        </w:rPr>
        <w:t xml:space="preserve">See, e.g., </w:t>
      </w:r>
      <w:r w:rsidR="00AE3755" w:rsidRPr="00CB05A8">
        <w:rPr>
          <w:i/>
          <w:szCs w:val="26"/>
        </w:rPr>
        <w:t>Pollock</w:t>
      </w:r>
      <w:r w:rsidR="00AE3755" w:rsidRPr="00CB05A8">
        <w:rPr>
          <w:iCs/>
          <w:szCs w:val="26"/>
        </w:rPr>
        <w:t xml:space="preserve">, </w:t>
      </w:r>
      <w:r w:rsidR="00AE3755" w:rsidRPr="00CB05A8">
        <w:rPr>
          <w:i/>
          <w:szCs w:val="26"/>
        </w:rPr>
        <w:t>supra</w:t>
      </w:r>
      <w:r w:rsidR="00AE3755" w:rsidRPr="00CB05A8">
        <w:rPr>
          <w:iCs/>
          <w:szCs w:val="26"/>
        </w:rPr>
        <w:t>, 32 Cal.4th at p. 1195</w:t>
      </w:r>
      <w:r w:rsidR="00223051" w:rsidRPr="00CB05A8">
        <w:rPr>
          <w:iCs/>
          <w:szCs w:val="26"/>
        </w:rPr>
        <w:t xml:space="preserve"> </w:t>
      </w:r>
      <w:r w:rsidR="00670A29" w:rsidRPr="00CB05A8">
        <w:rPr>
          <w:iCs/>
          <w:szCs w:val="26"/>
        </w:rPr>
        <w:t xml:space="preserve"> [“The proposed instruction misstated the law in asserting that the jury, in making its penalty decision, could not be influenced by sympathy for the victims and their families engendered by the victim impact testimony”].</w:t>
      </w:r>
      <w:r w:rsidR="0001032A" w:rsidRPr="00CB05A8">
        <w:rPr>
          <w:szCs w:val="26"/>
        </w:rPr>
        <w:t xml:space="preserve">)  </w:t>
      </w:r>
      <w:r w:rsidR="00093E3E" w:rsidRPr="00CB05A8">
        <w:rPr>
          <w:szCs w:val="26"/>
        </w:rPr>
        <w:t xml:space="preserve">Moreover, the standard instructions found in CALJIC Nos. 8.85 and 8.88, as given by the </w:t>
      </w:r>
      <w:r w:rsidR="007363AD" w:rsidRPr="00CB05A8">
        <w:rPr>
          <w:szCs w:val="26"/>
        </w:rPr>
        <w:t>trial</w:t>
      </w:r>
      <w:r w:rsidR="00093E3E" w:rsidRPr="00CB05A8">
        <w:rPr>
          <w:szCs w:val="26"/>
        </w:rPr>
        <w:t xml:space="preserve"> court, adequately conveyed to the jurors the proper consideration and use of victim impact evidence.  (</w:t>
      </w:r>
      <w:r w:rsidR="0037467B" w:rsidRPr="00CB05A8">
        <w:rPr>
          <w:i/>
          <w:szCs w:val="26"/>
        </w:rPr>
        <w:t xml:space="preserve">People v. </w:t>
      </w:r>
      <w:r w:rsidR="00930810" w:rsidRPr="00CB05A8">
        <w:rPr>
          <w:i/>
          <w:iCs/>
          <w:szCs w:val="26"/>
        </w:rPr>
        <w:t>Zamudio</w:t>
      </w:r>
      <w:r w:rsidR="0037467B" w:rsidRPr="00CB05A8">
        <w:rPr>
          <w:iCs/>
          <w:szCs w:val="26"/>
        </w:rPr>
        <w:t xml:space="preserve"> (2008)</w:t>
      </w:r>
      <w:r w:rsidR="00930810" w:rsidRPr="00CB05A8">
        <w:rPr>
          <w:iCs/>
          <w:szCs w:val="26"/>
        </w:rPr>
        <w:t xml:space="preserve"> </w:t>
      </w:r>
      <w:r w:rsidR="009C46FC" w:rsidRPr="00CB05A8">
        <w:rPr>
          <w:iCs/>
          <w:szCs w:val="26"/>
        </w:rPr>
        <w:t xml:space="preserve">43 Cal.4th </w:t>
      </w:r>
      <w:r w:rsidR="0037467B" w:rsidRPr="00CB05A8">
        <w:rPr>
          <w:iCs/>
          <w:szCs w:val="26"/>
        </w:rPr>
        <w:t>327,</w:t>
      </w:r>
      <w:r w:rsidR="009C46FC" w:rsidRPr="00CB05A8">
        <w:rPr>
          <w:iCs/>
          <w:szCs w:val="26"/>
        </w:rPr>
        <w:t xml:space="preserve"> 369</w:t>
      </w:r>
      <w:r w:rsidR="004E1151" w:rsidRPr="00CB05A8">
        <w:rPr>
          <w:szCs w:val="26"/>
        </w:rPr>
        <w:t>.)</w:t>
      </w:r>
      <w:r w:rsidR="00857748" w:rsidRPr="00CB05A8">
        <w:rPr>
          <w:szCs w:val="26"/>
        </w:rPr>
        <w:t xml:space="preserve">  </w:t>
      </w:r>
    </w:p>
    <w:p w14:paraId="18B60C9C" w14:textId="44B83054" w:rsidR="006B5044" w:rsidRPr="00CB05A8" w:rsidRDefault="00B47A2A" w:rsidP="00CB05A8">
      <w:pPr>
        <w:pStyle w:val="Heading4"/>
        <w:rPr>
          <w:iCs/>
        </w:rPr>
      </w:pPr>
      <w:bookmarkStart w:id="64" w:name="_Toc58918820"/>
      <w:r w:rsidRPr="00CB05A8">
        <w:t>b</w:t>
      </w:r>
      <w:r w:rsidR="006B5044" w:rsidRPr="00CB05A8">
        <w:t xml:space="preserve">.  </w:t>
      </w:r>
      <w:r w:rsidRPr="00CB05A8">
        <w:tab/>
      </w:r>
      <w:r w:rsidR="006B5044" w:rsidRPr="00CB05A8">
        <w:t xml:space="preserve">Victim </w:t>
      </w:r>
      <w:r w:rsidR="001270B8" w:rsidRPr="00CB05A8">
        <w:t>i</w:t>
      </w:r>
      <w:r w:rsidR="006B5044" w:rsidRPr="00CB05A8">
        <w:t xml:space="preserve">mpact </w:t>
      </w:r>
      <w:r w:rsidR="001270B8" w:rsidRPr="00CB05A8">
        <w:t>evidence</w:t>
      </w:r>
      <w:r w:rsidR="00053C3D" w:rsidRPr="00CB05A8">
        <w:t xml:space="preserve"> </w:t>
      </w:r>
      <w:r w:rsidR="006A2E89" w:rsidRPr="00CB05A8">
        <w:t xml:space="preserve">from </w:t>
      </w:r>
      <w:r w:rsidR="0052124D" w:rsidRPr="00CB05A8">
        <w:t xml:space="preserve">Frank </w:t>
      </w:r>
      <w:r w:rsidR="006A2E89" w:rsidRPr="00CB05A8">
        <w:t xml:space="preserve">Cooper </w:t>
      </w:r>
      <w:r w:rsidR="00161993" w:rsidRPr="00CB05A8">
        <w:t xml:space="preserve">and Karen King </w:t>
      </w:r>
      <w:bookmarkEnd w:id="64"/>
    </w:p>
    <w:p w14:paraId="11285436" w14:textId="6475E02A" w:rsidR="00010989" w:rsidRPr="00CB05A8" w:rsidRDefault="00961DB0" w:rsidP="00C84BAD">
      <w:pPr>
        <w:pStyle w:val="NormalIndent"/>
        <w:ind w:left="0" w:firstLine="720"/>
      </w:pPr>
      <w:r w:rsidRPr="00CB05A8">
        <w:t xml:space="preserve">Defendant </w:t>
      </w:r>
      <w:r w:rsidR="00F91C4F" w:rsidRPr="00CB05A8">
        <w:t>assert</w:t>
      </w:r>
      <w:r w:rsidRPr="00CB05A8">
        <w:t xml:space="preserve">s the admission of </w:t>
      </w:r>
      <w:r w:rsidR="00F06E6C" w:rsidRPr="00CB05A8">
        <w:t xml:space="preserve">Frank </w:t>
      </w:r>
      <w:r w:rsidRPr="00CB05A8">
        <w:t xml:space="preserve">Cooper and </w:t>
      </w:r>
      <w:r w:rsidR="00F06E6C" w:rsidRPr="00CB05A8">
        <w:t xml:space="preserve">Karen </w:t>
      </w:r>
      <w:r w:rsidRPr="00CB05A8">
        <w:t xml:space="preserve">King’s testimony as victim impact evidence </w:t>
      </w:r>
      <w:r w:rsidR="00D72F37" w:rsidRPr="00CB05A8">
        <w:t xml:space="preserve">stemming </w:t>
      </w:r>
      <w:r w:rsidRPr="00CB05A8">
        <w:t>from noncapital crimes violated his right to a fair and reliable penalty determination</w:t>
      </w:r>
      <w:r w:rsidR="00D230B2" w:rsidRPr="00CB05A8">
        <w:t xml:space="preserve"> because </w:t>
      </w:r>
      <w:r w:rsidR="00D72F37" w:rsidRPr="00CB05A8">
        <w:t>such testimony is in</w:t>
      </w:r>
      <w:r w:rsidR="00D230B2" w:rsidRPr="00CB05A8">
        <w:t xml:space="preserve">admissible under </w:t>
      </w:r>
      <w:r w:rsidR="008675BE">
        <w:t xml:space="preserve">section 190.3, </w:t>
      </w:r>
      <w:r w:rsidR="00D230B2" w:rsidRPr="00CB05A8">
        <w:t>factor (a) or factor (b)</w:t>
      </w:r>
      <w:r w:rsidRPr="00CB05A8">
        <w:t>.</w:t>
      </w:r>
      <w:r w:rsidR="00010989" w:rsidRPr="00CB05A8">
        <w:t xml:space="preserve">  </w:t>
      </w:r>
      <w:r w:rsidR="00F54F4E">
        <w:t>W</w:t>
      </w:r>
      <w:r w:rsidR="00010989" w:rsidRPr="00CB05A8">
        <w:t xml:space="preserve">e conclude the </w:t>
      </w:r>
      <w:r w:rsidR="007363AD" w:rsidRPr="00CB05A8">
        <w:t>trial</w:t>
      </w:r>
      <w:r w:rsidR="00010989" w:rsidRPr="00CB05A8">
        <w:t xml:space="preserve"> court properly admitted the</w:t>
      </w:r>
      <w:r w:rsidR="006A0099" w:rsidRPr="00CB05A8">
        <w:t xml:space="preserve"> testimony </w:t>
      </w:r>
      <w:r w:rsidR="00010989" w:rsidRPr="00CB05A8">
        <w:t>under factor (b)</w:t>
      </w:r>
      <w:r w:rsidR="000C2792">
        <w:t>, and any error with respect to admitting Karen’s testimony was harmless</w:t>
      </w:r>
      <w:r w:rsidR="00010989" w:rsidRPr="00CB05A8">
        <w:t>.</w:t>
      </w:r>
    </w:p>
    <w:p w14:paraId="008D4F07" w14:textId="618B7738" w:rsidR="00891E6A" w:rsidRPr="00CB05A8" w:rsidRDefault="00891E6A" w:rsidP="00C84BAD">
      <w:pPr>
        <w:pStyle w:val="NormalIndent"/>
        <w:ind w:left="0" w:firstLine="720"/>
      </w:pPr>
      <w:r w:rsidRPr="00CB05A8">
        <w:t xml:space="preserve">Frank testified that his health had deteriorated since the hostage incident.  He was unable to continue working as an auto mechanic because he was afraid to go out, and had become vigilant in keeping his home safe.  Karen testified that she had become more fearful and stressed </w:t>
      </w:r>
      <w:r w:rsidR="009858F2" w:rsidRPr="00CB05A8">
        <w:t xml:space="preserve">after </w:t>
      </w:r>
      <w:r w:rsidRPr="00CB05A8">
        <w:t>the incident and had trouble sleeping.  Karen moved out of the family home because she was scared of the area around the house, and her relationship with her mother and children</w:t>
      </w:r>
      <w:r w:rsidRPr="00CB05A8">
        <w:rPr>
          <w:color w:val="FF0000"/>
        </w:rPr>
        <w:t xml:space="preserve"> </w:t>
      </w:r>
      <w:r w:rsidRPr="00CB05A8">
        <w:t xml:space="preserve">deteriorated as a result.  She described the fear she felt meeting </w:t>
      </w:r>
      <w:r w:rsidR="00A30653" w:rsidRPr="00CB05A8">
        <w:t>w</w:t>
      </w:r>
      <w:r w:rsidRPr="00CB05A8">
        <w:t xml:space="preserve">hite people after the hostage incident.  </w:t>
      </w:r>
    </w:p>
    <w:p w14:paraId="48950A6F" w14:textId="1E3B40FE" w:rsidR="006C7E30" w:rsidRPr="00CB05A8" w:rsidRDefault="00010989" w:rsidP="00C84BAD">
      <w:pPr>
        <w:pStyle w:val="NormalIndent"/>
        <w:ind w:left="0" w:firstLine="720"/>
        <w:rPr>
          <w:szCs w:val="26"/>
        </w:rPr>
      </w:pPr>
      <w:r w:rsidRPr="00CB05A8">
        <w:t>Section 190.</w:t>
      </w:r>
      <w:r w:rsidR="008A2E3C" w:rsidRPr="00CB05A8">
        <w:t>3</w:t>
      </w:r>
      <w:r w:rsidRPr="00CB05A8">
        <w:t xml:space="preserve">, factor (b) </w:t>
      </w:r>
      <w:r w:rsidR="005208DC" w:rsidRPr="00CB05A8">
        <w:t>permits the trier of fact to consider the presence or absence of criminal activity by the defendant involving the use or attempted use of force or violence o</w:t>
      </w:r>
      <w:r w:rsidR="002A54FB" w:rsidRPr="00CB05A8">
        <w:t xml:space="preserve">r the express or implied threat to use force or violence.  </w:t>
      </w:r>
      <w:r w:rsidRPr="00CB05A8">
        <w:t xml:space="preserve">The impact of defendant’s crimes on </w:t>
      </w:r>
      <w:r w:rsidR="00B464A0" w:rsidRPr="00CB05A8">
        <w:t>Frank</w:t>
      </w:r>
      <w:r w:rsidRPr="00CB05A8">
        <w:t xml:space="preserve"> and </w:t>
      </w:r>
      <w:r w:rsidR="00B464A0" w:rsidRPr="00CB05A8">
        <w:t xml:space="preserve">Karen </w:t>
      </w:r>
      <w:r w:rsidRPr="00CB05A8">
        <w:t xml:space="preserve">were relevant and admissible </w:t>
      </w:r>
      <w:r w:rsidR="00282CF0" w:rsidRPr="00CB05A8">
        <w:t xml:space="preserve">under </w:t>
      </w:r>
      <w:r w:rsidR="00282CF0">
        <w:t xml:space="preserve">section 190.3, </w:t>
      </w:r>
      <w:r w:rsidR="00282CF0" w:rsidRPr="00CB05A8">
        <w:t>factor (b)</w:t>
      </w:r>
      <w:r w:rsidR="00282CF0">
        <w:t xml:space="preserve"> </w:t>
      </w:r>
      <w:r w:rsidRPr="00CB05A8">
        <w:t xml:space="preserve">as “evidence of the emotional effect” of defendant’s other violent criminal acts. </w:t>
      </w:r>
      <w:r w:rsidR="00961DB0" w:rsidRPr="00CB05A8">
        <w:t xml:space="preserve"> </w:t>
      </w:r>
      <w:r w:rsidR="008E21A5" w:rsidRPr="00CB05A8">
        <w:rPr>
          <w:szCs w:val="26"/>
        </w:rPr>
        <w:t>(</w:t>
      </w:r>
      <w:r w:rsidR="00282CF0">
        <w:rPr>
          <w:szCs w:val="26"/>
        </w:rPr>
        <w:t xml:space="preserve">See </w:t>
      </w:r>
      <w:r w:rsidR="008E21A5" w:rsidRPr="00CB05A8">
        <w:rPr>
          <w:i/>
          <w:szCs w:val="26"/>
        </w:rPr>
        <w:t>People v. Martinez</w:t>
      </w:r>
      <w:r w:rsidR="008E21A5" w:rsidRPr="00CB05A8">
        <w:rPr>
          <w:szCs w:val="26"/>
        </w:rPr>
        <w:t xml:space="preserve"> (2010) 47 Cal.4th 911, 961; </w:t>
      </w:r>
      <w:r w:rsidR="008E21A5" w:rsidRPr="00CB05A8">
        <w:rPr>
          <w:i/>
          <w:szCs w:val="26"/>
        </w:rPr>
        <w:t>People v. Redd</w:t>
      </w:r>
      <w:r w:rsidR="008E21A5" w:rsidRPr="00CB05A8">
        <w:rPr>
          <w:szCs w:val="26"/>
        </w:rPr>
        <w:t xml:space="preserve"> (2010) 48 Cal.4th 691, 746.)  </w:t>
      </w:r>
      <w:r w:rsidR="006C7E30" w:rsidRPr="00CB05A8">
        <w:rPr>
          <w:szCs w:val="26"/>
        </w:rPr>
        <w:t xml:space="preserve">We have also concluded that the admission of </w:t>
      </w:r>
      <w:r w:rsidR="00C46FC9" w:rsidRPr="00CB05A8">
        <w:rPr>
          <w:szCs w:val="26"/>
        </w:rPr>
        <w:t xml:space="preserve">such evidence </w:t>
      </w:r>
      <w:r w:rsidR="006C7E30" w:rsidRPr="00CB05A8">
        <w:rPr>
          <w:szCs w:val="26"/>
        </w:rPr>
        <w:t>does not violate</w:t>
      </w:r>
      <w:r w:rsidR="00C46FC9" w:rsidRPr="00CB05A8">
        <w:rPr>
          <w:szCs w:val="26"/>
        </w:rPr>
        <w:t xml:space="preserve"> the Eighth Amendment</w:t>
      </w:r>
      <w:r w:rsidR="006C7E30" w:rsidRPr="00CB05A8">
        <w:rPr>
          <w:szCs w:val="26"/>
        </w:rPr>
        <w:t xml:space="preserve">. </w:t>
      </w:r>
      <w:r w:rsidR="00C46FC9" w:rsidRPr="00CB05A8">
        <w:rPr>
          <w:szCs w:val="26"/>
        </w:rPr>
        <w:t xml:space="preserve"> (</w:t>
      </w:r>
      <w:r w:rsidR="00C46FC9" w:rsidRPr="00CB05A8">
        <w:rPr>
          <w:i/>
          <w:szCs w:val="26"/>
        </w:rPr>
        <w:t>Davis</w:t>
      </w:r>
      <w:r w:rsidR="00894E15" w:rsidRPr="00CB05A8">
        <w:rPr>
          <w:szCs w:val="26"/>
        </w:rPr>
        <w:t xml:space="preserve">, </w:t>
      </w:r>
      <w:r w:rsidR="00894E15" w:rsidRPr="00CB05A8">
        <w:rPr>
          <w:i/>
          <w:szCs w:val="26"/>
        </w:rPr>
        <w:t>supra</w:t>
      </w:r>
      <w:r w:rsidR="00894E15" w:rsidRPr="00CB05A8">
        <w:rPr>
          <w:szCs w:val="26"/>
        </w:rPr>
        <w:t>,</w:t>
      </w:r>
      <w:r w:rsidR="00C46FC9" w:rsidRPr="00CB05A8">
        <w:rPr>
          <w:szCs w:val="26"/>
        </w:rPr>
        <w:t xml:space="preserve"> 46 Cal.4th </w:t>
      </w:r>
      <w:r w:rsidR="00894E15" w:rsidRPr="00CB05A8">
        <w:rPr>
          <w:szCs w:val="26"/>
        </w:rPr>
        <w:t>at p.</w:t>
      </w:r>
      <w:r w:rsidR="00D066F0" w:rsidRPr="00CB05A8">
        <w:rPr>
          <w:szCs w:val="26"/>
        </w:rPr>
        <w:t> </w:t>
      </w:r>
      <w:r w:rsidR="00C46FC9" w:rsidRPr="00CB05A8">
        <w:rPr>
          <w:szCs w:val="26"/>
        </w:rPr>
        <w:t>617</w:t>
      </w:r>
      <w:r w:rsidR="006C7E30" w:rsidRPr="00CB05A8">
        <w:rPr>
          <w:szCs w:val="26"/>
        </w:rPr>
        <w:t>.</w:t>
      </w:r>
      <w:r w:rsidR="00C46FC9" w:rsidRPr="00CB05A8">
        <w:rPr>
          <w:szCs w:val="26"/>
        </w:rPr>
        <w:t xml:space="preserve">) </w:t>
      </w:r>
    </w:p>
    <w:p w14:paraId="3B4748FF" w14:textId="378FED0E" w:rsidR="006C7E30" w:rsidRPr="00CB05A8" w:rsidRDefault="006C7E30" w:rsidP="00C84BAD">
      <w:pPr>
        <w:pStyle w:val="NormalIndent"/>
        <w:ind w:left="0" w:firstLine="720"/>
        <w:rPr>
          <w:szCs w:val="26"/>
        </w:rPr>
      </w:pPr>
      <w:r w:rsidRPr="00CB05A8">
        <w:rPr>
          <w:szCs w:val="26"/>
        </w:rPr>
        <w:t>Defendant</w:t>
      </w:r>
      <w:r w:rsidR="00C46FC9" w:rsidRPr="00CB05A8">
        <w:rPr>
          <w:szCs w:val="26"/>
        </w:rPr>
        <w:t xml:space="preserve"> </w:t>
      </w:r>
      <w:r w:rsidRPr="00CB05A8">
        <w:rPr>
          <w:szCs w:val="26"/>
        </w:rPr>
        <w:t xml:space="preserve">maintains </w:t>
      </w:r>
      <w:r w:rsidR="00C46FC9" w:rsidRPr="00CB05A8">
        <w:rPr>
          <w:szCs w:val="26"/>
        </w:rPr>
        <w:t xml:space="preserve">that the testimony </w:t>
      </w:r>
      <w:r w:rsidRPr="00CB05A8">
        <w:rPr>
          <w:szCs w:val="26"/>
        </w:rPr>
        <w:t xml:space="preserve">from </w:t>
      </w:r>
      <w:r w:rsidR="00B464A0" w:rsidRPr="00CB05A8">
        <w:rPr>
          <w:szCs w:val="26"/>
        </w:rPr>
        <w:t>Frank</w:t>
      </w:r>
      <w:r w:rsidRPr="00CB05A8">
        <w:rPr>
          <w:szCs w:val="26"/>
        </w:rPr>
        <w:t xml:space="preserve"> and </w:t>
      </w:r>
      <w:r w:rsidR="00B464A0" w:rsidRPr="00CB05A8">
        <w:rPr>
          <w:szCs w:val="26"/>
        </w:rPr>
        <w:t>Karen</w:t>
      </w:r>
      <w:r w:rsidRPr="00CB05A8">
        <w:rPr>
          <w:szCs w:val="26"/>
        </w:rPr>
        <w:t xml:space="preserve"> should have been excluded under Evidence Code section 352 because it </w:t>
      </w:r>
      <w:r w:rsidR="00C46FC9" w:rsidRPr="00CB05A8">
        <w:rPr>
          <w:szCs w:val="26"/>
        </w:rPr>
        <w:t xml:space="preserve">was more prejudicial than probative.  </w:t>
      </w:r>
      <w:r w:rsidR="00F54F4E">
        <w:rPr>
          <w:szCs w:val="26"/>
        </w:rPr>
        <w:t>We</w:t>
      </w:r>
      <w:r w:rsidR="00C46FC9" w:rsidRPr="00CB05A8">
        <w:rPr>
          <w:szCs w:val="26"/>
        </w:rPr>
        <w:t xml:space="preserve"> disagree.  </w:t>
      </w:r>
      <w:r w:rsidRPr="00CB05A8">
        <w:rPr>
          <w:szCs w:val="26"/>
        </w:rPr>
        <w:t>T</w:t>
      </w:r>
      <w:r w:rsidR="00C46FC9" w:rsidRPr="00CB05A8">
        <w:rPr>
          <w:szCs w:val="26"/>
        </w:rPr>
        <w:t>h</w:t>
      </w:r>
      <w:r w:rsidR="00272318" w:rsidRPr="00CB05A8">
        <w:rPr>
          <w:szCs w:val="26"/>
        </w:rPr>
        <w:t>at</w:t>
      </w:r>
      <w:r w:rsidR="00C46FC9" w:rsidRPr="00CB05A8">
        <w:rPr>
          <w:szCs w:val="26"/>
        </w:rPr>
        <w:t xml:space="preserve"> testimony was highly probative </w:t>
      </w:r>
      <w:r w:rsidR="00272318" w:rsidRPr="00CB05A8">
        <w:rPr>
          <w:szCs w:val="26"/>
        </w:rPr>
        <w:t xml:space="preserve">concerning </w:t>
      </w:r>
      <w:r w:rsidR="00C46FC9" w:rsidRPr="00CB05A8">
        <w:rPr>
          <w:szCs w:val="26"/>
        </w:rPr>
        <w:t xml:space="preserve">the effect of defendant’s criminal acts </w:t>
      </w:r>
      <w:r w:rsidR="00F86265" w:rsidRPr="00CB05A8">
        <w:rPr>
          <w:szCs w:val="26"/>
        </w:rPr>
        <w:t>on them, and w</w:t>
      </w:r>
      <w:r w:rsidR="007778A8" w:rsidRPr="00CB05A8">
        <w:rPr>
          <w:szCs w:val="26"/>
        </w:rPr>
        <w:t>as</w:t>
      </w:r>
      <w:r w:rsidR="00F86265" w:rsidRPr="00CB05A8">
        <w:rPr>
          <w:szCs w:val="26"/>
        </w:rPr>
        <w:t xml:space="preserve"> not overly shocking or emotionally</w:t>
      </w:r>
      <w:r w:rsidR="009F44BB" w:rsidRPr="00CB05A8">
        <w:rPr>
          <w:szCs w:val="26"/>
        </w:rPr>
        <w:t xml:space="preserve"> </w:t>
      </w:r>
      <w:r w:rsidR="00F86265" w:rsidRPr="00CB05A8">
        <w:rPr>
          <w:szCs w:val="26"/>
        </w:rPr>
        <w:t>laden.</w:t>
      </w:r>
      <w:r w:rsidR="00EE14F4" w:rsidRPr="00CB05A8">
        <w:rPr>
          <w:szCs w:val="26"/>
        </w:rPr>
        <w:t xml:space="preserve">  </w:t>
      </w:r>
    </w:p>
    <w:p w14:paraId="10283A0E" w14:textId="16D156AE" w:rsidR="0026212D" w:rsidRPr="00CB05A8" w:rsidRDefault="00C46FC9" w:rsidP="00C84BAD">
      <w:pPr>
        <w:pStyle w:val="NormalIndent"/>
        <w:ind w:left="0" w:firstLine="720"/>
        <w:rPr>
          <w:szCs w:val="26"/>
        </w:rPr>
      </w:pPr>
      <w:r w:rsidRPr="00CB05A8">
        <w:rPr>
          <w:szCs w:val="26"/>
        </w:rPr>
        <w:t xml:space="preserve">Finally, defendant argues that the </w:t>
      </w:r>
      <w:r w:rsidR="007363AD" w:rsidRPr="00CB05A8">
        <w:rPr>
          <w:szCs w:val="26"/>
        </w:rPr>
        <w:t>trial</w:t>
      </w:r>
      <w:r w:rsidRPr="00CB05A8">
        <w:rPr>
          <w:szCs w:val="26"/>
        </w:rPr>
        <w:t xml:space="preserve"> court erroneously permitted the prosecutor to present inflammatory race-based testimony from </w:t>
      </w:r>
      <w:r w:rsidR="00B464A0" w:rsidRPr="00CB05A8">
        <w:rPr>
          <w:szCs w:val="26"/>
        </w:rPr>
        <w:t>Karen</w:t>
      </w:r>
      <w:r w:rsidRPr="00CB05A8">
        <w:rPr>
          <w:szCs w:val="26"/>
        </w:rPr>
        <w:t xml:space="preserve">.  </w:t>
      </w:r>
      <w:r w:rsidR="0064155A" w:rsidRPr="00CB05A8">
        <w:rPr>
          <w:szCs w:val="26"/>
        </w:rPr>
        <w:t xml:space="preserve">She </w:t>
      </w:r>
      <w:r w:rsidR="00FD5696" w:rsidRPr="00CB05A8">
        <w:rPr>
          <w:szCs w:val="26"/>
        </w:rPr>
        <w:t xml:space="preserve">testified </w:t>
      </w:r>
      <w:r w:rsidR="0001009E" w:rsidRPr="00CB05A8">
        <w:rPr>
          <w:szCs w:val="26"/>
        </w:rPr>
        <w:t xml:space="preserve">to being </w:t>
      </w:r>
      <w:r w:rsidR="00FD5696" w:rsidRPr="00CB05A8">
        <w:rPr>
          <w:szCs w:val="26"/>
        </w:rPr>
        <w:t xml:space="preserve">afraid to meet new people after the hostage incident.  When the prosecutor asked whether there were any particular people </w:t>
      </w:r>
      <w:r w:rsidR="0026212D" w:rsidRPr="00CB05A8">
        <w:rPr>
          <w:szCs w:val="26"/>
        </w:rPr>
        <w:t xml:space="preserve">that Karen was afraid to be with, Karen responded, “Caucasians.”  </w:t>
      </w:r>
    </w:p>
    <w:p w14:paraId="4BE11D1B" w14:textId="5CAB9E6C" w:rsidR="00816CC8" w:rsidRPr="00CB05A8" w:rsidRDefault="00D11F9E" w:rsidP="00C84BAD">
      <w:pPr>
        <w:pStyle w:val="NormalIndent"/>
        <w:ind w:left="0" w:firstLine="720"/>
        <w:rPr>
          <w:szCs w:val="26"/>
        </w:rPr>
      </w:pPr>
      <w:r>
        <w:rPr>
          <w:iCs/>
        </w:rPr>
        <w:t xml:space="preserve">We conclude that any error in admitting the testimony was harmless because </w:t>
      </w:r>
      <w:r>
        <w:rPr>
          <w:szCs w:val="26"/>
        </w:rPr>
        <w:t>“</w:t>
      </w:r>
      <w:r w:rsidRPr="007C510B">
        <w:rPr>
          <w:szCs w:val="26"/>
        </w:rPr>
        <w:t>there is no reason to believe the prosecutor intended to elicit racial remarks or appeal to racial prejudice, or that the testimony had such an effect</w:t>
      </w:r>
      <w:r>
        <w:rPr>
          <w:szCs w:val="26"/>
        </w:rPr>
        <w:t>.”  (</w:t>
      </w:r>
      <w:r w:rsidRPr="00A949BD">
        <w:rPr>
          <w:i/>
          <w:szCs w:val="26"/>
        </w:rPr>
        <w:t>People v. Bramit</w:t>
      </w:r>
      <w:r w:rsidRPr="00A949BD">
        <w:rPr>
          <w:szCs w:val="26"/>
        </w:rPr>
        <w:t xml:space="preserve"> (2009) 46 Cal.4th 1221, 1241–1242</w:t>
      </w:r>
      <w:r>
        <w:rPr>
          <w:szCs w:val="26"/>
        </w:rPr>
        <w:t>.</w:t>
      </w:r>
      <w:r w:rsidRPr="00A949BD">
        <w:rPr>
          <w:szCs w:val="26"/>
        </w:rPr>
        <w:t xml:space="preserve">)  </w:t>
      </w:r>
      <w:r>
        <w:rPr>
          <w:szCs w:val="26"/>
        </w:rPr>
        <w:t>Karen’s testimony about the issue was very brief, and there is no indication that the prosecutor capitalized on her remarks.  (</w:t>
      </w:r>
      <w:r>
        <w:rPr>
          <w:i/>
          <w:szCs w:val="26"/>
        </w:rPr>
        <w:t>Id.</w:t>
      </w:r>
      <w:r>
        <w:rPr>
          <w:szCs w:val="26"/>
        </w:rPr>
        <w:t xml:space="preserve"> at p. 1242.)  </w:t>
      </w:r>
      <w:r w:rsidR="008B5610" w:rsidRPr="00CB05A8">
        <w:rPr>
          <w:szCs w:val="26"/>
        </w:rPr>
        <w:t xml:space="preserve">Accordingly, </w:t>
      </w:r>
      <w:r w:rsidR="00D06ED5" w:rsidRPr="00CB05A8">
        <w:rPr>
          <w:szCs w:val="26"/>
        </w:rPr>
        <w:t xml:space="preserve">we </w:t>
      </w:r>
      <w:r w:rsidR="000606C5">
        <w:rPr>
          <w:szCs w:val="26"/>
        </w:rPr>
        <w:t xml:space="preserve">find no grounds for reversal of the penalty verdict based on </w:t>
      </w:r>
      <w:r w:rsidR="008B5610" w:rsidRPr="00CB05A8">
        <w:rPr>
          <w:szCs w:val="26"/>
        </w:rPr>
        <w:t xml:space="preserve">the victim impact </w:t>
      </w:r>
      <w:r w:rsidR="00B464A0" w:rsidRPr="00CB05A8">
        <w:rPr>
          <w:szCs w:val="26"/>
        </w:rPr>
        <w:t xml:space="preserve">testimony </w:t>
      </w:r>
      <w:r w:rsidR="001664C9">
        <w:rPr>
          <w:szCs w:val="26"/>
        </w:rPr>
        <w:t>of</w:t>
      </w:r>
      <w:r w:rsidR="00B464A0" w:rsidRPr="00CB05A8">
        <w:rPr>
          <w:szCs w:val="26"/>
        </w:rPr>
        <w:t xml:space="preserve"> Frank and Karen</w:t>
      </w:r>
      <w:r w:rsidR="008B5610" w:rsidRPr="00CB05A8">
        <w:rPr>
          <w:szCs w:val="26"/>
        </w:rPr>
        <w:t>.</w:t>
      </w:r>
    </w:p>
    <w:p w14:paraId="52DFCC78" w14:textId="4FB165F6" w:rsidR="006B5044" w:rsidRPr="00CB05A8" w:rsidRDefault="00A12109" w:rsidP="00CB05A8">
      <w:pPr>
        <w:pStyle w:val="Heading3"/>
      </w:pPr>
      <w:bookmarkStart w:id="65" w:name="_Toc58918821"/>
      <w:r>
        <w:t>3</w:t>
      </w:r>
      <w:r w:rsidR="006B5044" w:rsidRPr="00CB05A8">
        <w:t xml:space="preserve">.  </w:t>
      </w:r>
      <w:r w:rsidR="00756BCC" w:rsidRPr="00CB05A8">
        <w:t xml:space="preserve"> </w:t>
      </w:r>
      <w:r w:rsidR="006B5044" w:rsidRPr="00CB05A8">
        <w:t xml:space="preserve">Instructions </w:t>
      </w:r>
      <w:r w:rsidR="001270B8" w:rsidRPr="00CB05A8">
        <w:t>r</w:t>
      </w:r>
      <w:r w:rsidR="006B5044" w:rsidRPr="00CB05A8">
        <w:t xml:space="preserve">egarding </w:t>
      </w:r>
      <w:r w:rsidR="001270B8" w:rsidRPr="00CB05A8">
        <w:t>a</w:t>
      </w:r>
      <w:r w:rsidR="006B5044" w:rsidRPr="00CB05A8">
        <w:t xml:space="preserve">ggravating and </w:t>
      </w:r>
      <w:r w:rsidR="001270B8" w:rsidRPr="00CB05A8">
        <w:t>m</w:t>
      </w:r>
      <w:r w:rsidR="006B5044" w:rsidRPr="00CB05A8">
        <w:t xml:space="preserve">itigating </w:t>
      </w:r>
      <w:r w:rsidR="001270B8" w:rsidRPr="00CB05A8">
        <w:t>e</w:t>
      </w:r>
      <w:r w:rsidR="006B5044" w:rsidRPr="00CB05A8">
        <w:t>vidence</w:t>
      </w:r>
      <w:r w:rsidR="00D07BC3" w:rsidRPr="00CB05A8">
        <w:t xml:space="preserve"> </w:t>
      </w:r>
      <w:bookmarkEnd w:id="65"/>
    </w:p>
    <w:p w14:paraId="07267D5B" w14:textId="17701D3A" w:rsidR="00DE2E16" w:rsidRPr="00CB05A8" w:rsidRDefault="00DE2E16" w:rsidP="00C84BAD">
      <w:pPr>
        <w:ind w:firstLine="720"/>
      </w:pPr>
      <w:r w:rsidRPr="00CB05A8">
        <w:t xml:space="preserve">Defendant contends the </w:t>
      </w:r>
      <w:r w:rsidR="007363AD" w:rsidRPr="00CB05A8">
        <w:t>trial</w:t>
      </w:r>
      <w:r w:rsidRPr="00CB05A8">
        <w:t xml:space="preserve"> court prejudicially erred </w:t>
      </w:r>
      <w:r w:rsidR="002E29B8" w:rsidRPr="00CB05A8">
        <w:t>by refusing to give his proffered instructions</w:t>
      </w:r>
      <w:r w:rsidR="000C2251" w:rsidRPr="00CB05A8">
        <w:t xml:space="preserve"> relating to the scope of mitigating circumstances, </w:t>
      </w:r>
      <w:r w:rsidR="00942733" w:rsidRPr="00CB05A8">
        <w:t xml:space="preserve">the limitations on aggravating circumstances, </w:t>
      </w:r>
      <w:r w:rsidR="000C2251" w:rsidRPr="00CB05A8">
        <w:t>the nature and scope of the jury’s sentencing discretion, and the jury’s exercise of mercy in its sentencing decision</w:t>
      </w:r>
      <w:r w:rsidRPr="00CB05A8">
        <w:t xml:space="preserve">.  </w:t>
      </w:r>
      <w:r w:rsidR="00F54F4E">
        <w:t>W</w:t>
      </w:r>
      <w:r w:rsidRPr="00CB05A8">
        <w:t xml:space="preserve">e conclude there was no error.  </w:t>
      </w:r>
    </w:p>
    <w:p w14:paraId="4891F87D" w14:textId="04F91149" w:rsidR="008D2002" w:rsidRPr="00CB05A8" w:rsidRDefault="001F6EDD" w:rsidP="00C84BAD">
      <w:pPr>
        <w:pStyle w:val="Heading4"/>
        <w:numPr>
          <w:ilvl w:val="0"/>
          <w:numId w:val="24"/>
        </w:numPr>
        <w:ind w:left="2016" w:hanging="432"/>
      </w:pPr>
      <w:bookmarkStart w:id="66" w:name="_Toc58918822"/>
      <w:r w:rsidRPr="00CB05A8">
        <w:t>S</w:t>
      </w:r>
      <w:r w:rsidR="008D2002" w:rsidRPr="00CB05A8">
        <w:t xml:space="preserve">cope of mitigating </w:t>
      </w:r>
      <w:r w:rsidR="00306905" w:rsidRPr="00CB05A8">
        <w:t xml:space="preserve">and aggravating </w:t>
      </w:r>
      <w:r w:rsidR="008D2002" w:rsidRPr="00CB05A8">
        <w:t>circumstances</w:t>
      </w:r>
      <w:bookmarkEnd w:id="66"/>
      <w:r w:rsidR="008D2002" w:rsidRPr="00CB05A8">
        <w:t xml:space="preserve"> </w:t>
      </w:r>
    </w:p>
    <w:p w14:paraId="418D0C15" w14:textId="22B02342" w:rsidR="00912A76" w:rsidRPr="00CB05A8" w:rsidRDefault="00B94169" w:rsidP="00C84BAD">
      <w:pPr>
        <w:ind w:firstLine="720"/>
      </w:pPr>
      <w:r w:rsidRPr="00CB05A8">
        <w:t xml:space="preserve">At the end of the penalty phase trial, the </w:t>
      </w:r>
      <w:r w:rsidR="007363AD" w:rsidRPr="00CB05A8">
        <w:t>trial</w:t>
      </w:r>
      <w:r w:rsidRPr="00CB05A8">
        <w:t xml:space="preserve"> court </w:t>
      </w:r>
      <w:r w:rsidR="008650F1" w:rsidRPr="00CB05A8">
        <w:t>provided</w:t>
      </w:r>
      <w:r w:rsidRPr="00CB05A8">
        <w:t xml:space="preserve"> CALJIC No.</w:t>
      </w:r>
      <w:r w:rsidR="00D066F0" w:rsidRPr="00CB05A8">
        <w:t> </w:t>
      </w:r>
      <w:r w:rsidRPr="00CB05A8">
        <w:t xml:space="preserve">8.88, </w:t>
      </w:r>
      <w:r w:rsidR="005204D6" w:rsidRPr="00CB05A8">
        <w:t xml:space="preserve">which defines factors in aggravation and mitigation.  Defendant claims the court erred </w:t>
      </w:r>
      <w:r w:rsidR="00430A09" w:rsidRPr="00CB05A8">
        <w:t>w</w:t>
      </w:r>
      <w:r w:rsidR="000F7F35" w:rsidRPr="00CB05A8">
        <w:t>hen it declined</w:t>
      </w:r>
      <w:r w:rsidR="005204D6" w:rsidRPr="00CB05A8">
        <w:t xml:space="preserve"> to give </w:t>
      </w:r>
      <w:r w:rsidR="001F5EAD" w:rsidRPr="00CB05A8">
        <w:t xml:space="preserve">his proposed </w:t>
      </w:r>
      <w:r w:rsidR="00527CE8" w:rsidRPr="00CB05A8">
        <w:t xml:space="preserve">alternative </w:t>
      </w:r>
      <w:r w:rsidR="001F5EAD" w:rsidRPr="00CB05A8">
        <w:t xml:space="preserve">instructions </w:t>
      </w:r>
      <w:r w:rsidR="000F7F35" w:rsidRPr="00CB05A8">
        <w:t>containing</w:t>
      </w:r>
      <w:r w:rsidR="003F33A6" w:rsidRPr="00CB05A8">
        <w:t xml:space="preserve"> </w:t>
      </w:r>
      <w:r w:rsidR="00614085" w:rsidRPr="00CB05A8">
        <w:t>different</w:t>
      </w:r>
      <w:r w:rsidR="003F33A6" w:rsidRPr="00CB05A8">
        <w:t xml:space="preserve"> definition</w:t>
      </w:r>
      <w:r w:rsidR="00527CE8" w:rsidRPr="00CB05A8">
        <w:t>s</w:t>
      </w:r>
      <w:r w:rsidR="003F33A6" w:rsidRPr="00CB05A8">
        <w:t xml:space="preserve"> of </w:t>
      </w:r>
      <w:r w:rsidR="00B94A0D" w:rsidRPr="00CB05A8">
        <w:t>the term</w:t>
      </w:r>
      <w:r w:rsidR="00A37F71" w:rsidRPr="00CB05A8">
        <w:t>s</w:t>
      </w:r>
      <w:r w:rsidR="00B94A0D" w:rsidRPr="00CB05A8">
        <w:t xml:space="preserve"> “</w:t>
      </w:r>
      <w:r w:rsidR="003F33A6" w:rsidRPr="00CB05A8">
        <w:t>mitigating factors</w:t>
      </w:r>
      <w:r w:rsidR="00B94A0D" w:rsidRPr="00CB05A8">
        <w:t>”</w:t>
      </w:r>
      <w:r w:rsidR="00A37F71" w:rsidRPr="00CB05A8">
        <w:t xml:space="preserve"> and “aggravating factors.”  </w:t>
      </w:r>
      <w:r w:rsidR="009A249F" w:rsidRPr="00CB05A8">
        <w:t xml:space="preserve">  </w:t>
      </w:r>
    </w:p>
    <w:p w14:paraId="74364F45" w14:textId="4F0E09D1" w:rsidR="00DE2E16" w:rsidRPr="00CB05A8" w:rsidRDefault="003F33A6" w:rsidP="00C84BAD">
      <w:pPr>
        <w:ind w:firstLine="720"/>
        <w:rPr>
          <w:color w:val="000000" w:themeColor="text1"/>
        </w:rPr>
      </w:pPr>
      <w:r w:rsidRPr="00CB05A8">
        <w:t xml:space="preserve">“We repeatedly </w:t>
      </w:r>
      <w:r w:rsidR="00991E3F">
        <w:t xml:space="preserve">have </w:t>
      </w:r>
      <w:r w:rsidRPr="00CB05A8">
        <w:t>held that the standard version of CALJIC No. 8.88 is adequate and correct</w:t>
      </w:r>
      <w:r w:rsidR="005E504F" w:rsidRPr="00CB05A8">
        <w:t>” (</w:t>
      </w:r>
      <w:r w:rsidR="005E504F" w:rsidRPr="00CB05A8">
        <w:rPr>
          <w:i/>
        </w:rPr>
        <w:t>People v. Souza</w:t>
      </w:r>
      <w:r w:rsidR="005E504F" w:rsidRPr="00CB05A8">
        <w:t xml:space="preserve"> (2012) 54 Cal.4th 90, 141)</w:t>
      </w:r>
      <w:r w:rsidR="0094007C" w:rsidRPr="00CB05A8">
        <w:t xml:space="preserve">, and </w:t>
      </w:r>
      <w:r w:rsidR="004C4EEC" w:rsidRPr="00CB05A8">
        <w:t xml:space="preserve">have </w:t>
      </w:r>
      <w:r w:rsidR="001863D0" w:rsidRPr="00CB05A8">
        <w:t xml:space="preserve">rejected challenges based on empirical studies </w:t>
      </w:r>
      <w:r w:rsidR="00F64013" w:rsidRPr="00CB05A8">
        <w:t xml:space="preserve">suggesting that the terms </w:t>
      </w:r>
      <w:r w:rsidR="000F7F35" w:rsidRPr="00CB05A8">
        <w:t>“</w:t>
      </w:r>
      <w:r w:rsidR="00F64013" w:rsidRPr="00CB05A8">
        <w:t>aggravating,</w:t>
      </w:r>
      <w:r w:rsidR="000F7F35" w:rsidRPr="00CB05A8">
        <w:t>”</w:t>
      </w:r>
      <w:r w:rsidR="00F64013" w:rsidRPr="00CB05A8">
        <w:t xml:space="preserve"> </w:t>
      </w:r>
      <w:r w:rsidR="000F7F35" w:rsidRPr="00CB05A8">
        <w:t>“</w:t>
      </w:r>
      <w:r w:rsidR="00F64013" w:rsidRPr="00CB05A8">
        <w:t>mitigating,</w:t>
      </w:r>
      <w:r w:rsidR="000F7F35" w:rsidRPr="00CB05A8">
        <w:t>”</w:t>
      </w:r>
      <w:r w:rsidR="00F64013" w:rsidRPr="00CB05A8">
        <w:t xml:space="preserve"> and </w:t>
      </w:r>
      <w:r w:rsidR="000F7F35" w:rsidRPr="00CB05A8">
        <w:t>“</w:t>
      </w:r>
      <w:r w:rsidR="00F64013" w:rsidRPr="00CB05A8">
        <w:t>extenuating</w:t>
      </w:r>
      <w:r w:rsidR="000F7F35" w:rsidRPr="00CB05A8">
        <w:t>”</w:t>
      </w:r>
      <w:r w:rsidR="00F64013" w:rsidRPr="00CB05A8">
        <w:t xml:space="preserve"> are not </w:t>
      </w:r>
      <w:r w:rsidR="00C579AE" w:rsidRPr="00CB05A8">
        <w:t>sufficiently clear (</w:t>
      </w:r>
      <w:r w:rsidR="00991E3F">
        <w:t xml:space="preserve">see </w:t>
      </w:r>
      <w:r w:rsidR="00C579AE" w:rsidRPr="00CB05A8">
        <w:rPr>
          <w:i/>
        </w:rPr>
        <w:t xml:space="preserve">People v. Jackson </w:t>
      </w:r>
      <w:r w:rsidR="00C579AE" w:rsidRPr="00CB05A8">
        <w:t>(2009) 45</w:t>
      </w:r>
      <w:r w:rsidR="004D7847">
        <w:t> </w:t>
      </w:r>
      <w:r w:rsidR="00C579AE" w:rsidRPr="00CB05A8">
        <w:t>Cal.4th 662, 695)</w:t>
      </w:r>
      <w:r w:rsidR="00F64013" w:rsidRPr="00CB05A8">
        <w:t xml:space="preserve">.  </w:t>
      </w:r>
      <w:r w:rsidR="00F54F4E">
        <w:t>W</w:t>
      </w:r>
      <w:r w:rsidR="0094007C" w:rsidRPr="00CB05A8">
        <w:t xml:space="preserve">e </w:t>
      </w:r>
      <w:r w:rsidR="007E3FB1">
        <w:t>find no persuasive reason to deviate from our prior decisions</w:t>
      </w:r>
      <w:r w:rsidR="0094007C" w:rsidRPr="00CB05A8">
        <w:t xml:space="preserve"> in the present case.  </w:t>
      </w:r>
    </w:p>
    <w:p w14:paraId="7E865B26" w14:textId="6218C322" w:rsidR="00212713" w:rsidRPr="00CB05A8" w:rsidRDefault="001F6EDD" w:rsidP="00984DF0">
      <w:pPr>
        <w:pStyle w:val="Heading4"/>
        <w:numPr>
          <w:ilvl w:val="0"/>
          <w:numId w:val="24"/>
        </w:numPr>
        <w:ind w:left="2016" w:hanging="432"/>
      </w:pPr>
      <w:bookmarkStart w:id="67" w:name="_Toc58918823"/>
      <w:r w:rsidRPr="00CB05A8">
        <w:t>Background evidence as mitigating only</w:t>
      </w:r>
      <w:bookmarkEnd w:id="67"/>
    </w:p>
    <w:p w14:paraId="006854E2" w14:textId="6973F403" w:rsidR="0024430C" w:rsidRPr="00CB05A8" w:rsidRDefault="00BF2870" w:rsidP="00984DF0">
      <w:pPr>
        <w:ind w:firstLine="720"/>
        <w:rPr>
          <w:color w:val="000000" w:themeColor="text1"/>
        </w:rPr>
      </w:pPr>
      <w:r w:rsidRPr="00CB05A8">
        <w:t xml:space="preserve">Defendant </w:t>
      </w:r>
      <w:r w:rsidR="00827D77" w:rsidRPr="00CB05A8">
        <w:t>asserts</w:t>
      </w:r>
      <w:r w:rsidR="004F11EE" w:rsidRPr="00CB05A8">
        <w:t xml:space="preserve"> the </w:t>
      </w:r>
      <w:r w:rsidR="007363AD" w:rsidRPr="00CB05A8">
        <w:t>trial</w:t>
      </w:r>
      <w:r w:rsidR="004F11EE" w:rsidRPr="00CB05A8">
        <w:t xml:space="preserve"> court should have instructed the jury that evidence of</w:t>
      </w:r>
      <w:r w:rsidRPr="00CB05A8">
        <w:t xml:space="preserve"> </w:t>
      </w:r>
      <w:r w:rsidR="00827D77" w:rsidRPr="00CB05A8">
        <w:t>defendant’s</w:t>
      </w:r>
      <w:r w:rsidRPr="00CB05A8">
        <w:t xml:space="preserve"> background</w:t>
      </w:r>
      <w:r w:rsidR="00C10667" w:rsidRPr="00CB05A8">
        <w:t>, character, and personal history</w:t>
      </w:r>
      <w:r w:rsidRPr="00CB05A8">
        <w:t xml:space="preserve"> could be considered </w:t>
      </w:r>
      <w:r w:rsidR="0027458E" w:rsidRPr="00CB05A8">
        <w:t xml:space="preserve">only </w:t>
      </w:r>
      <w:r w:rsidRPr="00CB05A8">
        <w:t xml:space="preserve">as mitigating </w:t>
      </w:r>
      <w:r w:rsidR="004F11EE" w:rsidRPr="00CB05A8">
        <w:t>evidence</w:t>
      </w:r>
      <w:r w:rsidRPr="00CB05A8">
        <w:t xml:space="preserve">.  </w:t>
      </w:r>
      <w:r w:rsidR="00FD3159" w:rsidRPr="00CB05A8">
        <w:t>The court denied the proposed instruction as duplicative of CALJIC No. 8.85</w:t>
      </w:r>
      <w:r w:rsidR="00D76F4C" w:rsidRPr="00CB05A8">
        <w:t xml:space="preserve">, which </w:t>
      </w:r>
      <w:r w:rsidR="00306511" w:rsidRPr="00CB05A8">
        <w:t xml:space="preserve">specifies </w:t>
      </w:r>
      <w:r w:rsidR="00D76F4C" w:rsidRPr="00CB05A8">
        <w:t xml:space="preserve">that </w:t>
      </w:r>
      <w:r w:rsidR="004D2D51" w:rsidRPr="00CB05A8">
        <w:t>the</w:t>
      </w:r>
      <w:r w:rsidR="00DB4287" w:rsidRPr="00CB05A8">
        <w:t xml:space="preserve"> permissible</w:t>
      </w:r>
      <w:r w:rsidR="004D2D51" w:rsidRPr="00CB05A8">
        <w:t xml:space="preserve"> </w:t>
      </w:r>
      <w:r w:rsidR="00D76F4C" w:rsidRPr="00CB05A8">
        <w:t xml:space="preserve">aggravating factors </w:t>
      </w:r>
      <w:r w:rsidR="00306511" w:rsidRPr="00CB05A8">
        <w:t>a</w:t>
      </w:r>
      <w:r w:rsidR="00DB4287" w:rsidRPr="00CB05A8">
        <w:t xml:space="preserve">re limited to those </w:t>
      </w:r>
      <w:r w:rsidR="00D76F4C" w:rsidRPr="00CB05A8">
        <w:t>listed in the instruction</w:t>
      </w:r>
      <w:r w:rsidR="00D651AF" w:rsidRPr="00CB05A8">
        <w:t xml:space="preserve"> and </w:t>
      </w:r>
      <w:r w:rsidR="003A7A45" w:rsidRPr="00CB05A8">
        <w:t xml:space="preserve">directs </w:t>
      </w:r>
      <w:r w:rsidR="001875D6" w:rsidRPr="00CB05A8">
        <w:t>the jury to</w:t>
      </w:r>
      <w:r w:rsidR="00F93A6F" w:rsidRPr="00CB05A8">
        <w:t xml:space="preserve"> consider “[a]ny </w:t>
      </w:r>
      <w:r w:rsidR="003208B3" w:rsidRPr="00CB05A8">
        <w:t>sympathetic or other aspect of the defendant’s character or record that the defendant offers as a basis for a sentence less than death</w:t>
      </w:r>
      <w:r w:rsidR="00FD3159" w:rsidRPr="00CB05A8">
        <w:t>.</w:t>
      </w:r>
      <w:r w:rsidR="003208B3" w:rsidRPr="00CB05A8">
        <w:t>”</w:t>
      </w:r>
      <w:r w:rsidR="00FD3159" w:rsidRPr="00CB05A8">
        <w:t xml:space="preserve">  </w:t>
      </w:r>
      <w:r w:rsidR="001875D6" w:rsidRPr="00CB05A8">
        <w:t>T</w:t>
      </w:r>
      <w:r w:rsidR="00001170" w:rsidRPr="00CB05A8">
        <w:t xml:space="preserve">he prosecutor </w:t>
      </w:r>
      <w:r w:rsidR="001875D6" w:rsidRPr="00CB05A8">
        <w:t xml:space="preserve">also </w:t>
      </w:r>
      <w:r w:rsidR="00001170" w:rsidRPr="00CB05A8">
        <w:t xml:space="preserve">reminded the jury that it could </w:t>
      </w:r>
      <w:r w:rsidR="009D6A00" w:rsidRPr="00CB05A8">
        <w:t>consider</w:t>
      </w:r>
      <w:r w:rsidR="00285810" w:rsidRPr="00CB05A8">
        <w:t xml:space="preserve"> </w:t>
      </w:r>
      <w:r w:rsidR="006673BE" w:rsidRPr="00CB05A8">
        <w:t xml:space="preserve">only </w:t>
      </w:r>
      <w:r w:rsidR="00285810" w:rsidRPr="00CB05A8">
        <w:t xml:space="preserve">evidence </w:t>
      </w:r>
      <w:r w:rsidR="001A697F" w:rsidRPr="00CB05A8">
        <w:t xml:space="preserve">that fell within the scope of factors (a), (b), and (c) </w:t>
      </w:r>
      <w:r w:rsidR="00526A90" w:rsidRPr="00CB05A8">
        <w:t xml:space="preserve">as listed in CALJIC No. 8.85 </w:t>
      </w:r>
      <w:r w:rsidR="00285810" w:rsidRPr="00CB05A8">
        <w:t>as aggravating factors</w:t>
      </w:r>
      <w:r w:rsidR="00C356D5" w:rsidRPr="00CB05A8">
        <w:t xml:space="preserve">.  </w:t>
      </w:r>
      <w:r w:rsidR="00786CAA" w:rsidRPr="00CB05A8">
        <w:t>Contrary to defendant’s claim, the prosecutor</w:t>
      </w:r>
      <w:r w:rsidR="00C356D5" w:rsidRPr="00CB05A8">
        <w:t xml:space="preserve"> </w:t>
      </w:r>
      <w:r w:rsidR="007D7141" w:rsidRPr="00CB05A8">
        <w:t xml:space="preserve">did not </w:t>
      </w:r>
      <w:r w:rsidR="00FC323E" w:rsidRPr="00CB05A8">
        <w:t xml:space="preserve">suggest that </w:t>
      </w:r>
      <w:r w:rsidR="007D7141" w:rsidRPr="00CB05A8">
        <w:t>defendant’s background, character, or personal history</w:t>
      </w:r>
      <w:r w:rsidR="00786CAA" w:rsidRPr="00CB05A8">
        <w:t xml:space="preserve"> could be considered as factors in aggravation</w:t>
      </w:r>
      <w:r w:rsidR="00BA3CF4" w:rsidRPr="00CB05A8">
        <w:t xml:space="preserve">. </w:t>
      </w:r>
      <w:r w:rsidR="0041589E" w:rsidRPr="00CB05A8">
        <w:t xml:space="preserve"> </w:t>
      </w:r>
      <w:r w:rsidR="007E3FB1">
        <w:t>W</w:t>
      </w:r>
      <w:r w:rsidR="00A64B26" w:rsidRPr="00CB05A8">
        <w:t xml:space="preserve">e </w:t>
      </w:r>
      <w:r w:rsidR="000E1B04" w:rsidRPr="00CB05A8">
        <w:t xml:space="preserve">conclude </w:t>
      </w:r>
      <w:r w:rsidR="0011349E" w:rsidRPr="00CB05A8">
        <w:t>the court properly declined to give defendant’s proposed instruction</w:t>
      </w:r>
      <w:r w:rsidR="00A64B26" w:rsidRPr="00CB05A8">
        <w:t>.</w:t>
      </w:r>
      <w:r w:rsidR="002A1CE2" w:rsidRPr="00CB05A8">
        <w:t xml:space="preserve">  (</w:t>
      </w:r>
      <w:r w:rsidR="001B6110" w:rsidRPr="00CB05A8">
        <w:rPr>
          <w:i/>
        </w:rPr>
        <w:t>Panah</w:t>
      </w:r>
      <w:r w:rsidR="006F1E7B" w:rsidRPr="00CB05A8">
        <w:t xml:space="preserve">, </w:t>
      </w:r>
      <w:r w:rsidR="006F1E7B" w:rsidRPr="00CB05A8">
        <w:rPr>
          <w:i/>
        </w:rPr>
        <w:t>supra</w:t>
      </w:r>
      <w:r w:rsidR="006F1E7B" w:rsidRPr="00CB05A8">
        <w:t>,</w:t>
      </w:r>
      <w:r w:rsidR="001B6110" w:rsidRPr="00CB05A8">
        <w:t xml:space="preserve"> 35 Cal.4th </w:t>
      </w:r>
      <w:r w:rsidR="006F1E7B" w:rsidRPr="00CB05A8">
        <w:t>at p.</w:t>
      </w:r>
      <w:r w:rsidR="001B6110" w:rsidRPr="00CB05A8">
        <w:t xml:space="preserve"> 486 [“A trial court is not required to give pinpoint instructions that merely duplicate other instructions</w:t>
      </w:r>
      <w:r w:rsidR="001B6110" w:rsidRPr="00CB05A8">
        <w:rPr>
          <w:color w:val="000000" w:themeColor="text1"/>
        </w:rPr>
        <w:t>”</w:t>
      </w:r>
      <w:r w:rsidR="006F19A9" w:rsidRPr="00CB05A8">
        <w:rPr>
          <w:color w:val="000000" w:themeColor="text1"/>
        </w:rPr>
        <w:t>].</w:t>
      </w:r>
      <w:r w:rsidR="002A1CE2" w:rsidRPr="00CB05A8">
        <w:rPr>
          <w:color w:val="000000" w:themeColor="text1"/>
        </w:rPr>
        <w:t>)</w:t>
      </w:r>
      <w:r w:rsidR="00A64B26" w:rsidRPr="00CB05A8">
        <w:rPr>
          <w:color w:val="000000" w:themeColor="text1"/>
        </w:rPr>
        <w:t xml:space="preserve">  </w:t>
      </w:r>
      <w:r w:rsidR="00BA3CF4" w:rsidRPr="00CB05A8">
        <w:rPr>
          <w:color w:val="000000" w:themeColor="text1"/>
        </w:rPr>
        <w:t xml:space="preserve">  </w:t>
      </w:r>
    </w:p>
    <w:p w14:paraId="573A2E63" w14:textId="61214709" w:rsidR="00E704BB" w:rsidRPr="00CB05A8" w:rsidRDefault="00E704BB" w:rsidP="00984DF0">
      <w:pPr>
        <w:pStyle w:val="Heading4"/>
        <w:numPr>
          <w:ilvl w:val="0"/>
          <w:numId w:val="24"/>
        </w:numPr>
        <w:ind w:left="2016" w:hanging="432"/>
      </w:pPr>
      <w:bookmarkStart w:id="68" w:name="_Toc58918824"/>
      <w:r w:rsidRPr="00CB05A8">
        <w:t>Mental or emotional disturbance as mitigating evidence</w:t>
      </w:r>
      <w:bookmarkEnd w:id="68"/>
    </w:p>
    <w:p w14:paraId="1384BD7A" w14:textId="1DF406F6" w:rsidR="00BA658A" w:rsidRPr="00CB05A8" w:rsidRDefault="0024430C" w:rsidP="00984DF0">
      <w:pPr>
        <w:ind w:firstLine="720"/>
      </w:pPr>
      <w:r w:rsidRPr="00CB05A8">
        <w:t xml:space="preserve">Defendant </w:t>
      </w:r>
      <w:r w:rsidR="00B2150C" w:rsidRPr="00CB05A8">
        <w:t xml:space="preserve">contends the </w:t>
      </w:r>
      <w:r w:rsidR="007363AD" w:rsidRPr="00CB05A8">
        <w:t>trial</w:t>
      </w:r>
      <w:r w:rsidR="00B2150C" w:rsidRPr="00CB05A8">
        <w:t xml:space="preserve"> court erred in refusing </w:t>
      </w:r>
      <w:r w:rsidR="006922A9" w:rsidRPr="00CB05A8">
        <w:t>to give</w:t>
      </w:r>
      <w:r w:rsidR="008E2B17" w:rsidRPr="00CB05A8">
        <w:t>, in addition to CALJIC No. 8.85,</w:t>
      </w:r>
      <w:r w:rsidR="00B2150C" w:rsidRPr="00CB05A8">
        <w:t xml:space="preserve"> </w:t>
      </w:r>
      <w:r w:rsidR="008019C8" w:rsidRPr="00CB05A8">
        <w:t xml:space="preserve">several </w:t>
      </w:r>
      <w:r w:rsidR="008F3FE9" w:rsidRPr="00CB05A8">
        <w:t xml:space="preserve">special </w:t>
      </w:r>
      <w:r w:rsidRPr="00CB05A8">
        <w:t>instructions</w:t>
      </w:r>
      <w:r w:rsidR="00FF516F" w:rsidRPr="00CB05A8">
        <w:t xml:space="preserve"> </w:t>
      </w:r>
      <w:r w:rsidR="00D80B7F" w:rsidRPr="00CB05A8">
        <w:t>offered by defense counsel regarding</w:t>
      </w:r>
      <w:r w:rsidR="00F6444B" w:rsidRPr="00CB05A8">
        <w:t xml:space="preserve"> extreme mental or emotional disturbance as</w:t>
      </w:r>
      <w:r w:rsidR="008F3FE9" w:rsidRPr="00CB05A8">
        <w:t xml:space="preserve"> factors in mitigation</w:t>
      </w:r>
      <w:r w:rsidR="00EA1C9F" w:rsidRPr="00CB05A8">
        <w:t xml:space="preserve">.  </w:t>
      </w:r>
      <w:r w:rsidR="00006972" w:rsidRPr="00CB05A8">
        <w:t xml:space="preserve">The standard version of </w:t>
      </w:r>
      <w:r w:rsidR="00EA1C9F" w:rsidRPr="00CB05A8">
        <w:t>CALJIC No.</w:t>
      </w:r>
      <w:r w:rsidR="00760050" w:rsidRPr="00CB05A8">
        <w:t> </w:t>
      </w:r>
      <w:r w:rsidR="00EA1C9F" w:rsidRPr="00CB05A8">
        <w:t>8.85</w:t>
      </w:r>
      <w:r w:rsidR="00006972" w:rsidRPr="00CB05A8">
        <w:t xml:space="preserve"> </w:t>
      </w:r>
      <w:r w:rsidR="008D460A" w:rsidRPr="00CB05A8">
        <w:t>instructs the jury to consider</w:t>
      </w:r>
      <w:r w:rsidR="007C1ACA" w:rsidRPr="00CB05A8">
        <w:t>, among other factors</w:t>
      </w:r>
      <w:r w:rsidR="009823BF" w:rsidRPr="00CB05A8">
        <w:t>,</w:t>
      </w:r>
      <w:r w:rsidR="007C1ACA" w:rsidRPr="00CB05A8">
        <w:t xml:space="preserve"> </w:t>
      </w:r>
      <w:r w:rsidR="008D460A" w:rsidRPr="00CB05A8">
        <w:t>“[w]hether or not the offense was committed while the defendant was under the influence of extreme mental or emotional disturbance</w:t>
      </w:r>
      <w:r w:rsidR="007C1ACA" w:rsidRPr="00CB05A8">
        <w:t xml:space="preserve">” </w:t>
      </w:r>
      <w:r w:rsidR="009B6C0B" w:rsidRPr="00CB05A8">
        <w:t>(</w:t>
      </w:r>
      <w:r w:rsidR="007C1ACA" w:rsidRPr="00CB05A8">
        <w:t>CAL</w:t>
      </w:r>
      <w:r w:rsidR="00970BE4" w:rsidRPr="00CB05A8">
        <w:t>J</w:t>
      </w:r>
      <w:r w:rsidR="007C1ACA" w:rsidRPr="00CB05A8">
        <w:t>IC No.</w:t>
      </w:r>
      <w:r w:rsidR="00760050" w:rsidRPr="00CB05A8">
        <w:t> </w:t>
      </w:r>
      <w:r w:rsidR="007C1ACA" w:rsidRPr="00CB05A8">
        <w:t>8.85, factor (d)</w:t>
      </w:r>
      <w:r w:rsidR="009B6C0B" w:rsidRPr="00CB05A8">
        <w:t>)</w:t>
      </w:r>
      <w:r w:rsidR="00D51A87" w:rsidRPr="00CB05A8">
        <w:t>,</w:t>
      </w:r>
      <w:r w:rsidR="007C1ACA" w:rsidRPr="00CB05A8">
        <w:t xml:space="preserve"> </w:t>
      </w:r>
      <w:r w:rsidR="009C36BB" w:rsidRPr="00CB05A8">
        <w:t xml:space="preserve">and </w:t>
      </w:r>
      <w:r w:rsidR="00E0109A" w:rsidRPr="00CB05A8">
        <w:t xml:space="preserve">“[w]hether or not </w:t>
      </w:r>
      <w:r w:rsidR="008A00C2" w:rsidRPr="00CB05A8">
        <w:t>at the time of the offense the capacity of the defendant to appreciate the criminality of his conduct or to conform his conduct to the requirements of law was impaired as a result of mental disease or defect</w:t>
      </w:r>
      <w:r w:rsidR="001B5EB2" w:rsidRPr="00CB05A8">
        <w:t>”</w:t>
      </w:r>
      <w:r w:rsidR="008A00C2" w:rsidRPr="00CB05A8">
        <w:t xml:space="preserve"> </w:t>
      </w:r>
      <w:r w:rsidR="009B6C0B" w:rsidRPr="00CB05A8">
        <w:t>(</w:t>
      </w:r>
      <w:r w:rsidR="00E0109A" w:rsidRPr="00CB05A8">
        <w:t>CAL</w:t>
      </w:r>
      <w:r w:rsidR="00970BE4" w:rsidRPr="00CB05A8">
        <w:t>J</w:t>
      </w:r>
      <w:r w:rsidR="00E0109A" w:rsidRPr="00CB05A8">
        <w:t>IC No.</w:t>
      </w:r>
      <w:r w:rsidR="00760050" w:rsidRPr="00CB05A8">
        <w:t> </w:t>
      </w:r>
      <w:r w:rsidR="00E0109A" w:rsidRPr="00CB05A8">
        <w:t>8.85, factor (</w:t>
      </w:r>
      <w:r w:rsidR="008A00C2" w:rsidRPr="00CB05A8">
        <w:t>h</w:t>
      </w:r>
      <w:r w:rsidR="00E0109A" w:rsidRPr="00CB05A8">
        <w:t>)</w:t>
      </w:r>
      <w:r w:rsidR="009B6C0B" w:rsidRPr="00CB05A8">
        <w:t>)</w:t>
      </w:r>
      <w:r w:rsidR="009C36BB" w:rsidRPr="00CB05A8">
        <w:t xml:space="preserve">.  It also instructs the jury to consider </w:t>
      </w:r>
      <w:r w:rsidR="00982B28" w:rsidRPr="00CB05A8">
        <w:t>“[a]ny other circumstance which extenuates the gravity of the crime even though it is not a legal excuse for the crime and any sympathetic or other aspect of the defendant’s character or record that the defendant offers as a basis for a sentence less than death, whether or not related to the offense for which he is on trial</w:t>
      </w:r>
      <w:r w:rsidR="005E7272" w:rsidRPr="00CB05A8">
        <w:t>,” including “[w]</w:t>
      </w:r>
      <w:r w:rsidR="0061615F" w:rsidRPr="00CB05A8">
        <w:t xml:space="preserve">hether the defendant committed the offense while under the influence of a mental or emotional disturbance, which disturbance </w:t>
      </w:r>
      <w:r w:rsidR="00A615C7" w:rsidRPr="00CB05A8">
        <w:t>need not</w:t>
      </w:r>
      <w:r w:rsidR="0061615F" w:rsidRPr="00CB05A8">
        <w:t xml:space="preserve"> be extreme or amount to legal insanity or an inability to form a specific intent</w:t>
      </w:r>
      <w:r w:rsidR="000774CD" w:rsidRPr="00CB05A8">
        <w:t>,” and “[w]</w:t>
      </w:r>
      <w:r w:rsidR="00833032" w:rsidRPr="00CB05A8">
        <w:t>hether the defendant suffered any emotional or psychological problems as an adolescent or young adult that prevented him from acquiring necessary social skills and maturity</w:t>
      </w:r>
      <w:r w:rsidR="000774CD" w:rsidRPr="00CB05A8">
        <w:t>”</w:t>
      </w:r>
      <w:r w:rsidR="001B5EB2" w:rsidRPr="00CB05A8">
        <w:t xml:space="preserve"> </w:t>
      </w:r>
      <w:r w:rsidR="009B6C0B" w:rsidRPr="00CB05A8">
        <w:t>(</w:t>
      </w:r>
      <w:r w:rsidR="00970BE4" w:rsidRPr="00CB05A8">
        <w:t>CALJIC</w:t>
      </w:r>
      <w:r w:rsidR="001B5EB2" w:rsidRPr="00CB05A8">
        <w:t xml:space="preserve"> No.</w:t>
      </w:r>
      <w:r w:rsidR="00681D14" w:rsidRPr="00CB05A8">
        <w:t> </w:t>
      </w:r>
      <w:r w:rsidR="001B5EB2" w:rsidRPr="00CB05A8">
        <w:t>8.85, factor (</w:t>
      </w:r>
      <w:r w:rsidR="001D48CB">
        <w:t>k</w:t>
      </w:r>
      <w:r w:rsidR="001B5EB2" w:rsidRPr="00CB05A8">
        <w:t>)</w:t>
      </w:r>
      <w:r w:rsidR="009B6C0B" w:rsidRPr="00CB05A8">
        <w:t>)</w:t>
      </w:r>
      <w:r w:rsidR="001B5EB2" w:rsidRPr="00CB05A8">
        <w:t xml:space="preserve">.  </w:t>
      </w:r>
      <w:r w:rsidR="007E3FB1">
        <w:t>W</w:t>
      </w:r>
      <w:r w:rsidR="000774CD" w:rsidRPr="00CB05A8">
        <w:t>e conclude t</w:t>
      </w:r>
      <w:r w:rsidR="00BD7858" w:rsidRPr="00CB05A8">
        <w:t xml:space="preserve">he </w:t>
      </w:r>
      <w:r w:rsidR="007363AD" w:rsidRPr="00CB05A8">
        <w:t>trial</w:t>
      </w:r>
      <w:r w:rsidR="00BD7858" w:rsidRPr="00CB05A8">
        <w:t xml:space="preserve"> court properly </w:t>
      </w:r>
      <w:r w:rsidR="00AE6F84" w:rsidRPr="00CB05A8">
        <w:t>rejected</w:t>
      </w:r>
      <w:r w:rsidR="00BD7858" w:rsidRPr="00CB05A8">
        <w:t xml:space="preserve"> </w:t>
      </w:r>
      <w:r w:rsidR="00A61509" w:rsidRPr="00CB05A8">
        <w:t>defendant’s proffered</w:t>
      </w:r>
      <w:r w:rsidR="00BD7858" w:rsidRPr="00CB05A8">
        <w:t xml:space="preserve"> instructions </w:t>
      </w:r>
      <w:r w:rsidR="00A61509" w:rsidRPr="00CB05A8">
        <w:t>as duplicative</w:t>
      </w:r>
      <w:r w:rsidR="006D6960" w:rsidRPr="00CB05A8">
        <w:t xml:space="preserve"> of factors (d), (h), and (k)</w:t>
      </w:r>
      <w:r w:rsidR="005935ED" w:rsidRPr="00CB05A8">
        <w:t xml:space="preserve"> listed in CALJIC No.</w:t>
      </w:r>
      <w:r w:rsidR="00681D14" w:rsidRPr="00CB05A8">
        <w:t> </w:t>
      </w:r>
      <w:r w:rsidR="005935ED" w:rsidRPr="00CB05A8">
        <w:t>8.85</w:t>
      </w:r>
      <w:r w:rsidR="00A61509" w:rsidRPr="00CB05A8">
        <w:t>.</w:t>
      </w:r>
      <w:r w:rsidR="001F6E93" w:rsidRPr="00CB05A8">
        <w:t xml:space="preserve">  (</w:t>
      </w:r>
      <w:r w:rsidR="001F6E93" w:rsidRPr="00CB05A8">
        <w:rPr>
          <w:i/>
          <w:iCs/>
        </w:rPr>
        <w:t>People v. Jones</w:t>
      </w:r>
      <w:r w:rsidR="001F6E93" w:rsidRPr="00CB05A8">
        <w:t xml:space="preserve"> (2012) 54</w:t>
      </w:r>
      <w:r w:rsidR="00D066F0" w:rsidRPr="00CB05A8">
        <w:t> </w:t>
      </w:r>
      <w:r w:rsidR="001F6E93" w:rsidRPr="00CB05A8">
        <w:t xml:space="preserve">Cal.4th </w:t>
      </w:r>
      <w:r w:rsidR="00AE6F84" w:rsidRPr="00CB05A8">
        <w:t>1, 74–75</w:t>
      </w:r>
      <w:r w:rsidR="00C34EF9" w:rsidRPr="00CB05A8">
        <w:t xml:space="preserve"> (</w:t>
      </w:r>
      <w:r w:rsidR="00C34EF9" w:rsidRPr="00CB05A8">
        <w:rPr>
          <w:i/>
          <w:iCs/>
        </w:rPr>
        <w:t>Jones</w:t>
      </w:r>
      <w:r w:rsidR="00C34EF9" w:rsidRPr="00CB05A8">
        <w:t>)</w:t>
      </w:r>
      <w:r w:rsidR="00E52682" w:rsidRPr="00CB05A8">
        <w:t xml:space="preserve">; </w:t>
      </w:r>
      <w:r w:rsidR="00600907" w:rsidRPr="00CB05A8">
        <w:rPr>
          <w:i/>
          <w:iCs/>
        </w:rPr>
        <w:t xml:space="preserve">People v. Gonzalez </w:t>
      </w:r>
      <w:r w:rsidR="00600907" w:rsidRPr="00CB05A8">
        <w:t>(1990) 51 Cal.3d 1179, 1227 [</w:t>
      </w:r>
      <w:r w:rsidR="00781207" w:rsidRPr="00CB05A8">
        <w:t>catchall provision</w:t>
      </w:r>
      <w:r w:rsidR="009A0EAA" w:rsidRPr="00CB05A8">
        <w:t xml:space="preserve"> of </w:t>
      </w:r>
      <w:r w:rsidR="00B645AA">
        <w:t xml:space="preserve">CALJIC No. 8.85, </w:t>
      </w:r>
      <w:r w:rsidR="009A0EAA" w:rsidRPr="00CB05A8">
        <w:t>factor (k) “allows consideration of ‘nonextreme’ mental or emotional conditions”]</w:t>
      </w:r>
      <w:r w:rsidR="00AE6F84" w:rsidRPr="00CB05A8">
        <w:t>.)</w:t>
      </w:r>
      <w:r w:rsidR="00A61509" w:rsidRPr="00CB05A8">
        <w:t xml:space="preserve">  </w:t>
      </w:r>
    </w:p>
    <w:p w14:paraId="053D78DC" w14:textId="302B0B7A" w:rsidR="00E46992" w:rsidRPr="00CB05A8" w:rsidRDefault="00E46992" w:rsidP="000660B1">
      <w:pPr>
        <w:pStyle w:val="Heading4"/>
        <w:numPr>
          <w:ilvl w:val="0"/>
          <w:numId w:val="24"/>
        </w:numPr>
        <w:ind w:left="2016" w:hanging="432"/>
      </w:pPr>
      <w:bookmarkStart w:id="69" w:name="_Toc58918825"/>
      <w:r w:rsidRPr="00CB05A8">
        <w:t xml:space="preserve">Scope of jury’s </w:t>
      </w:r>
      <w:r w:rsidR="0068328B" w:rsidRPr="00CB05A8">
        <w:t xml:space="preserve">sentencing </w:t>
      </w:r>
      <w:r w:rsidRPr="00CB05A8">
        <w:t>discretion</w:t>
      </w:r>
      <w:bookmarkEnd w:id="69"/>
      <w:r w:rsidRPr="00CB05A8">
        <w:t xml:space="preserve"> </w:t>
      </w:r>
    </w:p>
    <w:p w14:paraId="4277A189" w14:textId="718712F6" w:rsidR="001B5EB2" w:rsidRPr="00CB05A8" w:rsidRDefault="0053756A" w:rsidP="000660B1">
      <w:pPr>
        <w:ind w:firstLine="720"/>
      </w:pPr>
      <w:r w:rsidRPr="00CB05A8">
        <w:t>Defendant argues t</w:t>
      </w:r>
      <w:r w:rsidR="00F161FD" w:rsidRPr="00CB05A8">
        <w:t>hat t</w:t>
      </w:r>
      <w:r w:rsidRPr="00CB05A8">
        <w:t xml:space="preserve">he </w:t>
      </w:r>
      <w:r w:rsidR="007363AD" w:rsidRPr="00CB05A8">
        <w:t>trial</w:t>
      </w:r>
      <w:r w:rsidRPr="00CB05A8">
        <w:t xml:space="preserve"> court </w:t>
      </w:r>
      <w:r w:rsidR="00097206" w:rsidRPr="00CB05A8">
        <w:t xml:space="preserve">should have given </w:t>
      </w:r>
      <w:r w:rsidR="00196250" w:rsidRPr="00CB05A8">
        <w:t xml:space="preserve">additional </w:t>
      </w:r>
      <w:r w:rsidR="00097206" w:rsidRPr="00CB05A8">
        <w:t>defense</w:t>
      </w:r>
      <w:r w:rsidR="006C64EC" w:rsidRPr="00CB05A8">
        <w:t>-</w:t>
      </w:r>
      <w:r w:rsidR="00097206" w:rsidRPr="00CB05A8">
        <w:t>proffered instructions concerning the scope of the jury’s sentencing discretion and the weighing process.</w:t>
      </w:r>
      <w:r w:rsidR="00317EFF" w:rsidRPr="00CB05A8">
        <w:t xml:space="preserve">  One of these instructions would have </w:t>
      </w:r>
      <w:r w:rsidR="008B067F" w:rsidRPr="00CB05A8">
        <w:t xml:space="preserve">told the jury that the finding of a felony-murder special circumstance is not entitled to greater weight than the finding of any other special circumstance.  </w:t>
      </w:r>
      <w:r w:rsidR="00C87E9D" w:rsidRPr="00CB05A8">
        <w:t xml:space="preserve">Given that </w:t>
      </w:r>
      <w:r w:rsidR="00DB6548">
        <w:t xml:space="preserve">“[e]ach </w:t>
      </w:r>
      <w:r w:rsidR="00682331">
        <w:t>juror is free to assign whatever moral or sympathetic value [the juror] deems appropriate to each and all of the various factors he [or she] is permitted to consider” (</w:t>
      </w:r>
      <w:r w:rsidR="009E19A2">
        <w:rPr>
          <w:i/>
          <w:iCs/>
        </w:rPr>
        <w:t xml:space="preserve">People v. Brown </w:t>
      </w:r>
      <w:r w:rsidR="009E19A2">
        <w:t>(1985) 40 Cal.3d 512, 541)</w:t>
      </w:r>
      <w:r w:rsidR="00C87E9D" w:rsidRPr="00CB05A8">
        <w:t>,</w:t>
      </w:r>
      <w:r w:rsidR="009E19A2">
        <w:t xml:space="preserve"> we conclude</w:t>
      </w:r>
      <w:r w:rsidR="00C87E9D" w:rsidRPr="00CB05A8">
        <w:t xml:space="preserve"> the </w:t>
      </w:r>
      <w:r w:rsidR="007363AD" w:rsidRPr="00CB05A8">
        <w:t>trial</w:t>
      </w:r>
      <w:r w:rsidR="00C87E9D" w:rsidRPr="00CB05A8">
        <w:t xml:space="preserve"> court was not required to instruct the jury not to give the felony-murder special circumstance undue weight in aggravation.</w:t>
      </w:r>
      <w:r w:rsidR="00097206" w:rsidRPr="00CB05A8">
        <w:t xml:space="preserve">  </w:t>
      </w:r>
    </w:p>
    <w:p w14:paraId="2DFD6FEF" w14:textId="6E837E30" w:rsidR="00901105" w:rsidRPr="00CB05A8" w:rsidRDefault="004172E9" w:rsidP="000660B1">
      <w:pPr>
        <w:ind w:firstLine="720"/>
      </w:pPr>
      <w:r w:rsidRPr="00CB05A8">
        <w:t xml:space="preserve">Another </w:t>
      </w:r>
      <w:r w:rsidR="00900B6A" w:rsidRPr="00CB05A8">
        <w:t>special</w:t>
      </w:r>
      <w:r w:rsidRPr="00CB05A8">
        <w:t xml:space="preserve"> instruction would </w:t>
      </w:r>
      <w:r w:rsidR="00900B6A" w:rsidRPr="00CB05A8">
        <w:t>have advised</w:t>
      </w:r>
      <w:r w:rsidRPr="00CB05A8">
        <w:t xml:space="preserve"> the jury that death is a more severe punishment than life in prison without the possibility of parole.  </w:t>
      </w:r>
      <w:r w:rsidR="00901105" w:rsidRPr="00CB05A8">
        <w:t>“We repeatedly have held that ‘there is no legal requirement that penalty phase jurors be instructed that death is the greater punishment, because the penalty trial itself and the jury instructions given, particularly CALJIC No. 8.88, make clear that the state views death as the most extreme penalty.</w:t>
      </w:r>
      <w:r w:rsidR="00651F89" w:rsidRPr="00CB05A8">
        <w:t xml:space="preserve"> </w:t>
      </w:r>
      <w:r w:rsidR="00901105" w:rsidRPr="00CB05A8">
        <w:t xml:space="preserve"> [Citations.]</w:t>
      </w:r>
      <w:r w:rsidR="002A4AFA" w:rsidRPr="00CB05A8">
        <w:t>’</w:t>
      </w:r>
      <w:r w:rsidR="00713150" w:rsidRPr="00CB05A8">
        <w:t xml:space="preserve"> </w:t>
      </w:r>
      <w:r w:rsidR="002A4AFA" w:rsidRPr="00CB05A8">
        <w:t xml:space="preserve"> </w:t>
      </w:r>
      <w:r w:rsidR="00713150" w:rsidRPr="00CB05A8">
        <w:t xml:space="preserve">[Citation.]  </w:t>
      </w:r>
      <w:r w:rsidR="00901105" w:rsidRPr="00CB05A8">
        <w:t xml:space="preserve">As noted, the jury was instructed that before a judgment of death can be returned, each juror </w:t>
      </w:r>
      <w:r w:rsidR="00713150" w:rsidRPr="00CB05A8">
        <w:t>‘</w:t>
      </w:r>
      <w:r w:rsidR="00901105" w:rsidRPr="00CB05A8">
        <w:t>must be persuaded that the aggravating circumstances are so substantial in comparison with the mitigating circumstances that it warrants death instead of life without parole.</w:t>
      </w:r>
      <w:r w:rsidR="00713150" w:rsidRPr="00CB05A8">
        <w:t>’</w:t>
      </w:r>
      <w:r w:rsidR="00901105" w:rsidRPr="00CB05A8">
        <w:t xml:space="preserve"> </w:t>
      </w:r>
      <w:r w:rsidR="00713150" w:rsidRPr="00CB05A8">
        <w:t xml:space="preserve"> </w:t>
      </w:r>
      <w:r w:rsidR="00901105" w:rsidRPr="00CB05A8">
        <w:t xml:space="preserve">(CALJIC No. 8.88.) </w:t>
      </w:r>
      <w:r w:rsidR="00713150" w:rsidRPr="00CB05A8">
        <w:t xml:space="preserve"> </w:t>
      </w:r>
      <w:r w:rsidR="00901105" w:rsidRPr="00CB05A8">
        <w:t xml:space="preserve">The instruction makes it clear that </w:t>
      </w:r>
      <w:r w:rsidR="0082194B" w:rsidRPr="00CB05A8">
        <w:t>‘</w:t>
      </w:r>
      <w:r w:rsidR="00901105" w:rsidRPr="00CB05A8">
        <w:t xml:space="preserve">death is considered to be a more severe punishment than life </w:t>
      </w:r>
      <w:r w:rsidR="0082194B" w:rsidRPr="00CB05A8">
        <w:t>. . . .’</w:t>
      </w:r>
      <w:r w:rsidR="00AC3A0B">
        <w:t> </w:t>
      </w:r>
      <w:r w:rsidR="0082194B" w:rsidRPr="00CB05A8">
        <w:t>”  (</w:t>
      </w:r>
      <w:r w:rsidR="00451F1B" w:rsidRPr="00CB05A8">
        <w:rPr>
          <w:i/>
          <w:iCs/>
        </w:rPr>
        <w:t>Jones</w:t>
      </w:r>
      <w:r w:rsidR="00451F1B" w:rsidRPr="00CB05A8">
        <w:rPr>
          <w:iCs/>
        </w:rPr>
        <w:t xml:space="preserve">, </w:t>
      </w:r>
      <w:r w:rsidR="00451F1B" w:rsidRPr="00CB05A8">
        <w:rPr>
          <w:i/>
          <w:iCs/>
        </w:rPr>
        <w:t>supra</w:t>
      </w:r>
      <w:r w:rsidR="00451F1B" w:rsidRPr="00CB05A8">
        <w:rPr>
          <w:iCs/>
        </w:rPr>
        <w:t>,</w:t>
      </w:r>
      <w:r w:rsidR="00451F1B" w:rsidRPr="00CB05A8">
        <w:rPr>
          <w:i/>
          <w:iCs/>
        </w:rPr>
        <w:t xml:space="preserve"> </w:t>
      </w:r>
      <w:r w:rsidR="0082194B" w:rsidRPr="00CB05A8">
        <w:t xml:space="preserve">54 Cal.4th </w:t>
      </w:r>
      <w:r w:rsidR="00451F1B" w:rsidRPr="00CB05A8">
        <w:t>at p.</w:t>
      </w:r>
      <w:r w:rsidR="0082194B" w:rsidRPr="00CB05A8">
        <w:t xml:space="preserve"> </w:t>
      </w:r>
      <w:r w:rsidR="0011728E" w:rsidRPr="00CB05A8">
        <w:t>81.)</w:t>
      </w:r>
      <w:r w:rsidR="00DF5E6B" w:rsidRPr="00CB05A8">
        <w:t xml:space="preserve"> </w:t>
      </w:r>
      <w:r w:rsidR="004037F9" w:rsidRPr="00CB05A8">
        <w:t xml:space="preserve"> Moreover, we have repeatedly held that the CALJIC penalty phase instructions “ ‘ “are adequate to inform the jurors of their sentencing responsibilities in compliance with federal and state constitutional standards.”</w:t>
      </w:r>
      <w:r w:rsidR="000F600D">
        <w:t> </w:t>
      </w:r>
      <w:r w:rsidR="004037F9" w:rsidRPr="00CB05A8">
        <w:t>’</w:t>
      </w:r>
      <w:r w:rsidR="000A5E5E" w:rsidRPr="00CB05A8">
        <w:t> </w:t>
      </w:r>
      <w:r w:rsidR="004037F9" w:rsidRPr="00CB05A8">
        <w:t>”  (</w:t>
      </w:r>
      <w:r w:rsidR="004037F9" w:rsidRPr="00CB05A8">
        <w:rPr>
          <w:rStyle w:val="Emphasis"/>
        </w:rPr>
        <w:t>People v. Brown</w:t>
      </w:r>
      <w:r w:rsidR="004037F9" w:rsidRPr="00CB05A8">
        <w:t xml:space="preserve"> (2003) 31 Cal.4th 518, 569.)  </w:t>
      </w:r>
    </w:p>
    <w:p w14:paraId="7553FD37" w14:textId="72176751" w:rsidR="008C7C27" w:rsidRPr="00CB05A8" w:rsidRDefault="00143B13" w:rsidP="000660B1">
      <w:pPr>
        <w:ind w:firstLine="720"/>
      </w:pPr>
      <w:r w:rsidRPr="00CB05A8">
        <w:t>Defendant also requested an</w:t>
      </w:r>
      <w:r w:rsidR="004172E9" w:rsidRPr="00CB05A8">
        <w:t xml:space="preserve"> instruction </w:t>
      </w:r>
      <w:r w:rsidRPr="00CB05A8">
        <w:t>informing</w:t>
      </w:r>
      <w:r w:rsidR="004172E9" w:rsidRPr="00CB05A8">
        <w:t xml:space="preserve"> the jury that parole </w:t>
      </w:r>
      <w:r w:rsidRPr="00CB05A8">
        <w:t>was not a possibility in this case</w:t>
      </w:r>
      <w:r w:rsidR="004172E9" w:rsidRPr="00CB05A8">
        <w:t xml:space="preserve">.  </w:t>
      </w:r>
      <w:r w:rsidRPr="00CB05A8">
        <w:t>The court de</w:t>
      </w:r>
      <w:r w:rsidR="00DC7159" w:rsidRPr="00CB05A8">
        <w:t>clined</w:t>
      </w:r>
      <w:r w:rsidRPr="00CB05A8">
        <w:t xml:space="preserve">, noting that it had already informed prospective jurors at the beginning of trial that jurors should assume the sentence they impose will be carried out. </w:t>
      </w:r>
      <w:r w:rsidRPr="00CB05A8">
        <w:rPr>
          <w:color w:val="FF0000"/>
        </w:rPr>
        <w:t xml:space="preserve"> </w:t>
      </w:r>
      <w:r w:rsidR="0092799F" w:rsidRPr="00CB05A8">
        <w:t xml:space="preserve">The jury was also instructed with CALJIC No. 8.84, which </w:t>
      </w:r>
      <w:r w:rsidR="001B0172" w:rsidRPr="00CB05A8">
        <w:t>states</w:t>
      </w:r>
      <w:r w:rsidR="0092799F" w:rsidRPr="00CB05A8">
        <w:t xml:space="preserve"> that “the penalty for a defendant found guilty of murder of the first degree </w:t>
      </w:r>
      <w:r w:rsidR="000A0290" w:rsidRPr="00CB05A8">
        <w:t>shall be death or imprisonment in the state prison for life without the possibility of parol</w:t>
      </w:r>
      <w:r w:rsidR="00E07BE4">
        <w:t>e . . . </w:t>
      </w:r>
      <w:r w:rsidR="000A0290" w:rsidRPr="00CB05A8">
        <w:t xml:space="preserve">.”  </w:t>
      </w:r>
      <w:r w:rsidR="000D17FB" w:rsidRPr="00CB05A8">
        <w:t>As we have frequently held,</w:t>
      </w:r>
      <w:r w:rsidR="000A0290" w:rsidRPr="00CB05A8">
        <w:t xml:space="preserve"> </w:t>
      </w:r>
      <w:r w:rsidR="002D4F49" w:rsidRPr="00CB05A8">
        <w:t>“</w:t>
      </w:r>
      <w:r w:rsidR="00A210DC">
        <w:t> ‘</w:t>
      </w:r>
      <w:r w:rsidR="002D4F49" w:rsidRPr="00CB05A8">
        <w:t xml:space="preserve">the phrase </w:t>
      </w:r>
      <w:r w:rsidR="00A210DC">
        <w:t>“</w:t>
      </w:r>
      <w:r w:rsidR="002D4F49" w:rsidRPr="00CB05A8">
        <w:t>life without possibility of parole</w:t>
      </w:r>
      <w:r w:rsidR="00A210DC">
        <w:t xml:space="preserve">” </w:t>
      </w:r>
      <w:r w:rsidR="002D4F49" w:rsidRPr="00CB05A8">
        <w:t>as it appears in CALJIC No. 8.84 adequately informs the jury that a defendant sentenced to life imprisonment without possibility of parole is ineligible for parole</w:t>
      </w:r>
      <w:r w:rsidR="00F30F02" w:rsidRPr="00CB05A8">
        <w:t>.</w:t>
      </w:r>
      <w:r w:rsidR="00A210DC">
        <w:t>’ </w:t>
      </w:r>
      <w:r w:rsidR="002D4F49" w:rsidRPr="00CB05A8">
        <w:t xml:space="preserve">” </w:t>
      </w:r>
      <w:r w:rsidR="00F30F02" w:rsidRPr="00CB05A8">
        <w:t xml:space="preserve"> </w:t>
      </w:r>
      <w:r w:rsidR="002D4F49" w:rsidRPr="00CB05A8">
        <w:t>(</w:t>
      </w:r>
      <w:r w:rsidR="002D4F49" w:rsidRPr="00CB05A8">
        <w:rPr>
          <w:i/>
          <w:iCs/>
        </w:rPr>
        <w:t>Duenas</w:t>
      </w:r>
      <w:r w:rsidR="007D5F3D" w:rsidRPr="00CB05A8">
        <w:rPr>
          <w:iCs/>
        </w:rPr>
        <w:t xml:space="preserve">, </w:t>
      </w:r>
      <w:r w:rsidR="007D5F3D" w:rsidRPr="00CB05A8">
        <w:rPr>
          <w:i/>
          <w:iCs/>
        </w:rPr>
        <w:t>supra</w:t>
      </w:r>
      <w:r w:rsidR="007D5F3D" w:rsidRPr="00CB05A8">
        <w:rPr>
          <w:iCs/>
        </w:rPr>
        <w:t>,</w:t>
      </w:r>
      <w:r w:rsidR="002D4F49" w:rsidRPr="00CB05A8">
        <w:rPr>
          <w:i/>
          <w:iCs/>
        </w:rPr>
        <w:t xml:space="preserve"> </w:t>
      </w:r>
      <w:r w:rsidR="007D5F3D" w:rsidRPr="00CB05A8">
        <w:t>55</w:t>
      </w:r>
      <w:r w:rsidR="004D7847">
        <w:t> </w:t>
      </w:r>
      <w:r w:rsidR="002D4F49" w:rsidRPr="00CB05A8">
        <w:t xml:space="preserve">Cal.4th </w:t>
      </w:r>
      <w:r w:rsidR="007D5F3D" w:rsidRPr="00CB05A8">
        <w:t>at p.</w:t>
      </w:r>
      <w:r w:rsidR="002D4F49" w:rsidRPr="00CB05A8">
        <w:t xml:space="preserve"> 28</w:t>
      </w:r>
      <w:r w:rsidR="00F30F02" w:rsidRPr="00CB05A8">
        <w:t>.</w:t>
      </w:r>
      <w:r w:rsidR="002D4F49" w:rsidRPr="00CB05A8">
        <w:t>)</w:t>
      </w:r>
      <w:r w:rsidR="00F30F02" w:rsidRPr="00CB05A8">
        <w:t xml:space="preserve">  We </w:t>
      </w:r>
      <w:r w:rsidR="00907A65" w:rsidRPr="00CB05A8">
        <w:t xml:space="preserve">have likewise rejected defense efforts to rely on </w:t>
      </w:r>
      <w:r w:rsidR="00B776EE" w:rsidRPr="00CB05A8">
        <w:t>empirical studies</w:t>
      </w:r>
      <w:r w:rsidR="00041B4F" w:rsidRPr="00CB05A8">
        <w:t xml:space="preserve"> </w:t>
      </w:r>
      <w:r w:rsidR="00B776EE" w:rsidRPr="00CB05A8">
        <w:t xml:space="preserve">suggesting that many </w:t>
      </w:r>
      <w:r w:rsidR="0045399F" w:rsidRPr="00CB05A8">
        <w:t xml:space="preserve">death-qualified </w:t>
      </w:r>
      <w:r w:rsidR="00B776EE" w:rsidRPr="00CB05A8">
        <w:t xml:space="preserve">jurors do not understand that life without the possibility of parole actually means </w:t>
      </w:r>
      <w:r w:rsidR="0045399F" w:rsidRPr="00CB05A8">
        <w:t>what it says (</w:t>
      </w:r>
      <w:r w:rsidR="0045399F" w:rsidRPr="00CB05A8">
        <w:rPr>
          <w:i/>
          <w:iCs/>
        </w:rPr>
        <w:t>People v. Ervine</w:t>
      </w:r>
      <w:r w:rsidR="0045399F" w:rsidRPr="00CB05A8">
        <w:t xml:space="preserve"> (2009) 47 Cal.4th 745, 798</w:t>
      </w:r>
      <w:r w:rsidR="006D2AFA" w:rsidRPr="00CB05A8">
        <w:t xml:space="preserve"> (</w:t>
      </w:r>
      <w:r w:rsidR="006D2AFA" w:rsidRPr="00CB05A8">
        <w:rPr>
          <w:i/>
        </w:rPr>
        <w:t>Ervine</w:t>
      </w:r>
      <w:r w:rsidR="006D2AFA" w:rsidRPr="00CB05A8">
        <w:t>)</w:t>
      </w:r>
      <w:r w:rsidR="0045399F" w:rsidRPr="00CB05A8">
        <w:t>)</w:t>
      </w:r>
      <w:r w:rsidR="007E3FB1">
        <w:t xml:space="preserve">, and </w:t>
      </w:r>
      <w:r w:rsidR="00F30F02" w:rsidRPr="00CB05A8">
        <w:t>we do so again here.</w:t>
      </w:r>
      <w:r w:rsidR="00A50C2A" w:rsidRPr="00CB05A8">
        <w:t xml:space="preserve"> </w:t>
      </w:r>
    </w:p>
    <w:p w14:paraId="338B4E84" w14:textId="68750756" w:rsidR="008D2002" w:rsidRPr="00CB05A8" w:rsidRDefault="004019FC" w:rsidP="000660B1">
      <w:pPr>
        <w:pStyle w:val="Heading4"/>
        <w:numPr>
          <w:ilvl w:val="0"/>
          <w:numId w:val="24"/>
        </w:numPr>
        <w:ind w:left="2016" w:hanging="432"/>
      </w:pPr>
      <w:bookmarkStart w:id="70" w:name="_Toc58918826"/>
      <w:r w:rsidRPr="00CB05A8">
        <w:t>Instruction on mercy</w:t>
      </w:r>
      <w:bookmarkEnd w:id="70"/>
    </w:p>
    <w:p w14:paraId="262AF148" w14:textId="131191E8" w:rsidR="004D731F" w:rsidRPr="00CB05A8" w:rsidRDefault="004258B8" w:rsidP="000660B1">
      <w:pPr>
        <w:ind w:firstLine="720"/>
      </w:pPr>
      <w:r w:rsidRPr="00CB05A8">
        <w:t>Defense counsel</w:t>
      </w:r>
      <w:r w:rsidR="00AC649C" w:rsidRPr="00CB05A8">
        <w:t xml:space="preserve"> requested the jury be instructed that “[i]n determining whether in light of all the relevant circumstances a sentence of death is appropriate, you may decide to exercise mercy on behalf o</w:t>
      </w:r>
      <w:r w:rsidR="00C2319A" w:rsidRPr="00CB05A8">
        <w:t xml:space="preserve">f </w:t>
      </w:r>
      <w:r w:rsidR="00AC649C" w:rsidRPr="00CB05A8">
        <w:t>the defendant.</w:t>
      </w:r>
      <w:r w:rsidR="0000521B" w:rsidRPr="00CB05A8">
        <w:t>”</w:t>
      </w:r>
      <w:r w:rsidR="00AC649C" w:rsidRPr="00CB05A8">
        <w:t xml:space="preserve">  </w:t>
      </w:r>
      <w:r w:rsidR="0019600D" w:rsidRPr="00CB05A8">
        <w:t>“[W]e have repeatedly rejected the claim that omission of ‘mercy’ from the jury instructions constitutes error.</w:t>
      </w:r>
      <w:r w:rsidR="00386FB5" w:rsidRPr="00CB05A8">
        <w:t>”  (</w:t>
      </w:r>
      <w:r w:rsidR="00386FB5" w:rsidRPr="00CB05A8">
        <w:rPr>
          <w:i/>
          <w:iCs/>
        </w:rPr>
        <w:t>Ervine</w:t>
      </w:r>
      <w:r w:rsidR="00386FB5" w:rsidRPr="00CB05A8">
        <w:t xml:space="preserve">, </w:t>
      </w:r>
      <w:r w:rsidR="00386FB5" w:rsidRPr="00CB05A8">
        <w:rPr>
          <w:i/>
          <w:iCs/>
        </w:rPr>
        <w:t>supra</w:t>
      </w:r>
      <w:r w:rsidR="00386FB5" w:rsidRPr="00CB05A8">
        <w:t>, 47 Cal.4th at p.</w:t>
      </w:r>
      <w:r w:rsidR="004D7847">
        <w:t> </w:t>
      </w:r>
      <w:r w:rsidR="00386FB5" w:rsidRPr="00CB05A8">
        <w:t>801.)</w:t>
      </w:r>
      <w:r w:rsidR="0019600D" w:rsidRPr="00CB05A8">
        <w:t xml:space="preserve">  </w:t>
      </w:r>
      <w:r w:rsidR="007C76DA" w:rsidRPr="00CB05A8">
        <w:t>As noted earlier, t</w:t>
      </w:r>
      <w:r w:rsidR="0019600D" w:rsidRPr="00CB05A8">
        <w:t>he jury was instructed pursuant to CALJIC No. 8.85</w:t>
      </w:r>
      <w:r w:rsidR="00E17C54" w:rsidRPr="00CB05A8">
        <w:t>, which incorporates section 190.3, factor (k)</w:t>
      </w:r>
      <w:r w:rsidR="0019600D" w:rsidRPr="00CB05A8">
        <w:t xml:space="preserve">, </w:t>
      </w:r>
      <w:r w:rsidR="00E17C54" w:rsidRPr="00CB05A8">
        <w:t>and</w:t>
      </w:r>
      <w:r w:rsidR="0019600D" w:rsidRPr="00CB05A8">
        <w:t xml:space="preserve"> directs the jury to consider </w:t>
      </w:r>
      <w:r w:rsidR="00E17C54" w:rsidRPr="00CB05A8">
        <w:t>“</w:t>
      </w:r>
      <w:r w:rsidR="0019600D" w:rsidRPr="00CB05A8">
        <w:t>any other circumstance which extenuates the gravity of the crime even though it is not a legal excuse for the crime, and any sympathetic or other aspect of the defendant</w:t>
      </w:r>
      <w:r w:rsidR="00E17C54" w:rsidRPr="00CB05A8">
        <w:t>’</w:t>
      </w:r>
      <w:r w:rsidR="0019600D" w:rsidRPr="00CB05A8">
        <w:t xml:space="preserve">s character or record that the </w:t>
      </w:r>
      <w:r w:rsidR="00E17C54" w:rsidRPr="00CB05A8">
        <w:t>d</w:t>
      </w:r>
      <w:r w:rsidR="0019600D" w:rsidRPr="00CB05A8">
        <w:t>efendant offers as a basis for a sentence less than death, whether or not related to the offense for which he is on trial.”</w:t>
      </w:r>
      <w:r w:rsidR="00466C75" w:rsidRPr="00CB05A8">
        <w:t xml:space="preserve">  </w:t>
      </w:r>
    </w:p>
    <w:p w14:paraId="4E9EDB7E" w14:textId="054FCAA5" w:rsidR="008A1EA3" w:rsidRPr="00CB05A8" w:rsidRDefault="007E3FB1" w:rsidP="000660B1">
      <w:pPr>
        <w:ind w:firstLine="720"/>
      </w:pPr>
      <w:r>
        <w:t>W</w:t>
      </w:r>
      <w:r w:rsidR="004D731F" w:rsidRPr="00CB05A8">
        <w:t xml:space="preserve">e conclude no additional instruction was required.  </w:t>
      </w:r>
      <w:r w:rsidR="00466C75" w:rsidRPr="00CB05A8">
        <w:t>“</w:t>
      </w:r>
      <w:r w:rsidR="0019600D" w:rsidRPr="00CB05A8">
        <w:t>As we have previously explained, CALJIC No.</w:t>
      </w:r>
      <w:r w:rsidR="0023492D" w:rsidRPr="00CB05A8">
        <w:t> </w:t>
      </w:r>
      <w:r w:rsidR="0019600D" w:rsidRPr="00CB05A8">
        <w:t xml:space="preserve">8.85 adequately instructs the jury concerning the circumstances that may be considered in mitigation, including sympathy and mercy. </w:t>
      </w:r>
      <w:r w:rsidR="00466C75" w:rsidRPr="00CB05A8">
        <w:t xml:space="preserve"> [Citation.]  </w:t>
      </w:r>
      <w:r w:rsidR="0019600D" w:rsidRPr="00CB05A8">
        <w:t xml:space="preserve">We therefore </w:t>
      </w:r>
      <w:r w:rsidR="00466C75" w:rsidRPr="00CB05A8">
        <w:t>‘</w:t>
      </w:r>
      <w:r w:rsidR="0019600D" w:rsidRPr="00CB05A8">
        <w:t>must assume the jury already understood it could consider mercy and compassion.</w:t>
      </w:r>
      <w:r w:rsidR="00466C75" w:rsidRPr="00CB05A8">
        <w:t>’ </w:t>
      </w:r>
      <w:r w:rsidR="0019600D" w:rsidRPr="00CB05A8">
        <w:t>”</w:t>
      </w:r>
      <w:r w:rsidR="00466C75" w:rsidRPr="00CB05A8">
        <w:t xml:space="preserve">  (</w:t>
      </w:r>
      <w:r w:rsidR="00466C75" w:rsidRPr="00CB05A8">
        <w:rPr>
          <w:i/>
          <w:iCs/>
        </w:rPr>
        <w:t>Ervine</w:t>
      </w:r>
      <w:r w:rsidR="00466C75" w:rsidRPr="00CB05A8">
        <w:t xml:space="preserve">, </w:t>
      </w:r>
      <w:r w:rsidR="006D2AFA" w:rsidRPr="00CB05A8">
        <w:rPr>
          <w:i/>
          <w:iCs/>
        </w:rPr>
        <w:t>supra</w:t>
      </w:r>
      <w:r w:rsidR="006D2AFA" w:rsidRPr="00CB05A8">
        <w:t xml:space="preserve">, 47 Cal.4th </w:t>
      </w:r>
      <w:r w:rsidR="00466C75" w:rsidRPr="00CB05A8">
        <w:t>at p.</w:t>
      </w:r>
      <w:r w:rsidR="004D7847">
        <w:t> </w:t>
      </w:r>
      <w:r w:rsidR="00466C75" w:rsidRPr="00CB05A8">
        <w:t>801;</w:t>
      </w:r>
      <w:r w:rsidR="00466C75" w:rsidRPr="00CB05A8">
        <w:rPr>
          <w:i/>
          <w:iCs/>
        </w:rPr>
        <w:t xml:space="preserve"> </w:t>
      </w:r>
      <w:r w:rsidR="008C05F4">
        <w:t xml:space="preserve">see </w:t>
      </w:r>
      <w:r w:rsidR="00C34EF9" w:rsidRPr="00CB05A8">
        <w:rPr>
          <w:i/>
          <w:iCs/>
        </w:rPr>
        <w:t>Jones</w:t>
      </w:r>
      <w:r w:rsidR="00C34EF9" w:rsidRPr="00CB05A8">
        <w:t xml:space="preserve">, </w:t>
      </w:r>
      <w:r w:rsidR="00C34EF9" w:rsidRPr="00CB05A8">
        <w:rPr>
          <w:i/>
          <w:iCs/>
        </w:rPr>
        <w:t>supra</w:t>
      </w:r>
      <w:r w:rsidR="00C34EF9" w:rsidRPr="00CB05A8">
        <w:t>, 54 Cal.4th at pp. 74–75.)</w:t>
      </w:r>
      <w:r w:rsidR="0051738A" w:rsidRPr="00CB05A8">
        <w:t xml:space="preserve">  </w:t>
      </w:r>
      <w:r w:rsidR="006B056F" w:rsidRPr="00CB05A8">
        <w:rPr>
          <w:szCs w:val="26"/>
        </w:rPr>
        <w:t>“To the extent the proposed instructions told the jurors they were free to consider ‘mercy, sympathy and/or sentiment’</w:t>
      </w:r>
      <w:r w:rsidR="00262B58">
        <w:rPr>
          <w:szCs w:val="26"/>
        </w:rPr>
        <w:t> . . . </w:t>
      </w:r>
      <w:r w:rsidR="006B056F" w:rsidRPr="00CB05A8">
        <w:rPr>
          <w:szCs w:val="26"/>
        </w:rPr>
        <w:t>or ‘compassion or sympathy’</w:t>
      </w:r>
      <w:r w:rsidR="00262B58">
        <w:rPr>
          <w:szCs w:val="26"/>
        </w:rPr>
        <w:t> . . . </w:t>
      </w:r>
      <w:r w:rsidR="006B056F" w:rsidRPr="00CB05A8">
        <w:rPr>
          <w:szCs w:val="26"/>
        </w:rPr>
        <w:t>, they were essentially duplicative of CALJIC No. 8.85</w:t>
      </w:r>
      <w:r w:rsidR="008C05F4">
        <w:rPr>
          <w:sz w:val="28"/>
          <w:szCs w:val="28"/>
        </w:rPr>
        <w:t> . . . </w:t>
      </w:r>
      <w:r w:rsidR="006B056F" w:rsidRPr="00CB05A8">
        <w:rPr>
          <w:szCs w:val="26"/>
        </w:rPr>
        <w:t>.”  (</w:t>
      </w:r>
      <w:r w:rsidR="006B056F" w:rsidRPr="00CB05A8">
        <w:rPr>
          <w:i/>
          <w:iCs/>
          <w:szCs w:val="26"/>
        </w:rPr>
        <w:t>Brasure</w:t>
      </w:r>
      <w:r w:rsidR="001B009D" w:rsidRPr="00CB05A8">
        <w:rPr>
          <w:iCs/>
          <w:szCs w:val="26"/>
        </w:rPr>
        <w:t xml:space="preserve">, </w:t>
      </w:r>
      <w:r w:rsidR="001B009D" w:rsidRPr="00CB05A8">
        <w:rPr>
          <w:i/>
          <w:iCs/>
          <w:szCs w:val="26"/>
        </w:rPr>
        <w:t>supra</w:t>
      </w:r>
      <w:r w:rsidR="001B009D" w:rsidRPr="00CB05A8">
        <w:rPr>
          <w:iCs/>
          <w:szCs w:val="26"/>
        </w:rPr>
        <w:t>,</w:t>
      </w:r>
      <w:r w:rsidR="006B056F" w:rsidRPr="00CB05A8">
        <w:rPr>
          <w:i/>
          <w:iCs/>
          <w:szCs w:val="26"/>
        </w:rPr>
        <w:t xml:space="preserve"> </w:t>
      </w:r>
      <w:r w:rsidR="006B056F" w:rsidRPr="00CB05A8">
        <w:rPr>
          <w:szCs w:val="26"/>
        </w:rPr>
        <w:t>42</w:t>
      </w:r>
      <w:r w:rsidR="004D7847">
        <w:rPr>
          <w:szCs w:val="26"/>
        </w:rPr>
        <w:t> </w:t>
      </w:r>
      <w:r w:rsidR="006B056F" w:rsidRPr="00CB05A8">
        <w:rPr>
          <w:szCs w:val="26"/>
        </w:rPr>
        <w:t xml:space="preserve">Cal.4th </w:t>
      </w:r>
      <w:r w:rsidR="001B009D" w:rsidRPr="00CB05A8">
        <w:rPr>
          <w:szCs w:val="26"/>
        </w:rPr>
        <w:t>at pp.</w:t>
      </w:r>
      <w:r w:rsidR="006B056F" w:rsidRPr="00CB05A8">
        <w:rPr>
          <w:szCs w:val="26"/>
        </w:rPr>
        <w:t xml:space="preserve"> 1069–1070.)</w:t>
      </w:r>
    </w:p>
    <w:p w14:paraId="1B36C929" w14:textId="1CCFF2F9" w:rsidR="00785483" w:rsidRPr="00CB05A8" w:rsidRDefault="00756BCC" w:rsidP="00CB05A8">
      <w:pPr>
        <w:pStyle w:val="Heading2"/>
      </w:pPr>
      <w:bookmarkStart w:id="71" w:name="_Toc58918827"/>
      <w:r w:rsidRPr="00CB05A8">
        <w:t>C</w:t>
      </w:r>
      <w:r w:rsidR="00242C40" w:rsidRPr="00CB05A8">
        <w:t>.  Other Issues</w:t>
      </w:r>
      <w:bookmarkEnd w:id="71"/>
    </w:p>
    <w:p w14:paraId="3A4BF598" w14:textId="616B3D29" w:rsidR="00242C40" w:rsidRPr="00CB05A8" w:rsidRDefault="00507C15" w:rsidP="00CB05A8">
      <w:pPr>
        <w:pStyle w:val="Heading3"/>
        <w:rPr>
          <w:b/>
        </w:rPr>
      </w:pPr>
      <w:bookmarkStart w:id="72" w:name="_Toc58918828"/>
      <w:r w:rsidRPr="00CB05A8">
        <w:t>1</w:t>
      </w:r>
      <w:r w:rsidR="005C152D" w:rsidRPr="00CB05A8">
        <w:t xml:space="preserve">.  </w:t>
      </w:r>
      <w:r w:rsidR="002706E0" w:rsidRPr="00CB05A8">
        <w:t xml:space="preserve">Challenges to </w:t>
      </w:r>
      <w:r w:rsidR="00930270" w:rsidRPr="00CB05A8">
        <w:t>California’s</w:t>
      </w:r>
      <w:r w:rsidR="002706E0" w:rsidRPr="00CB05A8">
        <w:t xml:space="preserve"> </w:t>
      </w:r>
      <w:r w:rsidR="001270B8" w:rsidRPr="00CB05A8">
        <w:t>d</w:t>
      </w:r>
      <w:r w:rsidR="002706E0" w:rsidRPr="00CB05A8">
        <w:t xml:space="preserve">eath </w:t>
      </w:r>
      <w:r w:rsidR="001270B8" w:rsidRPr="00CB05A8">
        <w:t>p</w:t>
      </w:r>
      <w:r w:rsidR="002706E0" w:rsidRPr="00CB05A8">
        <w:t xml:space="preserve">enalty </w:t>
      </w:r>
      <w:r w:rsidR="001270B8" w:rsidRPr="00CB05A8">
        <w:t>l</w:t>
      </w:r>
      <w:r w:rsidR="002706E0" w:rsidRPr="00CB05A8">
        <w:t>aw</w:t>
      </w:r>
      <w:r w:rsidR="00143BDB" w:rsidRPr="00CB05A8">
        <w:t xml:space="preserve"> </w:t>
      </w:r>
      <w:bookmarkEnd w:id="72"/>
    </w:p>
    <w:p w14:paraId="1ADEE03E" w14:textId="5EDCEA74" w:rsidR="005B30AB" w:rsidRPr="00CB05A8" w:rsidRDefault="00DD1E1F" w:rsidP="000660B1">
      <w:pPr>
        <w:ind w:firstLine="720"/>
      </w:pPr>
      <w:r w:rsidRPr="00CB05A8">
        <w:t xml:space="preserve">Defendant </w:t>
      </w:r>
      <w:r w:rsidR="005B4E8A" w:rsidRPr="00CB05A8">
        <w:t xml:space="preserve">challenges the constitutionality of </w:t>
      </w:r>
      <w:r w:rsidR="00C909E2" w:rsidRPr="00CB05A8">
        <w:t>numerous</w:t>
      </w:r>
      <w:r w:rsidR="005B4E8A" w:rsidRPr="00CB05A8">
        <w:t xml:space="preserve"> features of</w:t>
      </w:r>
      <w:r w:rsidRPr="00CB05A8">
        <w:t xml:space="preserve"> California’s </w:t>
      </w:r>
      <w:r w:rsidR="005B4E8A" w:rsidRPr="00CB05A8">
        <w:t>capital sentencing scheme</w:t>
      </w:r>
      <w:r w:rsidR="00C909E2" w:rsidRPr="00CB05A8">
        <w:t xml:space="preserve">. </w:t>
      </w:r>
      <w:r w:rsidRPr="00CB05A8">
        <w:t xml:space="preserve"> </w:t>
      </w:r>
      <w:r w:rsidR="008B0113" w:rsidRPr="00CB05A8">
        <w:t>We have repeatedly</w:t>
      </w:r>
      <w:r w:rsidRPr="00CB05A8">
        <w:t xml:space="preserve"> considered and rejected</w:t>
      </w:r>
      <w:r w:rsidR="008B0113" w:rsidRPr="00CB05A8">
        <w:t xml:space="preserve"> such challenges</w:t>
      </w:r>
      <w:r w:rsidR="00883419" w:rsidRPr="00CB05A8">
        <w:t xml:space="preserve">, and </w:t>
      </w:r>
      <w:r w:rsidR="0089114D">
        <w:t>we decline</w:t>
      </w:r>
      <w:r w:rsidR="007D14CD" w:rsidRPr="00CB05A8">
        <w:t xml:space="preserve"> to reconsider the following conclusions: </w:t>
      </w:r>
    </w:p>
    <w:p w14:paraId="55380B8C" w14:textId="3B340356" w:rsidR="007D14CD" w:rsidRPr="00CB05A8" w:rsidRDefault="002E2A70" w:rsidP="000660B1">
      <w:pPr>
        <w:ind w:firstLine="720"/>
      </w:pPr>
      <w:r w:rsidRPr="00CB05A8">
        <w:t>Section 190.2</w:t>
      </w:r>
      <w:r w:rsidR="007778A8" w:rsidRPr="00CB05A8">
        <w:t>, which sets forth the special circumstances that render those convicted of murder death</w:t>
      </w:r>
      <w:r w:rsidR="003A6E7D">
        <w:t xml:space="preserve"> </w:t>
      </w:r>
      <w:r w:rsidR="007778A8" w:rsidRPr="00CB05A8">
        <w:t xml:space="preserve">eligible, </w:t>
      </w:r>
      <w:r w:rsidR="0048371D" w:rsidRPr="00CB05A8">
        <w:t xml:space="preserve">adequately narrows the class </w:t>
      </w:r>
      <w:r w:rsidR="007778A8" w:rsidRPr="00CB05A8">
        <w:t xml:space="preserve">of those </w:t>
      </w:r>
      <w:r w:rsidR="0048371D" w:rsidRPr="00CB05A8">
        <w:t>eligible for the death penalty</w:t>
      </w:r>
      <w:r w:rsidR="006F657D" w:rsidRPr="00CB05A8">
        <w:t xml:space="preserve"> and</w:t>
      </w:r>
      <w:r w:rsidR="00DF061A" w:rsidRPr="00CB05A8">
        <w:t xml:space="preserve"> is not impermissibly broad in violation of the Eighth </w:t>
      </w:r>
      <w:r w:rsidR="00596A0B" w:rsidRPr="00CB05A8">
        <w:t xml:space="preserve">and Fourteenth </w:t>
      </w:r>
      <w:r w:rsidR="00DF061A" w:rsidRPr="00CB05A8">
        <w:t>Amendment</w:t>
      </w:r>
      <w:r w:rsidR="00596A0B" w:rsidRPr="00CB05A8">
        <w:t>s</w:t>
      </w:r>
      <w:r w:rsidR="00DF061A" w:rsidRPr="00CB05A8">
        <w:t>.</w:t>
      </w:r>
      <w:r w:rsidR="00FC25DF" w:rsidRPr="00CB05A8">
        <w:t xml:space="preserve"> </w:t>
      </w:r>
      <w:r w:rsidR="00DF061A" w:rsidRPr="00CB05A8">
        <w:t xml:space="preserve"> (</w:t>
      </w:r>
      <w:r w:rsidR="00DF061A" w:rsidRPr="00CB05A8">
        <w:rPr>
          <w:i/>
        </w:rPr>
        <w:t xml:space="preserve">People v. </w:t>
      </w:r>
      <w:r w:rsidR="00596A0B" w:rsidRPr="00CB05A8">
        <w:rPr>
          <w:i/>
          <w:iCs/>
        </w:rPr>
        <w:t xml:space="preserve">Johnson </w:t>
      </w:r>
      <w:r w:rsidR="00DF061A" w:rsidRPr="00CB05A8">
        <w:t>(201</w:t>
      </w:r>
      <w:r w:rsidR="00596A0B" w:rsidRPr="00CB05A8">
        <w:t>6)</w:t>
      </w:r>
      <w:r w:rsidR="00DF061A" w:rsidRPr="00CB05A8">
        <w:t xml:space="preserve"> </w:t>
      </w:r>
      <w:r w:rsidR="00596A0B" w:rsidRPr="00CB05A8">
        <w:t xml:space="preserve">62 </w:t>
      </w:r>
      <w:r w:rsidR="00DF061A" w:rsidRPr="00CB05A8">
        <w:t xml:space="preserve">Cal.4th </w:t>
      </w:r>
      <w:r w:rsidR="00596A0B" w:rsidRPr="00CB05A8">
        <w:t>600</w:t>
      </w:r>
      <w:r w:rsidR="00DF061A" w:rsidRPr="00CB05A8">
        <w:t xml:space="preserve">, </w:t>
      </w:r>
      <w:r w:rsidR="00596A0B" w:rsidRPr="00CB05A8">
        <w:t>654</w:t>
      </w:r>
      <w:r w:rsidR="00045720" w:rsidRPr="00CB05A8">
        <w:t>–</w:t>
      </w:r>
      <w:r w:rsidR="00596A0B" w:rsidRPr="00CB05A8">
        <w:t>655</w:t>
      </w:r>
      <w:r w:rsidR="00630AB1" w:rsidRPr="00CB05A8">
        <w:t xml:space="preserve"> (</w:t>
      </w:r>
      <w:r w:rsidR="00630AB1" w:rsidRPr="00CB05A8">
        <w:rPr>
          <w:i/>
        </w:rPr>
        <w:t>Johnson</w:t>
      </w:r>
      <w:r w:rsidR="00630AB1" w:rsidRPr="00CB05A8">
        <w:t>)</w:t>
      </w:r>
      <w:r w:rsidR="00A32D80" w:rsidRPr="00CB05A8">
        <w:t xml:space="preserve">; </w:t>
      </w:r>
      <w:r w:rsidR="0050468E" w:rsidRPr="00CB05A8">
        <w:rPr>
          <w:i/>
        </w:rPr>
        <w:t xml:space="preserve">People v. Williams </w:t>
      </w:r>
      <w:r w:rsidR="0050468E" w:rsidRPr="00CB05A8">
        <w:t xml:space="preserve">(2013) 58 Cal.4th 197, 294; </w:t>
      </w:r>
      <w:r w:rsidR="00A32D80" w:rsidRPr="00CB05A8">
        <w:rPr>
          <w:i/>
        </w:rPr>
        <w:t xml:space="preserve">People v. Myles </w:t>
      </w:r>
      <w:r w:rsidR="00A32D80" w:rsidRPr="00CB05A8">
        <w:t>(2012</w:t>
      </w:r>
      <w:r w:rsidR="0050468E" w:rsidRPr="00CB05A8">
        <w:t>)</w:t>
      </w:r>
      <w:r w:rsidR="00A32D80" w:rsidRPr="00CB05A8">
        <w:t xml:space="preserve"> 53 Cal.4th 1181, 122</w:t>
      </w:r>
      <w:r w:rsidR="002C2EC5" w:rsidRPr="00CB05A8">
        <w:t>4</w:t>
      </w:r>
      <w:r w:rsidR="00045720" w:rsidRPr="00CB05A8">
        <w:t>–</w:t>
      </w:r>
      <w:r w:rsidR="00A32D80" w:rsidRPr="00CB05A8">
        <w:t>1225</w:t>
      </w:r>
      <w:r w:rsidR="00DF061A" w:rsidRPr="00CB05A8">
        <w:t>.)</w:t>
      </w:r>
    </w:p>
    <w:p w14:paraId="2F6F7201" w14:textId="1CC9707D" w:rsidR="00CF73D9" w:rsidRPr="00CB05A8" w:rsidRDefault="00CF73D9" w:rsidP="000660B1">
      <w:pPr>
        <w:ind w:firstLine="720"/>
      </w:pPr>
      <w:r w:rsidRPr="00CB05A8">
        <w:t>Section 190.3, factor (a)</w:t>
      </w:r>
      <w:r w:rsidR="00D04B6A" w:rsidRPr="00CB05A8">
        <w:t>, which instructs the jury to consider as evidence in aggravation the “circumstances of the crime,” is not impermissibly broad</w:t>
      </w:r>
      <w:r w:rsidR="000F3A78" w:rsidRPr="00CB05A8">
        <w:t>, n</w:t>
      </w:r>
      <w:r w:rsidR="007778A8" w:rsidRPr="00CB05A8">
        <w:t>or</w:t>
      </w:r>
      <w:r w:rsidR="000F3A78" w:rsidRPr="00CB05A8">
        <w:t xml:space="preserve"> does it</w:t>
      </w:r>
      <w:r w:rsidR="007778A8" w:rsidRPr="00CB05A8">
        <w:t xml:space="preserve"> </w:t>
      </w:r>
      <w:r w:rsidR="007229EA" w:rsidRPr="00CB05A8">
        <w:t>result in the arbitrary and capricious imposition of the death penalty.  (</w:t>
      </w:r>
      <w:r w:rsidR="007229EA" w:rsidRPr="00CB05A8">
        <w:rPr>
          <w:i/>
        </w:rPr>
        <w:t>People v. Livingston</w:t>
      </w:r>
      <w:r w:rsidR="007229EA" w:rsidRPr="00CB05A8">
        <w:t xml:space="preserve"> (2012) 53</w:t>
      </w:r>
      <w:r w:rsidR="004D7847">
        <w:t> </w:t>
      </w:r>
      <w:r w:rsidR="007229EA" w:rsidRPr="00CB05A8">
        <w:t>Cal.4th 1145, 1179</w:t>
      </w:r>
      <w:r w:rsidR="00045720" w:rsidRPr="00CB05A8">
        <w:t>–</w:t>
      </w:r>
      <w:r w:rsidR="007229EA" w:rsidRPr="00CB05A8">
        <w:t>1180</w:t>
      </w:r>
      <w:r w:rsidR="00630AB1" w:rsidRPr="00CB05A8">
        <w:t xml:space="preserve"> (</w:t>
      </w:r>
      <w:r w:rsidR="00630AB1" w:rsidRPr="00CB05A8">
        <w:rPr>
          <w:i/>
        </w:rPr>
        <w:t>Livingston</w:t>
      </w:r>
      <w:r w:rsidR="00630AB1" w:rsidRPr="00CB05A8">
        <w:t>)</w:t>
      </w:r>
      <w:r w:rsidR="00D04AF8" w:rsidRPr="00CB05A8">
        <w:t xml:space="preserve">; </w:t>
      </w:r>
      <w:r w:rsidR="00D04AF8" w:rsidRPr="00CB05A8">
        <w:rPr>
          <w:i/>
        </w:rPr>
        <w:t xml:space="preserve">People v. Enraca </w:t>
      </w:r>
      <w:r w:rsidR="00D04AF8" w:rsidRPr="00CB05A8">
        <w:t>(2012) 53</w:t>
      </w:r>
      <w:r w:rsidR="004D7847">
        <w:t> </w:t>
      </w:r>
      <w:r w:rsidR="00D04AF8" w:rsidRPr="00CB05A8">
        <w:t>Cal.4th 735,</w:t>
      </w:r>
      <w:r w:rsidR="00667328" w:rsidRPr="00CB05A8">
        <w:t xml:space="preserve"> 769 (</w:t>
      </w:r>
      <w:r w:rsidR="00667328" w:rsidRPr="00CB05A8">
        <w:rPr>
          <w:i/>
        </w:rPr>
        <w:t>Enraca</w:t>
      </w:r>
      <w:r w:rsidR="00667328" w:rsidRPr="00CB05A8">
        <w:t>)</w:t>
      </w:r>
      <w:r w:rsidR="008C1DED" w:rsidRPr="00CB05A8">
        <w:t xml:space="preserve">; </w:t>
      </w:r>
      <w:r w:rsidR="008C1DED" w:rsidRPr="00CB05A8">
        <w:rPr>
          <w:i/>
        </w:rPr>
        <w:t>People v. Kennedy</w:t>
      </w:r>
      <w:r w:rsidR="008C1DED" w:rsidRPr="00CB05A8">
        <w:t xml:space="preserve"> (2005) 36 Cal.4th 595, 641</w:t>
      </w:r>
      <w:r w:rsidR="007229EA" w:rsidRPr="00CB05A8">
        <w:t>.)</w:t>
      </w:r>
    </w:p>
    <w:p w14:paraId="5FDE7A6B" w14:textId="725A1A73" w:rsidR="007229EA" w:rsidRPr="00CB05A8" w:rsidRDefault="00ED2614" w:rsidP="000660B1">
      <w:pPr>
        <w:ind w:firstLine="720"/>
      </w:pPr>
      <w:r w:rsidRPr="00CB05A8">
        <w:t>The death penalty statute</w:t>
      </w:r>
      <w:r w:rsidR="00DF57E3" w:rsidRPr="00CB05A8">
        <w:t xml:space="preserve"> does not </w:t>
      </w:r>
      <w:r w:rsidR="009C36BB" w:rsidRPr="00CB05A8">
        <w:t>yield</w:t>
      </w:r>
      <w:r w:rsidR="00DF57E3" w:rsidRPr="00CB05A8">
        <w:t xml:space="preserve"> arbitrary and capricious sentencing because jurors need not find </w:t>
      </w:r>
      <w:r w:rsidR="003C5283" w:rsidRPr="00CB05A8">
        <w:t xml:space="preserve">beyond a reasonable doubt that </w:t>
      </w:r>
      <w:r w:rsidR="000041BF" w:rsidRPr="00CB05A8">
        <w:t xml:space="preserve">an aggravating factor (other than </w:t>
      </w:r>
      <w:r w:rsidR="002050AA" w:rsidRPr="00CB05A8">
        <w:t xml:space="preserve">evidence under </w:t>
      </w:r>
      <w:r w:rsidR="000041BF" w:rsidRPr="00CB05A8">
        <w:t>section 190.3, factor (b) or (c)) has been proved</w:t>
      </w:r>
      <w:r w:rsidR="00CE5ECE" w:rsidRPr="00CB05A8">
        <w:t xml:space="preserve">.  </w:t>
      </w:r>
      <w:r w:rsidR="00630AB1" w:rsidRPr="00CB05A8">
        <w:t>(</w:t>
      </w:r>
      <w:r w:rsidR="000041BF" w:rsidRPr="00CB05A8">
        <w:rPr>
          <w:i/>
        </w:rPr>
        <w:t>Erskine</w:t>
      </w:r>
      <w:r w:rsidR="008F03BA" w:rsidRPr="00CB05A8">
        <w:t xml:space="preserve">, </w:t>
      </w:r>
      <w:r w:rsidR="008F03BA" w:rsidRPr="00CB05A8">
        <w:rPr>
          <w:i/>
        </w:rPr>
        <w:t>supra,</w:t>
      </w:r>
      <w:r w:rsidR="000041BF" w:rsidRPr="00CB05A8">
        <w:rPr>
          <w:i/>
        </w:rPr>
        <w:t xml:space="preserve"> </w:t>
      </w:r>
      <w:r w:rsidR="000041BF" w:rsidRPr="00CB05A8">
        <w:t xml:space="preserve">7 Cal.5th </w:t>
      </w:r>
      <w:r w:rsidR="008F03BA" w:rsidRPr="00CB05A8">
        <w:t>at p.</w:t>
      </w:r>
      <w:r w:rsidR="000041BF" w:rsidRPr="00CB05A8">
        <w:t xml:space="preserve"> 304; </w:t>
      </w:r>
      <w:r w:rsidR="00A11D35" w:rsidRPr="00CB05A8">
        <w:rPr>
          <w:i/>
        </w:rPr>
        <w:t>Livingston</w:t>
      </w:r>
      <w:r w:rsidR="00A11D35" w:rsidRPr="00CB05A8">
        <w:t xml:space="preserve">, </w:t>
      </w:r>
      <w:r w:rsidR="00A11D35" w:rsidRPr="00CB05A8">
        <w:rPr>
          <w:i/>
        </w:rPr>
        <w:t>supra</w:t>
      </w:r>
      <w:r w:rsidR="00A11D35" w:rsidRPr="00CB05A8">
        <w:t xml:space="preserve">, 53 Cal.4th at </w:t>
      </w:r>
      <w:r w:rsidR="001F50D0" w:rsidRPr="00CB05A8">
        <w:t>p</w:t>
      </w:r>
      <w:r w:rsidR="00A11D35" w:rsidRPr="00CB05A8">
        <w:t>p.</w:t>
      </w:r>
      <w:r w:rsidR="004D7847">
        <w:t> </w:t>
      </w:r>
      <w:r w:rsidR="001F50D0" w:rsidRPr="00CB05A8">
        <w:t>1179–</w:t>
      </w:r>
      <w:r w:rsidR="00A11D35" w:rsidRPr="00CB05A8">
        <w:t>1180</w:t>
      </w:r>
      <w:r w:rsidR="003C5283" w:rsidRPr="00CB05A8">
        <w:t xml:space="preserve">; </w:t>
      </w:r>
      <w:r w:rsidR="003C5283" w:rsidRPr="00CB05A8">
        <w:rPr>
          <w:i/>
        </w:rPr>
        <w:t>Enraca</w:t>
      </w:r>
      <w:r w:rsidR="00667328" w:rsidRPr="00CB05A8">
        <w:t xml:space="preserve">, </w:t>
      </w:r>
      <w:r w:rsidR="00667328" w:rsidRPr="00CB05A8">
        <w:rPr>
          <w:i/>
        </w:rPr>
        <w:t>supra</w:t>
      </w:r>
      <w:r w:rsidR="00667328" w:rsidRPr="00CB05A8">
        <w:t>,</w:t>
      </w:r>
      <w:r w:rsidR="003C5283" w:rsidRPr="00CB05A8">
        <w:rPr>
          <w:i/>
        </w:rPr>
        <w:t xml:space="preserve"> </w:t>
      </w:r>
      <w:r w:rsidR="003C5283" w:rsidRPr="00CB05A8">
        <w:t xml:space="preserve">53 Cal.4th </w:t>
      </w:r>
      <w:r w:rsidR="00667328" w:rsidRPr="00CB05A8">
        <w:t>at pp.</w:t>
      </w:r>
      <w:r w:rsidR="004D7847">
        <w:t> </w:t>
      </w:r>
      <w:r w:rsidR="003C5283" w:rsidRPr="00CB05A8">
        <w:t>768</w:t>
      </w:r>
      <w:r w:rsidR="00045720" w:rsidRPr="00CB05A8">
        <w:t>–</w:t>
      </w:r>
      <w:r w:rsidR="003C5283" w:rsidRPr="00CB05A8">
        <w:t>769</w:t>
      </w:r>
      <w:r w:rsidR="00A11D35" w:rsidRPr="00CB05A8">
        <w:t>.)</w:t>
      </w:r>
      <w:r w:rsidR="00AC2AA8" w:rsidRPr="00CB05A8">
        <w:t xml:space="preserve">  </w:t>
      </w:r>
      <w:r w:rsidR="006B3064">
        <w:t>We have held that t</w:t>
      </w:r>
      <w:r w:rsidR="00AC2AA8" w:rsidRPr="00CB05A8">
        <w:t>he high court’s recent decisions interpreting the Sixth Amendment’s jury trial guarantee do not alter our conclusions.  (</w:t>
      </w:r>
      <w:r w:rsidR="00884FA5" w:rsidRPr="00CB05A8">
        <w:rPr>
          <w:i/>
        </w:rPr>
        <w:t xml:space="preserve">People v. Rangel </w:t>
      </w:r>
      <w:r w:rsidR="00884FA5" w:rsidRPr="00CB05A8">
        <w:t>(2016) 62</w:t>
      </w:r>
      <w:r w:rsidR="00643FA4">
        <w:t> </w:t>
      </w:r>
      <w:r w:rsidR="00884FA5" w:rsidRPr="00CB05A8">
        <w:t>Cal.4th 1192, 1235</w:t>
      </w:r>
      <w:r w:rsidR="001F50D0" w:rsidRPr="00CB05A8">
        <w:t xml:space="preserve"> (</w:t>
      </w:r>
      <w:r w:rsidR="001F50D0" w:rsidRPr="00CB05A8">
        <w:rPr>
          <w:i/>
        </w:rPr>
        <w:t>Rangel</w:t>
      </w:r>
      <w:r w:rsidR="001F50D0" w:rsidRPr="00CB05A8">
        <w:t>)</w:t>
      </w:r>
      <w:r w:rsidR="00AC2AA8" w:rsidRPr="00CB05A8">
        <w:t xml:space="preserve">; </w:t>
      </w:r>
      <w:r w:rsidR="00AC2AA8" w:rsidRPr="00CB05A8">
        <w:rPr>
          <w:i/>
        </w:rPr>
        <w:t>People v. Lee</w:t>
      </w:r>
      <w:r w:rsidR="00AC2AA8" w:rsidRPr="00CB05A8">
        <w:t xml:space="preserve"> (2011) 51 Cal.4th 620, 651–652; see also </w:t>
      </w:r>
      <w:r w:rsidR="00AC2AA8" w:rsidRPr="00CB05A8">
        <w:rPr>
          <w:i/>
          <w:iCs/>
        </w:rPr>
        <w:t>McKinney v. Arizona</w:t>
      </w:r>
      <w:r w:rsidR="00AC2AA8" w:rsidRPr="00CB05A8">
        <w:t xml:space="preserve"> (2020) __</w:t>
      </w:r>
      <w:r w:rsidR="003E6793">
        <w:t>_</w:t>
      </w:r>
      <w:r w:rsidR="00AC2AA8" w:rsidRPr="00CB05A8">
        <w:t xml:space="preserve"> U.S. __</w:t>
      </w:r>
      <w:r w:rsidR="00F36A0D" w:rsidRPr="00CB05A8">
        <w:t>_</w:t>
      </w:r>
      <w:r w:rsidR="00AC2AA8" w:rsidRPr="00CB05A8">
        <w:t>, __</w:t>
      </w:r>
      <w:r w:rsidR="00F36A0D" w:rsidRPr="00CB05A8">
        <w:t>_</w:t>
      </w:r>
      <w:r w:rsidR="00AC2AA8" w:rsidRPr="00CB05A8">
        <w:t xml:space="preserve"> [140 S.Ct. 702, 708] [“</w:t>
      </w:r>
      <w:r w:rsidR="00AC2AA8" w:rsidRPr="00CB05A8">
        <w:rPr>
          <w:i/>
          <w:iCs/>
        </w:rPr>
        <w:t xml:space="preserve">Ring </w:t>
      </w:r>
      <w:r w:rsidR="00AC2AA8" w:rsidRPr="00CB05A8">
        <w:t>[</w:t>
      </w:r>
      <w:r w:rsidR="00AC2AA8" w:rsidRPr="00CB05A8">
        <w:rPr>
          <w:i/>
          <w:iCs/>
        </w:rPr>
        <w:t>v.</w:t>
      </w:r>
      <w:r w:rsidR="00AC2AA8" w:rsidRPr="00CB05A8">
        <w:t xml:space="preserve"> </w:t>
      </w:r>
      <w:r w:rsidR="00AC2AA8" w:rsidRPr="00CB05A8">
        <w:rPr>
          <w:i/>
          <w:iCs/>
        </w:rPr>
        <w:t>Arizona</w:t>
      </w:r>
      <w:r w:rsidR="00AC2AA8" w:rsidRPr="00CB05A8">
        <w:t xml:space="preserve"> (2002) 536 U.S. 584] and </w:t>
      </w:r>
      <w:r w:rsidR="00AC2AA8" w:rsidRPr="00CB05A8">
        <w:rPr>
          <w:i/>
          <w:iCs/>
        </w:rPr>
        <w:t>Hurst</w:t>
      </w:r>
      <w:r w:rsidR="00AC2AA8" w:rsidRPr="00CB05A8">
        <w:t xml:space="preserve"> [</w:t>
      </w:r>
      <w:r w:rsidR="00AC2AA8" w:rsidRPr="00CB05A8">
        <w:rPr>
          <w:i/>
          <w:iCs/>
        </w:rPr>
        <w:t>v. Florida</w:t>
      </w:r>
      <w:r w:rsidR="00AC2AA8" w:rsidRPr="00CB05A8">
        <w:t xml:space="preserve"> (2016) </w:t>
      </w:r>
      <w:r w:rsidR="001F50D0" w:rsidRPr="00CB05A8">
        <w:t>577</w:t>
      </w:r>
      <w:r w:rsidR="00AC2AA8" w:rsidRPr="00CB05A8">
        <w:t xml:space="preserve"> U.S. </w:t>
      </w:r>
      <w:r w:rsidR="001F50D0" w:rsidRPr="00CB05A8">
        <w:t>92</w:t>
      </w:r>
      <w:r w:rsidR="00AC2AA8" w:rsidRPr="00CB05A8">
        <w:t xml:space="preserve"> [136 S.Ct. 616]] did not require jury weighing of aggravating and mitigating circumstances”].)</w:t>
      </w:r>
    </w:p>
    <w:p w14:paraId="14BA878D" w14:textId="3418D779" w:rsidR="005938A4" w:rsidRPr="00CB05A8" w:rsidRDefault="00672EF3" w:rsidP="000660B1">
      <w:pPr>
        <w:ind w:firstLine="720"/>
      </w:pPr>
      <w:r w:rsidRPr="00CB05A8">
        <w:t xml:space="preserve">Similarly, </w:t>
      </w:r>
      <w:r w:rsidR="00ED4877">
        <w:t xml:space="preserve">we have held that </w:t>
      </w:r>
      <w:r w:rsidR="00926488" w:rsidRPr="00CB05A8">
        <w:t>t</w:t>
      </w:r>
      <w:r w:rsidR="005938A4" w:rsidRPr="00CB05A8">
        <w:t xml:space="preserve">he federal Constitution does not require that the penalty phase jury make unanimous findings </w:t>
      </w:r>
      <w:r w:rsidR="00926488" w:rsidRPr="00CB05A8">
        <w:t>“</w:t>
      </w:r>
      <w:r w:rsidR="005938A4" w:rsidRPr="00CB05A8">
        <w:t>regarding the existence of particular aggravating factors</w:t>
      </w:r>
      <w:r w:rsidR="00926488" w:rsidRPr="00CB05A8">
        <w:t>”</w:t>
      </w:r>
      <w:r w:rsidR="005938A4" w:rsidRPr="00CB05A8">
        <w:t xml:space="preserve"> (</w:t>
      </w:r>
      <w:r w:rsidRPr="00CB05A8">
        <w:rPr>
          <w:i/>
        </w:rPr>
        <w:t>Johnson</w:t>
      </w:r>
      <w:r w:rsidRPr="00CB05A8">
        <w:t xml:space="preserve">, </w:t>
      </w:r>
      <w:r w:rsidRPr="00CB05A8">
        <w:rPr>
          <w:i/>
        </w:rPr>
        <w:t>supra</w:t>
      </w:r>
      <w:r w:rsidRPr="00CB05A8">
        <w:t>, 62 Cal.4th at p.</w:t>
      </w:r>
      <w:r w:rsidR="004D7847">
        <w:t> </w:t>
      </w:r>
      <w:r w:rsidRPr="00CB05A8">
        <w:t>655</w:t>
      </w:r>
      <w:r w:rsidR="003A3AB2" w:rsidRPr="00CB05A8">
        <w:t xml:space="preserve">; </w:t>
      </w:r>
      <w:r w:rsidR="00B93F08" w:rsidRPr="00CB05A8">
        <w:t xml:space="preserve">see also </w:t>
      </w:r>
      <w:r w:rsidR="00B93F08" w:rsidRPr="00CB05A8">
        <w:rPr>
          <w:i/>
        </w:rPr>
        <w:t>Rangel</w:t>
      </w:r>
      <w:r w:rsidR="00884FA5" w:rsidRPr="00CB05A8">
        <w:t xml:space="preserve">, </w:t>
      </w:r>
      <w:r w:rsidR="00884FA5" w:rsidRPr="00CB05A8">
        <w:rPr>
          <w:i/>
        </w:rPr>
        <w:t>supra</w:t>
      </w:r>
      <w:r w:rsidR="00884FA5" w:rsidRPr="00CB05A8">
        <w:t>,</w:t>
      </w:r>
      <w:r w:rsidR="00B93F08" w:rsidRPr="00CB05A8">
        <w:rPr>
          <w:i/>
        </w:rPr>
        <w:t xml:space="preserve"> </w:t>
      </w:r>
      <w:r w:rsidR="00B93F08" w:rsidRPr="00CB05A8">
        <w:t xml:space="preserve">62 Cal.4th </w:t>
      </w:r>
      <w:r w:rsidR="00884FA5" w:rsidRPr="00CB05A8">
        <w:t>at p.</w:t>
      </w:r>
      <w:r w:rsidR="00B93F08" w:rsidRPr="00CB05A8">
        <w:t xml:space="preserve"> 1235</w:t>
      </w:r>
      <w:r w:rsidRPr="00CB05A8">
        <w:t>)</w:t>
      </w:r>
      <w:r w:rsidR="00926488" w:rsidRPr="00CB05A8">
        <w:t>, or “findings beyond a reasonable doubt</w:t>
      </w:r>
      <w:r w:rsidR="00FC20FF" w:rsidRPr="00CB05A8">
        <w:t xml:space="preserve"> </w:t>
      </w:r>
      <w:r w:rsidR="00926488" w:rsidRPr="00CB05A8">
        <w:t>as to the existence of aggravating factors other than section 190.3, factors (b) and (c)” (</w:t>
      </w:r>
      <w:r w:rsidR="00926488" w:rsidRPr="00CB05A8">
        <w:rPr>
          <w:i/>
        </w:rPr>
        <w:t xml:space="preserve">People v. Leon </w:t>
      </w:r>
      <w:r w:rsidR="00926488" w:rsidRPr="00CB05A8">
        <w:t>(2020) 8</w:t>
      </w:r>
      <w:r w:rsidR="004D7847">
        <w:t> </w:t>
      </w:r>
      <w:r w:rsidR="00926488" w:rsidRPr="00CB05A8">
        <w:t>Cal.5th 831, 853).</w:t>
      </w:r>
      <w:r w:rsidR="00FC20FF" w:rsidRPr="00CB05A8">
        <w:t xml:space="preserve"> </w:t>
      </w:r>
    </w:p>
    <w:p w14:paraId="0A490A78" w14:textId="2AE4E13E" w:rsidR="007C48F4" w:rsidRPr="00CB05A8" w:rsidRDefault="007C48F4" w:rsidP="000660B1">
      <w:pPr>
        <w:ind w:firstLine="720"/>
      </w:pPr>
      <w:r w:rsidRPr="00CB05A8">
        <w:t xml:space="preserve">“Permitting the jury to consider prior unadjudicated criminal conduct as a factor in aggravation under </w:t>
      </w:r>
      <w:r w:rsidR="00755DFC">
        <w:t>[</w:t>
      </w:r>
      <w:r w:rsidRPr="00CB05A8">
        <w:t>section 190.3,</w:t>
      </w:r>
      <w:r w:rsidR="00755DFC">
        <w:t>]</w:t>
      </w:r>
      <w:r w:rsidRPr="00CB05A8">
        <w:t xml:space="preserve"> factor (b), and imposing no requirement that the jury unanimously find the defendant guilty of the unadjudicated crimes does not violate a defendant’s right to due process or his Sixth Amendment jury trial right.”  (</w:t>
      </w:r>
      <w:r w:rsidRPr="00CB05A8">
        <w:rPr>
          <w:i/>
        </w:rPr>
        <w:t>Johnson</w:t>
      </w:r>
      <w:r w:rsidRPr="00CB05A8">
        <w:t xml:space="preserve">, </w:t>
      </w:r>
      <w:r w:rsidRPr="00CB05A8">
        <w:rPr>
          <w:i/>
        </w:rPr>
        <w:t>supra</w:t>
      </w:r>
      <w:r w:rsidRPr="00CB05A8">
        <w:t xml:space="preserve">, 62 Cal.4th at p. </w:t>
      </w:r>
      <w:r w:rsidR="00FA50BE" w:rsidRPr="00CB05A8">
        <w:t>656</w:t>
      </w:r>
      <w:r w:rsidR="00C05809">
        <w:t>, citing</w:t>
      </w:r>
      <w:r w:rsidR="00FA50BE" w:rsidRPr="00CB05A8">
        <w:t xml:space="preserve"> </w:t>
      </w:r>
      <w:r w:rsidR="00FA50BE" w:rsidRPr="00CB05A8">
        <w:rPr>
          <w:i/>
        </w:rPr>
        <w:t>People v. Clark</w:t>
      </w:r>
      <w:r w:rsidR="00A17CE1" w:rsidRPr="00CB05A8">
        <w:t xml:space="preserve"> (2011) 52</w:t>
      </w:r>
      <w:r w:rsidR="00CC1DDE" w:rsidRPr="00CB05A8">
        <w:t> </w:t>
      </w:r>
      <w:r w:rsidR="00A17CE1" w:rsidRPr="00CB05A8">
        <w:t xml:space="preserve">Cal.4th 856, </w:t>
      </w:r>
      <w:r w:rsidR="00011E26" w:rsidRPr="00CB05A8">
        <w:t>1007</w:t>
      </w:r>
      <w:r w:rsidR="00C05809">
        <w:t>,</w:t>
      </w:r>
      <w:r w:rsidR="00011E26" w:rsidRPr="00CB05A8">
        <w:t xml:space="preserve"> </w:t>
      </w:r>
      <w:r w:rsidR="00011E26" w:rsidRPr="00CB05A8">
        <w:rPr>
          <w:i/>
        </w:rPr>
        <w:t>People v. Barnwell</w:t>
      </w:r>
      <w:r w:rsidR="00011E26" w:rsidRPr="00CB05A8">
        <w:t xml:space="preserve"> (2007) 41 Cal.4th 1038, 1059.)</w:t>
      </w:r>
    </w:p>
    <w:p w14:paraId="6586C5E0" w14:textId="2E92E6E8" w:rsidR="00A17DE3" w:rsidRPr="00CB05A8" w:rsidRDefault="0056766C" w:rsidP="000660B1">
      <w:pPr>
        <w:ind w:firstLine="720"/>
      </w:pPr>
      <w:r w:rsidRPr="00CB05A8">
        <w:t xml:space="preserve">The </w:t>
      </w:r>
      <w:r w:rsidR="00CF4B1A" w:rsidRPr="00CB05A8">
        <w:t xml:space="preserve">trial </w:t>
      </w:r>
      <w:r w:rsidRPr="00CB05A8">
        <w:t xml:space="preserve">court’s instruction </w:t>
      </w:r>
      <w:r w:rsidR="00503DD5" w:rsidRPr="00CB05A8">
        <w:t>informing the jur</w:t>
      </w:r>
      <w:r w:rsidR="00ED2C55" w:rsidRPr="00CB05A8">
        <w:t xml:space="preserve">ors </w:t>
      </w:r>
      <w:r w:rsidR="00503DD5" w:rsidRPr="00CB05A8">
        <w:t xml:space="preserve">that they might be persuaded that the aggravating circumstances are “so substantial” in comparison with </w:t>
      </w:r>
      <w:r w:rsidR="005B29E8" w:rsidRPr="00CB05A8">
        <w:t xml:space="preserve">the mitigating circumstances that a death sentence is warranted is not </w:t>
      </w:r>
      <w:r w:rsidR="002D610F" w:rsidRPr="00CB05A8">
        <w:t xml:space="preserve">unconstitutionally vague and </w:t>
      </w:r>
      <w:r w:rsidR="009822AD" w:rsidRPr="00CB05A8">
        <w:t>ambiguous.  (</w:t>
      </w:r>
      <w:r w:rsidR="00C34BD9" w:rsidRPr="00CB05A8">
        <w:rPr>
          <w:i/>
        </w:rPr>
        <w:t xml:space="preserve">People v. Frederickson </w:t>
      </w:r>
      <w:r w:rsidR="00C34BD9" w:rsidRPr="00CB05A8">
        <w:t>(</w:t>
      </w:r>
      <w:r w:rsidR="00925DA8" w:rsidRPr="00CB05A8">
        <w:t>2020</w:t>
      </w:r>
      <w:r w:rsidR="00C34BD9" w:rsidRPr="00CB05A8">
        <w:t xml:space="preserve">) </w:t>
      </w:r>
      <w:r w:rsidR="00925DA8" w:rsidRPr="00CB05A8">
        <w:t>8</w:t>
      </w:r>
      <w:r w:rsidR="00CC1DDE" w:rsidRPr="00CB05A8">
        <w:t> </w:t>
      </w:r>
      <w:r w:rsidR="00925DA8" w:rsidRPr="00CB05A8">
        <w:t xml:space="preserve">Cal.5th 963, </w:t>
      </w:r>
      <w:r w:rsidR="00606631" w:rsidRPr="00CB05A8">
        <w:t xml:space="preserve">1026 </w:t>
      </w:r>
      <w:r w:rsidR="002C0DAF" w:rsidRPr="00CB05A8">
        <w:t>(</w:t>
      </w:r>
      <w:r w:rsidR="002C0DAF" w:rsidRPr="00CB05A8">
        <w:rPr>
          <w:i/>
        </w:rPr>
        <w:t>Frederickson</w:t>
      </w:r>
      <w:r w:rsidR="002C0DAF" w:rsidRPr="00CB05A8">
        <w:t>)</w:t>
      </w:r>
      <w:r w:rsidR="002C0DAF" w:rsidRPr="00CB05A8">
        <w:rPr>
          <w:i/>
        </w:rPr>
        <w:t xml:space="preserve"> </w:t>
      </w:r>
      <w:r w:rsidR="00C34BD9" w:rsidRPr="00CB05A8">
        <w:t xml:space="preserve">[“CALJIC No. 8.88 is not impermissibly broad”]; </w:t>
      </w:r>
      <w:r w:rsidR="00804DDA" w:rsidRPr="00CB05A8">
        <w:rPr>
          <w:i/>
        </w:rPr>
        <w:t>Jones</w:t>
      </w:r>
      <w:r w:rsidR="005033DA" w:rsidRPr="00CB05A8">
        <w:t xml:space="preserve">, </w:t>
      </w:r>
      <w:r w:rsidR="005033DA" w:rsidRPr="00CB05A8">
        <w:rPr>
          <w:i/>
        </w:rPr>
        <w:t>supra</w:t>
      </w:r>
      <w:r w:rsidR="005033DA" w:rsidRPr="00CB05A8">
        <w:t>,</w:t>
      </w:r>
      <w:r w:rsidR="00804DDA" w:rsidRPr="00CB05A8">
        <w:t xml:space="preserve"> 54 Cal.</w:t>
      </w:r>
      <w:r w:rsidR="007B0979" w:rsidRPr="00CB05A8">
        <w:t>4</w:t>
      </w:r>
      <w:r w:rsidR="00804DDA" w:rsidRPr="00CB05A8">
        <w:t xml:space="preserve">th </w:t>
      </w:r>
      <w:r w:rsidR="005033DA" w:rsidRPr="00CB05A8">
        <w:t>at p.</w:t>
      </w:r>
      <w:r w:rsidR="00804DDA" w:rsidRPr="00CB05A8">
        <w:t xml:space="preserve"> 78</w:t>
      </w:r>
      <w:r w:rsidR="00E31ABE" w:rsidRPr="00CB05A8">
        <w:t xml:space="preserve">; </w:t>
      </w:r>
      <w:r w:rsidR="00E31ABE" w:rsidRPr="00CB05A8">
        <w:rPr>
          <w:i/>
        </w:rPr>
        <w:t xml:space="preserve">People v. Schmeck </w:t>
      </w:r>
      <w:r w:rsidR="00E31ABE" w:rsidRPr="00CB05A8">
        <w:t>(2005) 37 Cal.4th 240</w:t>
      </w:r>
      <w:r w:rsidR="00504320" w:rsidRPr="00CB05A8">
        <w:t>, 305</w:t>
      </w:r>
      <w:r w:rsidR="003F385D" w:rsidRPr="00CB05A8">
        <w:t>.)</w:t>
      </w:r>
    </w:p>
    <w:p w14:paraId="483ACD9B" w14:textId="5A2443F4" w:rsidR="00EB280C" w:rsidRPr="00CB05A8" w:rsidRDefault="005905CB" w:rsidP="000660B1">
      <w:pPr>
        <w:ind w:firstLine="720"/>
      </w:pPr>
      <w:r w:rsidRPr="00CB05A8">
        <w:t>T</w:t>
      </w:r>
      <w:r w:rsidR="0052771F" w:rsidRPr="00CB05A8">
        <w:t xml:space="preserve">he </w:t>
      </w:r>
      <w:r w:rsidR="009571DF" w:rsidRPr="00CB05A8">
        <w:t xml:space="preserve">trial </w:t>
      </w:r>
      <w:r w:rsidR="00CF4B1A" w:rsidRPr="00CB05A8">
        <w:t>court need not</w:t>
      </w:r>
      <w:r w:rsidR="0052771F" w:rsidRPr="00CB05A8">
        <w:t xml:space="preserve"> </w:t>
      </w:r>
      <w:r w:rsidR="00CF4B1A" w:rsidRPr="00CB05A8">
        <w:t xml:space="preserve">instruct </w:t>
      </w:r>
      <w:r w:rsidR="0052771F" w:rsidRPr="00CB05A8">
        <w:t xml:space="preserve">the jury that </w:t>
      </w:r>
      <w:r w:rsidRPr="00CB05A8">
        <w:t xml:space="preserve">(1) </w:t>
      </w:r>
      <w:r w:rsidR="0052771F" w:rsidRPr="00CB05A8">
        <w:t xml:space="preserve">it must impose a </w:t>
      </w:r>
      <w:r w:rsidR="00481580" w:rsidRPr="00CB05A8">
        <w:t xml:space="preserve">sentence of life without the possibility of parole if it determines that mitigating factors outweigh </w:t>
      </w:r>
      <w:r w:rsidR="0033048E" w:rsidRPr="00CB05A8">
        <w:t>aggravating factors</w:t>
      </w:r>
      <w:r w:rsidRPr="00CB05A8">
        <w:t xml:space="preserve"> </w:t>
      </w:r>
      <w:r w:rsidR="006A4D7B" w:rsidRPr="00CB05A8">
        <w:t>(</w:t>
      </w:r>
      <w:r w:rsidR="00F30C40" w:rsidRPr="00CB05A8">
        <w:rPr>
          <w:i/>
        </w:rPr>
        <w:t>Frederickson</w:t>
      </w:r>
      <w:r w:rsidR="00F30C40" w:rsidRPr="00CB05A8">
        <w:t xml:space="preserve">, </w:t>
      </w:r>
      <w:r w:rsidR="00F30C40" w:rsidRPr="00CB05A8">
        <w:rPr>
          <w:i/>
        </w:rPr>
        <w:t>supra</w:t>
      </w:r>
      <w:r w:rsidR="00F30C40" w:rsidRPr="00CB05A8">
        <w:t>, 8 Cal.5th at p. 1027;</w:t>
      </w:r>
      <w:r w:rsidR="00F30C40" w:rsidRPr="00CB05A8">
        <w:rPr>
          <w:i/>
        </w:rPr>
        <w:t xml:space="preserve"> </w:t>
      </w:r>
      <w:r w:rsidR="006A4D7B" w:rsidRPr="00CB05A8">
        <w:rPr>
          <w:i/>
        </w:rPr>
        <w:t>Jones</w:t>
      </w:r>
      <w:r w:rsidR="006A4D7B" w:rsidRPr="00CB05A8">
        <w:t xml:space="preserve">, </w:t>
      </w:r>
      <w:r w:rsidR="006A4D7B" w:rsidRPr="00CB05A8">
        <w:rPr>
          <w:i/>
        </w:rPr>
        <w:t>supra</w:t>
      </w:r>
      <w:r w:rsidR="006A4D7B" w:rsidRPr="00CB05A8">
        <w:t>, 54 Cal.4th at pp. 78</w:t>
      </w:r>
      <w:r w:rsidR="00045720" w:rsidRPr="00CB05A8">
        <w:t>–</w:t>
      </w:r>
      <w:r w:rsidR="006A4D7B" w:rsidRPr="00CB05A8">
        <w:t>79</w:t>
      </w:r>
      <w:r w:rsidR="003D3F96" w:rsidRPr="00CB05A8">
        <w:t>)</w:t>
      </w:r>
      <w:r w:rsidRPr="00CB05A8">
        <w:t xml:space="preserve">; (2) </w:t>
      </w:r>
      <w:r w:rsidR="0016228A" w:rsidRPr="00CB05A8">
        <w:t xml:space="preserve">its findings regarding mitigating circumstances </w:t>
      </w:r>
      <w:r w:rsidR="00CE55CA" w:rsidRPr="00CB05A8">
        <w:t>do not need to</w:t>
      </w:r>
      <w:r w:rsidR="0016228A" w:rsidRPr="00CB05A8">
        <w:t xml:space="preserve"> be unanimous (</w:t>
      </w:r>
      <w:r w:rsidR="0016228A" w:rsidRPr="00CB05A8">
        <w:rPr>
          <w:i/>
        </w:rPr>
        <w:t>People v. Valdez</w:t>
      </w:r>
      <w:r w:rsidR="0016228A" w:rsidRPr="00CB05A8">
        <w:t xml:space="preserve"> (2012) 55 Cal.4th </w:t>
      </w:r>
      <w:r w:rsidR="006A4956" w:rsidRPr="00CB05A8">
        <w:t>82</w:t>
      </w:r>
      <w:r w:rsidR="0016228A" w:rsidRPr="00CB05A8">
        <w:t xml:space="preserve">, </w:t>
      </w:r>
      <w:r w:rsidR="006A4956" w:rsidRPr="00CB05A8">
        <w:t>180</w:t>
      </w:r>
      <w:r w:rsidR="00FC557B" w:rsidRPr="00CB05A8">
        <w:t xml:space="preserve"> (</w:t>
      </w:r>
      <w:r w:rsidR="00FC557B" w:rsidRPr="00CB05A8">
        <w:rPr>
          <w:i/>
        </w:rPr>
        <w:t>Valdez</w:t>
      </w:r>
      <w:r w:rsidR="00FC557B" w:rsidRPr="00CB05A8">
        <w:t>)</w:t>
      </w:r>
      <w:r w:rsidR="00172AE0" w:rsidRPr="00CB05A8">
        <w:t>)</w:t>
      </w:r>
      <w:r w:rsidR="006A4956" w:rsidRPr="00CB05A8">
        <w:t xml:space="preserve">; </w:t>
      </w:r>
      <w:r w:rsidR="007B6D1B" w:rsidRPr="00CB05A8">
        <w:t xml:space="preserve">(3) </w:t>
      </w:r>
      <w:r w:rsidR="00A87039" w:rsidRPr="00CB05A8">
        <w:t>it should presume life imprisonment without the possibility of parole is the appropriate sentence (</w:t>
      </w:r>
      <w:r w:rsidR="00A87039" w:rsidRPr="00CB05A8">
        <w:rPr>
          <w:i/>
        </w:rPr>
        <w:t>id.</w:t>
      </w:r>
      <w:r w:rsidR="00A87039" w:rsidRPr="00CB05A8">
        <w:t xml:space="preserve"> at p. 179)</w:t>
      </w:r>
      <w:r w:rsidR="005516E2" w:rsidRPr="00CB05A8">
        <w:t xml:space="preserve">; or </w:t>
      </w:r>
      <w:r w:rsidR="00172AE0" w:rsidRPr="00CB05A8">
        <w:t xml:space="preserve">(4) </w:t>
      </w:r>
      <w:r w:rsidR="00F07074" w:rsidRPr="00CB05A8">
        <w:t>statutory mitigating factors are relevant solely in mitigation (</w:t>
      </w:r>
      <w:r w:rsidR="00F07074" w:rsidRPr="00CB05A8">
        <w:rPr>
          <w:i/>
        </w:rPr>
        <w:t>ibid.</w:t>
      </w:r>
      <w:r w:rsidR="00F07074" w:rsidRPr="00CB05A8">
        <w:t xml:space="preserve">; </w:t>
      </w:r>
      <w:r w:rsidR="00A04B07" w:rsidRPr="00CB05A8">
        <w:rPr>
          <w:i/>
        </w:rPr>
        <w:t>Livingston</w:t>
      </w:r>
      <w:r w:rsidR="00A04B07" w:rsidRPr="00CB05A8">
        <w:t xml:space="preserve">, </w:t>
      </w:r>
      <w:r w:rsidR="00A04B07" w:rsidRPr="00CB05A8">
        <w:rPr>
          <w:i/>
        </w:rPr>
        <w:t>supra</w:t>
      </w:r>
      <w:r w:rsidR="00A04B07" w:rsidRPr="00CB05A8">
        <w:t>, 53</w:t>
      </w:r>
      <w:r w:rsidR="00CB05A8">
        <w:t> </w:t>
      </w:r>
      <w:r w:rsidR="00A04B07" w:rsidRPr="00CB05A8">
        <w:t>Cal.4th at p.</w:t>
      </w:r>
      <w:r w:rsidR="00CC1DDE" w:rsidRPr="00CB05A8">
        <w:t> </w:t>
      </w:r>
      <w:r w:rsidR="00A04B07" w:rsidRPr="00CB05A8">
        <w:t>1180)</w:t>
      </w:r>
      <w:r w:rsidR="003275CE" w:rsidRPr="00CB05A8">
        <w:t>.</w:t>
      </w:r>
      <w:r w:rsidR="00A87039" w:rsidRPr="00CB05A8">
        <w:t xml:space="preserve"> </w:t>
      </w:r>
      <w:r w:rsidR="00924289" w:rsidRPr="00CB05A8">
        <w:t xml:space="preserve"> </w:t>
      </w:r>
    </w:p>
    <w:p w14:paraId="076CAB52" w14:textId="3C4FC4F7" w:rsidR="002C0DAF" w:rsidRPr="00CB05A8" w:rsidRDefault="003275CE" w:rsidP="000660B1">
      <w:pPr>
        <w:ind w:firstLine="720"/>
      </w:pPr>
      <w:r w:rsidRPr="00CB05A8">
        <w:t xml:space="preserve">Jurors need not make written findings </w:t>
      </w:r>
      <w:r w:rsidR="004044F7" w:rsidRPr="00CB05A8">
        <w:t>on the aggravating factors found.  (</w:t>
      </w:r>
      <w:r w:rsidR="004044F7" w:rsidRPr="00CB05A8">
        <w:rPr>
          <w:i/>
        </w:rPr>
        <w:t>Valdez</w:t>
      </w:r>
      <w:r w:rsidR="004044F7" w:rsidRPr="00CB05A8">
        <w:t xml:space="preserve">, </w:t>
      </w:r>
      <w:r w:rsidR="004044F7" w:rsidRPr="00CB05A8">
        <w:rPr>
          <w:i/>
        </w:rPr>
        <w:t>supra</w:t>
      </w:r>
      <w:r w:rsidR="004044F7" w:rsidRPr="00CB05A8">
        <w:t>, 55 Cal.4th at p.</w:t>
      </w:r>
      <w:r w:rsidR="004D7847">
        <w:t> </w:t>
      </w:r>
      <w:r w:rsidR="004044F7" w:rsidRPr="00CB05A8">
        <w:t xml:space="preserve">180; </w:t>
      </w:r>
      <w:r w:rsidR="004044F7" w:rsidRPr="00CB05A8">
        <w:rPr>
          <w:i/>
        </w:rPr>
        <w:t xml:space="preserve">People v. Cook </w:t>
      </w:r>
      <w:r w:rsidR="004044F7" w:rsidRPr="00CB05A8">
        <w:t>(2006) 39 Cal.4th 566, 619</w:t>
      </w:r>
      <w:r w:rsidR="00FC557B" w:rsidRPr="00CB05A8">
        <w:t xml:space="preserve"> (</w:t>
      </w:r>
      <w:r w:rsidR="00FC557B" w:rsidRPr="00CB05A8">
        <w:rPr>
          <w:i/>
        </w:rPr>
        <w:t>Cook</w:t>
      </w:r>
      <w:r w:rsidR="00FC557B" w:rsidRPr="00CB05A8">
        <w:t>)</w:t>
      </w:r>
      <w:r w:rsidR="004044F7" w:rsidRPr="00CB05A8">
        <w:t>.)</w:t>
      </w:r>
    </w:p>
    <w:p w14:paraId="45C698EF" w14:textId="044DDC6E" w:rsidR="00E270B4" w:rsidRPr="00CB05A8" w:rsidRDefault="003E5B79" w:rsidP="000660B1">
      <w:pPr>
        <w:ind w:firstLine="720"/>
      </w:pPr>
      <w:r w:rsidRPr="00CB05A8">
        <w:t xml:space="preserve">“Use of adjectives such as ‘extreme’ and ‘substantial’ in section 190.3, factors (d) and (g), respectively, does not create a </w:t>
      </w:r>
      <w:r w:rsidR="00E26D09" w:rsidRPr="00CB05A8">
        <w:t>constitutionally</w:t>
      </w:r>
      <w:r w:rsidRPr="00CB05A8">
        <w:t xml:space="preserve"> impermissible barrier to the jury’s consideration of a defendant’s mitigating evidence.</w:t>
      </w:r>
      <w:r w:rsidR="00E26D09" w:rsidRPr="00CB05A8">
        <w:t>”  (</w:t>
      </w:r>
      <w:r w:rsidR="00E26D09" w:rsidRPr="00CB05A8">
        <w:rPr>
          <w:i/>
        </w:rPr>
        <w:t>Johnson</w:t>
      </w:r>
      <w:r w:rsidR="00E26D09" w:rsidRPr="00CB05A8">
        <w:t xml:space="preserve">, </w:t>
      </w:r>
      <w:r w:rsidR="00E26D09" w:rsidRPr="00CB05A8">
        <w:rPr>
          <w:i/>
        </w:rPr>
        <w:t>supra</w:t>
      </w:r>
      <w:r w:rsidR="00E26D09" w:rsidRPr="00CB05A8">
        <w:t>, 62 Cal.4th at p.</w:t>
      </w:r>
      <w:r w:rsidR="00CB05A8">
        <w:t> </w:t>
      </w:r>
      <w:r w:rsidR="00E26D09" w:rsidRPr="00CB05A8">
        <w:t xml:space="preserve">656; </w:t>
      </w:r>
      <w:r w:rsidR="002860B5">
        <w:t xml:space="preserve">see </w:t>
      </w:r>
      <w:r w:rsidR="00E26D09" w:rsidRPr="00CB05A8">
        <w:rPr>
          <w:i/>
        </w:rPr>
        <w:t>People v. DeHoyos</w:t>
      </w:r>
      <w:r w:rsidR="00E26D09" w:rsidRPr="00CB05A8">
        <w:t xml:space="preserve"> (2013) 57 Cal.4th 79, 150.)</w:t>
      </w:r>
    </w:p>
    <w:p w14:paraId="2DD8DF4F" w14:textId="317E777D" w:rsidR="00515079" w:rsidRPr="00CB05A8" w:rsidRDefault="00515079" w:rsidP="000660B1">
      <w:pPr>
        <w:ind w:firstLine="720"/>
      </w:pPr>
      <w:r w:rsidRPr="00CB05A8">
        <w:t>The trial court need not delete factually inapplicable sentencing factors from its instructions.  (</w:t>
      </w:r>
      <w:r w:rsidR="00B573C6" w:rsidRPr="00CB05A8">
        <w:rPr>
          <w:i/>
        </w:rPr>
        <w:t>Valdez</w:t>
      </w:r>
      <w:r w:rsidR="00B573C6" w:rsidRPr="00CB05A8">
        <w:t xml:space="preserve">, </w:t>
      </w:r>
      <w:r w:rsidR="00B573C6" w:rsidRPr="00CB05A8">
        <w:rPr>
          <w:i/>
        </w:rPr>
        <w:t>supra</w:t>
      </w:r>
      <w:r w:rsidR="00B573C6" w:rsidRPr="00CB05A8">
        <w:t>, 55 Cal.4th at p.</w:t>
      </w:r>
      <w:r w:rsidR="004D7847">
        <w:t> </w:t>
      </w:r>
      <w:r w:rsidR="00B573C6" w:rsidRPr="00CB05A8">
        <w:t>180</w:t>
      </w:r>
      <w:r w:rsidR="00FC557B" w:rsidRPr="00CB05A8">
        <w:t xml:space="preserve">; </w:t>
      </w:r>
      <w:r w:rsidRPr="00CB05A8">
        <w:rPr>
          <w:i/>
        </w:rPr>
        <w:t>Cook</w:t>
      </w:r>
      <w:r w:rsidR="00FC557B" w:rsidRPr="00CB05A8">
        <w:t xml:space="preserve">, </w:t>
      </w:r>
      <w:r w:rsidR="00FC557B" w:rsidRPr="00CB05A8">
        <w:rPr>
          <w:i/>
        </w:rPr>
        <w:t>supra</w:t>
      </w:r>
      <w:r w:rsidR="00FC557B" w:rsidRPr="00CB05A8">
        <w:t>,</w:t>
      </w:r>
      <w:r w:rsidRPr="00CB05A8">
        <w:rPr>
          <w:i/>
        </w:rPr>
        <w:t xml:space="preserve"> </w:t>
      </w:r>
      <w:r w:rsidR="00F664C6" w:rsidRPr="00CB05A8">
        <w:t xml:space="preserve">39 Cal.4th </w:t>
      </w:r>
      <w:r w:rsidR="00FC557B" w:rsidRPr="00CB05A8">
        <w:t>at p.</w:t>
      </w:r>
      <w:r w:rsidR="004D7847">
        <w:t> </w:t>
      </w:r>
      <w:r w:rsidR="00F664C6" w:rsidRPr="00CB05A8">
        <w:t>618.)</w:t>
      </w:r>
    </w:p>
    <w:p w14:paraId="64ABB7F1" w14:textId="0C72D0BD" w:rsidR="00E26D09" w:rsidRPr="00CB05A8" w:rsidRDefault="008B1296" w:rsidP="000660B1">
      <w:pPr>
        <w:ind w:firstLine="720"/>
      </w:pPr>
      <w:r w:rsidRPr="00CB05A8">
        <w:t>“</w:t>
      </w:r>
      <w:r w:rsidR="00532211" w:rsidRPr="00CB05A8">
        <w:t>Comparative intercase proportionality review by the trial or appellate courts is not constitutionally required.</w:t>
      </w:r>
      <w:r w:rsidRPr="00CB05A8">
        <w:t>”</w:t>
      </w:r>
      <w:r w:rsidR="00532211" w:rsidRPr="00CB05A8">
        <w:t xml:space="preserve">  (</w:t>
      </w:r>
      <w:r w:rsidRPr="00CB05A8">
        <w:rPr>
          <w:i/>
        </w:rPr>
        <w:t xml:space="preserve">People v. Snow </w:t>
      </w:r>
      <w:r w:rsidRPr="00CB05A8">
        <w:t>(2003) 30 Cal.4th 43, 126</w:t>
      </w:r>
      <w:r w:rsidR="00532211" w:rsidRPr="00CB05A8">
        <w:t>.)</w:t>
      </w:r>
    </w:p>
    <w:p w14:paraId="2BBE96E3" w14:textId="26F71B50" w:rsidR="00DE237C" w:rsidRPr="00CB05A8" w:rsidRDefault="00DE237C" w:rsidP="000660B1">
      <w:pPr>
        <w:ind w:firstLine="720"/>
      </w:pPr>
      <w:r w:rsidRPr="00CB05A8">
        <w:t xml:space="preserve">The capital sentencing scheme does not violate equal protection by </w:t>
      </w:r>
      <w:r w:rsidR="00C03C91" w:rsidRPr="00CB05A8">
        <w:t xml:space="preserve">denying </w:t>
      </w:r>
      <w:r w:rsidR="0046114D" w:rsidRPr="00CB05A8">
        <w:t>certain procedural protections to capital defendants that are available to</w:t>
      </w:r>
      <w:r w:rsidRPr="00CB05A8">
        <w:t xml:space="preserve"> noncapital defendants</w:t>
      </w:r>
      <w:r w:rsidR="0046114D" w:rsidRPr="00CB05A8">
        <w:t>.</w:t>
      </w:r>
      <w:r w:rsidR="00EA4080" w:rsidRPr="00CB05A8">
        <w:t xml:space="preserve">  (</w:t>
      </w:r>
      <w:r w:rsidR="00EA4080" w:rsidRPr="00CB05A8">
        <w:rPr>
          <w:i/>
        </w:rPr>
        <w:t xml:space="preserve">People v. Thomas </w:t>
      </w:r>
      <w:r w:rsidR="00EA4080" w:rsidRPr="00CB05A8">
        <w:t>(2012) 53</w:t>
      </w:r>
      <w:r w:rsidR="00643FA4">
        <w:t> </w:t>
      </w:r>
      <w:r w:rsidR="00EA4080" w:rsidRPr="00CB05A8">
        <w:t>Cal.4th 771, 836.)</w:t>
      </w:r>
      <w:r w:rsidRPr="00CB05A8">
        <w:t xml:space="preserve"> </w:t>
      </w:r>
    </w:p>
    <w:p w14:paraId="4CDF8FCF" w14:textId="294AC7C4" w:rsidR="00067158" w:rsidRPr="00CB05A8" w:rsidRDefault="00067158" w:rsidP="000660B1">
      <w:pPr>
        <w:ind w:firstLine="720"/>
      </w:pPr>
      <w:r w:rsidRPr="00CB05A8">
        <w:t xml:space="preserve">California’s </w:t>
      </w:r>
      <w:r w:rsidR="00C00027" w:rsidRPr="00CB05A8">
        <w:t xml:space="preserve">use of the </w:t>
      </w:r>
      <w:r w:rsidRPr="00CB05A8">
        <w:t xml:space="preserve">death penalty </w:t>
      </w:r>
      <w:r w:rsidR="00C00027" w:rsidRPr="00CB05A8">
        <w:t>does not violate international law.  (</w:t>
      </w:r>
      <w:r w:rsidR="00C00027" w:rsidRPr="00CB05A8">
        <w:rPr>
          <w:i/>
        </w:rPr>
        <w:t>Frederickson</w:t>
      </w:r>
      <w:r w:rsidR="00C00027" w:rsidRPr="00CB05A8">
        <w:t xml:space="preserve">, </w:t>
      </w:r>
      <w:r w:rsidR="00C00027" w:rsidRPr="00CB05A8">
        <w:rPr>
          <w:i/>
        </w:rPr>
        <w:t>supra</w:t>
      </w:r>
      <w:r w:rsidR="00C00027" w:rsidRPr="00CB05A8">
        <w:t>, 8 Cal.5th at p. 1027.)</w:t>
      </w:r>
    </w:p>
    <w:p w14:paraId="18BE59BD" w14:textId="68F20BB4" w:rsidR="005F17C9" w:rsidRPr="00CB05A8" w:rsidRDefault="00507C15" w:rsidP="00CB05A8">
      <w:pPr>
        <w:pStyle w:val="Heading3"/>
        <w:rPr>
          <w:b/>
        </w:rPr>
      </w:pPr>
      <w:bookmarkStart w:id="73" w:name="_Toc58918829"/>
      <w:r w:rsidRPr="00CB05A8">
        <w:t>2</w:t>
      </w:r>
      <w:r w:rsidR="005F17C9" w:rsidRPr="00CB05A8">
        <w:t xml:space="preserve">.  Sentence of </w:t>
      </w:r>
      <w:r w:rsidR="001270B8" w:rsidRPr="00CB05A8">
        <w:t>t</w:t>
      </w:r>
      <w:r w:rsidR="005F17C9" w:rsidRPr="00CB05A8">
        <w:t xml:space="preserve">wo </w:t>
      </w:r>
      <w:r w:rsidR="003A1BBA" w:rsidRPr="00CB05A8">
        <w:t>e</w:t>
      </w:r>
      <w:r w:rsidR="005F17C9" w:rsidRPr="00CB05A8">
        <w:t xml:space="preserve">nhancements on </w:t>
      </w:r>
      <w:r w:rsidR="003A1BBA" w:rsidRPr="00CB05A8">
        <w:t>s</w:t>
      </w:r>
      <w:r w:rsidR="005F17C9" w:rsidRPr="00CB05A8">
        <w:t xml:space="preserve">ingle </w:t>
      </w:r>
      <w:r w:rsidR="003A1BBA" w:rsidRPr="00CB05A8">
        <w:t>p</w:t>
      </w:r>
      <w:r w:rsidR="005F17C9" w:rsidRPr="00CB05A8">
        <w:t xml:space="preserve">rior </w:t>
      </w:r>
      <w:r w:rsidR="003A1BBA" w:rsidRPr="00CB05A8">
        <w:t>c</w:t>
      </w:r>
      <w:r w:rsidR="005F17C9" w:rsidRPr="00CB05A8">
        <w:t xml:space="preserve">onviction </w:t>
      </w:r>
      <w:bookmarkEnd w:id="73"/>
    </w:p>
    <w:p w14:paraId="1BAAB642" w14:textId="0DC5077E" w:rsidR="000A1580" w:rsidRPr="00CB05A8" w:rsidRDefault="000C01F7" w:rsidP="000660B1">
      <w:pPr>
        <w:ind w:firstLine="720"/>
      </w:pPr>
      <w:r w:rsidRPr="00CB05A8">
        <w:t>The jury found true the allegation that defendant suffered five robbery convictions under section 667, subdivision (a)</w:t>
      </w:r>
      <w:r w:rsidR="00883635" w:rsidRPr="00CB05A8">
        <w:t xml:space="preserve">, and found true the allegation that defendant </w:t>
      </w:r>
      <w:r w:rsidR="00884E36" w:rsidRPr="00CB05A8">
        <w:t xml:space="preserve">had </w:t>
      </w:r>
      <w:r w:rsidR="00883635" w:rsidRPr="00CB05A8">
        <w:t xml:space="preserve">served a prior prison term for those convictions and did not remain free from custody or a criminal conviction for </w:t>
      </w:r>
      <w:r w:rsidR="003E786F">
        <w:t>10</w:t>
      </w:r>
      <w:r w:rsidR="00883635" w:rsidRPr="00CB05A8">
        <w:t xml:space="preserve"> years under section 667.5, subdivision (a)</w:t>
      </w:r>
      <w:r w:rsidRPr="00CB05A8">
        <w:t>.</w:t>
      </w:r>
      <w:r w:rsidR="00817391" w:rsidRPr="00CB05A8">
        <w:t xml:space="preserve">  </w:t>
      </w:r>
      <w:r w:rsidR="000A1580" w:rsidRPr="00CB05A8">
        <w:t xml:space="preserve">The </w:t>
      </w:r>
      <w:r w:rsidR="007363AD" w:rsidRPr="00CB05A8">
        <w:t>trial</w:t>
      </w:r>
      <w:r w:rsidR="00D15D0C" w:rsidRPr="00CB05A8">
        <w:t xml:space="preserve"> </w:t>
      </w:r>
      <w:r w:rsidR="000A1580" w:rsidRPr="00CB05A8">
        <w:t>court sentenced defendant to a five-year enhancement for each of the prior serious felony convictions</w:t>
      </w:r>
      <w:r w:rsidR="0013005E" w:rsidRPr="00CB05A8">
        <w:t xml:space="preserve"> and imposed a three-year prior prison term enhancement </w:t>
      </w:r>
      <w:r w:rsidR="0040163E" w:rsidRPr="00CB05A8">
        <w:t xml:space="preserve">for the same </w:t>
      </w:r>
      <w:r w:rsidR="00E8589C" w:rsidRPr="00CB05A8">
        <w:t>offenses</w:t>
      </w:r>
      <w:r w:rsidR="000A1580" w:rsidRPr="00CB05A8">
        <w:t xml:space="preserve">.  </w:t>
      </w:r>
    </w:p>
    <w:p w14:paraId="59856553" w14:textId="5B1C426B" w:rsidR="005F17C9" w:rsidRPr="00CB05A8" w:rsidRDefault="005F17C9" w:rsidP="000660B1">
      <w:pPr>
        <w:ind w:firstLine="720"/>
      </w:pPr>
      <w:r w:rsidRPr="00CB05A8">
        <w:t xml:space="preserve">Defendant </w:t>
      </w:r>
      <w:r w:rsidR="00E8589C" w:rsidRPr="00CB05A8">
        <w:t>claims</w:t>
      </w:r>
      <w:r w:rsidR="0040163E" w:rsidRPr="00CB05A8">
        <w:t xml:space="preserve"> </w:t>
      </w:r>
      <w:r w:rsidR="00D15D0C" w:rsidRPr="00CB05A8">
        <w:t xml:space="preserve">the </w:t>
      </w:r>
      <w:r w:rsidR="007363AD" w:rsidRPr="00CB05A8">
        <w:t>trial</w:t>
      </w:r>
      <w:r w:rsidR="0040163E" w:rsidRPr="00CB05A8">
        <w:t xml:space="preserve"> court erred in imposing </w:t>
      </w:r>
      <w:r w:rsidRPr="00CB05A8">
        <w:t xml:space="preserve">the three-year prior prison term enhancement </w:t>
      </w:r>
      <w:r w:rsidR="007D1196" w:rsidRPr="00CB05A8">
        <w:t xml:space="preserve">under section 667.5, subdivision (a) </w:t>
      </w:r>
      <w:r w:rsidR="00165220" w:rsidRPr="00CB05A8">
        <w:t xml:space="preserve">based on </w:t>
      </w:r>
      <w:r w:rsidR="00576B4E" w:rsidRPr="00CB05A8">
        <w:t>the same facts</w:t>
      </w:r>
      <w:r w:rsidR="00B035D4" w:rsidRPr="00CB05A8">
        <w:t xml:space="preserve"> — the prior conviction of a felony — and that remand</w:t>
      </w:r>
      <w:r w:rsidRPr="00CB05A8">
        <w:t xml:space="preserve"> for resentencing is </w:t>
      </w:r>
      <w:r w:rsidR="00B035D4" w:rsidRPr="00CB05A8">
        <w:t>warranted</w:t>
      </w:r>
      <w:r w:rsidRPr="00CB05A8">
        <w:t>.</w:t>
      </w:r>
      <w:r w:rsidR="00B035D4" w:rsidRPr="00CB05A8">
        <w:t xml:space="preserve">  </w:t>
      </w:r>
      <w:r w:rsidR="00015386" w:rsidRPr="00CB05A8">
        <w:t xml:space="preserve">(See </w:t>
      </w:r>
      <w:r w:rsidR="00015386" w:rsidRPr="00CB05A8">
        <w:rPr>
          <w:i/>
        </w:rPr>
        <w:t xml:space="preserve">People v. Jones </w:t>
      </w:r>
      <w:r w:rsidR="00015386" w:rsidRPr="00CB05A8">
        <w:t>(1993) 5 Cal.4th 1142, 1150</w:t>
      </w:r>
      <w:r w:rsidR="005A61E8" w:rsidRPr="00CB05A8">
        <w:t>–</w:t>
      </w:r>
      <w:r w:rsidR="00015386" w:rsidRPr="00CB05A8">
        <w:t xml:space="preserve">1153.)  </w:t>
      </w:r>
      <w:r w:rsidR="00B035D4" w:rsidRPr="00CB05A8">
        <w:t xml:space="preserve">The </w:t>
      </w:r>
      <w:r w:rsidR="007219F1" w:rsidRPr="00CB05A8">
        <w:t>People</w:t>
      </w:r>
      <w:r w:rsidR="00B035D4" w:rsidRPr="00CB05A8">
        <w:t xml:space="preserve"> properly concede </w:t>
      </w:r>
      <w:r w:rsidR="00580F09" w:rsidRPr="00CB05A8">
        <w:t xml:space="preserve">the error and agree </w:t>
      </w:r>
      <w:r w:rsidR="003C734B" w:rsidRPr="00CB05A8">
        <w:t xml:space="preserve">the matter should be </w:t>
      </w:r>
      <w:r w:rsidR="00580F09" w:rsidRPr="00CB05A8">
        <w:t>remand</w:t>
      </w:r>
      <w:r w:rsidR="003C734B" w:rsidRPr="00CB05A8">
        <w:t>ed</w:t>
      </w:r>
      <w:r w:rsidR="00580F09" w:rsidRPr="00CB05A8">
        <w:t xml:space="preserve"> for resentencing</w:t>
      </w:r>
      <w:r w:rsidR="00926488" w:rsidRPr="00CB05A8">
        <w:t xml:space="preserve"> as to the prior prison term</w:t>
      </w:r>
      <w:r w:rsidR="00037274" w:rsidRPr="00CB05A8">
        <w:t>.</w:t>
      </w:r>
      <w:r w:rsidR="00580F09" w:rsidRPr="00CB05A8">
        <w:t xml:space="preserve"> </w:t>
      </w:r>
      <w:r w:rsidR="00037274" w:rsidRPr="00CB05A8">
        <w:t xml:space="preserve">  </w:t>
      </w:r>
    </w:p>
    <w:p w14:paraId="164DD791" w14:textId="37740CFD" w:rsidR="000C01F7" w:rsidRPr="00CB05A8" w:rsidRDefault="00507C15" w:rsidP="00CB05A8">
      <w:pPr>
        <w:pStyle w:val="Heading3"/>
      </w:pPr>
      <w:bookmarkStart w:id="74" w:name="_Toc58918830"/>
      <w:r w:rsidRPr="00CB05A8">
        <w:t>3</w:t>
      </w:r>
      <w:r w:rsidR="000C01F7" w:rsidRPr="00CB05A8">
        <w:t xml:space="preserve">.  Cumulative </w:t>
      </w:r>
      <w:r w:rsidR="000F54C1" w:rsidRPr="00CB05A8">
        <w:t>error</w:t>
      </w:r>
      <w:r w:rsidR="000C01F7" w:rsidRPr="00CB05A8">
        <w:t xml:space="preserve"> </w:t>
      </w:r>
      <w:bookmarkEnd w:id="74"/>
    </w:p>
    <w:p w14:paraId="1295B2FE" w14:textId="6CED3875" w:rsidR="00513407" w:rsidRDefault="00143072" w:rsidP="000660B1">
      <w:pPr>
        <w:ind w:firstLine="720"/>
        <w:rPr>
          <w:szCs w:val="26"/>
        </w:rPr>
      </w:pPr>
      <w:r w:rsidRPr="00CB05A8">
        <w:t xml:space="preserve">Defendant contends that the cumulative effect of </w:t>
      </w:r>
      <w:r w:rsidR="0007630B" w:rsidRPr="00CB05A8">
        <w:t xml:space="preserve">the </w:t>
      </w:r>
      <w:r w:rsidR="00A71C48" w:rsidRPr="00CB05A8">
        <w:t xml:space="preserve">asserted </w:t>
      </w:r>
      <w:r w:rsidR="0007630B" w:rsidRPr="00CB05A8">
        <w:t xml:space="preserve">guilt and </w:t>
      </w:r>
      <w:r w:rsidR="009D721F" w:rsidRPr="00CB05A8">
        <w:t>penalty phase error</w:t>
      </w:r>
      <w:r w:rsidR="00BC0666" w:rsidRPr="00CB05A8">
        <w:t>s</w:t>
      </w:r>
      <w:r w:rsidR="00A5764C" w:rsidRPr="00CB05A8">
        <w:t xml:space="preserve"> </w:t>
      </w:r>
      <w:r w:rsidRPr="00CB05A8">
        <w:t xml:space="preserve">requires </w:t>
      </w:r>
      <w:r w:rsidR="00A5764C" w:rsidRPr="00CB05A8">
        <w:t xml:space="preserve">us to reverse </w:t>
      </w:r>
      <w:r w:rsidR="00561B4A" w:rsidRPr="00CB05A8">
        <w:t>his convictions and</w:t>
      </w:r>
      <w:r w:rsidR="00A5764C" w:rsidRPr="00CB05A8">
        <w:t xml:space="preserve"> death sentence</w:t>
      </w:r>
      <w:r w:rsidRPr="00CB05A8">
        <w:t xml:space="preserve">.  </w:t>
      </w:r>
      <w:r w:rsidR="00E757A1">
        <w:t>We have</w:t>
      </w:r>
      <w:r w:rsidR="00550FF7" w:rsidRPr="00CB05A8">
        <w:t xml:space="preserve"> </w:t>
      </w:r>
      <w:r w:rsidR="008E05CD" w:rsidRPr="00CB05A8">
        <w:t>assumed error, but found no prejudice,</w:t>
      </w:r>
      <w:r w:rsidR="00550FF7" w:rsidRPr="00CB05A8">
        <w:t xml:space="preserve"> </w:t>
      </w:r>
      <w:r w:rsidR="004C0A5D" w:rsidRPr="00CB05A8">
        <w:t xml:space="preserve">regarding </w:t>
      </w:r>
      <w:r w:rsidR="00FF01A5" w:rsidRPr="00CB05A8">
        <w:t xml:space="preserve">the </w:t>
      </w:r>
      <w:r w:rsidR="007363AD" w:rsidRPr="00CB05A8">
        <w:t>trial</w:t>
      </w:r>
      <w:r w:rsidR="00FF01A5" w:rsidRPr="00CB05A8">
        <w:t xml:space="preserve"> court’s failure to give the</w:t>
      </w:r>
      <w:r w:rsidR="00680B7F" w:rsidRPr="00CB05A8">
        <w:t xml:space="preserve"> defendant’s pin</w:t>
      </w:r>
      <w:r w:rsidR="002D74DB" w:rsidRPr="00CB05A8">
        <w:t>point jury instruction on his claim of accident</w:t>
      </w:r>
      <w:r w:rsidR="003E4475" w:rsidRPr="00CB05A8">
        <w:t xml:space="preserve"> relating to the felony-murder special</w:t>
      </w:r>
      <w:r w:rsidR="000529EB">
        <w:t>-</w:t>
      </w:r>
      <w:r w:rsidR="003E4475" w:rsidRPr="00CB05A8">
        <w:t>circumstance allegation</w:t>
      </w:r>
      <w:r w:rsidR="00A762DD">
        <w:t xml:space="preserve">, </w:t>
      </w:r>
      <w:r w:rsidR="00466D06" w:rsidRPr="00CB05A8">
        <w:rPr>
          <w:szCs w:val="26"/>
        </w:rPr>
        <w:t xml:space="preserve">the admission of a photograph of defendant at the time of Diane K.’s </w:t>
      </w:r>
      <w:r w:rsidR="00EF6DB5" w:rsidRPr="00CB05A8">
        <w:rPr>
          <w:szCs w:val="26"/>
        </w:rPr>
        <w:t>sexual assault</w:t>
      </w:r>
      <w:r w:rsidR="00A762DD">
        <w:rPr>
          <w:szCs w:val="26"/>
        </w:rPr>
        <w:t xml:space="preserve">, </w:t>
      </w:r>
      <w:r w:rsidR="00A762DD">
        <w:t>and</w:t>
      </w:r>
      <w:r w:rsidR="00A762DD" w:rsidRPr="003C5250">
        <w:t xml:space="preserve"> Karen King’s testimony regarding her fear of </w:t>
      </w:r>
      <w:r w:rsidR="000529EB">
        <w:t>“</w:t>
      </w:r>
      <w:r w:rsidR="00A762DD" w:rsidRPr="00DC5C24">
        <w:t>Caucasians</w:t>
      </w:r>
      <w:r w:rsidR="00EF6DB5" w:rsidRPr="00CB05A8">
        <w:rPr>
          <w:szCs w:val="26"/>
        </w:rPr>
        <w:t>.</w:t>
      </w:r>
      <w:r w:rsidR="000529EB">
        <w:rPr>
          <w:szCs w:val="26"/>
        </w:rPr>
        <w:t>”</w:t>
      </w:r>
      <w:r w:rsidR="00EF6DB5" w:rsidRPr="00CB05A8">
        <w:rPr>
          <w:szCs w:val="26"/>
        </w:rPr>
        <w:t xml:space="preserve">  (See </w:t>
      </w:r>
      <w:r w:rsidR="00EF6DB5" w:rsidRPr="00CB05A8">
        <w:rPr>
          <w:i/>
          <w:iCs/>
          <w:szCs w:val="26"/>
        </w:rPr>
        <w:t>ante</w:t>
      </w:r>
      <w:r w:rsidR="00EF6DB5" w:rsidRPr="00CB05A8">
        <w:rPr>
          <w:szCs w:val="26"/>
        </w:rPr>
        <w:t>, p</w:t>
      </w:r>
      <w:r w:rsidR="0016566E" w:rsidRPr="00CB05A8">
        <w:rPr>
          <w:szCs w:val="26"/>
        </w:rPr>
        <w:t>ts</w:t>
      </w:r>
      <w:r w:rsidR="000529EB">
        <w:rPr>
          <w:szCs w:val="26"/>
        </w:rPr>
        <w:t>.</w:t>
      </w:r>
      <w:r w:rsidR="00EF6DB5" w:rsidRPr="00CB05A8">
        <w:rPr>
          <w:szCs w:val="26"/>
        </w:rPr>
        <w:t xml:space="preserve"> II.A.</w:t>
      </w:r>
      <w:r w:rsidR="00AB1A59">
        <w:rPr>
          <w:szCs w:val="26"/>
        </w:rPr>
        <w:t>7</w:t>
      </w:r>
      <w:r w:rsidR="00EF6DB5" w:rsidRPr="00CB05A8">
        <w:rPr>
          <w:szCs w:val="26"/>
        </w:rPr>
        <w:t>.</w:t>
      </w:r>
      <w:r w:rsidR="003F2BB7" w:rsidRPr="00CB05A8">
        <w:rPr>
          <w:szCs w:val="26"/>
        </w:rPr>
        <w:t>b</w:t>
      </w:r>
      <w:r w:rsidR="005161E9" w:rsidRPr="00CB05A8">
        <w:rPr>
          <w:szCs w:val="26"/>
        </w:rPr>
        <w:t>.</w:t>
      </w:r>
      <w:r w:rsidR="00157EDC">
        <w:rPr>
          <w:szCs w:val="26"/>
        </w:rPr>
        <w:t>,</w:t>
      </w:r>
      <w:r w:rsidR="008E05CD" w:rsidRPr="00CB05A8">
        <w:rPr>
          <w:szCs w:val="26"/>
        </w:rPr>
        <w:t xml:space="preserve"> </w:t>
      </w:r>
      <w:r w:rsidR="00E808A0" w:rsidRPr="00CB05A8">
        <w:rPr>
          <w:szCs w:val="26"/>
        </w:rPr>
        <w:t>II</w:t>
      </w:r>
      <w:r w:rsidR="001B13E4" w:rsidRPr="00CB05A8">
        <w:rPr>
          <w:szCs w:val="26"/>
        </w:rPr>
        <w:t>.B.</w:t>
      </w:r>
      <w:r w:rsidR="00AB1A59">
        <w:rPr>
          <w:szCs w:val="26"/>
        </w:rPr>
        <w:t>1</w:t>
      </w:r>
      <w:r w:rsidR="001B13E4" w:rsidRPr="00CB05A8">
        <w:rPr>
          <w:szCs w:val="26"/>
        </w:rPr>
        <w:t>.c</w:t>
      </w:r>
      <w:r w:rsidR="00550FF7" w:rsidRPr="00CB05A8">
        <w:rPr>
          <w:szCs w:val="26"/>
        </w:rPr>
        <w:t>.</w:t>
      </w:r>
      <w:r w:rsidR="00157EDC">
        <w:rPr>
          <w:szCs w:val="26"/>
        </w:rPr>
        <w:t xml:space="preserve">, </w:t>
      </w:r>
      <w:r w:rsidR="00A762DD">
        <w:rPr>
          <w:szCs w:val="26"/>
        </w:rPr>
        <w:t>&amp; II.B.2.b.</w:t>
      </w:r>
      <w:r w:rsidR="00550FF7" w:rsidRPr="00CB05A8">
        <w:rPr>
          <w:szCs w:val="26"/>
        </w:rPr>
        <w:t>)</w:t>
      </w:r>
      <w:r w:rsidR="00550FF7" w:rsidRPr="00CB05A8">
        <w:t xml:space="preserve">  </w:t>
      </w:r>
      <w:r w:rsidR="001E7D48">
        <w:t xml:space="preserve">We have likewise found </w:t>
      </w:r>
      <w:r w:rsidR="001E7D48" w:rsidRPr="003C5250">
        <w:t>harmless error in the trial court’s</w:t>
      </w:r>
      <w:r w:rsidR="000179B4" w:rsidRPr="003C5250">
        <w:t xml:space="preserve"> </w:t>
      </w:r>
      <w:r w:rsidR="00650742" w:rsidRPr="003C5250">
        <w:t xml:space="preserve">use of the 1996 revised version of </w:t>
      </w:r>
      <w:r w:rsidR="000179B4" w:rsidRPr="003C5250">
        <w:t xml:space="preserve">CALJIC </w:t>
      </w:r>
      <w:r w:rsidR="00650742" w:rsidRPr="003C5250">
        <w:t xml:space="preserve">No. </w:t>
      </w:r>
      <w:r w:rsidR="000179B4" w:rsidRPr="003C5250">
        <w:t>8.71</w:t>
      </w:r>
      <w:r w:rsidR="00A762DD">
        <w:t xml:space="preserve">.  </w:t>
      </w:r>
      <w:r w:rsidR="000179B4" w:rsidRPr="003C5250">
        <w:t xml:space="preserve">(See </w:t>
      </w:r>
      <w:r w:rsidR="000179B4" w:rsidRPr="003C5250">
        <w:rPr>
          <w:i/>
          <w:iCs/>
        </w:rPr>
        <w:t>ante</w:t>
      </w:r>
      <w:r w:rsidR="000179B4" w:rsidRPr="003C5250">
        <w:t>, pt</w:t>
      </w:r>
      <w:r w:rsidR="000529EB">
        <w:t>.</w:t>
      </w:r>
      <w:r w:rsidR="000179B4" w:rsidRPr="003C5250">
        <w:t xml:space="preserve"> </w:t>
      </w:r>
      <w:r w:rsidR="00BC7D06">
        <w:t>II.A.7.</w:t>
      </w:r>
      <w:r w:rsidR="00DB139D">
        <w:t>d</w:t>
      </w:r>
      <w:r w:rsidR="000179B4" w:rsidRPr="003C5250">
        <w:t>.)</w:t>
      </w:r>
      <w:r w:rsidR="000179B4">
        <w:t xml:space="preserve">  </w:t>
      </w:r>
      <w:r w:rsidR="00A762DD">
        <w:rPr>
          <w:szCs w:val="26"/>
        </w:rPr>
        <w:t>W</w:t>
      </w:r>
      <w:r w:rsidR="00E757A1">
        <w:rPr>
          <w:szCs w:val="26"/>
        </w:rPr>
        <w:t>e</w:t>
      </w:r>
      <w:r w:rsidR="008703F2" w:rsidRPr="00CB05A8">
        <w:rPr>
          <w:szCs w:val="26"/>
        </w:rPr>
        <w:t xml:space="preserve"> conclude that </w:t>
      </w:r>
      <w:r w:rsidR="008B2156" w:rsidRPr="00CB05A8">
        <w:rPr>
          <w:szCs w:val="26"/>
        </w:rPr>
        <w:t xml:space="preserve">the cumulative effect of </w:t>
      </w:r>
      <w:r w:rsidR="00F91DF2" w:rsidRPr="00CB05A8">
        <w:rPr>
          <w:szCs w:val="26"/>
        </w:rPr>
        <w:t xml:space="preserve">the </w:t>
      </w:r>
      <w:r w:rsidR="00A762DD">
        <w:rPr>
          <w:szCs w:val="26"/>
        </w:rPr>
        <w:t>three</w:t>
      </w:r>
      <w:r w:rsidR="00F91DF2" w:rsidRPr="00CB05A8">
        <w:rPr>
          <w:szCs w:val="26"/>
        </w:rPr>
        <w:t xml:space="preserve"> </w:t>
      </w:r>
      <w:r w:rsidR="008703F2" w:rsidRPr="00CB05A8">
        <w:rPr>
          <w:szCs w:val="26"/>
        </w:rPr>
        <w:t xml:space="preserve">assumed </w:t>
      </w:r>
      <w:r w:rsidR="000179B4">
        <w:rPr>
          <w:szCs w:val="26"/>
        </w:rPr>
        <w:t xml:space="preserve">errors and </w:t>
      </w:r>
      <w:r w:rsidR="00A762DD">
        <w:rPr>
          <w:szCs w:val="26"/>
        </w:rPr>
        <w:t>one</w:t>
      </w:r>
      <w:r w:rsidR="000179B4">
        <w:rPr>
          <w:szCs w:val="26"/>
        </w:rPr>
        <w:t xml:space="preserve"> harmles</w:t>
      </w:r>
      <w:r w:rsidR="00332A80">
        <w:rPr>
          <w:szCs w:val="26"/>
        </w:rPr>
        <w:t>s</w:t>
      </w:r>
      <w:r w:rsidR="000179B4">
        <w:rPr>
          <w:szCs w:val="26"/>
        </w:rPr>
        <w:t xml:space="preserve"> </w:t>
      </w:r>
      <w:r w:rsidR="008703F2" w:rsidRPr="00CB05A8">
        <w:rPr>
          <w:szCs w:val="26"/>
        </w:rPr>
        <w:t xml:space="preserve">error </w:t>
      </w:r>
      <w:r w:rsidR="008B2156" w:rsidRPr="00CB05A8">
        <w:rPr>
          <w:szCs w:val="26"/>
        </w:rPr>
        <w:t xml:space="preserve">does not warrant reversal. </w:t>
      </w:r>
      <w:r w:rsidR="008703F2" w:rsidRPr="00CB05A8">
        <w:rPr>
          <w:szCs w:val="26"/>
        </w:rPr>
        <w:t xml:space="preserve"> </w:t>
      </w:r>
      <w:r w:rsidR="00D37E61" w:rsidRPr="00CB05A8">
        <w:rPr>
          <w:szCs w:val="26"/>
        </w:rPr>
        <w:t>(</w:t>
      </w:r>
      <w:r w:rsidR="00D37E61" w:rsidRPr="00CB05A8">
        <w:rPr>
          <w:i/>
          <w:szCs w:val="26"/>
        </w:rPr>
        <w:t>People v. Silveria and Travis</w:t>
      </w:r>
      <w:r w:rsidR="00D37E61" w:rsidRPr="00CB05A8">
        <w:rPr>
          <w:szCs w:val="26"/>
        </w:rPr>
        <w:t xml:space="preserve"> (2020) 10 Cal.5th 195, </w:t>
      </w:r>
      <w:r w:rsidR="00927DAB" w:rsidRPr="00CB05A8">
        <w:rPr>
          <w:szCs w:val="26"/>
        </w:rPr>
        <w:t>327</w:t>
      </w:r>
      <w:r w:rsidR="00CC08DD" w:rsidRPr="00CB05A8">
        <w:rPr>
          <w:szCs w:val="26"/>
        </w:rPr>
        <w:t>.)</w:t>
      </w:r>
    </w:p>
    <w:p w14:paraId="5699FF8A" w14:textId="77777777" w:rsidR="00103ED0" w:rsidRPr="00CB05A8" w:rsidRDefault="00513407" w:rsidP="000660B1">
      <w:pPr>
        <w:ind w:firstLine="720"/>
      </w:pPr>
      <w:r>
        <w:rPr>
          <w:szCs w:val="26"/>
        </w:rPr>
        <w:br w:type="column"/>
      </w:r>
    </w:p>
    <w:p w14:paraId="61DB604D" w14:textId="3217FBAF" w:rsidR="002706E0" w:rsidRPr="00CB05A8" w:rsidRDefault="005C152D" w:rsidP="00CB05A8">
      <w:pPr>
        <w:pStyle w:val="Heading1"/>
      </w:pPr>
      <w:bookmarkStart w:id="75" w:name="_Toc58918831"/>
      <w:r w:rsidRPr="00CB05A8">
        <w:t>I</w:t>
      </w:r>
      <w:r w:rsidR="000529EB">
        <w:t>II</w:t>
      </w:r>
      <w:r w:rsidRPr="00CB05A8">
        <w:t xml:space="preserve">.  </w:t>
      </w:r>
      <w:r w:rsidR="009217B6" w:rsidRPr="00CB05A8">
        <w:t>Disposition</w:t>
      </w:r>
      <w:bookmarkEnd w:id="75"/>
    </w:p>
    <w:p w14:paraId="602C5893" w14:textId="6D97B13D" w:rsidR="00F70F32" w:rsidRPr="00CB05A8" w:rsidRDefault="00FF2DE1" w:rsidP="000660B1">
      <w:pPr>
        <w:tabs>
          <w:tab w:val="left" w:pos="1440"/>
        </w:tabs>
        <w:ind w:firstLine="720"/>
      </w:pPr>
      <w:r>
        <w:t>W</w:t>
      </w:r>
      <w:r w:rsidR="005E2692" w:rsidRPr="00CB05A8">
        <w:t xml:space="preserve">e remand the matter for resentencing on the prior prison term enhancement and </w:t>
      </w:r>
      <w:r w:rsidR="008949DF" w:rsidRPr="00CB05A8">
        <w:t>affirm the judgment</w:t>
      </w:r>
      <w:r w:rsidR="0026414D" w:rsidRPr="00CB05A8">
        <w:t xml:space="preserve"> in all other respects.</w:t>
      </w:r>
    </w:p>
    <w:p w14:paraId="693A60C2" w14:textId="77777777" w:rsidR="002F6181" w:rsidRPr="00CB05A8" w:rsidRDefault="002F6181" w:rsidP="000660B1">
      <w:pPr>
        <w:ind w:left="4320" w:firstLine="720"/>
      </w:pPr>
      <w:r w:rsidRPr="00CB05A8">
        <w:rPr>
          <w:b/>
          <w:caps/>
        </w:rPr>
        <w:t>CANTIL-Sakauye, C. J.</w:t>
      </w:r>
    </w:p>
    <w:p w14:paraId="59D564C5" w14:textId="77777777" w:rsidR="000660B1" w:rsidRDefault="000660B1" w:rsidP="000660B1">
      <w:pPr>
        <w:tabs>
          <w:tab w:val="left" w:pos="1440"/>
        </w:tabs>
        <w:spacing w:line="480" w:lineRule="atLeast"/>
        <w:rPr>
          <w:b/>
        </w:rPr>
      </w:pPr>
      <w:r w:rsidRPr="00DC4B44">
        <w:rPr>
          <w:b/>
        </w:rPr>
        <w:t>We Concur</w:t>
      </w:r>
      <w:r>
        <w:rPr>
          <w:b/>
        </w:rPr>
        <w:t>:</w:t>
      </w:r>
    </w:p>
    <w:p w14:paraId="5321AEF3" w14:textId="543527A8" w:rsidR="00513407" w:rsidRDefault="00513407" w:rsidP="00513407">
      <w:pPr>
        <w:tabs>
          <w:tab w:val="left" w:pos="1440"/>
        </w:tabs>
        <w:jc w:val="left"/>
      </w:pPr>
      <w:r w:rsidRPr="00513407">
        <w:rPr>
          <w:b/>
          <w:bCs/>
        </w:rPr>
        <w:t>LIU, J.</w:t>
      </w:r>
      <w:r w:rsidRPr="00513407">
        <w:rPr>
          <w:b/>
          <w:bCs/>
        </w:rPr>
        <w:br/>
        <w:t>CUÉLLAR , J.</w:t>
      </w:r>
      <w:r w:rsidRPr="00513407">
        <w:rPr>
          <w:b/>
          <w:bCs/>
        </w:rPr>
        <w:br/>
        <w:t>KRUGER, J.</w:t>
      </w:r>
      <w:r w:rsidRPr="00513407">
        <w:rPr>
          <w:b/>
          <w:bCs/>
        </w:rPr>
        <w:br/>
        <w:t>GROBAN, J.</w:t>
      </w:r>
      <w:r w:rsidRPr="00513407">
        <w:rPr>
          <w:b/>
          <w:bCs/>
        </w:rPr>
        <w:br/>
        <w:t>JENKINS, J.</w:t>
      </w:r>
      <w:r w:rsidRPr="00513407">
        <w:rPr>
          <w:b/>
          <w:bCs/>
        </w:rPr>
        <w:br/>
        <w:t>JACKSON, J.</w:t>
      </w:r>
      <w:r w:rsidRPr="00A34D4F">
        <w:rPr>
          <w:vertAlign w:val="superscript"/>
        </w:rPr>
        <w:t>*</w:t>
      </w:r>
    </w:p>
    <w:p w14:paraId="163F4761" w14:textId="14A20492" w:rsidR="00513407" w:rsidRDefault="00513407" w:rsidP="00513407">
      <w:pPr>
        <w:tabs>
          <w:tab w:val="left" w:pos="1440"/>
        </w:tabs>
        <w:jc w:val="left"/>
      </w:pPr>
    </w:p>
    <w:p w14:paraId="26960E96" w14:textId="65BA5726" w:rsidR="00513407" w:rsidRDefault="00513407" w:rsidP="00513407">
      <w:pPr>
        <w:tabs>
          <w:tab w:val="left" w:pos="1440"/>
        </w:tabs>
        <w:jc w:val="left"/>
      </w:pPr>
    </w:p>
    <w:p w14:paraId="38AE31A9" w14:textId="0DB3E69B" w:rsidR="00513407" w:rsidRDefault="00513407" w:rsidP="00513407">
      <w:pPr>
        <w:tabs>
          <w:tab w:val="left" w:pos="1440"/>
        </w:tabs>
        <w:jc w:val="left"/>
      </w:pPr>
    </w:p>
    <w:p w14:paraId="49A2835A" w14:textId="7A95F2A0" w:rsidR="00513407" w:rsidRDefault="00513407" w:rsidP="00513407">
      <w:pPr>
        <w:tabs>
          <w:tab w:val="left" w:pos="1440"/>
        </w:tabs>
        <w:jc w:val="left"/>
      </w:pPr>
    </w:p>
    <w:p w14:paraId="6589E9A5" w14:textId="76D55327" w:rsidR="00513407" w:rsidRDefault="00513407" w:rsidP="00513407">
      <w:pPr>
        <w:tabs>
          <w:tab w:val="left" w:pos="1440"/>
        </w:tabs>
        <w:jc w:val="left"/>
      </w:pPr>
    </w:p>
    <w:p w14:paraId="70E3F4CE" w14:textId="74336391" w:rsidR="00513407" w:rsidRDefault="00513407" w:rsidP="00513407">
      <w:pPr>
        <w:tabs>
          <w:tab w:val="left" w:pos="1440"/>
        </w:tabs>
        <w:jc w:val="left"/>
      </w:pPr>
    </w:p>
    <w:p w14:paraId="727F9EB2" w14:textId="24F7F798" w:rsidR="00513407" w:rsidRDefault="00513407" w:rsidP="00513407">
      <w:pPr>
        <w:tabs>
          <w:tab w:val="left" w:pos="1440"/>
        </w:tabs>
        <w:jc w:val="left"/>
      </w:pPr>
    </w:p>
    <w:p w14:paraId="57E24F78" w14:textId="200F92DA" w:rsidR="00513407" w:rsidRDefault="00513407" w:rsidP="00513407">
      <w:pPr>
        <w:tabs>
          <w:tab w:val="left" w:pos="1440"/>
        </w:tabs>
        <w:jc w:val="left"/>
      </w:pPr>
    </w:p>
    <w:p w14:paraId="10816A06" w14:textId="4FCD1DD4" w:rsidR="00513407" w:rsidRDefault="00513407" w:rsidP="00513407">
      <w:pPr>
        <w:tabs>
          <w:tab w:val="left" w:pos="1440"/>
        </w:tabs>
        <w:jc w:val="left"/>
      </w:pPr>
    </w:p>
    <w:p w14:paraId="0AFE29F5" w14:textId="539C4A9C" w:rsidR="00513407" w:rsidRDefault="00513407" w:rsidP="00513407">
      <w:pPr>
        <w:tabs>
          <w:tab w:val="left" w:pos="1440"/>
        </w:tabs>
        <w:jc w:val="left"/>
      </w:pPr>
    </w:p>
    <w:p w14:paraId="6E12E0F4" w14:textId="654CF137" w:rsidR="00513407" w:rsidRDefault="00513407" w:rsidP="00513407">
      <w:pPr>
        <w:tabs>
          <w:tab w:val="left" w:pos="1440"/>
        </w:tabs>
        <w:jc w:val="left"/>
      </w:pPr>
    </w:p>
    <w:p w14:paraId="3D952FEC" w14:textId="77777777" w:rsidR="00513407" w:rsidRDefault="00513407" w:rsidP="00513407">
      <w:pPr>
        <w:pStyle w:val="FootnoteText"/>
      </w:pPr>
      <w:bookmarkStart w:id="76" w:name="_Hlk2087167"/>
      <w:r>
        <w:t>________________________</w:t>
      </w:r>
    </w:p>
    <w:p w14:paraId="3A486663" w14:textId="77777777" w:rsidR="00A84D0F" w:rsidRDefault="00513407" w:rsidP="00B20827">
      <w:pPr>
        <w:pStyle w:val="FootnoteText"/>
        <w:tabs>
          <w:tab w:val="left" w:pos="360"/>
        </w:tabs>
        <w:rPr>
          <w:szCs w:val="27"/>
        </w:rPr>
        <w:sectPr w:rsidR="00A84D0F" w:rsidSect="00D22316">
          <w:footerReference w:type="first" r:id="rId14"/>
          <w:pgSz w:w="12240" w:h="15840"/>
          <w:pgMar w:top="1440" w:right="1800" w:bottom="1440" w:left="1800" w:header="720" w:footer="720" w:gutter="0"/>
          <w:pgNumType w:start="1"/>
          <w:cols w:space="720"/>
          <w:titlePg/>
          <w:docGrid w:linePitch="367"/>
        </w:sectPr>
      </w:pPr>
      <w:r w:rsidRPr="00866D59">
        <w:rPr>
          <w:rStyle w:val="FootnoteReference"/>
          <w:szCs w:val="27"/>
        </w:rPr>
        <w:t>*</w:t>
      </w:r>
      <w:r w:rsidRPr="00866D59">
        <w:rPr>
          <w:szCs w:val="27"/>
        </w:rPr>
        <w:t xml:space="preserve"> </w:t>
      </w:r>
      <w:r w:rsidRPr="00CE217C">
        <w:rPr>
          <w:sz w:val="22"/>
          <w:szCs w:val="22"/>
        </w:rPr>
        <w:tab/>
      </w:r>
      <w:r w:rsidRPr="00A84D0F">
        <w:rPr>
          <w:szCs w:val="27"/>
        </w:rPr>
        <w:t>Associate Justice of the Court of Appeal, First Appellate District, Division Three, assigned by the Chief Justice pursuant to article VI, section 6 of the California Constitution.</w:t>
      </w:r>
      <w:bookmarkEnd w:id="76"/>
    </w:p>
    <w:p w14:paraId="2BAE5F16" w14:textId="77777777" w:rsidR="004058AF" w:rsidRPr="004058AF" w:rsidRDefault="004058AF" w:rsidP="004058AF">
      <w:pPr>
        <w:spacing w:after="0" w:line="240" w:lineRule="auto"/>
        <w:jc w:val="left"/>
        <w:rPr>
          <w:i/>
          <w:sz w:val="24"/>
          <w:szCs w:val="24"/>
        </w:rPr>
      </w:pPr>
      <w:r w:rsidRPr="004058AF">
        <w:rPr>
          <w:i/>
          <w:sz w:val="24"/>
          <w:szCs w:val="24"/>
        </w:rPr>
        <w:t>See next page for addresses and telephone numbers for counsel who argued in Supreme Court.</w:t>
      </w:r>
    </w:p>
    <w:p w14:paraId="5B82AA7A" w14:textId="77777777" w:rsidR="004058AF" w:rsidRPr="004058AF" w:rsidRDefault="004058AF" w:rsidP="004058AF">
      <w:pPr>
        <w:spacing w:after="0" w:line="240" w:lineRule="auto"/>
        <w:jc w:val="left"/>
        <w:rPr>
          <w:i/>
          <w:sz w:val="24"/>
          <w:szCs w:val="24"/>
        </w:rPr>
      </w:pPr>
    </w:p>
    <w:p w14:paraId="3ED30235" w14:textId="77777777" w:rsidR="004058AF" w:rsidRPr="004058AF" w:rsidRDefault="004058AF" w:rsidP="004058AF">
      <w:pPr>
        <w:spacing w:after="0" w:line="240" w:lineRule="auto"/>
        <w:jc w:val="left"/>
        <w:rPr>
          <w:b/>
          <w:sz w:val="24"/>
          <w:szCs w:val="24"/>
        </w:rPr>
      </w:pPr>
      <w:r w:rsidRPr="004058AF">
        <w:rPr>
          <w:b/>
          <w:sz w:val="24"/>
          <w:szCs w:val="24"/>
        </w:rPr>
        <w:t xml:space="preserve">Name of Opinion </w:t>
      </w:r>
      <w:r w:rsidRPr="004058AF">
        <w:rPr>
          <w:bCs/>
          <w:sz w:val="24"/>
          <w:szCs w:val="24"/>
        </w:rPr>
        <w:t xml:space="preserve"> People v. Scully</w:t>
      </w:r>
    </w:p>
    <w:p w14:paraId="400876B5" w14:textId="77777777" w:rsidR="004058AF" w:rsidRPr="004058AF" w:rsidRDefault="004058AF" w:rsidP="004058AF">
      <w:pPr>
        <w:spacing w:after="0" w:line="240" w:lineRule="auto"/>
        <w:jc w:val="left"/>
        <w:rPr>
          <w:b/>
          <w:sz w:val="24"/>
          <w:szCs w:val="24"/>
        </w:rPr>
      </w:pPr>
      <w:r w:rsidRPr="004058AF">
        <w:rPr>
          <w:b/>
          <w:sz w:val="24"/>
          <w:szCs w:val="24"/>
        </w:rPr>
        <w:t xml:space="preserve">__________________________________________________________________ </w:t>
      </w:r>
    </w:p>
    <w:p w14:paraId="1FBED439" w14:textId="77777777" w:rsidR="004058AF" w:rsidRPr="004058AF" w:rsidRDefault="004058AF" w:rsidP="004058AF">
      <w:pPr>
        <w:spacing w:after="0" w:line="240" w:lineRule="auto"/>
        <w:jc w:val="left"/>
        <w:rPr>
          <w:b/>
          <w:sz w:val="24"/>
          <w:szCs w:val="24"/>
        </w:rPr>
      </w:pPr>
    </w:p>
    <w:p w14:paraId="76E059B5" w14:textId="77777777" w:rsidR="004058AF" w:rsidRPr="004058AF" w:rsidRDefault="004058AF" w:rsidP="004058AF">
      <w:pPr>
        <w:spacing w:after="0" w:line="360" w:lineRule="auto"/>
        <w:jc w:val="left"/>
        <w:rPr>
          <w:sz w:val="24"/>
          <w:szCs w:val="24"/>
        </w:rPr>
      </w:pPr>
      <w:r w:rsidRPr="004058AF">
        <w:rPr>
          <w:b/>
          <w:bCs/>
          <w:sz w:val="24"/>
          <w:szCs w:val="24"/>
          <w:u w:val="single"/>
        </w:rPr>
        <w:t>Procedural Posture</w:t>
      </w:r>
      <w:r w:rsidRPr="004058AF">
        <w:rPr>
          <w:b/>
          <w:bCs/>
          <w:sz w:val="24"/>
          <w:szCs w:val="24"/>
        </w:rPr>
        <w:t xml:space="preserve"> </w:t>
      </w:r>
      <w:r w:rsidRPr="004058AF">
        <w:rPr>
          <w:sz w:val="24"/>
          <w:szCs w:val="24"/>
        </w:rPr>
        <w:t>(see XX below)</w:t>
      </w:r>
    </w:p>
    <w:p w14:paraId="17DE6E24" w14:textId="77777777" w:rsidR="004058AF" w:rsidRPr="004058AF" w:rsidRDefault="004058AF" w:rsidP="004058AF">
      <w:pPr>
        <w:spacing w:after="0" w:line="240" w:lineRule="auto"/>
        <w:jc w:val="left"/>
        <w:rPr>
          <w:b/>
          <w:bCs/>
          <w:sz w:val="24"/>
          <w:szCs w:val="24"/>
        </w:rPr>
      </w:pPr>
      <w:r w:rsidRPr="004058AF">
        <w:rPr>
          <w:b/>
          <w:bCs/>
          <w:sz w:val="24"/>
          <w:szCs w:val="24"/>
        </w:rPr>
        <w:t xml:space="preserve">Original Appeal </w:t>
      </w:r>
      <w:r w:rsidRPr="004058AF">
        <w:rPr>
          <w:sz w:val="24"/>
          <w:szCs w:val="24"/>
        </w:rPr>
        <w:t>XX</w:t>
      </w:r>
    </w:p>
    <w:p w14:paraId="4B341872" w14:textId="77777777" w:rsidR="004058AF" w:rsidRPr="004058AF" w:rsidRDefault="004058AF" w:rsidP="004058AF">
      <w:pPr>
        <w:spacing w:after="0" w:line="240" w:lineRule="auto"/>
        <w:jc w:val="left"/>
        <w:rPr>
          <w:b/>
          <w:bCs/>
          <w:sz w:val="24"/>
          <w:szCs w:val="24"/>
        </w:rPr>
      </w:pPr>
      <w:r w:rsidRPr="004058AF">
        <w:rPr>
          <w:b/>
          <w:bCs/>
          <w:sz w:val="24"/>
          <w:szCs w:val="24"/>
        </w:rPr>
        <w:t>Original Proceeding</w:t>
      </w:r>
    </w:p>
    <w:p w14:paraId="289A9E30" w14:textId="77777777" w:rsidR="004058AF" w:rsidRPr="004058AF" w:rsidRDefault="004058AF" w:rsidP="004058AF">
      <w:pPr>
        <w:spacing w:after="0" w:line="240" w:lineRule="auto"/>
        <w:jc w:val="left"/>
        <w:rPr>
          <w:sz w:val="24"/>
          <w:szCs w:val="24"/>
        </w:rPr>
      </w:pPr>
      <w:r w:rsidRPr="004058AF">
        <w:rPr>
          <w:b/>
          <w:bCs/>
          <w:sz w:val="24"/>
          <w:szCs w:val="24"/>
        </w:rPr>
        <w:t>Review Granted</w:t>
      </w:r>
      <w:r w:rsidRPr="004058AF">
        <w:rPr>
          <w:sz w:val="24"/>
          <w:szCs w:val="24"/>
        </w:rPr>
        <w:t xml:space="preserve"> </w:t>
      </w:r>
      <w:r w:rsidRPr="004058AF">
        <w:rPr>
          <w:b/>
          <w:bCs/>
          <w:sz w:val="24"/>
          <w:szCs w:val="24"/>
        </w:rPr>
        <w:t xml:space="preserve">(published) </w:t>
      </w:r>
    </w:p>
    <w:p w14:paraId="4EB369EF" w14:textId="77777777" w:rsidR="004058AF" w:rsidRPr="004058AF" w:rsidRDefault="004058AF" w:rsidP="004058AF">
      <w:pPr>
        <w:spacing w:after="0" w:line="240" w:lineRule="auto"/>
        <w:jc w:val="left"/>
        <w:rPr>
          <w:sz w:val="24"/>
          <w:szCs w:val="24"/>
        </w:rPr>
      </w:pPr>
      <w:r w:rsidRPr="004058AF">
        <w:rPr>
          <w:b/>
          <w:bCs/>
          <w:sz w:val="24"/>
          <w:szCs w:val="24"/>
        </w:rPr>
        <w:t xml:space="preserve">Review Granted (unpublished) </w:t>
      </w:r>
    </w:p>
    <w:p w14:paraId="53F3CF23" w14:textId="77777777" w:rsidR="004058AF" w:rsidRPr="004058AF" w:rsidRDefault="004058AF" w:rsidP="004058AF">
      <w:pPr>
        <w:spacing w:after="0" w:line="240" w:lineRule="auto"/>
        <w:jc w:val="left"/>
        <w:rPr>
          <w:b/>
          <w:bCs/>
          <w:sz w:val="24"/>
          <w:szCs w:val="24"/>
        </w:rPr>
      </w:pPr>
      <w:r w:rsidRPr="004058AF">
        <w:rPr>
          <w:b/>
          <w:bCs/>
          <w:sz w:val="24"/>
          <w:szCs w:val="24"/>
        </w:rPr>
        <w:t>Rehearing Granted</w:t>
      </w:r>
    </w:p>
    <w:p w14:paraId="4B5E5F56" w14:textId="77777777" w:rsidR="004058AF" w:rsidRPr="004058AF" w:rsidRDefault="004058AF" w:rsidP="004058AF">
      <w:pPr>
        <w:spacing w:after="0" w:line="240" w:lineRule="auto"/>
        <w:jc w:val="left"/>
        <w:rPr>
          <w:b/>
          <w:sz w:val="24"/>
          <w:szCs w:val="24"/>
        </w:rPr>
      </w:pPr>
      <w:r w:rsidRPr="004058AF">
        <w:rPr>
          <w:b/>
          <w:sz w:val="24"/>
          <w:szCs w:val="24"/>
        </w:rPr>
        <w:t xml:space="preserve">__________________________________________________________________ </w:t>
      </w:r>
    </w:p>
    <w:p w14:paraId="7E7C361D" w14:textId="77777777" w:rsidR="004058AF" w:rsidRPr="004058AF" w:rsidRDefault="004058AF" w:rsidP="004058AF">
      <w:pPr>
        <w:spacing w:after="0" w:line="240" w:lineRule="auto"/>
        <w:jc w:val="left"/>
        <w:rPr>
          <w:b/>
          <w:sz w:val="24"/>
          <w:szCs w:val="24"/>
        </w:rPr>
      </w:pPr>
    </w:p>
    <w:p w14:paraId="7E34E87F" w14:textId="77777777" w:rsidR="004058AF" w:rsidRPr="004058AF" w:rsidRDefault="004058AF" w:rsidP="004058AF">
      <w:pPr>
        <w:spacing w:after="0" w:line="240" w:lineRule="auto"/>
        <w:jc w:val="left"/>
        <w:rPr>
          <w:bCs/>
          <w:sz w:val="24"/>
          <w:szCs w:val="24"/>
        </w:rPr>
      </w:pPr>
      <w:r w:rsidRPr="004058AF">
        <w:rPr>
          <w:b/>
          <w:sz w:val="24"/>
          <w:szCs w:val="24"/>
        </w:rPr>
        <w:t>Opinion No.</w:t>
      </w:r>
      <w:r w:rsidRPr="004058AF">
        <w:rPr>
          <w:sz w:val="24"/>
          <w:szCs w:val="24"/>
        </w:rPr>
        <w:t xml:space="preserve"> S062259 </w:t>
      </w:r>
    </w:p>
    <w:p w14:paraId="4EC85AFA" w14:textId="77777777" w:rsidR="004058AF" w:rsidRPr="004058AF" w:rsidRDefault="004058AF" w:rsidP="004058AF">
      <w:pPr>
        <w:spacing w:after="0" w:line="240" w:lineRule="auto"/>
        <w:jc w:val="left"/>
        <w:rPr>
          <w:bCs/>
          <w:sz w:val="24"/>
          <w:szCs w:val="24"/>
        </w:rPr>
      </w:pPr>
      <w:r w:rsidRPr="004058AF">
        <w:rPr>
          <w:b/>
          <w:sz w:val="24"/>
          <w:szCs w:val="24"/>
        </w:rPr>
        <w:t>Date Filed:</w:t>
      </w:r>
      <w:r w:rsidRPr="004058AF">
        <w:rPr>
          <w:sz w:val="24"/>
          <w:szCs w:val="24"/>
        </w:rPr>
        <w:t xml:space="preserve">  May 24, 2021</w:t>
      </w:r>
    </w:p>
    <w:p w14:paraId="775718FC" w14:textId="77777777" w:rsidR="004058AF" w:rsidRPr="004058AF" w:rsidRDefault="004058AF" w:rsidP="004058AF">
      <w:pPr>
        <w:spacing w:after="0" w:line="240" w:lineRule="auto"/>
        <w:jc w:val="left"/>
        <w:rPr>
          <w:b/>
          <w:sz w:val="24"/>
          <w:szCs w:val="24"/>
        </w:rPr>
      </w:pPr>
      <w:r w:rsidRPr="004058AF">
        <w:rPr>
          <w:b/>
          <w:sz w:val="24"/>
          <w:szCs w:val="24"/>
        </w:rPr>
        <w:t xml:space="preserve">__________________________________________________________________ </w:t>
      </w:r>
    </w:p>
    <w:p w14:paraId="63667887" w14:textId="77777777" w:rsidR="004058AF" w:rsidRPr="004058AF" w:rsidRDefault="004058AF" w:rsidP="004058AF">
      <w:pPr>
        <w:spacing w:after="0" w:line="240" w:lineRule="auto"/>
        <w:jc w:val="left"/>
        <w:rPr>
          <w:b/>
          <w:sz w:val="24"/>
          <w:szCs w:val="24"/>
        </w:rPr>
      </w:pPr>
    </w:p>
    <w:p w14:paraId="6D2AABFB" w14:textId="77777777" w:rsidR="004058AF" w:rsidRPr="004058AF" w:rsidRDefault="004058AF" w:rsidP="004058AF">
      <w:pPr>
        <w:spacing w:after="0" w:line="240" w:lineRule="auto"/>
        <w:jc w:val="left"/>
        <w:rPr>
          <w:bCs/>
          <w:sz w:val="24"/>
          <w:szCs w:val="24"/>
        </w:rPr>
      </w:pPr>
      <w:r w:rsidRPr="004058AF">
        <w:rPr>
          <w:b/>
          <w:sz w:val="24"/>
          <w:szCs w:val="24"/>
        </w:rPr>
        <w:t>Court:</w:t>
      </w:r>
      <w:r w:rsidRPr="004058AF">
        <w:rPr>
          <w:bCs/>
          <w:sz w:val="24"/>
          <w:szCs w:val="24"/>
        </w:rPr>
        <w:t xml:space="preserve">  Superior</w:t>
      </w:r>
      <w:r w:rsidRPr="004058AF">
        <w:rPr>
          <w:b/>
          <w:sz w:val="24"/>
          <w:szCs w:val="24"/>
        </w:rPr>
        <w:t xml:space="preserve">   </w:t>
      </w:r>
    </w:p>
    <w:p w14:paraId="1914AD54" w14:textId="77777777" w:rsidR="004058AF" w:rsidRPr="004058AF" w:rsidRDefault="004058AF" w:rsidP="004058AF">
      <w:pPr>
        <w:spacing w:after="0" w:line="240" w:lineRule="auto"/>
        <w:jc w:val="left"/>
        <w:rPr>
          <w:bCs/>
          <w:sz w:val="24"/>
          <w:szCs w:val="24"/>
        </w:rPr>
      </w:pPr>
      <w:r w:rsidRPr="004058AF">
        <w:rPr>
          <w:b/>
          <w:sz w:val="24"/>
          <w:szCs w:val="24"/>
        </w:rPr>
        <w:t>County:</w:t>
      </w:r>
      <w:r w:rsidRPr="004058AF">
        <w:rPr>
          <w:bCs/>
          <w:sz w:val="24"/>
          <w:szCs w:val="24"/>
        </w:rPr>
        <w:t xml:space="preserve">  Sonoma</w:t>
      </w:r>
      <w:r w:rsidRPr="004058AF">
        <w:rPr>
          <w:b/>
          <w:sz w:val="24"/>
          <w:szCs w:val="24"/>
        </w:rPr>
        <w:t xml:space="preserve">  </w:t>
      </w:r>
      <w:r w:rsidRPr="004058AF">
        <w:rPr>
          <w:bCs/>
          <w:sz w:val="24"/>
          <w:szCs w:val="24"/>
        </w:rPr>
        <w:t xml:space="preserve"> </w:t>
      </w:r>
    </w:p>
    <w:p w14:paraId="494A2DC8" w14:textId="77777777" w:rsidR="004058AF" w:rsidRPr="004058AF" w:rsidRDefault="004058AF" w:rsidP="004058AF">
      <w:pPr>
        <w:spacing w:after="0" w:line="240" w:lineRule="auto"/>
        <w:ind w:left="720" w:hanging="720"/>
        <w:jc w:val="left"/>
        <w:rPr>
          <w:bCs/>
          <w:sz w:val="24"/>
          <w:szCs w:val="24"/>
        </w:rPr>
      </w:pPr>
      <w:r w:rsidRPr="004058AF">
        <w:rPr>
          <w:b/>
          <w:sz w:val="24"/>
          <w:szCs w:val="24"/>
        </w:rPr>
        <w:t>Judge:</w:t>
      </w:r>
      <w:r w:rsidRPr="004058AF">
        <w:rPr>
          <w:bCs/>
          <w:sz w:val="24"/>
          <w:szCs w:val="24"/>
        </w:rPr>
        <w:t xml:space="preserve">  Elaine M. Rushing</w:t>
      </w:r>
      <w:r w:rsidRPr="004058AF">
        <w:rPr>
          <w:b/>
          <w:sz w:val="24"/>
          <w:szCs w:val="24"/>
        </w:rPr>
        <w:t xml:space="preserve">  </w:t>
      </w:r>
      <w:r w:rsidRPr="004058AF">
        <w:rPr>
          <w:bCs/>
          <w:sz w:val="24"/>
          <w:szCs w:val="24"/>
        </w:rPr>
        <w:t xml:space="preserve"> </w:t>
      </w:r>
    </w:p>
    <w:p w14:paraId="3DCB2953" w14:textId="77777777" w:rsidR="004058AF" w:rsidRPr="004058AF" w:rsidRDefault="004058AF" w:rsidP="004058AF">
      <w:pPr>
        <w:spacing w:after="0" w:line="240" w:lineRule="auto"/>
        <w:jc w:val="left"/>
        <w:rPr>
          <w:b/>
          <w:sz w:val="24"/>
          <w:szCs w:val="24"/>
        </w:rPr>
      </w:pPr>
    </w:p>
    <w:p w14:paraId="35FD1C8F" w14:textId="77777777" w:rsidR="004058AF" w:rsidRPr="004058AF" w:rsidRDefault="004058AF" w:rsidP="004058AF">
      <w:pPr>
        <w:spacing w:after="0" w:line="240" w:lineRule="auto"/>
        <w:jc w:val="left"/>
        <w:rPr>
          <w:b/>
          <w:sz w:val="24"/>
          <w:szCs w:val="24"/>
        </w:rPr>
      </w:pPr>
      <w:r w:rsidRPr="004058AF">
        <w:rPr>
          <w:b/>
          <w:sz w:val="24"/>
          <w:szCs w:val="24"/>
        </w:rPr>
        <w:t xml:space="preserve">__________________________________________________________________ </w:t>
      </w:r>
    </w:p>
    <w:p w14:paraId="4A3D77C2" w14:textId="77777777" w:rsidR="004058AF" w:rsidRPr="004058AF" w:rsidRDefault="004058AF" w:rsidP="004058AF">
      <w:pPr>
        <w:spacing w:after="0" w:line="240" w:lineRule="auto"/>
        <w:jc w:val="left"/>
        <w:rPr>
          <w:b/>
          <w:sz w:val="24"/>
          <w:szCs w:val="24"/>
        </w:rPr>
      </w:pPr>
    </w:p>
    <w:p w14:paraId="33283734" w14:textId="77777777" w:rsidR="004058AF" w:rsidRPr="004058AF" w:rsidRDefault="004058AF" w:rsidP="004058AF">
      <w:pPr>
        <w:spacing w:after="0" w:line="240" w:lineRule="auto"/>
        <w:jc w:val="left"/>
        <w:rPr>
          <w:b/>
          <w:sz w:val="24"/>
          <w:szCs w:val="24"/>
        </w:rPr>
      </w:pPr>
      <w:r w:rsidRPr="004058AF">
        <w:rPr>
          <w:b/>
          <w:sz w:val="24"/>
          <w:szCs w:val="24"/>
        </w:rPr>
        <w:t>Counsel:</w:t>
      </w:r>
    </w:p>
    <w:p w14:paraId="28DA84AF" w14:textId="77777777" w:rsidR="004058AF" w:rsidRPr="004058AF" w:rsidRDefault="004058AF" w:rsidP="004058AF">
      <w:pPr>
        <w:spacing w:after="0" w:line="240" w:lineRule="auto"/>
        <w:jc w:val="left"/>
        <w:rPr>
          <w:b/>
          <w:sz w:val="24"/>
          <w:szCs w:val="24"/>
        </w:rPr>
      </w:pPr>
    </w:p>
    <w:p w14:paraId="6220E94A" w14:textId="77777777" w:rsidR="004058AF" w:rsidRPr="004058AF" w:rsidRDefault="004058AF" w:rsidP="004058AF">
      <w:pPr>
        <w:spacing w:after="0" w:line="240" w:lineRule="auto"/>
        <w:jc w:val="left"/>
        <w:rPr>
          <w:bCs/>
          <w:sz w:val="24"/>
          <w:szCs w:val="24"/>
        </w:rPr>
      </w:pPr>
      <w:r w:rsidRPr="004058AF">
        <w:rPr>
          <w:bCs/>
          <w:sz w:val="24"/>
          <w:szCs w:val="24"/>
        </w:rPr>
        <w:t>Michael J. Hersek, State Public Defender, under appointment by the Supreme Court, Margot Garey and Valerie Hriciga, Deputy State Public Defenders, for Defendant and Appellant.</w:t>
      </w:r>
    </w:p>
    <w:p w14:paraId="23A2B32C" w14:textId="77777777" w:rsidR="004058AF" w:rsidRPr="004058AF" w:rsidRDefault="004058AF" w:rsidP="004058AF">
      <w:pPr>
        <w:spacing w:after="0" w:line="240" w:lineRule="auto"/>
        <w:jc w:val="left"/>
        <w:rPr>
          <w:bCs/>
          <w:sz w:val="24"/>
          <w:szCs w:val="24"/>
        </w:rPr>
      </w:pPr>
    </w:p>
    <w:p w14:paraId="33C0590E" w14:textId="77777777" w:rsidR="004058AF" w:rsidRPr="004058AF" w:rsidRDefault="004058AF" w:rsidP="004058AF">
      <w:pPr>
        <w:spacing w:after="0" w:line="240" w:lineRule="auto"/>
        <w:jc w:val="left"/>
        <w:rPr>
          <w:bCs/>
          <w:sz w:val="24"/>
          <w:szCs w:val="24"/>
        </w:rPr>
      </w:pPr>
      <w:r w:rsidRPr="004058AF">
        <w:rPr>
          <w:bCs/>
          <w:sz w:val="24"/>
          <w:szCs w:val="24"/>
        </w:rPr>
        <w:t>Kamala Harris, Attorney General, Dane R. Gillette, Chief Assistant Attorney General, Gerald A. Engler, Assistant Attorney General, Glenn R. Pruden and Julia Y. Je, Deputy Attorneys General, for Plaintiff and Respondent.</w:t>
      </w:r>
    </w:p>
    <w:p w14:paraId="75253F28" w14:textId="77777777" w:rsidR="004058AF" w:rsidRPr="004058AF" w:rsidRDefault="004058AF" w:rsidP="004058AF">
      <w:pPr>
        <w:spacing w:after="0" w:line="240" w:lineRule="auto"/>
        <w:jc w:val="left"/>
        <w:rPr>
          <w:b/>
          <w:sz w:val="24"/>
          <w:szCs w:val="24"/>
        </w:rPr>
      </w:pPr>
    </w:p>
    <w:p w14:paraId="30F4CFE7" w14:textId="77777777" w:rsidR="004058AF" w:rsidRPr="004058AF" w:rsidRDefault="004058AF" w:rsidP="004058AF">
      <w:pPr>
        <w:spacing w:after="0" w:line="240" w:lineRule="auto"/>
        <w:jc w:val="left"/>
        <w:rPr>
          <w:b/>
          <w:sz w:val="24"/>
          <w:szCs w:val="24"/>
        </w:rPr>
      </w:pPr>
      <w:bookmarkStart w:id="77" w:name="PAGE_3103"/>
      <w:bookmarkEnd w:id="77"/>
      <w:r w:rsidRPr="004058AF">
        <w:rPr>
          <w:b/>
          <w:sz w:val="24"/>
          <w:szCs w:val="24"/>
        </w:rPr>
        <w:br w:type="page"/>
      </w:r>
    </w:p>
    <w:p w14:paraId="3AD899D3" w14:textId="77777777" w:rsidR="004058AF" w:rsidRPr="004058AF" w:rsidRDefault="004058AF" w:rsidP="004058AF">
      <w:pPr>
        <w:spacing w:after="0" w:line="240" w:lineRule="auto"/>
        <w:jc w:val="left"/>
        <w:rPr>
          <w:b/>
          <w:sz w:val="24"/>
          <w:szCs w:val="24"/>
        </w:rPr>
      </w:pPr>
      <w:r w:rsidRPr="004058AF">
        <w:rPr>
          <w:b/>
          <w:sz w:val="24"/>
          <w:szCs w:val="24"/>
        </w:rPr>
        <w:t>Counsel who argued in Supreme Court (not intended for publication with opinion):</w:t>
      </w:r>
    </w:p>
    <w:p w14:paraId="22920361" w14:textId="77777777" w:rsidR="004058AF" w:rsidRPr="004058AF" w:rsidRDefault="004058AF" w:rsidP="004058AF">
      <w:pPr>
        <w:spacing w:after="0" w:line="240" w:lineRule="auto"/>
        <w:jc w:val="left"/>
        <w:rPr>
          <w:b/>
          <w:sz w:val="24"/>
          <w:szCs w:val="24"/>
        </w:rPr>
      </w:pPr>
    </w:p>
    <w:p w14:paraId="56985DE7" w14:textId="77777777" w:rsidR="004058AF" w:rsidRPr="004058AF" w:rsidRDefault="004058AF" w:rsidP="004058AF">
      <w:pPr>
        <w:spacing w:after="0" w:line="240" w:lineRule="auto"/>
        <w:jc w:val="left"/>
        <w:rPr>
          <w:sz w:val="24"/>
          <w:szCs w:val="24"/>
        </w:rPr>
      </w:pPr>
      <w:r w:rsidRPr="004058AF">
        <w:rPr>
          <w:sz w:val="24"/>
          <w:szCs w:val="24"/>
        </w:rPr>
        <w:t>Valerie Hriciga</w:t>
      </w:r>
    </w:p>
    <w:p w14:paraId="2E575391" w14:textId="77777777" w:rsidR="004058AF" w:rsidRPr="004058AF" w:rsidRDefault="004058AF" w:rsidP="004058AF">
      <w:pPr>
        <w:spacing w:after="0" w:line="240" w:lineRule="auto"/>
        <w:jc w:val="left"/>
        <w:rPr>
          <w:sz w:val="24"/>
          <w:szCs w:val="24"/>
        </w:rPr>
      </w:pPr>
      <w:r w:rsidRPr="004058AF">
        <w:rPr>
          <w:sz w:val="24"/>
          <w:szCs w:val="24"/>
        </w:rPr>
        <w:t>Deputy State Public Defender</w:t>
      </w:r>
    </w:p>
    <w:p w14:paraId="672DA3AF" w14:textId="77777777" w:rsidR="004058AF" w:rsidRPr="004058AF" w:rsidRDefault="004058AF" w:rsidP="004058AF">
      <w:pPr>
        <w:spacing w:after="0" w:line="240" w:lineRule="auto"/>
        <w:jc w:val="left"/>
        <w:rPr>
          <w:sz w:val="24"/>
          <w:szCs w:val="24"/>
        </w:rPr>
      </w:pPr>
      <w:r w:rsidRPr="004058AF">
        <w:rPr>
          <w:sz w:val="24"/>
          <w:szCs w:val="24"/>
        </w:rPr>
        <w:t>1111 Broadway, Suite 1000</w:t>
      </w:r>
    </w:p>
    <w:p w14:paraId="5CED71C0" w14:textId="77777777" w:rsidR="004058AF" w:rsidRPr="004058AF" w:rsidRDefault="004058AF" w:rsidP="004058AF">
      <w:pPr>
        <w:spacing w:after="0" w:line="240" w:lineRule="auto"/>
        <w:jc w:val="left"/>
        <w:rPr>
          <w:sz w:val="24"/>
          <w:szCs w:val="24"/>
        </w:rPr>
      </w:pPr>
      <w:r w:rsidRPr="004058AF">
        <w:rPr>
          <w:sz w:val="24"/>
          <w:szCs w:val="24"/>
        </w:rPr>
        <w:t>Oakland, CA 94607</w:t>
      </w:r>
    </w:p>
    <w:p w14:paraId="1C31B249" w14:textId="77777777" w:rsidR="004058AF" w:rsidRPr="004058AF" w:rsidRDefault="004058AF" w:rsidP="004058AF">
      <w:pPr>
        <w:spacing w:after="0" w:line="240" w:lineRule="auto"/>
        <w:jc w:val="left"/>
        <w:rPr>
          <w:sz w:val="24"/>
          <w:szCs w:val="24"/>
        </w:rPr>
      </w:pPr>
      <w:r w:rsidRPr="004058AF">
        <w:rPr>
          <w:sz w:val="24"/>
          <w:szCs w:val="24"/>
        </w:rPr>
        <w:t>(510) 267-3300</w:t>
      </w:r>
    </w:p>
    <w:p w14:paraId="399164B3" w14:textId="77777777" w:rsidR="004058AF" w:rsidRPr="004058AF" w:rsidRDefault="004058AF" w:rsidP="004058AF">
      <w:pPr>
        <w:spacing w:after="0" w:line="240" w:lineRule="auto"/>
        <w:jc w:val="left"/>
        <w:rPr>
          <w:sz w:val="24"/>
          <w:szCs w:val="24"/>
        </w:rPr>
      </w:pPr>
    </w:p>
    <w:p w14:paraId="19D0FA20" w14:textId="77777777" w:rsidR="004058AF" w:rsidRPr="004058AF" w:rsidRDefault="004058AF" w:rsidP="004058AF">
      <w:pPr>
        <w:spacing w:after="0" w:line="240" w:lineRule="auto"/>
        <w:jc w:val="left"/>
        <w:rPr>
          <w:sz w:val="24"/>
          <w:szCs w:val="24"/>
        </w:rPr>
      </w:pPr>
      <w:r w:rsidRPr="004058AF">
        <w:rPr>
          <w:sz w:val="24"/>
          <w:szCs w:val="24"/>
        </w:rPr>
        <w:t>Julia Y. Je</w:t>
      </w:r>
    </w:p>
    <w:p w14:paraId="011861F7" w14:textId="77777777" w:rsidR="004058AF" w:rsidRPr="004058AF" w:rsidRDefault="004058AF" w:rsidP="004058AF">
      <w:pPr>
        <w:spacing w:after="0" w:line="240" w:lineRule="auto"/>
        <w:jc w:val="left"/>
        <w:rPr>
          <w:sz w:val="24"/>
          <w:szCs w:val="24"/>
        </w:rPr>
      </w:pPr>
      <w:r w:rsidRPr="004058AF">
        <w:rPr>
          <w:sz w:val="24"/>
          <w:szCs w:val="24"/>
        </w:rPr>
        <w:t>Deputy Attorney General</w:t>
      </w:r>
    </w:p>
    <w:p w14:paraId="1F72E705" w14:textId="77777777" w:rsidR="004058AF" w:rsidRPr="004058AF" w:rsidRDefault="004058AF" w:rsidP="004058AF">
      <w:pPr>
        <w:spacing w:after="0" w:line="240" w:lineRule="auto"/>
        <w:jc w:val="left"/>
        <w:rPr>
          <w:sz w:val="24"/>
          <w:szCs w:val="24"/>
        </w:rPr>
      </w:pPr>
      <w:r w:rsidRPr="004058AF">
        <w:rPr>
          <w:sz w:val="24"/>
          <w:szCs w:val="24"/>
        </w:rPr>
        <w:t>455 Golden Gate Ave., Suite 11000</w:t>
      </w:r>
    </w:p>
    <w:p w14:paraId="16157DB1" w14:textId="77777777" w:rsidR="004058AF" w:rsidRPr="004058AF" w:rsidRDefault="004058AF" w:rsidP="004058AF">
      <w:pPr>
        <w:spacing w:after="0" w:line="240" w:lineRule="auto"/>
        <w:jc w:val="left"/>
        <w:rPr>
          <w:sz w:val="24"/>
          <w:szCs w:val="24"/>
        </w:rPr>
      </w:pPr>
      <w:r w:rsidRPr="004058AF">
        <w:rPr>
          <w:sz w:val="24"/>
          <w:szCs w:val="24"/>
        </w:rPr>
        <w:t>San Francisco, CA 94102</w:t>
      </w:r>
    </w:p>
    <w:p w14:paraId="5183AA3B" w14:textId="77777777" w:rsidR="004058AF" w:rsidRPr="004058AF" w:rsidRDefault="004058AF" w:rsidP="004058AF">
      <w:pPr>
        <w:spacing w:after="0" w:line="240" w:lineRule="auto"/>
        <w:jc w:val="left"/>
        <w:rPr>
          <w:sz w:val="24"/>
          <w:szCs w:val="24"/>
        </w:rPr>
      </w:pPr>
      <w:r w:rsidRPr="004058AF">
        <w:rPr>
          <w:sz w:val="24"/>
          <w:szCs w:val="24"/>
        </w:rPr>
        <w:t>(415) 510-3804</w:t>
      </w:r>
    </w:p>
    <w:p w14:paraId="53CEBF7E" w14:textId="2817F616" w:rsidR="00513407" w:rsidRPr="00513407" w:rsidRDefault="00513407" w:rsidP="00B20827">
      <w:pPr>
        <w:pStyle w:val="FootnoteText"/>
        <w:tabs>
          <w:tab w:val="left" w:pos="360"/>
        </w:tabs>
        <w:rPr>
          <w:b/>
          <w:bCs/>
        </w:rPr>
      </w:pPr>
    </w:p>
    <w:sectPr w:rsidR="00513407" w:rsidRPr="00513407" w:rsidSect="00B51993">
      <w:headerReference w:type="even" r:id="rId15"/>
      <w:headerReference w:type="default" r:id="rId16"/>
      <w:footerReference w:type="even" r:id="rId17"/>
      <w:footerReference w:type="default" r:id="rId18"/>
      <w:headerReference w:type="first" r:id="rId19"/>
      <w:footerReference w:type="first" r:id="rId20"/>
      <w:pgSz w:w="12240" w:h="15840"/>
      <w:pgMar w:top="180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34994" w14:textId="77777777" w:rsidR="00C67BDB" w:rsidRDefault="00C67BDB">
      <w:r>
        <w:separator/>
      </w:r>
    </w:p>
  </w:endnote>
  <w:endnote w:type="continuationSeparator" w:id="0">
    <w:p w14:paraId="270EBECE" w14:textId="77777777" w:rsidR="00C67BDB" w:rsidRDefault="00C67BDB">
      <w:r>
        <w:continuationSeparator/>
      </w:r>
    </w:p>
  </w:endnote>
  <w:endnote w:type="continuationNotice" w:id="1">
    <w:p w14:paraId="42FE8961" w14:textId="77777777" w:rsidR="00C67BDB" w:rsidRDefault="00C67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B45F" w14:textId="77777777" w:rsidR="00CF44FB" w:rsidRDefault="00CF4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E848" w14:textId="77777777" w:rsidR="002140EA" w:rsidRDefault="002140EA">
    <w:pPr>
      <w:pStyle w:val="Footer"/>
    </w:pPr>
    <w:r w:rsidRPr="0099065E">
      <w:rPr>
        <w:noProof/>
      </w:rPr>
      <w:fldChar w:fldCharType="begin"/>
    </w:r>
    <w:r w:rsidRPr="0099065E">
      <w:rPr>
        <w:noProof/>
      </w:rPr>
      <w:instrText>PAGE</w:instrText>
    </w:r>
    <w:r w:rsidRPr="0099065E">
      <w:rPr>
        <w:noProof/>
      </w:rPr>
      <w:fldChar w:fldCharType="separate"/>
    </w:r>
    <w:r w:rsidRPr="0099065E">
      <w:rPr>
        <w:noProof/>
      </w:rPr>
      <w:t>1</w:t>
    </w:r>
    <w:r w:rsidRPr="0099065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A727" w14:textId="77777777" w:rsidR="00CF44FB" w:rsidRDefault="00CF44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338241"/>
      <w:docPartObj>
        <w:docPartGallery w:val="Page Numbers (Bottom of Page)"/>
        <w:docPartUnique/>
      </w:docPartObj>
    </w:sdtPr>
    <w:sdtEndPr>
      <w:rPr>
        <w:noProof/>
      </w:rPr>
    </w:sdtEndPr>
    <w:sdtContent>
      <w:p w14:paraId="2A41D2A0" w14:textId="62969EA9" w:rsidR="00BB4045" w:rsidRDefault="00BB404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A454" w14:textId="77777777" w:rsidR="00AB01F5" w:rsidRDefault="00CF44F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8520" w14:textId="77777777" w:rsidR="00AB01F5" w:rsidRDefault="00CF44F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C3F1" w14:textId="77777777" w:rsidR="00AB01F5" w:rsidRDefault="00CF4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91C62" w14:textId="77777777" w:rsidR="00C67BDB" w:rsidRDefault="00C67BDB">
      <w:r>
        <w:separator/>
      </w:r>
    </w:p>
  </w:footnote>
  <w:footnote w:type="continuationSeparator" w:id="0">
    <w:p w14:paraId="72A52461" w14:textId="77777777" w:rsidR="00C67BDB" w:rsidRDefault="00C67BDB">
      <w:pPr>
        <w:rPr>
          <w:sz w:val="22"/>
        </w:rPr>
      </w:pPr>
      <w:r w:rsidRPr="00EB10BC">
        <w:continuationSeparator/>
      </w:r>
    </w:p>
  </w:footnote>
  <w:footnote w:type="continuationNotice" w:id="1">
    <w:p w14:paraId="546A188A" w14:textId="77777777" w:rsidR="00C67BDB" w:rsidRDefault="00C67BDB">
      <w:pPr>
        <w:jc w:val="right"/>
        <w:rPr>
          <w:i/>
          <w:sz w:val="20"/>
        </w:rPr>
      </w:pPr>
    </w:p>
  </w:footnote>
  <w:footnote w:id="2">
    <w:p w14:paraId="18C3A177" w14:textId="77777777" w:rsidR="002140EA" w:rsidRDefault="002140EA" w:rsidP="00CB05A8">
      <w:pPr>
        <w:pStyle w:val="FootnoteText"/>
      </w:pPr>
      <w:r>
        <w:rPr>
          <w:rStyle w:val="FootnoteReference"/>
        </w:rPr>
        <w:footnoteRef/>
      </w:r>
      <w:r>
        <w:t xml:space="preserve"> </w:t>
      </w:r>
      <w:r>
        <w:tab/>
        <w:t>All further statutory references are to the Penal Code unless otherwise indicated.</w:t>
      </w:r>
    </w:p>
  </w:footnote>
  <w:footnote w:id="3">
    <w:p w14:paraId="15C0E1BD" w14:textId="2BEC5892" w:rsidR="002140EA" w:rsidRDefault="002140EA" w:rsidP="00CB05A8">
      <w:pPr>
        <w:pStyle w:val="FootnoteText"/>
      </w:pPr>
      <w:r>
        <w:rPr>
          <w:rStyle w:val="FootnoteReference"/>
        </w:rPr>
        <w:footnoteRef/>
      </w:r>
      <w:r>
        <w:t xml:space="preserve"> </w:t>
      </w:r>
      <w:r>
        <w:tab/>
      </w:r>
      <w:r w:rsidRPr="007F1B5C">
        <w:t xml:space="preserve">The defense introduced evidence that Ramirez had engaged in past criminal conduct amounting to a misdemeanor.  </w:t>
      </w:r>
    </w:p>
  </w:footnote>
  <w:footnote w:id="4">
    <w:p w14:paraId="4CBB66C4" w14:textId="77777777" w:rsidR="002140EA" w:rsidRDefault="002140EA" w:rsidP="00CB05A8">
      <w:pPr>
        <w:pStyle w:val="FootnoteText"/>
      </w:pPr>
      <w:r>
        <w:rPr>
          <w:rStyle w:val="FootnoteReference"/>
        </w:rPr>
        <w:footnoteRef/>
      </w:r>
      <w:r>
        <w:t xml:space="preserve"> </w:t>
      </w:r>
      <w:r>
        <w:tab/>
        <w:t>For clarity, we refer to members of the Cooper/King family by their first names.</w:t>
      </w:r>
    </w:p>
  </w:footnote>
  <w:footnote w:id="5">
    <w:p w14:paraId="4C62580D" w14:textId="1C176B5C" w:rsidR="002140EA" w:rsidRDefault="002140EA" w:rsidP="00F105E8">
      <w:pPr>
        <w:spacing w:line="300" w:lineRule="exact"/>
      </w:pPr>
      <w:r>
        <w:rPr>
          <w:rStyle w:val="FootnoteReference"/>
        </w:rPr>
        <w:footnoteRef/>
      </w:r>
      <w:r>
        <w:t xml:space="preserve"> </w:t>
      </w:r>
      <w:r>
        <w:tab/>
        <w:t xml:space="preserve">At approximately 3:00 a.m., Moore telephoned her neighbor, relating to her that </w:t>
      </w:r>
      <w:r w:rsidR="00094009">
        <w:t xml:space="preserve">defendant </w:t>
      </w:r>
      <w:r>
        <w:t xml:space="preserve">“had killed a cop” and was holding “them” hostage.  </w:t>
      </w:r>
      <w:r w:rsidRPr="00364794">
        <w:t xml:space="preserve">  </w:t>
      </w:r>
    </w:p>
    <w:p w14:paraId="73D8C54F" w14:textId="77777777" w:rsidR="002140EA" w:rsidRDefault="002140EA" w:rsidP="00FA0E34">
      <w:pPr>
        <w:pStyle w:val="FootnoteText"/>
      </w:pPr>
    </w:p>
  </w:footnote>
  <w:footnote w:id="6">
    <w:p w14:paraId="32A607B5" w14:textId="7511D02B" w:rsidR="002140EA" w:rsidRDefault="002140EA" w:rsidP="00CB05A8">
      <w:pPr>
        <w:pStyle w:val="FootnoteText"/>
      </w:pPr>
      <w:r>
        <w:rPr>
          <w:rStyle w:val="FootnoteReference"/>
        </w:rPr>
        <w:footnoteRef/>
      </w:r>
      <w:r>
        <w:t xml:space="preserve"> </w:t>
      </w:r>
      <w:r>
        <w:tab/>
        <w:t xml:space="preserve">The defense had 14 available peremptory challenges that it </w:t>
      </w:r>
      <w:r w:rsidR="007E3DB0">
        <w:t>did not</w:t>
      </w:r>
      <w:r>
        <w:t xml:space="preserve"> use.    </w:t>
      </w:r>
    </w:p>
  </w:footnote>
  <w:footnote w:id="7">
    <w:p w14:paraId="4964F8C0" w14:textId="426EAD42" w:rsidR="002140EA" w:rsidRDefault="002140EA" w:rsidP="00CB05A8">
      <w:pPr>
        <w:pStyle w:val="FootnoteText"/>
        <w:keepLines/>
      </w:pPr>
      <w:r>
        <w:rPr>
          <w:rStyle w:val="FootnoteReference"/>
        </w:rPr>
        <w:footnoteRef/>
      </w:r>
      <w:r w:rsidRPr="00E94000">
        <w:rPr>
          <w:vertAlign w:val="superscript"/>
        </w:rPr>
        <w:t xml:space="preserve"> </w:t>
      </w:r>
      <w:r>
        <w:tab/>
        <w:t xml:space="preserve">Nine of the </w:t>
      </w:r>
      <w:r w:rsidR="008960D6">
        <w:t>12</w:t>
      </w:r>
      <w:r>
        <w:t xml:space="preserve"> seated jurors were familiar with the case based on pretrial publicity.  One of the nine jurors who had knowledge of the case was excused by stipulation due to hardship after the jury reached a verdict on the guilt phase, but prior to defendant’s bifurcated trial on the alleged prior convictions.  </w:t>
      </w:r>
    </w:p>
  </w:footnote>
  <w:footnote w:id="8">
    <w:p w14:paraId="30E080DF" w14:textId="029DE02A" w:rsidR="002140EA" w:rsidRPr="00222E16" w:rsidRDefault="002140EA" w:rsidP="00CB05A8">
      <w:pPr>
        <w:pStyle w:val="FootnoteText"/>
      </w:pPr>
      <w:r>
        <w:rPr>
          <w:rStyle w:val="FootnoteReference"/>
        </w:rPr>
        <w:footnoteRef/>
      </w:r>
      <w:r>
        <w:t xml:space="preserve"> </w:t>
      </w:r>
      <w:r>
        <w:tab/>
        <w:t xml:space="preserve">The prosecution introduced the convictions under section 190.3, factor (c), and subsequently argued to the jury that the evidence of the convictions and the facts of the offense be considered under both factors (b) and (c).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05B4" w14:textId="77777777" w:rsidR="00CF44FB" w:rsidRDefault="00CF4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1316" w14:textId="3FFA35A2" w:rsidR="00CB05A8" w:rsidRDefault="00CB05A8">
    <w:pPr>
      <w:pStyle w:val="Header"/>
    </w:pPr>
    <w:r>
      <w:t>PEOPLE v. SCULLY</w:t>
    </w:r>
    <w:r>
      <w:br/>
    </w:r>
    <w:r w:rsidR="004D7847">
      <w:t xml:space="preserve">Opinion </w:t>
    </w:r>
    <w:r w:rsidR="00570C94">
      <w:t xml:space="preserve">of the Court </w:t>
    </w:r>
    <w:r w:rsidR="004D7847">
      <w:t>by Cantil-Sakauye, C. J.</w:t>
    </w:r>
  </w:p>
  <w:p w14:paraId="33A0EF30" w14:textId="77777777" w:rsidR="004D7847" w:rsidRDefault="004D78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38A0" w14:textId="77777777" w:rsidR="00CF44FB" w:rsidRDefault="00CF44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8119" w14:textId="77777777" w:rsidR="00AB01F5" w:rsidRDefault="00CF44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9DBA" w14:textId="77777777" w:rsidR="00AB01F5" w:rsidRDefault="00CF44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1AAF" w14:textId="77777777" w:rsidR="00AB01F5" w:rsidRDefault="00CF4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E2B"/>
    <w:multiLevelType w:val="hybridMultilevel"/>
    <w:tmpl w:val="66D0AA12"/>
    <w:lvl w:ilvl="0" w:tplc="ECC8792E">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67D2114"/>
    <w:multiLevelType w:val="hybridMultilevel"/>
    <w:tmpl w:val="4F5CEB66"/>
    <w:lvl w:ilvl="0" w:tplc="B7CED9C0">
      <w:start w:val="2"/>
      <w:numFmt w:val="lowerRoman"/>
      <w:lvlText w:val="%1."/>
      <w:lvlJc w:val="left"/>
      <w:pPr>
        <w:ind w:left="2736" w:hanging="72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 w15:restartNumberingAfterBreak="0">
    <w:nsid w:val="0A342D95"/>
    <w:multiLevelType w:val="hybridMultilevel"/>
    <w:tmpl w:val="74F41C82"/>
    <w:lvl w:ilvl="0" w:tplc="C52C9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34FCA"/>
    <w:multiLevelType w:val="hybridMultilevel"/>
    <w:tmpl w:val="20A84CDC"/>
    <w:lvl w:ilvl="0" w:tplc="27CAB5EE">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 w15:restartNumberingAfterBreak="0">
    <w:nsid w:val="0A580C9C"/>
    <w:multiLevelType w:val="hybridMultilevel"/>
    <w:tmpl w:val="D35E4722"/>
    <w:lvl w:ilvl="0" w:tplc="C2966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9A4707"/>
    <w:multiLevelType w:val="hybridMultilevel"/>
    <w:tmpl w:val="5F8E3FE2"/>
    <w:lvl w:ilvl="0" w:tplc="16B0B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0A458F"/>
    <w:multiLevelType w:val="hybridMultilevel"/>
    <w:tmpl w:val="AF9A3772"/>
    <w:lvl w:ilvl="0" w:tplc="2480A5D6">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7" w15:restartNumberingAfterBreak="0">
    <w:nsid w:val="189C3F1F"/>
    <w:multiLevelType w:val="hybridMultilevel"/>
    <w:tmpl w:val="959C02E0"/>
    <w:lvl w:ilvl="0" w:tplc="147AE4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F53930"/>
    <w:multiLevelType w:val="hybridMultilevel"/>
    <w:tmpl w:val="72CEDBF4"/>
    <w:lvl w:ilvl="0" w:tplc="EB443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F31E33"/>
    <w:multiLevelType w:val="hybridMultilevel"/>
    <w:tmpl w:val="954AB5C4"/>
    <w:lvl w:ilvl="0" w:tplc="929A81DE">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0" w15:restartNumberingAfterBreak="0">
    <w:nsid w:val="2036722C"/>
    <w:multiLevelType w:val="hybridMultilevel"/>
    <w:tmpl w:val="27D437A8"/>
    <w:lvl w:ilvl="0" w:tplc="8830FA4A">
      <w:start w:val="1"/>
      <w:numFmt w:val="decimal"/>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21DF2581"/>
    <w:multiLevelType w:val="hybridMultilevel"/>
    <w:tmpl w:val="954E6F38"/>
    <w:lvl w:ilvl="0" w:tplc="8E920748">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 w15:restartNumberingAfterBreak="0">
    <w:nsid w:val="2613731F"/>
    <w:multiLevelType w:val="hybridMultilevel"/>
    <w:tmpl w:val="45FE9BBE"/>
    <w:lvl w:ilvl="0" w:tplc="DA069860">
      <w:start w:val="5"/>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28561BDD"/>
    <w:multiLevelType w:val="hybridMultilevel"/>
    <w:tmpl w:val="F9CCBEE8"/>
    <w:lvl w:ilvl="0" w:tplc="3B20BA92">
      <w:start w:val="3"/>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15:restartNumberingAfterBreak="0">
    <w:nsid w:val="2AC90F23"/>
    <w:multiLevelType w:val="hybridMultilevel"/>
    <w:tmpl w:val="EA8449CC"/>
    <w:lvl w:ilvl="0" w:tplc="A6E4FD3E">
      <w:start w:val="2"/>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5" w15:restartNumberingAfterBreak="0">
    <w:nsid w:val="2F2966D7"/>
    <w:multiLevelType w:val="hybridMultilevel"/>
    <w:tmpl w:val="9384C79C"/>
    <w:lvl w:ilvl="0" w:tplc="5C825134">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6" w15:restartNumberingAfterBreak="0">
    <w:nsid w:val="36855C96"/>
    <w:multiLevelType w:val="hybridMultilevel"/>
    <w:tmpl w:val="14182BFA"/>
    <w:lvl w:ilvl="0" w:tplc="21204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8E3750"/>
    <w:multiLevelType w:val="hybridMultilevel"/>
    <w:tmpl w:val="31666136"/>
    <w:lvl w:ilvl="0" w:tplc="417EC90A">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 w15:restartNumberingAfterBreak="0">
    <w:nsid w:val="3E4C3578"/>
    <w:multiLevelType w:val="hybridMultilevel"/>
    <w:tmpl w:val="7624D848"/>
    <w:lvl w:ilvl="0" w:tplc="BDFAA0C6">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9" w15:restartNumberingAfterBreak="0">
    <w:nsid w:val="3F265B19"/>
    <w:multiLevelType w:val="hybridMultilevel"/>
    <w:tmpl w:val="5DBA4164"/>
    <w:lvl w:ilvl="0" w:tplc="6130D50A">
      <w:start w:val="9"/>
      <w:numFmt w:val="lowerLetter"/>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0" w15:restartNumberingAfterBreak="0">
    <w:nsid w:val="40332AB7"/>
    <w:multiLevelType w:val="hybridMultilevel"/>
    <w:tmpl w:val="D9008FCE"/>
    <w:lvl w:ilvl="0" w:tplc="55F2955E">
      <w:start w:val="1"/>
      <w:numFmt w:val="lowerLetter"/>
      <w:lvlText w:val="%1."/>
      <w:lvlJc w:val="left"/>
      <w:pPr>
        <w:ind w:left="2004" w:hanging="360"/>
      </w:pPr>
      <w:rPr>
        <w:rFonts w:hint="default"/>
      </w:rPr>
    </w:lvl>
    <w:lvl w:ilvl="1" w:tplc="04090019" w:tentative="1">
      <w:start w:val="1"/>
      <w:numFmt w:val="lowerLetter"/>
      <w:lvlText w:val="%2."/>
      <w:lvlJc w:val="left"/>
      <w:pPr>
        <w:ind w:left="2724" w:hanging="360"/>
      </w:pPr>
    </w:lvl>
    <w:lvl w:ilvl="2" w:tplc="0409001B" w:tentative="1">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21" w15:restartNumberingAfterBreak="0">
    <w:nsid w:val="406B030F"/>
    <w:multiLevelType w:val="hybridMultilevel"/>
    <w:tmpl w:val="56EC2714"/>
    <w:lvl w:ilvl="0" w:tplc="C240BFB6">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2" w15:restartNumberingAfterBreak="0">
    <w:nsid w:val="47E03168"/>
    <w:multiLevelType w:val="hybridMultilevel"/>
    <w:tmpl w:val="5E3CB4C0"/>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97CA7"/>
    <w:multiLevelType w:val="hybridMultilevel"/>
    <w:tmpl w:val="A51833C6"/>
    <w:lvl w:ilvl="0" w:tplc="B50C3C2A">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4" w15:restartNumberingAfterBreak="0">
    <w:nsid w:val="51A03CCD"/>
    <w:multiLevelType w:val="hybridMultilevel"/>
    <w:tmpl w:val="72302348"/>
    <w:lvl w:ilvl="0" w:tplc="6D607106">
      <w:start w:val="2"/>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5" w15:restartNumberingAfterBreak="0">
    <w:nsid w:val="58B0181C"/>
    <w:multiLevelType w:val="hybridMultilevel"/>
    <w:tmpl w:val="F6F6E138"/>
    <w:lvl w:ilvl="0" w:tplc="33245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D85A02"/>
    <w:multiLevelType w:val="hybridMultilevel"/>
    <w:tmpl w:val="47FCE25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67ACF"/>
    <w:multiLevelType w:val="hybridMultilevel"/>
    <w:tmpl w:val="0EBC9058"/>
    <w:lvl w:ilvl="0" w:tplc="0618241A">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636F4A"/>
    <w:multiLevelType w:val="hybridMultilevel"/>
    <w:tmpl w:val="5442BD5A"/>
    <w:lvl w:ilvl="0" w:tplc="ADA2C2BC">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9" w15:restartNumberingAfterBreak="0">
    <w:nsid w:val="5F516348"/>
    <w:multiLevelType w:val="hybridMultilevel"/>
    <w:tmpl w:val="42F2ACB0"/>
    <w:lvl w:ilvl="0" w:tplc="2F763066">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0" w15:restartNumberingAfterBreak="0">
    <w:nsid w:val="61942CC0"/>
    <w:multiLevelType w:val="hybridMultilevel"/>
    <w:tmpl w:val="2DE891FE"/>
    <w:lvl w:ilvl="0" w:tplc="13E46C18">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1" w15:restartNumberingAfterBreak="0">
    <w:nsid w:val="622C6F3E"/>
    <w:multiLevelType w:val="hybridMultilevel"/>
    <w:tmpl w:val="8684D494"/>
    <w:lvl w:ilvl="0" w:tplc="0082F89E">
      <w:start w:val="9"/>
      <w:numFmt w:val="lowerLetter"/>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32" w15:restartNumberingAfterBreak="0">
    <w:nsid w:val="679225F8"/>
    <w:multiLevelType w:val="hybridMultilevel"/>
    <w:tmpl w:val="F6CEFDAE"/>
    <w:lvl w:ilvl="0" w:tplc="A5402342">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907093"/>
    <w:multiLevelType w:val="hybridMultilevel"/>
    <w:tmpl w:val="DF0425DE"/>
    <w:lvl w:ilvl="0" w:tplc="8B828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1946AB"/>
    <w:multiLevelType w:val="hybridMultilevel"/>
    <w:tmpl w:val="253861B0"/>
    <w:lvl w:ilvl="0" w:tplc="2D9AC9A4">
      <w:start w:val="2"/>
      <w:numFmt w:val="lowerRoman"/>
      <w:lvlText w:val="%1."/>
      <w:lvlJc w:val="left"/>
      <w:pPr>
        <w:ind w:left="2736" w:hanging="72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35" w15:restartNumberingAfterBreak="0">
    <w:nsid w:val="70634DD3"/>
    <w:multiLevelType w:val="hybridMultilevel"/>
    <w:tmpl w:val="8E003A7A"/>
    <w:lvl w:ilvl="0" w:tplc="869CA572">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6" w15:restartNumberingAfterBreak="0">
    <w:nsid w:val="71257181"/>
    <w:multiLevelType w:val="hybridMultilevel"/>
    <w:tmpl w:val="4F72246C"/>
    <w:lvl w:ilvl="0" w:tplc="F932B5AE">
      <w:start w:val="1"/>
      <w:numFmt w:val="decimal"/>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37" w15:restartNumberingAfterBreak="0">
    <w:nsid w:val="714B1D03"/>
    <w:multiLevelType w:val="hybridMultilevel"/>
    <w:tmpl w:val="B9F69CB8"/>
    <w:lvl w:ilvl="0" w:tplc="62F6000A">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8" w15:restartNumberingAfterBreak="0">
    <w:nsid w:val="72AA42D1"/>
    <w:multiLevelType w:val="hybridMultilevel"/>
    <w:tmpl w:val="360A8900"/>
    <w:lvl w:ilvl="0" w:tplc="569AC6B8">
      <w:start w:val="1"/>
      <w:numFmt w:val="decimal"/>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39" w15:restartNumberingAfterBreak="0">
    <w:nsid w:val="758A0AC8"/>
    <w:multiLevelType w:val="hybridMultilevel"/>
    <w:tmpl w:val="F2F2DA4C"/>
    <w:lvl w:ilvl="0" w:tplc="C3C25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AA5863"/>
    <w:multiLevelType w:val="hybridMultilevel"/>
    <w:tmpl w:val="827A1254"/>
    <w:lvl w:ilvl="0" w:tplc="8EBAF63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417A03"/>
    <w:multiLevelType w:val="hybridMultilevel"/>
    <w:tmpl w:val="17E63300"/>
    <w:lvl w:ilvl="0" w:tplc="E9E82C2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65217B"/>
    <w:multiLevelType w:val="hybridMultilevel"/>
    <w:tmpl w:val="30AE108C"/>
    <w:lvl w:ilvl="0" w:tplc="07688D16">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25"/>
  </w:num>
  <w:num w:numId="2">
    <w:abstractNumId w:val="29"/>
  </w:num>
  <w:num w:numId="3">
    <w:abstractNumId w:val="32"/>
  </w:num>
  <w:num w:numId="4">
    <w:abstractNumId w:val="10"/>
  </w:num>
  <w:num w:numId="5">
    <w:abstractNumId w:val="6"/>
  </w:num>
  <w:num w:numId="6">
    <w:abstractNumId w:val="30"/>
  </w:num>
  <w:num w:numId="7">
    <w:abstractNumId w:val="8"/>
  </w:num>
  <w:num w:numId="8">
    <w:abstractNumId w:val="41"/>
  </w:num>
  <w:num w:numId="9">
    <w:abstractNumId w:val="40"/>
  </w:num>
  <w:num w:numId="10">
    <w:abstractNumId w:val="24"/>
  </w:num>
  <w:num w:numId="11">
    <w:abstractNumId w:val="39"/>
  </w:num>
  <w:num w:numId="12">
    <w:abstractNumId w:val="3"/>
  </w:num>
  <w:num w:numId="13">
    <w:abstractNumId w:val="35"/>
  </w:num>
  <w:num w:numId="14">
    <w:abstractNumId w:val="4"/>
  </w:num>
  <w:num w:numId="15">
    <w:abstractNumId w:val="0"/>
  </w:num>
  <w:num w:numId="16">
    <w:abstractNumId w:val="42"/>
  </w:num>
  <w:num w:numId="17">
    <w:abstractNumId w:val="2"/>
  </w:num>
  <w:num w:numId="18">
    <w:abstractNumId w:val="5"/>
  </w:num>
  <w:num w:numId="19">
    <w:abstractNumId w:val="17"/>
  </w:num>
  <w:num w:numId="20">
    <w:abstractNumId w:val="16"/>
  </w:num>
  <w:num w:numId="21">
    <w:abstractNumId w:val="27"/>
  </w:num>
  <w:num w:numId="22">
    <w:abstractNumId w:val="11"/>
  </w:num>
  <w:num w:numId="23">
    <w:abstractNumId w:val="7"/>
  </w:num>
  <w:num w:numId="24">
    <w:abstractNumId w:val="20"/>
  </w:num>
  <w:num w:numId="25">
    <w:abstractNumId w:val="33"/>
  </w:num>
  <w:num w:numId="26">
    <w:abstractNumId w:val="9"/>
  </w:num>
  <w:num w:numId="27">
    <w:abstractNumId w:val="12"/>
  </w:num>
  <w:num w:numId="28">
    <w:abstractNumId w:val="21"/>
  </w:num>
  <w:num w:numId="29">
    <w:abstractNumId w:val="14"/>
  </w:num>
  <w:num w:numId="30">
    <w:abstractNumId w:val="23"/>
  </w:num>
  <w:num w:numId="31">
    <w:abstractNumId w:val="15"/>
  </w:num>
  <w:num w:numId="32">
    <w:abstractNumId w:val="36"/>
  </w:num>
  <w:num w:numId="33">
    <w:abstractNumId w:val="13"/>
  </w:num>
  <w:num w:numId="34">
    <w:abstractNumId w:val="37"/>
  </w:num>
  <w:num w:numId="35">
    <w:abstractNumId w:val="38"/>
  </w:num>
  <w:num w:numId="36">
    <w:abstractNumId w:val="18"/>
  </w:num>
  <w:num w:numId="37">
    <w:abstractNumId w:val="28"/>
  </w:num>
  <w:num w:numId="38">
    <w:abstractNumId w:val="19"/>
  </w:num>
  <w:num w:numId="39">
    <w:abstractNumId w:val="34"/>
  </w:num>
  <w:num w:numId="40">
    <w:abstractNumId w:val="31"/>
  </w:num>
  <w:num w:numId="41">
    <w:abstractNumId w:val="1"/>
  </w:num>
  <w:num w:numId="42">
    <w:abstractNumId w:val="22"/>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activeWritingStyle w:appName="MSWord" w:lang="en-US" w:vendorID="64" w:dllVersion="5" w:nlCheck="1" w:checkStyle="1"/>
  <w:activeWritingStyle w:appName="MSWord" w:lang="en-US" w:vendorID="64" w:dllVersion="0" w:nlCheck="1" w:checkStyle="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9A"/>
    <w:rsid w:val="00000207"/>
    <w:rsid w:val="00000711"/>
    <w:rsid w:val="00000931"/>
    <w:rsid w:val="00000954"/>
    <w:rsid w:val="00000C9A"/>
    <w:rsid w:val="00000E50"/>
    <w:rsid w:val="00001170"/>
    <w:rsid w:val="000016BC"/>
    <w:rsid w:val="00001C58"/>
    <w:rsid w:val="00002498"/>
    <w:rsid w:val="00002C81"/>
    <w:rsid w:val="00003389"/>
    <w:rsid w:val="00003535"/>
    <w:rsid w:val="00004094"/>
    <w:rsid w:val="000041BF"/>
    <w:rsid w:val="000043F3"/>
    <w:rsid w:val="00004DA7"/>
    <w:rsid w:val="00004E28"/>
    <w:rsid w:val="0000500E"/>
    <w:rsid w:val="000050EE"/>
    <w:rsid w:val="0000521B"/>
    <w:rsid w:val="00005793"/>
    <w:rsid w:val="00006972"/>
    <w:rsid w:val="00006A5A"/>
    <w:rsid w:val="00006F2D"/>
    <w:rsid w:val="000073E3"/>
    <w:rsid w:val="00007689"/>
    <w:rsid w:val="0000777A"/>
    <w:rsid w:val="0000798C"/>
    <w:rsid w:val="0001009E"/>
    <w:rsid w:val="000100EF"/>
    <w:rsid w:val="0001010C"/>
    <w:rsid w:val="0001032A"/>
    <w:rsid w:val="000105FB"/>
    <w:rsid w:val="00010621"/>
    <w:rsid w:val="00010989"/>
    <w:rsid w:val="00010A05"/>
    <w:rsid w:val="00010AA4"/>
    <w:rsid w:val="00010E46"/>
    <w:rsid w:val="00011262"/>
    <w:rsid w:val="00011E26"/>
    <w:rsid w:val="00011F7B"/>
    <w:rsid w:val="00012510"/>
    <w:rsid w:val="000126B3"/>
    <w:rsid w:val="000129A4"/>
    <w:rsid w:val="000130FC"/>
    <w:rsid w:val="00013689"/>
    <w:rsid w:val="000138AC"/>
    <w:rsid w:val="00013B57"/>
    <w:rsid w:val="00013FF3"/>
    <w:rsid w:val="000147F7"/>
    <w:rsid w:val="00014BF7"/>
    <w:rsid w:val="00014C25"/>
    <w:rsid w:val="00015386"/>
    <w:rsid w:val="000155C6"/>
    <w:rsid w:val="0001575D"/>
    <w:rsid w:val="000157ED"/>
    <w:rsid w:val="000158D8"/>
    <w:rsid w:val="000161CE"/>
    <w:rsid w:val="00016471"/>
    <w:rsid w:val="000167E6"/>
    <w:rsid w:val="000167E8"/>
    <w:rsid w:val="00016994"/>
    <w:rsid w:val="000179B4"/>
    <w:rsid w:val="00017E0A"/>
    <w:rsid w:val="000202F9"/>
    <w:rsid w:val="00020A09"/>
    <w:rsid w:val="0002134F"/>
    <w:rsid w:val="000213D7"/>
    <w:rsid w:val="00021D99"/>
    <w:rsid w:val="00022752"/>
    <w:rsid w:val="000231E7"/>
    <w:rsid w:val="00023552"/>
    <w:rsid w:val="00023B3A"/>
    <w:rsid w:val="00024248"/>
    <w:rsid w:val="00024838"/>
    <w:rsid w:val="00024972"/>
    <w:rsid w:val="00024A27"/>
    <w:rsid w:val="00024BF5"/>
    <w:rsid w:val="00024C49"/>
    <w:rsid w:val="00024CC8"/>
    <w:rsid w:val="00024FBF"/>
    <w:rsid w:val="00025297"/>
    <w:rsid w:val="0002530E"/>
    <w:rsid w:val="0002588E"/>
    <w:rsid w:val="00025A0C"/>
    <w:rsid w:val="00025FC7"/>
    <w:rsid w:val="00025FD5"/>
    <w:rsid w:val="000266E0"/>
    <w:rsid w:val="00026E5B"/>
    <w:rsid w:val="00026FEC"/>
    <w:rsid w:val="00027293"/>
    <w:rsid w:val="00027579"/>
    <w:rsid w:val="00027CF3"/>
    <w:rsid w:val="00030488"/>
    <w:rsid w:val="00030684"/>
    <w:rsid w:val="0003195B"/>
    <w:rsid w:val="00031A1E"/>
    <w:rsid w:val="00032808"/>
    <w:rsid w:val="00032B62"/>
    <w:rsid w:val="00032C56"/>
    <w:rsid w:val="00033973"/>
    <w:rsid w:val="00033B5D"/>
    <w:rsid w:val="00033F71"/>
    <w:rsid w:val="00034382"/>
    <w:rsid w:val="00034EF7"/>
    <w:rsid w:val="000352D0"/>
    <w:rsid w:val="0003542B"/>
    <w:rsid w:val="00035664"/>
    <w:rsid w:val="000356C3"/>
    <w:rsid w:val="00035ADA"/>
    <w:rsid w:val="00035CB0"/>
    <w:rsid w:val="00035CED"/>
    <w:rsid w:val="00035CF4"/>
    <w:rsid w:val="00036959"/>
    <w:rsid w:val="000369B3"/>
    <w:rsid w:val="00036B49"/>
    <w:rsid w:val="00037274"/>
    <w:rsid w:val="00037AA3"/>
    <w:rsid w:val="00037C61"/>
    <w:rsid w:val="00037E17"/>
    <w:rsid w:val="00037E95"/>
    <w:rsid w:val="00037FB8"/>
    <w:rsid w:val="000403BA"/>
    <w:rsid w:val="00040918"/>
    <w:rsid w:val="000411E1"/>
    <w:rsid w:val="00041958"/>
    <w:rsid w:val="00041B4F"/>
    <w:rsid w:val="00041E84"/>
    <w:rsid w:val="00042247"/>
    <w:rsid w:val="00042A04"/>
    <w:rsid w:val="000431E1"/>
    <w:rsid w:val="00043276"/>
    <w:rsid w:val="000437F3"/>
    <w:rsid w:val="00044C3C"/>
    <w:rsid w:val="00044E90"/>
    <w:rsid w:val="000450E2"/>
    <w:rsid w:val="00045720"/>
    <w:rsid w:val="00045B4C"/>
    <w:rsid w:val="00046513"/>
    <w:rsid w:val="00046890"/>
    <w:rsid w:val="000468BD"/>
    <w:rsid w:val="00046DF1"/>
    <w:rsid w:val="00046F07"/>
    <w:rsid w:val="000471C5"/>
    <w:rsid w:val="00047DDD"/>
    <w:rsid w:val="000507EE"/>
    <w:rsid w:val="00050C21"/>
    <w:rsid w:val="000520C6"/>
    <w:rsid w:val="000521AF"/>
    <w:rsid w:val="00052252"/>
    <w:rsid w:val="000528AB"/>
    <w:rsid w:val="000529EB"/>
    <w:rsid w:val="0005338C"/>
    <w:rsid w:val="00053437"/>
    <w:rsid w:val="00053C3D"/>
    <w:rsid w:val="000547E7"/>
    <w:rsid w:val="00054DA2"/>
    <w:rsid w:val="00055024"/>
    <w:rsid w:val="00055463"/>
    <w:rsid w:val="000558BE"/>
    <w:rsid w:val="00055A7B"/>
    <w:rsid w:val="0005659F"/>
    <w:rsid w:val="0005664A"/>
    <w:rsid w:val="00056C3B"/>
    <w:rsid w:val="000571AB"/>
    <w:rsid w:val="000576FB"/>
    <w:rsid w:val="000578AC"/>
    <w:rsid w:val="00057DC0"/>
    <w:rsid w:val="000606C5"/>
    <w:rsid w:val="00060974"/>
    <w:rsid w:val="00060C49"/>
    <w:rsid w:val="00060D18"/>
    <w:rsid w:val="00060FCE"/>
    <w:rsid w:val="0006130F"/>
    <w:rsid w:val="0006151B"/>
    <w:rsid w:val="0006153F"/>
    <w:rsid w:val="00062874"/>
    <w:rsid w:val="000631D1"/>
    <w:rsid w:val="000635F0"/>
    <w:rsid w:val="0006365B"/>
    <w:rsid w:val="00063AF8"/>
    <w:rsid w:val="00063DB2"/>
    <w:rsid w:val="000642D0"/>
    <w:rsid w:val="000642F3"/>
    <w:rsid w:val="00064460"/>
    <w:rsid w:val="0006543C"/>
    <w:rsid w:val="000655EF"/>
    <w:rsid w:val="000656CC"/>
    <w:rsid w:val="000656F4"/>
    <w:rsid w:val="00065FAE"/>
    <w:rsid w:val="000660B1"/>
    <w:rsid w:val="000662E0"/>
    <w:rsid w:val="0006684B"/>
    <w:rsid w:val="00067158"/>
    <w:rsid w:val="00067644"/>
    <w:rsid w:val="00067B46"/>
    <w:rsid w:val="00067DDC"/>
    <w:rsid w:val="00067DF5"/>
    <w:rsid w:val="00067DFF"/>
    <w:rsid w:val="0007019D"/>
    <w:rsid w:val="00070482"/>
    <w:rsid w:val="0007049E"/>
    <w:rsid w:val="00070E85"/>
    <w:rsid w:val="00071227"/>
    <w:rsid w:val="000717DB"/>
    <w:rsid w:val="00071D11"/>
    <w:rsid w:val="00071DA3"/>
    <w:rsid w:val="0007238C"/>
    <w:rsid w:val="000723E0"/>
    <w:rsid w:val="00072C34"/>
    <w:rsid w:val="00072D05"/>
    <w:rsid w:val="00073064"/>
    <w:rsid w:val="000731D5"/>
    <w:rsid w:val="00073834"/>
    <w:rsid w:val="0007389B"/>
    <w:rsid w:val="00073C45"/>
    <w:rsid w:val="00074413"/>
    <w:rsid w:val="0007441A"/>
    <w:rsid w:val="000744DD"/>
    <w:rsid w:val="00074C5E"/>
    <w:rsid w:val="00074CF3"/>
    <w:rsid w:val="00074FC0"/>
    <w:rsid w:val="00075464"/>
    <w:rsid w:val="0007573D"/>
    <w:rsid w:val="000757FA"/>
    <w:rsid w:val="000759C0"/>
    <w:rsid w:val="000760E8"/>
    <w:rsid w:val="0007630B"/>
    <w:rsid w:val="00076754"/>
    <w:rsid w:val="00076D8A"/>
    <w:rsid w:val="000774CD"/>
    <w:rsid w:val="0008042A"/>
    <w:rsid w:val="0008046A"/>
    <w:rsid w:val="00080FE4"/>
    <w:rsid w:val="0008239B"/>
    <w:rsid w:val="00082696"/>
    <w:rsid w:val="0008295F"/>
    <w:rsid w:val="00082C2A"/>
    <w:rsid w:val="00082F74"/>
    <w:rsid w:val="00083656"/>
    <w:rsid w:val="00083B9B"/>
    <w:rsid w:val="00083BB0"/>
    <w:rsid w:val="00083C18"/>
    <w:rsid w:val="00083C58"/>
    <w:rsid w:val="0008404B"/>
    <w:rsid w:val="000840CA"/>
    <w:rsid w:val="0008455D"/>
    <w:rsid w:val="0008458A"/>
    <w:rsid w:val="00084AFD"/>
    <w:rsid w:val="00084B8D"/>
    <w:rsid w:val="00084D70"/>
    <w:rsid w:val="00084E41"/>
    <w:rsid w:val="00085A9E"/>
    <w:rsid w:val="000867F3"/>
    <w:rsid w:val="000868FB"/>
    <w:rsid w:val="00086AEE"/>
    <w:rsid w:val="0008785A"/>
    <w:rsid w:val="0009049C"/>
    <w:rsid w:val="00090B4F"/>
    <w:rsid w:val="000915AF"/>
    <w:rsid w:val="00091B02"/>
    <w:rsid w:val="00091DDA"/>
    <w:rsid w:val="00092502"/>
    <w:rsid w:val="00092A1D"/>
    <w:rsid w:val="00092E54"/>
    <w:rsid w:val="000930ED"/>
    <w:rsid w:val="000938A5"/>
    <w:rsid w:val="00093E3E"/>
    <w:rsid w:val="00094009"/>
    <w:rsid w:val="000941B2"/>
    <w:rsid w:val="0009471B"/>
    <w:rsid w:val="000950F3"/>
    <w:rsid w:val="00095671"/>
    <w:rsid w:val="00095D9A"/>
    <w:rsid w:val="00096C9C"/>
    <w:rsid w:val="00097206"/>
    <w:rsid w:val="000A0290"/>
    <w:rsid w:val="000A06A0"/>
    <w:rsid w:val="000A06C7"/>
    <w:rsid w:val="000A07CA"/>
    <w:rsid w:val="000A105B"/>
    <w:rsid w:val="000A138E"/>
    <w:rsid w:val="000A1580"/>
    <w:rsid w:val="000A1661"/>
    <w:rsid w:val="000A1D18"/>
    <w:rsid w:val="000A215E"/>
    <w:rsid w:val="000A3535"/>
    <w:rsid w:val="000A3661"/>
    <w:rsid w:val="000A422A"/>
    <w:rsid w:val="000A4450"/>
    <w:rsid w:val="000A58D0"/>
    <w:rsid w:val="000A58FC"/>
    <w:rsid w:val="000A5E5E"/>
    <w:rsid w:val="000A5F40"/>
    <w:rsid w:val="000A6363"/>
    <w:rsid w:val="000A6FE1"/>
    <w:rsid w:val="000A704B"/>
    <w:rsid w:val="000A71AC"/>
    <w:rsid w:val="000A7310"/>
    <w:rsid w:val="000A795F"/>
    <w:rsid w:val="000A79CB"/>
    <w:rsid w:val="000A7A1B"/>
    <w:rsid w:val="000A7B35"/>
    <w:rsid w:val="000B027D"/>
    <w:rsid w:val="000B03C4"/>
    <w:rsid w:val="000B0BDA"/>
    <w:rsid w:val="000B0F0A"/>
    <w:rsid w:val="000B1199"/>
    <w:rsid w:val="000B11B9"/>
    <w:rsid w:val="000B128F"/>
    <w:rsid w:val="000B13DF"/>
    <w:rsid w:val="000B1836"/>
    <w:rsid w:val="000B1FB7"/>
    <w:rsid w:val="000B2507"/>
    <w:rsid w:val="000B2822"/>
    <w:rsid w:val="000B29F0"/>
    <w:rsid w:val="000B2D5A"/>
    <w:rsid w:val="000B2E60"/>
    <w:rsid w:val="000B310D"/>
    <w:rsid w:val="000B3116"/>
    <w:rsid w:val="000B3C62"/>
    <w:rsid w:val="000B41E7"/>
    <w:rsid w:val="000B4B9F"/>
    <w:rsid w:val="000B50A8"/>
    <w:rsid w:val="000B52AA"/>
    <w:rsid w:val="000B58E6"/>
    <w:rsid w:val="000B5BE9"/>
    <w:rsid w:val="000B5BF7"/>
    <w:rsid w:val="000B5D66"/>
    <w:rsid w:val="000B6B3F"/>
    <w:rsid w:val="000B6D61"/>
    <w:rsid w:val="000B73ED"/>
    <w:rsid w:val="000B7BDA"/>
    <w:rsid w:val="000C01F7"/>
    <w:rsid w:val="000C0398"/>
    <w:rsid w:val="000C0799"/>
    <w:rsid w:val="000C11B7"/>
    <w:rsid w:val="000C11D6"/>
    <w:rsid w:val="000C1B8C"/>
    <w:rsid w:val="000C2251"/>
    <w:rsid w:val="000C2306"/>
    <w:rsid w:val="000C2792"/>
    <w:rsid w:val="000C28C9"/>
    <w:rsid w:val="000C4CEC"/>
    <w:rsid w:val="000C52ED"/>
    <w:rsid w:val="000C5538"/>
    <w:rsid w:val="000C563B"/>
    <w:rsid w:val="000C599E"/>
    <w:rsid w:val="000C5E4B"/>
    <w:rsid w:val="000C5F02"/>
    <w:rsid w:val="000C5F14"/>
    <w:rsid w:val="000C5FD7"/>
    <w:rsid w:val="000C6468"/>
    <w:rsid w:val="000C6676"/>
    <w:rsid w:val="000C70DF"/>
    <w:rsid w:val="000C70ED"/>
    <w:rsid w:val="000C773C"/>
    <w:rsid w:val="000C7DB4"/>
    <w:rsid w:val="000D069A"/>
    <w:rsid w:val="000D0D68"/>
    <w:rsid w:val="000D1391"/>
    <w:rsid w:val="000D17FB"/>
    <w:rsid w:val="000D1954"/>
    <w:rsid w:val="000D1981"/>
    <w:rsid w:val="000D1C98"/>
    <w:rsid w:val="000D20D2"/>
    <w:rsid w:val="000D22A5"/>
    <w:rsid w:val="000D234B"/>
    <w:rsid w:val="000D2535"/>
    <w:rsid w:val="000D39EB"/>
    <w:rsid w:val="000D4119"/>
    <w:rsid w:val="000D4284"/>
    <w:rsid w:val="000D49CB"/>
    <w:rsid w:val="000D4A6D"/>
    <w:rsid w:val="000D4E40"/>
    <w:rsid w:val="000D5011"/>
    <w:rsid w:val="000D50D5"/>
    <w:rsid w:val="000D528D"/>
    <w:rsid w:val="000D56C9"/>
    <w:rsid w:val="000D5B61"/>
    <w:rsid w:val="000D6025"/>
    <w:rsid w:val="000D622F"/>
    <w:rsid w:val="000D65BC"/>
    <w:rsid w:val="000D7186"/>
    <w:rsid w:val="000D7512"/>
    <w:rsid w:val="000D76ED"/>
    <w:rsid w:val="000D7712"/>
    <w:rsid w:val="000D7AA3"/>
    <w:rsid w:val="000D7BB6"/>
    <w:rsid w:val="000D7CE1"/>
    <w:rsid w:val="000E0195"/>
    <w:rsid w:val="000E0616"/>
    <w:rsid w:val="000E0980"/>
    <w:rsid w:val="000E0AB5"/>
    <w:rsid w:val="000E0B05"/>
    <w:rsid w:val="000E0D27"/>
    <w:rsid w:val="000E0E60"/>
    <w:rsid w:val="000E0EDE"/>
    <w:rsid w:val="000E13B9"/>
    <w:rsid w:val="000E1546"/>
    <w:rsid w:val="000E18C2"/>
    <w:rsid w:val="000E19CB"/>
    <w:rsid w:val="000E1B04"/>
    <w:rsid w:val="000E1DBF"/>
    <w:rsid w:val="000E2043"/>
    <w:rsid w:val="000E21B8"/>
    <w:rsid w:val="000E2315"/>
    <w:rsid w:val="000E2319"/>
    <w:rsid w:val="000E2CEE"/>
    <w:rsid w:val="000E35D8"/>
    <w:rsid w:val="000E3DCF"/>
    <w:rsid w:val="000E3EC0"/>
    <w:rsid w:val="000E4410"/>
    <w:rsid w:val="000E4589"/>
    <w:rsid w:val="000E49A5"/>
    <w:rsid w:val="000E4EFC"/>
    <w:rsid w:val="000E55E2"/>
    <w:rsid w:val="000E5BC3"/>
    <w:rsid w:val="000E5C33"/>
    <w:rsid w:val="000E6917"/>
    <w:rsid w:val="000E6CDC"/>
    <w:rsid w:val="000E7002"/>
    <w:rsid w:val="000E7D73"/>
    <w:rsid w:val="000F002C"/>
    <w:rsid w:val="000F006F"/>
    <w:rsid w:val="000F029E"/>
    <w:rsid w:val="000F0342"/>
    <w:rsid w:val="000F1027"/>
    <w:rsid w:val="000F1AB5"/>
    <w:rsid w:val="000F1DE3"/>
    <w:rsid w:val="000F29AA"/>
    <w:rsid w:val="000F2A28"/>
    <w:rsid w:val="000F2A4B"/>
    <w:rsid w:val="000F2B84"/>
    <w:rsid w:val="000F2D0D"/>
    <w:rsid w:val="000F391F"/>
    <w:rsid w:val="000F3936"/>
    <w:rsid w:val="000F3A78"/>
    <w:rsid w:val="000F3C3F"/>
    <w:rsid w:val="000F3DE1"/>
    <w:rsid w:val="000F3F1D"/>
    <w:rsid w:val="000F40B5"/>
    <w:rsid w:val="000F440A"/>
    <w:rsid w:val="000F44D0"/>
    <w:rsid w:val="000F5142"/>
    <w:rsid w:val="000F519B"/>
    <w:rsid w:val="000F5293"/>
    <w:rsid w:val="000F5294"/>
    <w:rsid w:val="000F54B6"/>
    <w:rsid w:val="000F54C1"/>
    <w:rsid w:val="000F54E7"/>
    <w:rsid w:val="000F58AB"/>
    <w:rsid w:val="000F58B5"/>
    <w:rsid w:val="000F600D"/>
    <w:rsid w:val="000F6250"/>
    <w:rsid w:val="000F6380"/>
    <w:rsid w:val="000F672E"/>
    <w:rsid w:val="000F6A10"/>
    <w:rsid w:val="000F6D7F"/>
    <w:rsid w:val="000F73B7"/>
    <w:rsid w:val="000F7506"/>
    <w:rsid w:val="000F768C"/>
    <w:rsid w:val="000F772E"/>
    <w:rsid w:val="000F7F04"/>
    <w:rsid w:val="000F7F35"/>
    <w:rsid w:val="000F7FE4"/>
    <w:rsid w:val="001004E7"/>
    <w:rsid w:val="001006AD"/>
    <w:rsid w:val="001008C6"/>
    <w:rsid w:val="0010169F"/>
    <w:rsid w:val="00102003"/>
    <w:rsid w:val="00102658"/>
    <w:rsid w:val="00103B68"/>
    <w:rsid w:val="00103D56"/>
    <w:rsid w:val="00103ED0"/>
    <w:rsid w:val="00104A7D"/>
    <w:rsid w:val="00104CF5"/>
    <w:rsid w:val="00104DF3"/>
    <w:rsid w:val="0010504E"/>
    <w:rsid w:val="0010559E"/>
    <w:rsid w:val="001057B4"/>
    <w:rsid w:val="00105911"/>
    <w:rsid w:val="00105C7D"/>
    <w:rsid w:val="00106211"/>
    <w:rsid w:val="001065D7"/>
    <w:rsid w:val="00106908"/>
    <w:rsid w:val="00106D1B"/>
    <w:rsid w:val="001074BC"/>
    <w:rsid w:val="00107928"/>
    <w:rsid w:val="00107E57"/>
    <w:rsid w:val="00107F2E"/>
    <w:rsid w:val="0011005A"/>
    <w:rsid w:val="00110403"/>
    <w:rsid w:val="00110CFE"/>
    <w:rsid w:val="00110DD0"/>
    <w:rsid w:val="001111D6"/>
    <w:rsid w:val="0011128C"/>
    <w:rsid w:val="0011267C"/>
    <w:rsid w:val="00112D10"/>
    <w:rsid w:val="00112E92"/>
    <w:rsid w:val="001130FC"/>
    <w:rsid w:val="001131F2"/>
    <w:rsid w:val="0011320D"/>
    <w:rsid w:val="0011349E"/>
    <w:rsid w:val="00113814"/>
    <w:rsid w:val="00113B41"/>
    <w:rsid w:val="00113F9C"/>
    <w:rsid w:val="001140AF"/>
    <w:rsid w:val="0011460C"/>
    <w:rsid w:val="00114943"/>
    <w:rsid w:val="00114A1E"/>
    <w:rsid w:val="00114D0C"/>
    <w:rsid w:val="00114DCB"/>
    <w:rsid w:val="00114DD8"/>
    <w:rsid w:val="00114EA0"/>
    <w:rsid w:val="001156E7"/>
    <w:rsid w:val="001158C6"/>
    <w:rsid w:val="00115E9E"/>
    <w:rsid w:val="00115F04"/>
    <w:rsid w:val="00116054"/>
    <w:rsid w:val="001162CB"/>
    <w:rsid w:val="00116506"/>
    <w:rsid w:val="001167CF"/>
    <w:rsid w:val="001168B2"/>
    <w:rsid w:val="00116E34"/>
    <w:rsid w:val="00116E9F"/>
    <w:rsid w:val="00117063"/>
    <w:rsid w:val="0011728E"/>
    <w:rsid w:val="001175B0"/>
    <w:rsid w:val="00120496"/>
    <w:rsid w:val="0012083F"/>
    <w:rsid w:val="00121037"/>
    <w:rsid w:val="00121081"/>
    <w:rsid w:val="001211AD"/>
    <w:rsid w:val="001212B6"/>
    <w:rsid w:val="001212C2"/>
    <w:rsid w:val="001219E2"/>
    <w:rsid w:val="00121C3E"/>
    <w:rsid w:val="00121F14"/>
    <w:rsid w:val="00122193"/>
    <w:rsid w:val="00122357"/>
    <w:rsid w:val="00122721"/>
    <w:rsid w:val="0012283C"/>
    <w:rsid w:val="00122C24"/>
    <w:rsid w:val="00122D97"/>
    <w:rsid w:val="001236D1"/>
    <w:rsid w:val="001237E4"/>
    <w:rsid w:val="00123CA3"/>
    <w:rsid w:val="00123EA0"/>
    <w:rsid w:val="001242B9"/>
    <w:rsid w:val="00124C1C"/>
    <w:rsid w:val="00124EF9"/>
    <w:rsid w:val="0012501C"/>
    <w:rsid w:val="001253A9"/>
    <w:rsid w:val="00125871"/>
    <w:rsid w:val="001269D7"/>
    <w:rsid w:val="00126C5C"/>
    <w:rsid w:val="00126C7C"/>
    <w:rsid w:val="001270B8"/>
    <w:rsid w:val="00127317"/>
    <w:rsid w:val="001273E5"/>
    <w:rsid w:val="00127A17"/>
    <w:rsid w:val="0013005E"/>
    <w:rsid w:val="0013098D"/>
    <w:rsid w:val="00130A99"/>
    <w:rsid w:val="00130C05"/>
    <w:rsid w:val="00131185"/>
    <w:rsid w:val="00131AA1"/>
    <w:rsid w:val="00131B8B"/>
    <w:rsid w:val="00131BFA"/>
    <w:rsid w:val="00131C4E"/>
    <w:rsid w:val="00131DA1"/>
    <w:rsid w:val="00132D04"/>
    <w:rsid w:val="0013306A"/>
    <w:rsid w:val="001330F8"/>
    <w:rsid w:val="00133A9E"/>
    <w:rsid w:val="00134630"/>
    <w:rsid w:val="00134C98"/>
    <w:rsid w:val="00134EDE"/>
    <w:rsid w:val="001353D5"/>
    <w:rsid w:val="001356FB"/>
    <w:rsid w:val="00135864"/>
    <w:rsid w:val="0013618E"/>
    <w:rsid w:val="00136617"/>
    <w:rsid w:val="0013667B"/>
    <w:rsid w:val="00136B33"/>
    <w:rsid w:val="001376CC"/>
    <w:rsid w:val="00137887"/>
    <w:rsid w:val="00137DAF"/>
    <w:rsid w:val="00137DD1"/>
    <w:rsid w:val="001402FC"/>
    <w:rsid w:val="00140657"/>
    <w:rsid w:val="001416E3"/>
    <w:rsid w:val="001418A5"/>
    <w:rsid w:val="001425B3"/>
    <w:rsid w:val="001427C2"/>
    <w:rsid w:val="0014285F"/>
    <w:rsid w:val="00142936"/>
    <w:rsid w:val="00142A87"/>
    <w:rsid w:val="00142FFD"/>
    <w:rsid w:val="00143072"/>
    <w:rsid w:val="00143180"/>
    <w:rsid w:val="00143881"/>
    <w:rsid w:val="00143B13"/>
    <w:rsid w:val="00143BDB"/>
    <w:rsid w:val="00143FD9"/>
    <w:rsid w:val="00144243"/>
    <w:rsid w:val="00144462"/>
    <w:rsid w:val="00144588"/>
    <w:rsid w:val="001446D5"/>
    <w:rsid w:val="00144706"/>
    <w:rsid w:val="001447C8"/>
    <w:rsid w:val="00144C47"/>
    <w:rsid w:val="0014524C"/>
    <w:rsid w:val="00145AD9"/>
    <w:rsid w:val="00145D8A"/>
    <w:rsid w:val="00146660"/>
    <w:rsid w:val="00146C45"/>
    <w:rsid w:val="00146F2F"/>
    <w:rsid w:val="001470C0"/>
    <w:rsid w:val="00147250"/>
    <w:rsid w:val="0014749E"/>
    <w:rsid w:val="001474BA"/>
    <w:rsid w:val="00147B58"/>
    <w:rsid w:val="00150C1C"/>
    <w:rsid w:val="00150FF1"/>
    <w:rsid w:val="001511F0"/>
    <w:rsid w:val="00151283"/>
    <w:rsid w:val="00151540"/>
    <w:rsid w:val="00151B45"/>
    <w:rsid w:val="00151CEA"/>
    <w:rsid w:val="001526A4"/>
    <w:rsid w:val="001526E3"/>
    <w:rsid w:val="00152780"/>
    <w:rsid w:val="00152EF0"/>
    <w:rsid w:val="001532A6"/>
    <w:rsid w:val="0015391E"/>
    <w:rsid w:val="00153CDD"/>
    <w:rsid w:val="00153EBC"/>
    <w:rsid w:val="001546E0"/>
    <w:rsid w:val="00155049"/>
    <w:rsid w:val="00155339"/>
    <w:rsid w:val="0015589F"/>
    <w:rsid w:val="001561C6"/>
    <w:rsid w:val="001571E1"/>
    <w:rsid w:val="001577E0"/>
    <w:rsid w:val="00157923"/>
    <w:rsid w:val="00157EDC"/>
    <w:rsid w:val="00161585"/>
    <w:rsid w:val="00161993"/>
    <w:rsid w:val="001619A3"/>
    <w:rsid w:val="0016228A"/>
    <w:rsid w:val="00162D26"/>
    <w:rsid w:val="00162FCA"/>
    <w:rsid w:val="001634D5"/>
    <w:rsid w:val="00163C79"/>
    <w:rsid w:val="00163EB7"/>
    <w:rsid w:val="00164203"/>
    <w:rsid w:val="001645FC"/>
    <w:rsid w:val="00164DE4"/>
    <w:rsid w:val="00164E81"/>
    <w:rsid w:val="00165220"/>
    <w:rsid w:val="0016532C"/>
    <w:rsid w:val="0016566E"/>
    <w:rsid w:val="001659D3"/>
    <w:rsid w:val="00165EB8"/>
    <w:rsid w:val="001664A8"/>
    <w:rsid w:val="001664C9"/>
    <w:rsid w:val="00166E11"/>
    <w:rsid w:val="00167952"/>
    <w:rsid w:val="0016798E"/>
    <w:rsid w:val="00167ED5"/>
    <w:rsid w:val="001700D6"/>
    <w:rsid w:val="0017085C"/>
    <w:rsid w:val="00171275"/>
    <w:rsid w:val="00171A12"/>
    <w:rsid w:val="00171B16"/>
    <w:rsid w:val="00171CF0"/>
    <w:rsid w:val="00171D68"/>
    <w:rsid w:val="00172816"/>
    <w:rsid w:val="00172AE0"/>
    <w:rsid w:val="00172B69"/>
    <w:rsid w:val="00173CB5"/>
    <w:rsid w:val="00173DB2"/>
    <w:rsid w:val="00173E86"/>
    <w:rsid w:val="00173F82"/>
    <w:rsid w:val="00174049"/>
    <w:rsid w:val="00174D5F"/>
    <w:rsid w:val="00174FE9"/>
    <w:rsid w:val="00175481"/>
    <w:rsid w:val="00175BF3"/>
    <w:rsid w:val="001760F2"/>
    <w:rsid w:val="001766AD"/>
    <w:rsid w:val="001767A6"/>
    <w:rsid w:val="00176A9D"/>
    <w:rsid w:val="00176AE8"/>
    <w:rsid w:val="00176D60"/>
    <w:rsid w:val="00176DFB"/>
    <w:rsid w:val="00176F14"/>
    <w:rsid w:val="001771D3"/>
    <w:rsid w:val="001777BE"/>
    <w:rsid w:val="00177815"/>
    <w:rsid w:val="001806FC"/>
    <w:rsid w:val="0018118C"/>
    <w:rsid w:val="001817CD"/>
    <w:rsid w:val="00182195"/>
    <w:rsid w:val="001822B4"/>
    <w:rsid w:val="00182352"/>
    <w:rsid w:val="00182E14"/>
    <w:rsid w:val="00183302"/>
    <w:rsid w:val="0018400D"/>
    <w:rsid w:val="00184139"/>
    <w:rsid w:val="00184793"/>
    <w:rsid w:val="001857A6"/>
    <w:rsid w:val="00185FA1"/>
    <w:rsid w:val="001863D0"/>
    <w:rsid w:val="0018684D"/>
    <w:rsid w:val="00186D00"/>
    <w:rsid w:val="001875D6"/>
    <w:rsid w:val="0018760D"/>
    <w:rsid w:val="00190260"/>
    <w:rsid w:val="001902B0"/>
    <w:rsid w:val="0019052C"/>
    <w:rsid w:val="0019076C"/>
    <w:rsid w:val="00190939"/>
    <w:rsid w:val="00190ED9"/>
    <w:rsid w:val="001910D0"/>
    <w:rsid w:val="001911C3"/>
    <w:rsid w:val="001911DB"/>
    <w:rsid w:val="0019128C"/>
    <w:rsid w:val="00191A85"/>
    <w:rsid w:val="001920F7"/>
    <w:rsid w:val="0019245B"/>
    <w:rsid w:val="00192A6E"/>
    <w:rsid w:val="00193E99"/>
    <w:rsid w:val="00194551"/>
    <w:rsid w:val="0019459E"/>
    <w:rsid w:val="00194A0C"/>
    <w:rsid w:val="00194AB8"/>
    <w:rsid w:val="0019518F"/>
    <w:rsid w:val="00195D4E"/>
    <w:rsid w:val="0019600D"/>
    <w:rsid w:val="00196250"/>
    <w:rsid w:val="0019680A"/>
    <w:rsid w:val="0019680C"/>
    <w:rsid w:val="001969DE"/>
    <w:rsid w:val="00196CCE"/>
    <w:rsid w:val="00197E87"/>
    <w:rsid w:val="001A031E"/>
    <w:rsid w:val="001A0647"/>
    <w:rsid w:val="001A0C61"/>
    <w:rsid w:val="001A0DB4"/>
    <w:rsid w:val="001A1980"/>
    <w:rsid w:val="001A1A40"/>
    <w:rsid w:val="001A1C63"/>
    <w:rsid w:val="001A27C3"/>
    <w:rsid w:val="001A298D"/>
    <w:rsid w:val="001A2E80"/>
    <w:rsid w:val="001A337B"/>
    <w:rsid w:val="001A33C7"/>
    <w:rsid w:val="001A39DE"/>
    <w:rsid w:val="001A504A"/>
    <w:rsid w:val="001A514A"/>
    <w:rsid w:val="001A5284"/>
    <w:rsid w:val="001A529D"/>
    <w:rsid w:val="001A53C8"/>
    <w:rsid w:val="001A56C5"/>
    <w:rsid w:val="001A5849"/>
    <w:rsid w:val="001A59C2"/>
    <w:rsid w:val="001A5CB4"/>
    <w:rsid w:val="001A5D60"/>
    <w:rsid w:val="001A5FF0"/>
    <w:rsid w:val="001A695F"/>
    <w:rsid w:val="001A697F"/>
    <w:rsid w:val="001A6C50"/>
    <w:rsid w:val="001A701E"/>
    <w:rsid w:val="001A7811"/>
    <w:rsid w:val="001A7E69"/>
    <w:rsid w:val="001B009D"/>
    <w:rsid w:val="001B00CB"/>
    <w:rsid w:val="001B0172"/>
    <w:rsid w:val="001B07F5"/>
    <w:rsid w:val="001B0EDD"/>
    <w:rsid w:val="001B13E4"/>
    <w:rsid w:val="001B1AAA"/>
    <w:rsid w:val="001B206E"/>
    <w:rsid w:val="001B2127"/>
    <w:rsid w:val="001B2650"/>
    <w:rsid w:val="001B3904"/>
    <w:rsid w:val="001B3A48"/>
    <w:rsid w:val="001B3F9B"/>
    <w:rsid w:val="001B412B"/>
    <w:rsid w:val="001B41E0"/>
    <w:rsid w:val="001B4261"/>
    <w:rsid w:val="001B45A2"/>
    <w:rsid w:val="001B4C00"/>
    <w:rsid w:val="001B5395"/>
    <w:rsid w:val="001B5EB2"/>
    <w:rsid w:val="001B6110"/>
    <w:rsid w:val="001B65CE"/>
    <w:rsid w:val="001B66E1"/>
    <w:rsid w:val="001B6955"/>
    <w:rsid w:val="001B72DD"/>
    <w:rsid w:val="001B7C7B"/>
    <w:rsid w:val="001C0A7E"/>
    <w:rsid w:val="001C2277"/>
    <w:rsid w:val="001C3044"/>
    <w:rsid w:val="001C3E0A"/>
    <w:rsid w:val="001C4AA6"/>
    <w:rsid w:val="001C4C25"/>
    <w:rsid w:val="001C5622"/>
    <w:rsid w:val="001C57C8"/>
    <w:rsid w:val="001C59F0"/>
    <w:rsid w:val="001C5DC6"/>
    <w:rsid w:val="001C61EE"/>
    <w:rsid w:val="001C6C87"/>
    <w:rsid w:val="001C7120"/>
    <w:rsid w:val="001C725B"/>
    <w:rsid w:val="001C76BC"/>
    <w:rsid w:val="001C7B00"/>
    <w:rsid w:val="001C7FE5"/>
    <w:rsid w:val="001D0210"/>
    <w:rsid w:val="001D025E"/>
    <w:rsid w:val="001D067E"/>
    <w:rsid w:val="001D0D6B"/>
    <w:rsid w:val="001D1023"/>
    <w:rsid w:val="001D10D7"/>
    <w:rsid w:val="001D11C3"/>
    <w:rsid w:val="001D1241"/>
    <w:rsid w:val="001D1BC8"/>
    <w:rsid w:val="001D204C"/>
    <w:rsid w:val="001D24CA"/>
    <w:rsid w:val="001D2902"/>
    <w:rsid w:val="001D2A66"/>
    <w:rsid w:val="001D3173"/>
    <w:rsid w:val="001D326B"/>
    <w:rsid w:val="001D385F"/>
    <w:rsid w:val="001D3861"/>
    <w:rsid w:val="001D3B47"/>
    <w:rsid w:val="001D3CE9"/>
    <w:rsid w:val="001D4317"/>
    <w:rsid w:val="001D45F1"/>
    <w:rsid w:val="001D474D"/>
    <w:rsid w:val="001D48CB"/>
    <w:rsid w:val="001D4D2B"/>
    <w:rsid w:val="001D4EE5"/>
    <w:rsid w:val="001D573B"/>
    <w:rsid w:val="001D5A0A"/>
    <w:rsid w:val="001D5AA6"/>
    <w:rsid w:val="001D65D5"/>
    <w:rsid w:val="001D6C12"/>
    <w:rsid w:val="001D6CA1"/>
    <w:rsid w:val="001D6DD5"/>
    <w:rsid w:val="001D7139"/>
    <w:rsid w:val="001D7205"/>
    <w:rsid w:val="001D756B"/>
    <w:rsid w:val="001D778F"/>
    <w:rsid w:val="001D7B36"/>
    <w:rsid w:val="001E0B6F"/>
    <w:rsid w:val="001E0BD0"/>
    <w:rsid w:val="001E11E8"/>
    <w:rsid w:val="001E19CE"/>
    <w:rsid w:val="001E1B20"/>
    <w:rsid w:val="001E1C08"/>
    <w:rsid w:val="001E1D5D"/>
    <w:rsid w:val="001E1DAE"/>
    <w:rsid w:val="001E24D2"/>
    <w:rsid w:val="001E275B"/>
    <w:rsid w:val="001E28B0"/>
    <w:rsid w:val="001E320F"/>
    <w:rsid w:val="001E384B"/>
    <w:rsid w:val="001E3AF8"/>
    <w:rsid w:val="001E438F"/>
    <w:rsid w:val="001E47A2"/>
    <w:rsid w:val="001E4AF2"/>
    <w:rsid w:val="001E4CCA"/>
    <w:rsid w:val="001E53AD"/>
    <w:rsid w:val="001E57FA"/>
    <w:rsid w:val="001E5F8A"/>
    <w:rsid w:val="001E5FED"/>
    <w:rsid w:val="001E6BB3"/>
    <w:rsid w:val="001E6C0F"/>
    <w:rsid w:val="001E6F42"/>
    <w:rsid w:val="001E7475"/>
    <w:rsid w:val="001E7D48"/>
    <w:rsid w:val="001F0513"/>
    <w:rsid w:val="001F0B4D"/>
    <w:rsid w:val="001F110A"/>
    <w:rsid w:val="001F14C8"/>
    <w:rsid w:val="001F16A5"/>
    <w:rsid w:val="001F212F"/>
    <w:rsid w:val="001F2219"/>
    <w:rsid w:val="001F2770"/>
    <w:rsid w:val="001F288B"/>
    <w:rsid w:val="001F2A52"/>
    <w:rsid w:val="001F3592"/>
    <w:rsid w:val="001F3687"/>
    <w:rsid w:val="001F36EF"/>
    <w:rsid w:val="001F3E23"/>
    <w:rsid w:val="001F42CF"/>
    <w:rsid w:val="001F4608"/>
    <w:rsid w:val="001F4B68"/>
    <w:rsid w:val="001F4D7F"/>
    <w:rsid w:val="001F50D0"/>
    <w:rsid w:val="001F51D5"/>
    <w:rsid w:val="001F5CD2"/>
    <w:rsid w:val="001F5E28"/>
    <w:rsid w:val="001F5EAD"/>
    <w:rsid w:val="001F60F9"/>
    <w:rsid w:val="001F6351"/>
    <w:rsid w:val="001F67D4"/>
    <w:rsid w:val="001F69A6"/>
    <w:rsid w:val="001F69D6"/>
    <w:rsid w:val="001F6B7A"/>
    <w:rsid w:val="001F6D37"/>
    <w:rsid w:val="001F6E93"/>
    <w:rsid w:val="001F6EDD"/>
    <w:rsid w:val="001F74ED"/>
    <w:rsid w:val="0020017C"/>
    <w:rsid w:val="002003BD"/>
    <w:rsid w:val="00200491"/>
    <w:rsid w:val="0020071C"/>
    <w:rsid w:val="00200A9D"/>
    <w:rsid w:val="00200CF9"/>
    <w:rsid w:val="002020B4"/>
    <w:rsid w:val="00202465"/>
    <w:rsid w:val="002025C7"/>
    <w:rsid w:val="0020282B"/>
    <w:rsid w:val="00202835"/>
    <w:rsid w:val="002039B6"/>
    <w:rsid w:val="002039BD"/>
    <w:rsid w:val="00203A8C"/>
    <w:rsid w:val="00204B0E"/>
    <w:rsid w:val="00204F83"/>
    <w:rsid w:val="002050AA"/>
    <w:rsid w:val="0020564F"/>
    <w:rsid w:val="00205680"/>
    <w:rsid w:val="0020588E"/>
    <w:rsid w:val="002061A8"/>
    <w:rsid w:val="00206A9D"/>
    <w:rsid w:val="00206D9E"/>
    <w:rsid w:val="00207303"/>
    <w:rsid w:val="00207325"/>
    <w:rsid w:val="0020763C"/>
    <w:rsid w:val="00207D6C"/>
    <w:rsid w:val="002106A9"/>
    <w:rsid w:val="002106BB"/>
    <w:rsid w:val="002110F7"/>
    <w:rsid w:val="00211381"/>
    <w:rsid w:val="002114D8"/>
    <w:rsid w:val="00211A00"/>
    <w:rsid w:val="00212648"/>
    <w:rsid w:val="002126ED"/>
    <w:rsid w:val="00212713"/>
    <w:rsid w:val="00212CF3"/>
    <w:rsid w:val="00212EAD"/>
    <w:rsid w:val="0021343F"/>
    <w:rsid w:val="002138F5"/>
    <w:rsid w:val="00213C25"/>
    <w:rsid w:val="00214094"/>
    <w:rsid w:val="002140A0"/>
    <w:rsid w:val="002140EA"/>
    <w:rsid w:val="00214AEE"/>
    <w:rsid w:val="00214B46"/>
    <w:rsid w:val="00215138"/>
    <w:rsid w:val="00215440"/>
    <w:rsid w:val="0021555E"/>
    <w:rsid w:val="00215756"/>
    <w:rsid w:val="00215A91"/>
    <w:rsid w:val="00215B4B"/>
    <w:rsid w:val="00215F28"/>
    <w:rsid w:val="00216226"/>
    <w:rsid w:val="00216594"/>
    <w:rsid w:val="00216B16"/>
    <w:rsid w:val="002171E7"/>
    <w:rsid w:val="00217579"/>
    <w:rsid w:val="00217BB3"/>
    <w:rsid w:val="002206A4"/>
    <w:rsid w:val="00220831"/>
    <w:rsid w:val="00220B23"/>
    <w:rsid w:val="00220CEE"/>
    <w:rsid w:val="00220E66"/>
    <w:rsid w:val="002214A5"/>
    <w:rsid w:val="00221651"/>
    <w:rsid w:val="002217DA"/>
    <w:rsid w:val="00221959"/>
    <w:rsid w:val="00221D26"/>
    <w:rsid w:val="00221DF9"/>
    <w:rsid w:val="00222148"/>
    <w:rsid w:val="00222AB6"/>
    <w:rsid w:val="00222AE1"/>
    <w:rsid w:val="00222D1E"/>
    <w:rsid w:val="00222E16"/>
    <w:rsid w:val="00223051"/>
    <w:rsid w:val="00223677"/>
    <w:rsid w:val="002236E6"/>
    <w:rsid w:val="0022385F"/>
    <w:rsid w:val="00223A6B"/>
    <w:rsid w:val="002240F6"/>
    <w:rsid w:val="00224362"/>
    <w:rsid w:val="00224847"/>
    <w:rsid w:val="002248E0"/>
    <w:rsid w:val="0022495F"/>
    <w:rsid w:val="00224A89"/>
    <w:rsid w:val="00224F65"/>
    <w:rsid w:val="002251B7"/>
    <w:rsid w:val="002254FF"/>
    <w:rsid w:val="002263D5"/>
    <w:rsid w:val="00226774"/>
    <w:rsid w:val="00227142"/>
    <w:rsid w:val="00227FA9"/>
    <w:rsid w:val="002306BD"/>
    <w:rsid w:val="002306CC"/>
    <w:rsid w:val="00230B84"/>
    <w:rsid w:val="002312A9"/>
    <w:rsid w:val="0023140F"/>
    <w:rsid w:val="002318B2"/>
    <w:rsid w:val="0023218F"/>
    <w:rsid w:val="002321C4"/>
    <w:rsid w:val="00232F05"/>
    <w:rsid w:val="00233788"/>
    <w:rsid w:val="00234700"/>
    <w:rsid w:val="0023492D"/>
    <w:rsid w:val="0023512A"/>
    <w:rsid w:val="002359DE"/>
    <w:rsid w:val="002359E1"/>
    <w:rsid w:val="00235A38"/>
    <w:rsid w:val="002361A8"/>
    <w:rsid w:val="00236A8F"/>
    <w:rsid w:val="002371DB"/>
    <w:rsid w:val="00237F5A"/>
    <w:rsid w:val="002403E6"/>
    <w:rsid w:val="00240C4F"/>
    <w:rsid w:val="0024176A"/>
    <w:rsid w:val="00241E08"/>
    <w:rsid w:val="0024259B"/>
    <w:rsid w:val="00242C40"/>
    <w:rsid w:val="0024304B"/>
    <w:rsid w:val="002431A7"/>
    <w:rsid w:val="002436B4"/>
    <w:rsid w:val="0024386D"/>
    <w:rsid w:val="00243B2A"/>
    <w:rsid w:val="0024416D"/>
    <w:rsid w:val="00244200"/>
    <w:rsid w:val="0024430C"/>
    <w:rsid w:val="002448FA"/>
    <w:rsid w:val="00244AF5"/>
    <w:rsid w:val="00244BD7"/>
    <w:rsid w:val="00244F26"/>
    <w:rsid w:val="00245001"/>
    <w:rsid w:val="00245031"/>
    <w:rsid w:val="0024551C"/>
    <w:rsid w:val="0024573B"/>
    <w:rsid w:val="00245C3C"/>
    <w:rsid w:val="00245D69"/>
    <w:rsid w:val="00245FD7"/>
    <w:rsid w:val="0024609B"/>
    <w:rsid w:val="00246357"/>
    <w:rsid w:val="0024661B"/>
    <w:rsid w:val="00246748"/>
    <w:rsid w:val="00246A31"/>
    <w:rsid w:val="00246BF0"/>
    <w:rsid w:val="00246DF7"/>
    <w:rsid w:val="0024729D"/>
    <w:rsid w:val="0024758C"/>
    <w:rsid w:val="00247B50"/>
    <w:rsid w:val="00250034"/>
    <w:rsid w:val="00250288"/>
    <w:rsid w:val="00250510"/>
    <w:rsid w:val="00250F41"/>
    <w:rsid w:val="00251583"/>
    <w:rsid w:val="002516E2"/>
    <w:rsid w:val="00251CB4"/>
    <w:rsid w:val="00252A70"/>
    <w:rsid w:val="00253340"/>
    <w:rsid w:val="00253DDE"/>
    <w:rsid w:val="002547A9"/>
    <w:rsid w:val="00254B06"/>
    <w:rsid w:val="00254B8B"/>
    <w:rsid w:val="00254E8D"/>
    <w:rsid w:val="00255199"/>
    <w:rsid w:val="00255289"/>
    <w:rsid w:val="00255693"/>
    <w:rsid w:val="002557B5"/>
    <w:rsid w:val="00255CF4"/>
    <w:rsid w:val="00255EF7"/>
    <w:rsid w:val="00255F57"/>
    <w:rsid w:val="00256B36"/>
    <w:rsid w:val="00256FAC"/>
    <w:rsid w:val="0025716E"/>
    <w:rsid w:val="002571AA"/>
    <w:rsid w:val="0025736C"/>
    <w:rsid w:val="002576E7"/>
    <w:rsid w:val="002579DC"/>
    <w:rsid w:val="00257D81"/>
    <w:rsid w:val="0026032E"/>
    <w:rsid w:val="002607D2"/>
    <w:rsid w:val="0026087B"/>
    <w:rsid w:val="0026091F"/>
    <w:rsid w:val="002609EE"/>
    <w:rsid w:val="00260E2F"/>
    <w:rsid w:val="002610B9"/>
    <w:rsid w:val="00261850"/>
    <w:rsid w:val="0026212D"/>
    <w:rsid w:val="0026246B"/>
    <w:rsid w:val="002624EE"/>
    <w:rsid w:val="00262B58"/>
    <w:rsid w:val="00262F64"/>
    <w:rsid w:val="0026345D"/>
    <w:rsid w:val="00263493"/>
    <w:rsid w:val="0026351E"/>
    <w:rsid w:val="002636DB"/>
    <w:rsid w:val="00263A76"/>
    <w:rsid w:val="00264088"/>
    <w:rsid w:val="0026414D"/>
    <w:rsid w:val="0026468C"/>
    <w:rsid w:val="00264F0F"/>
    <w:rsid w:val="002651D6"/>
    <w:rsid w:val="002656DF"/>
    <w:rsid w:val="0026616B"/>
    <w:rsid w:val="002665B3"/>
    <w:rsid w:val="00267448"/>
    <w:rsid w:val="00267657"/>
    <w:rsid w:val="002678B1"/>
    <w:rsid w:val="00267A72"/>
    <w:rsid w:val="00267BE3"/>
    <w:rsid w:val="00267CE7"/>
    <w:rsid w:val="00270054"/>
    <w:rsid w:val="002703C8"/>
    <w:rsid w:val="0027069E"/>
    <w:rsid w:val="002706E0"/>
    <w:rsid w:val="00270C07"/>
    <w:rsid w:val="00270D06"/>
    <w:rsid w:val="00270DE0"/>
    <w:rsid w:val="00271025"/>
    <w:rsid w:val="00271CB5"/>
    <w:rsid w:val="00271D4D"/>
    <w:rsid w:val="00271D94"/>
    <w:rsid w:val="00272318"/>
    <w:rsid w:val="00272B5D"/>
    <w:rsid w:val="00273587"/>
    <w:rsid w:val="00273BF8"/>
    <w:rsid w:val="00273F6E"/>
    <w:rsid w:val="00274370"/>
    <w:rsid w:val="0027458E"/>
    <w:rsid w:val="00274796"/>
    <w:rsid w:val="00274AE1"/>
    <w:rsid w:val="00274D67"/>
    <w:rsid w:val="00275AE9"/>
    <w:rsid w:val="00277B5A"/>
    <w:rsid w:val="00280C91"/>
    <w:rsid w:val="002812D5"/>
    <w:rsid w:val="00281307"/>
    <w:rsid w:val="00281616"/>
    <w:rsid w:val="002818EC"/>
    <w:rsid w:val="00281CFB"/>
    <w:rsid w:val="00281D96"/>
    <w:rsid w:val="00282395"/>
    <w:rsid w:val="00282CDC"/>
    <w:rsid w:val="00282CF0"/>
    <w:rsid w:val="00283E4F"/>
    <w:rsid w:val="002843FE"/>
    <w:rsid w:val="00284FB0"/>
    <w:rsid w:val="0028550F"/>
    <w:rsid w:val="00285810"/>
    <w:rsid w:val="002859AB"/>
    <w:rsid w:val="00285DEA"/>
    <w:rsid w:val="002860B5"/>
    <w:rsid w:val="0028625A"/>
    <w:rsid w:val="0028740F"/>
    <w:rsid w:val="00287A0D"/>
    <w:rsid w:val="00290231"/>
    <w:rsid w:val="002904A7"/>
    <w:rsid w:val="002908B4"/>
    <w:rsid w:val="00290EE7"/>
    <w:rsid w:val="00291540"/>
    <w:rsid w:val="002921A2"/>
    <w:rsid w:val="002922BB"/>
    <w:rsid w:val="00292E59"/>
    <w:rsid w:val="00293421"/>
    <w:rsid w:val="0029385A"/>
    <w:rsid w:val="00293CD9"/>
    <w:rsid w:val="00294470"/>
    <w:rsid w:val="00294C5F"/>
    <w:rsid w:val="00295824"/>
    <w:rsid w:val="002960A1"/>
    <w:rsid w:val="002960AA"/>
    <w:rsid w:val="002969B3"/>
    <w:rsid w:val="00296AA5"/>
    <w:rsid w:val="0029713D"/>
    <w:rsid w:val="00297CEC"/>
    <w:rsid w:val="00297ED2"/>
    <w:rsid w:val="002A047D"/>
    <w:rsid w:val="002A0A8A"/>
    <w:rsid w:val="002A0DD0"/>
    <w:rsid w:val="002A1CE2"/>
    <w:rsid w:val="002A1D8C"/>
    <w:rsid w:val="002A1E07"/>
    <w:rsid w:val="002A2029"/>
    <w:rsid w:val="002A251C"/>
    <w:rsid w:val="002A26BC"/>
    <w:rsid w:val="002A2CD5"/>
    <w:rsid w:val="002A350C"/>
    <w:rsid w:val="002A35F5"/>
    <w:rsid w:val="002A363A"/>
    <w:rsid w:val="002A4AFA"/>
    <w:rsid w:val="002A507A"/>
    <w:rsid w:val="002A54FB"/>
    <w:rsid w:val="002A589C"/>
    <w:rsid w:val="002A5CA8"/>
    <w:rsid w:val="002A5F49"/>
    <w:rsid w:val="002A5FB6"/>
    <w:rsid w:val="002A609A"/>
    <w:rsid w:val="002A711A"/>
    <w:rsid w:val="002A7500"/>
    <w:rsid w:val="002A7F00"/>
    <w:rsid w:val="002A7F96"/>
    <w:rsid w:val="002B00DB"/>
    <w:rsid w:val="002B0778"/>
    <w:rsid w:val="002B097C"/>
    <w:rsid w:val="002B0B15"/>
    <w:rsid w:val="002B12EC"/>
    <w:rsid w:val="002B1494"/>
    <w:rsid w:val="002B19C4"/>
    <w:rsid w:val="002B217E"/>
    <w:rsid w:val="002B3800"/>
    <w:rsid w:val="002B3C7B"/>
    <w:rsid w:val="002B3E05"/>
    <w:rsid w:val="002B3FC3"/>
    <w:rsid w:val="002B403E"/>
    <w:rsid w:val="002B44B0"/>
    <w:rsid w:val="002B4C2E"/>
    <w:rsid w:val="002B5741"/>
    <w:rsid w:val="002B5A96"/>
    <w:rsid w:val="002B5AAC"/>
    <w:rsid w:val="002B62B3"/>
    <w:rsid w:val="002B6327"/>
    <w:rsid w:val="002B6766"/>
    <w:rsid w:val="002B69D2"/>
    <w:rsid w:val="002B6B67"/>
    <w:rsid w:val="002B750A"/>
    <w:rsid w:val="002C00FD"/>
    <w:rsid w:val="002C02FB"/>
    <w:rsid w:val="002C0DAF"/>
    <w:rsid w:val="002C0ECC"/>
    <w:rsid w:val="002C0ED6"/>
    <w:rsid w:val="002C12A8"/>
    <w:rsid w:val="002C1520"/>
    <w:rsid w:val="002C18AA"/>
    <w:rsid w:val="002C195C"/>
    <w:rsid w:val="002C1A4C"/>
    <w:rsid w:val="002C2CB6"/>
    <w:rsid w:val="002C2EC5"/>
    <w:rsid w:val="002C3297"/>
    <w:rsid w:val="002C3464"/>
    <w:rsid w:val="002C3550"/>
    <w:rsid w:val="002C35F7"/>
    <w:rsid w:val="002C37D1"/>
    <w:rsid w:val="002C3A62"/>
    <w:rsid w:val="002C3C59"/>
    <w:rsid w:val="002C3D74"/>
    <w:rsid w:val="002C469A"/>
    <w:rsid w:val="002C4C86"/>
    <w:rsid w:val="002C4CF8"/>
    <w:rsid w:val="002C523A"/>
    <w:rsid w:val="002C5898"/>
    <w:rsid w:val="002C5A5F"/>
    <w:rsid w:val="002C5CF5"/>
    <w:rsid w:val="002C5EB2"/>
    <w:rsid w:val="002C6FF8"/>
    <w:rsid w:val="002C7DC9"/>
    <w:rsid w:val="002C7E38"/>
    <w:rsid w:val="002D0B8E"/>
    <w:rsid w:val="002D0C01"/>
    <w:rsid w:val="002D0F75"/>
    <w:rsid w:val="002D1823"/>
    <w:rsid w:val="002D1977"/>
    <w:rsid w:val="002D2237"/>
    <w:rsid w:val="002D2A0F"/>
    <w:rsid w:val="002D30AB"/>
    <w:rsid w:val="002D31C8"/>
    <w:rsid w:val="002D3487"/>
    <w:rsid w:val="002D367D"/>
    <w:rsid w:val="002D3832"/>
    <w:rsid w:val="002D3E93"/>
    <w:rsid w:val="002D4132"/>
    <w:rsid w:val="002D4ABC"/>
    <w:rsid w:val="002D4AC6"/>
    <w:rsid w:val="002D4B84"/>
    <w:rsid w:val="002D4BC5"/>
    <w:rsid w:val="002D4F49"/>
    <w:rsid w:val="002D506F"/>
    <w:rsid w:val="002D5570"/>
    <w:rsid w:val="002D576D"/>
    <w:rsid w:val="002D5945"/>
    <w:rsid w:val="002D610F"/>
    <w:rsid w:val="002D72AA"/>
    <w:rsid w:val="002D74DB"/>
    <w:rsid w:val="002D766D"/>
    <w:rsid w:val="002D7774"/>
    <w:rsid w:val="002D7A5E"/>
    <w:rsid w:val="002D7BE2"/>
    <w:rsid w:val="002D7D3F"/>
    <w:rsid w:val="002E01BA"/>
    <w:rsid w:val="002E02EC"/>
    <w:rsid w:val="002E0449"/>
    <w:rsid w:val="002E049E"/>
    <w:rsid w:val="002E04D7"/>
    <w:rsid w:val="002E0B5F"/>
    <w:rsid w:val="002E0BB6"/>
    <w:rsid w:val="002E10DA"/>
    <w:rsid w:val="002E1293"/>
    <w:rsid w:val="002E1AAF"/>
    <w:rsid w:val="002E1EB3"/>
    <w:rsid w:val="002E1F69"/>
    <w:rsid w:val="002E1F78"/>
    <w:rsid w:val="002E207A"/>
    <w:rsid w:val="002E29B8"/>
    <w:rsid w:val="002E29BA"/>
    <w:rsid w:val="002E2A70"/>
    <w:rsid w:val="002E2C6C"/>
    <w:rsid w:val="002E2D80"/>
    <w:rsid w:val="002E2F26"/>
    <w:rsid w:val="002E390C"/>
    <w:rsid w:val="002E39C6"/>
    <w:rsid w:val="002E3ECE"/>
    <w:rsid w:val="002E405A"/>
    <w:rsid w:val="002E456A"/>
    <w:rsid w:val="002E4668"/>
    <w:rsid w:val="002E4B9A"/>
    <w:rsid w:val="002E57E9"/>
    <w:rsid w:val="002E5B09"/>
    <w:rsid w:val="002E5B34"/>
    <w:rsid w:val="002E635F"/>
    <w:rsid w:val="002E692B"/>
    <w:rsid w:val="002E6F39"/>
    <w:rsid w:val="002E7158"/>
    <w:rsid w:val="002E7377"/>
    <w:rsid w:val="002E745F"/>
    <w:rsid w:val="002F008E"/>
    <w:rsid w:val="002F02C0"/>
    <w:rsid w:val="002F0300"/>
    <w:rsid w:val="002F0449"/>
    <w:rsid w:val="002F0804"/>
    <w:rsid w:val="002F09AD"/>
    <w:rsid w:val="002F0D8B"/>
    <w:rsid w:val="002F1096"/>
    <w:rsid w:val="002F1641"/>
    <w:rsid w:val="002F188B"/>
    <w:rsid w:val="002F2050"/>
    <w:rsid w:val="002F2392"/>
    <w:rsid w:val="002F2826"/>
    <w:rsid w:val="002F2909"/>
    <w:rsid w:val="002F2D75"/>
    <w:rsid w:val="002F30CF"/>
    <w:rsid w:val="002F32B7"/>
    <w:rsid w:val="002F40F0"/>
    <w:rsid w:val="002F46F1"/>
    <w:rsid w:val="002F4944"/>
    <w:rsid w:val="002F4BF7"/>
    <w:rsid w:val="002F54A6"/>
    <w:rsid w:val="002F5534"/>
    <w:rsid w:val="002F590C"/>
    <w:rsid w:val="002F6181"/>
    <w:rsid w:val="002F6336"/>
    <w:rsid w:val="002F6435"/>
    <w:rsid w:val="002F7080"/>
    <w:rsid w:val="002F7450"/>
    <w:rsid w:val="002F76A9"/>
    <w:rsid w:val="002F7BAD"/>
    <w:rsid w:val="00300049"/>
    <w:rsid w:val="00300C60"/>
    <w:rsid w:val="00300D51"/>
    <w:rsid w:val="00300FE6"/>
    <w:rsid w:val="00301CE7"/>
    <w:rsid w:val="003021E1"/>
    <w:rsid w:val="00302604"/>
    <w:rsid w:val="00302C60"/>
    <w:rsid w:val="00302DC6"/>
    <w:rsid w:val="00303563"/>
    <w:rsid w:val="00303CA8"/>
    <w:rsid w:val="0030413D"/>
    <w:rsid w:val="00304199"/>
    <w:rsid w:val="00304599"/>
    <w:rsid w:val="00304645"/>
    <w:rsid w:val="00304E2F"/>
    <w:rsid w:val="003054F0"/>
    <w:rsid w:val="00305B15"/>
    <w:rsid w:val="00305D8B"/>
    <w:rsid w:val="00306511"/>
    <w:rsid w:val="00306905"/>
    <w:rsid w:val="00306B85"/>
    <w:rsid w:val="00306E95"/>
    <w:rsid w:val="00307584"/>
    <w:rsid w:val="00310D86"/>
    <w:rsid w:val="00310ECD"/>
    <w:rsid w:val="0031124F"/>
    <w:rsid w:val="00311310"/>
    <w:rsid w:val="003116B9"/>
    <w:rsid w:val="00311888"/>
    <w:rsid w:val="003118C8"/>
    <w:rsid w:val="00311AB9"/>
    <w:rsid w:val="00311FE3"/>
    <w:rsid w:val="003122D3"/>
    <w:rsid w:val="00312364"/>
    <w:rsid w:val="0031299C"/>
    <w:rsid w:val="00312BBD"/>
    <w:rsid w:val="00312C79"/>
    <w:rsid w:val="003130AE"/>
    <w:rsid w:val="003135BD"/>
    <w:rsid w:val="00314014"/>
    <w:rsid w:val="0031441E"/>
    <w:rsid w:val="0031449D"/>
    <w:rsid w:val="00314E8F"/>
    <w:rsid w:val="003151F9"/>
    <w:rsid w:val="0031557E"/>
    <w:rsid w:val="00315C78"/>
    <w:rsid w:val="003169BC"/>
    <w:rsid w:val="00317EFF"/>
    <w:rsid w:val="0032046E"/>
    <w:rsid w:val="0032060B"/>
    <w:rsid w:val="00320654"/>
    <w:rsid w:val="003208B3"/>
    <w:rsid w:val="00321101"/>
    <w:rsid w:val="00322262"/>
    <w:rsid w:val="00322426"/>
    <w:rsid w:val="00322437"/>
    <w:rsid w:val="00322B0C"/>
    <w:rsid w:val="00322D6E"/>
    <w:rsid w:val="0032321C"/>
    <w:rsid w:val="00323248"/>
    <w:rsid w:val="00323513"/>
    <w:rsid w:val="00323FF8"/>
    <w:rsid w:val="0032414C"/>
    <w:rsid w:val="003244F3"/>
    <w:rsid w:val="003246A7"/>
    <w:rsid w:val="00324773"/>
    <w:rsid w:val="00324970"/>
    <w:rsid w:val="00325771"/>
    <w:rsid w:val="00325A73"/>
    <w:rsid w:val="00325E61"/>
    <w:rsid w:val="0032600B"/>
    <w:rsid w:val="003269F5"/>
    <w:rsid w:val="00327051"/>
    <w:rsid w:val="003275CE"/>
    <w:rsid w:val="00327B74"/>
    <w:rsid w:val="00330012"/>
    <w:rsid w:val="003300D8"/>
    <w:rsid w:val="003303FB"/>
    <w:rsid w:val="0033048E"/>
    <w:rsid w:val="0033075B"/>
    <w:rsid w:val="00330C39"/>
    <w:rsid w:val="00330C97"/>
    <w:rsid w:val="00330D80"/>
    <w:rsid w:val="00330E28"/>
    <w:rsid w:val="00330E4D"/>
    <w:rsid w:val="00330FA9"/>
    <w:rsid w:val="00331697"/>
    <w:rsid w:val="00331CA7"/>
    <w:rsid w:val="00331E12"/>
    <w:rsid w:val="00332072"/>
    <w:rsid w:val="0033216A"/>
    <w:rsid w:val="003328FC"/>
    <w:rsid w:val="00332A80"/>
    <w:rsid w:val="00332DAB"/>
    <w:rsid w:val="00333262"/>
    <w:rsid w:val="0033330F"/>
    <w:rsid w:val="00333810"/>
    <w:rsid w:val="00333EBB"/>
    <w:rsid w:val="00333FCA"/>
    <w:rsid w:val="00334499"/>
    <w:rsid w:val="0033503B"/>
    <w:rsid w:val="00335152"/>
    <w:rsid w:val="003352FE"/>
    <w:rsid w:val="003357BC"/>
    <w:rsid w:val="00335C47"/>
    <w:rsid w:val="00335EBA"/>
    <w:rsid w:val="00336510"/>
    <w:rsid w:val="003365E2"/>
    <w:rsid w:val="0033692E"/>
    <w:rsid w:val="00336B1E"/>
    <w:rsid w:val="003379CE"/>
    <w:rsid w:val="00337A69"/>
    <w:rsid w:val="00337C0F"/>
    <w:rsid w:val="00340491"/>
    <w:rsid w:val="00340678"/>
    <w:rsid w:val="00340E4B"/>
    <w:rsid w:val="00341315"/>
    <w:rsid w:val="00341860"/>
    <w:rsid w:val="00341B37"/>
    <w:rsid w:val="00341B66"/>
    <w:rsid w:val="00342022"/>
    <w:rsid w:val="003420F8"/>
    <w:rsid w:val="003422F7"/>
    <w:rsid w:val="00342BC7"/>
    <w:rsid w:val="00342BD0"/>
    <w:rsid w:val="00342C25"/>
    <w:rsid w:val="00343443"/>
    <w:rsid w:val="003437E3"/>
    <w:rsid w:val="003439F8"/>
    <w:rsid w:val="00343F08"/>
    <w:rsid w:val="00343F5B"/>
    <w:rsid w:val="0034400F"/>
    <w:rsid w:val="003449C0"/>
    <w:rsid w:val="003459C0"/>
    <w:rsid w:val="00345E78"/>
    <w:rsid w:val="00346977"/>
    <w:rsid w:val="00347123"/>
    <w:rsid w:val="0034730B"/>
    <w:rsid w:val="0034742B"/>
    <w:rsid w:val="0034756F"/>
    <w:rsid w:val="00347885"/>
    <w:rsid w:val="00347B0A"/>
    <w:rsid w:val="00351BC4"/>
    <w:rsid w:val="00352424"/>
    <w:rsid w:val="00352551"/>
    <w:rsid w:val="0035291F"/>
    <w:rsid w:val="00352BD4"/>
    <w:rsid w:val="00352C8C"/>
    <w:rsid w:val="00352FA8"/>
    <w:rsid w:val="00352FE4"/>
    <w:rsid w:val="00353046"/>
    <w:rsid w:val="00354333"/>
    <w:rsid w:val="00354816"/>
    <w:rsid w:val="00354906"/>
    <w:rsid w:val="003556DD"/>
    <w:rsid w:val="0035598C"/>
    <w:rsid w:val="00355CDE"/>
    <w:rsid w:val="00355F5C"/>
    <w:rsid w:val="003562D9"/>
    <w:rsid w:val="00356800"/>
    <w:rsid w:val="0035751D"/>
    <w:rsid w:val="003577CA"/>
    <w:rsid w:val="00360275"/>
    <w:rsid w:val="00360CA0"/>
    <w:rsid w:val="00360DE1"/>
    <w:rsid w:val="003612EC"/>
    <w:rsid w:val="00361365"/>
    <w:rsid w:val="0036145E"/>
    <w:rsid w:val="0036164A"/>
    <w:rsid w:val="00361663"/>
    <w:rsid w:val="0036182E"/>
    <w:rsid w:val="00361FE2"/>
    <w:rsid w:val="003623C4"/>
    <w:rsid w:val="00362578"/>
    <w:rsid w:val="00363085"/>
    <w:rsid w:val="0036358F"/>
    <w:rsid w:val="00363DA9"/>
    <w:rsid w:val="00364794"/>
    <w:rsid w:val="003647C1"/>
    <w:rsid w:val="00364809"/>
    <w:rsid w:val="00364D56"/>
    <w:rsid w:val="00365416"/>
    <w:rsid w:val="00365B8A"/>
    <w:rsid w:val="00365BFC"/>
    <w:rsid w:val="00367007"/>
    <w:rsid w:val="003703C1"/>
    <w:rsid w:val="0037046F"/>
    <w:rsid w:val="00370517"/>
    <w:rsid w:val="003707DB"/>
    <w:rsid w:val="003718F2"/>
    <w:rsid w:val="00371A37"/>
    <w:rsid w:val="00372264"/>
    <w:rsid w:val="003724C2"/>
    <w:rsid w:val="00372853"/>
    <w:rsid w:val="00372918"/>
    <w:rsid w:val="003734EB"/>
    <w:rsid w:val="00373B6D"/>
    <w:rsid w:val="0037467B"/>
    <w:rsid w:val="003748AF"/>
    <w:rsid w:val="00375110"/>
    <w:rsid w:val="00375428"/>
    <w:rsid w:val="003755B7"/>
    <w:rsid w:val="00375D2F"/>
    <w:rsid w:val="00375ED2"/>
    <w:rsid w:val="00376675"/>
    <w:rsid w:val="00376D01"/>
    <w:rsid w:val="003814A7"/>
    <w:rsid w:val="00381930"/>
    <w:rsid w:val="003823DA"/>
    <w:rsid w:val="003827DB"/>
    <w:rsid w:val="0038330B"/>
    <w:rsid w:val="003833DE"/>
    <w:rsid w:val="003833E6"/>
    <w:rsid w:val="003835F2"/>
    <w:rsid w:val="003840FD"/>
    <w:rsid w:val="00384128"/>
    <w:rsid w:val="003842CA"/>
    <w:rsid w:val="0038437A"/>
    <w:rsid w:val="003843B7"/>
    <w:rsid w:val="00384993"/>
    <w:rsid w:val="00384A7C"/>
    <w:rsid w:val="0038561D"/>
    <w:rsid w:val="003866C9"/>
    <w:rsid w:val="00386BAD"/>
    <w:rsid w:val="00386EF6"/>
    <w:rsid w:val="00386FB5"/>
    <w:rsid w:val="00387618"/>
    <w:rsid w:val="00387AC0"/>
    <w:rsid w:val="00387BE6"/>
    <w:rsid w:val="00387EC7"/>
    <w:rsid w:val="003904FA"/>
    <w:rsid w:val="00390C18"/>
    <w:rsid w:val="00390CE2"/>
    <w:rsid w:val="00390D33"/>
    <w:rsid w:val="00390F62"/>
    <w:rsid w:val="00390FAF"/>
    <w:rsid w:val="0039130D"/>
    <w:rsid w:val="00391562"/>
    <w:rsid w:val="0039164D"/>
    <w:rsid w:val="003917C3"/>
    <w:rsid w:val="00391C2F"/>
    <w:rsid w:val="003925DD"/>
    <w:rsid w:val="00392A63"/>
    <w:rsid w:val="00394733"/>
    <w:rsid w:val="00394C16"/>
    <w:rsid w:val="0039583F"/>
    <w:rsid w:val="00395DCC"/>
    <w:rsid w:val="0039616A"/>
    <w:rsid w:val="003962C8"/>
    <w:rsid w:val="00396514"/>
    <w:rsid w:val="00396A9B"/>
    <w:rsid w:val="00397228"/>
    <w:rsid w:val="00397722"/>
    <w:rsid w:val="003978EB"/>
    <w:rsid w:val="00397928"/>
    <w:rsid w:val="003A0198"/>
    <w:rsid w:val="003A10E6"/>
    <w:rsid w:val="003A1779"/>
    <w:rsid w:val="003A1899"/>
    <w:rsid w:val="003A191D"/>
    <w:rsid w:val="003A1B9C"/>
    <w:rsid w:val="003A1BBA"/>
    <w:rsid w:val="003A20EB"/>
    <w:rsid w:val="003A236C"/>
    <w:rsid w:val="003A2569"/>
    <w:rsid w:val="003A2B07"/>
    <w:rsid w:val="003A2DAC"/>
    <w:rsid w:val="003A3382"/>
    <w:rsid w:val="003A3471"/>
    <w:rsid w:val="003A37C7"/>
    <w:rsid w:val="003A3882"/>
    <w:rsid w:val="003A3AB2"/>
    <w:rsid w:val="003A3BAD"/>
    <w:rsid w:val="003A3EE8"/>
    <w:rsid w:val="003A4227"/>
    <w:rsid w:val="003A45AB"/>
    <w:rsid w:val="003A4D3B"/>
    <w:rsid w:val="003A4DC0"/>
    <w:rsid w:val="003A5136"/>
    <w:rsid w:val="003A567E"/>
    <w:rsid w:val="003A5688"/>
    <w:rsid w:val="003A578E"/>
    <w:rsid w:val="003A5BB9"/>
    <w:rsid w:val="003A5D11"/>
    <w:rsid w:val="003A62AD"/>
    <w:rsid w:val="003A6535"/>
    <w:rsid w:val="003A6642"/>
    <w:rsid w:val="003A6E7D"/>
    <w:rsid w:val="003A75D4"/>
    <w:rsid w:val="003A7A45"/>
    <w:rsid w:val="003A7BAA"/>
    <w:rsid w:val="003B0729"/>
    <w:rsid w:val="003B0DCC"/>
    <w:rsid w:val="003B11D3"/>
    <w:rsid w:val="003B13A7"/>
    <w:rsid w:val="003B1575"/>
    <w:rsid w:val="003B176B"/>
    <w:rsid w:val="003B2167"/>
    <w:rsid w:val="003B2A90"/>
    <w:rsid w:val="003B2C7E"/>
    <w:rsid w:val="003B319E"/>
    <w:rsid w:val="003B336C"/>
    <w:rsid w:val="003B3BFF"/>
    <w:rsid w:val="003B3C62"/>
    <w:rsid w:val="003B4AEB"/>
    <w:rsid w:val="003B4CC5"/>
    <w:rsid w:val="003B5FC1"/>
    <w:rsid w:val="003B64D3"/>
    <w:rsid w:val="003B7AA7"/>
    <w:rsid w:val="003B7C5C"/>
    <w:rsid w:val="003C08CA"/>
    <w:rsid w:val="003C09E0"/>
    <w:rsid w:val="003C0CFB"/>
    <w:rsid w:val="003C0F3B"/>
    <w:rsid w:val="003C1151"/>
    <w:rsid w:val="003C170D"/>
    <w:rsid w:val="003C18D2"/>
    <w:rsid w:val="003C1FA6"/>
    <w:rsid w:val="003C2543"/>
    <w:rsid w:val="003C2673"/>
    <w:rsid w:val="003C2A24"/>
    <w:rsid w:val="003C2B6A"/>
    <w:rsid w:val="003C2D21"/>
    <w:rsid w:val="003C317E"/>
    <w:rsid w:val="003C3440"/>
    <w:rsid w:val="003C3873"/>
    <w:rsid w:val="003C3C19"/>
    <w:rsid w:val="003C40F2"/>
    <w:rsid w:val="003C4120"/>
    <w:rsid w:val="003C436B"/>
    <w:rsid w:val="003C4627"/>
    <w:rsid w:val="003C5250"/>
    <w:rsid w:val="003C5283"/>
    <w:rsid w:val="003C52C8"/>
    <w:rsid w:val="003C5401"/>
    <w:rsid w:val="003C565F"/>
    <w:rsid w:val="003C5751"/>
    <w:rsid w:val="003C5A89"/>
    <w:rsid w:val="003C5DEA"/>
    <w:rsid w:val="003C6595"/>
    <w:rsid w:val="003C6DEB"/>
    <w:rsid w:val="003C734B"/>
    <w:rsid w:val="003C7382"/>
    <w:rsid w:val="003C74FB"/>
    <w:rsid w:val="003C7529"/>
    <w:rsid w:val="003C759B"/>
    <w:rsid w:val="003C762B"/>
    <w:rsid w:val="003D00A4"/>
    <w:rsid w:val="003D09D6"/>
    <w:rsid w:val="003D0B3F"/>
    <w:rsid w:val="003D0D27"/>
    <w:rsid w:val="003D0EB1"/>
    <w:rsid w:val="003D0F0A"/>
    <w:rsid w:val="003D1247"/>
    <w:rsid w:val="003D12A4"/>
    <w:rsid w:val="003D1FAF"/>
    <w:rsid w:val="003D2F2F"/>
    <w:rsid w:val="003D32CB"/>
    <w:rsid w:val="003D382F"/>
    <w:rsid w:val="003D3D26"/>
    <w:rsid w:val="003D3F96"/>
    <w:rsid w:val="003D4757"/>
    <w:rsid w:val="003D48B0"/>
    <w:rsid w:val="003D4C54"/>
    <w:rsid w:val="003D4DDF"/>
    <w:rsid w:val="003D5106"/>
    <w:rsid w:val="003D5124"/>
    <w:rsid w:val="003D568E"/>
    <w:rsid w:val="003D5766"/>
    <w:rsid w:val="003D5BC0"/>
    <w:rsid w:val="003D6B13"/>
    <w:rsid w:val="003D6EC6"/>
    <w:rsid w:val="003D7181"/>
    <w:rsid w:val="003D7289"/>
    <w:rsid w:val="003D7483"/>
    <w:rsid w:val="003D75D0"/>
    <w:rsid w:val="003D7635"/>
    <w:rsid w:val="003D776E"/>
    <w:rsid w:val="003D7A62"/>
    <w:rsid w:val="003D7D7A"/>
    <w:rsid w:val="003E0152"/>
    <w:rsid w:val="003E01C9"/>
    <w:rsid w:val="003E08A5"/>
    <w:rsid w:val="003E1095"/>
    <w:rsid w:val="003E1631"/>
    <w:rsid w:val="003E1B35"/>
    <w:rsid w:val="003E2468"/>
    <w:rsid w:val="003E259A"/>
    <w:rsid w:val="003E25A3"/>
    <w:rsid w:val="003E3100"/>
    <w:rsid w:val="003E35CA"/>
    <w:rsid w:val="003E374B"/>
    <w:rsid w:val="003E3AAB"/>
    <w:rsid w:val="003E3B09"/>
    <w:rsid w:val="003E4475"/>
    <w:rsid w:val="003E447C"/>
    <w:rsid w:val="003E492E"/>
    <w:rsid w:val="003E4A7F"/>
    <w:rsid w:val="003E4AA4"/>
    <w:rsid w:val="003E4B2C"/>
    <w:rsid w:val="003E4EB7"/>
    <w:rsid w:val="003E52FA"/>
    <w:rsid w:val="003E5701"/>
    <w:rsid w:val="003E5B79"/>
    <w:rsid w:val="003E617E"/>
    <w:rsid w:val="003E6625"/>
    <w:rsid w:val="003E6793"/>
    <w:rsid w:val="003E6EEC"/>
    <w:rsid w:val="003E71D9"/>
    <w:rsid w:val="003E71E3"/>
    <w:rsid w:val="003E786F"/>
    <w:rsid w:val="003F0288"/>
    <w:rsid w:val="003F036B"/>
    <w:rsid w:val="003F0508"/>
    <w:rsid w:val="003F1BDD"/>
    <w:rsid w:val="003F21B9"/>
    <w:rsid w:val="003F2304"/>
    <w:rsid w:val="003F25E9"/>
    <w:rsid w:val="003F26CD"/>
    <w:rsid w:val="003F27A3"/>
    <w:rsid w:val="003F27AD"/>
    <w:rsid w:val="003F2863"/>
    <w:rsid w:val="003F2BB7"/>
    <w:rsid w:val="003F2E1D"/>
    <w:rsid w:val="003F3208"/>
    <w:rsid w:val="003F33A6"/>
    <w:rsid w:val="003F35C5"/>
    <w:rsid w:val="003F385D"/>
    <w:rsid w:val="003F3F62"/>
    <w:rsid w:val="003F4083"/>
    <w:rsid w:val="003F438C"/>
    <w:rsid w:val="003F4E74"/>
    <w:rsid w:val="003F5706"/>
    <w:rsid w:val="003F59B7"/>
    <w:rsid w:val="003F5BAE"/>
    <w:rsid w:val="003F5C68"/>
    <w:rsid w:val="003F6167"/>
    <w:rsid w:val="003F616C"/>
    <w:rsid w:val="003F6260"/>
    <w:rsid w:val="003F6E34"/>
    <w:rsid w:val="003F6E71"/>
    <w:rsid w:val="003F7165"/>
    <w:rsid w:val="003F7510"/>
    <w:rsid w:val="003F7618"/>
    <w:rsid w:val="003F7A82"/>
    <w:rsid w:val="003F7AF9"/>
    <w:rsid w:val="003F7E0B"/>
    <w:rsid w:val="0040011C"/>
    <w:rsid w:val="00400639"/>
    <w:rsid w:val="00400FF3"/>
    <w:rsid w:val="004012D8"/>
    <w:rsid w:val="0040163E"/>
    <w:rsid w:val="004019FC"/>
    <w:rsid w:val="00401E2C"/>
    <w:rsid w:val="004024D0"/>
    <w:rsid w:val="0040334A"/>
    <w:rsid w:val="0040369A"/>
    <w:rsid w:val="004037F9"/>
    <w:rsid w:val="004044F7"/>
    <w:rsid w:val="004046A7"/>
    <w:rsid w:val="004052FE"/>
    <w:rsid w:val="00405893"/>
    <w:rsid w:val="004058AF"/>
    <w:rsid w:val="00405A43"/>
    <w:rsid w:val="00405DFB"/>
    <w:rsid w:val="004067C9"/>
    <w:rsid w:val="0040693C"/>
    <w:rsid w:val="00406993"/>
    <w:rsid w:val="004070F6"/>
    <w:rsid w:val="0040741C"/>
    <w:rsid w:val="00407851"/>
    <w:rsid w:val="004078E9"/>
    <w:rsid w:val="00407BEC"/>
    <w:rsid w:val="0041007B"/>
    <w:rsid w:val="004105AB"/>
    <w:rsid w:val="00411285"/>
    <w:rsid w:val="004113E7"/>
    <w:rsid w:val="00411C5E"/>
    <w:rsid w:val="00411E94"/>
    <w:rsid w:val="00411FF6"/>
    <w:rsid w:val="00412162"/>
    <w:rsid w:val="004125C0"/>
    <w:rsid w:val="00413263"/>
    <w:rsid w:val="00413267"/>
    <w:rsid w:val="004133DA"/>
    <w:rsid w:val="004134CD"/>
    <w:rsid w:val="0041361E"/>
    <w:rsid w:val="004145EC"/>
    <w:rsid w:val="004147CC"/>
    <w:rsid w:val="00414AEE"/>
    <w:rsid w:val="00415022"/>
    <w:rsid w:val="00415200"/>
    <w:rsid w:val="0041589E"/>
    <w:rsid w:val="004159D4"/>
    <w:rsid w:val="004166C9"/>
    <w:rsid w:val="004168E8"/>
    <w:rsid w:val="00416A57"/>
    <w:rsid w:val="00416B3D"/>
    <w:rsid w:val="00416BFD"/>
    <w:rsid w:val="004172E9"/>
    <w:rsid w:val="004173A8"/>
    <w:rsid w:val="00417E5A"/>
    <w:rsid w:val="00420122"/>
    <w:rsid w:val="00420208"/>
    <w:rsid w:val="00420CD7"/>
    <w:rsid w:val="00420D18"/>
    <w:rsid w:val="00420F37"/>
    <w:rsid w:val="00420FF9"/>
    <w:rsid w:val="004211C5"/>
    <w:rsid w:val="00421282"/>
    <w:rsid w:val="00421920"/>
    <w:rsid w:val="00421ACF"/>
    <w:rsid w:val="00421C60"/>
    <w:rsid w:val="00421E9C"/>
    <w:rsid w:val="00421FC2"/>
    <w:rsid w:val="0042349B"/>
    <w:rsid w:val="004236B8"/>
    <w:rsid w:val="0042391A"/>
    <w:rsid w:val="00424419"/>
    <w:rsid w:val="00424773"/>
    <w:rsid w:val="004247A3"/>
    <w:rsid w:val="00424AAD"/>
    <w:rsid w:val="004257AE"/>
    <w:rsid w:val="00425876"/>
    <w:rsid w:val="004258B8"/>
    <w:rsid w:val="0042598C"/>
    <w:rsid w:val="00425B38"/>
    <w:rsid w:val="00426009"/>
    <w:rsid w:val="00426617"/>
    <w:rsid w:val="0042670D"/>
    <w:rsid w:val="00426746"/>
    <w:rsid w:val="004272D7"/>
    <w:rsid w:val="00427712"/>
    <w:rsid w:val="00427893"/>
    <w:rsid w:val="0043057A"/>
    <w:rsid w:val="00430948"/>
    <w:rsid w:val="00430A09"/>
    <w:rsid w:val="00430EC6"/>
    <w:rsid w:val="00431177"/>
    <w:rsid w:val="004311CD"/>
    <w:rsid w:val="00431579"/>
    <w:rsid w:val="00431615"/>
    <w:rsid w:val="00431787"/>
    <w:rsid w:val="00433380"/>
    <w:rsid w:val="004336D9"/>
    <w:rsid w:val="00433F11"/>
    <w:rsid w:val="00435002"/>
    <w:rsid w:val="004354E1"/>
    <w:rsid w:val="00435B2C"/>
    <w:rsid w:val="00436681"/>
    <w:rsid w:val="004367D8"/>
    <w:rsid w:val="004370DA"/>
    <w:rsid w:val="004371D8"/>
    <w:rsid w:val="00437DD9"/>
    <w:rsid w:val="0044042A"/>
    <w:rsid w:val="00440729"/>
    <w:rsid w:val="004412F8"/>
    <w:rsid w:val="004417E5"/>
    <w:rsid w:val="00441BBA"/>
    <w:rsid w:val="00441EC6"/>
    <w:rsid w:val="00442959"/>
    <w:rsid w:val="00442BA1"/>
    <w:rsid w:val="00442BA6"/>
    <w:rsid w:val="00443126"/>
    <w:rsid w:val="00443592"/>
    <w:rsid w:val="00443654"/>
    <w:rsid w:val="00443D76"/>
    <w:rsid w:val="00443E7D"/>
    <w:rsid w:val="00444918"/>
    <w:rsid w:val="00444BF1"/>
    <w:rsid w:val="00444DAC"/>
    <w:rsid w:val="00444FE9"/>
    <w:rsid w:val="004457FD"/>
    <w:rsid w:val="004458A9"/>
    <w:rsid w:val="00445AEA"/>
    <w:rsid w:val="00445C4F"/>
    <w:rsid w:val="00445F46"/>
    <w:rsid w:val="004475DD"/>
    <w:rsid w:val="00447EA9"/>
    <w:rsid w:val="004503C6"/>
    <w:rsid w:val="00450DE7"/>
    <w:rsid w:val="00450E7C"/>
    <w:rsid w:val="00451084"/>
    <w:rsid w:val="0045196A"/>
    <w:rsid w:val="00451F1B"/>
    <w:rsid w:val="00452A36"/>
    <w:rsid w:val="00452B59"/>
    <w:rsid w:val="00452BE9"/>
    <w:rsid w:val="00452C50"/>
    <w:rsid w:val="004537CF"/>
    <w:rsid w:val="0045392B"/>
    <w:rsid w:val="0045399F"/>
    <w:rsid w:val="004542C4"/>
    <w:rsid w:val="004549AE"/>
    <w:rsid w:val="00454A98"/>
    <w:rsid w:val="00454AF7"/>
    <w:rsid w:val="00454DC8"/>
    <w:rsid w:val="0045501E"/>
    <w:rsid w:val="004556EF"/>
    <w:rsid w:val="00455C2E"/>
    <w:rsid w:val="00455F8D"/>
    <w:rsid w:val="00456705"/>
    <w:rsid w:val="00456C01"/>
    <w:rsid w:val="004574EB"/>
    <w:rsid w:val="0045779D"/>
    <w:rsid w:val="00457B79"/>
    <w:rsid w:val="00457BE6"/>
    <w:rsid w:val="0046036C"/>
    <w:rsid w:val="0046114D"/>
    <w:rsid w:val="00461177"/>
    <w:rsid w:val="004612BA"/>
    <w:rsid w:val="00461A73"/>
    <w:rsid w:val="00461C96"/>
    <w:rsid w:val="00462AE5"/>
    <w:rsid w:val="004632A2"/>
    <w:rsid w:val="00463354"/>
    <w:rsid w:val="00464C02"/>
    <w:rsid w:val="0046518A"/>
    <w:rsid w:val="004657A2"/>
    <w:rsid w:val="00465AA3"/>
    <w:rsid w:val="00465CD5"/>
    <w:rsid w:val="00465F41"/>
    <w:rsid w:val="00466163"/>
    <w:rsid w:val="004664DB"/>
    <w:rsid w:val="0046673A"/>
    <w:rsid w:val="0046683E"/>
    <w:rsid w:val="00466C75"/>
    <w:rsid w:val="00466D06"/>
    <w:rsid w:val="004672F6"/>
    <w:rsid w:val="00467EF3"/>
    <w:rsid w:val="0047096D"/>
    <w:rsid w:val="0047101B"/>
    <w:rsid w:val="004718E4"/>
    <w:rsid w:val="00471A0A"/>
    <w:rsid w:val="00471DF9"/>
    <w:rsid w:val="00471F77"/>
    <w:rsid w:val="004721AE"/>
    <w:rsid w:val="00472561"/>
    <w:rsid w:val="00472AD9"/>
    <w:rsid w:val="00472BAA"/>
    <w:rsid w:val="00472CE0"/>
    <w:rsid w:val="004732EF"/>
    <w:rsid w:val="0047368D"/>
    <w:rsid w:val="00473725"/>
    <w:rsid w:val="00473A31"/>
    <w:rsid w:val="00473A5D"/>
    <w:rsid w:val="00473AB8"/>
    <w:rsid w:val="00473E0D"/>
    <w:rsid w:val="004740C7"/>
    <w:rsid w:val="004742C6"/>
    <w:rsid w:val="004743AB"/>
    <w:rsid w:val="004743DE"/>
    <w:rsid w:val="00474DD8"/>
    <w:rsid w:val="00474F14"/>
    <w:rsid w:val="0047503C"/>
    <w:rsid w:val="00475051"/>
    <w:rsid w:val="00475564"/>
    <w:rsid w:val="00475803"/>
    <w:rsid w:val="00475A70"/>
    <w:rsid w:val="004760FE"/>
    <w:rsid w:val="00476394"/>
    <w:rsid w:val="004766BE"/>
    <w:rsid w:val="00476A39"/>
    <w:rsid w:val="00476B03"/>
    <w:rsid w:val="00476B9A"/>
    <w:rsid w:val="00476C47"/>
    <w:rsid w:val="00476F96"/>
    <w:rsid w:val="00477F8C"/>
    <w:rsid w:val="00481580"/>
    <w:rsid w:val="004829EF"/>
    <w:rsid w:val="0048307D"/>
    <w:rsid w:val="004832E3"/>
    <w:rsid w:val="004835CF"/>
    <w:rsid w:val="0048371D"/>
    <w:rsid w:val="00483732"/>
    <w:rsid w:val="004839CB"/>
    <w:rsid w:val="00483B37"/>
    <w:rsid w:val="00483C55"/>
    <w:rsid w:val="00484A48"/>
    <w:rsid w:val="004852F2"/>
    <w:rsid w:val="004852FD"/>
    <w:rsid w:val="004853BB"/>
    <w:rsid w:val="00485719"/>
    <w:rsid w:val="00485A6D"/>
    <w:rsid w:val="00485FB1"/>
    <w:rsid w:val="00486E2A"/>
    <w:rsid w:val="00486FA3"/>
    <w:rsid w:val="00486FB8"/>
    <w:rsid w:val="00487549"/>
    <w:rsid w:val="00487A01"/>
    <w:rsid w:val="00487F83"/>
    <w:rsid w:val="00490168"/>
    <w:rsid w:val="0049083B"/>
    <w:rsid w:val="00491D54"/>
    <w:rsid w:val="00491E5E"/>
    <w:rsid w:val="0049249F"/>
    <w:rsid w:val="004929E2"/>
    <w:rsid w:val="00492F6C"/>
    <w:rsid w:val="00493093"/>
    <w:rsid w:val="00493670"/>
    <w:rsid w:val="004938C3"/>
    <w:rsid w:val="00493E6B"/>
    <w:rsid w:val="00494274"/>
    <w:rsid w:val="00494925"/>
    <w:rsid w:val="004950A0"/>
    <w:rsid w:val="00495362"/>
    <w:rsid w:val="00495B3A"/>
    <w:rsid w:val="00495C73"/>
    <w:rsid w:val="0049622A"/>
    <w:rsid w:val="004962C0"/>
    <w:rsid w:val="00496440"/>
    <w:rsid w:val="004965C8"/>
    <w:rsid w:val="0049684C"/>
    <w:rsid w:val="00496A98"/>
    <w:rsid w:val="00496D69"/>
    <w:rsid w:val="00497440"/>
    <w:rsid w:val="00497ACD"/>
    <w:rsid w:val="004A0082"/>
    <w:rsid w:val="004A0CBA"/>
    <w:rsid w:val="004A113A"/>
    <w:rsid w:val="004A1606"/>
    <w:rsid w:val="004A16F1"/>
    <w:rsid w:val="004A19F0"/>
    <w:rsid w:val="004A1A41"/>
    <w:rsid w:val="004A1AA9"/>
    <w:rsid w:val="004A1F60"/>
    <w:rsid w:val="004A1F7C"/>
    <w:rsid w:val="004A22D0"/>
    <w:rsid w:val="004A2844"/>
    <w:rsid w:val="004A29B7"/>
    <w:rsid w:val="004A38E6"/>
    <w:rsid w:val="004A398C"/>
    <w:rsid w:val="004A3A08"/>
    <w:rsid w:val="004A3C39"/>
    <w:rsid w:val="004A3D09"/>
    <w:rsid w:val="004A43B8"/>
    <w:rsid w:val="004A4458"/>
    <w:rsid w:val="004A46C5"/>
    <w:rsid w:val="004A4CF8"/>
    <w:rsid w:val="004A5CB0"/>
    <w:rsid w:val="004A6339"/>
    <w:rsid w:val="004A654D"/>
    <w:rsid w:val="004A6703"/>
    <w:rsid w:val="004A69F2"/>
    <w:rsid w:val="004A780D"/>
    <w:rsid w:val="004A7B95"/>
    <w:rsid w:val="004A7ECE"/>
    <w:rsid w:val="004B0958"/>
    <w:rsid w:val="004B0ABF"/>
    <w:rsid w:val="004B0F58"/>
    <w:rsid w:val="004B11C8"/>
    <w:rsid w:val="004B17CF"/>
    <w:rsid w:val="004B17DD"/>
    <w:rsid w:val="004B21B1"/>
    <w:rsid w:val="004B2CF2"/>
    <w:rsid w:val="004B3053"/>
    <w:rsid w:val="004B326A"/>
    <w:rsid w:val="004B3CB0"/>
    <w:rsid w:val="004B3F36"/>
    <w:rsid w:val="004B443E"/>
    <w:rsid w:val="004B494D"/>
    <w:rsid w:val="004B4D41"/>
    <w:rsid w:val="004B551C"/>
    <w:rsid w:val="004B5978"/>
    <w:rsid w:val="004B5CD5"/>
    <w:rsid w:val="004B6478"/>
    <w:rsid w:val="004B6A85"/>
    <w:rsid w:val="004B70D7"/>
    <w:rsid w:val="004B7355"/>
    <w:rsid w:val="004B7812"/>
    <w:rsid w:val="004B7CB6"/>
    <w:rsid w:val="004C0121"/>
    <w:rsid w:val="004C0768"/>
    <w:rsid w:val="004C0A5D"/>
    <w:rsid w:val="004C0BA0"/>
    <w:rsid w:val="004C118F"/>
    <w:rsid w:val="004C14D4"/>
    <w:rsid w:val="004C1617"/>
    <w:rsid w:val="004C1FAD"/>
    <w:rsid w:val="004C21C1"/>
    <w:rsid w:val="004C309C"/>
    <w:rsid w:val="004C3550"/>
    <w:rsid w:val="004C3BDF"/>
    <w:rsid w:val="004C3EAF"/>
    <w:rsid w:val="004C49F2"/>
    <w:rsid w:val="004C4EEC"/>
    <w:rsid w:val="004C5147"/>
    <w:rsid w:val="004C5912"/>
    <w:rsid w:val="004C638F"/>
    <w:rsid w:val="004C6557"/>
    <w:rsid w:val="004C6571"/>
    <w:rsid w:val="004C73BB"/>
    <w:rsid w:val="004C7685"/>
    <w:rsid w:val="004C7BDB"/>
    <w:rsid w:val="004C7DF6"/>
    <w:rsid w:val="004C7E5B"/>
    <w:rsid w:val="004D0064"/>
    <w:rsid w:val="004D0A5A"/>
    <w:rsid w:val="004D121A"/>
    <w:rsid w:val="004D1F8C"/>
    <w:rsid w:val="004D241C"/>
    <w:rsid w:val="004D2B86"/>
    <w:rsid w:val="004D2D51"/>
    <w:rsid w:val="004D2DAF"/>
    <w:rsid w:val="004D2E2B"/>
    <w:rsid w:val="004D3912"/>
    <w:rsid w:val="004D4069"/>
    <w:rsid w:val="004D4155"/>
    <w:rsid w:val="004D41B7"/>
    <w:rsid w:val="004D4466"/>
    <w:rsid w:val="004D47A0"/>
    <w:rsid w:val="004D48D9"/>
    <w:rsid w:val="004D4977"/>
    <w:rsid w:val="004D4BA7"/>
    <w:rsid w:val="004D5C8E"/>
    <w:rsid w:val="004D5F20"/>
    <w:rsid w:val="004D682A"/>
    <w:rsid w:val="004D6DC9"/>
    <w:rsid w:val="004D731F"/>
    <w:rsid w:val="004D7847"/>
    <w:rsid w:val="004D7DCC"/>
    <w:rsid w:val="004D7E68"/>
    <w:rsid w:val="004D7F28"/>
    <w:rsid w:val="004E074C"/>
    <w:rsid w:val="004E08A0"/>
    <w:rsid w:val="004E0B3D"/>
    <w:rsid w:val="004E1151"/>
    <w:rsid w:val="004E1217"/>
    <w:rsid w:val="004E1421"/>
    <w:rsid w:val="004E1CA5"/>
    <w:rsid w:val="004E1D98"/>
    <w:rsid w:val="004E1DA0"/>
    <w:rsid w:val="004E1EF9"/>
    <w:rsid w:val="004E2928"/>
    <w:rsid w:val="004E365E"/>
    <w:rsid w:val="004E37E3"/>
    <w:rsid w:val="004E3A83"/>
    <w:rsid w:val="004E3B33"/>
    <w:rsid w:val="004E3C3D"/>
    <w:rsid w:val="004E3C9D"/>
    <w:rsid w:val="004E3EE3"/>
    <w:rsid w:val="004E40E6"/>
    <w:rsid w:val="004E5573"/>
    <w:rsid w:val="004E559F"/>
    <w:rsid w:val="004E55EE"/>
    <w:rsid w:val="004E6154"/>
    <w:rsid w:val="004E630E"/>
    <w:rsid w:val="004E64B0"/>
    <w:rsid w:val="004E6526"/>
    <w:rsid w:val="004E65FC"/>
    <w:rsid w:val="004E66D9"/>
    <w:rsid w:val="004E67BD"/>
    <w:rsid w:val="004E6910"/>
    <w:rsid w:val="004E70DA"/>
    <w:rsid w:val="004E70E1"/>
    <w:rsid w:val="004E7544"/>
    <w:rsid w:val="004E78D9"/>
    <w:rsid w:val="004F0820"/>
    <w:rsid w:val="004F0A72"/>
    <w:rsid w:val="004F0D4C"/>
    <w:rsid w:val="004F11EE"/>
    <w:rsid w:val="004F1A27"/>
    <w:rsid w:val="004F1F79"/>
    <w:rsid w:val="004F2171"/>
    <w:rsid w:val="004F22B0"/>
    <w:rsid w:val="004F23BB"/>
    <w:rsid w:val="004F29DC"/>
    <w:rsid w:val="004F2B76"/>
    <w:rsid w:val="004F2C7D"/>
    <w:rsid w:val="004F2E88"/>
    <w:rsid w:val="004F3F9E"/>
    <w:rsid w:val="004F4868"/>
    <w:rsid w:val="004F4B13"/>
    <w:rsid w:val="004F52D1"/>
    <w:rsid w:val="004F59C4"/>
    <w:rsid w:val="004F5E40"/>
    <w:rsid w:val="004F61E2"/>
    <w:rsid w:val="004F651C"/>
    <w:rsid w:val="004F6723"/>
    <w:rsid w:val="004F6A1C"/>
    <w:rsid w:val="004F6B11"/>
    <w:rsid w:val="004F7398"/>
    <w:rsid w:val="004F7418"/>
    <w:rsid w:val="004F75C0"/>
    <w:rsid w:val="004F7C37"/>
    <w:rsid w:val="00500112"/>
    <w:rsid w:val="00500266"/>
    <w:rsid w:val="0050039F"/>
    <w:rsid w:val="0050091A"/>
    <w:rsid w:val="00500BDC"/>
    <w:rsid w:val="00500C56"/>
    <w:rsid w:val="00500DF9"/>
    <w:rsid w:val="0050101B"/>
    <w:rsid w:val="00501EB6"/>
    <w:rsid w:val="00502381"/>
    <w:rsid w:val="005027FF"/>
    <w:rsid w:val="00502F31"/>
    <w:rsid w:val="005033DA"/>
    <w:rsid w:val="00503739"/>
    <w:rsid w:val="00503DD5"/>
    <w:rsid w:val="005041B0"/>
    <w:rsid w:val="00504320"/>
    <w:rsid w:val="005044F6"/>
    <w:rsid w:val="0050468E"/>
    <w:rsid w:val="00504DC0"/>
    <w:rsid w:val="00504EC3"/>
    <w:rsid w:val="00504F65"/>
    <w:rsid w:val="005050FA"/>
    <w:rsid w:val="00505DD3"/>
    <w:rsid w:val="00505F8D"/>
    <w:rsid w:val="00506436"/>
    <w:rsid w:val="005068BA"/>
    <w:rsid w:val="00506998"/>
    <w:rsid w:val="005075FC"/>
    <w:rsid w:val="00507C15"/>
    <w:rsid w:val="00510655"/>
    <w:rsid w:val="00510951"/>
    <w:rsid w:val="00510A68"/>
    <w:rsid w:val="00510A70"/>
    <w:rsid w:val="0051130F"/>
    <w:rsid w:val="00511336"/>
    <w:rsid w:val="005114C4"/>
    <w:rsid w:val="0051151C"/>
    <w:rsid w:val="00511983"/>
    <w:rsid w:val="00512011"/>
    <w:rsid w:val="005123E1"/>
    <w:rsid w:val="005124AE"/>
    <w:rsid w:val="00512ABA"/>
    <w:rsid w:val="00513407"/>
    <w:rsid w:val="0051348B"/>
    <w:rsid w:val="005135CD"/>
    <w:rsid w:val="00513A2C"/>
    <w:rsid w:val="00513C34"/>
    <w:rsid w:val="00513D62"/>
    <w:rsid w:val="00514487"/>
    <w:rsid w:val="00514D1B"/>
    <w:rsid w:val="00515079"/>
    <w:rsid w:val="005156DA"/>
    <w:rsid w:val="0051574E"/>
    <w:rsid w:val="00515997"/>
    <w:rsid w:val="00515BEA"/>
    <w:rsid w:val="00515C5F"/>
    <w:rsid w:val="00515ED9"/>
    <w:rsid w:val="005161E9"/>
    <w:rsid w:val="00516246"/>
    <w:rsid w:val="00516886"/>
    <w:rsid w:val="00516ACC"/>
    <w:rsid w:val="0051711E"/>
    <w:rsid w:val="00517182"/>
    <w:rsid w:val="0051738A"/>
    <w:rsid w:val="00517828"/>
    <w:rsid w:val="0051799F"/>
    <w:rsid w:val="00517FBE"/>
    <w:rsid w:val="00520069"/>
    <w:rsid w:val="005202CA"/>
    <w:rsid w:val="005204D6"/>
    <w:rsid w:val="00520659"/>
    <w:rsid w:val="00520693"/>
    <w:rsid w:val="005208DC"/>
    <w:rsid w:val="005211BC"/>
    <w:rsid w:val="00521207"/>
    <w:rsid w:val="0052124D"/>
    <w:rsid w:val="0052205F"/>
    <w:rsid w:val="00522AD5"/>
    <w:rsid w:val="00522C83"/>
    <w:rsid w:val="00522E43"/>
    <w:rsid w:val="0052303F"/>
    <w:rsid w:val="0052332A"/>
    <w:rsid w:val="00523FCE"/>
    <w:rsid w:val="005243CE"/>
    <w:rsid w:val="00524890"/>
    <w:rsid w:val="00524AEE"/>
    <w:rsid w:val="0052534C"/>
    <w:rsid w:val="00525FDD"/>
    <w:rsid w:val="005263FF"/>
    <w:rsid w:val="005264BF"/>
    <w:rsid w:val="005269DB"/>
    <w:rsid w:val="00526A90"/>
    <w:rsid w:val="00526C08"/>
    <w:rsid w:val="00527179"/>
    <w:rsid w:val="0052771F"/>
    <w:rsid w:val="00527A84"/>
    <w:rsid w:val="00527CE8"/>
    <w:rsid w:val="00530409"/>
    <w:rsid w:val="005305AF"/>
    <w:rsid w:val="00530711"/>
    <w:rsid w:val="005308F1"/>
    <w:rsid w:val="00530D37"/>
    <w:rsid w:val="00530F8C"/>
    <w:rsid w:val="005310D9"/>
    <w:rsid w:val="0053173C"/>
    <w:rsid w:val="00531D08"/>
    <w:rsid w:val="00532211"/>
    <w:rsid w:val="00532383"/>
    <w:rsid w:val="00532418"/>
    <w:rsid w:val="00533225"/>
    <w:rsid w:val="0053354F"/>
    <w:rsid w:val="00533978"/>
    <w:rsid w:val="00533C9E"/>
    <w:rsid w:val="00534403"/>
    <w:rsid w:val="0053492C"/>
    <w:rsid w:val="00534A17"/>
    <w:rsid w:val="00534A92"/>
    <w:rsid w:val="00534B2C"/>
    <w:rsid w:val="005356E7"/>
    <w:rsid w:val="00535F50"/>
    <w:rsid w:val="00535F9A"/>
    <w:rsid w:val="005360E4"/>
    <w:rsid w:val="005367CE"/>
    <w:rsid w:val="00536E52"/>
    <w:rsid w:val="0053756A"/>
    <w:rsid w:val="00537F08"/>
    <w:rsid w:val="0054057F"/>
    <w:rsid w:val="005406DD"/>
    <w:rsid w:val="00540AFB"/>
    <w:rsid w:val="00540DC3"/>
    <w:rsid w:val="005412ED"/>
    <w:rsid w:val="005419F9"/>
    <w:rsid w:val="00541C66"/>
    <w:rsid w:val="0054233C"/>
    <w:rsid w:val="00542B35"/>
    <w:rsid w:val="00543CC7"/>
    <w:rsid w:val="00544A7E"/>
    <w:rsid w:val="00544D65"/>
    <w:rsid w:val="005450A6"/>
    <w:rsid w:val="005452BB"/>
    <w:rsid w:val="00545A6F"/>
    <w:rsid w:val="00545C6A"/>
    <w:rsid w:val="00545EFB"/>
    <w:rsid w:val="005468D6"/>
    <w:rsid w:val="00546FE3"/>
    <w:rsid w:val="0054733D"/>
    <w:rsid w:val="00547D5F"/>
    <w:rsid w:val="005506A2"/>
    <w:rsid w:val="0055085B"/>
    <w:rsid w:val="00550A03"/>
    <w:rsid w:val="00550D46"/>
    <w:rsid w:val="00550FF7"/>
    <w:rsid w:val="00551589"/>
    <w:rsid w:val="005516E2"/>
    <w:rsid w:val="0055180E"/>
    <w:rsid w:val="0055188A"/>
    <w:rsid w:val="005526A2"/>
    <w:rsid w:val="00552995"/>
    <w:rsid w:val="00552CE1"/>
    <w:rsid w:val="005538F6"/>
    <w:rsid w:val="0055390D"/>
    <w:rsid w:val="00553D97"/>
    <w:rsid w:val="00553E82"/>
    <w:rsid w:val="00554E97"/>
    <w:rsid w:val="00554FC7"/>
    <w:rsid w:val="005553D0"/>
    <w:rsid w:val="00555BC7"/>
    <w:rsid w:val="00555BF4"/>
    <w:rsid w:val="00555C6A"/>
    <w:rsid w:val="00555D02"/>
    <w:rsid w:val="00556508"/>
    <w:rsid w:val="00557468"/>
    <w:rsid w:val="005579B0"/>
    <w:rsid w:val="0056065E"/>
    <w:rsid w:val="00561042"/>
    <w:rsid w:val="00561093"/>
    <w:rsid w:val="00561268"/>
    <w:rsid w:val="00561B4A"/>
    <w:rsid w:val="00561DA6"/>
    <w:rsid w:val="00562495"/>
    <w:rsid w:val="0056255A"/>
    <w:rsid w:val="00562762"/>
    <w:rsid w:val="005631B2"/>
    <w:rsid w:val="005632BC"/>
    <w:rsid w:val="0056376B"/>
    <w:rsid w:val="00563E9C"/>
    <w:rsid w:val="00564B48"/>
    <w:rsid w:val="00564ECC"/>
    <w:rsid w:val="00565338"/>
    <w:rsid w:val="005660CE"/>
    <w:rsid w:val="0056648F"/>
    <w:rsid w:val="0056649C"/>
    <w:rsid w:val="00566A62"/>
    <w:rsid w:val="00566BAC"/>
    <w:rsid w:val="00566CE2"/>
    <w:rsid w:val="0056721A"/>
    <w:rsid w:val="0056766C"/>
    <w:rsid w:val="00567F7C"/>
    <w:rsid w:val="00567FE9"/>
    <w:rsid w:val="00570913"/>
    <w:rsid w:val="00570995"/>
    <w:rsid w:val="005709D2"/>
    <w:rsid w:val="00570A69"/>
    <w:rsid w:val="00570AC5"/>
    <w:rsid w:val="00570C94"/>
    <w:rsid w:val="00570F4C"/>
    <w:rsid w:val="00571357"/>
    <w:rsid w:val="00571D9A"/>
    <w:rsid w:val="00572540"/>
    <w:rsid w:val="0057255A"/>
    <w:rsid w:val="005734FF"/>
    <w:rsid w:val="00573A77"/>
    <w:rsid w:val="00573CC7"/>
    <w:rsid w:val="005744A6"/>
    <w:rsid w:val="00574811"/>
    <w:rsid w:val="00574FAB"/>
    <w:rsid w:val="005750CA"/>
    <w:rsid w:val="00575C99"/>
    <w:rsid w:val="00576183"/>
    <w:rsid w:val="005762D7"/>
    <w:rsid w:val="00576ADC"/>
    <w:rsid w:val="00576B4E"/>
    <w:rsid w:val="00576D21"/>
    <w:rsid w:val="00576EC5"/>
    <w:rsid w:val="005775B7"/>
    <w:rsid w:val="00577743"/>
    <w:rsid w:val="0058007A"/>
    <w:rsid w:val="00580EFC"/>
    <w:rsid w:val="00580F09"/>
    <w:rsid w:val="00581773"/>
    <w:rsid w:val="00581798"/>
    <w:rsid w:val="00581A8B"/>
    <w:rsid w:val="00581BFC"/>
    <w:rsid w:val="00581E81"/>
    <w:rsid w:val="0058201A"/>
    <w:rsid w:val="0058226F"/>
    <w:rsid w:val="0058257A"/>
    <w:rsid w:val="00582AE2"/>
    <w:rsid w:val="00582E9A"/>
    <w:rsid w:val="00583153"/>
    <w:rsid w:val="00583435"/>
    <w:rsid w:val="00583A6E"/>
    <w:rsid w:val="00583DBB"/>
    <w:rsid w:val="005842A0"/>
    <w:rsid w:val="005842C5"/>
    <w:rsid w:val="0058433C"/>
    <w:rsid w:val="00584470"/>
    <w:rsid w:val="005844CB"/>
    <w:rsid w:val="0058472C"/>
    <w:rsid w:val="0058498E"/>
    <w:rsid w:val="0058500D"/>
    <w:rsid w:val="0058500E"/>
    <w:rsid w:val="00585856"/>
    <w:rsid w:val="00586B7E"/>
    <w:rsid w:val="00587073"/>
    <w:rsid w:val="00587391"/>
    <w:rsid w:val="005873DB"/>
    <w:rsid w:val="00590084"/>
    <w:rsid w:val="005905C7"/>
    <w:rsid w:val="005905CB"/>
    <w:rsid w:val="00590887"/>
    <w:rsid w:val="00591095"/>
    <w:rsid w:val="005916FE"/>
    <w:rsid w:val="0059270B"/>
    <w:rsid w:val="0059287F"/>
    <w:rsid w:val="00592B75"/>
    <w:rsid w:val="005935ED"/>
    <w:rsid w:val="005938A4"/>
    <w:rsid w:val="00593969"/>
    <w:rsid w:val="00594174"/>
    <w:rsid w:val="0059419E"/>
    <w:rsid w:val="0059422C"/>
    <w:rsid w:val="00594471"/>
    <w:rsid w:val="005953E9"/>
    <w:rsid w:val="00595AF1"/>
    <w:rsid w:val="00595B1E"/>
    <w:rsid w:val="00595EA5"/>
    <w:rsid w:val="005962BC"/>
    <w:rsid w:val="005962FA"/>
    <w:rsid w:val="00596A0B"/>
    <w:rsid w:val="0059790B"/>
    <w:rsid w:val="00597D17"/>
    <w:rsid w:val="00597E07"/>
    <w:rsid w:val="005A01FA"/>
    <w:rsid w:val="005A023C"/>
    <w:rsid w:val="005A05F6"/>
    <w:rsid w:val="005A0813"/>
    <w:rsid w:val="005A0E98"/>
    <w:rsid w:val="005A151C"/>
    <w:rsid w:val="005A26FE"/>
    <w:rsid w:val="005A2954"/>
    <w:rsid w:val="005A29E1"/>
    <w:rsid w:val="005A2F25"/>
    <w:rsid w:val="005A3178"/>
    <w:rsid w:val="005A319E"/>
    <w:rsid w:val="005A4299"/>
    <w:rsid w:val="005A452C"/>
    <w:rsid w:val="005A4A6B"/>
    <w:rsid w:val="005A539B"/>
    <w:rsid w:val="005A5B4A"/>
    <w:rsid w:val="005A61BB"/>
    <w:rsid w:val="005A61E8"/>
    <w:rsid w:val="005A6501"/>
    <w:rsid w:val="005A6F88"/>
    <w:rsid w:val="005A71A5"/>
    <w:rsid w:val="005A7C63"/>
    <w:rsid w:val="005A7C65"/>
    <w:rsid w:val="005A7D91"/>
    <w:rsid w:val="005B0564"/>
    <w:rsid w:val="005B0640"/>
    <w:rsid w:val="005B0867"/>
    <w:rsid w:val="005B0959"/>
    <w:rsid w:val="005B0B2B"/>
    <w:rsid w:val="005B100B"/>
    <w:rsid w:val="005B1434"/>
    <w:rsid w:val="005B1677"/>
    <w:rsid w:val="005B18A0"/>
    <w:rsid w:val="005B1C00"/>
    <w:rsid w:val="005B1D4D"/>
    <w:rsid w:val="005B1FD7"/>
    <w:rsid w:val="005B1FDD"/>
    <w:rsid w:val="005B29E8"/>
    <w:rsid w:val="005B2ED0"/>
    <w:rsid w:val="005B30AB"/>
    <w:rsid w:val="005B33FE"/>
    <w:rsid w:val="005B36DB"/>
    <w:rsid w:val="005B3738"/>
    <w:rsid w:val="005B3BC9"/>
    <w:rsid w:val="005B3E03"/>
    <w:rsid w:val="005B4889"/>
    <w:rsid w:val="005B4E8A"/>
    <w:rsid w:val="005B4F51"/>
    <w:rsid w:val="005B54E8"/>
    <w:rsid w:val="005B56E0"/>
    <w:rsid w:val="005B5714"/>
    <w:rsid w:val="005B5750"/>
    <w:rsid w:val="005B58A2"/>
    <w:rsid w:val="005B5A3B"/>
    <w:rsid w:val="005B5AC6"/>
    <w:rsid w:val="005B5F9F"/>
    <w:rsid w:val="005B6081"/>
    <w:rsid w:val="005B6187"/>
    <w:rsid w:val="005B66B7"/>
    <w:rsid w:val="005B6D5C"/>
    <w:rsid w:val="005B73A2"/>
    <w:rsid w:val="005B75F6"/>
    <w:rsid w:val="005C01DB"/>
    <w:rsid w:val="005C074C"/>
    <w:rsid w:val="005C0D6A"/>
    <w:rsid w:val="005C152D"/>
    <w:rsid w:val="005C1923"/>
    <w:rsid w:val="005C2351"/>
    <w:rsid w:val="005C2DCB"/>
    <w:rsid w:val="005C305B"/>
    <w:rsid w:val="005C3516"/>
    <w:rsid w:val="005C3646"/>
    <w:rsid w:val="005C3C34"/>
    <w:rsid w:val="005C3F53"/>
    <w:rsid w:val="005C4B18"/>
    <w:rsid w:val="005C4B46"/>
    <w:rsid w:val="005C4D3A"/>
    <w:rsid w:val="005C5BB1"/>
    <w:rsid w:val="005C63C1"/>
    <w:rsid w:val="005C738A"/>
    <w:rsid w:val="005C77DA"/>
    <w:rsid w:val="005C7B00"/>
    <w:rsid w:val="005D0048"/>
    <w:rsid w:val="005D0366"/>
    <w:rsid w:val="005D09F4"/>
    <w:rsid w:val="005D0A17"/>
    <w:rsid w:val="005D0CC0"/>
    <w:rsid w:val="005D0DD6"/>
    <w:rsid w:val="005D13D2"/>
    <w:rsid w:val="005D1D35"/>
    <w:rsid w:val="005D2195"/>
    <w:rsid w:val="005D2326"/>
    <w:rsid w:val="005D268A"/>
    <w:rsid w:val="005D26DD"/>
    <w:rsid w:val="005D296F"/>
    <w:rsid w:val="005D2DD3"/>
    <w:rsid w:val="005D38D4"/>
    <w:rsid w:val="005D39BE"/>
    <w:rsid w:val="005D39F0"/>
    <w:rsid w:val="005D40BB"/>
    <w:rsid w:val="005D40FC"/>
    <w:rsid w:val="005D4246"/>
    <w:rsid w:val="005D43B1"/>
    <w:rsid w:val="005D5425"/>
    <w:rsid w:val="005D6272"/>
    <w:rsid w:val="005D6566"/>
    <w:rsid w:val="005D6B85"/>
    <w:rsid w:val="005D6BB0"/>
    <w:rsid w:val="005D6FD8"/>
    <w:rsid w:val="005D724A"/>
    <w:rsid w:val="005E00FD"/>
    <w:rsid w:val="005E0237"/>
    <w:rsid w:val="005E0248"/>
    <w:rsid w:val="005E0A4F"/>
    <w:rsid w:val="005E0F66"/>
    <w:rsid w:val="005E14D5"/>
    <w:rsid w:val="005E201D"/>
    <w:rsid w:val="005E2692"/>
    <w:rsid w:val="005E3259"/>
    <w:rsid w:val="005E32C3"/>
    <w:rsid w:val="005E3361"/>
    <w:rsid w:val="005E3575"/>
    <w:rsid w:val="005E390A"/>
    <w:rsid w:val="005E3B4F"/>
    <w:rsid w:val="005E3EFD"/>
    <w:rsid w:val="005E40DC"/>
    <w:rsid w:val="005E43EC"/>
    <w:rsid w:val="005E49F1"/>
    <w:rsid w:val="005E4F9C"/>
    <w:rsid w:val="005E504F"/>
    <w:rsid w:val="005E52A0"/>
    <w:rsid w:val="005E5363"/>
    <w:rsid w:val="005E581E"/>
    <w:rsid w:val="005E6C64"/>
    <w:rsid w:val="005E720E"/>
    <w:rsid w:val="005E7272"/>
    <w:rsid w:val="005E76D8"/>
    <w:rsid w:val="005E794C"/>
    <w:rsid w:val="005F0275"/>
    <w:rsid w:val="005F0B14"/>
    <w:rsid w:val="005F12C5"/>
    <w:rsid w:val="005F1592"/>
    <w:rsid w:val="005F17C9"/>
    <w:rsid w:val="005F1877"/>
    <w:rsid w:val="005F1D5F"/>
    <w:rsid w:val="005F20F7"/>
    <w:rsid w:val="005F2168"/>
    <w:rsid w:val="005F24B4"/>
    <w:rsid w:val="005F2DEB"/>
    <w:rsid w:val="005F3336"/>
    <w:rsid w:val="005F361C"/>
    <w:rsid w:val="005F3EFE"/>
    <w:rsid w:val="005F40E7"/>
    <w:rsid w:val="005F45E8"/>
    <w:rsid w:val="005F48DC"/>
    <w:rsid w:val="005F49F1"/>
    <w:rsid w:val="005F547F"/>
    <w:rsid w:val="005F5662"/>
    <w:rsid w:val="005F5E71"/>
    <w:rsid w:val="005F5F46"/>
    <w:rsid w:val="005F60A7"/>
    <w:rsid w:val="005F6DB0"/>
    <w:rsid w:val="005F704B"/>
    <w:rsid w:val="005F735A"/>
    <w:rsid w:val="005F765B"/>
    <w:rsid w:val="005F7D0F"/>
    <w:rsid w:val="005F7D4D"/>
    <w:rsid w:val="006000BC"/>
    <w:rsid w:val="0060019D"/>
    <w:rsid w:val="006001BA"/>
    <w:rsid w:val="006004F1"/>
    <w:rsid w:val="006005DA"/>
    <w:rsid w:val="0060087E"/>
    <w:rsid w:val="00600907"/>
    <w:rsid w:val="00600CA1"/>
    <w:rsid w:val="00600D0A"/>
    <w:rsid w:val="00601A59"/>
    <w:rsid w:val="00601F8D"/>
    <w:rsid w:val="006024D9"/>
    <w:rsid w:val="00602848"/>
    <w:rsid w:val="00602C32"/>
    <w:rsid w:val="00602D95"/>
    <w:rsid w:val="0060325F"/>
    <w:rsid w:val="006033EF"/>
    <w:rsid w:val="00603A71"/>
    <w:rsid w:val="00603C13"/>
    <w:rsid w:val="006045C2"/>
    <w:rsid w:val="006050F6"/>
    <w:rsid w:val="006061C5"/>
    <w:rsid w:val="006064E8"/>
    <w:rsid w:val="00606631"/>
    <w:rsid w:val="00606B96"/>
    <w:rsid w:val="00606D28"/>
    <w:rsid w:val="00606DB2"/>
    <w:rsid w:val="00606F21"/>
    <w:rsid w:val="0060706D"/>
    <w:rsid w:val="006071E2"/>
    <w:rsid w:val="0060771C"/>
    <w:rsid w:val="006079E3"/>
    <w:rsid w:val="00607AD0"/>
    <w:rsid w:val="00607F35"/>
    <w:rsid w:val="0061005B"/>
    <w:rsid w:val="006103E4"/>
    <w:rsid w:val="006107C9"/>
    <w:rsid w:val="00611452"/>
    <w:rsid w:val="006119E4"/>
    <w:rsid w:val="00612783"/>
    <w:rsid w:val="0061314D"/>
    <w:rsid w:val="006133EF"/>
    <w:rsid w:val="00613C7E"/>
    <w:rsid w:val="00614085"/>
    <w:rsid w:val="0061579D"/>
    <w:rsid w:val="0061615F"/>
    <w:rsid w:val="006167F7"/>
    <w:rsid w:val="00616B0E"/>
    <w:rsid w:val="00616C80"/>
    <w:rsid w:val="00617579"/>
    <w:rsid w:val="00617688"/>
    <w:rsid w:val="00617A31"/>
    <w:rsid w:val="0062008C"/>
    <w:rsid w:val="00620148"/>
    <w:rsid w:val="006202A0"/>
    <w:rsid w:val="0062054C"/>
    <w:rsid w:val="0062094B"/>
    <w:rsid w:val="006210AB"/>
    <w:rsid w:val="00621610"/>
    <w:rsid w:val="006216B6"/>
    <w:rsid w:val="0062181B"/>
    <w:rsid w:val="00621840"/>
    <w:rsid w:val="00621A9B"/>
    <w:rsid w:val="00621CC2"/>
    <w:rsid w:val="00622206"/>
    <w:rsid w:val="00622221"/>
    <w:rsid w:val="00622B18"/>
    <w:rsid w:val="00622D61"/>
    <w:rsid w:val="00622E94"/>
    <w:rsid w:val="00623227"/>
    <w:rsid w:val="00623240"/>
    <w:rsid w:val="00623338"/>
    <w:rsid w:val="0062347E"/>
    <w:rsid w:val="0062358C"/>
    <w:rsid w:val="006237FB"/>
    <w:rsid w:val="00623953"/>
    <w:rsid w:val="00623CEA"/>
    <w:rsid w:val="00623EF0"/>
    <w:rsid w:val="00624839"/>
    <w:rsid w:val="00624F2B"/>
    <w:rsid w:val="0062510B"/>
    <w:rsid w:val="00625510"/>
    <w:rsid w:val="0062558C"/>
    <w:rsid w:val="006263C0"/>
    <w:rsid w:val="00626444"/>
    <w:rsid w:val="00626623"/>
    <w:rsid w:val="00626810"/>
    <w:rsid w:val="00626845"/>
    <w:rsid w:val="0062701E"/>
    <w:rsid w:val="00627236"/>
    <w:rsid w:val="0062759E"/>
    <w:rsid w:val="006276CB"/>
    <w:rsid w:val="0062783F"/>
    <w:rsid w:val="00627A02"/>
    <w:rsid w:val="00627EB8"/>
    <w:rsid w:val="00627FB1"/>
    <w:rsid w:val="0063066C"/>
    <w:rsid w:val="00630AB1"/>
    <w:rsid w:val="00630C17"/>
    <w:rsid w:val="0063178E"/>
    <w:rsid w:val="006318F0"/>
    <w:rsid w:val="0063228A"/>
    <w:rsid w:val="00632B5E"/>
    <w:rsid w:val="00632CEA"/>
    <w:rsid w:val="00633281"/>
    <w:rsid w:val="00633295"/>
    <w:rsid w:val="00633B41"/>
    <w:rsid w:val="006353D7"/>
    <w:rsid w:val="0063543F"/>
    <w:rsid w:val="00635621"/>
    <w:rsid w:val="006358D3"/>
    <w:rsid w:val="00635AB4"/>
    <w:rsid w:val="00636938"/>
    <w:rsid w:val="00636E05"/>
    <w:rsid w:val="00636F55"/>
    <w:rsid w:val="00637077"/>
    <w:rsid w:val="006377CF"/>
    <w:rsid w:val="006402A9"/>
    <w:rsid w:val="00640636"/>
    <w:rsid w:val="0064155A"/>
    <w:rsid w:val="00641813"/>
    <w:rsid w:val="00641BF0"/>
    <w:rsid w:val="00641C11"/>
    <w:rsid w:val="0064241F"/>
    <w:rsid w:val="00642564"/>
    <w:rsid w:val="00642740"/>
    <w:rsid w:val="00642A87"/>
    <w:rsid w:val="00642B0A"/>
    <w:rsid w:val="00642CA8"/>
    <w:rsid w:val="00642ED0"/>
    <w:rsid w:val="006432DD"/>
    <w:rsid w:val="00643C09"/>
    <w:rsid w:val="00643FA4"/>
    <w:rsid w:val="006443AC"/>
    <w:rsid w:val="00644558"/>
    <w:rsid w:val="00644919"/>
    <w:rsid w:val="00644BB9"/>
    <w:rsid w:val="00644BCA"/>
    <w:rsid w:val="00644C67"/>
    <w:rsid w:val="00645331"/>
    <w:rsid w:val="006458C1"/>
    <w:rsid w:val="00645F21"/>
    <w:rsid w:val="006464A4"/>
    <w:rsid w:val="006464DE"/>
    <w:rsid w:val="00646C61"/>
    <w:rsid w:val="006471DD"/>
    <w:rsid w:val="00647200"/>
    <w:rsid w:val="006472ED"/>
    <w:rsid w:val="0064743C"/>
    <w:rsid w:val="00647A63"/>
    <w:rsid w:val="00647DDA"/>
    <w:rsid w:val="00647E4B"/>
    <w:rsid w:val="00650555"/>
    <w:rsid w:val="00650679"/>
    <w:rsid w:val="00650742"/>
    <w:rsid w:val="00650D97"/>
    <w:rsid w:val="00651744"/>
    <w:rsid w:val="00651B89"/>
    <w:rsid w:val="00651F6E"/>
    <w:rsid w:val="00651F89"/>
    <w:rsid w:val="00652E76"/>
    <w:rsid w:val="00652EE5"/>
    <w:rsid w:val="00653169"/>
    <w:rsid w:val="00653705"/>
    <w:rsid w:val="0065373E"/>
    <w:rsid w:val="00653B28"/>
    <w:rsid w:val="00653E76"/>
    <w:rsid w:val="00654036"/>
    <w:rsid w:val="00654491"/>
    <w:rsid w:val="00654CEB"/>
    <w:rsid w:val="00654D26"/>
    <w:rsid w:val="00655220"/>
    <w:rsid w:val="006554D4"/>
    <w:rsid w:val="00655DD7"/>
    <w:rsid w:val="006561D0"/>
    <w:rsid w:val="00656230"/>
    <w:rsid w:val="00656C1B"/>
    <w:rsid w:val="00656C82"/>
    <w:rsid w:val="0065788A"/>
    <w:rsid w:val="0066019C"/>
    <w:rsid w:val="00660688"/>
    <w:rsid w:val="0066113E"/>
    <w:rsid w:val="00662364"/>
    <w:rsid w:val="006626A9"/>
    <w:rsid w:val="006626F0"/>
    <w:rsid w:val="00662B1E"/>
    <w:rsid w:val="00662CEE"/>
    <w:rsid w:val="00663AEF"/>
    <w:rsid w:val="00663F00"/>
    <w:rsid w:val="0066472C"/>
    <w:rsid w:val="00664E84"/>
    <w:rsid w:val="006652C8"/>
    <w:rsid w:val="00665524"/>
    <w:rsid w:val="00665F91"/>
    <w:rsid w:val="0066626F"/>
    <w:rsid w:val="006669D3"/>
    <w:rsid w:val="00666D2C"/>
    <w:rsid w:val="006671FD"/>
    <w:rsid w:val="00667328"/>
    <w:rsid w:val="006673BE"/>
    <w:rsid w:val="00667AC1"/>
    <w:rsid w:val="00667C01"/>
    <w:rsid w:val="0067024A"/>
    <w:rsid w:val="00670A29"/>
    <w:rsid w:val="00670BB2"/>
    <w:rsid w:val="00670DF4"/>
    <w:rsid w:val="00671395"/>
    <w:rsid w:val="00671422"/>
    <w:rsid w:val="0067164F"/>
    <w:rsid w:val="006720BA"/>
    <w:rsid w:val="0067286F"/>
    <w:rsid w:val="00672E2F"/>
    <w:rsid w:val="00672EF3"/>
    <w:rsid w:val="00673233"/>
    <w:rsid w:val="00673562"/>
    <w:rsid w:val="006737FF"/>
    <w:rsid w:val="00673A4A"/>
    <w:rsid w:val="00673ECE"/>
    <w:rsid w:val="006741F1"/>
    <w:rsid w:val="0067426B"/>
    <w:rsid w:val="00675558"/>
    <w:rsid w:val="0067564E"/>
    <w:rsid w:val="00675737"/>
    <w:rsid w:val="00675997"/>
    <w:rsid w:val="00675A58"/>
    <w:rsid w:val="00675AFE"/>
    <w:rsid w:val="00676190"/>
    <w:rsid w:val="006764C2"/>
    <w:rsid w:val="0067677C"/>
    <w:rsid w:val="00676BA4"/>
    <w:rsid w:val="00677135"/>
    <w:rsid w:val="00677AE9"/>
    <w:rsid w:val="00677F2B"/>
    <w:rsid w:val="00677FBD"/>
    <w:rsid w:val="006800AA"/>
    <w:rsid w:val="006804C7"/>
    <w:rsid w:val="00680B7F"/>
    <w:rsid w:val="0068107D"/>
    <w:rsid w:val="00681131"/>
    <w:rsid w:val="006815DF"/>
    <w:rsid w:val="00681D14"/>
    <w:rsid w:val="00682331"/>
    <w:rsid w:val="0068274D"/>
    <w:rsid w:val="00682A0B"/>
    <w:rsid w:val="00683011"/>
    <w:rsid w:val="006830A3"/>
    <w:rsid w:val="0068328B"/>
    <w:rsid w:val="006832D5"/>
    <w:rsid w:val="006834E3"/>
    <w:rsid w:val="00683B5B"/>
    <w:rsid w:val="00683DFD"/>
    <w:rsid w:val="0068404A"/>
    <w:rsid w:val="00684464"/>
    <w:rsid w:val="00684514"/>
    <w:rsid w:val="006852E9"/>
    <w:rsid w:val="00685400"/>
    <w:rsid w:val="00685436"/>
    <w:rsid w:val="006857F9"/>
    <w:rsid w:val="006862FC"/>
    <w:rsid w:val="0068651A"/>
    <w:rsid w:val="00687740"/>
    <w:rsid w:val="006906C6"/>
    <w:rsid w:val="00690DA6"/>
    <w:rsid w:val="00691176"/>
    <w:rsid w:val="0069166B"/>
    <w:rsid w:val="00691A06"/>
    <w:rsid w:val="006922A9"/>
    <w:rsid w:val="006927C3"/>
    <w:rsid w:val="00692936"/>
    <w:rsid w:val="006929C0"/>
    <w:rsid w:val="00692B46"/>
    <w:rsid w:val="0069327A"/>
    <w:rsid w:val="0069349F"/>
    <w:rsid w:val="0069377F"/>
    <w:rsid w:val="006937C4"/>
    <w:rsid w:val="00693CBE"/>
    <w:rsid w:val="00693D71"/>
    <w:rsid w:val="006940E0"/>
    <w:rsid w:val="00694855"/>
    <w:rsid w:val="006949CC"/>
    <w:rsid w:val="00694BA0"/>
    <w:rsid w:val="00694BFE"/>
    <w:rsid w:val="00694E97"/>
    <w:rsid w:val="006958BA"/>
    <w:rsid w:val="00695950"/>
    <w:rsid w:val="00695C00"/>
    <w:rsid w:val="00695CE2"/>
    <w:rsid w:val="00695DD7"/>
    <w:rsid w:val="0069604D"/>
    <w:rsid w:val="006960D4"/>
    <w:rsid w:val="00696E86"/>
    <w:rsid w:val="0069723B"/>
    <w:rsid w:val="00697B0B"/>
    <w:rsid w:val="00697DF3"/>
    <w:rsid w:val="00697E5D"/>
    <w:rsid w:val="006A0099"/>
    <w:rsid w:val="006A063C"/>
    <w:rsid w:val="006A0664"/>
    <w:rsid w:val="006A0C9E"/>
    <w:rsid w:val="006A1198"/>
    <w:rsid w:val="006A1577"/>
    <w:rsid w:val="006A16B6"/>
    <w:rsid w:val="006A1A46"/>
    <w:rsid w:val="006A1BCF"/>
    <w:rsid w:val="006A2E89"/>
    <w:rsid w:val="006A33BA"/>
    <w:rsid w:val="006A35A0"/>
    <w:rsid w:val="006A3800"/>
    <w:rsid w:val="006A39FD"/>
    <w:rsid w:val="006A3C94"/>
    <w:rsid w:val="006A4765"/>
    <w:rsid w:val="006A4956"/>
    <w:rsid w:val="006A4C50"/>
    <w:rsid w:val="006A4D7B"/>
    <w:rsid w:val="006A4E6F"/>
    <w:rsid w:val="006A5000"/>
    <w:rsid w:val="006A5239"/>
    <w:rsid w:val="006A5A0D"/>
    <w:rsid w:val="006A5D2E"/>
    <w:rsid w:val="006A6605"/>
    <w:rsid w:val="006A6FF0"/>
    <w:rsid w:val="006A75D5"/>
    <w:rsid w:val="006A7647"/>
    <w:rsid w:val="006A773F"/>
    <w:rsid w:val="006A776E"/>
    <w:rsid w:val="006A78B3"/>
    <w:rsid w:val="006A7BBE"/>
    <w:rsid w:val="006B03E1"/>
    <w:rsid w:val="006B049B"/>
    <w:rsid w:val="006B056F"/>
    <w:rsid w:val="006B0819"/>
    <w:rsid w:val="006B0915"/>
    <w:rsid w:val="006B09B7"/>
    <w:rsid w:val="006B0CF3"/>
    <w:rsid w:val="006B160F"/>
    <w:rsid w:val="006B1B39"/>
    <w:rsid w:val="006B256A"/>
    <w:rsid w:val="006B2687"/>
    <w:rsid w:val="006B2FD9"/>
    <w:rsid w:val="006B3064"/>
    <w:rsid w:val="006B3957"/>
    <w:rsid w:val="006B3D26"/>
    <w:rsid w:val="006B433A"/>
    <w:rsid w:val="006B4B16"/>
    <w:rsid w:val="006B4DF9"/>
    <w:rsid w:val="006B5044"/>
    <w:rsid w:val="006B5E0F"/>
    <w:rsid w:val="006B5F06"/>
    <w:rsid w:val="006B61AE"/>
    <w:rsid w:val="006B6335"/>
    <w:rsid w:val="006B640C"/>
    <w:rsid w:val="006B692D"/>
    <w:rsid w:val="006B727A"/>
    <w:rsid w:val="006B7760"/>
    <w:rsid w:val="006B78FB"/>
    <w:rsid w:val="006B7EF5"/>
    <w:rsid w:val="006C09BF"/>
    <w:rsid w:val="006C0E5B"/>
    <w:rsid w:val="006C0F84"/>
    <w:rsid w:val="006C1BDC"/>
    <w:rsid w:val="006C21EF"/>
    <w:rsid w:val="006C263A"/>
    <w:rsid w:val="006C2904"/>
    <w:rsid w:val="006C2CA1"/>
    <w:rsid w:val="006C2DCC"/>
    <w:rsid w:val="006C3090"/>
    <w:rsid w:val="006C367B"/>
    <w:rsid w:val="006C3E1C"/>
    <w:rsid w:val="006C4008"/>
    <w:rsid w:val="006C4148"/>
    <w:rsid w:val="006C435E"/>
    <w:rsid w:val="006C4461"/>
    <w:rsid w:val="006C453A"/>
    <w:rsid w:val="006C47EB"/>
    <w:rsid w:val="006C48FD"/>
    <w:rsid w:val="006C4CC9"/>
    <w:rsid w:val="006C524A"/>
    <w:rsid w:val="006C5345"/>
    <w:rsid w:val="006C5402"/>
    <w:rsid w:val="006C5E84"/>
    <w:rsid w:val="006C6047"/>
    <w:rsid w:val="006C60D7"/>
    <w:rsid w:val="006C6113"/>
    <w:rsid w:val="006C6180"/>
    <w:rsid w:val="006C64EC"/>
    <w:rsid w:val="006C6E33"/>
    <w:rsid w:val="006C790D"/>
    <w:rsid w:val="006C7B98"/>
    <w:rsid w:val="006C7E05"/>
    <w:rsid w:val="006C7E30"/>
    <w:rsid w:val="006C7E51"/>
    <w:rsid w:val="006D017A"/>
    <w:rsid w:val="006D0697"/>
    <w:rsid w:val="006D0DE0"/>
    <w:rsid w:val="006D0DF9"/>
    <w:rsid w:val="006D0E0D"/>
    <w:rsid w:val="006D108F"/>
    <w:rsid w:val="006D1360"/>
    <w:rsid w:val="006D16D6"/>
    <w:rsid w:val="006D184F"/>
    <w:rsid w:val="006D2016"/>
    <w:rsid w:val="006D2AFA"/>
    <w:rsid w:val="006D2DFF"/>
    <w:rsid w:val="006D3C1D"/>
    <w:rsid w:val="006D3F22"/>
    <w:rsid w:val="006D4D91"/>
    <w:rsid w:val="006D4F4C"/>
    <w:rsid w:val="006D51E8"/>
    <w:rsid w:val="006D5D1A"/>
    <w:rsid w:val="006D5D33"/>
    <w:rsid w:val="006D6233"/>
    <w:rsid w:val="006D6960"/>
    <w:rsid w:val="006D7588"/>
    <w:rsid w:val="006D762C"/>
    <w:rsid w:val="006D771E"/>
    <w:rsid w:val="006E024E"/>
    <w:rsid w:val="006E09B8"/>
    <w:rsid w:val="006E2101"/>
    <w:rsid w:val="006E2244"/>
    <w:rsid w:val="006E224C"/>
    <w:rsid w:val="006E25A4"/>
    <w:rsid w:val="006E2690"/>
    <w:rsid w:val="006E2B18"/>
    <w:rsid w:val="006E2B55"/>
    <w:rsid w:val="006E302F"/>
    <w:rsid w:val="006E30D9"/>
    <w:rsid w:val="006E31E0"/>
    <w:rsid w:val="006E3470"/>
    <w:rsid w:val="006E4C69"/>
    <w:rsid w:val="006E5051"/>
    <w:rsid w:val="006E61C6"/>
    <w:rsid w:val="006E72A6"/>
    <w:rsid w:val="006E740C"/>
    <w:rsid w:val="006E7761"/>
    <w:rsid w:val="006E7B7A"/>
    <w:rsid w:val="006F018B"/>
    <w:rsid w:val="006F01FE"/>
    <w:rsid w:val="006F0339"/>
    <w:rsid w:val="006F04B3"/>
    <w:rsid w:val="006F062B"/>
    <w:rsid w:val="006F139C"/>
    <w:rsid w:val="006F13A8"/>
    <w:rsid w:val="006F1593"/>
    <w:rsid w:val="006F19A9"/>
    <w:rsid w:val="006F1E7B"/>
    <w:rsid w:val="006F228C"/>
    <w:rsid w:val="006F22D1"/>
    <w:rsid w:val="006F24CA"/>
    <w:rsid w:val="006F251E"/>
    <w:rsid w:val="006F2616"/>
    <w:rsid w:val="006F288D"/>
    <w:rsid w:val="006F2CEB"/>
    <w:rsid w:val="006F319D"/>
    <w:rsid w:val="006F337B"/>
    <w:rsid w:val="006F4626"/>
    <w:rsid w:val="006F51BE"/>
    <w:rsid w:val="006F5330"/>
    <w:rsid w:val="006F5A21"/>
    <w:rsid w:val="006F631A"/>
    <w:rsid w:val="006F657D"/>
    <w:rsid w:val="006F6840"/>
    <w:rsid w:val="006F7011"/>
    <w:rsid w:val="006F7710"/>
    <w:rsid w:val="006F7E14"/>
    <w:rsid w:val="00700196"/>
    <w:rsid w:val="007002AB"/>
    <w:rsid w:val="00701AFC"/>
    <w:rsid w:val="00701E46"/>
    <w:rsid w:val="00701FF0"/>
    <w:rsid w:val="0070229C"/>
    <w:rsid w:val="00702C57"/>
    <w:rsid w:val="00702D95"/>
    <w:rsid w:val="00702E9B"/>
    <w:rsid w:val="00703A58"/>
    <w:rsid w:val="00703AAD"/>
    <w:rsid w:val="00703B94"/>
    <w:rsid w:val="00703EC4"/>
    <w:rsid w:val="0070425D"/>
    <w:rsid w:val="00704301"/>
    <w:rsid w:val="007054DA"/>
    <w:rsid w:val="0070577D"/>
    <w:rsid w:val="00705840"/>
    <w:rsid w:val="00706504"/>
    <w:rsid w:val="00707103"/>
    <w:rsid w:val="00707591"/>
    <w:rsid w:val="007075A5"/>
    <w:rsid w:val="007076B6"/>
    <w:rsid w:val="007076C4"/>
    <w:rsid w:val="00707AA2"/>
    <w:rsid w:val="00707FD0"/>
    <w:rsid w:val="00710638"/>
    <w:rsid w:val="00710F1C"/>
    <w:rsid w:val="00711007"/>
    <w:rsid w:val="007110C6"/>
    <w:rsid w:val="007110D1"/>
    <w:rsid w:val="0071173E"/>
    <w:rsid w:val="007119DD"/>
    <w:rsid w:val="0071206C"/>
    <w:rsid w:val="00712265"/>
    <w:rsid w:val="00712354"/>
    <w:rsid w:val="007125BC"/>
    <w:rsid w:val="007127A5"/>
    <w:rsid w:val="007128AB"/>
    <w:rsid w:val="00712E64"/>
    <w:rsid w:val="00713060"/>
    <w:rsid w:val="00713150"/>
    <w:rsid w:val="00714102"/>
    <w:rsid w:val="00714323"/>
    <w:rsid w:val="00714812"/>
    <w:rsid w:val="00714B55"/>
    <w:rsid w:val="00714F59"/>
    <w:rsid w:val="00714FD3"/>
    <w:rsid w:val="0071575B"/>
    <w:rsid w:val="00715C1F"/>
    <w:rsid w:val="0071689A"/>
    <w:rsid w:val="00716D84"/>
    <w:rsid w:val="007173FE"/>
    <w:rsid w:val="007178CA"/>
    <w:rsid w:val="00717D10"/>
    <w:rsid w:val="00720534"/>
    <w:rsid w:val="00720A06"/>
    <w:rsid w:val="00720BCE"/>
    <w:rsid w:val="007213EF"/>
    <w:rsid w:val="007215AC"/>
    <w:rsid w:val="007219F1"/>
    <w:rsid w:val="00721C4A"/>
    <w:rsid w:val="0072211A"/>
    <w:rsid w:val="007224CC"/>
    <w:rsid w:val="00722701"/>
    <w:rsid w:val="0072276E"/>
    <w:rsid w:val="007229AD"/>
    <w:rsid w:val="007229EA"/>
    <w:rsid w:val="00722A35"/>
    <w:rsid w:val="00722C3A"/>
    <w:rsid w:val="00723114"/>
    <w:rsid w:val="007236E7"/>
    <w:rsid w:val="00723D8A"/>
    <w:rsid w:val="0072463B"/>
    <w:rsid w:val="00724679"/>
    <w:rsid w:val="007247D7"/>
    <w:rsid w:val="00724DE9"/>
    <w:rsid w:val="00725055"/>
    <w:rsid w:val="00725119"/>
    <w:rsid w:val="00725B5A"/>
    <w:rsid w:val="0072755D"/>
    <w:rsid w:val="00727697"/>
    <w:rsid w:val="007276CE"/>
    <w:rsid w:val="0072774B"/>
    <w:rsid w:val="00730034"/>
    <w:rsid w:val="00730197"/>
    <w:rsid w:val="00730485"/>
    <w:rsid w:val="00730752"/>
    <w:rsid w:val="00730B7E"/>
    <w:rsid w:val="0073110D"/>
    <w:rsid w:val="00731874"/>
    <w:rsid w:val="00731C08"/>
    <w:rsid w:val="00731EBA"/>
    <w:rsid w:val="00731F36"/>
    <w:rsid w:val="00731FBD"/>
    <w:rsid w:val="00733788"/>
    <w:rsid w:val="007342DB"/>
    <w:rsid w:val="0073454E"/>
    <w:rsid w:val="007346E6"/>
    <w:rsid w:val="00735468"/>
    <w:rsid w:val="0073571F"/>
    <w:rsid w:val="007363AD"/>
    <w:rsid w:val="007363E5"/>
    <w:rsid w:val="00736C08"/>
    <w:rsid w:val="00737104"/>
    <w:rsid w:val="00737C5B"/>
    <w:rsid w:val="00737D9E"/>
    <w:rsid w:val="00737E24"/>
    <w:rsid w:val="0074026A"/>
    <w:rsid w:val="0074084E"/>
    <w:rsid w:val="00740AFE"/>
    <w:rsid w:val="00740D25"/>
    <w:rsid w:val="00740D91"/>
    <w:rsid w:val="007411DD"/>
    <w:rsid w:val="00741CD0"/>
    <w:rsid w:val="00742088"/>
    <w:rsid w:val="0074216D"/>
    <w:rsid w:val="0074228D"/>
    <w:rsid w:val="00742402"/>
    <w:rsid w:val="007429EA"/>
    <w:rsid w:val="00742CFB"/>
    <w:rsid w:val="00742F64"/>
    <w:rsid w:val="007431FA"/>
    <w:rsid w:val="0074322C"/>
    <w:rsid w:val="0074324E"/>
    <w:rsid w:val="007435AA"/>
    <w:rsid w:val="0074397D"/>
    <w:rsid w:val="00743A02"/>
    <w:rsid w:val="00743D0C"/>
    <w:rsid w:val="00743D32"/>
    <w:rsid w:val="00744D27"/>
    <w:rsid w:val="00744DA1"/>
    <w:rsid w:val="0074532C"/>
    <w:rsid w:val="007453A9"/>
    <w:rsid w:val="00745501"/>
    <w:rsid w:val="00745F21"/>
    <w:rsid w:val="0074610F"/>
    <w:rsid w:val="00746681"/>
    <w:rsid w:val="007467FA"/>
    <w:rsid w:val="007469EE"/>
    <w:rsid w:val="007473B5"/>
    <w:rsid w:val="00747D46"/>
    <w:rsid w:val="00747F68"/>
    <w:rsid w:val="007503BD"/>
    <w:rsid w:val="0075129F"/>
    <w:rsid w:val="00751CDE"/>
    <w:rsid w:val="00751D19"/>
    <w:rsid w:val="007529B2"/>
    <w:rsid w:val="00752A4D"/>
    <w:rsid w:val="00752AED"/>
    <w:rsid w:val="00752CA1"/>
    <w:rsid w:val="00752CCE"/>
    <w:rsid w:val="0075409A"/>
    <w:rsid w:val="007543AD"/>
    <w:rsid w:val="00754854"/>
    <w:rsid w:val="00754B3A"/>
    <w:rsid w:val="00754BF2"/>
    <w:rsid w:val="00755170"/>
    <w:rsid w:val="007551B7"/>
    <w:rsid w:val="00755671"/>
    <w:rsid w:val="00755A33"/>
    <w:rsid w:val="00755DFC"/>
    <w:rsid w:val="00756999"/>
    <w:rsid w:val="00756A79"/>
    <w:rsid w:val="00756BCC"/>
    <w:rsid w:val="00756D69"/>
    <w:rsid w:val="00756D7F"/>
    <w:rsid w:val="00756E3C"/>
    <w:rsid w:val="00760050"/>
    <w:rsid w:val="00760F06"/>
    <w:rsid w:val="00761261"/>
    <w:rsid w:val="00761D99"/>
    <w:rsid w:val="00762A09"/>
    <w:rsid w:val="0076308B"/>
    <w:rsid w:val="007631D6"/>
    <w:rsid w:val="007637ED"/>
    <w:rsid w:val="007637FD"/>
    <w:rsid w:val="00763935"/>
    <w:rsid w:val="00764593"/>
    <w:rsid w:val="007657D6"/>
    <w:rsid w:val="007662DD"/>
    <w:rsid w:val="00766761"/>
    <w:rsid w:val="0076731A"/>
    <w:rsid w:val="00767BCA"/>
    <w:rsid w:val="00767D00"/>
    <w:rsid w:val="00770055"/>
    <w:rsid w:val="007700FE"/>
    <w:rsid w:val="0077015C"/>
    <w:rsid w:val="0077036C"/>
    <w:rsid w:val="00770FE9"/>
    <w:rsid w:val="007717FD"/>
    <w:rsid w:val="00771C22"/>
    <w:rsid w:val="00771C63"/>
    <w:rsid w:val="00772E69"/>
    <w:rsid w:val="00773523"/>
    <w:rsid w:val="007739C0"/>
    <w:rsid w:val="00773B3A"/>
    <w:rsid w:val="007743F9"/>
    <w:rsid w:val="0077492E"/>
    <w:rsid w:val="00774DBB"/>
    <w:rsid w:val="00775E6F"/>
    <w:rsid w:val="00776C9C"/>
    <w:rsid w:val="00776EE2"/>
    <w:rsid w:val="0077719C"/>
    <w:rsid w:val="0077731E"/>
    <w:rsid w:val="007778A8"/>
    <w:rsid w:val="007800FF"/>
    <w:rsid w:val="00781069"/>
    <w:rsid w:val="00781207"/>
    <w:rsid w:val="00781C80"/>
    <w:rsid w:val="00782643"/>
    <w:rsid w:val="00782679"/>
    <w:rsid w:val="00782890"/>
    <w:rsid w:val="00783557"/>
    <w:rsid w:val="00783900"/>
    <w:rsid w:val="00784163"/>
    <w:rsid w:val="007844E2"/>
    <w:rsid w:val="00784617"/>
    <w:rsid w:val="00784A65"/>
    <w:rsid w:val="00784BDE"/>
    <w:rsid w:val="00785483"/>
    <w:rsid w:val="00785AF1"/>
    <w:rsid w:val="00785B82"/>
    <w:rsid w:val="00785D5A"/>
    <w:rsid w:val="00786649"/>
    <w:rsid w:val="007869E8"/>
    <w:rsid w:val="00786C87"/>
    <w:rsid w:val="00786CAA"/>
    <w:rsid w:val="00786E1D"/>
    <w:rsid w:val="0078734D"/>
    <w:rsid w:val="0079013A"/>
    <w:rsid w:val="0079061B"/>
    <w:rsid w:val="007911F3"/>
    <w:rsid w:val="0079145E"/>
    <w:rsid w:val="00791C60"/>
    <w:rsid w:val="00791D26"/>
    <w:rsid w:val="00791E66"/>
    <w:rsid w:val="007933ED"/>
    <w:rsid w:val="00793885"/>
    <w:rsid w:val="00793E3E"/>
    <w:rsid w:val="007941D4"/>
    <w:rsid w:val="00794272"/>
    <w:rsid w:val="00794C38"/>
    <w:rsid w:val="00794D3A"/>
    <w:rsid w:val="007954FC"/>
    <w:rsid w:val="007956E4"/>
    <w:rsid w:val="0079571C"/>
    <w:rsid w:val="00795A25"/>
    <w:rsid w:val="00795C2A"/>
    <w:rsid w:val="00795ED5"/>
    <w:rsid w:val="00796365"/>
    <w:rsid w:val="0079643F"/>
    <w:rsid w:val="00796475"/>
    <w:rsid w:val="00796520"/>
    <w:rsid w:val="00796A21"/>
    <w:rsid w:val="00796BA7"/>
    <w:rsid w:val="00796C91"/>
    <w:rsid w:val="007A19F7"/>
    <w:rsid w:val="007A215E"/>
    <w:rsid w:val="007A36A0"/>
    <w:rsid w:val="007A3772"/>
    <w:rsid w:val="007A3BD5"/>
    <w:rsid w:val="007A3E83"/>
    <w:rsid w:val="007A403C"/>
    <w:rsid w:val="007A4791"/>
    <w:rsid w:val="007A4AE6"/>
    <w:rsid w:val="007A4B16"/>
    <w:rsid w:val="007A53E9"/>
    <w:rsid w:val="007A5A80"/>
    <w:rsid w:val="007A5E8B"/>
    <w:rsid w:val="007A66F8"/>
    <w:rsid w:val="007A6D17"/>
    <w:rsid w:val="007A713D"/>
    <w:rsid w:val="007A7189"/>
    <w:rsid w:val="007A72ED"/>
    <w:rsid w:val="007A7626"/>
    <w:rsid w:val="007A7E36"/>
    <w:rsid w:val="007B0122"/>
    <w:rsid w:val="007B0468"/>
    <w:rsid w:val="007B0979"/>
    <w:rsid w:val="007B1258"/>
    <w:rsid w:val="007B1A38"/>
    <w:rsid w:val="007B1C75"/>
    <w:rsid w:val="007B1E00"/>
    <w:rsid w:val="007B234D"/>
    <w:rsid w:val="007B26B5"/>
    <w:rsid w:val="007B271D"/>
    <w:rsid w:val="007B28C8"/>
    <w:rsid w:val="007B33DA"/>
    <w:rsid w:val="007B3837"/>
    <w:rsid w:val="007B3A38"/>
    <w:rsid w:val="007B44DB"/>
    <w:rsid w:val="007B4927"/>
    <w:rsid w:val="007B59DF"/>
    <w:rsid w:val="007B5DF8"/>
    <w:rsid w:val="007B635C"/>
    <w:rsid w:val="007B6462"/>
    <w:rsid w:val="007B6524"/>
    <w:rsid w:val="007B6D1B"/>
    <w:rsid w:val="007B6FEC"/>
    <w:rsid w:val="007B6FF7"/>
    <w:rsid w:val="007B7698"/>
    <w:rsid w:val="007B7800"/>
    <w:rsid w:val="007B790E"/>
    <w:rsid w:val="007B79F0"/>
    <w:rsid w:val="007B7C33"/>
    <w:rsid w:val="007B7C91"/>
    <w:rsid w:val="007C053D"/>
    <w:rsid w:val="007C0895"/>
    <w:rsid w:val="007C0A25"/>
    <w:rsid w:val="007C1376"/>
    <w:rsid w:val="007C13C5"/>
    <w:rsid w:val="007C1847"/>
    <w:rsid w:val="007C1ACA"/>
    <w:rsid w:val="007C1C4C"/>
    <w:rsid w:val="007C1CF3"/>
    <w:rsid w:val="007C1D20"/>
    <w:rsid w:val="007C1E5E"/>
    <w:rsid w:val="007C2793"/>
    <w:rsid w:val="007C28C0"/>
    <w:rsid w:val="007C2BA4"/>
    <w:rsid w:val="007C2E6C"/>
    <w:rsid w:val="007C2F3E"/>
    <w:rsid w:val="007C335A"/>
    <w:rsid w:val="007C37C2"/>
    <w:rsid w:val="007C457A"/>
    <w:rsid w:val="007C48F4"/>
    <w:rsid w:val="007C49C8"/>
    <w:rsid w:val="007C49E0"/>
    <w:rsid w:val="007C4AB6"/>
    <w:rsid w:val="007C4DAA"/>
    <w:rsid w:val="007C4E40"/>
    <w:rsid w:val="007C5BD4"/>
    <w:rsid w:val="007C63B4"/>
    <w:rsid w:val="007C6474"/>
    <w:rsid w:val="007C65CC"/>
    <w:rsid w:val="007C6D00"/>
    <w:rsid w:val="007C71C6"/>
    <w:rsid w:val="007C763E"/>
    <w:rsid w:val="007C76DA"/>
    <w:rsid w:val="007C7893"/>
    <w:rsid w:val="007D0003"/>
    <w:rsid w:val="007D0134"/>
    <w:rsid w:val="007D0A95"/>
    <w:rsid w:val="007D0EFD"/>
    <w:rsid w:val="007D1196"/>
    <w:rsid w:val="007D14CD"/>
    <w:rsid w:val="007D1992"/>
    <w:rsid w:val="007D1A6F"/>
    <w:rsid w:val="007D1A7A"/>
    <w:rsid w:val="007D210F"/>
    <w:rsid w:val="007D270E"/>
    <w:rsid w:val="007D41F5"/>
    <w:rsid w:val="007D4208"/>
    <w:rsid w:val="007D42BA"/>
    <w:rsid w:val="007D446D"/>
    <w:rsid w:val="007D4A7F"/>
    <w:rsid w:val="007D4E34"/>
    <w:rsid w:val="007D5CD6"/>
    <w:rsid w:val="007D5CDB"/>
    <w:rsid w:val="007D5EDA"/>
    <w:rsid w:val="007D5F3D"/>
    <w:rsid w:val="007D656B"/>
    <w:rsid w:val="007D6580"/>
    <w:rsid w:val="007D6D20"/>
    <w:rsid w:val="007D7141"/>
    <w:rsid w:val="007D724B"/>
    <w:rsid w:val="007D7270"/>
    <w:rsid w:val="007D76E7"/>
    <w:rsid w:val="007E0098"/>
    <w:rsid w:val="007E05D5"/>
    <w:rsid w:val="007E08F7"/>
    <w:rsid w:val="007E09D2"/>
    <w:rsid w:val="007E10BF"/>
    <w:rsid w:val="007E125A"/>
    <w:rsid w:val="007E18BF"/>
    <w:rsid w:val="007E1AD1"/>
    <w:rsid w:val="007E23F3"/>
    <w:rsid w:val="007E2A3E"/>
    <w:rsid w:val="007E2A59"/>
    <w:rsid w:val="007E2E53"/>
    <w:rsid w:val="007E309E"/>
    <w:rsid w:val="007E3868"/>
    <w:rsid w:val="007E3DB0"/>
    <w:rsid w:val="007E3FB1"/>
    <w:rsid w:val="007E3FE1"/>
    <w:rsid w:val="007E4225"/>
    <w:rsid w:val="007E43AA"/>
    <w:rsid w:val="007E452A"/>
    <w:rsid w:val="007E4606"/>
    <w:rsid w:val="007E5468"/>
    <w:rsid w:val="007E568C"/>
    <w:rsid w:val="007E587E"/>
    <w:rsid w:val="007E5C4D"/>
    <w:rsid w:val="007E6709"/>
    <w:rsid w:val="007E67B4"/>
    <w:rsid w:val="007E689A"/>
    <w:rsid w:val="007E68E4"/>
    <w:rsid w:val="007E7869"/>
    <w:rsid w:val="007E7F5A"/>
    <w:rsid w:val="007F014D"/>
    <w:rsid w:val="007F0189"/>
    <w:rsid w:val="007F01A0"/>
    <w:rsid w:val="007F0580"/>
    <w:rsid w:val="007F06E6"/>
    <w:rsid w:val="007F0828"/>
    <w:rsid w:val="007F0C07"/>
    <w:rsid w:val="007F120C"/>
    <w:rsid w:val="007F16D2"/>
    <w:rsid w:val="007F1827"/>
    <w:rsid w:val="007F1B5C"/>
    <w:rsid w:val="007F1BD9"/>
    <w:rsid w:val="007F234E"/>
    <w:rsid w:val="007F2918"/>
    <w:rsid w:val="007F2A69"/>
    <w:rsid w:val="007F2F25"/>
    <w:rsid w:val="007F3062"/>
    <w:rsid w:val="007F3320"/>
    <w:rsid w:val="007F340F"/>
    <w:rsid w:val="007F3AF8"/>
    <w:rsid w:val="007F4743"/>
    <w:rsid w:val="007F49C0"/>
    <w:rsid w:val="007F4E3E"/>
    <w:rsid w:val="007F5346"/>
    <w:rsid w:val="007F55E7"/>
    <w:rsid w:val="007F5F42"/>
    <w:rsid w:val="007F6978"/>
    <w:rsid w:val="007F6C42"/>
    <w:rsid w:val="007F6CC7"/>
    <w:rsid w:val="007F720B"/>
    <w:rsid w:val="007F7259"/>
    <w:rsid w:val="007F74B6"/>
    <w:rsid w:val="007F7EBF"/>
    <w:rsid w:val="007F7F1B"/>
    <w:rsid w:val="007F7F36"/>
    <w:rsid w:val="00800071"/>
    <w:rsid w:val="008000CF"/>
    <w:rsid w:val="00800AF5"/>
    <w:rsid w:val="00801194"/>
    <w:rsid w:val="008011EA"/>
    <w:rsid w:val="00801355"/>
    <w:rsid w:val="00801565"/>
    <w:rsid w:val="00801612"/>
    <w:rsid w:val="008019AD"/>
    <w:rsid w:val="008019C8"/>
    <w:rsid w:val="00801DBB"/>
    <w:rsid w:val="00802EC7"/>
    <w:rsid w:val="00802FBD"/>
    <w:rsid w:val="0080302F"/>
    <w:rsid w:val="00803083"/>
    <w:rsid w:val="008032CB"/>
    <w:rsid w:val="0080337E"/>
    <w:rsid w:val="00803978"/>
    <w:rsid w:val="00803D05"/>
    <w:rsid w:val="00804312"/>
    <w:rsid w:val="008045BE"/>
    <w:rsid w:val="00804DDA"/>
    <w:rsid w:val="0080513E"/>
    <w:rsid w:val="0080542F"/>
    <w:rsid w:val="008056FA"/>
    <w:rsid w:val="0080572D"/>
    <w:rsid w:val="00805CBF"/>
    <w:rsid w:val="008061E6"/>
    <w:rsid w:val="00806204"/>
    <w:rsid w:val="00806F33"/>
    <w:rsid w:val="00807013"/>
    <w:rsid w:val="00807142"/>
    <w:rsid w:val="0080792B"/>
    <w:rsid w:val="00807FB9"/>
    <w:rsid w:val="008101F1"/>
    <w:rsid w:val="008105B7"/>
    <w:rsid w:val="00810CFF"/>
    <w:rsid w:val="00810F12"/>
    <w:rsid w:val="008116B2"/>
    <w:rsid w:val="00812443"/>
    <w:rsid w:val="008124DC"/>
    <w:rsid w:val="00812C29"/>
    <w:rsid w:val="00813411"/>
    <w:rsid w:val="008144D4"/>
    <w:rsid w:val="008148C2"/>
    <w:rsid w:val="00814ACA"/>
    <w:rsid w:val="00815F66"/>
    <w:rsid w:val="00815F80"/>
    <w:rsid w:val="00816CC8"/>
    <w:rsid w:val="00817391"/>
    <w:rsid w:val="0081740D"/>
    <w:rsid w:val="00817F00"/>
    <w:rsid w:val="008204E6"/>
    <w:rsid w:val="008204FC"/>
    <w:rsid w:val="008205BE"/>
    <w:rsid w:val="00820756"/>
    <w:rsid w:val="00820AD5"/>
    <w:rsid w:val="00821321"/>
    <w:rsid w:val="008215A7"/>
    <w:rsid w:val="0082169B"/>
    <w:rsid w:val="0082194B"/>
    <w:rsid w:val="00821A93"/>
    <w:rsid w:val="008222A5"/>
    <w:rsid w:val="008222A7"/>
    <w:rsid w:val="008224A4"/>
    <w:rsid w:val="00822B5F"/>
    <w:rsid w:val="00822F29"/>
    <w:rsid w:val="008231A1"/>
    <w:rsid w:val="008232C6"/>
    <w:rsid w:val="00823654"/>
    <w:rsid w:val="00823BBA"/>
    <w:rsid w:val="008249D1"/>
    <w:rsid w:val="008259E1"/>
    <w:rsid w:val="00825CD5"/>
    <w:rsid w:val="00825EC1"/>
    <w:rsid w:val="0082610D"/>
    <w:rsid w:val="00826285"/>
    <w:rsid w:val="00826ACB"/>
    <w:rsid w:val="00826F6F"/>
    <w:rsid w:val="00827238"/>
    <w:rsid w:val="00827439"/>
    <w:rsid w:val="008276C7"/>
    <w:rsid w:val="00827D77"/>
    <w:rsid w:val="0083034C"/>
    <w:rsid w:val="0083056B"/>
    <w:rsid w:val="00830961"/>
    <w:rsid w:val="0083097C"/>
    <w:rsid w:val="00830C32"/>
    <w:rsid w:val="00831956"/>
    <w:rsid w:val="008329A7"/>
    <w:rsid w:val="008329AF"/>
    <w:rsid w:val="00833032"/>
    <w:rsid w:val="0083309E"/>
    <w:rsid w:val="00833553"/>
    <w:rsid w:val="00833B22"/>
    <w:rsid w:val="00835209"/>
    <w:rsid w:val="008353F0"/>
    <w:rsid w:val="0083549B"/>
    <w:rsid w:val="008359E1"/>
    <w:rsid w:val="00835B05"/>
    <w:rsid w:val="008362C2"/>
    <w:rsid w:val="00836B11"/>
    <w:rsid w:val="00837590"/>
    <w:rsid w:val="008376EB"/>
    <w:rsid w:val="008406E4"/>
    <w:rsid w:val="00840796"/>
    <w:rsid w:val="00840A97"/>
    <w:rsid w:val="00840AA0"/>
    <w:rsid w:val="00840C38"/>
    <w:rsid w:val="00840D54"/>
    <w:rsid w:val="00840FF8"/>
    <w:rsid w:val="00841AC1"/>
    <w:rsid w:val="008422CC"/>
    <w:rsid w:val="00842503"/>
    <w:rsid w:val="0084279E"/>
    <w:rsid w:val="00842B2B"/>
    <w:rsid w:val="00842C27"/>
    <w:rsid w:val="00843116"/>
    <w:rsid w:val="008432DE"/>
    <w:rsid w:val="00843704"/>
    <w:rsid w:val="00843B35"/>
    <w:rsid w:val="00843BC4"/>
    <w:rsid w:val="00844104"/>
    <w:rsid w:val="00844482"/>
    <w:rsid w:val="008446D3"/>
    <w:rsid w:val="00845341"/>
    <w:rsid w:val="0084557D"/>
    <w:rsid w:val="00845A4C"/>
    <w:rsid w:val="00845AAC"/>
    <w:rsid w:val="00845AB9"/>
    <w:rsid w:val="00846078"/>
    <w:rsid w:val="00846839"/>
    <w:rsid w:val="00847867"/>
    <w:rsid w:val="00847F02"/>
    <w:rsid w:val="008500F4"/>
    <w:rsid w:val="0085050F"/>
    <w:rsid w:val="00850A92"/>
    <w:rsid w:val="00850D1D"/>
    <w:rsid w:val="008510D4"/>
    <w:rsid w:val="00851362"/>
    <w:rsid w:val="0085164F"/>
    <w:rsid w:val="00851E87"/>
    <w:rsid w:val="008520E5"/>
    <w:rsid w:val="0085269C"/>
    <w:rsid w:val="00852E19"/>
    <w:rsid w:val="0085325B"/>
    <w:rsid w:val="008537A3"/>
    <w:rsid w:val="00854706"/>
    <w:rsid w:val="008547CD"/>
    <w:rsid w:val="00854D2E"/>
    <w:rsid w:val="00854D62"/>
    <w:rsid w:val="0085510D"/>
    <w:rsid w:val="00855222"/>
    <w:rsid w:val="0085541A"/>
    <w:rsid w:val="0085576E"/>
    <w:rsid w:val="0085674B"/>
    <w:rsid w:val="0085681E"/>
    <w:rsid w:val="00856A37"/>
    <w:rsid w:val="00856E3E"/>
    <w:rsid w:val="00856E95"/>
    <w:rsid w:val="00856EB1"/>
    <w:rsid w:val="0085715C"/>
    <w:rsid w:val="008572A3"/>
    <w:rsid w:val="00857748"/>
    <w:rsid w:val="0085782B"/>
    <w:rsid w:val="00857A12"/>
    <w:rsid w:val="00857A71"/>
    <w:rsid w:val="00857EE1"/>
    <w:rsid w:val="00860409"/>
    <w:rsid w:val="00860F0B"/>
    <w:rsid w:val="00861A35"/>
    <w:rsid w:val="00861A92"/>
    <w:rsid w:val="00861AC9"/>
    <w:rsid w:val="0086209E"/>
    <w:rsid w:val="008625FA"/>
    <w:rsid w:val="008628E6"/>
    <w:rsid w:val="00862972"/>
    <w:rsid w:val="00862C77"/>
    <w:rsid w:val="00863355"/>
    <w:rsid w:val="0086336D"/>
    <w:rsid w:val="008635BE"/>
    <w:rsid w:val="008636DB"/>
    <w:rsid w:val="008637A2"/>
    <w:rsid w:val="00863835"/>
    <w:rsid w:val="00863FA2"/>
    <w:rsid w:val="00864586"/>
    <w:rsid w:val="008648ED"/>
    <w:rsid w:val="008650F1"/>
    <w:rsid w:val="00865397"/>
    <w:rsid w:val="00865838"/>
    <w:rsid w:val="00865B33"/>
    <w:rsid w:val="008661A6"/>
    <w:rsid w:val="00866B57"/>
    <w:rsid w:val="00866D0E"/>
    <w:rsid w:val="00866D59"/>
    <w:rsid w:val="00866ED2"/>
    <w:rsid w:val="00866F6B"/>
    <w:rsid w:val="00866FE7"/>
    <w:rsid w:val="0086717D"/>
    <w:rsid w:val="00867367"/>
    <w:rsid w:val="0086739A"/>
    <w:rsid w:val="008675BE"/>
    <w:rsid w:val="008678A7"/>
    <w:rsid w:val="008700D7"/>
    <w:rsid w:val="0087026E"/>
    <w:rsid w:val="008703F2"/>
    <w:rsid w:val="0087059E"/>
    <w:rsid w:val="00870BC1"/>
    <w:rsid w:val="00870ECB"/>
    <w:rsid w:val="00871078"/>
    <w:rsid w:val="00871267"/>
    <w:rsid w:val="00871A38"/>
    <w:rsid w:val="008725AB"/>
    <w:rsid w:val="0087262D"/>
    <w:rsid w:val="00872C52"/>
    <w:rsid w:val="00872C8F"/>
    <w:rsid w:val="00872D74"/>
    <w:rsid w:val="008733C9"/>
    <w:rsid w:val="0087341E"/>
    <w:rsid w:val="008736FC"/>
    <w:rsid w:val="008738A8"/>
    <w:rsid w:val="00873C7E"/>
    <w:rsid w:val="008744DF"/>
    <w:rsid w:val="00874B5B"/>
    <w:rsid w:val="00874E58"/>
    <w:rsid w:val="00875117"/>
    <w:rsid w:val="00875373"/>
    <w:rsid w:val="0087575F"/>
    <w:rsid w:val="00876979"/>
    <w:rsid w:val="00876B15"/>
    <w:rsid w:val="00876D9B"/>
    <w:rsid w:val="00877239"/>
    <w:rsid w:val="00877409"/>
    <w:rsid w:val="008779FA"/>
    <w:rsid w:val="008801E7"/>
    <w:rsid w:val="008801E8"/>
    <w:rsid w:val="008803C0"/>
    <w:rsid w:val="0088086E"/>
    <w:rsid w:val="00880960"/>
    <w:rsid w:val="00880FE0"/>
    <w:rsid w:val="00881244"/>
    <w:rsid w:val="008815D8"/>
    <w:rsid w:val="00881894"/>
    <w:rsid w:val="00881A6F"/>
    <w:rsid w:val="00881A87"/>
    <w:rsid w:val="00881C3C"/>
    <w:rsid w:val="00882009"/>
    <w:rsid w:val="008822E7"/>
    <w:rsid w:val="0088275B"/>
    <w:rsid w:val="008831B0"/>
    <w:rsid w:val="008832BB"/>
    <w:rsid w:val="00883419"/>
    <w:rsid w:val="008835C9"/>
    <w:rsid w:val="00883635"/>
    <w:rsid w:val="00883E71"/>
    <w:rsid w:val="008847AA"/>
    <w:rsid w:val="00884E36"/>
    <w:rsid w:val="00884FA5"/>
    <w:rsid w:val="0088506D"/>
    <w:rsid w:val="00885145"/>
    <w:rsid w:val="00885224"/>
    <w:rsid w:val="008852D4"/>
    <w:rsid w:val="008852FC"/>
    <w:rsid w:val="008859D2"/>
    <w:rsid w:val="00885CCF"/>
    <w:rsid w:val="00885EDC"/>
    <w:rsid w:val="00886807"/>
    <w:rsid w:val="00886BB9"/>
    <w:rsid w:val="00886EFC"/>
    <w:rsid w:val="008872A3"/>
    <w:rsid w:val="00887646"/>
    <w:rsid w:val="008878BB"/>
    <w:rsid w:val="0088791C"/>
    <w:rsid w:val="00887A31"/>
    <w:rsid w:val="00887D42"/>
    <w:rsid w:val="00887E0D"/>
    <w:rsid w:val="008902CA"/>
    <w:rsid w:val="00890BAB"/>
    <w:rsid w:val="00890C86"/>
    <w:rsid w:val="00890F5A"/>
    <w:rsid w:val="00890FA6"/>
    <w:rsid w:val="0089114D"/>
    <w:rsid w:val="008917CC"/>
    <w:rsid w:val="00891BBE"/>
    <w:rsid w:val="00891E6A"/>
    <w:rsid w:val="008924FD"/>
    <w:rsid w:val="00892652"/>
    <w:rsid w:val="008926B8"/>
    <w:rsid w:val="00892B1D"/>
    <w:rsid w:val="008941F8"/>
    <w:rsid w:val="008942B1"/>
    <w:rsid w:val="00894391"/>
    <w:rsid w:val="008947B2"/>
    <w:rsid w:val="008948CF"/>
    <w:rsid w:val="008949DF"/>
    <w:rsid w:val="00894E15"/>
    <w:rsid w:val="00894F1F"/>
    <w:rsid w:val="00895192"/>
    <w:rsid w:val="008959AF"/>
    <w:rsid w:val="00895C9B"/>
    <w:rsid w:val="00895F05"/>
    <w:rsid w:val="008960D6"/>
    <w:rsid w:val="00897045"/>
    <w:rsid w:val="00897908"/>
    <w:rsid w:val="008A00C2"/>
    <w:rsid w:val="008A02D1"/>
    <w:rsid w:val="008A0A63"/>
    <w:rsid w:val="008A0CDD"/>
    <w:rsid w:val="008A1EA3"/>
    <w:rsid w:val="008A200D"/>
    <w:rsid w:val="008A24F4"/>
    <w:rsid w:val="008A27D7"/>
    <w:rsid w:val="008A2D51"/>
    <w:rsid w:val="008A2DD7"/>
    <w:rsid w:val="008A2E3C"/>
    <w:rsid w:val="008A2EA7"/>
    <w:rsid w:val="008A3417"/>
    <w:rsid w:val="008A3B0A"/>
    <w:rsid w:val="008A3FAE"/>
    <w:rsid w:val="008A4797"/>
    <w:rsid w:val="008A48DF"/>
    <w:rsid w:val="008A4D44"/>
    <w:rsid w:val="008A55F9"/>
    <w:rsid w:val="008A58E3"/>
    <w:rsid w:val="008A5A5D"/>
    <w:rsid w:val="008A5B0D"/>
    <w:rsid w:val="008A5CD3"/>
    <w:rsid w:val="008A5D9E"/>
    <w:rsid w:val="008A5F24"/>
    <w:rsid w:val="008A64EF"/>
    <w:rsid w:val="008A6944"/>
    <w:rsid w:val="008A7270"/>
    <w:rsid w:val="008A743B"/>
    <w:rsid w:val="008A7886"/>
    <w:rsid w:val="008A78B1"/>
    <w:rsid w:val="008B0113"/>
    <w:rsid w:val="008B0595"/>
    <w:rsid w:val="008B067F"/>
    <w:rsid w:val="008B0694"/>
    <w:rsid w:val="008B07A4"/>
    <w:rsid w:val="008B07E5"/>
    <w:rsid w:val="008B0AB0"/>
    <w:rsid w:val="008B0C28"/>
    <w:rsid w:val="008B0EA9"/>
    <w:rsid w:val="008B1296"/>
    <w:rsid w:val="008B2156"/>
    <w:rsid w:val="008B282C"/>
    <w:rsid w:val="008B2C35"/>
    <w:rsid w:val="008B2C39"/>
    <w:rsid w:val="008B3030"/>
    <w:rsid w:val="008B42E8"/>
    <w:rsid w:val="008B43E9"/>
    <w:rsid w:val="008B4473"/>
    <w:rsid w:val="008B4D51"/>
    <w:rsid w:val="008B4D9A"/>
    <w:rsid w:val="008B5060"/>
    <w:rsid w:val="008B5495"/>
    <w:rsid w:val="008B5610"/>
    <w:rsid w:val="008B562E"/>
    <w:rsid w:val="008B5A55"/>
    <w:rsid w:val="008B5D42"/>
    <w:rsid w:val="008B64FA"/>
    <w:rsid w:val="008B671D"/>
    <w:rsid w:val="008B6720"/>
    <w:rsid w:val="008B691F"/>
    <w:rsid w:val="008B7090"/>
    <w:rsid w:val="008B7607"/>
    <w:rsid w:val="008B7E88"/>
    <w:rsid w:val="008C02CD"/>
    <w:rsid w:val="008C05F4"/>
    <w:rsid w:val="008C06FA"/>
    <w:rsid w:val="008C0A17"/>
    <w:rsid w:val="008C0BD8"/>
    <w:rsid w:val="008C0E7E"/>
    <w:rsid w:val="008C0EE9"/>
    <w:rsid w:val="008C0F20"/>
    <w:rsid w:val="008C114C"/>
    <w:rsid w:val="008C127C"/>
    <w:rsid w:val="008C14D2"/>
    <w:rsid w:val="008C1989"/>
    <w:rsid w:val="008C1DED"/>
    <w:rsid w:val="008C2207"/>
    <w:rsid w:val="008C2BEC"/>
    <w:rsid w:val="008C2CBE"/>
    <w:rsid w:val="008C3247"/>
    <w:rsid w:val="008C3D71"/>
    <w:rsid w:val="008C3EC2"/>
    <w:rsid w:val="008C3EFD"/>
    <w:rsid w:val="008C4073"/>
    <w:rsid w:val="008C407E"/>
    <w:rsid w:val="008C4264"/>
    <w:rsid w:val="008C4775"/>
    <w:rsid w:val="008C4780"/>
    <w:rsid w:val="008C5F95"/>
    <w:rsid w:val="008C62CD"/>
    <w:rsid w:val="008C63A1"/>
    <w:rsid w:val="008C6434"/>
    <w:rsid w:val="008C64AD"/>
    <w:rsid w:val="008C65FF"/>
    <w:rsid w:val="008C6DFB"/>
    <w:rsid w:val="008C73CD"/>
    <w:rsid w:val="008C78D8"/>
    <w:rsid w:val="008C7C27"/>
    <w:rsid w:val="008C7F5B"/>
    <w:rsid w:val="008D00E7"/>
    <w:rsid w:val="008D03B6"/>
    <w:rsid w:val="008D0D00"/>
    <w:rsid w:val="008D1006"/>
    <w:rsid w:val="008D115A"/>
    <w:rsid w:val="008D17C7"/>
    <w:rsid w:val="008D1FAC"/>
    <w:rsid w:val="008D2002"/>
    <w:rsid w:val="008D2886"/>
    <w:rsid w:val="008D2D69"/>
    <w:rsid w:val="008D3760"/>
    <w:rsid w:val="008D3889"/>
    <w:rsid w:val="008D38C2"/>
    <w:rsid w:val="008D392F"/>
    <w:rsid w:val="008D3C66"/>
    <w:rsid w:val="008D3EEB"/>
    <w:rsid w:val="008D411E"/>
    <w:rsid w:val="008D41CF"/>
    <w:rsid w:val="008D460A"/>
    <w:rsid w:val="008D534E"/>
    <w:rsid w:val="008D5508"/>
    <w:rsid w:val="008D56AC"/>
    <w:rsid w:val="008D5A92"/>
    <w:rsid w:val="008D5DAE"/>
    <w:rsid w:val="008D60D8"/>
    <w:rsid w:val="008D730B"/>
    <w:rsid w:val="008D7524"/>
    <w:rsid w:val="008D7885"/>
    <w:rsid w:val="008D7D64"/>
    <w:rsid w:val="008D7FFA"/>
    <w:rsid w:val="008E032D"/>
    <w:rsid w:val="008E0463"/>
    <w:rsid w:val="008E0487"/>
    <w:rsid w:val="008E05CD"/>
    <w:rsid w:val="008E09F2"/>
    <w:rsid w:val="008E0E09"/>
    <w:rsid w:val="008E161A"/>
    <w:rsid w:val="008E1CED"/>
    <w:rsid w:val="008E1D21"/>
    <w:rsid w:val="008E1FCF"/>
    <w:rsid w:val="008E21A5"/>
    <w:rsid w:val="008E225B"/>
    <w:rsid w:val="008E23B2"/>
    <w:rsid w:val="008E2B17"/>
    <w:rsid w:val="008E2B71"/>
    <w:rsid w:val="008E2D3E"/>
    <w:rsid w:val="008E31E8"/>
    <w:rsid w:val="008E33D3"/>
    <w:rsid w:val="008E3554"/>
    <w:rsid w:val="008E39B8"/>
    <w:rsid w:val="008E3AD7"/>
    <w:rsid w:val="008E3B3D"/>
    <w:rsid w:val="008E3E22"/>
    <w:rsid w:val="008E43AF"/>
    <w:rsid w:val="008E492B"/>
    <w:rsid w:val="008E4C07"/>
    <w:rsid w:val="008E53EB"/>
    <w:rsid w:val="008E5541"/>
    <w:rsid w:val="008E5582"/>
    <w:rsid w:val="008E636A"/>
    <w:rsid w:val="008E6571"/>
    <w:rsid w:val="008E6A2E"/>
    <w:rsid w:val="008E6CF7"/>
    <w:rsid w:val="008E72EF"/>
    <w:rsid w:val="008E7721"/>
    <w:rsid w:val="008E7C5D"/>
    <w:rsid w:val="008E7DC1"/>
    <w:rsid w:val="008E7F1F"/>
    <w:rsid w:val="008F01BC"/>
    <w:rsid w:val="008F02F3"/>
    <w:rsid w:val="008F03BA"/>
    <w:rsid w:val="008F16F9"/>
    <w:rsid w:val="008F1DD9"/>
    <w:rsid w:val="008F1EA9"/>
    <w:rsid w:val="008F1F21"/>
    <w:rsid w:val="008F21D6"/>
    <w:rsid w:val="008F2536"/>
    <w:rsid w:val="008F2FEC"/>
    <w:rsid w:val="008F3685"/>
    <w:rsid w:val="008F3DDA"/>
    <w:rsid w:val="008F3FE9"/>
    <w:rsid w:val="008F4DBA"/>
    <w:rsid w:val="008F5808"/>
    <w:rsid w:val="008F5A66"/>
    <w:rsid w:val="008F5AD3"/>
    <w:rsid w:val="008F5CF6"/>
    <w:rsid w:val="008F5F3B"/>
    <w:rsid w:val="008F60A9"/>
    <w:rsid w:val="008F6861"/>
    <w:rsid w:val="008F7230"/>
    <w:rsid w:val="008F7EFE"/>
    <w:rsid w:val="009003B1"/>
    <w:rsid w:val="00900415"/>
    <w:rsid w:val="0090043C"/>
    <w:rsid w:val="0090051C"/>
    <w:rsid w:val="00900546"/>
    <w:rsid w:val="0090065A"/>
    <w:rsid w:val="00900B6A"/>
    <w:rsid w:val="00900C1A"/>
    <w:rsid w:val="009010F5"/>
    <w:rsid w:val="00901105"/>
    <w:rsid w:val="00901246"/>
    <w:rsid w:val="00901259"/>
    <w:rsid w:val="0090142B"/>
    <w:rsid w:val="00901CD0"/>
    <w:rsid w:val="00901F36"/>
    <w:rsid w:val="0090205D"/>
    <w:rsid w:val="00902113"/>
    <w:rsid w:val="00902146"/>
    <w:rsid w:val="009021A6"/>
    <w:rsid w:val="00902BDB"/>
    <w:rsid w:val="00903562"/>
    <w:rsid w:val="009046A6"/>
    <w:rsid w:val="009047ED"/>
    <w:rsid w:val="00904AF7"/>
    <w:rsid w:val="00904B19"/>
    <w:rsid w:val="00905761"/>
    <w:rsid w:val="00905CED"/>
    <w:rsid w:val="00906097"/>
    <w:rsid w:val="009062AE"/>
    <w:rsid w:val="009068FD"/>
    <w:rsid w:val="00906A5B"/>
    <w:rsid w:val="0090725B"/>
    <w:rsid w:val="00907405"/>
    <w:rsid w:val="00907514"/>
    <w:rsid w:val="00907A65"/>
    <w:rsid w:val="00907F77"/>
    <w:rsid w:val="00910AB4"/>
    <w:rsid w:val="00911312"/>
    <w:rsid w:val="00911A32"/>
    <w:rsid w:val="00911B15"/>
    <w:rsid w:val="00911EC2"/>
    <w:rsid w:val="00911F5D"/>
    <w:rsid w:val="00912028"/>
    <w:rsid w:val="009127AC"/>
    <w:rsid w:val="00912999"/>
    <w:rsid w:val="009129B4"/>
    <w:rsid w:val="00912A76"/>
    <w:rsid w:val="00912D18"/>
    <w:rsid w:val="009133F5"/>
    <w:rsid w:val="0091351D"/>
    <w:rsid w:val="009138B0"/>
    <w:rsid w:val="009142DF"/>
    <w:rsid w:val="00914437"/>
    <w:rsid w:val="0091457E"/>
    <w:rsid w:val="0091595A"/>
    <w:rsid w:val="00915CA3"/>
    <w:rsid w:val="009161EB"/>
    <w:rsid w:val="00916B1F"/>
    <w:rsid w:val="0091712B"/>
    <w:rsid w:val="00917236"/>
    <w:rsid w:val="009200ED"/>
    <w:rsid w:val="00920701"/>
    <w:rsid w:val="009209CC"/>
    <w:rsid w:val="00920A6E"/>
    <w:rsid w:val="00920AF9"/>
    <w:rsid w:val="00920FEC"/>
    <w:rsid w:val="009211D5"/>
    <w:rsid w:val="0092140C"/>
    <w:rsid w:val="009217B6"/>
    <w:rsid w:val="00921EF0"/>
    <w:rsid w:val="00922059"/>
    <w:rsid w:val="00922385"/>
    <w:rsid w:val="0092266C"/>
    <w:rsid w:val="00922716"/>
    <w:rsid w:val="009227D0"/>
    <w:rsid w:val="009229E4"/>
    <w:rsid w:val="00922AEE"/>
    <w:rsid w:val="00922B31"/>
    <w:rsid w:val="0092336E"/>
    <w:rsid w:val="009238FC"/>
    <w:rsid w:val="00924289"/>
    <w:rsid w:val="00924A45"/>
    <w:rsid w:val="00924CA4"/>
    <w:rsid w:val="00924CE2"/>
    <w:rsid w:val="00924DE1"/>
    <w:rsid w:val="00924F3E"/>
    <w:rsid w:val="00925739"/>
    <w:rsid w:val="00925904"/>
    <w:rsid w:val="00925909"/>
    <w:rsid w:val="0092595F"/>
    <w:rsid w:val="00925AA0"/>
    <w:rsid w:val="00925DA8"/>
    <w:rsid w:val="00926488"/>
    <w:rsid w:val="009265F0"/>
    <w:rsid w:val="009266D8"/>
    <w:rsid w:val="00926FBD"/>
    <w:rsid w:val="009273F8"/>
    <w:rsid w:val="0092799F"/>
    <w:rsid w:val="00927DAB"/>
    <w:rsid w:val="00930270"/>
    <w:rsid w:val="00930810"/>
    <w:rsid w:val="00930C15"/>
    <w:rsid w:val="00930DE7"/>
    <w:rsid w:val="00930F4C"/>
    <w:rsid w:val="00931811"/>
    <w:rsid w:val="00931F37"/>
    <w:rsid w:val="00932BD8"/>
    <w:rsid w:val="00932EE6"/>
    <w:rsid w:val="0093316C"/>
    <w:rsid w:val="00933B14"/>
    <w:rsid w:val="0093428F"/>
    <w:rsid w:val="0093481F"/>
    <w:rsid w:val="00934D6E"/>
    <w:rsid w:val="00934E66"/>
    <w:rsid w:val="00934E82"/>
    <w:rsid w:val="00935970"/>
    <w:rsid w:val="00935AA2"/>
    <w:rsid w:val="00935D40"/>
    <w:rsid w:val="00936A43"/>
    <w:rsid w:val="00936AB5"/>
    <w:rsid w:val="00936E18"/>
    <w:rsid w:val="00936EB4"/>
    <w:rsid w:val="009370B8"/>
    <w:rsid w:val="00937837"/>
    <w:rsid w:val="00937C92"/>
    <w:rsid w:val="00940056"/>
    <w:rsid w:val="0094007C"/>
    <w:rsid w:val="0094009F"/>
    <w:rsid w:val="00940644"/>
    <w:rsid w:val="00940D94"/>
    <w:rsid w:val="0094168D"/>
    <w:rsid w:val="0094196D"/>
    <w:rsid w:val="00941CF1"/>
    <w:rsid w:val="00942094"/>
    <w:rsid w:val="00942733"/>
    <w:rsid w:val="00942735"/>
    <w:rsid w:val="00942D5D"/>
    <w:rsid w:val="00943576"/>
    <w:rsid w:val="009439A7"/>
    <w:rsid w:val="00943B10"/>
    <w:rsid w:val="00943D08"/>
    <w:rsid w:val="00944294"/>
    <w:rsid w:val="009444A9"/>
    <w:rsid w:val="0094466B"/>
    <w:rsid w:val="00944D10"/>
    <w:rsid w:val="009453FE"/>
    <w:rsid w:val="0094554C"/>
    <w:rsid w:val="0094598B"/>
    <w:rsid w:val="00945A8F"/>
    <w:rsid w:val="00945AD1"/>
    <w:rsid w:val="00945F06"/>
    <w:rsid w:val="0094633B"/>
    <w:rsid w:val="00946436"/>
    <w:rsid w:val="009468DE"/>
    <w:rsid w:val="009469CB"/>
    <w:rsid w:val="00946AD4"/>
    <w:rsid w:val="00947119"/>
    <w:rsid w:val="009474F4"/>
    <w:rsid w:val="00947614"/>
    <w:rsid w:val="00947BD0"/>
    <w:rsid w:val="009504CA"/>
    <w:rsid w:val="00950C85"/>
    <w:rsid w:val="00950CFB"/>
    <w:rsid w:val="00950E96"/>
    <w:rsid w:val="0095172A"/>
    <w:rsid w:val="00951BDC"/>
    <w:rsid w:val="00951BE7"/>
    <w:rsid w:val="00951CBC"/>
    <w:rsid w:val="0095218F"/>
    <w:rsid w:val="0095293D"/>
    <w:rsid w:val="00952B9C"/>
    <w:rsid w:val="00952E7B"/>
    <w:rsid w:val="0095316D"/>
    <w:rsid w:val="009532FE"/>
    <w:rsid w:val="0095379C"/>
    <w:rsid w:val="009537A1"/>
    <w:rsid w:val="009537B8"/>
    <w:rsid w:val="009538D0"/>
    <w:rsid w:val="0095409F"/>
    <w:rsid w:val="009545D3"/>
    <w:rsid w:val="00954869"/>
    <w:rsid w:val="00954912"/>
    <w:rsid w:val="009550FD"/>
    <w:rsid w:val="0095562A"/>
    <w:rsid w:val="00955BF2"/>
    <w:rsid w:val="00955D6A"/>
    <w:rsid w:val="00956217"/>
    <w:rsid w:val="00956259"/>
    <w:rsid w:val="00956B69"/>
    <w:rsid w:val="009571DF"/>
    <w:rsid w:val="009572EB"/>
    <w:rsid w:val="009576DE"/>
    <w:rsid w:val="00957730"/>
    <w:rsid w:val="00957F2B"/>
    <w:rsid w:val="00960109"/>
    <w:rsid w:val="00960417"/>
    <w:rsid w:val="00960E2A"/>
    <w:rsid w:val="00960E5C"/>
    <w:rsid w:val="0096128E"/>
    <w:rsid w:val="009612E0"/>
    <w:rsid w:val="00961C12"/>
    <w:rsid w:val="00961DB0"/>
    <w:rsid w:val="00962A90"/>
    <w:rsid w:val="00962ACD"/>
    <w:rsid w:val="00964DCA"/>
    <w:rsid w:val="00964FBF"/>
    <w:rsid w:val="0096585E"/>
    <w:rsid w:val="00965A93"/>
    <w:rsid w:val="00965CEB"/>
    <w:rsid w:val="00966608"/>
    <w:rsid w:val="00966AD1"/>
    <w:rsid w:val="00966D35"/>
    <w:rsid w:val="00966F2D"/>
    <w:rsid w:val="00967455"/>
    <w:rsid w:val="00967D63"/>
    <w:rsid w:val="009702AB"/>
    <w:rsid w:val="00970475"/>
    <w:rsid w:val="00970BE4"/>
    <w:rsid w:val="00970D01"/>
    <w:rsid w:val="00971776"/>
    <w:rsid w:val="00971CE8"/>
    <w:rsid w:val="00972133"/>
    <w:rsid w:val="00973488"/>
    <w:rsid w:val="009739CF"/>
    <w:rsid w:val="00973E42"/>
    <w:rsid w:val="0097401E"/>
    <w:rsid w:val="00974217"/>
    <w:rsid w:val="009743CB"/>
    <w:rsid w:val="00974886"/>
    <w:rsid w:val="00974956"/>
    <w:rsid w:val="0097497B"/>
    <w:rsid w:val="00974B25"/>
    <w:rsid w:val="00974DDE"/>
    <w:rsid w:val="00975614"/>
    <w:rsid w:val="009756D7"/>
    <w:rsid w:val="00975CE9"/>
    <w:rsid w:val="00975D47"/>
    <w:rsid w:val="00975D70"/>
    <w:rsid w:val="00977136"/>
    <w:rsid w:val="00977413"/>
    <w:rsid w:val="0097766C"/>
    <w:rsid w:val="00977E88"/>
    <w:rsid w:val="00980084"/>
    <w:rsid w:val="0098045B"/>
    <w:rsid w:val="009807A5"/>
    <w:rsid w:val="0098123E"/>
    <w:rsid w:val="009822AD"/>
    <w:rsid w:val="009823BF"/>
    <w:rsid w:val="009823F5"/>
    <w:rsid w:val="009824E5"/>
    <w:rsid w:val="009826D8"/>
    <w:rsid w:val="00982B28"/>
    <w:rsid w:val="00982E8F"/>
    <w:rsid w:val="009830D9"/>
    <w:rsid w:val="00983E52"/>
    <w:rsid w:val="00983FC4"/>
    <w:rsid w:val="009841BE"/>
    <w:rsid w:val="00984677"/>
    <w:rsid w:val="0098471A"/>
    <w:rsid w:val="00984DF0"/>
    <w:rsid w:val="009851B6"/>
    <w:rsid w:val="009855B7"/>
    <w:rsid w:val="009858F2"/>
    <w:rsid w:val="00985C97"/>
    <w:rsid w:val="00986179"/>
    <w:rsid w:val="009864EA"/>
    <w:rsid w:val="00986575"/>
    <w:rsid w:val="00986733"/>
    <w:rsid w:val="00986795"/>
    <w:rsid w:val="009869EE"/>
    <w:rsid w:val="00986A60"/>
    <w:rsid w:val="00986BAE"/>
    <w:rsid w:val="00987151"/>
    <w:rsid w:val="00987259"/>
    <w:rsid w:val="00987638"/>
    <w:rsid w:val="0098778C"/>
    <w:rsid w:val="009878E4"/>
    <w:rsid w:val="00990059"/>
    <w:rsid w:val="0099065E"/>
    <w:rsid w:val="009908F6"/>
    <w:rsid w:val="00990F50"/>
    <w:rsid w:val="009910C0"/>
    <w:rsid w:val="00991177"/>
    <w:rsid w:val="009913CA"/>
    <w:rsid w:val="009919A6"/>
    <w:rsid w:val="00991C7E"/>
    <w:rsid w:val="00991E3F"/>
    <w:rsid w:val="0099206A"/>
    <w:rsid w:val="00992DC4"/>
    <w:rsid w:val="009932F1"/>
    <w:rsid w:val="009938D8"/>
    <w:rsid w:val="00993956"/>
    <w:rsid w:val="00993F8A"/>
    <w:rsid w:val="009941B4"/>
    <w:rsid w:val="009948B6"/>
    <w:rsid w:val="00994AB1"/>
    <w:rsid w:val="00994C51"/>
    <w:rsid w:val="009950B9"/>
    <w:rsid w:val="00995264"/>
    <w:rsid w:val="00995407"/>
    <w:rsid w:val="0099589E"/>
    <w:rsid w:val="0099594C"/>
    <w:rsid w:val="0099610A"/>
    <w:rsid w:val="00996481"/>
    <w:rsid w:val="00996497"/>
    <w:rsid w:val="00996B94"/>
    <w:rsid w:val="00997112"/>
    <w:rsid w:val="00997F69"/>
    <w:rsid w:val="009A0811"/>
    <w:rsid w:val="009A08B5"/>
    <w:rsid w:val="009A0EAA"/>
    <w:rsid w:val="009A0EBA"/>
    <w:rsid w:val="009A16DA"/>
    <w:rsid w:val="009A249F"/>
    <w:rsid w:val="009A25B3"/>
    <w:rsid w:val="009A2637"/>
    <w:rsid w:val="009A379D"/>
    <w:rsid w:val="009A4051"/>
    <w:rsid w:val="009A419F"/>
    <w:rsid w:val="009A4297"/>
    <w:rsid w:val="009A44D3"/>
    <w:rsid w:val="009A4EFC"/>
    <w:rsid w:val="009A528F"/>
    <w:rsid w:val="009A5447"/>
    <w:rsid w:val="009A5732"/>
    <w:rsid w:val="009A5C36"/>
    <w:rsid w:val="009A6B8B"/>
    <w:rsid w:val="009A71BC"/>
    <w:rsid w:val="009A7A8D"/>
    <w:rsid w:val="009B00A3"/>
    <w:rsid w:val="009B049C"/>
    <w:rsid w:val="009B0558"/>
    <w:rsid w:val="009B0E82"/>
    <w:rsid w:val="009B1857"/>
    <w:rsid w:val="009B1F0A"/>
    <w:rsid w:val="009B2323"/>
    <w:rsid w:val="009B3997"/>
    <w:rsid w:val="009B4624"/>
    <w:rsid w:val="009B46B4"/>
    <w:rsid w:val="009B4877"/>
    <w:rsid w:val="009B53CF"/>
    <w:rsid w:val="009B5677"/>
    <w:rsid w:val="009B56EB"/>
    <w:rsid w:val="009B59EA"/>
    <w:rsid w:val="009B6511"/>
    <w:rsid w:val="009B67BB"/>
    <w:rsid w:val="009B6920"/>
    <w:rsid w:val="009B6AB8"/>
    <w:rsid w:val="009B6C0B"/>
    <w:rsid w:val="009B6E52"/>
    <w:rsid w:val="009B7274"/>
    <w:rsid w:val="009B74FF"/>
    <w:rsid w:val="009B7831"/>
    <w:rsid w:val="009B7A65"/>
    <w:rsid w:val="009B7BEB"/>
    <w:rsid w:val="009C012B"/>
    <w:rsid w:val="009C0197"/>
    <w:rsid w:val="009C0691"/>
    <w:rsid w:val="009C088D"/>
    <w:rsid w:val="009C12F5"/>
    <w:rsid w:val="009C1AC3"/>
    <w:rsid w:val="009C1DE8"/>
    <w:rsid w:val="009C2634"/>
    <w:rsid w:val="009C2CC3"/>
    <w:rsid w:val="009C36BB"/>
    <w:rsid w:val="009C407D"/>
    <w:rsid w:val="009C4364"/>
    <w:rsid w:val="009C46FC"/>
    <w:rsid w:val="009C4E62"/>
    <w:rsid w:val="009C4EBB"/>
    <w:rsid w:val="009C52AE"/>
    <w:rsid w:val="009C5C7F"/>
    <w:rsid w:val="009C5E88"/>
    <w:rsid w:val="009C6716"/>
    <w:rsid w:val="009C7BEE"/>
    <w:rsid w:val="009C7E15"/>
    <w:rsid w:val="009D04FE"/>
    <w:rsid w:val="009D0571"/>
    <w:rsid w:val="009D16E2"/>
    <w:rsid w:val="009D18FE"/>
    <w:rsid w:val="009D1E43"/>
    <w:rsid w:val="009D1F6D"/>
    <w:rsid w:val="009D2497"/>
    <w:rsid w:val="009D2AFA"/>
    <w:rsid w:val="009D2BEC"/>
    <w:rsid w:val="009D2C1E"/>
    <w:rsid w:val="009D2E48"/>
    <w:rsid w:val="009D2E82"/>
    <w:rsid w:val="009D364A"/>
    <w:rsid w:val="009D36AE"/>
    <w:rsid w:val="009D3928"/>
    <w:rsid w:val="009D3C08"/>
    <w:rsid w:val="009D40B9"/>
    <w:rsid w:val="009D4295"/>
    <w:rsid w:val="009D46BC"/>
    <w:rsid w:val="009D4816"/>
    <w:rsid w:val="009D4939"/>
    <w:rsid w:val="009D4A81"/>
    <w:rsid w:val="009D5115"/>
    <w:rsid w:val="009D511A"/>
    <w:rsid w:val="009D58C3"/>
    <w:rsid w:val="009D5DF6"/>
    <w:rsid w:val="009D6A00"/>
    <w:rsid w:val="009D6AFC"/>
    <w:rsid w:val="009D6D52"/>
    <w:rsid w:val="009D6D95"/>
    <w:rsid w:val="009D6DF5"/>
    <w:rsid w:val="009D6EF5"/>
    <w:rsid w:val="009D721F"/>
    <w:rsid w:val="009D799B"/>
    <w:rsid w:val="009D7C89"/>
    <w:rsid w:val="009E0297"/>
    <w:rsid w:val="009E0A0E"/>
    <w:rsid w:val="009E0AB5"/>
    <w:rsid w:val="009E0B06"/>
    <w:rsid w:val="009E0CC7"/>
    <w:rsid w:val="009E0D93"/>
    <w:rsid w:val="009E10B6"/>
    <w:rsid w:val="009E12AD"/>
    <w:rsid w:val="009E12BC"/>
    <w:rsid w:val="009E1568"/>
    <w:rsid w:val="009E197F"/>
    <w:rsid w:val="009E19A2"/>
    <w:rsid w:val="009E1DB8"/>
    <w:rsid w:val="009E22B6"/>
    <w:rsid w:val="009E2660"/>
    <w:rsid w:val="009E31D2"/>
    <w:rsid w:val="009E34B7"/>
    <w:rsid w:val="009E3A3F"/>
    <w:rsid w:val="009E4303"/>
    <w:rsid w:val="009E4B25"/>
    <w:rsid w:val="009E5242"/>
    <w:rsid w:val="009E53A5"/>
    <w:rsid w:val="009E5B2C"/>
    <w:rsid w:val="009E5D8F"/>
    <w:rsid w:val="009E5F09"/>
    <w:rsid w:val="009E6186"/>
    <w:rsid w:val="009E62F0"/>
    <w:rsid w:val="009E7350"/>
    <w:rsid w:val="009F0370"/>
    <w:rsid w:val="009F0482"/>
    <w:rsid w:val="009F04FB"/>
    <w:rsid w:val="009F0523"/>
    <w:rsid w:val="009F1765"/>
    <w:rsid w:val="009F1C23"/>
    <w:rsid w:val="009F1FDF"/>
    <w:rsid w:val="009F21C6"/>
    <w:rsid w:val="009F2A62"/>
    <w:rsid w:val="009F2ABF"/>
    <w:rsid w:val="009F3312"/>
    <w:rsid w:val="009F338F"/>
    <w:rsid w:val="009F3489"/>
    <w:rsid w:val="009F3A1E"/>
    <w:rsid w:val="009F3F69"/>
    <w:rsid w:val="009F3FE7"/>
    <w:rsid w:val="009F405A"/>
    <w:rsid w:val="009F410C"/>
    <w:rsid w:val="009F419E"/>
    <w:rsid w:val="009F44BB"/>
    <w:rsid w:val="009F4843"/>
    <w:rsid w:val="009F540D"/>
    <w:rsid w:val="009F5D0E"/>
    <w:rsid w:val="009F6030"/>
    <w:rsid w:val="009F6645"/>
    <w:rsid w:val="009F6B0D"/>
    <w:rsid w:val="009F74A6"/>
    <w:rsid w:val="00A00975"/>
    <w:rsid w:val="00A00ABD"/>
    <w:rsid w:val="00A010D1"/>
    <w:rsid w:val="00A011D9"/>
    <w:rsid w:val="00A01790"/>
    <w:rsid w:val="00A01981"/>
    <w:rsid w:val="00A01A1A"/>
    <w:rsid w:val="00A022C0"/>
    <w:rsid w:val="00A02516"/>
    <w:rsid w:val="00A028AD"/>
    <w:rsid w:val="00A02AA2"/>
    <w:rsid w:val="00A02D38"/>
    <w:rsid w:val="00A02D5C"/>
    <w:rsid w:val="00A030B0"/>
    <w:rsid w:val="00A031CF"/>
    <w:rsid w:val="00A03488"/>
    <w:rsid w:val="00A0348F"/>
    <w:rsid w:val="00A035B2"/>
    <w:rsid w:val="00A03614"/>
    <w:rsid w:val="00A03705"/>
    <w:rsid w:val="00A0379F"/>
    <w:rsid w:val="00A0393D"/>
    <w:rsid w:val="00A03A51"/>
    <w:rsid w:val="00A03C6E"/>
    <w:rsid w:val="00A03D3F"/>
    <w:rsid w:val="00A03E37"/>
    <w:rsid w:val="00A040E3"/>
    <w:rsid w:val="00A04216"/>
    <w:rsid w:val="00A04526"/>
    <w:rsid w:val="00A04B07"/>
    <w:rsid w:val="00A054ED"/>
    <w:rsid w:val="00A05ECC"/>
    <w:rsid w:val="00A05EF4"/>
    <w:rsid w:val="00A06798"/>
    <w:rsid w:val="00A069E6"/>
    <w:rsid w:val="00A06D31"/>
    <w:rsid w:val="00A0779A"/>
    <w:rsid w:val="00A077D6"/>
    <w:rsid w:val="00A07894"/>
    <w:rsid w:val="00A07FEA"/>
    <w:rsid w:val="00A1022E"/>
    <w:rsid w:val="00A1053C"/>
    <w:rsid w:val="00A10C74"/>
    <w:rsid w:val="00A10CA1"/>
    <w:rsid w:val="00A11439"/>
    <w:rsid w:val="00A1158A"/>
    <w:rsid w:val="00A11898"/>
    <w:rsid w:val="00A11D35"/>
    <w:rsid w:val="00A11F2B"/>
    <w:rsid w:val="00A11F83"/>
    <w:rsid w:val="00A120CC"/>
    <w:rsid w:val="00A12109"/>
    <w:rsid w:val="00A12288"/>
    <w:rsid w:val="00A12605"/>
    <w:rsid w:val="00A126DE"/>
    <w:rsid w:val="00A13532"/>
    <w:rsid w:val="00A136B0"/>
    <w:rsid w:val="00A13CB0"/>
    <w:rsid w:val="00A13D1C"/>
    <w:rsid w:val="00A14E4A"/>
    <w:rsid w:val="00A155FC"/>
    <w:rsid w:val="00A15987"/>
    <w:rsid w:val="00A15E22"/>
    <w:rsid w:val="00A16453"/>
    <w:rsid w:val="00A1660B"/>
    <w:rsid w:val="00A16791"/>
    <w:rsid w:val="00A168EB"/>
    <w:rsid w:val="00A17247"/>
    <w:rsid w:val="00A179CC"/>
    <w:rsid w:val="00A17CE1"/>
    <w:rsid w:val="00A17DE3"/>
    <w:rsid w:val="00A200A1"/>
    <w:rsid w:val="00A200C4"/>
    <w:rsid w:val="00A207A7"/>
    <w:rsid w:val="00A20874"/>
    <w:rsid w:val="00A209EB"/>
    <w:rsid w:val="00A20B7C"/>
    <w:rsid w:val="00A20E97"/>
    <w:rsid w:val="00A20F0B"/>
    <w:rsid w:val="00A210DC"/>
    <w:rsid w:val="00A21E20"/>
    <w:rsid w:val="00A2214E"/>
    <w:rsid w:val="00A22AB2"/>
    <w:rsid w:val="00A22C4D"/>
    <w:rsid w:val="00A23161"/>
    <w:rsid w:val="00A23750"/>
    <w:rsid w:val="00A23BFB"/>
    <w:rsid w:val="00A23CEB"/>
    <w:rsid w:val="00A23E3E"/>
    <w:rsid w:val="00A23F28"/>
    <w:rsid w:val="00A24CBB"/>
    <w:rsid w:val="00A24D61"/>
    <w:rsid w:val="00A251AE"/>
    <w:rsid w:val="00A2523F"/>
    <w:rsid w:val="00A254E0"/>
    <w:rsid w:val="00A25E4F"/>
    <w:rsid w:val="00A26385"/>
    <w:rsid w:val="00A264C2"/>
    <w:rsid w:val="00A26B0D"/>
    <w:rsid w:val="00A26FE6"/>
    <w:rsid w:val="00A305CE"/>
    <w:rsid w:val="00A30653"/>
    <w:rsid w:val="00A30BA4"/>
    <w:rsid w:val="00A30EB6"/>
    <w:rsid w:val="00A310B8"/>
    <w:rsid w:val="00A313A8"/>
    <w:rsid w:val="00A31571"/>
    <w:rsid w:val="00A319EB"/>
    <w:rsid w:val="00A31BD7"/>
    <w:rsid w:val="00A3216E"/>
    <w:rsid w:val="00A32279"/>
    <w:rsid w:val="00A324F6"/>
    <w:rsid w:val="00A329F7"/>
    <w:rsid w:val="00A32A88"/>
    <w:rsid w:val="00A32BF3"/>
    <w:rsid w:val="00A32D80"/>
    <w:rsid w:val="00A331E1"/>
    <w:rsid w:val="00A3321D"/>
    <w:rsid w:val="00A33533"/>
    <w:rsid w:val="00A3391B"/>
    <w:rsid w:val="00A3454E"/>
    <w:rsid w:val="00A347CC"/>
    <w:rsid w:val="00A34850"/>
    <w:rsid w:val="00A34CB8"/>
    <w:rsid w:val="00A34D4F"/>
    <w:rsid w:val="00A34E2C"/>
    <w:rsid w:val="00A34F5E"/>
    <w:rsid w:val="00A35352"/>
    <w:rsid w:val="00A35681"/>
    <w:rsid w:val="00A36636"/>
    <w:rsid w:val="00A370B2"/>
    <w:rsid w:val="00A37212"/>
    <w:rsid w:val="00A37507"/>
    <w:rsid w:val="00A375A7"/>
    <w:rsid w:val="00A378E7"/>
    <w:rsid w:val="00A3791E"/>
    <w:rsid w:val="00A37F71"/>
    <w:rsid w:val="00A4012E"/>
    <w:rsid w:val="00A4026A"/>
    <w:rsid w:val="00A40644"/>
    <w:rsid w:val="00A40746"/>
    <w:rsid w:val="00A40DF1"/>
    <w:rsid w:val="00A40E54"/>
    <w:rsid w:val="00A40F87"/>
    <w:rsid w:val="00A41F78"/>
    <w:rsid w:val="00A41FF1"/>
    <w:rsid w:val="00A42168"/>
    <w:rsid w:val="00A427F8"/>
    <w:rsid w:val="00A4363E"/>
    <w:rsid w:val="00A43867"/>
    <w:rsid w:val="00A43ABC"/>
    <w:rsid w:val="00A43D1C"/>
    <w:rsid w:val="00A44983"/>
    <w:rsid w:val="00A4557E"/>
    <w:rsid w:val="00A455A7"/>
    <w:rsid w:val="00A4645B"/>
    <w:rsid w:val="00A4659D"/>
    <w:rsid w:val="00A46A87"/>
    <w:rsid w:val="00A47419"/>
    <w:rsid w:val="00A47BAC"/>
    <w:rsid w:val="00A5000A"/>
    <w:rsid w:val="00A50AD1"/>
    <w:rsid w:val="00A50C2A"/>
    <w:rsid w:val="00A518A5"/>
    <w:rsid w:val="00A52040"/>
    <w:rsid w:val="00A52075"/>
    <w:rsid w:val="00A52F3A"/>
    <w:rsid w:val="00A543DF"/>
    <w:rsid w:val="00A543F8"/>
    <w:rsid w:val="00A54934"/>
    <w:rsid w:val="00A54C41"/>
    <w:rsid w:val="00A54C67"/>
    <w:rsid w:val="00A55528"/>
    <w:rsid w:val="00A55B75"/>
    <w:rsid w:val="00A56275"/>
    <w:rsid w:val="00A565E2"/>
    <w:rsid w:val="00A56B7C"/>
    <w:rsid w:val="00A56EEB"/>
    <w:rsid w:val="00A5734A"/>
    <w:rsid w:val="00A57462"/>
    <w:rsid w:val="00A575B5"/>
    <w:rsid w:val="00A5764C"/>
    <w:rsid w:val="00A57AB5"/>
    <w:rsid w:val="00A60085"/>
    <w:rsid w:val="00A60BB7"/>
    <w:rsid w:val="00A61509"/>
    <w:rsid w:val="00A615C7"/>
    <w:rsid w:val="00A61690"/>
    <w:rsid w:val="00A617FB"/>
    <w:rsid w:val="00A6205A"/>
    <w:rsid w:val="00A6211D"/>
    <w:rsid w:val="00A622B1"/>
    <w:rsid w:val="00A628F9"/>
    <w:rsid w:val="00A62AEB"/>
    <w:rsid w:val="00A62BD5"/>
    <w:rsid w:val="00A6355D"/>
    <w:rsid w:val="00A6362B"/>
    <w:rsid w:val="00A63A06"/>
    <w:rsid w:val="00A63C09"/>
    <w:rsid w:val="00A63D85"/>
    <w:rsid w:val="00A6457B"/>
    <w:rsid w:val="00A646ED"/>
    <w:rsid w:val="00A64871"/>
    <w:rsid w:val="00A649D7"/>
    <w:rsid w:val="00A64B1B"/>
    <w:rsid w:val="00A64B26"/>
    <w:rsid w:val="00A64CFD"/>
    <w:rsid w:val="00A6540C"/>
    <w:rsid w:val="00A65916"/>
    <w:rsid w:val="00A66173"/>
    <w:rsid w:val="00A662FA"/>
    <w:rsid w:val="00A66491"/>
    <w:rsid w:val="00A66770"/>
    <w:rsid w:val="00A676AF"/>
    <w:rsid w:val="00A678CB"/>
    <w:rsid w:val="00A7062A"/>
    <w:rsid w:val="00A710FA"/>
    <w:rsid w:val="00A71922"/>
    <w:rsid w:val="00A71ABB"/>
    <w:rsid w:val="00A71BBD"/>
    <w:rsid w:val="00A71C48"/>
    <w:rsid w:val="00A71E3C"/>
    <w:rsid w:val="00A71F8F"/>
    <w:rsid w:val="00A7238B"/>
    <w:rsid w:val="00A72611"/>
    <w:rsid w:val="00A72EB9"/>
    <w:rsid w:val="00A73000"/>
    <w:rsid w:val="00A7340B"/>
    <w:rsid w:val="00A7378B"/>
    <w:rsid w:val="00A73A75"/>
    <w:rsid w:val="00A73DBE"/>
    <w:rsid w:val="00A73E79"/>
    <w:rsid w:val="00A7408B"/>
    <w:rsid w:val="00A74192"/>
    <w:rsid w:val="00A744B9"/>
    <w:rsid w:val="00A74587"/>
    <w:rsid w:val="00A74666"/>
    <w:rsid w:val="00A74742"/>
    <w:rsid w:val="00A747D3"/>
    <w:rsid w:val="00A7499E"/>
    <w:rsid w:val="00A750CB"/>
    <w:rsid w:val="00A762DD"/>
    <w:rsid w:val="00A766C2"/>
    <w:rsid w:val="00A7672F"/>
    <w:rsid w:val="00A76888"/>
    <w:rsid w:val="00A768B1"/>
    <w:rsid w:val="00A76C0D"/>
    <w:rsid w:val="00A771D6"/>
    <w:rsid w:val="00A77201"/>
    <w:rsid w:val="00A7783E"/>
    <w:rsid w:val="00A77A54"/>
    <w:rsid w:val="00A77B72"/>
    <w:rsid w:val="00A80408"/>
    <w:rsid w:val="00A8086F"/>
    <w:rsid w:val="00A8093F"/>
    <w:rsid w:val="00A80D24"/>
    <w:rsid w:val="00A80FE9"/>
    <w:rsid w:val="00A81127"/>
    <w:rsid w:val="00A8145D"/>
    <w:rsid w:val="00A818EC"/>
    <w:rsid w:val="00A819AB"/>
    <w:rsid w:val="00A81A4F"/>
    <w:rsid w:val="00A81EEE"/>
    <w:rsid w:val="00A81F28"/>
    <w:rsid w:val="00A82347"/>
    <w:rsid w:val="00A826BE"/>
    <w:rsid w:val="00A827E1"/>
    <w:rsid w:val="00A8310C"/>
    <w:rsid w:val="00A83579"/>
    <w:rsid w:val="00A83F81"/>
    <w:rsid w:val="00A84371"/>
    <w:rsid w:val="00A84D0F"/>
    <w:rsid w:val="00A84E9E"/>
    <w:rsid w:val="00A8590E"/>
    <w:rsid w:val="00A859D2"/>
    <w:rsid w:val="00A85D00"/>
    <w:rsid w:val="00A8628D"/>
    <w:rsid w:val="00A8652C"/>
    <w:rsid w:val="00A86A45"/>
    <w:rsid w:val="00A86A5D"/>
    <w:rsid w:val="00A86ACA"/>
    <w:rsid w:val="00A86ADA"/>
    <w:rsid w:val="00A87039"/>
    <w:rsid w:val="00A87C0E"/>
    <w:rsid w:val="00A87D6A"/>
    <w:rsid w:val="00A90A8A"/>
    <w:rsid w:val="00A90D97"/>
    <w:rsid w:val="00A9139C"/>
    <w:rsid w:val="00A91460"/>
    <w:rsid w:val="00A916ED"/>
    <w:rsid w:val="00A91782"/>
    <w:rsid w:val="00A918CA"/>
    <w:rsid w:val="00A91B9A"/>
    <w:rsid w:val="00A921A1"/>
    <w:rsid w:val="00A92280"/>
    <w:rsid w:val="00A9250C"/>
    <w:rsid w:val="00A928BF"/>
    <w:rsid w:val="00A92E5D"/>
    <w:rsid w:val="00A930ED"/>
    <w:rsid w:val="00A93E68"/>
    <w:rsid w:val="00A93FD5"/>
    <w:rsid w:val="00A9418C"/>
    <w:rsid w:val="00A949BD"/>
    <w:rsid w:val="00A94E71"/>
    <w:rsid w:val="00A950B4"/>
    <w:rsid w:val="00A950C2"/>
    <w:rsid w:val="00A9523C"/>
    <w:rsid w:val="00A961C3"/>
    <w:rsid w:val="00A962A0"/>
    <w:rsid w:val="00A96336"/>
    <w:rsid w:val="00A96A34"/>
    <w:rsid w:val="00A9707B"/>
    <w:rsid w:val="00A973A3"/>
    <w:rsid w:val="00A975D9"/>
    <w:rsid w:val="00A9772C"/>
    <w:rsid w:val="00A97AC4"/>
    <w:rsid w:val="00A97C67"/>
    <w:rsid w:val="00AA03AF"/>
    <w:rsid w:val="00AA0546"/>
    <w:rsid w:val="00AA201E"/>
    <w:rsid w:val="00AA28BA"/>
    <w:rsid w:val="00AA2C84"/>
    <w:rsid w:val="00AA2D00"/>
    <w:rsid w:val="00AA2FE4"/>
    <w:rsid w:val="00AA3165"/>
    <w:rsid w:val="00AA335A"/>
    <w:rsid w:val="00AA358D"/>
    <w:rsid w:val="00AA3910"/>
    <w:rsid w:val="00AA3DFF"/>
    <w:rsid w:val="00AA3FF7"/>
    <w:rsid w:val="00AA49DF"/>
    <w:rsid w:val="00AA54FD"/>
    <w:rsid w:val="00AA5919"/>
    <w:rsid w:val="00AA626F"/>
    <w:rsid w:val="00AA62F1"/>
    <w:rsid w:val="00AA6A03"/>
    <w:rsid w:val="00AA7381"/>
    <w:rsid w:val="00AB05EF"/>
    <w:rsid w:val="00AB0AFB"/>
    <w:rsid w:val="00AB0FB0"/>
    <w:rsid w:val="00AB16BE"/>
    <w:rsid w:val="00AB1A59"/>
    <w:rsid w:val="00AB1A86"/>
    <w:rsid w:val="00AB1BEB"/>
    <w:rsid w:val="00AB1C95"/>
    <w:rsid w:val="00AB2EDE"/>
    <w:rsid w:val="00AB302B"/>
    <w:rsid w:val="00AB3322"/>
    <w:rsid w:val="00AB381F"/>
    <w:rsid w:val="00AB3BCA"/>
    <w:rsid w:val="00AB3C33"/>
    <w:rsid w:val="00AB3D4E"/>
    <w:rsid w:val="00AB3D87"/>
    <w:rsid w:val="00AB3DF4"/>
    <w:rsid w:val="00AB4988"/>
    <w:rsid w:val="00AB4FF9"/>
    <w:rsid w:val="00AB54AC"/>
    <w:rsid w:val="00AB5942"/>
    <w:rsid w:val="00AB5A19"/>
    <w:rsid w:val="00AB6258"/>
    <w:rsid w:val="00AB78F0"/>
    <w:rsid w:val="00AB7B34"/>
    <w:rsid w:val="00AB7BAC"/>
    <w:rsid w:val="00AC054D"/>
    <w:rsid w:val="00AC1257"/>
    <w:rsid w:val="00AC16DB"/>
    <w:rsid w:val="00AC241E"/>
    <w:rsid w:val="00AC258B"/>
    <w:rsid w:val="00AC28F9"/>
    <w:rsid w:val="00AC2A62"/>
    <w:rsid w:val="00AC2A97"/>
    <w:rsid w:val="00AC2AA8"/>
    <w:rsid w:val="00AC2E78"/>
    <w:rsid w:val="00AC32A1"/>
    <w:rsid w:val="00AC35B9"/>
    <w:rsid w:val="00AC378B"/>
    <w:rsid w:val="00AC3A0B"/>
    <w:rsid w:val="00AC3B3F"/>
    <w:rsid w:val="00AC3DC4"/>
    <w:rsid w:val="00AC3F10"/>
    <w:rsid w:val="00AC4499"/>
    <w:rsid w:val="00AC49D1"/>
    <w:rsid w:val="00AC511F"/>
    <w:rsid w:val="00AC5A6D"/>
    <w:rsid w:val="00AC5D41"/>
    <w:rsid w:val="00AC5E6E"/>
    <w:rsid w:val="00AC649C"/>
    <w:rsid w:val="00AC6640"/>
    <w:rsid w:val="00AC6A9A"/>
    <w:rsid w:val="00AC6BA0"/>
    <w:rsid w:val="00AC7095"/>
    <w:rsid w:val="00AC71E6"/>
    <w:rsid w:val="00AC72A8"/>
    <w:rsid w:val="00AC7413"/>
    <w:rsid w:val="00AC755A"/>
    <w:rsid w:val="00AC77CF"/>
    <w:rsid w:val="00AC7933"/>
    <w:rsid w:val="00AC79BE"/>
    <w:rsid w:val="00AC7BBE"/>
    <w:rsid w:val="00AC7EBD"/>
    <w:rsid w:val="00AD000E"/>
    <w:rsid w:val="00AD0058"/>
    <w:rsid w:val="00AD010C"/>
    <w:rsid w:val="00AD095F"/>
    <w:rsid w:val="00AD0CD3"/>
    <w:rsid w:val="00AD0D0A"/>
    <w:rsid w:val="00AD1A2D"/>
    <w:rsid w:val="00AD1D42"/>
    <w:rsid w:val="00AD1EEB"/>
    <w:rsid w:val="00AD2099"/>
    <w:rsid w:val="00AD2490"/>
    <w:rsid w:val="00AD28E8"/>
    <w:rsid w:val="00AD29F0"/>
    <w:rsid w:val="00AD3C3F"/>
    <w:rsid w:val="00AD3F4B"/>
    <w:rsid w:val="00AD4525"/>
    <w:rsid w:val="00AD46B9"/>
    <w:rsid w:val="00AD47EE"/>
    <w:rsid w:val="00AD48B0"/>
    <w:rsid w:val="00AD48F1"/>
    <w:rsid w:val="00AD5699"/>
    <w:rsid w:val="00AD5E84"/>
    <w:rsid w:val="00AD63AF"/>
    <w:rsid w:val="00AD662C"/>
    <w:rsid w:val="00AD6BC1"/>
    <w:rsid w:val="00AD6F10"/>
    <w:rsid w:val="00AD75AC"/>
    <w:rsid w:val="00AD76CA"/>
    <w:rsid w:val="00AD79E2"/>
    <w:rsid w:val="00AD7FEF"/>
    <w:rsid w:val="00AE024D"/>
    <w:rsid w:val="00AE03A4"/>
    <w:rsid w:val="00AE0875"/>
    <w:rsid w:val="00AE1015"/>
    <w:rsid w:val="00AE11FD"/>
    <w:rsid w:val="00AE1B09"/>
    <w:rsid w:val="00AE1CA9"/>
    <w:rsid w:val="00AE2129"/>
    <w:rsid w:val="00AE2294"/>
    <w:rsid w:val="00AE23E5"/>
    <w:rsid w:val="00AE2BF0"/>
    <w:rsid w:val="00AE3755"/>
    <w:rsid w:val="00AE3A90"/>
    <w:rsid w:val="00AE4457"/>
    <w:rsid w:val="00AE4780"/>
    <w:rsid w:val="00AE5711"/>
    <w:rsid w:val="00AE5C27"/>
    <w:rsid w:val="00AE5CD5"/>
    <w:rsid w:val="00AE6881"/>
    <w:rsid w:val="00AE6D46"/>
    <w:rsid w:val="00AE6E03"/>
    <w:rsid w:val="00AE6F84"/>
    <w:rsid w:val="00AE6FBC"/>
    <w:rsid w:val="00AE7199"/>
    <w:rsid w:val="00AE75CD"/>
    <w:rsid w:val="00AE7B4F"/>
    <w:rsid w:val="00AE7D00"/>
    <w:rsid w:val="00AE7ECB"/>
    <w:rsid w:val="00AE7F1B"/>
    <w:rsid w:val="00AF003B"/>
    <w:rsid w:val="00AF059D"/>
    <w:rsid w:val="00AF08AE"/>
    <w:rsid w:val="00AF0A09"/>
    <w:rsid w:val="00AF0C36"/>
    <w:rsid w:val="00AF11FC"/>
    <w:rsid w:val="00AF1208"/>
    <w:rsid w:val="00AF1212"/>
    <w:rsid w:val="00AF1C0C"/>
    <w:rsid w:val="00AF1C5D"/>
    <w:rsid w:val="00AF2EE3"/>
    <w:rsid w:val="00AF3A37"/>
    <w:rsid w:val="00AF3D61"/>
    <w:rsid w:val="00AF40C1"/>
    <w:rsid w:val="00AF4352"/>
    <w:rsid w:val="00AF4370"/>
    <w:rsid w:val="00AF4535"/>
    <w:rsid w:val="00AF4AFB"/>
    <w:rsid w:val="00AF4B36"/>
    <w:rsid w:val="00AF4C43"/>
    <w:rsid w:val="00AF4F22"/>
    <w:rsid w:val="00AF4F92"/>
    <w:rsid w:val="00AF539C"/>
    <w:rsid w:val="00AF54A7"/>
    <w:rsid w:val="00AF571D"/>
    <w:rsid w:val="00AF5AFC"/>
    <w:rsid w:val="00AF5BF5"/>
    <w:rsid w:val="00AF5E42"/>
    <w:rsid w:val="00AF746F"/>
    <w:rsid w:val="00AF7D56"/>
    <w:rsid w:val="00AF7DDF"/>
    <w:rsid w:val="00AF7E5B"/>
    <w:rsid w:val="00B00287"/>
    <w:rsid w:val="00B00C41"/>
    <w:rsid w:val="00B00C9A"/>
    <w:rsid w:val="00B018CC"/>
    <w:rsid w:val="00B01953"/>
    <w:rsid w:val="00B02467"/>
    <w:rsid w:val="00B027C0"/>
    <w:rsid w:val="00B031B9"/>
    <w:rsid w:val="00B03341"/>
    <w:rsid w:val="00B035D4"/>
    <w:rsid w:val="00B039B2"/>
    <w:rsid w:val="00B03E98"/>
    <w:rsid w:val="00B043E7"/>
    <w:rsid w:val="00B04FDA"/>
    <w:rsid w:val="00B05021"/>
    <w:rsid w:val="00B05474"/>
    <w:rsid w:val="00B0633E"/>
    <w:rsid w:val="00B0653C"/>
    <w:rsid w:val="00B0674C"/>
    <w:rsid w:val="00B06977"/>
    <w:rsid w:val="00B06B73"/>
    <w:rsid w:val="00B06F25"/>
    <w:rsid w:val="00B07131"/>
    <w:rsid w:val="00B07430"/>
    <w:rsid w:val="00B074FF"/>
    <w:rsid w:val="00B076B4"/>
    <w:rsid w:val="00B07D8A"/>
    <w:rsid w:val="00B1028D"/>
    <w:rsid w:val="00B1044D"/>
    <w:rsid w:val="00B10B92"/>
    <w:rsid w:val="00B10D4E"/>
    <w:rsid w:val="00B10E0F"/>
    <w:rsid w:val="00B10F4C"/>
    <w:rsid w:val="00B111AB"/>
    <w:rsid w:val="00B11438"/>
    <w:rsid w:val="00B11C6D"/>
    <w:rsid w:val="00B125DC"/>
    <w:rsid w:val="00B1285C"/>
    <w:rsid w:val="00B12A8C"/>
    <w:rsid w:val="00B131F2"/>
    <w:rsid w:val="00B13729"/>
    <w:rsid w:val="00B142F2"/>
    <w:rsid w:val="00B14559"/>
    <w:rsid w:val="00B148D3"/>
    <w:rsid w:val="00B14F2C"/>
    <w:rsid w:val="00B155C2"/>
    <w:rsid w:val="00B156BF"/>
    <w:rsid w:val="00B1610B"/>
    <w:rsid w:val="00B1644A"/>
    <w:rsid w:val="00B16565"/>
    <w:rsid w:val="00B16928"/>
    <w:rsid w:val="00B17BB9"/>
    <w:rsid w:val="00B17E42"/>
    <w:rsid w:val="00B17F24"/>
    <w:rsid w:val="00B20827"/>
    <w:rsid w:val="00B21277"/>
    <w:rsid w:val="00B2150C"/>
    <w:rsid w:val="00B21D9A"/>
    <w:rsid w:val="00B21F6B"/>
    <w:rsid w:val="00B22599"/>
    <w:rsid w:val="00B228E2"/>
    <w:rsid w:val="00B22C1F"/>
    <w:rsid w:val="00B22CC4"/>
    <w:rsid w:val="00B22E83"/>
    <w:rsid w:val="00B232CF"/>
    <w:rsid w:val="00B23A67"/>
    <w:rsid w:val="00B240BA"/>
    <w:rsid w:val="00B243F1"/>
    <w:rsid w:val="00B24A12"/>
    <w:rsid w:val="00B24C45"/>
    <w:rsid w:val="00B24E00"/>
    <w:rsid w:val="00B24EBD"/>
    <w:rsid w:val="00B25628"/>
    <w:rsid w:val="00B25BD5"/>
    <w:rsid w:val="00B25EF0"/>
    <w:rsid w:val="00B26141"/>
    <w:rsid w:val="00B26378"/>
    <w:rsid w:val="00B268D3"/>
    <w:rsid w:val="00B26D4E"/>
    <w:rsid w:val="00B2717F"/>
    <w:rsid w:val="00B2722F"/>
    <w:rsid w:val="00B277B6"/>
    <w:rsid w:val="00B278E8"/>
    <w:rsid w:val="00B2797E"/>
    <w:rsid w:val="00B30377"/>
    <w:rsid w:val="00B307F7"/>
    <w:rsid w:val="00B31BD6"/>
    <w:rsid w:val="00B32D18"/>
    <w:rsid w:val="00B32EBD"/>
    <w:rsid w:val="00B33935"/>
    <w:rsid w:val="00B33CD4"/>
    <w:rsid w:val="00B33ED9"/>
    <w:rsid w:val="00B34063"/>
    <w:rsid w:val="00B346DA"/>
    <w:rsid w:val="00B34796"/>
    <w:rsid w:val="00B34ACC"/>
    <w:rsid w:val="00B34F82"/>
    <w:rsid w:val="00B35482"/>
    <w:rsid w:val="00B357E1"/>
    <w:rsid w:val="00B359AF"/>
    <w:rsid w:val="00B35AFB"/>
    <w:rsid w:val="00B35BBB"/>
    <w:rsid w:val="00B35DED"/>
    <w:rsid w:val="00B3602B"/>
    <w:rsid w:val="00B362E2"/>
    <w:rsid w:val="00B363E7"/>
    <w:rsid w:val="00B36524"/>
    <w:rsid w:val="00B367A2"/>
    <w:rsid w:val="00B36813"/>
    <w:rsid w:val="00B36CC8"/>
    <w:rsid w:val="00B3707A"/>
    <w:rsid w:val="00B37EAB"/>
    <w:rsid w:val="00B4018E"/>
    <w:rsid w:val="00B40A8B"/>
    <w:rsid w:val="00B40F54"/>
    <w:rsid w:val="00B41103"/>
    <w:rsid w:val="00B41222"/>
    <w:rsid w:val="00B4145C"/>
    <w:rsid w:val="00B414C2"/>
    <w:rsid w:val="00B417A1"/>
    <w:rsid w:val="00B424BD"/>
    <w:rsid w:val="00B424FB"/>
    <w:rsid w:val="00B425A4"/>
    <w:rsid w:val="00B42BF5"/>
    <w:rsid w:val="00B43744"/>
    <w:rsid w:val="00B438CC"/>
    <w:rsid w:val="00B43BCB"/>
    <w:rsid w:val="00B44875"/>
    <w:rsid w:val="00B448CA"/>
    <w:rsid w:val="00B44F04"/>
    <w:rsid w:val="00B4548B"/>
    <w:rsid w:val="00B45A76"/>
    <w:rsid w:val="00B45AD7"/>
    <w:rsid w:val="00B45CD9"/>
    <w:rsid w:val="00B45D51"/>
    <w:rsid w:val="00B4600D"/>
    <w:rsid w:val="00B464A0"/>
    <w:rsid w:val="00B46523"/>
    <w:rsid w:val="00B46E2C"/>
    <w:rsid w:val="00B47A2A"/>
    <w:rsid w:val="00B50148"/>
    <w:rsid w:val="00B504C8"/>
    <w:rsid w:val="00B5062D"/>
    <w:rsid w:val="00B509DD"/>
    <w:rsid w:val="00B5117B"/>
    <w:rsid w:val="00B51226"/>
    <w:rsid w:val="00B512DA"/>
    <w:rsid w:val="00B518A7"/>
    <w:rsid w:val="00B52024"/>
    <w:rsid w:val="00B533FB"/>
    <w:rsid w:val="00B547A9"/>
    <w:rsid w:val="00B553F1"/>
    <w:rsid w:val="00B55A86"/>
    <w:rsid w:val="00B55C9D"/>
    <w:rsid w:val="00B55CBF"/>
    <w:rsid w:val="00B55D54"/>
    <w:rsid w:val="00B56D3F"/>
    <w:rsid w:val="00B56D88"/>
    <w:rsid w:val="00B56EA1"/>
    <w:rsid w:val="00B573C6"/>
    <w:rsid w:val="00B574EE"/>
    <w:rsid w:val="00B577AB"/>
    <w:rsid w:val="00B6016A"/>
    <w:rsid w:val="00B60359"/>
    <w:rsid w:val="00B6060A"/>
    <w:rsid w:val="00B60B49"/>
    <w:rsid w:val="00B60BA8"/>
    <w:rsid w:val="00B612A1"/>
    <w:rsid w:val="00B61D25"/>
    <w:rsid w:val="00B621AA"/>
    <w:rsid w:val="00B62920"/>
    <w:rsid w:val="00B62980"/>
    <w:rsid w:val="00B62AEE"/>
    <w:rsid w:val="00B62FA1"/>
    <w:rsid w:val="00B63328"/>
    <w:rsid w:val="00B633B1"/>
    <w:rsid w:val="00B63B82"/>
    <w:rsid w:val="00B63BA3"/>
    <w:rsid w:val="00B645AA"/>
    <w:rsid w:val="00B647EE"/>
    <w:rsid w:val="00B6486A"/>
    <w:rsid w:val="00B649FE"/>
    <w:rsid w:val="00B65064"/>
    <w:rsid w:val="00B652B9"/>
    <w:rsid w:val="00B6567D"/>
    <w:rsid w:val="00B65907"/>
    <w:rsid w:val="00B65956"/>
    <w:rsid w:val="00B65F1F"/>
    <w:rsid w:val="00B65F7B"/>
    <w:rsid w:val="00B6626E"/>
    <w:rsid w:val="00B66DA5"/>
    <w:rsid w:val="00B670DC"/>
    <w:rsid w:val="00B671AE"/>
    <w:rsid w:val="00B671D0"/>
    <w:rsid w:val="00B6745B"/>
    <w:rsid w:val="00B67A9A"/>
    <w:rsid w:val="00B7085A"/>
    <w:rsid w:val="00B71776"/>
    <w:rsid w:val="00B71CED"/>
    <w:rsid w:val="00B71D65"/>
    <w:rsid w:val="00B72B05"/>
    <w:rsid w:val="00B72C46"/>
    <w:rsid w:val="00B7355E"/>
    <w:rsid w:val="00B73C55"/>
    <w:rsid w:val="00B74079"/>
    <w:rsid w:val="00B74558"/>
    <w:rsid w:val="00B74658"/>
    <w:rsid w:val="00B74937"/>
    <w:rsid w:val="00B74FD2"/>
    <w:rsid w:val="00B75A78"/>
    <w:rsid w:val="00B769E0"/>
    <w:rsid w:val="00B76C39"/>
    <w:rsid w:val="00B770E7"/>
    <w:rsid w:val="00B771D6"/>
    <w:rsid w:val="00B77423"/>
    <w:rsid w:val="00B77580"/>
    <w:rsid w:val="00B776EE"/>
    <w:rsid w:val="00B77E88"/>
    <w:rsid w:val="00B77FA3"/>
    <w:rsid w:val="00B8002C"/>
    <w:rsid w:val="00B80A67"/>
    <w:rsid w:val="00B80B53"/>
    <w:rsid w:val="00B81071"/>
    <w:rsid w:val="00B81529"/>
    <w:rsid w:val="00B82063"/>
    <w:rsid w:val="00B828CE"/>
    <w:rsid w:val="00B828D4"/>
    <w:rsid w:val="00B84016"/>
    <w:rsid w:val="00B8405A"/>
    <w:rsid w:val="00B841B7"/>
    <w:rsid w:val="00B849CE"/>
    <w:rsid w:val="00B858CC"/>
    <w:rsid w:val="00B85901"/>
    <w:rsid w:val="00B86103"/>
    <w:rsid w:val="00B8620D"/>
    <w:rsid w:val="00B86750"/>
    <w:rsid w:val="00B86FD2"/>
    <w:rsid w:val="00B87615"/>
    <w:rsid w:val="00B876D1"/>
    <w:rsid w:val="00B87802"/>
    <w:rsid w:val="00B879D0"/>
    <w:rsid w:val="00B87A0D"/>
    <w:rsid w:val="00B9024E"/>
    <w:rsid w:val="00B9044B"/>
    <w:rsid w:val="00B90D42"/>
    <w:rsid w:val="00B912C1"/>
    <w:rsid w:val="00B91AFD"/>
    <w:rsid w:val="00B91C11"/>
    <w:rsid w:val="00B92C2C"/>
    <w:rsid w:val="00B932BA"/>
    <w:rsid w:val="00B9359B"/>
    <w:rsid w:val="00B9362B"/>
    <w:rsid w:val="00B93B03"/>
    <w:rsid w:val="00B93D87"/>
    <w:rsid w:val="00B93F08"/>
    <w:rsid w:val="00B93F3E"/>
    <w:rsid w:val="00B93F9F"/>
    <w:rsid w:val="00B94103"/>
    <w:rsid w:val="00B94169"/>
    <w:rsid w:val="00B9421F"/>
    <w:rsid w:val="00B94A0D"/>
    <w:rsid w:val="00B94F2D"/>
    <w:rsid w:val="00B951F7"/>
    <w:rsid w:val="00B952F3"/>
    <w:rsid w:val="00B9538A"/>
    <w:rsid w:val="00B953A8"/>
    <w:rsid w:val="00B9576C"/>
    <w:rsid w:val="00B95A66"/>
    <w:rsid w:val="00B95D61"/>
    <w:rsid w:val="00B9604E"/>
    <w:rsid w:val="00B9694B"/>
    <w:rsid w:val="00B96EB0"/>
    <w:rsid w:val="00B96EB7"/>
    <w:rsid w:val="00B96FFF"/>
    <w:rsid w:val="00B97007"/>
    <w:rsid w:val="00B97A1A"/>
    <w:rsid w:val="00BA007C"/>
    <w:rsid w:val="00BA01FC"/>
    <w:rsid w:val="00BA02F0"/>
    <w:rsid w:val="00BA0D6A"/>
    <w:rsid w:val="00BA0F56"/>
    <w:rsid w:val="00BA0FB1"/>
    <w:rsid w:val="00BA12FD"/>
    <w:rsid w:val="00BA1322"/>
    <w:rsid w:val="00BA15A1"/>
    <w:rsid w:val="00BA1B1E"/>
    <w:rsid w:val="00BA2D09"/>
    <w:rsid w:val="00BA2F45"/>
    <w:rsid w:val="00BA37E5"/>
    <w:rsid w:val="00BA3CF4"/>
    <w:rsid w:val="00BA3F1F"/>
    <w:rsid w:val="00BA431B"/>
    <w:rsid w:val="00BA4BDA"/>
    <w:rsid w:val="00BA532C"/>
    <w:rsid w:val="00BA54E1"/>
    <w:rsid w:val="00BA5525"/>
    <w:rsid w:val="00BA5765"/>
    <w:rsid w:val="00BA58D8"/>
    <w:rsid w:val="00BA6030"/>
    <w:rsid w:val="00BA60DB"/>
    <w:rsid w:val="00BA658A"/>
    <w:rsid w:val="00BA6AFA"/>
    <w:rsid w:val="00BA6CA2"/>
    <w:rsid w:val="00BA73F5"/>
    <w:rsid w:val="00BA7D68"/>
    <w:rsid w:val="00BA7DC3"/>
    <w:rsid w:val="00BA7F22"/>
    <w:rsid w:val="00BB0576"/>
    <w:rsid w:val="00BB0D54"/>
    <w:rsid w:val="00BB0F72"/>
    <w:rsid w:val="00BB1A9F"/>
    <w:rsid w:val="00BB2701"/>
    <w:rsid w:val="00BB3426"/>
    <w:rsid w:val="00BB34D5"/>
    <w:rsid w:val="00BB371D"/>
    <w:rsid w:val="00BB3CD7"/>
    <w:rsid w:val="00BB4045"/>
    <w:rsid w:val="00BB4758"/>
    <w:rsid w:val="00BB5288"/>
    <w:rsid w:val="00BB5E42"/>
    <w:rsid w:val="00BB63FD"/>
    <w:rsid w:val="00BB66D2"/>
    <w:rsid w:val="00BB6B6A"/>
    <w:rsid w:val="00BB6BEB"/>
    <w:rsid w:val="00BB707A"/>
    <w:rsid w:val="00BB768C"/>
    <w:rsid w:val="00BB7F31"/>
    <w:rsid w:val="00BC03D7"/>
    <w:rsid w:val="00BC0503"/>
    <w:rsid w:val="00BC0666"/>
    <w:rsid w:val="00BC07DD"/>
    <w:rsid w:val="00BC253F"/>
    <w:rsid w:val="00BC25CE"/>
    <w:rsid w:val="00BC2A56"/>
    <w:rsid w:val="00BC34CA"/>
    <w:rsid w:val="00BC3E33"/>
    <w:rsid w:val="00BC51A7"/>
    <w:rsid w:val="00BC53B4"/>
    <w:rsid w:val="00BC7243"/>
    <w:rsid w:val="00BC79E2"/>
    <w:rsid w:val="00BC7C98"/>
    <w:rsid w:val="00BC7D06"/>
    <w:rsid w:val="00BD06FF"/>
    <w:rsid w:val="00BD0E8D"/>
    <w:rsid w:val="00BD1747"/>
    <w:rsid w:val="00BD1837"/>
    <w:rsid w:val="00BD1CB0"/>
    <w:rsid w:val="00BD2411"/>
    <w:rsid w:val="00BD25BA"/>
    <w:rsid w:val="00BD406A"/>
    <w:rsid w:val="00BD418D"/>
    <w:rsid w:val="00BD4E24"/>
    <w:rsid w:val="00BD5319"/>
    <w:rsid w:val="00BD5556"/>
    <w:rsid w:val="00BD5E4C"/>
    <w:rsid w:val="00BD6A3C"/>
    <w:rsid w:val="00BD6ECB"/>
    <w:rsid w:val="00BD6F9D"/>
    <w:rsid w:val="00BD6FFF"/>
    <w:rsid w:val="00BD7221"/>
    <w:rsid w:val="00BD7858"/>
    <w:rsid w:val="00BD79A4"/>
    <w:rsid w:val="00BD7A37"/>
    <w:rsid w:val="00BD7EAA"/>
    <w:rsid w:val="00BD7FC2"/>
    <w:rsid w:val="00BE0051"/>
    <w:rsid w:val="00BE05E2"/>
    <w:rsid w:val="00BE08D3"/>
    <w:rsid w:val="00BE0A7A"/>
    <w:rsid w:val="00BE0D1D"/>
    <w:rsid w:val="00BE1335"/>
    <w:rsid w:val="00BE182E"/>
    <w:rsid w:val="00BE21CF"/>
    <w:rsid w:val="00BE246A"/>
    <w:rsid w:val="00BE268E"/>
    <w:rsid w:val="00BE2A0E"/>
    <w:rsid w:val="00BE30F6"/>
    <w:rsid w:val="00BE3916"/>
    <w:rsid w:val="00BE3CAA"/>
    <w:rsid w:val="00BE3DAB"/>
    <w:rsid w:val="00BE3E8A"/>
    <w:rsid w:val="00BE449E"/>
    <w:rsid w:val="00BE470F"/>
    <w:rsid w:val="00BE4759"/>
    <w:rsid w:val="00BE48B0"/>
    <w:rsid w:val="00BE4A74"/>
    <w:rsid w:val="00BE4AB7"/>
    <w:rsid w:val="00BE4E1D"/>
    <w:rsid w:val="00BE4EF5"/>
    <w:rsid w:val="00BE546D"/>
    <w:rsid w:val="00BE5665"/>
    <w:rsid w:val="00BE57AD"/>
    <w:rsid w:val="00BE5DEC"/>
    <w:rsid w:val="00BE5FFB"/>
    <w:rsid w:val="00BE64D2"/>
    <w:rsid w:val="00BE6E82"/>
    <w:rsid w:val="00BE7A58"/>
    <w:rsid w:val="00BE7CAA"/>
    <w:rsid w:val="00BE7CFE"/>
    <w:rsid w:val="00BE7D98"/>
    <w:rsid w:val="00BF039A"/>
    <w:rsid w:val="00BF068D"/>
    <w:rsid w:val="00BF07DB"/>
    <w:rsid w:val="00BF08D9"/>
    <w:rsid w:val="00BF0A85"/>
    <w:rsid w:val="00BF0EB6"/>
    <w:rsid w:val="00BF1111"/>
    <w:rsid w:val="00BF1A36"/>
    <w:rsid w:val="00BF1C40"/>
    <w:rsid w:val="00BF22FB"/>
    <w:rsid w:val="00BF2870"/>
    <w:rsid w:val="00BF302E"/>
    <w:rsid w:val="00BF344C"/>
    <w:rsid w:val="00BF38BD"/>
    <w:rsid w:val="00BF485B"/>
    <w:rsid w:val="00BF4A97"/>
    <w:rsid w:val="00BF4C55"/>
    <w:rsid w:val="00BF4C6F"/>
    <w:rsid w:val="00BF4F28"/>
    <w:rsid w:val="00BF526A"/>
    <w:rsid w:val="00BF5367"/>
    <w:rsid w:val="00BF5EA2"/>
    <w:rsid w:val="00BF6F47"/>
    <w:rsid w:val="00BF7807"/>
    <w:rsid w:val="00BF78DF"/>
    <w:rsid w:val="00C00027"/>
    <w:rsid w:val="00C000CC"/>
    <w:rsid w:val="00C005F9"/>
    <w:rsid w:val="00C00C7B"/>
    <w:rsid w:val="00C0158B"/>
    <w:rsid w:val="00C01652"/>
    <w:rsid w:val="00C01A37"/>
    <w:rsid w:val="00C01EBF"/>
    <w:rsid w:val="00C01F05"/>
    <w:rsid w:val="00C02569"/>
    <w:rsid w:val="00C0286D"/>
    <w:rsid w:val="00C03058"/>
    <w:rsid w:val="00C03288"/>
    <w:rsid w:val="00C03C91"/>
    <w:rsid w:val="00C046DF"/>
    <w:rsid w:val="00C04D19"/>
    <w:rsid w:val="00C04D7B"/>
    <w:rsid w:val="00C04E7F"/>
    <w:rsid w:val="00C056CA"/>
    <w:rsid w:val="00C05800"/>
    <w:rsid w:val="00C05809"/>
    <w:rsid w:val="00C05B20"/>
    <w:rsid w:val="00C0643C"/>
    <w:rsid w:val="00C06A49"/>
    <w:rsid w:val="00C06E74"/>
    <w:rsid w:val="00C07422"/>
    <w:rsid w:val="00C07E91"/>
    <w:rsid w:val="00C07FF8"/>
    <w:rsid w:val="00C10425"/>
    <w:rsid w:val="00C104D4"/>
    <w:rsid w:val="00C10667"/>
    <w:rsid w:val="00C1162D"/>
    <w:rsid w:val="00C116F1"/>
    <w:rsid w:val="00C11DCA"/>
    <w:rsid w:val="00C11E16"/>
    <w:rsid w:val="00C12B09"/>
    <w:rsid w:val="00C131D7"/>
    <w:rsid w:val="00C1365C"/>
    <w:rsid w:val="00C139E0"/>
    <w:rsid w:val="00C141CF"/>
    <w:rsid w:val="00C14338"/>
    <w:rsid w:val="00C14478"/>
    <w:rsid w:val="00C14C81"/>
    <w:rsid w:val="00C14EF5"/>
    <w:rsid w:val="00C150DA"/>
    <w:rsid w:val="00C153F8"/>
    <w:rsid w:val="00C16679"/>
    <w:rsid w:val="00C168F6"/>
    <w:rsid w:val="00C16A3A"/>
    <w:rsid w:val="00C16CFE"/>
    <w:rsid w:val="00C17148"/>
    <w:rsid w:val="00C17F3A"/>
    <w:rsid w:val="00C17F6F"/>
    <w:rsid w:val="00C20087"/>
    <w:rsid w:val="00C208A5"/>
    <w:rsid w:val="00C2105C"/>
    <w:rsid w:val="00C2115E"/>
    <w:rsid w:val="00C214F9"/>
    <w:rsid w:val="00C21FBC"/>
    <w:rsid w:val="00C2319A"/>
    <w:rsid w:val="00C2322C"/>
    <w:rsid w:val="00C236BD"/>
    <w:rsid w:val="00C248B2"/>
    <w:rsid w:val="00C24D20"/>
    <w:rsid w:val="00C24E38"/>
    <w:rsid w:val="00C259AF"/>
    <w:rsid w:val="00C25F4B"/>
    <w:rsid w:val="00C2693F"/>
    <w:rsid w:val="00C26C58"/>
    <w:rsid w:val="00C26DFC"/>
    <w:rsid w:val="00C278B8"/>
    <w:rsid w:val="00C27946"/>
    <w:rsid w:val="00C30765"/>
    <w:rsid w:val="00C30C83"/>
    <w:rsid w:val="00C3193E"/>
    <w:rsid w:val="00C32370"/>
    <w:rsid w:val="00C326B9"/>
    <w:rsid w:val="00C3279A"/>
    <w:rsid w:val="00C32881"/>
    <w:rsid w:val="00C32F90"/>
    <w:rsid w:val="00C32FB0"/>
    <w:rsid w:val="00C338BD"/>
    <w:rsid w:val="00C33EA1"/>
    <w:rsid w:val="00C347B9"/>
    <w:rsid w:val="00C34A5C"/>
    <w:rsid w:val="00C34A77"/>
    <w:rsid w:val="00C34BD9"/>
    <w:rsid w:val="00C34EF9"/>
    <w:rsid w:val="00C35150"/>
    <w:rsid w:val="00C35557"/>
    <w:rsid w:val="00C356D5"/>
    <w:rsid w:val="00C35D0F"/>
    <w:rsid w:val="00C36485"/>
    <w:rsid w:val="00C36780"/>
    <w:rsid w:val="00C36B03"/>
    <w:rsid w:val="00C36BC1"/>
    <w:rsid w:val="00C40FF2"/>
    <w:rsid w:val="00C41946"/>
    <w:rsid w:val="00C42088"/>
    <w:rsid w:val="00C42729"/>
    <w:rsid w:val="00C428E7"/>
    <w:rsid w:val="00C43396"/>
    <w:rsid w:val="00C4370E"/>
    <w:rsid w:val="00C43C51"/>
    <w:rsid w:val="00C442DB"/>
    <w:rsid w:val="00C4435E"/>
    <w:rsid w:val="00C44967"/>
    <w:rsid w:val="00C45013"/>
    <w:rsid w:val="00C454A0"/>
    <w:rsid w:val="00C45590"/>
    <w:rsid w:val="00C457D3"/>
    <w:rsid w:val="00C45C67"/>
    <w:rsid w:val="00C463BD"/>
    <w:rsid w:val="00C46B77"/>
    <w:rsid w:val="00C46FC9"/>
    <w:rsid w:val="00C47946"/>
    <w:rsid w:val="00C50057"/>
    <w:rsid w:val="00C50444"/>
    <w:rsid w:val="00C50550"/>
    <w:rsid w:val="00C505E4"/>
    <w:rsid w:val="00C50A7A"/>
    <w:rsid w:val="00C50C56"/>
    <w:rsid w:val="00C50CF4"/>
    <w:rsid w:val="00C50D28"/>
    <w:rsid w:val="00C510F1"/>
    <w:rsid w:val="00C51A1E"/>
    <w:rsid w:val="00C51C39"/>
    <w:rsid w:val="00C52210"/>
    <w:rsid w:val="00C5288E"/>
    <w:rsid w:val="00C52FC2"/>
    <w:rsid w:val="00C534C7"/>
    <w:rsid w:val="00C53A93"/>
    <w:rsid w:val="00C543D2"/>
    <w:rsid w:val="00C54C0F"/>
    <w:rsid w:val="00C54C5D"/>
    <w:rsid w:val="00C550A7"/>
    <w:rsid w:val="00C55B06"/>
    <w:rsid w:val="00C55C66"/>
    <w:rsid w:val="00C566A8"/>
    <w:rsid w:val="00C567B2"/>
    <w:rsid w:val="00C579AE"/>
    <w:rsid w:val="00C57B8D"/>
    <w:rsid w:val="00C57DF3"/>
    <w:rsid w:val="00C6003C"/>
    <w:rsid w:val="00C6009F"/>
    <w:rsid w:val="00C60340"/>
    <w:rsid w:val="00C604E6"/>
    <w:rsid w:val="00C60898"/>
    <w:rsid w:val="00C608BD"/>
    <w:rsid w:val="00C60CA8"/>
    <w:rsid w:val="00C60D77"/>
    <w:rsid w:val="00C61A6B"/>
    <w:rsid w:val="00C623ED"/>
    <w:rsid w:val="00C624D1"/>
    <w:rsid w:val="00C63594"/>
    <w:rsid w:val="00C63675"/>
    <w:rsid w:val="00C63E6D"/>
    <w:rsid w:val="00C64A99"/>
    <w:rsid w:val="00C64F8E"/>
    <w:rsid w:val="00C6561F"/>
    <w:rsid w:val="00C65F2A"/>
    <w:rsid w:val="00C660CD"/>
    <w:rsid w:val="00C66FA2"/>
    <w:rsid w:val="00C679B8"/>
    <w:rsid w:val="00C67BDB"/>
    <w:rsid w:val="00C67C02"/>
    <w:rsid w:val="00C701A7"/>
    <w:rsid w:val="00C70497"/>
    <w:rsid w:val="00C70899"/>
    <w:rsid w:val="00C70E30"/>
    <w:rsid w:val="00C7145C"/>
    <w:rsid w:val="00C71703"/>
    <w:rsid w:val="00C71981"/>
    <w:rsid w:val="00C71AB1"/>
    <w:rsid w:val="00C723E3"/>
    <w:rsid w:val="00C724D4"/>
    <w:rsid w:val="00C7259A"/>
    <w:rsid w:val="00C72867"/>
    <w:rsid w:val="00C72B21"/>
    <w:rsid w:val="00C72E13"/>
    <w:rsid w:val="00C733A0"/>
    <w:rsid w:val="00C739D2"/>
    <w:rsid w:val="00C73B87"/>
    <w:rsid w:val="00C73C14"/>
    <w:rsid w:val="00C73EC4"/>
    <w:rsid w:val="00C73FB6"/>
    <w:rsid w:val="00C74C0F"/>
    <w:rsid w:val="00C74D33"/>
    <w:rsid w:val="00C750D0"/>
    <w:rsid w:val="00C757D5"/>
    <w:rsid w:val="00C75AD3"/>
    <w:rsid w:val="00C75B59"/>
    <w:rsid w:val="00C75BEC"/>
    <w:rsid w:val="00C76497"/>
    <w:rsid w:val="00C7676A"/>
    <w:rsid w:val="00C76816"/>
    <w:rsid w:val="00C76A4E"/>
    <w:rsid w:val="00C76E34"/>
    <w:rsid w:val="00C76E40"/>
    <w:rsid w:val="00C77335"/>
    <w:rsid w:val="00C7734E"/>
    <w:rsid w:val="00C776C6"/>
    <w:rsid w:val="00C77DDD"/>
    <w:rsid w:val="00C8006F"/>
    <w:rsid w:val="00C800C8"/>
    <w:rsid w:val="00C805AB"/>
    <w:rsid w:val="00C8097C"/>
    <w:rsid w:val="00C80EDD"/>
    <w:rsid w:val="00C81049"/>
    <w:rsid w:val="00C8120C"/>
    <w:rsid w:val="00C81478"/>
    <w:rsid w:val="00C814A2"/>
    <w:rsid w:val="00C81FBF"/>
    <w:rsid w:val="00C8216E"/>
    <w:rsid w:val="00C821C9"/>
    <w:rsid w:val="00C829D1"/>
    <w:rsid w:val="00C83207"/>
    <w:rsid w:val="00C832BF"/>
    <w:rsid w:val="00C83305"/>
    <w:rsid w:val="00C844D2"/>
    <w:rsid w:val="00C8460B"/>
    <w:rsid w:val="00C846D0"/>
    <w:rsid w:val="00C84904"/>
    <w:rsid w:val="00C849FC"/>
    <w:rsid w:val="00C84A4D"/>
    <w:rsid w:val="00C84BAD"/>
    <w:rsid w:val="00C84D67"/>
    <w:rsid w:val="00C8515B"/>
    <w:rsid w:val="00C86B21"/>
    <w:rsid w:val="00C86B74"/>
    <w:rsid w:val="00C86BC5"/>
    <w:rsid w:val="00C8703D"/>
    <w:rsid w:val="00C8712A"/>
    <w:rsid w:val="00C87196"/>
    <w:rsid w:val="00C8760B"/>
    <w:rsid w:val="00C87E9D"/>
    <w:rsid w:val="00C87F00"/>
    <w:rsid w:val="00C90542"/>
    <w:rsid w:val="00C909E2"/>
    <w:rsid w:val="00C90BA0"/>
    <w:rsid w:val="00C91080"/>
    <w:rsid w:val="00C91171"/>
    <w:rsid w:val="00C91282"/>
    <w:rsid w:val="00C91BA3"/>
    <w:rsid w:val="00C91DBA"/>
    <w:rsid w:val="00C9269D"/>
    <w:rsid w:val="00C92C30"/>
    <w:rsid w:val="00C9371A"/>
    <w:rsid w:val="00C93863"/>
    <w:rsid w:val="00C93FDD"/>
    <w:rsid w:val="00C94053"/>
    <w:rsid w:val="00C94335"/>
    <w:rsid w:val="00C952E8"/>
    <w:rsid w:val="00C954D7"/>
    <w:rsid w:val="00C960EA"/>
    <w:rsid w:val="00C965BB"/>
    <w:rsid w:val="00C96678"/>
    <w:rsid w:val="00C96BD2"/>
    <w:rsid w:val="00C973BE"/>
    <w:rsid w:val="00C97588"/>
    <w:rsid w:val="00C978C7"/>
    <w:rsid w:val="00C979EA"/>
    <w:rsid w:val="00C97CD4"/>
    <w:rsid w:val="00C97EBD"/>
    <w:rsid w:val="00C97F81"/>
    <w:rsid w:val="00CA0908"/>
    <w:rsid w:val="00CA09E2"/>
    <w:rsid w:val="00CA0BAA"/>
    <w:rsid w:val="00CA1677"/>
    <w:rsid w:val="00CA1B8A"/>
    <w:rsid w:val="00CA24C6"/>
    <w:rsid w:val="00CA2D47"/>
    <w:rsid w:val="00CA30EA"/>
    <w:rsid w:val="00CA3581"/>
    <w:rsid w:val="00CA3ADF"/>
    <w:rsid w:val="00CA3D75"/>
    <w:rsid w:val="00CA4060"/>
    <w:rsid w:val="00CA4086"/>
    <w:rsid w:val="00CA43CD"/>
    <w:rsid w:val="00CA48D7"/>
    <w:rsid w:val="00CA52E6"/>
    <w:rsid w:val="00CA5796"/>
    <w:rsid w:val="00CA59BC"/>
    <w:rsid w:val="00CA5DFA"/>
    <w:rsid w:val="00CA663C"/>
    <w:rsid w:val="00CA6C82"/>
    <w:rsid w:val="00CA7DD8"/>
    <w:rsid w:val="00CB0015"/>
    <w:rsid w:val="00CB05A8"/>
    <w:rsid w:val="00CB0A46"/>
    <w:rsid w:val="00CB0B04"/>
    <w:rsid w:val="00CB0D3A"/>
    <w:rsid w:val="00CB11FA"/>
    <w:rsid w:val="00CB1B01"/>
    <w:rsid w:val="00CB1B35"/>
    <w:rsid w:val="00CB2AF6"/>
    <w:rsid w:val="00CB316F"/>
    <w:rsid w:val="00CB3746"/>
    <w:rsid w:val="00CB3C33"/>
    <w:rsid w:val="00CB3E44"/>
    <w:rsid w:val="00CB42CC"/>
    <w:rsid w:val="00CB466C"/>
    <w:rsid w:val="00CB4844"/>
    <w:rsid w:val="00CB4D31"/>
    <w:rsid w:val="00CB4D34"/>
    <w:rsid w:val="00CB5347"/>
    <w:rsid w:val="00CB551E"/>
    <w:rsid w:val="00CB56ED"/>
    <w:rsid w:val="00CB56EF"/>
    <w:rsid w:val="00CB5BE6"/>
    <w:rsid w:val="00CB60DD"/>
    <w:rsid w:val="00CB74BE"/>
    <w:rsid w:val="00CB78B0"/>
    <w:rsid w:val="00CB7B4E"/>
    <w:rsid w:val="00CB7CDB"/>
    <w:rsid w:val="00CB7EEE"/>
    <w:rsid w:val="00CC010F"/>
    <w:rsid w:val="00CC0432"/>
    <w:rsid w:val="00CC05F1"/>
    <w:rsid w:val="00CC067E"/>
    <w:rsid w:val="00CC08DD"/>
    <w:rsid w:val="00CC0D40"/>
    <w:rsid w:val="00CC13AE"/>
    <w:rsid w:val="00CC1539"/>
    <w:rsid w:val="00CC1541"/>
    <w:rsid w:val="00CC1C67"/>
    <w:rsid w:val="00CC1C9D"/>
    <w:rsid w:val="00CC1DDE"/>
    <w:rsid w:val="00CC2360"/>
    <w:rsid w:val="00CC240B"/>
    <w:rsid w:val="00CC2747"/>
    <w:rsid w:val="00CC2874"/>
    <w:rsid w:val="00CC3229"/>
    <w:rsid w:val="00CC38F5"/>
    <w:rsid w:val="00CC38F8"/>
    <w:rsid w:val="00CC3B61"/>
    <w:rsid w:val="00CC3ED9"/>
    <w:rsid w:val="00CC47A4"/>
    <w:rsid w:val="00CC4873"/>
    <w:rsid w:val="00CC536A"/>
    <w:rsid w:val="00CC5532"/>
    <w:rsid w:val="00CC5574"/>
    <w:rsid w:val="00CC57C6"/>
    <w:rsid w:val="00CC585F"/>
    <w:rsid w:val="00CC5BC6"/>
    <w:rsid w:val="00CC5E73"/>
    <w:rsid w:val="00CC5F01"/>
    <w:rsid w:val="00CC6079"/>
    <w:rsid w:val="00CC6472"/>
    <w:rsid w:val="00CC6C09"/>
    <w:rsid w:val="00CC6DCF"/>
    <w:rsid w:val="00CC6FA0"/>
    <w:rsid w:val="00CC71C1"/>
    <w:rsid w:val="00CC7D65"/>
    <w:rsid w:val="00CC7DD0"/>
    <w:rsid w:val="00CD00AC"/>
    <w:rsid w:val="00CD05C6"/>
    <w:rsid w:val="00CD065A"/>
    <w:rsid w:val="00CD078E"/>
    <w:rsid w:val="00CD07DB"/>
    <w:rsid w:val="00CD0960"/>
    <w:rsid w:val="00CD0AA8"/>
    <w:rsid w:val="00CD118B"/>
    <w:rsid w:val="00CD18BC"/>
    <w:rsid w:val="00CD2019"/>
    <w:rsid w:val="00CD2402"/>
    <w:rsid w:val="00CD263C"/>
    <w:rsid w:val="00CD297C"/>
    <w:rsid w:val="00CD2AC5"/>
    <w:rsid w:val="00CD2BBA"/>
    <w:rsid w:val="00CD3322"/>
    <w:rsid w:val="00CD35FA"/>
    <w:rsid w:val="00CD3744"/>
    <w:rsid w:val="00CD3F5D"/>
    <w:rsid w:val="00CD44F8"/>
    <w:rsid w:val="00CD4659"/>
    <w:rsid w:val="00CD50DB"/>
    <w:rsid w:val="00CD5467"/>
    <w:rsid w:val="00CD5C15"/>
    <w:rsid w:val="00CD6443"/>
    <w:rsid w:val="00CD6779"/>
    <w:rsid w:val="00CD6BEB"/>
    <w:rsid w:val="00CD6C7F"/>
    <w:rsid w:val="00CD72A4"/>
    <w:rsid w:val="00CD75B3"/>
    <w:rsid w:val="00CD7A3C"/>
    <w:rsid w:val="00CE01B9"/>
    <w:rsid w:val="00CE03EF"/>
    <w:rsid w:val="00CE08CA"/>
    <w:rsid w:val="00CE0F1F"/>
    <w:rsid w:val="00CE11B8"/>
    <w:rsid w:val="00CE1D7D"/>
    <w:rsid w:val="00CE20D4"/>
    <w:rsid w:val="00CE2893"/>
    <w:rsid w:val="00CE2CE3"/>
    <w:rsid w:val="00CE328B"/>
    <w:rsid w:val="00CE3537"/>
    <w:rsid w:val="00CE3DF3"/>
    <w:rsid w:val="00CE3E39"/>
    <w:rsid w:val="00CE3FD7"/>
    <w:rsid w:val="00CE4480"/>
    <w:rsid w:val="00CE4500"/>
    <w:rsid w:val="00CE5122"/>
    <w:rsid w:val="00CE535A"/>
    <w:rsid w:val="00CE55CA"/>
    <w:rsid w:val="00CE5C21"/>
    <w:rsid w:val="00CE5ECE"/>
    <w:rsid w:val="00CE7558"/>
    <w:rsid w:val="00CE7828"/>
    <w:rsid w:val="00CE79B7"/>
    <w:rsid w:val="00CE7B7B"/>
    <w:rsid w:val="00CE7EB0"/>
    <w:rsid w:val="00CF012A"/>
    <w:rsid w:val="00CF04ED"/>
    <w:rsid w:val="00CF0EC0"/>
    <w:rsid w:val="00CF1018"/>
    <w:rsid w:val="00CF1972"/>
    <w:rsid w:val="00CF29E4"/>
    <w:rsid w:val="00CF344B"/>
    <w:rsid w:val="00CF34BA"/>
    <w:rsid w:val="00CF356A"/>
    <w:rsid w:val="00CF393E"/>
    <w:rsid w:val="00CF3EA5"/>
    <w:rsid w:val="00CF414E"/>
    <w:rsid w:val="00CF435B"/>
    <w:rsid w:val="00CF44FB"/>
    <w:rsid w:val="00CF456A"/>
    <w:rsid w:val="00CF4B1A"/>
    <w:rsid w:val="00CF4F3D"/>
    <w:rsid w:val="00CF5647"/>
    <w:rsid w:val="00CF593A"/>
    <w:rsid w:val="00CF615A"/>
    <w:rsid w:val="00CF6878"/>
    <w:rsid w:val="00CF6AB1"/>
    <w:rsid w:val="00CF6F0C"/>
    <w:rsid w:val="00CF7316"/>
    <w:rsid w:val="00CF73D9"/>
    <w:rsid w:val="00CF7B5B"/>
    <w:rsid w:val="00CF7B74"/>
    <w:rsid w:val="00D008E2"/>
    <w:rsid w:val="00D00A7B"/>
    <w:rsid w:val="00D00D02"/>
    <w:rsid w:val="00D015BB"/>
    <w:rsid w:val="00D0183D"/>
    <w:rsid w:val="00D01B23"/>
    <w:rsid w:val="00D01EE5"/>
    <w:rsid w:val="00D0208F"/>
    <w:rsid w:val="00D022AE"/>
    <w:rsid w:val="00D02B5D"/>
    <w:rsid w:val="00D02FB0"/>
    <w:rsid w:val="00D0338E"/>
    <w:rsid w:val="00D03414"/>
    <w:rsid w:val="00D03A37"/>
    <w:rsid w:val="00D03AF7"/>
    <w:rsid w:val="00D0419D"/>
    <w:rsid w:val="00D04599"/>
    <w:rsid w:val="00D0465A"/>
    <w:rsid w:val="00D046D9"/>
    <w:rsid w:val="00D048B3"/>
    <w:rsid w:val="00D04AF8"/>
    <w:rsid w:val="00D04B6A"/>
    <w:rsid w:val="00D04F07"/>
    <w:rsid w:val="00D05020"/>
    <w:rsid w:val="00D052CA"/>
    <w:rsid w:val="00D0565E"/>
    <w:rsid w:val="00D059E2"/>
    <w:rsid w:val="00D05BCC"/>
    <w:rsid w:val="00D05CD5"/>
    <w:rsid w:val="00D066B1"/>
    <w:rsid w:val="00D066F0"/>
    <w:rsid w:val="00D06969"/>
    <w:rsid w:val="00D06B3A"/>
    <w:rsid w:val="00D06CE0"/>
    <w:rsid w:val="00D06E19"/>
    <w:rsid w:val="00D06ED5"/>
    <w:rsid w:val="00D06FB0"/>
    <w:rsid w:val="00D07065"/>
    <w:rsid w:val="00D0727B"/>
    <w:rsid w:val="00D0764F"/>
    <w:rsid w:val="00D07BC3"/>
    <w:rsid w:val="00D07FF5"/>
    <w:rsid w:val="00D10420"/>
    <w:rsid w:val="00D10E12"/>
    <w:rsid w:val="00D10FD6"/>
    <w:rsid w:val="00D10FD7"/>
    <w:rsid w:val="00D11809"/>
    <w:rsid w:val="00D11F9E"/>
    <w:rsid w:val="00D1249A"/>
    <w:rsid w:val="00D12D64"/>
    <w:rsid w:val="00D130BE"/>
    <w:rsid w:val="00D132E1"/>
    <w:rsid w:val="00D13353"/>
    <w:rsid w:val="00D14373"/>
    <w:rsid w:val="00D14A91"/>
    <w:rsid w:val="00D14E3B"/>
    <w:rsid w:val="00D14FBC"/>
    <w:rsid w:val="00D151B0"/>
    <w:rsid w:val="00D15993"/>
    <w:rsid w:val="00D15A47"/>
    <w:rsid w:val="00D15D0C"/>
    <w:rsid w:val="00D15F22"/>
    <w:rsid w:val="00D16276"/>
    <w:rsid w:val="00D16322"/>
    <w:rsid w:val="00D1715F"/>
    <w:rsid w:val="00D173D9"/>
    <w:rsid w:val="00D174BA"/>
    <w:rsid w:val="00D17A5A"/>
    <w:rsid w:val="00D17EFB"/>
    <w:rsid w:val="00D17FC9"/>
    <w:rsid w:val="00D20199"/>
    <w:rsid w:val="00D20299"/>
    <w:rsid w:val="00D20A22"/>
    <w:rsid w:val="00D211F3"/>
    <w:rsid w:val="00D22316"/>
    <w:rsid w:val="00D22998"/>
    <w:rsid w:val="00D230B2"/>
    <w:rsid w:val="00D231A5"/>
    <w:rsid w:val="00D23727"/>
    <w:rsid w:val="00D23CA2"/>
    <w:rsid w:val="00D24511"/>
    <w:rsid w:val="00D24D56"/>
    <w:rsid w:val="00D25113"/>
    <w:rsid w:val="00D25544"/>
    <w:rsid w:val="00D25951"/>
    <w:rsid w:val="00D25F56"/>
    <w:rsid w:val="00D261A1"/>
    <w:rsid w:val="00D2632D"/>
    <w:rsid w:val="00D26CDA"/>
    <w:rsid w:val="00D276E7"/>
    <w:rsid w:val="00D27C1A"/>
    <w:rsid w:val="00D30887"/>
    <w:rsid w:val="00D308F9"/>
    <w:rsid w:val="00D30D66"/>
    <w:rsid w:val="00D30F71"/>
    <w:rsid w:val="00D30FB3"/>
    <w:rsid w:val="00D31684"/>
    <w:rsid w:val="00D31923"/>
    <w:rsid w:val="00D319D9"/>
    <w:rsid w:val="00D31C13"/>
    <w:rsid w:val="00D320E1"/>
    <w:rsid w:val="00D32C53"/>
    <w:rsid w:val="00D32D39"/>
    <w:rsid w:val="00D3339C"/>
    <w:rsid w:val="00D33491"/>
    <w:rsid w:val="00D3379E"/>
    <w:rsid w:val="00D33C24"/>
    <w:rsid w:val="00D34762"/>
    <w:rsid w:val="00D34AB5"/>
    <w:rsid w:val="00D34CE5"/>
    <w:rsid w:val="00D34F3E"/>
    <w:rsid w:val="00D352F5"/>
    <w:rsid w:val="00D3545B"/>
    <w:rsid w:val="00D35E38"/>
    <w:rsid w:val="00D363AE"/>
    <w:rsid w:val="00D36424"/>
    <w:rsid w:val="00D36B4D"/>
    <w:rsid w:val="00D36C83"/>
    <w:rsid w:val="00D36EEC"/>
    <w:rsid w:val="00D36F39"/>
    <w:rsid w:val="00D37783"/>
    <w:rsid w:val="00D377A9"/>
    <w:rsid w:val="00D377B1"/>
    <w:rsid w:val="00D37800"/>
    <w:rsid w:val="00D378DE"/>
    <w:rsid w:val="00D379FD"/>
    <w:rsid w:val="00D37AE7"/>
    <w:rsid w:val="00D37E61"/>
    <w:rsid w:val="00D402B6"/>
    <w:rsid w:val="00D4037D"/>
    <w:rsid w:val="00D40CC3"/>
    <w:rsid w:val="00D40DBF"/>
    <w:rsid w:val="00D40E31"/>
    <w:rsid w:val="00D41281"/>
    <w:rsid w:val="00D41A04"/>
    <w:rsid w:val="00D41DD0"/>
    <w:rsid w:val="00D42899"/>
    <w:rsid w:val="00D42DB3"/>
    <w:rsid w:val="00D43697"/>
    <w:rsid w:val="00D43AD6"/>
    <w:rsid w:val="00D43BE7"/>
    <w:rsid w:val="00D43EB3"/>
    <w:rsid w:val="00D4420A"/>
    <w:rsid w:val="00D4441F"/>
    <w:rsid w:val="00D44EE6"/>
    <w:rsid w:val="00D44F48"/>
    <w:rsid w:val="00D45827"/>
    <w:rsid w:val="00D45F32"/>
    <w:rsid w:val="00D46578"/>
    <w:rsid w:val="00D466A3"/>
    <w:rsid w:val="00D46944"/>
    <w:rsid w:val="00D46F60"/>
    <w:rsid w:val="00D47120"/>
    <w:rsid w:val="00D478D0"/>
    <w:rsid w:val="00D47E58"/>
    <w:rsid w:val="00D47EDD"/>
    <w:rsid w:val="00D50C01"/>
    <w:rsid w:val="00D516CC"/>
    <w:rsid w:val="00D5182E"/>
    <w:rsid w:val="00D51A87"/>
    <w:rsid w:val="00D51E54"/>
    <w:rsid w:val="00D521D1"/>
    <w:rsid w:val="00D52406"/>
    <w:rsid w:val="00D52C8C"/>
    <w:rsid w:val="00D53303"/>
    <w:rsid w:val="00D538B6"/>
    <w:rsid w:val="00D53ECF"/>
    <w:rsid w:val="00D540DB"/>
    <w:rsid w:val="00D542E8"/>
    <w:rsid w:val="00D54D9F"/>
    <w:rsid w:val="00D55A8F"/>
    <w:rsid w:val="00D567CF"/>
    <w:rsid w:val="00D56944"/>
    <w:rsid w:val="00D56C3C"/>
    <w:rsid w:val="00D5747C"/>
    <w:rsid w:val="00D575D9"/>
    <w:rsid w:val="00D57CC6"/>
    <w:rsid w:val="00D605EF"/>
    <w:rsid w:val="00D61765"/>
    <w:rsid w:val="00D61819"/>
    <w:rsid w:val="00D626BD"/>
    <w:rsid w:val="00D63674"/>
    <w:rsid w:val="00D63A34"/>
    <w:rsid w:val="00D63F15"/>
    <w:rsid w:val="00D640CA"/>
    <w:rsid w:val="00D64409"/>
    <w:rsid w:val="00D6446F"/>
    <w:rsid w:val="00D647FC"/>
    <w:rsid w:val="00D64910"/>
    <w:rsid w:val="00D64F27"/>
    <w:rsid w:val="00D6501F"/>
    <w:rsid w:val="00D651AF"/>
    <w:rsid w:val="00D654F2"/>
    <w:rsid w:val="00D657BF"/>
    <w:rsid w:val="00D65FE3"/>
    <w:rsid w:val="00D6637A"/>
    <w:rsid w:val="00D665E6"/>
    <w:rsid w:val="00D667DE"/>
    <w:rsid w:val="00D67026"/>
    <w:rsid w:val="00D707EC"/>
    <w:rsid w:val="00D70F5A"/>
    <w:rsid w:val="00D7162C"/>
    <w:rsid w:val="00D71A54"/>
    <w:rsid w:val="00D71E07"/>
    <w:rsid w:val="00D71F0E"/>
    <w:rsid w:val="00D71F96"/>
    <w:rsid w:val="00D721A0"/>
    <w:rsid w:val="00D72839"/>
    <w:rsid w:val="00D72F37"/>
    <w:rsid w:val="00D72FDB"/>
    <w:rsid w:val="00D7343E"/>
    <w:rsid w:val="00D7351A"/>
    <w:rsid w:val="00D73620"/>
    <w:rsid w:val="00D73D64"/>
    <w:rsid w:val="00D73E58"/>
    <w:rsid w:val="00D7403F"/>
    <w:rsid w:val="00D75577"/>
    <w:rsid w:val="00D7597E"/>
    <w:rsid w:val="00D75B7E"/>
    <w:rsid w:val="00D75EFC"/>
    <w:rsid w:val="00D75F28"/>
    <w:rsid w:val="00D762DE"/>
    <w:rsid w:val="00D762F5"/>
    <w:rsid w:val="00D76F4C"/>
    <w:rsid w:val="00D77DB0"/>
    <w:rsid w:val="00D80679"/>
    <w:rsid w:val="00D80B7F"/>
    <w:rsid w:val="00D81940"/>
    <w:rsid w:val="00D8217C"/>
    <w:rsid w:val="00D82407"/>
    <w:rsid w:val="00D828BF"/>
    <w:rsid w:val="00D83974"/>
    <w:rsid w:val="00D83F09"/>
    <w:rsid w:val="00D841FD"/>
    <w:rsid w:val="00D84383"/>
    <w:rsid w:val="00D8456D"/>
    <w:rsid w:val="00D848A1"/>
    <w:rsid w:val="00D84DDD"/>
    <w:rsid w:val="00D84EF2"/>
    <w:rsid w:val="00D85055"/>
    <w:rsid w:val="00D852FD"/>
    <w:rsid w:val="00D853C1"/>
    <w:rsid w:val="00D855A8"/>
    <w:rsid w:val="00D85A99"/>
    <w:rsid w:val="00D85E5E"/>
    <w:rsid w:val="00D862BD"/>
    <w:rsid w:val="00D86471"/>
    <w:rsid w:val="00D86676"/>
    <w:rsid w:val="00D8674D"/>
    <w:rsid w:val="00D86BCC"/>
    <w:rsid w:val="00D86D5B"/>
    <w:rsid w:val="00D86EDE"/>
    <w:rsid w:val="00D87185"/>
    <w:rsid w:val="00D8757B"/>
    <w:rsid w:val="00D87F0D"/>
    <w:rsid w:val="00D905E6"/>
    <w:rsid w:val="00D906FB"/>
    <w:rsid w:val="00D92325"/>
    <w:rsid w:val="00D92909"/>
    <w:rsid w:val="00D931E2"/>
    <w:rsid w:val="00D93538"/>
    <w:rsid w:val="00D93E62"/>
    <w:rsid w:val="00D94080"/>
    <w:rsid w:val="00D943F5"/>
    <w:rsid w:val="00D94F71"/>
    <w:rsid w:val="00D950CB"/>
    <w:rsid w:val="00D9513C"/>
    <w:rsid w:val="00D95176"/>
    <w:rsid w:val="00D95437"/>
    <w:rsid w:val="00D95453"/>
    <w:rsid w:val="00D955C7"/>
    <w:rsid w:val="00D95983"/>
    <w:rsid w:val="00D95B82"/>
    <w:rsid w:val="00D95BFF"/>
    <w:rsid w:val="00D96395"/>
    <w:rsid w:val="00D964B0"/>
    <w:rsid w:val="00D964D9"/>
    <w:rsid w:val="00D9707A"/>
    <w:rsid w:val="00D972A9"/>
    <w:rsid w:val="00D97440"/>
    <w:rsid w:val="00D976C1"/>
    <w:rsid w:val="00D97963"/>
    <w:rsid w:val="00DA07B8"/>
    <w:rsid w:val="00DA09F5"/>
    <w:rsid w:val="00DA0FAA"/>
    <w:rsid w:val="00DA12A6"/>
    <w:rsid w:val="00DA185F"/>
    <w:rsid w:val="00DA2A07"/>
    <w:rsid w:val="00DA2C54"/>
    <w:rsid w:val="00DA31DC"/>
    <w:rsid w:val="00DA3A2D"/>
    <w:rsid w:val="00DA3A30"/>
    <w:rsid w:val="00DA453B"/>
    <w:rsid w:val="00DA4955"/>
    <w:rsid w:val="00DA4BF9"/>
    <w:rsid w:val="00DA4CBF"/>
    <w:rsid w:val="00DA4F23"/>
    <w:rsid w:val="00DA5091"/>
    <w:rsid w:val="00DA54D2"/>
    <w:rsid w:val="00DA569F"/>
    <w:rsid w:val="00DA5D2B"/>
    <w:rsid w:val="00DA5F1A"/>
    <w:rsid w:val="00DA60D6"/>
    <w:rsid w:val="00DA6202"/>
    <w:rsid w:val="00DA6C0C"/>
    <w:rsid w:val="00DA6DB1"/>
    <w:rsid w:val="00DA708F"/>
    <w:rsid w:val="00DA70D8"/>
    <w:rsid w:val="00DA72E4"/>
    <w:rsid w:val="00DA75F3"/>
    <w:rsid w:val="00DA7DB2"/>
    <w:rsid w:val="00DA7FD5"/>
    <w:rsid w:val="00DB024D"/>
    <w:rsid w:val="00DB0462"/>
    <w:rsid w:val="00DB06A6"/>
    <w:rsid w:val="00DB0F89"/>
    <w:rsid w:val="00DB1147"/>
    <w:rsid w:val="00DB1381"/>
    <w:rsid w:val="00DB139D"/>
    <w:rsid w:val="00DB14A3"/>
    <w:rsid w:val="00DB1562"/>
    <w:rsid w:val="00DB1C94"/>
    <w:rsid w:val="00DB1C99"/>
    <w:rsid w:val="00DB2368"/>
    <w:rsid w:val="00DB2E8A"/>
    <w:rsid w:val="00DB4287"/>
    <w:rsid w:val="00DB49D8"/>
    <w:rsid w:val="00DB4DD3"/>
    <w:rsid w:val="00DB50EF"/>
    <w:rsid w:val="00DB572F"/>
    <w:rsid w:val="00DB574E"/>
    <w:rsid w:val="00DB5922"/>
    <w:rsid w:val="00DB5A04"/>
    <w:rsid w:val="00DB5E31"/>
    <w:rsid w:val="00DB6548"/>
    <w:rsid w:val="00DB6FFD"/>
    <w:rsid w:val="00DB7283"/>
    <w:rsid w:val="00DB78CC"/>
    <w:rsid w:val="00DC0488"/>
    <w:rsid w:val="00DC04E2"/>
    <w:rsid w:val="00DC081D"/>
    <w:rsid w:val="00DC091C"/>
    <w:rsid w:val="00DC0CF6"/>
    <w:rsid w:val="00DC0E9F"/>
    <w:rsid w:val="00DC1366"/>
    <w:rsid w:val="00DC15E3"/>
    <w:rsid w:val="00DC1734"/>
    <w:rsid w:val="00DC1CE4"/>
    <w:rsid w:val="00DC25EE"/>
    <w:rsid w:val="00DC270B"/>
    <w:rsid w:val="00DC2D76"/>
    <w:rsid w:val="00DC3131"/>
    <w:rsid w:val="00DC353B"/>
    <w:rsid w:val="00DC3A59"/>
    <w:rsid w:val="00DC3CA8"/>
    <w:rsid w:val="00DC5355"/>
    <w:rsid w:val="00DC5364"/>
    <w:rsid w:val="00DC5374"/>
    <w:rsid w:val="00DC54AE"/>
    <w:rsid w:val="00DC5951"/>
    <w:rsid w:val="00DC599D"/>
    <w:rsid w:val="00DC5C24"/>
    <w:rsid w:val="00DC5EA5"/>
    <w:rsid w:val="00DC6084"/>
    <w:rsid w:val="00DC60A4"/>
    <w:rsid w:val="00DC65C2"/>
    <w:rsid w:val="00DC6E6B"/>
    <w:rsid w:val="00DC7159"/>
    <w:rsid w:val="00DC7AEC"/>
    <w:rsid w:val="00DC7DEC"/>
    <w:rsid w:val="00DD038C"/>
    <w:rsid w:val="00DD041D"/>
    <w:rsid w:val="00DD047C"/>
    <w:rsid w:val="00DD0A70"/>
    <w:rsid w:val="00DD0A80"/>
    <w:rsid w:val="00DD0AF0"/>
    <w:rsid w:val="00DD0BE6"/>
    <w:rsid w:val="00DD1116"/>
    <w:rsid w:val="00DD116B"/>
    <w:rsid w:val="00DD1401"/>
    <w:rsid w:val="00DD16F5"/>
    <w:rsid w:val="00DD1C11"/>
    <w:rsid w:val="00DD1E1F"/>
    <w:rsid w:val="00DD212C"/>
    <w:rsid w:val="00DD22A3"/>
    <w:rsid w:val="00DD2683"/>
    <w:rsid w:val="00DD2701"/>
    <w:rsid w:val="00DD2BDA"/>
    <w:rsid w:val="00DD2ECA"/>
    <w:rsid w:val="00DD362C"/>
    <w:rsid w:val="00DD363B"/>
    <w:rsid w:val="00DD3B39"/>
    <w:rsid w:val="00DD4465"/>
    <w:rsid w:val="00DD6DB4"/>
    <w:rsid w:val="00DD7783"/>
    <w:rsid w:val="00DD78F4"/>
    <w:rsid w:val="00DE02F1"/>
    <w:rsid w:val="00DE0A37"/>
    <w:rsid w:val="00DE0F68"/>
    <w:rsid w:val="00DE16EE"/>
    <w:rsid w:val="00DE1802"/>
    <w:rsid w:val="00DE1D92"/>
    <w:rsid w:val="00DE1FB4"/>
    <w:rsid w:val="00DE202E"/>
    <w:rsid w:val="00DE21EF"/>
    <w:rsid w:val="00DE237C"/>
    <w:rsid w:val="00DE2BC2"/>
    <w:rsid w:val="00DE2D90"/>
    <w:rsid w:val="00DE2E16"/>
    <w:rsid w:val="00DE380B"/>
    <w:rsid w:val="00DE4709"/>
    <w:rsid w:val="00DE4777"/>
    <w:rsid w:val="00DE4846"/>
    <w:rsid w:val="00DE522C"/>
    <w:rsid w:val="00DE5BE8"/>
    <w:rsid w:val="00DE5DA6"/>
    <w:rsid w:val="00DE6078"/>
    <w:rsid w:val="00DE629F"/>
    <w:rsid w:val="00DE6441"/>
    <w:rsid w:val="00DE65EB"/>
    <w:rsid w:val="00DE693F"/>
    <w:rsid w:val="00DE6CFC"/>
    <w:rsid w:val="00DE70C9"/>
    <w:rsid w:val="00DE7A63"/>
    <w:rsid w:val="00DE7C37"/>
    <w:rsid w:val="00DE7E39"/>
    <w:rsid w:val="00DF001F"/>
    <w:rsid w:val="00DF050D"/>
    <w:rsid w:val="00DF061A"/>
    <w:rsid w:val="00DF08A0"/>
    <w:rsid w:val="00DF13E8"/>
    <w:rsid w:val="00DF14EF"/>
    <w:rsid w:val="00DF162F"/>
    <w:rsid w:val="00DF165C"/>
    <w:rsid w:val="00DF1AA7"/>
    <w:rsid w:val="00DF1B65"/>
    <w:rsid w:val="00DF2344"/>
    <w:rsid w:val="00DF23E6"/>
    <w:rsid w:val="00DF279D"/>
    <w:rsid w:val="00DF2E47"/>
    <w:rsid w:val="00DF3050"/>
    <w:rsid w:val="00DF44E3"/>
    <w:rsid w:val="00DF46D2"/>
    <w:rsid w:val="00DF4810"/>
    <w:rsid w:val="00DF4C44"/>
    <w:rsid w:val="00DF4D92"/>
    <w:rsid w:val="00DF57E3"/>
    <w:rsid w:val="00DF58CD"/>
    <w:rsid w:val="00DF5906"/>
    <w:rsid w:val="00DF5BE2"/>
    <w:rsid w:val="00DF5E6B"/>
    <w:rsid w:val="00DF5FB9"/>
    <w:rsid w:val="00DF605A"/>
    <w:rsid w:val="00DF6537"/>
    <w:rsid w:val="00DF6E15"/>
    <w:rsid w:val="00DF6E52"/>
    <w:rsid w:val="00DF717B"/>
    <w:rsid w:val="00DF7448"/>
    <w:rsid w:val="00DF7546"/>
    <w:rsid w:val="00DF7880"/>
    <w:rsid w:val="00E000B1"/>
    <w:rsid w:val="00E00342"/>
    <w:rsid w:val="00E00850"/>
    <w:rsid w:val="00E00974"/>
    <w:rsid w:val="00E00DA6"/>
    <w:rsid w:val="00E0109A"/>
    <w:rsid w:val="00E013BB"/>
    <w:rsid w:val="00E0149A"/>
    <w:rsid w:val="00E0149E"/>
    <w:rsid w:val="00E01A8A"/>
    <w:rsid w:val="00E024EE"/>
    <w:rsid w:val="00E030CB"/>
    <w:rsid w:val="00E03248"/>
    <w:rsid w:val="00E03694"/>
    <w:rsid w:val="00E039CA"/>
    <w:rsid w:val="00E039D5"/>
    <w:rsid w:val="00E03AE7"/>
    <w:rsid w:val="00E0455E"/>
    <w:rsid w:val="00E047B9"/>
    <w:rsid w:val="00E04A66"/>
    <w:rsid w:val="00E04E94"/>
    <w:rsid w:val="00E050EE"/>
    <w:rsid w:val="00E05832"/>
    <w:rsid w:val="00E05852"/>
    <w:rsid w:val="00E05990"/>
    <w:rsid w:val="00E05E9F"/>
    <w:rsid w:val="00E0677F"/>
    <w:rsid w:val="00E0695C"/>
    <w:rsid w:val="00E06BC3"/>
    <w:rsid w:val="00E075B8"/>
    <w:rsid w:val="00E07668"/>
    <w:rsid w:val="00E07750"/>
    <w:rsid w:val="00E079A8"/>
    <w:rsid w:val="00E07BE3"/>
    <w:rsid w:val="00E07BE4"/>
    <w:rsid w:val="00E07FB5"/>
    <w:rsid w:val="00E10898"/>
    <w:rsid w:val="00E109A6"/>
    <w:rsid w:val="00E10AA1"/>
    <w:rsid w:val="00E10BBE"/>
    <w:rsid w:val="00E10C3A"/>
    <w:rsid w:val="00E10C58"/>
    <w:rsid w:val="00E10DE9"/>
    <w:rsid w:val="00E11103"/>
    <w:rsid w:val="00E1116D"/>
    <w:rsid w:val="00E11BC2"/>
    <w:rsid w:val="00E11C2F"/>
    <w:rsid w:val="00E121BD"/>
    <w:rsid w:val="00E12221"/>
    <w:rsid w:val="00E122BC"/>
    <w:rsid w:val="00E125CA"/>
    <w:rsid w:val="00E12CFC"/>
    <w:rsid w:val="00E13564"/>
    <w:rsid w:val="00E13E38"/>
    <w:rsid w:val="00E14F4B"/>
    <w:rsid w:val="00E15E28"/>
    <w:rsid w:val="00E15FC4"/>
    <w:rsid w:val="00E16425"/>
    <w:rsid w:val="00E16C7D"/>
    <w:rsid w:val="00E16E5A"/>
    <w:rsid w:val="00E1725F"/>
    <w:rsid w:val="00E17C54"/>
    <w:rsid w:val="00E17D96"/>
    <w:rsid w:val="00E17DFE"/>
    <w:rsid w:val="00E200A7"/>
    <w:rsid w:val="00E2010A"/>
    <w:rsid w:val="00E2028A"/>
    <w:rsid w:val="00E20726"/>
    <w:rsid w:val="00E207E8"/>
    <w:rsid w:val="00E20BEA"/>
    <w:rsid w:val="00E213EA"/>
    <w:rsid w:val="00E218F1"/>
    <w:rsid w:val="00E21E39"/>
    <w:rsid w:val="00E22186"/>
    <w:rsid w:val="00E22189"/>
    <w:rsid w:val="00E2264C"/>
    <w:rsid w:val="00E2273B"/>
    <w:rsid w:val="00E2345E"/>
    <w:rsid w:val="00E23B0E"/>
    <w:rsid w:val="00E23E26"/>
    <w:rsid w:val="00E24DA6"/>
    <w:rsid w:val="00E24E22"/>
    <w:rsid w:val="00E25702"/>
    <w:rsid w:val="00E25BCA"/>
    <w:rsid w:val="00E25C93"/>
    <w:rsid w:val="00E25D01"/>
    <w:rsid w:val="00E25EB8"/>
    <w:rsid w:val="00E267C6"/>
    <w:rsid w:val="00E26D09"/>
    <w:rsid w:val="00E270B4"/>
    <w:rsid w:val="00E271B2"/>
    <w:rsid w:val="00E27CEB"/>
    <w:rsid w:val="00E27D37"/>
    <w:rsid w:val="00E30618"/>
    <w:rsid w:val="00E30980"/>
    <w:rsid w:val="00E31084"/>
    <w:rsid w:val="00E31314"/>
    <w:rsid w:val="00E31819"/>
    <w:rsid w:val="00E31ABE"/>
    <w:rsid w:val="00E31BA9"/>
    <w:rsid w:val="00E32079"/>
    <w:rsid w:val="00E320FF"/>
    <w:rsid w:val="00E322C0"/>
    <w:rsid w:val="00E32447"/>
    <w:rsid w:val="00E3287D"/>
    <w:rsid w:val="00E32DA5"/>
    <w:rsid w:val="00E33DC4"/>
    <w:rsid w:val="00E33E4F"/>
    <w:rsid w:val="00E344D5"/>
    <w:rsid w:val="00E34D08"/>
    <w:rsid w:val="00E3516E"/>
    <w:rsid w:val="00E35611"/>
    <w:rsid w:val="00E356C9"/>
    <w:rsid w:val="00E360D8"/>
    <w:rsid w:val="00E368DB"/>
    <w:rsid w:val="00E37093"/>
    <w:rsid w:val="00E40DD6"/>
    <w:rsid w:val="00E4147C"/>
    <w:rsid w:val="00E41897"/>
    <w:rsid w:val="00E41937"/>
    <w:rsid w:val="00E4223C"/>
    <w:rsid w:val="00E42AD3"/>
    <w:rsid w:val="00E42C54"/>
    <w:rsid w:val="00E43565"/>
    <w:rsid w:val="00E43A88"/>
    <w:rsid w:val="00E43D41"/>
    <w:rsid w:val="00E43D8D"/>
    <w:rsid w:val="00E440AA"/>
    <w:rsid w:val="00E440D0"/>
    <w:rsid w:val="00E44D71"/>
    <w:rsid w:val="00E450B3"/>
    <w:rsid w:val="00E453AE"/>
    <w:rsid w:val="00E45595"/>
    <w:rsid w:val="00E45A56"/>
    <w:rsid w:val="00E45C82"/>
    <w:rsid w:val="00E4619A"/>
    <w:rsid w:val="00E46992"/>
    <w:rsid w:val="00E46ACA"/>
    <w:rsid w:val="00E474E1"/>
    <w:rsid w:val="00E4760F"/>
    <w:rsid w:val="00E47A2D"/>
    <w:rsid w:val="00E47BA6"/>
    <w:rsid w:val="00E50409"/>
    <w:rsid w:val="00E50663"/>
    <w:rsid w:val="00E507B8"/>
    <w:rsid w:val="00E50B78"/>
    <w:rsid w:val="00E50E18"/>
    <w:rsid w:val="00E50E98"/>
    <w:rsid w:val="00E512BA"/>
    <w:rsid w:val="00E514FD"/>
    <w:rsid w:val="00E516EC"/>
    <w:rsid w:val="00E51C5D"/>
    <w:rsid w:val="00E52336"/>
    <w:rsid w:val="00E52682"/>
    <w:rsid w:val="00E52D15"/>
    <w:rsid w:val="00E53088"/>
    <w:rsid w:val="00E5343F"/>
    <w:rsid w:val="00E53AB4"/>
    <w:rsid w:val="00E53D9C"/>
    <w:rsid w:val="00E5464F"/>
    <w:rsid w:val="00E54AD9"/>
    <w:rsid w:val="00E550C9"/>
    <w:rsid w:val="00E551AE"/>
    <w:rsid w:val="00E5538D"/>
    <w:rsid w:val="00E55942"/>
    <w:rsid w:val="00E566F3"/>
    <w:rsid w:val="00E567C0"/>
    <w:rsid w:val="00E568C3"/>
    <w:rsid w:val="00E569D1"/>
    <w:rsid w:val="00E572A2"/>
    <w:rsid w:val="00E573F5"/>
    <w:rsid w:val="00E574F1"/>
    <w:rsid w:val="00E57996"/>
    <w:rsid w:val="00E579E1"/>
    <w:rsid w:val="00E57A56"/>
    <w:rsid w:val="00E602BF"/>
    <w:rsid w:val="00E60A61"/>
    <w:rsid w:val="00E60D31"/>
    <w:rsid w:val="00E60FE6"/>
    <w:rsid w:val="00E6112F"/>
    <w:rsid w:val="00E61369"/>
    <w:rsid w:val="00E623A9"/>
    <w:rsid w:val="00E624B5"/>
    <w:rsid w:val="00E6250B"/>
    <w:rsid w:val="00E62924"/>
    <w:rsid w:val="00E62AFA"/>
    <w:rsid w:val="00E62DB2"/>
    <w:rsid w:val="00E62FE3"/>
    <w:rsid w:val="00E6334C"/>
    <w:rsid w:val="00E63C6C"/>
    <w:rsid w:val="00E6473C"/>
    <w:rsid w:val="00E64799"/>
    <w:rsid w:val="00E65839"/>
    <w:rsid w:val="00E65BC7"/>
    <w:rsid w:val="00E65DFC"/>
    <w:rsid w:val="00E65FD1"/>
    <w:rsid w:val="00E6652C"/>
    <w:rsid w:val="00E670FC"/>
    <w:rsid w:val="00E67436"/>
    <w:rsid w:val="00E678AB"/>
    <w:rsid w:val="00E67934"/>
    <w:rsid w:val="00E67D75"/>
    <w:rsid w:val="00E704BB"/>
    <w:rsid w:val="00E706F2"/>
    <w:rsid w:val="00E708EB"/>
    <w:rsid w:val="00E70CE2"/>
    <w:rsid w:val="00E70DE6"/>
    <w:rsid w:val="00E70F15"/>
    <w:rsid w:val="00E70FF4"/>
    <w:rsid w:val="00E71038"/>
    <w:rsid w:val="00E71050"/>
    <w:rsid w:val="00E7148C"/>
    <w:rsid w:val="00E716D7"/>
    <w:rsid w:val="00E71A29"/>
    <w:rsid w:val="00E71A4C"/>
    <w:rsid w:val="00E71A80"/>
    <w:rsid w:val="00E71E5A"/>
    <w:rsid w:val="00E7245E"/>
    <w:rsid w:val="00E72584"/>
    <w:rsid w:val="00E72C55"/>
    <w:rsid w:val="00E73085"/>
    <w:rsid w:val="00E73275"/>
    <w:rsid w:val="00E7350C"/>
    <w:rsid w:val="00E73585"/>
    <w:rsid w:val="00E73817"/>
    <w:rsid w:val="00E744CB"/>
    <w:rsid w:val="00E75045"/>
    <w:rsid w:val="00E757A1"/>
    <w:rsid w:val="00E75B93"/>
    <w:rsid w:val="00E765C5"/>
    <w:rsid w:val="00E77942"/>
    <w:rsid w:val="00E808A0"/>
    <w:rsid w:val="00E81CC6"/>
    <w:rsid w:val="00E82909"/>
    <w:rsid w:val="00E829A2"/>
    <w:rsid w:val="00E82D98"/>
    <w:rsid w:val="00E82DAB"/>
    <w:rsid w:val="00E834B0"/>
    <w:rsid w:val="00E83545"/>
    <w:rsid w:val="00E83DAD"/>
    <w:rsid w:val="00E843CC"/>
    <w:rsid w:val="00E84730"/>
    <w:rsid w:val="00E84A96"/>
    <w:rsid w:val="00E84BFC"/>
    <w:rsid w:val="00E8525D"/>
    <w:rsid w:val="00E852A1"/>
    <w:rsid w:val="00E854CD"/>
    <w:rsid w:val="00E85691"/>
    <w:rsid w:val="00E8589C"/>
    <w:rsid w:val="00E85A46"/>
    <w:rsid w:val="00E85C98"/>
    <w:rsid w:val="00E863EA"/>
    <w:rsid w:val="00E86429"/>
    <w:rsid w:val="00E864E1"/>
    <w:rsid w:val="00E86D88"/>
    <w:rsid w:val="00E86E52"/>
    <w:rsid w:val="00E87141"/>
    <w:rsid w:val="00E875C9"/>
    <w:rsid w:val="00E879E8"/>
    <w:rsid w:val="00E9085D"/>
    <w:rsid w:val="00E90C32"/>
    <w:rsid w:val="00E91925"/>
    <w:rsid w:val="00E91A27"/>
    <w:rsid w:val="00E91A51"/>
    <w:rsid w:val="00E921C1"/>
    <w:rsid w:val="00E92604"/>
    <w:rsid w:val="00E937FA"/>
    <w:rsid w:val="00E939E7"/>
    <w:rsid w:val="00E94000"/>
    <w:rsid w:val="00E941DF"/>
    <w:rsid w:val="00E94892"/>
    <w:rsid w:val="00E94B81"/>
    <w:rsid w:val="00E94BD8"/>
    <w:rsid w:val="00E94FAE"/>
    <w:rsid w:val="00E951CC"/>
    <w:rsid w:val="00E95AE7"/>
    <w:rsid w:val="00E95DDC"/>
    <w:rsid w:val="00E96452"/>
    <w:rsid w:val="00E96816"/>
    <w:rsid w:val="00E96FB5"/>
    <w:rsid w:val="00E971B7"/>
    <w:rsid w:val="00E976AA"/>
    <w:rsid w:val="00E976AB"/>
    <w:rsid w:val="00E978C1"/>
    <w:rsid w:val="00E97904"/>
    <w:rsid w:val="00E97A61"/>
    <w:rsid w:val="00E97A9D"/>
    <w:rsid w:val="00E97C04"/>
    <w:rsid w:val="00E97ECF"/>
    <w:rsid w:val="00E97F00"/>
    <w:rsid w:val="00EA1A70"/>
    <w:rsid w:val="00EA1C9F"/>
    <w:rsid w:val="00EA1F5D"/>
    <w:rsid w:val="00EA20C6"/>
    <w:rsid w:val="00EA2C65"/>
    <w:rsid w:val="00EA32AD"/>
    <w:rsid w:val="00EA4080"/>
    <w:rsid w:val="00EA41C9"/>
    <w:rsid w:val="00EA444E"/>
    <w:rsid w:val="00EA45CB"/>
    <w:rsid w:val="00EA4628"/>
    <w:rsid w:val="00EA4671"/>
    <w:rsid w:val="00EA4B43"/>
    <w:rsid w:val="00EA5212"/>
    <w:rsid w:val="00EA5646"/>
    <w:rsid w:val="00EA57A3"/>
    <w:rsid w:val="00EA58B2"/>
    <w:rsid w:val="00EA5ADD"/>
    <w:rsid w:val="00EA5BE0"/>
    <w:rsid w:val="00EA6B01"/>
    <w:rsid w:val="00EA6FA7"/>
    <w:rsid w:val="00EA6FCE"/>
    <w:rsid w:val="00EA7050"/>
    <w:rsid w:val="00EA7501"/>
    <w:rsid w:val="00EA75B5"/>
    <w:rsid w:val="00EA7A52"/>
    <w:rsid w:val="00EA7CE9"/>
    <w:rsid w:val="00EB07B6"/>
    <w:rsid w:val="00EB0A5C"/>
    <w:rsid w:val="00EB10BC"/>
    <w:rsid w:val="00EB177B"/>
    <w:rsid w:val="00EB27B6"/>
    <w:rsid w:val="00EB280C"/>
    <w:rsid w:val="00EB3AC1"/>
    <w:rsid w:val="00EB407E"/>
    <w:rsid w:val="00EB42E3"/>
    <w:rsid w:val="00EB4503"/>
    <w:rsid w:val="00EB46D6"/>
    <w:rsid w:val="00EB4FB5"/>
    <w:rsid w:val="00EB50E3"/>
    <w:rsid w:val="00EB5DC7"/>
    <w:rsid w:val="00EB5ECD"/>
    <w:rsid w:val="00EB625F"/>
    <w:rsid w:val="00EB6274"/>
    <w:rsid w:val="00EB7055"/>
    <w:rsid w:val="00EB74A0"/>
    <w:rsid w:val="00EC04B4"/>
    <w:rsid w:val="00EC0580"/>
    <w:rsid w:val="00EC0756"/>
    <w:rsid w:val="00EC0BAE"/>
    <w:rsid w:val="00EC1832"/>
    <w:rsid w:val="00EC1B61"/>
    <w:rsid w:val="00EC2064"/>
    <w:rsid w:val="00EC2131"/>
    <w:rsid w:val="00EC2D22"/>
    <w:rsid w:val="00EC2D69"/>
    <w:rsid w:val="00EC3565"/>
    <w:rsid w:val="00EC4554"/>
    <w:rsid w:val="00EC467D"/>
    <w:rsid w:val="00EC4931"/>
    <w:rsid w:val="00EC5073"/>
    <w:rsid w:val="00EC5348"/>
    <w:rsid w:val="00EC55BE"/>
    <w:rsid w:val="00EC576E"/>
    <w:rsid w:val="00EC5D68"/>
    <w:rsid w:val="00EC6969"/>
    <w:rsid w:val="00EC6E62"/>
    <w:rsid w:val="00EC6F48"/>
    <w:rsid w:val="00EC7497"/>
    <w:rsid w:val="00EC74F3"/>
    <w:rsid w:val="00EC7B99"/>
    <w:rsid w:val="00ED02E2"/>
    <w:rsid w:val="00ED0B14"/>
    <w:rsid w:val="00ED0DFA"/>
    <w:rsid w:val="00ED0F39"/>
    <w:rsid w:val="00ED1496"/>
    <w:rsid w:val="00ED1C14"/>
    <w:rsid w:val="00ED1F09"/>
    <w:rsid w:val="00ED1F90"/>
    <w:rsid w:val="00ED2614"/>
    <w:rsid w:val="00ED27D6"/>
    <w:rsid w:val="00ED29AF"/>
    <w:rsid w:val="00ED29F2"/>
    <w:rsid w:val="00ED2C55"/>
    <w:rsid w:val="00ED32E6"/>
    <w:rsid w:val="00ED36CD"/>
    <w:rsid w:val="00ED3756"/>
    <w:rsid w:val="00ED3884"/>
    <w:rsid w:val="00ED3B93"/>
    <w:rsid w:val="00ED3BBD"/>
    <w:rsid w:val="00ED3EA2"/>
    <w:rsid w:val="00ED3FE4"/>
    <w:rsid w:val="00ED40C8"/>
    <w:rsid w:val="00ED47BB"/>
    <w:rsid w:val="00ED4877"/>
    <w:rsid w:val="00ED4BFD"/>
    <w:rsid w:val="00ED4C3C"/>
    <w:rsid w:val="00ED4FC5"/>
    <w:rsid w:val="00ED509E"/>
    <w:rsid w:val="00ED53AE"/>
    <w:rsid w:val="00ED5EFB"/>
    <w:rsid w:val="00ED6102"/>
    <w:rsid w:val="00ED6A8B"/>
    <w:rsid w:val="00ED6F77"/>
    <w:rsid w:val="00ED7415"/>
    <w:rsid w:val="00ED79BE"/>
    <w:rsid w:val="00ED7CB3"/>
    <w:rsid w:val="00ED7DBA"/>
    <w:rsid w:val="00EE01F1"/>
    <w:rsid w:val="00EE068E"/>
    <w:rsid w:val="00EE069D"/>
    <w:rsid w:val="00EE0C06"/>
    <w:rsid w:val="00EE10BE"/>
    <w:rsid w:val="00EE14BA"/>
    <w:rsid w:val="00EE14F4"/>
    <w:rsid w:val="00EE17E7"/>
    <w:rsid w:val="00EE17FF"/>
    <w:rsid w:val="00EE2A18"/>
    <w:rsid w:val="00EE2AD7"/>
    <w:rsid w:val="00EE3184"/>
    <w:rsid w:val="00EE32ED"/>
    <w:rsid w:val="00EE3880"/>
    <w:rsid w:val="00EE3EAC"/>
    <w:rsid w:val="00EE404A"/>
    <w:rsid w:val="00EE42DF"/>
    <w:rsid w:val="00EE4B97"/>
    <w:rsid w:val="00EE4E19"/>
    <w:rsid w:val="00EE5686"/>
    <w:rsid w:val="00EE56E6"/>
    <w:rsid w:val="00EE60F6"/>
    <w:rsid w:val="00EE6748"/>
    <w:rsid w:val="00EE6798"/>
    <w:rsid w:val="00EE6F3D"/>
    <w:rsid w:val="00EF022A"/>
    <w:rsid w:val="00EF046C"/>
    <w:rsid w:val="00EF04D8"/>
    <w:rsid w:val="00EF145E"/>
    <w:rsid w:val="00EF1739"/>
    <w:rsid w:val="00EF17AC"/>
    <w:rsid w:val="00EF253E"/>
    <w:rsid w:val="00EF378C"/>
    <w:rsid w:val="00EF4223"/>
    <w:rsid w:val="00EF5E3E"/>
    <w:rsid w:val="00EF5FB0"/>
    <w:rsid w:val="00EF61D7"/>
    <w:rsid w:val="00EF69EB"/>
    <w:rsid w:val="00EF6DB5"/>
    <w:rsid w:val="00EF6E2D"/>
    <w:rsid w:val="00EF7DF0"/>
    <w:rsid w:val="00EF7F83"/>
    <w:rsid w:val="00F00405"/>
    <w:rsid w:val="00F00458"/>
    <w:rsid w:val="00F0086A"/>
    <w:rsid w:val="00F013D4"/>
    <w:rsid w:val="00F014B1"/>
    <w:rsid w:val="00F014E8"/>
    <w:rsid w:val="00F01EF6"/>
    <w:rsid w:val="00F020B5"/>
    <w:rsid w:val="00F0231B"/>
    <w:rsid w:val="00F02972"/>
    <w:rsid w:val="00F02D8E"/>
    <w:rsid w:val="00F02FDF"/>
    <w:rsid w:val="00F03148"/>
    <w:rsid w:val="00F0367E"/>
    <w:rsid w:val="00F03A37"/>
    <w:rsid w:val="00F03C1A"/>
    <w:rsid w:val="00F03DB8"/>
    <w:rsid w:val="00F046C1"/>
    <w:rsid w:val="00F04B29"/>
    <w:rsid w:val="00F04BB8"/>
    <w:rsid w:val="00F04C5C"/>
    <w:rsid w:val="00F04F32"/>
    <w:rsid w:val="00F05387"/>
    <w:rsid w:val="00F05618"/>
    <w:rsid w:val="00F05679"/>
    <w:rsid w:val="00F05B6E"/>
    <w:rsid w:val="00F05FF3"/>
    <w:rsid w:val="00F062F7"/>
    <w:rsid w:val="00F065DB"/>
    <w:rsid w:val="00F065F8"/>
    <w:rsid w:val="00F0674A"/>
    <w:rsid w:val="00F067C8"/>
    <w:rsid w:val="00F06868"/>
    <w:rsid w:val="00F06E6C"/>
    <w:rsid w:val="00F06EF9"/>
    <w:rsid w:val="00F07074"/>
    <w:rsid w:val="00F072B2"/>
    <w:rsid w:val="00F0768F"/>
    <w:rsid w:val="00F07D5C"/>
    <w:rsid w:val="00F105E8"/>
    <w:rsid w:val="00F10979"/>
    <w:rsid w:val="00F10ABD"/>
    <w:rsid w:val="00F10AC9"/>
    <w:rsid w:val="00F11029"/>
    <w:rsid w:val="00F11237"/>
    <w:rsid w:val="00F11E09"/>
    <w:rsid w:val="00F11EB2"/>
    <w:rsid w:val="00F12A16"/>
    <w:rsid w:val="00F12F7B"/>
    <w:rsid w:val="00F12FC1"/>
    <w:rsid w:val="00F13F39"/>
    <w:rsid w:val="00F14AE1"/>
    <w:rsid w:val="00F14CC0"/>
    <w:rsid w:val="00F14E02"/>
    <w:rsid w:val="00F14E14"/>
    <w:rsid w:val="00F15DA7"/>
    <w:rsid w:val="00F161F8"/>
    <w:rsid w:val="00F161FD"/>
    <w:rsid w:val="00F1632E"/>
    <w:rsid w:val="00F1636B"/>
    <w:rsid w:val="00F16BCE"/>
    <w:rsid w:val="00F174C3"/>
    <w:rsid w:val="00F20632"/>
    <w:rsid w:val="00F2081D"/>
    <w:rsid w:val="00F20C07"/>
    <w:rsid w:val="00F20EA3"/>
    <w:rsid w:val="00F21392"/>
    <w:rsid w:val="00F213BE"/>
    <w:rsid w:val="00F21793"/>
    <w:rsid w:val="00F21D36"/>
    <w:rsid w:val="00F21E1D"/>
    <w:rsid w:val="00F22187"/>
    <w:rsid w:val="00F223DC"/>
    <w:rsid w:val="00F22518"/>
    <w:rsid w:val="00F22B2B"/>
    <w:rsid w:val="00F22B70"/>
    <w:rsid w:val="00F22B76"/>
    <w:rsid w:val="00F22DAA"/>
    <w:rsid w:val="00F23261"/>
    <w:rsid w:val="00F23537"/>
    <w:rsid w:val="00F23573"/>
    <w:rsid w:val="00F23631"/>
    <w:rsid w:val="00F2406A"/>
    <w:rsid w:val="00F241C7"/>
    <w:rsid w:val="00F2446F"/>
    <w:rsid w:val="00F25416"/>
    <w:rsid w:val="00F256FD"/>
    <w:rsid w:val="00F25735"/>
    <w:rsid w:val="00F259AB"/>
    <w:rsid w:val="00F25A78"/>
    <w:rsid w:val="00F2631A"/>
    <w:rsid w:val="00F26465"/>
    <w:rsid w:val="00F26903"/>
    <w:rsid w:val="00F2695D"/>
    <w:rsid w:val="00F26C3F"/>
    <w:rsid w:val="00F26F2F"/>
    <w:rsid w:val="00F27168"/>
    <w:rsid w:val="00F27193"/>
    <w:rsid w:val="00F271B9"/>
    <w:rsid w:val="00F27E91"/>
    <w:rsid w:val="00F30241"/>
    <w:rsid w:val="00F30488"/>
    <w:rsid w:val="00F30608"/>
    <w:rsid w:val="00F307D8"/>
    <w:rsid w:val="00F30C40"/>
    <w:rsid w:val="00F30F02"/>
    <w:rsid w:val="00F3171A"/>
    <w:rsid w:val="00F31752"/>
    <w:rsid w:val="00F317B5"/>
    <w:rsid w:val="00F328E3"/>
    <w:rsid w:val="00F329EF"/>
    <w:rsid w:val="00F32FF3"/>
    <w:rsid w:val="00F33134"/>
    <w:rsid w:val="00F331FB"/>
    <w:rsid w:val="00F33284"/>
    <w:rsid w:val="00F341CE"/>
    <w:rsid w:val="00F344A3"/>
    <w:rsid w:val="00F34A09"/>
    <w:rsid w:val="00F34BA3"/>
    <w:rsid w:val="00F34C37"/>
    <w:rsid w:val="00F34DCD"/>
    <w:rsid w:val="00F354F3"/>
    <w:rsid w:val="00F35601"/>
    <w:rsid w:val="00F356D7"/>
    <w:rsid w:val="00F356F3"/>
    <w:rsid w:val="00F3599B"/>
    <w:rsid w:val="00F35E72"/>
    <w:rsid w:val="00F35F0E"/>
    <w:rsid w:val="00F36928"/>
    <w:rsid w:val="00F36A0D"/>
    <w:rsid w:val="00F36BE7"/>
    <w:rsid w:val="00F36E22"/>
    <w:rsid w:val="00F36EAF"/>
    <w:rsid w:val="00F37577"/>
    <w:rsid w:val="00F378EE"/>
    <w:rsid w:val="00F37CFE"/>
    <w:rsid w:val="00F4016D"/>
    <w:rsid w:val="00F404E2"/>
    <w:rsid w:val="00F40521"/>
    <w:rsid w:val="00F40B32"/>
    <w:rsid w:val="00F40DEA"/>
    <w:rsid w:val="00F41285"/>
    <w:rsid w:val="00F41C8C"/>
    <w:rsid w:val="00F41D36"/>
    <w:rsid w:val="00F42F47"/>
    <w:rsid w:val="00F43870"/>
    <w:rsid w:val="00F44051"/>
    <w:rsid w:val="00F44C63"/>
    <w:rsid w:val="00F44CC3"/>
    <w:rsid w:val="00F45357"/>
    <w:rsid w:val="00F458FD"/>
    <w:rsid w:val="00F45B9C"/>
    <w:rsid w:val="00F45BFE"/>
    <w:rsid w:val="00F45C15"/>
    <w:rsid w:val="00F46233"/>
    <w:rsid w:val="00F46442"/>
    <w:rsid w:val="00F46BB0"/>
    <w:rsid w:val="00F46BFD"/>
    <w:rsid w:val="00F46C1A"/>
    <w:rsid w:val="00F47086"/>
    <w:rsid w:val="00F471FC"/>
    <w:rsid w:val="00F5044A"/>
    <w:rsid w:val="00F50B9D"/>
    <w:rsid w:val="00F50DCF"/>
    <w:rsid w:val="00F51003"/>
    <w:rsid w:val="00F5137C"/>
    <w:rsid w:val="00F5162D"/>
    <w:rsid w:val="00F51705"/>
    <w:rsid w:val="00F528F3"/>
    <w:rsid w:val="00F52E16"/>
    <w:rsid w:val="00F5307D"/>
    <w:rsid w:val="00F5339F"/>
    <w:rsid w:val="00F53410"/>
    <w:rsid w:val="00F534CC"/>
    <w:rsid w:val="00F54AFC"/>
    <w:rsid w:val="00F54F4E"/>
    <w:rsid w:val="00F55C53"/>
    <w:rsid w:val="00F56607"/>
    <w:rsid w:val="00F56A86"/>
    <w:rsid w:val="00F56D04"/>
    <w:rsid w:val="00F56DD9"/>
    <w:rsid w:val="00F575C8"/>
    <w:rsid w:val="00F57778"/>
    <w:rsid w:val="00F57CD6"/>
    <w:rsid w:val="00F6060B"/>
    <w:rsid w:val="00F6089B"/>
    <w:rsid w:val="00F60DB6"/>
    <w:rsid w:val="00F61196"/>
    <w:rsid w:val="00F611D2"/>
    <w:rsid w:val="00F614C9"/>
    <w:rsid w:val="00F615C9"/>
    <w:rsid w:val="00F61614"/>
    <w:rsid w:val="00F61BEC"/>
    <w:rsid w:val="00F61F81"/>
    <w:rsid w:val="00F627CF"/>
    <w:rsid w:val="00F62A55"/>
    <w:rsid w:val="00F62B80"/>
    <w:rsid w:val="00F62BF4"/>
    <w:rsid w:val="00F62F3A"/>
    <w:rsid w:val="00F6324B"/>
    <w:rsid w:val="00F63588"/>
    <w:rsid w:val="00F6399E"/>
    <w:rsid w:val="00F64013"/>
    <w:rsid w:val="00F6419D"/>
    <w:rsid w:val="00F6444B"/>
    <w:rsid w:val="00F6485F"/>
    <w:rsid w:val="00F64D3A"/>
    <w:rsid w:val="00F64E66"/>
    <w:rsid w:val="00F65080"/>
    <w:rsid w:val="00F65221"/>
    <w:rsid w:val="00F65A26"/>
    <w:rsid w:val="00F65DE4"/>
    <w:rsid w:val="00F66322"/>
    <w:rsid w:val="00F664C6"/>
    <w:rsid w:val="00F66744"/>
    <w:rsid w:val="00F6716D"/>
    <w:rsid w:val="00F6758D"/>
    <w:rsid w:val="00F677E0"/>
    <w:rsid w:val="00F678A7"/>
    <w:rsid w:val="00F67D0A"/>
    <w:rsid w:val="00F70174"/>
    <w:rsid w:val="00F7068E"/>
    <w:rsid w:val="00F70817"/>
    <w:rsid w:val="00F70F1C"/>
    <w:rsid w:val="00F70F32"/>
    <w:rsid w:val="00F724D1"/>
    <w:rsid w:val="00F7275B"/>
    <w:rsid w:val="00F72BDD"/>
    <w:rsid w:val="00F72C0E"/>
    <w:rsid w:val="00F72F1D"/>
    <w:rsid w:val="00F73EA6"/>
    <w:rsid w:val="00F74075"/>
    <w:rsid w:val="00F74C11"/>
    <w:rsid w:val="00F75064"/>
    <w:rsid w:val="00F75538"/>
    <w:rsid w:val="00F759FA"/>
    <w:rsid w:val="00F75F60"/>
    <w:rsid w:val="00F76125"/>
    <w:rsid w:val="00F761C9"/>
    <w:rsid w:val="00F7649B"/>
    <w:rsid w:val="00F7750A"/>
    <w:rsid w:val="00F776F5"/>
    <w:rsid w:val="00F77D74"/>
    <w:rsid w:val="00F8039C"/>
    <w:rsid w:val="00F80993"/>
    <w:rsid w:val="00F80B63"/>
    <w:rsid w:val="00F81E1F"/>
    <w:rsid w:val="00F81E4B"/>
    <w:rsid w:val="00F82186"/>
    <w:rsid w:val="00F82D19"/>
    <w:rsid w:val="00F83894"/>
    <w:rsid w:val="00F83AEA"/>
    <w:rsid w:val="00F83CD0"/>
    <w:rsid w:val="00F8442A"/>
    <w:rsid w:val="00F847D9"/>
    <w:rsid w:val="00F8495C"/>
    <w:rsid w:val="00F84C5D"/>
    <w:rsid w:val="00F853E8"/>
    <w:rsid w:val="00F85BB5"/>
    <w:rsid w:val="00F85DF9"/>
    <w:rsid w:val="00F85F95"/>
    <w:rsid w:val="00F86265"/>
    <w:rsid w:val="00F863D7"/>
    <w:rsid w:val="00F86AB2"/>
    <w:rsid w:val="00F86CA0"/>
    <w:rsid w:val="00F86DF4"/>
    <w:rsid w:val="00F879C6"/>
    <w:rsid w:val="00F879F6"/>
    <w:rsid w:val="00F87C15"/>
    <w:rsid w:val="00F916EA"/>
    <w:rsid w:val="00F91C4F"/>
    <w:rsid w:val="00F91DF2"/>
    <w:rsid w:val="00F9228F"/>
    <w:rsid w:val="00F92744"/>
    <w:rsid w:val="00F92A65"/>
    <w:rsid w:val="00F933E6"/>
    <w:rsid w:val="00F93530"/>
    <w:rsid w:val="00F93A16"/>
    <w:rsid w:val="00F93A6F"/>
    <w:rsid w:val="00F93AB0"/>
    <w:rsid w:val="00F93BF4"/>
    <w:rsid w:val="00F9473D"/>
    <w:rsid w:val="00F94D46"/>
    <w:rsid w:val="00F94ED3"/>
    <w:rsid w:val="00F9500A"/>
    <w:rsid w:val="00F9555D"/>
    <w:rsid w:val="00F9578E"/>
    <w:rsid w:val="00F95D86"/>
    <w:rsid w:val="00F969E4"/>
    <w:rsid w:val="00F97663"/>
    <w:rsid w:val="00F97EFF"/>
    <w:rsid w:val="00FA01AD"/>
    <w:rsid w:val="00FA06C0"/>
    <w:rsid w:val="00FA0E34"/>
    <w:rsid w:val="00FA140C"/>
    <w:rsid w:val="00FA17CE"/>
    <w:rsid w:val="00FA1F97"/>
    <w:rsid w:val="00FA231E"/>
    <w:rsid w:val="00FA24AA"/>
    <w:rsid w:val="00FA2BB9"/>
    <w:rsid w:val="00FA3156"/>
    <w:rsid w:val="00FA34E2"/>
    <w:rsid w:val="00FA34F1"/>
    <w:rsid w:val="00FA3CB2"/>
    <w:rsid w:val="00FA4690"/>
    <w:rsid w:val="00FA5069"/>
    <w:rsid w:val="00FA50BE"/>
    <w:rsid w:val="00FA5941"/>
    <w:rsid w:val="00FA6542"/>
    <w:rsid w:val="00FA698A"/>
    <w:rsid w:val="00FA7439"/>
    <w:rsid w:val="00FA7E69"/>
    <w:rsid w:val="00FB0065"/>
    <w:rsid w:val="00FB007B"/>
    <w:rsid w:val="00FB0987"/>
    <w:rsid w:val="00FB0CE1"/>
    <w:rsid w:val="00FB105C"/>
    <w:rsid w:val="00FB11DA"/>
    <w:rsid w:val="00FB1EF8"/>
    <w:rsid w:val="00FB23DD"/>
    <w:rsid w:val="00FB23E0"/>
    <w:rsid w:val="00FB2474"/>
    <w:rsid w:val="00FB2A88"/>
    <w:rsid w:val="00FB2C6B"/>
    <w:rsid w:val="00FB3021"/>
    <w:rsid w:val="00FB3896"/>
    <w:rsid w:val="00FB42F6"/>
    <w:rsid w:val="00FB4C1E"/>
    <w:rsid w:val="00FB51D0"/>
    <w:rsid w:val="00FB53CC"/>
    <w:rsid w:val="00FB5488"/>
    <w:rsid w:val="00FB575C"/>
    <w:rsid w:val="00FB5809"/>
    <w:rsid w:val="00FB585F"/>
    <w:rsid w:val="00FB5A17"/>
    <w:rsid w:val="00FB5D3D"/>
    <w:rsid w:val="00FB5DB9"/>
    <w:rsid w:val="00FB62A9"/>
    <w:rsid w:val="00FB6A65"/>
    <w:rsid w:val="00FC0205"/>
    <w:rsid w:val="00FC087F"/>
    <w:rsid w:val="00FC0DC1"/>
    <w:rsid w:val="00FC1508"/>
    <w:rsid w:val="00FC1B60"/>
    <w:rsid w:val="00FC1E0A"/>
    <w:rsid w:val="00FC1E99"/>
    <w:rsid w:val="00FC20FF"/>
    <w:rsid w:val="00FC22CF"/>
    <w:rsid w:val="00FC231A"/>
    <w:rsid w:val="00FC24D6"/>
    <w:rsid w:val="00FC24E0"/>
    <w:rsid w:val="00FC25DF"/>
    <w:rsid w:val="00FC323E"/>
    <w:rsid w:val="00FC3358"/>
    <w:rsid w:val="00FC362E"/>
    <w:rsid w:val="00FC3649"/>
    <w:rsid w:val="00FC3EED"/>
    <w:rsid w:val="00FC3F0B"/>
    <w:rsid w:val="00FC48C5"/>
    <w:rsid w:val="00FC48E1"/>
    <w:rsid w:val="00FC4952"/>
    <w:rsid w:val="00FC4CAF"/>
    <w:rsid w:val="00FC4FEF"/>
    <w:rsid w:val="00FC50CA"/>
    <w:rsid w:val="00FC5202"/>
    <w:rsid w:val="00FC557B"/>
    <w:rsid w:val="00FC579A"/>
    <w:rsid w:val="00FC5B7D"/>
    <w:rsid w:val="00FC5F53"/>
    <w:rsid w:val="00FC6559"/>
    <w:rsid w:val="00FC6DCF"/>
    <w:rsid w:val="00FC7D0D"/>
    <w:rsid w:val="00FC7D9A"/>
    <w:rsid w:val="00FD014A"/>
    <w:rsid w:val="00FD0205"/>
    <w:rsid w:val="00FD142E"/>
    <w:rsid w:val="00FD1A14"/>
    <w:rsid w:val="00FD2097"/>
    <w:rsid w:val="00FD24C3"/>
    <w:rsid w:val="00FD257A"/>
    <w:rsid w:val="00FD3159"/>
    <w:rsid w:val="00FD47FF"/>
    <w:rsid w:val="00FD4BEA"/>
    <w:rsid w:val="00FD4E7B"/>
    <w:rsid w:val="00FD532A"/>
    <w:rsid w:val="00FD5696"/>
    <w:rsid w:val="00FD5946"/>
    <w:rsid w:val="00FD5FDF"/>
    <w:rsid w:val="00FD62C9"/>
    <w:rsid w:val="00FD63C1"/>
    <w:rsid w:val="00FD6B33"/>
    <w:rsid w:val="00FD70C0"/>
    <w:rsid w:val="00FD762A"/>
    <w:rsid w:val="00FE0422"/>
    <w:rsid w:val="00FE04C5"/>
    <w:rsid w:val="00FE0D65"/>
    <w:rsid w:val="00FE0EB0"/>
    <w:rsid w:val="00FE119B"/>
    <w:rsid w:val="00FE1455"/>
    <w:rsid w:val="00FE1474"/>
    <w:rsid w:val="00FE14B1"/>
    <w:rsid w:val="00FE1AE0"/>
    <w:rsid w:val="00FE29E6"/>
    <w:rsid w:val="00FE2E82"/>
    <w:rsid w:val="00FE3030"/>
    <w:rsid w:val="00FE3073"/>
    <w:rsid w:val="00FE3284"/>
    <w:rsid w:val="00FE3949"/>
    <w:rsid w:val="00FE39C5"/>
    <w:rsid w:val="00FE3EC3"/>
    <w:rsid w:val="00FE5C56"/>
    <w:rsid w:val="00FE5E8D"/>
    <w:rsid w:val="00FE6912"/>
    <w:rsid w:val="00FE6E87"/>
    <w:rsid w:val="00FE769D"/>
    <w:rsid w:val="00FE76B9"/>
    <w:rsid w:val="00FE7C4A"/>
    <w:rsid w:val="00FF01A5"/>
    <w:rsid w:val="00FF07D9"/>
    <w:rsid w:val="00FF0B58"/>
    <w:rsid w:val="00FF0F47"/>
    <w:rsid w:val="00FF10AC"/>
    <w:rsid w:val="00FF12EB"/>
    <w:rsid w:val="00FF240C"/>
    <w:rsid w:val="00FF2594"/>
    <w:rsid w:val="00FF2714"/>
    <w:rsid w:val="00FF2760"/>
    <w:rsid w:val="00FF2A79"/>
    <w:rsid w:val="00FF2B2C"/>
    <w:rsid w:val="00FF2DE1"/>
    <w:rsid w:val="00FF3C6F"/>
    <w:rsid w:val="00FF3D39"/>
    <w:rsid w:val="00FF3E97"/>
    <w:rsid w:val="00FF4462"/>
    <w:rsid w:val="00FF4A9C"/>
    <w:rsid w:val="00FF4FBF"/>
    <w:rsid w:val="00FF516F"/>
    <w:rsid w:val="00FF5235"/>
    <w:rsid w:val="00FF52C5"/>
    <w:rsid w:val="00FF586D"/>
    <w:rsid w:val="00FF5AFC"/>
    <w:rsid w:val="00FF5D17"/>
    <w:rsid w:val="00FF5D55"/>
    <w:rsid w:val="00FF6572"/>
    <w:rsid w:val="00FF6ACC"/>
    <w:rsid w:val="00FF70F7"/>
    <w:rsid w:val="00FF7621"/>
    <w:rsid w:val="00FF7768"/>
    <w:rsid w:val="00FF7994"/>
    <w:rsid w:val="00FF7DBE"/>
    <w:rsid w:val="00FF7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2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744"/>
    <w:pPr>
      <w:spacing w:after="100" w:line="400" w:lineRule="exact"/>
      <w:jc w:val="both"/>
    </w:pPr>
    <w:rPr>
      <w:rFonts w:ascii="Century Schoolbook" w:hAnsi="Century Schoolbook"/>
      <w:sz w:val="27"/>
    </w:rPr>
  </w:style>
  <w:style w:type="paragraph" w:styleId="Heading1">
    <w:name w:val="heading 1"/>
    <w:basedOn w:val="Normal"/>
    <w:next w:val="Normal"/>
    <w:qFormat/>
    <w:rsid w:val="00651744"/>
    <w:pPr>
      <w:keepNext/>
      <w:spacing w:before="140" w:line="240" w:lineRule="atLeast"/>
      <w:jc w:val="center"/>
      <w:outlineLvl w:val="0"/>
    </w:pPr>
    <w:rPr>
      <w:b/>
      <w:smallCaps/>
    </w:rPr>
  </w:style>
  <w:style w:type="paragraph" w:styleId="Heading2">
    <w:name w:val="heading 2"/>
    <w:basedOn w:val="Normal"/>
    <w:next w:val="Normal"/>
    <w:qFormat/>
    <w:rsid w:val="00651744"/>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651744"/>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qFormat/>
    <w:rsid w:val="00651744"/>
    <w:pPr>
      <w:keepNext/>
      <w:tabs>
        <w:tab w:val="left" w:pos="2016"/>
      </w:tabs>
      <w:spacing w:before="140" w:line="240" w:lineRule="atLeast"/>
      <w:ind w:left="2016" w:hanging="432"/>
      <w:jc w:val="left"/>
      <w:outlineLvl w:val="3"/>
    </w:pPr>
    <w:rPr>
      <w:i/>
    </w:rPr>
  </w:style>
  <w:style w:type="paragraph" w:styleId="Heading5">
    <w:name w:val="heading 5"/>
    <w:basedOn w:val="Normal"/>
    <w:qFormat/>
    <w:rsid w:val="00651744"/>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CB05A8"/>
    <w:pPr>
      <w:ind w:left="720"/>
    </w:pPr>
  </w:style>
  <w:style w:type="paragraph" w:styleId="Footer">
    <w:name w:val="footer"/>
    <w:basedOn w:val="Normal"/>
    <w:link w:val="FooterChar"/>
    <w:uiPriority w:val="99"/>
    <w:qFormat/>
    <w:rsid w:val="00651744"/>
    <w:pPr>
      <w:tabs>
        <w:tab w:val="center" w:pos="3960"/>
        <w:tab w:val="right" w:pos="10080"/>
      </w:tabs>
      <w:spacing w:after="0" w:line="240" w:lineRule="auto"/>
      <w:jc w:val="center"/>
    </w:pPr>
    <w:rPr>
      <w:sz w:val="22"/>
    </w:rPr>
  </w:style>
  <w:style w:type="paragraph" w:styleId="Header">
    <w:name w:val="header"/>
    <w:basedOn w:val="Normal"/>
    <w:qFormat/>
    <w:rsid w:val="00651744"/>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651744"/>
    <w:rPr>
      <w:rFonts w:ascii="Century Schoolbook" w:hAnsi="Century Schoolbook"/>
      <w:b/>
      <w:i w:val="0"/>
      <w:position w:val="4"/>
      <w:sz w:val="27"/>
      <w:vertAlign w:val="superscript"/>
    </w:rPr>
  </w:style>
  <w:style w:type="paragraph" w:styleId="FootnoteText">
    <w:name w:val="footnote text"/>
    <w:basedOn w:val="Normal"/>
    <w:link w:val="FootnoteTextChar"/>
    <w:rsid w:val="00651744"/>
    <w:pPr>
      <w:spacing w:line="300" w:lineRule="exact"/>
    </w:pPr>
  </w:style>
  <w:style w:type="paragraph" w:customStyle="1" w:styleId="Title1">
    <w:name w:val="Title1"/>
    <w:basedOn w:val="Normal"/>
    <w:rsid w:val="00CB05A8"/>
    <w:pPr>
      <w:tabs>
        <w:tab w:val="left" w:pos="5760"/>
        <w:tab w:val="left" w:pos="6480"/>
      </w:tabs>
      <w:spacing w:line="240" w:lineRule="atLeast"/>
    </w:pPr>
  </w:style>
  <w:style w:type="paragraph" w:customStyle="1" w:styleId="Recommend">
    <w:name w:val="Recommend"/>
    <w:basedOn w:val="Normal"/>
    <w:rsid w:val="00CB05A8"/>
  </w:style>
  <w:style w:type="paragraph" w:customStyle="1" w:styleId="Summary">
    <w:name w:val="Summary"/>
    <w:basedOn w:val="Normal"/>
    <w:rsid w:val="00CB05A8"/>
    <w:pPr>
      <w:ind w:left="2160" w:hanging="2160"/>
    </w:pPr>
  </w:style>
  <w:style w:type="paragraph" w:customStyle="1" w:styleId="Text">
    <w:name w:val="Text"/>
    <w:basedOn w:val="Normal"/>
    <w:rsid w:val="00CB05A8"/>
    <w:pPr>
      <w:tabs>
        <w:tab w:val="left" w:pos="720"/>
        <w:tab w:val="left" w:pos="1440"/>
        <w:tab w:val="left" w:pos="2160"/>
        <w:tab w:val="center" w:pos="4320"/>
      </w:tabs>
      <w:spacing w:line="480" w:lineRule="atLeast"/>
      <w:ind w:firstLine="540"/>
    </w:pPr>
  </w:style>
  <w:style w:type="paragraph" w:styleId="Date">
    <w:name w:val="Date"/>
    <w:basedOn w:val="Normal"/>
    <w:semiHidden/>
    <w:rsid w:val="00CB05A8"/>
    <w:pPr>
      <w:jc w:val="right"/>
    </w:pPr>
  </w:style>
  <w:style w:type="character" w:styleId="PageNumber">
    <w:name w:val="page number"/>
    <w:basedOn w:val="DefaultParagraphFont"/>
    <w:semiHidden/>
    <w:rsid w:val="00CB05A8"/>
  </w:style>
  <w:style w:type="paragraph" w:customStyle="1" w:styleId="subject">
    <w:name w:val="subject"/>
    <w:basedOn w:val="Normal"/>
    <w:rsid w:val="00CB05A8"/>
    <w:pPr>
      <w:tabs>
        <w:tab w:val="left" w:pos="1008"/>
      </w:tabs>
      <w:ind w:left="990" w:hanging="990"/>
    </w:pPr>
    <w:rPr>
      <w:b/>
    </w:rPr>
  </w:style>
  <w:style w:type="paragraph" w:customStyle="1" w:styleId="Titles">
    <w:name w:val="Titles"/>
    <w:basedOn w:val="Normal"/>
    <w:rsid w:val="00CB05A8"/>
    <w:pPr>
      <w:tabs>
        <w:tab w:val="left" w:pos="2160"/>
      </w:tabs>
      <w:ind w:left="2160" w:hanging="2160"/>
    </w:pPr>
    <w:rPr>
      <w:b/>
    </w:rPr>
  </w:style>
  <w:style w:type="paragraph" w:styleId="TOAHeading">
    <w:name w:val="toa heading"/>
    <w:basedOn w:val="Normal"/>
    <w:next w:val="Normal"/>
    <w:semiHidden/>
    <w:rsid w:val="00CB05A8"/>
    <w:pPr>
      <w:spacing w:before="120"/>
    </w:pPr>
    <w:rPr>
      <w:b/>
    </w:rPr>
  </w:style>
  <w:style w:type="paragraph" w:styleId="TOC1">
    <w:name w:val="toc 1"/>
    <w:basedOn w:val="Normal"/>
    <w:next w:val="Normal"/>
    <w:autoRedefine/>
    <w:uiPriority w:val="39"/>
    <w:rsid w:val="00CB05A8"/>
  </w:style>
  <w:style w:type="paragraph" w:styleId="TOC2">
    <w:name w:val="toc 2"/>
    <w:basedOn w:val="Normal"/>
    <w:next w:val="Normal"/>
    <w:autoRedefine/>
    <w:uiPriority w:val="39"/>
    <w:rsid w:val="00651744"/>
    <w:pPr>
      <w:ind w:left="259"/>
    </w:pPr>
  </w:style>
  <w:style w:type="paragraph" w:styleId="TOC3">
    <w:name w:val="toc 3"/>
    <w:basedOn w:val="Normal"/>
    <w:next w:val="Normal"/>
    <w:autoRedefine/>
    <w:uiPriority w:val="39"/>
    <w:rsid w:val="00651744"/>
    <w:pPr>
      <w:ind w:left="520"/>
    </w:pPr>
  </w:style>
  <w:style w:type="paragraph" w:styleId="TOC4">
    <w:name w:val="toc 4"/>
    <w:basedOn w:val="Normal"/>
    <w:next w:val="Normal"/>
    <w:autoRedefine/>
    <w:uiPriority w:val="39"/>
    <w:rsid w:val="00651744"/>
    <w:pPr>
      <w:ind w:left="780"/>
    </w:pPr>
  </w:style>
  <w:style w:type="paragraph" w:styleId="TOC5">
    <w:name w:val="toc 5"/>
    <w:basedOn w:val="Normal"/>
    <w:next w:val="Normal"/>
    <w:autoRedefine/>
    <w:uiPriority w:val="39"/>
    <w:rsid w:val="00651744"/>
    <w:pPr>
      <w:ind w:left="1040"/>
    </w:pPr>
  </w:style>
  <w:style w:type="paragraph" w:styleId="TOC6">
    <w:name w:val="toc 6"/>
    <w:basedOn w:val="Normal"/>
    <w:next w:val="Normal"/>
    <w:autoRedefine/>
    <w:semiHidden/>
    <w:rsid w:val="00CB05A8"/>
    <w:pPr>
      <w:ind w:left="1300"/>
    </w:pPr>
  </w:style>
  <w:style w:type="paragraph" w:styleId="TOC7">
    <w:name w:val="toc 7"/>
    <w:basedOn w:val="Normal"/>
    <w:next w:val="Normal"/>
    <w:autoRedefine/>
    <w:semiHidden/>
    <w:rsid w:val="00CB05A8"/>
    <w:pPr>
      <w:ind w:left="1560"/>
    </w:pPr>
  </w:style>
  <w:style w:type="paragraph" w:styleId="TOC8">
    <w:name w:val="toc 8"/>
    <w:basedOn w:val="Normal"/>
    <w:next w:val="Normal"/>
    <w:autoRedefine/>
    <w:semiHidden/>
    <w:rsid w:val="00CB05A8"/>
    <w:pPr>
      <w:ind w:left="1820"/>
    </w:pPr>
  </w:style>
  <w:style w:type="paragraph" w:styleId="TOC9">
    <w:name w:val="toc 9"/>
    <w:basedOn w:val="Normal"/>
    <w:next w:val="Normal"/>
    <w:autoRedefine/>
    <w:semiHidden/>
    <w:rsid w:val="00CB05A8"/>
    <w:pPr>
      <w:ind w:left="2080"/>
    </w:pPr>
  </w:style>
  <w:style w:type="paragraph" w:customStyle="1" w:styleId="Contents">
    <w:name w:val="Contents"/>
    <w:basedOn w:val="Normal"/>
    <w:rsid w:val="00CB05A8"/>
    <w:pPr>
      <w:jc w:val="center"/>
    </w:pPr>
    <w:rPr>
      <w:b/>
      <w:spacing w:val="100"/>
    </w:rPr>
  </w:style>
  <w:style w:type="character" w:styleId="CommentReference">
    <w:name w:val="annotation reference"/>
    <w:basedOn w:val="DefaultParagraphFont"/>
    <w:uiPriority w:val="99"/>
    <w:semiHidden/>
    <w:unhideWhenUsed/>
    <w:rsid w:val="00D130BE"/>
    <w:rPr>
      <w:sz w:val="16"/>
      <w:szCs w:val="16"/>
    </w:rPr>
  </w:style>
  <w:style w:type="paragraph" w:styleId="CommentText">
    <w:name w:val="annotation text"/>
    <w:basedOn w:val="Normal"/>
    <w:link w:val="CommentTextChar"/>
    <w:uiPriority w:val="99"/>
    <w:semiHidden/>
    <w:unhideWhenUsed/>
    <w:rsid w:val="00D130BE"/>
    <w:rPr>
      <w:sz w:val="20"/>
    </w:rPr>
  </w:style>
  <w:style w:type="character" w:customStyle="1" w:styleId="CommentTextChar">
    <w:name w:val="Comment Text Char"/>
    <w:basedOn w:val="DefaultParagraphFont"/>
    <w:link w:val="CommentText"/>
    <w:uiPriority w:val="99"/>
    <w:semiHidden/>
    <w:rsid w:val="00D130BE"/>
  </w:style>
  <w:style w:type="paragraph" w:styleId="CommentSubject">
    <w:name w:val="annotation subject"/>
    <w:basedOn w:val="CommentText"/>
    <w:next w:val="CommentText"/>
    <w:link w:val="CommentSubjectChar"/>
    <w:uiPriority w:val="99"/>
    <w:semiHidden/>
    <w:unhideWhenUsed/>
    <w:rsid w:val="00D130BE"/>
    <w:rPr>
      <w:b/>
      <w:bCs/>
    </w:rPr>
  </w:style>
  <w:style w:type="character" w:customStyle="1" w:styleId="CommentSubjectChar">
    <w:name w:val="Comment Subject Char"/>
    <w:basedOn w:val="CommentTextChar"/>
    <w:link w:val="CommentSubject"/>
    <w:uiPriority w:val="99"/>
    <w:semiHidden/>
    <w:rsid w:val="00D130BE"/>
    <w:rPr>
      <w:b/>
      <w:bCs/>
    </w:rPr>
  </w:style>
  <w:style w:type="paragraph" w:styleId="BalloonText">
    <w:name w:val="Balloon Text"/>
    <w:basedOn w:val="Normal"/>
    <w:link w:val="BalloonTextChar"/>
    <w:uiPriority w:val="99"/>
    <w:semiHidden/>
    <w:unhideWhenUsed/>
    <w:rsid w:val="00D130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0BE"/>
    <w:rPr>
      <w:rFonts w:ascii="Segoe UI" w:hAnsi="Segoe UI" w:cs="Segoe UI"/>
      <w:sz w:val="18"/>
      <w:szCs w:val="18"/>
    </w:rPr>
  </w:style>
  <w:style w:type="paragraph" w:styleId="ListParagraph">
    <w:name w:val="List Paragraph"/>
    <w:basedOn w:val="Normal"/>
    <w:uiPriority w:val="34"/>
    <w:qFormat/>
    <w:rsid w:val="003D7181"/>
    <w:pPr>
      <w:ind w:left="720"/>
      <w:contextualSpacing/>
    </w:pPr>
  </w:style>
  <w:style w:type="character" w:styleId="Hyperlink">
    <w:name w:val="Hyperlink"/>
    <w:basedOn w:val="DefaultParagraphFont"/>
    <w:uiPriority w:val="99"/>
    <w:unhideWhenUsed/>
    <w:rsid w:val="002F46F1"/>
    <w:rPr>
      <w:color w:val="0000FF"/>
      <w:u w:val="single"/>
    </w:rPr>
  </w:style>
  <w:style w:type="character" w:styleId="Emphasis">
    <w:name w:val="Emphasis"/>
    <w:basedOn w:val="DefaultParagraphFont"/>
    <w:uiPriority w:val="20"/>
    <w:qFormat/>
    <w:rsid w:val="002F46F1"/>
    <w:rPr>
      <w:i/>
      <w:iCs/>
    </w:rPr>
  </w:style>
  <w:style w:type="character" w:styleId="FollowedHyperlink">
    <w:name w:val="FollowedHyperlink"/>
    <w:basedOn w:val="DefaultParagraphFont"/>
    <w:uiPriority w:val="99"/>
    <w:semiHidden/>
    <w:unhideWhenUsed/>
    <w:rsid w:val="00D02FB0"/>
    <w:rPr>
      <w:color w:val="800080" w:themeColor="followedHyperlink"/>
      <w:u w:val="single"/>
    </w:rPr>
  </w:style>
  <w:style w:type="character" w:customStyle="1" w:styleId="FootnoteTextChar">
    <w:name w:val="Footnote Text Char"/>
    <w:basedOn w:val="DefaultParagraphFont"/>
    <w:link w:val="FootnoteText"/>
    <w:rsid w:val="00A7783E"/>
    <w:rPr>
      <w:rFonts w:ascii="Century Schoolbook" w:hAnsi="Century Schoolbook"/>
      <w:sz w:val="27"/>
    </w:rPr>
  </w:style>
  <w:style w:type="character" w:customStyle="1" w:styleId="costarpage">
    <w:name w:val="co_starpage"/>
    <w:basedOn w:val="DefaultParagraphFont"/>
    <w:rsid w:val="00103B68"/>
  </w:style>
  <w:style w:type="character" w:customStyle="1" w:styleId="cosearchterm">
    <w:name w:val="co_searchterm"/>
    <w:basedOn w:val="DefaultParagraphFont"/>
    <w:rsid w:val="00312364"/>
  </w:style>
  <w:style w:type="character" w:customStyle="1" w:styleId="coinlinekeyciteflag">
    <w:name w:val="co_inlinekeyciteflag"/>
    <w:basedOn w:val="DefaultParagraphFont"/>
    <w:rsid w:val="004D4BA7"/>
  </w:style>
  <w:style w:type="paragraph" w:styleId="Revision">
    <w:name w:val="Revision"/>
    <w:hidden/>
    <w:uiPriority w:val="99"/>
    <w:semiHidden/>
    <w:rsid w:val="00B828CE"/>
    <w:rPr>
      <w:sz w:val="26"/>
    </w:rPr>
  </w:style>
  <w:style w:type="character" w:customStyle="1" w:styleId="Heading4Char">
    <w:name w:val="Heading 4 Char"/>
    <w:basedOn w:val="DefaultParagraphFont"/>
    <w:link w:val="Heading4"/>
    <w:rsid w:val="00FC1E99"/>
    <w:rPr>
      <w:rFonts w:ascii="Century Schoolbook" w:hAnsi="Century Schoolbook"/>
      <w:i/>
      <w:sz w:val="27"/>
    </w:rPr>
  </w:style>
  <w:style w:type="paragraph" w:styleId="TOCHeading">
    <w:name w:val="TOC Heading"/>
    <w:basedOn w:val="Heading1"/>
    <w:next w:val="Normal"/>
    <w:uiPriority w:val="39"/>
    <w:unhideWhenUsed/>
    <w:qFormat/>
    <w:rsid w:val="00D7343E"/>
    <w:pPr>
      <w:keepLines/>
      <w:spacing w:before="24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paragraph" w:styleId="BodyText">
    <w:name w:val="Body Text"/>
    <w:basedOn w:val="Normal"/>
    <w:link w:val="BodyTextChar"/>
    <w:qFormat/>
    <w:rsid w:val="00CB05A8"/>
  </w:style>
  <w:style w:type="character" w:customStyle="1" w:styleId="BodyTextChar">
    <w:name w:val="Body Text Char"/>
    <w:basedOn w:val="DefaultParagraphFont"/>
    <w:link w:val="BodyText"/>
    <w:rsid w:val="00CB05A8"/>
    <w:rPr>
      <w:rFonts w:ascii="Century Schoolbook" w:hAnsi="Century Schoolbook"/>
      <w:sz w:val="27"/>
    </w:rPr>
  </w:style>
  <w:style w:type="character" w:customStyle="1" w:styleId="FooterChar">
    <w:name w:val="Footer Char"/>
    <w:basedOn w:val="DefaultParagraphFont"/>
    <w:link w:val="Footer"/>
    <w:uiPriority w:val="99"/>
    <w:rsid w:val="00BB4045"/>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24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F3447-F068-47CA-909C-FC1CC441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25060</Words>
  <Characters>130846</Characters>
  <Application>Microsoft Office Word</Application>
  <DocSecurity>0</DocSecurity>
  <Lines>2541</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2021-05-24T16:19:31.1793472Z</dcterms:created>
  <dcterms:modified xsi:type="dcterms:W3CDTF">2021-05-24T16:19:31.1793472Z</dcterms:modified>
</cp:coreProperties>
</file>