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1A" w:rsidRPr="007246F1" w:rsidRDefault="00EF4903" w:rsidP="00A51D1A">
      <w:pPr>
        <w:rPr>
          <w:sz w:val="20"/>
          <w:szCs w:val="20"/>
        </w:rPr>
      </w:pPr>
      <w:r>
        <w:rPr>
          <w:sz w:val="20"/>
          <w:szCs w:val="20"/>
        </w:rPr>
        <w:t>Filed 7/2/18</w:t>
      </w:r>
    </w:p>
    <w:p w:rsidR="00A51D1A" w:rsidRPr="0010704B" w:rsidRDefault="00EF4903" w:rsidP="00A51D1A">
      <w:pPr>
        <w:jc w:val="center"/>
      </w:pPr>
    </w:p>
    <w:p w:rsidR="00A51D1A" w:rsidRPr="0010704B" w:rsidRDefault="00EF4903" w:rsidP="00A51D1A">
      <w:pPr>
        <w:jc w:val="center"/>
      </w:pPr>
    </w:p>
    <w:p w:rsidR="00A51D1A" w:rsidRPr="0010704B" w:rsidRDefault="00EF4903" w:rsidP="00A51D1A">
      <w:pPr>
        <w:jc w:val="center"/>
      </w:pPr>
    </w:p>
    <w:p w:rsidR="00A51D1A" w:rsidRPr="0010704B" w:rsidRDefault="00EF4903" w:rsidP="00A51D1A">
      <w:pPr>
        <w:jc w:val="center"/>
        <w:rPr>
          <w:sz w:val="36"/>
        </w:rPr>
      </w:pPr>
      <w:r w:rsidRPr="0010704B">
        <w:rPr>
          <w:b/>
          <w:sz w:val="36"/>
        </w:rPr>
        <w:t>IN THE SUPREME COURT OF CALIFORNIA</w:t>
      </w:r>
    </w:p>
    <w:p w:rsidR="00A51D1A" w:rsidRPr="0010704B" w:rsidRDefault="00EF4903" w:rsidP="00A51D1A">
      <w:pPr>
        <w:jc w:val="center"/>
      </w:pPr>
    </w:p>
    <w:p w:rsidR="00A51D1A" w:rsidRPr="0010704B" w:rsidRDefault="00EF4903" w:rsidP="00A51D1A">
      <w:pPr>
        <w:jc w:val="center"/>
      </w:pPr>
    </w:p>
    <w:p w:rsidR="00A51D1A" w:rsidRPr="0010704B" w:rsidRDefault="00EF4903" w:rsidP="00A51D1A">
      <w:pPr>
        <w:jc w:val="center"/>
      </w:pPr>
    </w:p>
    <w:p w:rsidR="00A51D1A" w:rsidRPr="0010704B" w:rsidRDefault="00EF4903" w:rsidP="00A51D1A">
      <w:pPr>
        <w:tabs>
          <w:tab w:val="left" w:pos="4680"/>
          <w:tab w:val="center" w:pos="7200"/>
        </w:tabs>
        <w:spacing w:line="240" w:lineRule="atLeast"/>
      </w:pPr>
      <w:r w:rsidRPr="0010704B">
        <w:t>THE PEOPLE,</w:t>
      </w:r>
      <w:r w:rsidRPr="0010704B">
        <w:tab/>
        <w:t>)</w:t>
      </w:r>
    </w:p>
    <w:p w:rsidR="00A51D1A" w:rsidRPr="0010704B" w:rsidRDefault="00EF4903" w:rsidP="00A51D1A">
      <w:pPr>
        <w:tabs>
          <w:tab w:val="left" w:pos="1440"/>
          <w:tab w:val="left" w:pos="4680"/>
          <w:tab w:val="center" w:pos="7200"/>
        </w:tabs>
        <w:spacing w:line="240" w:lineRule="atLeast"/>
      </w:pPr>
      <w:r w:rsidRPr="0010704B">
        <w:tab/>
      </w:r>
      <w:r w:rsidRPr="0010704B">
        <w:tab/>
        <w:t>)</w:t>
      </w:r>
    </w:p>
    <w:p w:rsidR="00A51D1A" w:rsidRPr="0010704B" w:rsidRDefault="00EF4903" w:rsidP="00A51D1A">
      <w:pPr>
        <w:tabs>
          <w:tab w:val="left" w:pos="1440"/>
          <w:tab w:val="left" w:pos="4680"/>
          <w:tab w:val="center" w:pos="7200"/>
        </w:tabs>
        <w:spacing w:line="240" w:lineRule="atLeast"/>
      </w:pPr>
      <w:r w:rsidRPr="0010704B">
        <w:tab/>
        <w:t>Plaintiff and Respondent,</w:t>
      </w:r>
      <w:r w:rsidRPr="0010704B">
        <w:tab/>
        <w:t>)</w:t>
      </w:r>
    </w:p>
    <w:p w:rsidR="00A51D1A" w:rsidRPr="0010704B" w:rsidRDefault="00EF4903" w:rsidP="00A51D1A">
      <w:pPr>
        <w:tabs>
          <w:tab w:val="left" w:pos="1440"/>
          <w:tab w:val="left" w:pos="4680"/>
          <w:tab w:val="center" w:pos="7200"/>
        </w:tabs>
        <w:spacing w:line="240" w:lineRule="atLeast"/>
      </w:pPr>
      <w:r w:rsidRPr="0010704B">
        <w:tab/>
      </w:r>
      <w:r w:rsidRPr="0010704B">
        <w:tab/>
        <w:t>)</w:t>
      </w:r>
      <w:r w:rsidRPr="0010704B">
        <w:tab/>
        <w:t>S</w:t>
      </w:r>
      <w:r>
        <w:t>079925</w:t>
      </w:r>
    </w:p>
    <w:p w:rsidR="00A51D1A" w:rsidRPr="0010704B" w:rsidRDefault="00EF4903" w:rsidP="00A51D1A">
      <w:pPr>
        <w:tabs>
          <w:tab w:val="left" w:pos="1440"/>
          <w:tab w:val="left" w:pos="4680"/>
          <w:tab w:val="center" w:pos="7200"/>
        </w:tabs>
        <w:spacing w:line="240" w:lineRule="atLeast"/>
      </w:pPr>
      <w:r w:rsidRPr="0010704B">
        <w:tab/>
        <w:t>v.</w:t>
      </w:r>
      <w:r w:rsidRPr="0010704B">
        <w:tab/>
        <w:t>)</w:t>
      </w:r>
    </w:p>
    <w:p w:rsidR="00A51D1A" w:rsidRPr="0010704B" w:rsidRDefault="00EF4903" w:rsidP="00A51D1A">
      <w:pPr>
        <w:tabs>
          <w:tab w:val="left" w:pos="1440"/>
          <w:tab w:val="left" w:pos="4680"/>
          <w:tab w:val="center" w:pos="7200"/>
        </w:tabs>
        <w:spacing w:line="240" w:lineRule="atLeast"/>
      </w:pPr>
      <w:r w:rsidRPr="0010704B">
        <w:tab/>
      </w:r>
      <w:r w:rsidRPr="0010704B">
        <w:tab/>
        <w:t>)</w:t>
      </w:r>
      <w:r w:rsidRPr="0010704B">
        <w:tab/>
        <w:t xml:space="preserve"> </w:t>
      </w:r>
    </w:p>
    <w:p w:rsidR="00A51D1A" w:rsidRDefault="00EF4903" w:rsidP="00A51D1A">
      <w:pPr>
        <w:tabs>
          <w:tab w:val="left" w:pos="4680"/>
          <w:tab w:val="center" w:pos="7200"/>
        </w:tabs>
        <w:spacing w:line="240" w:lineRule="atLeast"/>
      </w:pPr>
      <w:r w:rsidRPr="0010704B">
        <w:t>JOSEPH A</w:t>
      </w:r>
      <w:r>
        <w:t>DAM MORA and RUBEN</w:t>
      </w:r>
      <w:r>
        <w:tab/>
        <w:t>)</w:t>
      </w:r>
    </w:p>
    <w:p w:rsidR="00A51D1A" w:rsidRPr="0010704B" w:rsidRDefault="00EF4903" w:rsidP="00A51D1A">
      <w:pPr>
        <w:tabs>
          <w:tab w:val="left" w:pos="4680"/>
          <w:tab w:val="center" w:pos="7200"/>
        </w:tabs>
        <w:spacing w:line="240" w:lineRule="atLeast"/>
      </w:pPr>
      <w:r>
        <w:t>RANGEL,</w:t>
      </w:r>
      <w:r w:rsidRPr="0010704B">
        <w:tab/>
        <w:t>)</w:t>
      </w:r>
    </w:p>
    <w:p w:rsidR="00A51D1A" w:rsidRPr="0010704B" w:rsidRDefault="00EF4903" w:rsidP="00A51D1A">
      <w:pPr>
        <w:tabs>
          <w:tab w:val="left" w:pos="4680"/>
          <w:tab w:val="center" w:pos="7200"/>
        </w:tabs>
        <w:spacing w:line="240" w:lineRule="atLeast"/>
      </w:pPr>
      <w:r>
        <w:tab/>
        <w:t>)</w:t>
      </w:r>
      <w:r>
        <w:tab/>
        <w:t>Los Angeles</w:t>
      </w:r>
      <w:r w:rsidRPr="0010704B">
        <w:t xml:space="preserve"> County</w:t>
      </w:r>
    </w:p>
    <w:p w:rsidR="00A51D1A" w:rsidRPr="0010704B" w:rsidRDefault="00EF4903" w:rsidP="00A51D1A">
      <w:pPr>
        <w:tabs>
          <w:tab w:val="left" w:pos="1440"/>
          <w:tab w:val="left" w:pos="4680"/>
          <w:tab w:val="center" w:pos="7200"/>
        </w:tabs>
        <w:spacing w:line="240" w:lineRule="atLeast"/>
      </w:pPr>
      <w:r w:rsidRPr="0010704B">
        <w:tab/>
        <w:t>Defendant</w:t>
      </w:r>
      <w:r>
        <w:t>s</w:t>
      </w:r>
      <w:r w:rsidRPr="0010704B">
        <w:t xml:space="preserve"> and Appellant</w:t>
      </w:r>
      <w:r>
        <w:t>s</w:t>
      </w:r>
      <w:r w:rsidRPr="0010704B">
        <w:t>.</w:t>
      </w:r>
      <w:r w:rsidRPr="0010704B">
        <w:tab/>
        <w:t>)</w:t>
      </w:r>
      <w:r w:rsidRPr="0010704B">
        <w:tab/>
        <w:t xml:space="preserve">Super. Ct. No. </w:t>
      </w:r>
      <w:r>
        <w:t>TA037999</w:t>
      </w:r>
    </w:p>
    <w:p w:rsidR="00A51D1A" w:rsidRPr="0010704B" w:rsidRDefault="00EF4903" w:rsidP="00A51D1A">
      <w:pPr>
        <w:tabs>
          <w:tab w:val="left" w:leader="underscore" w:pos="4680"/>
        </w:tabs>
        <w:spacing w:line="240" w:lineRule="atLeast"/>
        <w:rPr>
          <w:u w:val="single"/>
        </w:rPr>
      </w:pPr>
      <w:r w:rsidRPr="0010704B">
        <w:tab/>
        <w:t>)</w:t>
      </w:r>
    </w:p>
    <w:p w:rsidR="00E13290" w:rsidRDefault="00EF4903">
      <w:pPr>
        <w:rPr>
          <w:b/>
          <w:caps/>
          <w:szCs w:val="26"/>
        </w:rPr>
      </w:pPr>
    </w:p>
    <w:p w:rsidR="00E739DB" w:rsidRDefault="00EF4903" w:rsidP="00032164">
      <w:pPr>
        <w:tabs>
          <w:tab w:val="left" w:pos="1440"/>
        </w:tabs>
        <w:spacing w:line="480" w:lineRule="atLeast"/>
        <w:ind w:firstLine="720"/>
      </w:pPr>
      <w:bookmarkStart w:id="0" w:name="mainstory"/>
      <w:bookmarkEnd w:id="0"/>
      <w:r>
        <w:rPr>
          <w:szCs w:val="26"/>
        </w:rPr>
        <w:t xml:space="preserve">This automatic appeal </w:t>
      </w:r>
      <w:r>
        <w:rPr>
          <w:szCs w:val="26"/>
        </w:rPr>
        <w:t>arises</w:t>
      </w:r>
      <w:r>
        <w:rPr>
          <w:szCs w:val="26"/>
        </w:rPr>
        <w:t xml:space="preserve"> from defendants </w:t>
      </w:r>
      <w:r>
        <w:rPr>
          <w:szCs w:val="26"/>
        </w:rPr>
        <w:t xml:space="preserve">Joseph Adam </w:t>
      </w:r>
      <w:proofErr w:type="spellStart"/>
      <w:r>
        <w:rPr>
          <w:szCs w:val="26"/>
        </w:rPr>
        <w:t>Mora</w:t>
      </w:r>
      <w:proofErr w:type="spellEnd"/>
      <w:r>
        <w:rPr>
          <w:szCs w:val="26"/>
        </w:rPr>
        <w:t xml:space="preserve"> and Rube</w:t>
      </w:r>
      <w:r>
        <w:rPr>
          <w:szCs w:val="26"/>
        </w:rPr>
        <w:t>n</w:t>
      </w:r>
      <w:r>
        <w:rPr>
          <w:szCs w:val="26"/>
        </w:rPr>
        <w:t xml:space="preserve"> Rangel</w:t>
      </w:r>
      <w:r>
        <w:rPr>
          <w:szCs w:val="26"/>
        </w:rPr>
        <w:t>’s 1999 convictions and death sentences for the</w:t>
      </w:r>
      <w:r>
        <w:rPr>
          <w:szCs w:val="26"/>
        </w:rPr>
        <w:t xml:space="preserve"> attempted robberies and</w:t>
      </w:r>
      <w:r>
        <w:rPr>
          <w:szCs w:val="26"/>
        </w:rPr>
        <w:t xml:space="preserve"> murders of</w:t>
      </w:r>
      <w:r w:rsidRPr="0010704B">
        <w:rPr>
          <w:szCs w:val="26"/>
        </w:rPr>
        <w:t xml:space="preserve"> </w:t>
      </w:r>
      <w:r>
        <w:rPr>
          <w:szCs w:val="26"/>
        </w:rPr>
        <w:t xml:space="preserve">Andres </w:t>
      </w:r>
      <w:proofErr w:type="spellStart"/>
      <w:r>
        <w:rPr>
          <w:szCs w:val="26"/>
        </w:rPr>
        <w:t>Encinas</w:t>
      </w:r>
      <w:proofErr w:type="spellEnd"/>
      <w:r>
        <w:rPr>
          <w:szCs w:val="26"/>
        </w:rPr>
        <w:t xml:space="preserve"> and Antonio </w:t>
      </w:r>
      <w:proofErr w:type="spellStart"/>
      <w:r>
        <w:rPr>
          <w:szCs w:val="26"/>
        </w:rPr>
        <w:t>Urrutia</w:t>
      </w:r>
      <w:proofErr w:type="spellEnd"/>
      <w:r w:rsidRPr="0010704B">
        <w:rPr>
          <w:szCs w:val="26"/>
        </w:rPr>
        <w:t xml:space="preserve">.  </w:t>
      </w:r>
      <w:proofErr w:type="spellStart"/>
      <w:r>
        <w:rPr>
          <w:szCs w:val="26"/>
        </w:rPr>
        <w:t>Mora</w:t>
      </w:r>
      <w:proofErr w:type="spellEnd"/>
      <w:r>
        <w:rPr>
          <w:szCs w:val="26"/>
        </w:rPr>
        <w:t xml:space="preserve"> and Rangel </w:t>
      </w:r>
      <w:r>
        <w:t>contend t</w:t>
      </w:r>
      <w:r>
        <w:t>hat several errors occurred durin</w:t>
      </w:r>
      <w:r>
        <w:t>g th</w:t>
      </w:r>
      <w:r>
        <w:t>e guilt and penalty phases of their</w:t>
      </w:r>
      <w:r>
        <w:t xml:space="preserve"> trial. </w:t>
      </w:r>
      <w:r>
        <w:t xml:space="preserve"> </w:t>
      </w:r>
      <w:r>
        <w:t>With one exception, we</w:t>
      </w:r>
      <w:r>
        <w:t xml:space="preserve"> disagree</w:t>
      </w:r>
      <w:r>
        <w:t xml:space="preserve">. </w:t>
      </w:r>
      <w:r>
        <w:t xml:space="preserve"> </w:t>
      </w:r>
      <w:r>
        <w:t>The exception consists of</w:t>
      </w:r>
      <w:r>
        <w:t xml:space="preserve"> a guilt phase instructional error</w:t>
      </w:r>
      <w:r>
        <w:t xml:space="preserve"> permitting the jury </w:t>
      </w:r>
      <w:r>
        <w:t xml:space="preserve">to find the </w:t>
      </w:r>
      <w:r>
        <w:t>multiple murder</w:t>
      </w:r>
      <w:r>
        <w:t xml:space="preserve"> special circumstance true without finding that </w:t>
      </w:r>
      <w:proofErr w:type="spellStart"/>
      <w:r>
        <w:t>Mora</w:t>
      </w:r>
      <w:proofErr w:type="spellEnd"/>
      <w:r>
        <w:t xml:space="preserve"> or Rangel intended to kill or actually killed either victim. </w:t>
      </w:r>
      <w:r>
        <w:t xml:space="preserve"> </w:t>
      </w:r>
      <w:r>
        <w:t>We nonetheless find the error harmless because of the overwhelming evidence supporting the jury’s co</w:t>
      </w:r>
      <w:r>
        <w:t>nclusion that each defendant actually kil</w:t>
      </w:r>
      <w:r>
        <w:t>led the victim he shot, and both defendants were found guilty of two first</w:t>
      </w:r>
      <w:r>
        <w:t>-</w:t>
      </w:r>
      <w:r>
        <w:t>degree murders.  Accordingly, we</w:t>
      </w:r>
      <w:r>
        <w:rPr>
          <w:rStyle w:val="CommentReference"/>
          <w:rFonts w:eastAsia="MS Gothic"/>
        </w:rPr>
        <w:t> </w:t>
      </w:r>
      <w:r>
        <w:t>affirm the judgment.</w:t>
      </w:r>
    </w:p>
    <w:p w:rsidR="009E6980" w:rsidRPr="00825BD6" w:rsidRDefault="00EF4903" w:rsidP="00D64D5F">
      <w:pPr>
        <w:tabs>
          <w:tab w:val="left" w:pos="1440"/>
        </w:tabs>
        <w:spacing w:line="480" w:lineRule="atLeast"/>
        <w:jc w:val="center"/>
        <w:rPr>
          <w:b/>
          <w:smallCaps/>
          <w:szCs w:val="26"/>
        </w:rPr>
      </w:pPr>
      <w:bookmarkStart w:id="1" w:name="_Toc487448083"/>
      <w:bookmarkStart w:id="2" w:name="_Toc511210375"/>
      <w:r w:rsidRPr="00825BD6">
        <w:rPr>
          <w:b/>
          <w:smallCaps/>
          <w:szCs w:val="26"/>
        </w:rPr>
        <w:t xml:space="preserve">I.  </w:t>
      </w:r>
      <w:bookmarkEnd w:id="1"/>
      <w:r w:rsidRPr="00825BD6">
        <w:rPr>
          <w:b/>
          <w:smallCaps/>
          <w:szCs w:val="26"/>
        </w:rPr>
        <w:t>Background</w:t>
      </w:r>
      <w:bookmarkEnd w:id="2"/>
    </w:p>
    <w:p w:rsidR="00DF63F0" w:rsidRPr="001246BE" w:rsidRDefault="00EF4903" w:rsidP="00E739DB">
      <w:pPr>
        <w:widowControl w:val="0"/>
        <w:tabs>
          <w:tab w:val="left" w:pos="1440"/>
        </w:tabs>
        <w:spacing w:line="480" w:lineRule="exact"/>
        <w:ind w:firstLine="720"/>
        <w:rPr>
          <w:szCs w:val="26"/>
        </w:rPr>
      </w:pPr>
      <w:r>
        <w:lastRenderedPageBreak/>
        <w:t xml:space="preserve">Defendants Joseph Adam </w:t>
      </w:r>
      <w:proofErr w:type="spellStart"/>
      <w:r>
        <w:t>Mora</w:t>
      </w:r>
      <w:proofErr w:type="spellEnd"/>
      <w:r>
        <w:t xml:space="preserve"> and Ruben Rangel were charged </w:t>
      </w:r>
      <w:r>
        <w:t>by</w:t>
      </w:r>
      <w:r>
        <w:t xml:space="preserve"> </w:t>
      </w:r>
      <w:r>
        <w:t>information with two cou</w:t>
      </w:r>
      <w:r>
        <w:t>nts of murder (Pen</w:t>
      </w:r>
      <w:r>
        <w:t>.</w:t>
      </w:r>
      <w:r>
        <w:t xml:space="preserve"> Code</w:t>
      </w:r>
      <w:r>
        <w:t>,</w:t>
      </w:r>
      <w:r>
        <w:rPr>
          <w:rStyle w:val="FootnoteReference"/>
        </w:rPr>
        <w:footnoteReference w:id="2"/>
      </w:r>
      <w:r>
        <w:t xml:space="preserve"> § 187</w:t>
      </w:r>
      <w:r>
        <w:t xml:space="preserve">), two counts of attempted </w:t>
      </w:r>
      <w:r>
        <w:t>robbery</w:t>
      </w:r>
      <w:r>
        <w:t xml:space="preserve"> (§§ </w:t>
      </w:r>
      <w:r>
        <w:t>211</w:t>
      </w:r>
      <w:r>
        <w:t>,</w:t>
      </w:r>
      <w:r>
        <w:t xml:space="preserve"> </w:t>
      </w:r>
      <w:r>
        <w:t>6</w:t>
      </w:r>
      <w:r>
        <w:t>6</w:t>
      </w:r>
      <w:r>
        <w:t>4</w:t>
      </w:r>
      <w:r>
        <w:t xml:space="preserve">), </w:t>
      </w:r>
      <w:r>
        <w:t xml:space="preserve">the </w:t>
      </w:r>
      <w:r>
        <w:t>special circumstance</w:t>
      </w:r>
      <w:r>
        <w:t>s</w:t>
      </w:r>
      <w:r>
        <w:t xml:space="preserve"> of multiple</w:t>
      </w:r>
      <w:r>
        <w:t xml:space="preserve"> </w:t>
      </w:r>
      <w:r>
        <w:t>murder (§ 190.2, subd. (a)(3))</w:t>
      </w:r>
      <w:r>
        <w:t xml:space="preserve"> </w:t>
      </w:r>
      <w:r>
        <w:t xml:space="preserve">and </w:t>
      </w:r>
      <w:r>
        <w:t xml:space="preserve">felony </w:t>
      </w:r>
      <w:r>
        <w:t>murder while in the commission of robbery (§190.2, subd. (a)(17)</w:t>
      </w:r>
      <w:r>
        <w:t>)</w:t>
      </w:r>
      <w:r>
        <w:t xml:space="preserve">, and various enhancements.  </w:t>
      </w:r>
      <w:r w:rsidRPr="001246BE">
        <w:rPr>
          <w:szCs w:val="26"/>
        </w:rPr>
        <w:t xml:space="preserve">    </w:t>
      </w:r>
    </w:p>
    <w:p w:rsidR="009E6980" w:rsidRPr="001246BE" w:rsidRDefault="00EF4903" w:rsidP="009E6980">
      <w:pPr>
        <w:tabs>
          <w:tab w:val="left" w:pos="1440"/>
        </w:tabs>
        <w:spacing w:line="480" w:lineRule="exact"/>
        <w:ind w:firstLine="720"/>
        <w:rPr>
          <w:szCs w:val="26"/>
        </w:rPr>
      </w:pPr>
      <w:r w:rsidRPr="001246BE">
        <w:rPr>
          <w:szCs w:val="26"/>
        </w:rPr>
        <w:t xml:space="preserve">On February 5, 1999, </w:t>
      </w:r>
      <w:r w:rsidRPr="001246BE">
        <w:rPr>
          <w:szCs w:val="26"/>
        </w:rPr>
        <w:t xml:space="preserve">the jury </w:t>
      </w:r>
      <w:r w:rsidRPr="001246BE">
        <w:rPr>
          <w:szCs w:val="26"/>
        </w:rPr>
        <w:t>found</w:t>
      </w:r>
      <w:r w:rsidRPr="001246BE">
        <w:rPr>
          <w:szCs w:val="26"/>
        </w:rPr>
        <w:t xml:space="preserve"> Rangel and </w:t>
      </w:r>
      <w:proofErr w:type="spellStart"/>
      <w:r w:rsidRPr="001246BE">
        <w:rPr>
          <w:szCs w:val="26"/>
        </w:rPr>
        <w:t>Mora</w:t>
      </w:r>
      <w:proofErr w:type="spellEnd"/>
      <w:r w:rsidRPr="001246BE">
        <w:rPr>
          <w:szCs w:val="26"/>
        </w:rPr>
        <w:t xml:space="preserve"> guilty of the first</w:t>
      </w:r>
      <w:r w:rsidRPr="001246BE">
        <w:rPr>
          <w:szCs w:val="26"/>
        </w:rPr>
        <w:t xml:space="preserve"> </w:t>
      </w:r>
      <w:r w:rsidRPr="001246BE">
        <w:rPr>
          <w:szCs w:val="26"/>
        </w:rPr>
        <w:t xml:space="preserve">degree murders and the attempted second degree robberies of both </w:t>
      </w:r>
      <w:proofErr w:type="spellStart"/>
      <w:r w:rsidRPr="001246BE">
        <w:rPr>
          <w:szCs w:val="26"/>
        </w:rPr>
        <w:t>Encinas</w:t>
      </w:r>
      <w:proofErr w:type="spellEnd"/>
      <w:r w:rsidRPr="001246BE">
        <w:rPr>
          <w:szCs w:val="26"/>
        </w:rPr>
        <w:t xml:space="preserve"> and </w:t>
      </w:r>
      <w:proofErr w:type="spellStart"/>
      <w:r w:rsidRPr="001246BE">
        <w:rPr>
          <w:szCs w:val="26"/>
        </w:rPr>
        <w:t>Urrutia</w:t>
      </w:r>
      <w:proofErr w:type="spellEnd"/>
      <w:r w:rsidRPr="001246BE">
        <w:rPr>
          <w:szCs w:val="26"/>
        </w:rPr>
        <w:t xml:space="preserve">, </w:t>
      </w:r>
      <w:r w:rsidRPr="001246BE">
        <w:rPr>
          <w:szCs w:val="26"/>
        </w:rPr>
        <w:t>and</w:t>
      </w:r>
      <w:r w:rsidRPr="001246BE">
        <w:rPr>
          <w:szCs w:val="26"/>
        </w:rPr>
        <w:t xml:space="preserve"> determined</w:t>
      </w:r>
      <w:r w:rsidRPr="001246BE">
        <w:rPr>
          <w:szCs w:val="26"/>
        </w:rPr>
        <w:t xml:space="preserve"> </w:t>
      </w:r>
      <w:r w:rsidRPr="001246BE">
        <w:rPr>
          <w:szCs w:val="26"/>
        </w:rPr>
        <w:t>that</w:t>
      </w:r>
      <w:r>
        <w:rPr>
          <w:szCs w:val="26"/>
        </w:rPr>
        <w:t xml:space="preserve"> both</w:t>
      </w:r>
      <w:r w:rsidRPr="001246BE">
        <w:rPr>
          <w:szCs w:val="26"/>
        </w:rPr>
        <w:t xml:space="preserve"> Rangel and </w:t>
      </w:r>
      <w:proofErr w:type="spellStart"/>
      <w:r w:rsidRPr="001246BE">
        <w:rPr>
          <w:szCs w:val="26"/>
        </w:rPr>
        <w:t>Mora</w:t>
      </w:r>
      <w:proofErr w:type="spellEnd"/>
      <w:r w:rsidRPr="001246BE">
        <w:rPr>
          <w:szCs w:val="26"/>
        </w:rPr>
        <w:t xml:space="preserve"> used a firearm in the commission of </w:t>
      </w:r>
      <w:r w:rsidRPr="001246BE">
        <w:rPr>
          <w:szCs w:val="26"/>
        </w:rPr>
        <w:t>each offense</w:t>
      </w:r>
      <w:r w:rsidRPr="001246BE">
        <w:rPr>
          <w:szCs w:val="26"/>
        </w:rPr>
        <w:t xml:space="preserve">.  </w:t>
      </w:r>
      <w:r w:rsidRPr="001246BE">
        <w:rPr>
          <w:szCs w:val="26"/>
        </w:rPr>
        <w:t xml:space="preserve">The jury also found true the </w:t>
      </w:r>
      <w:r>
        <w:rPr>
          <w:szCs w:val="26"/>
        </w:rPr>
        <w:t>multiple murder</w:t>
      </w:r>
      <w:r w:rsidRPr="001246BE">
        <w:rPr>
          <w:szCs w:val="26"/>
        </w:rPr>
        <w:t xml:space="preserve"> and </w:t>
      </w:r>
      <w:r>
        <w:rPr>
          <w:szCs w:val="26"/>
        </w:rPr>
        <w:t>felony murder</w:t>
      </w:r>
      <w:r w:rsidRPr="001246BE">
        <w:rPr>
          <w:szCs w:val="26"/>
        </w:rPr>
        <w:t xml:space="preserve"> special circumstances with regard to both </w:t>
      </w:r>
      <w:proofErr w:type="spellStart"/>
      <w:r w:rsidRPr="001246BE">
        <w:rPr>
          <w:szCs w:val="26"/>
        </w:rPr>
        <w:t>Mora</w:t>
      </w:r>
      <w:proofErr w:type="spellEnd"/>
      <w:r w:rsidRPr="001246BE">
        <w:rPr>
          <w:szCs w:val="26"/>
        </w:rPr>
        <w:t xml:space="preserve"> and Rangel.  </w:t>
      </w:r>
      <w:r>
        <w:t xml:space="preserve">On February 18, 1999, the jury </w:t>
      </w:r>
      <w:r>
        <w:t>imposed</w:t>
      </w:r>
      <w:r>
        <w:t xml:space="preserve"> the </w:t>
      </w:r>
      <w:r>
        <w:t xml:space="preserve">death </w:t>
      </w:r>
      <w:r>
        <w:t xml:space="preserve">penalty </w:t>
      </w:r>
      <w:r>
        <w:t>on both defendants</w:t>
      </w:r>
      <w:r>
        <w:t>.  The court denied Rangel</w:t>
      </w:r>
      <w:r>
        <w:t>’s</w:t>
      </w:r>
      <w:r>
        <w:t xml:space="preserve"> and </w:t>
      </w:r>
      <w:proofErr w:type="spellStart"/>
      <w:r>
        <w:t>Mora’s</w:t>
      </w:r>
      <w:proofErr w:type="spellEnd"/>
      <w:r>
        <w:t xml:space="preserve"> motions for</w:t>
      </w:r>
      <w:r>
        <w:t xml:space="preserve"> a</w:t>
      </w:r>
      <w:r>
        <w:t xml:space="preserve"> new </w:t>
      </w:r>
      <w:r>
        <w:t xml:space="preserve">trial and modification of the verdicts of death on May 27, 1999, and on that date sentenced Rangel and </w:t>
      </w:r>
      <w:proofErr w:type="spellStart"/>
      <w:r>
        <w:t>Mora</w:t>
      </w:r>
      <w:proofErr w:type="spellEnd"/>
      <w:r>
        <w:t xml:space="preserve"> to death.  </w:t>
      </w:r>
    </w:p>
    <w:p w:rsidR="00D00C03" w:rsidRPr="001246BE" w:rsidRDefault="00EF4903" w:rsidP="001B70FF">
      <w:pPr>
        <w:pStyle w:val="Heading2"/>
        <w:rPr>
          <w:szCs w:val="26"/>
        </w:rPr>
      </w:pPr>
      <w:bookmarkStart w:id="3" w:name="_Toc487448084"/>
      <w:r w:rsidRPr="001246BE">
        <w:rPr>
          <w:rFonts w:ascii="Times New Roman" w:hAnsi="Times New Roman"/>
          <w:b w:val="0"/>
          <w:i w:val="0"/>
          <w:sz w:val="26"/>
          <w:szCs w:val="26"/>
        </w:rPr>
        <w:tab/>
      </w:r>
      <w:bookmarkStart w:id="4" w:name="_Toc511210376"/>
      <w:r w:rsidRPr="001246BE">
        <w:rPr>
          <w:rFonts w:ascii="Times New Roman" w:hAnsi="Times New Roman"/>
          <w:b w:val="0"/>
          <w:i w:val="0"/>
          <w:sz w:val="26"/>
          <w:szCs w:val="26"/>
        </w:rPr>
        <w:t>A.</w:t>
      </w:r>
      <w:r w:rsidRPr="001246BE">
        <w:rPr>
          <w:rFonts w:ascii="Times New Roman" w:hAnsi="Times New Roman"/>
          <w:b w:val="0"/>
          <w:i w:val="0"/>
          <w:sz w:val="26"/>
          <w:szCs w:val="26"/>
        </w:rPr>
        <w:tab/>
      </w:r>
      <w:r w:rsidRPr="001246BE">
        <w:rPr>
          <w:rFonts w:ascii="Times New Roman" w:hAnsi="Times New Roman"/>
          <w:b w:val="0"/>
          <w:i w:val="0"/>
          <w:sz w:val="26"/>
          <w:szCs w:val="26"/>
        </w:rPr>
        <w:t>Guilt Phase</w:t>
      </w:r>
      <w:bookmarkEnd w:id="3"/>
      <w:bookmarkEnd w:id="4"/>
      <w:r w:rsidRPr="001246BE">
        <w:rPr>
          <w:rFonts w:ascii="Times New Roman" w:hAnsi="Times New Roman"/>
          <w:b w:val="0"/>
          <w:i w:val="0"/>
          <w:sz w:val="26"/>
          <w:szCs w:val="26"/>
        </w:rPr>
        <w:t xml:space="preserve"> </w:t>
      </w:r>
      <w:r>
        <w:tab/>
      </w:r>
    </w:p>
    <w:p w:rsidR="000B3905" w:rsidRPr="001246BE" w:rsidRDefault="00EF4903" w:rsidP="00F31AC3">
      <w:pPr>
        <w:pStyle w:val="Heading3"/>
        <w:ind w:left="1440"/>
        <w:rPr>
          <w:rFonts w:ascii="Times New Roman" w:hAnsi="Times New Roman"/>
        </w:rPr>
      </w:pPr>
      <w:bookmarkStart w:id="5" w:name="_Toc511210377"/>
      <w:r w:rsidRPr="001246BE">
        <w:rPr>
          <w:rFonts w:ascii="Times New Roman" w:hAnsi="Times New Roman"/>
        </w:rPr>
        <w:t>1.</w:t>
      </w:r>
      <w:r w:rsidRPr="001246BE">
        <w:rPr>
          <w:rFonts w:ascii="Times New Roman" w:hAnsi="Times New Roman"/>
        </w:rPr>
        <w:tab/>
      </w:r>
      <w:r w:rsidRPr="001246BE">
        <w:rPr>
          <w:rFonts w:ascii="Times New Roman" w:hAnsi="Times New Roman"/>
        </w:rPr>
        <w:t>The Murders</w:t>
      </w:r>
      <w:bookmarkEnd w:id="5"/>
    </w:p>
    <w:p w:rsidR="002431BC" w:rsidRDefault="00EF4903" w:rsidP="00E739DB">
      <w:pPr>
        <w:pStyle w:val="BodyTextIndent"/>
      </w:pPr>
      <w:r w:rsidRPr="001246BE">
        <w:t xml:space="preserve">In the early morning hours on August 24, 1997, Andy </w:t>
      </w:r>
      <w:proofErr w:type="spellStart"/>
      <w:r w:rsidRPr="001246BE">
        <w:t>Encinas</w:t>
      </w:r>
      <w:proofErr w:type="spellEnd"/>
      <w:r w:rsidRPr="001246BE">
        <w:t xml:space="preserve">, Anthony </w:t>
      </w:r>
      <w:proofErr w:type="spellStart"/>
      <w:r w:rsidRPr="001246BE">
        <w:t>Urrutia</w:t>
      </w:r>
      <w:proofErr w:type="spellEnd"/>
      <w:r w:rsidRPr="001246BE">
        <w:t xml:space="preserve">, and Fidel Gregorio drove </w:t>
      </w:r>
      <w:r w:rsidRPr="001246BE">
        <w:t xml:space="preserve">to meet </w:t>
      </w:r>
      <w:proofErr w:type="spellStart"/>
      <w:r w:rsidRPr="001246BE">
        <w:t>Encinas’s</w:t>
      </w:r>
      <w:proofErr w:type="spellEnd"/>
      <w:r w:rsidRPr="001246BE">
        <w:t xml:space="preserve"> girlfriend</w:t>
      </w:r>
      <w:r w:rsidRPr="001246BE">
        <w:t>, Paula Beltran,</w:t>
      </w:r>
      <w:r w:rsidRPr="001246BE">
        <w:t xml:space="preserve"> at a</w:t>
      </w:r>
      <w:r w:rsidRPr="001246BE">
        <w:t xml:space="preserve"> </w:t>
      </w:r>
      <w:r w:rsidRPr="001246BE">
        <w:t>gas station</w:t>
      </w:r>
      <w:r w:rsidRPr="001246BE">
        <w:t xml:space="preserve"> in Wilmington</w:t>
      </w:r>
      <w:r w:rsidRPr="001246BE">
        <w:t xml:space="preserve">, where she </w:t>
      </w:r>
      <w:r w:rsidRPr="001246BE">
        <w:t>and two</w:t>
      </w:r>
      <w:r w:rsidRPr="001246BE">
        <w:t xml:space="preserve"> friends </w:t>
      </w:r>
      <w:r w:rsidRPr="001246BE">
        <w:t xml:space="preserve">were </w:t>
      </w:r>
      <w:r w:rsidRPr="001246BE">
        <w:t>awaiting assistance to repair a flat tire</w:t>
      </w:r>
      <w:r w:rsidRPr="001246BE">
        <w:t xml:space="preserve"> on Beltran’s car</w:t>
      </w:r>
      <w:r w:rsidRPr="001246BE">
        <w:t xml:space="preserve">.  </w:t>
      </w:r>
      <w:proofErr w:type="spellStart"/>
      <w:r w:rsidRPr="001246BE">
        <w:t>Encinas</w:t>
      </w:r>
      <w:proofErr w:type="spellEnd"/>
      <w:r w:rsidRPr="001246BE">
        <w:t xml:space="preserve"> and his friends had attended a party in Wilmington that night, where Beltran ha</w:t>
      </w:r>
      <w:r w:rsidRPr="001246BE">
        <w:t xml:space="preserve">d been headed before she got a flat tire.  </w:t>
      </w:r>
      <w:r w:rsidRPr="001246BE">
        <w:t>Beltran</w:t>
      </w:r>
      <w:r w:rsidRPr="001246BE">
        <w:t>,</w:t>
      </w:r>
      <w:r w:rsidRPr="001246BE">
        <w:t xml:space="preserve"> </w:t>
      </w:r>
      <w:r w:rsidRPr="001246BE">
        <w:t>along with</w:t>
      </w:r>
      <w:r w:rsidRPr="001246BE">
        <w:t xml:space="preserve"> friends Mayra Fonseca and Yesenia Jimenez, had spent time at a nightclub earlier </w:t>
      </w:r>
      <w:r w:rsidRPr="001246BE">
        <w:t xml:space="preserve">that evening.  </w:t>
      </w:r>
      <w:r w:rsidRPr="001246BE">
        <w:t xml:space="preserve">Beltran paged </w:t>
      </w:r>
      <w:proofErr w:type="spellStart"/>
      <w:r w:rsidRPr="001246BE">
        <w:t>Encinas</w:t>
      </w:r>
      <w:proofErr w:type="spellEnd"/>
      <w:r w:rsidRPr="001246BE">
        <w:t xml:space="preserve"> </w:t>
      </w:r>
      <w:r w:rsidRPr="001246BE">
        <w:t>to tell</w:t>
      </w:r>
      <w:r w:rsidRPr="001246BE">
        <w:t xml:space="preserve"> him she would be delayed</w:t>
      </w:r>
      <w:r w:rsidRPr="001246BE">
        <w:t xml:space="preserve"> meeting him</w:t>
      </w:r>
      <w:r w:rsidRPr="001246BE">
        <w:t xml:space="preserve">; </w:t>
      </w:r>
      <w:proofErr w:type="spellStart"/>
      <w:r w:rsidRPr="001246BE">
        <w:t>Encinas</w:t>
      </w:r>
      <w:proofErr w:type="spellEnd"/>
      <w:r w:rsidRPr="001246BE">
        <w:t xml:space="preserve"> insisted on driving </w:t>
      </w:r>
      <w:r w:rsidRPr="001246BE">
        <w:t>t</w:t>
      </w:r>
      <w:r w:rsidRPr="001246BE">
        <w:t xml:space="preserve">he one block from the party </w:t>
      </w:r>
      <w:r w:rsidRPr="001246BE">
        <w:t xml:space="preserve">to meet her where she was awaiting roadside assistance.  </w:t>
      </w:r>
      <w:r w:rsidRPr="001246BE">
        <w:t>O</w:t>
      </w:r>
      <w:r w:rsidRPr="001246BE">
        <w:t xml:space="preserve">nce </w:t>
      </w:r>
      <w:r w:rsidRPr="001246BE">
        <w:t xml:space="preserve">Beltran’s tire was repaired, the two cars planned to caravan to Beltran’s </w:t>
      </w:r>
      <w:r w:rsidRPr="001246BE">
        <w:lastRenderedPageBreak/>
        <w:t xml:space="preserve">home in Norwalk.  On the way there, Jimenez asked to be taken to her home on </w:t>
      </w:r>
      <w:proofErr w:type="spellStart"/>
      <w:r w:rsidRPr="001246BE">
        <w:t>Castlegate</w:t>
      </w:r>
      <w:proofErr w:type="spellEnd"/>
      <w:r w:rsidRPr="001246BE">
        <w:t xml:space="preserve"> </w:t>
      </w:r>
      <w:r w:rsidRPr="001246BE">
        <w:t>Aven</w:t>
      </w:r>
      <w:r w:rsidRPr="001246BE">
        <w:t xml:space="preserve">ue </w:t>
      </w:r>
      <w:r w:rsidRPr="001246BE">
        <w:t>in Compton</w:t>
      </w:r>
      <w:r w:rsidRPr="001246BE">
        <w:t>,</w:t>
      </w:r>
      <w:r w:rsidRPr="001246BE">
        <w:t xml:space="preserve"> and Beltran obliged.  </w:t>
      </w:r>
      <w:proofErr w:type="spellStart"/>
      <w:r w:rsidRPr="001246BE">
        <w:t>Encinas</w:t>
      </w:r>
      <w:proofErr w:type="spellEnd"/>
      <w:r w:rsidRPr="001246BE">
        <w:t xml:space="preserve"> follow</w:t>
      </w:r>
      <w:r w:rsidRPr="001246BE">
        <w:t>ed</w:t>
      </w:r>
      <w:r w:rsidRPr="001246BE">
        <w:t xml:space="preserve"> Beltran’s car</w:t>
      </w:r>
      <w:r w:rsidRPr="001246BE">
        <w:t xml:space="preserve">.  When they arrived at Jimenez’s home, </w:t>
      </w:r>
      <w:proofErr w:type="spellStart"/>
      <w:r w:rsidRPr="001246BE">
        <w:t>Encinas</w:t>
      </w:r>
      <w:proofErr w:type="spellEnd"/>
      <w:r w:rsidRPr="001246BE">
        <w:t xml:space="preserve"> </w:t>
      </w:r>
      <w:r w:rsidRPr="001246BE">
        <w:t>said</w:t>
      </w:r>
      <w:r w:rsidRPr="001246BE">
        <w:t xml:space="preserve"> he would follow her </w:t>
      </w:r>
      <w:r w:rsidRPr="001246BE">
        <w:t>in</w:t>
      </w:r>
      <w:r w:rsidRPr="001246BE">
        <w:t xml:space="preserve">to Jimenez’s home because he needed to use a restroom.  </w:t>
      </w:r>
    </w:p>
    <w:p w:rsidR="00F31AC3" w:rsidRPr="001246BE" w:rsidRDefault="00EF4903" w:rsidP="00F31AC3">
      <w:pPr>
        <w:tabs>
          <w:tab w:val="left" w:pos="1440"/>
        </w:tabs>
        <w:spacing w:line="480" w:lineRule="atLeast"/>
        <w:ind w:firstLine="720"/>
        <w:rPr>
          <w:szCs w:val="26"/>
        </w:rPr>
      </w:pPr>
      <w:r w:rsidRPr="001246BE">
        <w:rPr>
          <w:szCs w:val="26"/>
        </w:rPr>
        <w:t xml:space="preserve">Once </w:t>
      </w:r>
      <w:r>
        <w:rPr>
          <w:szCs w:val="26"/>
        </w:rPr>
        <w:t xml:space="preserve">their car was </w:t>
      </w:r>
      <w:r w:rsidRPr="001246BE">
        <w:rPr>
          <w:szCs w:val="26"/>
        </w:rPr>
        <w:t xml:space="preserve">parked outside Jimenez’s home, the </w:t>
      </w:r>
      <w:r w:rsidRPr="001246BE">
        <w:rPr>
          <w:szCs w:val="26"/>
        </w:rPr>
        <w:t>three wom</w:t>
      </w:r>
      <w:r w:rsidRPr="001246BE">
        <w:rPr>
          <w:szCs w:val="26"/>
        </w:rPr>
        <w:t>e</w:t>
      </w:r>
      <w:r w:rsidRPr="001246BE">
        <w:rPr>
          <w:szCs w:val="26"/>
        </w:rPr>
        <w:t xml:space="preserve">n and </w:t>
      </w:r>
      <w:proofErr w:type="spellStart"/>
      <w:r w:rsidRPr="001246BE">
        <w:rPr>
          <w:szCs w:val="26"/>
        </w:rPr>
        <w:t>Encinas</w:t>
      </w:r>
      <w:proofErr w:type="spellEnd"/>
      <w:r w:rsidRPr="001246BE">
        <w:rPr>
          <w:szCs w:val="26"/>
        </w:rPr>
        <w:t xml:space="preserve"> went into Jimenez’s home for a few minutes</w:t>
      </w:r>
      <w:r w:rsidRPr="001246BE">
        <w:rPr>
          <w:szCs w:val="26"/>
        </w:rPr>
        <w:t xml:space="preserve">.  </w:t>
      </w:r>
      <w:r w:rsidRPr="001246BE">
        <w:rPr>
          <w:szCs w:val="26"/>
        </w:rPr>
        <w:t>J</w:t>
      </w:r>
      <w:r w:rsidRPr="001246BE">
        <w:rPr>
          <w:szCs w:val="26"/>
        </w:rPr>
        <w:t xml:space="preserve">imenez </w:t>
      </w:r>
      <w:r w:rsidRPr="001246BE">
        <w:rPr>
          <w:szCs w:val="26"/>
        </w:rPr>
        <w:t xml:space="preserve">then </w:t>
      </w:r>
      <w:r w:rsidRPr="001246BE">
        <w:rPr>
          <w:szCs w:val="26"/>
        </w:rPr>
        <w:t xml:space="preserve">walked Beltran, Fonseca, and </w:t>
      </w:r>
      <w:proofErr w:type="spellStart"/>
      <w:r w:rsidRPr="001246BE">
        <w:rPr>
          <w:szCs w:val="26"/>
        </w:rPr>
        <w:t>Encinas</w:t>
      </w:r>
      <w:proofErr w:type="spellEnd"/>
      <w:r w:rsidRPr="001246BE">
        <w:rPr>
          <w:szCs w:val="26"/>
        </w:rPr>
        <w:t xml:space="preserve"> </w:t>
      </w:r>
      <w:r w:rsidRPr="001246BE">
        <w:rPr>
          <w:szCs w:val="26"/>
        </w:rPr>
        <w:t>to</w:t>
      </w:r>
      <w:r w:rsidRPr="001246BE">
        <w:rPr>
          <w:szCs w:val="26"/>
        </w:rPr>
        <w:t xml:space="preserve"> her front gate.  As the group walked toward Beltran’s car, Beltran saw two men</w:t>
      </w:r>
      <w:r w:rsidRPr="001246BE">
        <w:rPr>
          <w:szCs w:val="26"/>
        </w:rPr>
        <w:t xml:space="preserve"> —</w:t>
      </w:r>
      <w:r w:rsidRPr="001246BE">
        <w:rPr>
          <w:szCs w:val="26"/>
        </w:rPr>
        <w:t xml:space="preserve"> </w:t>
      </w:r>
      <w:r w:rsidRPr="001246BE">
        <w:rPr>
          <w:szCs w:val="26"/>
        </w:rPr>
        <w:t xml:space="preserve">later identified as </w:t>
      </w:r>
      <w:r w:rsidRPr="001246BE">
        <w:rPr>
          <w:szCs w:val="26"/>
        </w:rPr>
        <w:t xml:space="preserve">Rangel and </w:t>
      </w:r>
      <w:proofErr w:type="spellStart"/>
      <w:r w:rsidRPr="001246BE">
        <w:rPr>
          <w:szCs w:val="26"/>
        </w:rPr>
        <w:t>Mora</w:t>
      </w:r>
      <w:proofErr w:type="spellEnd"/>
      <w:r>
        <w:rPr>
          <w:rStyle w:val="FootnoteReference"/>
          <w:szCs w:val="26"/>
        </w:rPr>
        <w:footnoteReference w:id="3"/>
      </w:r>
      <w:r w:rsidRPr="001246BE">
        <w:rPr>
          <w:szCs w:val="26"/>
        </w:rPr>
        <w:t xml:space="preserve"> —</w:t>
      </w:r>
      <w:r w:rsidRPr="001246BE">
        <w:rPr>
          <w:szCs w:val="26"/>
        </w:rPr>
        <w:t xml:space="preserve"> ap</w:t>
      </w:r>
      <w:r w:rsidRPr="001246BE">
        <w:rPr>
          <w:szCs w:val="26"/>
        </w:rPr>
        <w:t>proach</w:t>
      </w:r>
      <w:r w:rsidRPr="001246BE">
        <w:rPr>
          <w:szCs w:val="26"/>
        </w:rPr>
        <w:t xml:space="preserve"> </w:t>
      </w:r>
      <w:r w:rsidRPr="001246BE">
        <w:rPr>
          <w:szCs w:val="26"/>
        </w:rPr>
        <w:t>along</w:t>
      </w:r>
      <w:r w:rsidRPr="001246BE">
        <w:rPr>
          <w:szCs w:val="26"/>
        </w:rPr>
        <w:t xml:space="preserve"> the sidewalk </w:t>
      </w:r>
      <w:r w:rsidRPr="001246BE">
        <w:rPr>
          <w:szCs w:val="26"/>
        </w:rPr>
        <w:t>from down the street</w:t>
      </w:r>
      <w:r w:rsidRPr="001246BE">
        <w:rPr>
          <w:szCs w:val="26"/>
        </w:rPr>
        <w:t xml:space="preserve">.  </w:t>
      </w:r>
      <w:r w:rsidRPr="001246BE">
        <w:rPr>
          <w:szCs w:val="26"/>
        </w:rPr>
        <w:t xml:space="preserve">Rangel asked </w:t>
      </w:r>
      <w:proofErr w:type="spellStart"/>
      <w:r w:rsidRPr="001246BE">
        <w:rPr>
          <w:szCs w:val="26"/>
        </w:rPr>
        <w:t>Encinas</w:t>
      </w:r>
      <w:proofErr w:type="spellEnd"/>
      <w:r w:rsidRPr="001246BE">
        <w:rPr>
          <w:szCs w:val="26"/>
        </w:rPr>
        <w:t xml:space="preserve">, “Do you want to go to sleep?” </w:t>
      </w:r>
      <w:r w:rsidRPr="001246BE">
        <w:rPr>
          <w:szCs w:val="26"/>
        </w:rPr>
        <w:t xml:space="preserve"> </w:t>
      </w:r>
      <w:proofErr w:type="spellStart"/>
      <w:r w:rsidRPr="001246BE">
        <w:rPr>
          <w:szCs w:val="26"/>
        </w:rPr>
        <w:t>Encinas</w:t>
      </w:r>
      <w:proofErr w:type="spellEnd"/>
      <w:r w:rsidRPr="001246BE">
        <w:rPr>
          <w:szCs w:val="26"/>
        </w:rPr>
        <w:t xml:space="preserve"> did not respond.  Rangel </w:t>
      </w:r>
      <w:r w:rsidRPr="001246BE">
        <w:rPr>
          <w:szCs w:val="26"/>
        </w:rPr>
        <w:t>repeated the question</w:t>
      </w:r>
      <w:r w:rsidRPr="001246BE">
        <w:rPr>
          <w:szCs w:val="26"/>
        </w:rPr>
        <w:t xml:space="preserve">, urging </w:t>
      </w:r>
      <w:proofErr w:type="spellStart"/>
      <w:r w:rsidRPr="001246BE">
        <w:rPr>
          <w:szCs w:val="26"/>
        </w:rPr>
        <w:t>Encinas</w:t>
      </w:r>
      <w:proofErr w:type="spellEnd"/>
      <w:r w:rsidRPr="001246BE">
        <w:rPr>
          <w:szCs w:val="26"/>
        </w:rPr>
        <w:t xml:space="preserve"> to respond. </w:t>
      </w:r>
      <w:r>
        <w:rPr>
          <w:szCs w:val="26"/>
        </w:rPr>
        <w:t xml:space="preserve"> </w:t>
      </w:r>
      <w:proofErr w:type="spellStart"/>
      <w:r w:rsidRPr="001246BE">
        <w:rPr>
          <w:szCs w:val="26"/>
        </w:rPr>
        <w:t>Encinas</w:t>
      </w:r>
      <w:proofErr w:type="spellEnd"/>
      <w:r w:rsidRPr="001246BE">
        <w:rPr>
          <w:szCs w:val="26"/>
        </w:rPr>
        <w:t xml:space="preserve"> and Beltran each told one another to go to their respective vehicles.  Fon</w:t>
      </w:r>
      <w:r w:rsidRPr="001246BE">
        <w:rPr>
          <w:szCs w:val="26"/>
        </w:rPr>
        <w:t xml:space="preserve">seca began screaming at Beltran to open the car door, and Beltran did.  Beltran and Fonseca got into Beltran’s car.  </w:t>
      </w:r>
      <w:proofErr w:type="spellStart"/>
      <w:r w:rsidRPr="001246BE">
        <w:rPr>
          <w:szCs w:val="26"/>
        </w:rPr>
        <w:t>Encinas</w:t>
      </w:r>
      <w:proofErr w:type="spellEnd"/>
      <w:r w:rsidRPr="001246BE">
        <w:rPr>
          <w:szCs w:val="26"/>
        </w:rPr>
        <w:t xml:space="preserve"> walked to his car, </w:t>
      </w:r>
      <w:r>
        <w:rPr>
          <w:szCs w:val="26"/>
        </w:rPr>
        <w:t>a Toyota 4</w:t>
      </w:r>
      <w:r w:rsidRPr="001246BE">
        <w:rPr>
          <w:szCs w:val="26"/>
        </w:rPr>
        <w:t xml:space="preserve">Runner, </w:t>
      </w:r>
      <w:r w:rsidRPr="001246BE">
        <w:rPr>
          <w:szCs w:val="26"/>
        </w:rPr>
        <w:t xml:space="preserve">with </w:t>
      </w:r>
      <w:proofErr w:type="spellStart"/>
      <w:r w:rsidRPr="001246BE">
        <w:rPr>
          <w:szCs w:val="26"/>
        </w:rPr>
        <w:t>Mora</w:t>
      </w:r>
      <w:proofErr w:type="spellEnd"/>
      <w:r w:rsidRPr="001246BE">
        <w:rPr>
          <w:szCs w:val="26"/>
        </w:rPr>
        <w:t xml:space="preserve"> and Rangel following</w:t>
      </w:r>
      <w:r w:rsidRPr="001246BE">
        <w:rPr>
          <w:szCs w:val="26"/>
        </w:rPr>
        <w:t xml:space="preserve"> him</w:t>
      </w:r>
      <w:r w:rsidRPr="001246BE">
        <w:rPr>
          <w:szCs w:val="26"/>
        </w:rPr>
        <w:t>.</w:t>
      </w:r>
    </w:p>
    <w:p w:rsidR="00F31AC3" w:rsidRPr="001246BE" w:rsidRDefault="00EF4903" w:rsidP="00F31AC3">
      <w:pPr>
        <w:tabs>
          <w:tab w:val="left" w:pos="1440"/>
        </w:tabs>
        <w:spacing w:line="480" w:lineRule="atLeast"/>
        <w:ind w:firstLine="720"/>
        <w:rPr>
          <w:szCs w:val="26"/>
        </w:rPr>
      </w:pPr>
      <w:proofErr w:type="spellStart"/>
      <w:r w:rsidRPr="001246BE">
        <w:rPr>
          <w:szCs w:val="26"/>
        </w:rPr>
        <w:t>Encinas</w:t>
      </w:r>
      <w:proofErr w:type="spellEnd"/>
      <w:r w:rsidRPr="001246BE">
        <w:rPr>
          <w:szCs w:val="26"/>
        </w:rPr>
        <w:t xml:space="preserve"> got</w:t>
      </w:r>
      <w:r w:rsidRPr="001246BE">
        <w:rPr>
          <w:szCs w:val="26"/>
        </w:rPr>
        <w:t xml:space="preserve"> </w:t>
      </w:r>
      <w:r w:rsidRPr="001246BE">
        <w:rPr>
          <w:szCs w:val="26"/>
        </w:rPr>
        <w:t xml:space="preserve">into the </w:t>
      </w:r>
      <w:r w:rsidRPr="001246BE">
        <w:rPr>
          <w:szCs w:val="26"/>
        </w:rPr>
        <w:t>driver’s</w:t>
      </w:r>
      <w:r w:rsidRPr="001246BE">
        <w:rPr>
          <w:szCs w:val="26"/>
        </w:rPr>
        <w:t xml:space="preserve"> seat of </w:t>
      </w:r>
      <w:r>
        <w:rPr>
          <w:szCs w:val="26"/>
        </w:rPr>
        <w:t>the 4</w:t>
      </w:r>
      <w:r w:rsidRPr="001246BE">
        <w:rPr>
          <w:szCs w:val="26"/>
        </w:rPr>
        <w:t>Runner</w:t>
      </w:r>
      <w:r w:rsidRPr="001246BE">
        <w:rPr>
          <w:szCs w:val="26"/>
        </w:rPr>
        <w:t xml:space="preserve">.  </w:t>
      </w:r>
      <w:proofErr w:type="spellStart"/>
      <w:r w:rsidRPr="001246BE">
        <w:rPr>
          <w:szCs w:val="26"/>
        </w:rPr>
        <w:t>Urrutia</w:t>
      </w:r>
      <w:proofErr w:type="spellEnd"/>
      <w:r w:rsidRPr="001246BE">
        <w:rPr>
          <w:szCs w:val="26"/>
        </w:rPr>
        <w:t xml:space="preserve"> and Gregorio </w:t>
      </w:r>
      <w:r w:rsidRPr="001246BE">
        <w:rPr>
          <w:szCs w:val="26"/>
        </w:rPr>
        <w:t xml:space="preserve">had been waiting </w:t>
      </w:r>
      <w:r w:rsidRPr="001246BE">
        <w:rPr>
          <w:szCs w:val="26"/>
        </w:rPr>
        <w:t>in the passenger seat</w:t>
      </w:r>
      <w:r w:rsidRPr="001246BE">
        <w:rPr>
          <w:szCs w:val="26"/>
        </w:rPr>
        <w:t xml:space="preserve"> and </w:t>
      </w:r>
      <w:r w:rsidRPr="001246BE">
        <w:rPr>
          <w:szCs w:val="26"/>
        </w:rPr>
        <w:t>passenger-</w:t>
      </w:r>
      <w:r w:rsidRPr="001246BE">
        <w:rPr>
          <w:szCs w:val="26"/>
        </w:rPr>
        <w:t>side</w:t>
      </w:r>
      <w:r w:rsidRPr="001246BE">
        <w:rPr>
          <w:szCs w:val="26"/>
        </w:rPr>
        <w:t xml:space="preserve"> backseat, respectively</w:t>
      </w:r>
      <w:r w:rsidRPr="001246BE">
        <w:rPr>
          <w:szCs w:val="26"/>
        </w:rPr>
        <w:t xml:space="preserve">.  As </w:t>
      </w:r>
      <w:proofErr w:type="spellStart"/>
      <w:r w:rsidRPr="001246BE">
        <w:rPr>
          <w:szCs w:val="26"/>
        </w:rPr>
        <w:t>Encinas</w:t>
      </w:r>
      <w:proofErr w:type="spellEnd"/>
      <w:r w:rsidRPr="001246BE">
        <w:rPr>
          <w:szCs w:val="26"/>
        </w:rPr>
        <w:t xml:space="preserve"> entered the car, he said “let’s get the hell out of here,” but Rangel had followed </w:t>
      </w:r>
      <w:proofErr w:type="spellStart"/>
      <w:r w:rsidRPr="001246BE">
        <w:rPr>
          <w:szCs w:val="26"/>
        </w:rPr>
        <w:t>Encinas</w:t>
      </w:r>
      <w:proofErr w:type="spellEnd"/>
      <w:r w:rsidRPr="001246BE">
        <w:rPr>
          <w:szCs w:val="26"/>
        </w:rPr>
        <w:t xml:space="preserve"> to the driver’s side of the vehicle, and </w:t>
      </w:r>
      <w:proofErr w:type="spellStart"/>
      <w:r w:rsidRPr="001246BE">
        <w:rPr>
          <w:szCs w:val="26"/>
        </w:rPr>
        <w:t>Mora</w:t>
      </w:r>
      <w:proofErr w:type="spellEnd"/>
      <w:r w:rsidRPr="001246BE">
        <w:rPr>
          <w:szCs w:val="26"/>
        </w:rPr>
        <w:t xml:space="preserve"> stoo</w:t>
      </w:r>
      <w:r w:rsidRPr="001246BE">
        <w:rPr>
          <w:szCs w:val="26"/>
        </w:rPr>
        <w:t xml:space="preserve">d at the passenger side.  </w:t>
      </w:r>
    </w:p>
    <w:p w:rsidR="00F31AC3" w:rsidRPr="001246BE" w:rsidRDefault="00EF4903" w:rsidP="00F31AC3">
      <w:pPr>
        <w:tabs>
          <w:tab w:val="left" w:pos="1440"/>
        </w:tabs>
        <w:spacing w:line="480" w:lineRule="atLeast"/>
        <w:ind w:firstLine="720"/>
        <w:rPr>
          <w:szCs w:val="26"/>
        </w:rPr>
      </w:pPr>
      <w:r w:rsidRPr="001246BE">
        <w:rPr>
          <w:szCs w:val="26"/>
        </w:rPr>
        <w:t xml:space="preserve">Parked just behind </w:t>
      </w:r>
      <w:proofErr w:type="spellStart"/>
      <w:r w:rsidRPr="001246BE">
        <w:rPr>
          <w:szCs w:val="26"/>
        </w:rPr>
        <w:t>Encinas</w:t>
      </w:r>
      <w:proofErr w:type="spellEnd"/>
      <w:r w:rsidRPr="001246BE">
        <w:rPr>
          <w:szCs w:val="26"/>
        </w:rPr>
        <w:t>, Beltran</w:t>
      </w:r>
      <w:r w:rsidRPr="001246BE">
        <w:rPr>
          <w:szCs w:val="26"/>
        </w:rPr>
        <w:t xml:space="preserve"> momentarily</w:t>
      </w:r>
      <w:r w:rsidRPr="001246BE">
        <w:rPr>
          <w:szCs w:val="26"/>
        </w:rPr>
        <w:t xml:space="preserve"> </w:t>
      </w:r>
      <w:r w:rsidRPr="001246BE">
        <w:rPr>
          <w:szCs w:val="26"/>
        </w:rPr>
        <w:t>looked away</w:t>
      </w:r>
      <w:r w:rsidRPr="001246BE">
        <w:rPr>
          <w:szCs w:val="26"/>
        </w:rPr>
        <w:t xml:space="preserve"> from the two men standing outside </w:t>
      </w:r>
      <w:proofErr w:type="spellStart"/>
      <w:r w:rsidRPr="001246BE">
        <w:rPr>
          <w:szCs w:val="26"/>
        </w:rPr>
        <w:t>Encinas’s</w:t>
      </w:r>
      <w:proofErr w:type="spellEnd"/>
      <w:r w:rsidRPr="001246BE">
        <w:rPr>
          <w:szCs w:val="26"/>
        </w:rPr>
        <w:t xml:space="preserve"> car to look, unsuccessfully, for her cell phone </w:t>
      </w:r>
      <w:r w:rsidRPr="001246BE">
        <w:rPr>
          <w:szCs w:val="26"/>
        </w:rPr>
        <w:t xml:space="preserve">and </w:t>
      </w:r>
      <w:r w:rsidRPr="001246BE">
        <w:rPr>
          <w:szCs w:val="26"/>
        </w:rPr>
        <w:t xml:space="preserve">call for help.  </w:t>
      </w:r>
      <w:r w:rsidRPr="001246BE">
        <w:rPr>
          <w:szCs w:val="26"/>
        </w:rPr>
        <w:t xml:space="preserve">Fonseca </w:t>
      </w:r>
      <w:r w:rsidRPr="001246BE">
        <w:rPr>
          <w:szCs w:val="26"/>
        </w:rPr>
        <w:t>observed</w:t>
      </w:r>
      <w:r w:rsidRPr="001246BE">
        <w:rPr>
          <w:szCs w:val="26"/>
        </w:rPr>
        <w:t xml:space="preserve"> that Rangel </w:t>
      </w:r>
      <w:r w:rsidRPr="001246BE">
        <w:rPr>
          <w:szCs w:val="26"/>
        </w:rPr>
        <w:t>stood</w:t>
      </w:r>
      <w:r w:rsidRPr="001246BE">
        <w:rPr>
          <w:szCs w:val="26"/>
        </w:rPr>
        <w:t xml:space="preserve"> </w:t>
      </w:r>
      <w:r w:rsidRPr="001246BE">
        <w:rPr>
          <w:szCs w:val="26"/>
        </w:rPr>
        <w:t xml:space="preserve">immediately next to </w:t>
      </w:r>
      <w:r w:rsidRPr="001246BE">
        <w:rPr>
          <w:szCs w:val="26"/>
        </w:rPr>
        <w:t>th</w:t>
      </w:r>
      <w:r w:rsidRPr="001246BE">
        <w:rPr>
          <w:szCs w:val="26"/>
        </w:rPr>
        <w:t xml:space="preserve">e driver’s side of </w:t>
      </w:r>
      <w:proofErr w:type="spellStart"/>
      <w:r w:rsidRPr="001246BE">
        <w:rPr>
          <w:szCs w:val="26"/>
        </w:rPr>
        <w:t>Encinas’s</w:t>
      </w:r>
      <w:proofErr w:type="spellEnd"/>
      <w:r w:rsidRPr="001246BE">
        <w:rPr>
          <w:szCs w:val="26"/>
        </w:rPr>
        <w:t xml:space="preserve"> car</w:t>
      </w:r>
      <w:r w:rsidRPr="001246BE">
        <w:rPr>
          <w:szCs w:val="26"/>
        </w:rPr>
        <w:t>,</w:t>
      </w:r>
      <w:r w:rsidRPr="001246BE">
        <w:rPr>
          <w:szCs w:val="26"/>
        </w:rPr>
        <w:t xml:space="preserve"> holding a 12-inch-long metallic or “chromed” gun.  </w:t>
      </w:r>
      <w:r w:rsidRPr="001246BE">
        <w:rPr>
          <w:szCs w:val="26"/>
        </w:rPr>
        <w:t xml:space="preserve">Frightened, </w:t>
      </w:r>
      <w:r w:rsidRPr="001246BE">
        <w:rPr>
          <w:szCs w:val="26"/>
        </w:rPr>
        <w:t>Fonseca</w:t>
      </w:r>
      <w:r w:rsidRPr="001246BE">
        <w:rPr>
          <w:szCs w:val="26"/>
        </w:rPr>
        <w:t xml:space="preserve"> </w:t>
      </w:r>
      <w:r w:rsidRPr="001246BE">
        <w:rPr>
          <w:szCs w:val="26"/>
        </w:rPr>
        <w:t xml:space="preserve">lowered her seat to a reclined position </w:t>
      </w:r>
      <w:r w:rsidRPr="001246BE">
        <w:rPr>
          <w:szCs w:val="26"/>
        </w:rPr>
        <w:t xml:space="preserve">while she </w:t>
      </w:r>
      <w:r w:rsidRPr="001246BE">
        <w:rPr>
          <w:szCs w:val="26"/>
        </w:rPr>
        <w:t xml:space="preserve">screamed </w:t>
      </w:r>
      <w:r w:rsidRPr="001246BE">
        <w:rPr>
          <w:szCs w:val="26"/>
        </w:rPr>
        <w:t>at</w:t>
      </w:r>
      <w:r w:rsidRPr="001246BE">
        <w:rPr>
          <w:szCs w:val="26"/>
        </w:rPr>
        <w:t xml:space="preserve"> Beltran to leave.  When Beltran glanced back up she saw </w:t>
      </w:r>
      <w:proofErr w:type="spellStart"/>
      <w:r w:rsidRPr="001246BE">
        <w:rPr>
          <w:szCs w:val="26"/>
        </w:rPr>
        <w:t>Mora</w:t>
      </w:r>
      <w:proofErr w:type="spellEnd"/>
      <w:r w:rsidRPr="001246BE">
        <w:rPr>
          <w:szCs w:val="26"/>
        </w:rPr>
        <w:t xml:space="preserve"> and Rangel both pointing fir</w:t>
      </w:r>
      <w:r w:rsidRPr="001246BE">
        <w:rPr>
          <w:szCs w:val="26"/>
        </w:rPr>
        <w:t xml:space="preserve">earms into </w:t>
      </w:r>
      <w:proofErr w:type="spellStart"/>
      <w:r w:rsidRPr="001246BE">
        <w:rPr>
          <w:szCs w:val="26"/>
        </w:rPr>
        <w:t>Encinas</w:t>
      </w:r>
      <w:r w:rsidRPr="001246BE">
        <w:rPr>
          <w:szCs w:val="26"/>
        </w:rPr>
        <w:t>’s</w:t>
      </w:r>
      <w:proofErr w:type="spellEnd"/>
      <w:r w:rsidRPr="001246BE">
        <w:rPr>
          <w:szCs w:val="26"/>
        </w:rPr>
        <w:t xml:space="preserve"> vehicle.</w:t>
      </w:r>
      <w:r>
        <w:rPr>
          <w:szCs w:val="26"/>
        </w:rPr>
        <w:t xml:space="preserve"> </w:t>
      </w:r>
      <w:r w:rsidRPr="001246BE">
        <w:rPr>
          <w:szCs w:val="26"/>
        </w:rPr>
        <w:t xml:space="preserve"> </w:t>
      </w:r>
      <w:r w:rsidRPr="001246BE">
        <w:rPr>
          <w:szCs w:val="26"/>
        </w:rPr>
        <w:t>Beltran drove quickly away to find a payph</w:t>
      </w:r>
      <w:r>
        <w:rPr>
          <w:szCs w:val="26"/>
        </w:rPr>
        <w:t>one to call 91</w:t>
      </w:r>
      <w:r w:rsidRPr="001246BE">
        <w:rPr>
          <w:szCs w:val="26"/>
        </w:rPr>
        <w:t xml:space="preserve">1.  </w:t>
      </w:r>
      <w:r w:rsidRPr="001246BE">
        <w:rPr>
          <w:szCs w:val="26"/>
        </w:rPr>
        <w:t>Beltran and Fonseca remained at the phone until police officers arriv</w:t>
      </w:r>
      <w:r w:rsidRPr="001246BE">
        <w:rPr>
          <w:szCs w:val="26"/>
        </w:rPr>
        <w:t xml:space="preserve">ed in response to her call.  </w:t>
      </w:r>
    </w:p>
    <w:p w:rsidR="00F31AC3" w:rsidRPr="001246BE" w:rsidRDefault="00EF4903" w:rsidP="00F31AC3">
      <w:pPr>
        <w:spacing w:line="480" w:lineRule="atLeast"/>
        <w:ind w:firstLine="720"/>
        <w:rPr>
          <w:szCs w:val="26"/>
        </w:rPr>
      </w:pPr>
      <w:r w:rsidRPr="001246BE">
        <w:rPr>
          <w:szCs w:val="26"/>
        </w:rPr>
        <w:t xml:space="preserve">From his vantage point in the backseat of </w:t>
      </w:r>
      <w:proofErr w:type="spellStart"/>
      <w:r w:rsidRPr="001246BE">
        <w:rPr>
          <w:szCs w:val="26"/>
        </w:rPr>
        <w:t>Encinas’s</w:t>
      </w:r>
      <w:proofErr w:type="spellEnd"/>
      <w:r w:rsidRPr="001246BE">
        <w:rPr>
          <w:szCs w:val="26"/>
        </w:rPr>
        <w:t xml:space="preserve"> car, Gregorio </w:t>
      </w:r>
      <w:r w:rsidRPr="001246BE">
        <w:rPr>
          <w:szCs w:val="26"/>
        </w:rPr>
        <w:t>could see</w:t>
      </w:r>
      <w:r w:rsidRPr="001246BE">
        <w:rPr>
          <w:szCs w:val="26"/>
        </w:rPr>
        <w:t xml:space="preserve"> both shooters.  Rangel stood outside the driver’s side door of </w:t>
      </w:r>
      <w:proofErr w:type="spellStart"/>
      <w:r w:rsidRPr="001246BE">
        <w:rPr>
          <w:szCs w:val="26"/>
        </w:rPr>
        <w:t>Encinas’s</w:t>
      </w:r>
      <w:proofErr w:type="spellEnd"/>
      <w:r w:rsidRPr="001246BE">
        <w:rPr>
          <w:szCs w:val="26"/>
        </w:rPr>
        <w:t xml:space="preserve"> car and said to </w:t>
      </w:r>
      <w:proofErr w:type="spellStart"/>
      <w:r w:rsidRPr="001246BE">
        <w:rPr>
          <w:szCs w:val="26"/>
        </w:rPr>
        <w:t>Encinas</w:t>
      </w:r>
      <w:proofErr w:type="spellEnd"/>
      <w:r w:rsidRPr="001246BE">
        <w:rPr>
          <w:szCs w:val="26"/>
        </w:rPr>
        <w:t xml:space="preserve">, “check yourself, check yourself, give me your wallet.”  </w:t>
      </w:r>
      <w:r w:rsidRPr="001246BE">
        <w:rPr>
          <w:szCs w:val="26"/>
        </w:rPr>
        <w:t xml:space="preserve">As </w:t>
      </w:r>
      <w:proofErr w:type="spellStart"/>
      <w:r w:rsidRPr="001246BE">
        <w:rPr>
          <w:szCs w:val="26"/>
        </w:rPr>
        <w:t>Encinas</w:t>
      </w:r>
      <w:proofErr w:type="spellEnd"/>
      <w:r w:rsidRPr="001246BE">
        <w:rPr>
          <w:szCs w:val="26"/>
        </w:rPr>
        <w:t xml:space="preserve"> reached for his wallet, Rangel shot into the driver’s side of the vehicle.  </w:t>
      </w:r>
      <w:proofErr w:type="spellStart"/>
      <w:r w:rsidRPr="001246BE">
        <w:rPr>
          <w:szCs w:val="26"/>
        </w:rPr>
        <w:t>Mora</w:t>
      </w:r>
      <w:proofErr w:type="spellEnd"/>
      <w:r w:rsidRPr="001246BE">
        <w:rPr>
          <w:szCs w:val="26"/>
        </w:rPr>
        <w:t>,</w:t>
      </w:r>
      <w:r w:rsidRPr="001246BE">
        <w:rPr>
          <w:szCs w:val="26"/>
        </w:rPr>
        <w:t xml:space="preserve"> on the other side of the car,</w:t>
      </w:r>
      <w:r>
        <w:rPr>
          <w:szCs w:val="26"/>
        </w:rPr>
        <w:t xml:space="preserve"> also</w:t>
      </w:r>
      <w:r w:rsidRPr="001246BE">
        <w:rPr>
          <w:szCs w:val="26"/>
        </w:rPr>
        <w:t xml:space="preserve"> asked </w:t>
      </w:r>
      <w:proofErr w:type="spellStart"/>
      <w:r w:rsidRPr="001246BE">
        <w:rPr>
          <w:szCs w:val="26"/>
        </w:rPr>
        <w:t>Urrutia</w:t>
      </w:r>
      <w:proofErr w:type="spellEnd"/>
      <w:r w:rsidRPr="001246BE">
        <w:rPr>
          <w:szCs w:val="26"/>
        </w:rPr>
        <w:t xml:space="preserve"> for his wallet, and </w:t>
      </w:r>
      <w:proofErr w:type="spellStart"/>
      <w:r w:rsidRPr="001246BE">
        <w:rPr>
          <w:szCs w:val="26"/>
        </w:rPr>
        <w:t>Urrutia</w:t>
      </w:r>
      <w:proofErr w:type="spellEnd"/>
      <w:r w:rsidRPr="001246BE">
        <w:rPr>
          <w:szCs w:val="26"/>
        </w:rPr>
        <w:t xml:space="preserve"> told him he had no money but would give </w:t>
      </w:r>
      <w:proofErr w:type="spellStart"/>
      <w:r w:rsidRPr="001246BE">
        <w:rPr>
          <w:szCs w:val="26"/>
        </w:rPr>
        <w:t>Mora</w:t>
      </w:r>
      <w:proofErr w:type="spellEnd"/>
      <w:r w:rsidRPr="001246BE">
        <w:rPr>
          <w:szCs w:val="26"/>
        </w:rPr>
        <w:t xml:space="preserve"> his wallet anyway.  </w:t>
      </w:r>
      <w:proofErr w:type="spellStart"/>
      <w:r w:rsidRPr="001246BE">
        <w:rPr>
          <w:szCs w:val="26"/>
        </w:rPr>
        <w:t>Mora</w:t>
      </w:r>
      <w:proofErr w:type="spellEnd"/>
      <w:r w:rsidRPr="001246BE">
        <w:rPr>
          <w:szCs w:val="26"/>
        </w:rPr>
        <w:t xml:space="preserve"> then shot into the passenger side of the vehicle, striking </w:t>
      </w:r>
      <w:proofErr w:type="spellStart"/>
      <w:r w:rsidRPr="001246BE">
        <w:rPr>
          <w:szCs w:val="26"/>
        </w:rPr>
        <w:t>Urrutia’s</w:t>
      </w:r>
      <w:proofErr w:type="spellEnd"/>
      <w:r w:rsidRPr="001246BE">
        <w:rPr>
          <w:szCs w:val="26"/>
        </w:rPr>
        <w:t xml:space="preserve"> face and throat</w:t>
      </w:r>
      <w:r>
        <w:rPr>
          <w:szCs w:val="26"/>
        </w:rPr>
        <w:t>,</w:t>
      </w:r>
      <w:r w:rsidRPr="001246BE">
        <w:rPr>
          <w:szCs w:val="26"/>
        </w:rPr>
        <w:t xml:space="preserve"> and ultimately penetrating a large blood vessel </w:t>
      </w:r>
      <w:r>
        <w:rPr>
          <w:szCs w:val="26"/>
        </w:rPr>
        <w:t xml:space="preserve">that caused </w:t>
      </w:r>
      <w:proofErr w:type="spellStart"/>
      <w:r>
        <w:rPr>
          <w:szCs w:val="26"/>
        </w:rPr>
        <w:t>Urrutia</w:t>
      </w:r>
      <w:proofErr w:type="spellEnd"/>
      <w:r>
        <w:rPr>
          <w:szCs w:val="26"/>
        </w:rPr>
        <w:t xml:space="preserve"> to bleed to death.  Rangel</w:t>
      </w:r>
      <w:r w:rsidRPr="001246BE">
        <w:rPr>
          <w:szCs w:val="26"/>
        </w:rPr>
        <w:t xml:space="preserve"> </w:t>
      </w:r>
      <w:r w:rsidRPr="001246BE">
        <w:rPr>
          <w:szCs w:val="26"/>
        </w:rPr>
        <w:t xml:space="preserve">fired two more shots at </w:t>
      </w:r>
      <w:proofErr w:type="spellStart"/>
      <w:r w:rsidRPr="001246BE">
        <w:rPr>
          <w:szCs w:val="26"/>
        </w:rPr>
        <w:t>Encinas</w:t>
      </w:r>
      <w:proofErr w:type="spellEnd"/>
      <w:r w:rsidRPr="001246BE">
        <w:rPr>
          <w:szCs w:val="26"/>
        </w:rPr>
        <w:t xml:space="preserve">; </w:t>
      </w:r>
      <w:r w:rsidRPr="001246BE">
        <w:rPr>
          <w:szCs w:val="26"/>
        </w:rPr>
        <w:t xml:space="preserve">at least one entered </w:t>
      </w:r>
      <w:proofErr w:type="spellStart"/>
      <w:r w:rsidRPr="001246BE">
        <w:rPr>
          <w:szCs w:val="26"/>
        </w:rPr>
        <w:t>Encinas’s</w:t>
      </w:r>
      <w:proofErr w:type="spellEnd"/>
      <w:r w:rsidRPr="001246BE">
        <w:rPr>
          <w:szCs w:val="26"/>
        </w:rPr>
        <w:t xml:space="preserve"> </w:t>
      </w:r>
      <w:r w:rsidRPr="001246BE">
        <w:rPr>
          <w:szCs w:val="26"/>
        </w:rPr>
        <w:t xml:space="preserve">chest, fatally striking his lung and aorta.  </w:t>
      </w:r>
      <w:proofErr w:type="spellStart"/>
      <w:r w:rsidRPr="001246BE">
        <w:rPr>
          <w:szCs w:val="26"/>
        </w:rPr>
        <w:t>Mora</w:t>
      </w:r>
      <w:proofErr w:type="spellEnd"/>
      <w:r w:rsidRPr="001246BE">
        <w:rPr>
          <w:szCs w:val="26"/>
        </w:rPr>
        <w:t xml:space="preserve"> and Rangel fired a </w:t>
      </w:r>
      <w:r w:rsidRPr="001246BE">
        <w:rPr>
          <w:szCs w:val="26"/>
        </w:rPr>
        <w:t>total of four shots</w:t>
      </w:r>
      <w:r w:rsidRPr="001246BE">
        <w:rPr>
          <w:szCs w:val="26"/>
        </w:rPr>
        <w:t xml:space="preserve"> –– </w:t>
      </w:r>
      <w:r w:rsidRPr="001246BE">
        <w:rPr>
          <w:szCs w:val="26"/>
        </w:rPr>
        <w:t xml:space="preserve">all </w:t>
      </w:r>
      <w:r w:rsidRPr="001246BE">
        <w:rPr>
          <w:szCs w:val="26"/>
        </w:rPr>
        <w:t xml:space="preserve">within seconds.  </w:t>
      </w:r>
    </w:p>
    <w:p w:rsidR="00F31AC3" w:rsidRPr="00F31AC3" w:rsidRDefault="00EF4903" w:rsidP="0058434D">
      <w:pPr>
        <w:spacing w:line="480" w:lineRule="atLeast"/>
        <w:ind w:firstLine="720"/>
      </w:pPr>
      <w:r w:rsidRPr="001246BE">
        <w:rPr>
          <w:szCs w:val="26"/>
        </w:rPr>
        <w:t xml:space="preserve">Immediately after the shooting, </w:t>
      </w:r>
      <w:proofErr w:type="spellStart"/>
      <w:r w:rsidRPr="001246BE">
        <w:rPr>
          <w:szCs w:val="26"/>
        </w:rPr>
        <w:t>Mora</w:t>
      </w:r>
      <w:proofErr w:type="spellEnd"/>
      <w:r w:rsidRPr="001246BE">
        <w:rPr>
          <w:szCs w:val="26"/>
        </w:rPr>
        <w:t xml:space="preserve"> and Rangel ran away.  Gregorio got out of the car and began knocking on doors in the neighborhood and yelling for help.  No one </w:t>
      </w:r>
      <w:r w:rsidRPr="001246BE">
        <w:rPr>
          <w:szCs w:val="26"/>
        </w:rPr>
        <w:t xml:space="preserve">opened their </w:t>
      </w:r>
      <w:r w:rsidRPr="001246BE">
        <w:rPr>
          <w:szCs w:val="26"/>
        </w:rPr>
        <w:t xml:space="preserve">doors, but he was eventually approached by two men who told </w:t>
      </w:r>
      <w:r w:rsidRPr="001246BE">
        <w:rPr>
          <w:szCs w:val="26"/>
        </w:rPr>
        <w:t xml:space="preserve">Gregorio they had called the police.   </w:t>
      </w:r>
      <w:r w:rsidRPr="001246BE">
        <w:rPr>
          <w:szCs w:val="26"/>
        </w:rPr>
        <w:t xml:space="preserve"> </w:t>
      </w:r>
    </w:p>
    <w:p w:rsidR="000B3905" w:rsidRPr="001246BE" w:rsidRDefault="00EF4903" w:rsidP="00F31AC3">
      <w:pPr>
        <w:pStyle w:val="Heading3"/>
        <w:ind w:left="1440"/>
        <w:rPr>
          <w:rFonts w:ascii="Times New Roman" w:hAnsi="Times New Roman"/>
        </w:rPr>
      </w:pPr>
      <w:bookmarkStart w:id="6" w:name="_Toc511210378"/>
      <w:r w:rsidRPr="001246BE">
        <w:rPr>
          <w:rFonts w:ascii="Times New Roman" w:hAnsi="Times New Roman"/>
        </w:rPr>
        <w:t>2.</w:t>
      </w:r>
      <w:r w:rsidRPr="001246BE">
        <w:rPr>
          <w:rFonts w:ascii="Times New Roman" w:hAnsi="Times New Roman"/>
        </w:rPr>
        <w:tab/>
      </w:r>
      <w:proofErr w:type="spellStart"/>
      <w:r w:rsidRPr="001246BE">
        <w:rPr>
          <w:rFonts w:ascii="Times New Roman" w:hAnsi="Times New Roman"/>
        </w:rPr>
        <w:t>Mora</w:t>
      </w:r>
      <w:proofErr w:type="spellEnd"/>
      <w:r w:rsidRPr="001246BE">
        <w:rPr>
          <w:rFonts w:ascii="Times New Roman" w:hAnsi="Times New Roman"/>
        </w:rPr>
        <w:t xml:space="preserve"> and Rangel’s Activities Before the Shootings</w:t>
      </w:r>
      <w:bookmarkEnd w:id="6"/>
    </w:p>
    <w:p w:rsidR="00F31AC3" w:rsidRPr="001246BE" w:rsidRDefault="00EF4903" w:rsidP="00F31AC3">
      <w:pPr>
        <w:spacing w:line="480" w:lineRule="atLeast"/>
        <w:ind w:firstLine="720"/>
        <w:rPr>
          <w:b/>
          <w:szCs w:val="26"/>
        </w:rPr>
      </w:pPr>
      <w:r w:rsidRPr="001246BE">
        <w:rPr>
          <w:szCs w:val="26"/>
        </w:rPr>
        <w:t>On the evening of August 23, 1997, Lourdes Lopez</w:t>
      </w:r>
      <w:r w:rsidRPr="001246BE">
        <w:rPr>
          <w:szCs w:val="26"/>
        </w:rPr>
        <w:t xml:space="preserve"> –– </w:t>
      </w:r>
      <w:proofErr w:type="spellStart"/>
      <w:r w:rsidRPr="001246BE">
        <w:rPr>
          <w:szCs w:val="26"/>
        </w:rPr>
        <w:t>Mora’s</w:t>
      </w:r>
      <w:proofErr w:type="spellEnd"/>
      <w:r w:rsidRPr="001246BE">
        <w:rPr>
          <w:szCs w:val="26"/>
        </w:rPr>
        <w:t xml:space="preserve"> ex-girlfriend and the mother of their three-year-old daughter</w:t>
      </w:r>
      <w:r w:rsidRPr="001246BE">
        <w:rPr>
          <w:szCs w:val="26"/>
        </w:rPr>
        <w:t xml:space="preserve"> –– </w:t>
      </w:r>
      <w:r w:rsidRPr="001246BE">
        <w:rPr>
          <w:szCs w:val="26"/>
        </w:rPr>
        <w:t xml:space="preserve">paged </w:t>
      </w:r>
      <w:proofErr w:type="spellStart"/>
      <w:r w:rsidRPr="001246BE">
        <w:rPr>
          <w:szCs w:val="26"/>
        </w:rPr>
        <w:t>Mora</w:t>
      </w:r>
      <w:proofErr w:type="spellEnd"/>
      <w:r w:rsidRPr="001246BE">
        <w:rPr>
          <w:szCs w:val="26"/>
        </w:rPr>
        <w:t xml:space="preserve"> to come to her house</w:t>
      </w:r>
      <w:r w:rsidRPr="001246BE">
        <w:rPr>
          <w:szCs w:val="26"/>
        </w:rPr>
        <w:t xml:space="preserve"> so he </w:t>
      </w:r>
      <w:r w:rsidRPr="001246BE">
        <w:rPr>
          <w:szCs w:val="26"/>
        </w:rPr>
        <w:t>could</w:t>
      </w:r>
      <w:r w:rsidRPr="001246BE">
        <w:rPr>
          <w:szCs w:val="26"/>
        </w:rPr>
        <w:t xml:space="preserve"> provide protection </w:t>
      </w:r>
      <w:r w:rsidRPr="001246BE">
        <w:rPr>
          <w:szCs w:val="26"/>
        </w:rPr>
        <w:t xml:space="preserve">for her </w:t>
      </w:r>
      <w:r w:rsidRPr="001246BE">
        <w:rPr>
          <w:szCs w:val="26"/>
        </w:rPr>
        <w:t xml:space="preserve">after she was threatened while attending a child’s birthday party earlier that day.  </w:t>
      </w:r>
      <w:r w:rsidRPr="001246BE">
        <w:rPr>
          <w:szCs w:val="26"/>
        </w:rPr>
        <w:t xml:space="preserve">Lopez lived </w:t>
      </w:r>
      <w:r>
        <w:rPr>
          <w:szCs w:val="26"/>
        </w:rPr>
        <w:t>on</w:t>
      </w:r>
      <w:r w:rsidRPr="001246BE">
        <w:rPr>
          <w:szCs w:val="26"/>
        </w:rPr>
        <w:t xml:space="preserve"> </w:t>
      </w:r>
      <w:proofErr w:type="spellStart"/>
      <w:r w:rsidRPr="001246BE">
        <w:rPr>
          <w:szCs w:val="26"/>
        </w:rPr>
        <w:t>Castlegate</w:t>
      </w:r>
      <w:proofErr w:type="spellEnd"/>
      <w:r w:rsidRPr="001246BE">
        <w:rPr>
          <w:szCs w:val="26"/>
        </w:rPr>
        <w:t xml:space="preserve">.  </w:t>
      </w:r>
      <w:r w:rsidRPr="001246BE">
        <w:rPr>
          <w:szCs w:val="26"/>
        </w:rPr>
        <w:t>Several</w:t>
      </w:r>
      <w:r w:rsidRPr="001246BE">
        <w:rPr>
          <w:szCs w:val="26"/>
        </w:rPr>
        <w:t xml:space="preserve"> people were </w:t>
      </w:r>
      <w:r w:rsidRPr="001246BE">
        <w:rPr>
          <w:szCs w:val="26"/>
        </w:rPr>
        <w:t xml:space="preserve">present </w:t>
      </w:r>
      <w:r w:rsidRPr="001246BE">
        <w:rPr>
          <w:szCs w:val="26"/>
        </w:rPr>
        <w:t xml:space="preserve">at Lopez’s home that evening, including her daughter and the two adults she lived </w:t>
      </w:r>
      <w:r w:rsidRPr="001246BE">
        <w:rPr>
          <w:szCs w:val="26"/>
        </w:rPr>
        <w:t xml:space="preserve">with, Nancy Gonzalez and Jade Gallegos.  Also present at Lopez’s house were Ricardo </w:t>
      </w:r>
      <w:proofErr w:type="spellStart"/>
      <w:r w:rsidRPr="001246BE">
        <w:rPr>
          <w:szCs w:val="26"/>
        </w:rPr>
        <w:t>Zavalos</w:t>
      </w:r>
      <w:proofErr w:type="spellEnd"/>
      <w:r w:rsidRPr="001246BE">
        <w:rPr>
          <w:szCs w:val="26"/>
        </w:rPr>
        <w:t xml:space="preserve">, Enrique </w:t>
      </w:r>
      <w:r w:rsidRPr="001246BE">
        <w:rPr>
          <w:szCs w:val="26"/>
        </w:rPr>
        <w:t>Parra</w:t>
      </w:r>
      <w:r w:rsidRPr="001246BE">
        <w:rPr>
          <w:szCs w:val="26"/>
        </w:rPr>
        <w:t xml:space="preserve">, Russell </w:t>
      </w:r>
      <w:proofErr w:type="spellStart"/>
      <w:r w:rsidRPr="001246BE">
        <w:rPr>
          <w:szCs w:val="26"/>
        </w:rPr>
        <w:t>Tungett</w:t>
      </w:r>
      <w:proofErr w:type="spellEnd"/>
      <w:r w:rsidRPr="001246BE">
        <w:rPr>
          <w:szCs w:val="26"/>
        </w:rPr>
        <w:t xml:space="preserve">, Jose Jimenez, </w:t>
      </w:r>
      <w:r w:rsidRPr="001246BE">
        <w:rPr>
          <w:szCs w:val="26"/>
        </w:rPr>
        <w:t xml:space="preserve">and </w:t>
      </w:r>
      <w:r w:rsidRPr="001246BE">
        <w:rPr>
          <w:szCs w:val="26"/>
        </w:rPr>
        <w:t>Ramon Valadez</w:t>
      </w:r>
      <w:r w:rsidRPr="001246BE">
        <w:rPr>
          <w:szCs w:val="26"/>
        </w:rPr>
        <w:t>.</w:t>
      </w:r>
      <w:r w:rsidRPr="001246BE">
        <w:rPr>
          <w:szCs w:val="26"/>
        </w:rPr>
        <w:t xml:space="preserve">  </w:t>
      </w:r>
      <w:r w:rsidRPr="001246BE">
        <w:rPr>
          <w:b/>
          <w:szCs w:val="26"/>
        </w:rPr>
        <w:tab/>
      </w:r>
    </w:p>
    <w:p w:rsidR="006C01DA" w:rsidRPr="001246BE" w:rsidRDefault="00EF4903" w:rsidP="00F31AC3">
      <w:pPr>
        <w:spacing w:line="480" w:lineRule="atLeast"/>
        <w:ind w:firstLine="720"/>
        <w:rPr>
          <w:szCs w:val="26"/>
        </w:rPr>
      </w:pPr>
      <w:proofErr w:type="spellStart"/>
      <w:r w:rsidRPr="001246BE">
        <w:rPr>
          <w:szCs w:val="26"/>
        </w:rPr>
        <w:t>Mora</w:t>
      </w:r>
      <w:proofErr w:type="spellEnd"/>
      <w:r w:rsidRPr="001246BE">
        <w:rPr>
          <w:szCs w:val="26"/>
        </w:rPr>
        <w:t xml:space="preserve"> and Rangel arrived at Lopez’s home between 11:00 p.m. and 12:00 a.m. </w:t>
      </w:r>
      <w:r w:rsidRPr="001246BE">
        <w:rPr>
          <w:szCs w:val="26"/>
        </w:rPr>
        <w:t xml:space="preserve"> When Lopez arrived shortly after </w:t>
      </w:r>
      <w:proofErr w:type="spellStart"/>
      <w:r w:rsidRPr="001246BE">
        <w:rPr>
          <w:szCs w:val="26"/>
        </w:rPr>
        <w:t>Mora</w:t>
      </w:r>
      <w:proofErr w:type="spellEnd"/>
      <w:r w:rsidRPr="001246BE">
        <w:rPr>
          <w:szCs w:val="26"/>
        </w:rPr>
        <w:t xml:space="preserve"> and Rangel, she observed both men in her kitchen drinking alcohol and using methamphetamine.  Lopez joined </w:t>
      </w:r>
      <w:proofErr w:type="spellStart"/>
      <w:r w:rsidRPr="001246BE">
        <w:rPr>
          <w:szCs w:val="26"/>
        </w:rPr>
        <w:t>Mora</w:t>
      </w:r>
      <w:proofErr w:type="spellEnd"/>
      <w:r w:rsidRPr="001246BE">
        <w:rPr>
          <w:szCs w:val="26"/>
        </w:rPr>
        <w:t xml:space="preserve"> and Rangel, snorted two or three lines of methamphetamine, and consumed four or five beers in the space o</w:t>
      </w:r>
      <w:r w:rsidRPr="001246BE">
        <w:rPr>
          <w:szCs w:val="26"/>
        </w:rPr>
        <w:t>f about 20 minutes.  While sitting with the two men in her kitchen, Lopez noticed a</w:t>
      </w:r>
      <w:r w:rsidRPr="001246BE">
        <w:rPr>
          <w:szCs w:val="26"/>
        </w:rPr>
        <w:t xml:space="preserve"> gun in Rangel’s waistband.  </w:t>
      </w:r>
      <w:r w:rsidRPr="001246BE">
        <w:rPr>
          <w:szCs w:val="26"/>
        </w:rPr>
        <w:t xml:space="preserve">Lopez told police that night that she had also seen </w:t>
      </w:r>
      <w:proofErr w:type="spellStart"/>
      <w:r w:rsidRPr="001246BE">
        <w:rPr>
          <w:szCs w:val="26"/>
        </w:rPr>
        <w:t>Mora</w:t>
      </w:r>
      <w:proofErr w:type="spellEnd"/>
      <w:r w:rsidRPr="001246BE">
        <w:rPr>
          <w:szCs w:val="26"/>
        </w:rPr>
        <w:t xml:space="preserve"> with a gun, although she later testified that she was pressured into making that statem</w:t>
      </w:r>
      <w:r w:rsidRPr="001246BE">
        <w:rPr>
          <w:szCs w:val="26"/>
        </w:rPr>
        <w:t xml:space="preserve">ent to police and never saw him with a gun.  </w:t>
      </w:r>
    </w:p>
    <w:p w:rsidR="006C01DA" w:rsidRPr="001246BE" w:rsidRDefault="00EF4903" w:rsidP="00F31AC3">
      <w:pPr>
        <w:spacing w:line="480" w:lineRule="atLeast"/>
        <w:ind w:firstLine="720"/>
        <w:rPr>
          <w:szCs w:val="26"/>
        </w:rPr>
      </w:pPr>
      <w:r>
        <w:rPr>
          <w:szCs w:val="26"/>
        </w:rPr>
        <w:t xml:space="preserve">Much </w:t>
      </w:r>
      <w:r w:rsidRPr="001246BE">
        <w:rPr>
          <w:szCs w:val="26"/>
        </w:rPr>
        <w:t xml:space="preserve">of Lopez’s testimony </w:t>
      </w:r>
      <w:r>
        <w:rPr>
          <w:szCs w:val="26"/>
        </w:rPr>
        <w:t xml:space="preserve">at trial </w:t>
      </w:r>
      <w:r w:rsidRPr="001246BE">
        <w:rPr>
          <w:szCs w:val="26"/>
        </w:rPr>
        <w:t xml:space="preserve">differed from what she told police </w:t>
      </w:r>
      <w:r w:rsidRPr="001246BE">
        <w:rPr>
          <w:szCs w:val="26"/>
        </w:rPr>
        <w:t xml:space="preserve">immediately </w:t>
      </w:r>
      <w:r w:rsidRPr="001246BE">
        <w:rPr>
          <w:szCs w:val="26"/>
        </w:rPr>
        <w:t xml:space="preserve">following the shootings.  </w:t>
      </w:r>
      <w:r w:rsidRPr="001246BE">
        <w:rPr>
          <w:szCs w:val="26"/>
        </w:rPr>
        <w:t xml:space="preserve">What </w:t>
      </w:r>
      <w:r w:rsidRPr="001246BE">
        <w:rPr>
          <w:szCs w:val="26"/>
        </w:rPr>
        <w:t xml:space="preserve">Lopez </w:t>
      </w:r>
      <w:r w:rsidRPr="001246BE">
        <w:rPr>
          <w:szCs w:val="26"/>
        </w:rPr>
        <w:t xml:space="preserve">had </w:t>
      </w:r>
      <w:r w:rsidRPr="001246BE">
        <w:rPr>
          <w:szCs w:val="26"/>
        </w:rPr>
        <w:t xml:space="preserve">told police </w:t>
      </w:r>
      <w:r w:rsidRPr="001246BE">
        <w:rPr>
          <w:szCs w:val="26"/>
        </w:rPr>
        <w:t xml:space="preserve">is </w:t>
      </w:r>
      <w:r w:rsidRPr="001246BE">
        <w:rPr>
          <w:szCs w:val="26"/>
        </w:rPr>
        <w:t>that</w:t>
      </w:r>
      <w:r w:rsidRPr="001246BE">
        <w:rPr>
          <w:szCs w:val="26"/>
        </w:rPr>
        <w:t xml:space="preserve"> </w:t>
      </w:r>
      <w:r w:rsidRPr="001246BE">
        <w:rPr>
          <w:szCs w:val="26"/>
        </w:rPr>
        <w:t>in the early morning hours of</w:t>
      </w:r>
      <w:r w:rsidRPr="001246BE">
        <w:rPr>
          <w:szCs w:val="26"/>
        </w:rPr>
        <w:t xml:space="preserve"> August 24, 1997, </w:t>
      </w:r>
      <w:r w:rsidRPr="001246BE">
        <w:rPr>
          <w:szCs w:val="26"/>
        </w:rPr>
        <w:t>she</w:t>
      </w:r>
      <w:r w:rsidRPr="001246BE">
        <w:rPr>
          <w:szCs w:val="26"/>
        </w:rPr>
        <w:t xml:space="preserve"> heard Rangel cal</w:t>
      </w:r>
      <w:r w:rsidRPr="001246BE">
        <w:rPr>
          <w:szCs w:val="26"/>
        </w:rPr>
        <w:t xml:space="preserve">l </w:t>
      </w:r>
      <w:proofErr w:type="spellStart"/>
      <w:r w:rsidRPr="001246BE">
        <w:rPr>
          <w:szCs w:val="26"/>
        </w:rPr>
        <w:t>Mora</w:t>
      </w:r>
      <w:proofErr w:type="spellEnd"/>
      <w:r w:rsidRPr="001246BE">
        <w:rPr>
          <w:szCs w:val="26"/>
        </w:rPr>
        <w:t xml:space="preserve"> to go outside.  Lopez</w:t>
      </w:r>
      <w:r w:rsidRPr="001246BE">
        <w:rPr>
          <w:szCs w:val="26"/>
        </w:rPr>
        <w:t xml:space="preserve"> also told police that </w:t>
      </w:r>
      <w:proofErr w:type="spellStart"/>
      <w:r w:rsidRPr="001246BE">
        <w:rPr>
          <w:szCs w:val="26"/>
        </w:rPr>
        <w:t>Mora</w:t>
      </w:r>
      <w:proofErr w:type="spellEnd"/>
      <w:r w:rsidRPr="001246BE">
        <w:rPr>
          <w:szCs w:val="26"/>
        </w:rPr>
        <w:t xml:space="preserve"> and Rangel were the only two people from the gathering at her house who had gone outside.  </w:t>
      </w:r>
      <w:r w:rsidRPr="001246BE">
        <w:rPr>
          <w:szCs w:val="26"/>
        </w:rPr>
        <w:t xml:space="preserve">However, at trial, </w:t>
      </w:r>
      <w:r w:rsidRPr="001246BE">
        <w:rPr>
          <w:szCs w:val="26"/>
        </w:rPr>
        <w:t xml:space="preserve">Lopez </w:t>
      </w:r>
      <w:r w:rsidRPr="001246BE">
        <w:rPr>
          <w:szCs w:val="26"/>
        </w:rPr>
        <w:t>claimed uncertainty regarding whether anyone went outside.  She testified</w:t>
      </w:r>
      <w:r w:rsidRPr="001246BE">
        <w:rPr>
          <w:szCs w:val="26"/>
        </w:rPr>
        <w:t xml:space="preserve"> that </w:t>
      </w:r>
      <w:r w:rsidRPr="001246BE">
        <w:rPr>
          <w:szCs w:val="26"/>
        </w:rPr>
        <w:t>she w</w:t>
      </w:r>
      <w:r w:rsidRPr="001246BE">
        <w:rPr>
          <w:szCs w:val="26"/>
        </w:rPr>
        <w:t>ent into the bathroom right after she heard Rangel call to</w:t>
      </w:r>
      <w:r w:rsidRPr="001246BE">
        <w:rPr>
          <w:szCs w:val="26"/>
        </w:rPr>
        <w:t xml:space="preserve"> </w:t>
      </w:r>
      <w:proofErr w:type="spellStart"/>
      <w:r w:rsidRPr="001246BE">
        <w:rPr>
          <w:szCs w:val="26"/>
        </w:rPr>
        <w:t>Mora</w:t>
      </w:r>
      <w:proofErr w:type="spellEnd"/>
      <w:r w:rsidRPr="001246BE">
        <w:rPr>
          <w:szCs w:val="26"/>
        </w:rPr>
        <w:t xml:space="preserve"> to go </w:t>
      </w:r>
      <w:r w:rsidRPr="001246BE">
        <w:rPr>
          <w:szCs w:val="26"/>
        </w:rPr>
        <w:t>outside, and</w:t>
      </w:r>
      <w:r w:rsidRPr="001246BE">
        <w:rPr>
          <w:szCs w:val="26"/>
        </w:rPr>
        <w:t xml:space="preserve"> testified</w:t>
      </w:r>
      <w:r w:rsidRPr="001246BE">
        <w:rPr>
          <w:szCs w:val="26"/>
        </w:rPr>
        <w:t xml:space="preserve"> that she saw both </w:t>
      </w:r>
      <w:proofErr w:type="spellStart"/>
      <w:r w:rsidRPr="001246BE">
        <w:rPr>
          <w:szCs w:val="26"/>
        </w:rPr>
        <w:t>Mora</w:t>
      </w:r>
      <w:proofErr w:type="spellEnd"/>
      <w:r w:rsidRPr="001246BE">
        <w:rPr>
          <w:szCs w:val="26"/>
        </w:rPr>
        <w:t xml:space="preserve"> and Rangel standing in her kitchen right before she entered the bathroom</w:t>
      </w:r>
      <w:r w:rsidRPr="001246BE">
        <w:rPr>
          <w:szCs w:val="26"/>
        </w:rPr>
        <w:t>.</w:t>
      </w:r>
      <w:r w:rsidRPr="001246BE">
        <w:rPr>
          <w:szCs w:val="26"/>
        </w:rPr>
        <w:t xml:space="preserve">  Lopez </w:t>
      </w:r>
      <w:r w:rsidRPr="001246BE">
        <w:rPr>
          <w:szCs w:val="26"/>
        </w:rPr>
        <w:t>testified that</w:t>
      </w:r>
      <w:r w:rsidRPr="001246BE">
        <w:rPr>
          <w:szCs w:val="26"/>
        </w:rPr>
        <w:t xml:space="preserve"> she</w:t>
      </w:r>
      <w:r w:rsidRPr="001246BE">
        <w:rPr>
          <w:szCs w:val="26"/>
        </w:rPr>
        <w:t xml:space="preserve"> </w:t>
      </w:r>
      <w:r w:rsidRPr="001246BE">
        <w:rPr>
          <w:szCs w:val="26"/>
        </w:rPr>
        <w:t>heard gunshots two or three minutes late</w:t>
      </w:r>
      <w:r w:rsidRPr="001246BE">
        <w:rPr>
          <w:szCs w:val="26"/>
        </w:rPr>
        <w:t xml:space="preserve">r, while she was still in the bathroom.  </w:t>
      </w:r>
    </w:p>
    <w:p w:rsidR="006C01DA" w:rsidRPr="001246BE" w:rsidRDefault="00EF4903" w:rsidP="00F31AC3">
      <w:pPr>
        <w:spacing w:line="480" w:lineRule="atLeast"/>
        <w:ind w:firstLine="720"/>
        <w:rPr>
          <w:szCs w:val="26"/>
        </w:rPr>
      </w:pPr>
      <w:r w:rsidRPr="001246BE">
        <w:rPr>
          <w:szCs w:val="26"/>
        </w:rPr>
        <w:t xml:space="preserve">In the statement she gave to police immediately after the shooting, Lopez said that she saw both </w:t>
      </w:r>
      <w:proofErr w:type="spellStart"/>
      <w:r w:rsidRPr="001246BE">
        <w:rPr>
          <w:szCs w:val="26"/>
        </w:rPr>
        <w:t>Mora</w:t>
      </w:r>
      <w:proofErr w:type="spellEnd"/>
      <w:r w:rsidRPr="001246BE">
        <w:rPr>
          <w:szCs w:val="26"/>
        </w:rPr>
        <w:t xml:space="preserve"> and Rangel run into the house through the kitchen door right after the shots were fired.  Lopez testified incons</w:t>
      </w:r>
      <w:r w:rsidRPr="001246BE">
        <w:rPr>
          <w:szCs w:val="26"/>
        </w:rPr>
        <w:t xml:space="preserve">istently that she was in the </w:t>
      </w:r>
      <w:r>
        <w:rPr>
          <w:szCs w:val="26"/>
        </w:rPr>
        <w:t>bath</w:t>
      </w:r>
      <w:r w:rsidRPr="001246BE">
        <w:rPr>
          <w:szCs w:val="26"/>
        </w:rPr>
        <w:t xml:space="preserve">room for the moments before and after the shooting and did not see the two men run back into the house.  Valadez, who had been at the gathering at Lopez’s house, </w:t>
      </w:r>
      <w:r w:rsidRPr="001246BE">
        <w:rPr>
          <w:szCs w:val="26"/>
        </w:rPr>
        <w:t>corroborated Lopez’s statement to the police, testifying that</w:t>
      </w:r>
      <w:r w:rsidRPr="001246BE">
        <w:rPr>
          <w:szCs w:val="26"/>
        </w:rPr>
        <w:t xml:space="preserve"> he </w:t>
      </w:r>
      <w:r w:rsidRPr="001246BE">
        <w:rPr>
          <w:szCs w:val="26"/>
        </w:rPr>
        <w:t xml:space="preserve">saw </w:t>
      </w:r>
      <w:proofErr w:type="spellStart"/>
      <w:r w:rsidRPr="001246BE">
        <w:rPr>
          <w:szCs w:val="26"/>
        </w:rPr>
        <w:t>Mora</w:t>
      </w:r>
      <w:proofErr w:type="spellEnd"/>
      <w:r w:rsidRPr="001246BE">
        <w:rPr>
          <w:szCs w:val="26"/>
        </w:rPr>
        <w:t xml:space="preserve"> and Rangel run into the house holding guns right after the shots were fired outside.  </w:t>
      </w:r>
    </w:p>
    <w:p w:rsidR="00F31AC3" w:rsidRPr="001246BE" w:rsidRDefault="00EF4903" w:rsidP="00F31AC3">
      <w:pPr>
        <w:spacing w:line="480" w:lineRule="atLeast"/>
        <w:ind w:firstLine="720"/>
        <w:rPr>
          <w:szCs w:val="26"/>
        </w:rPr>
      </w:pPr>
      <w:r w:rsidRPr="001246BE">
        <w:rPr>
          <w:szCs w:val="26"/>
        </w:rPr>
        <w:t>Prior to the gunshots she heard, Lopez recall</w:t>
      </w:r>
      <w:r w:rsidRPr="001246BE">
        <w:rPr>
          <w:szCs w:val="26"/>
        </w:rPr>
        <w:t>ed</w:t>
      </w:r>
      <w:r w:rsidRPr="001246BE">
        <w:rPr>
          <w:szCs w:val="26"/>
        </w:rPr>
        <w:t xml:space="preserve"> that </w:t>
      </w:r>
      <w:proofErr w:type="spellStart"/>
      <w:r w:rsidRPr="001246BE">
        <w:rPr>
          <w:szCs w:val="26"/>
        </w:rPr>
        <w:t>Mora</w:t>
      </w:r>
      <w:proofErr w:type="spellEnd"/>
      <w:r w:rsidRPr="001246BE">
        <w:rPr>
          <w:szCs w:val="26"/>
        </w:rPr>
        <w:t xml:space="preserve"> was not wearing a shirt</w:t>
      </w:r>
      <w:r w:rsidRPr="001246BE">
        <w:rPr>
          <w:szCs w:val="26"/>
        </w:rPr>
        <w:t xml:space="preserve">, </w:t>
      </w:r>
      <w:r w:rsidRPr="001246BE">
        <w:rPr>
          <w:szCs w:val="26"/>
        </w:rPr>
        <w:t xml:space="preserve">although he put a shirt on at some point that night after the shooting.  Lopez </w:t>
      </w:r>
      <w:r w:rsidRPr="001246BE">
        <w:rPr>
          <w:szCs w:val="26"/>
        </w:rPr>
        <w:t>testified</w:t>
      </w:r>
      <w:r w:rsidRPr="001246BE">
        <w:rPr>
          <w:szCs w:val="26"/>
        </w:rPr>
        <w:t xml:space="preserve"> that Rangel had been wearing a dark blue or black collared shirt that night, which he was still wearing when she exited the </w:t>
      </w:r>
      <w:r>
        <w:rPr>
          <w:szCs w:val="26"/>
        </w:rPr>
        <w:t>bath</w:t>
      </w:r>
      <w:r w:rsidRPr="001246BE">
        <w:rPr>
          <w:szCs w:val="26"/>
        </w:rPr>
        <w:t xml:space="preserve">room after the shooting.  Lopez </w:t>
      </w:r>
      <w:r w:rsidRPr="001246BE">
        <w:rPr>
          <w:szCs w:val="26"/>
        </w:rPr>
        <w:t>stated</w:t>
      </w:r>
      <w:r w:rsidRPr="001246BE">
        <w:rPr>
          <w:szCs w:val="26"/>
        </w:rPr>
        <w:t xml:space="preserve"> </w:t>
      </w:r>
      <w:r w:rsidRPr="001246BE">
        <w:rPr>
          <w:szCs w:val="26"/>
        </w:rPr>
        <w:t xml:space="preserve">that Rangel took his shirt off at some point after the shooting.     </w:t>
      </w:r>
    </w:p>
    <w:p w:rsidR="00F31AC3" w:rsidRPr="001246BE" w:rsidRDefault="00EF4903" w:rsidP="00F31AC3">
      <w:pPr>
        <w:spacing w:line="480" w:lineRule="atLeast"/>
        <w:ind w:firstLine="720"/>
        <w:rPr>
          <w:szCs w:val="26"/>
        </w:rPr>
      </w:pPr>
      <w:r w:rsidRPr="001246BE">
        <w:rPr>
          <w:szCs w:val="26"/>
        </w:rPr>
        <w:t xml:space="preserve">Within minutes of the shots being fired, some commotion broke out at Lopez’s house.  </w:t>
      </w:r>
      <w:r w:rsidRPr="001246BE">
        <w:rPr>
          <w:szCs w:val="26"/>
        </w:rPr>
        <w:t xml:space="preserve">Valadez testified that </w:t>
      </w:r>
      <w:proofErr w:type="spellStart"/>
      <w:r w:rsidRPr="001246BE">
        <w:rPr>
          <w:szCs w:val="26"/>
        </w:rPr>
        <w:t>Mora</w:t>
      </w:r>
      <w:proofErr w:type="spellEnd"/>
      <w:r w:rsidRPr="001246BE">
        <w:rPr>
          <w:szCs w:val="26"/>
        </w:rPr>
        <w:t xml:space="preserve"> and Rangel became</w:t>
      </w:r>
      <w:r w:rsidRPr="001246BE">
        <w:rPr>
          <w:szCs w:val="26"/>
        </w:rPr>
        <w:t xml:space="preserve"> excited, bragging that they shot two men and “blew thei</w:t>
      </w:r>
      <w:r w:rsidRPr="001246BE">
        <w:rPr>
          <w:szCs w:val="26"/>
        </w:rPr>
        <w:t xml:space="preserve">r fucking heads off.”  </w:t>
      </w:r>
      <w:r w:rsidRPr="001246BE">
        <w:rPr>
          <w:szCs w:val="26"/>
        </w:rPr>
        <w:t xml:space="preserve">Valadez observed that </w:t>
      </w:r>
      <w:proofErr w:type="spellStart"/>
      <w:r w:rsidRPr="001246BE">
        <w:rPr>
          <w:szCs w:val="26"/>
        </w:rPr>
        <w:t>Mora</w:t>
      </w:r>
      <w:proofErr w:type="spellEnd"/>
      <w:r w:rsidRPr="001246BE">
        <w:rPr>
          <w:szCs w:val="26"/>
        </w:rPr>
        <w:t xml:space="preserve"> was holding a black machine-gun sty</w:t>
      </w:r>
      <w:r w:rsidRPr="001246BE">
        <w:rPr>
          <w:szCs w:val="26"/>
        </w:rPr>
        <w:t xml:space="preserve">le weapon; Rangel was holding </w:t>
      </w:r>
      <w:r w:rsidRPr="001246BE">
        <w:rPr>
          <w:szCs w:val="26"/>
        </w:rPr>
        <w:t>a silver or chrome weapon with a bullet</w:t>
      </w:r>
      <w:r w:rsidRPr="001246BE">
        <w:rPr>
          <w:szCs w:val="26"/>
        </w:rPr>
        <w:t xml:space="preserve"> visibly stuck in the chamber.  </w:t>
      </w:r>
      <w:r w:rsidRPr="001246BE">
        <w:rPr>
          <w:szCs w:val="26"/>
        </w:rPr>
        <w:t xml:space="preserve">Rangel claimed he would have fired more shots </w:t>
      </w:r>
      <w:r w:rsidRPr="001246BE">
        <w:rPr>
          <w:szCs w:val="26"/>
        </w:rPr>
        <w:t xml:space="preserve">but his </w:t>
      </w:r>
      <w:r w:rsidRPr="001246BE">
        <w:rPr>
          <w:szCs w:val="26"/>
        </w:rPr>
        <w:t xml:space="preserve">gun </w:t>
      </w:r>
      <w:r w:rsidRPr="001246BE">
        <w:rPr>
          <w:szCs w:val="26"/>
        </w:rPr>
        <w:t>had</w:t>
      </w:r>
      <w:r w:rsidRPr="001246BE">
        <w:rPr>
          <w:szCs w:val="26"/>
        </w:rPr>
        <w:t xml:space="preserve"> jammed. </w:t>
      </w:r>
      <w:r w:rsidRPr="001246BE">
        <w:rPr>
          <w:szCs w:val="26"/>
        </w:rPr>
        <w:t xml:space="preserve"> Rangel</w:t>
      </w:r>
      <w:r w:rsidRPr="001246BE">
        <w:rPr>
          <w:szCs w:val="26"/>
        </w:rPr>
        <w:t xml:space="preserve"> </w:t>
      </w:r>
      <w:r w:rsidRPr="001246BE">
        <w:rPr>
          <w:szCs w:val="26"/>
        </w:rPr>
        <w:t>was advised</w:t>
      </w:r>
      <w:r w:rsidRPr="001246BE">
        <w:rPr>
          <w:szCs w:val="26"/>
        </w:rPr>
        <w:t xml:space="preserve"> by party</w:t>
      </w:r>
      <w:r w:rsidRPr="001246BE">
        <w:rPr>
          <w:szCs w:val="26"/>
        </w:rPr>
        <w:t>goers</w:t>
      </w:r>
      <w:r w:rsidRPr="001246BE">
        <w:rPr>
          <w:szCs w:val="26"/>
        </w:rPr>
        <w:t xml:space="preserve"> to remove </w:t>
      </w:r>
      <w:r w:rsidRPr="001246BE">
        <w:rPr>
          <w:szCs w:val="26"/>
        </w:rPr>
        <w:t>his shirt</w:t>
      </w:r>
      <w:r w:rsidRPr="001246BE">
        <w:rPr>
          <w:szCs w:val="26"/>
        </w:rPr>
        <w:t xml:space="preserve"> to wipe down his arms to clean off gunshot residue, which he did.  </w:t>
      </w:r>
      <w:proofErr w:type="spellStart"/>
      <w:r w:rsidRPr="001246BE">
        <w:rPr>
          <w:szCs w:val="26"/>
        </w:rPr>
        <w:t>Mora</w:t>
      </w:r>
      <w:proofErr w:type="spellEnd"/>
      <w:r w:rsidRPr="001246BE">
        <w:rPr>
          <w:szCs w:val="26"/>
        </w:rPr>
        <w:t xml:space="preserve"> ––</w:t>
      </w:r>
      <w:r w:rsidRPr="001246BE">
        <w:rPr>
          <w:szCs w:val="26"/>
        </w:rPr>
        <w:t xml:space="preserve"> who had not been wearing a shirt</w:t>
      </w:r>
      <w:r w:rsidRPr="001246BE">
        <w:rPr>
          <w:szCs w:val="26"/>
        </w:rPr>
        <w:t xml:space="preserve"> ––</w:t>
      </w:r>
      <w:r w:rsidRPr="001246BE">
        <w:rPr>
          <w:szCs w:val="26"/>
        </w:rPr>
        <w:t xml:space="preserve"> did not wipe his arms; he donned a shirt at some point later that night.  </w:t>
      </w:r>
      <w:r w:rsidRPr="001246BE">
        <w:rPr>
          <w:szCs w:val="26"/>
        </w:rPr>
        <w:t xml:space="preserve">Valadez saw </w:t>
      </w:r>
      <w:proofErr w:type="spellStart"/>
      <w:r w:rsidRPr="001246BE">
        <w:rPr>
          <w:szCs w:val="26"/>
        </w:rPr>
        <w:t>Mora</w:t>
      </w:r>
      <w:proofErr w:type="spellEnd"/>
      <w:r w:rsidRPr="001246BE">
        <w:rPr>
          <w:szCs w:val="26"/>
        </w:rPr>
        <w:t xml:space="preserve"> </w:t>
      </w:r>
      <w:r w:rsidRPr="001246BE">
        <w:rPr>
          <w:szCs w:val="26"/>
        </w:rPr>
        <w:t xml:space="preserve">and Rangel </w:t>
      </w:r>
      <w:r w:rsidRPr="001246BE">
        <w:rPr>
          <w:szCs w:val="26"/>
        </w:rPr>
        <w:t>leave</w:t>
      </w:r>
      <w:r w:rsidRPr="001246BE">
        <w:rPr>
          <w:szCs w:val="26"/>
        </w:rPr>
        <w:t xml:space="preserve"> Lopez’s house w</w:t>
      </w:r>
      <w:r w:rsidRPr="001246BE">
        <w:rPr>
          <w:szCs w:val="26"/>
        </w:rPr>
        <w:t>ith their firearms</w:t>
      </w:r>
      <w:r w:rsidRPr="001246BE">
        <w:rPr>
          <w:szCs w:val="26"/>
        </w:rPr>
        <w:t xml:space="preserve">.  They </w:t>
      </w:r>
      <w:r w:rsidRPr="001246BE">
        <w:rPr>
          <w:szCs w:val="26"/>
        </w:rPr>
        <w:t>return</w:t>
      </w:r>
      <w:r w:rsidRPr="001246BE">
        <w:rPr>
          <w:szCs w:val="26"/>
        </w:rPr>
        <w:t>ed empty</w:t>
      </w:r>
      <w:r>
        <w:rPr>
          <w:szCs w:val="26"/>
        </w:rPr>
        <w:t xml:space="preserve"> </w:t>
      </w:r>
      <w:r w:rsidRPr="001246BE">
        <w:rPr>
          <w:szCs w:val="26"/>
        </w:rPr>
        <w:t>handed</w:t>
      </w:r>
      <w:r w:rsidRPr="001246BE">
        <w:rPr>
          <w:szCs w:val="26"/>
        </w:rPr>
        <w:t xml:space="preserve"> a short while later</w:t>
      </w:r>
      <w:r w:rsidRPr="001246BE">
        <w:rPr>
          <w:szCs w:val="26"/>
        </w:rPr>
        <w:t xml:space="preserve">.  </w:t>
      </w:r>
    </w:p>
    <w:p w:rsidR="00F31AC3" w:rsidRPr="001246BE" w:rsidRDefault="00EF4903" w:rsidP="00F31AC3">
      <w:pPr>
        <w:spacing w:line="480" w:lineRule="atLeast"/>
        <w:ind w:firstLine="720"/>
        <w:rPr>
          <w:szCs w:val="26"/>
        </w:rPr>
      </w:pPr>
      <w:r w:rsidRPr="001246BE">
        <w:rPr>
          <w:szCs w:val="26"/>
        </w:rPr>
        <w:t xml:space="preserve">  Lopez told police that </w:t>
      </w:r>
      <w:r w:rsidRPr="001246BE">
        <w:rPr>
          <w:szCs w:val="26"/>
        </w:rPr>
        <w:t xml:space="preserve">immediately following the shooting, </w:t>
      </w:r>
      <w:proofErr w:type="spellStart"/>
      <w:r w:rsidRPr="001246BE">
        <w:rPr>
          <w:szCs w:val="26"/>
        </w:rPr>
        <w:t>Mora</w:t>
      </w:r>
      <w:proofErr w:type="spellEnd"/>
      <w:r w:rsidRPr="001246BE">
        <w:rPr>
          <w:szCs w:val="26"/>
        </w:rPr>
        <w:t xml:space="preserve"> grabbed her car keys</w:t>
      </w:r>
      <w:r w:rsidRPr="001246BE">
        <w:rPr>
          <w:szCs w:val="26"/>
        </w:rPr>
        <w:t xml:space="preserve">. </w:t>
      </w:r>
      <w:r w:rsidRPr="001246BE">
        <w:rPr>
          <w:szCs w:val="26"/>
        </w:rPr>
        <w:t xml:space="preserve"> </w:t>
      </w:r>
      <w:r w:rsidRPr="001246BE">
        <w:rPr>
          <w:szCs w:val="26"/>
        </w:rPr>
        <w:t xml:space="preserve">At trial </w:t>
      </w:r>
      <w:r w:rsidRPr="001246BE">
        <w:rPr>
          <w:szCs w:val="26"/>
        </w:rPr>
        <w:t>Lopez</w:t>
      </w:r>
      <w:r w:rsidRPr="001246BE">
        <w:rPr>
          <w:szCs w:val="26"/>
        </w:rPr>
        <w:t xml:space="preserve"> testified </w:t>
      </w:r>
      <w:r w:rsidRPr="001246BE">
        <w:rPr>
          <w:szCs w:val="26"/>
        </w:rPr>
        <w:t>that</w:t>
      </w:r>
      <w:r w:rsidRPr="001246BE">
        <w:rPr>
          <w:szCs w:val="26"/>
        </w:rPr>
        <w:t xml:space="preserve"> </w:t>
      </w:r>
      <w:r w:rsidRPr="001246BE">
        <w:rPr>
          <w:szCs w:val="26"/>
        </w:rPr>
        <w:t>she heard car engines and the soun</w:t>
      </w:r>
      <w:r w:rsidRPr="001246BE">
        <w:rPr>
          <w:szCs w:val="26"/>
        </w:rPr>
        <w:t>d of cars being moved around</w:t>
      </w:r>
      <w:r w:rsidRPr="001246BE">
        <w:rPr>
          <w:szCs w:val="26"/>
        </w:rPr>
        <w:t xml:space="preserve"> after the shooting</w:t>
      </w:r>
      <w:r w:rsidRPr="001246BE">
        <w:rPr>
          <w:szCs w:val="26"/>
        </w:rPr>
        <w:t>.  Lopez observed her car had been moved out of the garage</w:t>
      </w:r>
      <w:r w:rsidRPr="001246BE">
        <w:rPr>
          <w:szCs w:val="26"/>
        </w:rPr>
        <w:t xml:space="preserve"> –– where she had parked it ––</w:t>
      </w:r>
      <w:r w:rsidRPr="001246BE">
        <w:rPr>
          <w:szCs w:val="26"/>
        </w:rPr>
        <w:t xml:space="preserve"> and </w:t>
      </w:r>
      <w:proofErr w:type="spellStart"/>
      <w:r w:rsidRPr="001246BE">
        <w:rPr>
          <w:szCs w:val="26"/>
        </w:rPr>
        <w:t>Mora’s</w:t>
      </w:r>
      <w:proofErr w:type="spellEnd"/>
      <w:r w:rsidRPr="001246BE">
        <w:rPr>
          <w:szCs w:val="26"/>
        </w:rPr>
        <w:t xml:space="preserve"> car had been moved into the garage</w:t>
      </w:r>
      <w:r w:rsidRPr="001246BE">
        <w:rPr>
          <w:szCs w:val="26"/>
        </w:rPr>
        <w:t>,</w:t>
      </w:r>
      <w:r w:rsidRPr="001246BE">
        <w:rPr>
          <w:szCs w:val="26"/>
        </w:rPr>
        <w:t xml:space="preserve"> with Lopez’s car parked behind it.  Valadez </w:t>
      </w:r>
      <w:r w:rsidRPr="001246BE">
        <w:rPr>
          <w:szCs w:val="26"/>
        </w:rPr>
        <w:t>noticed</w:t>
      </w:r>
      <w:r w:rsidRPr="001246BE">
        <w:rPr>
          <w:szCs w:val="26"/>
        </w:rPr>
        <w:t xml:space="preserve"> that </w:t>
      </w:r>
      <w:proofErr w:type="spellStart"/>
      <w:r w:rsidRPr="001246BE">
        <w:rPr>
          <w:szCs w:val="26"/>
        </w:rPr>
        <w:t>Mora</w:t>
      </w:r>
      <w:proofErr w:type="spellEnd"/>
      <w:r w:rsidRPr="001246BE">
        <w:rPr>
          <w:szCs w:val="26"/>
        </w:rPr>
        <w:t xml:space="preserve"> and Rangel arrived at Lopez’s house earlier that night in an Oldsmobile, which they initially parked in a driveway and later moved to the garage after the sh</w:t>
      </w:r>
      <w:r w:rsidRPr="001246BE">
        <w:rPr>
          <w:szCs w:val="26"/>
        </w:rPr>
        <w:t xml:space="preserve">ooting.  </w:t>
      </w:r>
    </w:p>
    <w:p w:rsidR="00F31AC3" w:rsidRPr="001246BE" w:rsidRDefault="00EF4903" w:rsidP="00F31AC3">
      <w:pPr>
        <w:spacing w:line="480" w:lineRule="atLeast"/>
        <w:ind w:firstLine="720"/>
        <w:rPr>
          <w:szCs w:val="26"/>
        </w:rPr>
      </w:pPr>
      <w:r w:rsidRPr="001246BE">
        <w:rPr>
          <w:szCs w:val="26"/>
        </w:rPr>
        <w:t xml:space="preserve">Lopez told police that </w:t>
      </w:r>
      <w:proofErr w:type="spellStart"/>
      <w:r w:rsidRPr="001246BE">
        <w:rPr>
          <w:szCs w:val="26"/>
        </w:rPr>
        <w:t>Mora</w:t>
      </w:r>
      <w:proofErr w:type="spellEnd"/>
      <w:r w:rsidRPr="001246BE">
        <w:rPr>
          <w:szCs w:val="26"/>
        </w:rPr>
        <w:t xml:space="preserve"> asked her to go </w:t>
      </w:r>
      <w:r>
        <w:rPr>
          <w:szCs w:val="26"/>
        </w:rPr>
        <w:t xml:space="preserve">to </w:t>
      </w:r>
      <w:r w:rsidRPr="001246BE">
        <w:rPr>
          <w:szCs w:val="26"/>
        </w:rPr>
        <w:t xml:space="preserve">the bedroom where their daughter was sleeping </w:t>
      </w:r>
      <w:r w:rsidRPr="001246BE">
        <w:rPr>
          <w:szCs w:val="26"/>
        </w:rPr>
        <w:t>in case the child woke up because of the commotion</w:t>
      </w:r>
      <w:r w:rsidRPr="001246BE">
        <w:rPr>
          <w:szCs w:val="26"/>
        </w:rPr>
        <w:t xml:space="preserve"> and</w:t>
      </w:r>
      <w:r w:rsidRPr="001246BE">
        <w:rPr>
          <w:szCs w:val="26"/>
        </w:rPr>
        <w:t xml:space="preserve"> </w:t>
      </w:r>
      <w:r w:rsidRPr="001246BE">
        <w:rPr>
          <w:szCs w:val="26"/>
        </w:rPr>
        <w:t>so the child would not ha</w:t>
      </w:r>
      <w:r w:rsidRPr="001246BE">
        <w:rPr>
          <w:szCs w:val="26"/>
        </w:rPr>
        <w:t>ve to see “her daddy go to jail</w:t>
      </w:r>
      <w:r w:rsidRPr="001246BE">
        <w:rPr>
          <w:szCs w:val="26"/>
        </w:rPr>
        <w:t>.</w:t>
      </w:r>
      <w:r w:rsidRPr="001246BE">
        <w:rPr>
          <w:szCs w:val="26"/>
        </w:rPr>
        <w:t>”</w:t>
      </w:r>
      <w:r w:rsidRPr="001246BE">
        <w:rPr>
          <w:szCs w:val="26"/>
        </w:rPr>
        <w:t xml:space="preserve">  Lopez testified</w:t>
      </w:r>
      <w:r w:rsidRPr="001246BE">
        <w:rPr>
          <w:szCs w:val="26"/>
        </w:rPr>
        <w:t xml:space="preserve"> differently, explaining </w:t>
      </w:r>
      <w:r w:rsidRPr="001246BE">
        <w:rPr>
          <w:szCs w:val="26"/>
        </w:rPr>
        <w:t xml:space="preserve">that </w:t>
      </w:r>
      <w:proofErr w:type="spellStart"/>
      <w:r w:rsidRPr="001246BE">
        <w:rPr>
          <w:szCs w:val="26"/>
        </w:rPr>
        <w:t>Mora</w:t>
      </w:r>
      <w:proofErr w:type="spellEnd"/>
      <w:r w:rsidRPr="001246BE">
        <w:rPr>
          <w:szCs w:val="26"/>
        </w:rPr>
        <w:t xml:space="preserve"> had asked her to go into the bedroom</w:t>
      </w:r>
      <w:r w:rsidRPr="001246BE">
        <w:rPr>
          <w:szCs w:val="26"/>
        </w:rPr>
        <w:t xml:space="preserve"> only</w:t>
      </w:r>
      <w:r w:rsidRPr="001246BE">
        <w:rPr>
          <w:szCs w:val="26"/>
        </w:rPr>
        <w:t xml:space="preserve"> to </w:t>
      </w:r>
      <w:r w:rsidRPr="001246BE">
        <w:rPr>
          <w:szCs w:val="26"/>
        </w:rPr>
        <w:t>ensure their daughter did not wake up</w:t>
      </w:r>
      <w:r w:rsidRPr="001246BE">
        <w:rPr>
          <w:szCs w:val="26"/>
        </w:rPr>
        <w:t xml:space="preserve"> during the </w:t>
      </w:r>
      <w:r w:rsidRPr="001246BE">
        <w:rPr>
          <w:szCs w:val="26"/>
        </w:rPr>
        <w:t xml:space="preserve">kerfuffle </w:t>
      </w:r>
      <w:r w:rsidRPr="001246BE">
        <w:rPr>
          <w:szCs w:val="26"/>
        </w:rPr>
        <w:t>following the shooting</w:t>
      </w:r>
      <w:r w:rsidRPr="001246BE">
        <w:rPr>
          <w:szCs w:val="26"/>
        </w:rPr>
        <w:t xml:space="preserve">.  </w:t>
      </w:r>
      <w:r w:rsidRPr="001246BE">
        <w:rPr>
          <w:szCs w:val="26"/>
        </w:rPr>
        <w:t>In addition to the car movement, the rush of activity at Lopez’s home after the shooting included the swift extinguishing of lights and music</w:t>
      </w:r>
      <w:r w:rsidRPr="001246BE">
        <w:rPr>
          <w:szCs w:val="26"/>
        </w:rPr>
        <w:t>, and</w:t>
      </w:r>
      <w:r w:rsidRPr="001246BE">
        <w:rPr>
          <w:szCs w:val="26"/>
        </w:rPr>
        <w:t xml:space="preserve"> the closing of doors with</w:t>
      </w:r>
      <w:r w:rsidRPr="001246BE">
        <w:rPr>
          <w:szCs w:val="26"/>
        </w:rPr>
        <w:t xml:space="preserve">in the house.  </w:t>
      </w:r>
    </w:p>
    <w:p w:rsidR="000B3905" w:rsidRPr="001246BE" w:rsidRDefault="00EF4903" w:rsidP="00F31AC3">
      <w:pPr>
        <w:pStyle w:val="Heading3"/>
        <w:ind w:left="1440"/>
        <w:rPr>
          <w:rFonts w:ascii="Times New Roman" w:hAnsi="Times New Roman"/>
        </w:rPr>
      </w:pPr>
      <w:bookmarkStart w:id="7" w:name="_Toc511210379"/>
      <w:r w:rsidRPr="001246BE">
        <w:rPr>
          <w:rFonts w:ascii="Times New Roman" w:hAnsi="Times New Roman"/>
        </w:rPr>
        <w:t>3.</w:t>
      </w:r>
      <w:r w:rsidRPr="001246BE">
        <w:rPr>
          <w:rFonts w:ascii="Times New Roman" w:hAnsi="Times New Roman"/>
        </w:rPr>
        <w:tab/>
        <w:t>Investigation</w:t>
      </w:r>
      <w:bookmarkEnd w:id="7"/>
    </w:p>
    <w:p w:rsidR="00825894" w:rsidRPr="001246BE" w:rsidRDefault="00EF4903" w:rsidP="001B70FF">
      <w:pPr>
        <w:spacing w:line="480" w:lineRule="atLeast"/>
        <w:ind w:firstLine="720"/>
        <w:rPr>
          <w:szCs w:val="26"/>
        </w:rPr>
      </w:pPr>
      <w:r w:rsidRPr="001246BE">
        <w:rPr>
          <w:szCs w:val="26"/>
        </w:rPr>
        <w:t xml:space="preserve">A radio call alerted </w:t>
      </w:r>
      <w:r w:rsidRPr="001246BE">
        <w:rPr>
          <w:szCs w:val="26"/>
        </w:rPr>
        <w:t xml:space="preserve">police </w:t>
      </w:r>
      <w:r w:rsidRPr="001246BE">
        <w:rPr>
          <w:szCs w:val="26"/>
        </w:rPr>
        <w:t xml:space="preserve">officers to a possible shooting on </w:t>
      </w:r>
      <w:proofErr w:type="spellStart"/>
      <w:r w:rsidRPr="001246BE">
        <w:rPr>
          <w:szCs w:val="26"/>
        </w:rPr>
        <w:t>Castlegate</w:t>
      </w:r>
      <w:proofErr w:type="spellEnd"/>
      <w:r w:rsidRPr="001246BE">
        <w:rPr>
          <w:szCs w:val="26"/>
        </w:rPr>
        <w:t xml:space="preserve">.  </w:t>
      </w:r>
      <w:r w:rsidRPr="001246BE">
        <w:rPr>
          <w:szCs w:val="26"/>
        </w:rPr>
        <w:t xml:space="preserve">The call </w:t>
      </w:r>
      <w:r w:rsidRPr="001246BE">
        <w:rPr>
          <w:szCs w:val="26"/>
        </w:rPr>
        <w:t>summoned</w:t>
      </w:r>
      <w:r w:rsidRPr="001246BE">
        <w:rPr>
          <w:szCs w:val="26"/>
        </w:rPr>
        <w:t xml:space="preserve"> two </w:t>
      </w:r>
      <w:r w:rsidRPr="001246BE">
        <w:rPr>
          <w:szCs w:val="26"/>
        </w:rPr>
        <w:t xml:space="preserve">officers to Beltran and Fonseca’s location at </w:t>
      </w:r>
      <w:r w:rsidRPr="001246BE">
        <w:rPr>
          <w:szCs w:val="26"/>
        </w:rPr>
        <w:t>the</w:t>
      </w:r>
      <w:r w:rsidRPr="001246BE">
        <w:rPr>
          <w:szCs w:val="26"/>
        </w:rPr>
        <w:t xml:space="preserve"> pay phone</w:t>
      </w:r>
      <w:r w:rsidRPr="001246BE">
        <w:rPr>
          <w:szCs w:val="26"/>
        </w:rPr>
        <w:t xml:space="preserve"> ––</w:t>
      </w:r>
      <w:r w:rsidRPr="001246BE">
        <w:rPr>
          <w:szCs w:val="26"/>
        </w:rPr>
        <w:t xml:space="preserve"> from which Beltran had dialed 9</w:t>
      </w:r>
      <w:r>
        <w:rPr>
          <w:szCs w:val="26"/>
        </w:rPr>
        <w:t>11</w:t>
      </w:r>
      <w:r w:rsidRPr="001246BE">
        <w:rPr>
          <w:szCs w:val="26"/>
        </w:rPr>
        <w:t>,</w:t>
      </w:r>
      <w:r w:rsidRPr="001246BE">
        <w:rPr>
          <w:szCs w:val="26"/>
        </w:rPr>
        <w:t xml:space="preserve"> one block from the shooting</w:t>
      </w:r>
      <w:r w:rsidRPr="001246BE">
        <w:rPr>
          <w:szCs w:val="26"/>
        </w:rPr>
        <w:t xml:space="preserve"> ––</w:t>
      </w:r>
      <w:r w:rsidRPr="001246BE">
        <w:rPr>
          <w:szCs w:val="26"/>
        </w:rPr>
        <w:t xml:space="preserve"> while o</w:t>
      </w:r>
      <w:r w:rsidRPr="001246BE">
        <w:rPr>
          <w:szCs w:val="26"/>
        </w:rPr>
        <w:t>ther officers simultaneously responded to</w:t>
      </w:r>
      <w:r w:rsidRPr="001246BE">
        <w:rPr>
          <w:szCs w:val="26"/>
        </w:rPr>
        <w:t xml:space="preserve"> </w:t>
      </w:r>
      <w:r w:rsidRPr="001246BE">
        <w:rPr>
          <w:szCs w:val="26"/>
        </w:rPr>
        <w:t xml:space="preserve">the </w:t>
      </w:r>
      <w:proofErr w:type="spellStart"/>
      <w:r w:rsidRPr="001246BE">
        <w:rPr>
          <w:szCs w:val="26"/>
        </w:rPr>
        <w:t>Castlegate</w:t>
      </w:r>
      <w:proofErr w:type="spellEnd"/>
      <w:r w:rsidRPr="001246BE">
        <w:rPr>
          <w:szCs w:val="26"/>
        </w:rPr>
        <w:t xml:space="preserve"> </w:t>
      </w:r>
      <w:r w:rsidRPr="001246BE">
        <w:rPr>
          <w:szCs w:val="26"/>
        </w:rPr>
        <w:t>location</w:t>
      </w:r>
      <w:r w:rsidRPr="001246BE">
        <w:rPr>
          <w:szCs w:val="26"/>
        </w:rPr>
        <w:t>.  Fonseca and Beltran initia</w:t>
      </w:r>
      <w:r w:rsidRPr="001246BE">
        <w:rPr>
          <w:szCs w:val="26"/>
        </w:rPr>
        <w:t>lly spoke with police officers by</w:t>
      </w:r>
      <w:r w:rsidRPr="001246BE">
        <w:rPr>
          <w:szCs w:val="26"/>
        </w:rPr>
        <w:t xml:space="preserve"> the pay phone, and later provided </w:t>
      </w:r>
      <w:r w:rsidRPr="001246BE">
        <w:rPr>
          <w:szCs w:val="26"/>
        </w:rPr>
        <w:t xml:space="preserve">detailed </w:t>
      </w:r>
      <w:r w:rsidRPr="001246BE">
        <w:rPr>
          <w:szCs w:val="26"/>
        </w:rPr>
        <w:t xml:space="preserve">statements at the police station.  </w:t>
      </w:r>
    </w:p>
    <w:p w:rsidR="00831C22" w:rsidRPr="001246BE" w:rsidRDefault="00EF4903" w:rsidP="00831C22">
      <w:pPr>
        <w:spacing w:line="480" w:lineRule="atLeast"/>
        <w:ind w:firstLine="720"/>
        <w:rPr>
          <w:szCs w:val="26"/>
        </w:rPr>
      </w:pPr>
      <w:r w:rsidRPr="001246BE">
        <w:rPr>
          <w:szCs w:val="26"/>
        </w:rPr>
        <w:t>At approximately 3:30 a.m., Compton Po</w:t>
      </w:r>
      <w:r w:rsidRPr="001246BE">
        <w:rPr>
          <w:szCs w:val="26"/>
        </w:rPr>
        <w:t xml:space="preserve">lice Officers Raymond Brown and </w:t>
      </w:r>
      <w:r w:rsidRPr="001246BE">
        <w:rPr>
          <w:szCs w:val="26"/>
        </w:rPr>
        <w:t xml:space="preserve">Sergio </w:t>
      </w:r>
      <w:proofErr w:type="spellStart"/>
      <w:r w:rsidRPr="001246BE">
        <w:rPr>
          <w:szCs w:val="26"/>
        </w:rPr>
        <w:t>Lepe</w:t>
      </w:r>
      <w:proofErr w:type="spellEnd"/>
      <w:r w:rsidRPr="001246BE">
        <w:rPr>
          <w:szCs w:val="26"/>
        </w:rPr>
        <w:t xml:space="preserve"> </w:t>
      </w:r>
      <w:r w:rsidRPr="001246BE">
        <w:rPr>
          <w:szCs w:val="26"/>
        </w:rPr>
        <w:t>arrived at</w:t>
      </w:r>
      <w:r w:rsidRPr="001246BE">
        <w:rPr>
          <w:szCs w:val="26"/>
        </w:rPr>
        <w:t xml:space="preserve"> the </w:t>
      </w:r>
      <w:proofErr w:type="spellStart"/>
      <w:r w:rsidRPr="001246BE">
        <w:rPr>
          <w:szCs w:val="26"/>
        </w:rPr>
        <w:t>Castlegate</w:t>
      </w:r>
      <w:proofErr w:type="spellEnd"/>
      <w:r w:rsidRPr="001246BE">
        <w:rPr>
          <w:szCs w:val="26"/>
        </w:rPr>
        <w:t xml:space="preserve"> scene.  Officer Brown saw two men sitting in the front seat of a </w:t>
      </w:r>
      <w:r>
        <w:rPr>
          <w:szCs w:val="26"/>
        </w:rPr>
        <w:t>4Runner</w:t>
      </w:r>
      <w:r w:rsidRPr="001246BE">
        <w:rPr>
          <w:szCs w:val="26"/>
        </w:rPr>
        <w:t>, nonresponsive, both with gunshot wounds.  Bullet casings were strewn on the ground around the driver’s side of t</w:t>
      </w:r>
      <w:r w:rsidRPr="001246BE">
        <w:rPr>
          <w:szCs w:val="26"/>
        </w:rPr>
        <w:t xml:space="preserve">he vehicle.  Two wallets were visible in the vehicle; </w:t>
      </w:r>
      <w:proofErr w:type="spellStart"/>
      <w:r w:rsidRPr="001246BE">
        <w:rPr>
          <w:szCs w:val="26"/>
        </w:rPr>
        <w:t>Encinas’s</w:t>
      </w:r>
      <w:proofErr w:type="spellEnd"/>
      <w:r w:rsidRPr="001246BE">
        <w:rPr>
          <w:szCs w:val="26"/>
        </w:rPr>
        <w:t xml:space="preserve"> was in the center console and </w:t>
      </w:r>
      <w:proofErr w:type="spellStart"/>
      <w:r w:rsidRPr="001246BE">
        <w:rPr>
          <w:szCs w:val="26"/>
        </w:rPr>
        <w:t>Urrutia’s</w:t>
      </w:r>
      <w:proofErr w:type="spellEnd"/>
      <w:r w:rsidRPr="001246BE">
        <w:rPr>
          <w:szCs w:val="26"/>
        </w:rPr>
        <w:t xml:space="preserve"> was in the passenger seat.  There was a can of Budweiser beneath the </w:t>
      </w:r>
      <w:r>
        <w:rPr>
          <w:szCs w:val="26"/>
        </w:rPr>
        <w:t>4Runner</w:t>
      </w:r>
      <w:r w:rsidRPr="001246BE">
        <w:rPr>
          <w:szCs w:val="26"/>
        </w:rPr>
        <w:t xml:space="preserve">.  </w:t>
      </w:r>
    </w:p>
    <w:p w:rsidR="000F528E" w:rsidRPr="001246BE" w:rsidRDefault="00EF4903" w:rsidP="001B70FF">
      <w:pPr>
        <w:spacing w:line="480" w:lineRule="atLeast"/>
        <w:ind w:firstLine="720"/>
        <w:rPr>
          <w:szCs w:val="26"/>
        </w:rPr>
      </w:pPr>
      <w:r w:rsidRPr="001246BE">
        <w:rPr>
          <w:szCs w:val="26"/>
        </w:rPr>
        <w:t xml:space="preserve">Around dawn </w:t>
      </w:r>
      <w:r w:rsidRPr="001246BE">
        <w:rPr>
          <w:szCs w:val="26"/>
        </w:rPr>
        <w:t>that morning</w:t>
      </w:r>
      <w:r w:rsidRPr="001246BE">
        <w:rPr>
          <w:szCs w:val="26"/>
        </w:rPr>
        <w:t>, police knocked on Lopez’s door</w:t>
      </w:r>
      <w:r w:rsidRPr="001246BE">
        <w:rPr>
          <w:szCs w:val="26"/>
        </w:rPr>
        <w:t xml:space="preserve"> on </w:t>
      </w:r>
      <w:proofErr w:type="spellStart"/>
      <w:r w:rsidRPr="001246BE">
        <w:rPr>
          <w:szCs w:val="26"/>
        </w:rPr>
        <w:t>Castlegate</w:t>
      </w:r>
      <w:proofErr w:type="spellEnd"/>
      <w:r w:rsidRPr="001246BE">
        <w:rPr>
          <w:szCs w:val="26"/>
        </w:rPr>
        <w:t xml:space="preserve">. </w:t>
      </w:r>
      <w:r w:rsidRPr="001246BE">
        <w:rPr>
          <w:szCs w:val="26"/>
        </w:rPr>
        <w:t xml:space="preserve"> </w:t>
      </w:r>
      <w:r w:rsidRPr="001246BE">
        <w:rPr>
          <w:szCs w:val="26"/>
        </w:rPr>
        <w:t xml:space="preserve">Officers interviewed everyone at </w:t>
      </w:r>
      <w:r w:rsidRPr="001246BE">
        <w:rPr>
          <w:szCs w:val="26"/>
        </w:rPr>
        <w:t xml:space="preserve">the house.  Following Beltran and Fonseca’s interviews at the police station, they were driven back to </w:t>
      </w:r>
      <w:proofErr w:type="spellStart"/>
      <w:r w:rsidRPr="001246BE">
        <w:rPr>
          <w:szCs w:val="26"/>
        </w:rPr>
        <w:t>Castlegate</w:t>
      </w:r>
      <w:proofErr w:type="spellEnd"/>
      <w:r w:rsidRPr="001246BE">
        <w:rPr>
          <w:szCs w:val="26"/>
        </w:rPr>
        <w:t xml:space="preserve"> to be shown potential suspects to identify.  About </w:t>
      </w:r>
      <w:r w:rsidRPr="001246BE">
        <w:rPr>
          <w:szCs w:val="26"/>
        </w:rPr>
        <w:t>10</w:t>
      </w:r>
      <w:r w:rsidRPr="001246BE">
        <w:rPr>
          <w:szCs w:val="26"/>
        </w:rPr>
        <w:t xml:space="preserve"> individuals, including the partygoers at Lopez’s house</w:t>
      </w:r>
      <w:r w:rsidRPr="001246BE">
        <w:rPr>
          <w:szCs w:val="26"/>
        </w:rPr>
        <w:t>, were shown to Belt</w:t>
      </w:r>
      <w:r>
        <w:rPr>
          <w:szCs w:val="26"/>
        </w:rPr>
        <w:t>ran and Fonseca in a field line</w:t>
      </w:r>
      <w:r w:rsidRPr="001246BE">
        <w:rPr>
          <w:szCs w:val="26"/>
        </w:rPr>
        <w:t xml:space="preserve">up.  </w:t>
      </w:r>
    </w:p>
    <w:p w:rsidR="001B70FF" w:rsidRPr="001246BE" w:rsidRDefault="00EF4903" w:rsidP="001B70FF">
      <w:pPr>
        <w:spacing w:line="480" w:lineRule="atLeast"/>
        <w:ind w:firstLine="720"/>
        <w:rPr>
          <w:szCs w:val="26"/>
        </w:rPr>
      </w:pPr>
      <w:r w:rsidRPr="001246BE">
        <w:rPr>
          <w:szCs w:val="26"/>
        </w:rPr>
        <w:t>Gregorio</w:t>
      </w:r>
      <w:r w:rsidRPr="001246BE">
        <w:rPr>
          <w:szCs w:val="26"/>
        </w:rPr>
        <w:t xml:space="preserve"> </w:t>
      </w:r>
      <w:r w:rsidRPr="001246BE">
        <w:rPr>
          <w:szCs w:val="26"/>
        </w:rPr>
        <w:t xml:space="preserve">had witnessed the shootings from the backseat of the </w:t>
      </w:r>
      <w:r>
        <w:rPr>
          <w:szCs w:val="26"/>
        </w:rPr>
        <w:t>4Runner</w:t>
      </w:r>
      <w:r w:rsidRPr="001246BE">
        <w:rPr>
          <w:szCs w:val="26"/>
        </w:rPr>
        <w:t>.  He</w:t>
      </w:r>
      <w:r w:rsidRPr="001246BE">
        <w:rPr>
          <w:szCs w:val="26"/>
        </w:rPr>
        <w:t xml:space="preserve"> participated in </w:t>
      </w:r>
      <w:r w:rsidRPr="001246BE">
        <w:rPr>
          <w:szCs w:val="26"/>
        </w:rPr>
        <w:t>the</w:t>
      </w:r>
      <w:r>
        <w:rPr>
          <w:szCs w:val="26"/>
        </w:rPr>
        <w:t xml:space="preserve"> field line</w:t>
      </w:r>
      <w:r w:rsidRPr="001246BE">
        <w:rPr>
          <w:szCs w:val="26"/>
        </w:rPr>
        <w:t xml:space="preserve">up, identifying </w:t>
      </w:r>
      <w:proofErr w:type="spellStart"/>
      <w:r w:rsidRPr="001246BE">
        <w:rPr>
          <w:szCs w:val="26"/>
        </w:rPr>
        <w:t>Mora</w:t>
      </w:r>
      <w:proofErr w:type="spellEnd"/>
      <w:r w:rsidRPr="001246BE">
        <w:rPr>
          <w:szCs w:val="26"/>
        </w:rPr>
        <w:t xml:space="preserve"> and Rangel as the shooters.  </w:t>
      </w:r>
      <w:r w:rsidRPr="001246BE">
        <w:rPr>
          <w:szCs w:val="26"/>
        </w:rPr>
        <w:t>Gregorio</w:t>
      </w:r>
      <w:r w:rsidRPr="001246BE">
        <w:rPr>
          <w:szCs w:val="26"/>
        </w:rPr>
        <w:t xml:space="preserve"> had</w:t>
      </w:r>
      <w:r w:rsidRPr="001246BE">
        <w:rPr>
          <w:szCs w:val="26"/>
        </w:rPr>
        <w:t xml:space="preserve"> told the police </w:t>
      </w:r>
      <w:r w:rsidRPr="001246BE">
        <w:rPr>
          <w:szCs w:val="26"/>
        </w:rPr>
        <w:t xml:space="preserve">earlier that night </w:t>
      </w:r>
      <w:r w:rsidRPr="001246BE">
        <w:rPr>
          <w:szCs w:val="26"/>
        </w:rPr>
        <w:t xml:space="preserve">that the shooters were two Latino men.  He described the man on the passenger side, </w:t>
      </w:r>
      <w:proofErr w:type="spellStart"/>
      <w:r w:rsidRPr="001246BE">
        <w:rPr>
          <w:szCs w:val="26"/>
        </w:rPr>
        <w:t>Mora</w:t>
      </w:r>
      <w:proofErr w:type="spellEnd"/>
      <w:r w:rsidRPr="001246BE">
        <w:rPr>
          <w:szCs w:val="26"/>
        </w:rPr>
        <w:t xml:space="preserve">, as shirtless and wearing Joe Boxer brand boxer shorts and low slung, sagging pants.  Gregorio noted that </w:t>
      </w:r>
      <w:proofErr w:type="spellStart"/>
      <w:r w:rsidRPr="001246BE">
        <w:rPr>
          <w:szCs w:val="26"/>
        </w:rPr>
        <w:t>Mora</w:t>
      </w:r>
      <w:proofErr w:type="spellEnd"/>
      <w:r w:rsidRPr="001246BE">
        <w:rPr>
          <w:szCs w:val="26"/>
        </w:rPr>
        <w:t xml:space="preserve"> also had a tattoo on his stomach.  Gr</w:t>
      </w:r>
      <w:r w:rsidRPr="001246BE">
        <w:rPr>
          <w:szCs w:val="26"/>
        </w:rPr>
        <w:t xml:space="preserve">egorio recalled that the subject of the tattoo was a cross, but observed upon close inspection in the courtroom that the tattoo was in fact a handwritten name.  Gregorio also observed that </w:t>
      </w:r>
      <w:proofErr w:type="spellStart"/>
      <w:r w:rsidRPr="001246BE">
        <w:rPr>
          <w:szCs w:val="26"/>
        </w:rPr>
        <w:t>Mora</w:t>
      </w:r>
      <w:proofErr w:type="spellEnd"/>
      <w:r w:rsidRPr="001246BE">
        <w:rPr>
          <w:szCs w:val="26"/>
        </w:rPr>
        <w:t xml:space="preserve"> had a scar on his abdomen that bisected the tattoo “down like </w:t>
      </w:r>
      <w:r w:rsidRPr="001246BE">
        <w:rPr>
          <w:szCs w:val="26"/>
        </w:rPr>
        <w:t xml:space="preserve">a cross” with “the name cutting across” the scar.  Gregorio testified that he remembered </w:t>
      </w:r>
      <w:proofErr w:type="spellStart"/>
      <w:r w:rsidRPr="001246BE">
        <w:rPr>
          <w:szCs w:val="26"/>
        </w:rPr>
        <w:t>Mora’s</w:t>
      </w:r>
      <w:proofErr w:type="spellEnd"/>
      <w:r w:rsidRPr="001246BE">
        <w:rPr>
          <w:szCs w:val="26"/>
        </w:rPr>
        <w:t xml:space="preserve"> face, and acknowledged that although the tattoo he recalled and the one he observed on </w:t>
      </w:r>
      <w:proofErr w:type="spellStart"/>
      <w:r w:rsidRPr="001246BE">
        <w:rPr>
          <w:szCs w:val="26"/>
        </w:rPr>
        <w:t>Mora</w:t>
      </w:r>
      <w:proofErr w:type="spellEnd"/>
      <w:r w:rsidRPr="001246BE">
        <w:rPr>
          <w:szCs w:val="26"/>
        </w:rPr>
        <w:t xml:space="preserve"> were not identical, Gregorio knew the man on the passenger side of t</w:t>
      </w:r>
      <w:r w:rsidRPr="001246BE">
        <w:rPr>
          <w:szCs w:val="26"/>
        </w:rPr>
        <w:t xml:space="preserve">he vehicle was </w:t>
      </w:r>
      <w:proofErr w:type="spellStart"/>
      <w:r w:rsidRPr="001246BE">
        <w:rPr>
          <w:szCs w:val="26"/>
        </w:rPr>
        <w:t>Mora</w:t>
      </w:r>
      <w:proofErr w:type="spellEnd"/>
      <w:r w:rsidRPr="001246BE">
        <w:rPr>
          <w:szCs w:val="26"/>
        </w:rPr>
        <w:t>, stati</w:t>
      </w:r>
      <w:r w:rsidRPr="001246BE">
        <w:rPr>
          <w:szCs w:val="26"/>
        </w:rPr>
        <w:t>ng</w:t>
      </w:r>
      <w:r w:rsidRPr="001246BE">
        <w:rPr>
          <w:szCs w:val="26"/>
        </w:rPr>
        <w:t>,</w:t>
      </w:r>
      <w:r w:rsidRPr="001246BE">
        <w:rPr>
          <w:szCs w:val="26"/>
        </w:rPr>
        <w:t xml:space="preserve"> “It’s him, I know it’s him.  </w:t>
      </w:r>
      <w:r w:rsidRPr="001246BE">
        <w:rPr>
          <w:szCs w:val="26"/>
        </w:rPr>
        <w:t>I’m 100% sure.”</w:t>
      </w:r>
      <w:r>
        <w:rPr>
          <w:szCs w:val="26"/>
        </w:rPr>
        <w:t xml:space="preserve">  G</w:t>
      </w:r>
      <w:r w:rsidRPr="001246BE">
        <w:rPr>
          <w:szCs w:val="26"/>
        </w:rPr>
        <w:t>regorio observed that t</w:t>
      </w:r>
      <w:r w:rsidRPr="001246BE">
        <w:rPr>
          <w:szCs w:val="26"/>
        </w:rPr>
        <w:t xml:space="preserve">he man on the driver’s side of the car, Rangel, was wearing blue track pants and a blue or black shirt.  </w:t>
      </w:r>
    </w:p>
    <w:p w:rsidR="00825894" w:rsidRPr="001246BE" w:rsidRDefault="00EF4903" w:rsidP="00825894">
      <w:pPr>
        <w:spacing w:line="480" w:lineRule="atLeast"/>
        <w:ind w:firstLine="720"/>
        <w:rPr>
          <w:szCs w:val="26"/>
        </w:rPr>
      </w:pPr>
      <w:r w:rsidRPr="001246BE">
        <w:rPr>
          <w:szCs w:val="26"/>
        </w:rPr>
        <w:t xml:space="preserve">Compton Police </w:t>
      </w:r>
      <w:r w:rsidRPr="001246BE">
        <w:rPr>
          <w:szCs w:val="26"/>
        </w:rPr>
        <w:t>Officer</w:t>
      </w:r>
      <w:r w:rsidRPr="001246BE">
        <w:rPr>
          <w:szCs w:val="26"/>
        </w:rPr>
        <w:t>s</w:t>
      </w:r>
      <w:r w:rsidRPr="001246BE">
        <w:rPr>
          <w:szCs w:val="26"/>
        </w:rPr>
        <w:t xml:space="preserve"> </w:t>
      </w:r>
      <w:r w:rsidRPr="001246BE">
        <w:rPr>
          <w:szCs w:val="26"/>
        </w:rPr>
        <w:t xml:space="preserve">Eric </w:t>
      </w:r>
      <w:r w:rsidRPr="001246BE">
        <w:rPr>
          <w:szCs w:val="26"/>
        </w:rPr>
        <w:t xml:space="preserve">Strong </w:t>
      </w:r>
      <w:r w:rsidRPr="001246BE">
        <w:rPr>
          <w:szCs w:val="26"/>
        </w:rPr>
        <w:t xml:space="preserve">and </w:t>
      </w:r>
      <w:proofErr w:type="spellStart"/>
      <w:r w:rsidRPr="001246BE">
        <w:rPr>
          <w:szCs w:val="26"/>
        </w:rPr>
        <w:t>Lepe</w:t>
      </w:r>
      <w:proofErr w:type="spellEnd"/>
      <w:r w:rsidRPr="001246BE">
        <w:rPr>
          <w:szCs w:val="26"/>
        </w:rPr>
        <w:t xml:space="preserve"> </w:t>
      </w:r>
      <w:r w:rsidRPr="001246BE">
        <w:rPr>
          <w:szCs w:val="26"/>
        </w:rPr>
        <w:t>spoke</w:t>
      </w:r>
      <w:r w:rsidRPr="001246BE">
        <w:rPr>
          <w:szCs w:val="26"/>
        </w:rPr>
        <w:t xml:space="preserve"> with witnesses on </w:t>
      </w:r>
      <w:proofErr w:type="spellStart"/>
      <w:r w:rsidRPr="001246BE">
        <w:rPr>
          <w:szCs w:val="26"/>
        </w:rPr>
        <w:t>Castlegate</w:t>
      </w:r>
      <w:proofErr w:type="spellEnd"/>
      <w:r w:rsidRPr="001246BE">
        <w:rPr>
          <w:szCs w:val="26"/>
        </w:rPr>
        <w:t xml:space="preserve"> Avenue</w:t>
      </w:r>
      <w:r w:rsidRPr="001246BE">
        <w:rPr>
          <w:szCs w:val="26"/>
        </w:rPr>
        <w:t xml:space="preserve">.  </w:t>
      </w:r>
      <w:r w:rsidRPr="001246BE">
        <w:rPr>
          <w:szCs w:val="26"/>
        </w:rPr>
        <w:t>John Youngblood</w:t>
      </w:r>
      <w:r w:rsidRPr="001246BE">
        <w:rPr>
          <w:szCs w:val="26"/>
        </w:rPr>
        <w:t>, who lived on</w:t>
      </w:r>
      <w:r w:rsidRPr="001246BE">
        <w:rPr>
          <w:szCs w:val="26"/>
        </w:rPr>
        <w:t xml:space="preserve"> </w:t>
      </w:r>
      <w:proofErr w:type="spellStart"/>
      <w:r w:rsidRPr="001246BE">
        <w:rPr>
          <w:szCs w:val="26"/>
        </w:rPr>
        <w:t>Castlegate</w:t>
      </w:r>
      <w:proofErr w:type="spellEnd"/>
      <w:r w:rsidRPr="001246BE">
        <w:rPr>
          <w:szCs w:val="26"/>
        </w:rPr>
        <w:t xml:space="preserve"> near </w:t>
      </w:r>
      <w:r w:rsidRPr="001246BE">
        <w:rPr>
          <w:szCs w:val="26"/>
        </w:rPr>
        <w:t xml:space="preserve">the location where </w:t>
      </w:r>
      <w:r w:rsidRPr="001246BE">
        <w:rPr>
          <w:szCs w:val="26"/>
        </w:rPr>
        <w:t xml:space="preserve">the </w:t>
      </w:r>
      <w:r>
        <w:rPr>
          <w:szCs w:val="26"/>
        </w:rPr>
        <w:t>4Runner</w:t>
      </w:r>
      <w:r w:rsidRPr="001246BE">
        <w:rPr>
          <w:szCs w:val="26"/>
        </w:rPr>
        <w:t xml:space="preserve"> had been parked</w:t>
      </w:r>
      <w:r w:rsidRPr="001246BE">
        <w:rPr>
          <w:szCs w:val="26"/>
        </w:rPr>
        <w:t>, was watching television in the early morning hours of August 24, 1997.  He heard two gunshots, looked out his window, and o</w:t>
      </w:r>
      <w:r w:rsidRPr="001246BE">
        <w:rPr>
          <w:szCs w:val="26"/>
        </w:rPr>
        <w:t xml:space="preserve">bserved two men standing by a </w:t>
      </w:r>
      <w:r>
        <w:rPr>
          <w:szCs w:val="26"/>
        </w:rPr>
        <w:t>4Runner</w:t>
      </w:r>
      <w:r w:rsidRPr="001246BE">
        <w:rPr>
          <w:szCs w:val="26"/>
        </w:rPr>
        <w:t>.  There were a number of streetlights that illuminated the area.  Youngblood described the lighting as “just like day.”  Youngblood observed Rangel, wearing a white t-sh</w:t>
      </w:r>
      <w:r w:rsidRPr="001246BE">
        <w:rPr>
          <w:szCs w:val="26"/>
        </w:rPr>
        <w:t>i</w:t>
      </w:r>
      <w:r w:rsidRPr="001246BE">
        <w:rPr>
          <w:szCs w:val="26"/>
        </w:rPr>
        <w:t xml:space="preserve">rt and normal length grey khaki pants, standing </w:t>
      </w:r>
      <w:r w:rsidRPr="001246BE">
        <w:rPr>
          <w:szCs w:val="26"/>
        </w:rPr>
        <w:t xml:space="preserve">just outside the driver’s side door of the </w:t>
      </w:r>
      <w:r>
        <w:rPr>
          <w:szCs w:val="26"/>
        </w:rPr>
        <w:t>4Runner</w:t>
      </w:r>
      <w:r w:rsidRPr="001246BE">
        <w:rPr>
          <w:szCs w:val="26"/>
        </w:rPr>
        <w:t>, and noted that the man by the passenger-side door wore dark clothing and had short hair.  After hearing several more shots being fired, Youngblood saw two men, one of whom was Rangel</w:t>
      </w:r>
      <w:r>
        <w:rPr>
          <w:szCs w:val="26"/>
        </w:rPr>
        <w:t>,</w:t>
      </w:r>
      <w:r>
        <w:rPr>
          <w:rStyle w:val="FootnoteReference"/>
          <w:szCs w:val="26"/>
        </w:rPr>
        <w:footnoteReference w:id="4"/>
      </w:r>
      <w:r w:rsidRPr="001246BE">
        <w:rPr>
          <w:szCs w:val="26"/>
        </w:rPr>
        <w:t xml:space="preserve"> running away from t</w:t>
      </w:r>
      <w:r w:rsidRPr="001246BE">
        <w:rPr>
          <w:szCs w:val="26"/>
        </w:rPr>
        <w:t xml:space="preserve">he </w:t>
      </w:r>
      <w:r>
        <w:rPr>
          <w:szCs w:val="26"/>
        </w:rPr>
        <w:t>4Runner</w:t>
      </w:r>
      <w:r w:rsidRPr="001246BE">
        <w:rPr>
          <w:szCs w:val="26"/>
        </w:rPr>
        <w:t xml:space="preserve">.  </w:t>
      </w:r>
    </w:p>
    <w:p w:rsidR="00825894" w:rsidRPr="001246BE" w:rsidRDefault="00EF4903" w:rsidP="001B70FF">
      <w:pPr>
        <w:spacing w:line="480" w:lineRule="atLeast"/>
        <w:ind w:firstLine="720"/>
        <w:rPr>
          <w:szCs w:val="26"/>
        </w:rPr>
      </w:pPr>
      <w:r w:rsidRPr="001246BE">
        <w:rPr>
          <w:szCs w:val="26"/>
        </w:rPr>
        <w:t xml:space="preserve">Another witness, Sheila Creswell, who lived across the street from Lopez and was unable to sleep because of the noise of the </w:t>
      </w:r>
      <w:r w:rsidRPr="001246BE">
        <w:rPr>
          <w:szCs w:val="26"/>
        </w:rPr>
        <w:t>gather</w:t>
      </w:r>
      <w:r w:rsidRPr="001246BE">
        <w:rPr>
          <w:szCs w:val="26"/>
        </w:rPr>
        <w:t>ing</w:t>
      </w:r>
      <w:r w:rsidRPr="001246BE">
        <w:rPr>
          <w:szCs w:val="26"/>
        </w:rPr>
        <w:t xml:space="preserve"> there, noticed that Rangel was among the partygoers.  Creswell heard gunshots, ran to her window, and obser</w:t>
      </w:r>
      <w:r w:rsidRPr="001246BE">
        <w:rPr>
          <w:szCs w:val="26"/>
        </w:rPr>
        <w:t>ved two men with shaved heads running from a truck parked down the street from her house.  Creswell identified Rangel as one of the men she saw running; she also identified one of the residents of Lopez’s home, Jade Gallegos, as the other man.  She saw bot</w:t>
      </w:r>
      <w:r w:rsidRPr="001246BE">
        <w:rPr>
          <w:szCs w:val="26"/>
        </w:rPr>
        <w:t xml:space="preserve">h men enter Lopez’s home, and shortly thereafter observed all the lights in Lopez’s home turn off.  </w:t>
      </w:r>
    </w:p>
    <w:p w:rsidR="001B70FF" w:rsidRPr="001246BE" w:rsidRDefault="00EF4903" w:rsidP="001B70FF">
      <w:pPr>
        <w:spacing w:line="480" w:lineRule="atLeast"/>
        <w:ind w:firstLine="720"/>
        <w:rPr>
          <w:szCs w:val="26"/>
        </w:rPr>
      </w:pPr>
      <w:r w:rsidRPr="001246BE">
        <w:rPr>
          <w:szCs w:val="26"/>
        </w:rPr>
        <w:t>When Lopez’s door was first opened in response to their knock,</w:t>
      </w:r>
      <w:r w:rsidRPr="001246BE">
        <w:rPr>
          <w:szCs w:val="26"/>
        </w:rPr>
        <w:t xml:space="preserve"> Officers Strong and </w:t>
      </w:r>
      <w:proofErr w:type="spellStart"/>
      <w:r w:rsidRPr="001246BE">
        <w:rPr>
          <w:szCs w:val="26"/>
        </w:rPr>
        <w:t>Lepe</w:t>
      </w:r>
      <w:proofErr w:type="spellEnd"/>
      <w:r w:rsidRPr="001246BE">
        <w:rPr>
          <w:szCs w:val="26"/>
        </w:rPr>
        <w:t xml:space="preserve"> noticed several people in the living room and numerous cans of Budw</w:t>
      </w:r>
      <w:r w:rsidRPr="001246BE">
        <w:rPr>
          <w:szCs w:val="26"/>
        </w:rPr>
        <w:t xml:space="preserve">eiser of the same </w:t>
      </w:r>
      <w:r w:rsidRPr="001246BE">
        <w:rPr>
          <w:szCs w:val="26"/>
        </w:rPr>
        <w:t>type as the one</w:t>
      </w:r>
      <w:r w:rsidRPr="001246BE">
        <w:rPr>
          <w:szCs w:val="26"/>
        </w:rPr>
        <w:t xml:space="preserve"> found beneath the </w:t>
      </w:r>
      <w:r>
        <w:rPr>
          <w:szCs w:val="26"/>
        </w:rPr>
        <w:t>4Runner</w:t>
      </w:r>
      <w:r w:rsidRPr="001246BE">
        <w:rPr>
          <w:szCs w:val="26"/>
        </w:rPr>
        <w:t xml:space="preserve"> strewn about.  Officers </w:t>
      </w:r>
      <w:proofErr w:type="spellStart"/>
      <w:r w:rsidRPr="001246BE">
        <w:rPr>
          <w:szCs w:val="26"/>
        </w:rPr>
        <w:t>Lepe</w:t>
      </w:r>
      <w:proofErr w:type="spellEnd"/>
      <w:r w:rsidRPr="001246BE">
        <w:rPr>
          <w:szCs w:val="26"/>
        </w:rPr>
        <w:t xml:space="preserve"> and Strong examined Lopez’s home with her consent, finding an </w:t>
      </w:r>
      <w:proofErr w:type="spellStart"/>
      <w:r w:rsidRPr="001246BE">
        <w:rPr>
          <w:szCs w:val="26"/>
        </w:rPr>
        <w:t>Intratec</w:t>
      </w:r>
      <w:proofErr w:type="spellEnd"/>
      <w:r w:rsidRPr="001246BE">
        <w:rPr>
          <w:szCs w:val="26"/>
        </w:rPr>
        <w:t xml:space="preserve"> gun case and a black shirt.  </w:t>
      </w:r>
      <w:r w:rsidRPr="001246BE">
        <w:rPr>
          <w:szCs w:val="26"/>
        </w:rPr>
        <w:t>Officer</w:t>
      </w:r>
      <w:r w:rsidRPr="001246BE">
        <w:rPr>
          <w:szCs w:val="26"/>
        </w:rPr>
        <w:t xml:space="preserve"> Strong</w:t>
      </w:r>
      <w:r w:rsidRPr="001246BE">
        <w:rPr>
          <w:szCs w:val="26"/>
        </w:rPr>
        <w:t>, along with Officer</w:t>
      </w:r>
      <w:r w:rsidRPr="001246BE">
        <w:rPr>
          <w:szCs w:val="26"/>
        </w:rPr>
        <w:t xml:space="preserve"> Brown</w:t>
      </w:r>
      <w:r w:rsidRPr="001246BE">
        <w:rPr>
          <w:szCs w:val="26"/>
        </w:rPr>
        <w:t>,</w:t>
      </w:r>
      <w:r w:rsidRPr="001246BE">
        <w:rPr>
          <w:szCs w:val="26"/>
        </w:rPr>
        <w:t xml:space="preserve"> walked around the house to Lopez’s detached garage, which Lopez provided consent to search.  Partially inside the garage, with the garage door resting atop</w:t>
      </w:r>
      <w:r w:rsidRPr="001246BE">
        <w:rPr>
          <w:szCs w:val="26"/>
        </w:rPr>
        <w:t xml:space="preserve"> it,</w:t>
      </w:r>
      <w:r w:rsidRPr="001246BE">
        <w:rPr>
          <w:szCs w:val="26"/>
        </w:rPr>
        <w:t xml:space="preserve"> officers found a burgundy Oldsmobile wit</w:t>
      </w:r>
      <w:r w:rsidRPr="001246BE">
        <w:rPr>
          <w:szCs w:val="26"/>
        </w:rPr>
        <w:t>h two firearms on the passenger-</w:t>
      </w:r>
      <w:r w:rsidRPr="001246BE">
        <w:rPr>
          <w:szCs w:val="26"/>
        </w:rPr>
        <w:t xml:space="preserve">side floorboard.  </w:t>
      </w:r>
      <w:proofErr w:type="spellStart"/>
      <w:r w:rsidRPr="001246BE">
        <w:rPr>
          <w:szCs w:val="26"/>
        </w:rPr>
        <w:t>Mora</w:t>
      </w:r>
      <w:proofErr w:type="spellEnd"/>
      <w:r w:rsidRPr="001246BE">
        <w:rPr>
          <w:szCs w:val="26"/>
        </w:rPr>
        <w:t xml:space="preserve"> </w:t>
      </w:r>
      <w:r w:rsidRPr="001246BE">
        <w:rPr>
          <w:szCs w:val="26"/>
        </w:rPr>
        <w:t xml:space="preserve">denied at the scene that the vehicle was his, but Valadez confirmed that he saw </w:t>
      </w:r>
      <w:proofErr w:type="spellStart"/>
      <w:r w:rsidRPr="001246BE">
        <w:rPr>
          <w:szCs w:val="26"/>
        </w:rPr>
        <w:t>Mora</w:t>
      </w:r>
      <w:proofErr w:type="spellEnd"/>
      <w:r w:rsidRPr="001246BE">
        <w:rPr>
          <w:szCs w:val="26"/>
        </w:rPr>
        <w:t xml:space="preserve"> drive the car</w:t>
      </w:r>
      <w:r w:rsidRPr="001246BE">
        <w:rPr>
          <w:szCs w:val="26"/>
        </w:rPr>
        <w:t xml:space="preserve">.  Additionally, </w:t>
      </w:r>
      <w:r w:rsidRPr="001246BE">
        <w:rPr>
          <w:szCs w:val="26"/>
        </w:rPr>
        <w:t xml:space="preserve">Lopez described the car as </w:t>
      </w:r>
      <w:proofErr w:type="spellStart"/>
      <w:r w:rsidRPr="001246BE">
        <w:rPr>
          <w:szCs w:val="26"/>
        </w:rPr>
        <w:t>Mora’s</w:t>
      </w:r>
      <w:proofErr w:type="spellEnd"/>
      <w:r w:rsidRPr="001246BE">
        <w:rPr>
          <w:szCs w:val="26"/>
        </w:rPr>
        <w:t xml:space="preserve">, and </w:t>
      </w:r>
      <w:proofErr w:type="spellStart"/>
      <w:r w:rsidRPr="001246BE">
        <w:rPr>
          <w:szCs w:val="26"/>
        </w:rPr>
        <w:t>Mora’s</w:t>
      </w:r>
      <w:proofErr w:type="spellEnd"/>
      <w:r w:rsidRPr="001246BE">
        <w:rPr>
          <w:szCs w:val="26"/>
        </w:rPr>
        <w:t xml:space="preserve"> cousin, Candy Lopez, confirmed</w:t>
      </w:r>
      <w:r w:rsidRPr="001246BE">
        <w:rPr>
          <w:szCs w:val="26"/>
        </w:rPr>
        <w:t xml:space="preserve"> at trial that although the car’s bill of sale was </w:t>
      </w:r>
      <w:r w:rsidRPr="001246BE">
        <w:rPr>
          <w:szCs w:val="26"/>
        </w:rPr>
        <w:t>in her name th</w:t>
      </w:r>
      <w:r w:rsidRPr="001246BE">
        <w:rPr>
          <w:szCs w:val="26"/>
        </w:rPr>
        <w:t>e car</w:t>
      </w:r>
      <w:r w:rsidRPr="001246BE">
        <w:rPr>
          <w:szCs w:val="26"/>
        </w:rPr>
        <w:t xml:space="preserve"> actually belonged to </w:t>
      </w:r>
      <w:proofErr w:type="spellStart"/>
      <w:r w:rsidRPr="001246BE">
        <w:rPr>
          <w:szCs w:val="26"/>
        </w:rPr>
        <w:t>Mora</w:t>
      </w:r>
      <w:proofErr w:type="spellEnd"/>
      <w:r w:rsidRPr="001246BE">
        <w:rPr>
          <w:szCs w:val="26"/>
        </w:rPr>
        <w:t>.</w:t>
      </w:r>
      <w:r>
        <w:rPr>
          <w:rStyle w:val="FootnoteReference"/>
          <w:szCs w:val="26"/>
        </w:rPr>
        <w:footnoteReference w:id="5"/>
      </w:r>
      <w:r w:rsidRPr="001246BE">
        <w:rPr>
          <w:szCs w:val="26"/>
        </w:rPr>
        <w:t xml:space="preserve">  </w:t>
      </w:r>
      <w:r>
        <w:rPr>
          <w:szCs w:val="26"/>
        </w:rPr>
        <w:t>Police found</w:t>
      </w:r>
      <w:r w:rsidRPr="001246BE">
        <w:rPr>
          <w:szCs w:val="26"/>
        </w:rPr>
        <w:t xml:space="preserve"> a loaded TEC-9 nine-millimeter semiautomatic assault rifle with the word “</w:t>
      </w:r>
      <w:proofErr w:type="spellStart"/>
      <w:r w:rsidRPr="001246BE">
        <w:rPr>
          <w:szCs w:val="26"/>
        </w:rPr>
        <w:t>Intratec</w:t>
      </w:r>
      <w:proofErr w:type="spellEnd"/>
      <w:r w:rsidRPr="001246BE">
        <w:rPr>
          <w:szCs w:val="26"/>
        </w:rPr>
        <w:t>” written on it and an Astra chrome-plated semiautomatic pistol with a bullet jammed at the breech</w:t>
      </w:r>
      <w:r>
        <w:rPr>
          <w:szCs w:val="26"/>
        </w:rPr>
        <w:t xml:space="preserve"> </w:t>
      </w:r>
      <w:r w:rsidRPr="001246BE">
        <w:rPr>
          <w:szCs w:val="26"/>
        </w:rPr>
        <w:t xml:space="preserve">in </w:t>
      </w:r>
      <w:proofErr w:type="spellStart"/>
      <w:r w:rsidRPr="001246BE">
        <w:rPr>
          <w:szCs w:val="26"/>
        </w:rPr>
        <w:t>Mora’s</w:t>
      </w:r>
      <w:proofErr w:type="spellEnd"/>
      <w:r w:rsidRPr="001246BE">
        <w:rPr>
          <w:szCs w:val="26"/>
        </w:rPr>
        <w:t xml:space="preserve"> vehicle</w:t>
      </w:r>
      <w:r>
        <w:rPr>
          <w:szCs w:val="26"/>
        </w:rPr>
        <w:t>.</w:t>
      </w:r>
      <w:r w:rsidRPr="001246BE">
        <w:rPr>
          <w:szCs w:val="26"/>
        </w:rPr>
        <w:t xml:space="preserve">  </w:t>
      </w:r>
    </w:p>
    <w:p w:rsidR="00F31AC3" w:rsidRPr="00F31AC3" w:rsidRDefault="00EF4903" w:rsidP="006A127D">
      <w:pPr>
        <w:spacing w:line="480" w:lineRule="atLeast"/>
        <w:ind w:firstLine="720"/>
      </w:pPr>
      <w:r w:rsidRPr="001246BE">
        <w:rPr>
          <w:szCs w:val="26"/>
        </w:rPr>
        <w:t>Los An</w:t>
      </w:r>
      <w:r w:rsidRPr="001246BE">
        <w:rPr>
          <w:szCs w:val="26"/>
        </w:rPr>
        <w:t xml:space="preserve">geles County Sheriff </w:t>
      </w:r>
      <w:r w:rsidRPr="001246BE">
        <w:rPr>
          <w:szCs w:val="26"/>
        </w:rPr>
        <w:t xml:space="preserve">Criminalist Dale Higashi examined the </w:t>
      </w:r>
      <w:proofErr w:type="spellStart"/>
      <w:r w:rsidRPr="001246BE">
        <w:rPr>
          <w:szCs w:val="26"/>
        </w:rPr>
        <w:t>Intratec</w:t>
      </w:r>
      <w:proofErr w:type="spellEnd"/>
      <w:r w:rsidRPr="001246BE">
        <w:rPr>
          <w:szCs w:val="26"/>
        </w:rPr>
        <w:t xml:space="preserve"> and Astra firearms, noting that the Astra was jammed due to a feeding problem.  After comparing casings recovered from the crime scene with those produced during ballistics testing, Office</w:t>
      </w:r>
      <w:r w:rsidRPr="001246BE">
        <w:rPr>
          <w:szCs w:val="26"/>
        </w:rPr>
        <w:t xml:space="preserve">r Higashi concluded that three casings were fired from the Astra and an expended cartridge case originated from the </w:t>
      </w:r>
      <w:proofErr w:type="spellStart"/>
      <w:r w:rsidRPr="001246BE">
        <w:rPr>
          <w:szCs w:val="26"/>
        </w:rPr>
        <w:t>Intratec</w:t>
      </w:r>
      <w:proofErr w:type="spellEnd"/>
      <w:r w:rsidRPr="001246BE">
        <w:rPr>
          <w:szCs w:val="26"/>
        </w:rPr>
        <w:t xml:space="preserve">.  The bullet recovered from </w:t>
      </w:r>
      <w:proofErr w:type="spellStart"/>
      <w:r w:rsidRPr="001246BE">
        <w:rPr>
          <w:szCs w:val="26"/>
        </w:rPr>
        <w:t>Encinas’s</w:t>
      </w:r>
      <w:proofErr w:type="spellEnd"/>
      <w:r w:rsidRPr="001246BE">
        <w:rPr>
          <w:szCs w:val="26"/>
        </w:rPr>
        <w:t xml:space="preserve"> body was shot from the Astra and the bullet recovered from </w:t>
      </w:r>
      <w:proofErr w:type="spellStart"/>
      <w:r w:rsidRPr="001246BE">
        <w:rPr>
          <w:szCs w:val="26"/>
        </w:rPr>
        <w:t>Urrutia’s</w:t>
      </w:r>
      <w:proofErr w:type="spellEnd"/>
      <w:r w:rsidRPr="001246BE">
        <w:rPr>
          <w:szCs w:val="26"/>
        </w:rPr>
        <w:t xml:space="preserve"> body was shot from the </w:t>
      </w:r>
      <w:proofErr w:type="spellStart"/>
      <w:r w:rsidRPr="001246BE">
        <w:rPr>
          <w:szCs w:val="26"/>
        </w:rPr>
        <w:t>I</w:t>
      </w:r>
      <w:r w:rsidRPr="001246BE">
        <w:rPr>
          <w:szCs w:val="26"/>
        </w:rPr>
        <w:t>ntratec</w:t>
      </w:r>
      <w:proofErr w:type="spellEnd"/>
      <w:r w:rsidRPr="001246BE">
        <w:rPr>
          <w:szCs w:val="26"/>
        </w:rPr>
        <w:t xml:space="preserve">.  </w:t>
      </w:r>
    </w:p>
    <w:p w:rsidR="00F31AC3" w:rsidRPr="001246BE" w:rsidRDefault="00EF4903" w:rsidP="00F31AC3">
      <w:pPr>
        <w:pStyle w:val="Heading3"/>
        <w:ind w:left="1440"/>
        <w:rPr>
          <w:rFonts w:ascii="Times New Roman" w:hAnsi="Times New Roman"/>
        </w:rPr>
      </w:pPr>
      <w:bookmarkStart w:id="8" w:name="_Toc511210380"/>
      <w:r w:rsidRPr="001246BE">
        <w:rPr>
          <w:rFonts w:ascii="Times New Roman" w:hAnsi="Times New Roman"/>
        </w:rPr>
        <w:t>4.</w:t>
      </w:r>
      <w:r w:rsidRPr="001246BE">
        <w:rPr>
          <w:rFonts w:ascii="Times New Roman" w:hAnsi="Times New Roman"/>
        </w:rPr>
        <w:tab/>
        <w:t>Defense Evidence</w:t>
      </w:r>
      <w:bookmarkEnd w:id="8"/>
    </w:p>
    <w:p w:rsidR="00DB1725" w:rsidRPr="001246BE" w:rsidRDefault="00EF4903" w:rsidP="00DB1725">
      <w:pPr>
        <w:spacing w:line="480" w:lineRule="atLeast"/>
        <w:ind w:firstLine="720"/>
        <w:rPr>
          <w:szCs w:val="26"/>
        </w:rPr>
      </w:pPr>
      <w:r w:rsidRPr="001246BE">
        <w:rPr>
          <w:szCs w:val="26"/>
        </w:rPr>
        <w:t xml:space="preserve">The defense presented evidence that witnesses inconsistently described </w:t>
      </w:r>
      <w:r w:rsidRPr="001246BE">
        <w:rPr>
          <w:szCs w:val="26"/>
        </w:rPr>
        <w:t>the shooters’</w:t>
      </w:r>
      <w:r w:rsidRPr="001246BE">
        <w:rPr>
          <w:szCs w:val="26"/>
        </w:rPr>
        <w:t xml:space="preserve"> clothing.  For example, in Beltran’s initial statement to Officer Gonzalo </w:t>
      </w:r>
      <w:proofErr w:type="spellStart"/>
      <w:r w:rsidRPr="001246BE">
        <w:rPr>
          <w:szCs w:val="26"/>
        </w:rPr>
        <w:t>Cetina</w:t>
      </w:r>
      <w:proofErr w:type="spellEnd"/>
      <w:r w:rsidRPr="001246BE">
        <w:rPr>
          <w:szCs w:val="26"/>
        </w:rPr>
        <w:t>, she identified one of the shooters as wearing no shirt wit</w:t>
      </w:r>
      <w:r w:rsidRPr="001246BE">
        <w:rPr>
          <w:szCs w:val="26"/>
        </w:rPr>
        <w:t>h grey pants, and the other as wearing al</w:t>
      </w:r>
      <w:r w:rsidRPr="001246BE">
        <w:rPr>
          <w:szCs w:val="26"/>
        </w:rPr>
        <w:t xml:space="preserve">l brown clothing.  </w:t>
      </w:r>
      <w:r w:rsidRPr="001246BE">
        <w:rPr>
          <w:szCs w:val="26"/>
        </w:rPr>
        <w:t xml:space="preserve">As described above, </w:t>
      </w:r>
      <w:proofErr w:type="spellStart"/>
      <w:r w:rsidRPr="001246BE">
        <w:rPr>
          <w:szCs w:val="26"/>
        </w:rPr>
        <w:t>Castlegate</w:t>
      </w:r>
      <w:proofErr w:type="spellEnd"/>
      <w:r w:rsidRPr="001246BE">
        <w:rPr>
          <w:szCs w:val="26"/>
        </w:rPr>
        <w:t xml:space="preserve"> resident Youngblood described Rangel</w:t>
      </w:r>
      <w:r w:rsidRPr="001246BE">
        <w:rPr>
          <w:szCs w:val="26"/>
        </w:rPr>
        <w:t xml:space="preserve"> as wearing a white t-shirt and khaki pants, while the other shooter wore all dark clothing.  Gregorio noted that </w:t>
      </w:r>
      <w:proofErr w:type="spellStart"/>
      <w:r w:rsidRPr="001246BE">
        <w:rPr>
          <w:szCs w:val="26"/>
        </w:rPr>
        <w:t>Mora</w:t>
      </w:r>
      <w:proofErr w:type="spellEnd"/>
      <w:r w:rsidRPr="001246BE">
        <w:rPr>
          <w:szCs w:val="26"/>
        </w:rPr>
        <w:t xml:space="preserve"> was shirtless</w:t>
      </w:r>
      <w:r w:rsidRPr="001246BE">
        <w:rPr>
          <w:szCs w:val="26"/>
        </w:rPr>
        <w:t>, had a tattoo on his abdomen,</w:t>
      </w:r>
      <w:r w:rsidRPr="001246BE">
        <w:rPr>
          <w:szCs w:val="26"/>
        </w:rPr>
        <w:t xml:space="preserve"> and </w:t>
      </w:r>
      <w:r w:rsidRPr="001246BE">
        <w:rPr>
          <w:szCs w:val="26"/>
        </w:rPr>
        <w:t>wore</w:t>
      </w:r>
      <w:r w:rsidRPr="001246BE">
        <w:rPr>
          <w:szCs w:val="26"/>
        </w:rPr>
        <w:t xml:space="preserve"> Joe Boxer brand underwear </w:t>
      </w:r>
      <w:r w:rsidRPr="001246BE">
        <w:rPr>
          <w:szCs w:val="26"/>
        </w:rPr>
        <w:t>with</w:t>
      </w:r>
      <w:r w:rsidRPr="001246BE">
        <w:rPr>
          <w:szCs w:val="26"/>
        </w:rPr>
        <w:t xml:space="preserve"> sagging pants.  Gregorio testified that Rangel wore b</w:t>
      </w:r>
      <w:r w:rsidRPr="001246BE">
        <w:rPr>
          <w:szCs w:val="26"/>
        </w:rPr>
        <w:t xml:space="preserve">lue track pants and a blue or black shirt.  </w:t>
      </w:r>
      <w:r w:rsidRPr="001246BE">
        <w:rPr>
          <w:szCs w:val="26"/>
        </w:rPr>
        <w:t xml:space="preserve">At the field </w:t>
      </w:r>
      <w:r>
        <w:rPr>
          <w:szCs w:val="26"/>
        </w:rPr>
        <w:t>lineup</w:t>
      </w:r>
      <w:r w:rsidRPr="001246BE">
        <w:rPr>
          <w:szCs w:val="26"/>
        </w:rPr>
        <w:t>, Gregorio was only able to identify</w:t>
      </w:r>
      <w:r w:rsidRPr="001246BE">
        <w:rPr>
          <w:szCs w:val="26"/>
        </w:rPr>
        <w:t xml:space="preserve"> </w:t>
      </w:r>
      <w:proofErr w:type="spellStart"/>
      <w:r w:rsidRPr="001246BE">
        <w:rPr>
          <w:szCs w:val="26"/>
        </w:rPr>
        <w:t>Mora</w:t>
      </w:r>
      <w:proofErr w:type="spellEnd"/>
      <w:r w:rsidRPr="001246BE">
        <w:rPr>
          <w:szCs w:val="26"/>
        </w:rPr>
        <w:t xml:space="preserve">, describing him as the shirtless man that stood on the passenger side of the </w:t>
      </w:r>
      <w:r>
        <w:rPr>
          <w:szCs w:val="26"/>
        </w:rPr>
        <w:t>4Runner</w:t>
      </w:r>
      <w:r w:rsidRPr="001246BE">
        <w:rPr>
          <w:szCs w:val="26"/>
        </w:rPr>
        <w:t>.</w:t>
      </w:r>
      <w:r>
        <w:rPr>
          <w:rStyle w:val="FootnoteReference"/>
          <w:szCs w:val="26"/>
        </w:rPr>
        <w:footnoteReference w:id="6"/>
      </w:r>
      <w:r w:rsidRPr="001246BE">
        <w:rPr>
          <w:szCs w:val="26"/>
        </w:rPr>
        <w:t xml:space="preserve">  </w:t>
      </w:r>
      <w:r w:rsidRPr="001246BE">
        <w:rPr>
          <w:szCs w:val="26"/>
        </w:rPr>
        <w:t xml:space="preserve">Officer Timothy Dobbin, </w:t>
      </w:r>
      <w:r w:rsidRPr="001246BE">
        <w:rPr>
          <w:szCs w:val="26"/>
        </w:rPr>
        <w:t>who took Fonseca’s statement, wrote dow</w:t>
      </w:r>
      <w:r w:rsidRPr="001246BE">
        <w:rPr>
          <w:szCs w:val="26"/>
        </w:rPr>
        <w:t xml:space="preserve">n that she identified </w:t>
      </w:r>
      <w:proofErr w:type="spellStart"/>
      <w:r w:rsidRPr="001246BE">
        <w:rPr>
          <w:szCs w:val="26"/>
        </w:rPr>
        <w:t>Mora</w:t>
      </w:r>
      <w:proofErr w:type="spellEnd"/>
      <w:r w:rsidRPr="001246BE">
        <w:rPr>
          <w:szCs w:val="26"/>
        </w:rPr>
        <w:t xml:space="preserve"> as the man on the </w:t>
      </w:r>
      <w:r w:rsidRPr="001246BE">
        <w:rPr>
          <w:i/>
          <w:szCs w:val="26"/>
        </w:rPr>
        <w:t>driver’s</w:t>
      </w:r>
      <w:r w:rsidRPr="001246BE">
        <w:rPr>
          <w:szCs w:val="26"/>
        </w:rPr>
        <w:t xml:space="preserve"> side of the vehicle who had asked </w:t>
      </w:r>
      <w:proofErr w:type="spellStart"/>
      <w:r w:rsidRPr="001246BE">
        <w:rPr>
          <w:szCs w:val="26"/>
        </w:rPr>
        <w:t>Encinas</w:t>
      </w:r>
      <w:proofErr w:type="spellEnd"/>
      <w:r w:rsidRPr="001246BE">
        <w:rPr>
          <w:szCs w:val="26"/>
        </w:rPr>
        <w:t xml:space="preserve"> if he wanted to go to sleep, although Officer Dobbin testified that he may have reversed </w:t>
      </w:r>
      <w:proofErr w:type="spellStart"/>
      <w:r w:rsidRPr="001246BE">
        <w:rPr>
          <w:szCs w:val="26"/>
        </w:rPr>
        <w:t>Mora</w:t>
      </w:r>
      <w:proofErr w:type="spellEnd"/>
      <w:r w:rsidRPr="001246BE">
        <w:rPr>
          <w:szCs w:val="26"/>
        </w:rPr>
        <w:t xml:space="preserve"> and Rangel’s</w:t>
      </w:r>
      <w:r w:rsidRPr="001246BE">
        <w:rPr>
          <w:szCs w:val="26"/>
        </w:rPr>
        <w:t xml:space="preserve"> identities.  </w:t>
      </w:r>
    </w:p>
    <w:p w:rsidR="00DB1725" w:rsidRPr="001246BE" w:rsidRDefault="00EF4903" w:rsidP="00DB1725">
      <w:pPr>
        <w:spacing w:line="480" w:lineRule="atLeast"/>
        <w:ind w:firstLine="720"/>
        <w:rPr>
          <w:szCs w:val="26"/>
        </w:rPr>
      </w:pPr>
      <w:r w:rsidRPr="001246BE">
        <w:rPr>
          <w:szCs w:val="26"/>
        </w:rPr>
        <w:t>Jade Gallegos</w:t>
      </w:r>
      <w:r w:rsidRPr="001246BE">
        <w:rPr>
          <w:szCs w:val="26"/>
        </w:rPr>
        <w:t xml:space="preserve"> </w:t>
      </w:r>
      <w:r w:rsidRPr="001246BE">
        <w:rPr>
          <w:szCs w:val="26"/>
        </w:rPr>
        <w:t>lived with Lopez and atte</w:t>
      </w:r>
      <w:r w:rsidRPr="001246BE">
        <w:rPr>
          <w:szCs w:val="26"/>
        </w:rPr>
        <w:t>nded the party</w:t>
      </w:r>
      <w:r w:rsidRPr="001246BE">
        <w:rPr>
          <w:szCs w:val="26"/>
        </w:rPr>
        <w:t xml:space="preserve">.  He </w:t>
      </w:r>
      <w:r w:rsidRPr="001246BE">
        <w:rPr>
          <w:szCs w:val="26"/>
        </w:rPr>
        <w:t>was Latino</w:t>
      </w:r>
      <w:r w:rsidRPr="001246BE">
        <w:rPr>
          <w:szCs w:val="26"/>
        </w:rPr>
        <w:t>, had</w:t>
      </w:r>
      <w:r w:rsidRPr="001246BE">
        <w:rPr>
          <w:szCs w:val="26"/>
        </w:rPr>
        <w:t xml:space="preserve"> a shaved head, a tattoo on his abdomen, and appeared to be the same height and weight as the suspects described by witnesses.  </w:t>
      </w:r>
      <w:r w:rsidRPr="001246BE">
        <w:rPr>
          <w:szCs w:val="26"/>
        </w:rPr>
        <w:t>Beltran described both shooters</w:t>
      </w:r>
      <w:r w:rsidRPr="001246BE">
        <w:rPr>
          <w:szCs w:val="26"/>
        </w:rPr>
        <w:t xml:space="preserve"> to police</w:t>
      </w:r>
      <w:r>
        <w:rPr>
          <w:szCs w:val="26"/>
        </w:rPr>
        <w:t xml:space="preserve"> as appearing to be about 5’</w:t>
      </w:r>
      <w:r w:rsidRPr="001246BE">
        <w:rPr>
          <w:szCs w:val="26"/>
        </w:rPr>
        <w:t>8</w:t>
      </w:r>
      <w:r>
        <w:rPr>
          <w:szCs w:val="26"/>
        </w:rPr>
        <w:t>.</w:t>
      </w:r>
      <w:r w:rsidRPr="001246BE">
        <w:rPr>
          <w:szCs w:val="26"/>
        </w:rPr>
        <w:t xml:space="preserve">”  </w:t>
      </w:r>
      <w:r>
        <w:rPr>
          <w:szCs w:val="26"/>
        </w:rPr>
        <w:t>In fact, Gallegos w</w:t>
      </w:r>
      <w:r>
        <w:rPr>
          <w:szCs w:val="26"/>
        </w:rPr>
        <w:t>as 5’</w:t>
      </w:r>
      <w:r w:rsidRPr="001246BE">
        <w:rPr>
          <w:szCs w:val="26"/>
        </w:rPr>
        <w:t>6</w:t>
      </w:r>
      <w:r w:rsidRPr="001246BE">
        <w:rPr>
          <w:szCs w:val="26"/>
        </w:rPr>
        <w:t>”</w:t>
      </w:r>
      <w:r w:rsidRPr="001246BE">
        <w:rPr>
          <w:szCs w:val="26"/>
        </w:rPr>
        <w:t xml:space="preserve"> or 7</w:t>
      </w:r>
      <w:r>
        <w:rPr>
          <w:szCs w:val="26"/>
        </w:rPr>
        <w:t>,</w:t>
      </w:r>
      <w:r w:rsidRPr="001246BE">
        <w:rPr>
          <w:szCs w:val="26"/>
        </w:rPr>
        <w:t>”</w:t>
      </w:r>
      <w:r w:rsidRPr="001246BE">
        <w:rPr>
          <w:szCs w:val="26"/>
        </w:rPr>
        <w:t xml:space="preserve"> while </w:t>
      </w:r>
      <w:proofErr w:type="spellStart"/>
      <w:r w:rsidRPr="001246BE">
        <w:rPr>
          <w:szCs w:val="26"/>
        </w:rPr>
        <w:t>Mor</w:t>
      </w:r>
      <w:r>
        <w:rPr>
          <w:szCs w:val="26"/>
        </w:rPr>
        <w:t>a</w:t>
      </w:r>
      <w:proofErr w:type="spellEnd"/>
      <w:r>
        <w:rPr>
          <w:szCs w:val="26"/>
        </w:rPr>
        <w:t xml:space="preserve"> was 5’</w:t>
      </w:r>
      <w:r w:rsidRPr="001246BE">
        <w:rPr>
          <w:szCs w:val="26"/>
        </w:rPr>
        <w:t>11</w:t>
      </w:r>
      <w:r>
        <w:rPr>
          <w:szCs w:val="26"/>
        </w:rPr>
        <w:t>.</w:t>
      </w:r>
      <w:r w:rsidRPr="001246BE">
        <w:rPr>
          <w:szCs w:val="26"/>
        </w:rPr>
        <w:t xml:space="preserve">”  </w:t>
      </w:r>
      <w:r w:rsidRPr="001246BE">
        <w:rPr>
          <w:szCs w:val="26"/>
        </w:rPr>
        <w:t xml:space="preserve">Neither Gallegos nor </w:t>
      </w:r>
      <w:proofErr w:type="spellStart"/>
      <w:r w:rsidRPr="001246BE">
        <w:rPr>
          <w:szCs w:val="26"/>
        </w:rPr>
        <w:t>Mora</w:t>
      </w:r>
      <w:proofErr w:type="spellEnd"/>
      <w:r w:rsidRPr="001246BE">
        <w:rPr>
          <w:szCs w:val="26"/>
        </w:rPr>
        <w:t xml:space="preserve"> had been wearing shirts prior to the shooting.  </w:t>
      </w:r>
      <w:proofErr w:type="spellStart"/>
      <w:r>
        <w:t>Castlegate</w:t>
      </w:r>
      <w:proofErr w:type="spellEnd"/>
      <w:r>
        <w:t xml:space="preserve"> resident Sheila Creswell, who lived across the street from Gallegos and saw him daily, </w:t>
      </w:r>
      <w:r>
        <w:t>testified that she saw</w:t>
      </w:r>
      <w:r>
        <w:t xml:space="preserve"> Rangel and </w:t>
      </w:r>
      <w:r w:rsidRPr="00252489">
        <w:rPr>
          <w:i/>
        </w:rPr>
        <w:t>Gallegos</w:t>
      </w:r>
      <w:r>
        <w:t xml:space="preserve">, not </w:t>
      </w:r>
      <w:proofErr w:type="spellStart"/>
      <w:r>
        <w:t>Mora</w:t>
      </w:r>
      <w:proofErr w:type="spellEnd"/>
      <w:r>
        <w:t xml:space="preserve">, running away from the </w:t>
      </w:r>
      <w:r>
        <w:t>4Runner</w:t>
      </w:r>
      <w:r>
        <w:t xml:space="preserve"> after she heard shots fired on the morning of August 24, 1997.  </w:t>
      </w:r>
      <w:r>
        <w:t xml:space="preserve">Creswell acknowledged she never saw the faces of the two men.  </w:t>
      </w:r>
    </w:p>
    <w:p w:rsidR="006776B5" w:rsidRPr="001246BE" w:rsidRDefault="00EF4903" w:rsidP="006776B5">
      <w:pPr>
        <w:spacing w:line="480" w:lineRule="atLeast"/>
        <w:ind w:firstLine="720"/>
        <w:rPr>
          <w:szCs w:val="26"/>
        </w:rPr>
      </w:pPr>
      <w:r w:rsidRPr="001246BE">
        <w:rPr>
          <w:szCs w:val="26"/>
        </w:rPr>
        <w:t xml:space="preserve">Rangel </w:t>
      </w:r>
      <w:r w:rsidRPr="001246BE">
        <w:rPr>
          <w:szCs w:val="26"/>
        </w:rPr>
        <w:t xml:space="preserve">also </w:t>
      </w:r>
      <w:r w:rsidRPr="001246BE">
        <w:rPr>
          <w:szCs w:val="26"/>
        </w:rPr>
        <w:t>presented evidence concerning gunshot residue.  A residue test was perform</w:t>
      </w:r>
      <w:r w:rsidRPr="001246BE">
        <w:rPr>
          <w:szCs w:val="26"/>
        </w:rPr>
        <w:t xml:space="preserve">ed on Rangel at about 9:30 a.m. on August 24, 1997.  The result of the testing was inconclusive.  Only irregularly shaped lead and </w:t>
      </w:r>
      <w:proofErr w:type="spellStart"/>
      <w:r w:rsidRPr="001246BE">
        <w:rPr>
          <w:szCs w:val="26"/>
        </w:rPr>
        <w:t>tin</w:t>
      </w:r>
      <w:proofErr w:type="spellEnd"/>
      <w:r w:rsidRPr="001246BE">
        <w:rPr>
          <w:szCs w:val="26"/>
        </w:rPr>
        <w:t xml:space="preserve"> particles were found on Rangel.  No residue was noted on Rangel’s hands.    </w:t>
      </w:r>
    </w:p>
    <w:p w:rsidR="00CA14C5" w:rsidRPr="001246BE" w:rsidRDefault="00EF4903" w:rsidP="002F1519">
      <w:pPr>
        <w:spacing w:line="480" w:lineRule="atLeast"/>
        <w:ind w:firstLine="720"/>
        <w:rPr>
          <w:szCs w:val="26"/>
        </w:rPr>
      </w:pPr>
      <w:proofErr w:type="spellStart"/>
      <w:r w:rsidRPr="001246BE">
        <w:rPr>
          <w:szCs w:val="26"/>
        </w:rPr>
        <w:t>Mora</w:t>
      </w:r>
      <w:proofErr w:type="spellEnd"/>
      <w:r w:rsidRPr="001246BE">
        <w:rPr>
          <w:szCs w:val="26"/>
        </w:rPr>
        <w:t xml:space="preserve"> presented no defense evidence save for </w:t>
      </w:r>
      <w:r w:rsidRPr="001246BE">
        <w:rPr>
          <w:szCs w:val="26"/>
        </w:rPr>
        <w:t xml:space="preserve">a stipulation that an exhibit was a true and correct photograph depicting the way </w:t>
      </w:r>
      <w:proofErr w:type="spellStart"/>
      <w:r w:rsidRPr="001246BE">
        <w:rPr>
          <w:szCs w:val="26"/>
        </w:rPr>
        <w:t>Mora</w:t>
      </w:r>
      <w:proofErr w:type="spellEnd"/>
      <w:r w:rsidRPr="001246BE">
        <w:rPr>
          <w:szCs w:val="26"/>
        </w:rPr>
        <w:t xml:space="preserve"> looked on August 24, 1997.  </w:t>
      </w:r>
    </w:p>
    <w:p w:rsidR="000B3905" w:rsidRPr="001246BE" w:rsidRDefault="00EF4903" w:rsidP="000B3905">
      <w:pPr>
        <w:pStyle w:val="Heading2"/>
        <w:rPr>
          <w:rFonts w:ascii="Times New Roman" w:hAnsi="Times New Roman"/>
          <w:b w:val="0"/>
          <w:i w:val="0"/>
          <w:sz w:val="26"/>
          <w:szCs w:val="26"/>
          <w:u w:val="single"/>
        </w:rPr>
      </w:pPr>
      <w:r>
        <w:tab/>
      </w:r>
      <w:bookmarkStart w:id="9" w:name="_Toc511210381"/>
      <w:r w:rsidRPr="001246BE">
        <w:rPr>
          <w:rFonts w:ascii="Times New Roman" w:hAnsi="Times New Roman"/>
          <w:b w:val="0"/>
          <w:i w:val="0"/>
          <w:sz w:val="26"/>
          <w:szCs w:val="26"/>
        </w:rPr>
        <w:t>B.</w:t>
      </w:r>
      <w:r w:rsidRPr="001246BE">
        <w:rPr>
          <w:rFonts w:ascii="Times New Roman" w:hAnsi="Times New Roman"/>
          <w:b w:val="0"/>
          <w:i w:val="0"/>
          <w:sz w:val="26"/>
          <w:szCs w:val="26"/>
        </w:rPr>
        <w:tab/>
        <w:t>Penalty Phase</w:t>
      </w:r>
      <w:bookmarkEnd w:id="9"/>
    </w:p>
    <w:p w:rsidR="00F31AC3" w:rsidRPr="001246BE" w:rsidRDefault="00EF4903" w:rsidP="00156ED3">
      <w:pPr>
        <w:pStyle w:val="Heading3"/>
        <w:rPr>
          <w:rFonts w:ascii="Times New Roman" w:hAnsi="Times New Roman"/>
        </w:rPr>
      </w:pPr>
      <w:r>
        <w:tab/>
      </w:r>
      <w:r>
        <w:tab/>
      </w:r>
      <w:bookmarkStart w:id="10" w:name="_Toc511210382"/>
      <w:r w:rsidRPr="001246BE">
        <w:rPr>
          <w:rFonts w:ascii="Times New Roman" w:hAnsi="Times New Roman"/>
        </w:rPr>
        <w:t>1.</w:t>
      </w:r>
      <w:r w:rsidRPr="001246BE">
        <w:rPr>
          <w:rFonts w:ascii="Times New Roman" w:hAnsi="Times New Roman"/>
        </w:rPr>
        <w:tab/>
      </w:r>
      <w:r w:rsidRPr="001246BE">
        <w:rPr>
          <w:rFonts w:ascii="Times New Roman" w:hAnsi="Times New Roman"/>
        </w:rPr>
        <w:t xml:space="preserve">Rangel </w:t>
      </w:r>
      <w:r w:rsidRPr="001246BE">
        <w:rPr>
          <w:rFonts w:ascii="Times New Roman" w:hAnsi="Times New Roman"/>
        </w:rPr>
        <w:t>Aggravating Evidence</w:t>
      </w:r>
      <w:bookmarkEnd w:id="10"/>
    </w:p>
    <w:p w:rsidR="003F62BC" w:rsidRPr="001246BE" w:rsidRDefault="00EF4903" w:rsidP="008C6997">
      <w:pPr>
        <w:spacing w:line="480" w:lineRule="atLeast"/>
        <w:ind w:firstLine="720"/>
        <w:rPr>
          <w:szCs w:val="26"/>
        </w:rPr>
      </w:pPr>
      <w:r w:rsidRPr="001246BE">
        <w:rPr>
          <w:szCs w:val="26"/>
        </w:rPr>
        <w:t xml:space="preserve">Rangel was arrested in 1995 and charged with </w:t>
      </w:r>
      <w:r w:rsidRPr="001246BE">
        <w:rPr>
          <w:szCs w:val="26"/>
        </w:rPr>
        <w:t xml:space="preserve">burglary </w:t>
      </w:r>
      <w:r w:rsidRPr="001246BE">
        <w:rPr>
          <w:szCs w:val="26"/>
        </w:rPr>
        <w:t xml:space="preserve">of </w:t>
      </w:r>
      <w:r w:rsidRPr="001246BE">
        <w:rPr>
          <w:szCs w:val="26"/>
        </w:rPr>
        <w:t>a motor vehicle, t</w:t>
      </w:r>
      <w:r w:rsidRPr="001246BE">
        <w:rPr>
          <w:szCs w:val="26"/>
        </w:rPr>
        <w:t xml:space="preserve">errorist </w:t>
      </w:r>
      <w:r w:rsidRPr="001246BE">
        <w:rPr>
          <w:szCs w:val="26"/>
        </w:rPr>
        <w:t>t</w:t>
      </w:r>
      <w:r w:rsidRPr="001246BE">
        <w:rPr>
          <w:szCs w:val="26"/>
        </w:rPr>
        <w:t xml:space="preserve">hreats, and </w:t>
      </w:r>
      <w:r w:rsidRPr="001246BE">
        <w:rPr>
          <w:szCs w:val="26"/>
        </w:rPr>
        <w:t>v</w:t>
      </w:r>
      <w:r w:rsidRPr="001246BE">
        <w:rPr>
          <w:szCs w:val="26"/>
        </w:rPr>
        <w:t xml:space="preserve">andalism; Rangel </w:t>
      </w:r>
      <w:r w:rsidRPr="001246BE">
        <w:rPr>
          <w:szCs w:val="26"/>
        </w:rPr>
        <w:t>was ultimately convicted</w:t>
      </w:r>
      <w:r w:rsidRPr="001246BE">
        <w:rPr>
          <w:szCs w:val="26"/>
        </w:rPr>
        <w:t xml:space="preserve"> </w:t>
      </w:r>
      <w:r w:rsidRPr="001246BE">
        <w:rPr>
          <w:szCs w:val="26"/>
        </w:rPr>
        <w:t xml:space="preserve">of </w:t>
      </w:r>
      <w:r w:rsidRPr="001246BE">
        <w:rPr>
          <w:szCs w:val="26"/>
        </w:rPr>
        <w:t xml:space="preserve">second degree burglary of an automobile.  In October 1995, </w:t>
      </w:r>
      <w:proofErr w:type="spellStart"/>
      <w:r w:rsidRPr="001246BE">
        <w:rPr>
          <w:szCs w:val="26"/>
        </w:rPr>
        <w:t>Alejo</w:t>
      </w:r>
      <w:proofErr w:type="spellEnd"/>
      <w:r w:rsidRPr="001246BE">
        <w:rPr>
          <w:szCs w:val="26"/>
        </w:rPr>
        <w:t xml:space="preserve"> </w:t>
      </w:r>
      <w:proofErr w:type="spellStart"/>
      <w:r w:rsidRPr="001246BE">
        <w:rPr>
          <w:szCs w:val="26"/>
        </w:rPr>
        <w:t>Esquer</w:t>
      </w:r>
      <w:proofErr w:type="spellEnd"/>
      <w:r w:rsidRPr="001246BE">
        <w:rPr>
          <w:szCs w:val="26"/>
        </w:rPr>
        <w:t xml:space="preserve"> testified (reluctantly) that he saw</w:t>
      </w:r>
      <w:r w:rsidRPr="001246BE">
        <w:rPr>
          <w:szCs w:val="26"/>
        </w:rPr>
        <w:t xml:space="preserve"> Rangel and another man pushing his truck away from where it had been parked and locked.  T</w:t>
      </w:r>
      <w:r w:rsidRPr="001246BE">
        <w:rPr>
          <w:szCs w:val="26"/>
        </w:rPr>
        <w:t>he window of the truck was broken, the number 13</w:t>
      </w:r>
      <w:r w:rsidRPr="001246BE">
        <w:rPr>
          <w:szCs w:val="26"/>
        </w:rPr>
        <w:t>,</w:t>
      </w:r>
      <w:r w:rsidRPr="001246BE">
        <w:rPr>
          <w:szCs w:val="26"/>
        </w:rPr>
        <w:t xml:space="preserve"> letter T </w:t>
      </w:r>
      <w:r w:rsidRPr="001246BE">
        <w:rPr>
          <w:szCs w:val="26"/>
        </w:rPr>
        <w:t xml:space="preserve">and “KCC” </w:t>
      </w:r>
      <w:r w:rsidRPr="001246BE">
        <w:rPr>
          <w:szCs w:val="26"/>
        </w:rPr>
        <w:t xml:space="preserve">had been painted onto the truck, and the stereo and speakers had been pulled out of the truck.  </w:t>
      </w:r>
      <w:r w:rsidRPr="001246BE">
        <w:rPr>
          <w:szCs w:val="26"/>
        </w:rPr>
        <w:t xml:space="preserve">Rangel began to run away once </w:t>
      </w:r>
      <w:proofErr w:type="spellStart"/>
      <w:r w:rsidRPr="001246BE">
        <w:rPr>
          <w:szCs w:val="26"/>
        </w:rPr>
        <w:t>Esquer</w:t>
      </w:r>
      <w:proofErr w:type="spellEnd"/>
      <w:r w:rsidRPr="001246BE">
        <w:rPr>
          <w:szCs w:val="26"/>
        </w:rPr>
        <w:t xml:space="preserve"> saw him, and </w:t>
      </w:r>
      <w:proofErr w:type="spellStart"/>
      <w:r w:rsidRPr="001246BE">
        <w:rPr>
          <w:szCs w:val="26"/>
        </w:rPr>
        <w:t>Esquer</w:t>
      </w:r>
      <w:proofErr w:type="spellEnd"/>
      <w:r w:rsidRPr="001246BE">
        <w:rPr>
          <w:szCs w:val="26"/>
        </w:rPr>
        <w:t xml:space="preserve"> gave chase.  </w:t>
      </w:r>
      <w:proofErr w:type="spellStart"/>
      <w:r w:rsidRPr="001246BE">
        <w:rPr>
          <w:szCs w:val="26"/>
        </w:rPr>
        <w:t>Esquer</w:t>
      </w:r>
      <w:proofErr w:type="spellEnd"/>
      <w:r w:rsidRPr="001246BE">
        <w:rPr>
          <w:szCs w:val="26"/>
        </w:rPr>
        <w:t xml:space="preserve"> confronted Rangel, and Rangel told </w:t>
      </w:r>
      <w:proofErr w:type="spellStart"/>
      <w:r w:rsidRPr="001246BE">
        <w:rPr>
          <w:szCs w:val="26"/>
        </w:rPr>
        <w:t>Esquer</w:t>
      </w:r>
      <w:proofErr w:type="spellEnd"/>
      <w:r w:rsidRPr="001246BE">
        <w:rPr>
          <w:szCs w:val="26"/>
        </w:rPr>
        <w:t xml:space="preserve"> that </w:t>
      </w:r>
      <w:r w:rsidRPr="001246BE">
        <w:rPr>
          <w:szCs w:val="26"/>
        </w:rPr>
        <w:t xml:space="preserve">Rangel knew where </w:t>
      </w:r>
      <w:proofErr w:type="spellStart"/>
      <w:r w:rsidRPr="001246BE">
        <w:rPr>
          <w:szCs w:val="26"/>
        </w:rPr>
        <w:t>Esquer</w:t>
      </w:r>
      <w:proofErr w:type="spellEnd"/>
      <w:r w:rsidRPr="001246BE">
        <w:rPr>
          <w:szCs w:val="26"/>
        </w:rPr>
        <w:t xml:space="preserve"> lived and </w:t>
      </w:r>
      <w:r w:rsidRPr="001246BE">
        <w:rPr>
          <w:szCs w:val="26"/>
        </w:rPr>
        <w:t xml:space="preserve">if </w:t>
      </w:r>
      <w:proofErr w:type="spellStart"/>
      <w:r w:rsidRPr="001246BE">
        <w:rPr>
          <w:szCs w:val="26"/>
        </w:rPr>
        <w:t>Esq</w:t>
      </w:r>
      <w:r w:rsidRPr="001246BE">
        <w:rPr>
          <w:szCs w:val="26"/>
        </w:rPr>
        <w:t>uer</w:t>
      </w:r>
      <w:proofErr w:type="spellEnd"/>
      <w:r w:rsidRPr="001246BE">
        <w:rPr>
          <w:szCs w:val="26"/>
        </w:rPr>
        <w:t xml:space="preserve"> did not leave Rangel alone</w:t>
      </w:r>
      <w:r w:rsidRPr="001246BE">
        <w:rPr>
          <w:szCs w:val="26"/>
        </w:rPr>
        <w:t xml:space="preserve"> </w:t>
      </w:r>
      <w:r w:rsidRPr="001246BE">
        <w:rPr>
          <w:szCs w:val="26"/>
        </w:rPr>
        <w:t xml:space="preserve">or if he called the police, </w:t>
      </w:r>
      <w:proofErr w:type="spellStart"/>
      <w:r w:rsidRPr="001246BE">
        <w:rPr>
          <w:szCs w:val="26"/>
        </w:rPr>
        <w:t>Esquer</w:t>
      </w:r>
      <w:proofErr w:type="spellEnd"/>
      <w:r w:rsidRPr="001246BE">
        <w:rPr>
          <w:szCs w:val="26"/>
        </w:rPr>
        <w:t xml:space="preserve"> would be killed.  </w:t>
      </w:r>
    </w:p>
    <w:p w:rsidR="003F62BC" w:rsidRPr="001246BE" w:rsidRDefault="00EF4903" w:rsidP="008C6997">
      <w:pPr>
        <w:spacing w:line="480" w:lineRule="atLeast"/>
        <w:ind w:firstLine="720"/>
        <w:rPr>
          <w:szCs w:val="26"/>
        </w:rPr>
      </w:pPr>
      <w:r>
        <w:rPr>
          <w:szCs w:val="26"/>
        </w:rPr>
        <w:t xml:space="preserve">Kevin </w:t>
      </w:r>
      <w:proofErr w:type="spellStart"/>
      <w:r>
        <w:rPr>
          <w:szCs w:val="26"/>
        </w:rPr>
        <w:t>Hilgendorf</w:t>
      </w:r>
      <w:proofErr w:type="spellEnd"/>
      <w:r>
        <w:rPr>
          <w:szCs w:val="26"/>
        </w:rPr>
        <w:t>, a deputy s</w:t>
      </w:r>
      <w:r w:rsidRPr="001246BE">
        <w:rPr>
          <w:szCs w:val="26"/>
        </w:rPr>
        <w:t>heriff for L</w:t>
      </w:r>
      <w:r w:rsidRPr="001246BE">
        <w:rPr>
          <w:szCs w:val="26"/>
        </w:rPr>
        <w:t xml:space="preserve">os Angeles County, was the officer </w:t>
      </w:r>
      <w:r w:rsidRPr="001246BE">
        <w:rPr>
          <w:szCs w:val="26"/>
        </w:rPr>
        <w:t>w</w:t>
      </w:r>
      <w:r w:rsidRPr="001246BE">
        <w:rPr>
          <w:szCs w:val="26"/>
        </w:rPr>
        <w:t>ho arrested</w:t>
      </w:r>
      <w:r w:rsidRPr="001246BE">
        <w:rPr>
          <w:szCs w:val="26"/>
        </w:rPr>
        <w:t xml:space="preserve"> Rangel</w:t>
      </w:r>
      <w:r w:rsidRPr="001246BE">
        <w:rPr>
          <w:szCs w:val="26"/>
        </w:rPr>
        <w:t xml:space="preserve"> for this</w:t>
      </w:r>
      <w:r w:rsidRPr="001246BE">
        <w:rPr>
          <w:szCs w:val="26"/>
        </w:rPr>
        <w:t>.  He re</w:t>
      </w:r>
      <w:r w:rsidRPr="001246BE">
        <w:rPr>
          <w:szCs w:val="26"/>
        </w:rPr>
        <w:t>sponded to a call reporting a vehicle theft in progress, and</w:t>
      </w:r>
      <w:r w:rsidRPr="001246BE">
        <w:rPr>
          <w:szCs w:val="26"/>
        </w:rPr>
        <w:t xml:space="preserve"> he</w:t>
      </w:r>
      <w:r w:rsidRPr="001246BE">
        <w:rPr>
          <w:szCs w:val="26"/>
        </w:rPr>
        <w:t xml:space="preserve"> observed Rangel and other men standing on a sidewalk near a truck with a broken window</w:t>
      </w:r>
      <w:r w:rsidRPr="001246BE">
        <w:rPr>
          <w:szCs w:val="26"/>
        </w:rPr>
        <w:t>,</w:t>
      </w:r>
      <w:r w:rsidRPr="001246BE">
        <w:rPr>
          <w:szCs w:val="26"/>
        </w:rPr>
        <w:t xml:space="preserve"> and</w:t>
      </w:r>
      <w:r w:rsidRPr="001246BE">
        <w:rPr>
          <w:szCs w:val="26"/>
        </w:rPr>
        <w:t xml:space="preserve"> its</w:t>
      </w:r>
      <w:r w:rsidRPr="001246BE">
        <w:rPr>
          <w:szCs w:val="26"/>
        </w:rPr>
        <w:t xml:space="preserve"> stereo and spea</w:t>
      </w:r>
      <w:r w:rsidRPr="001246BE">
        <w:rPr>
          <w:szCs w:val="26"/>
        </w:rPr>
        <w:t xml:space="preserve">kers removed.  </w:t>
      </w:r>
      <w:r w:rsidRPr="001246BE">
        <w:rPr>
          <w:szCs w:val="26"/>
        </w:rPr>
        <w:t xml:space="preserve">Officer </w:t>
      </w:r>
      <w:proofErr w:type="spellStart"/>
      <w:r w:rsidRPr="001246BE">
        <w:rPr>
          <w:szCs w:val="26"/>
        </w:rPr>
        <w:t>Hilgendorf</w:t>
      </w:r>
      <w:proofErr w:type="spellEnd"/>
      <w:r w:rsidRPr="001246BE">
        <w:rPr>
          <w:szCs w:val="26"/>
        </w:rPr>
        <w:t xml:space="preserve"> observed the</w:t>
      </w:r>
      <w:r w:rsidRPr="001246BE">
        <w:rPr>
          <w:szCs w:val="26"/>
        </w:rPr>
        <w:t xml:space="preserve"> letters “KCC” spray-painted in white</w:t>
      </w:r>
      <w:r w:rsidRPr="001246BE">
        <w:rPr>
          <w:szCs w:val="26"/>
        </w:rPr>
        <w:t xml:space="preserve"> on the truck, which </w:t>
      </w:r>
      <w:r w:rsidRPr="001246BE">
        <w:rPr>
          <w:szCs w:val="26"/>
        </w:rPr>
        <w:t xml:space="preserve">he since learned meant “King City Criminals.”  </w:t>
      </w:r>
      <w:r w:rsidRPr="001246BE">
        <w:rPr>
          <w:szCs w:val="26"/>
        </w:rPr>
        <w:t xml:space="preserve">Officer </w:t>
      </w:r>
      <w:proofErr w:type="spellStart"/>
      <w:r w:rsidRPr="001246BE">
        <w:rPr>
          <w:szCs w:val="26"/>
        </w:rPr>
        <w:t>Hilgendorf</w:t>
      </w:r>
      <w:proofErr w:type="spellEnd"/>
      <w:r w:rsidRPr="001246BE">
        <w:rPr>
          <w:szCs w:val="26"/>
        </w:rPr>
        <w:t xml:space="preserve"> did not recall seeing the number “13” painted on th</w:t>
      </w:r>
      <w:r w:rsidRPr="001246BE">
        <w:rPr>
          <w:szCs w:val="26"/>
        </w:rPr>
        <w:t xml:space="preserve">e truck, although a gang expert, Officer Andrew </w:t>
      </w:r>
      <w:proofErr w:type="spellStart"/>
      <w:r w:rsidRPr="001246BE">
        <w:rPr>
          <w:szCs w:val="26"/>
        </w:rPr>
        <w:t>Zembal</w:t>
      </w:r>
      <w:proofErr w:type="spellEnd"/>
      <w:r>
        <w:rPr>
          <w:szCs w:val="26"/>
        </w:rPr>
        <w:t>,</w:t>
      </w:r>
      <w:r>
        <w:rPr>
          <w:rStyle w:val="FootnoteReference"/>
          <w:szCs w:val="26"/>
        </w:rPr>
        <w:footnoteReference w:id="7"/>
      </w:r>
      <w:r w:rsidRPr="001246BE">
        <w:rPr>
          <w:szCs w:val="26"/>
        </w:rPr>
        <w:t xml:space="preserve"> </w:t>
      </w:r>
      <w:r w:rsidRPr="001246BE">
        <w:rPr>
          <w:szCs w:val="26"/>
        </w:rPr>
        <w:t>testified that the numbe</w:t>
      </w:r>
      <w:r w:rsidRPr="001246BE">
        <w:rPr>
          <w:szCs w:val="26"/>
        </w:rPr>
        <w:t xml:space="preserve">r is also associated with the King City Criminals.  </w:t>
      </w:r>
      <w:r w:rsidRPr="001246BE">
        <w:rPr>
          <w:szCs w:val="26"/>
        </w:rPr>
        <w:t xml:space="preserve">A can of white spray paint was on the sidewalk near the group of men and Rangel had white paint on his hands.  </w:t>
      </w:r>
      <w:proofErr w:type="spellStart"/>
      <w:r w:rsidRPr="001246BE">
        <w:rPr>
          <w:szCs w:val="26"/>
        </w:rPr>
        <w:t>Esquer</w:t>
      </w:r>
      <w:proofErr w:type="spellEnd"/>
      <w:r w:rsidRPr="001246BE">
        <w:rPr>
          <w:szCs w:val="26"/>
        </w:rPr>
        <w:t xml:space="preserve"> told Officer </w:t>
      </w:r>
      <w:proofErr w:type="spellStart"/>
      <w:r w:rsidRPr="001246BE">
        <w:rPr>
          <w:szCs w:val="26"/>
        </w:rPr>
        <w:t>Hilgendorf</w:t>
      </w:r>
      <w:proofErr w:type="spellEnd"/>
      <w:r w:rsidRPr="001246BE">
        <w:rPr>
          <w:szCs w:val="26"/>
        </w:rPr>
        <w:t xml:space="preserve"> that Rangel threatened </w:t>
      </w:r>
      <w:proofErr w:type="spellStart"/>
      <w:r w:rsidRPr="001246BE">
        <w:rPr>
          <w:szCs w:val="26"/>
        </w:rPr>
        <w:t>Esquer’s</w:t>
      </w:r>
      <w:proofErr w:type="spellEnd"/>
      <w:r w:rsidRPr="001246BE">
        <w:rPr>
          <w:szCs w:val="26"/>
        </w:rPr>
        <w:t xml:space="preserve"> life</w:t>
      </w:r>
      <w:r w:rsidRPr="001246BE">
        <w:rPr>
          <w:szCs w:val="26"/>
        </w:rPr>
        <w:t xml:space="preserve"> –– a threat</w:t>
      </w:r>
      <w:r w:rsidRPr="001246BE">
        <w:rPr>
          <w:szCs w:val="26"/>
        </w:rPr>
        <w:t xml:space="preserve"> Officer </w:t>
      </w:r>
      <w:proofErr w:type="spellStart"/>
      <w:r w:rsidRPr="001246BE">
        <w:rPr>
          <w:szCs w:val="26"/>
        </w:rPr>
        <w:t>Hilge</w:t>
      </w:r>
      <w:r w:rsidRPr="001246BE">
        <w:rPr>
          <w:szCs w:val="26"/>
        </w:rPr>
        <w:t>ndorf</w:t>
      </w:r>
      <w:proofErr w:type="spellEnd"/>
      <w:r w:rsidRPr="001246BE">
        <w:rPr>
          <w:szCs w:val="26"/>
        </w:rPr>
        <w:t xml:space="preserve"> took seriously </w:t>
      </w:r>
      <w:r w:rsidRPr="001246BE">
        <w:rPr>
          <w:szCs w:val="26"/>
        </w:rPr>
        <w:t>given</w:t>
      </w:r>
      <w:r w:rsidRPr="001246BE">
        <w:rPr>
          <w:szCs w:val="26"/>
        </w:rPr>
        <w:t xml:space="preserve"> Rangel’s gang affiliation.  </w:t>
      </w:r>
      <w:proofErr w:type="spellStart"/>
      <w:r w:rsidRPr="001246BE">
        <w:rPr>
          <w:szCs w:val="26"/>
        </w:rPr>
        <w:t>Esquer</w:t>
      </w:r>
      <w:proofErr w:type="spellEnd"/>
      <w:r w:rsidRPr="001246BE">
        <w:rPr>
          <w:szCs w:val="26"/>
        </w:rPr>
        <w:t xml:space="preserve"> felt sufficiently concerned about Rangel’s threat that he moved </w:t>
      </w:r>
      <w:r w:rsidRPr="001246BE">
        <w:rPr>
          <w:szCs w:val="26"/>
        </w:rPr>
        <w:t>to a different residence</w:t>
      </w:r>
      <w:r w:rsidRPr="001246BE">
        <w:rPr>
          <w:szCs w:val="26"/>
        </w:rPr>
        <w:t xml:space="preserve"> before Rangel’s anticipated release from jail.   </w:t>
      </w:r>
    </w:p>
    <w:p w:rsidR="00156ED3"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11" w:name="_Toc511210383"/>
      <w:r w:rsidRPr="001246BE">
        <w:rPr>
          <w:rFonts w:ascii="Times New Roman" w:hAnsi="Times New Roman"/>
        </w:rPr>
        <w:t>2.</w:t>
      </w:r>
      <w:r w:rsidRPr="001246BE">
        <w:rPr>
          <w:rFonts w:ascii="Times New Roman" w:hAnsi="Times New Roman"/>
        </w:rPr>
        <w:tab/>
      </w:r>
      <w:proofErr w:type="spellStart"/>
      <w:r w:rsidRPr="001246BE">
        <w:rPr>
          <w:rFonts w:ascii="Times New Roman" w:hAnsi="Times New Roman"/>
        </w:rPr>
        <w:t>Mora</w:t>
      </w:r>
      <w:proofErr w:type="spellEnd"/>
      <w:r w:rsidRPr="001246BE">
        <w:rPr>
          <w:rFonts w:ascii="Times New Roman" w:hAnsi="Times New Roman"/>
        </w:rPr>
        <w:t xml:space="preserve"> Aggravating Evidence</w:t>
      </w:r>
      <w:bookmarkEnd w:id="11"/>
    </w:p>
    <w:p w:rsidR="00156ED3" w:rsidRPr="00156ED3" w:rsidRDefault="00EF4903" w:rsidP="00B523B8">
      <w:pPr>
        <w:spacing w:line="480" w:lineRule="atLeast"/>
        <w:ind w:firstLine="720"/>
      </w:pPr>
      <w:r w:rsidRPr="001246BE">
        <w:rPr>
          <w:szCs w:val="26"/>
        </w:rPr>
        <w:t xml:space="preserve">In July 1996, </w:t>
      </w:r>
      <w:proofErr w:type="spellStart"/>
      <w:r w:rsidRPr="001246BE">
        <w:rPr>
          <w:szCs w:val="26"/>
        </w:rPr>
        <w:t>Mora</w:t>
      </w:r>
      <w:proofErr w:type="spellEnd"/>
      <w:r w:rsidRPr="001246BE">
        <w:rPr>
          <w:szCs w:val="26"/>
        </w:rPr>
        <w:t xml:space="preserve"> was</w:t>
      </w:r>
      <w:r w:rsidRPr="001246BE">
        <w:rPr>
          <w:szCs w:val="26"/>
        </w:rPr>
        <w:t xml:space="preserve"> in custody at the Los Angeles County Jail</w:t>
      </w:r>
      <w:r w:rsidRPr="001246BE">
        <w:rPr>
          <w:szCs w:val="26"/>
        </w:rPr>
        <w:t xml:space="preserve">.  During </w:t>
      </w:r>
      <w:r w:rsidRPr="001246BE">
        <w:rPr>
          <w:szCs w:val="26"/>
        </w:rPr>
        <w:t xml:space="preserve">this period of </w:t>
      </w:r>
      <w:r w:rsidRPr="001246BE">
        <w:rPr>
          <w:szCs w:val="26"/>
        </w:rPr>
        <w:t>incarceration,</w:t>
      </w:r>
      <w:r w:rsidRPr="001246BE">
        <w:rPr>
          <w:szCs w:val="26"/>
        </w:rPr>
        <w:t xml:space="preserve"> </w:t>
      </w:r>
      <w:proofErr w:type="spellStart"/>
      <w:r w:rsidRPr="001246BE">
        <w:rPr>
          <w:szCs w:val="26"/>
        </w:rPr>
        <w:t>Mora</w:t>
      </w:r>
      <w:proofErr w:type="spellEnd"/>
      <w:r w:rsidRPr="001246BE">
        <w:rPr>
          <w:szCs w:val="26"/>
        </w:rPr>
        <w:t xml:space="preserve"> assaulted </w:t>
      </w:r>
      <w:r w:rsidRPr="001246BE">
        <w:rPr>
          <w:szCs w:val="26"/>
        </w:rPr>
        <w:t xml:space="preserve">fellow inmate Paul </w:t>
      </w:r>
      <w:proofErr w:type="spellStart"/>
      <w:r w:rsidRPr="001246BE">
        <w:rPr>
          <w:szCs w:val="26"/>
        </w:rPr>
        <w:t>Juhn</w:t>
      </w:r>
      <w:proofErr w:type="spellEnd"/>
      <w:r w:rsidRPr="001246BE">
        <w:rPr>
          <w:szCs w:val="26"/>
        </w:rPr>
        <w:t xml:space="preserve">, stole the mattress from </w:t>
      </w:r>
      <w:proofErr w:type="spellStart"/>
      <w:r w:rsidRPr="001246BE">
        <w:rPr>
          <w:szCs w:val="26"/>
        </w:rPr>
        <w:t>Juhn’s</w:t>
      </w:r>
      <w:proofErr w:type="spellEnd"/>
      <w:r w:rsidRPr="001246BE">
        <w:rPr>
          <w:szCs w:val="26"/>
        </w:rPr>
        <w:t xml:space="preserve"> bunk, and returned to </w:t>
      </w:r>
      <w:proofErr w:type="spellStart"/>
      <w:r w:rsidRPr="001246BE">
        <w:rPr>
          <w:szCs w:val="26"/>
        </w:rPr>
        <w:t>Juhn’s</w:t>
      </w:r>
      <w:proofErr w:type="spellEnd"/>
      <w:r w:rsidRPr="001246BE">
        <w:rPr>
          <w:szCs w:val="26"/>
        </w:rPr>
        <w:t xml:space="preserve"> bunk with several other men, all </w:t>
      </w:r>
      <w:r w:rsidRPr="001246BE">
        <w:rPr>
          <w:szCs w:val="26"/>
        </w:rPr>
        <w:t xml:space="preserve">of whom </w:t>
      </w:r>
      <w:r w:rsidRPr="001246BE">
        <w:rPr>
          <w:szCs w:val="26"/>
        </w:rPr>
        <w:t>yell</w:t>
      </w:r>
      <w:r w:rsidRPr="001246BE">
        <w:rPr>
          <w:szCs w:val="26"/>
        </w:rPr>
        <w:t>ed</w:t>
      </w:r>
      <w:r w:rsidRPr="001246BE">
        <w:rPr>
          <w:szCs w:val="26"/>
        </w:rPr>
        <w:t xml:space="preserve"> racial epithets</w:t>
      </w:r>
      <w:r w:rsidRPr="001246BE">
        <w:rPr>
          <w:szCs w:val="26"/>
        </w:rPr>
        <w:t xml:space="preserve"> at</w:t>
      </w:r>
      <w:r w:rsidRPr="001246BE">
        <w:rPr>
          <w:szCs w:val="26"/>
        </w:rPr>
        <w:t xml:space="preserve"> ––</w:t>
      </w:r>
      <w:r w:rsidRPr="001246BE">
        <w:rPr>
          <w:szCs w:val="26"/>
        </w:rPr>
        <w:t xml:space="preserve"> and </w:t>
      </w:r>
      <w:r w:rsidRPr="001246BE">
        <w:rPr>
          <w:szCs w:val="26"/>
        </w:rPr>
        <w:t>physically assaulted</w:t>
      </w:r>
      <w:r w:rsidRPr="001246BE">
        <w:rPr>
          <w:szCs w:val="26"/>
        </w:rPr>
        <w:t xml:space="preserve"> ––</w:t>
      </w:r>
      <w:r w:rsidRPr="001246BE">
        <w:rPr>
          <w:szCs w:val="26"/>
        </w:rPr>
        <w:t xml:space="preserve"> </w:t>
      </w:r>
      <w:proofErr w:type="spellStart"/>
      <w:r w:rsidRPr="001246BE">
        <w:rPr>
          <w:szCs w:val="26"/>
        </w:rPr>
        <w:t>Juhn</w:t>
      </w:r>
      <w:proofErr w:type="spellEnd"/>
      <w:r w:rsidRPr="001246BE">
        <w:rPr>
          <w:szCs w:val="26"/>
        </w:rPr>
        <w:t xml:space="preserve">.  </w:t>
      </w:r>
      <w:proofErr w:type="spellStart"/>
      <w:r w:rsidRPr="001246BE">
        <w:rPr>
          <w:szCs w:val="26"/>
        </w:rPr>
        <w:t>Juhn</w:t>
      </w:r>
      <w:proofErr w:type="spellEnd"/>
      <w:r w:rsidRPr="001246BE">
        <w:rPr>
          <w:szCs w:val="26"/>
        </w:rPr>
        <w:t xml:space="preserve"> identified his assailants during a jailhouse lineup, </w:t>
      </w:r>
      <w:r w:rsidRPr="001246BE">
        <w:rPr>
          <w:szCs w:val="26"/>
        </w:rPr>
        <w:t xml:space="preserve">and </w:t>
      </w:r>
      <w:r w:rsidRPr="001246BE">
        <w:rPr>
          <w:szCs w:val="26"/>
        </w:rPr>
        <w:t xml:space="preserve">Deputy </w:t>
      </w:r>
      <w:proofErr w:type="spellStart"/>
      <w:r w:rsidRPr="001246BE">
        <w:rPr>
          <w:szCs w:val="26"/>
        </w:rPr>
        <w:t>Kresimir</w:t>
      </w:r>
      <w:proofErr w:type="spellEnd"/>
      <w:r w:rsidRPr="001246BE">
        <w:rPr>
          <w:szCs w:val="26"/>
        </w:rPr>
        <w:t xml:space="preserve"> </w:t>
      </w:r>
      <w:proofErr w:type="spellStart"/>
      <w:r w:rsidRPr="001246BE">
        <w:rPr>
          <w:szCs w:val="26"/>
        </w:rPr>
        <w:t>Kovac</w:t>
      </w:r>
      <w:proofErr w:type="spellEnd"/>
      <w:r w:rsidRPr="001246BE">
        <w:rPr>
          <w:szCs w:val="26"/>
        </w:rPr>
        <w:t>, an</w:t>
      </w:r>
      <w:r>
        <w:rPr>
          <w:szCs w:val="26"/>
        </w:rPr>
        <w:t xml:space="preserve"> officer at Los Angeles County j</w:t>
      </w:r>
      <w:r w:rsidRPr="001246BE">
        <w:rPr>
          <w:szCs w:val="26"/>
        </w:rPr>
        <w:t>ail in July 1996, later determined</w:t>
      </w:r>
      <w:r w:rsidRPr="001246BE">
        <w:rPr>
          <w:szCs w:val="26"/>
        </w:rPr>
        <w:t xml:space="preserve"> one of the men identified was</w:t>
      </w:r>
      <w:r w:rsidRPr="001246BE">
        <w:rPr>
          <w:szCs w:val="26"/>
        </w:rPr>
        <w:t xml:space="preserve"> </w:t>
      </w:r>
      <w:proofErr w:type="spellStart"/>
      <w:r w:rsidRPr="001246BE">
        <w:rPr>
          <w:szCs w:val="26"/>
        </w:rPr>
        <w:t>Mora</w:t>
      </w:r>
      <w:proofErr w:type="spellEnd"/>
      <w:r w:rsidRPr="001246BE">
        <w:rPr>
          <w:szCs w:val="26"/>
        </w:rPr>
        <w:t xml:space="preserve">.  Deputy </w:t>
      </w:r>
      <w:proofErr w:type="spellStart"/>
      <w:r w:rsidRPr="001246BE">
        <w:rPr>
          <w:szCs w:val="26"/>
        </w:rPr>
        <w:t>Kovac</w:t>
      </w:r>
      <w:proofErr w:type="spellEnd"/>
      <w:r w:rsidRPr="001246BE">
        <w:rPr>
          <w:szCs w:val="26"/>
        </w:rPr>
        <w:t xml:space="preserve"> noted </w:t>
      </w:r>
      <w:r w:rsidRPr="001246BE">
        <w:rPr>
          <w:szCs w:val="26"/>
        </w:rPr>
        <w:t xml:space="preserve">at the time of </w:t>
      </w:r>
      <w:r w:rsidRPr="001246BE">
        <w:rPr>
          <w:szCs w:val="26"/>
        </w:rPr>
        <w:t xml:space="preserve">the </w:t>
      </w:r>
      <w:proofErr w:type="spellStart"/>
      <w:r w:rsidRPr="001246BE">
        <w:rPr>
          <w:szCs w:val="26"/>
        </w:rPr>
        <w:t>Juhn</w:t>
      </w:r>
      <w:proofErr w:type="spellEnd"/>
      <w:r w:rsidRPr="001246BE">
        <w:rPr>
          <w:szCs w:val="26"/>
        </w:rPr>
        <w:t xml:space="preserve"> assault</w:t>
      </w:r>
      <w:r w:rsidRPr="001246BE">
        <w:rPr>
          <w:szCs w:val="26"/>
        </w:rPr>
        <w:t xml:space="preserve"> that </w:t>
      </w:r>
      <w:proofErr w:type="spellStart"/>
      <w:r w:rsidRPr="001246BE">
        <w:rPr>
          <w:szCs w:val="26"/>
        </w:rPr>
        <w:t>Mora</w:t>
      </w:r>
      <w:proofErr w:type="spellEnd"/>
      <w:r w:rsidRPr="001246BE">
        <w:rPr>
          <w:szCs w:val="26"/>
        </w:rPr>
        <w:t xml:space="preserve"> had a distinctive tattoo</w:t>
      </w:r>
      <w:r w:rsidRPr="001246BE">
        <w:rPr>
          <w:szCs w:val="26"/>
        </w:rPr>
        <w:t xml:space="preserve"> comprised</w:t>
      </w:r>
      <w:r w:rsidRPr="001246BE">
        <w:rPr>
          <w:szCs w:val="26"/>
        </w:rPr>
        <w:t xml:space="preserve"> of three words; Deputy </w:t>
      </w:r>
      <w:proofErr w:type="spellStart"/>
      <w:r w:rsidRPr="001246BE">
        <w:rPr>
          <w:szCs w:val="26"/>
        </w:rPr>
        <w:t>Kovac</w:t>
      </w:r>
      <w:proofErr w:type="spellEnd"/>
      <w:r w:rsidRPr="001246BE">
        <w:rPr>
          <w:szCs w:val="26"/>
        </w:rPr>
        <w:t xml:space="preserve"> testified at </w:t>
      </w:r>
      <w:proofErr w:type="spellStart"/>
      <w:r w:rsidRPr="001246BE">
        <w:rPr>
          <w:szCs w:val="26"/>
        </w:rPr>
        <w:t>Mora’s</w:t>
      </w:r>
      <w:proofErr w:type="spellEnd"/>
      <w:r w:rsidRPr="001246BE">
        <w:rPr>
          <w:szCs w:val="26"/>
        </w:rPr>
        <w:t xml:space="preserve"> trial that </w:t>
      </w:r>
      <w:proofErr w:type="spellStart"/>
      <w:r w:rsidRPr="001246BE">
        <w:rPr>
          <w:szCs w:val="26"/>
        </w:rPr>
        <w:t>Mora</w:t>
      </w:r>
      <w:proofErr w:type="spellEnd"/>
      <w:r w:rsidRPr="001246BE">
        <w:rPr>
          <w:szCs w:val="26"/>
        </w:rPr>
        <w:t xml:space="preserve"> still bore that tattoo.  </w:t>
      </w:r>
    </w:p>
    <w:p w:rsidR="00156ED3"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12" w:name="_Toc511210384"/>
      <w:r w:rsidRPr="001246BE">
        <w:rPr>
          <w:rFonts w:ascii="Times New Roman" w:hAnsi="Times New Roman"/>
        </w:rPr>
        <w:t>3.</w:t>
      </w:r>
      <w:r w:rsidRPr="001246BE">
        <w:rPr>
          <w:rFonts w:ascii="Times New Roman" w:hAnsi="Times New Roman"/>
        </w:rPr>
        <w:tab/>
      </w:r>
      <w:proofErr w:type="spellStart"/>
      <w:r w:rsidRPr="001246BE">
        <w:rPr>
          <w:rFonts w:ascii="Times New Roman" w:hAnsi="Times New Roman"/>
        </w:rPr>
        <w:t>Encinas</w:t>
      </w:r>
      <w:proofErr w:type="spellEnd"/>
      <w:r w:rsidRPr="001246BE">
        <w:rPr>
          <w:rFonts w:ascii="Times New Roman" w:hAnsi="Times New Roman"/>
        </w:rPr>
        <w:t xml:space="preserve"> Victim Impact Evidence</w:t>
      </w:r>
      <w:bookmarkEnd w:id="12"/>
    </w:p>
    <w:p w:rsidR="009002DE" w:rsidRDefault="00EF4903" w:rsidP="00156ED3">
      <w:pPr>
        <w:spacing w:line="480" w:lineRule="atLeast"/>
        <w:ind w:firstLine="720"/>
        <w:rPr>
          <w:szCs w:val="26"/>
        </w:rPr>
      </w:pPr>
      <w:r w:rsidRPr="001246BE">
        <w:rPr>
          <w:szCs w:val="26"/>
        </w:rPr>
        <w:t xml:space="preserve">Luz </w:t>
      </w:r>
      <w:proofErr w:type="spellStart"/>
      <w:r w:rsidRPr="001246BE">
        <w:rPr>
          <w:szCs w:val="26"/>
        </w:rPr>
        <w:t>Gamez</w:t>
      </w:r>
      <w:proofErr w:type="spellEnd"/>
      <w:r>
        <w:rPr>
          <w:szCs w:val="26"/>
        </w:rPr>
        <w:t xml:space="preserve"> was </w:t>
      </w:r>
      <w:proofErr w:type="spellStart"/>
      <w:r w:rsidRPr="001246BE">
        <w:rPr>
          <w:szCs w:val="26"/>
        </w:rPr>
        <w:t>Encinas’s</w:t>
      </w:r>
      <w:proofErr w:type="spellEnd"/>
      <w:r w:rsidRPr="001246BE">
        <w:rPr>
          <w:szCs w:val="26"/>
        </w:rPr>
        <w:t xml:space="preserve"> sister</w:t>
      </w:r>
      <w:r>
        <w:rPr>
          <w:szCs w:val="26"/>
        </w:rPr>
        <w:t xml:space="preserve">. </w:t>
      </w:r>
      <w:r>
        <w:rPr>
          <w:szCs w:val="26"/>
        </w:rPr>
        <w:t xml:space="preserve"> </w:t>
      </w:r>
      <w:r>
        <w:rPr>
          <w:szCs w:val="26"/>
        </w:rPr>
        <w:t xml:space="preserve">She </w:t>
      </w:r>
      <w:r w:rsidRPr="001246BE">
        <w:rPr>
          <w:szCs w:val="26"/>
        </w:rPr>
        <w:t xml:space="preserve">testified that </w:t>
      </w:r>
      <w:proofErr w:type="spellStart"/>
      <w:r w:rsidRPr="001246BE">
        <w:rPr>
          <w:szCs w:val="26"/>
        </w:rPr>
        <w:t>Encinas</w:t>
      </w:r>
      <w:proofErr w:type="spellEnd"/>
      <w:r w:rsidRPr="001246BE">
        <w:rPr>
          <w:szCs w:val="26"/>
        </w:rPr>
        <w:t xml:space="preserve"> was an </w:t>
      </w:r>
      <w:r w:rsidRPr="001246BE">
        <w:rPr>
          <w:szCs w:val="26"/>
        </w:rPr>
        <w:t xml:space="preserve">avid sportsman while attending St. Anthony’s high school.  </w:t>
      </w:r>
      <w:proofErr w:type="spellStart"/>
      <w:r w:rsidRPr="001246BE">
        <w:rPr>
          <w:szCs w:val="26"/>
        </w:rPr>
        <w:t>Encinas’s</w:t>
      </w:r>
      <w:proofErr w:type="spellEnd"/>
      <w:r w:rsidRPr="001246BE">
        <w:rPr>
          <w:szCs w:val="26"/>
        </w:rPr>
        <w:t xml:space="preserve"> family would attend his football, baseball, and basketball games.  </w:t>
      </w:r>
      <w:r w:rsidRPr="001246BE">
        <w:rPr>
          <w:szCs w:val="26"/>
        </w:rPr>
        <w:t xml:space="preserve">Following high school, </w:t>
      </w:r>
      <w:proofErr w:type="spellStart"/>
      <w:r w:rsidRPr="001246BE">
        <w:rPr>
          <w:szCs w:val="26"/>
        </w:rPr>
        <w:t>Encinas</w:t>
      </w:r>
      <w:proofErr w:type="spellEnd"/>
      <w:r w:rsidRPr="001246BE">
        <w:rPr>
          <w:szCs w:val="26"/>
        </w:rPr>
        <w:t xml:space="preserve"> attended community college and worked as a dispatcher.  He hoped to become a police offic</w:t>
      </w:r>
      <w:r w:rsidRPr="001246BE">
        <w:rPr>
          <w:szCs w:val="26"/>
        </w:rPr>
        <w:t xml:space="preserve">er and had passed the Los Angeles Police Academy’s test just two months prior to his death.  </w:t>
      </w:r>
    </w:p>
    <w:p w:rsidR="009002DE" w:rsidRDefault="00EF4903" w:rsidP="00156ED3">
      <w:pPr>
        <w:spacing w:line="480" w:lineRule="atLeast"/>
        <w:ind w:firstLine="720"/>
        <w:rPr>
          <w:szCs w:val="26"/>
        </w:rPr>
      </w:pPr>
      <w:proofErr w:type="spellStart"/>
      <w:r w:rsidRPr="001246BE">
        <w:rPr>
          <w:szCs w:val="26"/>
        </w:rPr>
        <w:t>Gamez</w:t>
      </w:r>
      <w:proofErr w:type="spellEnd"/>
      <w:r w:rsidRPr="001246BE">
        <w:rPr>
          <w:szCs w:val="26"/>
        </w:rPr>
        <w:t xml:space="preserve"> testified regarding childhood pictures of </w:t>
      </w:r>
      <w:proofErr w:type="spellStart"/>
      <w:r w:rsidRPr="001246BE">
        <w:rPr>
          <w:szCs w:val="26"/>
        </w:rPr>
        <w:t>Encinas</w:t>
      </w:r>
      <w:proofErr w:type="spellEnd"/>
      <w:r w:rsidRPr="001246BE">
        <w:rPr>
          <w:szCs w:val="26"/>
        </w:rPr>
        <w:t xml:space="preserve">, which showed </w:t>
      </w:r>
      <w:proofErr w:type="spellStart"/>
      <w:r w:rsidRPr="001246BE">
        <w:rPr>
          <w:szCs w:val="26"/>
        </w:rPr>
        <w:t>Encinas’s</w:t>
      </w:r>
      <w:proofErr w:type="spellEnd"/>
      <w:r w:rsidRPr="001246BE">
        <w:rPr>
          <w:szCs w:val="26"/>
        </w:rPr>
        <w:t xml:space="preserve"> father standing with him at several sporting events, as well as </w:t>
      </w:r>
      <w:proofErr w:type="spellStart"/>
      <w:r w:rsidRPr="001246BE">
        <w:rPr>
          <w:szCs w:val="26"/>
        </w:rPr>
        <w:t>Encinas’s</w:t>
      </w:r>
      <w:proofErr w:type="spellEnd"/>
      <w:r w:rsidRPr="001246BE">
        <w:rPr>
          <w:szCs w:val="26"/>
        </w:rPr>
        <w:t xml:space="preserve"> baptism </w:t>
      </w:r>
      <w:r w:rsidRPr="001246BE">
        <w:rPr>
          <w:szCs w:val="26"/>
        </w:rPr>
        <w:t xml:space="preserve">and other childhood events.  </w:t>
      </w:r>
      <w:proofErr w:type="spellStart"/>
      <w:r w:rsidRPr="001246BE">
        <w:rPr>
          <w:szCs w:val="26"/>
        </w:rPr>
        <w:t>Encinas</w:t>
      </w:r>
      <w:proofErr w:type="spellEnd"/>
      <w:r w:rsidRPr="001246BE">
        <w:rPr>
          <w:szCs w:val="26"/>
        </w:rPr>
        <w:t xml:space="preserve"> was a shy, loving, helpful child and young man</w:t>
      </w:r>
      <w:r w:rsidRPr="001246BE">
        <w:rPr>
          <w:szCs w:val="26"/>
        </w:rPr>
        <w:t xml:space="preserve">.  </w:t>
      </w:r>
      <w:r w:rsidRPr="001246BE">
        <w:rPr>
          <w:szCs w:val="26"/>
        </w:rPr>
        <w:t xml:space="preserve">He enjoyed a close relationship with his nephew, Edgar, </w:t>
      </w:r>
      <w:proofErr w:type="spellStart"/>
      <w:r w:rsidRPr="001246BE">
        <w:rPr>
          <w:szCs w:val="26"/>
        </w:rPr>
        <w:t>Gamez’s</w:t>
      </w:r>
      <w:proofErr w:type="spellEnd"/>
      <w:r w:rsidRPr="001246BE">
        <w:rPr>
          <w:szCs w:val="26"/>
        </w:rPr>
        <w:t xml:space="preserve"> son.  </w:t>
      </w:r>
      <w:r w:rsidRPr="001246BE">
        <w:rPr>
          <w:szCs w:val="26"/>
        </w:rPr>
        <w:t xml:space="preserve">Edgar, </w:t>
      </w:r>
      <w:r w:rsidRPr="001246BE">
        <w:rPr>
          <w:szCs w:val="26"/>
        </w:rPr>
        <w:t>who was</w:t>
      </w:r>
      <w:r w:rsidRPr="001246BE">
        <w:rPr>
          <w:szCs w:val="26"/>
        </w:rPr>
        <w:t xml:space="preserve"> nineteen</w:t>
      </w:r>
      <w:r w:rsidRPr="001246BE">
        <w:rPr>
          <w:szCs w:val="26"/>
        </w:rPr>
        <w:t xml:space="preserve"> years old</w:t>
      </w:r>
      <w:r w:rsidRPr="001246BE">
        <w:rPr>
          <w:szCs w:val="26"/>
        </w:rPr>
        <w:t xml:space="preserve"> at the time of the trial, continued to sleep in the room they shared, in the bed next to </w:t>
      </w:r>
      <w:proofErr w:type="spellStart"/>
      <w:r w:rsidRPr="001246BE">
        <w:rPr>
          <w:szCs w:val="26"/>
        </w:rPr>
        <w:t>Encinas’s</w:t>
      </w:r>
      <w:proofErr w:type="spellEnd"/>
      <w:r w:rsidRPr="001246BE">
        <w:rPr>
          <w:szCs w:val="26"/>
        </w:rPr>
        <w:t xml:space="preserve"> former bed.  </w:t>
      </w:r>
      <w:r w:rsidRPr="001246BE">
        <w:rPr>
          <w:szCs w:val="26"/>
        </w:rPr>
        <w:t xml:space="preserve">Sergio </w:t>
      </w:r>
      <w:proofErr w:type="spellStart"/>
      <w:r w:rsidRPr="001246BE">
        <w:rPr>
          <w:szCs w:val="26"/>
        </w:rPr>
        <w:t>Encinas</w:t>
      </w:r>
      <w:proofErr w:type="spellEnd"/>
      <w:r w:rsidRPr="001246BE">
        <w:rPr>
          <w:szCs w:val="26"/>
        </w:rPr>
        <w:t xml:space="preserve">, </w:t>
      </w:r>
      <w:proofErr w:type="spellStart"/>
      <w:r w:rsidRPr="001246BE">
        <w:rPr>
          <w:szCs w:val="26"/>
        </w:rPr>
        <w:t>Encinas’s</w:t>
      </w:r>
      <w:proofErr w:type="spellEnd"/>
      <w:r w:rsidRPr="001246BE">
        <w:rPr>
          <w:szCs w:val="26"/>
        </w:rPr>
        <w:t xml:space="preserve"> older brother, testified that </w:t>
      </w:r>
      <w:proofErr w:type="spellStart"/>
      <w:r w:rsidRPr="001246BE">
        <w:rPr>
          <w:szCs w:val="26"/>
        </w:rPr>
        <w:t>Encinas</w:t>
      </w:r>
      <w:proofErr w:type="spellEnd"/>
      <w:r w:rsidRPr="001246BE">
        <w:rPr>
          <w:szCs w:val="26"/>
        </w:rPr>
        <w:t xml:space="preserve"> “was a 300-pound teddy bear.  He was lovable.  Everybody liked him.  Everybody.</w:t>
      </w:r>
      <w:r w:rsidRPr="001246BE">
        <w:rPr>
          <w:szCs w:val="26"/>
        </w:rPr>
        <w:t xml:space="preserve">”  </w:t>
      </w:r>
    </w:p>
    <w:p w:rsidR="001A40C0" w:rsidRPr="001246BE" w:rsidRDefault="00EF4903" w:rsidP="00156ED3">
      <w:pPr>
        <w:spacing w:line="480" w:lineRule="atLeast"/>
        <w:ind w:firstLine="720"/>
        <w:rPr>
          <w:szCs w:val="26"/>
        </w:rPr>
      </w:pPr>
      <w:proofErr w:type="spellStart"/>
      <w:r w:rsidRPr="001246BE">
        <w:rPr>
          <w:szCs w:val="26"/>
        </w:rPr>
        <w:t>Encinas</w:t>
      </w:r>
      <w:proofErr w:type="spellEnd"/>
      <w:r w:rsidRPr="001246BE">
        <w:rPr>
          <w:szCs w:val="26"/>
        </w:rPr>
        <w:t xml:space="preserve"> was to have attended a wedding with his family the day he was shot, but worked instead.  When the family returned home that night, </w:t>
      </w:r>
      <w:proofErr w:type="spellStart"/>
      <w:r w:rsidRPr="001246BE">
        <w:rPr>
          <w:szCs w:val="26"/>
        </w:rPr>
        <w:t>Encinas</w:t>
      </w:r>
      <w:proofErr w:type="spellEnd"/>
      <w:r w:rsidRPr="001246BE">
        <w:rPr>
          <w:szCs w:val="26"/>
        </w:rPr>
        <w:t xml:space="preserve"> still was not home.  </w:t>
      </w:r>
      <w:proofErr w:type="spellStart"/>
      <w:r w:rsidRPr="001246BE">
        <w:rPr>
          <w:szCs w:val="26"/>
        </w:rPr>
        <w:t>Encinas’s</w:t>
      </w:r>
      <w:proofErr w:type="spellEnd"/>
      <w:r w:rsidRPr="001246BE">
        <w:rPr>
          <w:szCs w:val="26"/>
        </w:rPr>
        <w:t xml:space="preserve"> mother waited up for him all night, finally calling </w:t>
      </w:r>
      <w:proofErr w:type="spellStart"/>
      <w:r w:rsidRPr="001246BE">
        <w:rPr>
          <w:szCs w:val="26"/>
        </w:rPr>
        <w:t>Encinas’s</w:t>
      </w:r>
      <w:proofErr w:type="spellEnd"/>
      <w:r w:rsidRPr="001246BE">
        <w:rPr>
          <w:szCs w:val="26"/>
        </w:rPr>
        <w:t xml:space="preserve"> sister aroun</w:t>
      </w:r>
      <w:r w:rsidRPr="001246BE">
        <w:rPr>
          <w:szCs w:val="26"/>
        </w:rPr>
        <w:t>d 6:00</w:t>
      </w:r>
      <w:r>
        <w:rPr>
          <w:szCs w:val="26"/>
        </w:rPr>
        <w:t> </w:t>
      </w:r>
      <w:r w:rsidRPr="001246BE">
        <w:rPr>
          <w:szCs w:val="26"/>
        </w:rPr>
        <w:t xml:space="preserve">a.m. to tell her </w:t>
      </w:r>
      <w:proofErr w:type="spellStart"/>
      <w:r w:rsidRPr="001246BE">
        <w:rPr>
          <w:szCs w:val="26"/>
        </w:rPr>
        <w:t>Encinas</w:t>
      </w:r>
      <w:proofErr w:type="spellEnd"/>
      <w:r w:rsidRPr="001246BE">
        <w:rPr>
          <w:szCs w:val="26"/>
        </w:rPr>
        <w:t xml:space="preserve"> had been shot and was in surgery.  By the time the family arrived at the hospital, </w:t>
      </w:r>
      <w:proofErr w:type="spellStart"/>
      <w:r w:rsidRPr="001246BE">
        <w:rPr>
          <w:szCs w:val="26"/>
        </w:rPr>
        <w:t>Encinas</w:t>
      </w:r>
      <w:proofErr w:type="spellEnd"/>
      <w:r w:rsidRPr="001246BE">
        <w:rPr>
          <w:szCs w:val="26"/>
        </w:rPr>
        <w:t xml:space="preserve"> had died.    </w:t>
      </w:r>
    </w:p>
    <w:p w:rsidR="00156ED3" w:rsidRPr="001246BE" w:rsidRDefault="00EF4903" w:rsidP="00156ED3">
      <w:pPr>
        <w:spacing w:line="480" w:lineRule="atLeast"/>
        <w:ind w:firstLine="720"/>
        <w:rPr>
          <w:szCs w:val="26"/>
        </w:rPr>
      </w:pPr>
      <w:r w:rsidRPr="001246BE">
        <w:rPr>
          <w:szCs w:val="26"/>
        </w:rPr>
        <w:t>Sergio was asked to</w:t>
      </w:r>
      <w:r w:rsidRPr="001246BE">
        <w:rPr>
          <w:szCs w:val="26"/>
        </w:rPr>
        <w:t xml:space="preserve"> </w:t>
      </w:r>
      <w:r w:rsidRPr="001246BE">
        <w:rPr>
          <w:szCs w:val="26"/>
        </w:rPr>
        <w:t>identify his brother’s body</w:t>
      </w:r>
      <w:r w:rsidRPr="001246BE">
        <w:rPr>
          <w:szCs w:val="26"/>
        </w:rPr>
        <w:t>.</w:t>
      </w:r>
      <w:r w:rsidRPr="001246BE">
        <w:rPr>
          <w:szCs w:val="26"/>
        </w:rPr>
        <w:t xml:space="preserve">  </w:t>
      </w:r>
      <w:r w:rsidRPr="001246BE">
        <w:rPr>
          <w:szCs w:val="26"/>
        </w:rPr>
        <w:t>Sergio testified that he</w:t>
      </w:r>
      <w:r w:rsidRPr="001246BE">
        <w:rPr>
          <w:szCs w:val="26"/>
        </w:rPr>
        <w:t xml:space="preserve"> was taken to the morgue, saw his brother’s d</w:t>
      </w:r>
      <w:r w:rsidRPr="001246BE">
        <w:rPr>
          <w:szCs w:val="26"/>
        </w:rPr>
        <w:t xml:space="preserve">ead </w:t>
      </w:r>
      <w:r w:rsidRPr="001246BE">
        <w:rPr>
          <w:szCs w:val="26"/>
        </w:rPr>
        <w:t>body</w:t>
      </w:r>
      <w:r w:rsidRPr="001246BE">
        <w:rPr>
          <w:szCs w:val="26"/>
        </w:rPr>
        <w:t xml:space="preserve">, and had to inform his parents and family that </w:t>
      </w:r>
      <w:proofErr w:type="spellStart"/>
      <w:r w:rsidRPr="001246BE">
        <w:rPr>
          <w:szCs w:val="26"/>
        </w:rPr>
        <w:t>Encinas</w:t>
      </w:r>
      <w:proofErr w:type="spellEnd"/>
      <w:r w:rsidRPr="001246BE">
        <w:rPr>
          <w:szCs w:val="26"/>
        </w:rPr>
        <w:t xml:space="preserve"> had died.  Sergio described the experience as very painful</w:t>
      </w:r>
      <w:r w:rsidRPr="001246BE">
        <w:rPr>
          <w:szCs w:val="26"/>
        </w:rPr>
        <w:t xml:space="preserve">: </w:t>
      </w:r>
      <w:r w:rsidRPr="001246BE">
        <w:rPr>
          <w:szCs w:val="26"/>
        </w:rPr>
        <w:t xml:space="preserve"> “it ruined me, too, physically, mentally, telling, you know, your mom, your dad, your brother, your uncle, ‘he will never be here. </w:t>
      </w:r>
      <w:r w:rsidRPr="001246BE">
        <w:rPr>
          <w:szCs w:val="26"/>
        </w:rPr>
        <w:t xml:space="preserve">You will never see him alive.’ ”  </w:t>
      </w:r>
    </w:p>
    <w:p w:rsidR="00156ED3" w:rsidRPr="001246BE" w:rsidRDefault="00EF4903" w:rsidP="00156ED3">
      <w:pPr>
        <w:spacing w:line="480" w:lineRule="atLeast"/>
        <w:ind w:firstLine="720"/>
        <w:rPr>
          <w:szCs w:val="26"/>
        </w:rPr>
      </w:pPr>
      <w:proofErr w:type="spellStart"/>
      <w:r w:rsidRPr="001246BE">
        <w:rPr>
          <w:szCs w:val="26"/>
        </w:rPr>
        <w:t>Encinas’s</w:t>
      </w:r>
      <w:proofErr w:type="spellEnd"/>
      <w:r w:rsidRPr="001246BE">
        <w:rPr>
          <w:szCs w:val="26"/>
        </w:rPr>
        <w:t xml:space="preserve"> mother and father</w:t>
      </w:r>
      <w:r w:rsidRPr="001246BE">
        <w:rPr>
          <w:szCs w:val="26"/>
        </w:rPr>
        <w:t xml:space="preserve"> became </w:t>
      </w:r>
      <w:r w:rsidRPr="001246BE">
        <w:rPr>
          <w:szCs w:val="26"/>
        </w:rPr>
        <w:t xml:space="preserve">ill </w:t>
      </w:r>
      <w:r w:rsidRPr="001246BE">
        <w:rPr>
          <w:szCs w:val="26"/>
        </w:rPr>
        <w:t>following t</w:t>
      </w:r>
      <w:r w:rsidRPr="001246BE">
        <w:rPr>
          <w:szCs w:val="26"/>
        </w:rPr>
        <w:t xml:space="preserve">heir son’s death.  </w:t>
      </w:r>
      <w:proofErr w:type="spellStart"/>
      <w:r w:rsidRPr="001246BE">
        <w:rPr>
          <w:szCs w:val="26"/>
        </w:rPr>
        <w:t>Encinas’s</w:t>
      </w:r>
      <w:proofErr w:type="spellEnd"/>
      <w:r w:rsidRPr="001246BE">
        <w:rPr>
          <w:szCs w:val="26"/>
        </w:rPr>
        <w:t xml:space="preserve"> father was so emotional following </w:t>
      </w:r>
      <w:proofErr w:type="spellStart"/>
      <w:r w:rsidRPr="001246BE">
        <w:rPr>
          <w:szCs w:val="26"/>
        </w:rPr>
        <w:t>Encinas’s</w:t>
      </w:r>
      <w:proofErr w:type="spellEnd"/>
      <w:r w:rsidRPr="001246BE">
        <w:rPr>
          <w:szCs w:val="26"/>
        </w:rPr>
        <w:t xml:space="preserve"> death that the family decided not to tell him when the trial was taking place, fearing for his hea</w:t>
      </w:r>
      <w:r w:rsidRPr="001246BE">
        <w:rPr>
          <w:szCs w:val="26"/>
        </w:rPr>
        <w:t>lth and the potentially exaggerated nature of his reaction</w:t>
      </w:r>
      <w:r w:rsidRPr="001246BE">
        <w:rPr>
          <w:szCs w:val="26"/>
        </w:rPr>
        <w:t xml:space="preserve"> were he to attend the trial</w:t>
      </w:r>
      <w:r w:rsidRPr="001246BE">
        <w:rPr>
          <w:szCs w:val="26"/>
        </w:rPr>
        <w:t xml:space="preserve">.  </w:t>
      </w:r>
      <w:proofErr w:type="spellStart"/>
      <w:r w:rsidRPr="001246BE">
        <w:rPr>
          <w:szCs w:val="26"/>
        </w:rPr>
        <w:t>Encinas’s</w:t>
      </w:r>
      <w:proofErr w:type="spellEnd"/>
      <w:r w:rsidRPr="001246BE">
        <w:rPr>
          <w:szCs w:val="26"/>
        </w:rPr>
        <w:t xml:space="preserve"> mother was too ill to attend the trial, although she knew when it was tak</w:t>
      </w:r>
      <w:r w:rsidRPr="001246BE">
        <w:rPr>
          <w:szCs w:val="26"/>
        </w:rPr>
        <w:t xml:space="preserve">ing place.  </w:t>
      </w:r>
      <w:r w:rsidRPr="001246BE">
        <w:rPr>
          <w:szCs w:val="26"/>
        </w:rPr>
        <w:t xml:space="preserve">Sergio </w:t>
      </w:r>
      <w:proofErr w:type="spellStart"/>
      <w:r w:rsidRPr="001246BE">
        <w:rPr>
          <w:szCs w:val="26"/>
        </w:rPr>
        <w:t>Encinas</w:t>
      </w:r>
      <w:proofErr w:type="spellEnd"/>
      <w:r w:rsidRPr="001246BE">
        <w:rPr>
          <w:szCs w:val="26"/>
        </w:rPr>
        <w:t xml:space="preserve"> also suffered physical ailments as a result of his brothe</w:t>
      </w:r>
      <w:r w:rsidRPr="001246BE">
        <w:rPr>
          <w:szCs w:val="26"/>
        </w:rPr>
        <w:t xml:space="preserve">r’s death, including ulcers and headaches.  </w:t>
      </w:r>
      <w:proofErr w:type="spellStart"/>
      <w:r w:rsidRPr="001246BE">
        <w:rPr>
          <w:szCs w:val="26"/>
        </w:rPr>
        <w:t>Encinas’s</w:t>
      </w:r>
      <w:proofErr w:type="spellEnd"/>
      <w:r w:rsidRPr="001246BE">
        <w:rPr>
          <w:szCs w:val="26"/>
        </w:rPr>
        <w:t xml:space="preserve"> family views his death as a pain that can never be healed.  </w:t>
      </w:r>
    </w:p>
    <w:p w:rsidR="00156ED3" w:rsidRPr="00156ED3" w:rsidRDefault="00EF4903" w:rsidP="00156ED3">
      <w:pPr>
        <w:spacing w:line="480" w:lineRule="atLeast"/>
        <w:ind w:firstLine="720"/>
      </w:pPr>
      <w:r w:rsidRPr="001246BE">
        <w:rPr>
          <w:szCs w:val="26"/>
        </w:rPr>
        <w:t xml:space="preserve">Beltran, </w:t>
      </w:r>
      <w:proofErr w:type="spellStart"/>
      <w:r w:rsidRPr="001246BE">
        <w:rPr>
          <w:szCs w:val="26"/>
        </w:rPr>
        <w:t>Encinas’s</w:t>
      </w:r>
      <w:proofErr w:type="spellEnd"/>
      <w:r w:rsidRPr="001246BE">
        <w:rPr>
          <w:szCs w:val="26"/>
        </w:rPr>
        <w:t xml:space="preserve"> girlfriend, testified about how she was affected by his death.  The two had planned to marry and dreamed of having childre</w:t>
      </w:r>
      <w:r w:rsidRPr="001246BE">
        <w:rPr>
          <w:szCs w:val="26"/>
        </w:rPr>
        <w:t xml:space="preserve">n together.  Beltran </w:t>
      </w:r>
      <w:r>
        <w:rPr>
          <w:szCs w:val="26"/>
        </w:rPr>
        <w:t>felt</w:t>
      </w:r>
      <w:r w:rsidRPr="001246BE">
        <w:rPr>
          <w:szCs w:val="26"/>
        </w:rPr>
        <w:t xml:space="preserve"> guilty in the wake of his murder, believing that if she had not paged him, he would still be alive.  She has not been able to forgive herself.  </w:t>
      </w:r>
    </w:p>
    <w:p w:rsidR="00156ED3"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13" w:name="_Toc511210385"/>
      <w:r w:rsidRPr="001246BE">
        <w:rPr>
          <w:rFonts w:ascii="Times New Roman" w:hAnsi="Times New Roman"/>
        </w:rPr>
        <w:t>4.</w:t>
      </w:r>
      <w:r w:rsidRPr="001246BE">
        <w:rPr>
          <w:rFonts w:ascii="Times New Roman" w:hAnsi="Times New Roman"/>
        </w:rPr>
        <w:tab/>
      </w:r>
      <w:proofErr w:type="spellStart"/>
      <w:r w:rsidRPr="001246BE">
        <w:rPr>
          <w:rFonts w:ascii="Times New Roman" w:hAnsi="Times New Roman"/>
        </w:rPr>
        <w:t>Urrutia</w:t>
      </w:r>
      <w:proofErr w:type="spellEnd"/>
      <w:r w:rsidRPr="001246BE">
        <w:rPr>
          <w:rFonts w:ascii="Times New Roman" w:hAnsi="Times New Roman"/>
        </w:rPr>
        <w:t xml:space="preserve"> Victim Impact Evidence</w:t>
      </w:r>
      <w:bookmarkEnd w:id="13"/>
    </w:p>
    <w:p w:rsidR="00156ED3" w:rsidRPr="001246BE" w:rsidRDefault="00EF4903" w:rsidP="00156ED3">
      <w:pPr>
        <w:spacing w:line="480" w:lineRule="atLeast"/>
        <w:ind w:firstLine="720"/>
        <w:rPr>
          <w:szCs w:val="26"/>
        </w:rPr>
      </w:pPr>
      <w:proofErr w:type="spellStart"/>
      <w:r w:rsidRPr="001246BE">
        <w:rPr>
          <w:szCs w:val="26"/>
        </w:rPr>
        <w:t>Urrutia’s</w:t>
      </w:r>
      <w:proofErr w:type="spellEnd"/>
      <w:r w:rsidRPr="001246BE">
        <w:rPr>
          <w:szCs w:val="26"/>
        </w:rPr>
        <w:t xml:space="preserve"> sister, Olivia Perez, testified that </w:t>
      </w:r>
      <w:proofErr w:type="spellStart"/>
      <w:r w:rsidRPr="001246BE">
        <w:rPr>
          <w:szCs w:val="26"/>
        </w:rPr>
        <w:t>Ur</w:t>
      </w:r>
      <w:r w:rsidRPr="001246BE">
        <w:rPr>
          <w:szCs w:val="26"/>
        </w:rPr>
        <w:t>rutia</w:t>
      </w:r>
      <w:proofErr w:type="spellEnd"/>
      <w:r w:rsidRPr="001246BE">
        <w:rPr>
          <w:szCs w:val="26"/>
        </w:rPr>
        <w:t xml:space="preserve"> dreamed of becoming a police officer.  </w:t>
      </w:r>
      <w:proofErr w:type="spellStart"/>
      <w:r w:rsidRPr="001246BE">
        <w:rPr>
          <w:szCs w:val="26"/>
        </w:rPr>
        <w:t>Urrutia</w:t>
      </w:r>
      <w:proofErr w:type="spellEnd"/>
      <w:r w:rsidRPr="001246BE">
        <w:rPr>
          <w:szCs w:val="26"/>
        </w:rPr>
        <w:t xml:space="preserve"> attended Long Beach </w:t>
      </w:r>
      <w:r>
        <w:rPr>
          <w:szCs w:val="26"/>
        </w:rPr>
        <w:t xml:space="preserve">City </w:t>
      </w:r>
      <w:r w:rsidRPr="001246BE">
        <w:rPr>
          <w:szCs w:val="26"/>
        </w:rPr>
        <w:t xml:space="preserve">College after graduating from high school and passed the test for </w:t>
      </w:r>
      <w:r w:rsidRPr="001246BE">
        <w:rPr>
          <w:szCs w:val="26"/>
        </w:rPr>
        <w:t xml:space="preserve">the </w:t>
      </w:r>
      <w:r w:rsidRPr="001246BE">
        <w:rPr>
          <w:szCs w:val="26"/>
        </w:rPr>
        <w:t>Long Beach City</w:t>
      </w:r>
      <w:r w:rsidRPr="001246BE">
        <w:rPr>
          <w:szCs w:val="26"/>
        </w:rPr>
        <w:t xml:space="preserve"> Police Department</w:t>
      </w:r>
      <w:r w:rsidRPr="001246BE">
        <w:rPr>
          <w:szCs w:val="26"/>
        </w:rPr>
        <w:t xml:space="preserve"> before he had reached the minimum age of eligibility.  He passed the test for the Los Angeles Police Department four months prior to his death.  Out of deference to his parents, who feared for his safety and required his financial assistance, he continued</w:t>
      </w:r>
      <w:r w:rsidRPr="001246BE">
        <w:rPr>
          <w:szCs w:val="26"/>
        </w:rPr>
        <w:t xml:space="preserve"> to put off his dream of becoming a police officer, working as a loan representative in the </w:t>
      </w:r>
      <w:r w:rsidRPr="001246BE">
        <w:rPr>
          <w:szCs w:val="26"/>
        </w:rPr>
        <w:t xml:space="preserve">meantime.  </w:t>
      </w:r>
      <w:proofErr w:type="spellStart"/>
      <w:r w:rsidRPr="001246BE">
        <w:rPr>
          <w:szCs w:val="26"/>
        </w:rPr>
        <w:t>Urrutia</w:t>
      </w:r>
      <w:proofErr w:type="spellEnd"/>
      <w:r w:rsidRPr="001246BE">
        <w:rPr>
          <w:szCs w:val="26"/>
        </w:rPr>
        <w:t xml:space="preserve"> was honored posthumously:  h</w:t>
      </w:r>
      <w:r w:rsidRPr="001246BE">
        <w:rPr>
          <w:szCs w:val="26"/>
        </w:rPr>
        <w:t>is workplace closed for a week in the wake of his death</w:t>
      </w:r>
      <w:r w:rsidRPr="001246BE">
        <w:rPr>
          <w:szCs w:val="26"/>
        </w:rPr>
        <w:t>, and</w:t>
      </w:r>
      <w:r w:rsidRPr="001246BE">
        <w:rPr>
          <w:szCs w:val="26"/>
        </w:rPr>
        <w:t xml:space="preserve"> Long Beach City College erected a mural in </w:t>
      </w:r>
      <w:r w:rsidRPr="001246BE">
        <w:rPr>
          <w:szCs w:val="26"/>
        </w:rPr>
        <w:t>his</w:t>
      </w:r>
      <w:r w:rsidRPr="001246BE">
        <w:rPr>
          <w:szCs w:val="26"/>
        </w:rPr>
        <w:t xml:space="preserve"> honor for</w:t>
      </w:r>
      <w:r w:rsidRPr="001246BE">
        <w:rPr>
          <w:szCs w:val="26"/>
        </w:rPr>
        <w:t xml:space="preserve"> the month of September</w:t>
      </w:r>
      <w:r w:rsidRPr="001246BE">
        <w:rPr>
          <w:szCs w:val="26"/>
        </w:rPr>
        <w:t xml:space="preserve"> 1997</w:t>
      </w:r>
      <w:r w:rsidRPr="001246BE">
        <w:rPr>
          <w:szCs w:val="26"/>
        </w:rPr>
        <w:t>.</w:t>
      </w:r>
    </w:p>
    <w:p w:rsidR="00156ED3" w:rsidRPr="001246BE" w:rsidRDefault="00EF4903" w:rsidP="00156ED3">
      <w:pPr>
        <w:spacing w:line="480" w:lineRule="atLeast"/>
        <w:ind w:firstLine="720"/>
        <w:rPr>
          <w:szCs w:val="26"/>
        </w:rPr>
      </w:pPr>
      <w:proofErr w:type="spellStart"/>
      <w:r w:rsidRPr="001246BE">
        <w:rPr>
          <w:szCs w:val="26"/>
        </w:rPr>
        <w:t>Urrutia’s</w:t>
      </w:r>
      <w:proofErr w:type="spellEnd"/>
      <w:r w:rsidRPr="001246BE">
        <w:rPr>
          <w:szCs w:val="26"/>
        </w:rPr>
        <w:t xml:space="preserve"> sister testified regarding childhood photographs of her brother.  The photos depicted </w:t>
      </w:r>
      <w:proofErr w:type="spellStart"/>
      <w:r w:rsidRPr="001246BE">
        <w:rPr>
          <w:szCs w:val="26"/>
        </w:rPr>
        <w:t>Urrutia’s</w:t>
      </w:r>
      <w:proofErr w:type="spellEnd"/>
      <w:r w:rsidRPr="001246BE">
        <w:rPr>
          <w:szCs w:val="26"/>
        </w:rPr>
        <w:t xml:space="preserve"> first communion and high school graduation, as well as photos of him as a child, with his f</w:t>
      </w:r>
      <w:r w:rsidRPr="001246BE">
        <w:rPr>
          <w:szCs w:val="26"/>
        </w:rPr>
        <w:t xml:space="preserve">amily, and at work.  </w:t>
      </w:r>
      <w:proofErr w:type="spellStart"/>
      <w:r w:rsidRPr="001246BE">
        <w:rPr>
          <w:szCs w:val="26"/>
        </w:rPr>
        <w:t>Urrutia</w:t>
      </w:r>
      <w:proofErr w:type="spellEnd"/>
      <w:r w:rsidRPr="001246BE">
        <w:rPr>
          <w:szCs w:val="26"/>
        </w:rPr>
        <w:t xml:space="preserve"> </w:t>
      </w:r>
      <w:r w:rsidRPr="001246BE">
        <w:rPr>
          <w:szCs w:val="26"/>
        </w:rPr>
        <w:t xml:space="preserve">joined the Explorer Scouts as a child.  He volunteered as an interpreter at St. Mary’s Hospital, assisting with Spanish translation between patients and doctors.  </w:t>
      </w:r>
      <w:proofErr w:type="spellStart"/>
      <w:r w:rsidRPr="001246BE">
        <w:rPr>
          <w:szCs w:val="26"/>
        </w:rPr>
        <w:t>Urrutia</w:t>
      </w:r>
      <w:proofErr w:type="spellEnd"/>
      <w:r w:rsidRPr="001246BE">
        <w:rPr>
          <w:szCs w:val="26"/>
        </w:rPr>
        <w:t xml:space="preserve"> also volunteered o</w:t>
      </w:r>
      <w:r w:rsidRPr="001246BE">
        <w:rPr>
          <w:szCs w:val="26"/>
        </w:rPr>
        <w:t xml:space="preserve">n a neighborhood committee to clean the area and rebuild </w:t>
      </w:r>
      <w:r w:rsidRPr="001246BE">
        <w:rPr>
          <w:szCs w:val="26"/>
        </w:rPr>
        <w:t>local</w:t>
      </w:r>
      <w:r w:rsidRPr="001246BE">
        <w:rPr>
          <w:szCs w:val="26"/>
        </w:rPr>
        <w:t xml:space="preserve"> home</w:t>
      </w:r>
      <w:r w:rsidRPr="001246BE">
        <w:rPr>
          <w:szCs w:val="26"/>
        </w:rPr>
        <w:t xml:space="preserve">s.  </w:t>
      </w:r>
    </w:p>
    <w:p w:rsidR="00156ED3" w:rsidRPr="001246BE" w:rsidRDefault="00EF4903" w:rsidP="00156ED3">
      <w:pPr>
        <w:spacing w:line="480" w:lineRule="atLeast"/>
        <w:ind w:firstLine="720"/>
        <w:rPr>
          <w:szCs w:val="26"/>
        </w:rPr>
      </w:pPr>
      <w:proofErr w:type="spellStart"/>
      <w:r w:rsidRPr="001246BE">
        <w:rPr>
          <w:szCs w:val="26"/>
        </w:rPr>
        <w:t>Urrutia</w:t>
      </w:r>
      <w:proofErr w:type="spellEnd"/>
      <w:r w:rsidRPr="001246BE">
        <w:rPr>
          <w:szCs w:val="26"/>
        </w:rPr>
        <w:t xml:space="preserve"> and </w:t>
      </w:r>
      <w:proofErr w:type="spellStart"/>
      <w:r w:rsidRPr="001246BE">
        <w:rPr>
          <w:szCs w:val="26"/>
        </w:rPr>
        <w:t>Encinas</w:t>
      </w:r>
      <w:proofErr w:type="spellEnd"/>
      <w:r w:rsidRPr="001246BE">
        <w:rPr>
          <w:szCs w:val="26"/>
        </w:rPr>
        <w:t xml:space="preserve"> played football together.  </w:t>
      </w:r>
      <w:proofErr w:type="spellStart"/>
      <w:r w:rsidRPr="001246BE">
        <w:rPr>
          <w:szCs w:val="26"/>
        </w:rPr>
        <w:t>Urrutia’s</w:t>
      </w:r>
      <w:proofErr w:type="spellEnd"/>
      <w:r w:rsidRPr="001246BE">
        <w:rPr>
          <w:szCs w:val="26"/>
        </w:rPr>
        <w:t xml:space="preserve"> nephew, Javier Soto, was two years younger than </w:t>
      </w:r>
      <w:proofErr w:type="spellStart"/>
      <w:r w:rsidRPr="001246BE">
        <w:rPr>
          <w:szCs w:val="26"/>
        </w:rPr>
        <w:t>Urrutia</w:t>
      </w:r>
      <w:proofErr w:type="spellEnd"/>
      <w:r w:rsidRPr="001246BE">
        <w:rPr>
          <w:szCs w:val="26"/>
        </w:rPr>
        <w:t xml:space="preserve"> and played sports and attended school with him.  Soto recalled that the group of friends of which </w:t>
      </w:r>
      <w:proofErr w:type="spellStart"/>
      <w:r w:rsidRPr="001246BE">
        <w:rPr>
          <w:szCs w:val="26"/>
        </w:rPr>
        <w:t>Urrutia</w:t>
      </w:r>
      <w:proofErr w:type="spellEnd"/>
      <w:r w:rsidRPr="001246BE">
        <w:rPr>
          <w:szCs w:val="26"/>
        </w:rPr>
        <w:t xml:space="preserve"> and </w:t>
      </w:r>
      <w:proofErr w:type="spellStart"/>
      <w:r w:rsidRPr="001246BE">
        <w:rPr>
          <w:szCs w:val="26"/>
        </w:rPr>
        <w:t>Encinas</w:t>
      </w:r>
      <w:proofErr w:type="spellEnd"/>
      <w:r w:rsidRPr="001246BE">
        <w:rPr>
          <w:szCs w:val="26"/>
        </w:rPr>
        <w:t xml:space="preserve"> were a part was “unb</w:t>
      </w:r>
      <w:r w:rsidRPr="001246BE">
        <w:rPr>
          <w:szCs w:val="26"/>
        </w:rPr>
        <w:t xml:space="preserve">elievable,” and Soto misses </w:t>
      </w:r>
      <w:proofErr w:type="spellStart"/>
      <w:r w:rsidRPr="001246BE">
        <w:rPr>
          <w:szCs w:val="26"/>
        </w:rPr>
        <w:t>Urrutia</w:t>
      </w:r>
      <w:proofErr w:type="spellEnd"/>
      <w:r w:rsidRPr="001246BE">
        <w:rPr>
          <w:szCs w:val="26"/>
        </w:rPr>
        <w:t xml:space="preserve"> every day.    </w:t>
      </w:r>
    </w:p>
    <w:p w:rsidR="00156ED3" w:rsidRPr="00156ED3" w:rsidRDefault="00EF4903" w:rsidP="00156ED3">
      <w:pPr>
        <w:spacing w:line="480" w:lineRule="atLeast"/>
        <w:ind w:firstLine="720"/>
      </w:pPr>
      <w:proofErr w:type="spellStart"/>
      <w:r w:rsidRPr="001246BE">
        <w:rPr>
          <w:szCs w:val="26"/>
        </w:rPr>
        <w:t>Urrutia’s</w:t>
      </w:r>
      <w:proofErr w:type="spellEnd"/>
      <w:r w:rsidRPr="001246BE">
        <w:rPr>
          <w:szCs w:val="26"/>
        </w:rPr>
        <w:t xml:space="preserve"> mother, Virginia </w:t>
      </w:r>
      <w:proofErr w:type="spellStart"/>
      <w:r w:rsidRPr="001246BE">
        <w:rPr>
          <w:szCs w:val="26"/>
        </w:rPr>
        <w:t>Urrutia</w:t>
      </w:r>
      <w:proofErr w:type="spellEnd"/>
      <w:r w:rsidRPr="001246BE">
        <w:rPr>
          <w:szCs w:val="26"/>
        </w:rPr>
        <w:t xml:space="preserve">, testified about her close relationship with her son, who attended church with her weekly.  </w:t>
      </w:r>
      <w:proofErr w:type="spellStart"/>
      <w:r w:rsidRPr="001246BE">
        <w:rPr>
          <w:szCs w:val="26"/>
        </w:rPr>
        <w:t>Urrutia</w:t>
      </w:r>
      <w:proofErr w:type="spellEnd"/>
      <w:r w:rsidRPr="001246BE">
        <w:rPr>
          <w:szCs w:val="26"/>
        </w:rPr>
        <w:t xml:space="preserve"> had </w:t>
      </w:r>
      <w:r w:rsidRPr="001246BE">
        <w:rPr>
          <w:szCs w:val="26"/>
        </w:rPr>
        <w:t xml:space="preserve">also </w:t>
      </w:r>
      <w:r w:rsidRPr="001246BE">
        <w:rPr>
          <w:szCs w:val="26"/>
        </w:rPr>
        <w:t xml:space="preserve">been close with his father until his father’s death.  </w:t>
      </w:r>
      <w:proofErr w:type="spellStart"/>
      <w:r w:rsidRPr="001246BE">
        <w:rPr>
          <w:szCs w:val="26"/>
        </w:rPr>
        <w:t>Urrutia</w:t>
      </w:r>
      <w:proofErr w:type="spellEnd"/>
      <w:r w:rsidRPr="001246BE">
        <w:rPr>
          <w:szCs w:val="26"/>
        </w:rPr>
        <w:t xml:space="preserve"> had</w:t>
      </w:r>
      <w:r w:rsidRPr="001246BE">
        <w:rPr>
          <w:szCs w:val="26"/>
        </w:rPr>
        <w:t xml:space="preserve"> helped his family </w:t>
      </w:r>
      <w:r w:rsidRPr="001246BE">
        <w:rPr>
          <w:szCs w:val="26"/>
        </w:rPr>
        <w:t>care for the</w:t>
      </w:r>
      <w:r w:rsidRPr="001246BE">
        <w:rPr>
          <w:szCs w:val="26"/>
        </w:rPr>
        <w:t xml:space="preserve"> father’s grave.  </w:t>
      </w:r>
      <w:proofErr w:type="spellStart"/>
      <w:r w:rsidRPr="001246BE">
        <w:rPr>
          <w:szCs w:val="26"/>
        </w:rPr>
        <w:t>Urrutia’s</w:t>
      </w:r>
      <w:proofErr w:type="spellEnd"/>
      <w:r w:rsidRPr="001246BE">
        <w:rPr>
          <w:szCs w:val="26"/>
        </w:rPr>
        <w:t xml:space="preserve"> mother fondly remembers </w:t>
      </w:r>
      <w:proofErr w:type="spellStart"/>
      <w:r w:rsidRPr="001246BE">
        <w:rPr>
          <w:szCs w:val="26"/>
        </w:rPr>
        <w:t>Urrutia’s</w:t>
      </w:r>
      <w:proofErr w:type="spellEnd"/>
      <w:r w:rsidRPr="001246BE">
        <w:rPr>
          <w:szCs w:val="26"/>
        </w:rPr>
        <w:t xml:space="preserve"> time as an altar boy between th</w:t>
      </w:r>
      <w:r w:rsidRPr="001246BE">
        <w:rPr>
          <w:szCs w:val="26"/>
        </w:rPr>
        <w:t xml:space="preserve">e ages of seven and twelve.  </w:t>
      </w:r>
      <w:proofErr w:type="spellStart"/>
      <w:r w:rsidRPr="001246BE">
        <w:rPr>
          <w:szCs w:val="26"/>
        </w:rPr>
        <w:t>Urrutia</w:t>
      </w:r>
      <w:proofErr w:type="spellEnd"/>
      <w:r w:rsidRPr="001246BE">
        <w:rPr>
          <w:szCs w:val="26"/>
        </w:rPr>
        <w:t xml:space="preserve"> lived with his mother at the time of his death, and she recalled waiting up for him many ni</w:t>
      </w:r>
      <w:r w:rsidRPr="001246BE">
        <w:rPr>
          <w:szCs w:val="26"/>
        </w:rPr>
        <w:t xml:space="preserve">ghts, including the night he died.  </w:t>
      </w:r>
    </w:p>
    <w:p w:rsidR="00156ED3"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14" w:name="_Toc511210386"/>
      <w:r w:rsidRPr="001246BE">
        <w:rPr>
          <w:rFonts w:ascii="Times New Roman" w:hAnsi="Times New Roman"/>
        </w:rPr>
        <w:t>5.</w:t>
      </w:r>
      <w:r w:rsidRPr="001246BE">
        <w:rPr>
          <w:rFonts w:ascii="Times New Roman" w:hAnsi="Times New Roman"/>
        </w:rPr>
        <w:tab/>
        <w:t>Rangel Mitigating Evidence</w:t>
      </w:r>
      <w:bookmarkEnd w:id="14"/>
    </w:p>
    <w:p w:rsidR="001F681D" w:rsidRPr="001246BE" w:rsidRDefault="00EF4903" w:rsidP="001F681D">
      <w:pPr>
        <w:spacing w:line="480" w:lineRule="atLeast"/>
        <w:ind w:firstLine="720"/>
        <w:rPr>
          <w:szCs w:val="26"/>
        </w:rPr>
      </w:pPr>
      <w:r w:rsidRPr="001246BE">
        <w:rPr>
          <w:szCs w:val="26"/>
        </w:rPr>
        <w:t>Rangel’s mother</w:t>
      </w:r>
      <w:r>
        <w:rPr>
          <w:szCs w:val="26"/>
        </w:rPr>
        <w:t xml:space="preserve"> </w:t>
      </w:r>
      <w:r w:rsidRPr="001246BE">
        <w:rPr>
          <w:szCs w:val="26"/>
        </w:rPr>
        <w:t xml:space="preserve">testified that she began living with Rangel’s father, Ruben Gomez Rangel, when she was 17 years old.  </w:t>
      </w:r>
      <w:r w:rsidRPr="001246BE">
        <w:rPr>
          <w:szCs w:val="26"/>
        </w:rPr>
        <w:t xml:space="preserve">After </w:t>
      </w:r>
      <w:r>
        <w:rPr>
          <w:szCs w:val="26"/>
        </w:rPr>
        <w:t>her</w:t>
      </w:r>
      <w:r w:rsidRPr="001246BE">
        <w:rPr>
          <w:szCs w:val="26"/>
        </w:rPr>
        <w:t xml:space="preserve"> mother</w:t>
      </w:r>
      <w:r w:rsidRPr="001246BE">
        <w:rPr>
          <w:szCs w:val="26"/>
        </w:rPr>
        <w:t xml:space="preserve"> died when </w:t>
      </w:r>
      <w:r w:rsidRPr="001246BE">
        <w:rPr>
          <w:szCs w:val="26"/>
        </w:rPr>
        <w:t>she</w:t>
      </w:r>
      <w:r w:rsidRPr="001246BE">
        <w:rPr>
          <w:szCs w:val="26"/>
        </w:rPr>
        <w:t xml:space="preserve"> </w:t>
      </w:r>
      <w:r w:rsidRPr="001246BE">
        <w:rPr>
          <w:szCs w:val="26"/>
        </w:rPr>
        <w:t xml:space="preserve">was a child, </w:t>
      </w:r>
      <w:r>
        <w:rPr>
          <w:szCs w:val="26"/>
        </w:rPr>
        <w:t>Rangel’s mother</w:t>
      </w:r>
      <w:r w:rsidRPr="001246BE">
        <w:rPr>
          <w:szCs w:val="26"/>
        </w:rPr>
        <w:t xml:space="preserve"> </w:t>
      </w:r>
      <w:r w:rsidRPr="001246BE">
        <w:rPr>
          <w:szCs w:val="26"/>
        </w:rPr>
        <w:t xml:space="preserve">grew weary of acting as a parent to her four younger sisters.  </w:t>
      </w:r>
      <w:r>
        <w:rPr>
          <w:szCs w:val="26"/>
        </w:rPr>
        <w:t xml:space="preserve">Living with relatives and alone, </w:t>
      </w:r>
      <w:r w:rsidRPr="001246BE">
        <w:rPr>
          <w:szCs w:val="26"/>
        </w:rPr>
        <w:t>Rangel’s parents</w:t>
      </w:r>
      <w:r w:rsidRPr="001246BE">
        <w:rPr>
          <w:szCs w:val="26"/>
        </w:rPr>
        <w:t xml:space="preserve"> </w:t>
      </w:r>
      <w:r w:rsidRPr="001246BE">
        <w:rPr>
          <w:szCs w:val="26"/>
        </w:rPr>
        <w:t xml:space="preserve">changed residence about four times before Rangel was born in 1975.  </w:t>
      </w:r>
      <w:r w:rsidRPr="001246BE">
        <w:rPr>
          <w:szCs w:val="26"/>
        </w:rPr>
        <w:t>Rangel also has a</w:t>
      </w:r>
      <w:r w:rsidRPr="001246BE">
        <w:rPr>
          <w:szCs w:val="26"/>
        </w:rPr>
        <w:t>n older</w:t>
      </w:r>
      <w:r w:rsidRPr="001246BE">
        <w:rPr>
          <w:szCs w:val="26"/>
        </w:rPr>
        <w:t xml:space="preserve"> sister, Carmen, bo</w:t>
      </w:r>
      <w:r w:rsidRPr="001246BE">
        <w:rPr>
          <w:szCs w:val="26"/>
        </w:rPr>
        <w:t xml:space="preserve">rn three years before him.  </w:t>
      </w:r>
      <w:r w:rsidRPr="001246BE">
        <w:rPr>
          <w:szCs w:val="26"/>
        </w:rPr>
        <w:t xml:space="preserve">  </w:t>
      </w:r>
    </w:p>
    <w:p w:rsidR="009442CB" w:rsidRPr="001246BE" w:rsidRDefault="00EF4903" w:rsidP="001F681D">
      <w:pPr>
        <w:spacing w:line="480" w:lineRule="atLeast"/>
        <w:ind w:firstLine="720"/>
        <w:rPr>
          <w:szCs w:val="26"/>
        </w:rPr>
      </w:pPr>
      <w:r>
        <w:rPr>
          <w:szCs w:val="26"/>
        </w:rPr>
        <w:t>R</w:t>
      </w:r>
      <w:r>
        <w:rPr>
          <w:szCs w:val="26"/>
        </w:rPr>
        <w:t>angel’s</w:t>
      </w:r>
      <w:r w:rsidRPr="001246BE">
        <w:rPr>
          <w:szCs w:val="26"/>
        </w:rPr>
        <w:t xml:space="preserve"> parents </w:t>
      </w:r>
      <w:r w:rsidRPr="001246BE">
        <w:rPr>
          <w:szCs w:val="26"/>
        </w:rPr>
        <w:t xml:space="preserve">abused </w:t>
      </w:r>
      <w:r w:rsidRPr="001246BE">
        <w:rPr>
          <w:szCs w:val="26"/>
        </w:rPr>
        <w:t>alcohol and</w:t>
      </w:r>
      <w:r>
        <w:rPr>
          <w:szCs w:val="26"/>
        </w:rPr>
        <w:t>,</w:t>
      </w:r>
      <w:r>
        <w:rPr>
          <w:szCs w:val="26"/>
        </w:rPr>
        <w:t xml:space="preserve"> from the time </w:t>
      </w:r>
      <w:r>
        <w:rPr>
          <w:szCs w:val="26"/>
        </w:rPr>
        <w:t>Rangel</w:t>
      </w:r>
      <w:r w:rsidRPr="001246BE">
        <w:rPr>
          <w:szCs w:val="26"/>
        </w:rPr>
        <w:t xml:space="preserve"> </w:t>
      </w:r>
      <w:r>
        <w:rPr>
          <w:szCs w:val="26"/>
        </w:rPr>
        <w:t xml:space="preserve">was about six years old, </w:t>
      </w:r>
      <w:r w:rsidRPr="001246BE">
        <w:rPr>
          <w:szCs w:val="26"/>
        </w:rPr>
        <w:t>began using heroin</w:t>
      </w:r>
      <w:r w:rsidRPr="001246BE">
        <w:rPr>
          <w:szCs w:val="26"/>
        </w:rPr>
        <w:t xml:space="preserve">.  </w:t>
      </w:r>
      <w:r w:rsidRPr="001246BE">
        <w:rPr>
          <w:szCs w:val="26"/>
        </w:rPr>
        <w:t xml:space="preserve">Once, when Rangel was nine years old, he saw his parents </w:t>
      </w:r>
      <w:r w:rsidRPr="001246BE">
        <w:rPr>
          <w:szCs w:val="26"/>
        </w:rPr>
        <w:t xml:space="preserve">in the bathroom at home </w:t>
      </w:r>
      <w:r w:rsidRPr="001246BE">
        <w:rPr>
          <w:szCs w:val="26"/>
        </w:rPr>
        <w:t xml:space="preserve">preparing to inject heroin.  </w:t>
      </w:r>
      <w:r w:rsidRPr="001246BE">
        <w:rPr>
          <w:szCs w:val="26"/>
        </w:rPr>
        <w:t>Rangel’s parents’ drug use was in part fina</w:t>
      </w:r>
      <w:r w:rsidRPr="001246BE">
        <w:rPr>
          <w:szCs w:val="26"/>
        </w:rPr>
        <w:t xml:space="preserve">nced through a settlement Rangel’s father received following a workplace injury.  </w:t>
      </w:r>
      <w:r w:rsidRPr="001246BE">
        <w:rPr>
          <w:szCs w:val="26"/>
        </w:rPr>
        <w:t xml:space="preserve">Rangel’s mother routinely used heroin while Rangel and his sister were home and she was purportedly providing care for them.  </w:t>
      </w:r>
      <w:r w:rsidRPr="001246BE">
        <w:rPr>
          <w:szCs w:val="26"/>
        </w:rPr>
        <w:t xml:space="preserve">Rangel’s parents sometimes failed to feed their </w:t>
      </w:r>
      <w:r w:rsidRPr="001246BE">
        <w:rPr>
          <w:szCs w:val="26"/>
        </w:rPr>
        <w:t>children and Rangel’s older sister, Carmen, would find food for her</w:t>
      </w:r>
      <w:r w:rsidRPr="001246BE">
        <w:rPr>
          <w:szCs w:val="26"/>
        </w:rPr>
        <w:t xml:space="preserve"> </w:t>
      </w:r>
      <w:r w:rsidRPr="001246BE">
        <w:rPr>
          <w:szCs w:val="26"/>
        </w:rPr>
        <w:t>and Rangel</w:t>
      </w:r>
      <w:r w:rsidRPr="001246BE">
        <w:rPr>
          <w:szCs w:val="26"/>
        </w:rPr>
        <w:t xml:space="preserve"> to eat</w:t>
      </w:r>
      <w:r w:rsidRPr="001246BE">
        <w:rPr>
          <w:szCs w:val="26"/>
        </w:rPr>
        <w:t xml:space="preserve">.  </w:t>
      </w:r>
      <w:r w:rsidRPr="001246BE">
        <w:rPr>
          <w:szCs w:val="26"/>
        </w:rPr>
        <w:t xml:space="preserve">Rangel’s mother </w:t>
      </w:r>
      <w:r w:rsidRPr="001246BE">
        <w:rPr>
          <w:szCs w:val="26"/>
        </w:rPr>
        <w:t>sometimes</w:t>
      </w:r>
      <w:r w:rsidRPr="001246BE">
        <w:rPr>
          <w:szCs w:val="26"/>
        </w:rPr>
        <w:t xml:space="preserve"> took her children with her to use heroin with her sisters.    </w:t>
      </w:r>
    </w:p>
    <w:p w:rsidR="009442CB" w:rsidRPr="001246BE" w:rsidRDefault="00EF4903" w:rsidP="009442CB">
      <w:pPr>
        <w:spacing w:line="480" w:lineRule="atLeast"/>
        <w:ind w:firstLine="720"/>
        <w:rPr>
          <w:szCs w:val="26"/>
        </w:rPr>
      </w:pPr>
      <w:r w:rsidRPr="001246BE">
        <w:rPr>
          <w:szCs w:val="26"/>
        </w:rPr>
        <w:t xml:space="preserve">Rangel’s mother </w:t>
      </w:r>
      <w:r>
        <w:rPr>
          <w:szCs w:val="26"/>
        </w:rPr>
        <w:t>testified</w:t>
      </w:r>
      <w:r w:rsidRPr="001246BE">
        <w:rPr>
          <w:szCs w:val="26"/>
        </w:rPr>
        <w:t xml:space="preserve"> </w:t>
      </w:r>
      <w:r w:rsidRPr="001246BE">
        <w:rPr>
          <w:szCs w:val="26"/>
        </w:rPr>
        <w:t xml:space="preserve">she </w:t>
      </w:r>
      <w:r w:rsidRPr="001246BE">
        <w:rPr>
          <w:szCs w:val="26"/>
        </w:rPr>
        <w:t xml:space="preserve">used heroin and </w:t>
      </w:r>
      <w:r w:rsidRPr="001246BE">
        <w:rPr>
          <w:szCs w:val="26"/>
        </w:rPr>
        <w:t xml:space="preserve">provided poor care for her children.  </w:t>
      </w:r>
      <w:r w:rsidRPr="001246BE">
        <w:rPr>
          <w:szCs w:val="26"/>
        </w:rPr>
        <w:t xml:space="preserve">Rangel’s father also neglected his children when </w:t>
      </w:r>
      <w:r w:rsidRPr="001246BE">
        <w:rPr>
          <w:szCs w:val="26"/>
        </w:rPr>
        <w:t>trying</w:t>
      </w:r>
      <w:r w:rsidRPr="001246BE">
        <w:rPr>
          <w:szCs w:val="26"/>
        </w:rPr>
        <w:t xml:space="preserve"> to obtain more drugs.  </w:t>
      </w:r>
      <w:r w:rsidRPr="001246BE">
        <w:rPr>
          <w:szCs w:val="26"/>
        </w:rPr>
        <w:t xml:space="preserve">Rangel’s father sometimes became violent when he consumed alcohol.  Rangel’s </w:t>
      </w:r>
      <w:r w:rsidRPr="001246BE">
        <w:rPr>
          <w:szCs w:val="26"/>
        </w:rPr>
        <w:t xml:space="preserve">parents separated </w:t>
      </w:r>
      <w:r w:rsidRPr="001246BE">
        <w:rPr>
          <w:szCs w:val="26"/>
        </w:rPr>
        <w:t>when Rangel was about five years old; Rangel</w:t>
      </w:r>
      <w:r w:rsidRPr="001246BE">
        <w:rPr>
          <w:szCs w:val="26"/>
        </w:rPr>
        <w:t xml:space="preserve"> lived with his father for a few years after that.  </w:t>
      </w:r>
      <w:r w:rsidRPr="001246BE">
        <w:rPr>
          <w:szCs w:val="26"/>
        </w:rPr>
        <w:t xml:space="preserve">Rangel’s </w:t>
      </w:r>
      <w:r w:rsidRPr="001246BE">
        <w:rPr>
          <w:szCs w:val="26"/>
        </w:rPr>
        <w:t>mother continued to use heroin for several more years, supporting her habit via prostitution, although she endeavored to hide her means of making a living from Rangel.  Rangel’s mother stopped us</w:t>
      </w:r>
      <w:r w:rsidRPr="001246BE">
        <w:rPr>
          <w:szCs w:val="26"/>
        </w:rPr>
        <w:t>ing heroin in th</w:t>
      </w:r>
      <w:r w:rsidRPr="001246BE">
        <w:rPr>
          <w:szCs w:val="26"/>
        </w:rPr>
        <w:t>e late 1980s, after her sister died from a heroin overdose</w:t>
      </w:r>
      <w:r w:rsidRPr="001246BE">
        <w:rPr>
          <w:szCs w:val="26"/>
        </w:rPr>
        <w:t xml:space="preserve">.  </w:t>
      </w:r>
      <w:r w:rsidRPr="001246BE">
        <w:rPr>
          <w:szCs w:val="26"/>
        </w:rPr>
        <w:t xml:space="preserve">By the time of Rangel’s trial, Rangel’s mother had been drug-free for </w:t>
      </w:r>
      <w:r w:rsidRPr="001246BE">
        <w:rPr>
          <w:szCs w:val="26"/>
        </w:rPr>
        <w:t>11</w:t>
      </w:r>
      <w:r w:rsidRPr="001246BE">
        <w:rPr>
          <w:szCs w:val="26"/>
        </w:rPr>
        <w:t xml:space="preserve"> years.  </w:t>
      </w:r>
      <w:r w:rsidRPr="001246BE">
        <w:rPr>
          <w:szCs w:val="26"/>
        </w:rPr>
        <w:t>After Rangel’s mother stopped using heroin, Rangel and his sister began living with their mother a</w:t>
      </w:r>
      <w:r w:rsidRPr="001246BE">
        <w:rPr>
          <w:szCs w:val="26"/>
        </w:rPr>
        <w:t xml:space="preserve">gain.  Rangel cut his hair short and began to favor wearing baggy clothing.  Rangel’s sister did not believe Rangel </w:t>
      </w:r>
      <w:r w:rsidRPr="001246BE">
        <w:rPr>
          <w:szCs w:val="26"/>
        </w:rPr>
        <w:t xml:space="preserve">was becoming a member of a gang.  </w:t>
      </w:r>
      <w:r w:rsidRPr="001246BE">
        <w:rPr>
          <w:szCs w:val="26"/>
        </w:rPr>
        <w:t>Rangel</w:t>
      </w:r>
      <w:r>
        <w:rPr>
          <w:szCs w:val="26"/>
        </w:rPr>
        <w:t xml:space="preserve"> knew his </w:t>
      </w:r>
      <w:r w:rsidRPr="001246BE">
        <w:rPr>
          <w:szCs w:val="26"/>
        </w:rPr>
        <w:t xml:space="preserve">father was a gang member.  When Rangel was </w:t>
      </w:r>
      <w:r w:rsidRPr="001246BE">
        <w:rPr>
          <w:szCs w:val="26"/>
        </w:rPr>
        <w:t>10</w:t>
      </w:r>
      <w:r w:rsidRPr="001246BE">
        <w:rPr>
          <w:szCs w:val="26"/>
        </w:rPr>
        <w:t xml:space="preserve"> years old, he </w:t>
      </w:r>
      <w:r w:rsidRPr="001246BE">
        <w:rPr>
          <w:szCs w:val="26"/>
        </w:rPr>
        <w:t>and</w:t>
      </w:r>
      <w:r w:rsidRPr="001246BE">
        <w:rPr>
          <w:szCs w:val="26"/>
        </w:rPr>
        <w:t xml:space="preserve"> his father </w:t>
      </w:r>
      <w:r w:rsidRPr="001246BE">
        <w:rPr>
          <w:szCs w:val="26"/>
        </w:rPr>
        <w:t>were</w:t>
      </w:r>
      <w:r w:rsidRPr="001246BE">
        <w:rPr>
          <w:szCs w:val="26"/>
        </w:rPr>
        <w:t xml:space="preserve"> shot</w:t>
      </w:r>
      <w:r w:rsidRPr="001246BE">
        <w:rPr>
          <w:szCs w:val="26"/>
        </w:rPr>
        <w:t xml:space="preserve"> at</w:t>
      </w:r>
      <w:r w:rsidRPr="001246BE">
        <w:rPr>
          <w:szCs w:val="26"/>
        </w:rPr>
        <w:t xml:space="preserve"> by</w:t>
      </w:r>
      <w:r w:rsidRPr="001246BE">
        <w:rPr>
          <w:szCs w:val="26"/>
        </w:rPr>
        <w:t xml:space="preserve"> a rival gang.  </w:t>
      </w:r>
      <w:r w:rsidRPr="001246BE">
        <w:rPr>
          <w:szCs w:val="26"/>
        </w:rPr>
        <w:t>Rangel’s father adv</w:t>
      </w:r>
      <w:r w:rsidRPr="001246BE">
        <w:rPr>
          <w:szCs w:val="26"/>
        </w:rPr>
        <w:t xml:space="preserve">ised Rangel to avoid gangs.  </w:t>
      </w:r>
      <w:r w:rsidRPr="001246BE">
        <w:rPr>
          <w:szCs w:val="26"/>
        </w:rPr>
        <w:t>Rangel’s mother could not recall whether Rangel graduated from high school</w:t>
      </w:r>
      <w:r>
        <w:rPr>
          <w:szCs w:val="26"/>
        </w:rPr>
        <w:t>.  His</w:t>
      </w:r>
      <w:r w:rsidRPr="001246BE">
        <w:rPr>
          <w:szCs w:val="26"/>
        </w:rPr>
        <w:t xml:space="preserve"> father recalled that Rangel attended high school for some time but </w:t>
      </w:r>
      <w:r>
        <w:rPr>
          <w:szCs w:val="26"/>
        </w:rPr>
        <w:t>had not graduated</w:t>
      </w:r>
      <w:r w:rsidRPr="001246BE">
        <w:rPr>
          <w:szCs w:val="26"/>
        </w:rPr>
        <w:t xml:space="preserve">.  </w:t>
      </w:r>
    </w:p>
    <w:p w:rsidR="00156ED3" w:rsidRPr="001246BE" w:rsidRDefault="00EF4903" w:rsidP="001F681D">
      <w:pPr>
        <w:spacing w:line="480" w:lineRule="atLeast"/>
        <w:ind w:firstLine="720"/>
        <w:rPr>
          <w:szCs w:val="26"/>
        </w:rPr>
      </w:pPr>
      <w:r w:rsidRPr="001246BE">
        <w:rPr>
          <w:szCs w:val="26"/>
        </w:rPr>
        <w:t xml:space="preserve">As a teenager, </w:t>
      </w:r>
      <w:r w:rsidRPr="001246BE">
        <w:rPr>
          <w:szCs w:val="26"/>
        </w:rPr>
        <w:t xml:space="preserve">Rangel began attending church with his mother.  </w:t>
      </w:r>
      <w:r>
        <w:rPr>
          <w:szCs w:val="26"/>
        </w:rPr>
        <w:t xml:space="preserve">Over the course </w:t>
      </w:r>
      <w:r w:rsidRPr="001246BE">
        <w:rPr>
          <w:szCs w:val="26"/>
        </w:rPr>
        <w:t>of several years, R</w:t>
      </w:r>
      <w:r w:rsidRPr="001246BE">
        <w:rPr>
          <w:szCs w:val="26"/>
        </w:rPr>
        <w:t>angel</w:t>
      </w:r>
      <w:r w:rsidRPr="001246BE">
        <w:rPr>
          <w:szCs w:val="26"/>
        </w:rPr>
        <w:t xml:space="preserve"> attended</w:t>
      </w:r>
      <w:r w:rsidRPr="001246BE">
        <w:rPr>
          <w:szCs w:val="26"/>
        </w:rPr>
        <w:t xml:space="preserve"> bible study with Jose Jimenez</w:t>
      </w:r>
      <w:r w:rsidRPr="001246BE">
        <w:rPr>
          <w:szCs w:val="26"/>
        </w:rPr>
        <w:t>.</w:t>
      </w:r>
      <w:r>
        <w:rPr>
          <w:rStyle w:val="FootnoteReference"/>
          <w:szCs w:val="26"/>
        </w:rPr>
        <w:footnoteReference w:id="8"/>
      </w:r>
      <w:r w:rsidRPr="001246BE">
        <w:rPr>
          <w:szCs w:val="26"/>
        </w:rPr>
        <w:t xml:space="preserve">  </w:t>
      </w:r>
      <w:r w:rsidRPr="001246BE">
        <w:rPr>
          <w:szCs w:val="26"/>
        </w:rPr>
        <w:t>Jose</w:t>
      </w:r>
      <w:r w:rsidRPr="001246BE">
        <w:rPr>
          <w:szCs w:val="26"/>
        </w:rPr>
        <w:t xml:space="preserve"> testified that it was hard to believe Rangel </w:t>
      </w:r>
      <w:r w:rsidRPr="001246BE">
        <w:rPr>
          <w:szCs w:val="26"/>
        </w:rPr>
        <w:t>had been</w:t>
      </w:r>
      <w:r w:rsidRPr="001246BE">
        <w:rPr>
          <w:szCs w:val="26"/>
        </w:rPr>
        <w:t xml:space="preserve"> convicted of</w:t>
      </w:r>
      <w:r w:rsidRPr="001246BE">
        <w:rPr>
          <w:szCs w:val="26"/>
        </w:rPr>
        <w:t xml:space="preserve"> murder, and that he would have been surprised </w:t>
      </w:r>
      <w:r w:rsidRPr="001246BE">
        <w:rPr>
          <w:szCs w:val="26"/>
        </w:rPr>
        <w:t xml:space="preserve">even </w:t>
      </w:r>
      <w:r w:rsidRPr="001246BE">
        <w:rPr>
          <w:szCs w:val="26"/>
        </w:rPr>
        <w:t xml:space="preserve">to hear that Rangel </w:t>
      </w:r>
      <w:r>
        <w:rPr>
          <w:szCs w:val="26"/>
        </w:rPr>
        <w:t xml:space="preserve">had </w:t>
      </w:r>
      <w:r w:rsidRPr="001246BE">
        <w:rPr>
          <w:szCs w:val="26"/>
        </w:rPr>
        <w:t xml:space="preserve">attempted to </w:t>
      </w:r>
      <w:r w:rsidRPr="001246BE">
        <w:rPr>
          <w:szCs w:val="26"/>
        </w:rPr>
        <w:t>steal</w:t>
      </w:r>
      <w:r w:rsidRPr="001246BE">
        <w:rPr>
          <w:szCs w:val="26"/>
        </w:rPr>
        <w:t xml:space="preserve"> a car or </w:t>
      </w:r>
      <w:r w:rsidRPr="001246BE">
        <w:rPr>
          <w:szCs w:val="26"/>
        </w:rPr>
        <w:t>that he had made</w:t>
      </w:r>
      <w:r w:rsidRPr="001246BE">
        <w:rPr>
          <w:szCs w:val="26"/>
        </w:rPr>
        <w:t xml:space="preserve"> threats against the owner of th</w:t>
      </w:r>
      <w:r w:rsidRPr="001246BE">
        <w:rPr>
          <w:szCs w:val="26"/>
        </w:rPr>
        <w:t>at</w:t>
      </w:r>
      <w:r w:rsidRPr="001246BE">
        <w:rPr>
          <w:szCs w:val="26"/>
        </w:rPr>
        <w:t xml:space="preserve"> car.  </w:t>
      </w:r>
      <w:r w:rsidRPr="001246BE">
        <w:rPr>
          <w:szCs w:val="26"/>
        </w:rPr>
        <w:t>Rangel married his wife</w:t>
      </w:r>
      <w:r w:rsidRPr="001246BE">
        <w:rPr>
          <w:szCs w:val="26"/>
        </w:rPr>
        <w:t>, Aurora Rangel,</w:t>
      </w:r>
      <w:r w:rsidRPr="001246BE">
        <w:rPr>
          <w:szCs w:val="26"/>
        </w:rPr>
        <w:t xml:space="preserve"> in </w:t>
      </w:r>
      <w:r w:rsidRPr="001246BE">
        <w:rPr>
          <w:szCs w:val="26"/>
        </w:rPr>
        <w:t>Jose’s</w:t>
      </w:r>
      <w:r w:rsidRPr="001246BE">
        <w:rPr>
          <w:szCs w:val="26"/>
        </w:rPr>
        <w:t xml:space="preserve"> home.  </w:t>
      </w:r>
      <w:r w:rsidRPr="001246BE">
        <w:rPr>
          <w:szCs w:val="26"/>
        </w:rPr>
        <w:t>Rangel and Aurora had a daughter, Vanessa</w:t>
      </w:r>
      <w:r w:rsidRPr="001246BE">
        <w:rPr>
          <w:szCs w:val="26"/>
        </w:rPr>
        <w:t xml:space="preserve">.  </w:t>
      </w:r>
      <w:r w:rsidRPr="001246BE">
        <w:rPr>
          <w:szCs w:val="26"/>
        </w:rPr>
        <w:t>After Aurora and Rangel split</w:t>
      </w:r>
      <w:r>
        <w:rPr>
          <w:szCs w:val="26"/>
        </w:rPr>
        <w:t xml:space="preserve"> up</w:t>
      </w:r>
      <w:r w:rsidRPr="001246BE">
        <w:rPr>
          <w:szCs w:val="26"/>
        </w:rPr>
        <w:t>, Rangel saw V</w:t>
      </w:r>
      <w:r w:rsidRPr="001246BE">
        <w:rPr>
          <w:szCs w:val="26"/>
        </w:rPr>
        <w:t>anessa once ever</w:t>
      </w:r>
      <w:r w:rsidRPr="001246BE">
        <w:rPr>
          <w:szCs w:val="26"/>
        </w:rPr>
        <w:t xml:space="preserve">y two weeks.  </w:t>
      </w:r>
      <w:r w:rsidRPr="001246BE">
        <w:rPr>
          <w:szCs w:val="26"/>
        </w:rPr>
        <w:t xml:space="preserve">Aurora has not told their daughter where Rangel is, despite the daughter’s queries. </w:t>
      </w:r>
      <w:r>
        <w:rPr>
          <w:szCs w:val="26"/>
        </w:rPr>
        <w:t xml:space="preserve"> </w:t>
      </w:r>
      <w:r w:rsidRPr="001246BE">
        <w:rPr>
          <w:szCs w:val="26"/>
        </w:rPr>
        <w:t xml:space="preserve">Rangel also had a girlfriend, Desiree </w:t>
      </w:r>
      <w:proofErr w:type="spellStart"/>
      <w:r w:rsidRPr="001246BE">
        <w:rPr>
          <w:szCs w:val="26"/>
        </w:rPr>
        <w:t>Leanos</w:t>
      </w:r>
      <w:proofErr w:type="spellEnd"/>
      <w:r w:rsidRPr="001246BE">
        <w:rPr>
          <w:szCs w:val="26"/>
        </w:rPr>
        <w:t>, with whom he had two children, the youn</w:t>
      </w:r>
      <w:r w:rsidRPr="001246BE">
        <w:rPr>
          <w:szCs w:val="26"/>
        </w:rPr>
        <w:t xml:space="preserve">gest born after his arrest.  </w:t>
      </w:r>
      <w:proofErr w:type="spellStart"/>
      <w:r w:rsidRPr="001246BE">
        <w:rPr>
          <w:szCs w:val="26"/>
        </w:rPr>
        <w:t>Leanos</w:t>
      </w:r>
      <w:proofErr w:type="spellEnd"/>
      <w:r w:rsidRPr="001246BE">
        <w:rPr>
          <w:szCs w:val="26"/>
        </w:rPr>
        <w:t xml:space="preserve"> testified that she</w:t>
      </w:r>
      <w:r w:rsidRPr="001246BE">
        <w:rPr>
          <w:szCs w:val="26"/>
        </w:rPr>
        <w:t xml:space="preserve"> v</w:t>
      </w:r>
      <w:r w:rsidRPr="001246BE">
        <w:rPr>
          <w:szCs w:val="26"/>
        </w:rPr>
        <w:t>isit</w:t>
      </w:r>
      <w:r w:rsidRPr="001246BE">
        <w:rPr>
          <w:szCs w:val="26"/>
        </w:rPr>
        <w:t xml:space="preserve">s </w:t>
      </w:r>
      <w:r w:rsidRPr="001246BE">
        <w:rPr>
          <w:szCs w:val="26"/>
        </w:rPr>
        <w:t>Rangel weekly</w:t>
      </w:r>
      <w:r w:rsidRPr="001246BE">
        <w:rPr>
          <w:szCs w:val="26"/>
        </w:rPr>
        <w:t xml:space="preserve"> </w:t>
      </w:r>
      <w:r w:rsidRPr="001246BE">
        <w:rPr>
          <w:szCs w:val="26"/>
        </w:rPr>
        <w:t xml:space="preserve">with their two children, despite the fact that Rangel has </w:t>
      </w:r>
      <w:r w:rsidRPr="001246BE">
        <w:rPr>
          <w:szCs w:val="26"/>
        </w:rPr>
        <w:t xml:space="preserve">a </w:t>
      </w:r>
      <w:r w:rsidRPr="001246BE">
        <w:rPr>
          <w:szCs w:val="26"/>
        </w:rPr>
        <w:t>new girlfriend, who</w:t>
      </w:r>
      <w:r>
        <w:rPr>
          <w:szCs w:val="26"/>
        </w:rPr>
        <w:t>m</w:t>
      </w:r>
      <w:r w:rsidRPr="001246BE">
        <w:rPr>
          <w:szCs w:val="26"/>
        </w:rPr>
        <w:t xml:space="preserve"> he met months before he was a</w:t>
      </w:r>
      <w:r w:rsidRPr="001246BE">
        <w:rPr>
          <w:szCs w:val="26"/>
        </w:rPr>
        <w:t xml:space="preserve">rrested.  </w:t>
      </w:r>
      <w:r w:rsidRPr="001246BE">
        <w:rPr>
          <w:szCs w:val="26"/>
        </w:rPr>
        <w:t>The jury was shown photos of Rangel’s daughters and the other members of</w:t>
      </w:r>
      <w:r w:rsidRPr="001246BE">
        <w:rPr>
          <w:szCs w:val="26"/>
        </w:rPr>
        <w:t xml:space="preserve"> his family.</w:t>
      </w:r>
      <w:r w:rsidRPr="001246BE">
        <w:rPr>
          <w:szCs w:val="26"/>
        </w:rPr>
        <w:t xml:space="preserve">  </w:t>
      </w:r>
    </w:p>
    <w:p w:rsidR="006A520D" w:rsidRPr="001246BE" w:rsidRDefault="00EF4903" w:rsidP="001F681D">
      <w:pPr>
        <w:spacing w:line="480" w:lineRule="atLeast"/>
        <w:ind w:firstLine="720"/>
        <w:rPr>
          <w:szCs w:val="26"/>
        </w:rPr>
      </w:pPr>
      <w:r w:rsidRPr="001246BE">
        <w:rPr>
          <w:szCs w:val="26"/>
        </w:rPr>
        <w:t xml:space="preserve">On </w:t>
      </w:r>
      <w:r w:rsidRPr="001246BE">
        <w:rPr>
          <w:szCs w:val="26"/>
        </w:rPr>
        <w:t>the day of the shooting, R</w:t>
      </w:r>
      <w:r w:rsidRPr="001246BE">
        <w:rPr>
          <w:szCs w:val="26"/>
        </w:rPr>
        <w:t xml:space="preserve">angel attended a family barbeque </w:t>
      </w:r>
      <w:r w:rsidRPr="001246BE">
        <w:rPr>
          <w:szCs w:val="26"/>
        </w:rPr>
        <w:t xml:space="preserve">along with </w:t>
      </w:r>
      <w:proofErr w:type="spellStart"/>
      <w:r w:rsidRPr="001246BE">
        <w:rPr>
          <w:szCs w:val="26"/>
        </w:rPr>
        <w:t>Leanos</w:t>
      </w:r>
      <w:proofErr w:type="spellEnd"/>
      <w:r w:rsidRPr="001246BE">
        <w:rPr>
          <w:szCs w:val="26"/>
        </w:rPr>
        <w:t xml:space="preserve">, Vanessa, and other members of Rangel’s family </w:t>
      </w:r>
      <w:r w:rsidRPr="001246BE">
        <w:rPr>
          <w:szCs w:val="26"/>
        </w:rPr>
        <w:t xml:space="preserve">to celebrate </w:t>
      </w:r>
      <w:r>
        <w:rPr>
          <w:szCs w:val="26"/>
        </w:rPr>
        <w:t>the birthday of Rangel’s</w:t>
      </w:r>
      <w:r w:rsidRPr="001246BE">
        <w:rPr>
          <w:szCs w:val="26"/>
        </w:rPr>
        <w:t xml:space="preserve"> half-sister.  Rangel fell asleep at about 9:00 p.m. after spending the day drinking, and was paged around 11:30 p.m. to go somewhere.  Desiree urge</w:t>
      </w:r>
      <w:r w:rsidRPr="001246BE">
        <w:rPr>
          <w:szCs w:val="26"/>
        </w:rPr>
        <w:t>d Rangel not to leave, but he ba</w:t>
      </w:r>
      <w:r w:rsidRPr="001246BE">
        <w:rPr>
          <w:szCs w:val="26"/>
        </w:rPr>
        <w:t>d</w:t>
      </w:r>
      <w:r w:rsidRPr="001246BE">
        <w:rPr>
          <w:szCs w:val="26"/>
        </w:rPr>
        <w:t>e</w:t>
      </w:r>
      <w:r w:rsidRPr="001246BE">
        <w:rPr>
          <w:szCs w:val="26"/>
        </w:rPr>
        <w:t xml:space="preserve"> her and their daughter goodbye and left.  </w:t>
      </w:r>
    </w:p>
    <w:p w:rsidR="00156ED3" w:rsidRPr="001246BE" w:rsidRDefault="00EF4903" w:rsidP="008A3C4B">
      <w:pPr>
        <w:pStyle w:val="Heading3"/>
        <w:spacing w:before="0" w:after="0" w:line="480" w:lineRule="atLeast"/>
        <w:rPr>
          <w:rFonts w:ascii="Times New Roman" w:hAnsi="Times New Roman"/>
        </w:rPr>
      </w:pPr>
      <w:r w:rsidRPr="001246BE">
        <w:rPr>
          <w:rFonts w:ascii="Times New Roman" w:hAnsi="Times New Roman"/>
        </w:rPr>
        <w:tab/>
      </w:r>
      <w:r w:rsidRPr="001246BE">
        <w:rPr>
          <w:rFonts w:ascii="Times New Roman" w:hAnsi="Times New Roman"/>
        </w:rPr>
        <w:tab/>
      </w:r>
      <w:bookmarkStart w:id="15" w:name="_Toc511210387"/>
      <w:r w:rsidRPr="001246BE">
        <w:rPr>
          <w:rFonts w:ascii="Times New Roman" w:hAnsi="Times New Roman"/>
        </w:rPr>
        <w:t>6.</w:t>
      </w:r>
      <w:r w:rsidRPr="001246BE">
        <w:rPr>
          <w:rFonts w:ascii="Times New Roman" w:hAnsi="Times New Roman"/>
        </w:rPr>
        <w:tab/>
      </w:r>
      <w:proofErr w:type="spellStart"/>
      <w:r w:rsidRPr="001246BE">
        <w:rPr>
          <w:rFonts w:ascii="Times New Roman" w:hAnsi="Times New Roman"/>
        </w:rPr>
        <w:t>Mora</w:t>
      </w:r>
      <w:proofErr w:type="spellEnd"/>
      <w:r w:rsidRPr="001246BE">
        <w:rPr>
          <w:rFonts w:ascii="Times New Roman" w:hAnsi="Times New Roman"/>
        </w:rPr>
        <w:t xml:space="preserve"> Mitigating Evidence</w:t>
      </w:r>
      <w:bookmarkEnd w:id="15"/>
    </w:p>
    <w:p w:rsidR="00156ED3" w:rsidRDefault="00EF4903" w:rsidP="008A3C4B">
      <w:pPr>
        <w:spacing w:line="480" w:lineRule="atLeast"/>
      </w:pPr>
      <w:r>
        <w:tab/>
      </w:r>
      <w:proofErr w:type="spellStart"/>
      <w:r>
        <w:t>Mora’s</w:t>
      </w:r>
      <w:proofErr w:type="spellEnd"/>
      <w:r>
        <w:t xml:space="preserve"> father, </w:t>
      </w:r>
      <w:r>
        <w:t xml:space="preserve">Cruz </w:t>
      </w:r>
      <w:proofErr w:type="spellStart"/>
      <w:r>
        <w:t>Mora</w:t>
      </w:r>
      <w:proofErr w:type="spellEnd"/>
      <w:r>
        <w:t>,</w:t>
      </w:r>
      <w:r>
        <w:t xml:space="preserve"> testified that he was not certain of his paternity because he knew that </w:t>
      </w:r>
      <w:proofErr w:type="spellStart"/>
      <w:r>
        <w:t>Mora’s</w:t>
      </w:r>
      <w:proofErr w:type="spellEnd"/>
      <w:r>
        <w:t xml:space="preserve"> mother</w:t>
      </w:r>
      <w:r>
        <w:t>, R</w:t>
      </w:r>
      <w:r>
        <w:t>.M.</w:t>
      </w:r>
      <w:r>
        <w:t>, had</w:t>
      </w:r>
      <w:r>
        <w:t xml:space="preserve"> sexual relationships with many members of his family.  Cruz testified that he and his family members paid </w:t>
      </w:r>
      <w:r>
        <w:t>R.M.</w:t>
      </w:r>
      <w:r>
        <w:t xml:space="preserve"> for their sexual enco</w:t>
      </w:r>
      <w:r>
        <w:t xml:space="preserve">unters.  Cruz married </w:t>
      </w:r>
      <w:r>
        <w:t>R.M.</w:t>
      </w:r>
      <w:r>
        <w:t xml:space="preserve"> when she was eight </w:t>
      </w:r>
      <w:r>
        <w:t xml:space="preserve">months pregnant.  </w:t>
      </w:r>
      <w:r>
        <w:t xml:space="preserve">The couple’s marriage was not happy and Cruz physically abused </w:t>
      </w:r>
      <w:r>
        <w:t>R.M</w:t>
      </w:r>
      <w:r>
        <w:t xml:space="preserve">.  Cruz </w:t>
      </w:r>
      <w:r>
        <w:t xml:space="preserve">left </w:t>
      </w:r>
      <w:r>
        <w:t>R.M.</w:t>
      </w:r>
      <w:r>
        <w:t xml:space="preserve"> </w:t>
      </w:r>
      <w:r>
        <w:t>four years</w:t>
      </w:r>
      <w:r>
        <w:t xml:space="preserve"> into the troubled marriage</w:t>
      </w:r>
      <w:r>
        <w:t>, but</w:t>
      </w:r>
      <w:r>
        <w:t xml:space="preserve"> </w:t>
      </w:r>
      <w:r>
        <w:t>the</w:t>
      </w:r>
      <w:r>
        <w:t xml:space="preserve"> two</w:t>
      </w:r>
      <w:r>
        <w:t xml:space="preserve"> reunited</w:t>
      </w:r>
      <w:r>
        <w:t xml:space="preserve"> some time thereafter for a few years.</w:t>
      </w:r>
      <w:r>
        <w:t xml:space="preserve">  </w:t>
      </w:r>
    </w:p>
    <w:p w:rsidR="00EA3D3D" w:rsidRDefault="00EF4903" w:rsidP="008A3C4B">
      <w:pPr>
        <w:spacing w:line="480" w:lineRule="atLeast"/>
      </w:pPr>
      <w:r>
        <w:tab/>
      </w:r>
      <w:r>
        <w:t>After</w:t>
      </w:r>
      <w:r>
        <w:t xml:space="preserve"> h</w:t>
      </w:r>
      <w:r>
        <w:t>is parents’ divorce</w:t>
      </w:r>
      <w:r>
        <w:t xml:space="preserve">, </w:t>
      </w:r>
      <w:proofErr w:type="spellStart"/>
      <w:r>
        <w:t>Mora</w:t>
      </w:r>
      <w:proofErr w:type="spellEnd"/>
      <w:r>
        <w:t xml:space="preserve"> </w:t>
      </w:r>
      <w:r>
        <w:t>lived</w:t>
      </w:r>
      <w:r>
        <w:t xml:space="preserve"> with his aunt</w:t>
      </w:r>
      <w:r>
        <w:t xml:space="preserve"> for a few months</w:t>
      </w:r>
      <w:r>
        <w:t xml:space="preserve">.  </w:t>
      </w:r>
      <w:proofErr w:type="spellStart"/>
      <w:r>
        <w:t>Mora</w:t>
      </w:r>
      <w:proofErr w:type="spellEnd"/>
      <w:r>
        <w:t xml:space="preserve"> returned to his mother’s home between the ages of five and thirteen, during which time </w:t>
      </w:r>
      <w:r>
        <w:t>R.M.</w:t>
      </w:r>
      <w:r>
        <w:t xml:space="preserve"> </w:t>
      </w:r>
      <w:r>
        <w:t xml:space="preserve">was frequently absent from the home working, drinking at bars, and using drugs.  </w:t>
      </w:r>
      <w:r>
        <w:t>R.M.</w:t>
      </w:r>
      <w:r>
        <w:t xml:space="preserve"> remarrie</w:t>
      </w:r>
      <w:r>
        <w:t xml:space="preserve">d, and </w:t>
      </w:r>
      <w:proofErr w:type="spellStart"/>
      <w:r>
        <w:t>Mora</w:t>
      </w:r>
      <w:proofErr w:type="spellEnd"/>
      <w:r>
        <w:t xml:space="preserve"> again lived with his au</w:t>
      </w:r>
      <w:r>
        <w:t xml:space="preserve">nt, who provided good care.  </w:t>
      </w:r>
      <w:proofErr w:type="spellStart"/>
      <w:r>
        <w:t>Mora</w:t>
      </w:r>
      <w:proofErr w:type="spellEnd"/>
      <w:r>
        <w:t xml:space="preserve"> never returned to his mother’s home</w:t>
      </w:r>
      <w:r>
        <w:t xml:space="preserve">. </w:t>
      </w:r>
      <w:r>
        <w:t xml:space="preserve"> </w:t>
      </w:r>
      <w:r>
        <w:t>R.M.</w:t>
      </w:r>
      <w:r>
        <w:t xml:space="preserve"> testified that she believed herself to have been a bad mother and wished she could take </w:t>
      </w:r>
      <w:proofErr w:type="spellStart"/>
      <w:r>
        <w:t>Mora’s</w:t>
      </w:r>
      <w:proofErr w:type="spellEnd"/>
      <w:r>
        <w:t xml:space="preserve"> place if he was to be executed.  </w:t>
      </w:r>
    </w:p>
    <w:p w:rsidR="000A3AF3" w:rsidRDefault="00EF4903" w:rsidP="000A3AF3">
      <w:pPr>
        <w:spacing w:line="480" w:lineRule="atLeast"/>
      </w:pPr>
      <w:r>
        <w:tab/>
      </w:r>
      <w:r>
        <w:t>Whe</w:t>
      </w:r>
      <w:r>
        <w:t>n</w:t>
      </w:r>
      <w:r>
        <w:t xml:space="preserve"> </w:t>
      </w:r>
      <w:proofErr w:type="spellStart"/>
      <w:r>
        <w:t>Mora</w:t>
      </w:r>
      <w:proofErr w:type="spellEnd"/>
      <w:r>
        <w:t xml:space="preserve"> was 14, he moved in with his 19-yea</w:t>
      </w:r>
      <w:r>
        <w:t xml:space="preserve">r-old cousin, Candy Lopez.  </w:t>
      </w:r>
      <w:proofErr w:type="spellStart"/>
      <w:r>
        <w:t>Mora</w:t>
      </w:r>
      <w:proofErr w:type="spellEnd"/>
      <w:r>
        <w:t xml:space="preserve"> </w:t>
      </w:r>
      <w:r>
        <w:t xml:space="preserve">then </w:t>
      </w:r>
      <w:r>
        <w:t xml:space="preserve">became involved with </w:t>
      </w:r>
      <w:r>
        <w:t xml:space="preserve">Lourdes </w:t>
      </w:r>
      <w:r>
        <w:t>Lopez</w:t>
      </w:r>
      <w:r>
        <w:t xml:space="preserve"> (who was not related to Candy) </w:t>
      </w:r>
      <w:r>
        <w:t xml:space="preserve">and </w:t>
      </w:r>
      <w:r>
        <w:t>Lourdes Lopez</w:t>
      </w:r>
      <w:r>
        <w:t xml:space="preserve"> and </w:t>
      </w:r>
      <w:proofErr w:type="spellStart"/>
      <w:r>
        <w:t>Mora</w:t>
      </w:r>
      <w:proofErr w:type="spellEnd"/>
      <w:r>
        <w:t xml:space="preserve"> had a </w:t>
      </w:r>
      <w:r>
        <w:t>daughter</w:t>
      </w:r>
      <w:r>
        <w:t xml:space="preserve"> together when </w:t>
      </w:r>
      <w:proofErr w:type="spellStart"/>
      <w:r>
        <w:t>Mora</w:t>
      </w:r>
      <w:proofErr w:type="spellEnd"/>
      <w:r>
        <w:t xml:space="preserve"> was </w:t>
      </w:r>
      <w:r>
        <w:t>18</w:t>
      </w:r>
      <w:r>
        <w:t xml:space="preserve"> </w:t>
      </w:r>
      <w:r>
        <w:t xml:space="preserve">years old.  </w:t>
      </w:r>
      <w:r>
        <w:t xml:space="preserve">The jury was shown photos of </w:t>
      </w:r>
      <w:proofErr w:type="spellStart"/>
      <w:r>
        <w:t>Mo</w:t>
      </w:r>
      <w:r>
        <w:t>ra</w:t>
      </w:r>
      <w:proofErr w:type="spellEnd"/>
      <w:r>
        <w:t xml:space="preserve"> with his daughter and family.  </w:t>
      </w:r>
    </w:p>
    <w:p w:rsidR="00CA14C5" w:rsidRPr="00CA14C5" w:rsidRDefault="00EF4903" w:rsidP="002F1519">
      <w:pPr>
        <w:spacing w:line="480" w:lineRule="atLeast"/>
      </w:pPr>
      <w:r>
        <w:tab/>
      </w:r>
      <w:proofErr w:type="spellStart"/>
      <w:r>
        <w:t>Mora</w:t>
      </w:r>
      <w:proofErr w:type="spellEnd"/>
      <w:r>
        <w:t xml:space="preserve">, </w:t>
      </w:r>
      <w:r>
        <w:t xml:space="preserve">Lopez, and their child lived with Cruz for a couple of months when </w:t>
      </w:r>
      <w:proofErr w:type="spellStart"/>
      <w:r>
        <w:t>Mora</w:t>
      </w:r>
      <w:proofErr w:type="spellEnd"/>
      <w:r>
        <w:t xml:space="preserve"> was </w:t>
      </w:r>
      <w:r>
        <w:t>19</w:t>
      </w:r>
      <w:r>
        <w:t xml:space="preserve">, until Cruz asked them to leave because they were messy.  When </w:t>
      </w:r>
      <w:proofErr w:type="spellStart"/>
      <w:r>
        <w:t>Mora</w:t>
      </w:r>
      <w:proofErr w:type="spellEnd"/>
      <w:r>
        <w:t xml:space="preserve"> was </w:t>
      </w:r>
      <w:r>
        <w:t>19</w:t>
      </w:r>
      <w:r>
        <w:t xml:space="preserve"> years old he suffered a gunshot wound, and Cruz visited him </w:t>
      </w:r>
      <w:r>
        <w:t xml:space="preserve">in the hospital during his recovery.  After Cruz asked </w:t>
      </w:r>
      <w:proofErr w:type="spellStart"/>
      <w:r>
        <w:t>Mora</w:t>
      </w:r>
      <w:proofErr w:type="spellEnd"/>
      <w:r>
        <w:t xml:space="preserve"> and his family to move out, Cruz had little contact with </w:t>
      </w:r>
      <w:proofErr w:type="spellStart"/>
      <w:r>
        <w:t>Mora</w:t>
      </w:r>
      <w:proofErr w:type="spellEnd"/>
      <w:r>
        <w:t xml:space="preserve">.   </w:t>
      </w:r>
      <w:r>
        <w:t xml:space="preserve">  </w:t>
      </w:r>
      <w:r w:rsidRPr="001246BE">
        <w:tab/>
      </w:r>
      <w:r w:rsidRPr="001246BE">
        <w:tab/>
      </w:r>
    </w:p>
    <w:p w:rsidR="00037828" w:rsidRPr="001246BE" w:rsidRDefault="00EF4903" w:rsidP="0077659B">
      <w:pPr>
        <w:pStyle w:val="Heading1"/>
        <w:jc w:val="center"/>
        <w:rPr>
          <w:rFonts w:ascii="Times New Roman" w:hAnsi="Times New Roman"/>
        </w:rPr>
      </w:pPr>
      <w:bookmarkStart w:id="16" w:name="_Toc511210388"/>
      <w:r w:rsidRPr="001246BE">
        <w:rPr>
          <w:rFonts w:ascii="Times New Roman" w:hAnsi="Times New Roman"/>
          <w:smallCaps/>
          <w:sz w:val="26"/>
          <w:szCs w:val="26"/>
        </w:rPr>
        <w:t>II.</w:t>
      </w:r>
      <w:r w:rsidRPr="001246BE">
        <w:rPr>
          <w:rFonts w:ascii="Times New Roman" w:hAnsi="Times New Roman"/>
          <w:smallCaps/>
          <w:sz w:val="26"/>
          <w:szCs w:val="26"/>
        </w:rPr>
        <w:t xml:space="preserve">  </w:t>
      </w:r>
      <w:r w:rsidRPr="001246BE">
        <w:rPr>
          <w:rFonts w:ascii="Times New Roman" w:hAnsi="Times New Roman"/>
          <w:smallCaps/>
          <w:sz w:val="26"/>
          <w:szCs w:val="26"/>
        </w:rPr>
        <w:t>Discussion</w:t>
      </w:r>
      <w:bookmarkEnd w:id="16"/>
    </w:p>
    <w:p w:rsidR="00F82269" w:rsidRPr="001246BE" w:rsidRDefault="00EF4903" w:rsidP="002B5105">
      <w:pPr>
        <w:pStyle w:val="Heading2"/>
      </w:pPr>
      <w:r w:rsidRPr="001246BE">
        <w:rPr>
          <w:rFonts w:ascii="Times New Roman" w:hAnsi="Times New Roman"/>
          <w:b w:val="0"/>
          <w:i w:val="0"/>
          <w:sz w:val="26"/>
          <w:szCs w:val="26"/>
        </w:rPr>
        <w:tab/>
      </w:r>
      <w:bookmarkStart w:id="17" w:name="_Toc511210389"/>
      <w:r w:rsidRPr="001246BE">
        <w:rPr>
          <w:rFonts w:ascii="Times New Roman" w:hAnsi="Times New Roman"/>
          <w:b w:val="0"/>
          <w:i w:val="0"/>
          <w:sz w:val="26"/>
          <w:szCs w:val="26"/>
        </w:rPr>
        <w:t>A.</w:t>
      </w:r>
      <w:r w:rsidRPr="001246BE">
        <w:rPr>
          <w:rFonts w:ascii="Times New Roman" w:hAnsi="Times New Roman"/>
          <w:b w:val="0"/>
          <w:i w:val="0"/>
          <w:sz w:val="26"/>
          <w:szCs w:val="26"/>
        </w:rPr>
        <w:tab/>
        <w:t>Guilt Phase</w:t>
      </w:r>
      <w:bookmarkEnd w:id="17"/>
      <w:r w:rsidRPr="001246BE">
        <w:tab/>
      </w:r>
    </w:p>
    <w:p w:rsidR="00F82269" w:rsidRPr="001246BE" w:rsidRDefault="00EF4903" w:rsidP="00F82269">
      <w:pPr>
        <w:pStyle w:val="Heading3"/>
        <w:rPr>
          <w:rFonts w:ascii="Times New Roman" w:hAnsi="Times New Roman"/>
        </w:rPr>
      </w:pPr>
      <w:r w:rsidRPr="001246BE">
        <w:rPr>
          <w:rFonts w:ascii="Times New Roman" w:hAnsi="Times New Roman"/>
          <w:b w:val="0"/>
        </w:rPr>
        <w:tab/>
      </w:r>
      <w:r w:rsidRPr="001246BE">
        <w:rPr>
          <w:rFonts w:ascii="Times New Roman" w:hAnsi="Times New Roman"/>
          <w:b w:val="0"/>
        </w:rPr>
        <w:tab/>
      </w:r>
      <w:bookmarkStart w:id="18" w:name="_Toc511210390"/>
      <w:r w:rsidRPr="001246BE">
        <w:rPr>
          <w:rFonts w:ascii="Times New Roman" w:hAnsi="Times New Roman"/>
        </w:rPr>
        <w:t xml:space="preserve">1. </w:t>
      </w:r>
      <w:r w:rsidRPr="001246BE">
        <w:rPr>
          <w:rFonts w:ascii="Times New Roman" w:hAnsi="Times New Roman"/>
        </w:rPr>
        <w:tab/>
        <w:t>Discovery Delays</w:t>
      </w:r>
      <w:bookmarkEnd w:id="18"/>
      <w:r w:rsidRPr="001246BE">
        <w:rPr>
          <w:rFonts w:ascii="Times New Roman" w:hAnsi="Times New Roman"/>
        </w:rPr>
        <w:tab/>
      </w:r>
      <w:r w:rsidRPr="001246BE">
        <w:rPr>
          <w:rFonts w:ascii="Times New Roman" w:hAnsi="Times New Roman"/>
        </w:rPr>
        <w:tab/>
      </w:r>
    </w:p>
    <w:p w:rsidR="002B5105" w:rsidRPr="001246BE" w:rsidRDefault="00EF4903">
      <w:pPr>
        <w:pStyle w:val="Heading4"/>
        <w:rPr>
          <w:rFonts w:ascii="Times New Roman" w:hAnsi="Times New Roman"/>
          <w:b w:val="0"/>
          <w:i w:val="0"/>
          <w:color w:val="auto"/>
        </w:rPr>
      </w:pPr>
      <w:r>
        <w:tab/>
      </w:r>
      <w:r>
        <w:tab/>
      </w:r>
      <w:r>
        <w:tab/>
      </w:r>
      <w:r w:rsidRPr="001246BE">
        <w:rPr>
          <w:rFonts w:ascii="Times New Roman" w:hAnsi="Times New Roman"/>
          <w:b w:val="0"/>
          <w:i w:val="0"/>
          <w:color w:val="auto"/>
        </w:rPr>
        <w:t>a.</w:t>
      </w:r>
      <w:r w:rsidRPr="001246BE">
        <w:rPr>
          <w:rFonts w:ascii="Times New Roman" w:hAnsi="Times New Roman"/>
          <w:b w:val="0"/>
          <w:i w:val="0"/>
          <w:color w:val="auto"/>
        </w:rPr>
        <w:tab/>
      </w:r>
      <w:r w:rsidRPr="001246BE">
        <w:rPr>
          <w:rFonts w:ascii="Times New Roman" w:hAnsi="Times New Roman"/>
          <w:b w:val="0"/>
          <w:color w:val="auto"/>
        </w:rPr>
        <w:t>Background</w:t>
      </w:r>
    </w:p>
    <w:p w:rsidR="008D1257" w:rsidRDefault="00EF4903" w:rsidP="00D634F2">
      <w:pPr>
        <w:spacing w:line="480" w:lineRule="atLeast"/>
      </w:pPr>
      <w:r>
        <w:tab/>
      </w:r>
      <w:proofErr w:type="spellStart"/>
      <w:r>
        <w:t>Mora</w:t>
      </w:r>
      <w:proofErr w:type="spellEnd"/>
      <w:r>
        <w:t xml:space="preserve"> and Rangel allege that a number of documents </w:t>
      </w:r>
      <w:r>
        <w:t>were not disclosed</w:t>
      </w:r>
      <w:r>
        <w:t xml:space="preserve"> in timely fashion</w:t>
      </w:r>
      <w:r>
        <w:t xml:space="preserve"> during the discovery process</w:t>
      </w:r>
      <w:r>
        <w:t xml:space="preserve">:  one of two </w:t>
      </w:r>
      <w:r>
        <w:t>transcript</w:t>
      </w:r>
      <w:r>
        <w:t>s</w:t>
      </w:r>
      <w:r>
        <w:t xml:space="preserve"> of Lopez’s interview with police on the day of the shooting, diagrams of the scene, police reports containing witness interview notes, </w:t>
      </w:r>
      <w:r>
        <w:t>a</w:t>
      </w:r>
      <w:r>
        <w:t xml:space="preserve"> gunshot residue</w:t>
      </w:r>
      <w:r>
        <w:t xml:space="preserve"> (GSR)</w:t>
      </w:r>
      <w:r>
        <w:t xml:space="preserve"> report</w:t>
      </w:r>
      <w:r>
        <w:t xml:space="preserve">, </w:t>
      </w:r>
      <w:r>
        <w:t xml:space="preserve">and </w:t>
      </w:r>
      <w:r>
        <w:t xml:space="preserve">a report containing the results of </w:t>
      </w:r>
      <w:r>
        <w:t>fingerprint testing.  The disclosure of each is addressed below.</w:t>
      </w:r>
    </w:p>
    <w:p w:rsidR="00FC64B2" w:rsidRDefault="00EF4903" w:rsidP="00D634F2">
      <w:pPr>
        <w:spacing w:line="480" w:lineRule="atLeast"/>
      </w:pPr>
      <w:r>
        <w:tab/>
      </w:r>
      <w:r>
        <w:t xml:space="preserve">On January 19, 1999, </w:t>
      </w:r>
      <w:r>
        <w:t>during</w:t>
      </w:r>
      <w:r>
        <w:t xml:space="preserve"> Lopez</w:t>
      </w:r>
      <w:r>
        <w:t>’s</w:t>
      </w:r>
      <w:r>
        <w:t xml:space="preserve"> </w:t>
      </w:r>
      <w:r>
        <w:t>testimony</w:t>
      </w:r>
      <w:r>
        <w:t>, Rangel</w:t>
      </w:r>
      <w:r>
        <w:t xml:space="preserve"> discovered that </w:t>
      </w:r>
      <w:r>
        <w:t xml:space="preserve">he had been given only </w:t>
      </w:r>
      <w:r>
        <w:t>the first</w:t>
      </w:r>
      <w:r>
        <w:t xml:space="preserve"> of </w:t>
      </w:r>
      <w:r>
        <w:t>two transcripts of Lopez’s</w:t>
      </w:r>
      <w:r>
        <w:t xml:space="preserve"> interviews with </w:t>
      </w:r>
      <w:r>
        <w:t>police.</w:t>
      </w:r>
      <w:r>
        <w:t xml:space="preserve"> </w:t>
      </w:r>
      <w:r>
        <w:t xml:space="preserve"> </w:t>
      </w:r>
      <w:r>
        <w:t>Rangel</w:t>
      </w:r>
      <w:r>
        <w:t>’s</w:t>
      </w:r>
      <w:r>
        <w:t xml:space="preserve"> </w:t>
      </w:r>
      <w:r>
        <w:t xml:space="preserve">attorney </w:t>
      </w:r>
      <w:r>
        <w:t xml:space="preserve">informed the court that </w:t>
      </w:r>
      <w:r>
        <w:t>s</w:t>
      </w:r>
      <w:r>
        <w:t>he was missing a copy of th</w:t>
      </w:r>
      <w:r>
        <w:t>at</w:t>
      </w:r>
      <w:r>
        <w:t xml:space="preserve"> transcript</w:t>
      </w:r>
      <w:r>
        <w:t xml:space="preserve">.  </w:t>
      </w:r>
      <w:proofErr w:type="spellStart"/>
      <w:r>
        <w:t>Mora</w:t>
      </w:r>
      <w:r>
        <w:t>’s</w:t>
      </w:r>
      <w:proofErr w:type="spellEnd"/>
      <w:r>
        <w:t xml:space="preserve"> </w:t>
      </w:r>
      <w:r>
        <w:t xml:space="preserve">attorney </w:t>
      </w:r>
      <w:r>
        <w:t>had</w:t>
      </w:r>
      <w:r>
        <w:t xml:space="preserve"> copies of both transcripts, and the prosecution asserted that copies of </w:t>
      </w:r>
      <w:r>
        <w:t>the two</w:t>
      </w:r>
      <w:r>
        <w:t xml:space="preserve"> transcripts had </w:t>
      </w:r>
      <w:r>
        <w:t>also been provided to Rangel</w:t>
      </w:r>
      <w:r>
        <w:t xml:space="preserve">.  </w:t>
      </w:r>
      <w:r>
        <w:t>The court reso</w:t>
      </w:r>
      <w:r>
        <w:t>lved the issue by concluding proceeding</w:t>
      </w:r>
      <w:r>
        <w:t>s for the day to allow Rangel</w:t>
      </w:r>
      <w:r>
        <w:t>’s counsel</w:t>
      </w:r>
      <w:r>
        <w:t xml:space="preserve"> </w:t>
      </w:r>
      <w:r>
        <w:t xml:space="preserve">time to </w:t>
      </w:r>
      <w:r>
        <w:t xml:space="preserve">make a copy of </w:t>
      </w:r>
      <w:r>
        <w:t>the transcript</w:t>
      </w:r>
      <w:r>
        <w:t xml:space="preserve"> and review it </w:t>
      </w:r>
      <w:r>
        <w:t>before Lopez’s testimony</w:t>
      </w:r>
      <w:r>
        <w:t xml:space="preserve"> resumed</w:t>
      </w:r>
      <w:r>
        <w:t xml:space="preserve"> the</w:t>
      </w:r>
      <w:r>
        <w:t xml:space="preserve"> following day.  </w:t>
      </w:r>
      <w:r>
        <w:t xml:space="preserve">No objections to this course of action were made.  </w:t>
      </w:r>
    </w:p>
    <w:p w:rsidR="003B4541" w:rsidRDefault="00EF4903" w:rsidP="00D634F2">
      <w:pPr>
        <w:spacing w:line="480" w:lineRule="atLeast"/>
      </w:pPr>
      <w:r>
        <w:tab/>
      </w:r>
      <w:r>
        <w:t xml:space="preserve">Before court adjourned, </w:t>
      </w:r>
      <w:r>
        <w:t>Rangel</w:t>
      </w:r>
      <w:r>
        <w:t>’s counsel</w:t>
      </w:r>
      <w:r>
        <w:t xml:space="preserve"> </w:t>
      </w:r>
      <w:r>
        <w:t>noted t</w:t>
      </w:r>
      <w:r>
        <w:t xml:space="preserve">hat </w:t>
      </w:r>
      <w:r>
        <w:t>s</w:t>
      </w:r>
      <w:r>
        <w:t>he was also missing a</w:t>
      </w:r>
      <w:r>
        <w:t xml:space="preserve"> copy</w:t>
      </w:r>
      <w:r>
        <w:t xml:space="preserve"> of </w:t>
      </w:r>
      <w:r>
        <w:t xml:space="preserve">a diagram </w:t>
      </w:r>
      <w:r>
        <w:t>she</w:t>
      </w:r>
      <w:r>
        <w:t xml:space="preserve"> had seen </w:t>
      </w:r>
      <w:r>
        <w:t xml:space="preserve">a day or two </w:t>
      </w:r>
      <w:r>
        <w:t xml:space="preserve">earlier in Detective Mike </w:t>
      </w:r>
      <w:proofErr w:type="spellStart"/>
      <w:r>
        <w:t>Piaz’s</w:t>
      </w:r>
      <w:proofErr w:type="spellEnd"/>
      <w:r>
        <w:t xml:space="preserve"> notebook.</w:t>
      </w:r>
      <w:r>
        <w:rPr>
          <w:rStyle w:val="FootnoteReference"/>
        </w:rPr>
        <w:footnoteReference w:id="9"/>
      </w:r>
      <w:r>
        <w:t xml:space="preserve">  </w:t>
      </w:r>
      <w:r>
        <w:t xml:space="preserve">She </w:t>
      </w:r>
      <w:r>
        <w:t xml:space="preserve">had asked </w:t>
      </w:r>
      <w:r>
        <w:t>D</w:t>
      </w:r>
      <w:r>
        <w:t>etective</w:t>
      </w:r>
      <w:r>
        <w:t xml:space="preserve"> </w:t>
      </w:r>
      <w:proofErr w:type="spellStart"/>
      <w:r>
        <w:t>Piaz</w:t>
      </w:r>
      <w:proofErr w:type="spellEnd"/>
      <w:r>
        <w:t xml:space="preserve"> for </w:t>
      </w:r>
      <w:r>
        <w:t>a copy</w:t>
      </w:r>
      <w:r>
        <w:t xml:space="preserve"> of the diagram, and </w:t>
      </w:r>
      <w:r>
        <w:t xml:space="preserve">when Detective </w:t>
      </w:r>
      <w:proofErr w:type="spellStart"/>
      <w:r>
        <w:t>Piaz</w:t>
      </w:r>
      <w:proofErr w:type="spellEnd"/>
      <w:r>
        <w:t xml:space="preserve"> complied </w:t>
      </w:r>
      <w:r>
        <w:t>he</w:t>
      </w:r>
      <w:r>
        <w:t xml:space="preserve"> </w:t>
      </w:r>
      <w:r>
        <w:t xml:space="preserve">provided a copy </w:t>
      </w:r>
      <w:r>
        <w:t>of a</w:t>
      </w:r>
      <w:r>
        <w:t xml:space="preserve"> second </w:t>
      </w:r>
      <w:r>
        <w:t xml:space="preserve">diagram </w:t>
      </w:r>
      <w:r>
        <w:t xml:space="preserve">that </w:t>
      </w:r>
      <w:r>
        <w:t>Rangel</w:t>
      </w:r>
      <w:r>
        <w:t>’s lawyer</w:t>
      </w:r>
      <w:r>
        <w:t xml:space="preserve"> </w:t>
      </w:r>
      <w:r>
        <w:t>also</w:t>
      </w:r>
      <w:r>
        <w:t xml:space="preserve"> had not seen before.  Both were diagrams of the scene and both were </w:t>
      </w:r>
      <w:r>
        <w:t>dated August 26, 1997</w:t>
      </w:r>
      <w:r>
        <w:t>; neither had</w:t>
      </w:r>
      <w:r>
        <w:t xml:space="preserve"> </w:t>
      </w:r>
      <w:r>
        <w:t>been</w:t>
      </w:r>
      <w:r>
        <w:t xml:space="preserve"> </w:t>
      </w:r>
      <w:r>
        <w:t xml:space="preserve">disclosed during discovery.  </w:t>
      </w:r>
      <w:proofErr w:type="spellStart"/>
      <w:r>
        <w:t>Mora</w:t>
      </w:r>
      <w:r>
        <w:t>’s</w:t>
      </w:r>
      <w:proofErr w:type="spellEnd"/>
      <w:r>
        <w:t xml:space="preserve"> lawyer</w:t>
      </w:r>
      <w:r>
        <w:t xml:space="preserve"> </w:t>
      </w:r>
      <w:r>
        <w:t xml:space="preserve">also </w:t>
      </w:r>
      <w:r>
        <w:t>had</w:t>
      </w:r>
      <w:r>
        <w:t xml:space="preserve"> not</w:t>
      </w:r>
      <w:r>
        <w:t xml:space="preserve"> </w:t>
      </w:r>
      <w:r>
        <w:t>received</w:t>
      </w:r>
      <w:r>
        <w:t xml:space="preserve"> copies of the two dia</w:t>
      </w:r>
      <w:r>
        <w:t>grams</w:t>
      </w:r>
      <w:r>
        <w:t xml:space="preserve"> during discovery</w:t>
      </w:r>
      <w:r>
        <w:t xml:space="preserve">.  </w:t>
      </w:r>
    </w:p>
    <w:p w:rsidR="00A07C24" w:rsidRDefault="00EF4903" w:rsidP="00D634F2">
      <w:pPr>
        <w:spacing w:line="480" w:lineRule="atLeast"/>
      </w:pPr>
      <w:r>
        <w:tab/>
      </w:r>
      <w:r>
        <w:t>The prosecution</w:t>
      </w:r>
      <w:r>
        <w:t xml:space="preserve"> assured the court and </w:t>
      </w:r>
      <w:r>
        <w:t>defense</w:t>
      </w:r>
      <w:r>
        <w:t xml:space="preserve"> that</w:t>
      </w:r>
      <w:r>
        <w:t xml:space="preserve"> it had provided</w:t>
      </w:r>
      <w:r>
        <w:t xml:space="preserve"> </w:t>
      </w:r>
      <w:proofErr w:type="spellStart"/>
      <w:r>
        <w:t>Mora</w:t>
      </w:r>
      <w:proofErr w:type="spellEnd"/>
      <w:r>
        <w:t xml:space="preserve"> and Rangel</w:t>
      </w:r>
      <w:r>
        <w:t xml:space="preserve"> </w:t>
      </w:r>
      <w:r>
        <w:t>with</w:t>
      </w:r>
      <w:r>
        <w:t xml:space="preserve"> copies of all documents.  </w:t>
      </w:r>
      <w:r>
        <w:t>The court suggested that Rangel</w:t>
      </w:r>
      <w:r>
        <w:t xml:space="preserve">’s attorney </w:t>
      </w:r>
      <w:r>
        <w:t xml:space="preserve">review the documents stored in Detective </w:t>
      </w:r>
      <w:proofErr w:type="spellStart"/>
      <w:r>
        <w:t>Piaz’s</w:t>
      </w:r>
      <w:proofErr w:type="spellEnd"/>
      <w:r>
        <w:t xml:space="preserve"> office </w:t>
      </w:r>
      <w:r>
        <w:t xml:space="preserve">to determine whether </w:t>
      </w:r>
      <w:r>
        <w:t>s</w:t>
      </w:r>
      <w:r>
        <w:t>he was missing copies of anything else.  Rang</w:t>
      </w:r>
      <w:r>
        <w:t>el</w:t>
      </w:r>
      <w:r>
        <w:t>’s attorney</w:t>
      </w:r>
      <w:r>
        <w:t xml:space="preserve"> </w:t>
      </w:r>
      <w:r>
        <w:t xml:space="preserve">did so.  </w:t>
      </w:r>
      <w:r>
        <w:t xml:space="preserve">  </w:t>
      </w:r>
    </w:p>
    <w:p w:rsidR="007127C1" w:rsidRDefault="00EF4903" w:rsidP="00D634F2">
      <w:pPr>
        <w:spacing w:line="480" w:lineRule="atLeast"/>
      </w:pPr>
      <w:r>
        <w:tab/>
        <w:t>The next morning,</w:t>
      </w:r>
      <w:r>
        <w:t xml:space="preserve"> on January 20, 1999,</w:t>
      </w:r>
      <w:r>
        <w:t xml:space="preserve"> </w:t>
      </w:r>
      <w:r>
        <w:t>Rangel</w:t>
      </w:r>
      <w:r>
        <w:t>’s attorney</w:t>
      </w:r>
      <w:r>
        <w:t xml:space="preserve"> </w:t>
      </w:r>
      <w:r>
        <w:t xml:space="preserve">informed the court that review of the documents stored in Detective </w:t>
      </w:r>
      <w:proofErr w:type="spellStart"/>
      <w:r>
        <w:t>Piaz’s</w:t>
      </w:r>
      <w:proofErr w:type="spellEnd"/>
      <w:r>
        <w:t xml:space="preserve"> office revealed further discov</w:t>
      </w:r>
      <w:r>
        <w:t>ery</w:t>
      </w:r>
      <w:r>
        <w:t xml:space="preserve"> </w:t>
      </w:r>
      <w:r>
        <w:t xml:space="preserve">neither </w:t>
      </w:r>
      <w:r>
        <w:t>s</w:t>
      </w:r>
      <w:r>
        <w:t xml:space="preserve">he nor </w:t>
      </w:r>
      <w:proofErr w:type="spellStart"/>
      <w:r>
        <w:t>Mora</w:t>
      </w:r>
      <w:r>
        <w:t>’s</w:t>
      </w:r>
      <w:proofErr w:type="spellEnd"/>
      <w:r>
        <w:t xml:space="preserve"> counsel</w:t>
      </w:r>
      <w:r>
        <w:t xml:space="preserve"> </w:t>
      </w:r>
      <w:r>
        <w:t xml:space="preserve">had received, including a number of reports containing </w:t>
      </w:r>
      <w:r>
        <w:t>“very critical”</w:t>
      </w:r>
      <w:r>
        <w:t xml:space="preserve"> information</w:t>
      </w:r>
      <w:r>
        <w:t xml:space="preserve"> about</w:t>
      </w:r>
      <w:r>
        <w:t xml:space="preserve"> </w:t>
      </w:r>
      <w:r>
        <w:t>witnesses</w:t>
      </w:r>
      <w:r>
        <w:t xml:space="preserve">.  </w:t>
      </w:r>
      <w:r>
        <w:t xml:space="preserve">Specifically, the undisclosed </w:t>
      </w:r>
      <w:r>
        <w:t>documents</w:t>
      </w:r>
      <w:r>
        <w:t xml:space="preserve"> included a four-page report dated August 24, 1997</w:t>
      </w:r>
      <w:r>
        <w:t>,</w:t>
      </w:r>
      <w:r>
        <w:t xml:space="preserve"> regarding Enrique Parra</w:t>
      </w:r>
      <w:r>
        <w:t>;</w:t>
      </w:r>
      <w:r>
        <w:t xml:space="preserve"> </w:t>
      </w:r>
      <w:r>
        <w:t>an e</w:t>
      </w:r>
      <w:r>
        <w:t xml:space="preserve">ight-page </w:t>
      </w:r>
      <w:r>
        <w:t>r</w:t>
      </w:r>
      <w:r>
        <w:t>eport dated August 24, 1997</w:t>
      </w:r>
      <w:r>
        <w:t>,</w:t>
      </w:r>
      <w:r>
        <w:t xml:space="preserve"> regarding Jade Gallegos</w:t>
      </w:r>
      <w:r>
        <w:t>;</w:t>
      </w:r>
      <w:r>
        <w:t xml:space="preserve"> a three-page report concerning Ramon Valadez with an attached warrant</w:t>
      </w:r>
      <w:r>
        <w:t>;</w:t>
      </w:r>
      <w:r>
        <w:t xml:space="preserve"> and a nine-page follow-up investigation report prepared by the Compton Police Department, which contain</w:t>
      </w:r>
      <w:r>
        <w:t>ed</w:t>
      </w:r>
      <w:r>
        <w:t xml:space="preserve"> a number of wi</w:t>
      </w:r>
      <w:r>
        <w:t>tness statements.  The nine</w:t>
      </w:r>
      <w:r>
        <w:t>-page</w:t>
      </w:r>
      <w:r>
        <w:t xml:space="preserve"> report </w:t>
      </w:r>
      <w:r>
        <w:t>contain</w:t>
      </w:r>
      <w:r>
        <w:t xml:space="preserve">ed </w:t>
      </w:r>
      <w:r>
        <w:t>statements from thirteen neighborhood witnesses</w:t>
      </w:r>
      <w:r>
        <w:t xml:space="preserve">, none of whom had been previously disclosed to </w:t>
      </w:r>
      <w:r>
        <w:t xml:space="preserve">the </w:t>
      </w:r>
      <w:r>
        <w:t>defense</w:t>
      </w:r>
      <w:r>
        <w:t xml:space="preserve">.  </w:t>
      </w:r>
      <w:proofErr w:type="spellStart"/>
      <w:r>
        <w:t>Mora</w:t>
      </w:r>
      <w:proofErr w:type="spellEnd"/>
      <w:r>
        <w:t xml:space="preserve"> and Rangel</w:t>
      </w:r>
      <w:r>
        <w:t xml:space="preserve"> argued that s</w:t>
      </w:r>
      <w:r>
        <w:t xml:space="preserve">everal of the undisclosed witnesses made observations inconsistent with the testimony already given.  </w:t>
      </w:r>
      <w:r>
        <w:t>H</w:t>
      </w:r>
      <w:r>
        <w:t>ad t</w:t>
      </w:r>
      <w:r>
        <w:t>h</w:t>
      </w:r>
      <w:r>
        <w:t>e nine-page</w:t>
      </w:r>
      <w:r>
        <w:t xml:space="preserve"> witness report been made </w:t>
      </w:r>
      <w:r>
        <w:t>available earlier</w:t>
      </w:r>
      <w:r>
        <w:t xml:space="preserve">, </w:t>
      </w:r>
      <w:r>
        <w:t>they</w:t>
      </w:r>
      <w:r>
        <w:t xml:space="preserve"> asserted, </w:t>
      </w:r>
      <w:r>
        <w:t xml:space="preserve">the scope </w:t>
      </w:r>
      <w:r>
        <w:t xml:space="preserve">and subjects </w:t>
      </w:r>
      <w:r>
        <w:t xml:space="preserve">of </w:t>
      </w:r>
      <w:r>
        <w:t xml:space="preserve">the </w:t>
      </w:r>
      <w:r>
        <w:t>already-</w:t>
      </w:r>
      <w:r>
        <w:t xml:space="preserve">conducted </w:t>
      </w:r>
      <w:r>
        <w:t xml:space="preserve">cross-examination </w:t>
      </w:r>
      <w:r>
        <w:t>would</w:t>
      </w:r>
      <w:r>
        <w:t xml:space="preserve"> have </w:t>
      </w:r>
      <w:r>
        <w:t xml:space="preserve">differed.  </w:t>
      </w:r>
      <w:r>
        <w:t xml:space="preserve">  </w:t>
      </w:r>
    </w:p>
    <w:p w:rsidR="00903940" w:rsidRDefault="00EF4903" w:rsidP="00D634F2">
      <w:pPr>
        <w:spacing w:line="480" w:lineRule="atLeast"/>
      </w:pPr>
      <w:r>
        <w:tab/>
      </w:r>
      <w:r>
        <w:t xml:space="preserve">Because </w:t>
      </w:r>
      <w:r>
        <w:t>these</w:t>
      </w:r>
      <w:r>
        <w:t xml:space="preserve"> reports</w:t>
      </w:r>
      <w:r>
        <w:t>, along with the two diagrams and Lopez’s interview transcript,</w:t>
      </w:r>
      <w:r>
        <w:t xml:space="preserve"> had not been provided to </w:t>
      </w:r>
      <w:r>
        <w:t>the defense</w:t>
      </w:r>
      <w:r>
        <w:t xml:space="preserve"> until trial was well underway</w:t>
      </w:r>
      <w:r>
        <w:t xml:space="preserve">, </w:t>
      </w:r>
      <w:proofErr w:type="spellStart"/>
      <w:r>
        <w:t>Mora</w:t>
      </w:r>
      <w:proofErr w:type="spellEnd"/>
      <w:r>
        <w:t xml:space="preserve"> a</w:t>
      </w:r>
      <w:r>
        <w:t>n</w:t>
      </w:r>
      <w:r>
        <w:t>d Rangel</w:t>
      </w:r>
      <w:r>
        <w:t xml:space="preserve"> requested </w:t>
      </w:r>
      <w:r>
        <w:t>that the case be dismissed</w:t>
      </w:r>
      <w:r>
        <w:t xml:space="preserve">.  </w:t>
      </w:r>
      <w:r>
        <w:t xml:space="preserve">The court </w:t>
      </w:r>
      <w:r>
        <w:t>indicated it would “con</w:t>
      </w:r>
      <w:r>
        <w:t>sider a less dramatic sanction</w:t>
      </w:r>
      <w:r>
        <w:t xml:space="preserve"> than that at the outset,” and </w:t>
      </w:r>
      <w:r>
        <w:t xml:space="preserve">Rangel and </w:t>
      </w:r>
      <w:proofErr w:type="spellStart"/>
      <w:r>
        <w:t>Mora</w:t>
      </w:r>
      <w:proofErr w:type="spellEnd"/>
      <w:r>
        <w:t xml:space="preserve"> sought a week-long recess</w:t>
      </w:r>
      <w:r>
        <w:t xml:space="preserve"> to investigate the witness statements contained within the nine-page report</w:t>
      </w:r>
      <w:r>
        <w:t xml:space="preserve">.  The court acknowledged that </w:t>
      </w:r>
      <w:r>
        <w:t>it was</w:t>
      </w:r>
      <w:r>
        <w:t xml:space="preserve"> </w:t>
      </w:r>
      <w:r>
        <w:t>troubled by</w:t>
      </w:r>
      <w:r>
        <w:t xml:space="preserve"> some of the statements in th</w:t>
      </w:r>
      <w:r>
        <w:t>e newly</w:t>
      </w:r>
      <w:r>
        <w:t xml:space="preserve"> discover</w:t>
      </w:r>
      <w:r>
        <w:t>ed reports</w:t>
      </w:r>
      <w:r>
        <w:t xml:space="preserve"> and “more than a little concerned about the fact that” the reports </w:t>
      </w:r>
      <w:r>
        <w:t>had</w:t>
      </w:r>
      <w:r>
        <w:t xml:space="preserve"> not</w:t>
      </w:r>
      <w:r>
        <w:t xml:space="preserve"> been</w:t>
      </w:r>
      <w:r>
        <w:t xml:space="preserve"> “d</w:t>
      </w:r>
      <w:r>
        <w:t>elivered to defense counsel</w:t>
      </w:r>
      <w:r>
        <w:t>.</w:t>
      </w:r>
      <w:r>
        <w:t>”</w:t>
      </w:r>
      <w:r>
        <w:t xml:space="preserve">  </w:t>
      </w:r>
      <w:r>
        <w:t xml:space="preserve">The prosecutor clarified that the newly discovered reports were also not in her possession.  </w:t>
      </w:r>
    </w:p>
    <w:p w:rsidR="00DE13FA" w:rsidRDefault="00EF4903" w:rsidP="00D634F2">
      <w:pPr>
        <w:spacing w:line="480" w:lineRule="atLeast"/>
      </w:pPr>
      <w:r>
        <w:tab/>
      </w:r>
      <w:r>
        <w:t>T</w:t>
      </w:r>
      <w:r>
        <w:t>he</w:t>
      </w:r>
      <w:r>
        <w:t xml:space="preserve"> court agreed </w:t>
      </w:r>
      <w:r>
        <w:t>with</w:t>
      </w:r>
      <w:r>
        <w:t xml:space="preserve"> </w:t>
      </w:r>
      <w:proofErr w:type="spellStart"/>
      <w:r>
        <w:t>Mora</w:t>
      </w:r>
      <w:proofErr w:type="spellEnd"/>
      <w:r>
        <w:t xml:space="preserve"> and Rangel </w:t>
      </w:r>
      <w:r>
        <w:t xml:space="preserve">that </w:t>
      </w:r>
      <w:r>
        <w:t>further invest</w:t>
      </w:r>
      <w:r>
        <w:t>igation was warranted</w:t>
      </w:r>
      <w:r>
        <w:t xml:space="preserve">, at least with regard </w:t>
      </w:r>
      <w:r>
        <w:t xml:space="preserve">to </w:t>
      </w:r>
      <w:r>
        <w:t xml:space="preserve">two witness </w:t>
      </w:r>
      <w:r>
        <w:t>statements</w:t>
      </w:r>
      <w:r>
        <w:t>.</w:t>
      </w:r>
      <w:r>
        <w:t xml:space="preserve"> </w:t>
      </w:r>
      <w:r>
        <w:t xml:space="preserve"> These statements</w:t>
      </w:r>
      <w:r>
        <w:t xml:space="preserve"> </w:t>
      </w:r>
      <w:r>
        <w:t>described how</w:t>
      </w:r>
      <w:r>
        <w:t xml:space="preserve"> a </w:t>
      </w:r>
      <w:r>
        <w:t xml:space="preserve">car </w:t>
      </w:r>
      <w:r>
        <w:t>drove</w:t>
      </w:r>
      <w:r>
        <w:t xml:space="preserve"> away from </w:t>
      </w:r>
      <w:proofErr w:type="spellStart"/>
      <w:r>
        <w:t>Castlegate</w:t>
      </w:r>
      <w:proofErr w:type="spellEnd"/>
      <w:r>
        <w:t xml:space="preserve"> around the time shots were fired</w:t>
      </w:r>
      <w:r>
        <w:t>,</w:t>
      </w:r>
      <w:r>
        <w:t xml:space="preserve"> and </w:t>
      </w:r>
      <w:r>
        <w:t xml:space="preserve">how a </w:t>
      </w:r>
      <w:r>
        <w:t>woman’s voice was heard outside arguing</w:t>
      </w:r>
      <w:r>
        <w:t xml:space="preserve"> around the time shots were fired</w:t>
      </w:r>
      <w:r>
        <w:t xml:space="preserve">.  </w:t>
      </w:r>
      <w:r>
        <w:t>T</w:t>
      </w:r>
      <w:r>
        <w:t xml:space="preserve">he court granted a five-day recess to permit </w:t>
      </w:r>
      <w:r>
        <w:t xml:space="preserve">the </w:t>
      </w:r>
      <w:r>
        <w:t xml:space="preserve">defense time to interview the newly disclosed witnesses, </w:t>
      </w:r>
      <w:r>
        <w:t>and ordered</w:t>
      </w:r>
      <w:r>
        <w:t xml:space="preserve"> a status conference be held two days</w:t>
      </w:r>
      <w:r>
        <w:t xml:space="preserve"> later to confirm that </w:t>
      </w:r>
      <w:r>
        <w:t>a five-</w:t>
      </w:r>
      <w:r>
        <w:t>day</w:t>
      </w:r>
      <w:r>
        <w:t xml:space="preserve"> recess</w:t>
      </w:r>
      <w:r>
        <w:t xml:space="preserve"> would be sufficient</w:t>
      </w:r>
      <w:r>
        <w:t xml:space="preserve">.  </w:t>
      </w:r>
      <w:r>
        <w:t>Co</w:t>
      </w:r>
      <w:r>
        <w:t xml:space="preserve">unsel for </w:t>
      </w:r>
      <w:proofErr w:type="spellStart"/>
      <w:r>
        <w:t>Mora</w:t>
      </w:r>
      <w:proofErr w:type="spellEnd"/>
      <w:r>
        <w:t xml:space="preserve"> told the court, </w:t>
      </w:r>
      <w:r>
        <w:t xml:space="preserve">“We’ll do the best we can within that time frame, your honor.”  </w:t>
      </w:r>
    </w:p>
    <w:p w:rsidR="0032333E" w:rsidRDefault="00EF4903" w:rsidP="00D634F2">
      <w:pPr>
        <w:spacing w:line="480" w:lineRule="atLeast"/>
      </w:pPr>
      <w:r>
        <w:tab/>
        <w:t xml:space="preserve">That same day, January 20, 1999, the prosecution turned over additional documents not previously provided to the defense:  a witness statement by </w:t>
      </w:r>
      <w:r w:rsidRPr="00772CDF">
        <w:t>Jimenez</w:t>
      </w:r>
      <w:r>
        <w:t xml:space="preserve">, the </w:t>
      </w:r>
      <w:r>
        <w:t xml:space="preserve">passenger in Beltran’s car who lived on </w:t>
      </w:r>
      <w:proofErr w:type="spellStart"/>
      <w:r>
        <w:t>Castlegate</w:t>
      </w:r>
      <w:proofErr w:type="spellEnd"/>
      <w:r>
        <w:t>;</w:t>
      </w:r>
      <w:r>
        <w:t xml:space="preserve"> a warrant regarding Gallegos</w:t>
      </w:r>
      <w:r>
        <w:t>;</w:t>
      </w:r>
      <w:r w:rsidRPr="0032333E">
        <w:t xml:space="preserve"> </w:t>
      </w:r>
      <w:r>
        <w:t>and</w:t>
      </w:r>
      <w:r w:rsidRPr="00012743">
        <w:t xml:space="preserve"> a receipt related to a </w:t>
      </w:r>
      <w:r>
        <w:t>GSR</w:t>
      </w:r>
      <w:r w:rsidRPr="00012743">
        <w:t xml:space="preserve"> report. </w:t>
      </w:r>
      <w:r>
        <w:t xml:space="preserve"> </w:t>
      </w:r>
      <w:r w:rsidRPr="00012743">
        <w:t xml:space="preserve">The </w:t>
      </w:r>
      <w:r>
        <w:t xml:space="preserve">GSR </w:t>
      </w:r>
      <w:r w:rsidRPr="00012743">
        <w:t xml:space="preserve">report had been provided </w:t>
      </w:r>
      <w:r>
        <w:t xml:space="preserve">to </w:t>
      </w:r>
      <w:r>
        <w:t xml:space="preserve">the </w:t>
      </w:r>
      <w:r>
        <w:t xml:space="preserve">defense, but not until </w:t>
      </w:r>
      <w:r w:rsidRPr="00012743">
        <w:t xml:space="preserve">January 7, 1999, </w:t>
      </w:r>
      <w:r>
        <w:t xml:space="preserve">just </w:t>
      </w:r>
      <w:r w:rsidRPr="00012743">
        <w:t>five days before trial began.</w:t>
      </w:r>
      <w:r>
        <w:t xml:space="preserve">  Due to the report’</w:t>
      </w:r>
      <w:r>
        <w:t xml:space="preserve">s late disclosure and its inculpatory nature with regard to </w:t>
      </w:r>
      <w:proofErr w:type="spellStart"/>
      <w:r>
        <w:t>Mora</w:t>
      </w:r>
      <w:proofErr w:type="spellEnd"/>
      <w:r>
        <w:t xml:space="preserve">, the court excluded it.  Rangel was permitted to address the report and did so, but was prohibited from commenting on it as it related to </w:t>
      </w:r>
      <w:proofErr w:type="spellStart"/>
      <w:r>
        <w:t>Mora</w:t>
      </w:r>
      <w:proofErr w:type="spellEnd"/>
      <w:r w:rsidRPr="00012743">
        <w:t>.</w:t>
      </w:r>
      <w:r>
        <w:t xml:space="preserve">  Only the receipt for the report was turned ove</w:t>
      </w:r>
      <w:r>
        <w:t>r on January 20, 1999.</w:t>
      </w:r>
    </w:p>
    <w:p w:rsidR="00A8534C" w:rsidRDefault="00EF4903" w:rsidP="00D634F2">
      <w:pPr>
        <w:spacing w:line="480" w:lineRule="atLeast"/>
      </w:pPr>
      <w:r>
        <w:tab/>
        <w:t xml:space="preserve">At the </w:t>
      </w:r>
      <w:r>
        <w:t>January 22, 1999</w:t>
      </w:r>
      <w:r>
        <w:t>,</w:t>
      </w:r>
      <w:r>
        <w:t xml:space="preserve"> </w:t>
      </w:r>
      <w:r>
        <w:t>status conference,</w:t>
      </w:r>
      <w:r>
        <w:t xml:space="preserve"> Rangel</w:t>
      </w:r>
      <w:r>
        <w:t>’s counsel</w:t>
      </w:r>
      <w:r>
        <w:t xml:space="preserve"> announced readiness</w:t>
      </w:r>
      <w:r>
        <w:t xml:space="preserve"> to proceed </w:t>
      </w:r>
      <w:r>
        <w:t>at the conclusion of the five-day recess</w:t>
      </w:r>
      <w:r>
        <w:t xml:space="preserve">.  </w:t>
      </w:r>
      <w:proofErr w:type="spellStart"/>
      <w:r>
        <w:t>Mora’s</w:t>
      </w:r>
      <w:proofErr w:type="spellEnd"/>
      <w:r>
        <w:t xml:space="preserve"> </w:t>
      </w:r>
      <w:r>
        <w:t>investigator</w:t>
      </w:r>
      <w:r>
        <w:t xml:space="preserve"> had difficulty contacting one of the </w:t>
      </w:r>
      <w:r>
        <w:t>13</w:t>
      </w:r>
      <w:r>
        <w:t xml:space="preserve"> witnesses.  T</w:t>
      </w:r>
      <w:r>
        <w:t xml:space="preserve">he </w:t>
      </w:r>
      <w:r>
        <w:t xml:space="preserve">court and prosecutor discussed the fact that the </w:t>
      </w:r>
      <w:r>
        <w:t xml:space="preserve">witness’s </w:t>
      </w:r>
      <w:r>
        <w:t>family had been cooperative</w:t>
      </w:r>
      <w:r>
        <w:t>,</w:t>
      </w:r>
      <w:r>
        <w:t xml:space="preserve"> and the court was confident </w:t>
      </w:r>
      <w:r>
        <w:t>the witness</w:t>
      </w:r>
      <w:r>
        <w:t xml:space="preserve"> could be reached before trial resum</w:t>
      </w:r>
      <w:r>
        <w:t xml:space="preserve">ed on Monday.  </w:t>
      </w:r>
      <w:proofErr w:type="spellStart"/>
      <w:r>
        <w:t>Mora</w:t>
      </w:r>
      <w:r>
        <w:t>’s</w:t>
      </w:r>
      <w:proofErr w:type="spellEnd"/>
      <w:r>
        <w:t xml:space="preserve"> attorney</w:t>
      </w:r>
      <w:r>
        <w:t xml:space="preserve"> asked the court how to proceed if the witness could not be rea</w:t>
      </w:r>
      <w:r>
        <w:t xml:space="preserve">ched by the conclusion of the five-day recess, and the court advised </w:t>
      </w:r>
      <w:r>
        <w:t xml:space="preserve">to “keep at it.”  </w:t>
      </w:r>
      <w:r>
        <w:t xml:space="preserve">No objection or further colloquy followed.  </w:t>
      </w:r>
    </w:p>
    <w:p w:rsidR="00AF1DE9" w:rsidRDefault="00EF4903" w:rsidP="00D634F2">
      <w:pPr>
        <w:spacing w:line="480" w:lineRule="atLeast"/>
      </w:pPr>
      <w:r>
        <w:tab/>
      </w:r>
      <w:r>
        <w:t xml:space="preserve">In light of the numerous late-disclosed documents, </w:t>
      </w:r>
      <w:r>
        <w:t>the defense</w:t>
      </w:r>
      <w:r w:rsidRPr="00675A20">
        <w:t xml:space="preserve"> </w:t>
      </w:r>
      <w:r>
        <w:t xml:space="preserve">again requested that the case be dismissed.  </w:t>
      </w:r>
      <w:proofErr w:type="spellStart"/>
      <w:r>
        <w:t>Mora</w:t>
      </w:r>
      <w:proofErr w:type="spellEnd"/>
      <w:r>
        <w:t xml:space="preserve"> and Rangel </w:t>
      </w:r>
      <w:r>
        <w:t xml:space="preserve">argued that most if not all the undisclosed discovery contradicted prior testimony and the </w:t>
      </w:r>
      <w:r>
        <w:t>prosecution</w:t>
      </w:r>
      <w:r>
        <w:t>’s</w:t>
      </w:r>
      <w:r>
        <w:t xml:space="preserve"> case</w:t>
      </w:r>
      <w:r>
        <w:t xml:space="preserve">.  </w:t>
      </w:r>
      <w:r>
        <w:t xml:space="preserve">The court denied the request, </w:t>
      </w:r>
      <w:r>
        <w:t xml:space="preserve">but </w:t>
      </w:r>
      <w:r>
        <w:t xml:space="preserve">echoed </w:t>
      </w:r>
      <w:r>
        <w:t>the concern</w:t>
      </w:r>
      <w:r>
        <w:t xml:space="preserve"> that some of the newly discovered statements may have been “contrary to the</w:t>
      </w:r>
      <w:r>
        <w:t xml:space="preserve"> evidence that’s been presented in court so far.”  </w:t>
      </w:r>
      <w:r>
        <w:t xml:space="preserve">The court </w:t>
      </w:r>
      <w:r>
        <w:t>explained</w:t>
      </w:r>
      <w:r>
        <w:t xml:space="preserve"> that</w:t>
      </w:r>
      <w:r>
        <w:t xml:space="preserve"> the remedy to date had been to suspend</w:t>
      </w:r>
      <w:r>
        <w:t xml:space="preserve"> the trial </w:t>
      </w:r>
      <w:r>
        <w:t xml:space="preserve">and </w:t>
      </w:r>
      <w:r>
        <w:t xml:space="preserve">provide counsel with “an opportunity to communicate with these witnesses.”  </w:t>
      </w:r>
      <w:proofErr w:type="spellStart"/>
      <w:r>
        <w:t>Mora</w:t>
      </w:r>
      <w:proofErr w:type="spellEnd"/>
      <w:r>
        <w:t xml:space="preserve"> and Rangel </w:t>
      </w:r>
      <w:r>
        <w:t>then</w:t>
      </w:r>
      <w:r>
        <w:t xml:space="preserve"> requested a jury instruction b</w:t>
      </w:r>
      <w:r>
        <w:t>e provided concerning the late discovery, and the court</w:t>
      </w:r>
      <w:r>
        <w:t xml:space="preserve"> acceded,</w:t>
      </w:r>
      <w:r>
        <w:t xml:space="preserve"> ask</w:t>
      </w:r>
      <w:r>
        <w:t>ing</w:t>
      </w:r>
      <w:r>
        <w:t xml:space="preserve"> </w:t>
      </w:r>
      <w:r>
        <w:t>that</w:t>
      </w:r>
      <w:r>
        <w:t xml:space="preserve"> an instruction</w:t>
      </w:r>
      <w:r>
        <w:t xml:space="preserve"> be</w:t>
      </w:r>
      <w:r>
        <w:t xml:space="preserve"> prepared for its review when they reached that phase of the proceedings.</w:t>
      </w:r>
      <w:r>
        <w:t xml:space="preserve">  </w:t>
      </w:r>
      <w:r>
        <w:t>P</w:t>
      </w:r>
      <w:r>
        <w:t>roceedings resumed</w:t>
      </w:r>
      <w:r>
        <w:t xml:space="preserve"> the following Monday</w:t>
      </w:r>
      <w:r>
        <w:t>, January 25, 1999</w:t>
      </w:r>
      <w:r>
        <w:t>.</w:t>
      </w:r>
      <w:r>
        <w:rPr>
          <w:rStyle w:val="FootnoteReference"/>
        </w:rPr>
        <w:footnoteReference w:id="10"/>
      </w:r>
      <w:r>
        <w:t xml:space="preserve">  </w:t>
      </w:r>
      <w:r>
        <w:tab/>
      </w:r>
      <w:r>
        <w:t xml:space="preserve"> </w:t>
      </w:r>
    </w:p>
    <w:p w:rsidR="00AA514E" w:rsidRDefault="00EF4903" w:rsidP="00D634F2">
      <w:pPr>
        <w:spacing w:line="480" w:lineRule="atLeast"/>
      </w:pPr>
      <w:r>
        <w:tab/>
      </w:r>
      <w:r>
        <w:t xml:space="preserve">On February 2, 1999, after the prosecution rested, another previously undisclosed </w:t>
      </w:r>
      <w:r>
        <w:t>document</w:t>
      </w:r>
      <w:r>
        <w:t xml:space="preserve">, </w:t>
      </w:r>
      <w:r>
        <w:t>a</w:t>
      </w:r>
      <w:r>
        <w:t xml:space="preserve"> fingerprint testing</w:t>
      </w:r>
      <w:r>
        <w:t xml:space="preserve"> report</w:t>
      </w:r>
      <w:r>
        <w:t>,</w:t>
      </w:r>
      <w:r>
        <w:t xml:space="preserve"> </w:t>
      </w:r>
      <w:r>
        <w:t xml:space="preserve">was turned over to </w:t>
      </w:r>
      <w:r>
        <w:t xml:space="preserve">the </w:t>
      </w:r>
      <w:r>
        <w:t>defense.  Throughout the proceedings, the</w:t>
      </w:r>
      <w:r>
        <w:t xml:space="preserve"> defense claimed the</w:t>
      </w:r>
      <w:r>
        <w:t xml:space="preserve"> prosecution </w:t>
      </w:r>
      <w:r>
        <w:t>maintained</w:t>
      </w:r>
      <w:r>
        <w:t xml:space="preserve"> that no fingerprint testin</w:t>
      </w:r>
      <w:r>
        <w:t xml:space="preserve">g had been conducted.  In fact, four shell casings and the beer can beneath the </w:t>
      </w:r>
      <w:r>
        <w:t>4Runner</w:t>
      </w:r>
      <w:r>
        <w:t xml:space="preserve"> had been tested for fingerprints</w:t>
      </w:r>
      <w:r>
        <w:t xml:space="preserve">, but the </w:t>
      </w:r>
      <w:proofErr w:type="spellStart"/>
      <w:r>
        <w:t>Intratec</w:t>
      </w:r>
      <w:proofErr w:type="spellEnd"/>
      <w:r>
        <w:t xml:space="preserve"> and Astra magazines and rounds had not been</w:t>
      </w:r>
      <w:r>
        <w:t xml:space="preserve"> tested</w:t>
      </w:r>
      <w:r>
        <w:t>, nor had four of the expended shell casings</w:t>
      </w:r>
      <w:r>
        <w:t xml:space="preserve">.  No fingerprints </w:t>
      </w:r>
      <w:r>
        <w:t>were</w:t>
      </w:r>
      <w:r>
        <w:t xml:space="preserve"> </w:t>
      </w:r>
      <w:r>
        <w:t>found on th</w:t>
      </w:r>
      <w:r>
        <w:t>e</w:t>
      </w:r>
      <w:r>
        <w:t xml:space="preserve"> tested</w:t>
      </w:r>
      <w:r>
        <w:t xml:space="preserve"> items.    </w:t>
      </w:r>
    </w:p>
    <w:p w:rsidR="00494A88" w:rsidRDefault="00EF4903" w:rsidP="00D634F2">
      <w:pPr>
        <w:spacing w:line="480" w:lineRule="atLeast"/>
      </w:pPr>
      <w:r>
        <w:tab/>
      </w:r>
      <w:r>
        <w:t xml:space="preserve">When they received the fingerprint report, </w:t>
      </w:r>
      <w:proofErr w:type="spellStart"/>
      <w:r>
        <w:t>Mora</w:t>
      </w:r>
      <w:proofErr w:type="spellEnd"/>
      <w:r>
        <w:t xml:space="preserve"> and Rangel requested a mistrial</w:t>
      </w:r>
      <w:r>
        <w:t xml:space="preserve">. </w:t>
      </w:r>
      <w:r>
        <w:t xml:space="preserve"> </w:t>
      </w:r>
      <w:r>
        <w:t>They argued</w:t>
      </w:r>
      <w:r>
        <w:t xml:space="preserve"> </w:t>
      </w:r>
      <w:r>
        <w:t xml:space="preserve">that </w:t>
      </w:r>
      <w:r>
        <w:t xml:space="preserve">the </w:t>
      </w:r>
      <w:r>
        <w:t>“</w:t>
      </w:r>
      <w:r>
        <w:t>continuum</w:t>
      </w:r>
      <w:r>
        <w:t>”</w:t>
      </w:r>
      <w:r>
        <w:t xml:space="preserve"> of discovery violations warranted relief, and</w:t>
      </w:r>
      <w:r>
        <w:t xml:space="preserve"> specifically that</w:t>
      </w:r>
      <w:r>
        <w:t xml:space="preserve"> the </w:t>
      </w:r>
      <w:r>
        <w:t xml:space="preserve">failure to timely disclose the </w:t>
      </w:r>
      <w:r>
        <w:t>fingerpri</w:t>
      </w:r>
      <w:r>
        <w:t xml:space="preserve">nt </w:t>
      </w:r>
      <w:r>
        <w:t>report impaired their ability to effectively cross-examine police officers who testifie</w:t>
      </w:r>
      <w:r>
        <w:t>d during the prosecution’s case-in-</w:t>
      </w:r>
      <w:r>
        <w:t xml:space="preserve">chief.  </w:t>
      </w:r>
      <w:r>
        <w:t>The court declined to grant a mistria</w:t>
      </w:r>
      <w:r>
        <w:t>l</w:t>
      </w:r>
      <w:r>
        <w:t>.</w:t>
      </w:r>
      <w:r>
        <w:t xml:space="preserve">  </w:t>
      </w:r>
      <w:proofErr w:type="spellStart"/>
      <w:r>
        <w:t>Mora</w:t>
      </w:r>
      <w:proofErr w:type="spellEnd"/>
      <w:r>
        <w:t xml:space="preserve"> and Rangel then</w:t>
      </w:r>
      <w:r>
        <w:t xml:space="preserve"> </w:t>
      </w:r>
      <w:r>
        <w:t xml:space="preserve">proposed </w:t>
      </w:r>
      <w:r>
        <w:t>the court exclude</w:t>
      </w:r>
      <w:r>
        <w:t xml:space="preserve"> the fingerprint report</w:t>
      </w:r>
      <w:r>
        <w:t>, permitting</w:t>
      </w:r>
      <w:r>
        <w:t xml:space="preserve"> the parties to</w:t>
      </w:r>
      <w:r>
        <w:t xml:space="preserve"> proceed</w:t>
      </w:r>
      <w:r>
        <w:t xml:space="preserve"> as though it never existed.  T</w:t>
      </w:r>
      <w:r>
        <w:t xml:space="preserve">he </w:t>
      </w:r>
      <w:r>
        <w:t>court denied this request</w:t>
      </w:r>
      <w:r>
        <w:t xml:space="preserve">, </w:t>
      </w:r>
      <w:r>
        <w:t xml:space="preserve">as well, </w:t>
      </w:r>
      <w:r>
        <w:t xml:space="preserve">expressing concern about misleading the jury.  Instead, the court </w:t>
      </w:r>
      <w:r>
        <w:t>proposed informing</w:t>
      </w:r>
      <w:r>
        <w:t xml:space="preserve"> the jury </w:t>
      </w:r>
      <w:r>
        <w:t>about the content and recent discovery of the fingerprint report, and</w:t>
      </w:r>
      <w:r>
        <w:t xml:space="preserve"> suggested clarifying for the</w:t>
      </w:r>
      <w:r>
        <w:t xml:space="preserve"> jurors</w:t>
      </w:r>
      <w:r>
        <w:t xml:space="preserve"> that no party had </w:t>
      </w:r>
      <w:r>
        <w:t xml:space="preserve">been </w:t>
      </w:r>
      <w:r>
        <w:t>aware of</w:t>
      </w:r>
      <w:r>
        <w:t xml:space="preserve"> the report</w:t>
      </w:r>
      <w:r>
        <w:t xml:space="preserve"> </w:t>
      </w:r>
      <w:r>
        <w:t>prior to</w:t>
      </w:r>
      <w:r>
        <w:t xml:space="preserve"> its discovery</w:t>
      </w:r>
      <w:r>
        <w:t xml:space="preserve">.  The court assured counsel that the jury would “be given a specific instruction later.”  The court </w:t>
      </w:r>
      <w:r>
        <w:t xml:space="preserve">then </w:t>
      </w:r>
      <w:r>
        <w:t xml:space="preserve">informed the jury </w:t>
      </w:r>
      <w:r>
        <w:t xml:space="preserve">as </w:t>
      </w:r>
      <w:r>
        <w:t>described</w:t>
      </w:r>
      <w:r>
        <w:t>.</w:t>
      </w:r>
      <w:r>
        <w:t xml:space="preserve">  </w:t>
      </w:r>
      <w:r>
        <w:t xml:space="preserve">  </w:t>
      </w:r>
    </w:p>
    <w:p w:rsidR="003B3EF7" w:rsidRPr="00FF233B" w:rsidRDefault="00EF4903" w:rsidP="00D634F2">
      <w:pPr>
        <w:spacing w:line="480" w:lineRule="atLeast"/>
      </w:pPr>
      <w:r>
        <w:tab/>
        <w:t>At the conc</w:t>
      </w:r>
      <w:r>
        <w:t xml:space="preserve">lusion of the guilt phase, </w:t>
      </w:r>
      <w:proofErr w:type="spellStart"/>
      <w:r>
        <w:t>Mora</w:t>
      </w:r>
      <w:proofErr w:type="spellEnd"/>
      <w:r>
        <w:t xml:space="preserve"> provided the court with a proposed special instruction concerning the discovery delays.  </w:t>
      </w:r>
      <w:r>
        <w:t xml:space="preserve">The court rejected that instruction, instead giving </w:t>
      </w:r>
      <w:r>
        <w:t>CALJIC No. 2.28,</w:t>
      </w:r>
      <w:r>
        <w:t xml:space="preserve"> fully set forth in footnote 12</w:t>
      </w:r>
      <w:r>
        <w:t xml:space="preserve">, </w:t>
      </w:r>
      <w:r w:rsidRPr="001E0126">
        <w:rPr>
          <w:i/>
        </w:rPr>
        <w:t>post</w:t>
      </w:r>
      <w:r>
        <w:t>,</w:t>
      </w:r>
      <w:r>
        <w:t xml:space="preserve"> modified to include the stip</w:t>
      </w:r>
      <w:r>
        <w:t xml:space="preserve">ulations contained in </w:t>
      </w:r>
      <w:proofErr w:type="spellStart"/>
      <w:r>
        <w:t>Mora’s</w:t>
      </w:r>
      <w:proofErr w:type="spellEnd"/>
      <w:r>
        <w:t xml:space="preserve"> proposed instruction.  </w:t>
      </w:r>
      <w:r>
        <w:t>T</w:t>
      </w:r>
      <w:r>
        <w:t>he court</w:t>
      </w:r>
      <w:r>
        <w:t xml:space="preserve"> twice</w:t>
      </w:r>
      <w:r>
        <w:t xml:space="preserve"> indicated its intent to hold a sanctions hearing </w:t>
      </w:r>
      <w:r>
        <w:t xml:space="preserve">at the </w:t>
      </w:r>
      <w:r>
        <w:t>end</w:t>
      </w:r>
      <w:r>
        <w:t xml:space="preserve"> of </w:t>
      </w:r>
      <w:r>
        <w:t xml:space="preserve">the </w:t>
      </w:r>
      <w:r>
        <w:t xml:space="preserve">trial </w:t>
      </w:r>
      <w:r>
        <w:t xml:space="preserve">regarding the discovery delays, although no such hearing ever occurred.  </w:t>
      </w:r>
    </w:p>
    <w:p w:rsidR="00582512" w:rsidRPr="00582512" w:rsidRDefault="00EF4903" w:rsidP="008E1CD8">
      <w:pPr>
        <w:pStyle w:val="Heading4"/>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b.</w:t>
      </w:r>
      <w:r w:rsidRPr="001246BE">
        <w:rPr>
          <w:rFonts w:ascii="Times New Roman" w:hAnsi="Times New Roman"/>
          <w:b w:val="0"/>
          <w:i w:val="0"/>
          <w:color w:val="auto"/>
        </w:rPr>
        <w:tab/>
      </w:r>
      <w:r w:rsidRPr="001246BE">
        <w:rPr>
          <w:rFonts w:ascii="Times New Roman" w:hAnsi="Times New Roman"/>
          <w:b w:val="0"/>
          <w:color w:val="auto"/>
        </w:rPr>
        <w:t>Discussion</w:t>
      </w:r>
      <w:r>
        <w:tab/>
      </w:r>
    </w:p>
    <w:p w:rsidR="00F82269" w:rsidRPr="001246BE" w:rsidRDefault="00EF4903" w:rsidP="00582512">
      <w:pPr>
        <w:pStyle w:val="Heading5"/>
        <w:rPr>
          <w:rFonts w:ascii="Times New Roman" w:hAnsi="Times New Roman"/>
          <w:color w:val="auto"/>
        </w:rPr>
      </w:pPr>
      <w:r w:rsidRPr="001246BE">
        <w:rPr>
          <w:rFonts w:ascii="Times New Roman" w:hAnsi="Times New Roman"/>
          <w:b/>
          <w:color w:val="auto"/>
        </w:rPr>
        <w:tab/>
      </w:r>
      <w:r w:rsidRPr="001246BE">
        <w:rPr>
          <w:rFonts w:ascii="Times New Roman" w:hAnsi="Times New Roman"/>
          <w:b/>
          <w:color w:val="auto"/>
        </w:rPr>
        <w:tab/>
      </w:r>
      <w:r w:rsidRPr="001246BE">
        <w:rPr>
          <w:rFonts w:ascii="Times New Roman" w:hAnsi="Times New Roman"/>
          <w:b/>
          <w:color w:val="auto"/>
        </w:rPr>
        <w:tab/>
      </w:r>
      <w:r w:rsidRPr="001246BE">
        <w:rPr>
          <w:rFonts w:ascii="Times New Roman" w:hAnsi="Times New Roman"/>
          <w:b/>
          <w:color w:val="auto"/>
        </w:rPr>
        <w:tab/>
      </w:r>
      <w:r w:rsidRPr="001246BE">
        <w:rPr>
          <w:rFonts w:ascii="Times New Roman" w:hAnsi="Times New Roman"/>
          <w:color w:val="auto"/>
        </w:rPr>
        <w:t>1</w:t>
      </w:r>
      <w:r w:rsidRPr="001246BE">
        <w:rPr>
          <w:rFonts w:ascii="Times New Roman" w:hAnsi="Times New Roman"/>
          <w:i/>
          <w:color w:val="auto"/>
        </w:rPr>
        <w:t>.</w:t>
      </w:r>
      <w:r w:rsidRPr="001246BE">
        <w:rPr>
          <w:rFonts w:ascii="Times New Roman" w:hAnsi="Times New Roman"/>
          <w:i/>
          <w:color w:val="auto"/>
        </w:rPr>
        <w:tab/>
      </w:r>
      <w:r w:rsidRPr="001246BE">
        <w:rPr>
          <w:rFonts w:ascii="Times New Roman" w:hAnsi="Times New Roman"/>
          <w:color w:val="auto"/>
        </w:rPr>
        <w:t xml:space="preserve">Statutory </w:t>
      </w:r>
      <w:r w:rsidRPr="001246BE">
        <w:rPr>
          <w:rFonts w:ascii="Times New Roman" w:hAnsi="Times New Roman"/>
          <w:color w:val="auto"/>
        </w:rPr>
        <w:t xml:space="preserve">and </w:t>
      </w:r>
      <w:r w:rsidRPr="001246BE">
        <w:rPr>
          <w:rFonts w:ascii="Times New Roman" w:hAnsi="Times New Roman"/>
          <w:i/>
          <w:color w:val="auto"/>
        </w:rPr>
        <w:t>Brady</w:t>
      </w:r>
      <w:r w:rsidRPr="001246BE">
        <w:rPr>
          <w:rFonts w:ascii="Times New Roman" w:hAnsi="Times New Roman"/>
          <w:color w:val="auto"/>
        </w:rPr>
        <w:t xml:space="preserve"> Error</w:t>
      </w:r>
    </w:p>
    <w:p w:rsidR="00F1192B" w:rsidRDefault="00EF4903" w:rsidP="008E1CD8">
      <w:pPr>
        <w:spacing w:line="480" w:lineRule="atLeast"/>
      </w:pPr>
      <w:r>
        <w:tab/>
      </w:r>
      <w:proofErr w:type="spellStart"/>
      <w:r>
        <w:t>Mora</w:t>
      </w:r>
      <w:proofErr w:type="spellEnd"/>
      <w:r>
        <w:t xml:space="preserve"> and Rangel allege the prosecution’s failure to timely disclose </w:t>
      </w:r>
      <w:r>
        <w:t>the</w:t>
      </w:r>
      <w:r>
        <w:t xml:space="preserve"> documents and reports </w:t>
      </w:r>
      <w:r>
        <w:t xml:space="preserve">described above </w:t>
      </w:r>
      <w:r>
        <w:t xml:space="preserve">violated the discovery statutes and constituted </w:t>
      </w:r>
      <w:r w:rsidRPr="00516D72">
        <w:rPr>
          <w:i/>
        </w:rPr>
        <w:t>Brady</w:t>
      </w:r>
      <w:r>
        <w:rPr>
          <w:rStyle w:val="FootnoteReference"/>
        </w:rPr>
        <w:footnoteReference w:id="11"/>
      </w:r>
      <w:r>
        <w:t xml:space="preserve"> error.  A trial court’s discovery rulings are reviewed for abuse of discretion</w:t>
      </w:r>
      <w:r>
        <w:t>.</w:t>
      </w:r>
      <w:r>
        <w:t xml:space="preserve">  (</w:t>
      </w:r>
      <w:r>
        <w:rPr>
          <w:i/>
        </w:rPr>
        <w:t>People v. Ayala</w:t>
      </w:r>
      <w:r>
        <w:t xml:space="preserve"> (2000) 23 Cal.4th 225, 299.)  The trial court possesses the discretion to determine what sanction is appropriate to ensure a fair trial.  (</w:t>
      </w:r>
      <w:r>
        <w:rPr>
          <w:i/>
        </w:rPr>
        <w:t>People v. Jenkins</w:t>
      </w:r>
      <w:r>
        <w:t xml:space="preserve"> (2000) 22 </w:t>
      </w:r>
      <w:r>
        <w:t>Cal.4th 900, 951</w:t>
      </w:r>
      <w:r>
        <w:t xml:space="preserve"> (</w:t>
      </w:r>
      <w:r>
        <w:rPr>
          <w:i/>
        </w:rPr>
        <w:t>Jenkins</w:t>
      </w:r>
      <w:r>
        <w:t>)</w:t>
      </w:r>
      <w:r>
        <w:t xml:space="preserve">.)  Under </w:t>
      </w:r>
      <w:r>
        <w:rPr>
          <w:i/>
        </w:rPr>
        <w:t>Brady</w:t>
      </w:r>
      <w:r>
        <w:t xml:space="preserve">, “the suppression by the </w:t>
      </w:r>
      <w:r>
        <w:t>prosecution of evidence favorable to an accused upon request violates due process where the evidence is material either to guilt or to punishment, irrespective of the good faith or bad faith of the prosecution.”  (</w:t>
      </w:r>
      <w:r>
        <w:rPr>
          <w:i/>
        </w:rPr>
        <w:t>Brady</w:t>
      </w:r>
      <w:r w:rsidRPr="007A76D7">
        <w:t>,</w:t>
      </w:r>
      <w:r>
        <w:rPr>
          <w:i/>
        </w:rPr>
        <w:t xml:space="preserve"> </w:t>
      </w:r>
      <w:r w:rsidRPr="007A76D7">
        <w:rPr>
          <w:i/>
        </w:rPr>
        <w:t>supra</w:t>
      </w:r>
      <w:r>
        <w:t xml:space="preserve">, </w:t>
      </w:r>
      <w:r w:rsidRPr="007A76D7">
        <w:t>373</w:t>
      </w:r>
      <w:r>
        <w:t xml:space="preserve"> U.S. at p. 87.)  </w:t>
      </w:r>
    </w:p>
    <w:p w:rsidR="005470E5" w:rsidRDefault="00EF4903" w:rsidP="008E1CD8">
      <w:pPr>
        <w:spacing w:line="480" w:lineRule="atLeast"/>
      </w:pPr>
      <w:r>
        <w:tab/>
      </w:r>
      <w:proofErr w:type="spellStart"/>
      <w:r>
        <w:t>Mora</w:t>
      </w:r>
      <w:proofErr w:type="spellEnd"/>
      <w:r>
        <w:t xml:space="preserve"> </w:t>
      </w:r>
      <w:r>
        <w:t xml:space="preserve">and Rangel admit they eventually received the relevant documents from the prosecution.  But they contend that </w:t>
      </w:r>
      <w:r>
        <w:t xml:space="preserve">the delayed disclosure of discovery constituted a </w:t>
      </w:r>
      <w:r>
        <w:rPr>
          <w:i/>
        </w:rPr>
        <w:t>Brady</w:t>
      </w:r>
      <w:r>
        <w:t xml:space="preserve"> error of constitutional magnitude because the </w:t>
      </w:r>
      <w:r>
        <w:t>documents were</w:t>
      </w:r>
      <w:r>
        <w:t xml:space="preserve"> not received within sufficien</w:t>
      </w:r>
      <w:r>
        <w:t>t time to use</w:t>
      </w:r>
      <w:r>
        <w:t xml:space="preserve"> it effectively at trial.  (See </w:t>
      </w:r>
      <w:r>
        <w:rPr>
          <w:i/>
        </w:rPr>
        <w:t>People v. Wright</w:t>
      </w:r>
      <w:r>
        <w:t xml:space="preserve"> (1985) 39 Cal.3d 576, 590</w:t>
      </w:r>
      <w:r>
        <w:t>–</w:t>
      </w:r>
      <w:r>
        <w:t>591.)  They further argue that the prosecution had a duty to disclose any exculpatory evidence it reasonably could have learned, even if the prosecution was actually un</w:t>
      </w:r>
      <w:r>
        <w:t>aware of that evidence.  (</w:t>
      </w:r>
      <w:r>
        <w:rPr>
          <w:i/>
        </w:rPr>
        <w:t>In re Brown</w:t>
      </w:r>
      <w:r>
        <w:t xml:space="preserve"> (1998) 17 Cal.4th 873, 879–</w:t>
      </w:r>
      <w:r>
        <w:t xml:space="preserve">880.) </w:t>
      </w:r>
      <w:r>
        <w:tab/>
      </w:r>
      <w:r>
        <w:tab/>
      </w:r>
      <w:r>
        <w:t xml:space="preserve">  </w:t>
      </w:r>
    </w:p>
    <w:p w:rsidR="008E1CD8" w:rsidRDefault="00EF4903" w:rsidP="008E1CD8">
      <w:pPr>
        <w:spacing w:line="480" w:lineRule="atLeast"/>
      </w:pPr>
      <w:r>
        <w:tab/>
      </w:r>
      <w:proofErr w:type="spellStart"/>
      <w:r>
        <w:t>Mora</w:t>
      </w:r>
      <w:proofErr w:type="spellEnd"/>
      <w:r>
        <w:t xml:space="preserve"> and Rangel</w:t>
      </w:r>
      <w:r>
        <w:t xml:space="preserve"> also</w:t>
      </w:r>
      <w:r>
        <w:t xml:space="preserve"> </w:t>
      </w:r>
      <w:r>
        <w:t>allege</w:t>
      </w:r>
      <w:r>
        <w:t xml:space="preserve"> the delayed disclosure of documents constituted a violation of the discovery statutes.  Section 1054.1 provides</w:t>
      </w:r>
      <w:r>
        <w:t>, in pertinent part,</w:t>
      </w:r>
      <w:r>
        <w:t xml:space="preserve"> that the </w:t>
      </w:r>
      <w:r>
        <w:t>“</w:t>
      </w:r>
      <w:r>
        <w:t>prosecuti</w:t>
      </w:r>
      <w:r>
        <w:t xml:space="preserve">ng attorney shall disclose” certain types of material to defense counsel if the evidence “is in the possession of the prosecuting attorney or if the prosecuting attorney knows it to be in the possession </w:t>
      </w:r>
      <w:r>
        <w:t xml:space="preserve">of the investigating agencies.”  </w:t>
      </w:r>
      <w:r>
        <w:t>Such disclosure “sha</w:t>
      </w:r>
      <w:r>
        <w:t>ll be made at least 30 days prior to the trial” or as soon as the prosecution learns of the documents or information.  (§ 1054.7.)  To prevail on a claim alleging</w:t>
      </w:r>
      <w:r>
        <w:t xml:space="preserve"> a</w:t>
      </w:r>
      <w:r>
        <w:t xml:space="preserve"> violation of discovery statutes, an appellant must show there is a reasonable probability t</w:t>
      </w:r>
      <w:r>
        <w:t>hat, had the evidence been disclosed</w:t>
      </w:r>
      <w:r>
        <w:t>,</w:t>
      </w:r>
      <w:r>
        <w:t xml:space="preserve"> the result of the proceedings would have been different.  (</w:t>
      </w:r>
      <w:r>
        <w:rPr>
          <w:i/>
        </w:rPr>
        <w:t>People v. Zambrano</w:t>
      </w:r>
      <w:r>
        <w:t xml:space="preserve"> (2007) 41 Cal.4th 1082, 1132</w:t>
      </w:r>
      <w:r>
        <w:t xml:space="preserve"> (</w:t>
      </w:r>
      <w:r>
        <w:rPr>
          <w:i/>
        </w:rPr>
        <w:t>Zambrano</w:t>
      </w:r>
      <w:r>
        <w:t>)</w:t>
      </w:r>
      <w:r>
        <w:t xml:space="preserve">.)    </w:t>
      </w:r>
    </w:p>
    <w:p w:rsidR="00FD184B" w:rsidRDefault="00EF4903" w:rsidP="008E1CD8">
      <w:pPr>
        <w:spacing w:line="480" w:lineRule="atLeast"/>
      </w:pPr>
      <w:r>
        <w:tab/>
      </w:r>
      <w:r>
        <w:t>N</w:t>
      </w:r>
      <w:r>
        <w:t xml:space="preserve">o </w:t>
      </w:r>
      <w:r>
        <w:rPr>
          <w:i/>
        </w:rPr>
        <w:t>Brady</w:t>
      </w:r>
      <w:r>
        <w:t xml:space="preserve"> errors occurred here.  </w:t>
      </w:r>
      <w:r>
        <w:t>E</w:t>
      </w:r>
      <w:r>
        <w:t xml:space="preserve">vidence actually presented at trial is not </w:t>
      </w:r>
      <w:r>
        <w:t xml:space="preserve">considered </w:t>
      </w:r>
      <w:r>
        <w:t xml:space="preserve">suppressed for </w:t>
      </w:r>
      <w:r>
        <w:rPr>
          <w:i/>
        </w:rPr>
        <w:t>Brady</w:t>
      </w:r>
      <w:r>
        <w:t xml:space="preserve"> purposes, even if that evidence had not been previously disclosed during discovery.  (</w:t>
      </w:r>
      <w:r>
        <w:rPr>
          <w:i/>
        </w:rPr>
        <w:t>People v. Verdugo</w:t>
      </w:r>
      <w:r>
        <w:t xml:space="preserve"> (2010) 50 Cal.4th 263, 281, citing </w:t>
      </w:r>
      <w:r>
        <w:rPr>
          <w:i/>
        </w:rPr>
        <w:t>People v. Morrison</w:t>
      </w:r>
      <w:r>
        <w:t xml:space="preserve"> (2004) 34 Cal.4th 698, 715</w:t>
      </w:r>
      <w:r>
        <w:t xml:space="preserve">; but see </w:t>
      </w:r>
      <w:r>
        <w:rPr>
          <w:i/>
        </w:rPr>
        <w:t>U.S. v. Devin</w:t>
      </w:r>
      <w:r>
        <w:t xml:space="preserve"> (1st. Cir. 1990) 918</w:t>
      </w:r>
      <w:r>
        <w:t> </w:t>
      </w:r>
      <w:r>
        <w:t>F.2d 2</w:t>
      </w:r>
      <w:r>
        <w:t xml:space="preserve">80, 289; </w:t>
      </w:r>
      <w:r>
        <w:rPr>
          <w:i/>
        </w:rPr>
        <w:t>U.S. v. Scarborough</w:t>
      </w:r>
      <w:r>
        <w:t xml:space="preserve"> (10th Cir. 1997) 128 F.3d 1373, 1376</w:t>
      </w:r>
      <w:r>
        <w:t xml:space="preserve">.) </w:t>
      </w:r>
      <w:r>
        <w:t xml:space="preserve"> </w:t>
      </w:r>
      <w:r>
        <w:t xml:space="preserve">In </w:t>
      </w:r>
      <w:r>
        <w:rPr>
          <w:i/>
        </w:rPr>
        <w:t>U.S.</w:t>
      </w:r>
      <w:r>
        <w:rPr>
          <w:i/>
        </w:rPr>
        <w:t> </w:t>
      </w:r>
      <w:r>
        <w:rPr>
          <w:i/>
        </w:rPr>
        <w:t>v.</w:t>
      </w:r>
      <w:r>
        <w:rPr>
          <w:i/>
        </w:rPr>
        <w:t> </w:t>
      </w:r>
      <w:r>
        <w:rPr>
          <w:i/>
        </w:rPr>
        <w:t>Devin</w:t>
      </w:r>
      <w:r>
        <w:t xml:space="preserve"> and </w:t>
      </w:r>
      <w:r>
        <w:rPr>
          <w:i/>
        </w:rPr>
        <w:t>U.S. v. Scarborough</w:t>
      </w:r>
      <w:r>
        <w:t>, t</w:t>
      </w:r>
      <w:r>
        <w:t>he</w:t>
      </w:r>
      <w:r>
        <w:t xml:space="preserve"> First and Tenth Circuit</w:t>
      </w:r>
      <w:r>
        <w:t xml:space="preserve"> </w:t>
      </w:r>
      <w:r>
        <w:t>C</w:t>
      </w:r>
      <w:r>
        <w:t>ourts</w:t>
      </w:r>
      <w:r>
        <w:t xml:space="preserve"> of Appeal</w:t>
      </w:r>
      <w:r>
        <w:t>s</w:t>
      </w:r>
      <w:r>
        <w:t xml:space="preserve"> addressed </w:t>
      </w:r>
      <w:r>
        <w:t>an issue similar to the one presented here, explaining that when considering whether dela</w:t>
      </w:r>
      <w:r>
        <w:t xml:space="preserve">yed disclosure rather than “total nondisclosure” constitutes a </w:t>
      </w:r>
      <w:r>
        <w:rPr>
          <w:i/>
        </w:rPr>
        <w:t>Brady</w:t>
      </w:r>
      <w:r>
        <w:t xml:space="preserve"> violation, “the </w:t>
      </w:r>
      <w:r>
        <w:t xml:space="preserve">applicable </w:t>
      </w:r>
      <w:r>
        <w:t xml:space="preserve">test is whether defense counsel was ‘prevented by the delay from using the disclosed material effectively in preparing and presenting the defendant’s case.’ ” </w:t>
      </w:r>
      <w:r w:rsidRPr="00186387">
        <w:t xml:space="preserve"> </w:t>
      </w:r>
      <w:r>
        <w:t>(</w:t>
      </w:r>
      <w:r>
        <w:rPr>
          <w:i/>
        </w:rPr>
        <w:t>U.S.</w:t>
      </w:r>
      <w:r>
        <w:rPr>
          <w:i/>
        </w:rPr>
        <w:t xml:space="preserve"> </w:t>
      </w:r>
      <w:r>
        <w:rPr>
          <w:i/>
        </w:rPr>
        <w:t>v. Devin</w:t>
      </w:r>
      <w:r>
        <w:t xml:space="preserve">, </w:t>
      </w:r>
      <w:r>
        <w:rPr>
          <w:i/>
        </w:rPr>
        <w:t>supra</w:t>
      </w:r>
      <w:r>
        <w:t xml:space="preserve">, 918 F.2d at p. 289; see also </w:t>
      </w:r>
      <w:r>
        <w:rPr>
          <w:i/>
        </w:rPr>
        <w:t>U.S. </w:t>
      </w:r>
      <w:r>
        <w:rPr>
          <w:i/>
        </w:rPr>
        <w:t>v. </w:t>
      </w:r>
      <w:r>
        <w:rPr>
          <w:i/>
        </w:rPr>
        <w:t>Scarborough</w:t>
      </w:r>
      <w:r>
        <w:t xml:space="preserve">, </w:t>
      </w:r>
      <w:r>
        <w:rPr>
          <w:i/>
        </w:rPr>
        <w:t>supra</w:t>
      </w:r>
      <w:r>
        <w:t xml:space="preserve">, 128 F.3d at p. 1376.)  Both courts examined </w:t>
      </w:r>
      <w:r w:rsidRPr="00CE4E63">
        <w:t>exculpatory</w:t>
      </w:r>
      <w:r>
        <w:t xml:space="preserve"> evidence belatedly disclosed, </w:t>
      </w:r>
      <w:r>
        <w:t xml:space="preserve">ultimately finding no error </w:t>
      </w:r>
      <w:r>
        <w:t xml:space="preserve">arose from </w:t>
      </w:r>
      <w:r>
        <w:t xml:space="preserve">that </w:t>
      </w:r>
      <w:r>
        <w:t>delayed disclosure.</w:t>
      </w:r>
      <w:r>
        <w:t xml:space="preserve">  </w:t>
      </w:r>
      <w:r>
        <w:t>(</w:t>
      </w:r>
      <w:r>
        <w:rPr>
          <w:i/>
        </w:rPr>
        <w:t>U.S. </w:t>
      </w:r>
      <w:r>
        <w:rPr>
          <w:i/>
        </w:rPr>
        <w:t>v. Devin</w:t>
      </w:r>
      <w:r>
        <w:t xml:space="preserve">, </w:t>
      </w:r>
      <w:r>
        <w:rPr>
          <w:i/>
        </w:rPr>
        <w:t>supra</w:t>
      </w:r>
      <w:r>
        <w:t>, 91</w:t>
      </w:r>
      <w:r>
        <w:t>8</w:t>
      </w:r>
      <w:r>
        <w:t> </w:t>
      </w:r>
      <w:r>
        <w:t>F.2d at p.</w:t>
      </w:r>
      <w:r>
        <w:t> </w:t>
      </w:r>
      <w:r>
        <w:t xml:space="preserve">289; see also </w:t>
      </w:r>
      <w:r>
        <w:rPr>
          <w:i/>
        </w:rPr>
        <w:t>U.S. v. Scarborough</w:t>
      </w:r>
      <w:r>
        <w:t xml:space="preserve">, </w:t>
      </w:r>
      <w:r>
        <w:rPr>
          <w:i/>
        </w:rPr>
        <w:t>supra</w:t>
      </w:r>
      <w:r>
        <w:t>, 128 F.3d at p.</w:t>
      </w:r>
      <w:r>
        <w:t> </w:t>
      </w:r>
      <w:r>
        <w:t>1376.)</w:t>
      </w:r>
      <w:r>
        <w:t xml:space="preserve"> </w:t>
      </w:r>
    </w:p>
    <w:p w:rsidR="007F503F" w:rsidRDefault="00EF4903" w:rsidP="008E1CD8">
      <w:pPr>
        <w:spacing w:line="480" w:lineRule="atLeast"/>
      </w:pPr>
      <w:r>
        <w:tab/>
      </w:r>
      <w:r>
        <w:t>W</w:t>
      </w:r>
      <w:r>
        <w:t>e likewise conclude no prejudice arose from the instances of delayed disclosure.</w:t>
      </w:r>
      <w:r>
        <w:t xml:space="preserve">  </w:t>
      </w:r>
      <w:r>
        <w:t xml:space="preserve">The prosecution’s failure to </w:t>
      </w:r>
      <w:r>
        <w:t>disclose the</w:t>
      </w:r>
      <w:r>
        <w:t xml:space="preserve"> fingerprint reports during the normal course of discovery </w:t>
      </w:r>
      <w:r>
        <w:t>did not result in prejudice to defendants</w:t>
      </w:r>
      <w:r>
        <w:t xml:space="preserve">.  </w:t>
      </w:r>
      <w:r>
        <w:t>T</w:t>
      </w:r>
      <w:r>
        <w:t>he fingerprint report was made available to the prosecutor and defense counsel as soon as it was discovered to have been unintentionally omitted</w:t>
      </w:r>
      <w:r>
        <w:t>, and th</w:t>
      </w:r>
      <w:r>
        <w:t>e court admitted it with an admonition to the jury regarding its untimely disclosure</w:t>
      </w:r>
      <w:r>
        <w:t>.</w:t>
      </w:r>
      <w:r>
        <w:t xml:space="preserve"> </w:t>
      </w:r>
      <w:r>
        <w:t xml:space="preserve"> </w:t>
      </w:r>
      <w:r>
        <w:t xml:space="preserve">Accordingly, </w:t>
      </w:r>
      <w:r>
        <w:t>no</w:t>
      </w:r>
      <w:r>
        <w:t xml:space="preserve"> </w:t>
      </w:r>
      <w:r>
        <w:rPr>
          <w:i/>
        </w:rPr>
        <w:t xml:space="preserve">Brady </w:t>
      </w:r>
      <w:r>
        <w:t>error</w:t>
      </w:r>
      <w:r>
        <w:t xml:space="preserve"> resulted</w:t>
      </w:r>
      <w:r>
        <w:t xml:space="preserve">.  (See </w:t>
      </w:r>
      <w:r>
        <w:rPr>
          <w:i/>
        </w:rPr>
        <w:t>People v</w:t>
      </w:r>
      <w:r>
        <w:rPr>
          <w:i/>
        </w:rPr>
        <w:t>. </w:t>
      </w:r>
      <w:r>
        <w:rPr>
          <w:i/>
        </w:rPr>
        <w:t>Verdugo</w:t>
      </w:r>
      <w:r>
        <w:t xml:space="preserve">, </w:t>
      </w:r>
      <w:r>
        <w:rPr>
          <w:i/>
        </w:rPr>
        <w:t>supra</w:t>
      </w:r>
      <w:r>
        <w:t>, 50 </w:t>
      </w:r>
      <w:r>
        <w:t xml:space="preserve">Cal.4th at p. 281; </w:t>
      </w:r>
      <w:r>
        <w:rPr>
          <w:i/>
        </w:rPr>
        <w:t>Brady</w:t>
      </w:r>
      <w:r>
        <w:t xml:space="preserve">, </w:t>
      </w:r>
      <w:r>
        <w:rPr>
          <w:i/>
        </w:rPr>
        <w:t>supra</w:t>
      </w:r>
      <w:r>
        <w:t xml:space="preserve">, </w:t>
      </w:r>
      <w:r>
        <w:t>373 U.S. at p. 87.)</w:t>
      </w:r>
      <w:r>
        <w:t xml:space="preserve">  </w:t>
      </w:r>
    </w:p>
    <w:p w:rsidR="00821D8F" w:rsidRPr="00F550D0" w:rsidRDefault="00EF4903" w:rsidP="008E1CD8">
      <w:pPr>
        <w:spacing w:line="480" w:lineRule="atLeast"/>
      </w:pPr>
      <w:r>
        <w:tab/>
      </w:r>
      <w:r>
        <w:t>We similarly conclude defendants were no</w:t>
      </w:r>
      <w:r>
        <w:t>t prejudiced by the delayed disclosure of</w:t>
      </w:r>
      <w:r>
        <w:t xml:space="preserve"> diagrams and police reports containing witness statements</w:t>
      </w:r>
      <w:r>
        <w:t>.  Although they</w:t>
      </w:r>
      <w:r>
        <w:t xml:space="preserve"> were not admitted</w:t>
      </w:r>
      <w:r>
        <w:t xml:space="preserve"> at trial</w:t>
      </w:r>
      <w:r>
        <w:t>, they did not constitute favorable evidence that was suppressed</w:t>
      </w:r>
      <w:r>
        <w:t xml:space="preserve"> within the meaning of </w:t>
      </w:r>
      <w:r>
        <w:rPr>
          <w:i/>
        </w:rPr>
        <w:t>Brady</w:t>
      </w:r>
      <w:r>
        <w:t>.  (</w:t>
      </w:r>
      <w:r>
        <w:rPr>
          <w:i/>
        </w:rPr>
        <w:t>Brady</w:t>
      </w:r>
      <w:r>
        <w:t xml:space="preserve">, </w:t>
      </w:r>
      <w:r>
        <w:rPr>
          <w:i/>
        </w:rPr>
        <w:t>supra</w:t>
      </w:r>
      <w:r>
        <w:t xml:space="preserve">, </w:t>
      </w:r>
      <w:r>
        <w:t>3</w:t>
      </w:r>
      <w:r>
        <w:t xml:space="preserve">73 </w:t>
      </w:r>
      <w:r>
        <w:t>U.S.</w:t>
      </w:r>
      <w:r>
        <w:t xml:space="preserve"> at p. 87.)</w:t>
      </w:r>
      <w:r>
        <w:t xml:space="preserve">  </w:t>
      </w:r>
      <w:r>
        <w:t>After learning that s</w:t>
      </w:r>
      <w:r>
        <w:t xml:space="preserve">ome of the witness statements contained information that differed from testimony already adduced, the court called for a five-day recess to ensure that defense counsel had adequate time to investigate. </w:t>
      </w:r>
      <w:r>
        <w:t xml:space="preserve"> They did, and failed to present any evidence as a result of those investigations. </w:t>
      </w:r>
      <w:r>
        <w:t xml:space="preserve"> Neith</w:t>
      </w:r>
      <w:r>
        <w:t xml:space="preserve">er </w:t>
      </w:r>
      <w:proofErr w:type="spellStart"/>
      <w:r>
        <w:t>Mora</w:t>
      </w:r>
      <w:proofErr w:type="spellEnd"/>
      <w:r>
        <w:t xml:space="preserve"> nor Rangel sought to </w:t>
      </w:r>
      <w:proofErr w:type="spellStart"/>
      <w:r>
        <w:t>re</w:t>
      </w:r>
      <w:r>
        <w:t>cross</w:t>
      </w:r>
      <w:proofErr w:type="spellEnd"/>
      <w:r>
        <w:t xml:space="preserve">-examine any of the witnesses that had provided prior testimony, and neither indicated anything </w:t>
      </w:r>
      <w:r>
        <w:t>more</w:t>
      </w:r>
      <w:r>
        <w:t xml:space="preserve"> than the five-day rec</w:t>
      </w:r>
      <w:r>
        <w:t>ess was n</w:t>
      </w:r>
      <w:r>
        <w:t>eeded to cure the late</w:t>
      </w:r>
      <w:r>
        <w:t xml:space="preserve"> </w:t>
      </w:r>
      <w:r>
        <w:t>disclosure</w:t>
      </w:r>
      <w:r>
        <w:t xml:space="preserve">; </w:t>
      </w:r>
      <w:proofErr w:type="spellStart"/>
      <w:r>
        <w:t>Mora</w:t>
      </w:r>
      <w:proofErr w:type="spellEnd"/>
      <w:r>
        <w:t xml:space="preserve"> </w:t>
      </w:r>
      <w:r>
        <w:t>announced readiness to proceed at</w:t>
      </w:r>
      <w:r>
        <w:t xml:space="preserve"> conclusion of recess</w:t>
      </w:r>
      <w:r>
        <w:t xml:space="preserve">, and </w:t>
      </w:r>
      <w:r>
        <w:t xml:space="preserve">Rangel </w:t>
      </w:r>
      <w:r>
        <w:t>did not object to court’s announcement that trial would r</w:t>
      </w:r>
      <w:r>
        <w:t>esume at conclusion of recess</w:t>
      </w:r>
      <w:r>
        <w:t>.</w:t>
      </w:r>
      <w:r>
        <w:t xml:space="preserve"> </w:t>
      </w:r>
      <w:r>
        <w:t xml:space="preserve"> Accordingly, no prejudice</w:t>
      </w:r>
      <w:r>
        <w:t xml:space="preserve"> resulted from the delayed disclosu</w:t>
      </w:r>
      <w:r>
        <w:t>re of witness statements.</w:t>
      </w:r>
    </w:p>
    <w:p w:rsidR="008311F6" w:rsidRDefault="00EF4903" w:rsidP="008E1CD8">
      <w:pPr>
        <w:spacing w:line="480" w:lineRule="atLeast"/>
      </w:pPr>
      <w:r>
        <w:rPr>
          <w:i/>
        </w:rPr>
        <w:tab/>
      </w:r>
      <w:r>
        <w:t>We also find n</w:t>
      </w:r>
      <w:r>
        <w:t xml:space="preserve">o statutory error.  </w:t>
      </w:r>
      <w:proofErr w:type="spellStart"/>
      <w:r>
        <w:t>Mora</w:t>
      </w:r>
      <w:proofErr w:type="spellEnd"/>
      <w:r>
        <w:t xml:space="preserve"> and Rangel </w:t>
      </w:r>
      <w:r>
        <w:t xml:space="preserve">assert that </w:t>
      </w:r>
      <w:r>
        <w:t>the trial court found the discovery statutes</w:t>
      </w:r>
      <w:r>
        <w:t xml:space="preserve"> were violated</w:t>
      </w:r>
      <w:r>
        <w:t xml:space="preserve">, </w:t>
      </w:r>
      <w:r>
        <w:t xml:space="preserve">but </w:t>
      </w:r>
      <w:r>
        <w:t>t</w:t>
      </w:r>
      <w:r>
        <w:t xml:space="preserve">he court made no such finding.  </w:t>
      </w:r>
      <w:r>
        <w:t xml:space="preserve">Defendants </w:t>
      </w:r>
      <w:r>
        <w:t>argue that the evidence</w:t>
      </w:r>
      <w:r>
        <w:t xml:space="preserve"> was accessible to the prosecution</w:t>
      </w:r>
      <w:r>
        <w:t xml:space="preserve"> b</w:t>
      </w:r>
      <w:r>
        <w:t xml:space="preserve">ecause it was located in Detective </w:t>
      </w:r>
      <w:proofErr w:type="spellStart"/>
      <w:r>
        <w:t>Piaz’s</w:t>
      </w:r>
      <w:proofErr w:type="spellEnd"/>
      <w:r>
        <w:t xml:space="preserve"> trial notebook,</w:t>
      </w:r>
      <w:r>
        <w:t xml:space="preserve"> </w:t>
      </w:r>
      <w:r>
        <w:t>rendering</w:t>
      </w:r>
      <w:r>
        <w:t xml:space="preserve"> the failure to disclose it a vio</w:t>
      </w:r>
      <w:r>
        <w:t xml:space="preserve">lation of section 1054.1.  </w:t>
      </w:r>
      <w:r>
        <w:t>While i</w:t>
      </w:r>
      <w:r>
        <w:t>t is concerning that the prosecution was unaware of so much about the case that resided in the Compton Police Department’s</w:t>
      </w:r>
      <w:r>
        <w:t xml:space="preserve"> files, </w:t>
      </w:r>
      <w:r>
        <w:t>no statutory error arose</w:t>
      </w:r>
      <w:r>
        <w:t>.</w:t>
      </w:r>
      <w:r>
        <w:t xml:space="preserve"> </w:t>
      </w:r>
      <w:r>
        <w:t xml:space="preserve"> </w:t>
      </w:r>
      <w:r>
        <w:t xml:space="preserve">Because </w:t>
      </w:r>
      <w:r>
        <w:t xml:space="preserve">“the material and information </w:t>
      </w:r>
      <w:r>
        <w:t>[became</w:t>
      </w:r>
      <w:r>
        <w:t xml:space="preserve">] known to, or </w:t>
      </w:r>
      <w:r>
        <w:t>[came</w:t>
      </w:r>
      <w:r>
        <w:t>] into the possession of, a party within 30 days of trial, [and] disclosure [was] made immediately,” no violation of the discovery statutes occurred.  (§ 10</w:t>
      </w:r>
      <w:r>
        <w:t xml:space="preserve">54.7.)  </w:t>
      </w:r>
      <w:r>
        <w:t>N</w:t>
      </w:r>
      <w:r>
        <w:t xml:space="preserve">o </w:t>
      </w:r>
      <w:r>
        <w:t xml:space="preserve">prejudicial </w:t>
      </w:r>
      <w:r>
        <w:t xml:space="preserve">statutory violation can be made out because neither </w:t>
      </w:r>
      <w:proofErr w:type="spellStart"/>
      <w:r>
        <w:t>Mora</w:t>
      </w:r>
      <w:proofErr w:type="spellEnd"/>
      <w:r>
        <w:t xml:space="preserve"> nor Rangel can demonstrate a reasonable probability that the results of the proceedings would have been different had the evidence been timely disclosed.  (</w:t>
      </w:r>
      <w:r>
        <w:rPr>
          <w:i/>
        </w:rPr>
        <w:t>Zambrano</w:t>
      </w:r>
      <w:r>
        <w:t xml:space="preserve">, </w:t>
      </w:r>
      <w:r>
        <w:rPr>
          <w:i/>
        </w:rPr>
        <w:t>supra</w:t>
      </w:r>
      <w:r>
        <w:t xml:space="preserve">, 41 </w:t>
      </w:r>
      <w:r>
        <w:t>Cal.4th</w:t>
      </w:r>
      <w:r>
        <w:t xml:space="preserve"> at p. 1132.)</w:t>
      </w:r>
    </w:p>
    <w:p w:rsidR="00ED2A0C" w:rsidRDefault="00EF4903" w:rsidP="008E1CD8">
      <w:pPr>
        <w:spacing w:line="480" w:lineRule="atLeast"/>
      </w:pPr>
      <w:r>
        <w:tab/>
      </w:r>
      <w:r>
        <w:t xml:space="preserve">That said, the number of discovery delays that occurred in this case </w:t>
      </w:r>
      <w:r>
        <w:t>gives cause for</w:t>
      </w:r>
      <w:r>
        <w:t xml:space="preserve"> </w:t>
      </w:r>
      <w:r>
        <w:t>concern</w:t>
      </w:r>
      <w:r>
        <w:t xml:space="preserve">, as the trial court noted.  </w:t>
      </w:r>
      <w:r>
        <w:t>Nonetheless</w:t>
      </w:r>
      <w:r>
        <w:t>, as soon as the</w:t>
      </w:r>
      <w:r>
        <w:t xml:space="preserve"> prosecution learned of variou</w:t>
      </w:r>
      <w:r>
        <w:t xml:space="preserve">s late-disclosed documents, </w:t>
      </w:r>
      <w:r>
        <w:t>the</w:t>
      </w:r>
      <w:r>
        <w:t>y</w:t>
      </w:r>
      <w:r>
        <w:t xml:space="preserve"> were made available to </w:t>
      </w:r>
      <w:r>
        <w:t>the defense.  The gunshot residue report was not completed until the day before it was provided to the defense.  The crime scene diag</w:t>
      </w:r>
      <w:r>
        <w:t>rams were discovered by Rangel</w:t>
      </w:r>
      <w:r>
        <w:t xml:space="preserve">; the prosecutor had never seen them. </w:t>
      </w:r>
      <w:r>
        <w:t xml:space="preserve"> </w:t>
      </w:r>
      <w:r>
        <w:t xml:space="preserve">The police reports containing witness statements were </w:t>
      </w:r>
      <w:r>
        <w:t xml:space="preserve">likewise discovered by defense attorneys.  Lopez’s second interview transcript was </w:t>
      </w:r>
      <w:r>
        <w:t xml:space="preserve">given to </w:t>
      </w:r>
      <w:proofErr w:type="spellStart"/>
      <w:r>
        <w:t>Mora</w:t>
      </w:r>
      <w:proofErr w:type="spellEnd"/>
      <w:r>
        <w:t xml:space="preserve">, and the fact that Rangel did not have it far in advance undoubtedly did not alter the outcome of the trial.  (See </w:t>
      </w:r>
      <w:r>
        <w:rPr>
          <w:i/>
        </w:rPr>
        <w:t>Zambrano</w:t>
      </w:r>
      <w:r>
        <w:t xml:space="preserve">, </w:t>
      </w:r>
      <w:r>
        <w:rPr>
          <w:i/>
        </w:rPr>
        <w:t>supra</w:t>
      </w:r>
      <w:r>
        <w:t>, 41 Cal.4th at p. 1132.)</w:t>
      </w:r>
      <w:r>
        <w:t xml:space="preserve">  Fi</w:t>
      </w:r>
      <w:r>
        <w:t xml:space="preserve">nally, the prosecution </w:t>
      </w:r>
      <w:r>
        <w:t>had</w:t>
      </w:r>
      <w:r>
        <w:t xml:space="preserve"> not </w:t>
      </w:r>
      <w:r>
        <w:t xml:space="preserve">been </w:t>
      </w:r>
      <w:r>
        <w:t xml:space="preserve">aware that a fingerprint report existed, and when a prosecution witness became alerted to the possibility that a report had been made but not disclosed to the parties the report was immediately located and disclosed.  </w:t>
      </w:r>
    </w:p>
    <w:p w:rsidR="00861879" w:rsidRPr="00052D34" w:rsidRDefault="00EF4903" w:rsidP="008E1CD8">
      <w:pPr>
        <w:spacing w:line="480" w:lineRule="atLeast"/>
      </w:pPr>
      <w:r>
        <w:tab/>
      </w:r>
      <w:r>
        <w:t>Rangel</w:t>
      </w:r>
      <w:r>
        <w:t xml:space="preserve"> and </w:t>
      </w:r>
      <w:proofErr w:type="spellStart"/>
      <w:r>
        <w:t>Mora</w:t>
      </w:r>
      <w:proofErr w:type="spellEnd"/>
      <w:r>
        <w:t xml:space="preserve"> argue </w:t>
      </w:r>
      <w:r>
        <w:t xml:space="preserve">they were </w:t>
      </w:r>
      <w:r>
        <w:t xml:space="preserve">“simply unable mid-trial to make the effective use of the untimely disclosed evidence.”  </w:t>
      </w:r>
      <w:r>
        <w:t>Yet</w:t>
      </w:r>
      <w:r>
        <w:t xml:space="preserve"> </w:t>
      </w:r>
      <w:r>
        <w:t>they</w:t>
      </w:r>
      <w:r>
        <w:t xml:space="preserve"> provide no example </w:t>
      </w:r>
      <w:r>
        <w:t>of choices that would have differed had the discovery been made available earlier</w:t>
      </w:r>
      <w:r>
        <w:t>, and the record reveals n</w:t>
      </w:r>
      <w:r>
        <w:t xml:space="preserve">o obvious defense </w:t>
      </w:r>
      <w:r>
        <w:t xml:space="preserve">strategy </w:t>
      </w:r>
      <w:r>
        <w:t>fore</w:t>
      </w:r>
      <w:r>
        <w:t xml:space="preserve">closed by the late disclosure.  In fact, </w:t>
      </w:r>
      <w:proofErr w:type="spellStart"/>
      <w:r>
        <w:t>Mora</w:t>
      </w:r>
      <w:proofErr w:type="spellEnd"/>
      <w:r>
        <w:t xml:space="preserve"> and Rangel were able to contact every witness </w:t>
      </w:r>
      <w:r>
        <w:t>listed</w:t>
      </w:r>
      <w:r>
        <w:t xml:space="preserve"> on the previously undisclosed police reports.  Neither </w:t>
      </w:r>
      <w:proofErr w:type="spellStart"/>
      <w:r>
        <w:t>Mora</w:t>
      </w:r>
      <w:proofErr w:type="spellEnd"/>
      <w:r>
        <w:t xml:space="preserve"> nor Rangel </w:t>
      </w:r>
      <w:r>
        <w:t>sought to further cross-examine any witness who</w:t>
      </w:r>
      <w:r>
        <w:t xml:space="preserve"> had</w:t>
      </w:r>
      <w:r>
        <w:t xml:space="preserve"> tes</w:t>
      </w:r>
      <w:r>
        <w:t>tified before the police reports were discovered</w:t>
      </w:r>
      <w:r>
        <w:t xml:space="preserve"> and disclosed</w:t>
      </w:r>
      <w:r>
        <w:t xml:space="preserve">.  </w:t>
      </w:r>
      <w:r>
        <w:t xml:space="preserve">Further, </w:t>
      </w:r>
      <w:r>
        <w:t xml:space="preserve">Rangel and </w:t>
      </w:r>
      <w:proofErr w:type="spellStart"/>
      <w:r>
        <w:t>Mora</w:t>
      </w:r>
      <w:proofErr w:type="spellEnd"/>
      <w:r>
        <w:t xml:space="preserve"> both had an opportunity to review and utilize the transcripts of Lopez’s interview with police.  Rangel was able to present evidence regarding the somewhat exculpator</w:t>
      </w:r>
      <w:r>
        <w:t xml:space="preserve">y gunshot residue report.  Most tellingly, short of </w:t>
      </w:r>
      <w:r>
        <w:t xml:space="preserve">a </w:t>
      </w:r>
      <w:r>
        <w:t xml:space="preserve">new trial, neither </w:t>
      </w:r>
      <w:proofErr w:type="spellStart"/>
      <w:r>
        <w:t>Mora</w:t>
      </w:r>
      <w:proofErr w:type="spellEnd"/>
      <w:r>
        <w:t xml:space="preserve"> nor Rangel sought a remedy the court did not provide.  </w:t>
      </w:r>
    </w:p>
    <w:p w:rsidR="00821D8F" w:rsidRPr="00821D8F" w:rsidRDefault="00EF4903" w:rsidP="00821D8F">
      <w:pPr>
        <w:spacing w:line="480" w:lineRule="atLeast"/>
        <w:rPr>
          <w:i/>
        </w:rPr>
      </w:pPr>
      <w:r>
        <w:tab/>
      </w:r>
      <w:r>
        <w:t xml:space="preserve">Although </w:t>
      </w:r>
      <w:proofErr w:type="spellStart"/>
      <w:r>
        <w:t>Mora</w:t>
      </w:r>
      <w:proofErr w:type="spellEnd"/>
      <w:r>
        <w:t xml:space="preserve"> and Rangel</w:t>
      </w:r>
      <w:r>
        <w:t xml:space="preserve"> allege the trial court abused its discretion by</w:t>
      </w:r>
      <w:r>
        <w:t xml:space="preserve"> failing to grant a </w:t>
      </w:r>
      <w:r>
        <w:t>mis</w:t>
      </w:r>
      <w:r>
        <w:t xml:space="preserve">trial, </w:t>
      </w:r>
      <w:r>
        <w:t xml:space="preserve">we </w:t>
      </w:r>
      <w:r>
        <w:t>find no error</w:t>
      </w:r>
      <w:r>
        <w:t xml:space="preserve">.  </w:t>
      </w:r>
      <w:r>
        <w:t xml:space="preserve">In </w:t>
      </w:r>
      <w:r>
        <w:rPr>
          <w:i/>
        </w:rPr>
        <w:t>People v. Wright</w:t>
      </w:r>
      <w:r>
        <w:t>, as here, the prosecution inadvertently failed to disclose certain police reports containing witness statements that differe</w:t>
      </w:r>
      <w:r>
        <w:t>d from</w:t>
      </w:r>
      <w:r>
        <w:t xml:space="preserve"> prosecution evidence previously presented.  (</w:t>
      </w:r>
      <w:r>
        <w:rPr>
          <w:i/>
        </w:rPr>
        <w:t xml:space="preserve">People v. </w:t>
      </w:r>
      <w:r w:rsidRPr="00A71963">
        <w:rPr>
          <w:i/>
        </w:rPr>
        <w:t>Wright</w:t>
      </w:r>
      <w:r>
        <w:t xml:space="preserve">, </w:t>
      </w:r>
      <w:r w:rsidRPr="00A71963">
        <w:rPr>
          <w:i/>
        </w:rPr>
        <w:t>supra</w:t>
      </w:r>
      <w:r>
        <w:t xml:space="preserve">, </w:t>
      </w:r>
      <w:r w:rsidRPr="00A71963">
        <w:t>39</w:t>
      </w:r>
      <w:r>
        <w:t> </w:t>
      </w:r>
      <w:r>
        <w:t xml:space="preserve">Cal.3d </w:t>
      </w:r>
      <w:r>
        <w:t>at p. 5</w:t>
      </w:r>
      <w:r>
        <w:t xml:space="preserve">90.)  Rather than </w:t>
      </w:r>
      <w:r>
        <w:t xml:space="preserve">granting mistrial or dismissal, the court instructed the jury and permitted the defense to reopen </w:t>
      </w:r>
      <w:r>
        <w:t xml:space="preserve">testimony </w:t>
      </w:r>
      <w:r>
        <w:t>to address the erroneously suppressed evidence.  (</w:t>
      </w:r>
      <w:r>
        <w:rPr>
          <w:i/>
        </w:rPr>
        <w:t>Id</w:t>
      </w:r>
      <w:r w:rsidRPr="00D64D5F">
        <w:rPr>
          <w:i/>
        </w:rPr>
        <w:t>.</w:t>
      </w:r>
      <w:r>
        <w:t xml:space="preserve"> at pp. 5</w:t>
      </w:r>
      <w:r>
        <w:t>90</w:t>
      </w:r>
      <w:r>
        <w:t>–</w:t>
      </w:r>
      <w:r>
        <w:t>5</w:t>
      </w:r>
      <w:r>
        <w:t xml:space="preserve">91.)  The </w:t>
      </w:r>
      <w:r>
        <w:t>defendant</w:t>
      </w:r>
      <w:r>
        <w:t xml:space="preserve"> argued </w:t>
      </w:r>
      <w:r>
        <w:t xml:space="preserve">that </w:t>
      </w:r>
      <w:r>
        <w:t>th</w:t>
      </w:r>
      <w:r>
        <w:t>e</w:t>
      </w:r>
      <w:r>
        <w:t xml:space="preserve"> remedy was insufficient to cure the error, but</w:t>
      </w:r>
      <w:r>
        <w:t xml:space="preserve"> we disagreed.  Because the suppression was discovered before a verdict was rendered</w:t>
      </w:r>
      <w:r>
        <w:t xml:space="preserve"> </w:t>
      </w:r>
      <w:r>
        <w:t>—</w:t>
      </w:r>
      <w:r>
        <w:t xml:space="preserve"> </w:t>
      </w:r>
      <w:r>
        <w:t>indeed, before jury deliberations had begun</w:t>
      </w:r>
      <w:r>
        <w:t xml:space="preserve"> </w:t>
      </w:r>
      <w:r>
        <w:t>—</w:t>
      </w:r>
      <w:r>
        <w:t xml:space="preserve"> </w:t>
      </w:r>
      <w:r>
        <w:t>we concluded, particularly in light of the remedy provided by the trial court, that the suppression did not deprive the “de</w:t>
      </w:r>
      <w:r>
        <w:t>fendant of a fair trial.”  (</w:t>
      </w:r>
      <w:r>
        <w:rPr>
          <w:i/>
        </w:rPr>
        <w:t>I</w:t>
      </w:r>
      <w:r>
        <w:rPr>
          <w:i/>
        </w:rPr>
        <w:t>d</w:t>
      </w:r>
      <w:r w:rsidRPr="00D64D5F">
        <w:rPr>
          <w:i/>
        </w:rPr>
        <w:t>.</w:t>
      </w:r>
      <w:r>
        <w:t> </w:t>
      </w:r>
      <w:r>
        <w:t>at p. 5</w:t>
      </w:r>
      <w:r>
        <w:t>91.)</w:t>
      </w:r>
    </w:p>
    <w:p w:rsidR="0085753F" w:rsidRDefault="00EF4903" w:rsidP="00CD2290">
      <w:pPr>
        <w:spacing w:line="480" w:lineRule="atLeast"/>
      </w:pPr>
      <w:r>
        <w:tab/>
      </w:r>
      <w:r>
        <w:t>In similar fashion</w:t>
      </w:r>
      <w:r>
        <w:t xml:space="preserve">, </w:t>
      </w:r>
      <w:proofErr w:type="spellStart"/>
      <w:r>
        <w:t>Mora</w:t>
      </w:r>
      <w:proofErr w:type="spellEnd"/>
      <w:r>
        <w:t xml:space="preserve"> and Ran</w:t>
      </w:r>
      <w:r>
        <w:t>gel had an opportunity to address the late-disclosed evidence</w:t>
      </w:r>
      <w:r>
        <w:t xml:space="preserve"> in this case</w:t>
      </w:r>
      <w:r>
        <w:t>.  Their</w:t>
      </w:r>
      <w:r>
        <w:t xml:space="preserve"> assertion</w:t>
      </w:r>
      <w:r>
        <w:t xml:space="preserve"> on appeal</w:t>
      </w:r>
      <w:r>
        <w:t xml:space="preserve"> that trial counsel “had a materially incorrect understanding of the state of the evidence when developing</w:t>
      </w:r>
      <w:r>
        <w:t>”</w:t>
      </w:r>
      <w:r>
        <w:t xml:space="preserve"> the defense theory </w:t>
      </w:r>
      <w:r>
        <w:t>“</w:t>
      </w:r>
      <w:r>
        <w:t>and when cross-examining prosecution witnesses” is unsupported</w:t>
      </w:r>
      <w:r>
        <w:t xml:space="preserve">.  </w:t>
      </w:r>
      <w:r>
        <w:t>Neither sought to conduct further cross-examination of any witn</w:t>
      </w:r>
      <w:r>
        <w:t xml:space="preserve">ess.  </w:t>
      </w:r>
      <w:proofErr w:type="spellStart"/>
      <w:r>
        <w:t>Mora</w:t>
      </w:r>
      <w:proofErr w:type="spellEnd"/>
      <w:r>
        <w:t xml:space="preserve"> and Rangel</w:t>
      </w:r>
      <w:r>
        <w:t xml:space="preserve"> </w:t>
      </w:r>
      <w:r>
        <w:t>now contend</w:t>
      </w:r>
      <w:r>
        <w:t xml:space="preserve"> that the remedies offered by the court were not only inadequate but at times </w:t>
      </w:r>
      <w:r>
        <w:t>caused further harm</w:t>
      </w:r>
      <w:r>
        <w:t xml:space="preserve">, and that it is impossible to imagine how the trial would have gone absent the discovery errors.  </w:t>
      </w:r>
      <w:r>
        <w:t xml:space="preserve">This claim is specious.  </w:t>
      </w:r>
    </w:p>
    <w:p w:rsidR="005470E5" w:rsidRDefault="00EF4903" w:rsidP="00CD2290">
      <w:pPr>
        <w:spacing w:line="480" w:lineRule="atLeast"/>
      </w:pPr>
      <w:r>
        <w:tab/>
      </w:r>
      <w:r>
        <w:t xml:space="preserve">The court gave </w:t>
      </w:r>
      <w:proofErr w:type="spellStart"/>
      <w:r>
        <w:t>Mora</w:t>
      </w:r>
      <w:proofErr w:type="spellEnd"/>
      <w:r>
        <w:t xml:space="preserve"> and Rangel an opportunity to propose remedies</w:t>
      </w:r>
      <w:r>
        <w:t xml:space="preserve">.  Indeed, </w:t>
      </w:r>
      <w:r>
        <w:t xml:space="preserve">other than dismissal or </w:t>
      </w:r>
      <w:r>
        <w:t>mistrial</w:t>
      </w:r>
      <w:r>
        <w:t>,</w:t>
      </w:r>
      <w:r>
        <w:t xml:space="preserve"> </w:t>
      </w:r>
      <w:r>
        <w:t>the remedies requested were provided</w:t>
      </w:r>
      <w:r>
        <w:t xml:space="preserve">.  </w:t>
      </w:r>
      <w:r>
        <w:t>Accordingly, it does not appear the court abused its discretion</w:t>
      </w:r>
      <w:r>
        <w:t xml:space="preserve">, particularly because it provided </w:t>
      </w:r>
      <w:proofErr w:type="spellStart"/>
      <w:r>
        <w:t>Mora</w:t>
      </w:r>
      <w:proofErr w:type="spellEnd"/>
      <w:r>
        <w:t xml:space="preserve"> and </w:t>
      </w:r>
      <w:r>
        <w:t xml:space="preserve">Rangel with the relief they sought.  </w:t>
      </w:r>
      <w:r>
        <w:t>(</w:t>
      </w:r>
      <w:r>
        <w:rPr>
          <w:i/>
        </w:rPr>
        <w:t>Jenkins</w:t>
      </w:r>
      <w:r>
        <w:t xml:space="preserve">, </w:t>
      </w:r>
      <w:r>
        <w:rPr>
          <w:i/>
        </w:rPr>
        <w:t>supra</w:t>
      </w:r>
      <w:r>
        <w:t>, 22 Cal.</w:t>
      </w:r>
      <w:r>
        <w:t>4</w:t>
      </w:r>
      <w:r w:rsidRPr="004617E0">
        <w:t>th</w:t>
      </w:r>
      <w:r>
        <w:t xml:space="preserve"> </w:t>
      </w:r>
      <w:r>
        <w:t>at p. 951</w:t>
      </w:r>
      <w:r>
        <w:t xml:space="preserve"> [court possesses discretion to determine what remediation ensures fair trial</w:t>
      </w:r>
      <w:r>
        <w:t>]</w:t>
      </w:r>
      <w:r>
        <w:t>.</w:t>
      </w:r>
      <w:r>
        <w:t>)</w:t>
      </w:r>
      <w:r>
        <w:t xml:space="preserve">  </w:t>
      </w:r>
      <w:r>
        <w:t xml:space="preserve">Moreover, </w:t>
      </w:r>
      <w:r>
        <w:t>the court</w:t>
      </w:r>
      <w:r>
        <w:t xml:space="preserve"> did not</w:t>
      </w:r>
      <w:r>
        <w:t xml:space="preserve"> abuse its discretion by denying </w:t>
      </w:r>
      <w:proofErr w:type="spellStart"/>
      <w:r>
        <w:t>Mora</w:t>
      </w:r>
      <w:proofErr w:type="spellEnd"/>
      <w:r>
        <w:t xml:space="preserve"> and Rangel’s motion</w:t>
      </w:r>
      <w:r>
        <w:t>s for mistrial a</w:t>
      </w:r>
      <w:r>
        <w:t xml:space="preserve">s </w:t>
      </w:r>
      <w:r>
        <w:t>that</w:t>
      </w:r>
      <w:r>
        <w:t xml:space="preserve"> remedy would have been</w:t>
      </w:r>
      <w:r>
        <w:t xml:space="preserve"> unduly extreme given the stage of proceedings.</w:t>
      </w:r>
      <w:r>
        <w:t xml:space="preserve">  (</w:t>
      </w:r>
      <w:r>
        <w:rPr>
          <w:i/>
        </w:rPr>
        <w:t>People v. Harris</w:t>
      </w:r>
      <w:r>
        <w:t xml:space="preserve"> (2013) 57 Cal.4th 804, 848 [trial court possesses broad discretion in ruling on motion for mistrial]</w:t>
      </w:r>
      <w:r>
        <w:t xml:space="preserve">; see also </w:t>
      </w:r>
      <w:r>
        <w:rPr>
          <w:i/>
        </w:rPr>
        <w:t>People v. Wright</w:t>
      </w:r>
      <w:r>
        <w:t xml:space="preserve">, </w:t>
      </w:r>
      <w:r>
        <w:rPr>
          <w:i/>
        </w:rPr>
        <w:t>supra</w:t>
      </w:r>
      <w:r>
        <w:t>, 39 Cal.3d at p. 5</w:t>
      </w:r>
      <w:r>
        <w:t>91</w:t>
      </w:r>
      <w:r>
        <w:t>.)</w:t>
      </w:r>
      <w:r>
        <w:t xml:space="preserve">  </w:t>
      </w:r>
    </w:p>
    <w:p w:rsidR="008E1CD8" w:rsidRPr="008E1CD8" w:rsidRDefault="00EF4903" w:rsidP="00CD2290">
      <w:pPr>
        <w:spacing w:line="480" w:lineRule="atLeast"/>
      </w:pPr>
      <w:r>
        <w:tab/>
      </w:r>
      <w:r>
        <w:t xml:space="preserve">Finally, </w:t>
      </w:r>
      <w:r>
        <w:t>to the extent any</w:t>
      </w:r>
      <w:r>
        <w:t xml:space="preserve"> error</w:t>
      </w:r>
      <w:r>
        <w:t xml:space="preserve"> </w:t>
      </w:r>
      <w:r>
        <w:t>resulted</w:t>
      </w:r>
      <w:r>
        <w:t xml:space="preserve"> from </w:t>
      </w:r>
      <w:r>
        <w:t>delayed disclosure, it was harmless because there is no</w:t>
      </w:r>
      <w:r>
        <w:t xml:space="preserve"> reasonabl</w:t>
      </w:r>
      <w:r>
        <w:t>e</w:t>
      </w:r>
      <w:r>
        <w:t xml:space="preserve"> probability</w:t>
      </w:r>
      <w:r>
        <w:t xml:space="preserve"> that any error affected the trial result.  (</w:t>
      </w:r>
      <w:r>
        <w:rPr>
          <w:i/>
        </w:rPr>
        <w:t>People</w:t>
      </w:r>
      <w:r>
        <w:rPr>
          <w:i/>
        </w:rPr>
        <w:t> </w:t>
      </w:r>
      <w:r>
        <w:rPr>
          <w:i/>
        </w:rPr>
        <w:t>v. Watson</w:t>
      </w:r>
      <w:r>
        <w:t xml:space="preserve"> (1956) 46 Cal.2d 818, 836</w:t>
      </w:r>
      <w:r>
        <w:t xml:space="preserve"> (</w:t>
      </w:r>
      <w:r>
        <w:rPr>
          <w:i/>
        </w:rPr>
        <w:t>Watson</w:t>
      </w:r>
      <w:r>
        <w:t>)</w:t>
      </w:r>
      <w:r>
        <w:t xml:space="preserve">; </w:t>
      </w:r>
      <w:r>
        <w:rPr>
          <w:i/>
        </w:rPr>
        <w:t>Zambrano</w:t>
      </w:r>
      <w:r>
        <w:t xml:space="preserve">, </w:t>
      </w:r>
      <w:r>
        <w:rPr>
          <w:i/>
        </w:rPr>
        <w:t>supra</w:t>
      </w:r>
      <w:r>
        <w:t>, 41 Cal.4th at p</w:t>
      </w:r>
      <w:r>
        <w:t>. 1135, fn</w:t>
      </w:r>
      <w:r>
        <w:t>.</w:t>
      </w:r>
      <w:r>
        <w:t xml:space="preserve"> 13.) </w:t>
      </w:r>
      <w:r>
        <w:t xml:space="preserve"> </w:t>
      </w:r>
      <w:proofErr w:type="spellStart"/>
      <w:r>
        <w:t>Mora</w:t>
      </w:r>
      <w:proofErr w:type="spellEnd"/>
      <w:r>
        <w:t xml:space="preserve"> and Rangel had an opportunity to address the late-disc</w:t>
      </w:r>
      <w:r>
        <w:t>los</w:t>
      </w:r>
      <w:r>
        <w:t xml:space="preserve">ed evidence and, for the most part, declined to do so. </w:t>
      </w:r>
      <w:r>
        <w:t xml:space="preserve"> </w:t>
      </w:r>
      <w:r>
        <w:t>What little</w:t>
      </w:r>
      <w:r>
        <w:t xml:space="preserve"> </w:t>
      </w:r>
      <w:r>
        <w:t>untimely</w:t>
      </w:r>
      <w:r>
        <w:t xml:space="preserve"> </w:t>
      </w:r>
      <w:r>
        <w:t xml:space="preserve">discovery </w:t>
      </w:r>
      <w:r>
        <w:t>existed</w:t>
      </w:r>
      <w:r>
        <w:t xml:space="preserve"> inculpat</w:t>
      </w:r>
      <w:r>
        <w:t>ing</w:t>
      </w:r>
      <w:r>
        <w:t xml:space="preserve"> </w:t>
      </w:r>
      <w:proofErr w:type="spellStart"/>
      <w:r>
        <w:t>Mora</w:t>
      </w:r>
      <w:proofErr w:type="spellEnd"/>
      <w:r>
        <w:t xml:space="preserve"> or Rangel</w:t>
      </w:r>
      <w:r>
        <w:t xml:space="preserve"> was</w:t>
      </w:r>
      <w:r>
        <w:t xml:space="preserve"> suppressed </w:t>
      </w:r>
      <w:r>
        <w:t>by the court</w:t>
      </w:r>
      <w:r>
        <w:t>.  Where the evidence was e</w:t>
      </w:r>
      <w:r>
        <w:t xml:space="preserve">xculpatory, </w:t>
      </w:r>
      <w:proofErr w:type="spellStart"/>
      <w:r>
        <w:t>Mora</w:t>
      </w:r>
      <w:proofErr w:type="spellEnd"/>
      <w:r>
        <w:t xml:space="preserve"> and Rangel were permitted to</w:t>
      </w:r>
      <w:r>
        <w:t xml:space="preserve"> </w:t>
      </w:r>
      <w:r>
        <w:t>—</w:t>
      </w:r>
      <w:r>
        <w:t xml:space="preserve"> </w:t>
      </w:r>
      <w:r>
        <w:t>and did</w:t>
      </w:r>
      <w:r>
        <w:t xml:space="preserve"> </w:t>
      </w:r>
      <w:r>
        <w:t>—</w:t>
      </w:r>
      <w:r>
        <w:t xml:space="preserve"> </w:t>
      </w:r>
      <w:r>
        <w:t xml:space="preserve">address it.  To the extent the evidence was equivocal, </w:t>
      </w:r>
      <w:proofErr w:type="spellStart"/>
      <w:r>
        <w:t>Mora</w:t>
      </w:r>
      <w:proofErr w:type="spellEnd"/>
      <w:r>
        <w:t xml:space="preserve"> and Rangel were given an opportunit</w:t>
      </w:r>
      <w:r>
        <w:t>y to investigate and argue the import of that evidence</w:t>
      </w:r>
      <w:r>
        <w:t xml:space="preserve">. </w:t>
      </w:r>
      <w:r>
        <w:t xml:space="preserve"> </w:t>
      </w:r>
      <w:r>
        <w:t xml:space="preserve">Indeed, </w:t>
      </w:r>
      <w:proofErr w:type="spellStart"/>
      <w:r>
        <w:t>Mora</w:t>
      </w:r>
      <w:proofErr w:type="spellEnd"/>
      <w:r>
        <w:t xml:space="preserve"> and Rangel may have fared better </w:t>
      </w:r>
      <w:r>
        <w:t xml:space="preserve">in their trial in light of the late disclosure because it resulted in the exclusion of some </w:t>
      </w:r>
      <w:r>
        <w:t xml:space="preserve">unfavorable </w:t>
      </w:r>
      <w:r>
        <w:t>evidence.  They were not harmed by the late disclosure because they were able to use the evidence as they would have if it had been timely disclosed.  A</w:t>
      </w:r>
      <w:r>
        <w:t>ccordingly, th</w:t>
      </w:r>
      <w:r>
        <w:t>e</w:t>
      </w:r>
      <w:r>
        <w:t xml:space="preserve"> error, if any,</w:t>
      </w:r>
      <w:r>
        <w:t xml:space="preserve"> was harmless.</w:t>
      </w:r>
      <w:r>
        <w:t xml:space="preserve"> </w:t>
      </w:r>
    </w:p>
    <w:p w:rsidR="00F82269" w:rsidRPr="001246BE" w:rsidRDefault="00EF4903" w:rsidP="00582512">
      <w:pPr>
        <w:pStyle w:val="Heading5"/>
        <w:rPr>
          <w:rFonts w:ascii="Times New Roman" w:hAnsi="Times New Roman"/>
          <w:color w:val="auto"/>
        </w:rPr>
      </w:pP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ab/>
        <w:t>2</w:t>
      </w:r>
      <w:r w:rsidRPr="001246BE">
        <w:rPr>
          <w:rFonts w:ascii="Times New Roman" w:hAnsi="Times New Roman"/>
          <w:i/>
          <w:color w:val="auto"/>
        </w:rPr>
        <w:t>.</w:t>
      </w:r>
      <w:r w:rsidRPr="001246BE">
        <w:rPr>
          <w:rFonts w:ascii="Times New Roman" w:hAnsi="Times New Roman"/>
          <w:i/>
          <w:color w:val="auto"/>
        </w:rPr>
        <w:tab/>
      </w:r>
      <w:r w:rsidRPr="001246BE">
        <w:rPr>
          <w:rFonts w:ascii="Times New Roman" w:hAnsi="Times New Roman"/>
          <w:color w:val="auto"/>
        </w:rPr>
        <w:t>Instructional Error</w:t>
      </w:r>
    </w:p>
    <w:p w:rsidR="00CE41C9" w:rsidRDefault="00EF4903" w:rsidP="00BB40EF">
      <w:pPr>
        <w:spacing w:line="480" w:lineRule="atLeast"/>
      </w:pPr>
      <w:r>
        <w:tab/>
        <w:t xml:space="preserve">At the </w:t>
      </w:r>
      <w:r>
        <w:t xml:space="preserve">end </w:t>
      </w:r>
      <w:r>
        <w:t xml:space="preserve">of the guilt phase, </w:t>
      </w:r>
      <w:proofErr w:type="spellStart"/>
      <w:r>
        <w:t>Mora</w:t>
      </w:r>
      <w:proofErr w:type="spellEnd"/>
      <w:r>
        <w:t xml:space="preserve"> requested that the court </w:t>
      </w:r>
      <w:r>
        <w:t xml:space="preserve">provide </w:t>
      </w:r>
      <w:r>
        <w:t>a special instruction concerning the discovery delays.</w:t>
      </w:r>
      <w:r>
        <w:rPr>
          <w:rStyle w:val="FootnoteReference"/>
        </w:rPr>
        <w:footnoteReference w:id="12"/>
      </w:r>
      <w:r>
        <w:t xml:space="preserve">  The court declined to give the requested instruction, but gave instead a modified</w:t>
      </w:r>
      <w:r w:rsidRPr="00BB40EF">
        <w:t xml:space="preserve"> </w:t>
      </w:r>
      <w:r>
        <w:t>version of CALJIC No.</w:t>
      </w:r>
      <w:r>
        <w:t> </w:t>
      </w:r>
      <w:r>
        <w:t>2.2</w:t>
      </w:r>
      <w:r>
        <w:t>8 that explained the rules of</w:t>
      </w:r>
      <w:r>
        <w:t xml:space="preserve"> discovery </w:t>
      </w:r>
      <w:r>
        <w:t xml:space="preserve">and noted </w:t>
      </w:r>
      <w:r>
        <w:t xml:space="preserve">that </w:t>
      </w:r>
      <w:r>
        <w:t>the</w:t>
      </w:r>
      <w:r>
        <w:t xml:space="preserve"> Compton Police Department failed to timely disclose reports containing witness statement</w:t>
      </w:r>
      <w:r>
        <w:t>s and a fingerprint testing report</w:t>
      </w:r>
      <w:r>
        <w:t>.</w:t>
      </w:r>
      <w:r>
        <w:rPr>
          <w:rStyle w:val="FootnoteReference"/>
        </w:rPr>
        <w:footnoteReference w:id="13"/>
      </w:r>
      <w:r>
        <w:t xml:space="preserve">  </w:t>
      </w:r>
      <w:r>
        <w:t xml:space="preserve">The court </w:t>
      </w:r>
      <w:r>
        <w:t>stated</w:t>
      </w:r>
      <w:r>
        <w:t xml:space="preserve"> that its modification of CALJIC No. 2.28 “specifically left out” language regarding intent from the standard instruction “because I don’t think there is any showing of intent.  I think it’s more neglig</w:t>
      </w:r>
      <w:r>
        <w:t xml:space="preserve">ence than anything else based on what I have heard.”  </w:t>
      </w:r>
      <w:r>
        <w:t xml:space="preserve">Neither Rangel nor </w:t>
      </w:r>
      <w:proofErr w:type="spellStart"/>
      <w:r>
        <w:t>Mora</w:t>
      </w:r>
      <w:proofErr w:type="spellEnd"/>
      <w:r>
        <w:t xml:space="preserve"> objected to the court’s instruction as given or the court’s characterization of the discovery delays as negligent.  </w:t>
      </w:r>
    </w:p>
    <w:p w:rsidR="00BB40EF" w:rsidRDefault="00EF4903" w:rsidP="00BB40EF">
      <w:pPr>
        <w:spacing w:line="480" w:lineRule="atLeast"/>
      </w:pPr>
      <w:r>
        <w:tab/>
      </w:r>
      <w:r>
        <w:t xml:space="preserve">Rangel also requested that the court instruct the jury that </w:t>
      </w:r>
      <w:r>
        <w:t xml:space="preserve">the beer can found beneath the </w:t>
      </w:r>
      <w:r>
        <w:t>4Runner</w:t>
      </w:r>
      <w:r>
        <w:t xml:space="preserve"> </w:t>
      </w:r>
      <w:r>
        <w:t xml:space="preserve">was not </w:t>
      </w:r>
      <w:r>
        <w:t xml:space="preserve">immediately </w:t>
      </w:r>
      <w:r>
        <w:t>made available</w:t>
      </w:r>
      <w:r>
        <w:t xml:space="preserve"> to a defense expert.  The court declined that request because it was factually inaccurate;</w:t>
      </w:r>
      <w:r>
        <w:t xml:space="preserve"> the can was provided promptly</w:t>
      </w:r>
      <w:r>
        <w:t xml:space="preserve"> once defense counsel requested it.</w:t>
      </w:r>
      <w:r>
        <w:rPr>
          <w:rStyle w:val="FootnoteReference"/>
        </w:rPr>
        <w:footnoteReference w:id="14"/>
      </w:r>
      <w:r>
        <w:t xml:space="preserve">    </w:t>
      </w:r>
      <w:r>
        <w:tab/>
      </w:r>
    </w:p>
    <w:p w:rsidR="009F0337" w:rsidRDefault="00EF4903" w:rsidP="00BB40EF">
      <w:pPr>
        <w:spacing w:line="480" w:lineRule="atLeast"/>
      </w:pPr>
      <w:r>
        <w:tab/>
      </w:r>
      <w:proofErr w:type="spellStart"/>
      <w:r>
        <w:t>Mora</w:t>
      </w:r>
      <w:proofErr w:type="spellEnd"/>
      <w:r>
        <w:t xml:space="preserve"> and Rangel</w:t>
      </w:r>
      <w:r>
        <w:t xml:space="preserve"> now contend the court</w:t>
      </w:r>
      <w:r>
        <w:t xml:space="preserve"> erred by failing to give the requested instruction regarding discovery delays,</w:t>
      </w:r>
      <w:r>
        <w:t xml:space="preserve"> and</w:t>
      </w:r>
      <w:r>
        <w:t xml:space="preserve"> that it erred by </w:t>
      </w:r>
      <w:r>
        <w:t xml:space="preserve">using </w:t>
      </w:r>
      <w:r>
        <w:t xml:space="preserve">the modified version of </w:t>
      </w:r>
      <w:r>
        <w:t>CALJIC No. 2.28</w:t>
      </w:r>
      <w:r>
        <w:t xml:space="preserve"> to instruct the jury</w:t>
      </w:r>
      <w:r>
        <w:t xml:space="preserve">.  They argue that </w:t>
      </w:r>
      <w:r>
        <w:t>the instruction, as given, was incomplete becaus</w:t>
      </w:r>
      <w:r>
        <w:t>e it identified the Compton Police Department as the party responsible for the d</w:t>
      </w:r>
      <w:r>
        <w:t>iscovery delays, not the prosecution generally</w:t>
      </w:r>
      <w:r>
        <w:t xml:space="preserve">.  </w:t>
      </w:r>
      <w:proofErr w:type="spellStart"/>
      <w:r>
        <w:t>Mora</w:t>
      </w:r>
      <w:proofErr w:type="spellEnd"/>
      <w:r>
        <w:t xml:space="preserve"> and Rangel</w:t>
      </w:r>
      <w:r>
        <w:t xml:space="preserve"> further argue that the instruction should have clarified that the prosecution “concealed” the evidence.  Finall</w:t>
      </w:r>
      <w:r>
        <w:t xml:space="preserve">y, </w:t>
      </w:r>
      <w:r>
        <w:t>they</w:t>
      </w:r>
      <w:r>
        <w:t xml:space="preserve"> contend that</w:t>
      </w:r>
      <w:r>
        <w:t xml:space="preserve"> CALJIC No. 2.28</w:t>
      </w:r>
      <w:r>
        <w:t xml:space="preserve"> </w:t>
      </w:r>
      <w:r>
        <w:t>fails to adequately guide a jury’s understanding of how tardy discovery should impact deliberation</w:t>
      </w:r>
      <w:r>
        <w:t xml:space="preserve">.  </w:t>
      </w:r>
      <w:r>
        <w:t xml:space="preserve">  </w:t>
      </w:r>
    </w:p>
    <w:p w:rsidR="00EA1544" w:rsidRDefault="00EF4903" w:rsidP="000134E0">
      <w:pPr>
        <w:spacing w:line="480" w:lineRule="atLeast"/>
      </w:pPr>
      <w:r>
        <w:tab/>
      </w:r>
      <w:r>
        <w:t xml:space="preserve">Because </w:t>
      </w:r>
      <w:proofErr w:type="spellStart"/>
      <w:r>
        <w:t>Mora</w:t>
      </w:r>
      <w:proofErr w:type="spellEnd"/>
      <w:r>
        <w:t xml:space="preserve"> and Rangel failed to object to the court’s modifications of CALJIC No. 2.28, their claim of error on appeal is forfeited.  (See </w:t>
      </w:r>
      <w:r>
        <w:rPr>
          <w:i/>
        </w:rPr>
        <w:t>People v. Bolin</w:t>
      </w:r>
      <w:r>
        <w:t xml:space="preserve"> (1998) 18 </w:t>
      </w:r>
      <w:r>
        <w:t>Cal.4th 297, 326 [failure to object to wording of jury instruction forfeits appellate cla</w:t>
      </w:r>
      <w:r>
        <w:t>im of error].)</w:t>
      </w:r>
      <w:r>
        <w:t xml:space="preserve">  </w:t>
      </w:r>
      <w:r>
        <w:t xml:space="preserve">Even if </w:t>
      </w:r>
      <w:proofErr w:type="spellStart"/>
      <w:r>
        <w:t>Mora</w:t>
      </w:r>
      <w:proofErr w:type="spellEnd"/>
      <w:r>
        <w:t xml:space="preserve"> and Rangel </w:t>
      </w:r>
      <w:r>
        <w:t xml:space="preserve">had </w:t>
      </w:r>
      <w:r>
        <w:t xml:space="preserve">preserved this claim for appellate review, </w:t>
      </w:r>
      <w:r>
        <w:t>the trial court did not err by declining to give the requested special instruction, nor did it err by</w:t>
      </w:r>
      <w:r>
        <w:t xml:space="preserve"> deploying </w:t>
      </w:r>
      <w:r>
        <w:t xml:space="preserve">the </w:t>
      </w:r>
      <w:r>
        <w:t>modified CALJIC No. 2.28 to instruct</w:t>
      </w:r>
      <w:r>
        <w:t xml:space="preserve"> the jury.</w:t>
      </w:r>
      <w:r>
        <w:t xml:space="preserve"> </w:t>
      </w:r>
      <w:r>
        <w:t xml:space="preserve"> It is</w:t>
      </w:r>
      <w:r>
        <w:t xml:space="preserve"> true that </w:t>
      </w:r>
      <w:r>
        <w:t>CALJIC No. 2.28 has been the subject of significant criticism in the courts of appeal.  (</w:t>
      </w:r>
      <w:r>
        <w:rPr>
          <w:i/>
        </w:rPr>
        <w:t>People v. Riggs</w:t>
      </w:r>
      <w:r>
        <w:t xml:space="preserve"> (2008) 44 Cal.4th 248, 30</w:t>
      </w:r>
      <w:r>
        <w:t>6–</w:t>
      </w:r>
      <w:r>
        <w:t xml:space="preserve">307.) </w:t>
      </w:r>
      <w:r>
        <w:t>Many such critiques are inapposite, as they relate to discovery delays caused by a defendant, not those cau</w:t>
      </w:r>
      <w:r>
        <w:t>sed by the prosecution.  Nonetheless, the</w:t>
      </w:r>
      <w:r>
        <w:t xml:space="preserve"> instruction</w:t>
      </w:r>
      <w:r>
        <w:t xml:space="preserve">’s detractors have </w:t>
      </w:r>
      <w:r>
        <w:t>claimed ––</w:t>
      </w:r>
      <w:r>
        <w:t xml:space="preserve"> as do</w:t>
      </w:r>
      <w:r>
        <w:t xml:space="preserve"> </w:t>
      </w:r>
      <w:proofErr w:type="spellStart"/>
      <w:r>
        <w:t>Mora</w:t>
      </w:r>
      <w:proofErr w:type="spellEnd"/>
      <w:r>
        <w:t xml:space="preserve"> and Rangel</w:t>
      </w:r>
      <w:r>
        <w:t xml:space="preserve"> in this case ––</w:t>
      </w:r>
      <w:r>
        <w:t xml:space="preserve"> that it </w:t>
      </w:r>
      <w:r>
        <w:t>fails to “provide explicit guidance to the jury regarding why and how the discovery violation would be relevant to its delibera</w:t>
      </w:r>
      <w:r>
        <w:t>tions.”  (</w:t>
      </w:r>
      <w:r>
        <w:rPr>
          <w:i/>
        </w:rPr>
        <w:t>Id.</w:t>
      </w:r>
      <w:r>
        <w:t xml:space="preserve"> at p. 308.)</w:t>
      </w:r>
      <w:r>
        <w:t xml:space="preserve">  </w:t>
      </w:r>
      <w:r>
        <w:t xml:space="preserve">In particular, </w:t>
      </w:r>
      <w:proofErr w:type="spellStart"/>
      <w:r>
        <w:t>Mora</w:t>
      </w:r>
      <w:proofErr w:type="spellEnd"/>
      <w:r>
        <w:t xml:space="preserve"> and Rangel argue the given i</w:t>
      </w:r>
      <w:r>
        <w:t>nstruction did not</w:t>
      </w:r>
      <w:r>
        <w:t xml:space="preserve"> articulate how the delayed discovery </w:t>
      </w:r>
      <w:r>
        <w:t>affected the defense’s presentation of their case</w:t>
      </w:r>
      <w:r>
        <w:t xml:space="preserve"> by curtailing</w:t>
      </w:r>
      <w:r>
        <w:t xml:space="preserve"> </w:t>
      </w:r>
      <w:r>
        <w:t xml:space="preserve">their </w:t>
      </w:r>
      <w:r>
        <w:t xml:space="preserve">ability to subpoena witnesses and </w:t>
      </w:r>
      <w:r>
        <w:t xml:space="preserve">requiring they </w:t>
      </w:r>
      <w:r>
        <w:t>proceed hastily and without adequate preparation</w:t>
      </w:r>
      <w:r>
        <w:t xml:space="preserve"> during the course of the trial.  </w:t>
      </w:r>
    </w:p>
    <w:p w:rsidR="00BA5A78" w:rsidRPr="000134E0" w:rsidRDefault="00EF4903" w:rsidP="000134E0">
      <w:pPr>
        <w:spacing w:line="480" w:lineRule="atLeast"/>
      </w:pPr>
      <w:r>
        <w:tab/>
      </w:r>
      <w:proofErr w:type="spellStart"/>
      <w:r>
        <w:t>Mora</w:t>
      </w:r>
      <w:proofErr w:type="spellEnd"/>
      <w:r>
        <w:t xml:space="preserve"> and Rangel do not persuade on this point –– and the </w:t>
      </w:r>
      <w:r>
        <w:t xml:space="preserve">language of the instruction </w:t>
      </w:r>
      <w:r>
        <w:t>shows why</w:t>
      </w:r>
      <w:r>
        <w:t xml:space="preserve">.  </w:t>
      </w:r>
      <w:r>
        <w:t xml:space="preserve">The trial court conveyed </w:t>
      </w:r>
      <w:r>
        <w:t>CALJIC No. 2.28</w:t>
      </w:r>
      <w:r>
        <w:t xml:space="preserve"> to the jury as follows</w:t>
      </w:r>
      <w:r>
        <w:t>:  “Delay in</w:t>
      </w:r>
      <w:r>
        <w:t xml:space="preserve"> the disclosure of evidence may deny a party a sufficient opportunity to subpoena necessary witnesses or produce evidence which may exist to rebut the non-complying party’s evidence.”  The jury was informed of the nature of the unfairness wrought by late d</w:t>
      </w:r>
      <w:r>
        <w:t>isclosure</w:t>
      </w:r>
      <w:r>
        <w:t>, and was told to evaluate the significance to attach to that inequity by considering whether the undisclosed evidence “pertains to a fact of importance, something trivial or subject matters already established by other credible evidence.”  This l</w:t>
      </w:r>
      <w:r>
        <w:t>anguage constituted “a proper statement of the applicable law, from which the parties could argue inferences that might (or might not) be drawn from the evidence presented at trial.”  (</w:t>
      </w:r>
      <w:r>
        <w:rPr>
          <w:i/>
        </w:rPr>
        <w:t>People v. Riggs</w:t>
      </w:r>
      <w:r>
        <w:t>,</w:t>
      </w:r>
      <w:r>
        <w:t xml:space="preserve"> </w:t>
      </w:r>
      <w:r>
        <w:rPr>
          <w:i/>
        </w:rPr>
        <w:t>supra</w:t>
      </w:r>
      <w:r>
        <w:t xml:space="preserve">, 44 Cal.4th </w:t>
      </w:r>
      <w:r>
        <w:t>at pp. </w:t>
      </w:r>
      <w:r>
        <w:t>310–</w:t>
      </w:r>
      <w:r>
        <w:t>311.)</w:t>
      </w:r>
      <w:r>
        <w:t xml:space="preserve">  To the extent the </w:t>
      </w:r>
      <w:r>
        <w:t>instruction permitted the jury to speculate and presume the discovery delay was sufficient</w:t>
      </w:r>
      <w:r>
        <w:t xml:space="preserve"> ––</w:t>
      </w:r>
      <w:r>
        <w:t xml:space="preserve"> alone</w:t>
      </w:r>
      <w:r>
        <w:t xml:space="preserve"> ––</w:t>
      </w:r>
      <w:r>
        <w:t xml:space="preserve"> to cast doubt</w:t>
      </w:r>
      <w:r>
        <w:t xml:space="preserve"> on </w:t>
      </w:r>
      <w:proofErr w:type="spellStart"/>
      <w:r>
        <w:t>Mora</w:t>
      </w:r>
      <w:proofErr w:type="spellEnd"/>
      <w:r>
        <w:t xml:space="preserve"> and Rangel’s</w:t>
      </w:r>
      <w:r>
        <w:t xml:space="preserve"> guilt, the ambiguity favored </w:t>
      </w:r>
      <w:r>
        <w:t>them</w:t>
      </w:r>
      <w:r>
        <w:t xml:space="preserve">.   </w:t>
      </w:r>
    </w:p>
    <w:p w:rsidR="00B42F28" w:rsidRDefault="00EF4903" w:rsidP="00BB40EF">
      <w:pPr>
        <w:spacing w:line="480" w:lineRule="atLeast"/>
      </w:pPr>
      <w:r>
        <w:tab/>
      </w:r>
      <w:proofErr w:type="spellStart"/>
      <w:r>
        <w:t>Mora</w:t>
      </w:r>
      <w:proofErr w:type="spellEnd"/>
      <w:r>
        <w:t xml:space="preserve"> and Rangel</w:t>
      </w:r>
      <w:r>
        <w:t xml:space="preserve"> </w:t>
      </w:r>
      <w:r>
        <w:t>next assert that the court erred by instructing the jury that t</w:t>
      </w:r>
      <w:r>
        <w:t>he</w:t>
      </w:r>
      <w:r>
        <w:t xml:space="preserve"> Compton Police Department</w:t>
      </w:r>
      <w:r>
        <w:t>, not the prosecution generally, was to blame for the</w:t>
      </w:r>
      <w:r>
        <w:t xml:space="preserve"> delayed discovery.  </w:t>
      </w:r>
      <w:r>
        <w:t xml:space="preserve">As </w:t>
      </w:r>
      <w:proofErr w:type="spellStart"/>
      <w:r>
        <w:t>Mora</w:t>
      </w:r>
      <w:proofErr w:type="spellEnd"/>
      <w:r>
        <w:t xml:space="preserve"> and Rangel note, t</w:t>
      </w:r>
      <w:r>
        <w:t>he prosecution is charged with discovering and disclosing material exculpatory evidence even if maintained by a different agency</w:t>
      </w:r>
      <w:r>
        <w:t>.  (</w:t>
      </w:r>
      <w:r>
        <w:rPr>
          <w:i/>
        </w:rPr>
        <w:t>In re </w:t>
      </w:r>
      <w:r>
        <w:rPr>
          <w:i/>
        </w:rPr>
        <w:t>Brown</w:t>
      </w:r>
      <w:r>
        <w:t xml:space="preserve">, </w:t>
      </w:r>
      <w:r>
        <w:rPr>
          <w:i/>
        </w:rPr>
        <w:t>supra</w:t>
      </w:r>
      <w:r>
        <w:t xml:space="preserve">, </w:t>
      </w:r>
      <w:r>
        <w:t xml:space="preserve">17 Cal.4th </w:t>
      </w:r>
      <w:r>
        <w:t>at pp.</w:t>
      </w:r>
      <w:r>
        <w:t xml:space="preserve"> </w:t>
      </w:r>
      <w:r>
        <w:t>879</w:t>
      </w:r>
      <w:r>
        <w:t>–</w:t>
      </w:r>
      <w:r>
        <w:t xml:space="preserve">883.)  There is no indication here that the prosecution failed to do that.  </w:t>
      </w:r>
      <w:r>
        <w:t>T</w:t>
      </w:r>
      <w:r>
        <w:t xml:space="preserve">he witness statements described in the instruction </w:t>
      </w:r>
      <w:r>
        <w:t xml:space="preserve">were not </w:t>
      </w:r>
      <w:r>
        <w:t>necessarily exculpatory</w:t>
      </w:r>
      <w:r>
        <w:t>; m</w:t>
      </w:r>
      <w:r>
        <w:t xml:space="preserve">any of the statements were inculpatory or </w:t>
      </w:r>
      <w:r>
        <w:t xml:space="preserve">equivocal.  The fingerprint report, to the extent it was exculpatory, was admitted, and its admission occurred over </w:t>
      </w:r>
      <w:proofErr w:type="spellStart"/>
      <w:r>
        <w:t>Mora</w:t>
      </w:r>
      <w:proofErr w:type="spellEnd"/>
      <w:r>
        <w:t xml:space="preserve"> and Rangel’s objection.</w:t>
      </w:r>
      <w:r>
        <w:t xml:space="preserve">  </w:t>
      </w:r>
    </w:p>
    <w:p w:rsidR="003D1DFA" w:rsidRDefault="00EF4903" w:rsidP="00BB40EF">
      <w:pPr>
        <w:spacing w:line="480" w:lineRule="atLeast"/>
      </w:pPr>
      <w:r>
        <w:tab/>
      </w:r>
      <w:r>
        <w:t>Even if the evidence was</w:t>
      </w:r>
      <w:r>
        <w:t xml:space="preserve"> in fact</w:t>
      </w:r>
      <w:r>
        <w:t xml:space="preserve"> material and exculpatory</w:t>
      </w:r>
      <w:r>
        <w:t>,</w:t>
      </w:r>
      <w:r>
        <w:t xml:space="preserve"> and the prosecution was therefore required to dis</w:t>
      </w:r>
      <w:r>
        <w:t>cover and disclose it</w:t>
      </w:r>
      <w:r>
        <w:t xml:space="preserve">, </w:t>
      </w:r>
      <w:r>
        <w:t xml:space="preserve">nothing in the </w:t>
      </w:r>
      <w:r>
        <w:t xml:space="preserve">instruction </w:t>
      </w:r>
      <w:r>
        <w:t xml:space="preserve">constituted an </w:t>
      </w:r>
      <w:r>
        <w:t>excuse</w:t>
      </w:r>
      <w:r>
        <w:t xml:space="preserve"> </w:t>
      </w:r>
      <w:r>
        <w:t xml:space="preserve">of the </w:t>
      </w:r>
      <w:r>
        <w:t>prosecutor’s</w:t>
      </w:r>
      <w:r>
        <w:t xml:space="preserve"> failure to disclose.  Rather, the instruction informed the jury of the prosecution agency responsible for the delay in disclosure and invited the jury to accord the</w:t>
      </w:r>
      <w:r>
        <w:t xml:space="preserve"> necessary weight to that delay.  </w:t>
      </w:r>
      <w:r>
        <w:t xml:space="preserve">Under section 1054.5, the court may order the noncompliant party to make “immediate disclosure” </w:t>
      </w:r>
      <w:r>
        <w:t xml:space="preserve">where only one party fails to comply with the discovery statutes, </w:t>
      </w:r>
      <w:r>
        <w:t xml:space="preserve">or the court may initiate “contempt proceedings, delay[] or </w:t>
      </w:r>
      <w:r>
        <w:t>prohibit[] the testimony of a witness or the presentation of real evidence,” or order a continuance.  (§ 1054.5, subd. (b).)  In addition, “the court may advise the jury of any failure or refusal to disclose and of any untimely disclosure.”  (</w:t>
      </w:r>
      <w:r>
        <w:rPr>
          <w:i/>
        </w:rPr>
        <w:t>Ibid</w:t>
      </w:r>
      <w:r w:rsidRPr="00D64D5F">
        <w:rPr>
          <w:i/>
        </w:rPr>
        <w:t>.</w:t>
      </w:r>
      <w:r>
        <w:t xml:space="preserve">)  </w:t>
      </w:r>
      <w:r>
        <w:t>Here,</w:t>
      </w:r>
      <w:r>
        <w:t xml:space="preserve"> the delayed discovery was immediately disclosed, and the jury received an instruction concerning the delay.  These remedies </w:t>
      </w:r>
      <w:r>
        <w:t>are consistent with the statute</w:t>
      </w:r>
      <w:r>
        <w:t>.</w:t>
      </w:r>
      <w:r>
        <w:t xml:space="preserve">  (</w:t>
      </w:r>
      <w:r>
        <w:rPr>
          <w:i/>
        </w:rPr>
        <w:t>Ibid</w:t>
      </w:r>
      <w:r>
        <w:t>.)</w:t>
      </w:r>
      <w:r>
        <w:t xml:space="preserve">  </w:t>
      </w:r>
      <w:r>
        <w:t>T</w:t>
      </w:r>
      <w:r>
        <w:t>he</w:t>
      </w:r>
      <w:r>
        <w:t xml:space="preserve"> trial court did not abuse its discretion by providing the modified CALJIC No. 2.28 i</w:t>
      </w:r>
      <w:r>
        <w:t>nstruction</w:t>
      </w:r>
      <w:r>
        <w:t xml:space="preserve">, which </w:t>
      </w:r>
      <w:r>
        <w:t>modification included a precise identification of</w:t>
      </w:r>
      <w:r>
        <w:t xml:space="preserve"> the agency responsible for the </w:t>
      </w:r>
      <w:r>
        <w:t>delay</w:t>
      </w:r>
      <w:r>
        <w:t xml:space="preserve">.  </w:t>
      </w:r>
    </w:p>
    <w:p w:rsidR="002461B3" w:rsidRDefault="00EF4903" w:rsidP="003D1DFA">
      <w:pPr>
        <w:spacing w:line="480" w:lineRule="atLeast"/>
      </w:pPr>
      <w:r>
        <w:tab/>
      </w:r>
      <w:r>
        <w:t xml:space="preserve">To the extent any error </w:t>
      </w:r>
      <w:r>
        <w:t xml:space="preserve">arose </w:t>
      </w:r>
      <w:r>
        <w:t>from identifying the police department and not the prosecution more broadly as the agency responsible for the delays,</w:t>
      </w:r>
      <w:r>
        <w:t xml:space="preserve"> the error was harmless under any standard in light of the overwhelming evidence of guilt.  </w:t>
      </w:r>
      <w:r>
        <w:t>(</w:t>
      </w:r>
      <w:proofErr w:type="spellStart"/>
      <w:r>
        <w:rPr>
          <w:i/>
        </w:rPr>
        <w:t>Neder</w:t>
      </w:r>
      <w:proofErr w:type="spellEnd"/>
      <w:r>
        <w:rPr>
          <w:i/>
        </w:rPr>
        <w:t xml:space="preserve"> v. United States</w:t>
      </w:r>
      <w:r>
        <w:t xml:space="preserve"> (1999) 527 U.S. 1, 17</w:t>
      </w:r>
      <w:r>
        <w:t xml:space="preserve">.)  </w:t>
      </w:r>
      <w:r>
        <w:t xml:space="preserve">Beltran, </w:t>
      </w:r>
      <w:proofErr w:type="spellStart"/>
      <w:r>
        <w:t>Encinas’s</w:t>
      </w:r>
      <w:proofErr w:type="spellEnd"/>
      <w:r>
        <w:t xml:space="preserve"> girlfriend and a witness to the beginning of the altercation, identified both </w:t>
      </w:r>
      <w:proofErr w:type="spellStart"/>
      <w:r>
        <w:t>Mora</w:t>
      </w:r>
      <w:proofErr w:type="spellEnd"/>
      <w:r>
        <w:t xml:space="preserve"> and Rangel fr</w:t>
      </w:r>
      <w:r>
        <w:t xml:space="preserve">om among approximately </w:t>
      </w:r>
      <w:r>
        <w:t>11</w:t>
      </w:r>
      <w:r>
        <w:t xml:space="preserve"> individuals in a field </w:t>
      </w:r>
      <w:r>
        <w:t>lineup</w:t>
      </w:r>
      <w:r>
        <w:t xml:space="preserve">.  Fonseca, the passenger in Beltran’s car, also observed the assailants and identified both </w:t>
      </w:r>
      <w:proofErr w:type="spellStart"/>
      <w:r>
        <w:t>Mora</w:t>
      </w:r>
      <w:proofErr w:type="spellEnd"/>
      <w:r>
        <w:t xml:space="preserve"> and Rangel </w:t>
      </w:r>
      <w:r>
        <w:t xml:space="preserve">during a field </w:t>
      </w:r>
      <w:r>
        <w:t>lineup</w:t>
      </w:r>
      <w:r>
        <w:t xml:space="preserve">.  </w:t>
      </w:r>
      <w:r>
        <w:t xml:space="preserve">Gregorio, the passenger in the </w:t>
      </w:r>
      <w:r>
        <w:t>4Runner</w:t>
      </w:r>
      <w:r>
        <w:t xml:space="preserve"> who observed the shootings fr</w:t>
      </w:r>
      <w:r>
        <w:t xml:space="preserve">om the backseat of the vehicle, also identified </w:t>
      </w:r>
      <w:proofErr w:type="spellStart"/>
      <w:r>
        <w:t>Mora</w:t>
      </w:r>
      <w:proofErr w:type="spellEnd"/>
      <w:r>
        <w:t xml:space="preserve"> and Rangel in the field </w:t>
      </w:r>
      <w:r>
        <w:t>lineup</w:t>
      </w:r>
      <w:r>
        <w:t xml:space="preserve"> held after the shooting.  Lopez told police during interviews that took place immediately after the shooting that </w:t>
      </w:r>
      <w:proofErr w:type="spellStart"/>
      <w:r>
        <w:t>Mora</w:t>
      </w:r>
      <w:proofErr w:type="spellEnd"/>
      <w:r>
        <w:t xml:space="preserve"> and Rangel were both outside when the shooting occurr</w:t>
      </w:r>
      <w:r>
        <w:t xml:space="preserve">ed, that they came back inside </w:t>
      </w:r>
      <w:r>
        <w:t>one</w:t>
      </w:r>
      <w:r>
        <w:t xml:space="preserve"> minute after the shots were fired, and that </w:t>
      </w:r>
      <w:proofErr w:type="spellStart"/>
      <w:r>
        <w:t>Mora</w:t>
      </w:r>
      <w:proofErr w:type="spellEnd"/>
      <w:r>
        <w:t xml:space="preserve"> asked Lopez to go to the bedroom where their daughter was sleeping to prevent </w:t>
      </w:r>
      <w:r>
        <w:t>the child</w:t>
      </w:r>
      <w:r>
        <w:t xml:space="preserve"> from waking and seeing her father </w:t>
      </w:r>
      <w:r>
        <w:t>go</w:t>
      </w:r>
      <w:r>
        <w:t xml:space="preserve"> to jail.  </w:t>
      </w:r>
      <w:r>
        <w:t xml:space="preserve">Although Lopez testified </w:t>
      </w:r>
      <w:r>
        <w:t>inconsistently with some of those statements, another party-goer at Lopez’s house that night</w:t>
      </w:r>
      <w:r>
        <w:t xml:space="preserve"> — </w:t>
      </w:r>
      <w:r>
        <w:t>Valadez</w:t>
      </w:r>
      <w:r>
        <w:t xml:space="preserve"> — </w:t>
      </w:r>
      <w:r>
        <w:t>co</w:t>
      </w:r>
      <w:r>
        <w:t xml:space="preserve">nfirmed that </w:t>
      </w:r>
      <w:proofErr w:type="spellStart"/>
      <w:r>
        <w:t>Mora</w:t>
      </w:r>
      <w:proofErr w:type="spellEnd"/>
      <w:r>
        <w:t xml:space="preserve"> and Rangel re</w:t>
      </w:r>
      <w:r>
        <w:t>entered Lopez’s house immediately after the shooting</w:t>
      </w:r>
      <w:r>
        <w:t xml:space="preserve">. </w:t>
      </w:r>
      <w:r>
        <w:t xml:space="preserve"> </w:t>
      </w:r>
      <w:r>
        <w:t xml:space="preserve">He also confirmed </w:t>
      </w:r>
      <w:r>
        <w:t xml:space="preserve">that </w:t>
      </w:r>
      <w:r>
        <w:t xml:space="preserve">both </w:t>
      </w:r>
      <w:r>
        <w:t>men carr</w:t>
      </w:r>
      <w:r>
        <w:t>i</w:t>
      </w:r>
      <w:r>
        <w:t>ed</w:t>
      </w:r>
      <w:r>
        <w:t xml:space="preserve"> weapons and </w:t>
      </w:r>
      <w:r>
        <w:t xml:space="preserve">were </w:t>
      </w:r>
      <w:r>
        <w:t>braggi</w:t>
      </w:r>
      <w:r>
        <w:t>ng abou</w:t>
      </w:r>
      <w:r>
        <w:t xml:space="preserve">t the shootings.  </w:t>
      </w:r>
      <w:r>
        <w:t xml:space="preserve">  </w:t>
      </w:r>
    </w:p>
    <w:p w:rsidR="002441FA" w:rsidRDefault="00EF4903" w:rsidP="00453E6C">
      <w:pPr>
        <w:spacing w:line="480" w:lineRule="atLeast"/>
        <w:ind w:firstLine="720"/>
      </w:pPr>
      <w:r>
        <w:t xml:space="preserve">Moreover, </w:t>
      </w:r>
      <w:r>
        <w:t xml:space="preserve">Valadez’s </w:t>
      </w:r>
      <w:r>
        <w:t xml:space="preserve">testimony corroborated other evidence.  For instance, Valadez testified that after </w:t>
      </w:r>
      <w:proofErr w:type="spellStart"/>
      <w:r>
        <w:t>Mora</w:t>
      </w:r>
      <w:proofErr w:type="spellEnd"/>
      <w:r>
        <w:t xml:space="preserve"> and Rangel reentered Lopez’s house, one of the</w:t>
      </w:r>
      <w:r>
        <w:t xml:space="preserve"> </w:t>
      </w:r>
      <w:r>
        <w:t>m</w:t>
      </w:r>
      <w:r>
        <w:t>en</w:t>
      </w:r>
      <w:r>
        <w:t xml:space="preserve"> stated he would have continued firing shots had his weapon not jammed</w:t>
      </w:r>
      <w:r>
        <w:t>.</w:t>
      </w:r>
      <w:r>
        <w:t xml:space="preserve">  </w:t>
      </w:r>
      <w:r>
        <w:t xml:space="preserve">One of the two firearms recovered from </w:t>
      </w:r>
      <w:proofErr w:type="spellStart"/>
      <w:r>
        <w:t>Mora’s</w:t>
      </w:r>
      <w:proofErr w:type="spellEnd"/>
      <w:r>
        <w:t xml:space="preserve"> Oldsmobile parked in Lopez’s garage had a bullet jammed at the breech</w:t>
      </w:r>
      <w:r>
        <w:t xml:space="preserve">.  </w:t>
      </w:r>
      <w:r>
        <w:t xml:space="preserve">Valadez also corroborated Gregorio’s observation that </w:t>
      </w:r>
      <w:proofErr w:type="spellStart"/>
      <w:r>
        <w:t>Mora</w:t>
      </w:r>
      <w:proofErr w:type="spellEnd"/>
      <w:r>
        <w:t xml:space="preserve"> was shirtless during the shooting.</w:t>
      </w:r>
      <w:r>
        <w:t xml:space="preserve">  </w:t>
      </w:r>
    </w:p>
    <w:p w:rsidR="00AF003C" w:rsidRDefault="00EF4903" w:rsidP="002441FA">
      <w:pPr>
        <w:spacing w:line="480" w:lineRule="atLeast"/>
        <w:ind w:firstLine="720"/>
      </w:pPr>
      <w:r>
        <w:t>Ballistics evidence added further corro</w:t>
      </w:r>
      <w:r>
        <w:t xml:space="preserve">boration.  </w:t>
      </w:r>
      <w:r>
        <w:rPr>
          <w:szCs w:val="26"/>
        </w:rPr>
        <w:t>T</w:t>
      </w:r>
      <w:r w:rsidRPr="001246BE">
        <w:rPr>
          <w:szCs w:val="26"/>
        </w:rPr>
        <w:t xml:space="preserve">he Astra </w:t>
      </w:r>
      <w:r>
        <w:rPr>
          <w:szCs w:val="26"/>
        </w:rPr>
        <w:t xml:space="preserve">found in the Oldsmobile in Lopez’s garage </w:t>
      </w:r>
      <w:r w:rsidRPr="001246BE">
        <w:rPr>
          <w:szCs w:val="26"/>
        </w:rPr>
        <w:t>was</w:t>
      </w:r>
      <w:r>
        <w:rPr>
          <w:szCs w:val="26"/>
        </w:rPr>
        <w:t xml:space="preserve"> determined to be</w:t>
      </w:r>
      <w:r w:rsidRPr="001246BE">
        <w:rPr>
          <w:szCs w:val="26"/>
        </w:rPr>
        <w:t xml:space="preserve"> jammed due to a feeding problem.  </w:t>
      </w:r>
      <w:r>
        <w:rPr>
          <w:szCs w:val="26"/>
        </w:rPr>
        <w:t>C</w:t>
      </w:r>
      <w:r w:rsidRPr="001246BE">
        <w:rPr>
          <w:szCs w:val="26"/>
        </w:rPr>
        <w:t xml:space="preserve">asings recovered from the crime scene </w:t>
      </w:r>
      <w:r>
        <w:rPr>
          <w:szCs w:val="26"/>
        </w:rPr>
        <w:t xml:space="preserve">compared against those made </w:t>
      </w:r>
      <w:r w:rsidRPr="001246BE">
        <w:rPr>
          <w:szCs w:val="26"/>
        </w:rPr>
        <w:t xml:space="preserve">during ballistics testing </w:t>
      </w:r>
      <w:r>
        <w:rPr>
          <w:szCs w:val="26"/>
        </w:rPr>
        <w:t>revealed</w:t>
      </w:r>
      <w:r w:rsidRPr="001246BE">
        <w:rPr>
          <w:szCs w:val="26"/>
        </w:rPr>
        <w:t xml:space="preserve"> that three casings were fired from t</w:t>
      </w:r>
      <w:r w:rsidRPr="001246BE">
        <w:rPr>
          <w:szCs w:val="26"/>
        </w:rPr>
        <w:t>he Astra</w:t>
      </w:r>
      <w:r>
        <w:rPr>
          <w:szCs w:val="26"/>
        </w:rPr>
        <w:t xml:space="preserve">. </w:t>
      </w:r>
      <w:r w:rsidRPr="001246BE">
        <w:rPr>
          <w:szCs w:val="26"/>
        </w:rPr>
        <w:t xml:space="preserve"> </w:t>
      </w:r>
      <w:r>
        <w:rPr>
          <w:szCs w:val="26"/>
        </w:rPr>
        <w:t>The</w:t>
      </w:r>
      <w:r>
        <w:rPr>
          <w:szCs w:val="26"/>
        </w:rPr>
        <w:t xml:space="preserve"> testing also revealed that</w:t>
      </w:r>
      <w:r w:rsidRPr="001246BE">
        <w:rPr>
          <w:szCs w:val="26"/>
        </w:rPr>
        <w:t xml:space="preserve"> an expended cartridge case originated from the </w:t>
      </w:r>
      <w:proofErr w:type="spellStart"/>
      <w:r w:rsidRPr="001246BE">
        <w:rPr>
          <w:szCs w:val="26"/>
        </w:rPr>
        <w:t>Intratec</w:t>
      </w:r>
      <w:proofErr w:type="spellEnd"/>
      <w:r>
        <w:rPr>
          <w:szCs w:val="26"/>
        </w:rPr>
        <w:t>, the</w:t>
      </w:r>
      <w:r>
        <w:rPr>
          <w:szCs w:val="26"/>
        </w:rPr>
        <w:t xml:space="preserve"> other weapon found in the Olds</w:t>
      </w:r>
      <w:r>
        <w:rPr>
          <w:szCs w:val="26"/>
        </w:rPr>
        <w:t>mobile</w:t>
      </w:r>
      <w:r w:rsidRPr="001246BE">
        <w:rPr>
          <w:szCs w:val="26"/>
        </w:rPr>
        <w:t>.</w:t>
      </w:r>
      <w:r>
        <w:rPr>
          <w:szCs w:val="26"/>
        </w:rPr>
        <w:t xml:space="preserve">  </w:t>
      </w:r>
      <w:r w:rsidRPr="001246BE">
        <w:rPr>
          <w:szCs w:val="26"/>
        </w:rPr>
        <w:t xml:space="preserve">The bullet recovered from </w:t>
      </w:r>
      <w:proofErr w:type="spellStart"/>
      <w:r w:rsidRPr="001246BE">
        <w:rPr>
          <w:szCs w:val="26"/>
        </w:rPr>
        <w:t>Encinas’s</w:t>
      </w:r>
      <w:proofErr w:type="spellEnd"/>
      <w:r w:rsidRPr="001246BE">
        <w:rPr>
          <w:szCs w:val="26"/>
        </w:rPr>
        <w:t xml:space="preserve"> body was shot from the Astra and the bullet recovered from </w:t>
      </w:r>
      <w:proofErr w:type="spellStart"/>
      <w:r w:rsidRPr="001246BE">
        <w:rPr>
          <w:szCs w:val="26"/>
        </w:rPr>
        <w:t>Urrutia’s</w:t>
      </w:r>
      <w:proofErr w:type="spellEnd"/>
      <w:r w:rsidRPr="001246BE">
        <w:rPr>
          <w:szCs w:val="26"/>
        </w:rPr>
        <w:t xml:space="preserve"> body was </w:t>
      </w:r>
      <w:r w:rsidRPr="001246BE">
        <w:rPr>
          <w:szCs w:val="26"/>
        </w:rPr>
        <w:t xml:space="preserve">shot from the </w:t>
      </w:r>
      <w:proofErr w:type="spellStart"/>
      <w:r w:rsidRPr="001246BE">
        <w:rPr>
          <w:szCs w:val="26"/>
        </w:rPr>
        <w:t>Intratec</w:t>
      </w:r>
      <w:proofErr w:type="spellEnd"/>
      <w:r w:rsidRPr="001246BE">
        <w:rPr>
          <w:szCs w:val="26"/>
        </w:rPr>
        <w:t xml:space="preserve">.  </w:t>
      </w:r>
    </w:p>
    <w:p w:rsidR="00BB40EF" w:rsidRPr="00BB40EF" w:rsidRDefault="00EF4903" w:rsidP="003D1DFA">
      <w:pPr>
        <w:spacing w:line="480" w:lineRule="atLeast"/>
      </w:pPr>
      <w:r>
        <w:tab/>
      </w:r>
      <w:proofErr w:type="spellStart"/>
      <w:r>
        <w:t>Mora</w:t>
      </w:r>
      <w:proofErr w:type="spellEnd"/>
      <w:r>
        <w:t xml:space="preserve"> and Rangel’s primary defense was mistaken identity, and their defense was </w:t>
      </w:r>
      <w:r>
        <w:t xml:space="preserve">refuted </w:t>
      </w:r>
      <w:r>
        <w:t xml:space="preserve">by multiple witnesses.  </w:t>
      </w:r>
      <w:r>
        <w:t>Given this overwhelming evidence, there</w:t>
      </w:r>
      <w:r>
        <w:t xml:space="preserve"> is no</w:t>
      </w:r>
      <w:r>
        <w:t xml:space="preserve">t a </w:t>
      </w:r>
      <w:r>
        <w:t>reasonable probability</w:t>
      </w:r>
      <w:r>
        <w:t xml:space="preserve"> that, </w:t>
      </w:r>
      <w:r>
        <w:t>had the jury been instructed</w:t>
      </w:r>
      <w:r>
        <w:t xml:space="preserve"> that</w:t>
      </w:r>
      <w:r>
        <w:t xml:space="preserve"> the prosecution</w:t>
      </w:r>
      <w:r>
        <w:t xml:space="preserve"> and not simply the Compton Police Department</w:t>
      </w:r>
      <w:r>
        <w:t xml:space="preserve"> was responsible for the delayed </w:t>
      </w:r>
      <w:r>
        <w:t>discovery</w:t>
      </w:r>
      <w:r>
        <w:t>,</w:t>
      </w:r>
      <w:r>
        <w:t xml:space="preserve"> the re</w:t>
      </w:r>
      <w:r>
        <w:t>sult would have been different</w:t>
      </w:r>
      <w:r>
        <w:t xml:space="preserve">.  (See </w:t>
      </w:r>
      <w:r>
        <w:rPr>
          <w:i/>
        </w:rPr>
        <w:t>Watson</w:t>
      </w:r>
      <w:r>
        <w:t xml:space="preserve">, </w:t>
      </w:r>
      <w:r>
        <w:rPr>
          <w:i/>
        </w:rPr>
        <w:t>supra</w:t>
      </w:r>
      <w:r>
        <w:t>, 46 Cal.2</w:t>
      </w:r>
      <w:r>
        <w:t xml:space="preserve">d at p. 836.)  Likewise, any federal constitutional error </w:t>
      </w:r>
      <w:r>
        <w:t>resulting from the jury in</w:t>
      </w:r>
      <w:r>
        <w:t>struction</w:t>
      </w:r>
      <w:r>
        <w:t xml:space="preserve"> would have been harmless beyond a reasonable doubt.  (</w:t>
      </w:r>
      <w:r w:rsidRPr="001246BE">
        <w:rPr>
          <w:i/>
          <w:szCs w:val="26"/>
        </w:rPr>
        <w:t>Chapman v. California</w:t>
      </w:r>
      <w:r w:rsidRPr="001246BE">
        <w:rPr>
          <w:szCs w:val="26"/>
        </w:rPr>
        <w:t xml:space="preserve"> (1967) 386 U.S. 18, </w:t>
      </w:r>
      <w:r>
        <w:t>24.)</w:t>
      </w:r>
    </w:p>
    <w:p w:rsidR="00F82269" w:rsidRPr="001246BE" w:rsidRDefault="00EF4903" w:rsidP="00582512">
      <w:pPr>
        <w:pStyle w:val="Heading5"/>
        <w:rPr>
          <w:rFonts w:ascii="Times New Roman" w:hAnsi="Times New Roman"/>
          <w:color w:val="auto"/>
        </w:rPr>
      </w:pP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ab/>
        <w:t>3</w:t>
      </w:r>
      <w:r w:rsidRPr="001246BE">
        <w:rPr>
          <w:rFonts w:ascii="Times New Roman" w:hAnsi="Times New Roman"/>
          <w:i/>
          <w:color w:val="auto"/>
        </w:rPr>
        <w:t>.</w:t>
      </w:r>
      <w:r w:rsidRPr="001246BE">
        <w:rPr>
          <w:rFonts w:ascii="Times New Roman" w:hAnsi="Times New Roman"/>
          <w:i/>
          <w:color w:val="auto"/>
        </w:rPr>
        <w:tab/>
      </w:r>
      <w:r w:rsidRPr="001246BE">
        <w:rPr>
          <w:rFonts w:ascii="Times New Roman" w:hAnsi="Times New Roman"/>
          <w:color w:val="auto"/>
        </w:rPr>
        <w:t>Closing Argument</w:t>
      </w:r>
    </w:p>
    <w:p w:rsidR="007F7CBF" w:rsidRDefault="00EF4903" w:rsidP="003A496D">
      <w:pPr>
        <w:spacing w:line="480" w:lineRule="atLeast"/>
      </w:pPr>
      <w:r>
        <w:tab/>
      </w:r>
      <w:proofErr w:type="spellStart"/>
      <w:r>
        <w:t>Mora</w:t>
      </w:r>
      <w:proofErr w:type="spellEnd"/>
      <w:r>
        <w:t xml:space="preserve"> and Rangel argue </w:t>
      </w:r>
      <w:r>
        <w:t>that the trial court</w:t>
      </w:r>
      <w:r>
        <w:t xml:space="preserve"> erred by</w:t>
      </w:r>
      <w:r>
        <w:t xml:space="preserve"> prohibiting them from arguing </w:t>
      </w:r>
      <w:r>
        <w:t xml:space="preserve">in closing that </w:t>
      </w:r>
      <w:r>
        <w:t>the discovery delays w</w:t>
      </w:r>
      <w:r>
        <w:t>ere intentiona</w:t>
      </w:r>
      <w:r>
        <w:t>l</w:t>
      </w:r>
      <w:r>
        <w:t xml:space="preserve">.  </w:t>
      </w:r>
      <w:r>
        <w:t>The prosecutor requested that the c</w:t>
      </w:r>
      <w:r>
        <w:t xml:space="preserve">ourt restrict </w:t>
      </w:r>
      <w:proofErr w:type="spellStart"/>
      <w:r>
        <w:t>Mora</w:t>
      </w:r>
      <w:proofErr w:type="spellEnd"/>
      <w:r>
        <w:t xml:space="preserve"> and Rangel </w:t>
      </w:r>
      <w:r>
        <w:t xml:space="preserve">from arguing that the </w:t>
      </w:r>
      <w:r>
        <w:t>delays were</w:t>
      </w:r>
      <w:r>
        <w:t xml:space="preserve"> intentional, and the court agreed, stating “[t]here is no evidence of that.  They can’t argue inte</w:t>
      </w:r>
      <w:r>
        <w:t xml:space="preserve">nt.”  The court invited further discussion on the subject, </w:t>
      </w:r>
      <w:r>
        <w:t>but</w:t>
      </w:r>
      <w:r>
        <w:t xml:space="preserve"> neither </w:t>
      </w:r>
      <w:proofErr w:type="spellStart"/>
      <w:r>
        <w:t>Mora</w:t>
      </w:r>
      <w:proofErr w:type="spellEnd"/>
      <w:r>
        <w:t xml:space="preserve"> nor Rangel addressed</w:t>
      </w:r>
      <w:r>
        <w:t xml:space="preserve"> the court’s restriction against</w:t>
      </w:r>
      <w:r>
        <w:t xml:space="preserve"> arguing</w:t>
      </w:r>
      <w:r>
        <w:t xml:space="preserve"> during the closing that</w:t>
      </w:r>
      <w:r>
        <w:t xml:space="preserve"> the delay was intentional.    </w:t>
      </w:r>
    </w:p>
    <w:p w:rsidR="007F7CBF" w:rsidRPr="00B533A7" w:rsidRDefault="00EF4903" w:rsidP="003A496D">
      <w:pPr>
        <w:spacing w:line="480" w:lineRule="atLeast"/>
      </w:pPr>
      <w:r>
        <w:tab/>
      </w:r>
      <w:r>
        <w:t>N</w:t>
      </w:r>
      <w:r>
        <w:t xml:space="preserve">either </w:t>
      </w:r>
      <w:proofErr w:type="spellStart"/>
      <w:r>
        <w:t>Mora</w:t>
      </w:r>
      <w:proofErr w:type="spellEnd"/>
      <w:r>
        <w:t xml:space="preserve"> </w:t>
      </w:r>
      <w:r>
        <w:t xml:space="preserve">nor </w:t>
      </w:r>
      <w:r>
        <w:t>Rangel</w:t>
      </w:r>
      <w:r>
        <w:t xml:space="preserve"> objected to the court’s ruling on this </w:t>
      </w:r>
      <w:r>
        <w:t>matter.  So they forfeited the</w:t>
      </w:r>
      <w:r>
        <w:t xml:space="preserve"> argument that the court erred by prohibiting argument that the delayed disclosure was intentional</w:t>
      </w:r>
      <w:r>
        <w:t xml:space="preserve">.  (See </w:t>
      </w:r>
      <w:r>
        <w:rPr>
          <w:i/>
        </w:rPr>
        <w:t xml:space="preserve">People v. </w:t>
      </w:r>
      <w:proofErr w:type="spellStart"/>
      <w:r>
        <w:rPr>
          <w:i/>
        </w:rPr>
        <w:t>Seumanu</w:t>
      </w:r>
      <w:proofErr w:type="spellEnd"/>
      <w:r>
        <w:t xml:space="preserve"> (2015) 61 Cal.4th 1293, 1342 [concluding timely objection could have prevented harm alleged to have re</w:t>
      </w:r>
      <w:r>
        <w:t>sulted from improper closing argument, and failing to object forfeited</w:t>
      </w:r>
      <w:r>
        <w:t xml:space="preserve"> the</w:t>
      </w:r>
      <w:r>
        <w:t xml:space="preserve"> issue on appeal].)  </w:t>
      </w:r>
      <w:r>
        <w:t xml:space="preserve">Even if not forfeited, the court did not abuse its discretion. </w:t>
      </w:r>
      <w:r>
        <w:t xml:space="preserve"> The </w:t>
      </w:r>
      <w:r>
        <w:t>closing argument provides counsel with opportunity to</w:t>
      </w:r>
      <w:r>
        <w:t xml:space="preserve"> state “what the evidence shows</w:t>
      </w:r>
      <w:r>
        <w:t>”</w:t>
      </w:r>
      <w:r>
        <w:t>;</w:t>
      </w:r>
      <w:r>
        <w:t xml:space="preserve"> it </w:t>
      </w:r>
      <w:r>
        <w:t xml:space="preserve">is </w:t>
      </w:r>
      <w:r>
        <w:t>restricted to the evidence and reasonable inferences that may be drawn therefrom.  (</w:t>
      </w:r>
      <w:r>
        <w:rPr>
          <w:i/>
        </w:rPr>
        <w:t>Ibid</w:t>
      </w:r>
      <w:r w:rsidRPr="00D64D5F">
        <w:rPr>
          <w:i/>
        </w:rPr>
        <w:t>.</w:t>
      </w:r>
      <w:r>
        <w:t xml:space="preserve">) </w:t>
      </w:r>
      <w:r>
        <w:t xml:space="preserve"> </w:t>
      </w:r>
      <w:r>
        <w:t xml:space="preserve">Ample evidence supported the court’s </w:t>
      </w:r>
      <w:r>
        <w:t>statement</w:t>
      </w:r>
      <w:r>
        <w:t xml:space="preserve"> that the delays resulted from negligence</w:t>
      </w:r>
      <w:r>
        <w:t>, including the fact that</w:t>
      </w:r>
      <w:r>
        <w:t xml:space="preserve"> the lead police detective handling the case changed</w:t>
      </w:r>
      <w:r>
        <w:t xml:space="preserve"> during the course of the investigation.  </w:t>
      </w:r>
      <w:r>
        <w:t xml:space="preserve">Because no evidence of intention was presented, the trial court’s restriction was appropriate.  </w:t>
      </w:r>
      <w:r>
        <w:t xml:space="preserve">Assuming, </w:t>
      </w:r>
      <w:r w:rsidRPr="00D64D5F">
        <w:t>arguendo</w:t>
      </w:r>
      <w:r>
        <w:t>, that the</w:t>
      </w:r>
      <w:r>
        <w:t xml:space="preserve"> court erred by prohibiting defense counsel from arguing that intent could be inferred fro</w:t>
      </w:r>
      <w:r>
        <w:t xml:space="preserve">m the </w:t>
      </w:r>
      <w:r>
        <w:t>discovery</w:t>
      </w:r>
      <w:r>
        <w:t xml:space="preserve"> delays, </w:t>
      </w:r>
      <w:r>
        <w:t>any such error was harmless</w:t>
      </w:r>
      <w:r>
        <w:t xml:space="preserve"> in light of the </w:t>
      </w:r>
      <w:r>
        <w:t>overwhelming</w:t>
      </w:r>
      <w:r>
        <w:t xml:space="preserve"> evidence of guilt.  (</w:t>
      </w:r>
      <w:r>
        <w:rPr>
          <w:i/>
        </w:rPr>
        <w:t>People v. </w:t>
      </w:r>
      <w:r>
        <w:rPr>
          <w:i/>
        </w:rPr>
        <w:t>Leonard</w:t>
      </w:r>
      <w:r>
        <w:t xml:space="preserve"> (2007) 40 Cal.4th 1370, </w:t>
      </w:r>
      <w:r>
        <w:t>1407</w:t>
      </w:r>
      <w:r>
        <w:t>.)</w:t>
      </w:r>
      <w:r>
        <w:t xml:space="preserve"> </w:t>
      </w:r>
    </w:p>
    <w:p w:rsidR="00213C88" w:rsidRPr="001246BE" w:rsidRDefault="00EF4903" w:rsidP="00E7016C">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19" w:name="_Toc511210391"/>
      <w:r w:rsidRPr="001246BE">
        <w:rPr>
          <w:rFonts w:ascii="Times New Roman" w:hAnsi="Times New Roman"/>
        </w:rPr>
        <w:t>2.</w:t>
      </w:r>
      <w:r w:rsidRPr="001246BE">
        <w:rPr>
          <w:rFonts w:ascii="Times New Roman" w:hAnsi="Times New Roman"/>
        </w:rPr>
        <w:tab/>
        <w:t>Rangel’s Preparation for Cross-Examining Witness Youngblood</w:t>
      </w:r>
      <w:bookmarkEnd w:id="19"/>
      <w:r w:rsidRPr="001246BE">
        <w:rPr>
          <w:rFonts w:ascii="Times New Roman" w:hAnsi="Times New Roman"/>
        </w:rPr>
        <w:tab/>
      </w:r>
    </w:p>
    <w:p w:rsidR="00F06EB2" w:rsidRDefault="00EF4903" w:rsidP="00F06EB2">
      <w:pPr>
        <w:spacing w:line="480" w:lineRule="atLeast"/>
      </w:pPr>
      <w:r>
        <w:tab/>
      </w:r>
      <w:r>
        <w:t xml:space="preserve">Rangel argues that his right to effective confrontation was violated by the court’s failure to provide </w:t>
      </w:r>
      <w:r>
        <w:t xml:space="preserve">sufficient </w:t>
      </w:r>
      <w:r>
        <w:t xml:space="preserve">time to review a statement John Youngblood gave to </w:t>
      </w:r>
      <w:proofErr w:type="spellStart"/>
      <w:r>
        <w:t>Mora’s</w:t>
      </w:r>
      <w:proofErr w:type="spellEnd"/>
      <w:r>
        <w:t xml:space="preserve"> defense team before requiring that Rangel cross-examine Youngblood.  </w:t>
      </w:r>
      <w:r>
        <w:t>T</w:t>
      </w:r>
      <w:r>
        <w:t>here was no er</w:t>
      </w:r>
      <w:r>
        <w:t>ror.</w:t>
      </w:r>
    </w:p>
    <w:p w:rsidR="008D2529" w:rsidRDefault="00EF4903" w:rsidP="008D2529">
      <w:pPr>
        <w:pStyle w:val="Heading4"/>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a.</w:t>
      </w:r>
      <w:r w:rsidRPr="001246BE">
        <w:rPr>
          <w:rFonts w:ascii="Times New Roman" w:hAnsi="Times New Roman"/>
          <w:b w:val="0"/>
          <w:i w:val="0"/>
          <w:color w:val="auto"/>
        </w:rPr>
        <w:tab/>
      </w:r>
      <w:r w:rsidRPr="001246BE">
        <w:rPr>
          <w:rFonts w:ascii="Times New Roman" w:hAnsi="Times New Roman"/>
          <w:b w:val="0"/>
          <w:color w:val="auto"/>
        </w:rPr>
        <w:t>Background</w:t>
      </w:r>
      <w:r>
        <w:tab/>
      </w:r>
      <w:r>
        <w:t xml:space="preserve"> </w:t>
      </w:r>
    </w:p>
    <w:p w:rsidR="00E7016C" w:rsidRDefault="00EF4903" w:rsidP="00E7016C">
      <w:pPr>
        <w:spacing w:line="480" w:lineRule="atLeast"/>
      </w:pPr>
      <w:r>
        <w:tab/>
      </w:r>
      <w:r>
        <w:t>On January 28, 1999, the prosecution called John Youngblood to testify.</w:t>
      </w:r>
      <w:r w:rsidRPr="004E2D25">
        <w:t xml:space="preserve"> </w:t>
      </w:r>
      <w:r>
        <w:t xml:space="preserve"> </w:t>
      </w:r>
      <w:r>
        <w:t>Youngblood was among the several witnesses whose statement</w:t>
      </w:r>
      <w:r>
        <w:t>s to police</w:t>
      </w:r>
      <w:r>
        <w:t xml:space="preserve"> had been belatedly discl</w:t>
      </w:r>
      <w:r>
        <w:t xml:space="preserve">osed to the defense.  </w:t>
      </w:r>
      <w:r>
        <w:t xml:space="preserve">Youngblood was a </w:t>
      </w:r>
      <w:proofErr w:type="spellStart"/>
      <w:r>
        <w:t>Castlegate</w:t>
      </w:r>
      <w:proofErr w:type="spellEnd"/>
      <w:r>
        <w:t xml:space="preserve"> resident who h</w:t>
      </w:r>
      <w:r>
        <w:t xml:space="preserve">ad heard and observed some of the events in the early morning hours on August 24, 1997.  </w:t>
      </w:r>
      <w:r>
        <w:t xml:space="preserve">Youngblood </w:t>
      </w:r>
      <w:r>
        <w:t xml:space="preserve">saw two men near </w:t>
      </w:r>
      <w:r>
        <w:t xml:space="preserve">the </w:t>
      </w:r>
      <w:r>
        <w:t>4Runner</w:t>
      </w:r>
      <w:r>
        <w:t xml:space="preserve"> </w:t>
      </w:r>
      <w:r>
        <w:t xml:space="preserve">parked on </w:t>
      </w:r>
      <w:proofErr w:type="spellStart"/>
      <w:r>
        <w:t>Castlegate</w:t>
      </w:r>
      <w:proofErr w:type="spellEnd"/>
      <w:r>
        <w:t xml:space="preserve"> on </w:t>
      </w:r>
      <w:r>
        <w:t xml:space="preserve">the morning of the shooting, but </w:t>
      </w:r>
      <w:r>
        <w:t>he did</w:t>
      </w:r>
      <w:r>
        <w:t xml:space="preserve"> not identif</w:t>
      </w:r>
      <w:r>
        <w:t>y</w:t>
      </w:r>
      <w:r>
        <w:t xml:space="preserve"> anyone</w:t>
      </w:r>
      <w:r>
        <w:t xml:space="preserve"> to the police when he was questioned that d</w:t>
      </w:r>
      <w:r>
        <w:t>ay</w:t>
      </w:r>
      <w:r>
        <w:t xml:space="preserve">.  </w:t>
      </w:r>
      <w:r>
        <w:t xml:space="preserve">He later identified </w:t>
      </w:r>
      <w:proofErr w:type="spellStart"/>
      <w:r>
        <w:t>Mora</w:t>
      </w:r>
      <w:proofErr w:type="spellEnd"/>
      <w:r>
        <w:t xml:space="preserve"> from a photo array during an interview with t</w:t>
      </w:r>
      <w:r>
        <w:t>he</w:t>
      </w:r>
      <w:r>
        <w:t xml:space="preserve"> police</w:t>
      </w:r>
      <w:r>
        <w:t xml:space="preserve">. </w:t>
      </w:r>
    </w:p>
    <w:p w:rsidR="00DA4669" w:rsidRDefault="00EF4903" w:rsidP="00E7016C">
      <w:pPr>
        <w:spacing w:line="480" w:lineRule="atLeast"/>
      </w:pPr>
      <w:r>
        <w:tab/>
      </w:r>
      <w:r>
        <w:t xml:space="preserve">  </w:t>
      </w:r>
      <w:r>
        <w:t xml:space="preserve">Before testifying on January 28, 1999, Youngblood </w:t>
      </w:r>
      <w:r>
        <w:t xml:space="preserve">provided a six-page statement to </w:t>
      </w:r>
      <w:proofErr w:type="spellStart"/>
      <w:r>
        <w:t>Mora’s</w:t>
      </w:r>
      <w:proofErr w:type="spellEnd"/>
      <w:r>
        <w:t xml:space="preserve"> </w:t>
      </w:r>
      <w:r>
        <w:t>investigator</w:t>
      </w:r>
      <w:r>
        <w:t xml:space="preserve"> </w:t>
      </w:r>
      <w:r>
        <w:t>purportedly</w:t>
      </w:r>
      <w:r>
        <w:t xml:space="preserve"> identifying Rangel</w:t>
      </w:r>
      <w:r>
        <w:t xml:space="preserve">, not </w:t>
      </w:r>
      <w:proofErr w:type="spellStart"/>
      <w:r>
        <w:t>Mora</w:t>
      </w:r>
      <w:proofErr w:type="spellEnd"/>
      <w:r>
        <w:t>,</w:t>
      </w:r>
      <w:r>
        <w:t xml:space="preserve"> as one of the shooters.  </w:t>
      </w:r>
      <w:r>
        <w:t xml:space="preserve">Following his meeting with </w:t>
      </w:r>
      <w:proofErr w:type="spellStart"/>
      <w:r>
        <w:t>Mora’s</w:t>
      </w:r>
      <w:proofErr w:type="spellEnd"/>
      <w:r>
        <w:t xml:space="preserve"> defense team, Youngblood was called to testify.  </w:t>
      </w:r>
      <w:r>
        <w:t>Before the prosecution proceeded with direct examination,</w:t>
      </w:r>
      <w:r>
        <w:t xml:space="preserve"> </w:t>
      </w:r>
      <w:r>
        <w:t>Rangel</w:t>
      </w:r>
      <w:r>
        <w:t xml:space="preserve"> requested additional time to </w:t>
      </w:r>
      <w:r>
        <w:t xml:space="preserve">review the six-page statement </w:t>
      </w:r>
      <w:r>
        <w:t xml:space="preserve">Youngblood provided to </w:t>
      </w:r>
      <w:proofErr w:type="spellStart"/>
      <w:r>
        <w:t>Mora’s</w:t>
      </w:r>
      <w:proofErr w:type="spellEnd"/>
      <w:r>
        <w:t xml:space="preserve"> investigator</w:t>
      </w:r>
      <w:r>
        <w:t xml:space="preserve">.  The court denied that request.  </w:t>
      </w:r>
      <w:r>
        <w:t>The</w:t>
      </w:r>
      <w:r>
        <w:t xml:space="preserve">re was </w:t>
      </w:r>
      <w:r>
        <w:t>just</w:t>
      </w:r>
      <w:r>
        <w:t xml:space="preserve"> one copy of the six-page statement, which </w:t>
      </w:r>
      <w:proofErr w:type="spellStart"/>
      <w:r>
        <w:t>Mora’s</w:t>
      </w:r>
      <w:proofErr w:type="spellEnd"/>
      <w:r>
        <w:t xml:space="preserve"> defense team was reviewing during the prosecution’s direct examination of Youngblood.  Rangel</w:t>
      </w:r>
      <w:r>
        <w:t xml:space="preserve"> argued t</w:t>
      </w:r>
      <w:r>
        <w:t>hat permitting dir</w:t>
      </w:r>
      <w:r>
        <w:t>ect examination be</w:t>
      </w:r>
      <w:r>
        <w:t xml:space="preserve">fore Rangel </w:t>
      </w:r>
      <w:r>
        <w:t xml:space="preserve">could review Youngblood’s statement </w:t>
      </w:r>
      <w:r>
        <w:t>constituted a denial of Rangel’s right to a fair trial</w:t>
      </w:r>
      <w:r>
        <w:t>;</w:t>
      </w:r>
      <w:r>
        <w:t xml:space="preserve"> the court disagreed</w:t>
      </w:r>
      <w:r>
        <w:t xml:space="preserve">.    </w:t>
      </w:r>
    </w:p>
    <w:p w:rsidR="00E7016C" w:rsidRDefault="00EF4903" w:rsidP="00E7016C">
      <w:pPr>
        <w:spacing w:line="480" w:lineRule="atLeast"/>
      </w:pPr>
      <w:r>
        <w:tab/>
      </w:r>
      <w:r>
        <w:t>T</w:t>
      </w:r>
      <w:r>
        <w:t xml:space="preserve">he court explained that </w:t>
      </w:r>
      <w:r>
        <w:t>Rangel</w:t>
      </w:r>
      <w:r>
        <w:t xml:space="preserve"> was not legally entitled to a </w:t>
      </w:r>
      <w:r>
        <w:t xml:space="preserve">copy of a </w:t>
      </w:r>
      <w:r>
        <w:t>report prepared by a codefendant’s investigator.  More</w:t>
      </w:r>
      <w:r>
        <w:t>over, the court noted</w:t>
      </w:r>
      <w:r>
        <w:t>,</w:t>
      </w:r>
      <w:r>
        <w:t xml:space="preserve"> Rangel’s investigator had ample opportunity over the course of the preceding week to talk to Youngblood.  </w:t>
      </w:r>
      <w:r>
        <w:t>Rangel alleged his investigator attempted to speak to Youngblood during that time, but was unable to do so.  Rangel claimed tha</w:t>
      </w:r>
      <w:r>
        <w:t xml:space="preserve">t when his investigator attempted contact, Youngblood told the investigator that police had told Youngblood not to speak with a defense investigator because he did not have to do so.  In fact, it appears Youngblood declined to speak with </w:t>
      </w:r>
      <w:proofErr w:type="spellStart"/>
      <w:r>
        <w:t>Mora’s</w:t>
      </w:r>
      <w:proofErr w:type="spellEnd"/>
      <w:r>
        <w:t xml:space="preserve"> investigato</w:t>
      </w:r>
      <w:r>
        <w:t>r, not Rangel’s.</w:t>
      </w:r>
      <w:r>
        <w:t xml:space="preserve"> </w:t>
      </w:r>
      <w:r>
        <w:t xml:space="preserve"> It is not clear that Rangel’s team sought to speak with Youngblood.  In any event, as the court noted, “it does not matter who [Youngblood spoke to].  The witnesses are entitled to speak to whomever they choose to.  They don’t have to tal</w:t>
      </w:r>
      <w:r>
        <w:t xml:space="preserve">k to anybody, and if they do, that’s fine.”  </w:t>
      </w:r>
      <w:r>
        <w:t>(See </w:t>
      </w:r>
      <w:r>
        <w:rPr>
          <w:i/>
        </w:rPr>
        <w:t xml:space="preserve">People v. </w:t>
      </w:r>
      <w:r w:rsidRPr="00146703">
        <w:rPr>
          <w:i/>
        </w:rPr>
        <w:t>Valdez</w:t>
      </w:r>
      <w:r>
        <w:t xml:space="preserve"> (2012) 55 Cal.4th 82, 118 [“</w:t>
      </w:r>
      <w:r w:rsidRPr="00146703">
        <w:t>although a criminal defendant may ask witnesses to give interviews, witnesses have no legal obligation to grant that request; they may decline to speak with a de</w:t>
      </w:r>
      <w:r w:rsidRPr="00146703">
        <w:t>fendant</w:t>
      </w:r>
      <w:r>
        <w:t xml:space="preserve">”].)  </w:t>
      </w:r>
      <w:r w:rsidRPr="00146703">
        <w:t>And</w:t>
      </w:r>
      <w:r>
        <w:t xml:space="preserve"> Rangel insisted that a defense investigator spoke with Youngblood, and that Youngblood’s identification of Rangel as a shooter on the day of Youngblood’s testimony was a new development.  </w:t>
      </w:r>
      <w:r>
        <w:t>The court</w:t>
      </w:r>
      <w:r>
        <w:t xml:space="preserve"> suggested the parties wait to see how the</w:t>
      </w:r>
      <w:r>
        <w:t xml:space="preserve"> witness examination would “play out” and permitted the prosecution to proceed </w:t>
      </w:r>
      <w:r>
        <w:t>with</w:t>
      </w:r>
      <w:r>
        <w:t xml:space="preserve"> direct examination.  </w:t>
      </w:r>
    </w:p>
    <w:p w:rsidR="00E7016C" w:rsidRDefault="00EF4903" w:rsidP="00E7016C">
      <w:pPr>
        <w:spacing w:line="480" w:lineRule="atLeast"/>
      </w:pPr>
      <w:r>
        <w:tab/>
        <w:t xml:space="preserve">Youngblood testified to, among other things, observing the </w:t>
      </w:r>
      <w:r>
        <w:t>4Runner</w:t>
      </w:r>
      <w:r>
        <w:t xml:space="preserve"> under strong lighting in which he could see the back of the man standing at the pa</w:t>
      </w:r>
      <w:r>
        <w:t>ssenger-side door and the front of the man standing at the driver’s side</w:t>
      </w:r>
      <w:r>
        <w:t xml:space="preserve"> of the car</w:t>
      </w:r>
      <w:r>
        <w:t>.  Youngblood identified Rangel as the man he saw standing at the driver’s side.  After the shots were fired, Youngblood saw the back of a “car speeding off, going up the st</w:t>
      </w:r>
      <w:r>
        <w:t xml:space="preserve">reet.”  </w:t>
      </w:r>
    </w:p>
    <w:p w:rsidR="00E7016C" w:rsidRPr="00E7016C" w:rsidRDefault="00EF4903" w:rsidP="00473D44">
      <w:pPr>
        <w:spacing w:line="480" w:lineRule="atLeast"/>
      </w:pPr>
      <w:r>
        <w:tab/>
        <w:t>Following direct examination, Rangel</w:t>
      </w:r>
      <w:r>
        <w:t xml:space="preserve"> again</w:t>
      </w:r>
      <w:r>
        <w:t xml:space="preserve"> complained t</w:t>
      </w:r>
      <w:r>
        <w:t xml:space="preserve">hat there had been no </w:t>
      </w:r>
      <w:r>
        <w:t>opportunity to review the report</w:t>
      </w:r>
      <w:r>
        <w:t xml:space="preserve"> given to </w:t>
      </w:r>
      <w:proofErr w:type="spellStart"/>
      <w:r>
        <w:t>Mora’s</w:t>
      </w:r>
      <w:proofErr w:type="spellEnd"/>
      <w:r>
        <w:t xml:space="preserve"> investigator.  </w:t>
      </w:r>
      <w:r>
        <w:t xml:space="preserve">The </w:t>
      </w:r>
      <w:r>
        <w:t xml:space="preserve">court </w:t>
      </w:r>
      <w:r>
        <w:t xml:space="preserve">declined to take a break, but </w:t>
      </w:r>
      <w:r>
        <w:t xml:space="preserve">told Rangel’s counsel </w:t>
      </w:r>
      <w:r>
        <w:t xml:space="preserve">that </w:t>
      </w:r>
      <w:r>
        <w:t>she</w:t>
      </w:r>
      <w:r>
        <w:t xml:space="preserve"> </w:t>
      </w:r>
      <w:r>
        <w:t xml:space="preserve">could “stand there and take as much time as </w:t>
      </w:r>
      <w:r>
        <w:t>[she]</w:t>
      </w:r>
      <w:r>
        <w:t xml:space="preserve"> need</w:t>
      </w:r>
      <w:r>
        <w:t>[s]</w:t>
      </w:r>
      <w:r>
        <w:t xml:space="preserve">” to read the report. </w:t>
      </w:r>
      <w:r>
        <w:t xml:space="preserve"> The court noted</w:t>
      </w:r>
      <w:r>
        <w:t xml:space="preserve"> again</w:t>
      </w:r>
      <w:r>
        <w:t xml:space="preserve"> that Rangel</w:t>
      </w:r>
      <w:r>
        <w:t xml:space="preserve"> had</w:t>
      </w:r>
      <w:r>
        <w:t xml:space="preserve"> “had ample opportunity to interview this witness.”</w:t>
      </w:r>
      <w:r>
        <w:rPr>
          <w:rStyle w:val="FootnoteReference"/>
        </w:rPr>
        <w:footnoteReference w:id="15"/>
      </w:r>
      <w:r>
        <w:t xml:space="preserve">  </w:t>
      </w:r>
      <w:r>
        <w:t>In a further effort to accommodate Rangel, the</w:t>
      </w:r>
      <w:r>
        <w:t xml:space="preserve"> court </w:t>
      </w:r>
      <w:r>
        <w:t xml:space="preserve">suggested that </w:t>
      </w:r>
      <w:proofErr w:type="spellStart"/>
      <w:r>
        <w:t>Mora</w:t>
      </w:r>
      <w:proofErr w:type="spellEnd"/>
      <w:r>
        <w:t xml:space="preserve"> cross-examin</w:t>
      </w:r>
      <w:r>
        <w:t xml:space="preserve">e Youngblood before Rangel.  </w:t>
      </w:r>
      <w:r>
        <w:t xml:space="preserve">Because </w:t>
      </w:r>
      <w:proofErr w:type="spellStart"/>
      <w:r>
        <w:t>Mora</w:t>
      </w:r>
      <w:proofErr w:type="spellEnd"/>
      <w:r>
        <w:t xml:space="preserve"> was uncertain whether cross-examination was warranted, the court provided a short time to allow </w:t>
      </w:r>
      <w:proofErr w:type="spellStart"/>
      <w:r>
        <w:t>Mora</w:t>
      </w:r>
      <w:proofErr w:type="spellEnd"/>
      <w:r>
        <w:t xml:space="preserve"> to make that</w:t>
      </w:r>
      <w:r>
        <w:t xml:space="preserve"> determination</w:t>
      </w:r>
      <w:r>
        <w:t>, giving</w:t>
      </w:r>
      <w:r>
        <w:t xml:space="preserve"> Rangel</w:t>
      </w:r>
      <w:r>
        <w:t xml:space="preserve">’s defense team </w:t>
      </w:r>
      <w:r>
        <w:t xml:space="preserve">a few </w:t>
      </w:r>
      <w:r>
        <w:t xml:space="preserve">additional </w:t>
      </w:r>
      <w:r>
        <w:t>momen</w:t>
      </w:r>
      <w:r>
        <w:t>ts to read the six-page report</w:t>
      </w:r>
      <w:r>
        <w:t xml:space="preserve">.  </w:t>
      </w:r>
      <w:r>
        <w:t>R</w:t>
      </w:r>
      <w:r>
        <w:t>angel’s counsel then announced</w:t>
      </w:r>
      <w:r>
        <w:t>,</w:t>
      </w:r>
      <w:r>
        <w:t xml:space="preserve"> “I’m going to try to start”</w:t>
      </w:r>
      <w:r>
        <w:t xml:space="preserve"> and</w:t>
      </w:r>
      <w:r>
        <w:t xml:space="preserve"> </w:t>
      </w:r>
      <w:r>
        <w:t xml:space="preserve">proceeded to cross-examine Youngblood.  </w:t>
      </w:r>
      <w:r>
        <w:t xml:space="preserve">  </w:t>
      </w:r>
    </w:p>
    <w:p w:rsidR="00E7016C" w:rsidRPr="001246BE" w:rsidRDefault="00EF4903" w:rsidP="00473D44">
      <w:pPr>
        <w:pStyle w:val="Heading4"/>
        <w:rPr>
          <w:rFonts w:ascii="Times New Roman" w:hAnsi="Times New Roman"/>
          <w:b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b.</w:t>
      </w:r>
      <w:r w:rsidRPr="001246BE">
        <w:rPr>
          <w:rFonts w:ascii="Times New Roman" w:hAnsi="Times New Roman"/>
          <w:b w:val="0"/>
          <w:i w:val="0"/>
          <w:color w:val="auto"/>
        </w:rPr>
        <w:tab/>
      </w:r>
      <w:r w:rsidRPr="001246BE">
        <w:rPr>
          <w:rFonts w:ascii="Times New Roman" w:hAnsi="Times New Roman"/>
          <w:b w:val="0"/>
          <w:color w:val="auto"/>
        </w:rPr>
        <w:t>Discussion</w:t>
      </w:r>
    </w:p>
    <w:p w:rsidR="00E67C15" w:rsidRDefault="00EF4903" w:rsidP="00E67C15">
      <w:pPr>
        <w:spacing w:line="480" w:lineRule="atLeast"/>
      </w:pPr>
      <w:r>
        <w:tab/>
        <w:t>Rangel argues that his right to effective confrontation was violated</w:t>
      </w:r>
      <w:r>
        <w:t xml:space="preserve"> by the court’s</w:t>
      </w:r>
      <w:r>
        <w:t xml:space="preserve"> </w:t>
      </w:r>
      <w:r>
        <w:t>failure</w:t>
      </w:r>
      <w:r>
        <w:t xml:space="preserve"> to provide his counsel time to review Y</w:t>
      </w:r>
      <w:r>
        <w:t>oungblood’s statement before cross-examining the witness.  A criminal defendant possesses a fundamental right to confront the witnes</w:t>
      </w:r>
      <w:r>
        <w:t xml:space="preserve">ses against him.  (U.S. Const., </w:t>
      </w:r>
      <w:r>
        <w:t>5th, 6th, 8th, 14th Amends.; Cal. Const., art. I, §§ 7, 15, 24; §</w:t>
      </w:r>
      <w:r>
        <w:t xml:space="preserve"> </w:t>
      </w:r>
      <w:r>
        <w:t xml:space="preserve">686; </w:t>
      </w:r>
      <w:r>
        <w:rPr>
          <w:i/>
        </w:rPr>
        <w:t>Pointer v. Texas</w:t>
      </w:r>
      <w:r>
        <w:t xml:space="preserve"> (196</w:t>
      </w:r>
      <w:r>
        <w:t>5) 380 U.S. 400, 403.)  Cross-examination is a cornerstone of that fundamental right.  (</w:t>
      </w:r>
      <w:r>
        <w:rPr>
          <w:i/>
        </w:rPr>
        <w:t>Pointer</w:t>
      </w:r>
      <w:r w:rsidRPr="00D64D5F">
        <w:t>,</w:t>
      </w:r>
      <w:r>
        <w:rPr>
          <w:i/>
        </w:rPr>
        <w:t xml:space="preserve"> </w:t>
      </w:r>
      <w:r w:rsidRPr="001D25F8">
        <w:t>at</w:t>
      </w:r>
      <w:r>
        <w:t xml:space="preserve"> p.</w:t>
      </w:r>
      <w:r>
        <w:t xml:space="preserve"> 404.)  Rangel does not argue that he was entirely denied the right to cross-examine Youngblood, but that his attorney’s inadequate preparation to cross-examine rendered that examination constitutionally deficient.  He contends the right to confrontation n</w:t>
      </w:r>
      <w:r>
        <w:t>ecessarily means that a defendant possesses the right to “effective” cross examination</w:t>
      </w:r>
      <w:r>
        <w:rPr>
          <w:i/>
        </w:rPr>
        <w:t xml:space="preserve"> </w:t>
      </w:r>
      <w:r>
        <w:t>(</w:t>
      </w:r>
      <w:r>
        <w:rPr>
          <w:i/>
        </w:rPr>
        <w:t>Davis v. Alaska</w:t>
      </w:r>
      <w:r>
        <w:t xml:space="preserve"> (1974) 415 U.S. 308, 318</w:t>
      </w:r>
      <w:r>
        <w:t xml:space="preserve"> (</w:t>
      </w:r>
      <w:r>
        <w:rPr>
          <w:i/>
        </w:rPr>
        <w:t>Davis</w:t>
      </w:r>
      <w:r>
        <w:t>)</w:t>
      </w:r>
      <w:r>
        <w:t>), and insufficient preparation through no fault of his counsel’s rendered the cross-examination ineffective.</w:t>
      </w:r>
      <w:r w:rsidRPr="00E67C15">
        <w:t xml:space="preserve"> </w:t>
      </w:r>
      <w:r>
        <w:t xml:space="preserve"> Rangel is</w:t>
      </w:r>
      <w:r>
        <w:t xml:space="preserve"> mistaken. </w:t>
      </w:r>
    </w:p>
    <w:p w:rsidR="00B26125" w:rsidRDefault="00EF4903" w:rsidP="00E67C15">
      <w:pPr>
        <w:spacing w:line="480" w:lineRule="atLeast"/>
      </w:pPr>
      <w:r>
        <w:tab/>
      </w:r>
      <w:r>
        <w:t xml:space="preserve">Here, </w:t>
      </w:r>
      <w:r>
        <w:t>Rangel did have an opportunity to review the six-page witness</w:t>
      </w:r>
      <w:r>
        <w:t xml:space="preserve"> statement</w:t>
      </w:r>
      <w:r>
        <w:t xml:space="preserve"> prior to cross-examining Youngblood.  </w:t>
      </w:r>
      <w:r>
        <w:t xml:space="preserve">Because the statement had been prepared shortly before Youngblood’s testimony, neither the prosecutor nor </w:t>
      </w:r>
      <w:proofErr w:type="spellStart"/>
      <w:r>
        <w:t>Mora</w:t>
      </w:r>
      <w:proofErr w:type="spellEnd"/>
      <w:r>
        <w:t xml:space="preserve"> had </w:t>
      </w:r>
      <w:r>
        <w:t>much</w:t>
      </w:r>
      <w:r>
        <w:t xml:space="preserve"> time to</w:t>
      </w:r>
      <w:r>
        <w:t xml:space="preserve"> review the statement.</w:t>
      </w:r>
      <w:r>
        <w:t xml:space="preserve">  </w:t>
      </w:r>
      <w:r>
        <w:t>Although</w:t>
      </w:r>
      <w:r>
        <w:t xml:space="preserve"> the court did not grant a </w:t>
      </w:r>
      <w:r>
        <w:t>recess</w:t>
      </w:r>
      <w:r>
        <w:t>, it</w:t>
      </w:r>
      <w:r>
        <w:t xml:space="preserve"> ensured that </w:t>
      </w:r>
      <w:r>
        <w:t>Rangel</w:t>
      </w:r>
      <w:r>
        <w:t xml:space="preserve"> had sufficient time to read the statement before beginning cross-examination</w:t>
      </w:r>
      <w:r>
        <w:t>.  The court</w:t>
      </w:r>
      <w:r>
        <w:t xml:space="preserve"> initially</w:t>
      </w:r>
      <w:r>
        <w:t xml:space="preserve"> </w:t>
      </w:r>
      <w:r>
        <w:t xml:space="preserve">allowed Rangel time before beginning cross-examination to read the </w:t>
      </w:r>
      <w:r>
        <w:t xml:space="preserve">statement, and later granted a short break to allow </w:t>
      </w:r>
      <w:proofErr w:type="spellStart"/>
      <w:r>
        <w:t>Mora</w:t>
      </w:r>
      <w:proofErr w:type="spellEnd"/>
      <w:r>
        <w:t xml:space="preserve"> time to review notes and consider whether to conduct cross-examination first, during which break Rangel was able to</w:t>
      </w:r>
      <w:r>
        <w:t xml:space="preserve"> thoroughly</w:t>
      </w:r>
      <w:r>
        <w:t xml:space="preserve"> review the statement.  During the break</w:t>
      </w:r>
      <w:r>
        <w:t xml:space="preserve"> and before Rangel could avail hi</w:t>
      </w:r>
      <w:r>
        <w:t xml:space="preserve">mself of additional time to review the statement, as he could have </w:t>
      </w:r>
      <w:r>
        <w:t xml:space="preserve">taken </w:t>
      </w:r>
      <w:r>
        <w:t>if</w:t>
      </w:r>
      <w:r>
        <w:t xml:space="preserve"> he allowed</w:t>
      </w:r>
      <w:r>
        <w:t xml:space="preserve"> </w:t>
      </w:r>
      <w:proofErr w:type="spellStart"/>
      <w:r>
        <w:t>Mora</w:t>
      </w:r>
      <w:proofErr w:type="spellEnd"/>
      <w:r>
        <w:t xml:space="preserve"> </w:t>
      </w:r>
      <w:r>
        <w:t xml:space="preserve">to proceed </w:t>
      </w:r>
      <w:r>
        <w:t>with cross-examination</w:t>
      </w:r>
      <w:r>
        <w:t xml:space="preserve">, </w:t>
      </w:r>
      <w:r>
        <w:t xml:space="preserve">Rangel’s counsel </w:t>
      </w:r>
      <w:r>
        <w:t>announced</w:t>
      </w:r>
      <w:r>
        <w:t xml:space="preserve"> she was “going to try to start,</w:t>
      </w:r>
      <w:r>
        <w:t>”</w:t>
      </w:r>
      <w:r>
        <w:t xml:space="preserve"> after which the cross-examination began.</w:t>
      </w:r>
      <w:r>
        <w:t xml:space="preserve">  </w:t>
      </w:r>
      <w:r>
        <w:t>Rangel’s argument that ther</w:t>
      </w:r>
      <w:r>
        <w:t>e was insufficient time to review the statement</w:t>
      </w:r>
      <w:r>
        <w:t xml:space="preserve">, when he took all the time </w:t>
      </w:r>
      <w:r>
        <w:t xml:space="preserve">he </w:t>
      </w:r>
      <w:r>
        <w:t>needed, accordingly fails</w:t>
      </w:r>
      <w:r>
        <w:t>.</w:t>
      </w:r>
    </w:p>
    <w:p w:rsidR="00F41868" w:rsidRDefault="00EF4903" w:rsidP="005D7ECE">
      <w:pPr>
        <w:spacing w:line="480" w:lineRule="atLeast"/>
      </w:pPr>
      <w:r>
        <w:tab/>
      </w:r>
      <w:r>
        <w:t>Nor do we see a</w:t>
      </w:r>
      <w:r>
        <w:t xml:space="preserve"> defect in the cross-examination itself.  </w:t>
      </w:r>
      <w:r>
        <w:t>The confrontation c</w:t>
      </w:r>
      <w:r>
        <w:t xml:space="preserve">lause guarantees a meaningful but limited right –– the opportunity to </w:t>
      </w:r>
      <w:r>
        <w:t>engage in effective cross-examination, not necessarily cross-examination that satisfies the defendant in any conceivable respect.  (</w:t>
      </w:r>
      <w:r w:rsidRPr="00515F45">
        <w:rPr>
          <w:i/>
        </w:rPr>
        <w:t xml:space="preserve">People v. Gonzales </w:t>
      </w:r>
      <w:r>
        <w:t>(2012) 54 Cal.4</w:t>
      </w:r>
      <w:r w:rsidRPr="0063448B">
        <w:t>th</w:t>
      </w:r>
      <w:r>
        <w:t xml:space="preserve"> 1234, 1265.)  The United States</w:t>
      </w:r>
      <w:r>
        <w:t xml:space="preserve"> Supreme Court has distinguished between sufficiently </w:t>
      </w:r>
      <w:r w:rsidRPr="00EB20E5">
        <w:rPr>
          <w:i/>
        </w:rPr>
        <w:t>ef</w:t>
      </w:r>
      <w:r w:rsidRPr="00EB20E5">
        <w:rPr>
          <w:i/>
        </w:rPr>
        <w:t xml:space="preserve">fective </w:t>
      </w:r>
      <w:r w:rsidRPr="002461B3">
        <w:t>cross-examination</w:t>
      </w:r>
      <w:r>
        <w:t xml:space="preserve"> and cross-examination </w:t>
      </w:r>
      <w:r w:rsidRPr="00EB20E5">
        <w:rPr>
          <w:i/>
        </w:rPr>
        <w:t>as effective as the defendant wishes</w:t>
      </w:r>
      <w:r>
        <w:t>.  (</w:t>
      </w:r>
      <w:r>
        <w:rPr>
          <w:i/>
        </w:rPr>
        <w:t>United States</w:t>
      </w:r>
      <w:r>
        <w:rPr>
          <w:i/>
        </w:rPr>
        <w:t xml:space="preserve"> v. Owens</w:t>
      </w:r>
      <w:r>
        <w:t xml:space="preserve"> (1988) 484 U.S. 554, 559</w:t>
      </w:r>
      <w:r>
        <w:t>.</w:t>
      </w:r>
      <w:r>
        <w:t>)  No confrontation issue arises when, for example, the defense is able to cross-examine the witness about bias, ina</w:t>
      </w:r>
      <w:r>
        <w:t>tten</w:t>
      </w:r>
      <w:r>
        <w:t>tiveness, or faulty memory —</w:t>
      </w:r>
      <w:r>
        <w:t> even if an expert testifies regarding his opinion but is unable to recall the reason he formed that opinion.  (</w:t>
      </w:r>
      <w:r>
        <w:rPr>
          <w:i/>
        </w:rPr>
        <w:t>Ibid</w:t>
      </w:r>
      <w:r w:rsidRPr="00D64D5F">
        <w:rPr>
          <w:i/>
        </w:rPr>
        <w:t>.</w:t>
      </w:r>
      <w:r>
        <w:t xml:space="preserve">)  </w:t>
      </w:r>
    </w:p>
    <w:p w:rsidR="00793EC5" w:rsidRPr="00392A3C" w:rsidRDefault="00EF4903" w:rsidP="00453E6C">
      <w:pPr>
        <w:spacing w:line="480" w:lineRule="atLeast"/>
        <w:ind w:firstLine="720"/>
      </w:pPr>
      <w:r>
        <w:t xml:space="preserve">In </w:t>
      </w:r>
      <w:r>
        <w:rPr>
          <w:i/>
        </w:rPr>
        <w:t>Davis</w:t>
      </w:r>
      <w:r>
        <w:t>,</w:t>
      </w:r>
      <w:r>
        <w:t xml:space="preserve"> the high court examined what constitutes effective cross-examination.  </w:t>
      </w:r>
      <w:r>
        <w:t>A</w:t>
      </w:r>
      <w:r>
        <w:t xml:space="preserve"> witness on probation for</w:t>
      </w:r>
      <w:r>
        <w:t xml:space="preserve"> residential burglary under a juvenile court adjudication claimed he observed two men standing by a car on his property where a stolen safe from a bar was later found.  (</w:t>
      </w:r>
      <w:r>
        <w:rPr>
          <w:i/>
        </w:rPr>
        <w:t>Davis</w:t>
      </w:r>
      <w:r>
        <w:t xml:space="preserve">, </w:t>
      </w:r>
      <w:r>
        <w:rPr>
          <w:i/>
        </w:rPr>
        <w:t>supra</w:t>
      </w:r>
      <w:r>
        <w:t>, 415 U.S.</w:t>
      </w:r>
      <w:r>
        <w:t xml:space="preserve"> at</w:t>
      </w:r>
      <w:r>
        <w:t xml:space="preserve"> pp.</w:t>
      </w:r>
      <w:r>
        <w:t xml:space="preserve"> 309–</w:t>
      </w:r>
      <w:r>
        <w:t>310.)  Although he was a key prosecution witness, th</w:t>
      </w:r>
      <w:r>
        <w:t>e defense was not permitted to inquire into his potential bias by cross-examining him as to his juvenile offense.  (</w:t>
      </w:r>
      <w:r>
        <w:rPr>
          <w:i/>
        </w:rPr>
        <w:t>Id.</w:t>
      </w:r>
      <w:r>
        <w:t xml:space="preserve"> at </w:t>
      </w:r>
      <w:r>
        <w:t xml:space="preserve">p. </w:t>
      </w:r>
      <w:r>
        <w:t>311.)</w:t>
      </w:r>
      <w:r>
        <w:t xml:space="preserve">  The defense attempted to probe the witness’s bias, but was unable to challenge the witness’s statement that he had never be</w:t>
      </w:r>
      <w:r>
        <w:t>en questioned by law enforcement</w:t>
      </w:r>
      <w:r>
        <w:t>.</w:t>
      </w:r>
      <w:r>
        <w:t xml:space="preserve">  (</w:t>
      </w:r>
      <w:r w:rsidRPr="00392A3C">
        <w:rPr>
          <w:i/>
        </w:rPr>
        <w:t>Id.</w:t>
      </w:r>
      <w:r>
        <w:t xml:space="preserve"> at </w:t>
      </w:r>
      <w:r>
        <w:t xml:space="preserve">pp. </w:t>
      </w:r>
      <w:r>
        <w:t>313–</w:t>
      </w:r>
      <w:r>
        <w:t>314.)</w:t>
      </w:r>
      <w:r>
        <w:t xml:space="preserve">  </w:t>
      </w:r>
      <w:r>
        <w:t>The high court held that the state’s “interest in protecting the confidentiality of a juvenile offender’s record cannot require yielding of so vital a constitutional right as the effective cross-exa</w:t>
      </w:r>
      <w:r>
        <w:t>mination for bias of an adverse witness.”  (</w:t>
      </w:r>
      <w:r>
        <w:rPr>
          <w:i/>
        </w:rPr>
        <w:t>Id.</w:t>
      </w:r>
      <w:r>
        <w:t xml:space="preserve"> at </w:t>
      </w:r>
      <w:r>
        <w:t xml:space="preserve">p. </w:t>
      </w:r>
      <w:r>
        <w:t>320.)</w:t>
      </w:r>
    </w:p>
    <w:p w:rsidR="00775DD6" w:rsidRDefault="00EF4903" w:rsidP="005D7ECE">
      <w:pPr>
        <w:spacing w:line="480" w:lineRule="atLeast"/>
      </w:pPr>
      <w:r>
        <w:tab/>
      </w:r>
      <w:r>
        <w:t>U</w:t>
      </w:r>
      <w:r>
        <w:t xml:space="preserve">nlike the instant case, </w:t>
      </w:r>
      <w:r>
        <w:t xml:space="preserve">the defendant </w:t>
      </w:r>
      <w:r>
        <w:t xml:space="preserve">in </w:t>
      </w:r>
      <w:r>
        <w:rPr>
          <w:i/>
        </w:rPr>
        <w:t xml:space="preserve">Davis </w:t>
      </w:r>
      <w:r>
        <w:t>had scant</w:t>
      </w:r>
      <w:r>
        <w:t xml:space="preserve"> </w:t>
      </w:r>
      <w:r>
        <w:t>opportunity to probe the witness’s potential for bias</w:t>
      </w:r>
      <w:r>
        <w:t>.  (</w:t>
      </w:r>
      <w:r w:rsidRPr="004D4EC7">
        <w:rPr>
          <w:i/>
        </w:rPr>
        <w:t>Davis</w:t>
      </w:r>
      <w:r>
        <w:t xml:space="preserve">, </w:t>
      </w:r>
      <w:r w:rsidRPr="004D4EC7">
        <w:rPr>
          <w:i/>
        </w:rPr>
        <w:t>supra</w:t>
      </w:r>
      <w:r>
        <w:t xml:space="preserve">, </w:t>
      </w:r>
      <w:r w:rsidRPr="004D4EC7">
        <w:t>415</w:t>
      </w:r>
      <w:r>
        <w:t xml:space="preserve"> U.S. at </w:t>
      </w:r>
      <w:r>
        <w:t xml:space="preserve">p. </w:t>
      </w:r>
      <w:r>
        <w:t xml:space="preserve">318.)  Here, Rangel had ample opportunity to </w:t>
      </w:r>
      <w:r>
        <w:t>cross-examine Youngblood, and used it. The cross-examination was nearly twice as long as the direct examination.</w:t>
      </w:r>
      <w:r>
        <w:t xml:space="preserve">  </w:t>
      </w:r>
      <w:r>
        <w:t xml:space="preserve">Rangel questioned Youngblood in depth about the six-page statement Youngblood made to </w:t>
      </w:r>
      <w:proofErr w:type="spellStart"/>
      <w:r>
        <w:t>Mora’s</w:t>
      </w:r>
      <w:proofErr w:type="spellEnd"/>
      <w:r>
        <w:t xml:space="preserve"> </w:t>
      </w:r>
      <w:r>
        <w:t xml:space="preserve">investigator.  </w:t>
      </w:r>
      <w:r>
        <w:t>Rangel</w:t>
      </w:r>
      <w:r>
        <w:t xml:space="preserve"> also probed</w:t>
      </w:r>
      <w:r>
        <w:t xml:space="preserve"> </w:t>
      </w:r>
      <w:r>
        <w:t>Youngblood’s</w:t>
      </w:r>
      <w:r>
        <w:t xml:space="preserve"> pr</w:t>
      </w:r>
      <w:r>
        <w:t xml:space="preserve">ior identification of </w:t>
      </w:r>
      <w:proofErr w:type="spellStart"/>
      <w:r>
        <w:t>Mora</w:t>
      </w:r>
      <w:proofErr w:type="spellEnd"/>
      <w:r>
        <w:t xml:space="preserve"> and</w:t>
      </w:r>
      <w:r>
        <w:t xml:space="preserve"> </w:t>
      </w:r>
      <w:r>
        <w:t>Youngblood’s</w:t>
      </w:r>
      <w:r>
        <w:t xml:space="preserve"> inconsistent subsequent identification of </w:t>
      </w:r>
      <w:r>
        <w:t>Rangel</w:t>
      </w:r>
      <w:r>
        <w:t xml:space="preserve">.    </w:t>
      </w:r>
      <w:r>
        <w:t xml:space="preserve">  </w:t>
      </w:r>
    </w:p>
    <w:p w:rsidR="00E9283F" w:rsidRPr="00602EC8" w:rsidRDefault="00EF4903" w:rsidP="005D7ECE">
      <w:pPr>
        <w:spacing w:line="480" w:lineRule="atLeast"/>
      </w:pPr>
      <w:r>
        <w:tab/>
      </w:r>
      <w:r>
        <w:t>Only w</w:t>
      </w:r>
      <w:r>
        <w:t xml:space="preserve">hen </w:t>
      </w:r>
      <w:r>
        <w:t xml:space="preserve">Rangel’s examination </w:t>
      </w:r>
      <w:r>
        <w:t xml:space="preserve">began </w:t>
      </w:r>
      <w:r>
        <w:t>covering repetitive ground did the court intervene</w:t>
      </w:r>
      <w:r>
        <w:t>, suggesting counsel focus questions more narrowly</w:t>
      </w:r>
      <w:r>
        <w:t xml:space="preserve">.  </w:t>
      </w:r>
      <w:r>
        <w:t xml:space="preserve">Rangel </w:t>
      </w:r>
      <w:r>
        <w:t xml:space="preserve">then </w:t>
      </w:r>
      <w:r>
        <w:t>com</w:t>
      </w:r>
      <w:r>
        <w:t xml:space="preserve">plained </w:t>
      </w:r>
      <w:r>
        <w:t>to the court</w:t>
      </w:r>
      <w:r>
        <w:t xml:space="preserve"> about the insufficient time t</w:t>
      </w:r>
      <w:r>
        <w:t xml:space="preserve">o review Youngblood’s statement, and reiterates that concern </w:t>
      </w:r>
      <w:r>
        <w:t>on appeal</w:t>
      </w:r>
      <w:r>
        <w:t xml:space="preserve">.  </w:t>
      </w:r>
      <w:r>
        <w:t xml:space="preserve">Yet </w:t>
      </w:r>
      <w:r>
        <w:t>Rangel points to no authority</w:t>
      </w:r>
      <w:r>
        <w:t xml:space="preserve"> </w:t>
      </w:r>
      <w:r>
        <w:t>—</w:t>
      </w:r>
      <w:r>
        <w:t xml:space="preserve"> nor have </w:t>
      </w:r>
      <w:r>
        <w:t>we</w:t>
      </w:r>
      <w:r>
        <w:t xml:space="preserve"> found any </w:t>
      </w:r>
      <w:r>
        <w:t>—</w:t>
      </w:r>
      <w:r>
        <w:t xml:space="preserve"> </w:t>
      </w:r>
      <w:r>
        <w:t xml:space="preserve">suggesting that a defendant is entitled to as much time as he would like </w:t>
      </w:r>
      <w:r>
        <w:t xml:space="preserve">to review a witness’s statement made to </w:t>
      </w:r>
      <w:r>
        <w:t>a</w:t>
      </w:r>
      <w:r>
        <w:t xml:space="preserve"> co</w:t>
      </w:r>
      <w:r>
        <w:t xml:space="preserve">defendant’s investigator.  To the contrary, we have held that so long as a defendant is afforded an opportunity for effective cross-examination, no error results from a cross-examination that does not fully live </w:t>
      </w:r>
      <w:r>
        <w:t>up to the defendant’s expectations.  (</w:t>
      </w:r>
      <w:r>
        <w:rPr>
          <w:i/>
        </w:rPr>
        <w:t>People v. Gonzales</w:t>
      </w:r>
      <w:r>
        <w:t xml:space="preserve">, </w:t>
      </w:r>
      <w:r>
        <w:rPr>
          <w:i/>
        </w:rPr>
        <w:t>supra</w:t>
      </w:r>
      <w:r>
        <w:t>, 54 </w:t>
      </w:r>
      <w:r>
        <w:t>Cal.4</w:t>
      </w:r>
      <w:r w:rsidRPr="0063448B">
        <w:t>th</w:t>
      </w:r>
      <w:r>
        <w:t xml:space="preserve"> at p. 1265.)</w:t>
      </w:r>
      <w:r>
        <w:t xml:space="preserve">  </w:t>
      </w:r>
      <w:r>
        <w:t xml:space="preserve">Rangel’s lengthy and thorough cross-examination of Youngblood was apparently effective, and Rangel does not contend there remained any unasked or unanswered query.  Rather, </w:t>
      </w:r>
      <w:r>
        <w:t>Rangel asserts that there is a delta between announcing</w:t>
      </w:r>
      <w:r w:rsidRPr="00602EC8">
        <w:t xml:space="preserve"> </w:t>
      </w:r>
      <w:r>
        <w:t>readiness to “</w:t>
      </w:r>
      <w:r w:rsidRPr="00602EC8">
        <w:rPr>
          <w:i/>
        </w:rPr>
        <w:t>try to start</w:t>
      </w:r>
      <w:r>
        <w:t>”</w:t>
      </w:r>
      <w:r>
        <w:t xml:space="preserve"> the cross-examination and announcing readiness to actua</w:t>
      </w:r>
      <w:r>
        <w:t>lly start the cross-examination.  He claims he indicated only the former, which was not indicative of actual readiness.  Of course, Rangel could have, and declined to, take more time</w:t>
      </w:r>
      <w:r>
        <w:t xml:space="preserve"> to</w:t>
      </w:r>
      <w:r>
        <w:t xml:space="preserve"> review the sta</w:t>
      </w:r>
      <w:r>
        <w:t>tement before so announcing.  In any event, the</w:t>
      </w:r>
      <w:r>
        <w:t xml:space="preserve"> difference</w:t>
      </w:r>
      <w:r>
        <w:t xml:space="preserve"> between the statements</w:t>
      </w:r>
      <w:r>
        <w:t xml:space="preserve"> </w:t>
      </w:r>
      <w:r>
        <w:t>—</w:t>
      </w:r>
      <w:r>
        <w:t xml:space="preserve"> </w:t>
      </w:r>
      <w:r>
        <w:t>if there is one</w:t>
      </w:r>
      <w:r>
        <w:t xml:space="preserve"> </w:t>
      </w:r>
      <w:r>
        <w:t>—</w:t>
      </w:r>
      <w:r>
        <w:t xml:space="preserve"> </w:t>
      </w:r>
      <w:r>
        <w:t xml:space="preserve">is </w:t>
      </w:r>
      <w:r>
        <w:t xml:space="preserve">certainly not enough to find </w:t>
      </w:r>
      <w:r>
        <w:t>the court erred by failing to grant a longer recess</w:t>
      </w:r>
      <w:r>
        <w:t>.</w:t>
      </w:r>
      <w:r>
        <w:t xml:space="preserve">  The cross-examination began when Rangel decided it should, and Range</w:t>
      </w:r>
      <w:r>
        <w:t xml:space="preserve">l’s inability to identify any avenue of inquiry that was not taken suggests it was effective.  </w:t>
      </w:r>
      <w:r>
        <w:t>Accordingly,</w:t>
      </w:r>
      <w:r>
        <w:t xml:space="preserve"> Rangel’s right to confront Youngblood was not violated.</w:t>
      </w:r>
      <w:r>
        <w:t xml:space="preserve"> </w:t>
      </w:r>
    </w:p>
    <w:p w:rsidR="00213C88" w:rsidRPr="001246BE" w:rsidRDefault="00EF4903" w:rsidP="00553979">
      <w:pPr>
        <w:pStyle w:val="Heading3"/>
      </w:pPr>
      <w:r w:rsidRPr="001246BE">
        <w:rPr>
          <w:rFonts w:ascii="Times New Roman" w:hAnsi="Times New Roman"/>
        </w:rPr>
        <w:tab/>
      </w:r>
      <w:r w:rsidRPr="001246BE">
        <w:rPr>
          <w:rFonts w:ascii="Times New Roman" w:hAnsi="Times New Roman"/>
        </w:rPr>
        <w:tab/>
      </w:r>
      <w:bookmarkStart w:id="20" w:name="_Toc511210392"/>
      <w:r w:rsidRPr="001246BE">
        <w:rPr>
          <w:rFonts w:ascii="Times New Roman" w:hAnsi="Times New Roman"/>
        </w:rPr>
        <w:t>3.</w:t>
      </w:r>
      <w:r w:rsidRPr="001246BE">
        <w:rPr>
          <w:rFonts w:ascii="Times New Roman" w:hAnsi="Times New Roman"/>
        </w:rPr>
        <w:tab/>
        <w:t xml:space="preserve">Playing Lourdes Lopez’s </w:t>
      </w:r>
      <w:proofErr w:type="spellStart"/>
      <w:r w:rsidRPr="001246BE">
        <w:rPr>
          <w:rFonts w:ascii="Times New Roman" w:hAnsi="Times New Roman"/>
        </w:rPr>
        <w:t>Unredacted</w:t>
      </w:r>
      <w:proofErr w:type="spellEnd"/>
      <w:r w:rsidRPr="001246BE">
        <w:rPr>
          <w:rFonts w:ascii="Times New Roman" w:hAnsi="Times New Roman"/>
        </w:rPr>
        <w:t xml:space="preserve"> </w:t>
      </w:r>
      <w:r w:rsidRPr="001246BE">
        <w:rPr>
          <w:rFonts w:ascii="Times New Roman" w:hAnsi="Times New Roman"/>
        </w:rPr>
        <w:t>Audio Recordings</w:t>
      </w:r>
      <w:bookmarkEnd w:id="20"/>
      <w:r w:rsidRPr="001246BE">
        <w:rPr>
          <w:rFonts w:ascii="Times New Roman" w:hAnsi="Times New Roman"/>
        </w:rPr>
        <w:t xml:space="preserve"> </w:t>
      </w:r>
    </w:p>
    <w:p w:rsidR="003A5824" w:rsidRPr="001246BE" w:rsidRDefault="00EF4903" w:rsidP="003A5824">
      <w:pPr>
        <w:pStyle w:val="Heading4"/>
        <w:rPr>
          <w:rFonts w:ascii="Times New Roman" w:hAnsi="Times New Roman"/>
          <w:b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a.</w:t>
      </w:r>
      <w:r w:rsidRPr="001246BE">
        <w:rPr>
          <w:rFonts w:ascii="Times New Roman" w:hAnsi="Times New Roman"/>
          <w:b w:val="0"/>
          <w:i w:val="0"/>
          <w:color w:val="auto"/>
        </w:rPr>
        <w:tab/>
      </w:r>
      <w:r w:rsidRPr="001246BE">
        <w:rPr>
          <w:rFonts w:ascii="Times New Roman" w:hAnsi="Times New Roman"/>
          <w:b w:val="0"/>
          <w:color w:val="auto"/>
        </w:rPr>
        <w:t>Background</w:t>
      </w:r>
    </w:p>
    <w:p w:rsidR="00C470C9" w:rsidRDefault="00EF4903" w:rsidP="00C470C9">
      <w:pPr>
        <w:spacing w:line="480" w:lineRule="atLeast"/>
      </w:pPr>
      <w:r>
        <w:tab/>
      </w:r>
      <w:proofErr w:type="spellStart"/>
      <w:r>
        <w:t>Mora</w:t>
      </w:r>
      <w:proofErr w:type="spellEnd"/>
      <w:r>
        <w:t xml:space="preserve"> and Rangel contend the trial court abused its discretion by permitting the prosecution to play </w:t>
      </w:r>
      <w:proofErr w:type="spellStart"/>
      <w:r>
        <w:t>unredacted</w:t>
      </w:r>
      <w:proofErr w:type="spellEnd"/>
      <w:r>
        <w:t xml:space="preserve"> </w:t>
      </w:r>
      <w:r>
        <w:t xml:space="preserve">audio </w:t>
      </w:r>
      <w:r>
        <w:t>tape</w:t>
      </w:r>
      <w:r>
        <w:t xml:space="preserve"> </w:t>
      </w:r>
      <w:r>
        <w:t>recording</w:t>
      </w:r>
      <w:r>
        <w:t>s</w:t>
      </w:r>
      <w:r>
        <w:t xml:space="preserve"> (“tapes”)</w:t>
      </w:r>
      <w:r>
        <w:t xml:space="preserve"> of Lopez’s interview with police.  Lopez’s trial testimony differed in significant respects from her statements t</w:t>
      </w:r>
      <w:r>
        <w:t>o police made in the immediate aftermath of the shooting.</w:t>
      </w:r>
      <w:r>
        <w:t xml:space="preserve">  Specifically, i</w:t>
      </w:r>
      <w:r>
        <w:t xml:space="preserve">n her taped interview, Lopez stated that she saw </w:t>
      </w:r>
      <w:proofErr w:type="spellStart"/>
      <w:r>
        <w:t>Mora</w:t>
      </w:r>
      <w:proofErr w:type="spellEnd"/>
      <w:r>
        <w:t xml:space="preserve"> and Rangel run outside prior to the shooting, after which she heard gunshots and saw the two men run back into her house.  She a</w:t>
      </w:r>
      <w:r>
        <w:t xml:space="preserve">lso told police that she saw </w:t>
      </w:r>
      <w:proofErr w:type="spellStart"/>
      <w:r>
        <w:t>Mora</w:t>
      </w:r>
      <w:proofErr w:type="spellEnd"/>
      <w:r>
        <w:t xml:space="preserve"> move his car into the garage and park her car behind his.  Finally, she told police that </w:t>
      </w:r>
      <w:proofErr w:type="spellStart"/>
      <w:r>
        <w:t>Mora</w:t>
      </w:r>
      <w:proofErr w:type="spellEnd"/>
      <w:r>
        <w:t xml:space="preserve"> asked her to go to the bedroom “cause I don’t want my daughter [to] see me go to jail.”  </w:t>
      </w:r>
      <w:r>
        <w:t>Although she was cross</w:t>
      </w:r>
      <w:r>
        <w:t>-</w:t>
      </w:r>
      <w:r>
        <w:t>examined regardi</w:t>
      </w:r>
      <w:r>
        <w:t xml:space="preserve">ng those differences, </w:t>
      </w:r>
      <w:r>
        <w:t xml:space="preserve">Lopez testified </w:t>
      </w:r>
      <w:r>
        <w:t>that office</w:t>
      </w:r>
      <w:r>
        <w:t xml:space="preserve">rs stopped and started the </w:t>
      </w:r>
      <w:r>
        <w:t xml:space="preserve">recording of the interview several times to call her names and threaten to remove her daughter from her care if she did not make statements inculpating </w:t>
      </w:r>
      <w:proofErr w:type="spellStart"/>
      <w:r>
        <w:t>Mora</w:t>
      </w:r>
      <w:proofErr w:type="spellEnd"/>
      <w:r>
        <w:t xml:space="preserve"> and Rangel</w:t>
      </w:r>
      <w:r>
        <w:t>.  She also t</w:t>
      </w:r>
      <w:r>
        <w:t xml:space="preserve">estified that she was tired, hungry, and caring for her uncomfortable child during the interviews.  </w:t>
      </w:r>
    </w:p>
    <w:p w:rsidR="00C470C9" w:rsidRDefault="00EF4903" w:rsidP="00C470C9">
      <w:pPr>
        <w:spacing w:line="480" w:lineRule="atLeast"/>
      </w:pPr>
      <w:r>
        <w:tab/>
        <w:t>The prosecution sought to play Lopez’s two tape</w:t>
      </w:r>
      <w:r>
        <w:t>-</w:t>
      </w:r>
      <w:r>
        <w:t xml:space="preserve">recorded statements in order to </w:t>
      </w:r>
      <w:r>
        <w:t>impeach her testimony about her level of discomfort during the interviews,</w:t>
      </w:r>
      <w:r>
        <w:t xml:space="preserve"> impeach her testimony that the recording was stopped and started, or </w:t>
      </w:r>
      <w:r>
        <w:t xml:space="preserve">refresh her recollection </w:t>
      </w:r>
      <w:r>
        <w:t>as to</w:t>
      </w:r>
      <w:r>
        <w:t xml:space="preserve"> what point in the interviews the taping was stopped and restarted</w:t>
      </w:r>
      <w:r>
        <w:t>.</w:t>
      </w:r>
      <w:r>
        <w:t xml:space="preserve">  </w:t>
      </w:r>
      <w:proofErr w:type="spellStart"/>
      <w:r>
        <w:t>Mora</w:t>
      </w:r>
      <w:proofErr w:type="spellEnd"/>
      <w:r>
        <w:t xml:space="preserve"> and Rangel objected to the tapes being played for the jury because Lopez reference</w:t>
      </w:r>
      <w:r>
        <w:t xml:space="preserve">d information about gang membership during the tapes, and the jury was not voir </w:t>
      </w:r>
      <w:proofErr w:type="spellStart"/>
      <w:r>
        <w:t>dired</w:t>
      </w:r>
      <w:proofErr w:type="spellEnd"/>
      <w:r>
        <w:t xml:space="preserve"> regarding gang affiliation issues.  In fact, the interview contains </w:t>
      </w:r>
      <w:r>
        <w:t>just three</w:t>
      </w:r>
      <w:r>
        <w:t xml:space="preserve"> references to gangs.  Only one reference relates to </w:t>
      </w:r>
      <w:proofErr w:type="spellStart"/>
      <w:r>
        <w:t>Mora</w:t>
      </w:r>
      <w:proofErr w:type="spellEnd"/>
      <w:r>
        <w:t xml:space="preserve">, and none to Rangel.  In </w:t>
      </w:r>
      <w:r>
        <w:t>the</w:t>
      </w:r>
      <w:r>
        <w:t xml:space="preserve"> singl</w:t>
      </w:r>
      <w:r>
        <w:t>e reference</w:t>
      </w:r>
      <w:r>
        <w:t xml:space="preserve"> to </w:t>
      </w:r>
      <w:proofErr w:type="spellStart"/>
      <w:r>
        <w:t>Mora</w:t>
      </w:r>
      <w:proofErr w:type="spellEnd"/>
      <w:r>
        <w:t>,</w:t>
      </w:r>
      <w:r>
        <w:t xml:space="preserve"> Lopez responded to a</w:t>
      </w:r>
      <w:r>
        <w:t xml:space="preserve"> question, </w:t>
      </w:r>
      <w:r>
        <w:t xml:space="preserve">“what gang [unintelligible],” </w:t>
      </w:r>
      <w:r>
        <w:t>with the words</w:t>
      </w:r>
      <w:r>
        <w:t xml:space="preserve"> “</w:t>
      </w:r>
      <w:proofErr w:type="spellStart"/>
      <w:r>
        <w:t>Uhm</w:t>
      </w:r>
      <w:proofErr w:type="spellEnd"/>
      <w:r>
        <w:t xml:space="preserve">, Joker,” indicating </w:t>
      </w:r>
      <w:proofErr w:type="spellStart"/>
      <w:r>
        <w:t>Mora</w:t>
      </w:r>
      <w:proofErr w:type="spellEnd"/>
      <w:r>
        <w:t>.  Lopez was then asked another unintelligible question and responded, “</w:t>
      </w:r>
      <w:proofErr w:type="spellStart"/>
      <w:r>
        <w:t>uhm</w:t>
      </w:r>
      <w:proofErr w:type="spellEnd"/>
      <w:r>
        <w:t>, my friends over there.”</w:t>
      </w:r>
      <w:r>
        <w:t xml:space="preserve"> </w:t>
      </w:r>
      <w:r>
        <w:t xml:space="preserve"> The court concluded</w:t>
      </w:r>
      <w:r>
        <w:t xml:space="preserve"> the tape</w:t>
      </w:r>
      <w:r>
        <w:t xml:space="preserve"> could be played because</w:t>
      </w:r>
      <w:r>
        <w:t xml:space="preserve"> any linkage </w:t>
      </w:r>
      <w:r>
        <w:t xml:space="preserve">to </w:t>
      </w:r>
      <w:proofErr w:type="spellStart"/>
      <w:r>
        <w:t>Mora</w:t>
      </w:r>
      <w:r>
        <w:t>’s</w:t>
      </w:r>
      <w:proofErr w:type="spellEnd"/>
      <w:r>
        <w:t xml:space="preserve"> gang</w:t>
      </w:r>
      <w:r>
        <w:t xml:space="preserve"> affiliation</w:t>
      </w:r>
      <w:r>
        <w:t xml:space="preserve"> </w:t>
      </w:r>
      <w:r>
        <w:t xml:space="preserve">the jury could discern from that exchange </w:t>
      </w:r>
      <w:r>
        <w:t>could be</w:t>
      </w:r>
      <w:r>
        <w:t xml:space="preserve"> resolved via </w:t>
      </w:r>
      <w:r>
        <w:t xml:space="preserve">instruction.  </w:t>
      </w:r>
    </w:p>
    <w:p w:rsidR="00C470C9" w:rsidRDefault="00EF4903" w:rsidP="00C470C9">
      <w:pPr>
        <w:spacing w:line="480" w:lineRule="atLeast"/>
      </w:pPr>
      <w:r>
        <w:tab/>
      </w:r>
      <w:proofErr w:type="spellStart"/>
      <w:r>
        <w:t>Mora</w:t>
      </w:r>
      <w:proofErr w:type="spellEnd"/>
      <w:r>
        <w:t xml:space="preserve"> and Rangel also objected to the tapes’ introduction</w:t>
      </w:r>
      <w:r>
        <w:t xml:space="preserve"> because th</w:t>
      </w:r>
      <w:r>
        <w:t>ey contained hearsay statements</w:t>
      </w:r>
      <w:r>
        <w:t xml:space="preserve"> and were </w:t>
      </w:r>
      <w:r>
        <w:t>undu</w:t>
      </w:r>
      <w:r>
        <w:t xml:space="preserve">ly prejudicial.  Specifically, </w:t>
      </w:r>
      <w:proofErr w:type="spellStart"/>
      <w:r>
        <w:t>Mora</w:t>
      </w:r>
      <w:proofErr w:type="spellEnd"/>
      <w:r>
        <w:t xml:space="preserve"> and Rangel alleged that </w:t>
      </w:r>
      <w:r>
        <w:t xml:space="preserve">Lopez disclosed that </w:t>
      </w:r>
      <w:proofErr w:type="spellStart"/>
      <w:r>
        <w:t>Mora</w:t>
      </w:r>
      <w:proofErr w:type="spellEnd"/>
      <w:r>
        <w:t xml:space="preserve"> had suffered past incarceration and</w:t>
      </w:r>
      <w:r>
        <w:t xml:space="preserve"> that she</w:t>
      </w:r>
      <w:r>
        <w:t xml:space="preserve"> suggested that </w:t>
      </w:r>
      <w:proofErr w:type="spellStart"/>
      <w:r>
        <w:t>Mora</w:t>
      </w:r>
      <w:proofErr w:type="spellEnd"/>
      <w:r>
        <w:t xml:space="preserve"> had a </w:t>
      </w:r>
      <w:r>
        <w:t xml:space="preserve">propensity toward violence.  </w:t>
      </w:r>
      <w:r>
        <w:t xml:space="preserve">The court clarified that the portion of the tape referring to </w:t>
      </w:r>
      <w:proofErr w:type="spellStart"/>
      <w:r>
        <w:t>Mora’s</w:t>
      </w:r>
      <w:proofErr w:type="spellEnd"/>
      <w:r>
        <w:t xml:space="preserve"> p</w:t>
      </w:r>
      <w:r>
        <w:t>ropensity toward violence had already been read to the jury in the course of Lopez’s cross-examination, and that it was less sensible to try and exclude portions of the tape in light of the overall purpose of determining whether and when the taping was sto</w:t>
      </w:r>
      <w:r>
        <w:t xml:space="preserve">pped and restarted.  </w:t>
      </w:r>
    </w:p>
    <w:p w:rsidR="00A2346F" w:rsidRPr="00C470C9" w:rsidRDefault="00EF4903" w:rsidP="00C470C9">
      <w:pPr>
        <w:spacing w:line="480" w:lineRule="atLeast"/>
      </w:pPr>
      <w:r>
        <w:tab/>
        <w:t xml:space="preserve">The trial court permitted the prosecution to play the tapes.  The court </w:t>
      </w:r>
      <w:r>
        <w:t xml:space="preserve">also </w:t>
      </w:r>
      <w:r>
        <w:t>provided a transcript of the tapes to the jurors to follow along as they listened, although the transcript was not admitted into evidence or provided to the jury for deliberation.  The court instructed Lopez to note any instance of the tape being stopped a</w:t>
      </w:r>
      <w:r>
        <w:t xml:space="preserve">nd started.  She was unable to do so.  </w:t>
      </w:r>
    </w:p>
    <w:p w:rsidR="002B4DEC" w:rsidRDefault="00EF4903" w:rsidP="00E273A2">
      <w:pPr>
        <w:pStyle w:val="Heading4"/>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b.</w:t>
      </w:r>
      <w:r w:rsidRPr="001246BE">
        <w:rPr>
          <w:rFonts w:ascii="Times New Roman" w:hAnsi="Times New Roman"/>
          <w:b w:val="0"/>
          <w:i w:val="0"/>
          <w:color w:val="auto"/>
        </w:rPr>
        <w:tab/>
      </w:r>
      <w:r w:rsidRPr="001246BE">
        <w:rPr>
          <w:rFonts w:ascii="Times New Roman" w:hAnsi="Times New Roman"/>
          <w:b w:val="0"/>
          <w:color w:val="auto"/>
        </w:rPr>
        <w:t>Discussion</w:t>
      </w:r>
    </w:p>
    <w:p w:rsidR="00F8253D" w:rsidRDefault="00EF4903" w:rsidP="002B4DEC">
      <w:pPr>
        <w:spacing w:line="480" w:lineRule="atLeast"/>
      </w:pPr>
      <w:r>
        <w:tab/>
      </w:r>
      <w:proofErr w:type="spellStart"/>
      <w:r>
        <w:t>Mora</w:t>
      </w:r>
      <w:proofErr w:type="spellEnd"/>
      <w:r>
        <w:t xml:space="preserve"> and Rangel contend </w:t>
      </w:r>
      <w:r>
        <w:t xml:space="preserve">that when the prosecution played Lopez’s taped interviews with the police, </w:t>
      </w:r>
      <w:r>
        <w:t>the trial court abused its discretion</w:t>
      </w:r>
      <w:r w:rsidRPr="00A2346F">
        <w:t xml:space="preserve"> </w:t>
      </w:r>
      <w:r>
        <w:t>in violation of Evidence Code section 352</w:t>
      </w:r>
      <w:r>
        <w:t>.</w:t>
      </w:r>
      <w:r>
        <w:t xml:space="preserve">  </w:t>
      </w:r>
      <w:r>
        <w:t xml:space="preserve">(See </w:t>
      </w:r>
      <w:r>
        <w:rPr>
          <w:i/>
        </w:rPr>
        <w:t>People v. Co</w:t>
      </w:r>
      <w:r>
        <w:rPr>
          <w:i/>
        </w:rPr>
        <w:t>le</w:t>
      </w:r>
      <w:r>
        <w:t xml:space="preserve"> (2004) 33 Cal.4th 1158, 1198 [“We review the trial court’s rulings on relevance and admission or exclusion of evidence under Evidence Code section 35</w:t>
      </w:r>
      <w:r>
        <w:t>2 . . . for abuse of discretion</w:t>
      </w:r>
      <w:r>
        <w:t>”].)</w:t>
      </w:r>
      <w:r>
        <w:t xml:space="preserve">  </w:t>
      </w:r>
      <w:r>
        <w:t xml:space="preserve">Relevant evidence may be excluded if a trial court determines that </w:t>
      </w:r>
      <w:r>
        <w:t xml:space="preserve">its probative value is substantially outweighed by the probability that its admission will cause prejudice, delay, confusion, or will mislead the jury.  (Evid. Code, § 352.)  </w:t>
      </w:r>
      <w:proofErr w:type="spellStart"/>
      <w:r>
        <w:t>Mora</w:t>
      </w:r>
      <w:proofErr w:type="spellEnd"/>
      <w:r>
        <w:t xml:space="preserve"> and Rangel argue that the taped interviews were irrelevant because they lack</w:t>
      </w:r>
      <w:r>
        <w:t xml:space="preserve">ed evidentiary value with regard to proof of guilt or innocence.  </w:t>
      </w:r>
      <w:proofErr w:type="spellStart"/>
      <w:r>
        <w:t>Mora</w:t>
      </w:r>
      <w:proofErr w:type="spellEnd"/>
      <w:r>
        <w:t xml:space="preserve"> and Rangel’s formulation of relevance is artificially narrow.  </w:t>
      </w:r>
      <w:r>
        <w:t>“</w:t>
      </w:r>
      <w:r>
        <w:t> </w:t>
      </w:r>
      <w:r>
        <w:t xml:space="preserve">‘Relevant evidence’ means evidence, </w:t>
      </w:r>
      <w:r>
        <w:rPr>
          <w:i/>
        </w:rPr>
        <w:t>including evidence relevant to the credibility of a witness</w:t>
      </w:r>
      <w:r>
        <w:t xml:space="preserve"> or hearsay declarant, ha</w:t>
      </w:r>
      <w:r>
        <w:t>ving any tendency in reason to prove or disprove any disputed fact that is of consequence to the determination of the action.”  (Evid. Code, §</w:t>
      </w:r>
      <w:r>
        <w:t> </w:t>
      </w:r>
      <w:r>
        <w:t>210</w:t>
      </w:r>
      <w:r>
        <w:t>, italics added</w:t>
      </w:r>
      <w:r>
        <w:t xml:space="preserve">.)  </w:t>
      </w:r>
    </w:p>
    <w:p w:rsidR="00A171A7" w:rsidRDefault="00EF4903" w:rsidP="00F8253D">
      <w:pPr>
        <w:spacing w:line="480" w:lineRule="atLeast"/>
      </w:pPr>
      <w:r>
        <w:tab/>
      </w:r>
      <w:r>
        <w:t xml:space="preserve">Here, </w:t>
      </w:r>
      <w:r>
        <w:t>the tapes were relevant to a key witness’s credibility and allegation that her high</w:t>
      </w:r>
      <w:r>
        <w:t>ly inculpatory statement</w:t>
      </w:r>
      <w:r>
        <w:t>s</w:t>
      </w:r>
      <w:r>
        <w:t xml:space="preserve"> to police made in the immediate aftermath of the shooting w</w:t>
      </w:r>
      <w:r>
        <w:t>ere</w:t>
      </w:r>
      <w:r>
        <w:t xml:space="preserve"> coerced.</w:t>
      </w:r>
      <w:r>
        <w:t xml:space="preserve">  (See</w:t>
      </w:r>
      <w:r>
        <w:t xml:space="preserve">, e.g., </w:t>
      </w:r>
      <w:r>
        <w:t>Evid. Code, § 1235 [</w:t>
      </w:r>
      <w:r>
        <w:t xml:space="preserve">hearsay rule does not exclude </w:t>
      </w:r>
      <w:r>
        <w:t>prior statements</w:t>
      </w:r>
      <w:r>
        <w:t xml:space="preserve"> inconsistent with trial testimony].)</w:t>
      </w:r>
      <w:r>
        <w:t xml:space="preserve">  “</w:t>
      </w:r>
      <w:r w:rsidRPr="008572D8">
        <w:t>We</w:t>
      </w:r>
      <w:r>
        <w:t xml:space="preserve"> will not disturb a trial court’</w:t>
      </w:r>
      <w:r w:rsidRPr="008572D8">
        <w:t xml:space="preserve">s </w:t>
      </w:r>
      <w:r w:rsidRPr="008572D8">
        <w:t>exercise of discretion under Evidence Code section 352</w:t>
      </w:r>
      <w:r>
        <w:t xml:space="preserve"> ‘ “</w:t>
      </w:r>
      <w:r w:rsidRPr="00D64D5F">
        <w:rPr>
          <w:i/>
        </w:rPr>
        <w:t>except</w:t>
      </w:r>
      <w:r w:rsidRPr="008572D8">
        <w:t xml:space="preserve"> on a showing that the court exercised its discretion in an arbitrary, capricious or patently absurd manner that resulted in a </w:t>
      </w:r>
      <w:r>
        <w:t>manifest miscarriage of justice.” ’ ”  (</w:t>
      </w:r>
      <w:r w:rsidRPr="009C10FC">
        <w:rPr>
          <w:i/>
        </w:rPr>
        <w:t xml:space="preserve">People v. Jones </w:t>
      </w:r>
      <w:r>
        <w:t>(1998) 17</w:t>
      </w:r>
      <w:r>
        <w:t xml:space="preserve"> Cal.4th 279, 304.)  The trial court’s reasonable admission of the taped statements was none of those things. </w:t>
      </w:r>
      <w:r w:rsidRPr="00A171A7">
        <w:t xml:space="preserve"> </w:t>
      </w:r>
    </w:p>
    <w:p w:rsidR="000043E3" w:rsidRPr="00973838" w:rsidRDefault="00EF4903" w:rsidP="00F8253D">
      <w:pPr>
        <w:spacing w:line="480" w:lineRule="atLeast"/>
      </w:pPr>
      <w:r>
        <w:tab/>
      </w:r>
      <w:proofErr w:type="spellStart"/>
      <w:r>
        <w:t>Mora</w:t>
      </w:r>
      <w:proofErr w:type="spellEnd"/>
      <w:r>
        <w:t xml:space="preserve"> </w:t>
      </w:r>
      <w:r>
        <w:t xml:space="preserve">and Rangel </w:t>
      </w:r>
      <w:r>
        <w:t>contend the taped statements were</w:t>
      </w:r>
      <w:r>
        <w:t xml:space="preserve"> highly p</w:t>
      </w:r>
      <w:r>
        <w:t>rejudicial because they</w:t>
      </w:r>
      <w:r>
        <w:t xml:space="preserve"> contained </w:t>
      </w:r>
      <w:r>
        <w:t xml:space="preserve">hearsay </w:t>
      </w:r>
      <w:r>
        <w:t>statements referencing</w:t>
      </w:r>
      <w:r>
        <w:t>, among other things,</w:t>
      </w:r>
      <w:r>
        <w:t xml:space="preserve"> </w:t>
      </w:r>
      <w:proofErr w:type="spellStart"/>
      <w:r>
        <w:t>Mora’s</w:t>
      </w:r>
      <w:proofErr w:type="spellEnd"/>
      <w:r>
        <w:t xml:space="preserve"> propensity for violence, </w:t>
      </w:r>
      <w:r>
        <w:t>gang association</w:t>
      </w:r>
      <w:r>
        <w:t xml:space="preserve">, and </w:t>
      </w:r>
      <w:proofErr w:type="spellStart"/>
      <w:r>
        <w:t>Mora</w:t>
      </w:r>
      <w:r>
        <w:t>’s</w:t>
      </w:r>
      <w:proofErr w:type="spellEnd"/>
      <w:r>
        <w:t xml:space="preserve"> previous incarcerat</w:t>
      </w:r>
      <w:r>
        <w:t>ion</w:t>
      </w:r>
      <w:r>
        <w:t>.  The court’s determination that the probative value outweighed any prejudice resulting from the statement</w:t>
      </w:r>
      <w:r>
        <w:t>s</w:t>
      </w:r>
      <w:r>
        <w:t xml:space="preserve"> was not arbitrary.  Indeed, the parties engaged in a leng</w:t>
      </w:r>
      <w:r>
        <w:t>thy co</w:t>
      </w:r>
      <w:r>
        <w:t>lloquy about the tapes’ admission</w:t>
      </w:r>
      <w:r>
        <w:t>,</w:t>
      </w:r>
      <w:r>
        <w:t xml:space="preserve"> and the court admonished the jury to </w:t>
      </w:r>
      <w:r>
        <w:t>disregard any hearsay the taped statements might contain and consider the tapes only in connection with Lopez’s allegations regarding coercion</w:t>
      </w:r>
      <w:r>
        <w:t>.</w:t>
      </w:r>
      <w:r>
        <w:t xml:space="preserve">  While courts must tread carefully with </w:t>
      </w:r>
      <w:r>
        <w:t>regard to</w:t>
      </w:r>
      <w:r>
        <w:t xml:space="preserve"> propensity for violence and</w:t>
      </w:r>
      <w:r>
        <w:t xml:space="preserve"> gang evidence in light of </w:t>
      </w:r>
      <w:r>
        <w:t>the</w:t>
      </w:r>
      <w:r>
        <w:t xml:space="preserve"> inherently prejudicial nature</w:t>
      </w:r>
      <w:r>
        <w:t xml:space="preserve"> of such information</w:t>
      </w:r>
      <w:r>
        <w:t xml:space="preserve"> (</w:t>
      </w:r>
      <w:r>
        <w:rPr>
          <w:i/>
        </w:rPr>
        <w:t>People</w:t>
      </w:r>
      <w:r>
        <w:rPr>
          <w:i/>
        </w:rPr>
        <w:t> </w:t>
      </w:r>
      <w:r>
        <w:rPr>
          <w:i/>
        </w:rPr>
        <w:t>v.</w:t>
      </w:r>
      <w:r>
        <w:rPr>
          <w:i/>
        </w:rPr>
        <w:t> </w:t>
      </w:r>
      <w:r>
        <w:rPr>
          <w:i/>
        </w:rPr>
        <w:t>Williams</w:t>
      </w:r>
      <w:r>
        <w:t xml:space="preserve"> (1997) 16 Cal.4th 153, 193), the court’s admission of the </w:t>
      </w:r>
      <w:r>
        <w:t>taped statement</w:t>
      </w:r>
      <w:r>
        <w:t>s</w:t>
      </w:r>
      <w:r>
        <w:t xml:space="preserve"> here, with</w:t>
      </w:r>
      <w:r>
        <w:t xml:space="preserve"> their</w:t>
      </w:r>
      <w:r>
        <w:t xml:space="preserve"> minimal reference to gangs</w:t>
      </w:r>
      <w:r>
        <w:t xml:space="preserve"> </w:t>
      </w:r>
      <w:r>
        <w:t>and little ty</w:t>
      </w:r>
      <w:r>
        <w:t xml:space="preserve">ing gang participation to </w:t>
      </w:r>
      <w:proofErr w:type="spellStart"/>
      <w:r>
        <w:t>Mora</w:t>
      </w:r>
      <w:proofErr w:type="spellEnd"/>
      <w:r>
        <w:t>, Rangel, or the crimes at issue, was not an abuse of discretion.  (</w:t>
      </w:r>
      <w:r>
        <w:rPr>
          <w:i/>
        </w:rPr>
        <w:t>People v. Jones</w:t>
      </w:r>
      <w:r>
        <w:t xml:space="preserve">, </w:t>
      </w:r>
      <w:r>
        <w:rPr>
          <w:i/>
        </w:rPr>
        <w:t>supra</w:t>
      </w:r>
      <w:r>
        <w:t>, 17</w:t>
      </w:r>
      <w:r>
        <w:t> </w:t>
      </w:r>
      <w:r>
        <w:t>Cal.4th at p. 304</w:t>
      </w:r>
      <w:r>
        <w:t>.)</w:t>
      </w:r>
      <w:r>
        <w:t xml:space="preserve">  Because we find no error, we do not address prejudice, although the overwhelming evidence of gui</w:t>
      </w:r>
      <w:r>
        <w:t>lt</w:t>
      </w:r>
      <w:r>
        <w:t xml:space="preserve"> </w:t>
      </w:r>
      <w:r>
        <w:t>suggests none would attach even if the court’s admission of the statement</w:t>
      </w:r>
      <w:r>
        <w:t>s</w:t>
      </w:r>
      <w:r>
        <w:t xml:space="preserve"> was erroneous.  (See </w:t>
      </w:r>
      <w:r>
        <w:rPr>
          <w:i/>
        </w:rPr>
        <w:t>Watson</w:t>
      </w:r>
      <w:r>
        <w:t xml:space="preserve">, </w:t>
      </w:r>
      <w:r>
        <w:rPr>
          <w:i/>
        </w:rPr>
        <w:t>supra</w:t>
      </w:r>
      <w:r>
        <w:t>,</w:t>
      </w:r>
      <w:r>
        <w:t xml:space="preserve"> 46 Cal.2</w:t>
      </w:r>
      <w:r>
        <w:t>d</w:t>
      </w:r>
      <w:r>
        <w:t xml:space="preserve"> </w:t>
      </w:r>
      <w:r>
        <w:t>at p.</w:t>
      </w:r>
      <w:r>
        <w:t> </w:t>
      </w:r>
      <w:r>
        <w:t xml:space="preserve">836; </w:t>
      </w:r>
      <w:r>
        <w:rPr>
          <w:i/>
        </w:rPr>
        <w:t>People v. Smith</w:t>
      </w:r>
      <w:r>
        <w:t xml:space="preserve"> (2015) 61 </w:t>
      </w:r>
      <w:r>
        <w:t>Cal.4th 18, 52</w:t>
      </w:r>
      <w:r>
        <w:t>.)</w:t>
      </w:r>
      <w:r>
        <w:tab/>
      </w:r>
    </w:p>
    <w:p w:rsidR="006F11E6" w:rsidRPr="001246BE" w:rsidRDefault="00EF4903" w:rsidP="009B4B97">
      <w:pPr>
        <w:pStyle w:val="Heading3"/>
      </w:pPr>
      <w:r w:rsidRPr="001246BE">
        <w:rPr>
          <w:rFonts w:ascii="Times New Roman" w:hAnsi="Times New Roman"/>
        </w:rPr>
        <w:tab/>
      </w:r>
      <w:r w:rsidRPr="001246BE">
        <w:rPr>
          <w:rFonts w:ascii="Times New Roman" w:hAnsi="Times New Roman"/>
        </w:rPr>
        <w:tab/>
      </w:r>
      <w:bookmarkStart w:id="21" w:name="_Toc511210393"/>
      <w:r w:rsidRPr="001246BE">
        <w:rPr>
          <w:rFonts w:ascii="Times New Roman" w:hAnsi="Times New Roman"/>
        </w:rPr>
        <w:t>4.</w:t>
      </w:r>
      <w:r w:rsidRPr="001246BE">
        <w:rPr>
          <w:rFonts w:ascii="Times New Roman" w:hAnsi="Times New Roman"/>
        </w:rPr>
        <w:tab/>
        <w:t>Juror No. 7 Was Not Dismissed</w:t>
      </w:r>
      <w:bookmarkEnd w:id="21"/>
      <w:r w:rsidRPr="001246BE">
        <w:tab/>
      </w:r>
    </w:p>
    <w:p w:rsidR="00097A42" w:rsidRPr="00097A42" w:rsidRDefault="00EF4903" w:rsidP="00097A42">
      <w:pPr>
        <w:spacing w:line="480" w:lineRule="atLeast"/>
      </w:pPr>
      <w:r>
        <w:tab/>
      </w:r>
      <w:r>
        <w:t xml:space="preserve">Rangel argues that the trial court failed to conduct an adequate inquiry and failed to remove Juror No. 7 in violation of </w:t>
      </w:r>
      <w:r>
        <w:t>Rangel’s</w:t>
      </w:r>
      <w:r>
        <w:t xml:space="preserve"> rights to due process and a fair trial, trial </w:t>
      </w:r>
      <w:r>
        <w:t xml:space="preserve">by an impartial jury, and </w:t>
      </w:r>
      <w:r>
        <w:t>to a reliable capital and penalty determination.</w:t>
      </w:r>
      <w:r>
        <w:t xml:space="preserve">  (Se</w:t>
      </w:r>
      <w:r>
        <w:t xml:space="preserve">e U.S. Const., 5th, 6th, 8th, 14th Amends.)  </w:t>
      </w:r>
      <w:r>
        <w:t>Specifically, Rangel alleges the trial court erred by failing to ade</w:t>
      </w:r>
      <w:r>
        <w:t xml:space="preserve">quately question Juror No. 7.  </w:t>
      </w:r>
      <w:r>
        <w:t xml:space="preserve">Rangel further argues that the trial court’s failure to dismiss Juror No. 7 after the juror learned </w:t>
      </w:r>
      <w:proofErr w:type="spellStart"/>
      <w:r>
        <w:t>Mora</w:t>
      </w:r>
      <w:proofErr w:type="spellEnd"/>
      <w:r>
        <w:t xml:space="preserve"> or Rang</w:t>
      </w:r>
      <w:r>
        <w:t>el</w:t>
      </w:r>
      <w:r>
        <w:t xml:space="preserve"> might have rejected a plea bargain was prejudicial.  </w:t>
      </w:r>
      <w:r>
        <w:t>We hold t</w:t>
      </w:r>
      <w:r>
        <w:t>he trial court’s examination of Juror No. 7 was adequate</w:t>
      </w:r>
      <w:r>
        <w:t xml:space="preserve"> and</w:t>
      </w:r>
      <w:r>
        <w:t xml:space="preserve"> the court did not err by declining to dismiss Juror No. 7 because </w:t>
      </w:r>
      <w:r>
        <w:t>the juror’s</w:t>
      </w:r>
      <w:r>
        <w:t xml:space="preserve"> exposure to </w:t>
      </w:r>
      <w:r>
        <w:t xml:space="preserve">a </w:t>
      </w:r>
      <w:r>
        <w:t xml:space="preserve">potential plea </w:t>
      </w:r>
      <w:r>
        <w:t>was not per se erroneou</w:t>
      </w:r>
      <w:r>
        <w:t xml:space="preserve">s.  Even if error occurred, </w:t>
      </w:r>
      <w:r>
        <w:t xml:space="preserve">it </w:t>
      </w:r>
      <w:r>
        <w:t>was not prejudicial.</w:t>
      </w:r>
    </w:p>
    <w:p w:rsidR="009B4B97" w:rsidRPr="001246BE" w:rsidRDefault="00EF4903" w:rsidP="009B4B97">
      <w:pPr>
        <w:pStyle w:val="Heading4"/>
        <w:rPr>
          <w:rFonts w:ascii="Times New Roman" w:hAnsi="Times New Roman"/>
          <w:b w:val="0"/>
          <w:color w:val="auto"/>
        </w:rPr>
      </w:pPr>
      <w:r>
        <w:rPr>
          <w:b w:val="0"/>
          <w:color w:val="auto"/>
        </w:rPr>
        <w:tab/>
      </w:r>
      <w:r>
        <w:rPr>
          <w:b w:val="0"/>
          <w:color w:val="auto"/>
        </w:rPr>
        <w:tab/>
      </w:r>
      <w:r>
        <w:rPr>
          <w:b w:val="0"/>
          <w:color w:val="auto"/>
        </w:rPr>
        <w:tab/>
      </w:r>
      <w:r w:rsidRPr="001246BE">
        <w:rPr>
          <w:rFonts w:ascii="Times New Roman" w:hAnsi="Times New Roman"/>
          <w:b w:val="0"/>
          <w:i w:val="0"/>
          <w:color w:val="auto"/>
        </w:rPr>
        <w:t>a.</w:t>
      </w:r>
      <w:r w:rsidRPr="001246BE">
        <w:rPr>
          <w:rFonts w:ascii="Times New Roman" w:hAnsi="Times New Roman"/>
          <w:b w:val="0"/>
          <w:i w:val="0"/>
          <w:color w:val="auto"/>
        </w:rPr>
        <w:tab/>
      </w:r>
      <w:r w:rsidRPr="001246BE">
        <w:rPr>
          <w:rFonts w:ascii="Times New Roman" w:hAnsi="Times New Roman"/>
          <w:b w:val="0"/>
          <w:color w:val="auto"/>
        </w:rPr>
        <w:t>Background</w:t>
      </w:r>
    </w:p>
    <w:p w:rsidR="009B4B97" w:rsidRDefault="00EF4903" w:rsidP="009B4B97">
      <w:pPr>
        <w:spacing w:line="480" w:lineRule="atLeast"/>
      </w:pPr>
      <w:r>
        <w:tab/>
        <w:t xml:space="preserve">On January 11, 1999, before </w:t>
      </w:r>
      <w:r>
        <w:t>voir dire</w:t>
      </w:r>
      <w:r>
        <w:t xml:space="preserve">, the woman who became Juror No. 7 spoke with a woman </w:t>
      </w:r>
      <w:r>
        <w:t xml:space="preserve">in the court cafeteria that </w:t>
      </w:r>
      <w:r>
        <w:t xml:space="preserve">she later learned was </w:t>
      </w:r>
      <w:r>
        <w:t xml:space="preserve">the mother of </w:t>
      </w:r>
      <w:proofErr w:type="spellStart"/>
      <w:r>
        <w:t>Mora</w:t>
      </w:r>
      <w:proofErr w:type="spellEnd"/>
      <w:r>
        <w:t xml:space="preserve"> or Rangel</w:t>
      </w:r>
      <w:r>
        <w:t xml:space="preserve">.  </w:t>
      </w:r>
      <w:r>
        <w:t xml:space="preserve">The </w:t>
      </w:r>
      <w:r>
        <w:t>mother</w:t>
      </w:r>
      <w:r>
        <w:t xml:space="preserve"> asked if she could take the seat opposite Juror No. 7 in the cafeteria and Juror No. 7 replied affirmatively.  Juror No. 7 was wearing </w:t>
      </w:r>
      <w:r>
        <w:t>a</w:t>
      </w:r>
      <w:r>
        <w:t xml:space="preserve"> juror badge.  The </w:t>
      </w:r>
      <w:r>
        <w:t>mother</w:t>
      </w:r>
      <w:r>
        <w:t xml:space="preserve"> offered Juror No. 7 a cookie, and Juror No. 7 refused the offer.  The </w:t>
      </w:r>
      <w:r>
        <w:t>mother</w:t>
      </w:r>
      <w:r>
        <w:t xml:space="preserve"> told Juror No. 7</w:t>
      </w:r>
      <w:r>
        <w:t xml:space="preserve"> that she was at the courthouse every day for her son’s trial, and confided that “she was sure she was going to lose [her son] because he had been offered a plea of 25 to life,” and “she was going to lose out because murder charges</w:t>
      </w:r>
      <w:r>
        <w:t>—</w:t>
      </w:r>
      <w:r>
        <w:t>well, charges had been s</w:t>
      </w:r>
      <w:r>
        <w:t>et up and they wanted to give</w:t>
      </w:r>
      <w:r>
        <w:t xml:space="preserve"> [her son] the death penalty.”  </w:t>
      </w:r>
      <w:r>
        <w:t xml:space="preserve">The </w:t>
      </w:r>
      <w:r>
        <w:t>mother</w:t>
      </w:r>
      <w:r>
        <w:t xml:space="preserve"> also confided to Juror No. 7 that she had been looking for a job, but was now unable to continue that search until “this whole ordeal” concluded.  </w:t>
      </w:r>
      <w:r>
        <w:t xml:space="preserve">The </w:t>
      </w:r>
      <w:r>
        <w:t>mother</w:t>
      </w:r>
      <w:r>
        <w:t xml:space="preserve"> did not identify herself o</w:t>
      </w:r>
      <w:r>
        <w:t>r her son</w:t>
      </w:r>
      <w:r>
        <w:t xml:space="preserve"> to Juror No. 7</w:t>
      </w:r>
      <w:r>
        <w:t xml:space="preserve">.  Juror No. 7 did not encourage the conversation.  </w:t>
      </w:r>
    </w:p>
    <w:p w:rsidR="002B1ED3" w:rsidRDefault="00EF4903" w:rsidP="009B4B97">
      <w:pPr>
        <w:spacing w:line="480" w:lineRule="atLeast"/>
      </w:pPr>
      <w:r>
        <w:tab/>
        <w:t xml:space="preserve">Two days later, after the jury was empaneled and the second day of evidence presentation was underway, Juror No. 7 recognized </w:t>
      </w:r>
      <w:r>
        <w:t xml:space="preserve">the mother </w:t>
      </w:r>
      <w:r>
        <w:t xml:space="preserve">in the courtroom </w:t>
      </w:r>
      <w:r>
        <w:t xml:space="preserve">as the woman who had </w:t>
      </w:r>
      <w:r>
        <w:t>spo</w:t>
      </w:r>
      <w:r>
        <w:t>ken with her in the cafeteria</w:t>
      </w:r>
      <w:r>
        <w:t xml:space="preserve"> earlier that week.  </w:t>
      </w:r>
      <w:r>
        <w:t>Juror No. 7</w:t>
      </w:r>
      <w:r>
        <w:t xml:space="preserve"> realized the woman must be the mother of one of the defendants.  She immediately drew the issue to the court’s attention.  Juror No. 7 had not raised the issue earlier because she had not previo</w:t>
      </w:r>
      <w:r>
        <w:t>usly been aware that the woman with whom she conversed was connected to the trial in which she was a juror.  The court and counsel questioned Juror No. 7 out of the p</w:t>
      </w:r>
      <w:r>
        <w:t xml:space="preserve">resence of the jury.  </w:t>
      </w:r>
      <w:r>
        <w:t xml:space="preserve">Juror No. 7 stated that the contact she had </w:t>
      </w:r>
      <w:r>
        <w:t xml:space="preserve">had </w:t>
      </w:r>
      <w:r>
        <w:t xml:space="preserve">with the </w:t>
      </w:r>
      <w:r>
        <w:t>mother</w:t>
      </w:r>
      <w:r>
        <w:t xml:space="preserve"> woul</w:t>
      </w:r>
      <w:r>
        <w:t xml:space="preserve">d not impair her ability to evaluate the evidence during the guilt phase to determine whether the </w:t>
      </w:r>
      <w:r>
        <w:t>P</w:t>
      </w:r>
      <w:r>
        <w:t xml:space="preserve">eople proved the case beyond a reasonable doubt.  Juror No. 7 likewise attested that knowing the mother </w:t>
      </w:r>
      <w:r>
        <w:t>was related to one</w:t>
      </w:r>
      <w:r>
        <w:t xml:space="preserve"> of the defendants would not influe</w:t>
      </w:r>
      <w:r>
        <w:t xml:space="preserve">nce </w:t>
      </w:r>
      <w:r>
        <w:t>Juror No. 7</w:t>
      </w:r>
      <w:r>
        <w:t xml:space="preserve"> in any way during the penalty phase of the proceedings.  </w:t>
      </w:r>
    </w:p>
    <w:p w:rsidR="00955958" w:rsidRDefault="00EF4903" w:rsidP="009B4B97">
      <w:pPr>
        <w:spacing w:line="480" w:lineRule="atLeast"/>
      </w:pPr>
      <w:r>
        <w:tab/>
        <w:t>After this colloquy, the c</w:t>
      </w:r>
      <w:r>
        <w:t>ourt spoke with counsel out of</w:t>
      </w:r>
      <w:r>
        <w:t xml:space="preserve"> Juror No. 7</w:t>
      </w:r>
      <w:r>
        <w:t>’s presence</w:t>
      </w:r>
      <w:r>
        <w:t>.  T</w:t>
      </w:r>
      <w:r>
        <w:t xml:space="preserve">he prosecution </w:t>
      </w:r>
      <w:r>
        <w:t>noted that there never had been an offer of</w:t>
      </w:r>
      <w:r>
        <w:t xml:space="preserve"> 25-to-life on the table.  </w:t>
      </w:r>
      <w:r>
        <w:t xml:space="preserve">The court </w:t>
      </w:r>
      <w:r>
        <w:t>cla</w:t>
      </w:r>
      <w:r>
        <w:t>rified</w:t>
      </w:r>
      <w:r>
        <w:t xml:space="preserve"> that the issue is not whether an offer had been made, or an agreement reached, but whether the juror could sit.  Rangel requested that the juror be excused because</w:t>
      </w:r>
      <w:r>
        <w:t>,</w:t>
      </w:r>
      <w:r>
        <w:t xml:space="preserve"> whether or not an offer </w:t>
      </w:r>
      <w:r>
        <w:t>had been</w:t>
      </w:r>
      <w:r>
        <w:t xml:space="preserve"> made</w:t>
      </w:r>
      <w:r>
        <w:t>,</w:t>
      </w:r>
      <w:r>
        <w:t xml:space="preserve"> the juror</w:t>
      </w:r>
      <w:r>
        <w:t xml:space="preserve"> believed an offer was declined.  Ra</w:t>
      </w:r>
      <w:r>
        <w:t>ngel argued that</w:t>
      </w:r>
      <w:r>
        <w:t xml:space="preserve"> the existence of an offer suggest</w:t>
      </w:r>
      <w:r>
        <w:t>ed</w:t>
      </w:r>
      <w:r>
        <w:t xml:space="preserve"> that </w:t>
      </w:r>
      <w:proofErr w:type="spellStart"/>
      <w:r>
        <w:t>Mora</w:t>
      </w:r>
      <w:proofErr w:type="spellEnd"/>
      <w:r>
        <w:t>, Rangel, or both, had committed the crime for which they stood accused and</w:t>
      </w:r>
      <w:r>
        <w:t xml:space="preserve"> the juror might have believed the offer should have been accepted.  This </w:t>
      </w:r>
      <w:r>
        <w:t xml:space="preserve">was particularly true </w:t>
      </w:r>
      <w:r>
        <w:t>for Juror No. 7, Rangel</w:t>
      </w:r>
      <w:r>
        <w:t xml:space="preserve"> argued</w:t>
      </w:r>
      <w:r>
        <w:t xml:space="preserve">, because her jury questionnaire revealed that she believed that once an individual was found guilty of a capital offense and sentenced to death, that sentence should be “carried out” lest too “much time [be] wasted on the criminals.”    </w:t>
      </w:r>
    </w:p>
    <w:p w:rsidR="009B4B97" w:rsidRDefault="00EF4903" w:rsidP="009B4B97">
      <w:pPr>
        <w:spacing w:line="480" w:lineRule="atLeast"/>
      </w:pPr>
      <w:r>
        <w:tab/>
      </w:r>
      <w:proofErr w:type="spellStart"/>
      <w:r>
        <w:t>Mora</w:t>
      </w:r>
      <w:proofErr w:type="spellEnd"/>
      <w:r>
        <w:t xml:space="preserve"> did </w:t>
      </w:r>
      <w:r>
        <w:t>not ask that the juror be removed, but requested that audience members be instructed to refrain from making statements about</w:t>
      </w:r>
      <w:r>
        <w:t xml:space="preserve"> the case.  Rangel</w:t>
      </w:r>
      <w:r>
        <w:t xml:space="preserve"> echoed the request that family members be admonished “not to have contacts with anybody.”  </w:t>
      </w:r>
    </w:p>
    <w:p w:rsidR="009B4B97" w:rsidRDefault="00EF4903" w:rsidP="009B4B97">
      <w:pPr>
        <w:spacing w:line="480" w:lineRule="atLeast"/>
      </w:pPr>
      <w:r>
        <w:tab/>
        <w:t xml:space="preserve">The court denied </w:t>
      </w:r>
      <w:r>
        <w:t>Rangel’s request to excuse Juror No. 7, concluding that the juror properly addressed the issue at the first available opportunity and was “adamant about her ability to set [the conversation] aside.”  The court noted that “whether the</w:t>
      </w:r>
      <w:r>
        <w:t xml:space="preserve">re was an offer or not </w:t>
      </w:r>
      <w:r>
        <w:t xml:space="preserve">isn’t </w:t>
      </w:r>
      <w:r>
        <w:t xml:space="preserve">anything anyone can consider.”  </w:t>
      </w:r>
      <w:r>
        <w:t>The court noted a death penalty case raised less concern than a case in which the potential sanction would be unknown by the jury</w:t>
      </w:r>
      <w:r>
        <w:t xml:space="preserve">.  </w:t>
      </w:r>
    </w:p>
    <w:p w:rsidR="009B4B97" w:rsidRPr="001246BE" w:rsidRDefault="00EF4903" w:rsidP="009B4B97">
      <w:pPr>
        <w:spacing w:line="480" w:lineRule="atLeast"/>
      </w:pPr>
      <w:r>
        <w:tab/>
        <w:t>The court advised all audience members in the courtroom, whether</w:t>
      </w:r>
      <w:r>
        <w:t xml:space="preserve"> they</w:t>
      </w:r>
      <w:r>
        <w:t xml:space="preserve"> </w:t>
      </w:r>
      <w:r>
        <w:t xml:space="preserve">were </w:t>
      </w:r>
      <w:r>
        <w:t xml:space="preserve">there to </w:t>
      </w:r>
      <w:r>
        <w:t>support the victims or defendants, not to speak to any member of the</w:t>
      </w:r>
      <w:r>
        <w:t xml:space="preserve"> empaneled</w:t>
      </w:r>
      <w:r>
        <w:t xml:space="preserve"> jury or the alternates.  Finally, the court suggested audience members spread the word to their friends and relatives</w:t>
      </w:r>
      <w:r>
        <w:t xml:space="preserve"> to refrain from contact with the jury.  The court warned th</w:t>
      </w:r>
      <w:r>
        <w:t xml:space="preserve">at </w:t>
      </w:r>
      <w:r>
        <w:t xml:space="preserve">if an audience member was found </w:t>
      </w:r>
      <w:r>
        <w:t>to have spoken with a juror, that</w:t>
      </w:r>
      <w:r>
        <w:t xml:space="preserve"> person would be excused from “attending or part</w:t>
      </w:r>
      <w:r>
        <w:t xml:space="preserve">icipating in this proceeding.” </w:t>
      </w:r>
      <w:r>
        <w:t xml:space="preserve"> </w:t>
      </w:r>
    </w:p>
    <w:p w:rsidR="009B4B97" w:rsidRPr="001246BE" w:rsidRDefault="00EF4903">
      <w:pPr>
        <w:pStyle w:val="Heading4"/>
        <w:rPr>
          <w:rFonts w:ascii="Times New Roman" w:hAnsi="Times New Roman"/>
          <w:b w:val="0"/>
          <w:color w:val="auto"/>
        </w:rPr>
      </w:pPr>
      <w:r w:rsidRPr="001246BE">
        <w:rPr>
          <w:rFonts w:ascii="Times New Roman" w:hAnsi="Times New Roman"/>
          <w:b w:val="0"/>
          <w:color w:val="auto"/>
        </w:rPr>
        <w:tab/>
      </w:r>
      <w:r w:rsidRPr="001246BE">
        <w:rPr>
          <w:rFonts w:ascii="Times New Roman" w:hAnsi="Times New Roman"/>
          <w:b w:val="0"/>
          <w:color w:val="auto"/>
        </w:rPr>
        <w:tab/>
      </w:r>
      <w:r w:rsidRPr="001246BE">
        <w:rPr>
          <w:rFonts w:ascii="Times New Roman" w:hAnsi="Times New Roman"/>
          <w:b w:val="0"/>
          <w:color w:val="auto"/>
        </w:rPr>
        <w:tab/>
      </w:r>
      <w:r w:rsidRPr="001246BE">
        <w:rPr>
          <w:rFonts w:ascii="Times New Roman" w:hAnsi="Times New Roman"/>
          <w:b w:val="0"/>
          <w:i w:val="0"/>
          <w:color w:val="auto"/>
        </w:rPr>
        <w:t>b.</w:t>
      </w:r>
      <w:r w:rsidRPr="001246BE">
        <w:rPr>
          <w:rFonts w:ascii="Times New Roman" w:hAnsi="Times New Roman"/>
          <w:b w:val="0"/>
          <w:i w:val="0"/>
          <w:color w:val="auto"/>
        </w:rPr>
        <w:tab/>
      </w:r>
      <w:r w:rsidRPr="001246BE">
        <w:rPr>
          <w:rFonts w:ascii="Times New Roman" w:hAnsi="Times New Roman"/>
          <w:b w:val="0"/>
          <w:color w:val="auto"/>
        </w:rPr>
        <w:t>Discussion</w:t>
      </w:r>
    </w:p>
    <w:p w:rsidR="00E635A1" w:rsidRDefault="00EF4903" w:rsidP="00426AE3">
      <w:pPr>
        <w:spacing w:line="480" w:lineRule="atLeast"/>
      </w:pPr>
      <w:r>
        <w:tab/>
      </w:r>
      <w:r>
        <w:t>Each</w:t>
      </w:r>
      <w:r>
        <w:t xml:space="preserve"> criminal defendant </w:t>
      </w:r>
      <w:r>
        <w:t xml:space="preserve">is </w:t>
      </w:r>
      <w:r>
        <w:t xml:space="preserve">entitled to </w:t>
      </w:r>
      <w:r>
        <w:t xml:space="preserve">an </w:t>
      </w:r>
      <w:r>
        <w:t>impartial jury</w:t>
      </w:r>
      <w:r>
        <w:t>.</w:t>
      </w:r>
      <w:r>
        <w:t xml:space="preserve"> </w:t>
      </w:r>
      <w:r>
        <w:t xml:space="preserve"> </w:t>
      </w:r>
      <w:r>
        <w:t>(</w:t>
      </w:r>
      <w:r>
        <w:rPr>
          <w:i/>
        </w:rPr>
        <w:t xml:space="preserve">People v. </w:t>
      </w:r>
      <w:proofErr w:type="spellStart"/>
      <w:r>
        <w:rPr>
          <w:i/>
        </w:rPr>
        <w:t>Mickel</w:t>
      </w:r>
      <w:proofErr w:type="spellEnd"/>
      <w:r>
        <w:t xml:space="preserve"> (2016) 2 </w:t>
      </w:r>
      <w:r>
        <w:t>Cal</w:t>
      </w:r>
      <w:r>
        <w:t xml:space="preserve">.5th 181, 215, citing </w:t>
      </w:r>
      <w:r>
        <w:rPr>
          <w:i/>
        </w:rPr>
        <w:t>People v. Earp</w:t>
      </w:r>
      <w:r>
        <w:t xml:space="preserve"> (1999) 20 Cal.4th 826, 852.)  That entitlement</w:t>
      </w:r>
      <w:r>
        <w:t xml:space="preserve"> imposes upon each juror a duty to maintain im</w:t>
      </w:r>
      <w:r>
        <w:t>partiality throughout the trial.  (</w:t>
      </w:r>
      <w:r>
        <w:rPr>
          <w:i/>
        </w:rPr>
        <w:t>People</w:t>
      </w:r>
      <w:r>
        <w:rPr>
          <w:i/>
        </w:rPr>
        <w:t> </w:t>
      </w:r>
      <w:r>
        <w:rPr>
          <w:i/>
        </w:rPr>
        <w:t>v. </w:t>
      </w:r>
      <w:proofErr w:type="spellStart"/>
      <w:r>
        <w:rPr>
          <w:i/>
        </w:rPr>
        <w:t>Nesler</w:t>
      </w:r>
      <w:proofErr w:type="spellEnd"/>
      <w:r>
        <w:t xml:space="preserve"> (1997) 16 Cal.4th 561, 578.)</w:t>
      </w:r>
      <w:r>
        <w:t xml:space="preserve"> </w:t>
      </w:r>
      <w:r>
        <w:t xml:space="preserve"> T</w:t>
      </w:r>
      <w:r>
        <w:t xml:space="preserve">he loss of impartiality requires dismissal of the juror.  </w:t>
      </w:r>
      <w:r>
        <w:t>(</w:t>
      </w:r>
      <w:r>
        <w:rPr>
          <w:i/>
        </w:rPr>
        <w:t>Ibid</w:t>
      </w:r>
      <w:r w:rsidRPr="00D64D5F">
        <w:rPr>
          <w:i/>
        </w:rPr>
        <w:t>.</w:t>
      </w:r>
      <w:r>
        <w:t>)</w:t>
      </w:r>
      <w:r>
        <w:t xml:space="preserve">  Loss of impartiality may result from a juror’s receipt of information about the case that was not part of the evidence received at trial.  (</w:t>
      </w:r>
      <w:r>
        <w:rPr>
          <w:i/>
        </w:rPr>
        <w:t>Ibid.</w:t>
      </w:r>
      <w:r>
        <w:t xml:space="preserve">)  </w:t>
      </w:r>
      <w:r>
        <w:t>A jury must be “capable and willing to de</w:t>
      </w:r>
      <w:r>
        <w:t>cide the case solely on the evidence before it,” lest a due process violation occur.  (</w:t>
      </w:r>
      <w:r>
        <w:rPr>
          <w:i/>
        </w:rPr>
        <w:t>Smith v. Phillips</w:t>
      </w:r>
      <w:r>
        <w:t xml:space="preserve"> (1982) 455 U.S. 209, 217.)  </w:t>
      </w:r>
    </w:p>
    <w:p w:rsidR="00E94101" w:rsidRDefault="00EF4903" w:rsidP="00470940">
      <w:pPr>
        <w:spacing w:line="480" w:lineRule="atLeast"/>
      </w:pPr>
      <w:r>
        <w:tab/>
        <w:t xml:space="preserve"> Rangel argues his right to due process was violated by the court’s inadequate voir dire following Juror No. 7’s revelati</w:t>
      </w:r>
      <w:r>
        <w:t xml:space="preserve">on that she spoke with </w:t>
      </w:r>
      <w:proofErr w:type="spellStart"/>
      <w:r>
        <w:t>Mora</w:t>
      </w:r>
      <w:proofErr w:type="spellEnd"/>
      <w:r>
        <w:t xml:space="preserve"> or Rangel’s</w:t>
      </w:r>
      <w:r>
        <w:t xml:space="preserve"> mother.  </w:t>
      </w:r>
      <w:r>
        <w:t>“The law is clear . . . that the court must investigate reports of juror misconduct to determine whether cause exists to replace an offending juror with a substitute.”  (</w:t>
      </w:r>
      <w:r>
        <w:rPr>
          <w:i/>
        </w:rPr>
        <w:t>People</w:t>
      </w:r>
      <w:r>
        <w:rPr>
          <w:i/>
        </w:rPr>
        <w:t> </w:t>
      </w:r>
      <w:r>
        <w:rPr>
          <w:i/>
        </w:rPr>
        <w:t>v. Keenan</w:t>
      </w:r>
      <w:r>
        <w:t xml:space="preserve"> (1988) 46 Cal.3d 478</w:t>
      </w:r>
      <w:r>
        <w:t>, 532</w:t>
      </w:r>
      <w:r>
        <w:t xml:space="preserve">.)  </w:t>
      </w:r>
      <w:r>
        <w:t>If a juror’s ability to perform his or her duty is called into question, a court is expected to hold a hearing; failure to conduct a sufficient hearing constitutes an abuse of discretion.  (</w:t>
      </w:r>
      <w:r>
        <w:rPr>
          <w:i/>
        </w:rPr>
        <w:t>Ibid</w:t>
      </w:r>
      <w:r>
        <w:rPr>
          <w:i/>
        </w:rPr>
        <w:t>.</w:t>
      </w:r>
      <w:r>
        <w:t xml:space="preserve">, citing </w:t>
      </w:r>
      <w:r>
        <w:rPr>
          <w:i/>
        </w:rPr>
        <w:t xml:space="preserve">People v. </w:t>
      </w:r>
      <w:proofErr w:type="spellStart"/>
      <w:r>
        <w:rPr>
          <w:i/>
        </w:rPr>
        <w:t>Burgener</w:t>
      </w:r>
      <w:proofErr w:type="spellEnd"/>
      <w:r>
        <w:t xml:space="preserve"> (1986) 41 </w:t>
      </w:r>
      <w:r>
        <w:t>Cal.3d 505, 51</w:t>
      </w:r>
      <w:r>
        <w:t>9</w:t>
      </w:r>
      <w:r>
        <w:t>–</w:t>
      </w:r>
      <w:r>
        <w:t>520.)  Following a hearing, the</w:t>
      </w:r>
      <w:r>
        <w:t xml:space="preserve"> trial court may discharge a juror </w:t>
      </w:r>
      <w:r>
        <w:t>if it finds</w:t>
      </w:r>
      <w:r>
        <w:t xml:space="preserve"> that the</w:t>
      </w:r>
      <w:r>
        <w:t xml:space="preserve"> juror is unable to perform his or her duty.</w:t>
      </w:r>
      <w:r>
        <w:t xml:space="preserve">  (§ 1089.)</w:t>
      </w:r>
    </w:p>
    <w:p w:rsidR="006F46EA" w:rsidRDefault="00EF4903" w:rsidP="000163B8">
      <w:pPr>
        <w:spacing w:line="480" w:lineRule="atLeast"/>
      </w:pPr>
      <w:r>
        <w:tab/>
      </w:r>
      <w:r>
        <w:t>We conclude t</w:t>
      </w:r>
      <w:r>
        <w:t>he trial court’s hearing concerning Juror No. 7’s unwitting contact with the mother was sufficient</w:t>
      </w:r>
      <w:r>
        <w:t xml:space="preserve">.  </w:t>
      </w:r>
      <w:r>
        <w:t>Consistent with its obligation, t</w:t>
      </w:r>
      <w:r>
        <w:t xml:space="preserve">he trial court immediately </w:t>
      </w:r>
      <w:r>
        <w:t>investigated Juror No. 7’s report that she believed she had</w:t>
      </w:r>
      <w:r>
        <w:t xml:space="preserve"> contact with </w:t>
      </w:r>
      <w:r>
        <w:t>a party’s relative</w:t>
      </w:r>
      <w:r>
        <w:t>.</w:t>
      </w:r>
      <w:r>
        <w:t xml:space="preserve">  Following a thorough examination by the court and parties, the court concluded that Juror No. 7 cou</w:t>
      </w:r>
      <w:r>
        <w:t>ld perform her duty as a juror and declined to dismiss her.</w:t>
      </w:r>
      <w:r>
        <w:t xml:space="preserve">  </w:t>
      </w:r>
    </w:p>
    <w:p w:rsidR="007E3D39" w:rsidRDefault="00EF4903" w:rsidP="000163B8">
      <w:pPr>
        <w:spacing w:line="480" w:lineRule="atLeast"/>
      </w:pPr>
      <w:r>
        <w:tab/>
      </w:r>
      <w:r>
        <w:t>In claiming</w:t>
      </w:r>
      <w:r>
        <w:t xml:space="preserve"> the court’s examination was inadequate, </w:t>
      </w:r>
      <w:r>
        <w:t xml:space="preserve">Rangel </w:t>
      </w:r>
      <w:r>
        <w:t xml:space="preserve">alleges only that the court failed to assess the effect, if any, of Juror No. 7’s conversation with </w:t>
      </w:r>
      <w:r>
        <w:t xml:space="preserve">the mother </w:t>
      </w:r>
      <w:r>
        <w:t>on the other jurors.</w:t>
      </w:r>
      <w:r>
        <w:t xml:space="preserve">  </w:t>
      </w:r>
      <w:r>
        <w:t>We</w:t>
      </w:r>
      <w:r>
        <w:t xml:space="preserve"> n</w:t>
      </w:r>
      <w:r>
        <w:t xml:space="preserve">ote at the outset that Rangel </w:t>
      </w:r>
      <w:r>
        <w:t>was given an opportunity to question Juror No. 7 after the court comp</w:t>
      </w:r>
      <w:r>
        <w:t xml:space="preserve">leted its inquiry, and Rangel </w:t>
      </w:r>
      <w:r>
        <w:t xml:space="preserve">failed to raise any questions regarding the impact </w:t>
      </w:r>
      <w:r>
        <w:t xml:space="preserve">on other jurors </w:t>
      </w:r>
      <w:r>
        <w:t xml:space="preserve">of Juror No. 7’s </w:t>
      </w:r>
      <w:r>
        <w:t>contact with the mother</w:t>
      </w:r>
      <w:r>
        <w:t>.  Rangel did no</w:t>
      </w:r>
      <w:r>
        <w:t>t ask if Juror No.</w:t>
      </w:r>
      <w:r>
        <w:t> </w:t>
      </w:r>
      <w:r>
        <w:t xml:space="preserve">7 discussed the encounter with any other juror.  Assuming Rangel’s argument is not forfeited via his counsel’s own failure to examine Juror No. 7 as he now claims was compelled, </w:t>
      </w:r>
      <w:r>
        <w:t xml:space="preserve">we </w:t>
      </w:r>
      <w:r>
        <w:t>nevertheless conclude that the trial court did not err b</w:t>
      </w:r>
      <w:r>
        <w:t xml:space="preserve">y declining to examine the effect, if any, of Juror No. 7’s conversation with </w:t>
      </w:r>
      <w:r>
        <w:t xml:space="preserve">the </w:t>
      </w:r>
      <w:r>
        <w:t>mother on other jurors.</w:t>
      </w:r>
    </w:p>
    <w:p w:rsidR="00470940" w:rsidRPr="009D5CAF" w:rsidRDefault="00EF4903" w:rsidP="000163B8">
      <w:pPr>
        <w:spacing w:line="480" w:lineRule="atLeast"/>
      </w:pPr>
      <w:r>
        <w:tab/>
        <w:t xml:space="preserve">A </w:t>
      </w:r>
      <w:r>
        <w:t>court</w:t>
      </w:r>
      <w:r>
        <w:t xml:space="preserve"> must </w:t>
      </w:r>
      <w:r>
        <w:t>hold a hearing</w:t>
      </w:r>
      <w:r w:rsidRPr="00532EEE">
        <w:t xml:space="preserve"> </w:t>
      </w:r>
      <w:r>
        <w:t>if a juror’s ability to perform his or her duty is called into question</w:t>
      </w:r>
      <w:r>
        <w:t>.  (</w:t>
      </w:r>
      <w:r>
        <w:rPr>
          <w:i/>
        </w:rPr>
        <w:t>People v. Keenan</w:t>
      </w:r>
      <w:r>
        <w:t xml:space="preserve">, </w:t>
      </w:r>
      <w:r>
        <w:rPr>
          <w:i/>
        </w:rPr>
        <w:t>supra</w:t>
      </w:r>
      <w:r>
        <w:t>, 46 Cal.3d at p. 532.)</w:t>
      </w:r>
      <w:r>
        <w:t xml:space="preserve">  </w:t>
      </w:r>
      <w:r>
        <w:t>The court did just that</w:t>
      </w:r>
      <w:r>
        <w:t xml:space="preserve"> here.  Only Juror No. 7’s ability to objectively serve as a juror was called into question, and the person who raised the question was Juror No. 7 herself.  No other juror’s ability to impartially serve was in issue.  </w:t>
      </w:r>
      <w:r>
        <w:t xml:space="preserve">Rangel does </w:t>
      </w:r>
      <w:r>
        <w:t>not allege</w:t>
      </w:r>
      <w:r>
        <w:t xml:space="preserve"> that the court was deficient because it should have questioned some or all of the other jurors; of course, the court</w:t>
      </w:r>
      <w:r>
        <w:t xml:space="preserve"> would have been obliged to do</w:t>
      </w:r>
      <w:r>
        <w:t xml:space="preserve"> so</w:t>
      </w:r>
      <w:r>
        <w:t xml:space="preserve"> if any other juror’s ability to pe</w:t>
      </w:r>
      <w:r>
        <w:t>rform his or her duty had been in doubt</w:t>
      </w:r>
      <w:r>
        <w:t xml:space="preserve">.  (See </w:t>
      </w:r>
      <w:r>
        <w:rPr>
          <w:i/>
        </w:rPr>
        <w:t>ibid</w:t>
      </w:r>
      <w:r w:rsidRPr="00D64D5F">
        <w:rPr>
          <w:i/>
        </w:rPr>
        <w:t>.</w:t>
      </w:r>
      <w:r>
        <w:t xml:space="preserve">)  </w:t>
      </w:r>
      <w:r>
        <w:t>The tr</w:t>
      </w:r>
      <w:r>
        <w:t xml:space="preserve">ial court adequately probed and resolved the question of whether </w:t>
      </w:r>
      <w:r>
        <w:t>Juror No. 7</w:t>
      </w:r>
      <w:r>
        <w:t xml:space="preserve"> could continue to</w:t>
      </w:r>
      <w:r>
        <w:t xml:space="preserve"> impartiality </w:t>
      </w:r>
      <w:r>
        <w:t>serve</w:t>
      </w:r>
      <w:r>
        <w:t xml:space="preserve">.  </w:t>
      </w:r>
      <w:r>
        <w:t xml:space="preserve">Indeed, the court commended Juror No. 7’s prompt efforts to communicate the potential issue to the court and see it resolved.  </w:t>
      </w:r>
      <w:r>
        <w:t>The court was</w:t>
      </w:r>
      <w:r>
        <w:t xml:space="preserve"> not obliged to evaluate whether Juror No. 7’s conversation affected the other jurors when there was no suspicion that any other juror</w:t>
      </w:r>
      <w:r>
        <w:t xml:space="preserve"> became unable</w:t>
      </w:r>
      <w:r>
        <w:t xml:space="preserve"> to impartially serve</w:t>
      </w:r>
      <w:r>
        <w:t xml:space="preserve"> (or even that another juror became aware of Juror No.</w:t>
      </w:r>
      <w:r>
        <w:t> </w:t>
      </w:r>
      <w:r>
        <w:t>7’s conversation with the mother</w:t>
      </w:r>
      <w:r>
        <w:t>)</w:t>
      </w:r>
      <w:r>
        <w:t>.</w:t>
      </w:r>
      <w:r>
        <w:t xml:space="preserve">  </w:t>
      </w:r>
      <w:r>
        <w:t>Accordingly, the court’s inquiry into Juror No.</w:t>
      </w:r>
      <w:r>
        <w:t> </w:t>
      </w:r>
      <w:r>
        <w:t>7’s ability to impartiall</w:t>
      </w:r>
      <w:r>
        <w:t>y perform her duty was adequate, and no error occurred.  Even if error occurred, it would not have been prejudicial because there is no substantial likelihood that Juror No. 7 was</w:t>
      </w:r>
      <w:r>
        <w:t xml:space="preserve"> actually biased.  </w:t>
      </w:r>
      <w:r>
        <w:t xml:space="preserve">(See </w:t>
      </w:r>
      <w:r>
        <w:rPr>
          <w:i/>
        </w:rPr>
        <w:t>In re Hamilton</w:t>
      </w:r>
      <w:r>
        <w:t xml:space="preserve"> (1999) 20 Cal.4th 273, 294–</w:t>
      </w:r>
      <w:r>
        <w:t>296.)</w:t>
      </w:r>
    </w:p>
    <w:p w:rsidR="00AE485D" w:rsidRDefault="00EF4903" w:rsidP="00426AE3">
      <w:pPr>
        <w:spacing w:line="480" w:lineRule="atLeast"/>
      </w:pPr>
      <w:r>
        <w:tab/>
        <w:t xml:space="preserve">Rangel </w:t>
      </w:r>
      <w:r>
        <w:t xml:space="preserve">also </w:t>
      </w:r>
      <w:r>
        <w:t xml:space="preserve">alleges the </w:t>
      </w:r>
      <w:r>
        <w:t xml:space="preserve">court erred </w:t>
      </w:r>
      <w:r>
        <w:t xml:space="preserve">when it </w:t>
      </w:r>
      <w:r>
        <w:t>failed</w:t>
      </w:r>
      <w:r>
        <w:t xml:space="preserve"> </w:t>
      </w:r>
      <w:r>
        <w:t>to dismi</w:t>
      </w:r>
      <w:r>
        <w:t>ss Juror No. 7.  The juror should ha</w:t>
      </w:r>
      <w:r>
        <w:t xml:space="preserve">ve been dismissed, contends Rangel, because </w:t>
      </w:r>
      <w:r>
        <w:t>what was said to her was</w:t>
      </w:r>
      <w:r>
        <w:t xml:space="preserve"> outside the scope of the evidence presented at trial</w:t>
      </w:r>
      <w:r>
        <w:t xml:space="preserve"> and</w:t>
      </w:r>
      <w:r>
        <w:t xml:space="preserve"> constituted error in violation of </w:t>
      </w:r>
      <w:r>
        <w:t>Rangel’s</w:t>
      </w:r>
      <w:r>
        <w:t xml:space="preserve"> </w:t>
      </w:r>
      <w:r>
        <w:t xml:space="preserve">right </w:t>
      </w:r>
      <w:r>
        <w:t>to due process.</w:t>
      </w:r>
      <w:r>
        <w:t xml:space="preserve">  </w:t>
      </w:r>
      <w:r>
        <w:t>I</w:t>
      </w:r>
      <w:r>
        <w:t>f “ ‘extraneous material’ ” presented to a juror, “ ‘judged objectively, is inherently and substantially like</w:t>
      </w:r>
      <w:r>
        <w:t xml:space="preserve">ly to have influenced </w:t>
      </w:r>
      <w:r>
        <w:t>the juror,</w:t>
      </w:r>
      <w:r>
        <w:t>’ ”</w:t>
      </w:r>
      <w:r>
        <w:t xml:space="preserve"> bias </w:t>
      </w:r>
      <w:r>
        <w:t>may</w:t>
      </w:r>
      <w:r>
        <w:t xml:space="preserve"> be found. </w:t>
      </w:r>
      <w:r>
        <w:t xml:space="preserve"> (</w:t>
      </w:r>
      <w:r>
        <w:rPr>
          <w:i/>
        </w:rPr>
        <w:t xml:space="preserve">People v. </w:t>
      </w:r>
      <w:proofErr w:type="spellStart"/>
      <w:r>
        <w:rPr>
          <w:i/>
        </w:rPr>
        <w:t>Danks</w:t>
      </w:r>
      <w:proofErr w:type="spellEnd"/>
      <w:r>
        <w:t xml:space="preserve"> (2004) 32 Cal.4th 269, 30</w:t>
      </w:r>
      <w:r>
        <w:t>3</w:t>
      </w:r>
      <w:r>
        <w:t xml:space="preserve">.)  </w:t>
      </w:r>
      <w:r>
        <w:t>Rangel contends that Juror No.</w:t>
      </w:r>
      <w:r>
        <w:t> </w:t>
      </w:r>
      <w:r>
        <w:t xml:space="preserve">7 was actually biased because she possessed unforgettable information that she was not permitted to consider as a matter of law.  That is, </w:t>
      </w:r>
      <w:r>
        <w:t>Range</w:t>
      </w:r>
      <w:r>
        <w:t xml:space="preserve">l asserts </w:t>
      </w:r>
      <w:r>
        <w:t>Juror No.</w:t>
      </w:r>
      <w:r>
        <w:t> </w:t>
      </w:r>
      <w:r>
        <w:t xml:space="preserve">7 knew that </w:t>
      </w:r>
      <w:r>
        <w:t>a plea agreement</w:t>
      </w:r>
      <w:r>
        <w:t xml:space="preserve"> was rejected</w:t>
      </w:r>
      <w:r>
        <w:t xml:space="preserve">, </w:t>
      </w:r>
      <w:r>
        <w:t>making</w:t>
      </w:r>
      <w:r>
        <w:t xml:space="preserve"> Juror No. 7 more like</w:t>
      </w:r>
      <w:r>
        <w:t>ly to infer that Rangel</w:t>
      </w:r>
      <w:r>
        <w:t xml:space="preserve"> was guilty, and </w:t>
      </w:r>
      <w:r>
        <w:t xml:space="preserve">leaving </w:t>
      </w:r>
      <w:r>
        <w:t>“an inerasable impression” that Rangel, though guilty, decided to take his chances with trial, and should therefore s</w:t>
      </w:r>
      <w:r>
        <w:t>uffer the death penalty if found guilty.  (</w:t>
      </w:r>
      <w:r>
        <w:rPr>
          <w:i/>
        </w:rPr>
        <w:t>People v. Lambright</w:t>
      </w:r>
      <w:r>
        <w:t xml:space="preserve"> </w:t>
      </w:r>
      <w:r>
        <w:t>(</w:t>
      </w:r>
      <w:r>
        <w:t>1964) 61 Cal.2d 482, 486</w:t>
      </w:r>
      <w:r>
        <w:t xml:space="preserve">; see </w:t>
      </w:r>
      <w:r>
        <w:rPr>
          <w:i/>
        </w:rPr>
        <w:t>id.</w:t>
      </w:r>
      <w:r>
        <w:t xml:space="preserve"> at p. </w:t>
      </w:r>
      <w:r>
        <w:t>487.)</w:t>
      </w:r>
      <w:r>
        <w:t xml:space="preserve">  </w:t>
      </w:r>
      <w:r>
        <w:t>The refusal of a</w:t>
      </w:r>
      <w:r>
        <w:t xml:space="preserve"> guilty plea</w:t>
      </w:r>
      <w:r>
        <w:t>, of course,</w:t>
      </w:r>
      <w:r>
        <w:t xml:space="preserve"> is not necessarily indicative of culpability and may instead be consistent with a defendant’s belief in his innocence or reduced culpability.</w:t>
      </w:r>
    </w:p>
    <w:p w:rsidR="00E21DDC" w:rsidRDefault="00EF4903" w:rsidP="00426AE3">
      <w:pPr>
        <w:spacing w:line="480" w:lineRule="atLeast"/>
      </w:pPr>
      <w:r>
        <w:tab/>
      </w:r>
      <w:r>
        <w:t xml:space="preserve">Receipt of extraneous information is not </w:t>
      </w:r>
      <w:r>
        <w:t>“</w:t>
      </w:r>
      <w:r>
        <w:t> </w:t>
      </w:r>
      <w:r>
        <w:t>‘misconduct’ in the pejorative sense,”</w:t>
      </w:r>
      <w:r>
        <w:t xml:space="preserve"> but</w:t>
      </w:r>
      <w:r>
        <w:t xml:space="preserve"> it “may require similar ex</w:t>
      </w:r>
      <w:r>
        <w:t>amination for probable prejudice.”  (</w:t>
      </w:r>
      <w:r>
        <w:rPr>
          <w:i/>
        </w:rPr>
        <w:t>In re Hamilton</w:t>
      </w:r>
      <w:r>
        <w:t xml:space="preserve">, </w:t>
      </w:r>
      <w:r>
        <w:rPr>
          <w:i/>
        </w:rPr>
        <w:t>supra</w:t>
      </w:r>
      <w:r>
        <w:t>,</w:t>
      </w:r>
      <w:r>
        <w:t xml:space="preserve"> 20 Cal.4th </w:t>
      </w:r>
      <w:r>
        <w:t>at p.</w:t>
      </w:r>
      <w:r>
        <w:t xml:space="preserve"> 295.) </w:t>
      </w:r>
      <w:r>
        <w:t xml:space="preserve"> </w:t>
      </w:r>
      <w:r>
        <w:t>If a sitting juror communicates with a non-juror, there arises “</w:t>
      </w:r>
      <w:r>
        <w:t>a rebuttable ‘presumption’ of prejudice.”  (</w:t>
      </w:r>
      <w:r>
        <w:rPr>
          <w:i/>
        </w:rPr>
        <w:t>I</w:t>
      </w:r>
      <w:r>
        <w:rPr>
          <w:i/>
        </w:rPr>
        <w:t>bi</w:t>
      </w:r>
      <w:r>
        <w:rPr>
          <w:i/>
        </w:rPr>
        <w:t>d</w:t>
      </w:r>
      <w:r w:rsidRPr="00D64D5F">
        <w:rPr>
          <w:i/>
        </w:rPr>
        <w:t>.</w:t>
      </w:r>
      <w:r>
        <w:t xml:space="preserve">)  </w:t>
      </w:r>
      <w:r>
        <w:t>The</w:t>
      </w:r>
      <w:r>
        <w:t xml:space="preserve"> presumption can be rebutted by demonstrating</w:t>
      </w:r>
      <w:r>
        <w:t xml:space="preserve"> there i</w:t>
      </w:r>
      <w:r>
        <w:t>s</w:t>
      </w:r>
      <w:r>
        <w:t xml:space="preserve"> “no substantial likelihood that one or more jurors were actually biased against the defendant.”  (</w:t>
      </w:r>
      <w:r>
        <w:rPr>
          <w:i/>
        </w:rPr>
        <w:t>Id</w:t>
      </w:r>
      <w:r w:rsidRPr="00D64D5F">
        <w:rPr>
          <w:i/>
        </w:rPr>
        <w:t>.</w:t>
      </w:r>
      <w:r>
        <w:t xml:space="preserve"> at p. 296.)</w:t>
      </w:r>
      <w:r>
        <w:t xml:space="preserve"> </w:t>
      </w:r>
      <w:r>
        <w:t xml:space="preserve"> </w:t>
      </w:r>
      <w:r>
        <w:t>A</w:t>
      </w:r>
      <w:r>
        <w:t xml:space="preserve"> substantial likelihood of bias </w:t>
      </w:r>
      <w:r>
        <w:t>may</w:t>
      </w:r>
      <w:r>
        <w:t xml:space="preserve"> be found where the material was not inherently prejudicial but the totality of the circumstances sugge</w:t>
      </w:r>
      <w:r>
        <w:t>st actual bias arose.  (</w:t>
      </w:r>
      <w:r>
        <w:rPr>
          <w:i/>
        </w:rPr>
        <w:t xml:space="preserve">People v. </w:t>
      </w:r>
      <w:proofErr w:type="spellStart"/>
      <w:r>
        <w:rPr>
          <w:i/>
        </w:rPr>
        <w:t>Danks</w:t>
      </w:r>
      <w:proofErr w:type="spellEnd"/>
      <w:r>
        <w:t xml:space="preserve">, </w:t>
      </w:r>
      <w:r>
        <w:rPr>
          <w:i/>
        </w:rPr>
        <w:t>supra</w:t>
      </w:r>
      <w:r>
        <w:t xml:space="preserve">, 32 Cal.4th at </w:t>
      </w:r>
      <w:r>
        <w:t xml:space="preserve">p. 303.)  </w:t>
      </w:r>
    </w:p>
    <w:p w:rsidR="00467833" w:rsidRPr="004663C2" w:rsidRDefault="00EF4903" w:rsidP="006867C0">
      <w:pPr>
        <w:spacing w:line="480" w:lineRule="atLeast"/>
      </w:pPr>
      <w:r>
        <w:tab/>
      </w:r>
      <w:r>
        <w:t>Precisely what constitutes “</w:t>
      </w:r>
      <w:r>
        <w:t xml:space="preserve"> ‘</w:t>
      </w:r>
      <w:r>
        <w:t>actual bias</w:t>
      </w:r>
      <w:r>
        <w:t xml:space="preserve">’ </w:t>
      </w:r>
      <w:r>
        <w:t xml:space="preserve">” of a juror may vary somewhat depending on the particular circumstances of the case.  </w:t>
      </w:r>
      <w:r>
        <w:t>(</w:t>
      </w:r>
      <w:r w:rsidRPr="006867C0">
        <w:rPr>
          <w:i/>
        </w:rPr>
        <w:t xml:space="preserve">People v. </w:t>
      </w:r>
      <w:proofErr w:type="spellStart"/>
      <w:r w:rsidRPr="006867C0">
        <w:rPr>
          <w:i/>
        </w:rPr>
        <w:t>Nesler</w:t>
      </w:r>
      <w:proofErr w:type="spellEnd"/>
      <w:r>
        <w:t xml:space="preserve">, </w:t>
      </w:r>
      <w:r>
        <w:rPr>
          <w:i/>
        </w:rPr>
        <w:t>supra</w:t>
      </w:r>
      <w:r>
        <w:t xml:space="preserve">, </w:t>
      </w:r>
      <w:r>
        <w:t>16 </w:t>
      </w:r>
      <w:r w:rsidRPr="006867C0">
        <w:t xml:space="preserve">Cal.4th </w:t>
      </w:r>
      <w:r>
        <w:t>at p.</w:t>
      </w:r>
      <w:r>
        <w:t> </w:t>
      </w:r>
      <w:r w:rsidRPr="006867C0">
        <w:t>580</w:t>
      </w:r>
      <w:r>
        <w:t>.)</w:t>
      </w:r>
      <w:r>
        <w:t xml:space="preserve">  The United States Supreme Court has explained that bias, or impartiality, </w:t>
      </w:r>
      <w:r>
        <w:t>is a state of mind rather some specific course of conduct.</w:t>
      </w:r>
      <w:r>
        <w:t xml:space="preserve"> </w:t>
      </w:r>
      <w:r>
        <w:t xml:space="preserve"> </w:t>
      </w:r>
      <w:r>
        <w:t>(</w:t>
      </w:r>
      <w:r>
        <w:rPr>
          <w:i/>
        </w:rPr>
        <w:t>United States v</w:t>
      </w:r>
      <w:r>
        <w:rPr>
          <w:i/>
        </w:rPr>
        <w:t>. </w:t>
      </w:r>
      <w:r>
        <w:rPr>
          <w:i/>
        </w:rPr>
        <w:t>Wood</w:t>
      </w:r>
      <w:r>
        <w:t xml:space="preserve"> (1936) 299 </w:t>
      </w:r>
      <w:r>
        <w:t>U.S. 123, 145–</w:t>
      </w:r>
      <w:r>
        <w:t xml:space="preserve">146.) </w:t>
      </w:r>
      <w:r>
        <w:t xml:space="preserve"> In assessing whether that state of mind is present or not, the</w:t>
      </w:r>
      <w:r>
        <w:t xml:space="preserve"> la</w:t>
      </w:r>
      <w:r>
        <w:t>w makes room for a juror’s humanity, understanding that a juror may not “be totally ignorant of the facts and issues involved.”  (</w:t>
      </w:r>
      <w:r>
        <w:rPr>
          <w:i/>
        </w:rPr>
        <w:t>Irvin v. Dowd</w:t>
      </w:r>
      <w:r>
        <w:t xml:space="preserve"> (1961) </w:t>
      </w:r>
      <w:r>
        <w:t>3</w:t>
      </w:r>
      <w:r>
        <w:t>66 U.S. </w:t>
      </w:r>
      <w:r>
        <w:t>717,</w:t>
      </w:r>
      <w:r>
        <w:t xml:space="preserve"> 722</w:t>
      </w:r>
      <w:r>
        <w:t xml:space="preserve">; see also </w:t>
      </w:r>
      <w:r>
        <w:rPr>
          <w:i/>
        </w:rPr>
        <w:t xml:space="preserve">People v. </w:t>
      </w:r>
      <w:proofErr w:type="spellStart"/>
      <w:r>
        <w:rPr>
          <w:i/>
        </w:rPr>
        <w:t>Nesler</w:t>
      </w:r>
      <w:proofErr w:type="spellEnd"/>
      <w:r>
        <w:t xml:space="preserve">, </w:t>
      </w:r>
      <w:r>
        <w:rPr>
          <w:i/>
        </w:rPr>
        <w:t>supra</w:t>
      </w:r>
      <w:r>
        <w:t>, 16 Cal.4th at p. 580</w:t>
      </w:r>
      <w:r>
        <w:t xml:space="preserve">.)  </w:t>
      </w:r>
      <w:r>
        <w:t xml:space="preserve">If </w:t>
      </w:r>
      <w:r>
        <w:t xml:space="preserve">a </w:t>
      </w:r>
      <w:r>
        <w:t>juror</w:t>
      </w:r>
      <w:r>
        <w:t xml:space="preserve"> is able to set as</w:t>
      </w:r>
      <w:r>
        <w:t>ide</w:t>
      </w:r>
      <w:r>
        <w:t xml:space="preserve"> impressions and opinions </w:t>
      </w:r>
      <w:r>
        <w:t xml:space="preserve">to render </w:t>
      </w:r>
      <w:r>
        <w:t>a verdict based on the evidence presented in court, the juror is impartial.  (</w:t>
      </w:r>
      <w:r>
        <w:rPr>
          <w:i/>
        </w:rPr>
        <w:t>Smith v. Phillips</w:t>
      </w:r>
      <w:r>
        <w:t xml:space="preserve">, </w:t>
      </w:r>
      <w:r>
        <w:rPr>
          <w:i/>
        </w:rPr>
        <w:t>supra</w:t>
      </w:r>
      <w:r>
        <w:t>,</w:t>
      </w:r>
      <w:r>
        <w:t xml:space="preserve"> 455 U.S.</w:t>
      </w:r>
      <w:r>
        <w:t xml:space="preserve"> at p.</w:t>
      </w:r>
      <w:r>
        <w:t xml:space="preserve"> 217.)</w:t>
      </w:r>
      <w:r>
        <w:t xml:space="preserve"> </w:t>
      </w:r>
      <w:r>
        <w:t xml:space="preserve"> If, on the other hand, the juror forms an opinion so strong that the court is of the belief</w:t>
      </w:r>
      <w:r>
        <w:t xml:space="preserve"> it cannot be set aside even if the juror does not express it, the juror will be adjudged biased.  (</w:t>
      </w:r>
      <w:r>
        <w:rPr>
          <w:i/>
        </w:rPr>
        <w:t>Irvin</w:t>
      </w:r>
      <w:r>
        <w:rPr>
          <w:i/>
        </w:rPr>
        <w:t> </w:t>
      </w:r>
      <w:r>
        <w:rPr>
          <w:i/>
        </w:rPr>
        <w:t>v. </w:t>
      </w:r>
      <w:r>
        <w:rPr>
          <w:i/>
        </w:rPr>
        <w:t>Dowd</w:t>
      </w:r>
      <w:r>
        <w:t xml:space="preserve">, </w:t>
      </w:r>
      <w:r>
        <w:rPr>
          <w:i/>
        </w:rPr>
        <w:t>supra</w:t>
      </w:r>
      <w:r>
        <w:t>, 366 U.S. at p. 723</w:t>
      </w:r>
      <w:r>
        <w:t xml:space="preserve">; </w:t>
      </w:r>
      <w:r>
        <w:rPr>
          <w:i/>
        </w:rPr>
        <w:t xml:space="preserve">People v. </w:t>
      </w:r>
      <w:proofErr w:type="spellStart"/>
      <w:r>
        <w:rPr>
          <w:i/>
        </w:rPr>
        <w:t>Nesler</w:t>
      </w:r>
      <w:proofErr w:type="spellEnd"/>
      <w:r>
        <w:t xml:space="preserve">, </w:t>
      </w:r>
      <w:r>
        <w:rPr>
          <w:i/>
        </w:rPr>
        <w:t>supra</w:t>
      </w:r>
      <w:r>
        <w:t>, 16 Cal.4th at p. 580</w:t>
      </w:r>
      <w:r>
        <w:t>.)</w:t>
      </w:r>
      <w:r>
        <w:t xml:space="preserve">  The evaluation of bias </w:t>
      </w:r>
      <w:r>
        <w:t>presents</w:t>
      </w:r>
      <w:r>
        <w:t xml:space="preserve"> a mixed question of law and fact</w:t>
      </w:r>
      <w:r>
        <w:t xml:space="preserve"> on appeal</w:t>
      </w:r>
      <w:r>
        <w:t xml:space="preserve">, the resolution of which obliges this court to review the </w:t>
      </w:r>
      <w:r>
        <w:t xml:space="preserve">trial </w:t>
      </w:r>
      <w:r>
        <w:t>court’s examination and the juror’s responses.  (</w:t>
      </w:r>
      <w:r>
        <w:rPr>
          <w:i/>
        </w:rPr>
        <w:t>Ibid</w:t>
      </w:r>
      <w:r w:rsidRPr="00D64D5F">
        <w:rPr>
          <w:i/>
        </w:rPr>
        <w:t>.</w:t>
      </w:r>
      <w:r>
        <w:t>)</w:t>
      </w:r>
    </w:p>
    <w:p w:rsidR="005225B3" w:rsidRDefault="00EF4903" w:rsidP="006867C0">
      <w:pPr>
        <w:spacing w:line="480" w:lineRule="atLeast"/>
      </w:pPr>
      <w:r>
        <w:tab/>
        <w:t xml:space="preserve">Here, </w:t>
      </w:r>
      <w:r>
        <w:t>Juror No. 7 attested to her ability to impartially evaluate the evidence at the guilt phase of the trial.  She likewis</w:t>
      </w:r>
      <w:r>
        <w:t xml:space="preserve">e was certain that </w:t>
      </w:r>
      <w:r>
        <w:t xml:space="preserve">what </w:t>
      </w:r>
      <w:r>
        <w:t xml:space="preserve">she learned from </w:t>
      </w:r>
      <w:r>
        <w:t>the</w:t>
      </w:r>
      <w:r>
        <w:t xml:space="preserve"> mother would not influence her penalty phase decision-making.  </w:t>
      </w:r>
      <w:r>
        <w:t>N</w:t>
      </w:r>
      <w:r>
        <w:t xml:space="preserve">oting Juror No. 7’s insistence that she could set aside </w:t>
      </w:r>
      <w:r>
        <w:t xml:space="preserve">what she was told </w:t>
      </w:r>
      <w:r>
        <w:t xml:space="preserve">by </w:t>
      </w:r>
      <w:r>
        <w:t>one of the defendants’</w:t>
      </w:r>
      <w:r>
        <w:t xml:space="preserve"> relative</w:t>
      </w:r>
      <w:r>
        <w:t>s</w:t>
      </w:r>
      <w:r>
        <w:t xml:space="preserve">, the court found no reason to remove </w:t>
      </w:r>
      <w:r>
        <w:t>the juror</w:t>
      </w:r>
      <w:r>
        <w:t xml:space="preserve">.  </w:t>
      </w:r>
      <w:r>
        <w:t>Assuming that Juror N</w:t>
      </w:r>
      <w:r>
        <w:t xml:space="preserve">o. 7’s communication with a </w:t>
      </w:r>
      <w:proofErr w:type="spellStart"/>
      <w:r>
        <w:t>non</w:t>
      </w:r>
      <w:r>
        <w:t>juror</w:t>
      </w:r>
      <w:proofErr w:type="spellEnd"/>
      <w:r>
        <w:t xml:space="preserve"> </w:t>
      </w:r>
      <w:r>
        <w:t>—</w:t>
      </w:r>
      <w:r>
        <w:t xml:space="preserve"> </w:t>
      </w:r>
      <w:r>
        <w:t>even though it occurred before Juror No. 7 was empaneled</w:t>
      </w:r>
      <w:r>
        <w:t xml:space="preserve"> </w:t>
      </w:r>
      <w:r>
        <w:t>—</w:t>
      </w:r>
      <w:r>
        <w:t xml:space="preserve"> </w:t>
      </w:r>
      <w:r>
        <w:t>created a rebuttable presumption of prejudice, there is no substantial likelihood that Juror No. 7 was actually biased agains</w:t>
      </w:r>
      <w:r>
        <w:t xml:space="preserve">t Rangel. </w:t>
      </w:r>
    </w:p>
    <w:p w:rsidR="009B4B97" w:rsidRPr="009B4B97" w:rsidRDefault="00EF4903" w:rsidP="007B6219">
      <w:pPr>
        <w:spacing w:line="480" w:lineRule="atLeast"/>
      </w:pPr>
      <w:r>
        <w:tab/>
      </w:r>
      <w:r>
        <w:t>Juror No. 7’s responses to the trial court’s examination revealed no bias, and t</w:t>
      </w:r>
      <w:r>
        <w:t xml:space="preserve">he trial court found none.  A review of the complete trial record reveals no further conduct on Juror No. 7’s part suggesting latent bias.  </w:t>
      </w:r>
      <w:r>
        <w:t>(</w:t>
      </w:r>
      <w:r>
        <w:t>Cf.</w:t>
      </w:r>
      <w:r>
        <w:t xml:space="preserve"> </w:t>
      </w:r>
      <w:r>
        <w:rPr>
          <w:i/>
        </w:rPr>
        <w:t xml:space="preserve">People v. </w:t>
      </w:r>
      <w:proofErr w:type="spellStart"/>
      <w:r>
        <w:rPr>
          <w:i/>
        </w:rPr>
        <w:t>Nesler</w:t>
      </w:r>
      <w:proofErr w:type="spellEnd"/>
      <w:r>
        <w:t xml:space="preserve">, </w:t>
      </w:r>
      <w:r>
        <w:rPr>
          <w:i/>
        </w:rPr>
        <w:t>s</w:t>
      </w:r>
      <w:r>
        <w:rPr>
          <w:i/>
        </w:rPr>
        <w:t>upra</w:t>
      </w:r>
      <w:r>
        <w:t>, 16 Cal.4th at p. </w:t>
      </w:r>
      <w:r>
        <w:t>583 [juror repeatedly disclosed outside information about the defendant during deliberation when she disagreed with fellow jurors, suggesting bias].)</w:t>
      </w:r>
      <w:r>
        <w:t xml:space="preserve">  Juror No. 7 stated she could set aside </w:t>
      </w:r>
      <w:r>
        <w:t xml:space="preserve">what she had been told </w:t>
      </w:r>
      <w:r>
        <w:t>and</w:t>
      </w:r>
      <w:r>
        <w:t xml:space="preserve"> she</w:t>
      </w:r>
      <w:r>
        <w:t xml:space="preserve"> proceeded to</w:t>
      </w:r>
      <w:r>
        <w:t xml:space="preserve"> do so. </w:t>
      </w:r>
      <w:r>
        <w:t xml:space="preserve"> Accordingly, the trial court did not err by declining to remove Juror No. 7.</w:t>
      </w:r>
      <w:r>
        <w:t xml:space="preserve"> </w:t>
      </w:r>
    </w:p>
    <w:p w:rsidR="004E226E"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22" w:name="_Toc511210394"/>
      <w:r w:rsidRPr="001246BE">
        <w:rPr>
          <w:rFonts w:ascii="Times New Roman" w:hAnsi="Times New Roman"/>
        </w:rPr>
        <w:t>5.</w:t>
      </w:r>
      <w:r w:rsidRPr="001246BE">
        <w:rPr>
          <w:rFonts w:ascii="Times New Roman" w:hAnsi="Times New Roman"/>
        </w:rPr>
        <w:tab/>
        <w:t>Accessory After the Fact Instruction</w:t>
      </w:r>
      <w:bookmarkEnd w:id="22"/>
      <w:r w:rsidRPr="001246BE">
        <w:rPr>
          <w:rFonts w:ascii="Times New Roman" w:hAnsi="Times New Roman"/>
        </w:rPr>
        <w:t xml:space="preserve"> </w:t>
      </w:r>
    </w:p>
    <w:p w:rsidR="00DB1725" w:rsidRPr="001246BE" w:rsidRDefault="00EF4903" w:rsidP="00DB1725">
      <w:pPr>
        <w:pStyle w:val="Heading4"/>
        <w:rPr>
          <w:rFonts w:ascii="Times New Roman" w:hAnsi="Times New Roman"/>
          <w:b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a.</w:t>
      </w:r>
      <w:r w:rsidRPr="001246BE">
        <w:rPr>
          <w:rFonts w:ascii="Times New Roman" w:hAnsi="Times New Roman"/>
          <w:b w:val="0"/>
          <w:i w:val="0"/>
          <w:color w:val="auto"/>
        </w:rPr>
        <w:tab/>
      </w:r>
      <w:r w:rsidRPr="001246BE">
        <w:rPr>
          <w:rFonts w:ascii="Times New Roman" w:hAnsi="Times New Roman"/>
          <w:b w:val="0"/>
          <w:color w:val="auto"/>
        </w:rPr>
        <w:t>Background</w:t>
      </w:r>
    </w:p>
    <w:p w:rsidR="00DB1725" w:rsidRDefault="00EF4903" w:rsidP="000319BD">
      <w:pPr>
        <w:spacing w:line="480" w:lineRule="atLeast"/>
      </w:pPr>
      <w:r>
        <w:tab/>
      </w:r>
      <w:r>
        <w:t xml:space="preserve">At the conclusion of the guilt phase, </w:t>
      </w:r>
      <w:proofErr w:type="spellStart"/>
      <w:r>
        <w:t>Mora</w:t>
      </w:r>
      <w:proofErr w:type="spellEnd"/>
      <w:r>
        <w:t xml:space="preserve"> requested that the jury be instructed</w:t>
      </w:r>
      <w:r>
        <w:t xml:space="preserve"> consistent with section 32, accessory after the fact.</w:t>
      </w:r>
      <w:r>
        <w:rPr>
          <w:rStyle w:val="FootnoteReference"/>
        </w:rPr>
        <w:footnoteReference w:id="16"/>
      </w:r>
      <w:r>
        <w:t xml:space="preserve"> </w:t>
      </w:r>
      <w:r>
        <w:t xml:space="preserve"> </w:t>
      </w:r>
      <w:proofErr w:type="spellStart"/>
      <w:r>
        <w:t>Mora</w:t>
      </w:r>
      <w:proofErr w:type="spellEnd"/>
      <w:r>
        <w:t xml:space="preserve"> contended that substantial evidence supported his defense theory that Jade Gallegos, not </w:t>
      </w:r>
      <w:proofErr w:type="spellStart"/>
      <w:r>
        <w:t>Mora</w:t>
      </w:r>
      <w:proofErr w:type="spellEnd"/>
      <w:r>
        <w:t xml:space="preserve">, was one of the shooters.  In support of this theory, </w:t>
      </w:r>
      <w:proofErr w:type="spellStart"/>
      <w:r>
        <w:t>Mora</w:t>
      </w:r>
      <w:proofErr w:type="spellEnd"/>
      <w:r>
        <w:t xml:space="preserve"> asserted that one of the witnesses</w:t>
      </w:r>
      <w:r>
        <w:t>, Sheil</w:t>
      </w:r>
      <w:r>
        <w:t>a Creswell</w:t>
      </w:r>
      <w:r>
        <w:t xml:space="preserve"> </w:t>
      </w:r>
      <w:r>
        <w:t>—</w:t>
      </w:r>
      <w:r>
        <w:t xml:space="preserve"> </w:t>
      </w:r>
      <w:r>
        <w:t xml:space="preserve">who lived on </w:t>
      </w:r>
      <w:proofErr w:type="spellStart"/>
      <w:r>
        <w:t>Castlegate</w:t>
      </w:r>
      <w:proofErr w:type="spellEnd"/>
      <w:r>
        <w:t xml:space="preserve"> across the street from Gallegos</w:t>
      </w:r>
      <w:r>
        <w:t xml:space="preserve"> and</w:t>
      </w:r>
      <w:r>
        <w:t xml:space="preserve"> </w:t>
      </w:r>
      <w:r>
        <w:t xml:space="preserve">who </w:t>
      </w:r>
      <w:r>
        <w:t>saw Gallegos daily</w:t>
      </w:r>
      <w:r>
        <w:t xml:space="preserve"> </w:t>
      </w:r>
      <w:r>
        <w:t>—</w:t>
      </w:r>
      <w:r>
        <w:t xml:space="preserve"> w</w:t>
      </w:r>
      <w:r>
        <w:t xml:space="preserve">itnessed Gallegos and Rangel running away from the </w:t>
      </w:r>
      <w:r>
        <w:t>4Runner</w:t>
      </w:r>
      <w:r>
        <w:t xml:space="preserve"> after she heard shots fired </w:t>
      </w:r>
      <w:r>
        <w:t xml:space="preserve">on </w:t>
      </w:r>
      <w:r>
        <w:t>the morning of August 24, 1997.</w:t>
      </w:r>
      <w:r>
        <w:t xml:space="preserve">  </w:t>
      </w:r>
    </w:p>
    <w:p w:rsidR="00D30783" w:rsidRPr="00DB1725" w:rsidRDefault="00EF4903" w:rsidP="000319BD">
      <w:pPr>
        <w:spacing w:line="480" w:lineRule="atLeast"/>
      </w:pPr>
      <w:r>
        <w:tab/>
        <w:t xml:space="preserve">The prosecutor opposed </w:t>
      </w:r>
      <w:proofErr w:type="spellStart"/>
      <w:r>
        <w:t>Mora’s</w:t>
      </w:r>
      <w:proofErr w:type="spellEnd"/>
      <w:r>
        <w:t xml:space="preserve"> pr</w:t>
      </w:r>
      <w:r>
        <w:t>oposed instruction</w:t>
      </w:r>
      <w:r>
        <w:t xml:space="preserve">.  In doing so, the People </w:t>
      </w:r>
      <w:r>
        <w:t>argu</w:t>
      </w:r>
      <w:r>
        <w:t>ed</w:t>
      </w:r>
      <w:r>
        <w:t xml:space="preserve"> that several witnesses had identified </w:t>
      </w:r>
      <w:proofErr w:type="spellStart"/>
      <w:r>
        <w:t>Mora</w:t>
      </w:r>
      <w:proofErr w:type="spellEnd"/>
      <w:r>
        <w:t xml:space="preserve"> and no evidence supported </w:t>
      </w:r>
      <w:proofErr w:type="spellStart"/>
      <w:r>
        <w:t>Mora’s</w:t>
      </w:r>
      <w:proofErr w:type="spellEnd"/>
      <w:r>
        <w:t xml:space="preserve"> theory that he served only as an accessory.  The court noted that </w:t>
      </w:r>
      <w:r>
        <w:t xml:space="preserve">the instruction </w:t>
      </w:r>
      <w:proofErr w:type="spellStart"/>
      <w:r>
        <w:t>Mora</w:t>
      </w:r>
      <w:proofErr w:type="spellEnd"/>
      <w:r>
        <w:t xml:space="preserve"> requested, accessory after the fact, </w:t>
      </w:r>
      <w:r>
        <w:t xml:space="preserve">was </w:t>
      </w:r>
      <w:r>
        <w:t>a lesser related offense</w:t>
      </w:r>
      <w:r>
        <w:t>, not a lesser included offense</w:t>
      </w:r>
      <w:r>
        <w:t>.</w:t>
      </w:r>
      <w:r>
        <w:t xml:space="preserve">  </w:t>
      </w:r>
      <w:proofErr w:type="spellStart"/>
      <w:r>
        <w:t>Mora</w:t>
      </w:r>
      <w:proofErr w:type="spellEnd"/>
      <w:r>
        <w:t xml:space="preserve"> argued the instruction</w:t>
      </w:r>
      <w:r>
        <w:t xml:space="preserve"> was warranted because the jury could conclude that Gallegos was a shooter and </w:t>
      </w:r>
      <w:proofErr w:type="spellStart"/>
      <w:r>
        <w:t>Mora</w:t>
      </w:r>
      <w:proofErr w:type="spellEnd"/>
      <w:r>
        <w:t xml:space="preserve"> simply moved the cars after the shooting.  After taking additional time to research and</w:t>
      </w:r>
      <w:r>
        <w:t xml:space="preserve"> consider </w:t>
      </w:r>
      <w:proofErr w:type="spellStart"/>
      <w:r>
        <w:t>Mora’s</w:t>
      </w:r>
      <w:proofErr w:type="spellEnd"/>
      <w:r>
        <w:t xml:space="preserve"> request, the trial court denied the requested instruction, explaining that it was not warranted under the facts of the case.  </w:t>
      </w:r>
      <w:proofErr w:type="spellStart"/>
      <w:r>
        <w:t>Mora’s</w:t>
      </w:r>
      <w:proofErr w:type="spellEnd"/>
      <w:r>
        <w:t xml:space="preserve"> counsel asked if she was permitted to argue that </w:t>
      </w:r>
      <w:proofErr w:type="spellStart"/>
      <w:r>
        <w:t>Mora</w:t>
      </w:r>
      <w:proofErr w:type="spellEnd"/>
      <w:r>
        <w:t xml:space="preserve"> was not guilty because he simply moved the cars, to </w:t>
      </w:r>
      <w:r>
        <w:t xml:space="preserve">which the court responded, “of course.”  </w:t>
      </w:r>
      <w:r>
        <w:t xml:space="preserve">The court clarified that </w:t>
      </w:r>
      <w:proofErr w:type="spellStart"/>
      <w:r>
        <w:t>Mora</w:t>
      </w:r>
      <w:proofErr w:type="spellEnd"/>
      <w:r>
        <w:t xml:space="preserve"> was charged only with murder and attempted robbery, and the jury was free to conclude that </w:t>
      </w:r>
      <w:proofErr w:type="spellStart"/>
      <w:r>
        <w:t>Mora</w:t>
      </w:r>
      <w:proofErr w:type="spellEnd"/>
      <w:r>
        <w:t xml:space="preserve"> was not guilty of eithe</w:t>
      </w:r>
      <w:r>
        <w:t xml:space="preserve">r of the charged offenses.  </w:t>
      </w:r>
      <w:proofErr w:type="spellStart"/>
      <w:r>
        <w:t>Mora’s</w:t>
      </w:r>
      <w:proofErr w:type="spellEnd"/>
      <w:r>
        <w:t xml:space="preserve"> counsel responded, “thank you,” and the </w:t>
      </w:r>
      <w:r>
        <w:t>discussion concerning this instruction</w:t>
      </w:r>
      <w:r>
        <w:t xml:space="preserve"> concluded.  </w:t>
      </w:r>
    </w:p>
    <w:p w:rsidR="00DB1725" w:rsidRPr="001246BE" w:rsidRDefault="00EF4903">
      <w:pPr>
        <w:pStyle w:val="Heading4"/>
        <w:rPr>
          <w:rFonts w:ascii="Times New Roman" w:hAnsi="Times New Roman"/>
          <w:b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b.</w:t>
      </w:r>
      <w:r w:rsidRPr="001246BE">
        <w:rPr>
          <w:rFonts w:ascii="Times New Roman" w:hAnsi="Times New Roman"/>
          <w:b w:val="0"/>
          <w:i w:val="0"/>
          <w:color w:val="auto"/>
        </w:rPr>
        <w:tab/>
      </w:r>
      <w:r w:rsidRPr="001246BE">
        <w:rPr>
          <w:rFonts w:ascii="Times New Roman" w:hAnsi="Times New Roman"/>
          <w:b w:val="0"/>
          <w:color w:val="auto"/>
        </w:rPr>
        <w:t>Discussion</w:t>
      </w:r>
    </w:p>
    <w:p w:rsidR="00FC74EF" w:rsidRDefault="00EF4903" w:rsidP="00AA2B35">
      <w:pPr>
        <w:spacing w:line="480" w:lineRule="atLeast"/>
      </w:pPr>
      <w:r>
        <w:tab/>
        <w:t xml:space="preserve">The parties agree that accessory after the fact is, as the court noted, a lesser related offense to murder, not a lesser included offense. </w:t>
      </w:r>
      <w:r>
        <w:t xml:space="preserve"> (</w:t>
      </w:r>
      <w:r>
        <w:rPr>
          <w:i/>
        </w:rPr>
        <w:t>People v. Majors</w:t>
      </w:r>
      <w:r>
        <w:t xml:space="preserve"> (1998) 18 Cal.4th 385, 408.)  A trial court is not obliged to instruct a jury on lesser related offenses even if requested, as </w:t>
      </w:r>
      <w:proofErr w:type="spellStart"/>
      <w:r>
        <w:t>Mora</w:t>
      </w:r>
      <w:proofErr w:type="spellEnd"/>
      <w:r>
        <w:t xml:space="preserve"> concedes.  (</w:t>
      </w:r>
      <w:r>
        <w:rPr>
          <w:i/>
        </w:rPr>
        <w:t>People v. Birks</w:t>
      </w:r>
      <w:r>
        <w:t xml:space="preserve"> (1998) 19 Cal.4th 108, 112–</w:t>
      </w:r>
      <w:r>
        <w:t>113</w:t>
      </w:r>
      <w:r>
        <w:t xml:space="preserve"> (</w:t>
      </w:r>
      <w:r>
        <w:rPr>
          <w:i/>
        </w:rPr>
        <w:t>Birks</w:t>
      </w:r>
      <w:r>
        <w:t>)</w:t>
      </w:r>
      <w:r>
        <w:t>.)</w:t>
      </w:r>
      <w:r>
        <w:t xml:space="preserve">  </w:t>
      </w:r>
      <w:proofErr w:type="spellStart"/>
      <w:r>
        <w:t>Mora</w:t>
      </w:r>
      <w:proofErr w:type="spellEnd"/>
      <w:r>
        <w:t xml:space="preserve"> argues that </w:t>
      </w:r>
      <w:r>
        <w:rPr>
          <w:i/>
        </w:rPr>
        <w:t>Birks</w:t>
      </w:r>
      <w:r>
        <w:t xml:space="preserve"> is distingui</w:t>
      </w:r>
      <w:r>
        <w:t xml:space="preserve">shable from the instant case in two respects.  First, </w:t>
      </w:r>
      <w:proofErr w:type="spellStart"/>
      <w:r>
        <w:t>Mora</w:t>
      </w:r>
      <w:proofErr w:type="spellEnd"/>
      <w:r>
        <w:t xml:space="preserve"> </w:t>
      </w:r>
      <w:r>
        <w:t>contends</w:t>
      </w:r>
      <w:r>
        <w:t xml:space="preserve"> that the failure to instruct here unfairly weights the instructions </w:t>
      </w:r>
      <w:r>
        <w:t xml:space="preserve">given </w:t>
      </w:r>
      <w:r>
        <w:t>in the prosecution</w:t>
      </w:r>
      <w:r>
        <w:t>’</w:t>
      </w:r>
      <w:r>
        <w:t xml:space="preserve">s favor, which was not the case in </w:t>
      </w:r>
      <w:r>
        <w:rPr>
          <w:i/>
        </w:rPr>
        <w:t>Birks</w:t>
      </w:r>
      <w:r>
        <w:t xml:space="preserve">.  </w:t>
      </w:r>
      <w:r>
        <w:t>(</w:t>
      </w:r>
      <w:r>
        <w:rPr>
          <w:i/>
        </w:rPr>
        <w:t>Ibid</w:t>
      </w:r>
      <w:r w:rsidRPr="00D64D5F">
        <w:rPr>
          <w:i/>
        </w:rPr>
        <w:t>.</w:t>
      </w:r>
      <w:r>
        <w:t xml:space="preserve">)  </w:t>
      </w:r>
      <w:r>
        <w:t xml:space="preserve">Second, </w:t>
      </w:r>
      <w:proofErr w:type="spellStart"/>
      <w:r>
        <w:t>Mora</w:t>
      </w:r>
      <w:proofErr w:type="spellEnd"/>
      <w:r>
        <w:t xml:space="preserve"> </w:t>
      </w:r>
      <w:r>
        <w:t>alleges</w:t>
      </w:r>
      <w:r>
        <w:t xml:space="preserve">, </w:t>
      </w:r>
      <w:r>
        <w:t>the trial court’s ref</w:t>
      </w:r>
      <w:r>
        <w:t>usal to give</w:t>
      </w:r>
      <w:r>
        <w:t xml:space="preserve"> the instruction</w:t>
      </w:r>
      <w:r>
        <w:t xml:space="preserve"> violate</w:t>
      </w:r>
      <w:r>
        <w:t>d</w:t>
      </w:r>
      <w:r>
        <w:t xml:space="preserve"> </w:t>
      </w:r>
      <w:r>
        <w:t xml:space="preserve">his constitutional rights to present a defense, to due process, to a fair trial by jury, and to a reliable guilt determination in a capital trial.  </w:t>
      </w:r>
    </w:p>
    <w:p w:rsidR="00070146" w:rsidRDefault="00EF4903" w:rsidP="00AA2B35">
      <w:pPr>
        <w:spacing w:line="480" w:lineRule="atLeast"/>
      </w:pPr>
      <w:r>
        <w:tab/>
      </w:r>
      <w:r>
        <w:t>Regarding</w:t>
      </w:r>
      <w:r>
        <w:t xml:space="preserve"> his first point, </w:t>
      </w:r>
      <w:proofErr w:type="spellStart"/>
      <w:r>
        <w:t>Mora</w:t>
      </w:r>
      <w:proofErr w:type="spellEnd"/>
      <w:r>
        <w:t xml:space="preserve"> </w:t>
      </w:r>
      <w:r>
        <w:t xml:space="preserve">cites no authority </w:t>
      </w:r>
      <w:r>
        <w:t>–– nor does he ot</w:t>
      </w:r>
      <w:r>
        <w:t xml:space="preserve">herwise make a persuasive argument –– supporting the conclusion </w:t>
      </w:r>
      <w:r>
        <w:t xml:space="preserve">that unfair weighting of instructions in favor of the prosecution permits a trial court to disregard </w:t>
      </w:r>
      <w:r>
        <w:rPr>
          <w:i/>
        </w:rPr>
        <w:t>Birks</w:t>
      </w:r>
      <w:r>
        <w:t xml:space="preserve">.  </w:t>
      </w:r>
      <w:r>
        <w:t xml:space="preserve">Instead, </w:t>
      </w:r>
      <w:proofErr w:type="spellStart"/>
      <w:r>
        <w:t>Mora</w:t>
      </w:r>
      <w:proofErr w:type="spellEnd"/>
      <w:r>
        <w:t xml:space="preserve"> argues that due process commands “a two-way street” between the </w:t>
      </w:r>
      <w:r>
        <w:t>prosecution and defense, which extends to jury instructions</w:t>
      </w:r>
      <w:r>
        <w:t xml:space="preserve">. </w:t>
      </w:r>
      <w:r>
        <w:t xml:space="preserve"> </w:t>
      </w:r>
      <w:r>
        <w:t>(</w:t>
      </w:r>
      <w:proofErr w:type="spellStart"/>
      <w:r>
        <w:rPr>
          <w:i/>
        </w:rPr>
        <w:t>Wardius</w:t>
      </w:r>
      <w:proofErr w:type="spellEnd"/>
      <w:r>
        <w:rPr>
          <w:i/>
        </w:rPr>
        <w:t xml:space="preserve"> v. </w:t>
      </w:r>
      <w:r>
        <w:rPr>
          <w:i/>
        </w:rPr>
        <w:t>Oregon</w:t>
      </w:r>
      <w:r>
        <w:t xml:space="preserve"> (1973) 412 U.S. 470, 475.)</w:t>
      </w:r>
      <w:r>
        <w:t xml:space="preserve">  Here, because the prosecution requested and the trial court agreed to give CALJIC No. 2.03 regarding consciousness of guilt, </w:t>
      </w:r>
      <w:proofErr w:type="spellStart"/>
      <w:r>
        <w:t>Mora</w:t>
      </w:r>
      <w:proofErr w:type="spellEnd"/>
      <w:r>
        <w:t xml:space="preserve"> argues that the j</w:t>
      </w:r>
      <w:r>
        <w:t xml:space="preserve">ury instructions favored the prosecution’s theory in violation of due process principles.  Again, </w:t>
      </w:r>
      <w:proofErr w:type="spellStart"/>
      <w:r>
        <w:t>Mora</w:t>
      </w:r>
      <w:proofErr w:type="spellEnd"/>
      <w:r>
        <w:t xml:space="preserve"> cites no authority suggesting there must be parity, absolute or otherwise, in giving instructions requested by or favoring a party. </w:t>
      </w:r>
      <w:r>
        <w:t xml:space="preserve"> </w:t>
      </w:r>
      <w:proofErr w:type="spellStart"/>
      <w:r>
        <w:t>Mora</w:t>
      </w:r>
      <w:proofErr w:type="spellEnd"/>
      <w:r>
        <w:t xml:space="preserve"> has presented n</w:t>
      </w:r>
      <w:r>
        <w:t xml:space="preserve">o reason to disregard </w:t>
      </w:r>
      <w:r>
        <w:rPr>
          <w:i/>
        </w:rPr>
        <w:t>Birks</w:t>
      </w:r>
      <w:r>
        <w:t xml:space="preserve">; accordingly, </w:t>
      </w:r>
      <w:r>
        <w:t>we</w:t>
      </w:r>
      <w:r>
        <w:t xml:space="preserve"> conclude a trial court remains free to decline to instruct the jury on a lesser related offense.  (</w:t>
      </w:r>
      <w:r>
        <w:rPr>
          <w:i/>
        </w:rPr>
        <w:t>Birks</w:t>
      </w:r>
      <w:r>
        <w:t xml:space="preserve">, </w:t>
      </w:r>
      <w:r>
        <w:rPr>
          <w:i/>
        </w:rPr>
        <w:t>supra</w:t>
      </w:r>
      <w:r>
        <w:t>, 19 Cal.4th at pp. 112–</w:t>
      </w:r>
      <w:r>
        <w:t>113.)</w:t>
      </w:r>
      <w:r>
        <w:t xml:space="preserve"> </w:t>
      </w:r>
    </w:p>
    <w:p w:rsidR="00CD4246" w:rsidRPr="00D91BD9" w:rsidRDefault="00EF4903" w:rsidP="00AA2B35">
      <w:pPr>
        <w:spacing w:line="480" w:lineRule="atLeast"/>
      </w:pPr>
      <w:r>
        <w:tab/>
      </w:r>
      <w:proofErr w:type="spellStart"/>
      <w:r>
        <w:t>Mora</w:t>
      </w:r>
      <w:proofErr w:type="spellEnd"/>
      <w:r>
        <w:t xml:space="preserve"> asserts that CALJIC No. 2.03</w:t>
      </w:r>
      <w:r>
        <w:t xml:space="preserve"> erroneously</w:t>
      </w:r>
      <w:r>
        <w:t xml:space="preserve"> </w:t>
      </w:r>
      <w:r>
        <w:t xml:space="preserve">permitted the jury to </w:t>
      </w:r>
      <w:r>
        <w:t xml:space="preserve">consider </w:t>
      </w:r>
      <w:r>
        <w:t>his</w:t>
      </w:r>
      <w:r>
        <w:t xml:space="preserve"> false statements, if any</w:t>
      </w:r>
      <w:r>
        <w:t>, to the extent they</w:t>
      </w:r>
      <w:r>
        <w:t xml:space="preserve"> demonstrate</w:t>
      </w:r>
      <w:r>
        <w:t>d his</w:t>
      </w:r>
      <w:r>
        <w:t xml:space="preserve"> consciousness of guilt of the charged crimes of murder and robbery, </w:t>
      </w:r>
      <w:r>
        <w:t>while precluding the jury from determining his guilt</w:t>
      </w:r>
      <w:r>
        <w:t xml:space="preserve"> of accessory after the fact.  </w:t>
      </w:r>
      <w:proofErr w:type="spellStart"/>
      <w:r>
        <w:t>Mora</w:t>
      </w:r>
      <w:proofErr w:type="spellEnd"/>
      <w:r>
        <w:t xml:space="preserve"> is </w:t>
      </w:r>
      <w:r>
        <w:t>mistaken</w:t>
      </w:r>
      <w:r>
        <w:t xml:space="preserve">.  </w:t>
      </w:r>
      <w:r>
        <w:t>W</w:t>
      </w:r>
      <w:r>
        <w:t xml:space="preserve">e </w:t>
      </w:r>
      <w:r>
        <w:t>have pre</w:t>
      </w:r>
      <w:r>
        <w:t>viously held</w:t>
      </w:r>
      <w:r>
        <w:t xml:space="preserve"> that declining to instruct on accessory after the fact </w:t>
      </w:r>
      <w:r>
        <w:t>is “</w:t>
      </w:r>
      <w:r>
        <w:t xml:space="preserve">not essential to [a] defendant’s defense.  Through [a] defendant’s testimony and defense </w:t>
      </w:r>
      <w:r>
        <w:t xml:space="preserve">counsel’s </w:t>
      </w:r>
      <w:r>
        <w:t>closing argument, the jury [may be] fully apprised of the defense theories that it wa</w:t>
      </w:r>
      <w:r>
        <w:t>s [someone else] rather than [the] defendant who caused [the] fatal injuries.”</w:t>
      </w:r>
      <w:r>
        <w:t xml:space="preserve"> </w:t>
      </w:r>
      <w:r>
        <w:t xml:space="preserve"> </w:t>
      </w:r>
      <w:r>
        <w:t>(</w:t>
      </w:r>
      <w:r>
        <w:rPr>
          <w:i/>
        </w:rPr>
        <w:t>People v.</w:t>
      </w:r>
      <w:r>
        <w:rPr>
          <w:i/>
        </w:rPr>
        <w:t> </w:t>
      </w:r>
      <w:proofErr w:type="spellStart"/>
      <w:r>
        <w:rPr>
          <w:i/>
        </w:rPr>
        <w:t>Whisenhunt</w:t>
      </w:r>
      <w:proofErr w:type="spellEnd"/>
      <w:r>
        <w:t xml:space="preserve"> (2008) 44 Cal.4th 174, 213</w:t>
      </w:r>
      <w:r>
        <w:t xml:space="preserve"> (</w:t>
      </w:r>
      <w:proofErr w:type="spellStart"/>
      <w:r>
        <w:rPr>
          <w:i/>
        </w:rPr>
        <w:t>Whisenhunt</w:t>
      </w:r>
      <w:proofErr w:type="spellEnd"/>
      <w:r>
        <w:t>)</w:t>
      </w:r>
      <w:r>
        <w:t>.)</w:t>
      </w:r>
      <w:r>
        <w:rPr>
          <w:rStyle w:val="FootnoteReference"/>
        </w:rPr>
        <w:footnoteReference w:id="17"/>
      </w:r>
      <w:r>
        <w:t xml:space="preserve"> </w:t>
      </w:r>
      <w:r>
        <w:t xml:space="preserve"> </w:t>
      </w:r>
      <w:r>
        <w:t xml:space="preserve">As in </w:t>
      </w:r>
      <w:proofErr w:type="spellStart"/>
      <w:r>
        <w:rPr>
          <w:i/>
        </w:rPr>
        <w:t>Whisenhunt</w:t>
      </w:r>
      <w:proofErr w:type="spellEnd"/>
      <w:r>
        <w:t>,</w:t>
      </w:r>
      <w:r>
        <w:t xml:space="preserve"> </w:t>
      </w:r>
      <w:proofErr w:type="spellStart"/>
      <w:r>
        <w:t>Mora</w:t>
      </w:r>
      <w:proofErr w:type="spellEnd"/>
      <w:r>
        <w:t xml:space="preserve"> was given an opportunity to, and did, argue that Jade Gallegos</w:t>
      </w:r>
      <w:r>
        <w:t xml:space="preserve"> was the shooter, and</w:t>
      </w:r>
      <w:r>
        <w:t xml:space="preserve"> that</w:t>
      </w:r>
      <w:r>
        <w:t xml:space="preserve"> </w:t>
      </w:r>
      <w:proofErr w:type="spellStart"/>
      <w:r>
        <w:t>Mora</w:t>
      </w:r>
      <w:proofErr w:type="spellEnd"/>
      <w:r>
        <w:t xml:space="preserve"> made </w:t>
      </w:r>
      <w:r>
        <w:t>false</w:t>
      </w:r>
      <w:r>
        <w:t xml:space="preserve"> statements to protect</w:t>
      </w:r>
      <w:r>
        <w:t xml:space="preserve"> </w:t>
      </w:r>
      <w:r>
        <w:t>Gallegos</w:t>
      </w:r>
      <w:r>
        <w:t xml:space="preserve">.  </w:t>
      </w:r>
      <w:r>
        <w:t>(44 </w:t>
      </w:r>
      <w:r>
        <w:t>Cal.4th at p. 213</w:t>
      </w:r>
      <w:r>
        <w:t>.)</w:t>
      </w:r>
      <w:r>
        <w:t xml:space="preserve">  </w:t>
      </w:r>
      <w:r>
        <w:t xml:space="preserve">Thus, the jury was able to consider whether </w:t>
      </w:r>
      <w:proofErr w:type="spellStart"/>
      <w:r>
        <w:t>Mora</w:t>
      </w:r>
      <w:proofErr w:type="spellEnd"/>
      <w:r>
        <w:t xml:space="preserve"> was an accessory after the fact.  </w:t>
      </w:r>
      <w:proofErr w:type="spellStart"/>
      <w:r>
        <w:t>Mora</w:t>
      </w:r>
      <w:proofErr w:type="spellEnd"/>
      <w:r>
        <w:t xml:space="preserve"> argues that</w:t>
      </w:r>
      <w:r>
        <w:t xml:space="preserve"> he was entitled to present instructions on his theory of defense, and</w:t>
      </w:r>
      <w:r>
        <w:t xml:space="preserve"> the tr</w:t>
      </w:r>
      <w:r>
        <w:t xml:space="preserve">ial court’s </w:t>
      </w:r>
      <w:r>
        <w:t xml:space="preserve">refusal to give an accessory after the fact instruction erroneously deprived him of that right.  We considered and rejected this </w:t>
      </w:r>
      <w:r>
        <w:t xml:space="preserve">claim in </w:t>
      </w:r>
      <w:proofErr w:type="spellStart"/>
      <w:r>
        <w:rPr>
          <w:i/>
        </w:rPr>
        <w:t>Whisenhunt</w:t>
      </w:r>
      <w:proofErr w:type="spellEnd"/>
      <w:r>
        <w:t xml:space="preserve"> and </w:t>
      </w:r>
      <w:proofErr w:type="spellStart"/>
      <w:r>
        <w:t>Mora</w:t>
      </w:r>
      <w:proofErr w:type="spellEnd"/>
      <w:r>
        <w:t xml:space="preserve"> presents</w:t>
      </w:r>
      <w:r>
        <w:t xml:space="preserve"> no reason to </w:t>
      </w:r>
      <w:r>
        <w:t>do otherwise</w:t>
      </w:r>
      <w:r>
        <w:t xml:space="preserve"> here.</w:t>
      </w:r>
      <w:r>
        <w:t xml:space="preserve"> </w:t>
      </w:r>
      <w:r>
        <w:t xml:space="preserve"> (</w:t>
      </w:r>
      <w:r>
        <w:rPr>
          <w:i/>
        </w:rPr>
        <w:t>Id.</w:t>
      </w:r>
      <w:r>
        <w:t xml:space="preserve"> at pp. 212</w:t>
      </w:r>
      <w:r>
        <w:t>–</w:t>
      </w:r>
      <w:r>
        <w:t xml:space="preserve">213.)  Accordingly, </w:t>
      </w:r>
      <w:r>
        <w:t>we</w:t>
      </w:r>
      <w:r>
        <w:t xml:space="preserve"> concl</w:t>
      </w:r>
      <w:r>
        <w:t>ude the trial court did not err by declining to instruct the jury on accessory after the fact.</w:t>
      </w:r>
      <w:r>
        <w:t xml:space="preserve"> </w:t>
      </w:r>
    </w:p>
    <w:p w:rsidR="004E226E" w:rsidRPr="001246BE" w:rsidRDefault="00EF4903" w:rsidP="004650E9">
      <w:pPr>
        <w:pStyle w:val="Heading3"/>
      </w:pPr>
      <w:r w:rsidRPr="001246BE">
        <w:rPr>
          <w:rFonts w:ascii="Times New Roman" w:hAnsi="Times New Roman"/>
        </w:rPr>
        <w:tab/>
      </w:r>
      <w:r w:rsidRPr="001246BE">
        <w:rPr>
          <w:rFonts w:ascii="Times New Roman" w:hAnsi="Times New Roman"/>
        </w:rPr>
        <w:tab/>
      </w:r>
      <w:bookmarkStart w:id="23" w:name="_Toc511210395"/>
      <w:r w:rsidRPr="001246BE">
        <w:rPr>
          <w:rFonts w:ascii="Times New Roman" w:hAnsi="Times New Roman"/>
        </w:rPr>
        <w:t>6.</w:t>
      </w:r>
      <w:r w:rsidRPr="001246BE">
        <w:rPr>
          <w:rFonts w:ascii="Times New Roman" w:hAnsi="Times New Roman"/>
        </w:rPr>
        <w:tab/>
        <w:t xml:space="preserve">CALJIC </w:t>
      </w:r>
      <w:r w:rsidRPr="001246BE">
        <w:rPr>
          <w:rFonts w:ascii="Times New Roman" w:hAnsi="Times New Roman"/>
        </w:rPr>
        <w:t xml:space="preserve">No. </w:t>
      </w:r>
      <w:r w:rsidRPr="001246BE">
        <w:rPr>
          <w:rFonts w:ascii="Times New Roman" w:hAnsi="Times New Roman"/>
        </w:rPr>
        <w:t>2.03 Instruction on Consciousness of Guilt</w:t>
      </w:r>
      <w:bookmarkEnd w:id="23"/>
      <w:r w:rsidRPr="001246BE">
        <w:rPr>
          <w:rFonts w:ascii="Times New Roman" w:hAnsi="Times New Roman"/>
        </w:rPr>
        <w:t xml:space="preserve"> </w:t>
      </w:r>
    </w:p>
    <w:p w:rsidR="000C0074" w:rsidRPr="001246BE" w:rsidRDefault="00EF4903" w:rsidP="000C0074">
      <w:pPr>
        <w:spacing w:line="480" w:lineRule="atLeast"/>
        <w:rPr>
          <w:szCs w:val="26"/>
        </w:rPr>
      </w:pPr>
      <w:r w:rsidRPr="001246BE">
        <w:rPr>
          <w:szCs w:val="26"/>
        </w:rPr>
        <w:tab/>
      </w:r>
      <w:proofErr w:type="spellStart"/>
      <w:r w:rsidRPr="001246BE">
        <w:rPr>
          <w:szCs w:val="26"/>
        </w:rPr>
        <w:t>Mora</w:t>
      </w:r>
      <w:proofErr w:type="spellEnd"/>
      <w:r w:rsidRPr="001246BE">
        <w:rPr>
          <w:szCs w:val="26"/>
        </w:rPr>
        <w:t xml:space="preserve"> argues that the consciousness of guilt instruction, CA</w:t>
      </w:r>
      <w:r w:rsidRPr="001246BE">
        <w:rPr>
          <w:szCs w:val="26"/>
        </w:rPr>
        <w:t>LJIC No. 2.03</w:t>
      </w:r>
      <w:r w:rsidRPr="001246BE">
        <w:rPr>
          <w:szCs w:val="26"/>
        </w:rPr>
        <w:t>,</w:t>
      </w:r>
      <w:r>
        <w:rPr>
          <w:rStyle w:val="FootnoteReference"/>
          <w:szCs w:val="26"/>
        </w:rPr>
        <w:footnoteReference w:id="18"/>
      </w:r>
      <w:r w:rsidRPr="001246BE">
        <w:rPr>
          <w:szCs w:val="26"/>
        </w:rPr>
        <w:t xml:space="preserve"> was unnecessary </w:t>
      </w:r>
      <w:r w:rsidRPr="001246BE">
        <w:rPr>
          <w:szCs w:val="26"/>
        </w:rPr>
        <w:t xml:space="preserve">and </w:t>
      </w:r>
      <w:r w:rsidRPr="001246BE">
        <w:rPr>
          <w:szCs w:val="26"/>
        </w:rPr>
        <w:t>argumentative, and claimed it permitted the jury to draw irrational and unjust infer</w:t>
      </w:r>
      <w:r w:rsidRPr="001246BE">
        <w:rPr>
          <w:szCs w:val="26"/>
        </w:rPr>
        <w:t xml:space="preserve">ences concerning </w:t>
      </w:r>
      <w:proofErr w:type="spellStart"/>
      <w:r w:rsidRPr="001246BE">
        <w:rPr>
          <w:szCs w:val="26"/>
        </w:rPr>
        <w:t>Mora’s</w:t>
      </w:r>
      <w:proofErr w:type="spellEnd"/>
      <w:r w:rsidRPr="001246BE">
        <w:rPr>
          <w:szCs w:val="26"/>
        </w:rPr>
        <w:t xml:space="preserve"> guilt.  </w:t>
      </w:r>
      <w:r>
        <w:rPr>
          <w:szCs w:val="26"/>
        </w:rPr>
        <w:t>W</w:t>
      </w:r>
      <w:r w:rsidRPr="001246BE">
        <w:rPr>
          <w:szCs w:val="26"/>
        </w:rPr>
        <w:t xml:space="preserve">e have </w:t>
      </w:r>
      <w:r w:rsidRPr="001246BE">
        <w:rPr>
          <w:szCs w:val="26"/>
        </w:rPr>
        <w:t xml:space="preserve">consistently </w:t>
      </w:r>
      <w:r w:rsidRPr="001246BE">
        <w:rPr>
          <w:szCs w:val="26"/>
        </w:rPr>
        <w:t>rejected similar claims</w:t>
      </w:r>
      <w:r w:rsidRPr="001246BE">
        <w:rPr>
          <w:szCs w:val="26"/>
        </w:rPr>
        <w:t>.</w:t>
      </w:r>
      <w:r w:rsidRPr="001246BE">
        <w:rPr>
          <w:szCs w:val="26"/>
        </w:rPr>
        <w:t xml:space="preserve">  (See </w:t>
      </w:r>
      <w:r w:rsidRPr="001246BE">
        <w:rPr>
          <w:i/>
          <w:szCs w:val="26"/>
        </w:rPr>
        <w:t>People v. </w:t>
      </w:r>
      <w:r w:rsidRPr="001246BE">
        <w:rPr>
          <w:i/>
          <w:szCs w:val="26"/>
        </w:rPr>
        <w:t>Covarrubias</w:t>
      </w:r>
      <w:r w:rsidRPr="001246BE">
        <w:rPr>
          <w:szCs w:val="26"/>
        </w:rPr>
        <w:t xml:space="preserve"> (2016) 1 Cal.5th 838, 922 (</w:t>
      </w:r>
      <w:r w:rsidRPr="001246BE">
        <w:rPr>
          <w:i/>
          <w:szCs w:val="26"/>
        </w:rPr>
        <w:t>Covarrubias</w:t>
      </w:r>
      <w:r w:rsidRPr="001246BE">
        <w:rPr>
          <w:szCs w:val="26"/>
        </w:rPr>
        <w:t>) [rejecting challenge to CA</w:t>
      </w:r>
      <w:r w:rsidRPr="001246BE">
        <w:rPr>
          <w:szCs w:val="26"/>
        </w:rPr>
        <w:t xml:space="preserve">LJIC No. 2.03 claiming instruction was unnecessary, argumentative, circular, and permitted the jury to draw irrational inferences]; see also </w:t>
      </w:r>
      <w:r w:rsidRPr="001246BE">
        <w:rPr>
          <w:i/>
          <w:szCs w:val="26"/>
        </w:rPr>
        <w:t>People v. Holloway</w:t>
      </w:r>
      <w:r w:rsidRPr="001246BE">
        <w:rPr>
          <w:szCs w:val="26"/>
        </w:rPr>
        <w:t xml:space="preserve"> (2004) 33 Cal.4th 96, 142 [jurors likely to indulge inference of consciousness of guilt based up</w:t>
      </w:r>
      <w:r w:rsidRPr="001246BE">
        <w:rPr>
          <w:szCs w:val="26"/>
        </w:rPr>
        <w:t>on false statements even absent instruction].)</w:t>
      </w:r>
      <w:r w:rsidRPr="001246BE">
        <w:rPr>
          <w:szCs w:val="26"/>
        </w:rPr>
        <w:t xml:space="preserve">  </w:t>
      </w:r>
    </w:p>
    <w:p w:rsidR="00153E6D" w:rsidRPr="001246BE" w:rsidRDefault="00EF4903" w:rsidP="000C0074">
      <w:pPr>
        <w:spacing w:line="480" w:lineRule="atLeast"/>
        <w:ind w:firstLine="720"/>
        <w:rPr>
          <w:szCs w:val="26"/>
        </w:rPr>
      </w:pPr>
      <w:proofErr w:type="spellStart"/>
      <w:r w:rsidRPr="001246BE">
        <w:rPr>
          <w:szCs w:val="26"/>
        </w:rPr>
        <w:t>Mora</w:t>
      </w:r>
      <w:proofErr w:type="spellEnd"/>
      <w:r w:rsidRPr="001246BE">
        <w:rPr>
          <w:szCs w:val="26"/>
        </w:rPr>
        <w:t xml:space="preserve"> contends the instruction </w:t>
      </w:r>
      <w:r w:rsidRPr="001246BE">
        <w:rPr>
          <w:szCs w:val="26"/>
        </w:rPr>
        <w:t xml:space="preserve">caused an irrational and unjust inference of guilt because it </w:t>
      </w:r>
      <w:r w:rsidRPr="001246BE">
        <w:rPr>
          <w:szCs w:val="26"/>
        </w:rPr>
        <w:t>focused the jury’s attention only upon an inculpatory interpretation of the</w:t>
      </w:r>
      <w:r w:rsidRPr="001246BE">
        <w:rPr>
          <w:szCs w:val="26"/>
        </w:rPr>
        <w:t xml:space="preserve"> facts, rather than permitting the jury</w:t>
      </w:r>
      <w:r w:rsidRPr="001246BE">
        <w:rPr>
          <w:szCs w:val="26"/>
        </w:rPr>
        <w:t xml:space="preserve"> </w:t>
      </w:r>
      <w:r w:rsidRPr="001246BE">
        <w:rPr>
          <w:szCs w:val="26"/>
        </w:rPr>
        <w:t xml:space="preserve">to infer that </w:t>
      </w:r>
      <w:proofErr w:type="spellStart"/>
      <w:r w:rsidRPr="001246BE">
        <w:rPr>
          <w:szCs w:val="26"/>
        </w:rPr>
        <w:t>Mora</w:t>
      </w:r>
      <w:proofErr w:type="spellEnd"/>
      <w:r w:rsidRPr="001246BE">
        <w:rPr>
          <w:szCs w:val="26"/>
        </w:rPr>
        <w:t xml:space="preserve"> was merely an accessory after the fact.  </w:t>
      </w:r>
      <w:r w:rsidRPr="001246BE">
        <w:rPr>
          <w:szCs w:val="26"/>
        </w:rPr>
        <w:t xml:space="preserve">There is no reason to presume the instruction </w:t>
      </w:r>
      <w:r w:rsidRPr="001246BE">
        <w:rPr>
          <w:szCs w:val="26"/>
        </w:rPr>
        <w:t>caused such a focus</w:t>
      </w:r>
      <w:r w:rsidRPr="001246BE">
        <w:rPr>
          <w:szCs w:val="26"/>
        </w:rPr>
        <w:t>;</w:t>
      </w:r>
      <w:r w:rsidRPr="001246BE">
        <w:rPr>
          <w:szCs w:val="26"/>
        </w:rPr>
        <w:t xml:space="preserve"> </w:t>
      </w:r>
      <w:r>
        <w:t>as we explained above, the jury can be apprised of the defense theory that another person committed the crime via testimony and c</w:t>
      </w:r>
      <w:r>
        <w:t>losing argument</w:t>
      </w:r>
      <w:r>
        <w:t>, and need not be given a specific instruction</w:t>
      </w:r>
      <w:r>
        <w:t xml:space="preserve"> about that theory</w:t>
      </w:r>
      <w:r>
        <w:t xml:space="preserve">.  (See </w:t>
      </w:r>
      <w:proofErr w:type="spellStart"/>
      <w:r>
        <w:rPr>
          <w:i/>
        </w:rPr>
        <w:t>Whisenhunt</w:t>
      </w:r>
      <w:proofErr w:type="spellEnd"/>
      <w:r>
        <w:t xml:space="preserve">, </w:t>
      </w:r>
      <w:r>
        <w:rPr>
          <w:i/>
        </w:rPr>
        <w:t>supra</w:t>
      </w:r>
      <w:r>
        <w:t>, 44 Cal.4th at p. 213.)</w:t>
      </w:r>
      <w:r>
        <w:t xml:space="preserve">  </w:t>
      </w:r>
      <w:r>
        <w:t>As we have repeatedly concluded, an instruction concerning</w:t>
      </w:r>
      <w:r>
        <w:t xml:space="preserve"> consciousness of guilt does not allow the jury to draw irrational i</w:t>
      </w:r>
      <w:r>
        <w:t>nferences</w:t>
      </w:r>
      <w:r>
        <w:t xml:space="preserve"> regarding the</w:t>
      </w:r>
      <w:r>
        <w:t xml:space="preserve"> evidence</w:t>
      </w:r>
      <w:r>
        <w:t xml:space="preserve">.  (See </w:t>
      </w:r>
      <w:r>
        <w:rPr>
          <w:i/>
        </w:rPr>
        <w:t>People v. </w:t>
      </w:r>
      <w:proofErr w:type="spellStart"/>
      <w:r>
        <w:rPr>
          <w:i/>
        </w:rPr>
        <w:t>Hartsch</w:t>
      </w:r>
      <w:proofErr w:type="spellEnd"/>
      <w:r>
        <w:t xml:space="preserve"> (2010) 49 </w:t>
      </w:r>
      <w:r>
        <w:t>Cal.4th 472, 505.)</w:t>
      </w:r>
    </w:p>
    <w:p w:rsidR="004E226E"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24" w:name="_Toc511210396"/>
      <w:r w:rsidRPr="001246BE">
        <w:rPr>
          <w:rFonts w:ascii="Times New Roman" w:hAnsi="Times New Roman"/>
        </w:rPr>
        <w:t>7.</w:t>
      </w:r>
      <w:r w:rsidRPr="001246BE">
        <w:rPr>
          <w:rFonts w:ascii="Times New Roman" w:hAnsi="Times New Roman"/>
        </w:rPr>
        <w:tab/>
        <w:t>Attempted Robbery Sufficiency of the Evidence</w:t>
      </w:r>
      <w:bookmarkEnd w:id="24"/>
      <w:r w:rsidRPr="001246BE">
        <w:rPr>
          <w:rFonts w:ascii="Times New Roman" w:hAnsi="Times New Roman"/>
        </w:rPr>
        <w:t xml:space="preserve"> </w:t>
      </w:r>
    </w:p>
    <w:p w:rsidR="00806503" w:rsidRDefault="00EF4903" w:rsidP="00A34574">
      <w:pPr>
        <w:spacing w:line="480" w:lineRule="atLeast"/>
      </w:pPr>
      <w:r>
        <w:tab/>
      </w:r>
      <w:proofErr w:type="spellStart"/>
      <w:r>
        <w:t>Mora</w:t>
      </w:r>
      <w:proofErr w:type="spellEnd"/>
      <w:r>
        <w:t xml:space="preserve"> </w:t>
      </w:r>
      <w:r>
        <w:t xml:space="preserve">and Rangel </w:t>
      </w:r>
      <w:r>
        <w:t>contend there</w:t>
      </w:r>
      <w:r>
        <w:t xml:space="preserve"> wa</w:t>
      </w:r>
      <w:r>
        <w:t>s insufficie</w:t>
      </w:r>
      <w:r>
        <w:t>nt evidence to have convicted the</w:t>
      </w:r>
      <w:r>
        <w:t xml:space="preserve">m of attempted robbery.  </w:t>
      </w:r>
      <w:r>
        <w:t xml:space="preserve">We discern </w:t>
      </w:r>
      <w:r>
        <w:t>sufficiency by inquiring</w:t>
      </w:r>
      <w:r>
        <w:t xml:space="preserve"> whether evidence was presented </w:t>
      </w:r>
      <w:r w:rsidRPr="00B10B81">
        <w:t>from which a reasonable trier of fact could conclude</w:t>
      </w:r>
      <w:r>
        <w:t>, beyond a reasonable doubt, that</w:t>
      </w:r>
      <w:r w:rsidRPr="00B10B81">
        <w:t xml:space="preserve"> the prosecution sustained its burden of proof</w:t>
      </w:r>
      <w:r>
        <w:t>.  (</w:t>
      </w:r>
      <w:r w:rsidRPr="00B10B81">
        <w:rPr>
          <w:i/>
        </w:rPr>
        <w:t>People v. Boyer</w:t>
      </w:r>
      <w:r>
        <w:t xml:space="preserve"> (2006) 38 </w:t>
      </w:r>
      <w:r>
        <w:t xml:space="preserve">Cal.4th 412, 479.)  Although we assess </w:t>
      </w:r>
      <w:r>
        <w:t>whether the evidence is inherently credible and of solid value, we must also view the evidence in the light most favorable to the jury verdict and presume the existence of every fact that the jury could reasonably have deduced from that evidence.  (</w:t>
      </w:r>
      <w:r w:rsidRPr="009D6F50">
        <w:rPr>
          <w:i/>
        </w:rPr>
        <w:t>Id</w:t>
      </w:r>
      <w:r w:rsidRPr="00D64D5F">
        <w:rPr>
          <w:i/>
        </w:rPr>
        <w:t>.</w:t>
      </w:r>
      <w:r>
        <w:t xml:space="preserve"> at </w:t>
      </w:r>
      <w:r>
        <w:t xml:space="preserve">p. 480.)  </w:t>
      </w:r>
    </w:p>
    <w:p w:rsidR="003F0EBA" w:rsidRPr="00C51ED7" w:rsidRDefault="00EF4903" w:rsidP="00A34574">
      <w:pPr>
        <w:spacing w:line="480" w:lineRule="atLeast"/>
      </w:pPr>
      <w:r>
        <w:tab/>
      </w:r>
      <w:r>
        <w:t>Attempted robbery requires “a specific intent to commit robbery and . . . a direct but ineffectual act toward the commission of the crime.”  (</w:t>
      </w:r>
      <w:r>
        <w:rPr>
          <w:i/>
        </w:rPr>
        <w:t>People v. Lindberg</w:t>
      </w:r>
      <w:r>
        <w:t xml:space="preserve"> (2008) 45 </w:t>
      </w:r>
      <w:r>
        <w:t>Cal.4th 1, 27</w:t>
      </w:r>
      <w:r>
        <w:t xml:space="preserve">.)  Robbery is defined as “the felonious taking of personal </w:t>
      </w:r>
      <w:r>
        <w:t>property in the possession of another, from his person or immediate presence, and against his will, accomplished by means of force or fear.”  (§ 211.)  Robbery requires the “specific intent to permanently deprive” the victim of his or her property.  (</w:t>
      </w:r>
      <w:r>
        <w:rPr>
          <w:i/>
        </w:rPr>
        <w:t>Peopl</w:t>
      </w:r>
      <w:r>
        <w:rPr>
          <w:i/>
        </w:rPr>
        <w:t>e v. Young</w:t>
      </w:r>
      <w:r>
        <w:t xml:space="preserve"> (</w:t>
      </w:r>
      <w:r>
        <w:t>2005) 34 </w:t>
      </w:r>
      <w:r>
        <w:t>Cal.4th 1149, 1176</w:t>
      </w:r>
      <w:r>
        <w:t xml:space="preserve">; </w:t>
      </w:r>
      <w:r>
        <w:rPr>
          <w:i/>
        </w:rPr>
        <w:t>id.</w:t>
      </w:r>
      <w:r>
        <w:t xml:space="preserve"> at p. </w:t>
      </w:r>
      <w:r>
        <w:t>1177.)</w:t>
      </w:r>
      <w:r>
        <w:tab/>
      </w:r>
      <w:r>
        <w:t xml:space="preserve"> </w:t>
      </w:r>
    </w:p>
    <w:p w:rsidR="0070359D" w:rsidRDefault="00EF4903" w:rsidP="00A34574">
      <w:pPr>
        <w:spacing w:line="480" w:lineRule="atLeast"/>
      </w:pPr>
      <w:r>
        <w:tab/>
      </w:r>
      <w:proofErr w:type="spellStart"/>
      <w:r>
        <w:t>Mora</w:t>
      </w:r>
      <w:proofErr w:type="spellEnd"/>
      <w:r>
        <w:t xml:space="preserve"> claims the sole evidence </w:t>
      </w:r>
      <w:r>
        <w:t>presented to the trier of fact regarding attempted robbery wa</w:t>
      </w:r>
      <w:r>
        <w:t xml:space="preserve">s Gregorio’s testimony that both Rangel and </w:t>
      </w:r>
      <w:proofErr w:type="spellStart"/>
      <w:r>
        <w:t>Mora</w:t>
      </w:r>
      <w:proofErr w:type="spellEnd"/>
      <w:r>
        <w:t xml:space="preserve"> asked for </w:t>
      </w:r>
      <w:r>
        <w:t>the victims’</w:t>
      </w:r>
      <w:r>
        <w:t xml:space="preserve"> wallets prior to shooting them; </w:t>
      </w:r>
      <w:r>
        <w:t>Rangel argues no evidence</w:t>
      </w:r>
      <w:r>
        <w:t xml:space="preserve"> s</w:t>
      </w:r>
      <w:r>
        <w:t xml:space="preserve">upported the theory that he or </w:t>
      </w:r>
      <w:proofErr w:type="spellStart"/>
      <w:r>
        <w:t>Mora</w:t>
      </w:r>
      <w:proofErr w:type="spellEnd"/>
      <w:r>
        <w:t xml:space="preserve"> intended to take anything from the victims.</w:t>
      </w:r>
      <w:r w:rsidRPr="00185F59">
        <w:t xml:space="preserve"> </w:t>
      </w:r>
      <w:r>
        <w:t xml:space="preserve"> Gregorio testified that </w:t>
      </w:r>
      <w:r>
        <w:t xml:space="preserve">Rangel pointed a gun at </w:t>
      </w:r>
      <w:proofErr w:type="spellStart"/>
      <w:r>
        <w:t>Encinas’s</w:t>
      </w:r>
      <w:proofErr w:type="spellEnd"/>
      <w:r>
        <w:t xml:space="preserve"> face while saying, “Check yourself.  Check yourself.  Give me your wallet.”  Before he was shot, </w:t>
      </w:r>
      <w:proofErr w:type="spellStart"/>
      <w:r>
        <w:t>Encinas</w:t>
      </w:r>
      <w:proofErr w:type="spellEnd"/>
      <w:r>
        <w:t xml:space="preserve"> had time to briefly </w:t>
      </w:r>
      <w:r>
        <w:t xml:space="preserve">verbally </w:t>
      </w:r>
      <w:r>
        <w:t>respond</w:t>
      </w:r>
      <w:r>
        <w:t>, “come on, man,”</w:t>
      </w:r>
      <w:r>
        <w:t xml:space="preserve"> and to reach for his wallet.  O</w:t>
      </w:r>
      <w:r>
        <w:t xml:space="preserve">n the </w:t>
      </w:r>
      <w:r>
        <w:t xml:space="preserve">other </w:t>
      </w:r>
      <w:r>
        <w:t xml:space="preserve">side of the car, at </w:t>
      </w:r>
      <w:r>
        <w:t xml:space="preserve">the moment that </w:t>
      </w:r>
      <w:proofErr w:type="spellStart"/>
      <w:r>
        <w:t>Encinas</w:t>
      </w:r>
      <w:proofErr w:type="spellEnd"/>
      <w:r>
        <w:t xml:space="preserve"> reached for his wallet and </w:t>
      </w:r>
      <w:r>
        <w:t>Rangel</w:t>
      </w:r>
      <w:r>
        <w:t xml:space="preserve"> shot him, </w:t>
      </w:r>
      <w:proofErr w:type="spellStart"/>
      <w:r>
        <w:t>Mora</w:t>
      </w:r>
      <w:proofErr w:type="spellEnd"/>
      <w:r>
        <w:t xml:space="preserve"> asked </w:t>
      </w:r>
      <w:proofErr w:type="spellStart"/>
      <w:r>
        <w:t>Urrutia</w:t>
      </w:r>
      <w:proofErr w:type="spellEnd"/>
      <w:r>
        <w:t xml:space="preserve"> for </w:t>
      </w:r>
      <w:proofErr w:type="spellStart"/>
      <w:r>
        <w:t>Urrutia’s</w:t>
      </w:r>
      <w:proofErr w:type="spellEnd"/>
      <w:r>
        <w:t xml:space="preserve"> wallet.  </w:t>
      </w:r>
      <w:proofErr w:type="spellStart"/>
      <w:r>
        <w:t>Urrutia</w:t>
      </w:r>
      <w:proofErr w:type="spellEnd"/>
      <w:r>
        <w:t xml:space="preserve"> told </w:t>
      </w:r>
      <w:proofErr w:type="spellStart"/>
      <w:r>
        <w:t>Mora</w:t>
      </w:r>
      <w:proofErr w:type="spellEnd"/>
      <w:r>
        <w:t xml:space="preserve"> that he had no money but would give </w:t>
      </w:r>
      <w:proofErr w:type="spellStart"/>
      <w:r>
        <w:t>Mora</w:t>
      </w:r>
      <w:proofErr w:type="spellEnd"/>
      <w:r>
        <w:t xml:space="preserve"> his wallet anyway.  Immediately thereafter, “within seconds,” </w:t>
      </w:r>
      <w:proofErr w:type="spellStart"/>
      <w:r>
        <w:t>Mora</w:t>
      </w:r>
      <w:proofErr w:type="spellEnd"/>
      <w:r>
        <w:t xml:space="preserve"> shot </w:t>
      </w:r>
      <w:proofErr w:type="spellStart"/>
      <w:r>
        <w:t>Urrutia</w:t>
      </w:r>
      <w:proofErr w:type="spellEnd"/>
      <w:r>
        <w:t xml:space="preserve">.  </w:t>
      </w:r>
      <w:r>
        <w:t>Offic</w:t>
      </w:r>
      <w:r>
        <w:t xml:space="preserve">er Raymond Brown, one of the first responders to </w:t>
      </w:r>
      <w:proofErr w:type="spellStart"/>
      <w:r>
        <w:t>Castlegate</w:t>
      </w:r>
      <w:proofErr w:type="spellEnd"/>
      <w:r>
        <w:t>, noted that t</w:t>
      </w:r>
      <w:r w:rsidRPr="001246BE">
        <w:rPr>
          <w:szCs w:val="26"/>
        </w:rPr>
        <w:t xml:space="preserve">wo wallets were visible in the </w:t>
      </w:r>
      <w:r>
        <w:rPr>
          <w:szCs w:val="26"/>
        </w:rPr>
        <w:t>4Runner</w:t>
      </w:r>
      <w:r w:rsidRPr="001246BE">
        <w:rPr>
          <w:szCs w:val="26"/>
        </w:rPr>
        <w:t xml:space="preserve">.  </w:t>
      </w:r>
      <w:proofErr w:type="spellStart"/>
      <w:r w:rsidRPr="001246BE">
        <w:rPr>
          <w:szCs w:val="26"/>
        </w:rPr>
        <w:t>Encinas’s</w:t>
      </w:r>
      <w:proofErr w:type="spellEnd"/>
      <w:r w:rsidRPr="001246BE">
        <w:rPr>
          <w:szCs w:val="26"/>
        </w:rPr>
        <w:t xml:space="preserve"> wallet was in the center console between </w:t>
      </w:r>
      <w:proofErr w:type="spellStart"/>
      <w:r w:rsidRPr="001246BE">
        <w:rPr>
          <w:szCs w:val="26"/>
        </w:rPr>
        <w:t>Encinas</w:t>
      </w:r>
      <w:proofErr w:type="spellEnd"/>
      <w:r w:rsidRPr="001246BE">
        <w:rPr>
          <w:szCs w:val="26"/>
        </w:rPr>
        <w:t xml:space="preserve"> and </w:t>
      </w:r>
      <w:proofErr w:type="spellStart"/>
      <w:r w:rsidRPr="001246BE">
        <w:rPr>
          <w:szCs w:val="26"/>
        </w:rPr>
        <w:t>Urrutia</w:t>
      </w:r>
      <w:proofErr w:type="spellEnd"/>
      <w:r w:rsidRPr="001246BE">
        <w:rPr>
          <w:szCs w:val="26"/>
        </w:rPr>
        <w:t xml:space="preserve">, and </w:t>
      </w:r>
      <w:proofErr w:type="spellStart"/>
      <w:r w:rsidRPr="001246BE">
        <w:rPr>
          <w:szCs w:val="26"/>
        </w:rPr>
        <w:t>Urrutia’s</w:t>
      </w:r>
      <w:proofErr w:type="spellEnd"/>
      <w:r w:rsidRPr="001246BE">
        <w:rPr>
          <w:szCs w:val="26"/>
        </w:rPr>
        <w:t xml:space="preserve"> wallet was in the passenger seat.      </w:t>
      </w:r>
    </w:p>
    <w:p w:rsidR="003168E1" w:rsidRDefault="00EF4903" w:rsidP="00A34574">
      <w:pPr>
        <w:spacing w:line="480" w:lineRule="atLeast"/>
      </w:pPr>
      <w:r>
        <w:tab/>
      </w:r>
      <w:proofErr w:type="spellStart"/>
      <w:r>
        <w:t>Mora</w:t>
      </w:r>
      <w:proofErr w:type="spellEnd"/>
      <w:r>
        <w:t xml:space="preserve"> and Rangel</w:t>
      </w:r>
      <w:r>
        <w:t xml:space="preserve"> </w:t>
      </w:r>
      <w:r>
        <w:t xml:space="preserve">argue the evidence was </w:t>
      </w:r>
      <w:r>
        <w:t xml:space="preserve">insufficient </w:t>
      </w:r>
      <w:r>
        <w:t>to demonstrate</w:t>
      </w:r>
      <w:r>
        <w:t xml:space="preserve"> their intent to permanently deprive the</w:t>
      </w:r>
      <w:r>
        <w:t xml:space="preserve"> victims of their property.  R</w:t>
      </w:r>
      <w:r>
        <w:t xml:space="preserve">eviewing the evidence in the light most favorable to the verdict, </w:t>
      </w:r>
      <w:r>
        <w:t>as we must, we conclude</w:t>
      </w:r>
      <w:r>
        <w:t xml:space="preserve"> — narrowly — that</w:t>
      </w:r>
      <w:r>
        <w:t xml:space="preserve"> </w:t>
      </w:r>
      <w:r>
        <w:t>the record discloses solid,</w:t>
      </w:r>
      <w:r>
        <w:t xml:space="preserve"> credible, and reasonable evidence of </w:t>
      </w:r>
      <w:proofErr w:type="spellStart"/>
      <w:r>
        <w:t>Mora</w:t>
      </w:r>
      <w:proofErr w:type="spellEnd"/>
      <w:r>
        <w:t xml:space="preserve"> and Rangel’s </w:t>
      </w:r>
      <w:proofErr w:type="spellStart"/>
      <w:r>
        <w:t>guilt</w:t>
      </w:r>
      <w:proofErr w:type="spellEnd"/>
      <w:r>
        <w:t xml:space="preserve"> of attempted robbery</w:t>
      </w:r>
      <w:r>
        <w:t xml:space="preserve"> and of felony murder based on attempted robbery</w:t>
      </w:r>
      <w:r>
        <w:t xml:space="preserve">.  </w:t>
      </w:r>
      <w:r>
        <w:t>(</w:t>
      </w:r>
      <w:r>
        <w:rPr>
          <w:i/>
        </w:rPr>
        <w:t>People v. </w:t>
      </w:r>
      <w:r w:rsidRPr="00B10B81">
        <w:rPr>
          <w:i/>
        </w:rPr>
        <w:t>Boyer</w:t>
      </w:r>
      <w:r>
        <w:t xml:space="preserve">, </w:t>
      </w:r>
      <w:r>
        <w:rPr>
          <w:i/>
        </w:rPr>
        <w:t>supra</w:t>
      </w:r>
      <w:r>
        <w:t xml:space="preserve">, 38 Cal.4th at p. 480.)  </w:t>
      </w:r>
      <w:r>
        <w:t>Credible testimony was presented that</w:t>
      </w:r>
      <w:r>
        <w:t xml:space="preserve"> </w:t>
      </w:r>
      <w:proofErr w:type="spellStart"/>
      <w:r>
        <w:t>Mora</w:t>
      </w:r>
      <w:proofErr w:type="spellEnd"/>
      <w:r>
        <w:t xml:space="preserve"> and Rangel ask</w:t>
      </w:r>
      <w:r>
        <w:t>ed the victims fo</w:t>
      </w:r>
      <w:r>
        <w:t xml:space="preserve">r their </w:t>
      </w:r>
      <w:r>
        <w:t xml:space="preserve">wallets.  As </w:t>
      </w:r>
      <w:proofErr w:type="spellStart"/>
      <w:r>
        <w:t>Mora</w:t>
      </w:r>
      <w:proofErr w:type="spellEnd"/>
      <w:r>
        <w:t xml:space="preserve"> acknowledges, this evidence</w:t>
      </w:r>
      <w:r>
        <w:t xml:space="preserve"> alone is</w:t>
      </w:r>
      <w:r>
        <w:t xml:space="preserve"> sufficient</w:t>
      </w:r>
      <w:r>
        <w:t xml:space="preserve"> to convict a person of attempted robbery “in the appropriate case.”  </w:t>
      </w:r>
      <w:proofErr w:type="spellStart"/>
      <w:r>
        <w:t>Mora</w:t>
      </w:r>
      <w:proofErr w:type="spellEnd"/>
      <w:r>
        <w:t xml:space="preserve"> argues more </w:t>
      </w:r>
      <w:r>
        <w:t xml:space="preserve">evidence </w:t>
      </w:r>
      <w:r>
        <w:t xml:space="preserve">was needed here, and </w:t>
      </w:r>
      <w:r>
        <w:t xml:space="preserve">no more evidence was adduced. </w:t>
      </w:r>
      <w:r>
        <w:t xml:space="preserve"> </w:t>
      </w:r>
      <w:r>
        <w:t>But that is not true</w:t>
      </w:r>
      <w:r>
        <w:t xml:space="preserve">.  </w:t>
      </w:r>
      <w:proofErr w:type="spellStart"/>
      <w:r>
        <w:t>Encinas</w:t>
      </w:r>
      <w:proofErr w:type="spellEnd"/>
      <w:r>
        <w:t xml:space="preserve"> and </w:t>
      </w:r>
      <w:proofErr w:type="spellStart"/>
      <w:r>
        <w:t>Urrutia</w:t>
      </w:r>
      <w:proofErr w:type="spellEnd"/>
      <w:r>
        <w:t xml:space="preserve"> each</w:t>
      </w:r>
      <w:r>
        <w:t xml:space="preserve"> were permitted to take</w:t>
      </w:r>
      <w:r>
        <w:t xml:space="preserve"> steps to comply with the requests for their wallets.  Each verbally responded to the requests for their wallets and moved their bodies in an effort to retrieve their wallets to hand to </w:t>
      </w:r>
      <w:proofErr w:type="spellStart"/>
      <w:r>
        <w:t>Mora</w:t>
      </w:r>
      <w:proofErr w:type="spellEnd"/>
      <w:r>
        <w:t xml:space="preserve"> and Rangel</w:t>
      </w:r>
      <w:r>
        <w:t xml:space="preserve"> before being shot</w:t>
      </w:r>
      <w:r>
        <w:t xml:space="preserve">.  The wallets were found in open and apparent locations in the </w:t>
      </w:r>
      <w:r>
        <w:t>4Runner</w:t>
      </w:r>
      <w:r>
        <w:t xml:space="preserve">.  From these facts a reasonable jury could conclude that </w:t>
      </w:r>
      <w:proofErr w:type="spellStart"/>
      <w:r>
        <w:t>Mora</w:t>
      </w:r>
      <w:proofErr w:type="spellEnd"/>
      <w:r>
        <w:t xml:space="preserve"> and Rangel intended to deprive the victims of their wallets.</w:t>
      </w:r>
      <w:r>
        <w:t xml:space="preserve">  </w:t>
      </w:r>
    </w:p>
    <w:p w:rsidR="00DA6EB1" w:rsidRDefault="00EF4903" w:rsidP="00F316A7">
      <w:pPr>
        <w:spacing w:line="480" w:lineRule="atLeast"/>
      </w:pPr>
      <w:r>
        <w:tab/>
        <w:t>Some evidence cuts in the other direction.  The wallets we</w:t>
      </w:r>
      <w:r>
        <w:t>re not taken from the victims</w:t>
      </w:r>
      <w:r>
        <w:t xml:space="preserve">.  Before asking the victims for their wallets, Rangel asked </w:t>
      </w:r>
      <w:proofErr w:type="spellStart"/>
      <w:r>
        <w:t>Encinas</w:t>
      </w:r>
      <w:proofErr w:type="spellEnd"/>
      <w:r>
        <w:t xml:space="preserve"> whether he wanted to “go to sleep,” </w:t>
      </w:r>
      <w:r>
        <w:t>an</w:t>
      </w:r>
      <w:r>
        <w:t xml:space="preserve"> exchange </w:t>
      </w:r>
      <w:r>
        <w:t xml:space="preserve">that </w:t>
      </w:r>
      <w:r>
        <w:t xml:space="preserve">seems unrelated to a permanent deprivation of property.  Ultimately, </w:t>
      </w:r>
      <w:r>
        <w:t>though</w:t>
      </w:r>
      <w:r>
        <w:t>, w</w:t>
      </w:r>
      <w:r>
        <w:t>hether Rangel</w:t>
      </w:r>
      <w:r>
        <w:t xml:space="preserve"> and </w:t>
      </w:r>
      <w:proofErr w:type="spellStart"/>
      <w:r>
        <w:t>Mora’s</w:t>
      </w:r>
      <w:proofErr w:type="spellEnd"/>
      <w:r>
        <w:t xml:space="preserve"> de</w:t>
      </w:r>
      <w:r>
        <w:t>mands for the victims’ wallets alone would have been sufficient to affirm the jury’s verdict is immaterial.  The jury based its verdict upon all of the evidence</w:t>
      </w:r>
      <w:r>
        <w:t>, much of which supported the prosecution’s theory.  In addition to the evidence that defendants</w:t>
      </w:r>
      <w:r>
        <w:t xml:space="preserve"> </w:t>
      </w:r>
      <w:r>
        <w:t>asked for the victims’ wallets and permitted the victims to take steps acquiescing to their demands, the prosecutor theorized that the murders could have been carried out following the attempted robbery because doing so would guarantee the victims could n</w:t>
      </w:r>
      <w:r>
        <w:t xml:space="preserve">ot give chase to their assailants.  </w:t>
      </w:r>
      <w:r>
        <w:t xml:space="preserve">Viewing </w:t>
      </w:r>
      <w:r>
        <w:t>the</w:t>
      </w:r>
      <w:r>
        <w:t xml:space="preserve"> evidence</w:t>
      </w:r>
      <w:r>
        <w:t xml:space="preserve"> in the light most favorable to the verdict, we conclude it suffices to</w:t>
      </w:r>
      <w:r>
        <w:t xml:space="preserve"> </w:t>
      </w:r>
      <w:r>
        <w:t>demonstrate</w:t>
      </w:r>
      <w:r>
        <w:t xml:space="preserve"> that</w:t>
      </w:r>
      <w:r>
        <w:t xml:space="preserve"> </w:t>
      </w:r>
      <w:proofErr w:type="spellStart"/>
      <w:r>
        <w:t>Mora</w:t>
      </w:r>
      <w:proofErr w:type="spellEnd"/>
      <w:r>
        <w:t xml:space="preserve"> and Rangel inten</w:t>
      </w:r>
      <w:r>
        <w:t>ded</w:t>
      </w:r>
      <w:r>
        <w:t xml:space="preserve"> to permanently deprive the victims of their property and </w:t>
      </w:r>
      <w:r>
        <w:t xml:space="preserve">each took </w:t>
      </w:r>
      <w:r>
        <w:t>an overt step towar</w:t>
      </w:r>
      <w:r>
        <w:t>d completing that goal.</w:t>
      </w:r>
      <w:r>
        <w:t xml:space="preserve">  </w:t>
      </w:r>
    </w:p>
    <w:p w:rsidR="00B75A78" w:rsidRDefault="00EF4903" w:rsidP="00F316A7">
      <w:pPr>
        <w:spacing w:line="480" w:lineRule="atLeast"/>
      </w:pPr>
      <w:r>
        <w:tab/>
      </w:r>
      <w:proofErr w:type="spellStart"/>
      <w:r>
        <w:t>Mora</w:t>
      </w:r>
      <w:proofErr w:type="spellEnd"/>
      <w:r>
        <w:t xml:space="preserve"> </w:t>
      </w:r>
      <w:r>
        <w:t>urges us to conclude otherwise</w:t>
      </w:r>
      <w:r>
        <w:t xml:space="preserve">.  </w:t>
      </w:r>
      <w:r>
        <w:t>H</w:t>
      </w:r>
      <w:r>
        <w:t>e argues</w:t>
      </w:r>
      <w:r>
        <w:t xml:space="preserve"> </w:t>
      </w:r>
      <w:r>
        <w:t xml:space="preserve">that because shots were fired so quickly after </w:t>
      </w:r>
      <w:r>
        <w:t>defendants</w:t>
      </w:r>
      <w:r>
        <w:t xml:space="preserve"> asked for the wallets and neither </w:t>
      </w:r>
      <w:proofErr w:type="spellStart"/>
      <w:r>
        <w:t>Mora</w:t>
      </w:r>
      <w:proofErr w:type="spellEnd"/>
      <w:r>
        <w:t xml:space="preserve"> nor Rangel “made any attempt to take the victims’ wallets or anything else from eith</w:t>
      </w:r>
      <w:r>
        <w:t xml:space="preserve">er of the victims or their vehicle” after the shooting, they had no intent to permanently deprive the victims of their property.  Even if the evidence supported </w:t>
      </w:r>
      <w:proofErr w:type="spellStart"/>
      <w:r>
        <w:t>Mora’s</w:t>
      </w:r>
      <w:proofErr w:type="spellEnd"/>
      <w:r>
        <w:t xml:space="preserve"> theory, we are not free to reform the verdict simply because another theory is plausible</w:t>
      </w:r>
      <w:r>
        <w:t>.  (</w:t>
      </w:r>
      <w:r>
        <w:rPr>
          <w:i/>
        </w:rPr>
        <w:t>People v. Jackson</w:t>
      </w:r>
      <w:r>
        <w:t xml:space="preserve"> (2016) 1 Cal.5th 269, 345 [“ ‘If the circumstances reasonably justify the trier of fact’s findings, reversal of the judgment is not warranted simply because the circumstances might also reasonably be rec</w:t>
      </w:r>
      <w:r>
        <w:t>onciled with a contrary finding</w:t>
      </w:r>
      <w:r>
        <w:t xml:space="preserve">’ ”].)  </w:t>
      </w:r>
      <w:r>
        <w:t>Whether</w:t>
      </w:r>
      <w:r>
        <w:t xml:space="preserve"> a reasonable trier of fact could reach a different conclusion based upon the same facts does not mean the verdict is not supporte</w:t>
      </w:r>
      <w:r>
        <w:t>d by sufficient evidence.  (</w:t>
      </w:r>
      <w:r>
        <w:rPr>
          <w:i/>
        </w:rPr>
        <w:t xml:space="preserve">People v. </w:t>
      </w:r>
      <w:proofErr w:type="spellStart"/>
      <w:r>
        <w:rPr>
          <w:i/>
        </w:rPr>
        <w:t>Farnam</w:t>
      </w:r>
      <w:proofErr w:type="spellEnd"/>
      <w:r>
        <w:t xml:space="preserve"> (2002)</w:t>
      </w:r>
      <w:r>
        <w:t xml:space="preserve"> 28 Cal.4th </w:t>
      </w:r>
      <w:r>
        <w:t>107,</w:t>
      </w:r>
      <w:r>
        <w:t xml:space="preserve"> </w:t>
      </w:r>
      <w:r>
        <w:t xml:space="preserve">143.)  </w:t>
      </w:r>
    </w:p>
    <w:p w:rsidR="004E226E" w:rsidRPr="00812BE3" w:rsidRDefault="00EF4903" w:rsidP="00F316A7">
      <w:pPr>
        <w:spacing w:line="480" w:lineRule="atLeast"/>
      </w:pPr>
      <w:r>
        <w:tab/>
      </w:r>
      <w:r>
        <w:t xml:space="preserve">Even if </w:t>
      </w:r>
      <w:r>
        <w:t xml:space="preserve">we </w:t>
      </w:r>
      <w:r>
        <w:t>find</w:t>
      </w:r>
      <w:r>
        <w:t xml:space="preserve"> sufficient</w:t>
      </w:r>
      <w:r>
        <w:t xml:space="preserve"> evidence</w:t>
      </w:r>
      <w:r>
        <w:t xml:space="preserve"> to support the attempted robbery con</w:t>
      </w:r>
      <w:r>
        <w:t xml:space="preserve">victions, </w:t>
      </w:r>
      <w:proofErr w:type="spellStart"/>
      <w:r>
        <w:t>Mora</w:t>
      </w:r>
      <w:proofErr w:type="spellEnd"/>
      <w:r>
        <w:t xml:space="preserve"> and Rangel separately urge us to conclude </w:t>
      </w:r>
      <w:r>
        <w:t xml:space="preserve">that the robbery-murder special circumstance must be </w:t>
      </w:r>
      <w:r>
        <w:t>vacated</w:t>
      </w:r>
      <w:r>
        <w:t xml:space="preserve"> because there was insufficient evidence to establish that </w:t>
      </w:r>
      <w:proofErr w:type="spellStart"/>
      <w:r>
        <w:t>Encinas</w:t>
      </w:r>
      <w:proofErr w:type="spellEnd"/>
      <w:r>
        <w:t xml:space="preserve"> and </w:t>
      </w:r>
      <w:proofErr w:type="spellStart"/>
      <w:r>
        <w:t>Urrutia</w:t>
      </w:r>
      <w:proofErr w:type="spellEnd"/>
      <w:r>
        <w:t xml:space="preserve"> were killed to</w:t>
      </w:r>
      <w:r>
        <w:t xml:space="preserve"> advance the independent felonious purpose of robbery.  </w:t>
      </w:r>
      <w:r>
        <w:t xml:space="preserve">As the opinion of our concurring and dissenting colleague highlights, </w:t>
      </w:r>
      <w:r>
        <w:t xml:space="preserve">this </w:t>
      </w:r>
      <w:r>
        <w:t xml:space="preserve">is </w:t>
      </w:r>
      <w:r>
        <w:t>a closer question.</w:t>
      </w:r>
      <w:r>
        <w:t xml:space="preserve">  (</w:t>
      </w:r>
      <w:r>
        <w:rPr>
          <w:i/>
        </w:rPr>
        <w:t>People v. Green</w:t>
      </w:r>
      <w:r>
        <w:t xml:space="preserve"> (1980) 27 Cal.3d 1, 61</w:t>
      </w:r>
      <w:r>
        <w:t xml:space="preserve"> (</w:t>
      </w:r>
      <w:r>
        <w:rPr>
          <w:i/>
        </w:rPr>
        <w:t>Green</w:t>
      </w:r>
      <w:r>
        <w:t>)</w:t>
      </w:r>
      <w:r>
        <w:t>.)  I</w:t>
      </w:r>
      <w:r>
        <w:t>n</w:t>
      </w:r>
      <w:r w:rsidRPr="00D64D5F">
        <w:t xml:space="preserve"> </w:t>
      </w:r>
      <w:r>
        <w:rPr>
          <w:i/>
        </w:rPr>
        <w:t>Green</w:t>
      </w:r>
      <w:r>
        <w:t>,</w:t>
      </w:r>
      <w:r>
        <w:t xml:space="preserve"> we explained that</w:t>
      </w:r>
      <w:r>
        <w:t xml:space="preserve"> the robbery-murder spec</w:t>
      </w:r>
      <w:r>
        <w:t xml:space="preserve">ial circumstance </w:t>
      </w:r>
      <w:r>
        <w:t>must</w:t>
      </w:r>
      <w:r>
        <w:t xml:space="preserve"> satisfy the legislative goal of </w:t>
      </w:r>
      <w:r>
        <w:t xml:space="preserve">all </w:t>
      </w:r>
      <w:r>
        <w:t>special circumstances, “</w:t>
      </w:r>
      <w:proofErr w:type="spellStart"/>
      <w:r>
        <w:t>provid</w:t>
      </w:r>
      <w:proofErr w:type="spellEnd"/>
      <w:r>
        <w:t>[</w:t>
      </w:r>
      <w:proofErr w:type="spellStart"/>
      <w:r>
        <w:t>ing</w:t>
      </w:r>
      <w:proofErr w:type="spellEnd"/>
      <w:r>
        <w:t>] a rational basis for distinguishing between those murdere</w:t>
      </w:r>
      <w:r>
        <w:t>r</w:t>
      </w:r>
      <w:r>
        <w:t xml:space="preserve">s who deserve to be considered for the death penalty and those who do not,” </w:t>
      </w:r>
      <w:r>
        <w:t>and it cannot do so if</w:t>
      </w:r>
      <w:r>
        <w:t xml:space="preserve"> “the </w:t>
      </w:r>
      <w:r>
        <w:t>defendant’s intent is not to steal but to kill and the robbery is merely incidental to the murder.”  (</w:t>
      </w:r>
      <w:r>
        <w:rPr>
          <w:i/>
        </w:rPr>
        <w:t>Ibid</w:t>
      </w:r>
      <w:r w:rsidRPr="00D64D5F">
        <w:rPr>
          <w:i/>
        </w:rPr>
        <w:t>.</w:t>
      </w:r>
      <w:r>
        <w:t xml:space="preserve">; </w:t>
      </w:r>
      <w:r>
        <w:t>§190.2, su</w:t>
      </w:r>
      <w:r>
        <w:t>b</w:t>
      </w:r>
      <w:r>
        <w:t>d. (a)(17)(A).</w:t>
      </w:r>
      <w:r>
        <w:t>)</w:t>
      </w:r>
      <w:r>
        <w:t xml:space="preserve">  That is, if the murder furthers the robbery</w:t>
      </w:r>
      <w:r>
        <w:t xml:space="preserve"> or attempted robbery</w:t>
      </w:r>
      <w:r>
        <w:t>, the special circumstance is satisfied.  But, if the r</w:t>
      </w:r>
      <w:r>
        <w:t>obbery</w:t>
      </w:r>
      <w:r>
        <w:t xml:space="preserve"> or attempted robbery</w:t>
      </w:r>
      <w:r>
        <w:t xml:space="preserve"> simply furthers or facilitates the murder, it is not</w:t>
      </w:r>
      <w:r>
        <w:t>, because the robbery’s “sole object is to facilitate or conceal the primary crime</w:t>
      </w:r>
      <w:r>
        <w:t>.</w:t>
      </w:r>
      <w:r>
        <w:t>”</w:t>
      </w:r>
      <w:r>
        <w:t xml:space="preserve">  (</w:t>
      </w:r>
      <w:r>
        <w:rPr>
          <w:i/>
        </w:rPr>
        <w:t>Green</w:t>
      </w:r>
      <w:r>
        <w:t xml:space="preserve">, </w:t>
      </w:r>
      <w:r>
        <w:rPr>
          <w:i/>
        </w:rPr>
        <w:t>supra</w:t>
      </w:r>
      <w:r>
        <w:t>, 27 Cal.3d at p. 61.)</w:t>
      </w:r>
    </w:p>
    <w:p w:rsidR="00912323" w:rsidRDefault="00EF4903" w:rsidP="00F316A7">
      <w:pPr>
        <w:spacing w:line="480" w:lineRule="atLeast"/>
      </w:pPr>
      <w:r>
        <w:tab/>
      </w:r>
      <w:r>
        <w:t>We conclude that sufficient</w:t>
      </w:r>
      <w:r>
        <w:t xml:space="preserve"> evidence supports the</w:t>
      </w:r>
      <w:r>
        <w:t xml:space="preserve"> jur</w:t>
      </w:r>
      <w:r>
        <w:t>y’s true finding of the robbery-murder special circumstan</w:t>
      </w:r>
      <w:r>
        <w:t xml:space="preserve">ce.  The evidence suggests </w:t>
      </w:r>
      <w:r>
        <w:t>the robbery was c</w:t>
      </w:r>
      <w:r>
        <w:t xml:space="preserve">ommitted </w:t>
      </w:r>
      <w:r>
        <w:t>for reasons separate and independent from the murder.  The concurring and dissenting opinion points to evidence indicating the primary focus of th</w:t>
      </w:r>
      <w:r>
        <w:t>e encounter between defendants and victims was murder, and certainly there is support in the record for this interpretation</w:t>
      </w:r>
      <w:r>
        <w:t xml:space="preserve">.  </w:t>
      </w:r>
      <w:r>
        <w:t xml:space="preserve">Rangel asked </w:t>
      </w:r>
      <w:proofErr w:type="spellStart"/>
      <w:r>
        <w:t>Encinas</w:t>
      </w:r>
      <w:proofErr w:type="spellEnd"/>
      <w:r>
        <w:t xml:space="preserve"> if he wanted to “go to sleep,” </w:t>
      </w:r>
      <w:r>
        <w:t>after which</w:t>
      </w:r>
      <w:r>
        <w:t xml:space="preserve"> </w:t>
      </w:r>
      <w:proofErr w:type="spellStart"/>
      <w:r>
        <w:t>Mora</w:t>
      </w:r>
      <w:proofErr w:type="spellEnd"/>
      <w:r>
        <w:t xml:space="preserve"> and Rangel</w:t>
      </w:r>
      <w:r>
        <w:t xml:space="preserve"> followed the victims</w:t>
      </w:r>
      <w:r>
        <w:t xml:space="preserve"> to their car.  Once there, de</w:t>
      </w:r>
      <w:r>
        <w:t>fendants</w:t>
      </w:r>
      <w:r>
        <w:t xml:space="preserve"> asked the victims for their wallets.  </w:t>
      </w:r>
      <w:proofErr w:type="spellStart"/>
      <w:r>
        <w:t>Urrutia</w:t>
      </w:r>
      <w:proofErr w:type="spellEnd"/>
      <w:r>
        <w:t xml:space="preserve"> and </w:t>
      </w:r>
      <w:proofErr w:type="spellStart"/>
      <w:r>
        <w:t>Encinas</w:t>
      </w:r>
      <w:proofErr w:type="spellEnd"/>
      <w:r>
        <w:t xml:space="preserve"> demurred, with one indicating he did not have much money but would provide his wallet anyway, and the other saying “come on, man” while reaching for his wallet.  Moments later, both men wer</w:t>
      </w:r>
      <w:r>
        <w:t xml:space="preserve">e shot.  </w:t>
      </w:r>
    </w:p>
    <w:p w:rsidR="007463D3" w:rsidRDefault="00EF4903" w:rsidP="00F316A7">
      <w:pPr>
        <w:spacing w:line="480" w:lineRule="atLeast"/>
      </w:pPr>
      <w:r>
        <w:tab/>
      </w:r>
      <w:r>
        <w:t>Yet t</w:t>
      </w:r>
      <w:r>
        <w:t xml:space="preserve">he record also supports the jury’s verdict, in which the robbery-murder special circumstance was found true.  </w:t>
      </w:r>
      <w:r>
        <w:t xml:space="preserve">Both of the defendants asked the victims for their wallets before they were shot.  </w:t>
      </w:r>
      <w:r>
        <w:t xml:space="preserve">The prosecutor argued </w:t>
      </w:r>
      <w:proofErr w:type="spellStart"/>
      <w:r>
        <w:t>Mora</w:t>
      </w:r>
      <w:proofErr w:type="spellEnd"/>
      <w:r>
        <w:t xml:space="preserve"> and Rangel shot </w:t>
      </w:r>
      <w:proofErr w:type="spellStart"/>
      <w:r>
        <w:t>Encinas</w:t>
      </w:r>
      <w:proofErr w:type="spellEnd"/>
      <w:r>
        <w:t xml:space="preserve"> and </w:t>
      </w:r>
      <w:proofErr w:type="spellStart"/>
      <w:r>
        <w:t>Urrutia</w:t>
      </w:r>
      <w:proofErr w:type="spellEnd"/>
      <w:r>
        <w:t xml:space="preserve"> to avoid detection, and planned to reach into the car at some later point to take the wallets</w:t>
      </w:r>
      <w:r>
        <w:t xml:space="preserve"> they had demanded from their victims</w:t>
      </w:r>
      <w:r>
        <w:t xml:space="preserve">.  The evidence supports this theory as well, suggesting the attempted robbery occurred for reasons other </w:t>
      </w:r>
      <w:r>
        <w:t>than to “facilitate or conceal” the eventual murders.</w:t>
      </w:r>
      <w:r>
        <w:t xml:space="preserve">  (</w:t>
      </w:r>
      <w:r>
        <w:rPr>
          <w:i/>
        </w:rPr>
        <w:t>Green</w:t>
      </w:r>
      <w:r>
        <w:t>,</w:t>
      </w:r>
      <w:r>
        <w:rPr>
          <w:i/>
        </w:rPr>
        <w:t xml:space="preserve"> supra</w:t>
      </w:r>
      <w:r>
        <w:t>,</w:t>
      </w:r>
      <w:r>
        <w:rPr>
          <w:i/>
        </w:rPr>
        <w:t xml:space="preserve"> </w:t>
      </w:r>
      <w:r>
        <w:t>27</w:t>
      </w:r>
      <w:r>
        <w:t> </w:t>
      </w:r>
      <w:r>
        <w:t xml:space="preserve">Cal.3d </w:t>
      </w:r>
      <w:r>
        <w:t>at p. 61.</w:t>
      </w:r>
      <w:r>
        <w:t xml:space="preserve">)  </w:t>
      </w:r>
      <w:r>
        <w:t xml:space="preserve">Defendants’ requests for the victims’ wallets was inconsistent with the dialogue that had preceded it.  </w:t>
      </w:r>
      <w:r>
        <w:t xml:space="preserve">After </w:t>
      </w:r>
      <w:r>
        <w:t xml:space="preserve">Rangel had asked if </w:t>
      </w:r>
      <w:proofErr w:type="spellStart"/>
      <w:r>
        <w:t>Encinas</w:t>
      </w:r>
      <w:proofErr w:type="spellEnd"/>
      <w:r>
        <w:t xml:space="preserve"> wished to </w:t>
      </w:r>
      <w:r>
        <w:t>“</w:t>
      </w:r>
      <w:r>
        <w:t>go to sleep,</w:t>
      </w:r>
      <w:r>
        <w:t>” d</w:t>
      </w:r>
      <w:r>
        <w:t>efendants</w:t>
      </w:r>
      <w:r>
        <w:t xml:space="preserve"> followed the victim</w:t>
      </w:r>
      <w:r>
        <w:t>s</w:t>
      </w:r>
      <w:r>
        <w:t xml:space="preserve"> to their car.  The conversation then shifted to the wallets.  Defendants even provided their victims with some time to respond to the demand for their wallets, engaging in a short dialogue with them about whether the wallets </w:t>
      </w:r>
      <w:r>
        <w:t xml:space="preserve">contained money.  Defendants allowed </w:t>
      </w:r>
      <w:proofErr w:type="spellStart"/>
      <w:r>
        <w:t>Encinas</w:t>
      </w:r>
      <w:proofErr w:type="spellEnd"/>
      <w:r>
        <w:t xml:space="preserve"> and </w:t>
      </w:r>
      <w:proofErr w:type="spellStart"/>
      <w:r>
        <w:t>Urrutia</w:t>
      </w:r>
      <w:proofErr w:type="spellEnd"/>
      <w:r>
        <w:t xml:space="preserve"> time to remove their wallets and place them in open areas of the 4Runner before finally shooting them.  This course of events does not ultimately suggest the attempted robbery was committed</w:t>
      </w:r>
      <w:r>
        <w:t xml:space="preserve"> as a pret</w:t>
      </w:r>
      <w:r>
        <w:t>ext</w:t>
      </w:r>
      <w:r>
        <w:t xml:space="preserve"> to conceal the primary crime, murder.  (</w:t>
      </w:r>
      <w:r>
        <w:rPr>
          <w:i/>
        </w:rPr>
        <w:t>Ibid.</w:t>
      </w:r>
      <w:r>
        <w:t>)</w:t>
      </w:r>
    </w:p>
    <w:p w:rsidR="00F077DE" w:rsidRDefault="00EF4903" w:rsidP="007463D3">
      <w:pPr>
        <w:spacing w:line="480" w:lineRule="atLeast"/>
        <w:ind w:firstLine="720"/>
      </w:pPr>
      <w:r>
        <w:t xml:space="preserve">In </w:t>
      </w:r>
      <w:r w:rsidRPr="0017319D">
        <w:rPr>
          <w:i/>
        </w:rPr>
        <w:t>Green</w:t>
      </w:r>
      <w:r>
        <w:t>, the facts paint a more apparent picture of robbery committed to conceal murder.  (</w:t>
      </w:r>
      <w:r>
        <w:rPr>
          <w:i/>
        </w:rPr>
        <w:t>Green</w:t>
      </w:r>
      <w:r>
        <w:t xml:space="preserve">, </w:t>
      </w:r>
      <w:r>
        <w:rPr>
          <w:i/>
        </w:rPr>
        <w:t>supra</w:t>
      </w:r>
      <w:r>
        <w:t>, 27 Cal.3d at pp. 51</w:t>
      </w:r>
      <w:r>
        <w:t>–</w:t>
      </w:r>
      <w:r>
        <w:t xml:space="preserve">62.)  </w:t>
      </w:r>
      <w:r>
        <w:t>B</w:t>
      </w:r>
      <w:r>
        <w:t xml:space="preserve">efore shooting the victim, </w:t>
      </w:r>
      <w:r>
        <w:t xml:space="preserve">the </w:t>
      </w:r>
      <w:r>
        <w:t>defendant instructed her to remov</w:t>
      </w:r>
      <w:r>
        <w:t>e</w:t>
      </w:r>
      <w:r>
        <w:t xml:space="preserve"> all of</w:t>
      </w:r>
      <w:r>
        <w:t xml:space="preserve"> her clothing.  (</w:t>
      </w:r>
      <w:r>
        <w:rPr>
          <w:i/>
        </w:rPr>
        <w:t>Green</w:t>
      </w:r>
      <w:r>
        <w:t xml:space="preserve">, </w:t>
      </w:r>
      <w:r>
        <w:rPr>
          <w:i/>
        </w:rPr>
        <w:t>supra</w:t>
      </w:r>
      <w:r>
        <w:t xml:space="preserve">, 27 Cal.3d at p. 16.)  After shooting the victim, </w:t>
      </w:r>
      <w:r>
        <w:t xml:space="preserve">the </w:t>
      </w:r>
      <w:r>
        <w:t>defendant took the victim’s rings and purse, and removed cash from the victim’s purse, commenting “</w:t>
      </w:r>
      <w:r>
        <w:t xml:space="preserve"> ‘[t]his would have </w:t>
      </w:r>
      <w:r>
        <w:t>been a hell of a robbery, huh?’ </w:t>
      </w:r>
      <w:r>
        <w:t>”  (</w:t>
      </w:r>
      <w:r>
        <w:rPr>
          <w:i/>
        </w:rPr>
        <w:t>Ibid.</w:t>
      </w:r>
      <w:r>
        <w:t>)   The vict</w:t>
      </w:r>
      <w:r>
        <w:t>im’s belongings were later burned or disposed of to avoid identification.  (</w:t>
      </w:r>
      <w:r>
        <w:rPr>
          <w:i/>
        </w:rPr>
        <w:t>Id.</w:t>
      </w:r>
      <w:r>
        <w:t xml:space="preserve"> at p</w:t>
      </w:r>
      <w:r>
        <w:t>p. </w:t>
      </w:r>
      <w:r>
        <w:t>17, 61–</w:t>
      </w:r>
      <w:r>
        <w:t xml:space="preserve">62.)  The jury found </w:t>
      </w:r>
      <w:r>
        <w:t xml:space="preserve">the </w:t>
      </w:r>
      <w:r>
        <w:t xml:space="preserve">defendant guilty of the </w:t>
      </w:r>
      <w:r>
        <w:t xml:space="preserve">special circumstance of robbery </w:t>
      </w:r>
      <w:r>
        <w:t>murder</w:t>
      </w:r>
      <w:r>
        <w:t xml:space="preserve"> </w:t>
      </w:r>
      <w:r>
        <w:t>and we reversed.  (</w:t>
      </w:r>
      <w:r>
        <w:rPr>
          <w:i/>
        </w:rPr>
        <w:t>Id</w:t>
      </w:r>
      <w:r w:rsidRPr="00D64D5F">
        <w:rPr>
          <w:i/>
        </w:rPr>
        <w:t>.</w:t>
      </w:r>
      <w:r>
        <w:t xml:space="preserve"> at p. 62.)  We concluded that whether the items wer</w:t>
      </w:r>
      <w:r>
        <w:t xml:space="preserve">e taken before or after the victim was killed was of little relevance when, as even the Attorney General conceded, the defendant’s primary objective was to remove items from the victim to </w:t>
      </w:r>
      <w:r>
        <w:t>prevent her subsequent</w:t>
      </w:r>
      <w:r>
        <w:t xml:space="preserve"> identification.  (</w:t>
      </w:r>
      <w:r>
        <w:rPr>
          <w:i/>
        </w:rPr>
        <w:t>Ibid</w:t>
      </w:r>
      <w:r w:rsidRPr="00D64D5F">
        <w:rPr>
          <w:i/>
        </w:rPr>
        <w:t>.</w:t>
      </w:r>
      <w:r>
        <w:t>)</w:t>
      </w:r>
      <w:r>
        <w:t xml:space="preserve">  </w:t>
      </w:r>
    </w:p>
    <w:p w:rsidR="00CC7076" w:rsidRDefault="00EF4903" w:rsidP="00F316A7">
      <w:pPr>
        <w:spacing w:line="480" w:lineRule="atLeast"/>
      </w:pPr>
      <w:r>
        <w:tab/>
        <w:t>We likewise re</w:t>
      </w:r>
      <w:r>
        <w:t>versed a robbery-murder special-</w:t>
      </w:r>
      <w:r>
        <w:t xml:space="preserve">circumstance true finding when the only evidence in support thereof was the fact that the victim was shot and killed in a location where robberies had previously occurred. </w:t>
      </w:r>
      <w:r>
        <w:t xml:space="preserve"> </w:t>
      </w:r>
      <w:r>
        <w:t>(</w:t>
      </w:r>
      <w:r>
        <w:rPr>
          <w:i/>
        </w:rPr>
        <w:t>People v. Morris</w:t>
      </w:r>
      <w:r>
        <w:t xml:space="preserve"> (1988) 46 Cal.3d 1, 22.)  There, </w:t>
      </w:r>
      <w:r>
        <w:t xml:space="preserve">a witness observed the shooting death of a nude victim at </w:t>
      </w:r>
      <w:r>
        <w:t xml:space="preserve">a </w:t>
      </w:r>
      <w:r>
        <w:t>Long Beach bathhouse and observed the shooter flee the scene into a car.  (</w:t>
      </w:r>
      <w:r>
        <w:rPr>
          <w:i/>
        </w:rPr>
        <w:t>Ibid</w:t>
      </w:r>
      <w:r w:rsidRPr="00D64D5F">
        <w:rPr>
          <w:i/>
        </w:rPr>
        <w:t>.</w:t>
      </w:r>
      <w:r>
        <w:t xml:space="preserve">)  On </w:t>
      </w:r>
      <w:r>
        <w:t>such</w:t>
      </w:r>
      <w:r>
        <w:t xml:space="preserve"> scant evidence, we could not “say the prosecution sustained its burden of proving beyond a reasonable dou</w:t>
      </w:r>
      <w:r>
        <w:t>bt the killing occurred ‘during the commission of a robbery.’ ”  (</w:t>
      </w:r>
      <w:r>
        <w:rPr>
          <w:i/>
        </w:rPr>
        <w:t>Ibid</w:t>
      </w:r>
      <w:r w:rsidRPr="00D64D5F">
        <w:rPr>
          <w:i/>
        </w:rPr>
        <w:t>.</w:t>
      </w:r>
      <w:r>
        <w:t>)</w:t>
      </w:r>
    </w:p>
    <w:p w:rsidR="00C8763A" w:rsidRPr="00812BE3" w:rsidRDefault="00EF4903" w:rsidP="00F316A7">
      <w:pPr>
        <w:spacing w:line="480" w:lineRule="atLeast"/>
      </w:pPr>
      <w:r>
        <w:tab/>
      </w:r>
      <w:r>
        <w:t>This</w:t>
      </w:r>
      <w:r>
        <w:t xml:space="preserve"> case is not so stark.</w:t>
      </w:r>
      <w:r>
        <w:t xml:space="preserve">  </w:t>
      </w:r>
      <w:r>
        <w:t xml:space="preserve">The question is certainly close, but there is a great deal more support for the jury’s verdict here than there was in </w:t>
      </w:r>
      <w:r>
        <w:rPr>
          <w:i/>
        </w:rPr>
        <w:t>Green</w:t>
      </w:r>
      <w:r>
        <w:t xml:space="preserve"> or </w:t>
      </w:r>
      <w:r>
        <w:rPr>
          <w:i/>
        </w:rPr>
        <w:t>People v. Morris</w:t>
      </w:r>
      <w:r>
        <w:t xml:space="preserve">.  </w:t>
      </w:r>
      <w:r>
        <w:t xml:space="preserve">The concurring and dissenting opinion concludes otherwise, arguing “[t]he facts do not support a finding that defendants murdered their victims ‘in order to advance’ a robbery.”  (Conc. &amp; dis. opn., </w:t>
      </w:r>
      <w:r>
        <w:rPr>
          <w:i/>
        </w:rPr>
        <w:t>post</w:t>
      </w:r>
      <w:r w:rsidRPr="0017319D">
        <w:t xml:space="preserve">, </w:t>
      </w:r>
      <w:r>
        <w:t xml:space="preserve">at p. 1, quoting </w:t>
      </w:r>
      <w:r>
        <w:rPr>
          <w:i/>
        </w:rPr>
        <w:t>Green</w:t>
      </w:r>
      <w:r w:rsidRPr="00A3732B">
        <w:t>,</w:t>
      </w:r>
      <w:r>
        <w:rPr>
          <w:i/>
        </w:rPr>
        <w:t xml:space="preserve"> </w:t>
      </w:r>
      <w:r w:rsidRPr="0017319D">
        <w:rPr>
          <w:i/>
        </w:rPr>
        <w:t>supra</w:t>
      </w:r>
      <w:r>
        <w:t>, 27 Cal.3d at p. 61.)</w:t>
      </w:r>
      <w:r>
        <w:t xml:space="preserve">  On this point we disagree.  The separate opinion highlights som</w:t>
      </w:r>
      <w:r>
        <w:t xml:space="preserve">e of the facts mentioned above — </w:t>
      </w:r>
      <w:r>
        <w:t>that defendants shot the victims before the victims fully complied with the demand for their wallets, and fled without the wallets and without an abortive eve</w:t>
      </w:r>
      <w:r>
        <w:t>nt occurring that would have prevented defendants from taking the wallets.  From this information, the concurring and d</w:t>
      </w:r>
      <w:r>
        <w:t>issenting opinion concludes</w:t>
      </w:r>
      <w:r>
        <w:t xml:space="preserve"> there was no evidence that a motive to kill developed from the robbery.  But this interpretation of the evide</w:t>
      </w:r>
      <w:r>
        <w:t xml:space="preserve">nce, while plausible, is not the view the jury took, </w:t>
      </w:r>
      <w:r>
        <w:t xml:space="preserve">does not rule out the jury’s conclusion, </w:t>
      </w:r>
      <w:r>
        <w:t xml:space="preserve">and is not the one we are compelled to adopt in light of the evidence in this record and the standard of review.  </w:t>
      </w:r>
      <w:r w:rsidRPr="0017319D">
        <w:t>Viewing</w:t>
      </w:r>
      <w:r>
        <w:t xml:space="preserve"> the evidence</w:t>
      </w:r>
      <w:r>
        <w:t xml:space="preserve"> in </w:t>
      </w:r>
      <w:r>
        <w:t>the light most favorable</w:t>
      </w:r>
      <w:r>
        <w:t xml:space="preserve"> to the</w:t>
      </w:r>
      <w:r>
        <w:t xml:space="preserve"> verdict, we </w:t>
      </w:r>
      <w:r>
        <w:t>hold</w:t>
      </w:r>
      <w:r>
        <w:t xml:space="preserve"> a reasonable </w:t>
      </w:r>
      <w:r w:rsidRPr="00B10B81">
        <w:t>trier of fact could conclude</w:t>
      </w:r>
      <w:r>
        <w:t xml:space="preserve"> </w:t>
      </w:r>
      <w:r>
        <w:t xml:space="preserve">— and did — </w:t>
      </w:r>
      <w:r>
        <w:t>t</w:t>
      </w:r>
      <w:r>
        <w:t>hat</w:t>
      </w:r>
      <w:r w:rsidRPr="00B10B81">
        <w:t xml:space="preserve"> the prosecution </w:t>
      </w:r>
      <w:r>
        <w:t>sustain</w:t>
      </w:r>
      <w:r>
        <w:t>ed</w:t>
      </w:r>
      <w:r w:rsidRPr="00B10B81">
        <w:t xml:space="preserve"> its burden of proof</w:t>
      </w:r>
      <w:r>
        <w:t>.  (</w:t>
      </w:r>
      <w:r w:rsidRPr="00B10B81">
        <w:rPr>
          <w:i/>
        </w:rPr>
        <w:t>People v. Boyer</w:t>
      </w:r>
      <w:r>
        <w:t xml:space="preserve">, </w:t>
      </w:r>
      <w:r>
        <w:rPr>
          <w:i/>
        </w:rPr>
        <w:t>supra</w:t>
      </w:r>
      <w:r>
        <w:t>,</w:t>
      </w:r>
      <w:r>
        <w:t xml:space="preserve"> 38 Cal.4th</w:t>
      </w:r>
      <w:r>
        <w:t xml:space="preserve"> at pp.</w:t>
      </w:r>
      <w:r>
        <w:t xml:space="preserve"> 479</w:t>
      </w:r>
      <w:r>
        <w:t>–</w:t>
      </w:r>
      <w:r>
        <w:t>480</w:t>
      </w:r>
      <w:r>
        <w:t xml:space="preserve">; </w:t>
      </w:r>
      <w:r w:rsidRPr="00A3295E">
        <w:t>see also</w:t>
      </w:r>
      <w:r w:rsidRPr="00A3295E">
        <w:rPr>
          <w:i/>
        </w:rPr>
        <w:t xml:space="preserve"> People v. Carter</w:t>
      </w:r>
      <w:r>
        <w:t xml:space="preserve"> (2005) 36</w:t>
      </w:r>
      <w:r>
        <w:t> </w:t>
      </w:r>
      <w:r>
        <w:t xml:space="preserve">Cal.4th 1215, 1261 [“In reviewing a </w:t>
      </w:r>
      <w:r>
        <w:t>claim of insufficient evidence as to special circumstance findings, ‘ “ ‘we must determine “whether, after viewing the evidence in the light most favorable to the prosecution, any rational trier of fact could have found the essential elements of the [alleg</w:t>
      </w:r>
      <w:r>
        <w:t>ations] b</w:t>
      </w:r>
      <w:r>
        <w:t xml:space="preserve">eyond a reasonable doubt.” ’ ” </w:t>
      </w:r>
      <w:r>
        <w:t>[Citation.]</w:t>
      </w:r>
      <w:r>
        <w:t xml:space="preserve">’ </w:t>
      </w:r>
      <w:r>
        <w:t>”].)  In light of this standard of review, and our interpretation of the same facts, we find sufficient evidence supports the jury’s robbery-murder special-circumstance true finding.</w:t>
      </w:r>
    </w:p>
    <w:p w:rsidR="004E226E" w:rsidRPr="001246BE" w:rsidRDefault="00EF4903" w:rsidP="004E226E">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25" w:name="_Toc511210397"/>
      <w:r w:rsidRPr="001246BE">
        <w:rPr>
          <w:rFonts w:ascii="Times New Roman" w:hAnsi="Times New Roman"/>
        </w:rPr>
        <w:t>8.</w:t>
      </w:r>
      <w:r w:rsidRPr="001246BE">
        <w:rPr>
          <w:rFonts w:ascii="Times New Roman" w:hAnsi="Times New Roman"/>
        </w:rPr>
        <w:tab/>
      </w:r>
      <w:r>
        <w:rPr>
          <w:rFonts w:ascii="Times New Roman" w:hAnsi="Times New Roman"/>
        </w:rPr>
        <w:t xml:space="preserve">Multiple </w:t>
      </w:r>
      <w:r>
        <w:rPr>
          <w:rFonts w:ascii="Times New Roman" w:hAnsi="Times New Roman"/>
        </w:rPr>
        <w:t>Murder</w:t>
      </w:r>
      <w:r w:rsidRPr="001246BE">
        <w:rPr>
          <w:rFonts w:ascii="Times New Roman" w:hAnsi="Times New Roman"/>
        </w:rPr>
        <w:t xml:space="preserve"> Special Circumstance True Finding</w:t>
      </w:r>
      <w:bookmarkEnd w:id="25"/>
      <w:r w:rsidRPr="001246BE">
        <w:rPr>
          <w:rFonts w:ascii="Times New Roman" w:hAnsi="Times New Roman"/>
        </w:rPr>
        <w:t xml:space="preserve"> </w:t>
      </w:r>
    </w:p>
    <w:p w:rsidR="00A05DF7" w:rsidRDefault="00EF4903" w:rsidP="00A44F91">
      <w:pPr>
        <w:spacing w:line="480" w:lineRule="atLeast"/>
      </w:pPr>
      <w:r>
        <w:tab/>
      </w:r>
      <w:proofErr w:type="spellStart"/>
      <w:r>
        <w:t>Mora</w:t>
      </w:r>
      <w:proofErr w:type="spellEnd"/>
      <w:r>
        <w:t xml:space="preserve"> and Rangel contend the jury’s </w:t>
      </w:r>
      <w:r>
        <w:t>multiple murder</w:t>
      </w:r>
      <w:r>
        <w:t xml:space="preserve"> special-</w:t>
      </w:r>
      <w:r>
        <w:t xml:space="preserve">circumstance </w:t>
      </w:r>
      <w:r>
        <w:t>true finding</w:t>
      </w:r>
      <w:r>
        <w:t xml:space="preserve"> must be</w:t>
      </w:r>
      <w:r>
        <w:t xml:space="preserve"> </w:t>
      </w:r>
      <w:r>
        <w:t>reversed</w:t>
      </w:r>
      <w:r>
        <w:t>.  The</w:t>
      </w:r>
      <w:r>
        <w:t>y argue the</w:t>
      </w:r>
      <w:r>
        <w:t xml:space="preserve"> special circumstance may </w:t>
      </w:r>
      <w:r>
        <w:t xml:space="preserve">have </w:t>
      </w:r>
      <w:r>
        <w:t>b</w:t>
      </w:r>
      <w:r>
        <w:t>e</w:t>
      </w:r>
      <w:r>
        <w:t>e</w:t>
      </w:r>
      <w:r>
        <w:t>n</w:t>
      </w:r>
      <w:r>
        <w:t xml:space="preserve"> found true only if the jury determined that </w:t>
      </w:r>
      <w:r>
        <w:t>each</w:t>
      </w:r>
      <w:r>
        <w:t xml:space="preserve"> of them</w:t>
      </w:r>
      <w:r>
        <w:t xml:space="preserve"> </w:t>
      </w:r>
      <w:r>
        <w:t>intended</w:t>
      </w:r>
      <w:r>
        <w:t xml:space="preserve"> to kill the victim he did not shoot</w:t>
      </w:r>
      <w:r>
        <w:t xml:space="preserve">. </w:t>
      </w:r>
      <w:r>
        <w:t xml:space="preserve"> </w:t>
      </w:r>
      <w:r>
        <w:t>B</w:t>
      </w:r>
      <w:r>
        <w:t>ut</w:t>
      </w:r>
      <w:r>
        <w:t>, they contend,</w:t>
      </w:r>
      <w:r>
        <w:t xml:space="preserve"> the jury instructions and facts of the case render it impossible to </w:t>
      </w:r>
      <w:r>
        <w:t>know whether the jury so found</w:t>
      </w:r>
      <w:r>
        <w:t xml:space="preserve"> beyond a reasonable doubt</w:t>
      </w:r>
      <w:r>
        <w:t xml:space="preserve">, or if it instead found that </w:t>
      </w:r>
      <w:proofErr w:type="spellStart"/>
      <w:r>
        <w:t>Mora</w:t>
      </w:r>
      <w:proofErr w:type="spellEnd"/>
      <w:r>
        <w:t xml:space="preserve"> and Rangel</w:t>
      </w:r>
      <w:r>
        <w:t xml:space="preserve"> intended</w:t>
      </w:r>
      <w:r>
        <w:t xml:space="preserve"> to aid and abet the</w:t>
      </w:r>
      <w:r>
        <w:t xml:space="preserve"> robbery of the victim he did not shoot, which would have been insufficient to support the </w:t>
      </w:r>
      <w:r>
        <w:t>multiple murder</w:t>
      </w:r>
      <w:r>
        <w:t xml:space="preserve"> special-</w:t>
      </w:r>
      <w:r>
        <w:t>circumstance</w:t>
      </w:r>
      <w:r>
        <w:t xml:space="preserve"> true finding.</w:t>
      </w:r>
      <w:r w:rsidRPr="001246BE">
        <w:rPr>
          <w:szCs w:val="26"/>
        </w:rPr>
        <w:t xml:space="preserve">  </w:t>
      </w:r>
    </w:p>
    <w:p w:rsidR="00CA6BB9" w:rsidRDefault="00EF4903" w:rsidP="003E068C">
      <w:pPr>
        <w:spacing w:line="480" w:lineRule="atLeast"/>
      </w:pPr>
      <w:r>
        <w:tab/>
        <w:t>The jury was instructed pursuant to CALJIC Nos. 8.80.1</w:t>
      </w:r>
      <w:r>
        <w:t>, concerning special circumstances generally,</w:t>
      </w:r>
      <w:r>
        <w:t xml:space="preserve"> and 8.81.3</w:t>
      </w:r>
      <w:r>
        <w:t>,</w:t>
      </w:r>
      <w:r>
        <w:t xml:space="preserve"> concerning the </w:t>
      </w:r>
      <w:r>
        <w:t>multiple murder</w:t>
      </w:r>
      <w:r>
        <w:t xml:space="preserve"> special-</w:t>
      </w:r>
      <w:r>
        <w:t>circumstance</w:t>
      </w:r>
      <w:r>
        <w:t xml:space="preserve"> specifically</w:t>
      </w:r>
      <w:r>
        <w:t>.  CALJIC N</w:t>
      </w:r>
      <w:r>
        <w:t>o. 8.80.1 instructs</w:t>
      </w:r>
      <w:r>
        <w:t>,</w:t>
      </w:r>
      <w:r>
        <w:t xml:space="preserve"> </w:t>
      </w:r>
      <w:r>
        <w:t xml:space="preserve">in relevant part, </w:t>
      </w:r>
      <w:r>
        <w:t>“If you find that a defendant was not the actual killer of a human being, or if you are unable to decide whether the defendant was the actual</w:t>
      </w:r>
      <w:r>
        <w:t xml:space="preserve"> killer or an aider and abettor, you cannot find the special circumstance to be true as to that defendant </w:t>
      </w:r>
      <w:r>
        <w:rPr>
          <w:i/>
        </w:rPr>
        <w:t xml:space="preserve">unless you are satisfied beyond a reasonable </w:t>
      </w:r>
      <w:r w:rsidRPr="002F30FB">
        <w:rPr>
          <w:i/>
        </w:rPr>
        <w:t xml:space="preserve">doubt that </w:t>
      </w:r>
      <w:r w:rsidRPr="002F30FB">
        <w:rPr>
          <w:i/>
        </w:rPr>
        <w:t>such</w:t>
      </w:r>
      <w:r w:rsidRPr="002F30FB">
        <w:rPr>
          <w:i/>
        </w:rPr>
        <w:t xml:space="preserve"> defendant w</w:t>
      </w:r>
      <w:r>
        <w:rPr>
          <w:i/>
        </w:rPr>
        <w:t>ith the intent to kill</w:t>
      </w:r>
      <w:r>
        <w:t xml:space="preserve">, </w:t>
      </w:r>
      <w:r>
        <w:rPr>
          <w:i/>
        </w:rPr>
        <w:t>aided or abetted </w:t>
      </w:r>
      <w:r w:rsidRPr="00153E02">
        <w:rPr>
          <w:i/>
        </w:rPr>
        <w:t>.</w:t>
      </w:r>
      <w:r>
        <w:rPr>
          <w:i/>
        </w:rPr>
        <w:t> </w:t>
      </w:r>
      <w:r w:rsidRPr="00153E02">
        <w:rPr>
          <w:i/>
        </w:rPr>
        <w:t>.</w:t>
      </w:r>
      <w:r>
        <w:rPr>
          <w:i/>
        </w:rPr>
        <w:t> </w:t>
      </w:r>
      <w:r w:rsidRPr="00153E02">
        <w:rPr>
          <w:i/>
        </w:rPr>
        <w:t>.</w:t>
      </w:r>
      <w:r>
        <w:rPr>
          <w:i/>
        </w:rPr>
        <w:t> </w:t>
      </w:r>
      <w:r w:rsidRPr="00153E02">
        <w:rPr>
          <w:i/>
        </w:rPr>
        <w:t>in the commission of the murder</w:t>
      </w:r>
      <w:r w:rsidRPr="00153E02">
        <w:rPr>
          <w:i/>
        </w:rPr>
        <w:t xml:space="preserve"> in the first degree</w:t>
      </w:r>
      <w:r>
        <w:t xml:space="preserve">, </w:t>
      </w:r>
      <w:r w:rsidRPr="00153E02">
        <w:rPr>
          <w:b/>
        </w:rPr>
        <w:t xml:space="preserve">or </w:t>
      </w:r>
      <w:r w:rsidRPr="00153E02">
        <w:rPr>
          <w:i/>
        </w:rPr>
        <w:t>with reckless indifference to human life and as a major participant</w:t>
      </w:r>
      <w:r>
        <w:rPr>
          <w:i/>
        </w:rPr>
        <w:t>, aided, abetted, counseled, commanded, induced, solicited, requested, or assisted in the commission of the crime of attempted robbery which resulted in the death o</w:t>
      </w:r>
      <w:r>
        <w:rPr>
          <w:i/>
        </w:rPr>
        <w:t>f a human being</w:t>
      </w:r>
      <w:r>
        <w:t>.</w:t>
      </w:r>
      <w:r>
        <w:t>”</w:t>
      </w:r>
      <w:r>
        <w:t xml:space="preserve">  </w:t>
      </w:r>
    </w:p>
    <w:p w:rsidR="00995945" w:rsidRDefault="00EF4903" w:rsidP="00E74D8E">
      <w:pPr>
        <w:spacing w:line="480" w:lineRule="atLeast"/>
        <w:rPr>
          <w:szCs w:val="26"/>
        </w:rPr>
      </w:pPr>
      <w:r>
        <w:tab/>
      </w:r>
      <w:proofErr w:type="spellStart"/>
      <w:r w:rsidRPr="001246BE">
        <w:rPr>
          <w:szCs w:val="26"/>
        </w:rPr>
        <w:t>Mora</w:t>
      </w:r>
      <w:proofErr w:type="spellEnd"/>
      <w:r w:rsidRPr="001246BE">
        <w:rPr>
          <w:szCs w:val="26"/>
        </w:rPr>
        <w:t xml:space="preserve"> and Rangel</w:t>
      </w:r>
      <w:r w:rsidRPr="001246BE">
        <w:rPr>
          <w:szCs w:val="26"/>
        </w:rPr>
        <w:t xml:space="preserve"> </w:t>
      </w:r>
      <w:r w:rsidRPr="001246BE">
        <w:rPr>
          <w:szCs w:val="26"/>
        </w:rPr>
        <w:t xml:space="preserve">assert </w:t>
      </w:r>
      <w:r w:rsidRPr="001246BE">
        <w:rPr>
          <w:szCs w:val="26"/>
        </w:rPr>
        <w:t xml:space="preserve">that there was ambiguity in </w:t>
      </w:r>
      <w:r>
        <w:rPr>
          <w:szCs w:val="26"/>
        </w:rPr>
        <w:t>CALJIC No. 8.80.1</w:t>
      </w:r>
      <w:r w:rsidRPr="001246BE">
        <w:rPr>
          <w:szCs w:val="26"/>
        </w:rPr>
        <w:t xml:space="preserve"> </w:t>
      </w:r>
      <w:r w:rsidRPr="001246BE">
        <w:rPr>
          <w:szCs w:val="26"/>
        </w:rPr>
        <w:t xml:space="preserve">because </w:t>
      </w:r>
      <w:r w:rsidRPr="001246BE">
        <w:rPr>
          <w:szCs w:val="26"/>
        </w:rPr>
        <w:t>it</w:t>
      </w:r>
      <w:r w:rsidRPr="001246BE">
        <w:rPr>
          <w:szCs w:val="26"/>
        </w:rPr>
        <w:t xml:space="preserve"> permitted the jury to find true the </w:t>
      </w:r>
      <w:r>
        <w:rPr>
          <w:szCs w:val="26"/>
        </w:rPr>
        <w:t>multiple murder</w:t>
      </w:r>
      <w:r w:rsidRPr="001246BE">
        <w:rPr>
          <w:szCs w:val="26"/>
        </w:rPr>
        <w:t xml:space="preserve"> special circumstance even if </w:t>
      </w:r>
      <w:r w:rsidRPr="001246BE">
        <w:rPr>
          <w:szCs w:val="26"/>
        </w:rPr>
        <w:t xml:space="preserve">the jury found only that either appellant acted, with reckless indifference to human life, as a major participant in the attempted robbery of the victim they did not shoot.  </w:t>
      </w:r>
      <w:proofErr w:type="spellStart"/>
      <w:r>
        <w:rPr>
          <w:szCs w:val="26"/>
        </w:rPr>
        <w:t>Mora</w:t>
      </w:r>
      <w:proofErr w:type="spellEnd"/>
      <w:r>
        <w:rPr>
          <w:szCs w:val="26"/>
        </w:rPr>
        <w:t xml:space="preserve"> and Rangel are correct</w:t>
      </w:r>
      <w:r>
        <w:rPr>
          <w:szCs w:val="26"/>
        </w:rPr>
        <w:t xml:space="preserve">, and we held as much in </w:t>
      </w:r>
      <w:r w:rsidRPr="001246BE">
        <w:rPr>
          <w:i/>
          <w:szCs w:val="26"/>
        </w:rPr>
        <w:t>Covarrubias</w:t>
      </w:r>
      <w:r>
        <w:rPr>
          <w:szCs w:val="26"/>
        </w:rPr>
        <w:t xml:space="preserve">, </w:t>
      </w:r>
      <w:r>
        <w:rPr>
          <w:szCs w:val="26"/>
        </w:rPr>
        <w:t>where</w:t>
      </w:r>
      <w:r>
        <w:rPr>
          <w:szCs w:val="26"/>
        </w:rPr>
        <w:t xml:space="preserve"> </w:t>
      </w:r>
      <w:r w:rsidRPr="001246BE">
        <w:rPr>
          <w:szCs w:val="26"/>
        </w:rPr>
        <w:t>w</w:t>
      </w:r>
      <w:r w:rsidRPr="001246BE">
        <w:rPr>
          <w:szCs w:val="26"/>
        </w:rPr>
        <w:t>e examined</w:t>
      </w:r>
      <w:r w:rsidRPr="001246BE">
        <w:rPr>
          <w:szCs w:val="26"/>
        </w:rPr>
        <w:t xml:space="preserve"> the paragraph of CALJIC No. 8.80.1 </w:t>
      </w:r>
      <w:r>
        <w:rPr>
          <w:szCs w:val="26"/>
        </w:rPr>
        <w:t>with which</w:t>
      </w:r>
      <w:r w:rsidRPr="001246BE">
        <w:rPr>
          <w:szCs w:val="26"/>
        </w:rPr>
        <w:t xml:space="preserve"> </w:t>
      </w:r>
      <w:proofErr w:type="spellStart"/>
      <w:r w:rsidRPr="001246BE">
        <w:rPr>
          <w:szCs w:val="26"/>
        </w:rPr>
        <w:t>Mora</w:t>
      </w:r>
      <w:proofErr w:type="spellEnd"/>
      <w:r w:rsidRPr="001246BE">
        <w:rPr>
          <w:szCs w:val="26"/>
        </w:rPr>
        <w:t xml:space="preserve"> and Rangel quarrel here</w:t>
      </w:r>
      <w:r>
        <w:rPr>
          <w:szCs w:val="26"/>
        </w:rPr>
        <w:t>.  (</w:t>
      </w:r>
      <w:r w:rsidRPr="00467709">
        <w:rPr>
          <w:i/>
          <w:szCs w:val="26"/>
        </w:rPr>
        <w:t>Covarrubias</w:t>
      </w:r>
      <w:r>
        <w:rPr>
          <w:szCs w:val="26"/>
        </w:rPr>
        <w:t xml:space="preserve">, </w:t>
      </w:r>
      <w:r w:rsidRPr="00467709">
        <w:rPr>
          <w:i/>
          <w:szCs w:val="26"/>
        </w:rPr>
        <w:t>supra</w:t>
      </w:r>
      <w:r>
        <w:rPr>
          <w:szCs w:val="26"/>
        </w:rPr>
        <w:t>, 1 </w:t>
      </w:r>
      <w:r>
        <w:rPr>
          <w:szCs w:val="26"/>
        </w:rPr>
        <w:t>Cal.5th at pp. 92</w:t>
      </w:r>
      <w:r>
        <w:rPr>
          <w:szCs w:val="26"/>
        </w:rPr>
        <w:t>5</w:t>
      </w:r>
      <w:r>
        <w:t>–</w:t>
      </w:r>
      <w:r>
        <w:rPr>
          <w:szCs w:val="26"/>
        </w:rPr>
        <w:t>931.)</w:t>
      </w:r>
      <w:r>
        <w:rPr>
          <w:szCs w:val="26"/>
        </w:rPr>
        <w:t xml:space="preserve">  </w:t>
      </w:r>
      <w:r>
        <w:rPr>
          <w:szCs w:val="26"/>
        </w:rPr>
        <w:t xml:space="preserve">We explained </w:t>
      </w:r>
      <w:r>
        <w:rPr>
          <w:szCs w:val="26"/>
        </w:rPr>
        <w:t xml:space="preserve">in </w:t>
      </w:r>
      <w:r>
        <w:rPr>
          <w:i/>
          <w:szCs w:val="26"/>
        </w:rPr>
        <w:t>Covarrubias</w:t>
      </w:r>
      <w:r>
        <w:rPr>
          <w:szCs w:val="26"/>
        </w:rPr>
        <w:t xml:space="preserve"> </w:t>
      </w:r>
      <w:r>
        <w:rPr>
          <w:szCs w:val="26"/>
        </w:rPr>
        <w:t>that</w:t>
      </w:r>
      <w:r>
        <w:rPr>
          <w:szCs w:val="26"/>
        </w:rPr>
        <w:t xml:space="preserve"> “this portion of CALJIC No. 8.80.1</w:t>
      </w:r>
      <w:r>
        <w:rPr>
          <w:szCs w:val="26"/>
        </w:rPr>
        <w:t>” was erroneous because it</w:t>
      </w:r>
      <w:r>
        <w:rPr>
          <w:szCs w:val="26"/>
        </w:rPr>
        <w:t xml:space="preserve"> </w:t>
      </w:r>
      <w:r>
        <w:rPr>
          <w:szCs w:val="26"/>
        </w:rPr>
        <w:t>“</w:t>
      </w:r>
      <w:r>
        <w:rPr>
          <w:szCs w:val="26"/>
        </w:rPr>
        <w:t xml:space="preserve">permitted the jury to find the </w:t>
      </w:r>
      <w:r>
        <w:rPr>
          <w:szCs w:val="26"/>
        </w:rPr>
        <w:t>multiple</w:t>
      </w:r>
      <w:r>
        <w:rPr>
          <w:szCs w:val="26"/>
        </w:rPr>
        <w:t>-</w:t>
      </w:r>
      <w:r>
        <w:rPr>
          <w:szCs w:val="26"/>
        </w:rPr>
        <w:t>murder special circumstance true without finding defendant intended to kill a human being.”  (</w:t>
      </w:r>
      <w:r>
        <w:rPr>
          <w:i/>
          <w:szCs w:val="26"/>
        </w:rPr>
        <w:t>Covarrubias</w:t>
      </w:r>
      <w:r>
        <w:rPr>
          <w:szCs w:val="26"/>
        </w:rPr>
        <w:t xml:space="preserve">, </w:t>
      </w:r>
      <w:r>
        <w:rPr>
          <w:i/>
          <w:szCs w:val="26"/>
        </w:rPr>
        <w:t>supra</w:t>
      </w:r>
      <w:r>
        <w:rPr>
          <w:szCs w:val="26"/>
        </w:rPr>
        <w:t>, 1 Cal.5th at p. 929.)</w:t>
      </w:r>
      <w:r>
        <w:rPr>
          <w:szCs w:val="26"/>
        </w:rPr>
        <w:t xml:space="preserve">  </w:t>
      </w:r>
      <w:r>
        <w:rPr>
          <w:szCs w:val="26"/>
        </w:rPr>
        <w:t xml:space="preserve">Because the same infirmity we identified in </w:t>
      </w:r>
      <w:r>
        <w:rPr>
          <w:i/>
          <w:szCs w:val="26"/>
        </w:rPr>
        <w:t>Covarrubias</w:t>
      </w:r>
      <w:r>
        <w:rPr>
          <w:szCs w:val="26"/>
        </w:rPr>
        <w:t xml:space="preserve"> was</w:t>
      </w:r>
      <w:r>
        <w:rPr>
          <w:szCs w:val="26"/>
        </w:rPr>
        <w:t xml:space="preserve"> also</w:t>
      </w:r>
      <w:r>
        <w:rPr>
          <w:szCs w:val="26"/>
        </w:rPr>
        <w:t xml:space="preserve"> present in the instruction given here, we </w:t>
      </w:r>
      <w:r>
        <w:rPr>
          <w:szCs w:val="26"/>
        </w:rPr>
        <w:t>hol</w:t>
      </w:r>
      <w:r>
        <w:rPr>
          <w:szCs w:val="26"/>
        </w:rPr>
        <w:t>d</w:t>
      </w:r>
      <w:r>
        <w:rPr>
          <w:szCs w:val="26"/>
        </w:rPr>
        <w:t xml:space="preserve"> it was error to instruct the jury pursuant to CALJIC No. 8.80.1.  </w:t>
      </w:r>
      <w:r>
        <w:rPr>
          <w:szCs w:val="26"/>
        </w:rPr>
        <w:t>(</w:t>
      </w:r>
      <w:r w:rsidRPr="00FA7870">
        <w:rPr>
          <w:i/>
          <w:szCs w:val="26"/>
        </w:rPr>
        <w:t>Ibid</w:t>
      </w:r>
      <w:r w:rsidRPr="00D64D5F">
        <w:rPr>
          <w:i/>
        </w:rPr>
        <w:t>.</w:t>
      </w:r>
      <w:r>
        <w:rPr>
          <w:szCs w:val="26"/>
        </w:rPr>
        <w:t xml:space="preserve">)  </w:t>
      </w:r>
    </w:p>
    <w:p w:rsidR="003F33E0" w:rsidRDefault="00EF4903" w:rsidP="00E74D8E">
      <w:pPr>
        <w:spacing w:line="480" w:lineRule="atLeast"/>
        <w:rPr>
          <w:szCs w:val="26"/>
        </w:rPr>
      </w:pPr>
      <w:r>
        <w:rPr>
          <w:szCs w:val="26"/>
        </w:rPr>
        <w:tab/>
        <w:t xml:space="preserve">In </w:t>
      </w:r>
      <w:r>
        <w:rPr>
          <w:i/>
          <w:szCs w:val="26"/>
        </w:rPr>
        <w:t>Covarrubias</w:t>
      </w:r>
      <w:r>
        <w:rPr>
          <w:szCs w:val="26"/>
        </w:rPr>
        <w:t>, we concluded “the error was harmless because overwhelming evidence established, and the jury could have had no reasonable doubt, that defendant intended to kill,</w:t>
      </w:r>
      <w:r>
        <w:rPr>
          <w:szCs w:val="26"/>
        </w:rPr>
        <w:t xml:space="preserve"> and that he was an actual killer.”  (</w:t>
      </w:r>
      <w:r>
        <w:rPr>
          <w:i/>
          <w:szCs w:val="26"/>
        </w:rPr>
        <w:t>Covarrubias</w:t>
      </w:r>
      <w:r>
        <w:rPr>
          <w:szCs w:val="26"/>
        </w:rPr>
        <w:t xml:space="preserve">, </w:t>
      </w:r>
      <w:r w:rsidRPr="00467709">
        <w:rPr>
          <w:i/>
          <w:szCs w:val="26"/>
        </w:rPr>
        <w:t>supra</w:t>
      </w:r>
      <w:r>
        <w:rPr>
          <w:szCs w:val="26"/>
        </w:rPr>
        <w:t>, 1 Cal.5th at p. </w:t>
      </w:r>
      <w:r>
        <w:rPr>
          <w:szCs w:val="26"/>
        </w:rPr>
        <w:t xml:space="preserve">929.)  </w:t>
      </w:r>
      <w:r>
        <w:rPr>
          <w:i/>
          <w:szCs w:val="26"/>
        </w:rPr>
        <w:t>Covarrubias</w:t>
      </w:r>
      <w:r>
        <w:rPr>
          <w:szCs w:val="26"/>
        </w:rPr>
        <w:t xml:space="preserve"> involved three shooters and three murder victims, each found with wounds apparently inflicted by defendant as well as by one or both of the other shooters.  (</w:t>
      </w:r>
      <w:r>
        <w:rPr>
          <w:i/>
          <w:szCs w:val="26"/>
        </w:rPr>
        <w:t xml:space="preserve">Id. </w:t>
      </w:r>
      <w:r>
        <w:rPr>
          <w:szCs w:val="26"/>
        </w:rPr>
        <w:t>a</w:t>
      </w:r>
      <w:r>
        <w:rPr>
          <w:szCs w:val="26"/>
        </w:rPr>
        <w:t>t p. 930.)  Based on the physical evidence, we concluded that</w:t>
      </w:r>
      <w:r>
        <w:rPr>
          <w:szCs w:val="26"/>
        </w:rPr>
        <w:t xml:space="preserve"> the</w:t>
      </w:r>
      <w:r>
        <w:rPr>
          <w:szCs w:val="26"/>
        </w:rPr>
        <w:t xml:space="preserve"> defendant certainly “intentionally and fatally” shot one of the victims.  (</w:t>
      </w:r>
      <w:r>
        <w:rPr>
          <w:i/>
          <w:szCs w:val="26"/>
        </w:rPr>
        <w:t>Id.</w:t>
      </w:r>
      <w:r>
        <w:rPr>
          <w:szCs w:val="26"/>
        </w:rPr>
        <w:t xml:space="preserve"> at p. 931.)  From this we reasoned that “the record compels the conclusion that the instructional error regardi</w:t>
      </w:r>
      <w:r>
        <w:rPr>
          <w:szCs w:val="26"/>
        </w:rPr>
        <w:t xml:space="preserve">ng the </w:t>
      </w:r>
      <w:r>
        <w:rPr>
          <w:szCs w:val="26"/>
        </w:rPr>
        <w:t>multiple murder</w:t>
      </w:r>
      <w:r>
        <w:rPr>
          <w:szCs w:val="26"/>
        </w:rPr>
        <w:t xml:space="preserve"> special circumstance was harmless beyond a reasonable doubt.  (See also </w:t>
      </w:r>
      <w:r>
        <w:rPr>
          <w:i/>
          <w:szCs w:val="26"/>
        </w:rPr>
        <w:t>People v. </w:t>
      </w:r>
      <w:proofErr w:type="spellStart"/>
      <w:r>
        <w:rPr>
          <w:i/>
          <w:szCs w:val="26"/>
        </w:rPr>
        <w:t>Maciel</w:t>
      </w:r>
      <w:proofErr w:type="spellEnd"/>
      <w:r>
        <w:rPr>
          <w:szCs w:val="26"/>
        </w:rPr>
        <w:t xml:space="preserve"> (2013) 57 Cal.4th 482, 521</w:t>
      </w:r>
      <w:r>
        <w:rPr>
          <w:szCs w:val="26"/>
        </w:rPr>
        <w:t xml:space="preserve"> </w:t>
      </w:r>
      <w:r>
        <w:rPr>
          <w:szCs w:val="26"/>
        </w:rPr>
        <w:t>[</w:t>
      </w:r>
      <w:r>
        <w:rPr>
          <w:szCs w:val="26"/>
        </w:rPr>
        <w:t>160 Cal.Rptr.</w:t>
      </w:r>
      <w:r>
        <w:rPr>
          <w:szCs w:val="26"/>
        </w:rPr>
        <w:t xml:space="preserve">3d 305, 304 P.3d 983] [multiple </w:t>
      </w:r>
      <w:r>
        <w:rPr>
          <w:szCs w:val="26"/>
        </w:rPr>
        <w:t>murder special circumstance does not require a finding of int</w:t>
      </w:r>
      <w:r>
        <w:rPr>
          <w:szCs w:val="26"/>
        </w:rPr>
        <w:t>ent to kil</w:t>
      </w:r>
      <w:r>
        <w:rPr>
          <w:szCs w:val="26"/>
        </w:rPr>
        <w:t>l every murder victim</w:t>
      </w:r>
      <w:r>
        <w:rPr>
          <w:szCs w:val="26"/>
        </w:rPr>
        <w:t>].)”  (</w:t>
      </w:r>
      <w:r>
        <w:rPr>
          <w:i/>
          <w:szCs w:val="26"/>
        </w:rPr>
        <w:t>Covarrubias</w:t>
      </w:r>
      <w:r>
        <w:rPr>
          <w:szCs w:val="26"/>
        </w:rPr>
        <w:t xml:space="preserve">, </w:t>
      </w:r>
      <w:r>
        <w:rPr>
          <w:i/>
          <w:szCs w:val="26"/>
        </w:rPr>
        <w:t>supra</w:t>
      </w:r>
      <w:r>
        <w:rPr>
          <w:szCs w:val="26"/>
        </w:rPr>
        <w:t xml:space="preserve">, 1 Cal.5th at p. 931.)  </w:t>
      </w:r>
    </w:p>
    <w:p w:rsidR="002E31EF" w:rsidRDefault="00EF4903" w:rsidP="00E74D8E">
      <w:pPr>
        <w:spacing w:line="480" w:lineRule="atLeast"/>
      </w:pPr>
      <w:r>
        <w:rPr>
          <w:szCs w:val="26"/>
        </w:rPr>
        <w:tab/>
      </w:r>
      <w:r>
        <w:rPr>
          <w:szCs w:val="26"/>
        </w:rPr>
        <w:t>The multiple murder special-</w:t>
      </w:r>
      <w:r>
        <w:rPr>
          <w:szCs w:val="26"/>
        </w:rPr>
        <w:t xml:space="preserve">circumstance instruction given here, CALJIC No. 8.81.3, echoes this </w:t>
      </w:r>
      <w:r>
        <w:rPr>
          <w:szCs w:val="26"/>
        </w:rPr>
        <w:t>requirement</w:t>
      </w:r>
      <w:r>
        <w:rPr>
          <w:szCs w:val="26"/>
        </w:rPr>
        <w:t>.  It provides,</w:t>
      </w:r>
      <w:r>
        <w:rPr>
          <w:szCs w:val="26"/>
        </w:rPr>
        <w:t xml:space="preserve"> </w:t>
      </w:r>
      <w:r>
        <w:t xml:space="preserve">“To find that the special circumstance, referred to in these instructions as </w:t>
      </w:r>
      <w:r>
        <w:t>multiple murder</w:t>
      </w:r>
      <w:r>
        <w:t xml:space="preserve"> convictions, is true, it must be proved: A defendant has in this case been convicted of at least one crime of murder of the first degree and one or more crimes of </w:t>
      </w:r>
      <w:r>
        <w:t>murder of the first or second degree.”</w:t>
      </w:r>
      <w:r w:rsidRPr="003E068C">
        <w:t xml:space="preserve"> </w:t>
      </w:r>
      <w:r>
        <w:t xml:space="preserve"> </w:t>
      </w:r>
      <w:r>
        <w:t>(CALJIC No. </w:t>
      </w:r>
      <w:r>
        <w:t>8.81.3; s</w:t>
      </w:r>
      <w:r>
        <w:t xml:space="preserve">ee also </w:t>
      </w:r>
      <w:r>
        <w:t>§ </w:t>
      </w:r>
      <w:r>
        <w:t xml:space="preserve">190.2, subd. (a)(3).)  </w:t>
      </w:r>
      <w:r>
        <w:t xml:space="preserve">Although this is not an incorrect statement, as </w:t>
      </w:r>
      <w:r>
        <w:rPr>
          <w:i/>
        </w:rPr>
        <w:t>Covarrubias</w:t>
      </w:r>
      <w:r>
        <w:t xml:space="preserve"> and </w:t>
      </w:r>
      <w:r>
        <w:rPr>
          <w:i/>
        </w:rPr>
        <w:t xml:space="preserve">People v. </w:t>
      </w:r>
      <w:proofErr w:type="spellStart"/>
      <w:r>
        <w:rPr>
          <w:i/>
        </w:rPr>
        <w:t>Maciel</w:t>
      </w:r>
      <w:proofErr w:type="spellEnd"/>
      <w:r>
        <w:t xml:space="preserve"> instruct, it is not complete.  </w:t>
      </w:r>
      <w:r>
        <w:t>Section 190.2, subdivision (a)(3) d</w:t>
      </w:r>
      <w:r>
        <w:t xml:space="preserve">efines the </w:t>
      </w:r>
      <w:r>
        <w:t>mult</w:t>
      </w:r>
      <w:r>
        <w:t>iple murder</w:t>
      </w:r>
      <w:r>
        <w:t xml:space="preserve"> special circumstance as a conviction “of more than one offense of murder in the first or second degree.”  In </w:t>
      </w:r>
      <w:r>
        <w:rPr>
          <w:i/>
        </w:rPr>
        <w:t>People v. Turner</w:t>
      </w:r>
      <w:r>
        <w:t xml:space="preserve"> (1984) 37 Cal.3d 302, 328</w:t>
      </w:r>
      <w:r>
        <w:t>–</w:t>
      </w:r>
      <w:r>
        <w:t xml:space="preserve">329, we added an element to the special circumstance beyond that statutory requirement: </w:t>
      </w:r>
      <w:r>
        <w:t xml:space="preserve"> </w:t>
      </w:r>
      <w:r>
        <w:t>int</w:t>
      </w:r>
      <w:r>
        <w:t>ent to kill.</w:t>
      </w:r>
      <w:r>
        <w:t xml:space="preserve">  We overruled </w:t>
      </w:r>
      <w:r>
        <w:rPr>
          <w:i/>
        </w:rPr>
        <w:t>People v. Turner</w:t>
      </w:r>
      <w:r>
        <w:t xml:space="preserve"> in </w:t>
      </w:r>
      <w:r>
        <w:rPr>
          <w:i/>
        </w:rPr>
        <w:t>People v. Anderson</w:t>
      </w:r>
      <w:r>
        <w:t xml:space="preserve"> (1987) 43 Cal.3d 1104, 1149–</w:t>
      </w:r>
      <w:r>
        <w:t>1150, holding “intent to kill is not an element of the multiple</w:t>
      </w:r>
      <w:r>
        <w:t>-</w:t>
      </w:r>
      <w:r>
        <w:t xml:space="preserve">murder special circumstance; but when the </w:t>
      </w:r>
      <w:r>
        <w:t xml:space="preserve">defendant is an aider and </w:t>
      </w:r>
      <w:proofErr w:type="spellStart"/>
      <w:r>
        <w:t>abette</w:t>
      </w:r>
      <w:r>
        <w:t>r</w:t>
      </w:r>
      <w:proofErr w:type="spellEnd"/>
      <w:r>
        <w:t xml:space="preserve"> rather than the actual</w:t>
      </w:r>
      <w:r>
        <w:t xml:space="preserve"> killer, intent must be proved.”  </w:t>
      </w:r>
      <w:r>
        <w:tab/>
      </w:r>
    </w:p>
    <w:p w:rsidR="00B85AE3" w:rsidRDefault="00EF4903" w:rsidP="00E74D8E">
      <w:pPr>
        <w:spacing w:line="480" w:lineRule="atLeast"/>
      </w:pPr>
      <w:r>
        <w:tab/>
        <w:t xml:space="preserve">In </w:t>
      </w:r>
      <w:r>
        <w:rPr>
          <w:i/>
        </w:rPr>
        <w:t>People v. Rogers</w:t>
      </w:r>
      <w:r>
        <w:t xml:space="preserve"> (2006) 39 Cal.4th 826, 891, </w:t>
      </w:r>
      <w:r>
        <w:t>we</w:t>
      </w:r>
      <w:r>
        <w:t xml:space="preserve"> exam</w:t>
      </w:r>
      <w:r>
        <w:t xml:space="preserve">ined </w:t>
      </w:r>
      <w:r>
        <w:t xml:space="preserve">the propriety of </w:t>
      </w:r>
      <w:r>
        <w:t xml:space="preserve">a </w:t>
      </w:r>
      <w:r>
        <w:t>multiple murder</w:t>
      </w:r>
      <w:r>
        <w:t xml:space="preserve"> special circumstance instruction</w:t>
      </w:r>
      <w:r>
        <w:t xml:space="preserve">.  The crime in </w:t>
      </w:r>
      <w:r>
        <w:rPr>
          <w:i/>
        </w:rPr>
        <w:t>Rogers</w:t>
      </w:r>
      <w:r>
        <w:t xml:space="preserve"> took place after we issued</w:t>
      </w:r>
      <w:r>
        <w:t xml:space="preserve"> our decision in </w:t>
      </w:r>
      <w:r>
        <w:rPr>
          <w:i/>
        </w:rPr>
        <w:t>People v. </w:t>
      </w:r>
      <w:r>
        <w:rPr>
          <w:i/>
        </w:rPr>
        <w:t>Turner</w:t>
      </w:r>
      <w:r>
        <w:t xml:space="preserve"> (</w:t>
      </w:r>
      <w:r>
        <w:t xml:space="preserve">in which </w:t>
      </w:r>
      <w:r>
        <w:t xml:space="preserve">we required a finding of intent) and </w:t>
      </w:r>
      <w:r>
        <w:t>before</w:t>
      </w:r>
      <w:r>
        <w:t xml:space="preserve"> our decision in </w:t>
      </w:r>
      <w:r>
        <w:rPr>
          <w:i/>
        </w:rPr>
        <w:t>Anderson</w:t>
      </w:r>
      <w:r>
        <w:t xml:space="preserve">.  We explained there that, </w:t>
      </w:r>
      <w:r>
        <w:t xml:space="preserve">under </w:t>
      </w:r>
      <w:r>
        <w:rPr>
          <w:i/>
        </w:rPr>
        <w:t>Anderson</w:t>
      </w:r>
      <w:r>
        <w:t xml:space="preserve">, intent is not an element of the </w:t>
      </w:r>
      <w:r>
        <w:t>multiple murder</w:t>
      </w:r>
      <w:r>
        <w:t xml:space="preserve"> special circumstance unless the defendant is not the actual killer but is instead an ai</w:t>
      </w:r>
      <w:r>
        <w:t>der and abettor, in which case intent must be established.  (</w:t>
      </w:r>
      <w:r>
        <w:rPr>
          <w:i/>
        </w:rPr>
        <w:t>People v. Rogers</w:t>
      </w:r>
      <w:r>
        <w:t xml:space="preserve">, </w:t>
      </w:r>
      <w:r>
        <w:rPr>
          <w:i/>
        </w:rPr>
        <w:t>supra</w:t>
      </w:r>
      <w:r>
        <w:t>, 39 </w:t>
      </w:r>
      <w:r>
        <w:t xml:space="preserve">Cal.4th at p. 891.)  Because the crime in </w:t>
      </w:r>
      <w:r>
        <w:rPr>
          <w:i/>
        </w:rPr>
        <w:t>People v. Rogers</w:t>
      </w:r>
      <w:r>
        <w:t xml:space="preserve"> predated our decision in </w:t>
      </w:r>
      <w:r>
        <w:rPr>
          <w:i/>
        </w:rPr>
        <w:t>Anderson</w:t>
      </w:r>
      <w:r>
        <w:t>, however, we explained the jury was required to find intent to kill for at</w:t>
      </w:r>
      <w:r>
        <w:t xml:space="preserve"> least one of the murders</w:t>
      </w:r>
      <w:r>
        <w:t>.  (</w:t>
      </w:r>
      <w:r>
        <w:rPr>
          <w:i/>
        </w:rPr>
        <w:t>Ibid</w:t>
      </w:r>
      <w:r w:rsidRPr="00D64D5F">
        <w:rPr>
          <w:i/>
        </w:rPr>
        <w:t>.</w:t>
      </w:r>
      <w:r>
        <w:t>)  But, “we explained: ‘We have never held that the multiple-murder special circumstance requires a jury to find the defendant intended t</w:t>
      </w:r>
      <w:r>
        <w:t>o</w:t>
      </w:r>
      <w:r>
        <w:t xml:space="preserve"> kill every victim.’ ” </w:t>
      </w:r>
      <w:r>
        <w:t xml:space="preserve"> </w:t>
      </w:r>
      <w:r>
        <w:t>(</w:t>
      </w:r>
      <w:r>
        <w:rPr>
          <w:i/>
        </w:rPr>
        <w:t>Ibid</w:t>
      </w:r>
      <w:r w:rsidRPr="00D64D5F">
        <w:rPr>
          <w:i/>
        </w:rPr>
        <w:t>.</w:t>
      </w:r>
      <w:r>
        <w:t xml:space="preserve">, quoting </w:t>
      </w:r>
      <w:r>
        <w:rPr>
          <w:i/>
        </w:rPr>
        <w:t>People v. Dennis</w:t>
      </w:r>
      <w:r>
        <w:t xml:space="preserve"> (1998) 17 Cal.4th 468, 516.</w:t>
      </w:r>
      <w:r>
        <w:t>)</w:t>
      </w:r>
      <w:r>
        <w:t xml:space="preserve">  We affirmed this </w:t>
      </w:r>
      <w:r>
        <w:t>concept</w:t>
      </w:r>
      <w:r>
        <w:t xml:space="preserve"> recently in </w:t>
      </w:r>
      <w:r>
        <w:rPr>
          <w:i/>
        </w:rPr>
        <w:t xml:space="preserve">People v. </w:t>
      </w:r>
      <w:proofErr w:type="spellStart"/>
      <w:r>
        <w:rPr>
          <w:i/>
        </w:rPr>
        <w:t>Maciel</w:t>
      </w:r>
      <w:proofErr w:type="spellEnd"/>
      <w:r>
        <w:t xml:space="preserve">, </w:t>
      </w:r>
      <w:r>
        <w:rPr>
          <w:i/>
        </w:rPr>
        <w:t>supra</w:t>
      </w:r>
      <w:r>
        <w:t>, 57 Cal.4th at p. 521.</w:t>
      </w:r>
    </w:p>
    <w:p w:rsidR="009F2067" w:rsidRDefault="00EF4903" w:rsidP="00CF5D46">
      <w:pPr>
        <w:spacing w:line="480" w:lineRule="atLeast"/>
      </w:pPr>
      <w:r>
        <w:tab/>
        <w:t xml:space="preserve">From this line of cases, a </w:t>
      </w:r>
      <w:r>
        <w:t>principle</w:t>
      </w:r>
      <w:r>
        <w:t xml:space="preserve"> emerges:  t</w:t>
      </w:r>
      <w:r>
        <w:t>o find</w:t>
      </w:r>
      <w:r>
        <w:t xml:space="preserve"> true</w:t>
      </w:r>
      <w:r>
        <w:t xml:space="preserve"> the </w:t>
      </w:r>
      <w:r>
        <w:t>multiple murder</w:t>
      </w:r>
      <w:r>
        <w:t xml:space="preserve"> special-</w:t>
      </w:r>
      <w:r>
        <w:t xml:space="preserve">circumstance allegation, </w:t>
      </w:r>
      <w:r>
        <w:t>a</w:t>
      </w:r>
      <w:r>
        <w:t xml:space="preserve"> jury must find that the defendant has been conv</w:t>
      </w:r>
      <w:r>
        <w:t xml:space="preserve">icted </w:t>
      </w:r>
      <w:r>
        <w:t xml:space="preserve">of at least two counts of </w:t>
      </w:r>
      <w:r>
        <w:t>murder, at least of one which must be first degree murder, and that the defendant either actually killed or intended to kill at least one of the victims.</w:t>
      </w:r>
      <w:r>
        <w:t xml:space="preserve">  (See §</w:t>
      </w:r>
      <w:r>
        <w:t> </w:t>
      </w:r>
      <w:r>
        <w:t xml:space="preserve">190.2, subd. (a)(3); </w:t>
      </w:r>
      <w:r>
        <w:rPr>
          <w:i/>
        </w:rPr>
        <w:t>Covarrubias</w:t>
      </w:r>
      <w:r>
        <w:t xml:space="preserve">, </w:t>
      </w:r>
      <w:r>
        <w:rPr>
          <w:i/>
        </w:rPr>
        <w:t>supra</w:t>
      </w:r>
      <w:r>
        <w:t xml:space="preserve">, 1 Cal.5th at p. 931; </w:t>
      </w:r>
      <w:r>
        <w:rPr>
          <w:i/>
        </w:rPr>
        <w:t>People</w:t>
      </w:r>
      <w:r>
        <w:rPr>
          <w:i/>
        </w:rPr>
        <w:t xml:space="preserve"> v. </w:t>
      </w:r>
      <w:proofErr w:type="spellStart"/>
      <w:r>
        <w:rPr>
          <w:i/>
        </w:rPr>
        <w:t>Maciel</w:t>
      </w:r>
      <w:proofErr w:type="spellEnd"/>
      <w:r>
        <w:t xml:space="preserve">, </w:t>
      </w:r>
      <w:r>
        <w:rPr>
          <w:i/>
        </w:rPr>
        <w:t>supra</w:t>
      </w:r>
      <w:r>
        <w:t>, 57 </w:t>
      </w:r>
      <w:r>
        <w:t>Cal.4th at p. 521.)</w:t>
      </w:r>
      <w:r>
        <w:t xml:space="preserve">  </w:t>
      </w:r>
      <w:r>
        <w:t>Although nothing so clear was conveyed to the jury here, the essence of this instruction was tucked into the many dire</w:t>
      </w:r>
      <w:r>
        <w:t>ctives bundled into CALJIC Nos. </w:t>
      </w:r>
      <w:r>
        <w:t xml:space="preserve">8.80.1 and 8.81.3. </w:t>
      </w:r>
      <w:r>
        <w:t xml:space="preserve"> CALJIC No. 8.81.3 was not incorrect</w:t>
      </w:r>
      <w:r>
        <w:t>, but i</w:t>
      </w:r>
      <w:r>
        <w:t>t</w:t>
      </w:r>
      <w:r>
        <w:t xml:space="preserve"> was incomplete.  CALJIC No.</w:t>
      </w:r>
      <w:r>
        <w:t> </w:t>
      </w:r>
      <w:r>
        <w:t>8.80.1</w:t>
      </w:r>
      <w:r w:rsidRPr="008B2809">
        <w:t xml:space="preserve"> </w:t>
      </w:r>
      <w:r>
        <w:t xml:space="preserve">correctly instructed the jury that the </w:t>
      </w:r>
      <w:r>
        <w:t>multiple murder</w:t>
      </w:r>
      <w:r>
        <w:t xml:space="preserve"> special circumstance could be found true if defendants were the actual killers or if they intended to kill.  </w:t>
      </w:r>
    </w:p>
    <w:p w:rsidR="00E07EA9" w:rsidRPr="002C0E5E" w:rsidRDefault="00EF4903" w:rsidP="00CF5D46">
      <w:pPr>
        <w:spacing w:line="480" w:lineRule="atLeast"/>
      </w:pPr>
      <w:r>
        <w:tab/>
      </w:r>
      <w:r>
        <w:t>Of course, CALJIC No. 8.80.1 also</w:t>
      </w:r>
      <w:r>
        <w:t xml:space="preserve"> contained</w:t>
      </w:r>
      <w:r>
        <w:t xml:space="preserve"> instructio</w:t>
      </w:r>
      <w:r>
        <w:t>nal error</w:t>
      </w:r>
      <w:r>
        <w:t xml:space="preserve"> because it improperly permitted the jury to find the </w:t>
      </w:r>
      <w:r>
        <w:t>multiple murder</w:t>
      </w:r>
      <w:r>
        <w:t xml:space="preserve"> special circumstance true if</w:t>
      </w:r>
      <w:r>
        <w:t xml:space="preserve"> </w:t>
      </w:r>
      <w:r>
        <w:t>it found</w:t>
      </w:r>
      <w:r>
        <w:t xml:space="preserve"> defendant</w:t>
      </w:r>
      <w:r>
        <w:t>s</w:t>
      </w:r>
      <w:r>
        <w:t xml:space="preserve"> acted with reckless indifference to human life as major participant</w:t>
      </w:r>
      <w:r>
        <w:t>s</w:t>
      </w:r>
      <w:r>
        <w:t xml:space="preserve"> in</w:t>
      </w:r>
      <w:r>
        <w:t xml:space="preserve"> an attempted robbery</w:t>
      </w:r>
      <w:r>
        <w:t xml:space="preserve"> — </w:t>
      </w:r>
      <w:r>
        <w:t xml:space="preserve">in the alternative to concluding </w:t>
      </w:r>
      <w:r>
        <w:t>defendants intended to or actually killed one of the victims</w:t>
      </w:r>
      <w:r>
        <w:t xml:space="preserve">. </w:t>
      </w:r>
      <w:r>
        <w:t xml:space="preserve"> (</w:t>
      </w:r>
      <w:r>
        <w:t xml:space="preserve">See </w:t>
      </w:r>
      <w:r>
        <w:rPr>
          <w:i/>
        </w:rPr>
        <w:t>Covarrubias</w:t>
      </w:r>
      <w:r>
        <w:t xml:space="preserve">, </w:t>
      </w:r>
      <w:r>
        <w:rPr>
          <w:i/>
        </w:rPr>
        <w:t>supra</w:t>
      </w:r>
      <w:r>
        <w:t>, 1 </w:t>
      </w:r>
      <w:r>
        <w:t>Cal.5th at p. 929.)</w:t>
      </w:r>
      <w:r>
        <w:t xml:space="preserve">  </w:t>
      </w:r>
      <w:r>
        <w:t xml:space="preserve">As we explained in </w:t>
      </w:r>
      <w:r>
        <w:rPr>
          <w:i/>
        </w:rPr>
        <w:t>Covarrubias</w:t>
      </w:r>
      <w:r>
        <w:t>, “an instructional error in this context is harmless</w:t>
      </w:r>
      <w:r>
        <w:t xml:space="preserve"> under </w:t>
      </w:r>
      <w:r>
        <w:rPr>
          <w:i/>
        </w:rPr>
        <w:t>Chapman</w:t>
      </w:r>
      <w:r>
        <w:t xml:space="preserve"> however, ‘when, beyond a reasonable doubt, it d</w:t>
      </w:r>
      <w:r>
        <w:t>id not contribut</w:t>
      </w:r>
      <w:r>
        <w:t>e to the verdict.’  [Citation.]</w:t>
      </w:r>
      <w:r>
        <w:t xml:space="preserve"> . . . [T]his standard may be met when we are able to conclude that the jury necessarily found an intent to kill under other properly given instructions, or when evidence of the defendant’s intent to kill is o</w:t>
      </w:r>
      <w:r>
        <w:t>verwhelming and the jury ‘ “could have had no reasonable doubt” that the defendant had the intent to kill.</w:t>
      </w:r>
      <w:r>
        <w:t>’ </w:t>
      </w:r>
      <w:r>
        <w:t>”  (</w:t>
      </w:r>
      <w:r>
        <w:rPr>
          <w:i/>
        </w:rPr>
        <w:t>Covarrubias</w:t>
      </w:r>
      <w:r>
        <w:t xml:space="preserve">, </w:t>
      </w:r>
      <w:r>
        <w:rPr>
          <w:i/>
        </w:rPr>
        <w:t>supra</w:t>
      </w:r>
      <w:r>
        <w:t>, 1 Cal.5th at p. 929</w:t>
      </w:r>
      <w:r>
        <w:t xml:space="preserve">.)  In </w:t>
      </w:r>
      <w:r>
        <w:rPr>
          <w:i/>
        </w:rPr>
        <w:t>Covarrubias</w:t>
      </w:r>
      <w:r>
        <w:t>, we concluded that defendant both intended to kill and was an actual killer.  (</w:t>
      </w:r>
      <w:r>
        <w:rPr>
          <w:i/>
        </w:rPr>
        <w:t>Ibid</w:t>
      </w:r>
      <w:r w:rsidRPr="00D64D5F">
        <w:rPr>
          <w:i/>
        </w:rPr>
        <w:t>.</w:t>
      </w:r>
      <w:r>
        <w:t xml:space="preserve">)  </w:t>
      </w:r>
      <w:r>
        <w:t>But we need not find both to be true.  Pursuant to t</w:t>
      </w:r>
      <w:r>
        <w:t xml:space="preserve">he </w:t>
      </w:r>
      <w:r>
        <w:t>multiple murder</w:t>
      </w:r>
      <w:r>
        <w:t xml:space="preserve"> special circumstance </w:t>
      </w:r>
      <w:r>
        <w:t xml:space="preserve">standard previously articulated, </w:t>
      </w:r>
      <w:r>
        <w:t xml:space="preserve">it is sufficient that we </w:t>
      </w:r>
      <w:r>
        <w:t xml:space="preserve">find </w:t>
      </w:r>
      <w:proofErr w:type="spellStart"/>
      <w:r>
        <w:t>Mora</w:t>
      </w:r>
      <w:proofErr w:type="spellEnd"/>
      <w:r>
        <w:t xml:space="preserve"> and Rangel were each the actual killer of one victim and that they were</w:t>
      </w:r>
      <w:r>
        <w:t xml:space="preserve"> </w:t>
      </w:r>
      <w:r>
        <w:t>convicted of more tha</w:t>
      </w:r>
      <w:r>
        <w:t xml:space="preserve">n one count of murder, at least </w:t>
      </w:r>
      <w:r>
        <w:t xml:space="preserve">one </w:t>
      </w:r>
      <w:r>
        <w:t xml:space="preserve">of which was first degree.  </w:t>
      </w:r>
      <w:r>
        <w:t>The jury necessarily found each defendant actually killed the victim he shot, and it convicted each defendant of two counts of first degree murder.  The evidence supporting the jury’s true fin</w:t>
      </w:r>
      <w:r>
        <w:t xml:space="preserve">ding of the </w:t>
      </w:r>
      <w:r>
        <w:t>multiple murder</w:t>
      </w:r>
      <w:r>
        <w:t xml:space="preserve"> special-</w:t>
      </w:r>
      <w:r>
        <w:t xml:space="preserve">circumstance is overwhelming.  </w:t>
      </w:r>
      <w:r>
        <w:t xml:space="preserve">So </w:t>
      </w:r>
      <w:r>
        <w:t>we hold the</w:t>
      </w:r>
      <w:r>
        <w:t xml:space="preserve"> instructional error was harmless.</w:t>
      </w:r>
      <w:r>
        <w:t xml:space="preserve">  (See </w:t>
      </w:r>
      <w:r>
        <w:rPr>
          <w:i/>
        </w:rPr>
        <w:t>ibid</w:t>
      </w:r>
      <w:r w:rsidRPr="00D64D5F">
        <w:rPr>
          <w:i/>
        </w:rPr>
        <w:t>.</w:t>
      </w:r>
      <w:r>
        <w:t>)</w:t>
      </w:r>
    </w:p>
    <w:p w:rsidR="004E226E" w:rsidRPr="001246BE" w:rsidRDefault="00EF4903" w:rsidP="001B7B80">
      <w:pPr>
        <w:pStyle w:val="Heading3"/>
      </w:pPr>
      <w:r w:rsidRPr="001246BE">
        <w:rPr>
          <w:rFonts w:ascii="Times New Roman" w:hAnsi="Times New Roman"/>
        </w:rPr>
        <w:tab/>
      </w:r>
      <w:r w:rsidRPr="001246BE">
        <w:rPr>
          <w:rFonts w:ascii="Times New Roman" w:hAnsi="Times New Roman"/>
        </w:rPr>
        <w:tab/>
      </w:r>
      <w:bookmarkStart w:id="26" w:name="_Toc511210398"/>
      <w:r w:rsidRPr="001246BE">
        <w:rPr>
          <w:rFonts w:ascii="Times New Roman" w:hAnsi="Times New Roman"/>
        </w:rPr>
        <w:t>9.</w:t>
      </w:r>
      <w:r w:rsidRPr="001246BE">
        <w:rPr>
          <w:rFonts w:ascii="Times New Roman" w:hAnsi="Times New Roman"/>
        </w:rPr>
        <w:tab/>
      </w:r>
      <w:r w:rsidRPr="001246BE">
        <w:rPr>
          <w:rFonts w:ascii="Times New Roman" w:hAnsi="Times New Roman"/>
        </w:rPr>
        <w:t>First D</w:t>
      </w:r>
      <w:r w:rsidRPr="001246BE">
        <w:rPr>
          <w:rFonts w:ascii="Times New Roman" w:hAnsi="Times New Roman"/>
        </w:rPr>
        <w:t>egree</w:t>
      </w:r>
      <w:r w:rsidRPr="001246BE">
        <w:rPr>
          <w:rFonts w:ascii="Times New Roman" w:hAnsi="Times New Roman"/>
        </w:rPr>
        <w:t xml:space="preserve"> Murder Instructional Error</w:t>
      </w:r>
      <w:bookmarkEnd w:id="26"/>
      <w:r w:rsidRPr="001246BE">
        <w:rPr>
          <w:rFonts w:ascii="Times New Roman" w:hAnsi="Times New Roman"/>
        </w:rPr>
        <w:t xml:space="preserve"> </w:t>
      </w:r>
    </w:p>
    <w:p w:rsidR="003F57EE" w:rsidRPr="001246BE" w:rsidRDefault="00EF4903" w:rsidP="001B7B80">
      <w:pPr>
        <w:spacing w:line="480" w:lineRule="atLeast"/>
        <w:rPr>
          <w:szCs w:val="26"/>
        </w:rPr>
      </w:pPr>
      <w:r w:rsidRPr="001246BE">
        <w:rPr>
          <w:szCs w:val="26"/>
        </w:rPr>
        <w:tab/>
      </w:r>
      <w:proofErr w:type="spellStart"/>
      <w:r w:rsidRPr="001246BE">
        <w:rPr>
          <w:szCs w:val="26"/>
        </w:rPr>
        <w:t>Mora</w:t>
      </w:r>
      <w:proofErr w:type="spellEnd"/>
      <w:r w:rsidRPr="001246BE">
        <w:rPr>
          <w:szCs w:val="26"/>
        </w:rPr>
        <w:t xml:space="preserve"> </w:t>
      </w:r>
      <w:r w:rsidRPr="001246BE">
        <w:rPr>
          <w:szCs w:val="26"/>
        </w:rPr>
        <w:t xml:space="preserve">and Rangel </w:t>
      </w:r>
      <w:r w:rsidRPr="001246BE">
        <w:rPr>
          <w:szCs w:val="26"/>
        </w:rPr>
        <w:t xml:space="preserve">contend </w:t>
      </w:r>
      <w:r w:rsidRPr="001246BE">
        <w:rPr>
          <w:szCs w:val="26"/>
        </w:rPr>
        <w:t xml:space="preserve">that the </w:t>
      </w:r>
      <w:r w:rsidRPr="001246BE">
        <w:rPr>
          <w:szCs w:val="26"/>
        </w:rPr>
        <w:t>first degree</w:t>
      </w:r>
      <w:r w:rsidRPr="001246BE">
        <w:rPr>
          <w:szCs w:val="26"/>
        </w:rPr>
        <w:t xml:space="preserve"> </w:t>
      </w:r>
      <w:r>
        <w:rPr>
          <w:szCs w:val="26"/>
        </w:rPr>
        <w:t>felony murder</w:t>
      </w:r>
      <w:r w:rsidRPr="001246BE">
        <w:rPr>
          <w:szCs w:val="26"/>
        </w:rPr>
        <w:t xml:space="preserve"> and malice</w:t>
      </w:r>
      <w:r w:rsidRPr="001246BE">
        <w:rPr>
          <w:szCs w:val="26"/>
        </w:rPr>
        <w:t>-</w:t>
      </w:r>
      <w:r w:rsidRPr="001246BE">
        <w:rPr>
          <w:szCs w:val="26"/>
        </w:rPr>
        <w:t>murder in</w:t>
      </w:r>
      <w:r w:rsidRPr="001246BE">
        <w:rPr>
          <w:szCs w:val="26"/>
        </w:rPr>
        <w:t>structions were erroneous, and the</w:t>
      </w:r>
      <w:r w:rsidRPr="001246BE">
        <w:rPr>
          <w:szCs w:val="26"/>
        </w:rPr>
        <w:t>ir</w:t>
      </w:r>
      <w:r w:rsidRPr="001246BE">
        <w:rPr>
          <w:szCs w:val="26"/>
        </w:rPr>
        <w:t xml:space="preserve"> convictions must be reversed, because the information charged them </w:t>
      </w:r>
      <w:r w:rsidRPr="001246BE">
        <w:rPr>
          <w:szCs w:val="26"/>
        </w:rPr>
        <w:t xml:space="preserve">only </w:t>
      </w:r>
      <w:r w:rsidRPr="001246BE">
        <w:rPr>
          <w:szCs w:val="26"/>
        </w:rPr>
        <w:t>with second-</w:t>
      </w:r>
      <w:r w:rsidRPr="001246BE">
        <w:rPr>
          <w:szCs w:val="26"/>
        </w:rPr>
        <w:t xml:space="preserve">degree </w:t>
      </w:r>
      <w:r w:rsidRPr="001246BE">
        <w:rPr>
          <w:szCs w:val="26"/>
        </w:rPr>
        <w:t>malice</w:t>
      </w:r>
      <w:r w:rsidRPr="001246BE">
        <w:rPr>
          <w:szCs w:val="26"/>
        </w:rPr>
        <w:t>-</w:t>
      </w:r>
      <w:r w:rsidRPr="001246BE">
        <w:rPr>
          <w:szCs w:val="26"/>
        </w:rPr>
        <w:t xml:space="preserve">murder </w:t>
      </w:r>
      <w:r w:rsidRPr="001246BE">
        <w:rPr>
          <w:szCs w:val="26"/>
        </w:rPr>
        <w:t>pursuant to section 187.</w:t>
      </w:r>
      <w:r w:rsidRPr="001246BE">
        <w:rPr>
          <w:szCs w:val="26"/>
        </w:rPr>
        <w:t xml:space="preserve">  They argue that it was therefore error to instruct the jury that it could convict </w:t>
      </w:r>
      <w:r w:rsidRPr="001246BE">
        <w:rPr>
          <w:szCs w:val="26"/>
        </w:rPr>
        <w:t xml:space="preserve">of the uncharged crime of </w:t>
      </w:r>
      <w:r w:rsidRPr="001246BE">
        <w:rPr>
          <w:szCs w:val="26"/>
        </w:rPr>
        <w:t>first degree</w:t>
      </w:r>
      <w:r w:rsidRPr="001246BE">
        <w:rPr>
          <w:szCs w:val="26"/>
        </w:rPr>
        <w:t xml:space="preserve"> murder.</w:t>
      </w:r>
      <w:r w:rsidRPr="001246BE">
        <w:rPr>
          <w:szCs w:val="26"/>
        </w:rPr>
        <w:t xml:space="preserve">  They further argue that their convictions violate </w:t>
      </w:r>
      <w:proofErr w:type="spellStart"/>
      <w:r w:rsidRPr="001246BE">
        <w:rPr>
          <w:i/>
          <w:szCs w:val="26"/>
        </w:rPr>
        <w:t>Apprendi</w:t>
      </w:r>
      <w:proofErr w:type="spellEnd"/>
      <w:r w:rsidRPr="001246BE">
        <w:rPr>
          <w:i/>
          <w:szCs w:val="26"/>
        </w:rPr>
        <w:t xml:space="preserve"> v. New Jersey</w:t>
      </w:r>
      <w:r w:rsidRPr="001246BE">
        <w:rPr>
          <w:szCs w:val="26"/>
        </w:rPr>
        <w:t xml:space="preserve"> (2000) 530 U.S. 466</w:t>
      </w:r>
      <w:r w:rsidRPr="001246BE">
        <w:rPr>
          <w:szCs w:val="26"/>
        </w:rPr>
        <w:t xml:space="preserve"> (</w:t>
      </w:r>
      <w:proofErr w:type="spellStart"/>
      <w:r w:rsidRPr="001246BE">
        <w:rPr>
          <w:i/>
          <w:szCs w:val="26"/>
        </w:rPr>
        <w:t>Apprendi</w:t>
      </w:r>
      <w:proofErr w:type="spellEnd"/>
      <w:r w:rsidRPr="001246BE">
        <w:rPr>
          <w:szCs w:val="26"/>
        </w:rPr>
        <w:t>)</w:t>
      </w:r>
      <w:r w:rsidRPr="001246BE">
        <w:rPr>
          <w:szCs w:val="26"/>
        </w:rPr>
        <w:t>, which prohibits conviction of uncharged crimes.</w:t>
      </w:r>
      <w:r w:rsidRPr="001246BE">
        <w:rPr>
          <w:szCs w:val="26"/>
        </w:rPr>
        <w:t xml:space="preserve">  </w:t>
      </w:r>
      <w:r w:rsidRPr="001246BE">
        <w:rPr>
          <w:szCs w:val="26"/>
        </w:rPr>
        <w:t>This co</w:t>
      </w:r>
      <w:r w:rsidRPr="001246BE">
        <w:rPr>
          <w:szCs w:val="26"/>
        </w:rPr>
        <w:t xml:space="preserve">urt has repeatedly rejected </w:t>
      </w:r>
      <w:r w:rsidRPr="001246BE">
        <w:rPr>
          <w:szCs w:val="26"/>
        </w:rPr>
        <w:t>identical</w:t>
      </w:r>
      <w:r w:rsidRPr="001246BE">
        <w:rPr>
          <w:szCs w:val="26"/>
        </w:rPr>
        <w:t xml:space="preserve"> argument</w:t>
      </w:r>
      <w:r w:rsidRPr="001246BE">
        <w:rPr>
          <w:szCs w:val="26"/>
        </w:rPr>
        <w:t>s</w:t>
      </w:r>
      <w:r w:rsidRPr="001246BE">
        <w:rPr>
          <w:szCs w:val="26"/>
        </w:rPr>
        <w:t xml:space="preserve">, and neither </w:t>
      </w:r>
      <w:proofErr w:type="spellStart"/>
      <w:r w:rsidRPr="001246BE">
        <w:rPr>
          <w:szCs w:val="26"/>
        </w:rPr>
        <w:t>Mora</w:t>
      </w:r>
      <w:proofErr w:type="spellEnd"/>
      <w:r w:rsidRPr="001246BE">
        <w:rPr>
          <w:szCs w:val="26"/>
        </w:rPr>
        <w:t xml:space="preserve"> nor Rangel </w:t>
      </w:r>
      <w:r w:rsidRPr="001246BE">
        <w:rPr>
          <w:szCs w:val="26"/>
        </w:rPr>
        <w:t>provide</w:t>
      </w:r>
      <w:r w:rsidRPr="001246BE">
        <w:rPr>
          <w:szCs w:val="26"/>
        </w:rPr>
        <w:t xml:space="preserve"> a reason to depart from our long-established rule.  </w:t>
      </w:r>
      <w:r w:rsidRPr="001246BE">
        <w:rPr>
          <w:szCs w:val="26"/>
        </w:rPr>
        <w:t>(</w:t>
      </w:r>
      <w:r w:rsidRPr="001246BE">
        <w:rPr>
          <w:i/>
          <w:szCs w:val="26"/>
        </w:rPr>
        <w:t>People</w:t>
      </w:r>
      <w:r>
        <w:rPr>
          <w:i/>
          <w:szCs w:val="26"/>
        </w:rPr>
        <w:t> </w:t>
      </w:r>
      <w:r w:rsidRPr="001246BE">
        <w:rPr>
          <w:i/>
          <w:szCs w:val="26"/>
        </w:rPr>
        <w:t>v. </w:t>
      </w:r>
      <w:r w:rsidRPr="001246BE">
        <w:rPr>
          <w:i/>
          <w:szCs w:val="26"/>
        </w:rPr>
        <w:t>Friend</w:t>
      </w:r>
      <w:r w:rsidRPr="001246BE">
        <w:rPr>
          <w:szCs w:val="26"/>
        </w:rPr>
        <w:t xml:space="preserve"> (</w:t>
      </w:r>
      <w:r w:rsidRPr="001246BE">
        <w:rPr>
          <w:szCs w:val="26"/>
        </w:rPr>
        <w:t>2009) 47 Cal.4th 1, 54 [</w:t>
      </w:r>
      <w:r w:rsidRPr="001246BE">
        <w:rPr>
          <w:szCs w:val="26"/>
        </w:rPr>
        <w:t xml:space="preserve">rejecting instructional error claim </w:t>
      </w:r>
      <w:r w:rsidRPr="001246BE">
        <w:rPr>
          <w:szCs w:val="26"/>
        </w:rPr>
        <w:t xml:space="preserve">that </w:t>
      </w:r>
      <w:r w:rsidRPr="001246BE">
        <w:rPr>
          <w:szCs w:val="26"/>
        </w:rPr>
        <w:t>first degree</w:t>
      </w:r>
      <w:r w:rsidRPr="001246BE">
        <w:rPr>
          <w:szCs w:val="26"/>
        </w:rPr>
        <w:t xml:space="preserve"> murder conviction is inconsistent with malice murder charge under sec</w:t>
      </w:r>
      <w:r w:rsidRPr="001246BE">
        <w:rPr>
          <w:szCs w:val="26"/>
        </w:rPr>
        <w:t>tion 187 and</w:t>
      </w:r>
      <w:r w:rsidRPr="001246BE">
        <w:rPr>
          <w:szCs w:val="26"/>
        </w:rPr>
        <w:t xml:space="preserve"> rejecting </w:t>
      </w:r>
      <w:proofErr w:type="spellStart"/>
      <w:r w:rsidRPr="001246BE">
        <w:rPr>
          <w:i/>
          <w:szCs w:val="26"/>
        </w:rPr>
        <w:t>Apprendi</w:t>
      </w:r>
      <w:proofErr w:type="spellEnd"/>
      <w:r w:rsidRPr="001246BE">
        <w:rPr>
          <w:szCs w:val="26"/>
        </w:rPr>
        <w:t xml:space="preserve"> error </w:t>
      </w:r>
      <w:r w:rsidRPr="001246BE">
        <w:rPr>
          <w:szCs w:val="26"/>
        </w:rPr>
        <w:t>claim</w:t>
      </w:r>
      <w:r w:rsidRPr="001246BE">
        <w:rPr>
          <w:szCs w:val="26"/>
        </w:rPr>
        <w:t xml:space="preserve"> because the conviction</w:t>
      </w:r>
      <w:r w:rsidRPr="001246BE">
        <w:rPr>
          <w:szCs w:val="26"/>
        </w:rPr>
        <w:t xml:space="preserve"> is</w:t>
      </w:r>
      <w:r w:rsidRPr="001246BE">
        <w:rPr>
          <w:szCs w:val="26"/>
        </w:rPr>
        <w:t xml:space="preserve"> not of </w:t>
      </w:r>
      <w:r w:rsidRPr="001246BE">
        <w:rPr>
          <w:szCs w:val="26"/>
        </w:rPr>
        <w:t xml:space="preserve">an </w:t>
      </w:r>
      <w:r w:rsidRPr="001246BE">
        <w:rPr>
          <w:szCs w:val="26"/>
        </w:rPr>
        <w:t>uncharged crime</w:t>
      </w:r>
      <w:r w:rsidRPr="001246BE">
        <w:rPr>
          <w:szCs w:val="26"/>
        </w:rPr>
        <w:t>]</w:t>
      </w:r>
      <w:r w:rsidRPr="001246BE">
        <w:rPr>
          <w:szCs w:val="26"/>
        </w:rPr>
        <w:t>; see </w:t>
      </w:r>
      <w:r w:rsidRPr="001246BE">
        <w:rPr>
          <w:szCs w:val="26"/>
        </w:rPr>
        <w:t xml:space="preserve">also </w:t>
      </w:r>
      <w:r w:rsidRPr="001246BE">
        <w:rPr>
          <w:i/>
          <w:szCs w:val="26"/>
        </w:rPr>
        <w:t>People v. Hughes</w:t>
      </w:r>
      <w:r w:rsidRPr="001246BE">
        <w:rPr>
          <w:szCs w:val="26"/>
        </w:rPr>
        <w:t xml:space="preserve"> (2002) 27 Cal.4th 287, 369 [“accusatory pleading charging a defendant with murder need not specify the theory of murder upon which the prosecution intends to rely”]</w:t>
      </w:r>
      <w:r w:rsidRPr="001246BE">
        <w:rPr>
          <w:szCs w:val="26"/>
        </w:rPr>
        <w:t>.)</w:t>
      </w:r>
    </w:p>
    <w:p w:rsidR="004E226E" w:rsidRPr="001246BE" w:rsidRDefault="00EF4903" w:rsidP="0063448B">
      <w:pPr>
        <w:pStyle w:val="Heading3"/>
        <w:ind w:left="2160" w:hanging="720"/>
        <w:rPr>
          <w:rFonts w:ascii="Times New Roman" w:hAnsi="Times New Roman"/>
        </w:rPr>
      </w:pPr>
      <w:bookmarkStart w:id="27" w:name="_Toc511210399"/>
      <w:r w:rsidRPr="001246BE">
        <w:rPr>
          <w:rFonts w:ascii="Times New Roman" w:hAnsi="Times New Roman"/>
        </w:rPr>
        <w:t>10.</w:t>
      </w:r>
      <w:r w:rsidRPr="001246BE">
        <w:rPr>
          <w:rFonts w:ascii="Times New Roman" w:hAnsi="Times New Roman"/>
        </w:rPr>
        <w:tab/>
        <w:t>Proof Beyond a Reasonable Doubt Instructional Error</w:t>
      </w:r>
      <w:bookmarkEnd w:id="27"/>
      <w:r w:rsidRPr="001246BE">
        <w:rPr>
          <w:rFonts w:ascii="Times New Roman" w:hAnsi="Times New Roman"/>
        </w:rPr>
        <w:t xml:space="preserve"> </w:t>
      </w:r>
    </w:p>
    <w:p w:rsidR="004E226E" w:rsidRPr="001246BE" w:rsidRDefault="00EF4903" w:rsidP="00E746B9">
      <w:pPr>
        <w:spacing w:line="480" w:lineRule="atLeast"/>
        <w:rPr>
          <w:szCs w:val="26"/>
        </w:rPr>
      </w:pPr>
      <w:r w:rsidRPr="001246BE">
        <w:rPr>
          <w:szCs w:val="26"/>
        </w:rPr>
        <w:tab/>
      </w:r>
      <w:r w:rsidRPr="001246BE">
        <w:rPr>
          <w:szCs w:val="26"/>
        </w:rPr>
        <w:t xml:space="preserve">According to </w:t>
      </w:r>
      <w:proofErr w:type="spellStart"/>
      <w:r w:rsidRPr="001246BE">
        <w:rPr>
          <w:szCs w:val="26"/>
        </w:rPr>
        <w:t>Mora</w:t>
      </w:r>
      <w:proofErr w:type="spellEnd"/>
      <w:r w:rsidRPr="001246BE">
        <w:rPr>
          <w:szCs w:val="26"/>
        </w:rPr>
        <w:t xml:space="preserve"> and Range</w:t>
      </w:r>
      <w:r w:rsidRPr="001246BE">
        <w:rPr>
          <w:szCs w:val="26"/>
        </w:rPr>
        <w:t xml:space="preserve">l, </w:t>
      </w:r>
      <w:r w:rsidRPr="001246BE">
        <w:rPr>
          <w:szCs w:val="26"/>
        </w:rPr>
        <w:t xml:space="preserve">a series of guilt phase instructional errors singly or cumulatively </w:t>
      </w:r>
      <w:r w:rsidRPr="001246BE">
        <w:rPr>
          <w:szCs w:val="26"/>
        </w:rPr>
        <w:t>impermissibly undermined their</w:t>
      </w:r>
      <w:r w:rsidRPr="001246BE">
        <w:rPr>
          <w:szCs w:val="26"/>
        </w:rPr>
        <w:t xml:space="preserve"> right to have guilt determined beyond a reasonable doubt</w:t>
      </w:r>
      <w:r w:rsidRPr="001246BE">
        <w:rPr>
          <w:szCs w:val="26"/>
        </w:rPr>
        <w:t xml:space="preserve"> in violation of </w:t>
      </w:r>
      <w:r w:rsidRPr="001246BE">
        <w:rPr>
          <w:szCs w:val="26"/>
        </w:rPr>
        <w:t>the principles of due process, fair trial,</w:t>
      </w:r>
      <w:r w:rsidRPr="001246BE">
        <w:rPr>
          <w:szCs w:val="26"/>
        </w:rPr>
        <w:t xml:space="preserve"> trial by jury, and the fundamental requir</w:t>
      </w:r>
      <w:r w:rsidRPr="001246BE">
        <w:rPr>
          <w:szCs w:val="26"/>
        </w:rPr>
        <w:t>ement of reliability in a capital case</w:t>
      </w:r>
      <w:r w:rsidRPr="001246BE">
        <w:rPr>
          <w:szCs w:val="26"/>
        </w:rPr>
        <w:t xml:space="preserve">.  </w:t>
      </w:r>
      <w:proofErr w:type="spellStart"/>
      <w:r w:rsidRPr="001246BE">
        <w:rPr>
          <w:szCs w:val="26"/>
        </w:rPr>
        <w:t>Mora</w:t>
      </w:r>
      <w:proofErr w:type="spellEnd"/>
      <w:r w:rsidRPr="001246BE">
        <w:rPr>
          <w:szCs w:val="26"/>
        </w:rPr>
        <w:t xml:space="preserve"> and Rangel</w:t>
      </w:r>
      <w:r w:rsidRPr="001246BE">
        <w:rPr>
          <w:szCs w:val="26"/>
        </w:rPr>
        <w:t xml:space="preserve"> </w:t>
      </w:r>
      <w:r w:rsidRPr="001246BE">
        <w:rPr>
          <w:szCs w:val="26"/>
        </w:rPr>
        <w:t xml:space="preserve">acknowledge that this court has repeatedly rejected </w:t>
      </w:r>
      <w:r w:rsidRPr="001246BE">
        <w:rPr>
          <w:szCs w:val="26"/>
        </w:rPr>
        <w:t>identical</w:t>
      </w:r>
      <w:r w:rsidRPr="001246BE">
        <w:rPr>
          <w:szCs w:val="26"/>
        </w:rPr>
        <w:t xml:space="preserve"> claims,</w:t>
      </w:r>
      <w:r w:rsidRPr="001246BE">
        <w:rPr>
          <w:szCs w:val="26"/>
        </w:rPr>
        <w:t xml:space="preserve"> and</w:t>
      </w:r>
      <w:r w:rsidRPr="001246BE">
        <w:rPr>
          <w:szCs w:val="26"/>
        </w:rPr>
        <w:t xml:space="preserve"> </w:t>
      </w:r>
      <w:r w:rsidRPr="001246BE">
        <w:rPr>
          <w:szCs w:val="26"/>
        </w:rPr>
        <w:t>they raise no argument th</w:t>
      </w:r>
      <w:r w:rsidRPr="001246BE">
        <w:rPr>
          <w:szCs w:val="26"/>
        </w:rPr>
        <w:t xml:space="preserve">at </w:t>
      </w:r>
      <w:r w:rsidRPr="001246BE">
        <w:rPr>
          <w:szCs w:val="26"/>
        </w:rPr>
        <w:t>we have not considered</w:t>
      </w:r>
      <w:r w:rsidRPr="001246BE">
        <w:rPr>
          <w:szCs w:val="26"/>
        </w:rPr>
        <w:t>.</w:t>
      </w:r>
      <w:r w:rsidRPr="001246BE">
        <w:rPr>
          <w:szCs w:val="26"/>
        </w:rPr>
        <w:t xml:space="preserve">  </w:t>
      </w:r>
      <w:r w:rsidRPr="001246BE">
        <w:rPr>
          <w:szCs w:val="26"/>
        </w:rPr>
        <w:t>A</w:t>
      </w:r>
      <w:r w:rsidRPr="001246BE">
        <w:rPr>
          <w:szCs w:val="26"/>
        </w:rPr>
        <w:t xml:space="preserve">ccordingly, we again </w:t>
      </w:r>
      <w:r w:rsidRPr="001246BE">
        <w:rPr>
          <w:szCs w:val="26"/>
        </w:rPr>
        <w:t>conclude that CALJIC Nos. 2.01 and 2.02 do not und</w:t>
      </w:r>
      <w:r w:rsidRPr="001246BE">
        <w:rPr>
          <w:szCs w:val="26"/>
        </w:rPr>
        <w:t>ermine the proof beyond a reasonable doubt standard, and CALJIC Nos. 2.21.1, 2.21.2, 2.22, 2.27, and 8.20 do not dilute the reasonable doubt standard.  (</w:t>
      </w:r>
      <w:r w:rsidRPr="001246BE">
        <w:rPr>
          <w:i/>
          <w:szCs w:val="26"/>
        </w:rPr>
        <w:t xml:space="preserve">People v. </w:t>
      </w:r>
      <w:proofErr w:type="spellStart"/>
      <w:r w:rsidRPr="001246BE">
        <w:rPr>
          <w:i/>
          <w:szCs w:val="26"/>
        </w:rPr>
        <w:t>Becerrada</w:t>
      </w:r>
      <w:proofErr w:type="spellEnd"/>
      <w:r w:rsidRPr="001246BE">
        <w:rPr>
          <w:szCs w:val="26"/>
        </w:rPr>
        <w:t xml:space="preserve"> (2017) 2</w:t>
      </w:r>
      <w:r w:rsidRPr="001246BE">
        <w:rPr>
          <w:szCs w:val="26"/>
        </w:rPr>
        <w:t> </w:t>
      </w:r>
      <w:r w:rsidRPr="001246BE">
        <w:rPr>
          <w:szCs w:val="26"/>
        </w:rPr>
        <w:t>Cal.5th 1009, 1028.)</w:t>
      </w:r>
    </w:p>
    <w:p w:rsidR="004E226E"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28" w:name="_Toc511210400"/>
      <w:r w:rsidRPr="001246BE">
        <w:rPr>
          <w:rFonts w:ascii="Times New Roman" w:hAnsi="Times New Roman"/>
        </w:rPr>
        <w:t>11.</w:t>
      </w:r>
      <w:r w:rsidRPr="001246BE">
        <w:rPr>
          <w:rFonts w:ascii="Times New Roman" w:hAnsi="Times New Roman"/>
        </w:rPr>
        <w:tab/>
        <w:t xml:space="preserve">Juror Unanimity Regarding Theory of </w:t>
      </w:r>
      <w:r w:rsidRPr="001246BE">
        <w:rPr>
          <w:rFonts w:ascii="Times New Roman" w:hAnsi="Times New Roman"/>
        </w:rPr>
        <w:t>First D</w:t>
      </w:r>
      <w:r w:rsidRPr="001246BE">
        <w:rPr>
          <w:rFonts w:ascii="Times New Roman" w:hAnsi="Times New Roman"/>
        </w:rPr>
        <w:t>egre</w:t>
      </w:r>
      <w:r w:rsidRPr="001246BE">
        <w:rPr>
          <w:rFonts w:ascii="Times New Roman" w:hAnsi="Times New Roman"/>
        </w:rPr>
        <w:t>e</w:t>
      </w:r>
      <w:r w:rsidRPr="001246BE">
        <w:rPr>
          <w:rFonts w:ascii="Times New Roman" w:hAnsi="Times New Roman"/>
        </w:rPr>
        <w:t xml:space="preserve"> Murder</w:t>
      </w:r>
      <w:bookmarkEnd w:id="28"/>
      <w:r w:rsidRPr="001246BE">
        <w:rPr>
          <w:rFonts w:ascii="Times New Roman" w:hAnsi="Times New Roman"/>
        </w:rPr>
        <w:t xml:space="preserve"> </w:t>
      </w:r>
      <w:r w:rsidRPr="001246BE">
        <w:rPr>
          <w:rFonts w:ascii="Times New Roman" w:hAnsi="Times New Roman"/>
        </w:rPr>
        <w:tab/>
      </w:r>
    </w:p>
    <w:p w:rsidR="0090513F" w:rsidRPr="001246BE" w:rsidRDefault="00EF4903" w:rsidP="00913441">
      <w:pPr>
        <w:spacing w:line="480" w:lineRule="atLeast"/>
        <w:rPr>
          <w:szCs w:val="26"/>
        </w:rPr>
      </w:pPr>
      <w:r w:rsidRPr="001246BE">
        <w:rPr>
          <w:szCs w:val="26"/>
        </w:rPr>
        <w:tab/>
      </w:r>
      <w:proofErr w:type="spellStart"/>
      <w:r w:rsidRPr="001246BE">
        <w:rPr>
          <w:szCs w:val="26"/>
        </w:rPr>
        <w:t>Mora</w:t>
      </w:r>
      <w:proofErr w:type="spellEnd"/>
      <w:r w:rsidRPr="001246BE">
        <w:rPr>
          <w:szCs w:val="26"/>
        </w:rPr>
        <w:t xml:space="preserve"> and Rangel argue the trial court erred by failing to require that the jury unanimously agree on a theory of </w:t>
      </w:r>
      <w:r w:rsidRPr="001246BE">
        <w:rPr>
          <w:szCs w:val="26"/>
        </w:rPr>
        <w:t>first degree</w:t>
      </w:r>
      <w:r w:rsidRPr="001246BE">
        <w:rPr>
          <w:szCs w:val="26"/>
        </w:rPr>
        <w:t xml:space="preserve"> murder before returning guilty verdicts for that crime.</w:t>
      </w:r>
      <w:r w:rsidRPr="001246BE">
        <w:rPr>
          <w:szCs w:val="26"/>
        </w:rPr>
        <w:t xml:space="preserve">  As they acknowledge, this court has </w:t>
      </w:r>
      <w:r w:rsidRPr="001246BE">
        <w:rPr>
          <w:szCs w:val="26"/>
        </w:rPr>
        <w:t xml:space="preserve">repeatedly </w:t>
      </w:r>
      <w:r w:rsidRPr="001246BE">
        <w:rPr>
          <w:szCs w:val="26"/>
        </w:rPr>
        <w:t xml:space="preserve">rejected similar claims.  </w:t>
      </w:r>
      <w:r w:rsidRPr="001246BE">
        <w:rPr>
          <w:szCs w:val="26"/>
        </w:rPr>
        <w:t>(See</w:t>
      </w:r>
      <w:r w:rsidRPr="001246BE">
        <w:rPr>
          <w:szCs w:val="26"/>
        </w:rPr>
        <w:t> </w:t>
      </w:r>
      <w:r w:rsidRPr="001246BE">
        <w:rPr>
          <w:i/>
          <w:szCs w:val="26"/>
        </w:rPr>
        <w:t>People v. Nakahara</w:t>
      </w:r>
      <w:r w:rsidRPr="001246BE">
        <w:rPr>
          <w:szCs w:val="26"/>
        </w:rPr>
        <w:t xml:space="preserve"> (2003) 30 Cal.4th 705, 712</w:t>
      </w:r>
      <w:r>
        <w:t>–</w:t>
      </w:r>
      <w:r w:rsidRPr="001246BE">
        <w:rPr>
          <w:szCs w:val="26"/>
        </w:rPr>
        <w:t>713</w:t>
      </w:r>
      <w:r w:rsidRPr="001246BE">
        <w:rPr>
          <w:szCs w:val="26"/>
        </w:rPr>
        <w:t xml:space="preserve">; see also </w:t>
      </w:r>
      <w:r w:rsidRPr="001246BE">
        <w:rPr>
          <w:i/>
          <w:szCs w:val="26"/>
        </w:rPr>
        <w:t xml:space="preserve">People v. </w:t>
      </w:r>
      <w:proofErr w:type="spellStart"/>
      <w:r w:rsidRPr="001246BE">
        <w:rPr>
          <w:i/>
          <w:szCs w:val="26"/>
        </w:rPr>
        <w:t>Sattiewhite</w:t>
      </w:r>
      <w:proofErr w:type="spellEnd"/>
      <w:r w:rsidRPr="001246BE">
        <w:rPr>
          <w:szCs w:val="26"/>
        </w:rPr>
        <w:t xml:space="preserve"> (2014) 59 Cal.4th 446, 479</w:t>
      </w:r>
      <w:r w:rsidRPr="001246BE">
        <w:rPr>
          <w:szCs w:val="26"/>
        </w:rPr>
        <w:t xml:space="preserve">.)  </w:t>
      </w:r>
      <w:proofErr w:type="spellStart"/>
      <w:r w:rsidRPr="001246BE">
        <w:rPr>
          <w:szCs w:val="26"/>
        </w:rPr>
        <w:t>Mora</w:t>
      </w:r>
      <w:proofErr w:type="spellEnd"/>
      <w:r w:rsidRPr="001246BE">
        <w:rPr>
          <w:szCs w:val="26"/>
        </w:rPr>
        <w:t xml:space="preserve"> and Rangel </w:t>
      </w:r>
      <w:r w:rsidRPr="001246BE">
        <w:rPr>
          <w:szCs w:val="26"/>
        </w:rPr>
        <w:t xml:space="preserve">posit </w:t>
      </w:r>
      <w:r w:rsidRPr="001246BE">
        <w:rPr>
          <w:szCs w:val="26"/>
        </w:rPr>
        <w:t xml:space="preserve">that recent United States Supreme Court </w:t>
      </w:r>
      <w:r w:rsidRPr="001246BE">
        <w:rPr>
          <w:szCs w:val="26"/>
        </w:rPr>
        <w:t>case</w:t>
      </w:r>
      <w:r>
        <w:rPr>
          <w:szCs w:val="26"/>
        </w:rPr>
        <w:t xml:space="preserve"> </w:t>
      </w:r>
      <w:r w:rsidRPr="001246BE">
        <w:rPr>
          <w:szCs w:val="26"/>
        </w:rPr>
        <w:t xml:space="preserve">law </w:t>
      </w:r>
      <w:r w:rsidRPr="001246BE">
        <w:rPr>
          <w:szCs w:val="26"/>
        </w:rPr>
        <w:t xml:space="preserve">warrants </w:t>
      </w:r>
      <w:r w:rsidRPr="001246BE">
        <w:rPr>
          <w:szCs w:val="26"/>
        </w:rPr>
        <w:t>our reconsideration of this prece</w:t>
      </w:r>
      <w:r w:rsidRPr="001246BE">
        <w:rPr>
          <w:szCs w:val="26"/>
        </w:rPr>
        <w:t>dent</w:t>
      </w:r>
      <w:r w:rsidRPr="001246BE">
        <w:rPr>
          <w:szCs w:val="26"/>
        </w:rPr>
        <w:t xml:space="preserve">, but </w:t>
      </w:r>
      <w:r w:rsidRPr="001246BE">
        <w:rPr>
          <w:szCs w:val="26"/>
        </w:rPr>
        <w:t xml:space="preserve">rely on the </w:t>
      </w:r>
      <w:r w:rsidRPr="001246BE">
        <w:rPr>
          <w:szCs w:val="26"/>
        </w:rPr>
        <w:t xml:space="preserve">high </w:t>
      </w:r>
      <w:r w:rsidRPr="001246BE">
        <w:rPr>
          <w:szCs w:val="26"/>
        </w:rPr>
        <w:t xml:space="preserve">court’s </w:t>
      </w:r>
      <w:r w:rsidRPr="001246BE">
        <w:rPr>
          <w:szCs w:val="26"/>
        </w:rPr>
        <w:t>nearly twenty-year-old</w:t>
      </w:r>
      <w:r w:rsidRPr="001246BE">
        <w:rPr>
          <w:szCs w:val="26"/>
        </w:rPr>
        <w:t xml:space="preserve"> decision in </w:t>
      </w:r>
      <w:proofErr w:type="spellStart"/>
      <w:r w:rsidRPr="001246BE">
        <w:rPr>
          <w:i/>
          <w:szCs w:val="26"/>
        </w:rPr>
        <w:t>Apprendi</w:t>
      </w:r>
      <w:proofErr w:type="spellEnd"/>
      <w:r w:rsidRPr="001246BE">
        <w:rPr>
          <w:szCs w:val="26"/>
        </w:rPr>
        <w:t xml:space="preserve">, </w:t>
      </w:r>
      <w:r w:rsidRPr="001246BE">
        <w:rPr>
          <w:i/>
          <w:szCs w:val="26"/>
        </w:rPr>
        <w:t>supra</w:t>
      </w:r>
      <w:r w:rsidRPr="001246BE">
        <w:rPr>
          <w:szCs w:val="26"/>
        </w:rPr>
        <w:t>, 5</w:t>
      </w:r>
      <w:r w:rsidRPr="001246BE">
        <w:rPr>
          <w:szCs w:val="26"/>
        </w:rPr>
        <w:t xml:space="preserve">30 U.S. 466.  </w:t>
      </w:r>
      <w:r w:rsidRPr="001246BE">
        <w:rPr>
          <w:szCs w:val="26"/>
        </w:rPr>
        <w:t xml:space="preserve">We have far more recently affirmed our long-standing rule that juror unanimity regarding the theory of </w:t>
      </w:r>
      <w:r w:rsidRPr="001246BE">
        <w:rPr>
          <w:szCs w:val="26"/>
        </w:rPr>
        <w:t>first degree</w:t>
      </w:r>
      <w:r w:rsidRPr="001246BE">
        <w:rPr>
          <w:szCs w:val="26"/>
        </w:rPr>
        <w:t xml:space="preserve"> murder is not required.  (See </w:t>
      </w:r>
      <w:r w:rsidRPr="001246BE">
        <w:rPr>
          <w:i/>
          <w:szCs w:val="26"/>
        </w:rPr>
        <w:t xml:space="preserve">People </w:t>
      </w:r>
      <w:r w:rsidRPr="001246BE">
        <w:rPr>
          <w:i/>
          <w:szCs w:val="26"/>
        </w:rPr>
        <w:t>v. Grimes</w:t>
      </w:r>
      <w:r w:rsidRPr="001246BE">
        <w:rPr>
          <w:szCs w:val="26"/>
        </w:rPr>
        <w:t xml:space="preserve"> (2016) 1 Cal.5th 698, 727</w:t>
      </w:r>
      <w:r>
        <w:t>–</w:t>
      </w:r>
      <w:r w:rsidRPr="001246BE">
        <w:rPr>
          <w:szCs w:val="26"/>
        </w:rPr>
        <w:t xml:space="preserve">728.) </w:t>
      </w:r>
      <w:r w:rsidRPr="001246BE">
        <w:rPr>
          <w:szCs w:val="26"/>
        </w:rPr>
        <w:t xml:space="preserve"> </w:t>
      </w:r>
      <w:r w:rsidRPr="001246BE">
        <w:rPr>
          <w:szCs w:val="26"/>
        </w:rPr>
        <w:t>I</w:t>
      </w:r>
      <w:r w:rsidRPr="001246BE">
        <w:rPr>
          <w:szCs w:val="26"/>
        </w:rPr>
        <w:t>n</w:t>
      </w:r>
      <w:r w:rsidRPr="001246BE">
        <w:rPr>
          <w:szCs w:val="26"/>
        </w:rPr>
        <w:t>deed, over a decade ago, we concluded</w:t>
      </w:r>
      <w:r w:rsidRPr="001246BE">
        <w:rPr>
          <w:szCs w:val="26"/>
        </w:rPr>
        <w:t xml:space="preserve"> that there is “no</w:t>
      </w:r>
      <w:r w:rsidRPr="001246BE">
        <w:rPr>
          <w:szCs w:val="26"/>
        </w:rPr>
        <w:t xml:space="preserve">thing in </w:t>
      </w:r>
      <w:proofErr w:type="spellStart"/>
      <w:r w:rsidRPr="001246BE">
        <w:rPr>
          <w:i/>
          <w:szCs w:val="26"/>
        </w:rPr>
        <w:t>Apprendi</w:t>
      </w:r>
      <w:proofErr w:type="spellEnd"/>
      <w:r w:rsidRPr="001246BE">
        <w:rPr>
          <w:szCs w:val="26"/>
        </w:rPr>
        <w:t xml:space="preserve"> that would require a unanimous jury verdict as to the particular </w:t>
      </w:r>
      <w:r w:rsidRPr="001246BE">
        <w:rPr>
          <w:i/>
          <w:szCs w:val="26"/>
        </w:rPr>
        <w:t>theory</w:t>
      </w:r>
      <w:r w:rsidRPr="001246BE">
        <w:rPr>
          <w:szCs w:val="26"/>
        </w:rPr>
        <w:t xml:space="preserve"> justifying a finding of first degree murder.”</w:t>
      </w:r>
      <w:r w:rsidRPr="001246BE">
        <w:rPr>
          <w:szCs w:val="26"/>
        </w:rPr>
        <w:t xml:space="preserve">  (</w:t>
      </w:r>
      <w:r w:rsidRPr="001246BE">
        <w:rPr>
          <w:i/>
          <w:szCs w:val="26"/>
        </w:rPr>
        <w:t>People v. Nakahara</w:t>
      </w:r>
      <w:r w:rsidRPr="001246BE">
        <w:rPr>
          <w:szCs w:val="26"/>
        </w:rPr>
        <w:t xml:space="preserve">, </w:t>
      </w:r>
      <w:r w:rsidRPr="001246BE">
        <w:rPr>
          <w:i/>
          <w:szCs w:val="26"/>
        </w:rPr>
        <w:t>supra</w:t>
      </w:r>
      <w:r w:rsidRPr="001246BE">
        <w:rPr>
          <w:szCs w:val="26"/>
        </w:rPr>
        <w:t xml:space="preserve">, </w:t>
      </w:r>
      <w:r w:rsidRPr="001246BE">
        <w:rPr>
          <w:szCs w:val="26"/>
        </w:rPr>
        <w:t>30 Cal.4th at p. 713</w:t>
      </w:r>
      <w:r w:rsidRPr="001246BE">
        <w:rPr>
          <w:szCs w:val="26"/>
        </w:rPr>
        <w:t xml:space="preserve">.) </w:t>
      </w:r>
      <w:r w:rsidRPr="001246BE">
        <w:rPr>
          <w:szCs w:val="26"/>
        </w:rPr>
        <w:t xml:space="preserve"> </w:t>
      </w:r>
      <w:proofErr w:type="spellStart"/>
      <w:r w:rsidRPr="001246BE">
        <w:rPr>
          <w:szCs w:val="26"/>
        </w:rPr>
        <w:t>Mora</w:t>
      </w:r>
      <w:proofErr w:type="spellEnd"/>
      <w:r w:rsidRPr="001246BE">
        <w:rPr>
          <w:szCs w:val="26"/>
        </w:rPr>
        <w:t xml:space="preserve"> and Rangel present </w:t>
      </w:r>
      <w:r w:rsidRPr="001246BE">
        <w:rPr>
          <w:szCs w:val="26"/>
        </w:rPr>
        <w:t xml:space="preserve">us with </w:t>
      </w:r>
      <w:r w:rsidRPr="001246BE">
        <w:rPr>
          <w:szCs w:val="26"/>
        </w:rPr>
        <w:t xml:space="preserve">no reason to depart </w:t>
      </w:r>
      <w:r w:rsidRPr="001246BE">
        <w:rPr>
          <w:szCs w:val="26"/>
        </w:rPr>
        <w:t>from the settled authority on this issue</w:t>
      </w:r>
      <w:r w:rsidRPr="001246BE">
        <w:rPr>
          <w:szCs w:val="26"/>
        </w:rPr>
        <w:t>.</w:t>
      </w:r>
    </w:p>
    <w:p w:rsidR="0078340F"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29" w:name="_Toc511210401"/>
      <w:r w:rsidRPr="001246BE">
        <w:rPr>
          <w:rFonts w:ascii="Times New Roman" w:hAnsi="Times New Roman"/>
        </w:rPr>
        <w:t>12.</w:t>
      </w:r>
      <w:r w:rsidRPr="001246BE">
        <w:rPr>
          <w:rFonts w:ascii="Times New Roman" w:hAnsi="Times New Roman"/>
        </w:rPr>
        <w:tab/>
        <w:t>Attempted Robbery Pinpoint Instructional Error</w:t>
      </w:r>
      <w:bookmarkEnd w:id="29"/>
      <w:r w:rsidRPr="001246BE">
        <w:rPr>
          <w:rFonts w:ascii="Times New Roman" w:hAnsi="Times New Roman"/>
        </w:rPr>
        <w:t xml:space="preserve"> </w:t>
      </w:r>
    </w:p>
    <w:p w:rsidR="00BF4941" w:rsidRPr="00BF4941" w:rsidRDefault="00EF4903" w:rsidP="00BF4941">
      <w:pPr>
        <w:spacing w:line="480" w:lineRule="atLeast"/>
      </w:pPr>
      <w:r>
        <w:tab/>
      </w:r>
      <w:r>
        <w:t xml:space="preserve">Rangel argues the trial court erred by denying his request to provide the jury with a pinpoint instruction regarding attempted robbery.  </w:t>
      </w:r>
      <w:r>
        <w:t>W</w:t>
      </w:r>
      <w:r>
        <w:t>e</w:t>
      </w:r>
      <w:r>
        <w:t xml:space="preserve"> hold, for reasons addressed below, </w:t>
      </w:r>
      <w:r>
        <w:t>that</w:t>
      </w:r>
      <w:r>
        <w:t xml:space="preserve"> t</w:t>
      </w:r>
      <w:r>
        <w:t>he</w:t>
      </w:r>
      <w:r>
        <w:t xml:space="preserve"> trial court did not abuse its discretion by denying the requested instru</w:t>
      </w:r>
      <w:r>
        <w:t>ction as duplicative.</w:t>
      </w:r>
    </w:p>
    <w:p w:rsidR="006A51DA" w:rsidRDefault="00EF4903" w:rsidP="00BD28E7">
      <w:pPr>
        <w:pStyle w:val="Heading4"/>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a.</w:t>
      </w:r>
      <w:r w:rsidRPr="001246BE">
        <w:rPr>
          <w:rFonts w:ascii="Times New Roman" w:hAnsi="Times New Roman"/>
          <w:b w:val="0"/>
          <w:i w:val="0"/>
          <w:color w:val="auto"/>
        </w:rPr>
        <w:tab/>
      </w:r>
      <w:r w:rsidRPr="001246BE">
        <w:rPr>
          <w:rFonts w:ascii="Times New Roman" w:hAnsi="Times New Roman"/>
          <w:b w:val="0"/>
          <w:color w:val="auto"/>
        </w:rPr>
        <w:t>Background</w:t>
      </w:r>
    </w:p>
    <w:p w:rsidR="00817338" w:rsidRDefault="00EF4903" w:rsidP="003B5545">
      <w:pPr>
        <w:spacing w:line="480" w:lineRule="atLeast"/>
      </w:pPr>
      <w:r>
        <w:tab/>
        <w:t xml:space="preserve">At the conclusion of the guilt phase, Rangel requested that the court give a pinpoint instruction concerning the crime of attempted robbery as it </w:t>
      </w:r>
      <w:r>
        <w:t xml:space="preserve">related to the charge of </w:t>
      </w:r>
      <w:r>
        <w:t>felony murder</w:t>
      </w:r>
      <w:r>
        <w:t xml:space="preserve">.  Specifically, appellant </w:t>
      </w:r>
      <w:r>
        <w:t>requested that Special Instruction No. 1 be given</w:t>
      </w:r>
      <w:r>
        <w:t xml:space="preserve">, essentially seeking </w:t>
      </w:r>
      <w:r>
        <w:t xml:space="preserve">to instruct the jury that a </w:t>
      </w:r>
      <w:proofErr w:type="spellStart"/>
      <w:r>
        <w:t>non</w:t>
      </w:r>
      <w:r>
        <w:t>homicidal</w:t>
      </w:r>
      <w:proofErr w:type="spellEnd"/>
      <w:r>
        <w:t xml:space="preserve"> felonious intent must exist to support a </w:t>
      </w:r>
      <w:r>
        <w:t>felony murder</w:t>
      </w:r>
      <w:r>
        <w:t xml:space="preserve"> conviction.</w:t>
      </w:r>
      <w:r>
        <w:rPr>
          <w:rStyle w:val="FootnoteReference"/>
        </w:rPr>
        <w:footnoteReference w:id="19"/>
      </w:r>
      <w:r>
        <w:t xml:space="preserve">    </w:t>
      </w:r>
    </w:p>
    <w:p w:rsidR="00A8632E" w:rsidRDefault="00EF4903" w:rsidP="003B5545">
      <w:pPr>
        <w:spacing w:line="480" w:lineRule="atLeast"/>
      </w:pPr>
      <w:r>
        <w:tab/>
        <w:t>Rangel’s request</w:t>
      </w:r>
      <w:r>
        <w:t>ed instruction</w:t>
      </w:r>
      <w:r>
        <w:t xml:space="preserve"> was based </w:t>
      </w:r>
      <w:r>
        <w:t>on</w:t>
      </w:r>
      <w:r>
        <w:t xml:space="preserve"> this court’s holding in </w:t>
      </w:r>
      <w:r>
        <w:rPr>
          <w:i/>
        </w:rPr>
        <w:t>Peo</w:t>
      </w:r>
      <w:r>
        <w:rPr>
          <w:i/>
        </w:rPr>
        <w:t>ple v. </w:t>
      </w:r>
      <w:r>
        <w:rPr>
          <w:i/>
        </w:rPr>
        <w:t>Sears</w:t>
      </w:r>
      <w:r>
        <w:t xml:space="preserve"> (1970) 2 Cal.3d 180, 187</w:t>
      </w:r>
      <w:r>
        <w:t>–</w:t>
      </w:r>
      <w:r>
        <w:t xml:space="preserve">188.  </w:t>
      </w:r>
      <w:r>
        <w:t xml:space="preserve">In </w:t>
      </w:r>
      <w:r>
        <w:rPr>
          <w:i/>
        </w:rPr>
        <w:t xml:space="preserve">People v. </w:t>
      </w:r>
      <w:r>
        <w:rPr>
          <w:i/>
        </w:rPr>
        <w:t>Sears</w:t>
      </w:r>
      <w:r>
        <w:t xml:space="preserve">, </w:t>
      </w:r>
      <w:r>
        <w:t>the defendant entered his wife’s home with a concealed tire iron, assaulted his wife, mother</w:t>
      </w:r>
      <w:r>
        <w:t>-</w:t>
      </w:r>
      <w:r>
        <w:t>in</w:t>
      </w:r>
      <w:r>
        <w:t>-</w:t>
      </w:r>
      <w:r>
        <w:t>law, and stepdaughter with that and other weapons, and killed his stepdaughter.  (</w:t>
      </w:r>
      <w:r>
        <w:rPr>
          <w:i/>
        </w:rPr>
        <w:t>Id</w:t>
      </w:r>
      <w:r w:rsidRPr="00D64D5F">
        <w:rPr>
          <w:i/>
        </w:rPr>
        <w:t>.</w:t>
      </w:r>
      <w:r>
        <w:t xml:space="preserve"> at pp. 183</w:t>
      </w:r>
      <w:r>
        <w:t>–</w:t>
      </w:r>
      <w:r>
        <w:t xml:space="preserve">184.)  The jury </w:t>
      </w:r>
      <w:r>
        <w:t xml:space="preserve">was instructed concerning first and second </w:t>
      </w:r>
      <w:r>
        <w:t xml:space="preserve">degree murder, </w:t>
      </w:r>
      <w:r>
        <w:t>felony murder</w:t>
      </w:r>
      <w:r>
        <w:t xml:space="preserve"> during the commission of a burglary, and on the lesser included offenses of attempted murder and assault with a deadly weapon.  (</w:t>
      </w:r>
      <w:r>
        <w:rPr>
          <w:i/>
        </w:rPr>
        <w:t>Id.</w:t>
      </w:r>
      <w:r>
        <w:t xml:space="preserve"> at p. 184–</w:t>
      </w:r>
      <w:r>
        <w:t xml:space="preserve">185.)  During </w:t>
      </w:r>
      <w:r>
        <w:t>deliberations, the jury asked the court whether assault against the defendant’s wife constituted a felony regardless of his intent when he entered the home and, if so, wheth</w:t>
      </w:r>
      <w:r>
        <w:t xml:space="preserve">er </w:t>
      </w:r>
      <w:r>
        <w:t>first degree</w:t>
      </w:r>
      <w:r>
        <w:t xml:space="preserve"> </w:t>
      </w:r>
      <w:r>
        <w:t>felony murder</w:t>
      </w:r>
      <w:r>
        <w:t xml:space="preserve"> applied.  (</w:t>
      </w:r>
      <w:r>
        <w:rPr>
          <w:i/>
        </w:rPr>
        <w:t>Id.</w:t>
      </w:r>
      <w:r>
        <w:t xml:space="preserve"> at p. 185.)  The court responded by st</w:t>
      </w:r>
      <w:r>
        <w:t>at</w:t>
      </w:r>
      <w:r>
        <w:t>ing the</w:t>
      </w:r>
      <w:r>
        <w:t xml:space="preserve"> “ </w:t>
      </w:r>
      <w:r>
        <w:t xml:space="preserve">‘the specific intent to commit </w:t>
      </w:r>
      <w:r>
        <w:t xml:space="preserve">the </w:t>
      </w:r>
      <w:r>
        <w:t>assault must exist at the time of entry, otherwise the felony</w:t>
      </w:r>
      <w:r>
        <w:t>-</w:t>
      </w:r>
      <w:r>
        <w:t>murder rule does not apply.’ ”  (</w:t>
      </w:r>
      <w:r>
        <w:rPr>
          <w:i/>
        </w:rPr>
        <w:t>Ibid</w:t>
      </w:r>
      <w:r w:rsidRPr="00D64D5F">
        <w:rPr>
          <w:i/>
        </w:rPr>
        <w:t>.</w:t>
      </w:r>
      <w:r>
        <w:t xml:space="preserve">)  The jury found the defendant guilty of </w:t>
      </w:r>
      <w:r>
        <w:t xml:space="preserve">the </w:t>
      </w:r>
      <w:r>
        <w:t>first degree</w:t>
      </w:r>
      <w:r>
        <w:t xml:space="preserve"> murder of his stepdaughter and the attempted murde</w:t>
      </w:r>
      <w:r>
        <w:t>rs of his wife and mother</w:t>
      </w:r>
      <w:r>
        <w:t>-</w:t>
      </w:r>
      <w:r>
        <w:t>in</w:t>
      </w:r>
      <w:r>
        <w:t>-</w:t>
      </w:r>
      <w:r>
        <w:t>law</w:t>
      </w:r>
      <w:r>
        <w:t>, fixing the penalty at death.  (</w:t>
      </w:r>
      <w:r>
        <w:rPr>
          <w:i/>
        </w:rPr>
        <w:t>Id.</w:t>
      </w:r>
      <w:r>
        <w:t xml:space="preserve"> at p. 182.)</w:t>
      </w:r>
      <w:r>
        <w:t xml:space="preserve">  W</w:t>
      </w:r>
      <w:r>
        <w:t>e reversed</w:t>
      </w:r>
      <w:r>
        <w:t xml:space="preserve"> the defendant’s conviction, </w:t>
      </w:r>
      <w:r>
        <w:t xml:space="preserve">holding that the </w:t>
      </w:r>
      <w:r>
        <w:t>court’s instructions and answer to the jury’s question constituted prejudicial error because</w:t>
      </w:r>
      <w:r>
        <w:t xml:space="preserve"> burglary based upon the </w:t>
      </w:r>
      <w:r>
        <w:t xml:space="preserve">intent to commit an assault with a deadly weapon cannot support a </w:t>
      </w:r>
      <w:r>
        <w:t>felony murder</w:t>
      </w:r>
      <w:r>
        <w:t xml:space="preserve"> instruction </w:t>
      </w:r>
      <w:r>
        <w:t>as</w:t>
      </w:r>
      <w:r>
        <w:t xml:space="preserve"> that assault is included within the murder charge itself.  (</w:t>
      </w:r>
      <w:r>
        <w:rPr>
          <w:i/>
        </w:rPr>
        <w:t>Id.</w:t>
      </w:r>
      <w:r>
        <w:t xml:space="preserve"> at p. 188.)  </w:t>
      </w:r>
      <w:r>
        <w:t xml:space="preserve">We </w:t>
      </w:r>
      <w:r>
        <w:t>e</w:t>
      </w:r>
      <w:r>
        <w:t>xplain</w:t>
      </w:r>
      <w:r>
        <w:t>ed</w:t>
      </w:r>
      <w:r>
        <w:t xml:space="preserve"> that </w:t>
      </w:r>
      <w:r>
        <w:t xml:space="preserve">the </w:t>
      </w:r>
      <w:r>
        <w:t>felony murder</w:t>
      </w:r>
      <w:r>
        <w:t xml:space="preserve"> rule</w:t>
      </w:r>
      <w:r>
        <w:t xml:space="preserve"> exists to deter the negligent or accidental</w:t>
      </w:r>
      <w:r>
        <w:t xml:space="preserve"> killings that may result from the commission of a felony.  (</w:t>
      </w:r>
      <w:r>
        <w:rPr>
          <w:i/>
        </w:rPr>
        <w:t>Id.</w:t>
      </w:r>
      <w:r>
        <w:t xml:space="preserve"> at p. 187</w:t>
      </w:r>
      <w:r>
        <w:t>.</w:t>
      </w:r>
      <w:r>
        <w:t xml:space="preserve">)  </w:t>
      </w:r>
      <w:r>
        <w:t>T</w:t>
      </w:r>
      <w:r>
        <w:t xml:space="preserve">he </w:t>
      </w:r>
      <w:r>
        <w:t>felony murder</w:t>
      </w:r>
      <w:r>
        <w:t xml:space="preserve"> rule does not deter a person who intends to enter a building and commit an assault.  (</w:t>
      </w:r>
      <w:r>
        <w:rPr>
          <w:i/>
        </w:rPr>
        <w:t>Ibid</w:t>
      </w:r>
      <w:r w:rsidRPr="00D64D5F">
        <w:rPr>
          <w:i/>
        </w:rPr>
        <w:t>.</w:t>
      </w:r>
      <w:r>
        <w:t>)</w:t>
      </w:r>
      <w:r>
        <w:t xml:space="preserve">  </w:t>
      </w:r>
    </w:p>
    <w:p w:rsidR="006A51DA" w:rsidRPr="006A51DA" w:rsidRDefault="00EF4903" w:rsidP="00A35872">
      <w:pPr>
        <w:spacing w:line="480" w:lineRule="atLeast"/>
      </w:pPr>
      <w:r>
        <w:tab/>
      </w:r>
      <w:r>
        <w:t xml:space="preserve">The trial court declined to instruct the jury as Rangel </w:t>
      </w:r>
      <w:r>
        <w:t>requested.  T</w:t>
      </w:r>
      <w:r>
        <w:t xml:space="preserve">he court </w:t>
      </w:r>
      <w:r>
        <w:t>explained</w:t>
      </w:r>
      <w:r>
        <w:t xml:space="preserve"> </w:t>
      </w:r>
      <w:r>
        <w:t>that</w:t>
      </w:r>
      <w:r>
        <w:t xml:space="preserve"> the “import</w:t>
      </w:r>
      <w:r>
        <w:t xml:space="preserve"> </w:t>
      </w:r>
      <w:r>
        <w:t>of [</w:t>
      </w:r>
      <w:r>
        <w:rPr>
          <w:i/>
        </w:rPr>
        <w:t xml:space="preserve">People v. </w:t>
      </w:r>
      <w:r>
        <w:rPr>
          <w:i/>
        </w:rPr>
        <w:t>Sears</w:t>
      </w:r>
      <w:r>
        <w:t>]</w:t>
      </w:r>
      <w:r>
        <w:t xml:space="preserve"> is </w:t>
      </w:r>
      <w:r>
        <w:t xml:space="preserve">included in [CALJIC No.] 8.21,” which, combined with CALJIC </w:t>
      </w:r>
      <w:r>
        <w:t xml:space="preserve">No. </w:t>
      </w:r>
      <w:r>
        <w:t xml:space="preserve">8.27 “covers the issue.”  CALJIC </w:t>
      </w:r>
      <w:r>
        <w:t>No. </w:t>
      </w:r>
      <w:r>
        <w:t>8.21</w:t>
      </w:r>
      <w:r>
        <w:t>, as given,</w:t>
      </w:r>
      <w:r>
        <w:t xml:space="preserve"> provide</w:t>
      </w:r>
      <w:r>
        <w:t>s</w:t>
      </w:r>
      <w:r>
        <w:t>, “The unlawful killing of a human being, whether intentio</w:t>
      </w:r>
      <w:r>
        <w:t>nal, unintention</w:t>
      </w:r>
      <w:r>
        <w:t xml:space="preserve">al or accidental, which occurs </w:t>
      </w:r>
      <w:r>
        <w:t>during the commission or at</w:t>
      </w:r>
      <w:r>
        <w:t>tempted commission of the crime</w:t>
      </w:r>
      <w:r>
        <w:t xml:space="preserve"> of robbery is murder of the first degree when the perpetrator had the specific intent to commit that crime.  [¶]  The specific intent to commit robber</w:t>
      </w:r>
      <w:r>
        <w:t>y and the commission or attempted commission of such crime must be proved beyond a reasonable doubt.”</w:t>
      </w:r>
      <w:r>
        <w:t xml:space="preserve">  </w:t>
      </w:r>
      <w:r>
        <w:t>The jury was also instructed pursuant to CALJIC No. 8</w:t>
      </w:r>
      <w:r>
        <w:t>.</w:t>
      </w:r>
      <w:r>
        <w:t>27</w:t>
      </w:r>
      <w:r>
        <w:t>,</w:t>
      </w:r>
      <w:r>
        <w:rPr>
          <w:rStyle w:val="FootnoteReference"/>
        </w:rPr>
        <w:footnoteReference w:id="20"/>
      </w:r>
      <w:r>
        <w:t xml:space="preserve"> </w:t>
      </w:r>
      <w:r>
        <w:t>addressing aider and abettor liability, and underscoring that the intent to commit the underly</w:t>
      </w:r>
      <w:r>
        <w:t>ing felony must be present a</w:t>
      </w:r>
      <w:r>
        <w:t>t t</w:t>
      </w:r>
      <w:r>
        <w:t xml:space="preserve">he time the killing occurs.  </w:t>
      </w:r>
      <w:r>
        <w:t>Because th</w:t>
      </w:r>
      <w:r>
        <w:t>e jury was instructed with CALJIC Nos. 8.21 and 8.27</w:t>
      </w:r>
      <w:r>
        <w:t>, the court reasoned that instructing the jury pursuant to Rangel’s requested pinpoint instruction would be duplicative</w:t>
      </w:r>
      <w:r>
        <w:t xml:space="preserve">.  </w:t>
      </w:r>
    </w:p>
    <w:p w:rsidR="006F00A5" w:rsidRDefault="00EF4903" w:rsidP="00247F7D">
      <w:pPr>
        <w:pStyle w:val="Heading4"/>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b.</w:t>
      </w:r>
      <w:r w:rsidRPr="001246BE">
        <w:rPr>
          <w:rFonts w:ascii="Times New Roman" w:hAnsi="Times New Roman"/>
          <w:b w:val="0"/>
          <w:i w:val="0"/>
          <w:color w:val="auto"/>
        </w:rPr>
        <w:tab/>
      </w:r>
      <w:r w:rsidRPr="001246BE">
        <w:rPr>
          <w:rFonts w:ascii="Times New Roman" w:hAnsi="Times New Roman"/>
          <w:b w:val="0"/>
          <w:color w:val="auto"/>
        </w:rPr>
        <w:t>Discu</w:t>
      </w:r>
      <w:r w:rsidRPr="001246BE">
        <w:rPr>
          <w:rFonts w:ascii="Times New Roman" w:hAnsi="Times New Roman"/>
          <w:b w:val="0"/>
          <w:color w:val="auto"/>
        </w:rPr>
        <w:t>ssion</w:t>
      </w:r>
    </w:p>
    <w:p w:rsidR="009B542D" w:rsidRDefault="00EF4903" w:rsidP="00FC1BDE">
      <w:pPr>
        <w:spacing w:line="480" w:lineRule="atLeast"/>
      </w:pPr>
      <w:r>
        <w:tab/>
        <w:t xml:space="preserve">Rangel argues that </w:t>
      </w:r>
      <w:r>
        <w:t xml:space="preserve">his requested </w:t>
      </w:r>
      <w:r>
        <w:t xml:space="preserve">instruction should have been given to aid the jury’s determination of whether Rangel had an independent felonious intent to commit robbery.  </w:t>
      </w:r>
      <w:r>
        <w:t xml:space="preserve">A </w:t>
      </w:r>
      <w:r>
        <w:t xml:space="preserve">proper </w:t>
      </w:r>
      <w:r>
        <w:t xml:space="preserve">pinpoint instruction must be given at a defendant’s request.  </w:t>
      </w:r>
      <w:r>
        <w:t>(</w:t>
      </w:r>
      <w:r>
        <w:rPr>
          <w:i/>
        </w:rPr>
        <w:t>People v. </w:t>
      </w:r>
      <w:r w:rsidRPr="006578CB">
        <w:rPr>
          <w:i/>
        </w:rPr>
        <w:t>Hughes</w:t>
      </w:r>
      <w:r>
        <w:t xml:space="preserve">, </w:t>
      </w:r>
      <w:r>
        <w:rPr>
          <w:i/>
        </w:rPr>
        <w:t>supra</w:t>
      </w:r>
      <w:r>
        <w:t>,</w:t>
      </w:r>
      <w:r>
        <w:t xml:space="preserve"> 27 Cal.4th</w:t>
      </w:r>
      <w:r>
        <w:t xml:space="preserve"> at p. </w:t>
      </w:r>
      <w:r>
        <w:t xml:space="preserve">361, quoting </w:t>
      </w:r>
      <w:r>
        <w:rPr>
          <w:i/>
        </w:rPr>
        <w:t>People v. Earp</w:t>
      </w:r>
      <w:r>
        <w:t xml:space="preserve">, </w:t>
      </w:r>
      <w:r>
        <w:rPr>
          <w:i/>
        </w:rPr>
        <w:t>supra</w:t>
      </w:r>
      <w:r>
        <w:t>,</w:t>
      </w:r>
      <w:r>
        <w:t xml:space="preserve"> 20 Cal.4th</w:t>
      </w:r>
      <w:r>
        <w:t xml:space="preserve"> at p.</w:t>
      </w:r>
      <w:r>
        <w:t> </w:t>
      </w:r>
      <w:r>
        <w:t>886.)</w:t>
      </w:r>
      <w:r>
        <w:t xml:space="preserve">  </w:t>
      </w:r>
      <w:r>
        <w:t>The jury must be instructed on general principles “ ‘ “closely and openly connected to the facts and that are necessary for the jury’s understanding of th</w:t>
      </w:r>
      <w:r>
        <w:t>e case” ’ ” including those instructions that “pinpoint” a defense theory.  (</w:t>
      </w:r>
      <w:r>
        <w:rPr>
          <w:i/>
        </w:rPr>
        <w:t xml:space="preserve">People v. </w:t>
      </w:r>
      <w:proofErr w:type="spellStart"/>
      <w:r>
        <w:rPr>
          <w:i/>
        </w:rPr>
        <w:t>Hovarter</w:t>
      </w:r>
      <w:proofErr w:type="spellEnd"/>
      <w:r>
        <w:t xml:space="preserve"> (2008) 44 Cal.4th 983, 1021.)  </w:t>
      </w:r>
      <w:r>
        <w:t>Pinpoint instructions are not warranted</w:t>
      </w:r>
      <w:r>
        <w:t>, however,</w:t>
      </w:r>
      <w:r>
        <w:t xml:space="preserve"> when</w:t>
      </w:r>
      <w:r>
        <w:t xml:space="preserve"> </w:t>
      </w:r>
      <w:r>
        <w:t xml:space="preserve">they are </w:t>
      </w:r>
      <w:r>
        <w:t>argumentative, such as when requested only to highlight particula</w:t>
      </w:r>
      <w:r>
        <w:t>r evidence.  (</w:t>
      </w:r>
      <w:r>
        <w:rPr>
          <w:i/>
        </w:rPr>
        <w:t>People v. </w:t>
      </w:r>
      <w:r>
        <w:rPr>
          <w:i/>
        </w:rPr>
        <w:t>Hughes</w:t>
      </w:r>
      <w:r w:rsidRPr="00D64D5F">
        <w:t>,</w:t>
      </w:r>
      <w:r>
        <w:rPr>
          <w:i/>
        </w:rPr>
        <w:t xml:space="preserve"> supra</w:t>
      </w:r>
      <w:r>
        <w:t>, 27 </w:t>
      </w:r>
      <w:r>
        <w:t>Cal.4th at p. 361.)</w:t>
      </w:r>
      <w:r>
        <w:t xml:space="preserve">  Pinpoint instructions may also be refused </w:t>
      </w:r>
      <w:r>
        <w:t>if, among other reasons, the proposed instruction</w:t>
      </w:r>
      <w:r>
        <w:t xml:space="preserve"> </w:t>
      </w:r>
      <w:r>
        <w:t xml:space="preserve">is duplicative.  </w:t>
      </w:r>
      <w:r>
        <w:t>(</w:t>
      </w:r>
      <w:r>
        <w:rPr>
          <w:i/>
        </w:rPr>
        <w:t xml:space="preserve">People v. </w:t>
      </w:r>
      <w:proofErr w:type="spellStart"/>
      <w:r>
        <w:rPr>
          <w:i/>
        </w:rPr>
        <w:t>Hovarter</w:t>
      </w:r>
      <w:proofErr w:type="spellEnd"/>
      <w:r>
        <w:t xml:space="preserve">, </w:t>
      </w:r>
      <w:r>
        <w:rPr>
          <w:i/>
        </w:rPr>
        <w:t>supra</w:t>
      </w:r>
      <w:r>
        <w:t>, 44 </w:t>
      </w:r>
      <w:r>
        <w:t>Cal.4th at p.</w:t>
      </w:r>
      <w:r>
        <w:t> </w:t>
      </w:r>
      <w:r>
        <w:t>1021.)</w:t>
      </w:r>
    </w:p>
    <w:p w:rsidR="004C59EA" w:rsidRPr="008A66DD" w:rsidRDefault="00EF4903" w:rsidP="00934D02">
      <w:pPr>
        <w:spacing w:line="480" w:lineRule="atLeast"/>
      </w:pPr>
      <w:r>
        <w:tab/>
      </w:r>
      <w:r>
        <w:t xml:space="preserve">Because Rangel’s proposed instruction would have been duplicative, </w:t>
      </w:r>
      <w:r>
        <w:t xml:space="preserve">we </w:t>
      </w:r>
      <w:r>
        <w:t>conclude the trial court did not err by denying Rangel’s request</w:t>
      </w:r>
      <w:r>
        <w:t xml:space="preserve">.  (See </w:t>
      </w:r>
      <w:r>
        <w:rPr>
          <w:i/>
        </w:rPr>
        <w:t xml:space="preserve">People v. </w:t>
      </w:r>
      <w:proofErr w:type="spellStart"/>
      <w:r>
        <w:rPr>
          <w:i/>
        </w:rPr>
        <w:t>Hovarter</w:t>
      </w:r>
      <w:proofErr w:type="spellEnd"/>
      <w:r>
        <w:t xml:space="preserve">, </w:t>
      </w:r>
      <w:r>
        <w:rPr>
          <w:i/>
        </w:rPr>
        <w:t>supra</w:t>
      </w:r>
      <w:r>
        <w:t>, 44 Cal.4th at p. 1021.)</w:t>
      </w:r>
      <w:r>
        <w:t xml:space="preserve">  </w:t>
      </w:r>
      <w:r>
        <w:t xml:space="preserve">The trial court </w:t>
      </w:r>
      <w:r>
        <w:t>correctly concluded</w:t>
      </w:r>
      <w:r>
        <w:t xml:space="preserve"> t</w:t>
      </w:r>
      <w:r>
        <w:t>hat the proposed instruct</w:t>
      </w:r>
      <w:r>
        <w:t>ion’s content was</w:t>
      </w:r>
      <w:r w:rsidRPr="00AE6ACF">
        <w:t xml:space="preserve"> </w:t>
      </w:r>
      <w:r>
        <w:t>adequately conveyed by</w:t>
      </w:r>
      <w:r>
        <w:t xml:space="preserve"> CALJIC Nos. 8.21 and 8.27.</w:t>
      </w:r>
      <w:r w:rsidRPr="00202C58">
        <w:t xml:space="preserve"> </w:t>
      </w:r>
      <w:r>
        <w:t xml:space="preserve"> The jury was instructed that a </w:t>
      </w:r>
      <w:r>
        <w:t>felony murder</w:t>
      </w:r>
      <w:r>
        <w:t xml:space="preserve"> conviction, either directly or under an aider and abettor theory, required as a predicate that Rangel committed robbery or attempted to do so.</w:t>
      </w:r>
      <w:r>
        <w:t xml:space="preserve">  The jury was also instructed that robbery </w:t>
      </w:r>
      <w:r>
        <w:t xml:space="preserve">required the specific intent to deprive the victim of property.  </w:t>
      </w:r>
      <w:r>
        <w:t xml:space="preserve">With the robbery and </w:t>
      </w:r>
      <w:r>
        <w:t>felony murder</w:t>
      </w:r>
      <w:r>
        <w:t xml:space="preserve"> instructions given, the jury was adequately instructed that Rangel must have possessed the intent to commit robb</w:t>
      </w:r>
      <w:r>
        <w:t xml:space="preserve">ery at the time of the killing to be guilty of </w:t>
      </w:r>
      <w:r>
        <w:t>felony murder</w:t>
      </w:r>
      <w:r>
        <w:t xml:space="preserve">, just as Rangel’s requested instruction would have conveyed.  </w:t>
      </w:r>
      <w:r>
        <w:t xml:space="preserve">Indeed, </w:t>
      </w:r>
      <w:r>
        <w:t>Rangel</w:t>
      </w:r>
      <w:r>
        <w:t>’s</w:t>
      </w:r>
      <w:r>
        <w:t xml:space="preserve"> </w:t>
      </w:r>
      <w:r>
        <w:t>requested instruction</w:t>
      </w:r>
      <w:r>
        <w:t xml:space="preserve"> expressly stated that </w:t>
      </w:r>
      <w:r>
        <w:t>first degree</w:t>
      </w:r>
      <w:r>
        <w:t xml:space="preserve"> </w:t>
      </w:r>
      <w:r>
        <w:t>felony murder</w:t>
      </w:r>
      <w:r>
        <w:t xml:space="preserve"> required proof “</w:t>
      </w:r>
      <w:r>
        <w:t>beyond a reasonable doubt tha</w:t>
      </w:r>
      <w:r>
        <w:t xml:space="preserve">t attempted robbery was done for the independent purpose of committing the felony rather than for the purpose of committing the homicide.”  </w:t>
      </w:r>
      <w:r>
        <w:t>The jury received precisely this instruction</w:t>
      </w:r>
      <w:r>
        <w:t>, albeit in slightly different language</w:t>
      </w:r>
      <w:r>
        <w:t>.</w:t>
      </w:r>
      <w:r>
        <w:t xml:space="preserve">  </w:t>
      </w:r>
      <w:r>
        <w:t>T</w:t>
      </w:r>
      <w:r>
        <w:t xml:space="preserve">he content </w:t>
      </w:r>
      <w:r>
        <w:t>of the instruction</w:t>
      </w:r>
      <w:r>
        <w:t xml:space="preserve"> </w:t>
      </w:r>
      <w:r>
        <w:t>was adequately conveyed to the jury, and no error flowed from the court’s decision</w:t>
      </w:r>
      <w:r>
        <w:t xml:space="preserve"> </w:t>
      </w:r>
      <w:r>
        <w:t xml:space="preserve">to decline </w:t>
      </w:r>
      <w:r>
        <w:t xml:space="preserve">Rangel’s request. </w:t>
      </w:r>
      <w:r>
        <w:t xml:space="preserve"> </w:t>
      </w:r>
      <w:r>
        <w:tab/>
      </w:r>
      <w:r>
        <w:t xml:space="preserve"> </w:t>
      </w:r>
    </w:p>
    <w:p w:rsidR="00F21A3E" w:rsidRPr="001246BE" w:rsidRDefault="00EF4903" w:rsidP="00F21A3E">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30" w:name="_Toc511210402"/>
      <w:r w:rsidRPr="001246BE">
        <w:rPr>
          <w:rFonts w:ascii="Times New Roman" w:hAnsi="Times New Roman"/>
        </w:rPr>
        <w:t>13.</w:t>
      </w:r>
      <w:r w:rsidRPr="001246BE">
        <w:rPr>
          <w:rFonts w:ascii="Times New Roman" w:hAnsi="Times New Roman"/>
        </w:rPr>
        <w:tab/>
        <w:t>Cumulative Guilt Phase Error</w:t>
      </w:r>
      <w:bookmarkEnd w:id="30"/>
      <w:r w:rsidRPr="001246BE">
        <w:rPr>
          <w:rFonts w:ascii="Times New Roman" w:hAnsi="Times New Roman"/>
        </w:rPr>
        <w:t xml:space="preserve"> </w:t>
      </w:r>
    </w:p>
    <w:p w:rsidR="00F21A3E" w:rsidRPr="00F21A3E" w:rsidRDefault="00EF4903" w:rsidP="004F218E">
      <w:pPr>
        <w:spacing w:line="480" w:lineRule="atLeast"/>
      </w:pPr>
      <w:r>
        <w:tab/>
      </w:r>
      <w:proofErr w:type="spellStart"/>
      <w:r>
        <w:t>Mora</w:t>
      </w:r>
      <w:proofErr w:type="spellEnd"/>
      <w:r>
        <w:t xml:space="preserve"> and </w:t>
      </w:r>
      <w:r>
        <w:t xml:space="preserve">Rangel contend reversal is warranted because of the cumulatively prejudicial effect of guilt </w:t>
      </w:r>
      <w:r>
        <w:t>phase errors.  To the extent any errors occurred, none we</w:t>
      </w:r>
      <w:r>
        <w:t xml:space="preserve">re prejudicial.  </w:t>
      </w:r>
      <w:r>
        <w:t>We</w:t>
      </w:r>
      <w:r>
        <w:t xml:space="preserve"> conclude</w:t>
      </w:r>
      <w:r>
        <w:t xml:space="preserve"> no error</w:t>
      </w:r>
      <w:r>
        <w:t xml:space="preserve"> in the guilt phase</w:t>
      </w:r>
      <w:r>
        <w:t xml:space="preserve">, whether considered </w:t>
      </w:r>
      <w:r>
        <w:t>singly or cumulatively,</w:t>
      </w:r>
      <w:r>
        <w:t xml:space="preserve"> </w:t>
      </w:r>
      <w:r>
        <w:t>merits</w:t>
      </w:r>
      <w:r>
        <w:t xml:space="preserve"> reversal.</w:t>
      </w:r>
      <w:r>
        <w:t xml:space="preserve">  (See </w:t>
      </w:r>
      <w:r>
        <w:rPr>
          <w:i/>
        </w:rPr>
        <w:t>People v. Souza</w:t>
      </w:r>
      <w:r>
        <w:t xml:space="preserve"> (2012) 54 </w:t>
      </w:r>
      <w:r>
        <w:t xml:space="preserve">Cal.4th 90, 139 [a few </w:t>
      </w:r>
      <w:proofErr w:type="spellStart"/>
      <w:r>
        <w:t>non</w:t>
      </w:r>
      <w:r>
        <w:t>prejudicial</w:t>
      </w:r>
      <w:proofErr w:type="spellEnd"/>
      <w:r>
        <w:t xml:space="preserve"> </w:t>
      </w:r>
      <w:r>
        <w:t>instructional errors do not warrant reversal on cumulative error claim].)</w:t>
      </w:r>
    </w:p>
    <w:p w:rsidR="0078340F" w:rsidRPr="0078340F" w:rsidRDefault="00EF4903" w:rsidP="0078340F">
      <w:pPr>
        <w:pStyle w:val="Heading2"/>
        <w:rPr>
          <w:b w:val="0"/>
          <w:i w:val="0"/>
        </w:rPr>
      </w:pPr>
      <w:r w:rsidRPr="001246BE">
        <w:rPr>
          <w:rFonts w:ascii="Times New Roman" w:hAnsi="Times New Roman"/>
          <w:sz w:val="26"/>
          <w:szCs w:val="26"/>
        </w:rPr>
        <w:tab/>
      </w:r>
      <w:bookmarkStart w:id="31" w:name="_Toc511210403"/>
      <w:r w:rsidRPr="001246BE">
        <w:rPr>
          <w:rFonts w:ascii="Times New Roman" w:hAnsi="Times New Roman"/>
          <w:b w:val="0"/>
          <w:i w:val="0"/>
          <w:sz w:val="26"/>
          <w:szCs w:val="26"/>
        </w:rPr>
        <w:t>B.</w:t>
      </w:r>
      <w:r w:rsidRPr="001246BE">
        <w:rPr>
          <w:rFonts w:ascii="Times New Roman" w:hAnsi="Times New Roman"/>
          <w:b w:val="0"/>
          <w:i w:val="0"/>
          <w:sz w:val="26"/>
          <w:szCs w:val="26"/>
        </w:rPr>
        <w:tab/>
        <w:t>Penalty Phase</w:t>
      </w:r>
      <w:bookmarkEnd w:id="31"/>
      <w:r w:rsidRPr="0078340F">
        <w:rPr>
          <w:b w:val="0"/>
          <w:i w:val="0"/>
        </w:rPr>
        <w:tab/>
      </w:r>
    </w:p>
    <w:p w:rsidR="0078340F" w:rsidRPr="001246BE" w:rsidRDefault="00EF4903" w:rsidP="00EB42F1">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32" w:name="_Toc511210404"/>
      <w:r w:rsidRPr="001246BE">
        <w:rPr>
          <w:rFonts w:ascii="Times New Roman" w:hAnsi="Times New Roman"/>
        </w:rPr>
        <w:t>1.</w:t>
      </w:r>
      <w:r w:rsidRPr="001246BE">
        <w:rPr>
          <w:rFonts w:ascii="Times New Roman" w:hAnsi="Times New Roman"/>
        </w:rPr>
        <w:tab/>
        <w:t>Gang Evidence</w:t>
      </w:r>
      <w:bookmarkEnd w:id="32"/>
      <w:r w:rsidRPr="001246BE">
        <w:rPr>
          <w:rFonts w:ascii="Times New Roman" w:hAnsi="Times New Roman"/>
        </w:rPr>
        <w:t xml:space="preserve"> </w:t>
      </w:r>
    </w:p>
    <w:p w:rsidR="00EB42F1" w:rsidRPr="00EB42F1" w:rsidRDefault="00EF4903" w:rsidP="00175F9C">
      <w:pPr>
        <w:spacing w:line="480" w:lineRule="atLeast"/>
      </w:pPr>
      <w:r>
        <w:tab/>
      </w:r>
      <w:proofErr w:type="spellStart"/>
      <w:r>
        <w:t>Mora</w:t>
      </w:r>
      <w:proofErr w:type="spellEnd"/>
      <w:r>
        <w:t xml:space="preserve"> and Rangel argue that introduction of evidence concerning their membership or participation in a criminal street gang at the penalty phas</w:t>
      </w:r>
      <w:r>
        <w:t>e of their trial</w:t>
      </w:r>
      <w:r>
        <w:t xml:space="preserve"> constituted error in</w:t>
      </w:r>
      <w:r>
        <w:t xml:space="preserve"> violat</w:t>
      </w:r>
      <w:r>
        <w:t>ion of</w:t>
      </w:r>
      <w:r>
        <w:t xml:space="preserve"> their state and federal constitutional rights.</w:t>
      </w:r>
      <w:r>
        <w:t xml:space="preserve">  </w:t>
      </w:r>
      <w:r>
        <w:t>We hold</w:t>
      </w:r>
      <w:r>
        <w:t xml:space="preserve"> the trial court did not abuse its discretion in </w:t>
      </w:r>
      <w:r>
        <w:t>permitting limited introduction of</w:t>
      </w:r>
      <w:r>
        <w:t xml:space="preserve"> </w:t>
      </w:r>
      <w:r>
        <w:t xml:space="preserve">gang affiliation </w:t>
      </w:r>
      <w:r>
        <w:t>evidence.</w:t>
      </w:r>
    </w:p>
    <w:p w:rsidR="0076539C" w:rsidRPr="0076539C" w:rsidRDefault="00EF4903" w:rsidP="0076539C">
      <w:pPr>
        <w:pStyle w:val="Heading4"/>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 xml:space="preserve">a. </w:t>
      </w:r>
      <w:r w:rsidRPr="001246BE">
        <w:rPr>
          <w:rFonts w:ascii="Times New Roman" w:hAnsi="Times New Roman"/>
          <w:b w:val="0"/>
          <w:i w:val="0"/>
          <w:color w:val="auto"/>
        </w:rPr>
        <w:tab/>
      </w:r>
      <w:r w:rsidRPr="001246BE">
        <w:rPr>
          <w:rFonts w:ascii="Times New Roman" w:hAnsi="Times New Roman"/>
          <w:b w:val="0"/>
          <w:color w:val="auto"/>
        </w:rPr>
        <w:t>Background</w:t>
      </w:r>
    </w:p>
    <w:p w:rsidR="0076539C" w:rsidRDefault="00EF4903" w:rsidP="0076539C">
      <w:pPr>
        <w:spacing w:line="480" w:lineRule="atLeast"/>
      </w:pPr>
      <w:r w:rsidRPr="001246BE">
        <w:tab/>
      </w:r>
      <w:r>
        <w:t>The prosecutor</w:t>
      </w:r>
      <w:r>
        <w:t xml:space="preserve"> </w:t>
      </w:r>
      <w:r>
        <w:t xml:space="preserve">asserted at the outset of trial that no gang evidence was anticipated.  Specifically, </w:t>
      </w:r>
      <w:r>
        <w:t xml:space="preserve">before </w:t>
      </w:r>
      <w:r>
        <w:t xml:space="preserve">the court conducted </w:t>
      </w:r>
      <w:r>
        <w:t>voir dire, the prosecutor was asked whether there was “any gang evidence that you will elicit in this case,” to which the prosecutor replied, “</w:t>
      </w:r>
      <w:r>
        <w:t>not that I know of.”</w:t>
      </w:r>
      <w:r>
        <w:t xml:space="preserve"> </w:t>
      </w:r>
      <w:r>
        <w:t xml:space="preserve"> </w:t>
      </w:r>
      <w:r>
        <w:t xml:space="preserve">Because no evidence was </w:t>
      </w:r>
      <w:r>
        <w:t xml:space="preserve">expected </w:t>
      </w:r>
      <w:r>
        <w:t xml:space="preserve">to be adduced concerning gang affiliation, defense counsel </w:t>
      </w:r>
      <w:r>
        <w:t>decided against conducting</w:t>
      </w:r>
      <w:r>
        <w:t xml:space="preserve"> voir dire </w:t>
      </w:r>
      <w:r>
        <w:t xml:space="preserve">of </w:t>
      </w:r>
      <w:r>
        <w:t>potential jurors regarding their views</w:t>
      </w:r>
      <w:r>
        <w:t xml:space="preserve"> on gangs or gang membership</w:t>
      </w:r>
      <w:r>
        <w:t xml:space="preserve">. </w:t>
      </w:r>
      <w:r>
        <w:t xml:space="preserve"> </w:t>
      </w:r>
      <w:r>
        <w:t>Immediately prior to presenting h</w:t>
      </w:r>
      <w:r>
        <w:t xml:space="preserve">er first witness, the prosecutor was again asked whether she planned to elicit testimony regarding defendants’ gang affiliation.  The prosecutor indicated she had no intent of so doing.  </w:t>
      </w:r>
      <w:r>
        <w:t xml:space="preserve">Witnesses were admonished not to mention </w:t>
      </w:r>
      <w:proofErr w:type="spellStart"/>
      <w:r>
        <w:t>Mora</w:t>
      </w:r>
      <w:proofErr w:type="spellEnd"/>
      <w:r>
        <w:t xml:space="preserve"> or Rangel’s gang affili</w:t>
      </w:r>
      <w:r>
        <w:t xml:space="preserve">ation.  </w:t>
      </w:r>
      <w:r>
        <w:t>The court stated it had no “</w:t>
      </w:r>
      <w:r>
        <w:t>problem excluding gang [evidence]</w:t>
      </w:r>
      <w:r>
        <w:t xml:space="preserve"> but if it looks like we can’t go any other way, then I ask that we approach.”  The parties ag</w:t>
      </w:r>
      <w:r>
        <w:t xml:space="preserve">reed, </w:t>
      </w:r>
      <w:r>
        <w:t>even though</w:t>
      </w:r>
      <w:r>
        <w:t xml:space="preserve"> no such discussion was required until the penalty phase.  At that time, the</w:t>
      </w:r>
      <w:r>
        <w:t xml:space="preserve"> court and parties held a brief colloquy to address the admissibility of gang evidence as to Rangel, and the court ruled the evidence admissible.</w:t>
      </w:r>
    </w:p>
    <w:p w:rsidR="00175F9C" w:rsidRDefault="00EF4903" w:rsidP="008B2196">
      <w:pPr>
        <w:pStyle w:val="Heading5"/>
      </w:pP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1</w:t>
      </w:r>
      <w:r w:rsidRPr="001246BE">
        <w:rPr>
          <w:rFonts w:ascii="Times New Roman" w:hAnsi="Times New Roman"/>
          <w:color w:val="auto"/>
        </w:rPr>
        <w:t>.</w:t>
      </w:r>
      <w:r w:rsidRPr="001246BE">
        <w:rPr>
          <w:rFonts w:ascii="Times New Roman" w:hAnsi="Times New Roman"/>
          <w:color w:val="auto"/>
        </w:rPr>
        <w:tab/>
      </w:r>
      <w:proofErr w:type="spellStart"/>
      <w:r w:rsidRPr="001246BE">
        <w:rPr>
          <w:rFonts w:ascii="Times New Roman" w:hAnsi="Times New Roman"/>
          <w:color w:val="auto"/>
        </w:rPr>
        <w:t>Mora</w:t>
      </w:r>
      <w:proofErr w:type="spellEnd"/>
    </w:p>
    <w:p w:rsidR="00273BD7" w:rsidRDefault="00EF4903" w:rsidP="008B2196">
      <w:pPr>
        <w:spacing w:line="480" w:lineRule="atLeast"/>
      </w:pPr>
      <w:r>
        <w:tab/>
        <w:t xml:space="preserve">At the penalty phase, the prosecutor stated her intent to present evidence that </w:t>
      </w:r>
      <w:proofErr w:type="spellStart"/>
      <w:r>
        <w:t>Mora</w:t>
      </w:r>
      <w:proofErr w:type="spellEnd"/>
      <w:r>
        <w:t xml:space="preserve"> was involved</w:t>
      </w:r>
      <w:r>
        <w:t xml:space="preserve"> in an assault in county jail in 1996</w:t>
      </w:r>
      <w:r>
        <w:t xml:space="preserve">, where he was incarcerated </w:t>
      </w:r>
      <w:r>
        <w:t>for a Vehicle C</w:t>
      </w:r>
      <w:r>
        <w:t xml:space="preserve">ode infraction </w:t>
      </w:r>
      <w:r>
        <w:t xml:space="preserve">two years prior to the penalty phase of </w:t>
      </w:r>
      <w:r>
        <w:t>this</w:t>
      </w:r>
      <w:r>
        <w:t xml:space="preserve"> trial</w:t>
      </w:r>
      <w:r>
        <w:t>.</w:t>
      </w:r>
      <w:r>
        <w:t xml:space="preserve">  </w:t>
      </w:r>
      <w:proofErr w:type="spellStart"/>
      <w:r>
        <w:t>Mora</w:t>
      </w:r>
      <w:proofErr w:type="spellEnd"/>
      <w:r>
        <w:t xml:space="preserve"> </w:t>
      </w:r>
      <w:r>
        <w:t xml:space="preserve">requested that no mention of gang activity be made concerning </w:t>
      </w:r>
      <w:proofErr w:type="spellStart"/>
      <w:r>
        <w:t>Mora</w:t>
      </w:r>
      <w:proofErr w:type="spellEnd"/>
      <w:r>
        <w:t xml:space="preserve"> during the penalty phase.  After con</w:t>
      </w:r>
      <w:r>
        <w:t xml:space="preserve">firming with the prosecutor that no such evidence was </w:t>
      </w:r>
      <w:r>
        <w:t>expected</w:t>
      </w:r>
      <w:r>
        <w:t xml:space="preserve">, the court stated there would be “no gang evidence as it relates to Mr. </w:t>
      </w:r>
      <w:proofErr w:type="spellStart"/>
      <w:r>
        <w:t>Mora</w:t>
      </w:r>
      <w:proofErr w:type="spellEnd"/>
      <w:r>
        <w:t xml:space="preserve">.”  </w:t>
      </w:r>
    </w:p>
    <w:p w:rsidR="00E16F0E" w:rsidRDefault="00EF4903" w:rsidP="008B2196">
      <w:pPr>
        <w:spacing w:line="480" w:lineRule="atLeast"/>
      </w:pPr>
      <w:r>
        <w:tab/>
      </w:r>
      <w:r>
        <w:t xml:space="preserve">In 1996, Paul </w:t>
      </w:r>
      <w:proofErr w:type="spellStart"/>
      <w:r>
        <w:t>Juhn</w:t>
      </w:r>
      <w:proofErr w:type="spellEnd"/>
      <w:r>
        <w:t xml:space="preserve">, an inmate in county jail, was assaulted by four or five fellow inmates.  </w:t>
      </w:r>
      <w:proofErr w:type="spellStart"/>
      <w:r>
        <w:t>Juhn</w:t>
      </w:r>
      <w:proofErr w:type="spellEnd"/>
      <w:r>
        <w:t xml:space="preserve"> identified the assailants immediately </w:t>
      </w:r>
      <w:r>
        <w:t xml:space="preserve">following the attack, but was no longer able to make identifications at the time of </w:t>
      </w:r>
      <w:proofErr w:type="spellStart"/>
      <w:r>
        <w:t>Mora’s</w:t>
      </w:r>
      <w:proofErr w:type="spellEnd"/>
      <w:r>
        <w:t xml:space="preserve"> trial.  Accordingly, Deputy S</w:t>
      </w:r>
      <w:r>
        <w:t xml:space="preserve">heriff </w:t>
      </w:r>
      <w:proofErr w:type="spellStart"/>
      <w:r>
        <w:t>Kresimir</w:t>
      </w:r>
      <w:proofErr w:type="spellEnd"/>
      <w:r>
        <w:t xml:space="preserve"> </w:t>
      </w:r>
      <w:proofErr w:type="spellStart"/>
      <w:r>
        <w:t>Kovac</w:t>
      </w:r>
      <w:proofErr w:type="spellEnd"/>
      <w:r>
        <w:t xml:space="preserve">, who was with </w:t>
      </w:r>
      <w:proofErr w:type="spellStart"/>
      <w:r>
        <w:t>Juhn</w:t>
      </w:r>
      <w:proofErr w:type="spellEnd"/>
      <w:r>
        <w:t xml:space="preserve"> when he identified his assailants, testified that </w:t>
      </w:r>
      <w:r>
        <w:t>the incident</w:t>
      </w:r>
      <w:r>
        <w:t xml:space="preserve"> report indicated </w:t>
      </w:r>
      <w:proofErr w:type="spellStart"/>
      <w:r>
        <w:t>Mora</w:t>
      </w:r>
      <w:proofErr w:type="spellEnd"/>
      <w:r>
        <w:t xml:space="preserve"> was one of those who </w:t>
      </w:r>
      <w:proofErr w:type="spellStart"/>
      <w:r>
        <w:t>Juhn</w:t>
      </w:r>
      <w:proofErr w:type="spellEnd"/>
      <w:r>
        <w:t xml:space="preserve"> identified.  </w:t>
      </w:r>
      <w:proofErr w:type="spellStart"/>
      <w:r>
        <w:t>Kovac’s</w:t>
      </w:r>
      <w:proofErr w:type="spellEnd"/>
      <w:r>
        <w:t xml:space="preserve"> report </w:t>
      </w:r>
      <w:r>
        <w:t>noted that</w:t>
      </w:r>
      <w:r>
        <w:t xml:space="preserve"> </w:t>
      </w:r>
      <w:proofErr w:type="spellStart"/>
      <w:r>
        <w:t>Mora</w:t>
      </w:r>
      <w:proofErr w:type="spellEnd"/>
      <w:r>
        <w:t xml:space="preserve"> </w:t>
      </w:r>
      <w:r>
        <w:t xml:space="preserve">had </w:t>
      </w:r>
      <w:r>
        <w:t xml:space="preserve">a tattoo on his chest that said “King City Criminals.”  </w:t>
      </w:r>
      <w:r>
        <w:t xml:space="preserve">The </w:t>
      </w:r>
      <w:r>
        <w:t>parties and court agreed</w:t>
      </w:r>
      <w:r>
        <w:t xml:space="preserve"> that </w:t>
      </w:r>
      <w:proofErr w:type="spellStart"/>
      <w:r>
        <w:t>Kovac</w:t>
      </w:r>
      <w:proofErr w:type="spellEnd"/>
      <w:r>
        <w:t xml:space="preserve"> </w:t>
      </w:r>
      <w:r>
        <w:t xml:space="preserve">could </w:t>
      </w:r>
      <w:r>
        <w:t xml:space="preserve">identify </w:t>
      </w:r>
      <w:proofErr w:type="spellStart"/>
      <w:r>
        <w:t>Mora</w:t>
      </w:r>
      <w:proofErr w:type="spellEnd"/>
      <w:r>
        <w:t xml:space="preserve"> by this tattoo in court if </w:t>
      </w:r>
      <w:proofErr w:type="spellStart"/>
      <w:r>
        <w:t>Kovac</w:t>
      </w:r>
      <w:proofErr w:type="spellEnd"/>
      <w:r>
        <w:t xml:space="preserve"> was unable to visually identify him.  </w:t>
      </w:r>
      <w:proofErr w:type="spellStart"/>
      <w:r>
        <w:t>Mora</w:t>
      </w:r>
      <w:proofErr w:type="spellEnd"/>
      <w:r>
        <w:t xml:space="preserve"> </w:t>
      </w:r>
      <w:r>
        <w:t xml:space="preserve">initially </w:t>
      </w:r>
      <w:r>
        <w:t xml:space="preserve">objected </w:t>
      </w:r>
      <w:r>
        <w:t xml:space="preserve">to an identification via </w:t>
      </w:r>
      <w:r>
        <w:t>his</w:t>
      </w:r>
      <w:r>
        <w:t xml:space="preserve"> tattoo, </w:t>
      </w:r>
      <w:r>
        <w:t xml:space="preserve">and offered to stipulate that </w:t>
      </w:r>
      <w:proofErr w:type="spellStart"/>
      <w:r>
        <w:t>Kovac</w:t>
      </w:r>
      <w:proofErr w:type="spellEnd"/>
      <w:r>
        <w:t xml:space="preserve"> </w:t>
      </w:r>
      <w:r>
        <w:t>contacted</w:t>
      </w:r>
      <w:r>
        <w:t xml:space="preserve"> </w:t>
      </w:r>
      <w:proofErr w:type="spellStart"/>
      <w:r>
        <w:t>Mora</w:t>
      </w:r>
      <w:proofErr w:type="spellEnd"/>
      <w:r>
        <w:t xml:space="preserve"> in connection</w:t>
      </w:r>
      <w:r>
        <w:t xml:space="preserve"> with </w:t>
      </w:r>
      <w:proofErr w:type="spellStart"/>
      <w:r>
        <w:t>Juhn’s</w:t>
      </w:r>
      <w:proofErr w:type="spellEnd"/>
      <w:r>
        <w:t xml:space="preserve"> assault.  The prosecutor declined the stipulation, and the court ruled that if </w:t>
      </w:r>
      <w:proofErr w:type="spellStart"/>
      <w:r>
        <w:t>Kovac</w:t>
      </w:r>
      <w:proofErr w:type="spellEnd"/>
      <w:r>
        <w:t xml:space="preserve"> could not identify </w:t>
      </w:r>
      <w:proofErr w:type="spellStart"/>
      <w:r>
        <w:t>Mora</w:t>
      </w:r>
      <w:proofErr w:type="spellEnd"/>
      <w:r>
        <w:t xml:space="preserve">, </w:t>
      </w:r>
      <w:proofErr w:type="spellStart"/>
      <w:r>
        <w:t>Kovac</w:t>
      </w:r>
      <w:proofErr w:type="spellEnd"/>
      <w:r>
        <w:t xml:space="preserve"> could view </w:t>
      </w:r>
      <w:proofErr w:type="spellStart"/>
      <w:r>
        <w:t>Mora’s</w:t>
      </w:r>
      <w:proofErr w:type="spellEnd"/>
      <w:r>
        <w:t xml:space="preserve"> tattoo out of the presence of the jury and identify him in that fashion without informing the jury regarding </w:t>
      </w:r>
      <w:r>
        <w:t xml:space="preserve">the subject of the tattoo.  </w:t>
      </w:r>
      <w:r>
        <w:t xml:space="preserve">  </w:t>
      </w:r>
    </w:p>
    <w:p w:rsidR="004F53C9" w:rsidRDefault="00EF4903" w:rsidP="008B2196">
      <w:pPr>
        <w:spacing w:line="480" w:lineRule="atLeast"/>
      </w:pPr>
      <w:r>
        <w:tab/>
      </w:r>
      <w:proofErr w:type="spellStart"/>
      <w:r>
        <w:t>Kovac</w:t>
      </w:r>
      <w:proofErr w:type="spellEnd"/>
      <w:r>
        <w:t xml:space="preserve"> could not identify </w:t>
      </w:r>
      <w:proofErr w:type="spellStart"/>
      <w:r>
        <w:t>Mora</w:t>
      </w:r>
      <w:proofErr w:type="spellEnd"/>
      <w:r>
        <w:t xml:space="preserve">, but testified that the incident report named </w:t>
      </w:r>
      <w:proofErr w:type="spellStart"/>
      <w:r>
        <w:t>Mora</w:t>
      </w:r>
      <w:proofErr w:type="spellEnd"/>
      <w:r>
        <w:t xml:space="preserve"> and listed information about </w:t>
      </w:r>
      <w:proofErr w:type="spellStart"/>
      <w:r>
        <w:t>Mora’s</w:t>
      </w:r>
      <w:proofErr w:type="spellEnd"/>
      <w:r>
        <w:t xml:space="preserve"> chest tattoo.</w:t>
      </w:r>
      <w:r>
        <w:t xml:space="preserve">  </w:t>
      </w:r>
      <w:r>
        <w:t>After</w:t>
      </w:r>
      <w:r>
        <w:t xml:space="preserve"> </w:t>
      </w:r>
      <w:r>
        <w:t>view</w:t>
      </w:r>
      <w:r>
        <w:t>ing</w:t>
      </w:r>
      <w:r>
        <w:t xml:space="preserve"> </w:t>
      </w:r>
      <w:proofErr w:type="spellStart"/>
      <w:r>
        <w:t>Mora’s</w:t>
      </w:r>
      <w:proofErr w:type="spellEnd"/>
      <w:r>
        <w:t xml:space="preserve"> tattoo o</w:t>
      </w:r>
      <w:r>
        <w:t xml:space="preserve">ut of the presence of the jury, </w:t>
      </w:r>
      <w:proofErr w:type="spellStart"/>
      <w:r>
        <w:t>Kovac</w:t>
      </w:r>
      <w:proofErr w:type="spellEnd"/>
      <w:r>
        <w:t xml:space="preserve"> </w:t>
      </w:r>
      <w:r>
        <w:t xml:space="preserve">testified that </w:t>
      </w:r>
      <w:proofErr w:type="spellStart"/>
      <w:r>
        <w:t>Mora</w:t>
      </w:r>
      <w:proofErr w:type="spellEnd"/>
      <w:r>
        <w:t xml:space="preserve"> had t</w:t>
      </w:r>
      <w:r>
        <w:t xml:space="preserve">he same three-word phrase tattooed on his chest as </w:t>
      </w:r>
      <w:r>
        <w:t>was written in the incident report</w:t>
      </w:r>
      <w:r>
        <w:t xml:space="preserve">.  </w:t>
      </w:r>
      <w:r>
        <w:t xml:space="preserve">The court precluded </w:t>
      </w:r>
      <w:proofErr w:type="spellStart"/>
      <w:r>
        <w:t>Kovac</w:t>
      </w:r>
      <w:proofErr w:type="spellEnd"/>
      <w:r>
        <w:t xml:space="preserve"> from telling the jury what the three words were, ruling that the prejudicial effect of that evidence outweighed its probative value.  </w:t>
      </w:r>
      <w:proofErr w:type="spellStart"/>
      <w:r>
        <w:t>Kovac</w:t>
      </w:r>
      <w:proofErr w:type="spellEnd"/>
      <w:r>
        <w:t xml:space="preserve"> te</w:t>
      </w:r>
      <w:r>
        <w:t>stified that when identifying suspects in reports, he typically note</w:t>
      </w:r>
      <w:r>
        <w:t>d</w:t>
      </w:r>
      <w:r>
        <w:t xml:space="preserve"> information regarding</w:t>
      </w:r>
      <w:r>
        <w:t xml:space="preserve"> unique identifiers like</w:t>
      </w:r>
      <w:r>
        <w:t xml:space="preserve"> tattoos, including ones “that show[] a gang name, gang affiliation, anything like that.”</w:t>
      </w:r>
      <w:r>
        <w:t xml:space="preserve">  </w:t>
      </w:r>
      <w:r>
        <w:t xml:space="preserve">No objections followed this testimony.  </w:t>
      </w:r>
    </w:p>
    <w:p w:rsidR="009F5673" w:rsidRPr="00175F9C" w:rsidRDefault="00EF4903" w:rsidP="008B2196">
      <w:pPr>
        <w:spacing w:line="480" w:lineRule="atLeast"/>
      </w:pPr>
      <w:r>
        <w:tab/>
        <w:t>L</w:t>
      </w:r>
      <w:r>
        <w:t xml:space="preserve">ater in the proceedings, </w:t>
      </w:r>
      <w:proofErr w:type="spellStart"/>
      <w:r>
        <w:t>Mora</w:t>
      </w:r>
      <w:proofErr w:type="spellEnd"/>
      <w:r>
        <w:t xml:space="preserve"> </w:t>
      </w:r>
      <w:r>
        <w:t xml:space="preserve">requested that the prosecutor refrain from making references in closing that </w:t>
      </w:r>
      <w:proofErr w:type="spellStart"/>
      <w:r>
        <w:t>Kovac</w:t>
      </w:r>
      <w:proofErr w:type="spellEnd"/>
      <w:r>
        <w:t xml:space="preserve"> testified that </w:t>
      </w:r>
      <w:proofErr w:type="spellStart"/>
      <w:r>
        <w:t>Mora</w:t>
      </w:r>
      <w:proofErr w:type="spellEnd"/>
      <w:r>
        <w:t xml:space="preserve"> had a gang tattoo or that </w:t>
      </w:r>
      <w:proofErr w:type="spellStart"/>
      <w:r>
        <w:t>Kovac</w:t>
      </w:r>
      <w:proofErr w:type="spellEnd"/>
      <w:r>
        <w:t xml:space="preserve"> was looking for a gang tattoo.  The court readily agreed, explaining “there can’t be” closi</w:t>
      </w:r>
      <w:r>
        <w:t xml:space="preserve">ng argument along those lines because “[t]here is no evidence to support that.”  </w:t>
      </w:r>
    </w:p>
    <w:p w:rsidR="00EB42F1" w:rsidRPr="001246BE" w:rsidRDefault="00EF4903">
      <w:pPr>
        <w:pStyle w:val="Heading5"/>
        <w:rPr>
          <w:rFonts w:ascii="Times New Roman" w:hAnsi="Times New Roman"/>
          <w:color w:val="auto"/>
        </w:rPr>
      </w:pP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ab/>
      </w:r>
      <w:r w:rsidRPr="001246BE">
        <w:rPr>
          <w:rFonts w:ascii="Times New Roman" w:hAnsi="Times New Roman"/>
          <w:color w:val="auto"/>
        </w:rPr>
        <w:t>2</w:t>
      </w:r>
      <w:r w:rsidRPr="001246BE">
        <w:rPr>
          <w:rFonts w:ascii="Times New Roman" w:hAnsi="Times New Roman"/>
          <w:color w:val="auto"/>
        </w:rPr>
        <w:t xml:space="preserve">. </w:t>
      </w:r>
      <w:r w:rsidRPr="001246BE">
        <w:rPr>
          <w:rFonts w:ascii="Times New Roman" w:hAnsi="Times New Roman"/>
          <w:color w:val="auto"/>
        </w:rPr>
        <w:tab/>
        <w:t>Rangel</w:t>
      </w:r>
    </w:p>
    <w:p w:rsidR="00C31296" w:rsidRDefault="00EF4903" w:rsidP="00C82739">
      <w:pPr>
        <w:spacing w:line="480" w:lineRule="atLeast"/>
      </w:pPr>
      <w:r>
        <w:tab/>
        <w:t>In aggravation at th</w:t>
      </w:r>
      <w:r>
        <w:t>e penalty phase, the prosecutor</w:t>
      </w:r>
      <w:r>
        <w:t xml:space="preserve"> stated her intent to present </w:t>
      </w:r>
      <w:r>
        <w:t>evidence that Rangel suffered a felony</w:t>
      </w:r>
      <w:r>
        <w:t xml:space="preserve"> automobile burglary conviction.  </w:t>
      </w:r>
      <w:r>
        <w:t xml:space="preserve">Over </w:t>
      </w:r>
      <w:r>
        <w:t xml:space="preserve">defense’s inaccurate </w:t>
      </w:r>
      <w:r>
        <w:t>objection</w:t>
      </w:r>
      <w:r>
        <w:t xml:space="preserve"> that the conviction was actually a misdemeanor</w:t>
      </w:r>
      <w:r>
        <w:t>, the evidence wa</w:t>
      </w:r>
      <w:r>
        <w:t xml:space="preserve">s ruled admissible.  </w:t>
      </w:r>
      <w:r>
        <w:t>Specifically, the prosecution intended to</w:t>
      </w:r>
      <w:r>
        <w:t xml:space="preserve"> </w:t>
      </w:r>
      <w:r>
        <w:t>—</w:t>
      </w:r>
      <w:r>
        <w:t xml:space="preserve"> </w:t>
      </w:r>
      <w:r>
        <w:t>and did</w:t>
      </w:r>
      <w:r>
        <w:t xml:space="preserve"> </w:t>
      </w:r>
      <w:r>
        <w:t>—</w:t>
      </w:r>
      <w:r>
        <w:t xml:space="preserve"> </w:t>
      </w:r>
      <w:r>
        <w:t>adduce evidence that Rangel spray-painted the letters “KCC” on the top of a car and</w:t>
      </w:r>
      <w:r>
        <w:t>, wh</w:t>
      </w:r>
      <w:r>
        <w:t xml:space="preserve">en confronted by the vehicle’s owner, Rangel </w:t>
      </w:r>
      <w:r>
        <w:t xml:space="preserve">threatened to kill the </w:t>
      </w:r>
      <w:r>
        <w:t>owner</w:t>
      </w:r>
      <w:r>
        <w:t xml:space="preserve"> </w:t>
      </w:r>
      <w:r>
        <w:t>if he went to the police.</w:t>
      </w:r>
      <w:r>
        <w:t xml:space="preserve">  </w:t>
      </w:r>
      <w:r>
        <w:t>T</w:t>
      </w:r>
      <w:r>
        <w:t>he prosecutor introduce</w:t>
      </w:r>
      <w:r>
        <w:t>d</w:t>
      </w:r>
      <w:r>
        <w:t xml:space="preserve"> evidence that “KCC” stood for “King City Criminals,” a street gang, and Rangel’s threat to the burglary victim was heightened in </w:t>
      </w:r>
      <w:r>
        <w:t xml:space="preserve">light of Rangel’s gang affiliation.  </w:t>
      </w:r>
      <w:r>
        <w:t xml:space="preserve">The vehicle owner testified that after Rangel spray painted “KCC” on the top of his car and threatened to kill him, </w:t>
      </w:r>
      <w:r>
        <w:t>the owner</w:t>
      </w:r>
      <w:r>
        <w:t xml:space="preserve"> made it a point to move</w:t>
      </w:r>
      <w:r>
        <w:t xml:space="preserve"> to a new home</w:t>
      </w:r>
      <w:r>
        <w:t xml:space="preserve"> before Rangel was released from jail</w:t>
      </w:r>
      <w:r>
        <w:t xml:space="preserve">.  </w:t>
      </w:r>
    </w:p>
    <w:p w:rsidR="006C6A7B" w:rsidRDefault="00EF4903" w:rsidP="00C82739">
      <w:pPr>
        <w:spacing w:line="480" w:lineRule="atLeast"/>
      </w:pPr>
      <w:r>
        <w:tab/>
        <w:t>During the mit</w:t>
      </w:r>
      <w:r>
        <w:t xml:space="preserve">igation phase, Rangel presented testimony from Jose Jimenez, an acquaintance of Rangel’s via </w:t>
      </w:r>
      <w:r>
        <w:t xml:space="preserve">a </w:t>
      </w:r>
      <w:r>
        <w:t xml:space="preserve">Bible study group, who testified that the murder charge seemed out of character for Rangel.  </w:t>
      </w:r>
      <w:r>
        <w:t xml:space="preserve">The prosecutor argued, and the court agreed, </w:t>
      </w:r>
      <w:r>
        <w:t>that this testimony ope</w:t>
      </w:r>
      <w:r>
        <w:t xml:space="preserve">ned the door to permit inquiry as to whether Rangel’s gang membership was consistent with Rangel’s character in </w:t>
      </w:r>
      <w:r>
        <w:t>Jose</w:t>
      </w:r>
      <w:r>
        <w:t>’s</w:t>
      </w:r>
      <w:r>
        <w:t xml:space="preserve"> </w:t>
      </w:r>
      <w:r>
        <w:t xml:space="preserve">opinion.  </w:t>
      </w:r>
      <w:r>
        <w:t xml:space="preserve">The prosecutor asked </w:t>
      </w:r>
      <w:r>
        <w:t>Jose</w:t>
      </w:r>
      <w:r>
        <w:t xml:space="preserve"> if he knew Rangel was a gang member, and </w:t>
      </w:r>
      <w:r>
        <w:t>Jose</w:t>
      </w:r>
      <w:r>
        <w:t xml:space="preserve"> responded that he “never perceived [Rangel]</w:t>
      </w:r>
      <w:r>
        <w:t xml:space="preserve"> as a gang m</w:t>
      </w:r>
      <w:r>
        <w:t xml:space="preserve">ember.”  </w:t>
      </w:r>
      <w:r>
        <w:t xml:space="preserve">Although </w:t>
      </w:r>
      <w:r>
        <w:t xml:space="preserve">Jose </w:t>
      </w:r>
      <w:r>
        <w:t xml:space="preserve">testified that he would not be surprised to learn Rangel was a gang member, </w:t>
      </w:r>
      <w:r>
        <w:t>Jose</w:t>
      </w:r>
      <w:r>
        <w:t xml:space="preserve"> did not know or believe </w:t>
      </w:r>
      <w:r>
        <w:t>Rangel</w:t>
      </w:r>
      <w:r>
        <w:t xml:space="preserve"> to be so affiliated.  </w:t>
      </w:r>
      <w:r>
        <w:t>Jose</w:t>
      </w:r>
      <w:r>
        <w:t xml:space="preserve"> conceded he would find it surprising to learn that Rangel spray-painted the letters “KCC” on a</w:t>
      </w:r>
      <w:r>
        <w:t xml:space="preserve"> car, and </w:t>
      </w:r>
      <w:r>
        <w:t>Jose</w:t>
      </w:r>
      <w:r>
        <w:t xml:space="preserve"> had not seen that side of Rangel.  </w:t>
      </w:r>
    </w:p>
    <w:p w:rsidR="00C31296" w:rsidRPr="00067096" w:rsidRDefault="00EF4903" w:rsidP="00C82739">
      <w:pPr>
        <w:spacing w:line="480" w:lineRule="atLeast"/>
      </w:pPr>
      <w:r>
        <w:tab/>
      </w:r>
      <w:r>
        <w:t>Following the mitigation phase, the prosecution presented a</w:t>
      </w:r>
      <w:r>
        <w:t xml:space="preserve"> rebuttal</w:t>
      </w:r>
      <w:r>
        <w:t xml:space="preserve"> expert</w:t>
      </w:r>
      <w:r>
        <w:t xml:space="preserve"> witness to testify further about</w:t>
      </w:r>
      <w:r>
        <w:t xml:space="preserve"> street gangs.  The expert testified</w:t>
      </w:r>
      <w:r>
        <w:t xml:space="preserve"> that many </w:t>
      </w:r>
      <w:r>
        <w:t>gang members</w:t>
      </w:r>
      <w:r>
        <w:t xml:space="preserve"> are k</w:t>
      </w:r>
      <w:r>
        <w:t xml:space="preserve">nown by nicknames or monikers. </w:t>
      </w:r>
      <w:r>
        <w:t xml:space="preserve"> </w:t>
      </w:r>
      <w:r>
        <w:t xml:space="preserve">The expert </w:t>
      </w:r>
      <w:r>
        <w:t>noted that gang members are</w:t>
      </w:r>
      <w:r>
        <w:t xml:space="preserve"> often</w:t>
      </w:r>
      <w:r>
        <w:t xml:space="preserve"> identified by their </w:t>
      </w:r>
      <w:r>
        <w:t>shaved hairstyle</w:t>
      </w:r>
      <w:r>
        <w:t>s</w:t>
      </w:r>
      <w:r>
        <w:t xml:space="preserve"> and</w:t>
      </w:r>
      <w:r>
        <w:t xml:space="preserve"> tattoos.   Based on Rangel’s tattoos and hairstyle, the expert</w:t>
      </w:r>
      <w:r>
        <w:t xml:space="preserve"> </w:t>
      </w:r>
      <w:r>
        <w:t xml:space="preserve">testified that Rangel was a “gang member of a hard-core nature” with a “wanton disregard or disrespect for life itself.”  </w:t>
      </w:r>
      <w:r>
        <w:t xml:space="preserve">Rangel </w:t>
      </w:r>
      <w:r>
        <w:t>requested a limiting instruction that gang membership is not a crime and cannot be considered an a</w:t>
      </w:r>
      <w:r>
        <w:t xml:space="preserve">ggravating factor.  </w:t>
      </w:r>
      <w:r>
        <w:t>The court</w:t>
      </w:r>
      <w:r>
        <w:t xml:space="preserve"> denied the request</w:t>
      </w:r>
      <w:r>
        <w:t>, although the prosecution</w:t>
      </w:r>
      <w:r>
        <w:t xml:space="preserve"> was instructed</w:t>
      </w:r>
      <w:r>
        <w:t xml:space="preserve"> not to argue about the gang evidence in closing</w:t>
      </w:r>
      <w:r>
        <w:t xml:space="preserve">.    </w:t>
      </w:r>
    </w:p>
    <w:p w:rsidR="00EB42F1" w:rsidRPr="001246BE" w:rsidRDefault="00EF4903" w:rsidP="00EB42F1">
      <w:pPr>
        <w:pStyle w:val="Heading4"/>
        <w:rPr>
          <w:rFonts w:ascii="Times New Roman" w:hAnsi="Times New Roman"/>
          <w:b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b.</w:t>
      </w:r>
      <w:r w:rsidRPr="001246BE">
        <w:rPr>
          <w:rFonts w:ascii="Times New Roman" w:hAnsi="Times New Roman"/>
          <w:b w:val="0"/>
          <w:i w:val="0"/>
          <w:color w:val="auto"/>
        </w:rPr>
        <w:tab/>
      </w:r>
      <w:r w:rsidRPr="001246BE">
        <w:rPr>
          <w:rFonts w:ascii="Times New Roman" w:hAnsi="Times New Roman"/>
          <w:b w:val="0"/>
          <w:color w:val="auto"/>
        </w:rPr>
        <w:t>Discussion</w:t>
      </w:r>
    </w:p>
    <w:p w:rsidR="00DE6F4A" w:rsidRDefault="00EF4903" w:rsidP="003C6FFD">
      <w:pPr>
        <w:spacing w:line="480" w:lineRule="atLeast"/>
      </w:pPr>
      <w:r>
        <w:tab/>
      </w:r>
      <w:r>
        <w:t xml:space="preserve">Nearly </w:t>
      </w:r>
      <w:r>
        <w:t xml:space="preserve">all of </w:t>
      </w:r>
      <w:proofErr w:type="spellStart"/>
      <w:r>
        <w:t>Mora</w:t>
      </w:r>
      <w:proofErr w:type="spellEnd"/>
      <w:r>
        <w:t xml:space="preserve"> and Rangel’s claims of error are forfeited because they failed to object on the grounds specified on appe</w:t>
      </w:r>
      <w:r>
        <w:t>al.  (</w:t>
      </w:r>
      <w:r>
        <w:rPr>
          <w:i/>
        </w:rPr>
        <w:t>People v. Gutierrez</w:t>
      </w:r>
      <w:r>
        <w:t xml:space="preserve"> (2009) 45 Cal.4th 789, 819 (</w:t>
      </w:r>
      <w:r>
        <w:rPr>
          <w:i/>
        </w:rPr>
        <w:t>Gutierrez</w:t>
      </w:r>
      <w:r>
        <w:t xml:space="preserve">).)  </w:t>
      </w:r>
      <w:r>
        <w:t>H</w:t>
      </w:r>
      <w:r>
        <w:t xml:space="preserve">ad </w:t>
      </w:r>
      <w:proofErr w:type="spellStart"/>
      <w:r>
        <w:t>Mora</w:t>
      </w:r>
      <w:proofErr w:type="spellEnd"/>
      <w:r>
        <w:t xml:space="preserve"> and Rangel properly preserved these claims, no error occurred in admitting this evidence.  </w:t>
      </w:r>
    </w:p>
    <w:p w:rsidR="006A40ED" w:rsidRDefault="00EF4903" w:rsidP="003C6FFD">
      <w:pPr>
        <w:spacing w:line="480" w:lineRule="atLeast"/>
      </w:pPr>
      <w:r>
        <w:tab/>
      </w:r>
      <w:proofErr w:type="spellStart"/>
      <w:r>
        <w:t>Mora</w:t>
      </w:r>
      <w:proofErr w:type="spellEnd"/>
      <w:r>
        <w:t xml:space="preserve"> </w:t>
      </w:r>
      <w:r>
        <w:t xml:space="preserve">first </w:t>
      </w:r>
      <w:r>
        <w:t xml:space="preserve">contends that </w:t>
      </w:r>
      <w:proofErr w:type="spellStart"/>
      <w:r>
        <w:t>Kovac’s</w:t>
      </w:r>
      <w:proofErr w:type="spellEnd"/>
      <w:r>
        <w:t xml:space="preserve"> testimony impermissibly implied that </w:t>
      </w:r>
      <w:proofErr w:type="spellStart"/>
      <w:r>
        <w:t>Mora</w:t>
      </w:r>
      <w:proofErr w:type="spellEnd"/>
      <w:r>
        <w:t xml:space="preserve"> was a gang </w:t>
      </w:r>
      <w:r>
        <w:t xml:space="preserve">member, and the trial court erred by admitting that evidence-by-implication without carefully scrutinizing whether it was more than tangentially relevant.  (See </w:t>
      </w:r>
      <w:r>
        <w:rPr>
          <w:i/>
        </w:rPr>
        <w:t xml:space="preserve">People v. </w:t>
      </w:r>
      <w:proofErr w:type="spellStart"/>
      <w:r>
        <w:rPr>
          <w:i/>
        </w:rPr>
        <w:t>Gurule</w:t>
      </w:r>
      <w:proofErr w:type="spellEnd"/>
      <w:r>
        <w:t xml:space="preserve"> (2002) 28 Cal.4th 557, 653</w:t>
      </w:r>
      <w:r>
        <w:t xml:space="preserve"> (</w:t>
      </w:r>
      <w:proofErr w:type="spellStart"/>
      <w:r>
        <w:rPr>
          <w:i/>
        </w:rPr>
        <w:t>Gurule</w:t>
      </w:r>
      <w:proofErr w:type="spellEnd"/>
      <w:r>
        <w:t>)</w:t>
      </w:r>
      <w:r>
        <w:t xml:space="preserve">.)  </w:t>
      </w:r>
      <w:proofErr w:type="spellStart"/>
      <w:r>
        <w:t>Mora</w:t>
      </w:r>
      <w:proofErr w:type="spellEnd"/>
      <w:r>
        <w:t xml:space="preserve"> failed to object on this basis dur</w:t>
      </w:r>
      <w:r>
        <w:t xml:space="preserve">ing his trial and has forfeited the claim on appeal.  </w:t>
      </w:r>
      <w:r>
        <w:t>(</w:t>
      </w:r>
      <w:r>
        <w:rPr>
          <w:i/>
        </w:rPr>
        <w:t>Gutierrez</w:t>
      </w:r>
      <w:r w:rsidRPr="00D64D5F">
        <w:t>,</w:t>
      </w:r>
      <w:r>
        <w:rPr>
          <w:i/>
        </w:rPr>
        <w:t xml:space="preserve"> supra</w:t>
      </w:r>
      <w:r>
        <w:t xml:space="preserve">, 45 Cal.4th at p. 819.)  </w:t>
      </w:r>
      <w:r>
        <w:t>Even if he had not,</w:t>
      </w:r>
      <w:r>
        <w:t xml:space="preserve"> </w:t>
      </w:r>
      <w:proofErr w:type="spellStart"/>
      <w:r>
        <w:t>Mora’s</w:t>
      </w:r>
      <w:proofErr w:type="spellEnd"/>
      <w:r>
        <w:t xml:space="preserve"> objection to testimony that the</w:t>
      </w:r>
      <w:r>
        <w:t xml:space="preserve"> </w:t>
      </w:r>
      <w:r>
        <w:t>lineup</w:t>
      </w:r>
      <w:r>
        <w:t xml:space="preserve"> procedure following </w:t>
      </w:r>
      <w:proofErr w:type="spellStart"/>
      <w:r>
        <w:t>Juhn’s</w:t>
      </w:r>
      <w:proofErr w:type="spellEnd"/>
      <w:r>
        <w:t xml:space="preserve"> attack was designed to protect </w:t>
      </w:r>
      <w:proofErr w:type="spellStart"/>
      <w:r>
        <w:t>Juhn</w:t>
      </w:r>
      <w:proofErr w:type="spellEnd"/>
      <w:r>
        <w:t xml:space="preserve"> from</w:t>
      </w:r>
      <w:r>
        <w:t xml:space="preserve"> </w:t>
      </w:r>
      <w:proofErr w:type="spellStart"/>
      <w:r>
        <w:t>Mora</w:t>
      </w:r>
      <w:proofErr w:type="spellEnd"/>
      <w:r>
        <w:t xml:space="preserve"> “or from one of his o</w:t>
      </w:r>
      <w:r>
        <w:t>ther gang members that he knows</w:t>
      </w:r>
      <w:r>
        <w:t>,</w:t>
      </w:r>
      <w:r>
        <w:t xml:space="preserve">” </w:t>
      </w:r>
      <w:r>
        <w:t xml:space="preserve">cannot be understood to imply </w:t>
      </w:r>
      <w:proofErr w:type="spellStart"/>
      <w:r>
        <w:t>Mora’s</w:t>
      </w:r>
      <w:proofErr w:type="spellEnd"/>
      <w:r>
        <w:t xml:space="preserve"> gang membership</w:t>
      </w:r>
      <w:r>
        <w:t xml:space="preserve">. </w:t>
      </w:r>
      <w:r>
        <w:t xml:space="preserve"> </w:t>
      </w:r>
      <w:proofErr w:type="spellStart"/>
      <w:r>
        <w:t>Kovac</w:t>
      </w:r>
      <w:proofErr w:type="spellEnd"/>
      <w:r>
        <w:t xml:space="preserve"> </w:t>
      </w:r>
      <w:r>
        <w:t>testif</w:t>
      </w:r>
      <w:r>
        <w:t>i</w:t>
      </w:r>
      <w:r>
        <w:t>ed</w:t>
      </w:r>
      <w:r>
        <w:t xml:space="preserve"> about</w:t>
      </w:r>
      <w:r>
        <w:t xml:space="preserve"> the</w:t>
      </w:r>
      <w:r>
        <w:t xml:space="preserve"> </w:t>
      </w:r>
      <w:r>
        <w:t xml:space="preserve">jail </w:t>
      </w:r>
      <w:r>
        <w:t>lineup</w:t>
      </w:r>
      <w:r>
        <w:t xml:space="preserve"> process </w:t>
      </w:r>
      <w:r>
        <w:t>generally, explaining that victims are asked to identify assailants from behind a door or scre</w:t>
      </w:r>
      <w:r>
        <w:t>en because “[</w:t>
      </w:r>
      <w:proofErr w:type="spellStart"/>
      <w:r>
        <w:t>i</w:t>
      </w:r>
      <w:proofErr w:type="spellEnd"/>
      <w:r>
        <w:t xml:space="preserve">]f somebody . . . identifies an attacker or something like that, there is a real threat of retaliation from that individual, the suspect, </w:t>
      </w:r>
      <w:r w:rsidRPr="00EA2999">
        <w:rPr>
          <w:i/>
        </w:rPr>
        <w:t>or from one of his other gang members that he knows</w:t>
      </w:r>
      <w:r>
        <w:t xml:space="preserve">.”  </w:t>
      </w:r>
      <w:proofErr w:type="spellStart"/>
      <w:r>
        <w:t>Kovac</w:t>
      </w:r>
      <w:proofErr w:type="spellEnd"/>
      <w:r>
        <w:t xml:space="preserve"> was not testifying about </w:t>
      </w:r>
      <w:proofErr w:type="spellStart"/>
      <w:r>
        <w:t>Mora</w:t>
      </w:r>
      <w:proofErr w:type="spellEnd"/>
      <w:r>
        <w:t xml:space="preserve"> specifically </w:t>
      </w:r>
      <w:r>
        <w:t>when maki</w:t>
      </w:r>
      <w:r>
        <w:t xml:space="preserve">ng the statement to which </w:t>
      </w:r>
      <w:proofErr w:type="spellStart"/>
      <w:r>
        <w:t>Mora</w:t>
      </w:r>
      <w:proofErr w:type="spellEnd"/>
      <w:r>
        <w:t xml:space="preserve"> now objects</w:t>
      </w:r>
      <w:r>
        <w:t>.</w:t>
      </w:r>
    </w:p>
    <w:p w:rsidR="005816DD" w:rsidRPr="005816DD" w:rsidRDefault="00EF4903" w:rsidP="003C6FFD">
      <w:pPr>
        <w:spacing w:line="480" w:lineRule="atLeast"/>
      </w:pPr>
      <w:r>
        <w:tab/>
      </w:r>
      <w:r>
        <w:t>We review a trial court’s evidentiary ru</w:t>
      </w:r>
      <w:r>
        <w:t xml:space="preserve">lings for abuse of discretion. </w:t>
      </w:r>
      <w:r>
        <w:t xml:space="preserve"> (</w:t>
      </w:r>
      <w:r>
        <w:rPr>
          <w:i/>
        </w:rPr>
        <w:t>Gutierrez</w:t>
      </w:r>
      <w:r>
        <w:t xml:space="preserve">, </w:t>
      </w:r>
      <w:r>
        <w:rPr>
          <w:i/>
        </w:rPr>
        <w:t>supra</w:t>
      </w:r>
      <w:r>
        <w:t xml:space="preserve">, 45 Cal.4th at p. 819.)  </w:t>
      </w:r>
      <w:r>
        <w:t xml:space="preserve">Such abuse will be found where a court </w:t>
      </w:r>
      <w:r>
        <w:t>acts unreasonably given the circumstances presen</w:t>
      </w:r>
      <w:r>
        <w:t>ted by the particular case before it.  (</w:t>
      </w:r>
      <w:r>
        <w:rPr>
          <w:i/>
        </w:rPr>
        <w:t>Id</w:t>
      </w:r>
      <w:r w:rsidRPr="00D64D5F">
        <w:rPr>
          <w:i/>
        </w:rPr>
        <w:t>.</w:t>
      </w:r>
      <w:r>
        <w:t xml:space="preserve"> at pp. 819</w:t>
      </w:r>
      <w:r>
        <w:t>–</w:t>
      </w:r>
      <w:r>
        <w:t>820.)</w:t>
      </w:r>
      <w:r>
        <w:t xml:space="preserve">  It was not unreasonable for the trial court to permit the introduction of </w:t>
      </w:r>
      <w:proofErr w:type="spellStart"/>
      <w:r>
        <w:t>Mora’s</w:t>
      </w:r>
      <w:proofErr w:type="spellEnd"/>
      <w:r>
        <w:t xml:space="preserve"> “other crimes” evidence at the penalty phase, and the scant reference to gangs during that testimony does not alt</w:t>
      </w:r>
      <w:r>
        <w:t xml:space="preserve">er </w:t>
      </w:r>
      <w:r>
        <w:t xml:space="preserve">our </w:t>
      </w:r>
      <w:r>
        <w:t xml:space="preserve">conclusion.  </w:t>
      </w:r>
      <w:r>
        <w:t xml:space="preserve">(See </w:t>
      </w:r>
      <w:r>
        <w:rPr>
          <w:i/>
        </w:rPr>
        <w:t>People v. Tully</w:t>
      </w:r>
      <w:r>
        <w:t xml:space="preserve"> (2012) 54 Cal.4th 952, 1027 [no abuse of discretion found when admitting “other crimes” evidence at penalty </w:t>
      </w:r>
      <w:r>
        <w:t>p</w:t>
      </w:r>
      <w:r>
        <w:t>hase where evidence was legally sufficient].)</w:t>
      </w:r>
      <w:r>
        <w:t xml:space="preserve">  </w:t>
      </w:r>
      <w:r>
        <w:t xml:space="preserve">No evidence was adduced concerning </w:t>
      </w:r>
      <w:proofErr w:type="spellStart"/>
      <w:r>
        <w:t>Mora’s</w:t>
      </w:r>
      <w:proofErr w:type="spellEnd"/>
      <w:r>
        <w:t xml:space="preserve"> gang affiliation;</w:t>
      </w:r>
      <w:r>
        <w:t xml:space="preserve"> the court carefully shielded the jury from that </w:t>
      </w:r>
      <w:r>
        <w:t>information</w:t>
      </w:r>
      <w:r>
        <w:t xml:space="preserve">. </w:t>
      </w:r>
      <w:r>
        <w:t xml:space="preserve"> </w:t>
      </w:r>
      <w:r>
        <w:t xml:space="preserve">Although </w:t>
      </w:r>
      <w:r>
        <w:t xml:space="preserve">heightened scrutiny </w:t>
      </w:r>
      <w:r>
        <w:t>is</w:t>
      </w:r>
      <w:r>
        <w:t xml:space="preserve"> warranted</w:t>
      </w:r>
      <w:r>
        <w:t xml:space="preserve"> where gang evidence is concerned</w:t>
      </w:r>
      <w:r>
        <w:t xml:space="preserve"> </w:t>
      </w:r>
      <w:r>
        <w:t>(</w:t>
      </w:r>
      <w:proofErr w:type="spellStart"/>
      <w:r>
        <w:rPr>
          <w:i/>
        </w:rPr>
        <w:t>Gurule</w:t>
      </w:r>
      <w:proofErr w:type="spellEnd"/>
      <w:r>
        <w:t xml:space="preserve">, </w:t>
      </w:r>
      <w:r>
        <w:rPr>
          <w:i/>
        </w:rPr>
        <w:t>supra</w:t>
      </w:r>
      <w:r>
        <w:t>, 28 Cal.</w:t>
      </w:r>
      <w:r>
        <w:t>4</w:t>
      </w:r>
      <w:r w:rsidRPr="008377B4">
        <w:t>th</w:t>
      </w:r>
      <w:r>
        <w:t xml:space="preserve"> </w:t>
      </w:r>
      <w:r>
        <w:t>at p. 653)</w:t>
      </w:r>
      <w:r>
        <w:t xml:space="preserve">, </w:t>
      </w:r>
      <w:r>
        <w:t xml:space="preserve">no gang evidence was introduced in connection with </w:t>
      </w:r>
      <w:proofErr w:type="spellStart"/>
      <w:r>
        <w:t>Kovac’s</w:t>
      </w:r>
      <w:proofErr w:type="spellEnd"/>
      <w:r>
        <w:t xml:space="preserve"> testimony regarding the jail </w:t>
      </w:r>
      <w:r>
        <w:t>lineup</w:t>
      </w:r>
      <w:r>
        <w:t xml:space="preserve"> process.  There is no particular court ruling to review because </w:t>
      </w:r>
      <w:proofErr w:type="spellStart"/>
      <w:r>
        <w:t>Mora</w:t>
      </w:r>
      <w:proofErr w:type="spellEnd"/>
      <w:r>
        <w:t xml:space="preserve"> interposed no objection following the testimony about which he now complains, and we find th</w:t>
      </w:r>
      <w:r>
        <w:t xml:space="preserve">e trial court’s general admission of evidence in aggravation was not unreasonable or an abuse of </w:t>
      </w:r>
      <w:r>
        <w:t>discretion</w:t>
      </w:r>
      <w:r>
        <w:t xml:space="preserve">.  </w:t>
      </w:r>
      <w:r>
        <w:t>(</w:t>
      </w:r>
      <w:r>
        <w:rPr>
          <w:i/>
        </w:rPr>
        <w:t>Gutierrez</w:t>
      </w:r>
      <w:r>
        <w:t xml:space="preserve">, </w:t>
      </w:r>
      <w:r>
        <w:rPr>
          <w:i/>
        </w:rPr>
        <w:t>supra</w:t>
      </w:r>
      <w:r>
        <w:t>, 45 </w:t>
      </w:r>
      <w:r>
        <w:t>Cal.4th at pp. 819</w:t>
      </w:r>
      <w:r>
        <w:t>–</w:t>
      </w:r>
      <w:r>
        <w:t>820).</w:t>
      </w:r>
    </w:p>
    <w:p w:rsidR="00741693" w:rsidRDefault="00EF4903" w:rsidP="003C6FFD">
      <w:pPr>
        <w:spacing w:line="480" w:lineRule="atLeast"/>
      </w:pPr>
      <w:r>
        <w:tab/>
      </w:r>
      <w:proofErr w:type="spellStart"/>
      <w:r>
        <w:t>Mora</w:t>
      </w:r>
      <w:proofErr w:type="spellEnd"/>
      <w:r>
        <w:t xml:space="preserve"> </w:t>
      </w:r>
      <w:r>
        <w:t xml:space="preserve">next </w:t>
      </w:r>
      <w:r>
        <w:t xml:space="preserve">argues that </w:t>
      </w:r>
      <w:proofErr w:type="spellStart"/>
      <w:r>
        <w:t>Kovac’s</w:t>
      </w:r>
      <w:proofErr w:type="spellEnd"/>
      <w:r>
        <w:t xml:space="preserve"> testimony identifying </w:t>
      </w:r>
      <w:proofErr w:type="spellStart"/>
      <w:r>
        <w:t>Mora</w:t>
      </w:r>
      <w:proofErr w:type="spellEnd"/>
      <w:r>
        <w:t xml:space="preserve"> in the </w:t>
      </w:r>
      <w:proofErr w:type="spellStart"/>
      <w:r>
        <w:t>Juhn</w:t>
      </w:r>
      <w:proofErr w:type="spellEnd"/>
      <w:r>
        <w:t xml:space="preserve"> assault was irrelevant and in</w:t>
      </w:r>
      <w:r>
        <w:t>admissible</w:t>
      </w:r>
      <w:r>
        <w:t xml:space="preserve">.  </w:t>
      </w:r>
      <w:proofErr w:type="spellStart"/>
      <w:r>
        <w:t>Mora</w:t>
      </w:r>
      <w:proofErr w:type="spellEnd"/>
      <w:r>
        <w:t xml:space="preserve"> so contends</w:t>
      </w:r>
      <w:r>
        <w:t xml:space="preserve"> because </w:t>
      </w:r>
      <w:r>
        <w:t>he</w:t>
      </w:r>
      <w:r>
        <w:t xml:space="preserve"> offered to stipulate that </w:t>
      </w:r>
      <w:proofErr w:type="spellStart"/>
      <w:r>
        <w:t>Mora’s</w:t>
      </w:r>
      <w:proofErr w:type="spellEnd"/>
      <w:r>
        <w:t xml:space="preserve"> name was in </w:t>
      </w:r>
      <w:proofErr w:type="spellStart"/>
      <w:r>
        <w:t>Kovac’s</w:t>
      </w:r>
      <w:proofErr w:type="spellEnd"/>
      <w:r>
        <w:t xml:space="preserve"> incident report.  This argument is unavailing.</w:t>
      </w:r>
      <w:r>
        <w:t xml:space="preserve"> </w:t>
      </w:r>
      <w:r>
        <w:t xml:space="preserve"> The</w:t>
      </w:r>
      <w:r>
        <w:t xml:space="preserve"> offered stipulation and </w:t>
      </w:r>
      <w:proofErr w:type="spellStart"/>
      <w:r>
        <w:t>Kovac’s</w:t>
      </w:r>
      <w:proofErr w:type="spellEnd"/>
      <w:r>
        <w:t xml:space="preserve"> testimony differed.  The</w:t>
      </w:r>
      <w:r>
        <w:t xml:space="preserve"> presence of a</w:t>
      </w:r>
      <w:r>
        <w:t>n individual’s</w:t>
      </w:r>
      <w:r>
        <w:t xml:space="preserve"> name in a</w:t>
      </w:r>
      <w:r>
        <w:t>n incident</w:t>
      </w:r>
      <w:r>
        <w:t xml:space="preserve"> repor</w:t>
      </w:r>
      <w:r>
        <w:t xml:space="preserve">t is </w:t>
      </w:r>
      <w:r>
        <w:t>not equivalent to</w:t>
      </w:r>
      <w:r>
        <w:t xml:space="preserve"> </w:t>
      </w:r>
      <w:r>
        <w:t xml:space="preserve">testimony </w:t>
      </w:r>
      <w:r>
        <w:t>identifying the individual</w:t>
      </w:r>
      <w:r>
        <w:t xml:space="preserve"> as involved in </w:t>
      </w:r>
      <w:r>
        <w:t>the incident</w:t>
      </w:r>
      <w:r>
        <w:t xml:space="preserve">.  Had the presence of the name been sufficient, </w:t>
      </w:r>
      <w:proofErr w:type="spellStart"/>
      <w:r>
        <w:t>Kovac</w:t>
      </w:r>
      <w:proofErr w:type="spellEnd"/>
      <w:r>
        <w:t xml:space="preserve"> could have testified simply that the incident report named </w:t>
      </w:r>
      <w:proofErr w:type="spellStart"/>
      <w:r>
        <w:t>Mora</w:t>
      </w:r>
      <w:proofErr w:type="spellEnd"/>
      <w:r>
        <w:t xml:space="preserve"> without undertaking the additional step of </w:t>
      </w:r>
      <w:r>
        <w:t>identif</w:t>
      </w:r>
      <w:r>
        <w:t xml:space="preserve">ying </w:t>
      </w:r>
      <w:proofErr w:type="spellStart"/>
      <w:r>
        <w:t>Mora</w:t>
      </w:r>
      <w:proofErr w:type="spellEnd"/>
      <w:r>
        <w:t xml:space="preserve"> by</w:t>
      </w:r>
      <w:r>
        <w:t xml:space="preserve"> visually matching </w:t>
      </w:r>
      <w:proofErr w:type="spellStart"/>
      <w:r>
        <w:t>Mora’s</w:t>
      </w:r>
      <w:proofErr w:type="spellEnd"/>
      <w:r>
        <w:t xml:space="preserve"> chest tattoo</w:t>
      </w:r>
      <w:r>
        <w:t xml:space="preserve"> with the tattoo described in the report</w:t>
      </w:r>
      <w:r>
        <w:t>.</w:t>
      </w:r>
      <w:r>
        <w:t xml:space="preserve">  </w:t>
      </w:r>
      <w:proofErr w:type="spellStart"/>
      <w:r>
        <w:t>Mora</w:t>
      </w:r>
      <w:proofErr w:type="spellEnd"/>
      <w:r>
        <w:t xml:space="preserve"> </w:t>
      </w:r>
      <w:r>
        <w:t>argued his proposal</w:t>
      </w:r>
      <w:r>
        <w:t xml:space="preserve"> </w:t>
      </w:r>
      <w:r>
        <w:t>constituted an offer to</w:t>
      </w:r>
      <w:r>
        <w:t xml:space="preserve"> stipulate to an </w:t>
      </w:r>
      <w:r>
        <w:t>element of a charged offense</w:t>
      </w:r>
      <w:r>
        <w:t xml:space="preserve"> and</w:t>
      </w:r>
      <w:r>
        <w:t xml:space="preserve"> the prosecutor was obliged to accept it to the exclusion of prese</w:t>
      </w:r>
      <w:r>
        <w:t>nting evidence</w:t>
      </w:r>
      <w:r>
        <w:t>.  (See </w:t>
      </w:r>
      <w:r>
        <w:rPr>
          <w:i/>
        </w:rPr>
        <w:t>People v. Bonin</w:t>
      </w:r>
      <w:r>
        <w:t xml:space="preserve"> (1989) 47 Cal.3d 808, 849.)</w:t>
      </w:r>
      <w:r>
        <w:t xml:space="preserve">  </w:t>
      </w:r>
      <w:r>
        <w:t xml:space="preserve">Not so.  </w:t>
      </w:r>
      <w:r>
        <w:t xml:space="preserve">The stipulation offered by </w:t>
      </w:r>
      <w:proofErr w:type="spellStart"/>
      <w:r>
        <w:t>Mora</w:t>
      </w:r>
      <w:proofErr w:type="spellEnd"/>
      <w:r>
        <w:t xml:space="preserve"> was inadequate to fully identify </w:t>
      </w:r>
      <w:proofErr w:type="spellStart"/>
      <w:r>
        <w:t>Mora</w:t>
      </w:r>
      <w:proofErr w:type="spellEnd"/>
      <w:r>
        <w:t xml:space="preserve">, and </w:t>
      </w:r>
      <w:proofErr w:type="spellStart"/>
      <w:r>
        <w:t>Kovac’s</w:t>
      </w:r>
      <w:proofErr w:type="spellEnd"/>
      <w:r>
        <w:t xml:space="preserve"> </w:t>
      </w:r>
      <w:r>
        <w:t xml:space="preserve">testimony was necessary.  Accordingly, no error resulted from the admission of </w:t>
      </w:r>
      <w:proofErr w:type="spellStart"/>
      <w:r>
        <w:t>Kovac’s</w:t>
      </w:r>
      <w:proofErr w:type="spellEnd"/>
      <w:r>
        <w:t xml:space="preserve"> </w:t>
      </w:r>
      <w:r>
        <w:t>identification</w:t>
      </w:r>
      <w:r>
        <w:t xml:space="preserve"> of </w:t>
      </w:r>
      <w:proofErr w:type="spellStart"/>
      <w:r>
        <w:t>Mora</w:t>
      </w:r>
      <w:proofErr w:type="spellEnd"/>
      <w:r>
        <w:t xml:space="preserve">. </w:t>
      </w:r>
    </w:p>
    <w:p w:rsidR="00723BF5" w:rsidRDefault="00EF4903" w:rsidP="003C6FFD">
      <w:pPr>
        <w:spacing w:line="480" w:lineRule="atLeast"/>
      </w:pPr>
      <w:r>
        <w:tab/>
        <w:t>Rangel</w:t>
      </w:r>
      <w:r>
        <w:t>’s contentions</w:t>
      </w:r>
      <w:r>
        <w:t>, likewise,</w:t>
      </w:r>
      <w:r>
        <w:t xml:space="preserve"> fail</w:t>
      </w:r>
      <w:r>
        <w:t xml:space="preserve"> to persuade</w:t>
      </w:r>
      <w:r>
        <w:t xml:space="preserve">.  Rangel </w:t>
      </w:r>
      <w:r>
        <w:t xml:space="preserve">argues, as did </w:t>
      </w:r>
      <w:proofErr w:type="spellStart"/>
      <w:r>
        <w:t>Mora</w:t>
      </w:r>
      <w:proofErr w:type="spellEnd"/>
      <w:r>
        <w:t>,</w:t>
      </w:r>
      <w:r>
        <w:t xml:space="preserve"> that evidence of his m</w:t>
      </w:r>
      <w:r>
        <w:t>embership in the KCC gang, while</w:t>
      </w:r>
      <w:r>
        <w:t xml:space="preserve"> extremely prejudicial, was only tangentially relevant and should have been excluded after carefu</w:t>
      </w:r>
      <w:r>
        <w:t xml:space="preserve">l scrutiny </w:t>
      </w:r>
      <w:r>
        <w:t>under</w:t>
      </w:r>
      <w:r>
        <w:t xml:space="preserve"> </w:t>
      </w:r>
      <w:proofErr w:type="spellStart"/>
      <w:r>
        <w:rPr>
          <w:i/>
        </w:rPr>
        <w:t>Gurule</w:t>
      </w:r>
      <w:proofErr w:type="spellEnd"/>
      <w:r>
        <w:t>.  (</w:t>
      </w:r>
      <w:proofErr w:type="spellStart"/>
      <w:r w:rsidRPr="00566203">
        <w:rPr>
          <w:i/>
        </w:rPr>
        <w:t>Gurule</w:t>
      </w:r>
      <w:proofErr w:type="spellEnd"/>
      <w:r>
        <w:t xml:space="preserve">, </w:t>
      </w:r>
      <w:r w:rsidRPr="00566203">
        <w:rPr>
          <w:i/>
        </w:rPr>
        <w:t>supra</w:t>
      </w:r>
      <w:r>
        <w:t xml:space="preserve">, </w:t>
      </w:r>
      <w:r>
        <w:t>28 Cal.4th at p. 653.</w:t>
      </w:r>
      <w:r>
        <w:t>)  Rangel did not object on this basis during trial and the claim is forfeited on appeal.  (</w:t>
      </w:r>
      <w:r>
        <w:rPr>
          <w:i/>
        </w:rPr>
        <w:t>Gutierrez</w:t>
      </w:r>
      <w:r>
        <w:t xml:space="preserve">, </w:t>
      </w:r>
      <w:r>
        <w:rPr>
          <w:i/>
        </w:rPr>
        <w:t>supra</w:t>
      </w:r>
      <w:r>
        <w:t>, 45 Cal.4th at p. 819.)  Even if prejudicial, gang evidence of the type introduced h</w:t>
      </w:r>
      <w:r>
        <w:t>ere is relevant pursuant to section 190.3, under which the jury may consider past criminal behavior involving violence or threats of violence.  The circumstances of those past crimes, including gang membership, may be disclosed to the jury.  (</w:t>
      </w:r>
      <w:proofErr w:type="spellStart"/>
      <w:r w:rsidRPr="00723BF5">
        <w:rPr>
          <w:i/>
        </w:rPr>
        <w:t>Gurule</w:t>
      </w:r>
      <w:proofErr w:type="spellEnd"/>
      <w:r w:rsidRPr="00D64D5F">
        <w:t>,</w:t>
      </w:r>
      <w:r>
        <w:rPr>
          <w:i/>
        </w:rPr>
        <w:t xml:space="preserve"> supra</w:t>
      </w:r>
      <w:r>
        <w:t>, 28 Cal.4th at pp. 653–</w:t>
      </w:r>
      <w:r>
        <w:t xml:space="preserve">654.)  </w:t>
      </w:r>
    </w:p>
    <w:p w:rsidR="00BA58B1" w:rsidRDefault="00EF4903" w:rsidP="003C6FFD">
      <w:pPr>
        <w:spacing w:line="480" w:lineRule="atLeast"/>
      </w:pPr>
      <w:r>
        <w:tab/>
        <w:t xml:space="preserve">Rangel spray-painted the letters “KCC” atop </w:t>
      </w:r>
      <w:r>
        <w:t>a</w:t>
      </w:r>
      <w:r>
        <w:t xml:space="preserve"> car and threatened to kill the car’s owner if he reported the crime to the police.  Because Rangel was known by the victim to be a gang member, that threat had particular potenc</w:t>
      </w:r>
      <w:r>
        <w:t xml:space="preserve">y.  The past criminal threat of violence was relevant and admissible pursuant to section 190.3.  Thus, the trial court did not act unreasonably in an abuse of its discretion by admitting evidence related to Rangel’s gang affiliation as it pertained to the </w:t>
      </w:r>
      <w:r>
        <w:t>vehicle burglary offense.  (</w:t>
      </w:r>
      <w:proofErr w:type="spellStart"/>
      <w:r w:rsidRPr="00723BF5">
        <w:rPr>
          <w:i/>
        </w:rPr>
        <w:t>Gurule</w:t>
      </w:r>
      <w:proofErr w:type="spellEnd"/>
      <w:r w:rsidRPr="00D64D5F">
        <w:t>,</w:t>
      </w:r>
      <w:r>
        <w:rPr>
          <w:i/>
        </w:rPr>
        <w:t xml:space="preserve"> supra</w:t>
      </w:r>
      <w:r>
        <w:t>, 28 Cal.4th at pp. 653</w:t>
      </w:r>
      <w:r>
        <w:t>–</w:t>
      </w:r>
      <w:r>
        <w:t xml:space="preserve">654.)   </w:t>
      </w:r>
    </w:p>
    <w:p w:rsidR="007B2D66" w:rsidRDefault="00EF4903" w:rsidP="003C6FFD">
      <w:pPr>
        <w:spacing w:line="480" w:lineRule="atLeast"/>
      </w:pPr>
      <w:r>
        <w:tab/>
      </w:r>
      <w:r w:rsidRPr="001D1302">
        <w:t xml:space="preserve">Rangel also claims </w:t>
      </w:r>
      <w:r>
        <w:t xml:space="preserve">the trial court </w:t>
      </w:r>
      <w:r w:rsidRPr="001D1302">
        <w:t>err</w:t>
      </w:r>
      <w:r>
        <w:t>ed by admitting</w:t>
      </w:r>
      <w:r>
        <w:t xml:space="preserve"> evidence of his gang membership during mitigation witness </w:t>
      </w:r>
      <w:r>
        <w:t>Jose’s</w:t>
      </w:r>
      <w:r>
        <w:t xml:space="preserve"> testimony.  Again, Rangel’s claim of error </w:t>
      </w:r>
      <w:r>
        <w:t>is</w:t>
      </w:r>
      <w:r>
        <w:t xml:space="preserve"> forfeited on app</w:t>
      </w:r>
      <w:r>
        <w:t xml:space="preserve">eal because </w:t>
      </w:r>
      <w:r>
        <w:t>he did not object on this basis at trial</w:t>
      </w:r>
      <w:r>
        <w:t>.  (</w:t>
      </w:r>
      <w:r>
        <w:rPr>
          <w:i/>
        </w:rPr>
        <w:t>Gutierrez, supra</w:t>
      </w:r>
      <w:r>
        <w:t xml:space="preserve">, 45 Cal.4th at p. 819.)  Assuming, </w:t>
      </w:r>
      <w:r w:rsidRPr="00D64D5F">
        <w:t>arguendo</w:t>
      </w:r>
      <w:r>
        <w:t xml:space="preserve">, that the claim is not forfeited, </w:t>
      </w:r>
      <w:r>
        <w:t xml:space="preserve">we </w:t>
      </w:r>
      <w:r>
        <w:t xml:space="preserve">conclude </w:t>
      </w:r>
      <w:r>
        <w:t>there was no error</w:t>
      </w:r>
      <w:r>
        <w:t>.</w:t>
      </w:r>
    </w:p>
    <w:p w:rsidR="00513FFF" w:rsidRPr="00275123" w:rsidRDefault="00EF4903" w:rsidP="003C6FFD">
      <w:pPr>
        <w:spacing w:line="480" w:lineRule="atLeast"/>
      </w:pPr>
      <w:r>
        <w:tab/>
        <w:t>When a defendant places his or her character in issue during the penalty</w:t>
      </w:r>
      <w:r>
        <w:t xml:space="preserve"> phase, the prosecution may introduce contrary character evidence.  (</w:t>
      </w:r>
      <w:r>
        <w:rPr>
          <w:i/>
        </w:rPr>
        <w:t xml:space="preserve">People v. </w:t>
      </w:r>
      <w:proofErr w:type="spellStart"/>
      <w:r>
        <w:rPr>
          <w:i/>
        </w:rPr>
        <w:t>Loker</w:t>
      </w:r>
      <w:proofErr w:type="spellEnd"/>
      <w:r>
        <w:t xml:space="preserve"> (2008) 44 </w:t>
      </w:r>
      <w:r>
        <w:t>Cal.4th 691, 709.)</w:t>
      </w:r>
      <w:r>
        <w:t xml:space="preserve">  The prosecution </w:t>
      </w:r>
      <w:r>
        <w:t xml:space="preserve">only </w:t>
      </w:r>
      <w:r>
        <w:t>need</w:t>
      </w:r>
      <w:r>
        <w:t>s</w:t>
      </w:r>
      <w:r>
        <w:t xml:space="preserve"> </w:t>
      </w:r>
      <w:r>
        <w:t xml:space="preserve">to </w:t>
      </w:r>
      <w:r>
        <w:t>have a good faith belief that the incident</w:t>
      </w:r>
      <w:r>
        <w:t>s or conduct</w:t>
      </w:r>
      <w:r>
        <w:t xml:space="preserve"> about which it inquires actually </w:t>
      </w:r>
      <w:r>
        <w:t>occurred.</w:t>
      </w:r>
      <w:r>
        <w:t xml:space="preserve">  (</w:t>
      </w:r>
      <w:r>
        <w:rPr>
          <w:i/>
        </w:rPr>
        <w:t>Ibid</w:t>
      </w:r>
      <w:r w:rsidRPr="00D64D5F">
        <w:rPr>
          <w:i/>
        </w:rPr>
        <w:t>.</w:t>
      </w:r>
      <w:r>
        <w:t>)</w:t>
      </w:r>
      <w:r>
        <w:t xml:space="preserve">  The</w:t>
      </w:r>
      <w:r>
        <w:t xml:space="preserve"> prosecutor had more than that here; </w:t>
      </w:r>
      <w:r>
        <w:t xml:space="preserve">after </w:t>
      </w:r>
      <w:r>
        <w:t>Jose</w:t>
      </w:r>
      <w:r>
        <w:t xml:space="preserve"> testified to Rangel’s good character, </w:t>
      </w:r>
      <w:r>
        <w:t xml:space="preserve">the prosecutor </w:t>
      </w:r>
      <w:r>
        <w:t>asked Jose</w:t>
      </w:r>
      <w:r>
        <w:t xml:space="preserve"> about</w:t>
      </w:r>
      <w:r>
        <w:t xml:space="preserve"> Rangel’s </w:t>
      </w:r>
      <w:r>
        <w:t>past criminal offense.  Specifically, the prosecutor asked</w:t>
      </w:r>
      <w:r>
        <w:t xml:space="preserve"> Jose </w:t>
      </w:r>
      <w:r>
        <w:t>if he would be surprised to learn that Rangel</w:t>
      </w:r>
      <w:r>
        <w:t xml:space="preserve"> spray-painted the l</w:t>
      </w:r>
      <w:r>
        <w:t xml:space="preserve">etters “KCC” on the top of a car, an incident the prosecutor had a good faith belief </w:t>
      </w:r>
      <w:r>
        <w:t xml:space="preserve">that it </w:t>
      </w:r>
      <w:r>
        <w:t xml:space="preserve">occurred in light of the prior testimony to that effect.  </w:t>
      </w:r>
      <w:r>
        <w:t>This</w:t>
      </w:r>
      <w:r>
        <w:t xml:space="preserve"> evidence was related to the allegations of Rangel’s good character and </w:t>
      </w:r>
      <w:r>
        <w:t xml:space="preserve">was thus </w:t>
      </w:r>
      <w:r>
        <w:t>admissible.  (</w:t>
      </w:r>
      <w:r>
        <w:rPr>
          <w:i/>
        </w:rPr>
        <w:t>Id</w:t>
      </w:r>
      <w:r w:rsidRPr="00D64D5F">
        <w:rPr>
          <w:i/>
        </w:rPr>
        <w:t>.</w:t>
      </w:r>
      <w:r>
        <w:t xml:space="preserve"> at</w:t>
      </w:r>
      <w:r>
        <w:t xml:space="preserve"> pp. 709–</w:t>
      </w:r>
      <w:r>
        <w:t>710; see </w:t>
      </w:r>
      <w:r>
        <w:t xml:space="preserve">also </w:t>
      </w:r>
      <w:r>
        <w:rPr>
          <w:i/>
        </w:rPr>
        <w:t>People v. Fierro</w:t>
      </w:r>
      <w:r>
        <w:t xml:space="preserve"> (1991) 1 Cal.4th 173, 239</w:t>
      </w:r>
      <w:r>
        <w:t>–</w:t>
      </w:r>
      <w:r>
        <w:t>240 [evidence of a defendant’s good character opened door to evidence of his participation with youth gangs].)</w:t>
      </w:r>
      <w:r>
        <w:t xml:space="preserve"> </w:t>
      </w:r>
      <w:r>
        <w:t xml:space="preserve"> Similarly, no error flowed from the prosecution’s eliciting testimony that Jos</w:t>
      </w:r>
      <w:r>
        <w:t>e would not have been surprised to learn that Rangel was in a gang because that testimony followed Jose’s testimony to Rangel’s good character.  (</w:t>
      </w:r>
      <w:r>
        <w:rPr>
          <w:i/>
        </w:rPr>
        <w:t xml:space="preserve">People v. </w:t>
      </w:r>
      <w:proofErr w:type="spellStart"/>
      <w:r>
        <w:rPr>
          <w:i/>
        </w:rPr>
        <w:t>Loker</w:t>
      </w:r>
      <w:proofErr w:type="spellEnd"/>
      <w:r>
        <w:t xml:space="preserve">, </w:t>
      </w:r>
      <w:r>
        <w:rPr>
          <w:i/>
        </w:rPr>
        <w:t>supra</w:t>
      </w:r>
      <w:r>
        <w:t>, 44 Cal.4th at p. </w:t>
      </w:r>
      <w:r>
        <w:t>709.)</w:t>
      </w:r>
    </w:p>
    <w:p w:rsidR="00BE1054" w:rsidRDefault="00EF4903" w:rsidP="00BE1054">
      <w:pPr>
        <w:spacing w:line="480" w:lineRule="atLeast"/>
      </w:pPr>
      <w:r>
        <w:tab/>
      </w:r>
      <w:r>
        <w:t>Finally, b</w:t>
      </w:r>
      <w:r>
        <w:t xml:space="preserve">oth </w:t>
      </w:r>
      <w:proofErr w:type="spellStart"/>
      <w:r>
        <w:t>Mora</w:t>
      </w:r>
      <w:proofErr w:type="spellEnd"/>
      <w:r>
        <w:t xml:space="preserve"> and Rangel argue that because the jury was not voir </w:t>
      </w:r>
      <w:proofErr w:type="spellStart"/>
      <w:r>
        <w:t>dired</w:t>
      </w:r>
      <w:proofErr w:type="spellEnd"/>
      <w:r>
        <w:t xml:space="preserve"> regarding gangs, references to gang membership during the penalty phase constituted error.  </w:t>
      </w:r>
      <w:r>
        <w:t>We</w:t>
      </w:r>
      <w:r>
        <w:t xml:space="preserve"> </w:t>
      </w:r>
      <w:r>
        <w:t>find otherwise</w:t>
      </w:r>
      <w:r>
        <w:t>.  Although the prosecutor stated at the outset of trial that she did not believ</w:t>
      </w:r>
      <w:r>
        <w:t>e gang ev</w:t>
      </w:r>
      <w:r>
        <w:t xml:space="preserve">idence would be adduced, </w:t>
      </w:r>
      <w:proofErr w:type="spellStart"/>
      <w:r>
        <w:t>Mora</w:t>
      </w:r>
      <w:proofErr w:type="spellEnd"/>
      <w:r>
        <w:t xml:space="preserve"> </w:t>
      </w:r>
      <w:r>
        <w:t>acknowledged the possibility that some gang evidence could “slip</w:t>
      </w:r>
      <w:r>
        <w:t>[]</w:t>
      </w:r>
      <w:r>
        <w:t xml:space="preserve"> out.”  </w:t>
      </w:r>
      <w:r>
        <w:t xml:space="preserve">During trial, the court reminded defense counsel that declining to conduct voir dire regarding gang issues “was a tactical decision.”  </w:t>
      </w:r>
      <w:r>
        <w:t>As we ha</w:t>
      </w:r>
      <w:r>
        <w:t>ve explained in a slightly different context, “[d]</w:t>
      </w:r>
      <w:proofErr w:type="spellStart"/>
      <w:r>
        <w:t>efense</w:t>
      </w:r>
      <w:proofErr w:type="spellEnd"/>
      <w:r>
        <w:t xml:space="preserve"> counsel are routinely faced with difficult tactical decisions in having to fashion voir dire inquiries that probe for possible penalty phase biases regarding such evidence, while stopping short of re</w:t>
      </w:r>
      <w:r>
        <w:t>vealing information otherwise prejudicial and excludable in the guilt phase.”  (</w:t>
      </w:r>
      <w:r w:rsidRPr="00BE1054">
        <w:rPr>
          <w:i/>
        </w:rPr>
        <w:t>People v. Ray</w:t>
      </w:r>
      <w:r>
        <w:t xml:space="preserve"> (1996) 13 Cal.4th 313, 357.)</w:t>
      </w:r>
    </w:p>
    <w:p w:rsidR="00EB42F1" w:rsidRPr="00931958" w:rsidRDefault="00EF4903" w:rsidP="00AD3521">
      <w:pPr>
        <w:spacing w:line="480" w:lineRule="atLeast"/>
      </w:pPr>
      <w:r>
        <w:tab/>
      </w:r>
      <w:r>
        <w:t xml:space="preserve">The prosecutor never made any guarantee that she would </w:t>
      </w:r>
      <w:r>
        <w:t>avoid</w:t>
      </w:r>
      <w:r>
        <w:t xml:space="preserve"> </w:t>
      </w:r>
      <w:r>
        <w:t>introducing</w:t>
      </w:r>
      <w:r>
        <w:t xml:space="preserve"> gang evidence</w:t>
      </w:r>
      <w:r>
        <w:t xml:space="preserve">.  And while </w:t>
      </w:r>
      <w:r>
        <w:t xml:space="preserve">defense counsel </w:t>
      </w:r>
      <w:r>
        <w:t>avoided addressin</w:t>
      </w:r>
      <w:r>
        <w:t>g</w:t>
      </w:r>
      <w:r>
        <w:t xml:space="preserve"> such evidence during voir dire, that </w:t>
      </w:r>
      <w:r>
        <w:t xml:space="preserve">choice </w:t>
      </w:r>
      <w:r>
        <w:t>did not impose on the prosecution any obligation to refrain from introducing such evidence at trial</w:t>
      </w:r>
      <w:r>
        <w:t xml:space="preserve">.  </w:t>
      </w:r>
      <w:r>
        <w:t>The</w:t>
      </w:r>
      <w:r>
        <w:t xml:space="preserve"> parties agreed to engage in a colloquy if it appeared the prosecution wished to introduce gang evidence.</w:t>
      </w:r>
      <w:r>
        <w:t xml:space="preserve">  The prosecutor did exactly that </w:t>
      </w:r>
      <w:r>
        <w:t xml:space="preserve">during the penalty phase prior to introducing evidence of Rangel’s gang membership in connection with the relevant and admissible </w:t>
      </w:r>
      <w:r>
        <w:t xml:space="preserve">character and </w:t>
      </w:r>
      <w:r>
        <w:t>past crimes evidence</w:t>
      </w:r>
      <w:r>
        <w:t xml:space="preserve">.  </w:t>
      </w:r>
      <w:r>
        <w:t>Gang evidence was inextricably intertwined with the cir</w:t>
      </w:r>
      <w:r>
        <w:t>cumstances of Rangel’s prior offense.  Defense counsel’s early tactical decision to avoid gang voir dire was made with full awareness of the possibility that some gang evidence could be introduced, and its eventual introduction does not transform that tact</w:t>
      </w:r>
      <w:r>
        <w:t>ical choice into error.</w:t>
      </w:r>
      <w:r>
        <w:t xml:space="preserve">  </w:t>
      </w:r>
      <w:r>
        <w:t>(See</w:t>
      </w:r>
      <w:r>
        <w:t>, e.g.,</w:t>
      </w:r>
      <w:r>
        <w:t xml:space="preserve"> </w:t>
      </w:r>
      <w:r>
        <w:rPr>
          <w:i/>
        </w:rPr>
        <w:t>People v. Horton</w:t>
      </w:r>
      <w:r>
        <w:t xml:space="preserve"> (1995) 11 Cal.4th 1068, 1123</w:t>
      </w:r>
      <w:r>
        <w:t>–</w:t>
      </w:r>
      <w:r>
        <w:t>1124</w:t>
      </w:r>
      <w:r>
        <w:t xml:space="preserve"> [counsel’s tactical decision to avoid voir dire on sensitive subject did not render assistance ineffective]</w:t>
      </w:r>
      <w:r>
        <w:t xml:space="preserve">; see also </w:t>
      </w:r>
      <w:r>
        <w:rPr>
          <w:i/>
        </w:rPr>
        <w:t>People v. </w:t>
      </w:r>
      <w:r>
        <w:rPr>
          <w:i/>
        </w:rPr>
        <w:t>Hinton</w:t>
      </w:r>
      <w:r>
        <w:t xml:space="preserve"> (2006) 37 Cal.4th 839, 876 [counsel’s “</w:t>
      </w:r>
      <w:r>
        <w:t xml:space="preserve"> ‘ “</w:t>
      </w:r>
      <w:r>
        <w:t>reasonable, if difficult, tactical decisions</w:t>
      </w:r>
      <w:r>
        <w:t xml:space="preserve">” ’ </w:t>
      </w:r>
      <w:r>
        <w:t xml:space="preserve">” are accorded deference and </w:t>
      </w:r>
      <w:r>
        <w:t xml:space="preserve">must </w:t>
      </w:r>
      <w:r>
        <w:t xml:space="preserve">not </w:t>
      </w:r>
      <w:r>
        <w:t xml:space="preserve">be </w:t>
      </w:r>
      <w:r>
        <w:t>second-guessed on appeal].)</w:t>
      </w:r>
      <w:r>
        <w:t xml:space="preserve">  Having found no error in the introduction of gang evidence in the penalty phase, it follows th</w:t>
      </w:r>
      <w:r>
        <w:t>at no prejudice resulted</w:t>
      </w:r>
      <w:r>
        <w:t>.</w:t>
      </w:r>
    </w:p>
    <w:p w:rsidR="0078340F"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33" w:name="_Toc511210405"/>
      <w:r w:rsidRPr="001246BE">
        <w:rPr>
          <w:rFonts w:ascii="Times New Roman" w:hAnsi="Times New Roman"/>
        </w:rPr>
        <w:t>2.</w:t>
      </w:r>
      <w:r w:rsidRPr="001246BE">
        <w:rPr>
          <w:rFonts w:ascii="Times New Roman" w:hAnsi="Times New Roman"/>
        </w:rPr>
        <w:tab/>
        <w:t>Instructional Error</w:t>
      </w:r>
      <w:bookmarkEnd w:id="33"/>
      <w:r w:rsidRPr="001246BE">
        <w:rPr>
          <w:rFonts w:ascii="Times New Roman" w:hAnsi="Times New Roman"/>
        </w:rPr>
        <w:t xml:space="preserve"> </w:t>
      </w:r>
    </w:p>
    <w:p w:rsidR="00AF5BFA" w:rsidRDefault="00EF4903" w:rsidP="00000E28">
      <w:pPr>
        <w:spacing w:line="480" w:lineRule="atLeast"/>
      </w:pPr>
      <w:r>
        <w:tab/>
      </w:r>
      <w:proofErr w:type="spellStart"/>
      <w:r>
        <w:t>Mora</w:t>
      </w:r>
      <w:proofErr w:type="spellEnd"/>
      <w:r>
        <w:t xml:space="preserve"> and Rangel raise a </w:t>
      </w:r>
      <w:r>
        <w:t xml:space="preserve">host </w:t>
      </w:r>
      <w:r>
        <w:t xml:space="preserve">of instructional error claims, each of which this court has previously rejected.  </w:t>
      </w:r>
      <w:proofErr w:type="spellStart"/>
      <w:r>
        <w:t>Mora</w:t>
      </w:r>
      <w:proofErr w:type="spellEnd"/>
      <w:r>
        <w:t xml:space="preserve"> and Rangel</w:t>
      </w:r>
      <w:r>
        <w:t xml:space="preserve"> </w:t>
      </w:r>
      <w:r>
        <w:t>requested</w:t>
      </w:r>
      <w:r>
        <w:t xml:space="preserve"> </w:t>
      </w:r>
      <w:r>
        <w:t>the jury be instructed that</w:t>
      </w:r>
      <w:r w:rsidRPr="00A0181E">
        <w:t xml:space="preserve"> </w:t>
      </w:r>
      <w:r>
        <w:t>regarding death as a less severe penal</w:t>
      </w:r>
      <w:r>
        <w:t>ty than life</w:t>
      </w:r>
      <w:r>
        <w:t xml:space="preserve"> </w:t>
      </w:r>
      <w:r>
        <w:t>would constitute misconduct</w:t>
      </w:r>
      <w:r>
        <w:t xml:space="preserve">, </w:t>
      </w:r>
      <w:r>
        <w:t>which</w:t>
      </w:r>
      <w:r>
        <w:t xml:space="preserve"> the trial court refused.  As </w:t>
      </w:r>
      <w:r>
        <w:t>this court</w:t>
      </w:r>
      <w:r>
        <w:t xml:space="preserve"> ha</w:t>
      </w:r>
      <w:r>
        <w:t>s</w:t>
      </w:r>
      <w:r>
        <w:t xml:space="preserve"> consistently concluded, </w:t>
      </w:r>
      <w:r>
        <w:t>a</w:t>
      </w:r>
      <w:r>
        <w:t xml:space="preserve"> trial court’s refusal </w:t>
      </w:r>
      <w:r>
        <w:t xml:space="preserve">of this special instruction </w:t>
      </w:r>
      <w:r>
        <w:t>does</w:t>
      </w:r>
      <w:r>
        <w:t xml:space="preserve"> not constit</w:t>
      </w:r>
      <w:r>
        <w:t>ute error, especially because</w:t>
      </w:r>
      <w:r>
        <w:t xml:space="preserve"> “</w:t>
      </w:r>
      <w:r>
        <w:t> </w:t>
      </w:r>
      <w:r>
        <w:t>‘</w:t>
      </w:r>
      <w:r>
        <w:t> </w:t>
      </w:r>
      <w:r>
        <w:t>“the penalty trial itself and the jury</w:t>
      </w:r>
      <w:r>
        <w:t xml:space="preserve"> instructions given, particularly CALJIC </w:t>
      </w:r>
      <w:r>
        <w:t xml:space="preserve">No. </w:t>
      </w:r>
      <w:r>
        <w:t>8.88, make clear that the state views death as the most extreme penalty.” ’ ”</w:t>
      </w:r>
      <w:r>
        <w:t xml:space="preserve">  (</w:t>
      </w:r>
      <w:r>
        <w:rPr>
          <w:i/>
        </w:rPr>
        <w:t>P</w:t>
      </w:r>
      <w:r>
        <w:rPr>
          <w:i/>
        </w:rPr>
        <w:t>eople v. </w:t>
      </w:r>
      <w:r>
        <w:rPr>
          <w:i/>
        </w:rPr>
        <w:t>Contreras</w:t>
      </w:r>
      <w:r>
        <w:t xml:space="preserve"> (2013) 58 Cal.4th 123, 170.)</w:t>
      </w:r>
      <w:r>
        <w:t xml:space="preserve">  </w:t>
      </w:r>
    </w:p>
    <w:p w:rsidR="00A23B69" w:rsidRPr="003F72F0" w:rsidRDefault="00EF4903" w:rsidP="00000E28">
      <w:pPr>
        <w:spacing w:line="480" w:lineRule="atLeast"/>
      </w:pPr>
      <w:r>
        <w:tab/>
      </w:r>
      <w:proofErr w:type="spellStart"/>
      <w:r>
        <w:t>Mora</w:t>
      </w:r>
      <w:proofErr w:type="spellEnd"/>
      <w:r>
        <w:t xml:space="preserve"> and Rangel</w:t>
      </w:r>
      <w:r>
        <w:t xml:space="preserve"> also requested the jury be instructed that drug or alcohol intoxication constitute</w:t>
      </w:r>
      <w:r>
        <w:t>s</w:t>
      </w:r>
      <w:r>
        <w:t xml:space="preserve"> a mitigating factor</w:t>
      </w:r>
      <w:r>
        <w:t xml:space="preserve"> only</w:t>
      </w:r>
      <w:r>
        <w:t>,</w:t>
      </w:r>
      <w:r>
        <w:t xml:space="preserve"> not an aggravating factor.  The</w:t>
      </w:r>
      <w:r>
        <w:t xml:space="preserve"> court declined</w:t>
      </w:r>
      <w:r>
        <w:t xml:space="preserve"> to give t</w:t>
      </w:r>
      <w:r>
        <w:t>his proposed instruction t</w:t>
      </w:r>
      <w:r>
        <w:t>o avoid confusing the jury</w:t>
      </w:r>
      <w:r>
        <w:t xml:space="preserve">.  </w:t>
      </w:r>
      <w:r>
        <w:t xml:space="preserve">As </w:t>
      </w:r>
      <w:proofErr w:type="spellStart"/>
      <w:r>
        <w:t>Mora</w:t>
      </w:r>
      <w:proofErr w:type="spellEnd"/>
      <w:r>
        <w:t xml:space="preserve"> and Rangel</w:t>
      </w:r>
      <w:r>
        <w:t xml:space="preserve"> acknowledge, </w:t>
      </w:r>
      <w:r>
        <w:t>th</w:t>
      </w:r>
      <w:r>
        <w:t>ere is no requirement to specify which factors are aggravating and which are mitigating</w:t>
      </w:r>
      <w:r>
        <w:t>.</w:t>
      </w:r>
      <w:r>
        <w:t xml:space="preserve">  (</w:t>
      </w:r>
      <w:r>
        <w:rPr>
          <w:i/>
        </w:rPr>
        <w:t xml:space="preserve">People v. </w:t>
      </w:r>
      <w:proofErr w:type="spellStart"/>
      <w:r>
        <w:rPr>
          <w:i/>
        </w:rPr>
        <w:t>Farnam</w:t>
      </w:r>
      <w:proofErr w:type="spellEnd"/>
      <w:r>
        <w:t xml:space="preserve">, </w:t>
      </w:r>
      <w:r>
        <w:rPr>
          <w:i/>
        </w:rPr>
        <w:t>supra</w:t>
      </w:r>
      <w:r>
        <w:t>,</w:t>
      </w:r>
      <w:r>
        <w:t xml:space="preserve"> 28 </w:t>
      </w:r>
      <w:r>
        <w:t>Cal.4th 107, 191.)</w:t>
      </w:r>
      <w:r>
        <w:t xml:space="preserve">  </w:t>
      </w:r>
      <w:r>
        <w:t>They</w:t>
      </w:r>
      <w:r>
        <w:t xml:space="preserve"> contend that the issue was confused by the prosecution’s argument and court’s agreement</w:t>
      </w:r>
      <w:r>
        <w:t>, outside the presence of</w:t>
      </w:r>
      <w:r>
        <w:t xml:space="preserve"> the jury,</w:t>
      </w:r>
      <w:r>
        <w:t xml:space="preserve"> that intoxication could be considered as a circumstance of the offense in aggravation under section 190.3, subdivision (a)</w:t>
      </w:r>
      <w:r>
        <w:t xml:space="preserve">.  </w:t>
      </w:r>
      <w:r>
        <w:t>Even if this colloquy was ambiguous or incorrect, it did not occur before the jury and could not have created any misund</w:t>
      </w:r>
      <w:r>
        <w:t xml:space="preserve">erstanding.  </w:t>
      </w:r>
      <w:r>
        <w:t>Furthermore, pursuant to section 190.3, subdivisions (a) and (h), respectively, the jury was instructed to consider</w:t>
      </w:r>
      <w:r w:rsidRPr="00221E73">
        <w:t xml:space="preserve"> </w:t>
      </w:r>
      <w:r>
        <w:t>in determ</w:t>
      </w:r>
      <w:r>
        <w:t>ining the appropriate penalty “[t]</w:t>
      </w:r>
      <w:r>
        <w:t>he circumstances of the crime” and “</w:t>
      </w:r>
      <w:r>
        <w:t>[</w:t>
      </w:r>
      <w:r>
        <w:t>w</w:t>
      </w:r>
      <w:r>
        <w:t>]</w:t>
      </w:r>
      <w:proofErr w:type="spellStart"/>
      <w:r>
        <w:t>hether</w:t>
      </w:r>
      <w:proofErr w:type="spellEnd"/>
      <w:r>
        <w:t xml:space="preserve"> or not at the time of the offense the </w:t>
      </w:r>
      <w:r>
        <w:t xml:space="preserve">capacity of the defendant to appreciate the criminality of his conduct . . . was impaired as a result of . . . intoxication.”  Although </w:t>
      </w:r>
      <w:proofErr w:type="spellStart"/>
      <w:r>
        <w:t>Mora</w:t>
      </w:r>
      <w:proofErr w:type="spellEnd"/>
      <w:r>
        <w:t xml:space="preserve"> and Rangel</w:t>
      </w:r>
      <w:r>
        <w:t xml:space="preserve"> argue that reasonable jurors would have been unable to understand whether to consider intoxication as a </w:t>
      </w:r>
      <w:r>
        <w:t>m</w:t>
      </w:r>
      <w:r>
        <w:t>itigating or aggravating factor, t</w:t>
      </w:r>
      <w:r>
        <w:t>here is no reason to believe this is so.</w:t>
      </w:r>
      <w:r>
        <w:t xml:space="preserve">  </w:t>
      </w:r>
      <w:r>
        <w:t>We therefore</w:t>
      </w:r>
      <w:r>
        <w:t xml:space="preserve"> </w:t>
      </w:r>
      <w:r>
        <w:t>conclude no error resulted from the court’s refusal to give the special instruction concerning intoxication.</w:t>
      </w:r>
      <w:r>
        <w:t xml:space="preserve">  (See </w:t>
      </w:r>
      <w:r>
        <w:rPr>
          <w:i/>
        </w:rPr>
        <w:t xml:space="preserve">People v. </w:t>
      </w:r>
      <w:proofErr w:type="spellStart"/>
      <w:r>
        <w:rPr>
          <w:i/>
        </w:rPr>
        <w:t>Osband</w:t>
      </w:r>
      <w:proofErr w:type="spellEnd"/>
      <w:r>
        <w:t xml:space="preserve"> (1996) 13 Cal.4th 622, 706 [no err</w:t>
      </w:r>
      <w:r>
        <w:t xml:space="preserve">or found in court’s refusal to </w:t>
      </w:r>
      <w:r>
        <w:t>give special instruction</w:t>
      </w:r>
      <w:r>
        <w:t xml:space="preserve"> that intoxication under</w:t>
      </w:r>
      <w:r>
        <w:t xml:space="preserve"> section</w:t>
      </w:r>
      <w:r>
        <w:t xml:space="preserve"> </w:t>
      </w:r>
      <w:r>
        <w:t>190.3, subdivision</w:t>
      </w:r>
      <w:r>
        <w:t xml:space="preserve"> (h) could only be considered in mitigation].)</w:t>
      </w:r>
    </w:p>
    <w:p w:rsidR="00A0181E" w:rsidRDefault="00EF4903" w:rsidP="00000E28">
      <w:pPr>
        <w:spacing w:line="480" w:lineRule="atLeast"/>
      </w:pPr>
      <w:r>
        <w:tab/>
        <w:t xml:space="preserve">Next, </w:t>
      </w:r>
      <w:proofErr w:type="spellStart"/>
      <w:r>
        <w:t>Mora</w:t>
      </w:r>
      <w:proofErr w:type="spellEnd"/>
      <w:r>
        <w:t xml:space="preserve"> and Rangel contend</w:t>
      </w:r>
      <w:r>
        <w:t xml:space="preserve"> that the court erred by refusing a special instruction that evidence of </w:t>
      </w:r>
      <w:r>
        <w:t>their backgrounds could only be consid</w:t>
      </w:r>
      <w:r>
        <w:t xml:space="preserve">ered in mitigation.  </w:t>
      </w:r>
      <w:r>
        <w:t>This court has</w:t>
      </w:r>
      <w:r>
        <w:t xml:space="preserve"> repeatedly rejected similar claims.  (</w:t>
      </w:r>
      <w:r>
        <w:rPr>
          <w:i/>
        </w:rPr>
        <w:t>People v. </w:t>
      </w:r>
      <w:r>
        <w:rPr>
          <w:i/>
        </w:rPr>
        <w:t>Hinton</w:t>
      </w:r>
      <w:r>
        <w:t xml:space="preserve">, </w:t>
      </w:r>
      <w:r>
        <w:rPr>
          <w:i/>
        </w:rPr>
        <w:t>supra</w:t>
      </w:r>
      <w:r>
        <w:t>,</w:t>
      </w:r>
      <w:r>
        <w:t xml:space="preserve"> 37 Cal.4th</w:t>
      </w:r>
      <w:r>
        <w:t xml:space="preserve"> at p.</w:t>
      </w:r>
      <w:r>
        <w:t xml:space="preserve"> 912.)</w:t>
      </w:r>
      <w:r>
        <w:t xml:space="preserve">  In particular, this court has rejected the notion that </w:t>
      </w:r>
      <w:r>
        <w:t>a jury instruction</w:t>
      </w:r>
      <w:r>
        <w:t xml:space="preserve"> should identify particular aggravating or mitigating evidence.  (</w:t>
      </w:r>
      <w:r>
        <w:rPr>
          <w:i/>
        </w:rPr>
        <w:t>Ibid</w:t>
      </w:r>
      <w:r w:rsidRPr="00D64D5F">
        <w:rPr>
          <w:i/>
        </w:rPr>
        <w:t>.</w:t>
      </w:r>
      <w:r>
        <w:t xml:space="preserve">)  As in </w:t>
      </w:r>
      <w:r>
        <w:rPr>
          <w:i/>
        </w:rPr>
        <w:t>People v. Hinton</w:t>
      </w:r>
      <w:r>
        <w:t>, because the jury was correctly instructed concerning factors in aggravation and mitigation, the court did not err by refusing the special instruction.  (</w:t>
      </w:r>
      <w:r>
        <w:rPr>
          <w:i/>
        </w:rPr>
        <w:t>Ibid</w:t>
      </w:r>
      <w:r w:rsidRPr="00D64D5F">
        <w:rPr>
          <w:i/>
        </w:rPr>
        <w:t>.</w:t>
      </w:r>
      <w:r>
        <w:t>)</w:t>
      </w:r>
      <w:r>
        <w:t xml:space="preserve">  </w:t>
      </w:r>
    </w:p>
    <w:p w:rsidR="00B16641" w:rsidRDefault="00EF4903" w:rsidP="00000E28">
      <w:pPr>
        <w:spacing w:line="480" w:lineRule="atLeast"/>
      </w:pPr>
      <w:r>
        <w:tab/>
      </w:r>
      <w:proofErr w:type="spellStart"/>
      <w:r>
        <w:t>Mora</w:t>
      </w:r>
      <w:proofErr w:type="spellEnd"/>
      <w:r>
        <w:t xml:space="preserve"> and Rangel also argue that the trial court improperly rejected three proposed instructions that would</w:t>
      </w:r>
      <w:r>
        <w:t xml:space="preserve"> have clarified </w:t>
      </w:r>
      <w:r>
        <w:t xml:space="preserve">the penalty weighing process.  </w:t>
      </w:r>
      <w:r>
        <w:t xml:space="preserve">This court has repeatedly rejected similar arguments, as </w:t>
      </w:r>
      <w:proofErr w:type="spellStart"/>
      <w:r>
        <w:t>Mora</w:t>
      </w:r>
      <w:proofErr w:type="spellEnd"/>
      <w:r>
        <w:t xml:space="preserve"> and Rangel</w:t>
      </w:r>
      <w:r>
        <w:t xml:space="preserve"> note, because CALJIC </w:t>
      </w:r>
      <w:r>
        <w:t>No. </w:t>
      </w:r>
      <w:r>
        <w:t>8.88</w:t>
      </w:r>
      <w:r>
        <w:rPr>
          <w:rStyle w:val="FootnoteReference"/>
        </w:rPr>
        <w:footnoteReference w:id="21"/>
      </w:r>
      <w:r>
        <w:t xml:space="preserve"> </w:t>
      </w:r>
      <w:r>
        <w:t xml:space="preserve">“ ‘accurately describes </w:t>
      </w:r>
      <w:r>
        <w:t>the individualized, normative nature of the sentencing determ</w:t>
      </w:r>
      <w:r>
        <w:t xml:space="preserve">ination, and properly guides </w:t>
      </w:r>
      <w:r>
        <w:t>the jury’s discretion in this regard.’ ”  (</w:t>
      </w:r>
      <w:r>
        <w:rPr>
          <w:i/>
        </w:rPr>
        <w:t>People v. Cage</w:t>
      </w:r>
      <w:r>
        <w:t xml:space="preserve"> (2015) 62 Cal.4th 256, 291, quoting </w:t>
      </w:r>
      <w:r>
        <w:rPr>
          <w:i/>
        </w:rPr>
        <w:t>People v. Contreras</w:t>
      </w:r>
      <w:r>
        <w:t xml:space="preserve">, </w:t>
      </w:r>
      <w:r>
        <w:rPr>
          <w:i/>
        </w:rPr>
        <w:t>supra</w:t>
      </w:r>
      <w:r>
        <w:t xml:space="preserve">, 58 Cal.4th at </w:t>
      </w:r>
      <w:r>
        <w:t xml:space="preserve">p. </w:t>
      </w:r>
      <w:r>
        <w:t>170.)</w:t>
      </w:r>
    </w:p>
    <w:p w:rsidR="0078340F" w:rsidRPr="001246BE" w:rsidRDefault="00EF4903" w:rsidP="007A4A21">
      <w:pPr>
        <w:spacing w:line="480" w:lineRule="atLeast"/>
      </w:pPr>
      <w:r>
        <w:tab/>
        <w:t xml:space="preserve">Finally, </w:t>
      </w:r>
      <w:proofErr w:type="spellStart"/>
      <w:r>
        <w:t>Mora</w:t>
      </w:r>
      <w:proofErr w:type="spellEnd"/>
      <w:r>
        <w:t xml:space="preserve"> and Rangel</w:t>
      </w:r>
      <w:r>
        <w:t xml:space="preserve"> </w:t>
      </w:r>
      <w:r>
        <w:t>contend</w:t>
      </w:r>
      <w:r>
        <w:t xml:space="preserve"> that the cou</w:t>
      </w:r>
      <w:r>
        <w:t xml:space="preserve">rt erred by declining to give </w:t>
      </w:r>
      <w:r>
        <w:t>special instruction</w:t>
      </w:r>
      <w:r>
        <w:t>s</w:t>
      </w:r>
      <w:r>
        <w:t xml:space="preserve"> limiting the jury’s consideration of victim impact evidence.</w:t>
      </w:r>
      <w:r>
        <w:rPr>
          <w:rStyle w:val="FootnoteReference"/>
        </w:rPr>
        <w:footnoteReference w:id="22"/>
      </w:r>
      <w:r>
        <w:t xml:space="preserve">  </w:t>
      </w:r>
      <w:r>
        <w:t xml:space="preserve">As </w:t>
      </w:r>
      <w:proofErr w:type="spellStart"/>
      <w:r>
        <w:t>Mora</w:t>
      </w:r>
      <w:proofErr w:type="spellEnd"/>
      <w:r>
        <w:t xml:space="preserve"> and Rangel</w:t>
      </w:r>
      <w:r>
        <w:t xml:space="preserve"> acknowledge</w:t>
      </w:r>
      <w:r>
        <w:t>,</w:t>
      </w:r>
      <w:r>
        <w:t xml:space="preserve"> this court has rejected </w:t>
      </w:r>
      <w:r>
        <w:t xml:space="preserve">similar </w:t>
      </w:r>
      <w:r>
        <w:t>challenge</w:t>
      </w:r>
      <w:r>
        <w:t>s</w:t>
      </w:r>
      <w:r>
        <w:t xml:space="preserve"> to </w:t>
      </w:r>
      <w:r>
        <w:t xml:space="preserve">a trial court’s rejection of </w:t>
      </w:r>
      <w:r>
        <w:t>the identical instruction</w:t>
      </w:r>
      <w:r>
        <w:t>s</w:t>
      </w:r>
      <w:r>
        <w:rPr>
          <w:rStyle w:val="FootnoteReference"/>
        </w:rPr>
        <w:footnoteReference w:id="23"/>
      </w:r>
      <w:r>
        <w:t xml:space="preserve"> </w:t>
      </w:r>
      <w:r>
        <w:t>proposed here.  (</w:t>
      </w:r>
      <w:r>
        <w:rPr>
          <w:i/>
        </w:rPr>
        <w:t xml:space="preserve">People v. </w:t>
      </w:r>
      <w:proofErr w:type="spellStart"/>
      <w:r>
        <w:rPr>
          <w:i/>
        </w:rPr>
        <w:t>Zamudio</w:t>
      </w:r>
      <w:proofErr w:type="spellEnd"/>
      <w:r>
        <w:t xml:space="preserve"> (2008) 43 Cal.4th 327, 368</w:t>
      </w:r>
      <w:r>
        <w:t xml:space="preserve"> [finding no error in trial court’s refusal to give instruction identical to the one </w:t>
      </w:r>
      <w:proofErr w:type="spellStart"/>
      <w:r>
        <w:t>Mora</w:t>
      </w:r>
      <w:proofErr w:type="spellEnd"/>
      <w:r>
        <w:t xml:space="preserve"> proposed]</w:t>
      </w:r>
      <w:r>
        <w:t>.)</w:t>
      </w:r>
      <w:r>
        <w:t xml:space="preserve">  </w:t>
      </w:r>
      <w:r>
        <w:t>Out of an abundance of caution, the</w:t>
      </w:r>
      <w:r>
        <w:t xml:space="preserve"> court</w:t>
      </w:r>
      <w:r>
        <w:t xml:space="preserve"> added a sentence to CALJIC No. </w:t>
      </w:r>
      <w:r>
        <w:t>8.84.1, instructing the jury that they “must face [their] obligation soberly and rationally and . . . not [</w:t>
      </w:r>
      <w:r>
        <w:rPr>
          <w:i/>
        </w:rPr>
        <w:t>sic</w:t>
      </w:r>
      <w:r>
        <w:t>] a purely subjective response to emotional evidence</w:t>
      </w:r>
      <w:r>
        <w:t>.</w:t>
      </w:r>
      <w:r>
        <w:t>”</w:t>
      </w:r>
      <w:r>
        <w:t xml:space="preserve">  </w:t>
      </w:r>
      <w:r>
        <w:t xml:space="preserve">Neither </w:t>
      </w:r>
      <w:proofErr w:type="spellStart"/>
      <w:r>
        <w:t>Mora</w:t>
      </w:r>
      <w:proofErr w:type="spellEnd"/>
      <w:r>
        <w:t xml:space="preserve"> nor Rangel contend the addition of this</w:t>
      </w:r>
      <w:r>
        <w:t xml:space="preserve"> language constituted error, but only that it was not sufficient to cure the error flowing from the court’s refusal to give the requested special instructions.  </w:t>
      </w:r>
      <w:r>
        <w:t>We</w:t>
      </w:r>
      <w:r>
        <w:t xml:space="preserve"> disagree.  </w:t>
      </w:r>
      <w:r>
        <w:t>The substance of the proposed instruction was adequately conveyed by the modified</w:t>
      </w:r>
      <w:r>
        <w:t xml:space="preserve"> version of CALJIC No. 8.84.1 given by the court</w:t>
      </w:r>
      <w:r>
        <w:t>.  N</w:t>
      </w:r>
      <w:r>
        <w:t>o error resulted from the court’s refusal to provide it.  (</w:t>
      </w:r>
      <w:r>
        <w:rPr>
          <w:i/>
        </w:rPr>
        <w:t>Ibid</w:t>
      </w:r>
      <w:r w:rsidRPr="00D64D5F">
        <w:rPr>
          <w:i/>
        </w:rPr>
        <w:t>.</w:t>
      </w:r>
      <w:r>
        <w:t xml:space="preserve">)  Moreover, as we concluded in </w:t>
      </w:r>
      <w:r>
        <w:rPr>
          <w:i/>
        </w:rPr>
        <w:t xml:space="preserve">People v. </w:t>
      </w:r>
      <w:proofErr w:type="spellStart"/>
      <w:r>
        <w:rPr>
          <w:i/>
        </w:rPr>
        <w:t>Zamudio</w:t>
      </w:r>
      <w:proofErr w:type="spellEnd"/>
      <w:r>
        <w:t xml:space="preserve">, </w:t>
      </w:r>
      <w:r>
        <w:rPr>
          <w:i/>
        </w:rPr>
        <w:t>supra</w:t>
      </w:r>
      <w:r>
        <w:t xml:space="preserve">, “the requested instruction is misleading to the extent it indicates that emotions </w:t>
      </w:r>
      <w:r>
        <w:t>may play no part in a juror’s decision to opt for the death penalty.”  (</w:t>
      </w:r>
      <w:r>
        <w:rPr>
          <w:i/>
        </w:rPr>
        <w:t>Ibid</w:t>
      </w:r>
      <w:r w:rsidRPr="00D64D5F">
        <w:rPr>
          <w:i/>
        </w:rPr>
        <w:t>.</w:t>
      </w:r>
      <w:r>
        <w:t xml:space="preserve">)  Because the proposed </w:t>
      </w:r>
      <w:r>
        <w:t xml:space="preserve">special </w:t>
      </w:r>
      <w:r>
        <w:t>instruction was redundant and misleading, the</w:t>
      </w:r>
      <w:r>
        <w:t xml:space="preserve"> court’s refusal t</w:t>
      </w:r>
      <w:r>
        <w:t xml:space="preserve">o give </w:t>
      </w:r>
      <w:r>
        <w:t>it</w:t>
      </w:r>
      <w:r>
        <w:t xml:space="preserve"> did not constitute error.  (</w:t>
      </w:r>
      <w:r>
        <w:rPr>
          <w:i/>
        </w:rPr>
        <w:t>Ibid</w:t>
      </w:r>
      <w:r w:rsidRPr="00D64D5F">
        <w:rPr>
          <w:i/>
        </w:rPr>
        <w:t>.</w:t>
      </w:r>
      <w:r>
        <w:t xml:space="preserve">)  </w:t>
      </w:r>
      <w:r>
        <w:t>With</w:t>
      </w:r>
      <w:r>
        <w:t xml:space="preserve"> no error </w:t>
      </w:r>
      <w:r>
        <w:t xml:space="preserve">in need of </w:t>
      </w:r>
      <w:r>
        <w:t xml:space="preserve">cure, </w:t>
      </w:r>
      <w:proofErr w:type="spellStart"/>
      <w:r>
        <w:t>Mora</w:t>
      </w:r>
      <w:proofErr w:type="spellEnd"/>
      <w:r>
        <w:t xml:space="preserve"> an</w:t>
      </w:r>
      <w:r>
        <w:t>d Rangel’s</w:t>
      </w:r>
      <w:r>
        <w:t xml:space="preserve"> claims that the augmentation to CALJIC No. 8.84.1 was insufficient fails. </w:t>
      </w:r>
      <w:r>
        <w:t xml:space="preserve"> </w:t>
      </w:r>
    </w:p>
    <w:p w:rsidR="0078340F"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34" w:name="_Toc511210406"/>
      <w:r w:rsidRPr="001246BE">
        <w:rPr>
          <w:rFonts w:ascii="Times New Roman" w:hAnsi="Times New Roman"/>
        </w:rPr>
        <w:t>3.</w:t>
      </w:r>
      <w:r w:rsidRPr="001246BE">
        <w:rPr>
          <w:rFonts w:ascii="Times New Roman" w:hAnsi="Times New Roman"/>
        </w:rPr>
        <w:tab/>
        <w:t>Continuance Request</w:t>
      </w:r>
      <w:bookmarkEnd w:id="34"/>
      <w:r w:rsidRPr="001246BE">
        <w:rPr>
          <w:rFonts w:ascii="Times New Roman" w:hAnsi="Times New Roman"/>
        </w:rPr>
        <w:t xml:space="preserve"> </w:t>
      </w:r>
    </w:p>
    <w:p w:rsidR="001725FC" w:rsidRDefault="00EF4903" w:rsidP="0020499F">
      <w:pPr>
        <w:spacing w:line="480" w:lineRule="atLeast"/>
      </w:pPr>
      <w:r>
        <w:tab/>
        <w:t xml:space="preserve">Rangel contends the trial court abused its discretion </w:t>
      </w:r>
      <w:r>
        <w:t xml:space="preserve">and violated his constitutional rights to due process, </w:t>
      </w:r>
      <w:r>
        <w:t xml:space="preserve">to </w:t>
      </w:r>
      <w:r>
        <w:t xml:space="preserve">a fair trial, to present a defense, to equal protection, to a reliable penalty phase, and to the effective assistance of counsel </w:t>
      </w:r>
      <w:r>
        <w:t>by denying a continuance</w:t>
      </w:r>
      <w:r>
        <w:t>.  A continuance was essential, he argues,</w:t>
      </w:r>
      <w:r>
        <w:t xml:space="preserve"> </w:t>
      </w:r>
      <w:r>
        <w:t xml:space="preserve">because it would have allowed </w:t>
      </w:r>
      <w:r>
        <w:t>him to</w:t>
      </w:r>
      <w:r>
        <w:t xml:space="preserve"> determine whether to pr</w:t>
      </w:r>
      <w:r>
        <w:t xml:space="preserve">esent a </w:t>
      </w:r>
      <w:proofErr w:type="spellStart"/>
      <w:r>
        <w:t>surrebuttal</w:t>
      </w:r>
      <w:proofErr w:type="spellEnd"/>
      <w:r>
        <w:t xml:space="preserve"> witness, and </w:t>
      </w:r>
      <w:r>
        <w:t>denying a continuance postponing</w:t>
      </w:r>
      <w:r>
        <w:t xml:space="preserve"> closing argument.</w:t>
      </w:r>
      <w:r>
        <w:t xml:space="preserve">  </w:t>
      </w:r>
      <w:r>
        <w:t>We</w:t>
      </w:r>
      <w:r>
        <w:t xml:space="preserve"> conclude the court’s denial</w:t>
      </w:r>
      <w:r>
        <w:t>s of these</w:t>
      </w:r>
      <w:r>
        <w:t xml:space="preserve"> continuance</w:t>
      </w:r>
      <w:r>
        <w:t>s</w:t>
      </w:r>
      <w:r>
        <w:t xml:space="preserve"> w</w:t>
      </w:r>
      <w:r>
        <w:t>ere</w:t>
      </w:r>
      <w:r>
        <w:t xml:space="preserve"> </w:t>
      </w:r>
      <w:r>
        <w:t>proper</w:t>
      </w:r>
      <w:r>
        <w:t>.</w:t>
      </w:r>
    </w:p>
    <w:p w:rsidR="002F575F" w:rsidRPr="001246BE" w:rsidRDefault="00EF4903" w:rsidP="002F575F">
      <w:pPr>
        <w:pStyle w:val="Heading4"/>
        <w:rPr>
          <w:rFonts w:ascii="Times New Roman" w:hAnsi="Times New Roman"/>
          <w:b w:val="0"/>
          <w:i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a.</w:t>
      </w:r>
      <w:r w:rsidRPr="001246BE">
        <w:rPr>
          <w:rFonts w:ascii="Times New Roman" w:hAnsi="Times New Roman"/>
          <w:b w:val="0"/>
          <w:i w:val="0"/>
          <w:color w:val="auto"/>
        </w:rPr>
        <w:tab/>
      </w:r>
      <w:r w:rsidRPr="001246BE">
        <w:rPr>
          <w:rFonts w:ascii="Times New Roman" w:hAnsi="Times New Roman"/>
          <w:b w:val="0"/>
          <w:color w:val="auto"/>
        </w:rPr>
        <w:t>Background</w:t>
      </w:r>
    </w:p>
    <w:p w:rsidR="0020499F" w:rsidRDefault="00EF4903" w:rsidP="0020499F">
      <w:pPr>
        <w:spacing w:line="480" w:lineRule="atLeast"/>
      </w:pPr>
      <w:r>
        <w:tab/>
        <w:t xml:space="preserve">After the prosecution presented gang expert evidence, the court asked </w:t>
      </w:r>
      <w:r>
        <w:t>if Rangel inte</w:t>
      </w:r>
      <w:r>
        <w:t>nd</w:t>
      </w:r>
      <w:r>
        <w:t xml:space="preserve">ed to present a </w:t>
      </w:r>
      <w:proofErr w:type="spellStart"/>
      <w:r>
        <w:t>surrebuttal</w:t>
      </w:r>
      <w:proofErr w:type="spellEnd"/>
      <w:r>
        <w:t xml:space="preserve"> witness.  </w:t>
      </w:r>
      <w:r>
        <w:t>Rangel sought a contin</w:t>
      </w:r>
      <w:r>
        <w:t xml:space="preserve">uance </w:t>
      </w:r>
      <w:r>
        <w:t>to decide</w:t>
      </w:r>
      <w:r>
        <w:t xml:space="preserve"> whether to do so</w:t>
      </w:r>
      <w:r>
        <w:t>, which the court denied</w:t>
      </w:r>
      <w:r>
        <w:t>.  Rangel objected, and the court inquired if any witness was contemplated.  R</w:t>
      </w:r>
      <w:r>
        <w:t xml:space="preserve">angel replied, “Possible.”  </w:t>
      </w:r>
      <w:r>
        <w:t>Upon the court’s request for great</w:t>
      </w:r>
      <w:r>
        <w:t>er specificity,</w:t>
      </w:r>
      <w:r>
        <w:t xml:space="preserve"> Rangel </w:t>
      </w:r>
      <w:r>
        <w:t>indicated he</w:t>
      </w:r>
      <w:r>
        <w:t xml:space="preserve"> “might” call </w:t>
      </w:r>
      <w:r>
        <w:t>his father, Ruben Gomez Rangel, who was not then present in</w:t>
      </w:r>
      <w:r>
        <w:t xml:space="preserve"> court.  </w:t>
      </w:r>
      <w:r>
        <w:t xml:space="preserve">The court provided Rangel two and </w:t>
      </w:r>
      <w:r>
        <w:t xml:space="preserve">one-half hours to contact </w:t>
      </w:r>
      <w:r>
        <w:t>Ruben</w:t>
      </w:r>
      <w:r>
        <w:t xml:space="preserve"> and secure his presence at court, and to provide an offer of proof regard</w:t>
      </w:r>
      <w:r>
        <w:t xml:space="preserve">ing </w:t>
      </w:r>
      <w:r>
        <w:t>Ruben’</w:t>
      </w:r>
      <w:r>
        <w:t>s testimony to ensure it would constitute a</w:t>
      </w:r>
      <w:r>
        <w:t xml:space="preserve">ppropriate </w:t>
      </w:r>
      <w:proofErr w:type="spellStart"/>
      <w:r>
        <w:t>surrebuttal</w:t>
      </w:r>
      <w:proofErr w:type="spellEnd"/>
      <w:r>
        <w:t xml:space="preserve"> material.  The court</w:t>
      </w:r>
      <w:r>
        <w:t xml:space="preserve"> noted </w:t>
      </w:r>
      <w:r>
        <w:t>it was “not making any promises.”</w:t>
      </w:r>
      <w:r>
        <w:t xml:space="preserve">  Rangel </w:t>
      </w:r>
      <w:r>
        <w:t>did not</w:t>
      </w:r>
      <w:r>
        <w:t xml:space="preserve"> contact </w:t>
      </w:r>
      <w:r>
        <w:t xml:space="preserve">Ruben during the two and </w:t>
      </w:r>
      <w:r>
        <w:t xml:space="preserve">one-half hours, but planned to contact Ruben that evening </w:t>
      </w:r>
      <w:r>
        <w:t>and requ</w:t>
      </w:r>
      <w:r>
        <w:t>ested a recess</w:t>
      </w:r>
      <w:r>
        <w:t xml:space="preserve"> to do so</w:t>
      </w:r>
      <w:r>
        <w:t xml:space="preserve">.  </w:t>
      </w:r>
      <w:r>
        <w:t>Over objection, the recess was denied.</w:t>
      </w:r>
      <w:r>
        <w:t xml:space="preserve">  </w:t>
      </w:r>
    </w:p>
    <w:p w:rsidR="0020499F" w:rsidRDefault="00EF4903" w:rsidP="0020499F">
      <w:pPr>
        <w:spacing w:line="480" w:lineRule="atLeast"/>
      </w:pPr>
      <w:r>
        <w:tab/>
      </w:r>
      <w:r>
        <w:t>The court was ready to begin Rangel’s closing penalty phase argument at a</w:t>
      </w:r>
      <w:r>
        <w:t>round 3:50 p.m. that day</w:t>
      </w:r>
      <w:r>
        <w:t xml:space="preserve">. </w:t>
      </w:r>
      <w:r>
        <w:t xml:space="preserve"> </w:t>
      </w:r>
      <w:r>
        <w:t>Noting the time, Range</w:t>
      </w:r>
      <w:r>
        <w:t>l</w:t>
      </w:r>
      <w:r>
        <w:t xml:space="preserve"> </w:t>
      </w:r>
      <w:r>
        <w:t>expressed concern that the jurors would be tired</w:t>
      </w:r>
      <w:r>
        <w:t xml:space="preserve"> and the closing</w:t>
      </w:r>
      <w:r>
        <w:t xml:space="preserve"> argument would be rushed</w:t>
      </w:r>
      <w:r>
        <w:t xml:space="preserve">.  The court </w:t>
      </w:r>
      <w:r>
        <w:t>promised that there would be</w:t>
      </w:r>
      <w:r>
        <w:t xml:space="preserve"> time </w:t>
      </w:r>
      <w:r>
        <w:t xml:space="preserve">enough </w:t>
      </w:r>
      <w:r>
        <w:t xml:space="preserve">to complete </w:t>
      </w:r>
      <w:r>
        <w:t>the</w:t>
      </w:r>
      <w:r>
        <w:t xml:space="preserve"> argument, </w:t>
      </w:r>
      <w:r>
        <w:t>and agreed to stay in session</w:t>
      </w:r>
      <w:r>
        <w:t xml:space="preserve"> past the 4:30 p.m. adjournment time if needed.  When Rangel again balked because jurors would be fatigued and would likel</w:t>
      </w:r>
      <w:r>
        <w:t>y wish to go home at that time, the court noted that the jurors had been attentive</w:t>
      </w:r>
      <w:r>
        <w:t xml:space="preserve"> thus far</w:t>
      </w:r>
      <w:r>
        <w:t xml:space="preserve"> and had had a relatively short court day in light of the many discussions that took place outside the presence of the jury.  </w:t>
      </w:r>
      <w:r>
        <w:t>Over objection</w:t>
      </w:r>
      <w:r>
        <w:t>, the court declined to</w:t>
      </w:r>
      <w:r>
        <w:t xml:space="preserve"> r</w:t>
      </w:r>
      <w:r>
        <w:t>ecess.  Rangel</w:t>
      </w:r>
      <w:r>
        <w:t>’s</w:t>
      </w:r>
      <w:r>
        <w:t xml:space="preserve"> closing</w:t>
      </w:r>
      <w:r>
        <w:t xml:space="preserve"> argument </w:t>
      </w:r>
      <w:r>
        <w:t>began</w:t>
      </w:r>
      <w:r>
        <w:t xml:space="preserve"> at 3:55 p.m.  </w:t>
      </w:r>
    </w:p>
    <w:p w:rsidR="0020499F" w:rsidRPr="0020499F" w:rsidRDefault="00EF4903" w:rsidP="0020499F">
      <w:pPr>
        <w:spacing w:line="480" w:lineRule="atLeast"/>
      </w:pPr>
      <w:r>
        <w:tab/>
      </w:r>
      <w:r>
        <w:t>After a half-hour of argument, t</w:t>
      </w:r>
      <w:r>
        <w:t xml:space="preserve">he court called the parties to the bench to discuss an improper line of </w:t>
      </w:r>
      <w:r>
        <w:t xml:space="preserve">discussion in </w:t>
      </w:r>
      <w:r>
        <w:t xml:space="preserve">Rangel’s </w:t>
      </w:r>
      <w:r>
        <w:t>closing</w:t>
      </w:r>
      <w:r>
        <w:t xml:space="preserve">.  The court warned </w:t>
      </w:r>
      <w:r>
        <w:t xml:space="preserve">it would conclude Rangel’s closing if further </w:t>
      </w:r>
      <w:r>
        <w:t xml:space="preserve">improper argument leading to </w:t>
      </w:r>
      <w:r>
        <w:t>interruption</w:t>
      </w:r>
      <w:r>
        <w:t>s</w:t>
      </w:r>
      <w:r>
        <w:t xml:space="preserve"> </w:t>
      </w:r>
      <w:r>
        <w:t>occurred</w:t>
      </w:r>
      <w:r>
        <w:t>, to which Rangel’s counsel responded</w:t>
      </w:r>
      <w:r>
        <w:t>,</w:t>
      </w:r>
      <w:r>
        <w:t xml:space="preserve"> “It’s probably the end anyway because I don’t have enough time.”  </w:t>
      </w:r>
      <w:r>
        <w:t xml:space="preserve">When counsel resumed argument, she spoke for less than a </w:t>
      </w:r>
      <w:r>
        <w:t>minute more and concluded her closing argum</w:t>
      </w:r>
      <w:r>
        <w:t xml:space="preserve">ent at 4:50 p.m.  </w:t>
      </w:r>
    </w:p>
    <w:p w:rsidR="0020499F" w:rsidRDefault="00EF4903" w:rsidP="00905F58">
      <w:pPr>
        <w:pStyle w:val="Heading4"/>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b.</w:t>
      </w:r>
      <w:r w:rsidRPr="001246BE">
        <w:rPr>
          <w:rFonts w:ascii="Times New Roman" w:hAnsi="Times New Roman"/>
          <w:b w:val="0"/>
          <w:i w:val="0"/>
          <w:color w:val="auto"/>
        </w:rPr>
        <w:tab/>
      </w:r>
      <w:r w:rsidRPr="001246BE">
        <w:rPr>
          <w:rFonts w:ascii="Times New Roman" w:hAnsi="Times New Roman"/>
          <w:b w:val="0"/>
          <w:color w:val="auto"/>
        </w:rPr>
        <w:t>Discussion</w:t>
      </w:r>
    </w:p>
    <w:p w:rsidR="00DF46C0" w:rsidRDefault="00EF4903" w:rsidP="007552E3">
      <w:pPr>
        <w:spacing w:line="480" w:lineRule="atLeast"/>
      </w:pPr>
      <w:r>
        <w:tab/>
      </w:r>
      <w:r>
        <w:t>A</w:t>
      </w:r>
      <w:r>
        <w:t xml:space="preserve"> trial court has broad discretion to grant or deny continuances. </w:t>
      </w:r>
      <w:r>
        <w:t xml:space="preserve"> </w:t>
      </w:r>
      <w:r>
        <w:t>(</w:t>
      </w:r>
      <w:r>
        <w:rPr>
          <w:i/>
        </w:rPr>
        <w:t>Jenkins</w:t>
      </w:r>
      <w:r>
        <w:t xml:space="preserve">, </w:t>
      </w:r>
      <w:r>
        <w:rPr>
          <w:i/>
        </w:rPr>
        <w:t>supra</w:t>
      </w:r>
      <w:r>
        <w:t xml:space="preserve">, 22 Cal.4th at p. 1037; see </w:t>
      </w:r>
      <w:r>
        <w:rPr>
          <w:i/>
        </w:rPr>
        <w:t xml:space="preserve">Morris v. </w:t>
      </w:r>
      <w:proofErr w:type="spellStart"/>
      <w:r>
        <w:rPr>
          <w:i/>
        </w:rPr>
        <w:t>Slappy</w:t>
      </w:r>
      <w:proofErr w:type="spellEnd"/>
      <w:r>
        <w:t xml:space="preserve"> (1983) 461 </w:t>
      </w:r>
      <w:r>
        <w:t>U.S. 1, 11–</w:t>
      </w:r>
      <w:r>
        <w:t>12</w:t>
      </w:r>
      <w:r>
        <w:t xml:space="preserve"> </w:t>
      </w:r>
      <w:r>
        <w:t>[</w:t>
      </w:r>
      <w:r>
        <w:t>“</w:t>
      </w:r>
      <w:r w:rsidRPr="00B632CF">
        <w:t xml:space="preserve">Trial judges necessarily require a great deal of latitude in scheduling trials. </w:t>
      </w:r>
      <w:r>
        <w:t xml:space="preserve"> </w:t>
      </w:r>
      <w:r w:rsidRPr="00B632CF">
        <w:t>Not the least of their problems is that of assembling the witnesses, lawyers, and jurors at the same place at the same time, and this burden counsels against continuances exce</w:t>
      </w:r>
      <w:r w:rsidRPr="00B632CF">
        <w:t xml:space="preserve">pt for compelling reasons. </w:t>
      </w:r>
      <w:r>
        <w:t xml:space="preserve"> </w:t>
      </w:r>
      <w:r w:rsidRPr="00B632CF">
        <w:t xml:space="preserve">Consequently, broad discretion must be granted trial courts on matters of continuances; only an unreasoning and arbitrary </w:t>
      </w:r>
      <w:r>
        <w:t>‘</w:t>
      </w:r>
      <w:r w:rsidRPr="00B632CF">
        <w:t>insistence upon expeditiousness in the face of</w:t>
      </w:r>
      <w:r>
        <w:t xml:space="preserve"> a justifiable</w:t>
      </w:r>
      <w:r w:rsidRPr="00B632CF">
        <w:t xml:space="preserve"> request for delay</w:t>
      </w:r>
      <w:r>
        <w:t>’</w:t>
      </w:r>
      <w:r w:rsidRPr="00B632CF">
        <w:t xml:space="preserve"> violates the rig</w:t>
      </w:r>
      <w:r>
        <w:t>ht to the</w:t>
      </w:r>
      <w:r>
        <w:t xml:space="preserve"> assistance of counsel</w:t>
      </w:r>
      <w:r>
        <w:t xml:space="preserve">”].)  </w:t>
      </w:r>
      <w:r>
        <w:t>We review a trial court’s denial of a continuance request for abuse of discretion.  (</w:t>
      </w:r>
      <w:r>
        <w:rPr>
          <w:i/>
        </w:rPr>
        <w:t>Jenkins</w:t>
      </w:r>
      <w:r>
        <w:t xml:space="preserve">, </w:t>
      </w:r>
      <w:r>
        <w:rPr>
          <w:i/>
        </w:rPr>
        <w:t>supra</w:t>
      </w:r>
      <w:r>
        <w:t>,</w:t>
      </w:r>
      <w:r>
        <w:t xml:space="preserve"> 22 </w:t>
      </w:r>
      <w:r>
        <w:t xml:space="preserve">Cal.4th </w:t>
      </w:r>
      <w:r>
        <w:t>at p.</w:t>
      </w:r>
      <w:r>
        <w:t> </w:t>
      </w:r>
      <w:r>
        <w:t xml:space="preserve">1037.)  Rangel argues the trial court abused its broad discretion in denying </w:t>
      </w:r>
      <w:r>
        <w:t xml:space="preserve">two </w:t>
      </w:r>
      <w:r>
        <w:t xml:space="preserve">continuance </w:t>
      </w:r>
      <w:r>
        <w:t xml:space="preserve">requests made on </w:t>
      </w:r>
      <w:r>
        <w:t xml:space="preserve">the same day:  the first, </w:t>
      </w:r>
      <w:r>
        <w:t xml:space="preserve">to contact a witness </w:t>
      </w:r>
      <w:r>
        <w:t>that had already testified to determine whether that witness could supply</w:t>
      </w:r>
      <w:r>
        <w:t xml:space="preserve"> appropriate </w:t>
      </w:r>
      <w:proofErr w:type="spellStart"/>
      <w:r>
        <w:t>surrebuttal</w:t>
      </w:r>
      <w:proofErr w:type="spellEnd"/>
      <w:r>
        <w:t xml:space="preserve"> </w:t>
      </w:r>
      <w:r>
        <w:t>testimony</w:t>
      </w:r>
      <w:r>
        <w:t>, and the second,</w:t>
      </w:r>
      <w:r>
        <w:t xml:space="preserve"> to </w:t>
      </w:r>
      <w:r>
        <w:t>wait until the following day to present</w:t>
      </w:r>
      <w:r>
        <w:t xml:space="preserve"> closing argument </w:t>
      </w:r>
      <w:r>
        <w:t>in case the jurors were</w:t>
      </w:r>
      <w:r>
        <w:t xml:space="preserve"> </w:t>
      </w:r>
      <w:r>
        <w:t xml:space="preserve">tired.  </w:t>
      </w:r>
      <w:r>
        <w:t>T</w:t>
      </w:r>
      <w:r>
        <w:t>he trial court acted within its discretion in denying both requests.</w:t>
      </w:r>
    </w:p>
    <w:p w:rsidR="005B6577" w:rsidRDefault="00EF4903" w:rsidP="007552E3">
      <w:pPr>
        <w:spacing w:line="480" w:lineRule="atLeast"/>
      </w:pPr>
      <w:r>
        <w:tab/>
        <w:t xml:space="preserve">Rangel bore the burden to demonstrate good cause for a continuance to secure a </w:t>
      </w:r>
      <w:proofErr w:type="spellStart"/>
      <w:r>
        <w:t>surrebuttal</w:t>
      </w:r>
      <w:proofErr w:type="spellEnd"/>
      <w:r>
        <w:t xml:space="preserve"> witness.  (</w:t>
      </w:r>
      <w:r>
        <w:rPr>
          <w:i/>
        </w:rPr>
        <w:t>Jenkins</w:t>
      </w:r>
      <w:r>
        <w:t xml:space="preserve">, </w:t>
      </w:r>
      <w:r>
        <w:rPr>
          <w:i/>
        </w:rPr>
        <w:t>supra</w:t>
      </w:r>
      <w:r>
        <w:t>, 22 Cal.4th at p. 1037.)  Rangel must have</w:t>
      </w:r>
      <w:r>
        <w:t xml:space="preserve"> </w:t>
      </w:r>
      <w:r>
        <w:t>—</w:t>
      </w:r>
      <w:r>
        <w:t xml:space="preserve"> </w:t>
      </w:r>
      <w:r>
        <w:t>and did not</w:t>
      </w:r>
      <w:r>
        <w:t xml:space="preserve"> </w:t>
      </w:r>
      <w:r>
        <w:t>—</w:t>
      </w:r>
      <w:r>
        <w:t xml:space="preserve"> </w:t>
      </w:r>
      <w:r>
        <w:t>s</w:t>
      </w:r>
      <w:r>
        <w:t>how he exercised due diligence in securing the witness’s presence, that the expec</w:t>
      </w:r>
      <w:r>
        <w:t>ted testimony was material, non</w:t>
      </w:r>
      <w:r>
        <w:t xml:space="preserve">cumulative, and could be secured within a reasonable period of time, and </w:t>
      </w:r>
      <w:r>
        <w:t xml:space="preserve">that </w:t>
      </w:r>
      <w:r>
        <w:t>the facts to which the witness was expected to testify could not o</w:t>
      </w:r>
      <w:r>
        <w:t>therwise be proven.  (</w:t>
      </w:r>
      <w:r>
        <w:rPr>
          <w:i/>
        </w:rPr>
        <w:t>Ibid</w:t>
      </w:r>
      <w:r w:rsidRPr="00D64D5F">
        <w:rPr>
          <w:i/>
        </w:rPr>
        <w:t>.</w:t>
      </w:r>
      <w:r>
        <w:t>)  We accor</w:t>
      </w:r>
      <w:r>
        <w:t>d substantial deference to a tr</w:t>
      </w:r>
      <w:r>
        <w:t>i</w:t>
      </w:r>
      <w:r>
        <w:t>a</w:t>
      </w:r>
      <w:r>
        <w:t>l court’s determination of these issues.  (</w:t>
      </w:r>
      <w:r>
        <w:rPr>
          <w:i/>
        </w:rPr>
        <w:t>People v. Howard</w:t>
      </w:r>
      <w:r>
        <w:t xml:space="preserve"> (1992) 1 Cal.4th 1132, 1172.)</w:t>
      </w:r>
    </w:p>
    <w:p w:rsidR="00C40B73" w:rsidRDefault="00EF4903" w:rsidP="007552E3">
      <w:pPr>
        <w:spacing w:line="480" w:lineRule="atLeast"/>
      </w:pPr>
      <w:r>
        <w:tab/>
        <w:t xml:space="preserve">As Rangel conceded before the trial court, he was unable to show that </w:t>
      </w:r>
      <w:r>
        <w:t>Ruben’s</w:t>
      </w:r>
      <w:r>
        <w:t xml:space="preserve"> expected testimony in </w:t>
      </w:r>
      <w:proofErr w:type="spellStart"/>
      <w:r>
        <w:t>sur</w:t>
      </w:r>
      <w:r>
        <w:t>rebuttal</w:t>
      </w:r>
      <w:proofErr w:type="spellEnd"/>
      <w:r>
        <w:t xml:space="preserve"> would be material, non</w:t>
      </w:r>
      <w:r>
        <w:t xml:space="preserve">cumulative, or </w:t>
      </w:r>
      <w:r>
        <w:t>would concern</w:t>
      </w:r>
      <w:r>
        <w:t xml:space="preserve"> facts not otherwise capable of proof.  When the trial court asked </w:t>
      </w:r>
      <w:r>
        <w:t xml:space="preserve">if Rangel intended to </w:t>
      </w:r>
      <w:r>
        <w:t xml:space="preserve">present a </w:t>
      </w:r>
      <w:proofErr w:type="spellStart"/>
      <w:r>
        <w:t>surrebuttal</w:t>
      </w:r>
      <w:proofErr w:type="spellEnd"/>
      <w:r>
        <w:t xml:space="preserve"> witness, </w:t>
      </w:r>
      <w:r>
        <w:t xml:space="preserve">Rangel acknowledged only that it was “possible” </w:t>
      </w:r>
      <w:r>
        <w:t xml:space="preserve">he </w:t>
      </w:r>
      <w:r>
        <w:t xml:space="preserve">would do so.  When called upon to be more specific, </w:t>
      </w:r>
      <w:r>
        <w:t>Rangel replied that he</w:t>
      </w:r>
      <w:r>
        <w:t xml:space="preserve"> “might” call</w:t>
      </w:r>
      <w:r>
        <w:t xml:space="preserve"> Ruben</w:t>
      </w:r>
      <w:r>
        <w:t>.  Ra</w:t>
      </w:r>
      <w:r>
        <w:t>ngel</w:t>
      </w:r>
      <w:r>
        <w:t xml:space="preserve"> was given an opportunity to contact </w:t>
      </w:r>
      <w:r>
        <w:t>Ruben</w:t>
      </w:r>
      <w:r>
        <w:t xml:space="preserve"> and </w:t>
      </w:r>
      <w:r>
        <w:t xml:space="preserve">to </w:t>
      </w:r>
      <w:r>
        <w:t xml:space="preserve">make an offer of proof regarding the expected </w:t>
      </w:r>
      <w:proofErr w:type="spellStart"/>
      <w:r>
        <w:t>surrebuttal</w:t>
      </w:r>
      <w:proofErr w:type="spellEnd"/>
      <w:r>
        <w:t xml:space="preserve"> testimony; </w:t>
      </w:r>
      <w:r>
        <w:t>Rangel</w:t>
      </w:r>
      <w:r>
        <w:t xml:space="preserve"> squandered that opportunity.</w:t>
      </w:r>
      <w:r>
        <w:t xml:space="preserve">  Far from showing diligence in attempting to secure the witness’s te</w:t>
      </w:r>
      <w:r>
        <w:t xml:space="preserve">stimony, Rangel </w:t>
      </w:r>
      <w:r>
        <w:t xml:space="preserve">informed the court that </w:t>
      </w:r>
      <w:r>
        <w:t xml:space="preserve">he made no effort whatever to contact the witness.    </w:t>
      </w:r>
    </w:p>
    <w:p w:rsidR="00303CC5" w:rsidRDefault="00EF4903" w:rsidP="007552E3">
      <w:pPr>
        <w:spacing w:line="480" w:lineRule="atLeast"/>
      </w:pPr>
      <w:r>
        <w:tab/>
        <w:t xml:space="preserve">In evaluating a continuance request, the trial court considers the benefit of the expected </w:t>
      </w:r>
      <w:r>
        <w:t>testimony as anticipated by the party seeking additional time, as well as the likelihood that the expected benefit will be realized, the burden caused to jurors and the court, and whether justice is better served by granting or denying a continuance.  (</w:t>
      </w:r>
      <w:r>
        <w:rPr>
          <w:i/>
        </w:rPr>
        <w:t>Jen</w:t>
      </w:r>
      <w:r>
        <w:rPr>
          <w:i/>
        </w:rPr>
        <w:t>kins</w:t>
      </w:r>
      <w:r>
        <w:t xml:space="preserve">, </w:t>
      </w:r>
      <w:r>
        <w:rPr>
          <w:i/>
        </w:rPr>
        <w:t>supra</w:t>
      </w:r>
      <w:r>
        <w:t xml:space="preserve">, 22 Cal.4th at p. 1037.)  Without being able to assess the benefit of the expected testimony, the court properly concluded that the burden on the jurors and court outweighed any possible advantage, and justice would be better served by denying </w:t>
      </w:r>
      <w:r>
        <w:t>the request.  (</w:t>
      </w:r>
      <w:r>
        <w:rPr>
          <w:i/>
        </w:rPr>
        <w:t>Ibid</w:t>
      </w:r>
      <w:r w:rsidRPr="00D64D5F">
        <w:rPr>
          <w:i/>
        </w:rPr>
        <w:t>.</w:t>
      </w:r>
      <w:r>
        <w:t xml:space="preserve">)  </w:t>
      </w:r>
      <w:r>
        <w:t>Rangel argues</w:t>
      </w:r>
      <w:r>
        <w:t xml:space="preserve"> </w:t>
      </w:r>
      <w:r>
        <w:t xml:space="preserve">the parties discussed jury instruction </w:t>
      </w:r>
      <w:r>
        <w:t xml:space="preserve">issues </w:t>
      </w:r>
      <w:r>
        <w:t xml:space="preserve">with the court </w:t>
      </w:r>
      <w:r>
        <w:t xml:space="preserve">during much of two and </w:t>
      </w:r>
      <w:r>
        <w:t xml:space="preserve">one-half hours </w:t>
      </w:r>
      <w:r>
        <w:t xml:space="preserve">provided to contact the witness.  While true, this fact does not demonstrate why Rangel was unable to make an effort to </w:t>
      </w:r>
      <w:r>
        <w:t xml:space="preserve">contact Ruben or make an offer of proof concerning the witness’s testimony.  </w:t>
      </w:r>
      <w:r>
        <w:t xml:space="preserve">Because Rangel </w:t>
      </w:r>
      <w:r>
        <w:t>offered the court nothing to evaluate</w:t>
      </w:r>
      <w:r>
        <w:t>,</w:t>
      </w:r>
      <w:r>
        <w:t xml:space="preserve"> </w:t>
      </w:r>
      <w:r>
        <w:t>t</w:t>
      </w:r>
      <w:r>
        <w:t>he court</w:t>
      </w:r>
      <w:r>
        <w:t xml:space="preserve"> acted </w:t>
      </w:r>
      <w:r>
        <w:t>within its</w:t>
      </w:r>
      <w:r>
        <w:t xml:space="preserve"> considerable</w:t>
      </w:r>
      <w:r>
        <w:t xml:space="preserve"> discretion in</w:t>
      </w:r>
      <w:r>
        <w:t xml:space="preserve"> deny</w:t>
      </w:r>
      <w:r>
        <w:t>ing Rangel’s requested</w:t>
      </w:r>
      <w:r>
        <w:t xml:space="preserve"> continuance.</w:t>
      </w:r>
    </w:p>
    <w:p w:rsidR="00BE00A5" w:rsidRPr="00DF46C0" w:rsidRDefault="00EF4903" w:rsidP="007552E3">
      <w:pPr>
        <w:spacing w:line="480" w:lineRule="atLeast"/>
      </w:pPr>
      <w:r>
        <w:tab/>
        <w:t>Likewise, the court did not er</w:t>
      </w:r>
      <w:r>
        <w:t xml:space="preserve">r in denying the request to continue closing argument until the following day.  </w:t>
      </w:r>
      <w:r>
        <w:t xml:space="preserve">As section 1050 indicates, </w:t>
      </w:r>
      <w:r>
        <w:t>“</w:t>
      </w:r>
      <w:r>
        <w:t>[c]</w:t>
      </w:r>
      <w:proofErr w:type="spellStart"/>
      <w:r>
        <w:t>ontinuances</w:t>
      </w:r>
      <w:proofErr w:type="spellEnd"/>
      <w:r>
        <w:t xml:space="preserve"> shall be granted only upon a showing of good cause.”  (§ 1050, subd. (e).)  Convenience to a party does not constitute good cause.  (</w:t>
      </w:r>
      <w:r>
        <w:rPr>
          <w:i/>
        </w:rPr>
        <w:t>Ibid</w:t>
      </w:r>
      <w:r w:rsidRPr="00D64D5F">
        <w:rPr>
          <w:i/>
        </w:rPr>
        <w:t>.</w:t>
      </w:r>
      <w:r>
        <w:t xml:space="preserve">)  </w:t>
      </w:r>
      <w:r>
        <w:t>Rangel</w:t>
      </w:r>
      <w:r>
        <w:t xml:space="preserve"> argued the jurors were overtired and would be disinclined to attend carefully to the closing argument.  </w:t>
      </w:r>
      <w:r>
        <w:t>The court weighed the burden to the court and jury</w:t>
      </w:r>
      <w:r>
        <w:t xml:space="preserve"> against the convenience to counsel.  The court</w:t>
      </w:r>
      <w:r>
        <w:t xml:space="preserve"> determined the jurors were not overtire</w:t>
      </w:r>
      <w:r>
        <w:t>d de</w:t>
      </w:r>
      <w:r>
        <w:t xml:space="preserve">spite </w:t>
      </w:r>
      <w:r>
        <w:t>the time of day</w:t>
      </w:r>
      <w:r>
        <w:t xml:space="preserve"> because </w:t>
      </w:r>
      <w:r>
        <w:t xml:space="preserve">the jurors had spent </w:t>
      </w:r>
      <w:r>
        <w:t>little time</w:t>
      </w:r>
      <w:r>
        <w:t xml:space="preserve"> in court. </w:t>
      </w:r>
      <w:r>
        <w:t xml:space="preserve"> </w:t>
      </w:r>
      <w:r>
        <w:t xml:space="preserve">Although </w:t>
      </w:r>
      <w:r>
        <w:t xml:space="preserve">Rangel argued </w:t>
      </w:r>
      <w:r>
        <w:t xml:space="preserve">he would be forced “to rush,” the court </w:t>
      </w:r>
      <w:r>
        <w:t>agreed that court could remain in session past the</w:t>
      </w:r>
      <w:r>
        <w:t xml:space="preserve"> usual adjournment time of 4:30 p.m. to complete </w:t>
      </w:r>
      <w:r>
        <w:t>Rangel’s closing</w:t>
      </w:r>
      <w:r>
        <w:t xml:space="preserve"> argument.  Rejecting that compromise, </w:t>
      </w:r>
      <w:r>
        <w:t>Rangel</w:t>
      </w:r>
      <w:r>
        <w:t xml:space="preserve"> insisted “the jurors will not be listening.”  </w:t>
      </w:r>
      <w:r>
        <w:t>Although it is impossible to measure juror attentiveness on a cold record, several factors suggest the jurors were as rested and ready to receive argument as possib</w:t>
      </w:r>
      <w:r>
        <w:t>le.  Immediately before Rangel’s closing argument</w:t>
      </w:r>
      <w:r>
        <w:t xml:space="preserve">, the jurors had </w:t>
      </w:r>
      <w:r>
        <w:t>been given a</w:t>
      </w:r>
      <w:r>
        <w:t xml:space="preserve"> fifteen-minute brea</w:t>
      </w:r>
      <w:r>
        <w:t>k</w:t>
      </w:r>
      <w:r>
        <w:t xml:space="preserve">.  </w:t>
      </w:r>
      <w:r>
        <w:t xml:space="preserve">During </w:t>
      </w:r>
      <w:r>
        <w:t>the</w:t>
      </w:r>
      <w:r>
        <w:t xml:space="preserve"> short closing argument, a juror requested and received a bathroom break, permitting the other jurors </w:t>
      </w:r>
      <w:r>
        <w:t>to return briefly to the jury room to “str</w:t>
      </w:r>
      <w:r>
        <w:t>etch their legs</w:t>
      </w:r>
      <w:r>
        <w:t>.</w:t>
      </w:r>
      <w:r>
        <w:t>”</w:t>
      </w:r>
      <w:r>
        <w:t xml:space="preserve">  </w:t>
      </w:r>
      <w:r>
        <w:t xml:space="preserve">In light of these breaks and the relatively light day jurors spent in court, </w:t>
      </w:r>
      <w:r>
        <w:t>we</w:t>
      </w:r>
      <w:r>
        <w:t xml:space="preserve"> find no fault with the court’s refusal to </w:t>
      </w:r>
      <w:r>
        <w:t>credit counsel’s baseless concern</w:t>
      </w:r>
      <w:r>
        <w:t xml:space="preserve"> that the jurors would not be listening at 4:00 p.m.</w:t>
      </w:r>
      <w:r>
        <w:t xml:space="preserve">  Accordingly, the trial court</w:t>
      </w:r>
      <w:r>
        <w:t xml:space="preserve"> did not err by denying Rangel’s request for a continuance.</w:t>
      </w:r>
      <w:r>
        <w:t xml:space="preserve"> </w:t>
      </w:r>
      <w:r>
        <w:t xml:space="preserve"> </w:t>
      </w:r>
      <w:r>
        <w:t>(</w:t>
      </w:r>
      <w:r>
        <w:rPr>
          <w:i/>
        </w:rPr>
        <w:t>Jenkins</w:t>
      </w:r>
      <w:r>
        <w:t xml:space="preserve">, </w:t>
      </w:r>
      <w:r>
        <w:rPr>
          <w:i/>
        </w:rPr>
        <w:t>supra</w:t>
      </w:r>
      <w:r>
        <w:t>, 22 Cal.4th at pp.</w:t>
      </w:r>
      <w:r>
        <w:t> </w:t>
      </w:r>
      <w:r>
        <w:t>1037</w:t>
      </w:r>
      <w:r>
        <w:t>–</w:t>
      </w:r>
      <w:r>
        <w:t>1038.)</w:t>
      </w:r>
      <w:r>
        <w:t xml:space="preserve">  Because </w:t>
      </w:r>
      <w:r>
        <w:t>we</w:t>
      </w:r>
      <w:r>
        <w:t xml:space="preserve"> conclude there was no error, it necessarily follows that no prejudice resulted.  (See </w:t>
      </w:r>
      <w:r>
        <w:rPr>
          <w:i/>
        </w:rPr>
        <w:t xml:space="preserve">Morris v. </w:t>
      </w:r>
      <w:proofErr w:type="spellStart"/>
      <w:r>
        <w:rPr>
          <w:i/>
        </w:rPr>
        <w:t>Slappy</w:t>
      </w:r>
      <w:proofErr w:type="spellEnd"/>
      <w:r>
        <w:t xml:space="preserve">, </w:t>
      </w:r>
      <w:r>
        <w:rPr>
          <w:i/>
        </w:rPr>
        <w:t>supra</w:t>
      </w:r>
      <w:r>
        <w:t>, 461 U.S. at pp. 11–12.)</w:t>
      </w:r>
    </w:p>
    <w:p w:rsidR="00522E40" w:rsidRDefault="00EF4903" w:rsidP="00207E4B">
      <w:pPr>
        <w:pStyle w:val="Heading3"/>
      </w:pPr>
      <w:r w:rsidRPr="001246BE">
        <w:rPr>
          <w:rFonts w:ascii="Times New Roman" w:hAnsi="Times New Roman"/>
          <w:b w:val="0"/>
        </w:rPr>
        <w:tab/>
      </w:r>
      <w:r w:rsidRPr="001246BE">
        <w:rPr>
          <w:rFonts w:ascii="Times New Roman" w:hAnsi="Times New Roman"/>
          <w:b w:val="0"/>
        </w:rPr>
        <w:tab/>
      </w:r>
      <w:bookmarkStart w:id="35" w:name="_Toc511210407"/>
      <w:r w:rsidRPr="001246BE">
        <w:rPr>
          <w:rFonts w:ascii="Times New Roman" w:hAnsi="Times New Roman"/>
        </w:rPr>
        <w:t>4.</w:t>
      </w:r>
      <w:r w:rsidRPr="001246BE">
        <w:rPr>
          <w:rFonts w:ascii="Times New Roman" w:hAnsi="Times New Roman"/>
        </w:rPr>
        <w:tab/>
        <w:t>Section 190.3</w:t>
      </w:r>
      <w:bookmarkEnd w:id="35"/>
      <w:r w:rsidRPr="001246BE">
        <w:rPr>
          <w:rFonts w:ascii="Times New Roman" w:hAnsi="Times New Roman"/>
        </w:rPr>
        <w:t xml:space="preserve"> </w:t>
      </w:r>
    </w:p>
    <w:p w:rsidR="00506C63" w:rsidRDefault="00EF4903" w:rsidP="00506C63">
      <w:pPr>
        <w:spacing w:line="480" w:lineRule="atLeast"/>
      </w:pPr>
      <w:r>
        <w:tab/>
      </w:r>
      <w:r>
        <w:t>Rangel argues</w:t>
      </w:r>
      <w:r>
        <w:t xml:space="preserve"> that the “circumstances of the crime” language of section 190.3, subdivision (a) is unconstitutionally vague and overbroad because it permits the introduction of victim impact evidence with no limits.  He</w:t>
      </w:r>
      <w:r>
        <w:t xml:space="preserve"> also</w:t>
      </w:r>
      <w:r>
        <w:t xml:space="preserve"> argues that </w:t>
      </w:r>
      <w:r>
        <w:t>introduction of victim impact evidence was erroneous</w:t>
      </w:r>
      <w:r>
        <w:t xml:space="preserve"> and</w:t>
      </w:r>
      <w:r>
        <w:t xml:space="preserve"> that the trial court erred by failing to instruct the jury concerning how to evaluate the victim impact evidence</w:t>
      </w:r>
      <w:r>
        <w:t>.</w:t>
      </w:r>
      <w:r>
        <w:rPr>
          <w:rStyle w:val="FootnoteReference"/>
        </w:rPr>
        <w:footnoteReference w:id="24"/>
      </w:r>
      <w:r>
        <w:t xml:space="preserve">  </w:t>
      </w:r>
      <w:r>
        <w:t>We</w:t>
      </w:r>
      <w:r>
        <w:t xml:space="preserve"> conclude these contentions </w:t>
      </w:r>
      <w:r>
        <w:t>lack</w:t>
      </w:r>
      <w:r>
        <w:t xml:space="preserve"> merit.  As Rangel acknowledges, this court has r</w:t>
      </w:r>
      <w:r>
        <w:t>ejected identical challenges to the constitutionality of section 190.3, subdivision (a), and he presents us with no reason to reconsider our prior holdings here.</w:t>
      </w:r>
      <w:r w:rsidRPr="00506C63">
        <w:t xml:space="preserve"> </w:t>
      </w:r>
      <w:r>
        <w:t xml:space="preserve"> (</w:t>
      </w:r>
      <w:r>
        <w:rPr>
          <w:i/>
        </w:rPr>
        <w:t>People v. Brady</w:t>
      </w:r>
      <w:r>
        <w:t xml:space="preserve"> (2010) 50 Cal.4th 547, 573</w:t>
      </w:r>
      <w:r>
        <w:t>–</w:t>
      </w:r>
      <w:r>
        <w:t xml:space="preserve">574.)  </w:t>
      </w:r>
    </w:p>
    <w:p w:rsidR="00506C63" w:rsidRDefault="00EF4903" w:rsidP="00506C63">
      <w:pPr>
        <w:spacing w:line="480" w:lineRule="atLeast"/>
      </w:pPr>
      <w:r>
        <w:tab/>
      </w:r>
      <w:r>
        <w:t>Victim impact</w:t>
      </w:r>
      <w:r>
        <w:t xml:space="preserve"> evidence </w:t>
      </w:r>
      <w:r>
        <w:t>concerning the ef</w:t>
      </w:r>
      <w:r>
        <w:t>fect of the murders on the family members “i</w:t>
      </w:r>
      <w:r>
        <w:t>s relevant and admissible under section 190.3, factor (a) as a circumstance of the crime.</w:t>
      </w:r>
      <w:r>
        <w:t>”  (</w:t>
      </w:r>
      <w:r>
        <w:rPr>
          <w:i/>
        </w:rPr>
        <w:t>People v. Brady</w:t>
      </w:r>
      <w:r>
        <w:t xml:space="preserve">, </w:t>
      </w:r>
      <w:r>
        <w:rPr>
          <w:i/>
        </w:rPr>
        <w:t>supra</w:t>
      </w:r>
      <w:r>
        <w:t xml:space="preserve">, 50 Cal.4th at p. 574, </w:t>
      </w:r>
      <w:r>
        <w:t xml:space="preserve">see also </w:t>
      </w:r>
      <w:r>
        <w:rPr>
          <w:i/>
        </w:rPr>
        <w:t>Payne v. Tennessee</w:t>
      </w:r>
      <w:r>
        <w:t xml:space="preserve"> (1991) 501 U.S. 808, 825.)  Such evidence is </w:t>
      </w:r>
      <w:r>
        <w:t>barred under t</w:t>
      </w:r>
      <w:r>
        <w:t>he federal C</w:t>
      </w:r>
      <w:r>
        <w:t xml:space="preserve">onstitution only if </w:t>
      </w:r>
      <w:r>
        <w:t>it is so extremely prejudicial that the whole of the trial is rendered fundamentally unfair.  (</w:t>
      </w:r>
      <w:r>
        <w:rPr>
          <w:i/>
        </w:rPr>
        <w:t>Ibid</w:t>
      </w:r>
      <w:r w:rsidRPr="00D64D5F">
        <w:rPr>
          <w:i/>
        </w:rPr>
        <w:t>.</w:t>
      </w:r>
      <w:r>
        <w:t>)</w:t>
      </w:r>
      <w:r>
        <w:t xml:space="preserve">  </w:t>
      </w:r>
    </w:p>
    <w:p w:rsidR="00506C63" w:rsidRDefault="00EF4903" w:rsidP="00506C63">
      <w:pPr>
        <w:spacing w:line="480" w:lineRule="atLeast"/>
      </w:pPr>
      <w:r>
        <w:tab/>
      </w:r>
      <w:r>
        <w:t xml:space="preserve">Here, </w:t>
      </w:r>
      <w:proofErr w:type="spellStart"/>
      <w:r>
        <w:t>Encina</w:t>
      </w:r>
      <w:r>
        <w:t>s</w:t>
      </w:r>
      <w:r>
        <w:t>’s</w:t>
      </w:r>
      <w:proofErr w:type="spellEnd"/>
      <w:r>
        <w:t xml:space="preserve"> two adult siblings and </w:t>
      </w:r>
      <w:r>
        <w:t>girlfriend</w:t>
      </w:r>
      <w:r>
        <w:t xml:space="preserve"> (Beltran) provided testimony about </w:t>
      </w:r>
      <w:proofErr w:type="spellStart"/>
      <w:r>
        <w:t>Encinas’s</w:t>
      </w:r>
      <w:proofErr w:type="spellEnd"/>
      <w:r>
        <w:t xml:space="preserve"> childhood,</w:t>
      </w:r>
      <w:r>
        <w:t xml:space="preserve"> their memories of him, and </w:t>
      </w:r>
      <w:r>
        <w:t>his goals of becoming a police officer and marrying Beltran</w:t>
      </w:r>
      <w:r>
        <w:t xml:space="preserve">.  They testified about the difficulty their family was experiencing following </w:t>
      </w:r>
      <w:proofErr w:type="spellStart"/>
      <w:r>
        <w:t>Encinas’s</w:t>
      </w:r>
      <w:proofErr w:type="spellEnd"/>
      <w:r>
        <w:t xml:space="preserve"> death and their feelings of loss and sorrow.  </w:t>
      </w:r>
      <w:r>
        <w:t xml:space="preserve">Several photographs depicting </w:t>
      </w:r>
      <w:proofErr w:type="spellStart"/>
      <w:r>
        <w:t>Encinas</w:t>
      </w:r>
      <w:proofErr w:type="spellEnd"/>
      <w:r>
        <w:t xml:space="preserve"> at various stages of his life were introduced, and Rangel claims the introduction of each </w:t>
      </w:r>
      <w:r>
        <w:t xml:space="preserve">photo </w:t>
      </w:r>
      <w:r>
        <w:t xml:space="preserve">(save the one of </w:t>
      </w:r>
      <w:proofErr w:type="spellStart"/>
      <w:r>
        <w:t>Encinas</w:t>
      </w:r>
      <w:proofErr w:type="spellEnd"/>
      <w:r>
        <w:t xml:space="preserve"> immediately prior to his death)</w:t>
      </w:r>
      <w:r>
        <w:t xml:space="preserve">, as well as the testimony from </w:t>
      </w:r>
      <w:proofErr w:type="spellStart"/>
      <w:r>
        <w:t>Encinas’s</w:t>
      </w:r>
      <w:proofErr w:type="spellEnd"/>
      <w:r>
        <w:t xml:space="preserve"> siblings and </w:t>
      </w:r>
      <w:r>
        <w:t>girlfriend</w:t>
      </w:r>
      <w:r>
        <w:t>,</w:t>
      </w:r>
      <w:r>
        <w:t xml:space="preserve"> constitute</w:t>
      </w:r>
      <w:r>
        <w:t>d</w:t>
      </w:r>
      <w:r>
        <w:t xml:space="preserve"> error.</w:t>
      </w:r>
      <w:r>
        <w:rPr>
          <w:rStyle w:val="FootnoteReference"/>
        </w:rPr>
        <w:footnoteReference w:id="25"/>
      </w:r>
      <w:r>
        <w:t xml:space="preserve">  </w:t>
      </w:r>
    </w:p>
    <w:p w:rsidR="00E1237F" w:rsidRPr="00E1237F" w:rsidRDefault="00EF4903" w:rsidP="00506C63">
      <w:pPr>
        <w:spacing w:line="480" w:lineRule="atLeast"/>
        <w:rPr>
          <w:i/>
        </w:rPr>
      </w:pPr>
      <w:r>
        <w:tab/>
      </w:r>
      <w:r>
        <w:t>We</w:t>
      </w:r>
      <w:r>
        <w:t xml:space="preserve"> disagree.  </w:t>
      </w:r>
      <w:r>
        <w:t xml:space="preserve">The victim impact testimony of </w:t>
      </w:r>
      <w:proofErr w:type="spellStart"/>
      <w:r>
        <w:t>Encinas’s</w:t>
      </w:r>
      <w:proofErr w:type="spellEnd"/>
      <w:r>
        <w:t xml:space="preserve"> </w:t>
      </w:r>
      <w:r>
        <w:t xml:space="preserve">two </w:t>
      </w:r>
      <w:r>
        <w:t>siblings and fiancée comprised just 30 pages of the nearly 3,400-page record.</w:t>
      </w:r>
      <w:r>
        <w:t xml:space="preserve">  In contrast, we held that “testimony span[</w:t>
      </w:r>
      <w:proofErr w:type="spellStart"/>
      <w:r>
        <w:t>n</w:t>
      </w:r>
      <w:r>
        <w:t>ing</w:t>
      </w:r>
      <w:proofErr w:type="spellEnd"/>
      <w:r>
        <w:t xml:space="preserve">] several hours over two days” from </w:t>
      </w:r>
      <w:r>
        <w:t>nine differe</w:t>
      </w:r>
      <w:r>
        <w:t>nt witnesses, including a victim’s four siblings and fiancée, was not unduly prejudicial.  (</w:t>
      </w:r>
      <w:r>
        <w:rPr>
          <w:i/>
        </w:rPr>
        <w:t>People v.</w:t>
      </w:r>
      <w:r>
        <w:rPr>
          <w:i/>
        </w:rPr>
        <w:t> </w:t>
      </w:r>
      <w:r>
        <w:rPr>
          <w:i/>
        </w:rPr>
        <w:t>Brady</w:t>
      </w:r>
      <w:r>
        <w:t xml:space="preserve">, </w:t>
      </w:r>
      <w:r>
        <w:rPr>
          <w:i/>
        </w:rPr>
        <w:t>supra</w:t>
      </w:r>
      <w:r>
        <w:t xml:space="preserve">, 50 Cal.4th at </w:t>
      </w:r>
      <w:r>
        <w:t>p. 573</w:t>
      </w:r>
      <w:r>
        <w:t xml:space="preserve">; </w:t>
      </w:r>
      <w:r>
        <w:rPr>
          <w:i/>
        </w:rPr>
        <w:t xml:space="preserve">id. </w:t>
      </w:r>
      <w:r>
        <w:t>at pp. 574–</w:t>
      </w:r>
      <w:r>
        <w:t>578.)</w:t>
      </w:r>
      <w:r>
        <w:t xml:space="preserve">  </w:t>
      </w:r>
      <w:r>
        <w:t>Similarly, the introduction here of just a few photographs was not unduly prejudicial as we have</w:t>
      </w:r>
      <w:r>
        <w:t xml:space="preserve"> in the past permitted the introduction of “numerous photographs.”  (</w:t>
      </w:r>
      <w:r>
        <w:rPr>
          <w:i/>
        </w:rPr>
        <w:t>Id</w:t>
      </w:r>
      <w:r w:rsidRPr="00D64D5F">
        <w:rPr>
          <w:i/>
        </w:rPr>
        <w:t>.</w:t>
      </w:r>
      <w:r>
        <w:t xml:space="preserve"> at </w:t>
      </w:r>
      <w:r>
        <w:t>p. 573</w:t>
      </w:r>
      <w:r>
        <w:t xml:space="preserve">; </w:t>
      </w:r>
      <w:r w:rsidRPr="005C1048">
        <w:rPr>
          <w:i/>
        </w:rPr>
        <w:t>id.</w:t>
      </w:r>
      <w:r>
        <w:t xml:space="preserve"> at pp. 574</w:t>
      </w:r>
      <w:r>
        <w:t>–</w:t>
      </w:r>
      <w:r>
        <w:t xml:space="preserve">577.)  </w:t>
      </w:r>
      <w:r>
        <w:t>W</w:t>
      </w:r>
      <w:r>
        <w:t>hen victim impact evidence briefly address</w:t>
      </w:r>
      <w:r>
        <w:t>es</w:t>
      </w:r>
      <w:r>
        <w:t xml:space="preserve"> a victim’s childhood to give context to testimony regarding their adult behavior</w:t>
      </w:r>
      <w:r>
        <w:t>, that testimony</w:t>
      </w:r>
      <w:r>
        <w:t xml:space="preserve"> is not </w:t>
      </w:r>
      <w:r>
        <w:t>impermissibly inflammatory.  (</w:t>
      </w:r>
      <w:r>
        <w:rPr>
          <w:i/>
        </w:rPr>
        <w:t>Id</w:t>
      </w:r>
      <w:r w:rsidRPr="00D64D5F">
        <w:rPr>
          <w:i/>
        </w:rPr>
        <w:t>.</w:t>
      </w:r>
      <w:r>
        <w:t xml:space="preserve"> at p. 577.)  </w:t>
      </w:r>
      <w:r>
        <w:t xml:space="preserve">Rangel cites out of state authority to demonstrate that unduly prejudicial evidence was introduced here.  </w:t>
      </w:r>
      <w:r>
        <w:t>R</w:t>
      </w:r>
      <w:r>
        <w:t xml:space="preserve">eliance on </w:t>
      </w:r>
      <w:r>
        <w:t xml:space="preserve">this </w:t>
      </w:r>
      <w:r>
        <w:t>extra-jurisdictional authority is unavailing.  (</w:t>
      </w:r>
      <w:r>
        <w:rPr>
          <w:i/>
        </w:rPr>
        <w:t>Ibid</w:t>
      </w:r>
      <w:r w:rsidRPr="00D64D5F">
        <w:rPr>
          <w:i/>
        </w:rPr>
        <w:t>.</w:t>
      </w:r>
      <w:r>
        <w:t xml:space="preserve">)  As we explained in </w:t>
      </w:r>
      <w:r>
        <w:rPr>
          <w:i/>
        </w:rPr>
        <w:t>People v. </w:t>
      </w:r>
      <w:r>
        <w:rPr>
          <w:i/>
        </w:rPr>
        <w:t>Brady</w:t>
      </w:r>
      <w:r>
        <w:t>, “</w:t>
      </w:r>
      <w:r>
        <w:t>[t]</w:t>
      </w:r>
      <w:proofErr w:type="spellStart"/>
      <w:r>
        <w:t>hese</w:t>
      </w:r>
      <w:proofErr w:type="spellEnd"/>
      <w:r>
        <w:t xml:space="preserve"> cases are not binding on this court.  T</w:t>
      </w:r>
      <w:r>
        <w:t xml:space="preserve">he jury here heard traditional victim impact evidence:  family members and friends extolled [the victim’s] virtues and demonstrated they missed him.  </w:t>
      </w:r>
      <w:r>
        <w:t>Neither</w:t>
      </w:r>
      <w:r>
        <w:t xml:space="preserve"> the type nor the amount of evidence warrant</w:t>
      </w:r>
      <w:r>
        <w:t>s reversal.”  (</w:t>
      </w:r>
      <w:r>
        <w:rPr>
          <w:i/>
        </w:rPr>
        <w:t>Ibid</w:t>
      </w:r>
      <w:r w:rsidRPr="00D64D5F">
        <w:rPr>
          <w:i/>
        </w:rPr>
        <w:t>.</w:t>
      </w:r>
      <w:r>
        <w:t>)</w:t>
      </w:r>
      <w:r>
        <w:t xml:space="preserve"> </w:t>
      </w:r>
    </w:p>
    <w:p w:rsidR="000D3861" w:rsidRPr="001246BE" w:rsidRDefault="00EF4903" w:rsidP="00DD5387">
      <w:pPr>
        <w:pStyle w:val="Heading3"/>
      </w:pPr>
      <w:r w:rsidRPr="001246BE">
        <w:rPr>
          <w:rFonts w:ascii="Times New Roman" w:hAnsi="Times New Roman"/>
        </w:rPr>
        <w:tab/>
      </w:r>
      <w:r w:rsidRPr="001246BE">
        <w:rPr>
          <w:rFonts w:ascii="Times New Roman" w:hAnsi="Times New Roman"/>
        </w:rPr>
        <w:tab/>
      </w:r>
      <w:bookmarkStart w:id="36" w:name="_Toc511210408"/>
      <w:r w:rsidRPr="001246BE">
        <w:rPr>
          <w:rFonts w:ascii="Times New Roman" w:hAnsi="Times New Roman"/>
        </w:rPr>
        <w:t>5.</w:t>
      </w:r>
      <w:r w:rsidRPr="001246BE">
        <w:rPr>
          <w:rFonts w:ascii="Times New Roman" w:hAnsi="Times New Roman"/>
        </w:rPr>
        <w:tab/>
        <w:t>Mitigating E</w:t>
      </w:r>
      <w:r w:rsidRPr="001246BE">
        <w:rPr>
          <w:rFonts w:ascii="Times New Roman" w:hAnsi="Times New Roman"/>
        </w:rPr>
        <w:t>vidence</w:t>
      </w:r>
      <w:bookmarkEnd w:id="36"/>
      <w:r w:rsidRPr="001246BE">
        <w:rPr>
          <w:rFonts w:ascii="Times New Roman" w:hAnsi="Times New Roman"/>
        </w:rPr>
        <w:t xml:space="preserve"> </w:t>
      </w:r>
    </w:p>
    <w:p w:rsidR="000D3861" w:rsidRPr="001246BE" w:rsidRDefault="00EF4903" w:rsidP="000D3861">
      <w:pPr>
        <w:spacing w:line="480" w:lineRule="atLeast"/>
      </w:pPr>
      <w:r w:rsidRPr="001246BE">
        <w:tab/>
      </w:r>
      <w:proofErr w:type="spellStart"/>
      <w:r w:rsidRPr="001246BE">
        <w:t>Mora</w:t>
      </w:r>
      <w:proofErr w:type="spellEnd"/>
      <w:r w:rsidRPr="001246BE">
        <w:t xml:space="preserve"> argues that the trial court erred by failing to require that the prosecution disclose the identity of a rebuttal witness, depriving </w:t>
      </w:r>
      <w:proofErr w:type="spellStart"/>
      <w:r w:rsidRPr="001246BE">
        <w:t>Mora</w:t>
      </w:r>
      <w:proofErr w:type="spellEnd"/>
      <w:r w:rsidRPr="001246BE">
        <w:t xml:space="preserve"> of an opportunity to evaluate whether to present certain evidenc</w:t>
      </w:r>
      <w:r w:rsidRPr="001246BE">
        <w:t xml:space="preserve">e in mitigation.  </w:t>
      </w:r>
      <w:r>
        <w:t>We</w:t>
      </w:r>
      <w:r w:rsidRPr="001246BE">
        <w:t xml:space="preserve"> </w:t>
      </w:r>
      <w:r w:rsidRPr="001246BE">
        <w:t>find no error, but conclude any would have been harmless in any event.</w:t>
      </w:r>
    </w:p>
    <w:p w:rsidR="000D3861" w:rsidRPr="001246BE" w:rsidRDefault="00EF4903" w:rsidP="000D3861">
      <w:pPr>
        <w:pStyle w:val="Heading4"/>
        <w:rPr>
          <w:rFonts w:ascii="Times New Roman" w:hAnsi="Times New Roman"/>
          <w:b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a.</w:t>
      </w:r>
      <w:r w:rsidRPr="001246BE">
        <w:rPr>
          <w:rFonts w:ascii="Times New Roman" w:hAnsi="Times New Roman"/>
          <w:b w:val="0"/>
          <w:i w:val="0"/>
          <w:color w:val="auto"/>
        </w:rPr>
        <w:tab/>
      </w:r>
      <w:r w:rsidRPr="001246BE">
        <w:rPr>
          <w:rFonts w:ascii="Times New Roman" w:hAnsi="Times New Roman"/>
          <w:b w:val="0"/>
          <w:color w:val="auto"/>
        </w:rPr>
        <w:t>Background</w:t>
      </w:r>
    </w:p>
    <w:p w:rsidR="004F00BF" w:rsidRDefault="00EF4903" w:rsidP="00DD5387">
      <w:pPr>
        <w:spacing w:line="480" w:lineRule="atLeast"/>
      </w:pPr>
      <w:r>
        <w:tab/>
      </w:r>
      <w:r>
        <w:t xml:space="preserve">In addition to other mitigation evidence, </w:t>
      </w:r>
      <w:proofErr w:type="spellStart"/>
      <w:r>
        <w:t>Mora</w:t>
      </w:r>
      <w:proofErr w:type="spellEnd"/>
      <w:r>
        <w:t xml:space="preserve"> intended to present witn</w:t>
      </w:r>
      <w:r>
        <w:t xml:space="preserve">esses </w:t>
      </w:r>
      <w:r>
        <w:t>to</w:t>
      </w:r>
      <w:r>
        <w:t xml:space="preserve"> testify that, during his incarceration following </w:t>
      </w:r>
      <w:r>
        <w:t>his arrest for th</w:t>
      </w:r>
      <w:r>
        <w:t>ese</w:t>
      </w:r>
      <w:r>
        <w:t xml:space="preserve"> crimes, </w:t>
      </w:r>
      <w:proofErr w:type="spellStart"/>
      <w:r>
        <w:t>Mora</w:t>
      </w:r>
      <w:proofErr w:type="spellEnd"/>
      <w:r>
        <w:t xml:space="preserve"> served as a “module trustee,” in which capacity he served meals, cleaned, </w:t>
      </w:r>
      <w:r>
        <w:t xml:space="preserve">and otherwise followed orders.  </w:t>
      </w:r>
      <w:r>
        <w:t xml:space="preserve">The prosecutor discussed her intention to present a possible rebuttal witness, Deputy Lucero, who would — depending upon what </w:t>
      </w:r>
      <w:r>
        <w:t xml:space="preserve">evidence </w:t>
      </w:r>
      <w:proofErr w:type="spellStart"/>
      <w:r>
        <w:t>Mora’s</w:t>
      </w:r>
      <w:proofErr w:type="spellEnd"/>
      <w:r>
        <w:t xml:space="preserve"> mitigation witnesses presented — testify that </w:t>
      </w:r>
      <w:proofErr w:type="spellStart"/>
      <w:r>
        <w:t>Mora</w:t>
      </w:r>
      <w:proofErr w:type="spellEnd"/>
      <w:r>
        <w:t xml:space="preserve"> was not a “trustee per se,” and was not housed with other module trustees.  The</w:t>
      </w:r>
      <w:r>
        <w:t xml:space="preserve"> mitigation</w:t>
      </w:r>
      <w:r>
        <w:t xml:space="preserve"> witnesses </w:t>
      </w:r>
      <w:proofErr w:type="spellStart"/>
      <w:r>
        <w:t>Mora</w:t>
      </w:r>
      <w:proofErr w:type="spellEnd"/>
      <w:r>
        <w:t xml:space="preserve"> planned to present concerning his module trustee status </w:t>
      </w:r>
      <w:r>
        <w:t>were not anticipated to pro</w:t>
      </w:r>
      <w:r>
        <w:t>vide evidence o</w:t>
      </w:r>
      <w:r>
        <w:t>f</w:t>
      </w:r>
      <w:r>
        <w:t xml:space="preserve"> </w:t>
      </w:r>
      <w:proofErr w:type="spellStart"/>
      <w:r>
        <w:t>Mora’s</w:t>
      </w:r>
      <w:proofErr w:type="spellEnd"/>
      <w:r>
        <w:t xml:space="preserve"> good character.  After presenting a number of </w:t>
      </w:r>
      <w:r>
        <w:t xml:space="preserve">other </w:t>
      </w:r>
      <w:r>
        <w:t xml:space="preserve">witnesses but before presenting </w:t>
      </w:r>
      <w:r>
        <w:t xml:space="preserve">testimony regarding </w:t>
      </w:r>
      <w:proofErr w:type="spellStart"/>
      <w:r>
        <w:t>Mora’</w:t>
      </w:r>
      <w:r>
        <w:t>s</w:t>
      </w:r>
      <w:proofErr w:type="spellEnd"/>
      <w:r>
        <w:t xml:space="preserve"> “module trustee” status, </w:t>
      </w:r>
      <w:proofErr w:type="spellStart"/>
      <w:r>
        <w:t>Mora</w:t>
      </w:r>
      <w:proofErr w:type="spellEnd"/>
      <w:r>
        <w:t xml:space="preserve"> asked the prosecution if there would be any rebuttal.  The prosecution responded negatively</w:t>
      </w:r>
      <w:r>
        <w:t xml:space="preserve">, </w:t>
      </w:r>
      <w:r>
        <w:t xml:space="preserve">but </w:t>
      </w:r>
      <w:r>
        <w:t>explain</w:t>
      </w:r>
      <w:r>
        <w:t>ed</w:t>
      </w:r>
      <w:r>
        <w:t xml:space="preserve"> that there would be a rebuttal witness available “just in case.</w:t>
      </w:r>
      <w:r>
        <w:t xml:space="preserve">” </w:t>
      </w:r>
      <w:r>
        <w:t xml:space="preserve"> The prosecution elaborated,</w:t>
      </w:r>
      <w:r>
        <w:t xml:space="preserve"> </w:t>
      </w:r>
      <w:r>
        <w:t>“</w:t>
      </w:r>
      <w:r>
        <w:t xml:space="preserve">I have no idea what they could rebut, since I haven’t heard any testimony.  I have some idea it might have something to do with being a trustee, </w:t>
      </w:r>
      <w:r>
        <w:t xml:space="preserve">but I don’t have any statement.”  </w:t>
      </w:r>
      <w:proofErr w:type="spellStart"/>
      <w:r>
        <w:t>Mora</w:t>
      </w:r>
      <w:proofErr w:type="spellEnd"/>
      <w:r>
        <w:t xml:space="preserve"> did not object</w:t>
      </w:r>
      <w:r>
        <w:t xml:space="preserve"> to the prosecution’s plan to have a rebuttal witness available in case </w:t>
      </w:r>
      <w:proofErr w:type="spellStart"/>
      <w:r>
        <w:t>Mora</w:t>
      </w:r>
      <w:proofErr w:type="spellEnd"/>
      <w:r>
        <w:t xml:space="preserve"> presented mitigation evidence concerning his “module trustee” status, and no further argument on the subject</w:t>
      </w:r>
      <w:r>
        <w:t xml:space="preserve"> occurred.</w:t>
      </w:r>
    </w:p>
    <w:p w:rsidR="000D3861" w:rsidRDefault="00EF4903" w:rsidP="00DD5387">
      <w:pPr>
        <w:spacing w:line="480" w:lineRule="atLeast"/>
      </w:pPr>
      <w:r>
        <w:tab/>
      </w:r>
      <w:r>
        <w:t xml:space="preserve">The next court day began with an Evidence Code section 402 hearing </w:t>
      </w:r>
      <w:r>
        <w:t xml:space="preserve">regarding the nature of the mitigation evidence </w:t>
      </w:r>
      <w:proofErr w:type="spellStart"/>
      <w:r>
        <w:t>Mora</w:t>
      </w:r>
      <w:proofErr w:type="spellEnd"/>
      <w:r>
        <w:t xml:space="preserve"> expected to proffer.</w:t>
      </w:r>
      <w:r>
        <w:t xml:space="preserve">  </w:t>
      </w:r>
      <w:r>
        <w:t>The prosecution argued</w:t>
      </w:r>
      <w:r>
        <w:t xml:space="preserve"> that if</w:t>
      </w:r>
      <w:r>
        <w:t xml:space="preserve"> </w:t>
      </w:r>
      <w:proofErr w:type="spellStart"/>
      <w:r>
        <w:t>Mora</w:t>
      </w:r>
      <w:proofErr w:type="spellEnd"/>
      <w:r>
        <w:t xml:space="preserve"> presented</w:t>
      </w:r>
      <w:r>
        <w:t xml:space="preserve"> </w:t>
      </w:r>
      <w:r>
        <w:t>character</w:t>
      </w:r>
      <w:r>
        <w:t xml:space="preserve"> evidence, </w:t>
      </w:r>
      <w:r>
        <w:t>“it’s fair game in rebuttal to me.  I’m not sayi</w:t>
      </w:r>
      <w:r>
        <w:t>ng what I have or don’t have, but if they put that in, I believe . . . rebuttal testimony in penalty phase is admissible to correct misleading impressions of the defense case.”  The prosecution further asserted, “I’m not obligated to tell what I might have</w:t>
      </w:r>
      <w:r>
        <w:t xml:space="preserve"> in store, or maybe I don’t have anything.”  </w:t>
      </w:r>
      <w:r>
        <w:t xml:space="preserve">Again, </w:t>
      </w:r>
      <w:proofErr w:type="spellStart"/>
      <w:r>
        <w:t>Mora</w:t>
      </w:r>
      <w:proofErr w:type="spellEnd"/>
      <w:r>
        <w:t xml:space="preserve"> did not object, asserting simply that the witnesses were not expected to provide character testimony.  </w:t>
      </w:r>
    </w:p>
    <w:p w:rsidR="00F60C59" w:rsidRPr="000D3861" w:rsidRDefault="00EF4903" w:rsidP="00DD5387">
      <w:pPr>
        <w:spacing w:line="480" w:lineRule="atLeast"/>
      </w:pPr>
      <w:r>
        <w:tab/>
        <w:t xml:space="preserve">The court </w:t>
      </w:r>
      <w:r>
        <w:t xml:space="preserve">ruled any mitigating evidence regarding </w:t>
      </w:r>
      <w:proofErr w:type="spellStart"/>
      <w:r>
        <w:t>Mora’s</w:t>
      </w:r>
      <w:proofErr w:type="spellEnd"/>
      <w:r>
        <w:t xml:space="preserve"> status as a “module trustee” was admi</w:t>
      </w:r>
      <w:r>
        <w:t>ssible</w:t>
      </w:r>
      <w:r>
        <w:t>,</w:t>
      </w:r>
      <w:r>
        <w:t xml:space="preserve"> but</w:t>
      </w:r>
      <w:r>
        <w:t xml:space="preserve"> </w:t>
      </w:r>
      <w:r>
        <w:t>expressly noted that</w:t>
      </w:r>
      <w:r>
        <w:t xml:space="preserve"> it might open the door to rebuttal evidence.  The prosecution would be restrained in how far to take </w:t>
      </w:r>
      <w:r>
        <w:t xml:space="preserve">that </w:t>
      </w:r>
      <w:r>
        <w:t>rebuttal, but evidence of “less than positive” “jail behavior” would be admissible</w:t>
      </w:r>
      <w:r>
        <w:t>.</w:t>
      </w:r>
      <w:r>
        <w:t xml:space="preserve">  </w:t>
      </w:r>
      <w:proofErr w:type="spellStart"/>
      <w:r>
        <w:t>Mora</w:t>
      </w:r>
      <w:proofErr w:type="spellEnd"/>
      <w:r>
        <w:t xml:space="preserve"> decided against calling the</w:t>
      </w:r>
      <w:r>
        <w:t xml:space="preserve"> </w:t>
      </w:r>
      <w:r>
        <w:t>witnesses who would have testified regarding his “module trustee” status</w:t>
      </w:r>
      <w:r>
        <w:t>,</w:t>
      </w:r>
      <w:r>
        <w:t xml:space="preserve"> and </w:t>
      </w:r>
      <w:proofErr w:type="spellStart"/>
      <w:r>
        <w:t>Mora</w:t>
      </w:r>
      <w:proofErr w:type="spellEnd"/>
      <w:r>
        <w:t xml:space="preserve"> presented no further evidence in mitigation.     </w:t>
      </w:r>
    </w:p>
    <w:p w:rsidR="000D3861" w:rsidRPr="001246BE" w:rsidRDefault="00EF4903">
      <w:pPr>
        <w:pStyle w:val="Heading4"/>
        <w:rPr>
          <w:rFonts w:ascii="Times New Roman" w:hAnsi="Times New Roman"/>
          <w:b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b.</w:t>
      </w:r>
      <w:r w:rsidRPr="001246BE">
        <w:rPr>
          <w:rFonts w:ascii="Times New Roman" w:hAnsi="Times New Roman"/>
          <w:b w:val="0"/>
          <w:i w:val="0"/>
          <w:color w:val="auto"/>
        </w:rPr>
        <w:tab/>
      </w:r>
      <w:r w:rsidRPr="001246BE">
        <w:rPr>
          <w:rFonts w:ascii="Times New Roman" w:hAnsi="Times New Roman"/>
          <w:b w:val="0"/>
          <w:color w:val="auto"/>
        </w:rPr>
        <w:t>Discussion</w:t>
      </w:r>
    </w:p>
    <w:p w:rsidR="000D3861" w:rsidRPr="001250DA" w:rsidRDefault="00EF4903" w:rsidP="00BE00A5">
      <w:pPr>
        <w:spacing w:line="480" w:lineRule="atLeast"/>
      </w:pPr>
      <w:r>
        <w:tab/>
      </w:r>
      <w:r>
        <w:t>Acco</w:t>
      </w:r>
      <w:r>
        <w:t xml:space="preserve">rding to </w:t>
      </w:r>
      <w:proofErr w:type="spellStart"/>
      <w:r>
        <w:t>Mora</w:t>
      </w:r>
      <w:proofErr w:type="spellEnd"/>
      <w:r>
        <w:t>,</w:t>
      </w:r>
      <w:r>
        <w:t xml:space="preserve"> the </w:t>
      </w:r>
      <w:r>
        <w:t xml:space="preserve">prosecution’s failure to disclose </w:t>
      </w:r>
      <w:r>
        <w:t xml:space="preserve">the identity of the witness who would have rebutted testimony regarding </w:t>
      </w:r>
      <w:proofErr w:type="spellStart"/>
      <w:r>
        <w:t>Mora’s</w:t>
      </w:r>
      <w:proofErr w:type="spellEnd"/>
      <w:r>
        <w:t xml:space="preserve"> “module trustee” status </w:t>
      </w:r>
      <w:r>
        <w:t xml:space="preserve">constituted error, as did the trial court’s failure to provide a specific ruling regarding the scope of rebuttal evidence.  </w:t>
      </w:r>
      <w:r>
        <w:t xml:space="preserve">We have held that “[t]he due </w:t>
      </w:r>
      <w:r>
        <w:t xml:space="preserve">process clause requires notice that the defendant will have </w:t>
      </w:r>
      <w:r>
        <w:t>the</w:t>
      </w:r>
      <w:r>
        <w:t xml:space="preserve"> opportunity to discover the prosecutor’s rebuttal witnesses.”  (</w:t>
      </w:r>
      <w:proofErr w:type="spellStart"/>
      <w:r>
        <w:rPr>
          <w:i/>
        </w:rPr>
        <w:t>Izazaga</w:t>
      </w:r>
      <w:proofErr w:type="spellEnd"/>
      <w:r>
        <w:rPr>
          <w:i/>
        </w:rPr>
        <w:t xml:space="preserve"> v. Superior Court</w:t>
      </w:r>
      <w:r>
        <w:t xml:space="preserve"> (1991) 54 Cal.3d 356, 375.)  Even though the discovery statute does not specify that rebuttal witnesse</w:t>
      </w:r>
      <w:r>
        <w:t>s must be disclosed, “the only reasonable interpretation of the requirement that the prosecution disclose ‘[t]he names and addresses of persons the prosecutor intends to call as witnesses at trial’ is that [section 1054.1</w:t>
      </w:r>
      <w:r>
        <w:rPr>
          <w:rStyle w:val="FootnoteReference"/>
        </w:rPr>
        <w:footnoteReference w:id="26"/>
      </w:r>
      <w:r>
        <w:t>] includes both witnesses in the p</w:t>
      </w:r>
      <w:r>
        <w:t>rosecution’s case-in-chief and rebuttal witnesses that the prosecution intends to call.</w:t>
      </w:r>
      <w:r>
        <w:t>”  (</w:t>
      </w:r>
      <w:r>
        <w:rPr>
          <w:i/>
        </w:rPr>
        <w:t>Ibid</w:t>
      </w:r>
      <w:r w:rsidRPr="00D64D5F">
        <w:rPr>
          <w:i/>
        </w:rPr>
        <w:t>.</w:t>
      </w:r>
      <w:r>
        <w:t>)</w:t>
      </w:r>
    </w:p>
    <w:p w:rsidR="009177E8" w:rsidRDefault="00EF4903" w:rsidP="00BE00A5">
      <w:pPr>
        <w:spacing w:line="480" w:lineRule="atLeast"/>
      </w:pPr>
      <w:r>
        <w:tab/>
      </w:r>
      <w:r>
        <w:t xml:space="preserve">Although the due process clause commands disclosure of </w:t>
      </w:r>
      <w:r w:rsidRPr="002E31EF">
        <w:rPr>
          <w:i/>
        </w:rPr>
        <w:t>known</w:t>
      </w:r>
      <w:r>
        <w:t xml:space="preserve"> rebuttal witnesses, </w:t>
      </w:r>
      <w:r>
        <w:t>we</w:t>
      </w:r>
      <w:r>
        <w:t xml:space="preserve"> conclude that no error occurred here</w:t>
      </w:r>
      <w:r>
        <w:t xml:space="preserve">.  First, </w:t>
      </w:r>
      <w:proofErr w:type="spellStart"/>
      <w:r>
        <w:t>Mora</w:t>
      </w:r>
      <w:proofErr w:type="spellEnd"/>
      <w:r>
        <w:t xml:space="preserve"> raised no objection be</w:t>
      </w:r>
      <w:r>
        <w:t xml:space="preserve">fore the trial court regarding the prosecution’s failure to disclose its rebuttal witness’s identity.  Accordingly, </w:t>
      </w:r>
      <w:proofErr w:type="spellStart"/>
      <w:r>
        <w:t>Mora’s</w:t>
      </w:r>
      <w:proofErr w:type="spellEnd"/>
      <w:r>
        <w:t xml:space="preserve"> claim of error arising from the failure to so disclose is forfeited.  (See </w:t>
      </w:r>
      <w:r>
        <w:rPr>
          <w:i/>
        </w:rPr>
        <w:t>Gutierrez</w:t>
      </w:r>
      <w:r>
        <w:t xml:space="preserve">, </w:t>
      </w:r>
      <w:r>
        <w:rPr>
          <w:i/>
        </w:rPr>
        <w:t>supra</w:t>
      </w:r>
      <w:r>
        <w:t>, 45 Cal.4th at p. 819.)</w:t>
      </w:r>
      <w:r>
        <w:t xml:space="preserve"> </w:t>
      </w:r>
      <w:r>
        <w:t xml:space="preserve"> Even if the issu</w:t>
      </w:r>
      <w:r>
        <w:t xml:space="preserve">e was preserved for our review, </w:t>
      </w:r>
      <w:r>
        <w:t>we</w:t>
      </w:r>
      <w:r>
        <w:t xml:space="preserve"> would find no error.  </w:t>
      </w:r>
      <w:r>
        <w:t xml:space="preserve">Before the penalty phase commenced, the prosecutor alerted </w:t>
      </w:r>
      <w:proofErr w:type="spellStart"/>
      <w:r>
        <w:t>Mora</w:t>
      </w:r>
      <w:proofErr w:type="spellEnd"/>
      <w:r>
        <w:t xml:space="preserve"> that a rebuttal witness could provide testimony that </w:t>
      </w:r>
      <w:proofErr w:type="spellStart"/>
      <w:r>
        <w:t>Mora’s</w:t>
      </w:r>
      <w:proofErr w:type="spellEnd"/>
      <w:r>
        <w:t xml:space="preserve"> “module trustee” status was</w:t>
      </w:r>
      <w:r>
        <w:t xml:space="preserve"> controverted should </w:t>
      </w:r>
      <w:proofErr w:type="spellStart"/>
      <w:r>
        <w:t>Mora</w:t>
      </w:r>
      <w:proofErr w:type="spellEnd"/>
      <w:r>
        <w:t xml:space="preserve"> present testimony abou</w:t>
      </w:r>
      <w:r>
        <w:t>t that status</w:t>
      </w:r>
      <w:r>
        <w:t xml:space="preserve">.  </w:t>
      </w:r>
      <w:proofErr w:type="spellStart"/>
      <w:r>
        <w:t>Mora</w:t>
      </w:r>
      <w:proofErr w:type="spellEnd"/>
      <w:r>
        <w:t xml:space="preserve"> ultimately decided against presenting evidence about his alleged trustee status, which the prosecution could not have known.  Had </w:t>
      </w:r>
      <w:r>
        <w:t xml:space="preserve">the prosecution </w:t>
      </w:r>
      <w:r w:rsidRPr="002E31EF">
        <w:rPr>
          <w:i/>
        </w:rPr>
        <w:t>absolutely</w:t>
      </w:r>
      <w:r>
        <w:t xml:space="preserve"> intended to call a witness to rebut the proposed mitigation evidence, the disc</w:t>
      </w:r>
      <w:r>
        <w:t>los</w:t>
      </w:r>
      <w:r>
        <w:t>ur</w:t>
      </w:r>
      <w:r>
        <w:t xml:space="preserve">e requirement </w:t>
      </w:r>
      <w:r>
        <w:t>may have</w:t>
      </w:r>
      <w:r>
        <w:t xml:space="preserve"> been triggered.  (</w:t>
      </w:r>
      <w:proofErr w:type="spellStart"/>
      <w:r>
        <w:rPr>
          <w:i/>
        </w:rPr>
        <w:t>Izazaga</w:t>
      </w:r>
      <w:proofErr w:type="spellEnd"/>
      <w:r>
        <w:rPr>
          <w:i/>
        </w:rPr>
        <w:t xml:space="preserve"> v. Superior Court</w:t>
      </w:r>
      <w:r>
        <w:t xml:space="preserve">, </w:t>
      </w:r>
      <w:r>
        <w:rPr>
          <w:i/>
        </w:rPr>
        <w:t>supra</w:t>
      </w:r>
      <w:r>
        <w:t>, 54 Cal</w:t>
      </w:r>
      <w:r>
        <w:t>.3d at p. </w:t>
      </w:r>
      <w:r>
        <w:t xml:space="preserve">375.)  </w:t>
      </w:r>
      <w:r>
        <w:t>That triggering would have depended on</w:t>
      </w:r>
      <w:r>
        <w:t xml:space="preserve"> </w:t>
      </w:r>
      <w:proofErr w:type="spellStart"/>
      <w:r>
        <w:t>Mora’s</w:t>
      </w:r>
      <w:proofErr w:type="spellEnd"/>
      <w:r>
        <w:t xml:space="preserve"> disclosure of the witnesses he </w:t>
      </w:r>
      <w:r>
        <w:t xml:space="preserve">intended to call.  </w:t>
      </w:r>
      <w:proofErr w:type="spellStart"/>
      <w:r>
        <w:t>Mora’s</w:t>
      </w:r>
      <w:proofErr w:type="spellEnd"/>
      <w:r>
        <w:t xml:space="preserve"> equivocation on the issue of whether to </w:t>
      </w:r>
      <w:r>
        <w:t xml:space="preserve">present evidence </w:t>
      </w:r>
      <w:r>
        <w:t>about</w:t>
      </w:r>
      <w:r>
        <w:t xml:space="preserve"> his “module trustee” status rendered</w:t>
      </w:r>
      <w:r>
        <w:t xml:space="preserve"> speculative the possibility of the prosecution’s intent to present a</w:t>
      </w:r>
      <w:r>
        <w:t xml:space="preserve"> rebuttal witness.  </w:t>
      </w:r>
      <w:r>
        <w:t>The due process clause does not command the disclosure of all possible witnesses, but only those anticipated</w:t>
      </w:r>
      <w:r>
        <w:t xml:space="preserve">.  </w:t>
      </w:r>
      <w:r>
        <w:t>Accordingly, we hold</w:t>
      </w:r>
      <w:r>
        <w:t xml:space="preserve"> no error resulted from the </w:t>
      </w:r>
      <w:r>
        <w:t xml:space="preserve">prosecution’s lack of disclosure </w:t>
      </w:r>
      <w:r>
        <w:t xml:space="preserve">because </w:t>
      </w:r>
      <w:r>
        <w:t>the</w:t>
      </w:r>
      <w:r>
        <w:t xml:space="preserve"> decision to call a rebuttal witness depended upon the testimony </w:t>
      </w:r>
      <w:proofErr w:type="spellStart"/>
      <w:r>
        <w:t>Mora</w:t>
      </w:r>
      <w:proofErr w:type="spellEnd"/>
      <w:r>
        <w:t xml:space="preserve"> would have presented, had he opted to do so.  </w:t>
      </w:r>
      <w:r>
        <w:t>We</w:t>
      </w:r>
      <w:r>
        <w:t xml:space="preserve"> also conclude</w:t>
      </w:r>
      <w:r>
        <w:t xml:space="preserve"> the trial court</w:t>
      </w:r>
      <w:r>
        <w:t xml:space="preserve"> did not err </w:t>
      </w:r>
      <w:r>
        <w:t>by failing to provide a</w:t>
      </w:r>
      <w:r>
        <w:t xml:space="preserve"> more specific ruling regarding rebuttal testimony</w:t>
      </w:r>
      <w:r>
        <w:t xml:space="preserve"> because it</w:t>
      </w:r>
      <w:r>
        <w:t xml:space="preserve"> </w:t>
      </w:r>
      <w:r>
        <w:t xml:space="preserve">was unable </w:t>
      </w:r>
      <w:r>
        <w:t>to rule more certainly without</w:t>
      </w:r>
      <w:r>
        <w:t xml:space="preserve"> knowing what evidence </w:t>
      </w:r>
      <w:r>
        <w:t xml:space="preserve">the witness </w:t>
      </w:r>
      <w:proofErr w:type="spellStart"/>
      <w:r>
        <w:t>Mora</w:t>
      </w:r>
      <w:proofErr w:type="spellEnd"/>
      <w:r>
        <w:t xml:space="preserve"> did not call</w:t>
      </w:r>
      <w:r>
        <w:t xml:space="preserve"> might provide</w:t>
      </w:r>
      <w:r>
        <w:t>.</w:t>
      </w:r>
    </w:p>
    <w:p w:rsidR="000D3861" w:rsidRPr="00C33FE4" w:rsidRDefault="00EF4903" w:rsidP="00BE00A5">
      <w:pPr>
        <w:spacing w:line="480" w:lineRule="atLeast"/>
      </w:pPr>
      <w:r>
        <w:tab/>
      </w:r>
      <w:r>
        <w:t>Even if the prosecution’s failure to disclose its rebuttal wi</w:t>
      </w:r>
      <w:r>
        <w:t>tness was erroneous, any such error</w:t>
      </w:r>
      <w:r>
        <w:t xml:space="preserve"> was harmless because there is no reasonable possibility that the error affected the verdict.  (</w:t>
      </w:r>
      <w:r>
        <w:rPr>
          <w:i/>
        </w:rPr>
        <w:t>People v. Gonzalez</w:t>
      </w:r>
      <w:r>
        <w:t xml:space="preserve"> (</w:t>
      </w:r>
      <w:r>
        <w:t xml:space="preserve">2006) </w:t>
      </w:r>
      <w:r>
        <w:t>38 Cal.4th 932, 960–</w:t>
      </w:r>
      <w:r>
        <w:t>961.)  “[T]o find prejudice, we must find both (1) a reasonable possibility def</w:t>
      </w:r>
      <w:r>
        <w:t>ense counsel would have presented the mitigating evidence . . . and (2) a reasonable possibility the verdict would have been different had defendant presented the mitigating evidence.”  (</w:t>
      </w:r>
      <w:r>
        <w:rPr>
          <w:i/>
        </w:rPr>
        <w:t>Id.</w:t>
      </w:r>
      <w:r>
        <w:t> </w:t>
      </w:r>
      <w:r>
        <w:t xml:space="preserve">at p. 961.)  The evidence would have shown, at most, that </w:t>
      </w:r>
      <w:proofErr w:type="spellStart"/>
      <w:r>
        <w:t>Mora</w:t>
      </w:r>
      <w:proofErr w:type="spellEnd"/>
      <w:r>
        <w:t xml:space="preserve"> ad</w:t>
      </w:r>
      <w:r>
        <w:t xml:space="preserve">justed well to a custodial setting, becoming a more rule-abiding person.  That evidence would have been tempered by evidence presented in aggravation that </w:t>
      </w:r>
      <w:proofErr w:type="spellStart"/>
      <w:r>
        <w:t>Mora</w:t>
      </w:r>
      <w:proofErr w:type="spellEnd"/>
      <w:r>
        <w:t xml:space="preserve"> committed an assault in a different custodial setting.  </w:t>
      </w:r>
      <w:r>
        <w:t xml:space="preserve">  Because the jury may not have given ev</w:t>
      </w:r>
      <w:r>
        <w:t xml:space="preserve">idence concerning </w:t>
      </w:r>
      <w:proofErr w:type="spellStart"/>
      <w:r>
        <w:t>Mora’s</w:t>
      </w:r>
      <w:proofErr w:type="spellEnd"/>
      <w:r>
        <w:t xml:space="preserve"> “module trustee” status significant weight</w:t>
      </w:r>
      <w:r>
        <w:t xml:space="preserve"> in light of the contra</w:t>
      </w:r>
      <w:r>
        <w:t>sting</w:t>
      </w:r>
      <w:r>
        <w:t xml:space="preserve"> aggravating evidence,</w:t>
      </w:r>
      <w:r>
        <w:t xml:space="preserve"> and because in any event there is not a reasonable possibility that the verdict would have been different had the evidence been presented,</w:t>
      </w:r>
      <w:r>
        <w:t xml:space="preserve"> </w:t>
      </w:r>
      <w:r>
        <w:t xml:space="preserve">we hold </w:t>
      </w:r>
      <w:r>
        <w:t>that error</w:t>
      </w:r>
      <w:r>
        <w:t>, if any,</w:t>
      </w:r>
      <w:r>
        <w:t xml:space="preserve"> </w:t>
      </w:r>
      <w:r>
        <w:t>was</w:t>
      </w:r>
      <w:r>
        <w:t xml:space="preserve"> harmless.  (</w:t>
      </w:r>
      <w:r>
        <w:rPr>
          <w:i/>
        </w:rPr>
        <w:t>Id</w:t>
      </w:r>
      <w:r w:rsidRPr="00D64D5F">
        <w:rPr>
          <w:i/>
        </w:rPr>
        <w:t>.</w:t>
      </w:r>
      <w:r>
        <w:t xml:space="preserve"> at p. 961.)</w:t>
      </w:r>
    </w:p>
    <w:p w:rsidR="0078340F"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37" w:name="_Toc511210409"/>
      <w:r w:rsidRPr="001246BE">
        <w:rPr>
          <w:rFonts w:ascii="Times New Roman" w:hAnsi="Times New Roman"/>
        </w:rPr>
        <w:t>6.</w:t>
      </w:r>
      <w:r w:rsidRPr="001246BE">
        <w:rPr>
          <w:rFonts w:ascii="Times New Roman" w:hAnsi="Times New Roman"/>
        </w:rPr>
        <w:tab/>
        <w:t xml:space="preserve">CALJIC </w:t>
      </w:r>
      <w:r w:rsidRPr="001246BE">
        <w:rPr>
          <w:rFonts w:ascii="Times New Roman" w:hAnsi="Times New Roman"/>
        </w:rPr>
        <w:t xml:space="preserve">No. </w:t>
      </w:r>
      <w:r w:rsidRPr="001246BE">
        <w:rPr>
          <w:rFonts w:ascii="Times New Roman" w:hAnsi="Times New Roman"/>
        </w:rPr>
        <w:t>8.85</w:t>
      </w:r>
      <w:bookmarkEnd w:id="37"/>
      <w:r w:rsidRPr="001246BE">
        <w:rPr>
          <w:rFonts w:ascii="Times New Roman" w:hAnsi="Times New Roman"/>
        </w:rPr>
        <w:t xml:space="preserve"> </w:t>
      </w:r>
    </w:p>
    <w:p w:rsidR="00A04E79" w:rsidRPr="001246BE" w:rsidRDefault="00EF4903" w:rsidP="004322DE">
      <w:pPr>
        <w:spacing w:line="480" w:lineRule="atLeast"/>
      </w:pPr>
      <w:r w:rsidRPr="001246BE">
        <w:tab/>
      </w:r>
      <w:proofErr w:type="spellStart"/>
      <w:r w:rsidRPr="001246BE">
        <w:t>Mora</w:t>
      </w:r>
      <w:proofErr w:type="spellEnd"/>
      <w:r w:rsidRPr="001246BE">
        <w:t xml:space="preserve"> and Rangel argue that the trial court erred by failing to instruct the jurors, in addition to CALJIC</w:t>
      </w:r>
      <w:r w:rsidRPr="001246BE">
        <w:t xml:space="preserve"> No.</w:t>
      </w:r>
      <w:r w:rsidRPr="001246BE">
        <w:t xml:space="preserve"> 8.85, with a requested further instruction stating</w:t>
      </w:r>
      <w:r w:rsidRPr="001246BE">
        <w:t>,</w:t>
      </w:r>
      <w:r w:rsidRPr="001246BE">
        <w:t xml:space="preserve"> “However, you may not double count any ‘circumstances of the offense’ which are also ‘special circumstances.’  That is, you may not weigh the special circumstance[s] more than once in your sentencing determination.”  </w:t>
      </w:r>
      <w:proofErr w:type="spellStart"/>
      <w:r w:rsidRPr="001246BE">
        <w:t>Mora</w:t>
      </w:r>
      <w:proofErr w:type="spellEnd"/>
      <w:r w:rsidRPr="001246BE">
        <w:t xml:space="preserve"> and Rangel</w:t>
      </w:r>
      <w:r w:rsidRPr="001246BE">
        <w:t xml:space="preserve"> acknowledge we have co</w:t>
      </w:r>
      <w:r w:rsidRPr="001246BE">
        <w:t xml:space="preserve">nsistently </w:t>
      </w:r>
      <w:r w:rsidRPr="001246BE">
        <w:t xml:space="preserve">found no </w:t>
      </w:r>
      <w:r w:rsidRPr="001246BE">
        <w:t xml:space="preserve">prejudicial </w:t>
      </w:r>
      <w:r w:rsidRPr="001246BE">
        <w:t>error in a trial court’s denial of identical requested instructions, holding that “ ‘in the absence of any misleading argument by the prosecutor or an event demonstrating the substantial likelihood of “double-counting” rever</w:t>
      </w:r>
      <w:r w:rsidRPr="001246BE">
        <w:t>sal is not required.’ ”</w:t>
      </w:r>
      <w:r w:rsidRPr="001246BE">
        <w:t xml:space="preserve"> </w:t>
      </w:r>
      <w:r w:rsidRPr="001246BE">
        <w:t xml:space="preserve"> (</w:t>
      </w:r>
      <w:r w:rsidRPr="001246BE">
        <w:rPr>
          <w:i/>
        </w:rPr>
        <w:t xml:space="preserve">People v. </w:t>
      </w:r>
      <w:proofErr w:type="spellStart"/>
      <w:r w:rsidRPr="001246BE">
        <w:rPr>
          <w:i/>
        </w:rPr>
        <w:t>Monterroso</w:t>
      </w:r>
      <w:proofErr w:type="spellEnd"/>
      <w:r w:rsidRPr="001246BE">
        <w:t xml:space="preserve"> (2004) 34 Cal.4th 743, 790, quoting </w:t>
      </w:r>
      <w:r w:rsidRPr="001246BE">
        <w:rPr>
          <w:i/>
        </w:rPr>
        <w:t>People v. Proctor</w:t>
      </w:r>
      <w:r w:rsidRPr="001246BE">
        <w:t xml:space="preserve"> (1992) 4</w:t>
      </w:r>
      <w:r>
        <w:t> </w:t>
      </w:r>
      <w:r w:rsidRPr="001246BE">
        <w:t>Cal.4th 499, 550.)</w:t>
      </w:r>
      <w:r w:rsidRPr="001246BE">
        <w:t xml:space="preserve">  Although </w:t>
      </w:r>
      <w:proofErr w:type="spellStart"/>
      <w:r w:rsidRPr="001246BE">
        <w:t>Mora</w:t>
      </w:r>
      <w:proofErr w:type="spellEnd"/>
      <w:r w:rsidRPr="001246BE">
        <w:t xml:space="preserve"> and Rangel</w:t>
      </w:r>
      <w:r w:rsidRPr="001246BE">
        <w:t xml:space="preserve"> suggest the trial court’s and prosecution’s apparent confusion over applying the prohibition against </w:t>
      </w:r>
      <w:r w:rsidRPr="001246BE">
        <w:t>double-counting itself demonstrates a substantial likelihood that jurors would misunderstand, they point to no argument by the prosecution or event that would have misled the jury.  (</w:t>
      </w:r>
      <w:r w:rsidRPr="001246BE">
        <w:rPr>
          <w:i/>
        </w:rPr>
        <w:t>Peopl</w:t>
      </w:r>
      <w:r>
        <w:rPr>
          <w:i/>
        </w:rPr>
        <w:t>e v. </w:t>
      </w:r>
      <w:proofErr w:type="spellStart"/>
      <w:r w:rsidRPr="001246BE">
        <w:rPr>
          <w:i/>
        </w:rPr>
        <w:t>Monterroso</w:t>
      </w:r>
      <w:proofErr w:type="spellEnd"/>
      <w:r w:rsidRPr="001246BE">
        <w:t xml:space="preserve">, </w:t>
      </w:r>
      <w:r w:rsidRPr="001246BE">
        <w:rPr>
          <w:i/>
        </w:rPr>
        <w:t>supra</w:t>
      </w:r>
      <w:r w:rsidRPr="001246BE">
        <w:t xml:space="preserve">, 34 Cal.4th at p. 790.)  </w:t>
      </w:r>
      <w:r w:rsidRPr="001246BE">
        <w:t>Moreover, “[w]e pres</w:t>
      </w:r>
      <w:r w:rsidRPr="001246BE">
        <w:t>ume that jurors are intelligent and capable of understanding and applying the court’s instructions.”  (</w:t>
      </w:r>
      <w:r w:rsidRPr="001246BE">
        <w:rPr>
          <w:i/>
        </w:rPr>
        <w:t>People v. Butler</w:t>
      </w:r>
      <w:r w:rsidRPr="001246BE">
        <w:t xml:space="preserve"> (2009) 46 Cal.4th 847, 873.)  Even if the prosecution and court misunderstood CALJIC</w:t>
      </w:r>
      <w:r w:rsidRPr="001246BE">
        <w:t xml:space="preserve"> No.</w:t>
      </w:r>
      <w:r w:rsidRPr="001246BE">
        <w:t xml:space="preserve"> 8.85, in light of our presumption that the juro</w:t>
      </w:r>
      <w:r w:rsidRPr="001246BE">
        <w:t xml:space="preserve">rs did not, and because no argument </w:t>
      </w:r>
      <w:r w:rsidRPr="001246BE">
        <w:t xml:space="preserve">or event occurred </w:t>
      </w:r>
      <w:r w:rsidRPr="001246BE">
        <w:t>misleading the jury</w:t>
      </w:r>
      <w:r w:rsidRPr="001246BE">
        <w:t xml:space="preserve">, </w:t>
      </w:r>
      <w:r w:rsidRPr="001246BE">
        <w:t>we need not disturb our</w:t>
      </w:r>
      <w:r w:rsidRPr="001246BE">
        <w:t xml:space="preserve"> long-sta</w:t>
      </w:r>
      <w:r w:rsidRPr="001246BE">
        <w:t xml:space="preserve">nding rule that the trial court did not </w:t>
      </w:r>
      <w:r w:rsidRPr="001246BE">
        <w:t xml:space="preserve">prejudicially </w:t>
      </w:r>
      <w:r w:rsidRPr="001246BE">
        <w:t>err by</w:t>
      </w:r>
      <w:r w:rsidRPr="001246BE">
        <w:t xml:space="preserve"> refus</w:t>
      </w:r>
      <w:r w:rsidRPr="001246BE">
        <w:t>ing</w:t>
      </w:r>
      <w:r w:rsidRPr="001246BE">
        <w:t xml:space="preserve"> to </w:t>
      </w:r>
      <w:r w:rsidRPr="001246BE">
        <w:t>modify</w:t>
      </w:r>
      <w:r w:rsidRPr="001246BE">
        <w:t xml:space="preserve"> CALJIC</w:t>
      </w:r>
      <w:r w:rsidRPr="001246BE">
        <w:t xml:space="preserve"> No.</w:t>
      </w:r>
      <w:r w:rsidRPr="001246BE">
        <w:t xml:space="preserve"> 8.85.</w:t>
      </w:r>
      <w:r w:rsidRPr="001246BE">
        <w:t xml:space="preserve"> </w:t>
      </w:r>
    </w:p>
    <w:p w:rsidR="0078340F" w:rsidRPr="001246BE" w:rsidRDefault="00EF4903">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38" w:name="_Toc511210410"/>
      <w:r w:rsidRPr="001246BE">
        <w:rPr>
          <w:rFonts w:ascii="Times New Roman" w:hAnsi="Times New Roman"/>
        </w:rPr>
        <w:t>7.</w:t>
      </w:r>
      <w:r w:rsidRPr="001246BE">
        <w:rPr>
          <w:rFonts w:ascii="Times New Roman" w:hAnsi="Times New Roman"/>
        </w:rPr>
        <w:tab/>
      </w:r>
      <w:r>
        <w:rPr>
          <w:rFonts w:ascii="Times New Roman" w:hAnsi="Times New Roman"/>
        </w:rPr>
        <w:t>Multiple</w:t>
      </w:r>
      <w:r>
        <w:rPr>
          <w:rFonts w:ascii="Times New Roman" w:hAnsi="Times New Roman"/>
        </w:rPr>
        <w:t xml:space="preserve"> </w:t>
      </w:r>
      <w:r>
        <w:rPr>
          <w:rFonts w:ascii="Times New Roman" w:hAnsi="Times New Roman"/>
        </w:rPr>
        <w:t>Murder</w:t>
      </w:r>
      <w:r w:rsidRPr="001246BE">
        <w:rPr>
          <w:rFonts w:ascii="Times New Roman" w:hAnsi="Times New Roman"/>
        </w:rPr>
        <w:t xml:space="preserve"> Special </w:t>
      </w:r>
      <w:r w:rsidRPr="001246BE">
        <w:rPr>
          <w:rFonts w:ascii="Times New Roman" w:hAnsi="Times New Roman"/>
        </w:rPr>
        <w:t>Circumstance</w:t>
      </w:r>
      <w:bookmarkEnd w:id="38"/>
      <w:r w:rsidRPr="001246BE">
        <w:rPr>
          <w:rFonts w:ascii="Times New Roman" w:hAnsi="Times New Roman"/>
        </w:rPr>
        <w:t xml:space="preserve"> </w:t>
      </w:r>
    </w:p>
    <w:p w:rsidR="0078340F" w:rsidRPr="001246BE" w:rsidRDefault="00EF4903" w:rsidP="002E1C87">
      <w:pPr>
        <w:spacing w:line="480" w:lineRule="atLeast"/>
      </w:pPr>
      <w:r w:rsidRPr="001246BE">
        <w:tab/>
      </w:r>
      <w:proofErr w:type="spellStart"/>
      <w:r w:rsidRPr="001246BE">
        <w:t>Mora</w:t>
      </w:r>
      <w:proofErr w:type="spellEnd"/>
      <w:r w:rsidRPr="001246BE">
        <w:t xml:space="preserve"> </w:t>
      </w:r>
      <w:r w:rsidRPr="001246BE">
        <w:t>and Rangel argue t</w:t>
      </w:r>
      <w:r w:rsidRPr="001246BE">
        <w:t xml:space="preserve">hat the </w:t>
      </w:r>
      <w:r>
        <w:t>multiple murder</w:t>
      </w:r>
      <w:r w:rsidRPr="001246BE">
        <w:t xml:space="preserve"> special </w:t>
      </w:r>
      <w:r w:rsidRPr="001246BE">
        <w:t xml:space="preserve">circumstance must be overturned because it violates the Eighth and Fourteenth Amendments.  We have repeatedly rejected similar claims because the </w:t>
      </w:r>
      <w:r>
        <w:t>multiple murder</w:t>
      </w:r>
      <w:r w:rsidRPr="001246BE">
        <w:t xml:space="preserve"> special circumstance narrows the class of de</w:t>
      </w:r>
      <w:r w:rsidRPr="001246BE">
        <w:t>ath-eligible defe</w:t>
      </w:r>
      <w:r w:rsidRPr="001246BE">
        <w:t>ndants.  (</w:t>
      </w:r>
      <w:r w:rsidRPr="001246BE">
        <w:rPr>
          <w:i/>
        </w:rPr>
        <w:t>People v. Sapp</w:t>
      </w:r>
      <w:r w:rsidRPr="001246BE">
        <w:t xml:space="preserve"> (2003) 31 Cal.4th 240, 286</w:t>
      </w:r>
      <w:r>
        <w:t>–</w:t>
      </w:r>
      <w:r w:rsidRPr="001246BE">
        <w:t>287.)</w:t>
      </w:r>
      <w:r w:rsidRPr="001246BE">
        <w:t xml:space="preserve">  “For the multiple</w:t>
      </w:r>
      <w:r>
        <w:t xml:space="preserve"> </w:t>
      </w:r>
      <w:r w:rsidRPr="001246BE">
        <w:t xml:space="preserve">murder special circumstance, a defendant must, in the same proceeding, be convicted not only of first degree murder, but also of ‘more than one offense of murder </w:t>
      </w:r>
      <w:r w:rsidRPr="001246BE">
        <w:t xml:space="preserve">in the first or second degree.’ </w:t>
      </w:r>
      <w:r w:rsidRPr="001246BE">
        <w:t xml:space="preserve"> </w:t>
      </w:r>
      <w:r w:rsidRPr="001246BE">
        <w:t>(§ 190.2, subd. (a)(3).)”  (</w:t>
      </w:r>
      <w:r w:rsidRPr="001246BE">
        <w:rPr>
          <w:i/>
        </w:rPr>
        <w:t>People v. </w:t>
      </w:r>
      <w:r w:rsidRPr="001246BE">
        <w:rPr>
          <w:i/>
        </w:rPr>
        <w:t>Sapp</w:t>
      </w:r>
      <w:r w:rsidRPr="001246BE">
        <w:t xml:space="preserve">, </w:t>
      </w:r>
      <w:r w:rsidRPr="001246BE">
        <w:rPr>
          <w:i/>
        </w:rPr>
        <w:t>supra</w:t>
      </w:r>
      <w:r w:rsidRPr="001246BE">
        <w:t xml:space="preserve">, 31 Cal.4th at p. 286.)  </w:t>
      </w:r>
      <w:proofErr w:type="spellStart"/>
      <w:r w:rsidRPr="001246BE">
        <w:t>Mora</w:t>
      </w:r>
      <w:proofErr w:type="spellEnd"/>
      <w:r w:rsidRPr="001246BE">
        <w:t xml:space="preserve"> and Rangel</w:t>
      </w:r>
      <w:r w:rsidRPr="001246BE">
        <w:t xml:space="preserve"> argue that the </w:t>
      </w:r>
      <w:r>
        <w:t>multiple murder</w:t>
      </w:r>
      <w:r w:rsidRPr="001246BE">
        <w:t xml:space="preserve"> special </w:t>
      </w:r>
      <w:r w:rsidRPr="001246BE">
        <w:t xml:space="preserve">circumstance </w:t>
      </w:r>
      <w:r w:rsidRPr="001246BE">
        <w:t xml:space="preserve">is unconstitutionally “wanton or freakish” because it </w:t>
      </w:r>
      <w:r w:rsidRPr="001246BE">
        <w:t xml:space="preserve">permits </w:t>
      </w:r>
      <w:r w:rsidRPr="001246BE">
        <w:t>a</w:t>
      </w:r>
      <w:r w:rsidRPr="001246BE">
        <w:t xml:space="preserve"> person </w:t>
      </w:r>
      <w:r w:rsidRPr="001246BE">
        <w:t xml:space="preserve">who accidentally kills </w:t>
      </w:r>
      <w:r w:rsidRPr="001246BE">
        <w:t xml:space="preserve">a woman and the nine-week-old fetus she did not know </w:t>
      </w:r>
      <w:r w:rsidRPr="001246BE">
        <w:t xml:space="preserve">she was carrying </w:t>
      </w:r>
      <w:r w:rsidRPr="001246BE">
        <w:t xml:space="preserve">to be given the death penalty, </w:t>
      </w:r>
      <w:r w:rsidRPr="001246BE">
        <w:t>but</w:t>
      </w:r>
      <w:r w:rsidRPr="001246BE">
        <w:t xml:space="preserve"> that same penalty is not applied to</w:t>
      </w:r>
      <w:r w:rsidRPr="001246BE">
        <w:t xml:space="preserve"> a killer motivated by racial animus </w:t>
      </w:r>
      <w:r w:rsidRPr="001246BE">
        <w:t>who</w:t>
      </w:r>
      <w:r w:rsidRPr="001246BE">
        <w:t xml:space="preserve"> murder</w:t>
      </w:r>
      <w:r w:rsidRPr="001246BE">
        <w:t>s</w:t>
      </w:r>
      <w:r w:rsidRPr="001246BE">
        <w:t xml:space="preserve"> several people</w:t>
      </w:r>
      <w:r w:rsidRPr="001246BE">
        <w:t>.  (See</w:t>
      </w:r>
      <w:r w:rsidRPr="001246BE">
        <w:t xml:space="preserve"> </w:t>
      </w:r>
      <w:r w:rsidRPr="001246BE">
        <w:rPr>
          <w:i/>
        </w:rPr>
        <w:t xml:space="preserve">United States v. </w:t>
      </w:r>
      <w:proofErr w:type="spellStart"/>
      <w:r w:rsidRPr="001246BE">
        <w:rPr>
          <w:i/>
        </w:rPr>
        <w:t>Cheel</w:t>
      </w:r>
      <w:r w:rsidRPr="001246BE">
        <w:rPr>
          <w:i/>
        </w:rPr>
        <w:t>y</w:t>
      </w:r>
      <w:proofErr w:type="spellEnd"/>
      <w:r w:rsidRPr="001246BE">
        <w:t xml:space="preserve"> (9th Cir. 1994) 36 </w:t>
      </w:r>
      <w:r w:rsidRPr="001246BE">
        <w:t>F.3d 1439, 1445.</w:t>
      </w:r>
      <w:r w:rsidRPr="001246BE">
        <w:t>)</w:t>
      </w:r>
      <w:r w:rsidRPr="001246BE">
        <w:t xml:space="preserve">  </w:t>
      </w:r>
      <w:r w:rsidRPr="001246BE">
        <w:t xml:space="preserve">We rejected this exact argument in </w:t>
      </w:r>
      <w:r w:rsidRPr="001246BE">
        <w:rPr>
          <w:i/>
        </w:rPr>
        <w:t xml:space="preserve">People v. </w:t>
      </w:r>
      <w:r w:rsidRPr="001246BE">
        <w:rPr>
          <w:i/>
        </w:rPr>
        <w:t>Sapp</w:t>
      </w:r>
      <w:r w:rsidRPr="001246BE">
        <w:t xml:space="preserve">, which </w:t>
      </w:r>
      <w:proofErr w:type="spellStart"/>
      <w:r w:rsidRPr="001246BE">
        <w:t>Mora</w:t>
      </w:r>
      <w:proofErr w:type="spellEnd"/>
      <w:r w:rsidRPr="001246BE">
        <w:t xml:space="preserve"> and Rangel</w:t>
      </w:r>
      <w:r w:rsidRPr="001246BE">
        <w:t xml:space="preserve"> acknowledge, and they present no reason to disturb our longstanding conclusion.  (</w:t>
      </w:r>
      <w:r w:rsidRPr="001246BE">
        <w:rPr>
          <w:i/>
        </w:rPr>
        <w:t>People v. Sapp</w:t>
      </w:r>
      <w:r w:rsidRPr="001246BE">
        <w:t xml:space="preserve">, </w:t>
      </w:r>
      <w:r w:rsidRPr="005C1048">
        <w:rPr>
          <w:i/>
        </w:rPr>
        <w:t>supra</w:t>
      </w:r>
      <w:r>
        <w:t xml:space="preserve">, </w:t>
      </w:r>
      <w:r w:rsidRPr="001246BE">
        <w:t>31 Cal.4th at p. 287.)</w:t>
      </w:r>
    </w:p>
    <w:p w:rsidR="00B5245D" w:rsidRPr="001246BE" w:rsidRDefault="00EF4903" w:rsidP="00B5245D">
      <w:pPr>
        <w:pStyle w:val="Heading3"/>
      </w:pPr>
      <w:r w:rsidRPr="001246BE">
        <w:rPr>
          <w:rFonts w:ascii="Times New Roman" w:hAnsi="Times New Roman"/>
        </w:rPr>
        <w:tab/>
      </w:r>
      <w:r w:rsidRPr="001246BE">
        <w:rPr>
          <w:rFonts w:ascii="Times New Roman" w:hAnsi="Times New Roman"/>
        </w:rPr>
        <w:tab/>
      </w:r>
      <w:bookmarkStart w:id="39" w:name="_Toc511210411"/>
      <w:r w:rsidRPr="001246BE">
        <w:rPr>
          <w:rFonts w:ascii="Times New Roman" w:hAnsi="Times New Roman"/>
        </w:rPr>
        <w:t>8.</w:t>
      </w:r>
      <w:r w:rsidRPr="001246BE">
        <w:rPr>
          <w:rFonts w:ascii="Times New Roman" w:hAnsi="Times New Roman"/>
        </w:rPr>
        <w:tab/>
        <w:t>Alleged Ju</w:t>
      </w:r>
      <w:r w:rsidRPr="001246BE">
        <w:rPr>
          <w:rFonts w:ascii="Times New Roman" w:hAnsi="Times New Roman"/>
        </w:rPr>
        <w:t>ror Misconduct</w:t>
      </w:r>
      <w:bookmarkEnd w:id="39"/>
      <w:r w:rsidRPr="001246BE">
        <w:rPr>
          <w:rFonts w:ascii="Times New Roman" w:hAnsi="Times New Roman"/>
        </w:rPr>
        <w:t xml:space="preserve"> </w:t>
      </w:r>
    </w:p>
    <w:p w:rsidR="00B5245D" w:rsidRPr="001246BE" w:rsidRDefault="00EF4903" w:rsidP="00B5245D">
      <w:pPr>
        <w:pStyle w:val="Heading4"/>
        <w:rPr>
          <w:rFonts w:ascii="Times New Roman" w:hAnsi="Times New Roman"/>
          <w:b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a.</w:t>
      </w:r>
      <w:r w:rsidRPr="001246BE">
        <w:rPr>
          <w:rFonts w:ascii="Times New Roman" w:hAnsi="Times New Roman"/>
          <w:b w:val="0"/>
          <w:i w:val="0"/>
          <w:color w:val="auto"/>
        </w:rPr>
        <w:tab/>
      </w:r>
      <w:r w:rsidRPr="001246BE">
        <w:rPr>
          <w:rFonts w:ascii="Times New Roman" w:hAnsi="Times New Roman"/>
          <w:b w:val="0"/>
          <w:color w:val="auto"/>
        </w:rPr>
        <w:t>Background</w:t>
      </w:r>
    </w:p>
    <w:p w:rsidR="00B5245D" w:rsidRPr="001246BE" w:rsidRDefault="00EF4903" w:rsidP="00B5245D">
      <w:pPr>
        <w:spacing w:line="480" w:lineRule="atLeast"/>
      </w:pPr>
      <w:r w:rsidRPr="001246BE">
        <w:tab/>
        <w:t xml:space="preserve">Following the penalty verdict, </w:t>
      </w:r>
      <w:proofErr w:type="spellStart"/>
      <w:r w:rsidRPr="001246BE">
        <w:t>Mora</w:t>
      </w:r>
      <w:proofErr w:type="spellEnd"/>
      <w:r w:rsidRPr="001246BE">
        <w:t xml:space="preserve"> moved for a new p</w:t>
      </w:r>
      <w:r>
        <w:t xml:space="preserve">enalty trial, arguing that </w:t>
      </w:r>
      <w:proofErr w:type="spellStart"/>
      <w:r>
        <w:t>post</w:t>
      </w:r>
      <w:r w:rsidRPr="001246BE">
        <w:t>verdict</w:t>
      </w:r>
      <w:proofErr w:type="spellEnd"/>
      <w:r w:rsidRPr="001246BE">
        <w:t xml:space="preserve"> discussions with jurors revealed information suggesti</w:t>
      </w:r>
      <w:r w:rsidRPr="001246BE">
        <w:t>ng</w:t>
      </w:r>
      <w:r w:rsidRPr="001246BE">
        <w:t xml:space="preserve"> </w:t>
      </w:r>
      <w:r w:rsidRPr="001246BE">
        <w:t xml:space="preserve">misconduct.  </w:t>
      </w:r>
      <w:r w:rsidRPr="001246BE">
        <w:t xml:space="preserve">According to a declaration executed by </w:t>
      </w:r>
      <w:proofErr w:type="spellStart"/>
      <w:r w:rsidRPr="001246BE">
        <w:t>Mora’s</w:t>
      </w:r>
      <w:proofErr w:type="spellEnd"/>
      <w:r w:rsidRPr="001246BE">
        <w:t xml:space="preserve"> attorney, t</w:t>
      </w:r>
      <w:r w:rsidRPr="001246BE">
        <w:t>hose</w:t>
      </w:r>
      <w:r w:rsidRPr="001246BE">
        <w:t xml:space="preserve"> discussions revealed that Juror No. 2 “</w:t>
      </w:r>
      <w:r w:rsidRPr="001246BE">
        <w:t>formed an opinion that this was an execution</w:t>
      </w:r>
      <w:r w:rsidRPr="001246BE">
        <w:t xml:space="preserve">” </w:t>
      </w:r>
      <w:r w:rsidRPr="001246BE">
        <w:t xml:space="preserve">“because the shot was to the head,” </w:t>
      </w:r>
      <w:r w:rsidRPr="001246BE">
        <w:t xml:space="preserve">which opinion </w:t>
      </w:r>
      <w:r w:rsidRPr="001246BE">
        <w:t>t</w:t>
      </w:r>
      <w:r w:rsidRPr="001246BE">
        <w:t>he</w:t>
      </w:r>
      <w:r w:rsidRPr="001246BE">
        <w:t xml:space="preserve"> juror</w:t>
      </w:r>
      <w:r w:rsidRPr="001246BE">
        <w:t xml:space="preserve"> </w:t>
      </w:r>
      <w:r w:rsidRPr="001246BE">
        <w:t>“</w:t>
      </w:r>
      <w:r w:rsidRPr="001246BE">
        <w:t>based on his military training and experience</w:t>
      </w:r>
      <w:r w:rsidRPr="001246BE">
        <w:t xml:space="preserve">.”  </w:t>
      </w:r>
      <w:proofErr w:type="spellStart"/>
      <w:r w:rsidRPr="001246BE">
        <w:t>Mora’s</w:t>
      </w:r>
      <w:proofErr w:type="spellEnd"/>
      <w:r w:rsidRPr="001246BE">
        <w:t xml:space="preserve"> attorney declared that Juror No. 2 “</w:t>
      </w:r>
      <w:r w:rsidRPr="001246BE">
        <w:t>conclude</w:t>
      </w:r>
      <w:r w:rsidRPr="001246BE">
        <w:t>[d]</w:t>
      </w:r>
      <w:r w:rsidRPr="001246BE">
        <w:t xml:space="preserve"> that </w:t>
      </w:r>
      <w:r w:rsidRPr="001246BE">
        <w:t xml:space="preserve">since this was an execution, </w:t>
      </w:r>
      <w:r w:rsidRPr="001246BE">
        <w:t>[</w:t>
      </w:r>
      <w:proofErr w:type="spellStart"/>
      <w:r w:rsidRPr="001246BE">
        <w:t>Mora</w:t>
      </w:r>
      <w:proofErr w:type="spellEnd"/>
      <w:r w:rsidRPr="001246BE">
        <w:t>]</w:t>
      </w:r>
      <w:r w:rsidRPr="001246BE">
        <w:t xml:space="preserve"> should be executed.  Once </w:t>
      </w:r>
      <w:r w:rsidRPr="001246BE">
        <w:t>[Juror No. 2]</w:t>
      </w:r>
      <w:r w:rsidRPr="001246BE">
        <w:t xml:space="preserve"> decided this was an execution he did not co</w:t>
      </w:r>
      <w:r w:rsidRPr="001246BE">
        <w:t xml:space="preserve">nsider any other factors.”  </w:t>
      </w:r>
      <w:proofErr w:type="spellStart"/>
      <w:r w:rsidRPr="001246BE">
        <w:t>Mora</w:t>
      </w:r>
      <w:proofErr w:type="spellEnd"/>
      <w:r w:rsidRPr="001246BE">
        <w:t xml:space="preserve"> alleged </w:t>
      </w:r>
      <w:r w:rsidRPr="001246BE">
        <w:t xml:space="preserve">Juror No. 7 </w:t>
      </w:r>
      <w:r w:rsidRPr="001246BE">
        <w:t>“changed her decision” and voted in favor of death after learning that “</w:t>
      </w:r>
      <w:proofErr w:type="spellStart"/>
      <w:r w:rsidRPr="001246BE">
        <w:t>Mora</w:t>
      </w:r>
      <w:proofErr w:type="spellEnd"/>
      <w:r w:rsidRPr="001246BE">
        <w:t>, unlike</w:t>
      </w:r>
      <w:r w:rsidRPr="001246BE">
        <w:t xml:space="preserve"> Rangel committed an execution.”  </w:t>
      </w:r>
      <w:r w:rsidRPr="001246BE">
        <w:t xml:space="preserve">Based on Juror Nos. 2 and 7’s comments, </w:t>
      </w:r>
      <w:proofErr w:type="spellStart"/>
      <w:r w:rsidRPr="001246BE">
        <w:t>Mora</w:t>
      </w:r>
      <w:proofErr w:type="spellEnd"/>
      <w:r w:rsidRPr="001246BE">
        <w:t xml:space="preserve"> moved for a new penalty trial.  </w:t>
      </w:r>
      <w:r w:rsidRPr="001246BE">
        <w:t xml:space="preserve">Rangel joined in the new trial motion.  </w:t>
      </w:r>
    </w:p>
    <w:p w:rsidR="00B5245D" w:rsidRPr="001246BE" w:rsidRDefault="00EF4903" w:rsidP="00B5245D">
      <w:pPr>
        <w:spacing w:line="480" w:lineRule="atLeast"/>
      </w:pPr>
      <w:r w:rsidRPr="001246BE">
        <w:tab/>
      </w:r>
      <w:proofErr w:type="spellStart"/>
      <w:r w:rsidRPr="001246BE">
        <w:t>Mora</w:t>
      </w:r>
      <w:proofErr w:type="spellEnd"/>
      <w:r w:rsidRPr="001246BE">
        <w:t xml:space="preserve"> and Rangel </w:t>
      </w:r>
      <w:r w:rsidRPr="001246BE">
        <w:t xml:space="preserve">also </w:t>
      </w:r>
      <w:r w:rsidRPr="001246BE">
        <w:t>jointly requested disclosure of juror contact information to further investigate c</w:t>
      </w:r>
      <w:r w:rsidRPr="001246BE">
        <w:t xml:space="preserve">laims of juror misconduct.  </w:t>
      </w:r>
      <w:proofErr w:type="spellStart"/>
      <w:r w:rsidRPr="001246BE">
        <w:t>Mora</w:t>
      </w:r>
      <w:proofErr w:type="spellEnd"/>
      <w:r w:rsidRPr="001246BE">
        <w:t xml:space="preserve"> and Rangel sought and were granted</w:t>
      </w:r>
      <w:r w:rsidRPr="001246BE">
        <w:t xml:space="preserve"> a</w:t>
      </w:r>
      <w:r w:rsidRPr="001246BE">
        <w:t xml:space="preserve"> hearing to address disclosure of juror contact information, which was held on April 27, 1999.  Prior to the hearing, the court contacted the jurors and informed them of </w:t>
      </w:r>
      <w:proofErr w:type="spellStart"/>
      <w:r w:rsidRPr="001246BE">
        <w:t>Mora</w:t>
      </w:r>
      <w:proofErr w:type="spellEnd"/>
      <w:r w:rsidRPr="001246BE">
        <w:t xml:space="preserve"> and Rangel’s wish for disclosure of their identifying information.  Prior to or d</w:t>
      </w:r>
      <w:r w:rsidRPr="001246BE">
        <w:t>uring the April 27, 1999</w:t>
      </w:r>
      <w:r w:rsidRPr="001246BE">
        <w:t>,</w:t>
      </w:r>
      <w:r w:rsidRPr="001246BE">
        <w:t xml:space="preserve"> hearing, Juror Nos. 1, 2, 4, 5, 6, 7, 8, 9, and 10 conveyed to the court their wish</w:t>
      </w:r>
      <w:r w:rsidRPr="001246BE">
        <w:t>es</w:t>
      </w:r>
      <w:r w:rsidRPr="001246BE">
        <w:t xml:space="preserve"> that</w:t>
      </w:r>
      <w:r w:rsidRPr="001246BE">
        <w:t xml:space="preserve"> their</w:t>
      </w:r>
      <w:r w:rsidRPr="001246BE">
        <w:t xml:space="preserve"> identifying information not be shared with the defense.  Juror Nos. 1, 2, 6, and 8 were present in court for the hearing; each confir</w:t>
      </w:r>
      <w:r w:rsidRPr="001246BE">
        <w:t xml:space="preserve">med their desire not to have his or her contact information disclosed.  The court asked if Juror No. 2 wished to speak in court, and Juror No. 2 responded in the negative.  Based on the jurors’ wish not to be contacted, the court denied </w:t>
      </w:r>
      <w:proofErr w:type="spellStart"/>
      <w:r w:rsidRPr="001246BE">
        <w:t>Mora</w:t>
      </w:r>
      <w:proofErr w:type="spellEnd"/>
      <w:r w:rsidRPr="001246BE">
        <w:t xml:space="preserve"> and Rangel</w:t>
      </w:r>
      <w:r w:rsidRPr="001246BE">
        <w:t xml:space="preserve"> acc</w:t>
      </w:r>
      <w:r w:rsidRPr="001246BE">
        <w:t>ess to</w:t>
      </w:r>
      <w:r w:rsidRPr="001246BE">
        <w:t xml:space="preserve"> contact</w:t>
      </w:r>
      <w:r w:rsidRPr="001246BE">
        <w:t xml:space="preserve"> information concerning th</w:t>
      </w:r>
      <w:r w:rsidRPr="001246BE">
        <w:t>ose</w:t>
      </w:r>
      <w:r w:rsidRPr="001246BE">
        <w:t xml:space="preserve"> nine jurors.    </w:t>
      </w:r>
    </w:p>
    <w:p w:rsidR="00B5245D" w:rsidRPr="001246BE" w:rsidRDefault="00EF4903" w:rsidP="00B5245D">
      <w:pPr>
        <w:spacing w:line="480" w:lineRule="atLeast"/>
      </w:pPr>
      <w:r w:rsidRPr="001246BE">
        <w:tab/>
        <w:t>Juror Nos. 3, 11, and 12 did not respond to the court’s communication regarding the disclosure of their identifying information</w:t>
      </w:r>
      <w:r>
        <w:t xml:space="preserve">. </w:t>
      </w:r>
      <w:r>
        <w:t xml:space="preserve"> </w:t>
      </w:r>
      <w:r>
        <w:t xml:space="preserve">The </w:t>
      </w:r>
      <w:r w:rsidRPr="001246BE">
        <w:t xml:space="preserve">court </w:t>
      </w:r>
      <w:r w:rsidRPr="001246BE">
        <w:t xml:space="preserve">provided </w:t>
      </w:r>
      <w:proofErr w:type="spellStart"/>
      <w:r w:rsidRPr="001246BE">
        <w:t>Mora</w:t>
      </w:r>
      <w:proofErr w:type="spellEnd"/>
      <w:r w:rsidRPr="001246BE">
        <w:t xml:space="preserve"> and Rangel with </w:t>
      </w:r>
      <w:r w:rsidRPr="001246BE">
        <w:t>the names, addresses, an</w:t>
      </w:r>
      <w:r w:rsidRPr="001246BE">
        <w:t>d phone numbers of those three jurors.</w:t>
      </w:r>
      <w:r w:rsidRPr="001246BE">
        <w:t xml:space="preserve">  On May 1</w:t>
      </w:r>
      <w:r w:rsidRPr="001246BE">
        <w:t>7</w:t>
      </w:r>
      <w:r w:rsidRPr="001246BE">
        <w:t xml:space="preserve">, 1999, </w:t>
      </w:r>
      <w:proofErr w:type="spellStart"/>
      <w:r w:rsidRPr="001246BE">
        <w:t>Mora</w:t>
      </w:r>
      <w:proofErr w:type="spellEnd"/>
      <w:r w:rsidRPr="001246BE">
        <w:t xml:space="preserve"> moved again for a new trial, and </w:t>
      </w:r>
      <w:proofErr w:type="spellStart"/>
      <w:r w:rsidRPr="001246BE">
        <w:t>Mora’s</w:t>
      </w:r>
      <w:proofErr w:type="spellEnd"/>
      <w:r w:rsidRPr="001246BE">
        <w:t xml:space="preserve"> attorney submitted a declaration </w:t>
      </w:r>
      <w:r w:rsidRPr="001246BE">
        <w:t xml:space="preserve">in support thereof indicating </w:t>
      </w:r>
      <w:r w:rsidRPr="001246BE">
        <w:t xml:space="preserve">that he spoke with one of the three jurors who permitted </w:t>
      </w:r>
      <w:r w:rsidRPr="001246BE">
        <w:t>the disclosure of</w:t>
      </w:r>
      <w:r w:rsidRPr="001246BE">
        <w:t xml:space="preserve"> contact informat</w:t>
      </w:r>
      <w:r w:rsidRPr="001246BE">
        <w:t xml:space="preserve">ion.  That juror “did not specifically remember any deliberation regarding military expertise.”  </w:t>
      </w:r>
      <w:proofErr w:type="spellStart"/>
      <w:r w:rsidRPr="001246BE">
        <w:t>Mora’s</w:t>
      </w:r>
      <w:proofErr w:type="spellEnd"/>
      <w:r w:rsidRPr="001246BE">
        <w:t xml:space="preserve"> attorney declared that the juror also told him the jurors did not believe the murder would have happened had </w:t>
      </w:r>
      <w:proofErr w:type="spellStart"/>
      <w:r w:rsidRPr="001246BE">
        <w:t>Mo</w:t>
      </w:r>
      <w:r w:rsidRPr="001246BE">
        <w:t>ra</w:t>
      </w:r>
      <w:proofErr w:type="spellEnd"/>
      <w:r w:rsidRPr="001246BE">
        <w:t xml:space="preserve"> not paged Rangel that night.</w:t>
      </w:r>
      <w:r w:rsidRPr="001246BE">
        <w:t xml:space="preserve">  </w:t>
      </w:r>
      <w:proofErr w:type="spellStart"/>
      <w:r w:rsidRPr="001246BE">
        <w:t>Mora</w:t>
      </w:r>
      <w:proofErr w:type="spellEnd"/>
      <w:r w:rsidRPr="001246BE">
        <w:t xml:space="preserve"> arg</w:t>
      </w:r>
      <w:r w:rsidRPr="001246BE">
        <w:t xml:space="preserve">ued </w:t>
      </w:r>
      <w:r w:rsidRPr="001246BE">
        <w:t xml:space="preserve">a </w:t>
      </w:r>
      <w:r w:rsidRPr="001246BE">
        <w:t>new trial was warranted because</w:t>
      </w:r>
      <w:r w:rsidRPr="001246BE">
        <w:t xml:space="preserve"> improper evidence concerning Rangel was considered by the jury to permit imposition of the penalty with regard to </w:t>
      </w:r>
      <w:proofErr w:type="spellStart"/>
      <w:r w:rsidRPr="001246BE">
        <w:t>Mora</w:t>
      </w:r>
      <w:proofErr w:type="spellEnd"/>
      <w:r w:rsidRPr="001246BE">
        <w:t xml:space="preserve">.  </w:t>
      </w:r>
      <w:r w:rsidRPr="001246BE">
        <w:t>Rangel separately moved for new trial, but did not argue that juror misconduct supported his requ</w:t>
      </w:r>
      <w:r w:rsidRPr="001246BE">
        <w:t xml:space="preserve">est.  </w:t>
      </w:r>
    </w:p>
    <w:p w:rsidR="00B5245D" w:rsidRPr="00B5245D" w:rsidRDefault="00EF4903" w:rsidP="00B5245D">
      <w:pPr>
        <w:spacing w:line="480" w:lineRule="atLeast"/>
      </w:pPr>
      <w:r w:rsidRPr="001246BE">
        <w:tab/>
        <w:t xml:space="preserve">The court heard </w:t>
      </w:r>
      <w:proofErr w:type="spellStart"/>
      <w:r w:rsidRPr="001246BE">
        <w:t>Mora</w:t>
      </w:r>
      <w:proofErr w:type="spellEnd"/>
      <w:r w:rsidRPr="001246BE">
        <w:t xml:space="preserve"> and Rangel’s</w:t>
      </w:r>
      <w:r w:rsidRPr="001246BE">
        <w:t xml:space="preserve"> updated new trial motions o</w:t>
      </w:r>
      <w:r w:rsidRPr="001246BE">
        <w:t xml:space="preserve">n May 27, 1999.  </w:t>
      </w:r>
      <w:proofErr w:type="spellStart"/>
      <w:r w:rsidRPr="001246BE">
        <w:t>Mora</w:t>
      </w:r>
      <w:proofErr w:type="spellEnd"/>
      <w:r w:rsidRPr="001246BE">
        <w:t xml:space="preserve"> urged the court to grant a new penalty trial based in part on juror misconduct during penalty phase deliberations, and the inability to contact jurors thereafter.  </w:t>
      </w:r>
      <w:r w:rsidRPr="001246BE">
        <w:t>F</w:t>
      </w:r>
      <w:r w:rsidRPr="001246BE">
        <w:t>ollowing argument, t</w:t>
      </w:r>
      <w:r w:rsidRPr="001246BE">
        <w:t xml:space="preserve">he court denied both </w:t>
      </w:r>
      <w:proofErr w:type="spellStart"/>
      <w:r w:rsidRPr="001246BE">
        <w:t>Mora</w:t>
      </w:r>
      <w:proofErr w:type="spellEnd"/>
      <w:r w:rsidRPr="001246BE">
        <w:t xml:space="preserve"> and</w:t>
      </w:r>
      <w:r w:rsidRPr="001246BE">
        <w:t xml:space="preserve"> Rangel’s motions for new trial.  The court ruled that </w:t>
      </w:r>
      <w:proofErr w:type="spellStart"/>
      <w:r w:rsidRPr="001246BE">
        <w:t>Mora’s</w:t>
      </w:r>
      <w:proofErr w:type="spellEnd"/>
      <w:r w:rsidRPr="001246BE">
        <w:t xml:space="preserve"> attorney’s declaration in support of the motion for new trial constituted inadmissible hearsay, but even</w:t>
      </w:r>
      <w:r w:rsidRPr="001246BE">
        <w:t xml:space="preserve"> if it was </w:t>
      </w:r>
      <w:r w:rsidRPr="001246BE">
        <w:t>capable of</w:t>
      </w:r>
      <w:r w:rsidRPr="001246BE">
        <w:t xml:space="preserve"> consider</w:t>
      </w:r>
      <w:r w:rsidRPr="001246BE">
        <w:t>ation</w:t>
      </w:r>
      <w:r w:rsidRPr="001246BE">
        <w:t>,</w:t>
      </w:r>
      <w:r w:rsidRPr="001246BE">
        <w:t xml:space="preserve"> </w:t>
      </w:r>
      <w:r w:rsidRPr="001246BE">
        <w:t xml:space="preserve">the </w:t>
      </w:r>
      <w:r w:rsidRPr="001246BE">
        <w:t xml:space="preserve">statement was not “in and of itself . . . sufficient to demonstrate any misconduct on the part of the jury.”  </w:t>
      </w:r>
      <w:r w:rsidRPr="001246BE">
        <w:t>The court explained that “jurors are not required to discuss or disclose their process . . . .  [A]</w:t>
      </w:r>
      <w:proofErr w:type="spellStart"/>
      <w:r w:rsidRPr="001246BE">
        <w:t>bsent</w:t>
      </w:r>
      <w:proofErr w:type="spellEnd"/>
      <w:r w:rsidRPr="001246BE">
        <w:t xml:space="preserve"> a showing . . . to demonstrate jury misco</w:t>
      </w:r>
      <w:r w:rsidRPr="001246BE">
        <w:t xml:space="preserve">nduct, the court has to assume there was none.”  </w:t>
      </w:r>
    </w:p>
    <w:p w:rsidR="00B5245D" w:rsidRPr="001246BE" w:rsidRDefault="00EF4903">
      <w:pPr>
        <w:pStyle w:val="Heading4"/>
        <w:rPr>
          <w:rFonts w:ascii="Times New Roman" w:hAnsi="Times New Roman"/>
          <w:b w:val="0"/>
          <w:color w:val="auto"/>
        </w:rPr>
      </w:pPr>
      <w:r w:rsidRPr="001246BE">
        <w:rPr>
          <w:rFonts w:ascii="Times New Roman" w:hAnsi="Times New Roman"/>
          <w:b w:val="0"/>
          <w:i w:val="0"/>
          <w:color w:val="auto"/>
        </w:rPr>
        <w:tab/>
      </w:r>
      <w:r w:rsidRPr="001246BE">
        <w:rPr>
          <w:rFonts w:ascii="Times New Roman" w:hAnsi="Times New Roman"/>
          <w:b w:val="0"/>
          <w:i w:val="0"/>
          <w:color w:val="auto"/>
        </w:rPr>
        <w:tab/>
      </w:r>
      <w:r w:rsidRPr="001246BE">
        <w:rPr>
          <w:rFonts w:ascii="Times New Roman" w:hAnsi="Times New Roman"/>
          <w:b w:val="0"/>
          <w:i w:val="0"/>
          <w:color w:val="auto"/>
        </w:rPr>
        <w:tab/>
        <w:t>b.</w:t>
      </w:r>
      <w:r w:rsidRPr="001246BE">
        <w:rPr>
          <w:rFonts w:ascii="Times New Roman" w:hAnsi="Times New Roman"/>
          <w:b w:val="0"/>
          <w:i w:val="0"/>
          <w:color w:val="auto"/>
        </w:rPr>
        <w:tab/>
      </w:r>
      <w:r w:rsidRPr="001246BE">
        <w:rPr>
          <w:rFonts w:ascii="Times New Roman" w:hAnsi="Times New Roman"/>
          <w:b w:val="0"/>
          <w:color w:val="auto"/>
        </w:rPr>
        <w:t>Discussion</w:t>
      </w:r>
    </w:p>
    <w:p w:rsidR="00B4171E" w:rsidRDefault="00EF4903" w:rsidP="000730CB">
      <w:pPr>
        <w:spacing w:line="480" w:lineRule="atLeast"/>
      </w:pPr>
      <w:r>
        <w:tab/>
      </w:r>
      <w:proofErr w:type="spellStart"/>
      <w:r>
        <w:t>Mora</w:t>
      </w:r>
      <w:proofErr w:type="spellEnd"/>
      <w:r>
        <w:t xml:space="preserve"> and Rangel argue the court erred by denying their motion for new trial based on jury misconduct. </w:t>
      </w:r>
      <w:r>
        <w:t xml:space="preserve"> More specifically, they argue the trial court was obliged to hold an evidentiary hearing once it learned of potential juror misconduct, and its failure to do so constituted error. </w:t>
      </w:r>
      <w:r w:rsidRPr="00D47120">
        <w:t xml:space="preserve"> </w:t>
      </w:r>
      <w:r>
        <w:t>We conclude t</w:t>
      </w:r>
      <w:r>
        <w:t>he trial court was under no obligation to hold a hearing, and</w:t>
      </w:r>
      <w:r>
        <w:t xml:space="preserve"> neither its failure to do so nor its denial of </w:t>
      </w:r>
      <w:proofErr w:type="spellStart"/>
      <w:r>
        <w:t>Mora</w:t>
      </w:r>
      <w:proofErr w:type="spellEnd"/>
      <w:r>
        <w:t xml:space="preserve"> and Rangel’s motions for new trial based on juror misconduct constituted error.</w:t>
      </w:r>
    </w:p>
    <w:p w:rsidR="00B00B92" w:rsidRDefault="00EF4903" w:rsidP="000730CB">
      <w:pPr>
        <w:spacing w:line="480" w:lineRule="atLeast"/>
      </w:pPr>
      <w:r>
        <w:tab/>
      </w:r>
      <w:r>
        <w:t>“Hearsay evidence offered in support of a new trial motion that is based on alleged jury misconduct ordinarily is insuffic</w:t>
      </w:r>
      <w:r>
        <w:t>ient to establish an abuse of discretion in either denying the motion or declining to con</w:t>
      </w:r>
      <w:r>
        <w:t xml:space="preserve">duct an evidentiary hearing.”  </w:t>
      </w:r>
      <w:r>
        <w:t>(</w:t>
      </w:r>
      <w:r>
        <w:rPr>
          <w:i/>
        </w:rPr>
        <w:t>People v. </w:t>
      </w:r>
      <w:proofErr w:type="spellStart"/>
      <w:r>
        <w:rPr>
          <w:i/>
        </w:rPr>
        <w:t>Manibusan</w:t>
      </w:r>
      <w:proofErr w:type="spellEnd"/>
      <w:r>
        <w:t xml:space="preserve"> (2013) 58 Cal.4th 40, 55, citing </w:t>
      </w:r>
      <w:r>
        <w:rPr>
          <w:i/>
        </w:rPr>
        <w:t>People v. Dykes</w:t>
      </w:r>
      <w:r>
        <w:t xml:space="preserve"> (2009) 46 Cal.4th 731, 810.)  </w:t>
      </w:r>
      <w:proofErr w:type="spellStart"/>
      <w:r>
        <w:t>Mora</w:t>
      </w:r>
      <w:proofErr w:type="spellEnd"/>
      <w:r>
        <w:t xml:space="preserve"> argued that the court should ne</w:t>
      </w:r>
      <w:r>
        <w:t>vertheless have granted an evidentiary hearing because, without access to jur</w:t>
      </w:r>
      <w:r>
        <w:t>or</w:t>
      </w:r>
      <w:r>
        <w:t xml:space="preserve"> contact information </w:t>
      </w:r>
      <w:r>
        <w:t>and absent jurors’</w:t>
      </w:r>
      <w:r>
        <w:t xml:space="preserve"> willingness to speak to defense</w:t>
      </w:r>
      <w:r>
        <w:t xml:space="preserve"> counsel, he was unable to fact-</w:t>
      </w:r>
      <w:r>
        <w:t>find regarding “representations that had been made by the jurors at the ti</w:t>
      </w:r>
      <w:r>
        <w:t>me of the verdict.”</w:t>
      </w:r>
      <w:r>
        <w:rPr>
          <w:rStyle w:val="FootnoteReference"/>
        </w:rPr>
        <w:footnoteReference w:id="27"/>
      </w:r>
      <w:r>
        <w:t xml:space="preserve">  </w:t>
      </w:r>
      <w:proofErr w:type="spellStart"/>
      <w:r>
        <w:t>Mora</w:t>
      </w:r>
      <w:proofErr w:type="spellEnd"/>
      <w:r>
        <w:t xml:space="preserve"> and Rangel</w:t>
      </w:r>
      <w:r>
        <w:t xml:space="preserve"> claim that, even if hearsay, the content of </w:t>
      </w:r>
      <w:proofErr w:type="spellStart"/>
      <w:r>
        <w:t>Mora’s</w:t>
      </w:r>
      <w:proofErr w:type="spellEnd"/>
      <w:r>
        <w:t xml:space="preserve"> attorney’s declarations made the trial court aware of potential </w:t>
      </w:r>
      <w:r>
        <w:t xml:space="preserve">juror </w:t>
      </w:r>
      <w:r>
        <w:t>misconduct, triggering a duty to conduct a reasonable inquiry</w:t>
      </w:r>
      <w:r>
        <w:t xml:space="preserve"> </w:t>
      </w:r>
      <w:r>
        <w:t>—</w:t>
      </w:r>
      <w:r>
        <w:t xml:space="preserve"> </w:t>
      </w:r>
      <w:r>
        <w:t>here, an evidentiary hearing</w:t>
      </w:r>
      <w:r>
        <w:t xml:space="preserve"> </w:t>
      </w:r>
      <w:r>
        <w:t>—</w:t>
      </w:r>
      <w:r>
        <w:t xml:space="preserve"> </w:t>
      </w:r>
      <w:r>
        <w:t>to</w:t>
      </w:r>
      <w:r>
        <w:t xml:space="preserve"> resolve the matter.  </w:t>
      </w:r>
    </w:p>
    <w:p w:rsidR="00D56CB1" w:rsidRDefault="00EF4903" w:rsidP="000730CB">
      <w:pPr>
        <w:spacing w:line="480" w:lineRule="atLeast"/>
      </w:pPr>
      <w:r>
        <w:tab/>
        <w:t>Of course, granting a new trial may be warranted if a jury engages in misconduct that prevents impartial consideration of the case.  (</w:t>
      </w:r>
      <w:r>
        <w:rPr>
          <w:i/>
        </w:rPr>
        <w:t>People v. Hayes</w:t>
      </w:r>
      <w:r>
        <w:t xml:space="preserve"> (1999) 21 Cal.4th 1211, 1255.)</w:t>
      </w:r>
      <w:r>
        <w:t xml:space="preserve">  </w:t>
      </w:r>
      <w:r>
        <w:rPr>
          <w:i/>
        </w:rPr>
        <w:t>Hayes</w:t>
      </w:r>
      <w:r>
        <w:t xml:space="preserve"> does not, as </w:t>
      </w:r>
      <w:proofErr w:type="spellStart"/>
      <w:r>
        <w:t>Mora</w:t>
      </w:r>
      <w:proofErr w:type="spellEnd"/>
      <w:r>
        <w:t xml:space="preserve"> and Rangel</w:t>
      </w:r>
      <w:r>
        <w:t xml:space="preserve"> assert, require</w:t>
      </w:r>
      <w:r>
        <w:t xml:space="preserve"> that a trial court conduct an evidentiary hearing once the specter of misconduct is raised.  “When allegations of juror misconduct . . . raise a presumption of prejudice” a court may, but is not required to, conduct an evidentiary hearing.  (</w:t>
      </w:r>
      <w:r>
        <w:rPr>
          <w:i/>
        </w:rPr>
        <w:t>Ibid.</w:t>
      </w:r>
      <w:r>
        <w:t>)  In co</w:t>
      </w:r>
      <w:r>
        <w:t>ntrast, when a court becomes aware of the possibility of misconduct, its only obligation is to “ ‘ “make whatever inquiry is reasonably necessary” ’ to resolve the matter.”  (</w:t>
      </w:r>
      <w:r>
        <w:rPr>
          <w:i/>
        </w:rPr>
        <w:t>Ibid</w:t>
      </w:r>
      <w:r w:rsidRPr="00D64D5F">
        <w:rPr>
          <w:i/>
        </w:rPr>
        <w:t>.</w:t>
      </w:r>
      <w:r>
        <w:t xml:space="preserve">, quoting </w:t>
      </w:r>
      <w:r>
        <w:rPr>
          <w:i/>
        </w:rPr>
        <w:t xml:space="preserve">People v. </w:t>
      </w:r>
      <w:proofErr w:type="spellStart"/>
      <w:r>
        <w:rPr>
          <w:i/>
        </w:rPr>
        <w:t>Hedgecock</w:t>
      </w:r>
      <w:proofErr w:type="spellEnd"/>
      <w:r>
        <w:t xml:space="preserve"> (1990) 51 Cal.3d 395, 417.)</w:t>
      </w:r>
      <w:r>
        <w:t xml:space="preserve">  This obligation is triggered only when the defense provides evidence strongly suggestive of prejudicial misconduct.  (</w:t>
      </w:r>
      <w:r>
        <w:rPr>
          <w:i/>
        </w:rPr>
        <w:t>Hayes</w:t>
      </w:r>
      <w:r>
        <w:t xml:space="preserve">, </w:t>
      </w:r>
      <w:r>
        <w:rPr>
          <w:i/>
        </w:rPr>
        <w:t>supra</w:t>
      </w:r>
      <w:r>
        <w:t xml:space="preserve">, 21 Cal.4th </w:t>
      </w:r>
      <w:r>
        <w:t>a</w:t>
      </w:r>
      <w:r>
        <w:t>t p. </w:t>
      </w:r>
      <w:r>
        <w:t xml:space="preserve">1255.)  As we acknowledged in </w:t>
      </w:r>
      <w:r>
        <w:rPr>
          <w:i/>
        </w:rPr>
        <w:t>Hayes</w:t>
      </w:r>
      <w:r>
        <w:t xml:space="preserve"> and have reiterated many times, hearsay is ordinarily “not sufficient</w:t>
      </w:r>
      <w:r>
        <w:t xml:space="preserve"> to trigger the court’s duty to make further inquiries into a claim of juror misconduct.”  (</w:t>
      </w:r>
      <w:r>
        <w:rPr>
          <w:i/>
        </w:rPr>
        <w:t>Id</w:t>
      </w:r>
      <w:r w:rsidRPr="00D64D5F">
        <w:rPr>
          <w:i/>
        </w:rPr>
        <w:t>.</w:t>
      </w:r>
      <w:r>
        <w:t xml:space="preserve"> at p. 1256.)</w:t>
      </w:r>
      <w:r>
        <w:t xml:space="preserve">  In </w:t>
      </w:r>
      <w:r>
        <w:rPr>
          <w:i/>
        </w:rPr>
        <w:t>Hayes</w:t>
      </w:r>
      <w:r>
        <w:t xml:space="preserve">, because the only evidence of juror misconduct </w:t>
      </w:r>
      <w:r>
        <w:t>was the</w:t>
      </w:r>
      <w:r>
        <w:t xml:space="preserve"> statement of counsel regarding purported out-of-court </w:t>
      </w:r>
      <w:r>
        <w:t>statements</w:t>
      </w:r>
      <w:r>
        <w:t xml:space="preserve"> by a juror who di</w:t>
      </w:r>
      <w:r>
        <w:t xml:space="preserve">d not herself provide any </w:t>
      </w:r>
      <w:r>
        <w:t>declaration</w:t>
      </w:r>
      <w:r>
        <w:t xml:space="preserve">, we concluded the trial court did not abuse its discretion in denying a motion for </w:t>
      </w:r>
      <w:r>
        <w:t xml:space="preserve">a </w:t>
      </w:r>
      <w:r>
        <w:t>new trial.  (</w:t>
      </w:r>
      <w:r>
        <w:rPr>
          <w:i/>
        </w:rPr>
        <w:t>Ibid</w:t>
      </w:r>
      <w:r w:rsidRPr="00D64D5F">
        <w:rPr>
          <w:i/>
        </w:rPr>
        <w:t>.</w:t>
      </w:r>
      <w:r>
        <w:t>)</w:t>
      </w:r>
    </w:p>
    <w:p w:rsidR="0075703A" w:rsidRPr="009B6CCD" w:rsidRDefault="00EF4903" w:rsidP="000730CB">
      <w:pPr>
        <w:spacing w:line="480" w:lineRule="atLeast"/>
      </w:pPr>
      <w:r>
        <w:tab/>
        <w:t xml:space="preserve">Here, too, the only support for the motion for </w:t>
      </w:r>
      <w:r>
        <w:t xml:space="preserve">a </w:t>
      </w:r>
      <w:r>
        <w:t>new trial based upon juror misconduct are defense counsel’s sta</w:t>
      </w:r>
      <w:r>
        <w:t xml:space="preserve">tements containing hearsay accountings of what jurors purportedly said.  </w:t>
      </w:r>
      <w:r>
        <w:t>A trial court does not abuse its discretion in declining to hold an evidentiary hearing or denying a motion for</w:t>
      </w:r>
      <w:r>
        <w:t xml:space="preserve"> a</w:t>
      </w:r>
      <w:r>
        <w:t xml:space="preserve"> new trial when the only basis to grant such a hearing or trial is, as</w:t>
      </w:r>
      <w:r>
        <w:t xml:space="preserve"> </w:t>
      </w:r>
      <w:r>
        <w:t>in this case</w:t>
      </w:r>
      <w:r>
        <w:t>,</w:t>
      </w:r>
      <w:r>
        <w:t xml:space="preserve"> a</w:t>
      </w:r>
      <w:r>
        <w:t xml:space="preserve"> </w:t>
      </w:r>
      <w:r>
        <w:t>defense</w:t>
      </w:r>
      <w:r>
        <w:t xml:space="preserve"> attorney’s hearsay assertions</w:t>
      </w:r>
      <w:r>
        <w:t>.  (</w:t>
      </w:r>
      <w:r>
        <w:rPr>
          <w:i/>
        </w:rPr>
        <w:t>People v. </w:t>
      </w:r>
      <w:proofErr w:type="spellStart"/>
      <w:r>
        <w:rPr>
          <w:i/>
        </w:rPr>
        <w:t>Manibusan</w:t>
      </w:r>
      <w:proofErr w:type="spellEnd"/>
      <w:r>
        <w:t xml:space="preserve">, </w:t>
      </w:r>
      <w:r>
        <w:rPr>
          <w:i/>
        </w:rPr>
        <w:t>supra</w:t>
      </w:r>
      <w:r>
        <w:t xml:space="preserve">, </w:t>
      </w:r>
      <w:r>
        <w:t xml:space="preserve">58 Cal.4th </w:t>
      </w:r>
      <w:r>
        <w:t>at p.</w:t>
      </w:r>
      <w:r>
        <w:t xml:space="preserve"> 55</w:t>
      </w:r>
      <w:r>
        <w:t>.)</w:t>
      </w:r>
      <w:r>
        <w:t xml:space="preserve">  </w:t>
      </w:r>
      <w:proofErr w:type="spellStart"/>
      <w:r>
        <w:t>Mora</w:t>
      </w:r>
      <w:proofErr w:type="spellEnd"/>
      <w:r>
        <w:t xml:space="preserve"> and Rangel’s arguments </w:t>
      </w:r>
      <w:r>
        <w:t xml:space="preserve">to the contrary </w:t>
      </w:r>
      <w:r>
        <w:t>are unavailing.  They contend they had no access to jurors to obtain more reliable statements concernin</w:t>
      </w:r>
      <w:r>
        <w:t xml:space="preserve">g misconduct, but the second </w:t>
      </w:r>
      <w:r>
        <w:t xml:space="preserve">declaration reveals that argument to be untrue.  In support of the second new trial motion, </w:t>
      </w:r>
      <w:proofErr w:type="spellStart"/>
      <w:r>
        <w:t>Mora’s</w:t>
      </w:r>
      <w:proofErr w:type="spellEnd"/>
      <w:r>
        <w:t xml:space="preserve"> counsel stated that he spoke with one of the three jurors who consented to the disclosure of contact information.  That admissio</w:t>
      </w:r>
      <w:r>
        <w:t xml:space="preserve">n alone is sufficient to undermine </w:t>
      </w:r>
      <w:proofErr w:type="spellStart"/>
      <w:r>
        <w:t>Mora</w:t>
      </w:r>
      <w:proofErr w:type="spellEnd"/>
      <w:r>
        <w:t xml:space="preserve"> and Rangel’s</w:t>
      </w:r>
      <w:r>
        <w:t xml:space="preserve"> contention on appeal that they had no access to the jurors to probe the veracity of Juror Nos. 2 and 7’s purported statements.</w:t>
      </w:r>
      <w:r>
        <w:t xml:space="preserve">  They had access to 25% of the jurors, but it appears those jurors</w:t>
      </w:r>
      <w:r>
        <w:t xml:space="preserve"> </w:t>
      </w:r>
      <w:r>
        <w:t>—</w:t>
      </w:r>
      <w:r>
        <w:t xml:space="preserve"> </w:t>
      </w:r>
      <w:r>
        <w:t xml:space="preserve">or the </w:t>
      </w:r>
      <w:r>
        <w:t xml:space="preserve">one with whom </w:t>
      </w:r>
      <w:proofErr w:type="spellStart"/>
      <w:r>
        <w:t>Mora’s</w:t>
      </w:r>
      <w:proofErr w:type="spellEnd"/>
      <w:r>
        <w:t xml:space="preserve"> attorney spoke</w:t>
      </w:r>
      <w:r>
        <w:t xml:space="preserve"> </w:t>
      </w:r>
      <w:r>
        <w:t>—</w:t>
      </w:r>
      <w:r>
        <w:t xml:space="preserve"> </w:t>
      </w:r>
      <w:r>
        <w:t>did not provide a statement in support of their assertion of juror misconduct.  That</w:t>
      </w:r>
      <w:r>
        <w:t xml:space="preserve"> juror</w:t>
      </w:r>
      <w:r>
        <w:t xml:space="preserve"> apparently</w:t>
      </w:r>
      <w:r>
        <w:t xml:space="preserve"> recalled nothing of</w:t>
      </w:r>
      <w:r>
        <w:t xml:space="preserve"> the statements about execution-</w:t>
      </w:r>
      <w:r>
        <w:t xml:space="preserve">style murder or military affiliation allegedly made by Juror No. 2.  </w:t>
      </w:r>
      <w:r>
        <w:t>The trial court thus reasonably</w:t>
      </w:r>
      <w:r>
        <w:t xml:space="preserve"> conclu</w:t>
      </w:r>
      <w:r>
        <w:t xml:space="preserve">ded </w:t>
      </w:r>
      <w:r>
        <w:t>that the only basis for new trial was discountable hearsay, and that the conten</w:t>
      </w:r>
      <w:r w:rsidRPr="00FC079D">
        <w:t xml:space="preserve">t of those hearsay statements revealed no misconduct.  The court </w:t>
      </w:r>
      <w:r w:rsidRPr="00FC079D">
        <w:t>w</w:t>
      </w:r>
      <w:r w:rsidRPr="00FC079D">
        <w:t xml:space="preserve">as not obliged </w:t>
      </w:r>
      <w:r w:rsidRPr="009B6CCD">
        <w:t xml:space="preserve">to conduct an evidentiary hearing </w:t>
      </w:r>
      <w:r w:rsidRPr="009B6CCD">
        <w:t>when the only support for such a hearing was hearsay</w:t>
      </w:r>
      <w:r w:rsidRPr="009B6CCD">
        <w:t xml:space="preserve">, and its denial of </w:t>
      </w:r>
      <w:proofErr w:type="spellStart"/>
      <w:r w:rsidRPr="009B6CCD">
        <w:t>Mora</w:t>
      </w:r>
      <w:proofErr w:type="spellEnd"/>
      <w:r w:rsidRPr="009B6CCD">
        <w:t xml:space="preserve"> and Rangel’s</w:t>
      </w:r>
      <w:r w:rsidRPr="009B6CCD">
        <w:t xml:space="preserve"> motion for </w:t>
      </w:r>
      <w:r>
        <w:t xml:space="preserve">a </w:t>
      </w:r>
      <w:r w:rsidRPr="009B6CCD">
        <w:t>new trial did not constitute an abuse of discretion.  (</w:t>
      </w:r>
      <w:r w:rsidRPr="009B6CCD">
        <w:rPr>
          <w:i/>
        </w:rPr>
        <w:t>Ibid</w:t>
      </w:r>
      <w:r w:rsidRPr="00D64D5F">
        <w:rPr>
          <w:i/>
        </w:rPr>
        <w:t>.</w:t>
      </w:r>
      <w:r w:rsidRPr="009B6CCD">
        <w:t>)</w:t>
      </w:r>
    </w:p>
    <w:p w:rsidR="0078340F" w:rsidRPr="001246BE" w:rsidRDefault="00EF4903" w:rsidP="0078340F">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40" w:name="_Toc511210412"/>
      <w:r w:rsidRPr="001246BE">
        <w:rPr>
          <w:rFonts w:ascii="Times New Roman" w:hAnsi="Times New Roman"/>
        </w:rPr>
        <w:t>9.</w:t>
      </w:r>
      <w:r w:rsidRPr="001246BE">
        <w:rPr>
          <w:rFonts w:ascii="Times New Roman" w:hAnsi="Times New Roman"/>
        </w:rPr>
        <w:tab/>
        <w:t xml:space="preserve">Other Challenges to California’s </w:t>
      </w:r>
      <w:r w:rsidRPr="001246BE">
        <w:rPr>
          <w:rFonts w:ascii="Times New Roman" w:hAnsi="Times New Roman"/>
        </w:rPr>
        <w:t>Death Penalty Law</w:t>
      </w:r>
      <w:bookmarkEnd w:id="40"/>
      <w:r w:rsidRPr="001246BE">
        <w:rPr>
          <w:rFonts w:ascii="Times New Roman" w:hAnsi="Times New Roman"/>
        </w:rPr>
        <w:t xml:space="preserve"> </w:t>
      </w:r>
    </w:p>
    <w:p w:rsidR="0078340F" w:rsidRPr="001246BE" w:rsidRDefault="00EF4903" w:rsidP="0075296E">
      <w:pPr>
        <w:spacing w:line="480" w:lineRule="atLeast"/>
      </w:pPr>
      <w:r w:rsidRPr="001246BE">
        <w:tab/>
      </w:r>
      <w:proofErr w:type="spellStart"/>
      <w:r w:rsidRPr="001246BE">
        <w:t>Mora</w:t>
      </w:r>
      <w:proofErr w:type="spellEnd"/>
      <w:r w:rsidRPr="001246BE">
        <w:t xml:space="preserve"> and Rangel raise a number of challenges to California’s death penalty law, each of which </w:t>
      </w:r>
      <w:r w:rsidRPr="001246BE">
        <w:t>they</w:t>
      </w:r>
      <w:r w:rsidRPr="001246BE">
        <w:t xml:space="preserve"> acknowledge we have previously rejected.  </w:t>
      </w:r>
      <w:r w:rsidRPr="001246BE">
        <w:t xml:space="preserve">While </w:t>
      </w:r>
      <w:proofErr w:type="spellStart"/>
      <w:r w:rsidRPr="001246BE">
        <w:t>Mora</w:t>
      </w:r>
      <w:proofErr w:type="spellEnd"/>
      <w:r w:rsidRPr="001246BE">
        <w:t xml:space="preserve"> </w:t>
      </w:r>
      <w:r w:rsidRPr="001246BE">
        <w:t xml:space="preserve">raises each claim for exhaustion purposes only, </w:t>
      </w:r>
      <w:r w:rsidRPr="001246BE">
        <w:t>Rangel contends that even if each cl</w:t>
      </w:r>
      <w:r w:rsidRPr="001246BE">
        <w:t xml:space="preserve">aim has been </w:t>
      </w:r>
      <w:r w:rsidRPr="001246BE">
        <w:t xml:space="preserve">separately </w:t>
      </w:r>
      <w:r w:rsidRPr="001246BE">
        <w:t xml:space="preserve">rejected, we have not considered these challenges cumulatively, and doing so reveals an overbroad sentencing scheme lacking in procedural safeguards.  </w:t>
      </w:r>
      <w:r w:rsidRPr="001246BE">
        <w:t xml:space="preserve">Not only is Rangel incorrect in this regard (see </w:t>
      </w:r>
      <w:r w:rsidRPr="001246BE">
        <w:rPr>
          <w:i/>
        </w:rPr>
        <w:t>People v. Simon</w:t>
      </w:r>
      <w:r w:rsidRPr="001246BE">
        <w:t xml:space="preserve"> (2016) 1 Cal.5th</w:t>
      </w:r>
      <w:r w:rsidRPr="001246BE">
        <w:t xml:space="preserve"> 98, 150 (</w:t>
      </w:r>
      <w:r w:rsidRPr="001246BE">
        <w:rPr>
          <w:i/>
        </w:rPr>
        <w:t>Simon</w:t>
      </w:r>
      <w:r w:rsidRPr="001246BE">
        <w:t>))</w:t>
      </w:r>
      <w:r w:rsidRPr="001246BE">
        <w:t>, but b</w:t>
      </w:r>
      <w:r w:rsidRPr="001246BE">
        <w:t xml:space="preserve">ecause </w:t>
      </w:r>
      <w:r>
        <w:t>we</w:t>
      </w:r>
      <w:r w:rsidRPr="001246BE">
        <w:t xml:space="preserve"> reject each challenge to California’s death penalty sentencing scheme, </w:t>
      </w:r>
      <w:r>
        <w:t xml:space="preserve">we </w:t>
      </w:r>
      <w:r w:rsidRPr="001246BE">
        <w:t>also find no basis to conclude that the challenges collectively warrant invalidating the scheme.</w:t>
      </w:r>
    </w:p>
    <w:p w:rsidR="0094262D" w:rsidRPr="001246BE" w:rsidRDefault="00EF4903" w:rsidP="00132756">
      <w:pPr>
        <w:spacing w:line="480" w:lineRule="atLeast"/>
      </w:pPr>
      <w:r w:rsidRPr="001246BE">
        <w:tab/>
        <w:t>Section 190.2 is not</w:t>
      </w:r>
      <w:r w:rsidRPr="001246BE">
        <w:t xml:space="preserve"> impermissibly broad in violation of the Fifth, Sixth, Eighth, </w:t>
      </w:r>
      <w:r w:rsidRPr="001246BE">
        <w:t>or</w:t>
      </w:r>
      <w:r w:rsidRPr="001246BE">
        <w:t xml:space="preserve"> Fourteenth Amendments to the United States Constitution </w:t>
      </w:r>
      <w:r w:rsidRPr="001246BE">
        <w:t>for failing to narrow the class of death-eligible murders.  (</w:t>
      </w:r>
      <w:r w:rsidRPr="001246BE">
        <w:rPr>
          <w:i/>
        </w:rPr>
        <w:t>Simon</w:t>
      </w:r>
      <w:r w:rsidRPr="001246BE">
        <w:t xml:space="preserve">, </w:t>
      </w:r>
      <w:r w:rsidRPr="001246BE">
        <w:rPr>
          <w:i/>
        </w:rPr>
        <w:t>supra</w:t>
      </w:r>
      <w:r w:rsidRPr="001246BE">
        <w:t xml:space="preserve">, </w:t>
      </w:r>
      <w:r w:rsidRPr="001246BE">
        <w:t xml:space="preserve">1 Cal.5th </w:t>
      </w:r>
      <w:r w:rsidRPr="001246BE">
        <w:t>at p.</w:t>
      </w:r>
      <w:r w:rsidRPr="001246BE">
        <w:t xml:space="preserve"> 149.)  The </w:t>
      </w:r>
      <w:r w:rsidRPr="001246BE">
        <w:t xml:space="preserve">1978 death penalty law </w:t>
      </w:r>
      <w:r w:rsidRPr="001246BE">
        <w:t>did not h</w:t>
      </w:r>
      <w:r w:rsidRPr="001246BE">
        <w:t>ave</w:t>
      </w:r>
      <w:r w:rsidRPr="001246BE">
        <w:t xml:space="preserve"> the intended</w:t>
      </w:r>
      <w:r w:rsidRPr="001246BE">
        <w:t xml:space="preserve"> or practical</w:t>
      </w:r>
      <w:r w:rsidRPr="001246BE">
        <w:t xml:space="preserve"> effect of makin</w:t>
      </w:r>
      <w:r>
        <w:t xml:space="preserve">g essentially all murders death </w:t>
      </w:r>
      <w:r w:rsidRPr="001246BE">
        <w:t>eligible.  (</w:t>
      </w:r>
      <w:r w:rsidRPr="001246BE">
        <w:rPr>
          <w:i/>
        </w:rPr>
        <w:t>People v. Jennings</w:t>
      </w:r>
      <w:r w:rsidRPr="001246BE">
        <w:t xml:space="preserve"> (2010) 50 Cal.4th 616, 688.)</w:t>
      </w:r>
      <w:r w:rsidRPr="001246BE">
        <w:t xml:space="preserve">  As addressed previously, section 190.3, subdivision (a), permitting a jury to consider the circumstances of the offens</w:t>
      </w:r>
      <w:r w:rsidRPr="001246BE">
        <w:t xml:space="preserve">e in sentencing, does not </w:t>
      </w:r>
      <w:r w:rsidRPr="001246BE">
        <w:t>result in</w:t>
      </w:r>
      <w:r w:rsidRPr="001246BE">
        <w:t xml:space="preserve"> arbitrary or capricious imposition of the death penalty in violation of the Fifth, Sixth, Eighth, or Fourteenth Amendments to the United States Constitution.  (</w:t>
      </w:r>
      <w:r w:rsidRPr="001246BE">
        <w:rPr>
          <w:i/>
        </w:rPr>
        <w:t>Simon</w:t>
      </w:r>
      <w:r w:rsidRPr="001246BE">
        <w:t xml:space="preserve">, </w:t>
      </w:r>
      <w:r w:rsidRPr="001246BE">
        <w:rPr>
          <w:i/>
        </w:rPr>
        <w:t>supra</w:t>
      </w:r>
      <w:r w:rsidRPr="001246BE">
        <w:t>, 1 Cal.5th at p. 149.)</w:t>
      </w:r>
    </w:p>
    <w:p w:rsidR="00120EF9" w:rsidRPr="001246BE" w:rsidRDefault="00EF4903" w:rsidP="0075296E">
      <w:pPr>
        <w:spacing w:line="480" w:lineRule="atLeast"/>
      </w:pPr>
      <w:r w:rsidRPr="001246BE">
        <w:tab/>
        <w:t>The death penalty statu</w:t>
      </w:r>
      <w:r w:rsidRPr="001246BE">
        <w:t xml:space="preserve">tory scheme is not unconstitutional </w:t>
      </w:r>
      <w:r>
        <w:t xml:space="preserve">for failing to require the jury </w:t>
      </w:r>
      <w:r w:rsidRPr="001246BE">
        <w:t>fin</w:t>
      </w:r>
      <w:r w:rsidRPr="001246BE">
        <w:t>d beyond a reasonable doubt that aggravating factors outweigh mitigating factors.  (</w:t>
      </w:r>
      <w:r w:rsidRPr="001246BE">
        <w:rPr>
          <w:i/>
        </w:rPr>
        <w:t>Simon</w:t>
      </w:r>
      <w:r w:rsidRPr="001246BE">
        <w:t xml:space="preserve">, </w:t>
      </w:r>
      <w:r w:rsidRPr="001246BE">
        <w:rPr>
          <w:i/>
        </w:rPr>
        <w:t>supra</w:t>
      </w:r>
      <w:r w:rsidRPr="001246BE">
        <w:t>, 1 Cal.5th at p. 149.)  California’s death penalty statutory scheme does not run afoul o</w:t>
      </w:r>
      <w:r w:rsidRPr="001246BE">
        <w:t xml:space="preserve">f </w:t>
      </w:r>
      <w:proofErr w:type="spellStart"/>
      <w:r w:rsidRPr="001246BE">
        <w:rPr>
          <w:i/>
        </w:rPr>
        <w:t>Apprendi</w:t>
      </w:r>
      <w:proofErr w:type="spellEnd"/>
      <w:r w:rsidRPr="001246BE">
        <w:rPr>
          <w:i/>
        </w:rPr>
        <w:t xml:space="preserve"> </w:t>
      </w:r>
      <w:r w:rsidRPr="001246BE">
        <w:t>and its progen</w:t>
      </w:r>
      <w:r w:rsidRPr="001246BE">
        <w:t>y for failing to so require.  (</w:t>
      </w:r>
      <w:r w:rsidRPr="001246BE">
        <w:rPr>
          <w:i/>
        </w:rPr>
        <w:t>Simon</w:t>
      </w:r>
      <w:r w:rsidRPr="001246BE">
        <w:t xml:space="preserve">, </w:t>
      </w:r>
      <w:r w:rsidRPr="001246BE">
        <w:rPr>
          <w:i/>
        </w:rPr>
        <w:t>supra</w:t>
      </w:r>
      <w:r w:rsidRPr="001246BE">
        <w:t>, 1 Cal.5th at p. 149.)</w:t>
      </w:r>
      <w:r w:rsidRPr="001246BE">
        <w:t xml:space="preserve">  There is no federal constitutional requirement that the jury make written findings regarding factors in aggravation.  (</w:t>
      </w:r>
      <w:r w:rsidRPr="001246BE">
        <w:rPr>
          <w:i/>
        </w:rPr>
        <w:t>Ibid</w:t>
      </w:r>
      <w:r w:rsidRPr="00D64D5F">
        <w:rPr>
          <w:i/>
        </w:rPr>
        <w:t>.</w:t>
      </w:r>
      <w:r w:rsidRPr="001246BE">
        <w:t>)</w:t>
      </w:r>
    </w:p>
    <w:p w:rsidR="008571AB" w:rsidRPr="001246BE" w:rsidRDefault="00EF4903" w:rsidP="0075296E">
      <w:pPr>
        <w:spacing w:line="480" w:lineRule="atLeast"/>
      </w:pPr>
      <w:r w:rsidRPr="001246BE">
        <w:tab/>
        <w:t>Neither section 190.3 nor the federa</w:t>
      </w:r>
      <w:r w:rsidRPr="001246BE">
        <w:t>l constitution require that a comparison between the instant case and similar cases be evaluated with respect to the proportionality of the sentence imposed.  (</w:t>
      </w:r>
      <w:r w:rsidRPr="001246BE">
        <w:rPr>
          <w:i/>
        </w:rPr>
        <w:t>Simon</w:t>
      </w:r>
      <w:r w:rsidRPr="001246BE">
        <w:t xml:space="preserve">, </w:t>
      </w:r>
      <w:r w:rsidRPr="001246BE">
        <w:rPr>
          <w:i/>
        </w:rPr>
        <w:t>supra</w:t>
      </w:r>
      <w:r w:rsidRPr="001246BE">
        <w:t>, 1 Cal.5th at</w:t>
      </w:r>
      <w:r w:rsidRPr="001246BE">
        <w:t xml:space="preserve"> p. 149</w:t>
      </w:r>
      <w:r w:rsidRPr="001246BE">
        <w:t xml:space="preserve">.)  “During the penalty phase, the jury may consider a defendant’s </w:t>
      </w:r>
      <w:r>
        <w:t>un</w:t>
      </w:r>
      <w:r w:rsidRPr="001246BE">
        <w:t>adjudicated criminal activity and need not unanimously agree beyond a reasonable doubt that such criminal activity occurred.”  (</w:t>
      </w:r>
      <w:r w:rsidRPr="001246BE">
        <w:rPr>
          <w:i/>
        </w:rPr>
        <w:t>Id.</w:t>
      </w:r>
      <w:r w:rsidRPr="001246BE">
        <w:t> </w:t>
      </w:r>
      <w:r w:rsidRPr="001246BE">
        <w:t>at p. 150.)</w:t>
      </w:r>
    </w:p>
    <w:p w:rsidR="00A354CD" w:rsidRPr="001246BE" w:rsidRDefault="00EF4903" w:rsidP="0075296E">
      <w:pPr>
        <w:spacing w:line="480" w:lineRule="atLeast"/>
      </w:pPr>
      <w:r w:rsidRPr="001246BE">
        <w:tab/>
        <w:t>We have consistently concluded there is no</w:t>
      </w:r>
      <w:r w:rsidRPr="001246BE">
        <w:t xml:space="preserve"> burden of proof at the penalty phase.  (</w:t>
      </w:r>
      <w:r w:rsidRPr="001246BE">
        <w:rPr>
          <w:i/>
        </w:rPr>
        <w:t xml:space="preserve">People v. </w:t>
      </w:r>
      <w:proofErr w:type="spellStart"/>
      <w:r w:rsidRPr="001246BE">
        <w:rPr>
          <w:i/>
        </w:rPr>
        <w:t>Gamache</w:t>
      </w:r>
      <w:proofErr w:type="spellEnd"/>
      <w:r w:rsidRPr="001246BE">
        <w:t xml:space="preserve"> (2010) 48 Cal.4th 34</w:t>
      </w:r>
      <w:r w:rsidRPr="001246BE">
        <w:t>7</w:t>
      </w:r>
      <w:r w:rsidRPr="001246BE">
        <w:t>, 406.)  The trial court is under no obligation to instruct the jury that neither party bears the burden of proof.  (</w:t>
      </w:r>
      <w:r w:rsidRPr="001246BE">
        <w:rPr>
          <w:i/>
        </w:rPr>
        <w:t>People v. Leonard</w:t>
      </w:r>
      <w:r w:rsidRPr="001246BE">
        <w:t xml:space="preserve">, </w:t>
      </w:r>
      <w:r w:rsidRPr="001246BE">
        <w:rPr>
          <w:i/>
        </w:rPr>
        <w:t>supra</w:t>
      </w:r>
      <w:r w:rsidRPr="001246BE">
        <w:t xml:space="preserve">, </w:t>
      </w:r>
      <w:r w:rsidRPr="001246BE">
        <w:t>40 Cal.4th 1370, 1429.)</w:t>
      </w:r>
    </w:p>
    <w:p w:rsidR="00DF3FC3" w:rsidRPr="001246BE" w:rsidRDefault="00EF4903" w:rsidP="0075296E">
      <w:pPr>
        <w:spacing w:line="480" w:lineRule="atLeast"/>
      </w:pPr>
      <w:r w:rsidRPr="001246BE">
        <w:tab/>
        <w:t>The incl</w:t>
      </w:r>
      <w:r w:rsidRPr="001246BE">
        <w:t>usion in the list of potential mitigating factors of the adjectives “</w:t>
      </w:r>
      <w:r>
        <w:t> ‘</w:t>
      </w:r>
      <w:r w:rsidRPr="001246BE">
        <w:t>extreme</w:t>
      </w:r>
      <w:r>
        <w:t xml:space="preserve">’ </w:t>
      </w:r>
      <w:r w:rsidRPr="001246BE">
        <w:t>” and “</w:t>
      </w:r>
      <w:r>
        <w:t xml:space="preserve"> ‘</w:t>
      </w:r>
      <w:r w:rsidRPr="001246BE">
        <w:t>substantial</w:t>
      </w:r>
      <w:r>
        <w:t xml:space="preserve">’ </w:t>
      </w:r>
      <w:r w:rsidRPr="001246BE">
        <w:t>” does not serve as a barrie</w:t>
      </w:r>
      <w:r w:rsidRPr="001246BE">
        <w:t>r to th</w:t>
      </w:r>
      <w:r w:rsidRPr="001246BE">
        <w:t>e</w:t>
      </w:r>
      <w:r w:rsidRPr="001246BE">
        <w:t xml:space="preserve"> </w:t>
      </w:r>
      <w:r w:rsidRPr="001246BE">
        <w:t>jury’s consideration of mitigating factors in violation of the federal constitution.  (</w:t>
      </w:r>
      <w:r w:rsidRPr="001246BE">
        <w:rPr>
          <w:i/>
        </w:rPr>
        <w:t>People v. Leonard</w:t>
      </w:r>
      <w:r w:rsidRPr="001246BE">
        <w:t xml:space="preserve">, </w:t>
      </w:r>
      <w:r w:rsidRPr="001246BE">
        <w:rPr>
          <w:i/>
        </w:rPr>
        <w:t>supra</w:t>
      </w:r>
      <w:r w:rsidRPr="001246BE">
        <w:t>, 40 C</w:t>
      </w:r>
      <w:r w:rsidRPr="001246BE">
        <w:t>al.4th at p. 1429</w:t>
      </w:r>
      <w:r w:rsidRPr="001246BE">
        <w:t xml:space="preserve">, citing </w:t>
      </w:r>
      <w:r w:rsidRPr="006724D8">
        <w:rPr>
          <w:i/>
        </w:rPr>
        <w:t>People v.</w:t>
      </w:r>
      <w:r w:rsidRPr="00D64D5F">
        <w:t xml:space="preserve"> </w:t>
      </w:r>
      <w:r w:rsidRPr="005C1048">
        <w:rPr>
          <w:i/>
        </w:rPr>
        <w:t>Boyer</w:t>
      </w:r>
      <w:r>
        <w:t xml:space="preserve">, </w:t>
      </w:r>
      <w:r w:rsidRPr="005C1048">
        <w:rPr>
          <w:i/>
        </w:rPr>
        <w:t>supra</w:t>
      </w:r>
      <w:r>
        <w:t>, 38 Cal.4th at p. 484</w:t>
      </w:r>
      <w:r w:rsidRPr="001246BE">
        <w:t>.)  The jury need not be instructed that factors in mitigation may be considered only in mitigation.  (</w:t>
      </w:r>
      <w:r w:rsidRPr="001246BE">
        <w:rPr>
          <w:i/>
        </w:rPr>
        <w:t>People v. Leonard</w:t>
      </w:r>
      <w:r w:rsidRPr="001246BE">
        <w:t xml:space="preserve">, </w:t>
      </w:r>
      <w:r w:rsidRPr="001246BE">
        <w:rPr>
          <w:i/>
        </w:rPr>
        <w:t>supra</w:t>
      </w:r>
      <w:r w:rsidRPr="001246BE">
        <w:t>, 40 Cal.4th at p. 1429</w:t>
      </w:r>
      <w:r>
        <w:t>.</w:t>
      </w:r>
      <w:r w:rsidRPr="001246BE">
        <w:t>)</w:t>
      </w:r>
      <w:r w:rsidRPr="001246BE">
        <w:t xml:space="preserve">  No error flows from a failure to instruct the jury that if mitigating factors outweigh aggravating factors, life is the appropriate sentence.  (</w:t>
      </w:r>
      <w:r w:rsidRPr="001246BE">
        <w:rPr>
          <w:i/>
        </w:rPr>
        <w:t>People v. Jones</w:t>
      </w:r>
      <w:r>
        <w:t xml:space="preserve"> (2017)</w:t>
      </w:r>
      <w:r w:rsidRPr="001246BE">
        <w:t xml:space="preserve"> 3 Cal.5th 583, 620</w:t>
      </w:r>
      <w:r w:rsidRPr="001246BE">
        <w:t>.)</w:t>
      </w:r>
      <w:r w:rsidRPr="001246BE">
        <w:t xml:space="preserve">  </w:t>
      </w:r>
      <w:proofErr w:type="spellStart"/>
      <w:r w:rsidRPr="001246BE">
        <w:t>Mora’s</w:t>
      </w:r>
      <w:proofErr w:type="spellEnd"/>
      <w:r w:rsidRPr="001246BE">
        <w:t xml:space="preserve"> assertions to the contrary, as well as his argument that C</w:t>
      </w:r>
      <w:r w:rsidRPr="001246BE">
        <w:t>ALJIC Nos.</w:t>
      </w:r>
      <w:r w:rsidRPr="001246BE">
        <w:t> </w:t>
      </w:r>
      <w:r w:rsidRPr="001246BE">
        <w:t>8.85 and 8.88 fail to provide the jury with the guidance necessary for imposition of the death penalty, are unavailing.  (</w:t>
      </w:r>
      <w:r w:rsidRPr="001246BE">
        <w:rPr>
          <w:i/>
        </w:rPr>
        <w:t>Id</w:t>
      </w:r>
      <w:r w:rsidRPr="00D64D5F">
        <w:rPr>
          <w:i/>
        </w:rPr>
        <w:t>.</w:t>
      </w:r>
      <w:r w:rsidRPr="001246BE">
        <w:t xml:space="preserve"> at pp. 619</w:t>
      </w:r>
      <w:r>
        <w:t>–</w:t>
      </w:r>
      <w:r w:rsidRPr="001246BE">
        <w:t xml:space="preserve">620.)  Likewise, </w:t>
      </w:r>
      <w:proofErr w:type="spellStart"/>
      <w:r w:rsidRPr="001246BE">
        <w:t>Mora’s</w:t>
      </w:r>
      <w:proofErr w:type="spellEnd"/>
      <w:r w:rsidRPr="001246BE">
        <w:t xml:space="preserve"> claim that the jury should have received an instruction that there is a presumption </w:t>
      </w:r>
      <w:r w:rsidRPr="001246BE">
        <w:t>in favor of life without parole is incorrect.  (</w:t>
      </w:r>
      <w:r w:rsidRPr="001246BE">
        <w:rPr>
          <w:i/>
        </w:rPr>
        <w:t>Id.</w:t>
      </w:r>
      <w:r w:rsidRPr="001246BE">
        <w:t xml:space="preserve"> at p. 620.)  </w:t>
      </w:r>
      <w:r>
        <w:t xml:space="preserve">The court was not required to instruct </w:t>
      </w:r>
      <w:r w:rsidRPr="001246BE">
        <w:t>that the jury’s findings in favor of any factor in mitigation be unanimous.  (</w:t>
      </w:r>
      <w:r w:rsidRPr="001246BE">
        <w:rPr>
          <w:i/>
        </w:rPr>
        <w:t>Ibid</w:t>
      </w:r>
      <w:r w:rsidRPr="00D64D5F">
        <w:rPr>
          <w:i/>
        </w:rPr>
        <w:t>.</w:t>
      </w:r>
      <w:r w:rsidRPr="001246BE">
        <w:t>)</w:t>
      </w:r>
    </w:p>
    <w:p w:rsidR="0075296E" w:rsidRPr="001246BE" w:rsidRDefault="00EF4903" w:rsidP="00E41BBF">
      <w:pPr>
        <w:spacing w:line="480" w:lineRule="atLeast"/>
      </w:pPr>
      <w:r w:rsidRPr="001246BE">
        <w:t xml:space="preserve">  </w:t>
      </w:r>
      <w:r w:rsidRPr="001246BE">
        <w:tab/>
      </w:r>
      <w:r w:rsidRPr="001246BE">
        <w:t>Finally, we have consistently rejected claims that international</w:t>
      </w:r>
      <w:r w:rsidRPr="001246BE">
        <w:t xml:space="preserve"> norms render the death penalty unconstitutional, and do so again here.  (</w:t>
      </w:r>
      <w:r w:rsidRPr="001246BE">
        <w:rPr>
          <w:i/>
        </w:rPr>
        <w:t>Simon</w:t>
      </w:r>
      <w:r w:rsidRPr="001246BE">
        <w:t xml:space="preserve">, </w:t>
      </w:r>
      <w:r w:rsidRPr="001246BE">
        <w:rPr>
          <w:i/>
        </w:rPr>
        <w:t>supra</w:t>
      </w:r>
      <w:r w:rsidRPr="001246BE">
        <w:t xml:space="preserve">, 1 Cal.5th at p. 150.)  We have also consistently concluded that </w:t>
      </w:r>
      <w:r w:rsidRPr="001246BE">
        <w:t>“California does not deny capital defendants equal protection of the law by providing certain procedural</w:t>
      </w:r>
      <w:r w:rsidRPr="001246BE">
        <w:t xml:space="preserve"> protections to noncapital defendants that are not afforded to capital defendants.”  </w:t>
      </w:r>
      <w:r w:rsidRPr="001246BE">
        <w:t>(</w:t>
      </w:r>
      <w:r w:rsidRPr="001246BE">
        <w:rPr>
          <w:i/>
        </w:rPr>
        <w:t>Ibid</w:t>
      </w:r>
      <w:r w:rsidRPr="00D64D5F">
        <w:rPr>
          <w:i/>
        </w:rPr>
        <w:t>.</w:t>
      </w:r>
      <w:r w:rsidRPr="001246BE">
        <w:t>)</w:t>
      </w:r>
      <w:r w:rsidRPr="001246BE">
        <w:tab/>
      </w:r>
    </w:p>
    <w:p w:rsidR="00AE300E" w:rsidRPr="001246BE" w:rsidRDefault="00EF4903" w:rsidP="00823186">
      <w:pPr>
        <w:pStyle w:val="Heading3"/>
        <w:rPr>
          <w:rFonts w:ascii="Times New Roman" w:hAnsi="Times New Roman"/>
        </w:rPr>
      </w:pPr>
      <w:r w:rsidRPr="001246BE">
        <w:rPr>
          <w:rFonts w:ascii="Times New Roman" w:hAnsi="Times New Roman"/>
        </w:rPr>
        <w:tab/>
      </w:r>
      <w:r w:rsidRPr="001246BE">
        <w:rPr>
          <w:rFonts w:ascii="Times New Roman" w:hAnsi="Times New Roman"/>
        </w:rPr>
        <w:tab/>
      </w:r>
      <w:bookmarkStart w:id="41" w:name="_Toc511210413"/>
      <w:r w:rsidRPr="001246BE">
        <w:rPr>
          <w:rFonts w:ascii="Times New Roman" w:hAnsi="Times New Roman"/>
        </w:rPr>
        <w:t>10.</w:t>
      </w:r>
      <w:r w:rsidRPr="001246BE">
        <w:rPr>
          <w:rFonts w:ascii="Times New Roman" w:hAnsi="Times New Roman"/>
        </w:rPr>
        <w:tab/>
        <w:t>Cumulative Error</w:t>
      </w:r>
      <w:bookmarkEnd w:id="41"/>
      <w:r w:rsidRPr="001246BE">
        <w:rPr>
          <w:rFonts w:ascii="Times New Roman" w:hAnsi="Times New Roman"/>
        </w:rPr>
        <w:t xml:space="preserve"> </w:t>
      </w:r>
    </w:p>
    <w:p w:rsidR="00495556" w:rsidRPr="00495556" w:rsidRDefault="00EF4903" w:rsidP="0058259F">
      <w:pPr>
        <w:spacing w:line="480" w:lineRule="atLeast"/>
      </w:pPr>
      <w:r>
        <w:tab/>
      </w:r>
      <w:proofErr w:type="spellStart"/>
      <w:r>
        <w:t>Mora</w:t>
      </w:r>
      <w:proofErr w:type="spellEnd"/>
      <w:r>
        <w:t xml:space="preserve"> and Rangel contend reversal is warranted because of the cumulatively prejudicial effect of penalty phase errors.  To the extent any </w:t>
      </w:r>
      <w:r>
        <w:t xml:space="preserve">errors occurred, none were prejudicial.  </w:t>
      </w:r>
      <w:r>
        <w:t>We</w:t>
      </w:r>
      <w:r>
        <w:t xml:space="preserve"> conclude no error</w:t>
      </w:r>
      <w:r>
        <w:t xml:space="preserve"> or assumed error</w:t>
      </w:r>
      <w:r>
        <w:t xml:space="preserve"> in the </w:t>
      </w:r>
      <w:r>
        <w:t>penalty</w:t>
      </w:r>
      <w:r>
        <w:t xml:space="preserve"> phase, whether considered </w:t>
      </w:r>
      <w:r>
        <w:t>separately</w:t>
      </w:r>
      <w:r>
        <w:t xml:space="preserve"> or </w:t>
      </w:r>
      <w:r>
        <w:t>collectively</w:t>
      </w:r>
      <w:r>
        <w:t>, merits reversal.  (</w:t>
      </w:r>
      <w:r>
        <w:rPr>
          <w:i/>
        </w:rPr>
        <w:t>People v. Clark</w:t>
      </w:r>
      <w:r>
        <w:t xml:space="preserve"> (2016) 63 Cal.4th 522, 643</w:t>
      </w:r>
      <w:r>
        <w:t>.)</w:t>
      </w:r>
    </w:p>
    <w:p w:rsidR="00AE300E" w:rsidRPr="001246BE" w:rsidRDefault="00EF4903" w:rsidP="000730CB">
      <w:pPr>
        <w:pStyle w:val="Heading1"/>
        <w:spacing w:before="0" w:after="0"/>
        <w:jc w:val="center"/>
        <w:rPr>
          <w:rFonts w:ascii="Times New Roman" w:hAnsi="Times New Roman"/>
          <w:smallCaps/>
          <w:sz w:val="26"/>
          <w:szCs w:val="26"/>
        </w:rPr>
      </w:pPr>
      <w:bookmarkStart w:id="42" w:name="_Toc511210414"/>
      <w:r>
        <w:rPr>
          <w:rFonts w:ascii="Times New Roman" w:hAnsi="Times New Roman"/>
          <w:smallCaps/>
          <w:sz w:val="26"/>
          <w:szCs w:val="26"/>
        </w:rPr>
        <w:br w:type="page"/>
      </w:r>
      <w:r w:rsidRPr="001246BE">
        <w:rPr>
          <w:rFonts w:ascii="Times New Roman" w:hAnsi="Times New Roman"/>
          <w:smallCaps/>
          <w:sz w:val="26"/>
          <w:szCs w:val="26"/>
        </w:rPr>
        <w:t>III.</w:t>
      </w:r>
      <w:r w:rsidRPr="001246BE">
        <w:rPr>
          <w:rFonts w:ascii="Times New Roman" w:hAnsi="Times New Roman"/>
          <w:smallCaps/>
          <w:sz w:val="26"/>
          <w:szCs w:val="26"/>
        </w:rPr>
        <w:t xml:space="preserve">  </w:t>
      </w:r>
      <w:r w:rsidRPr="001246BE">
        <w:rPr>
          <w:rFonts w:ascii="Times New Roman" w:hAnsi="Times New Roman"/>
          <w:smallCaps/>
          <w:sz w:val="26"/>
          <w:szCs w:val="26"/>
        </w:rPr>
        <w:t>DISPOSITION</w:t>
      </w:r>
      <w:bookmarkEnd w:id="42"/>
    </w:p>
    <w:p w:rsidR="000730CB" w:rsidRPr="000730CB" w:rsidRDefault="00EF4903" w:rsidP="000730CB"/>
    <w:p w:rsidR="000730CB" w:rsidRPr="000730CB" w:rsidRDefault="00EF4903" w:rsidP="000730CB">
      <w:r>
        <w:tab/>
      </w:r>
      <w:r>
        <w:t>W</w:t>
      </w:r>
      <w:r>
        <w:t>e affirm the judgment.</w:t>
      </w:r>
    </w:p>
    <w:p w:rsidR="00DC0D4E" w:rsidRDefault="00EF4903" w:rsidP="00DC0D4E">
      <w:pPr>
        <w:tabs>
          <w:tab w:val="left" w:pos="1440"/>
        </w:tabs>
        <w:spacing w:line="480" w:lineRule="atLeast"/>
        <w:ind w:firstLine="720"/>
        <w:rPr>
          <w:b/>
          <w:smallCaps/>
        </w:rPr>
      </w:pPr>
      <w:r>
        <w:rPr>
          <w:b/>
          <w:smallCaps/>
        </w:rPr>
        <w:tab/>
      </w:r>
      <w:r>
        <w:rPr>
          <w:b/>
          <w:smallCaps/>
        </w:rPr>
        <w:tab/>
      </w:r>
      <w:r>
        <w:rPr>
          <w:b/>
          <w:smallCaps/>
        </w:rPr>
        <w:tab/>
      </w:r>
      <w:r>
        <w:rPr>
          <w:b/>
          <w:smallCaps/>
        </w:rPr>
        <w:tab/>
      </w:r>
      <w:r>
        <w:rPr>
          <w:b/>
          <w:smallCaps/>
        </w:rPr>
        <w:tab/>
      </w:r>
      <w:r>
        <w:rPr>
          <w:b/>
          <w:smallCaps/>
        </w:rPr>
        <w:tab/>
      </w:r>
      <w:r>
        <w:rPr>
          <w:b/>
          <w:smallCaps/>
        </w:rPr>
        <w:tab/>
      </w:r>
    </w:p>
    <w:p w:rsidR="00DC0D4E" w:rsidRPr="00D64D5F" w:rsidRDefault="00EF4903" w:rsidP="00DC0D4E">
      <w:pPr>
        <w:tabs>
          <w:tab w:val="left" w:pos="1440"/>
        </w:tabs>
        <w:spacing w:line="480" w:lineRule="atLeast"/>
        <w:ind w:firstLine="720"/>
        <w:rPr>
          <w:b/>
          <w:caps/>
        </w:rPr>
      </w:pP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sidRPr="00D64D5F">
        <w:rPr>
          <w:b/>
          <w:caps/>
        </w:rPr>
        <w:t>Cuéllar, J.</w:t>
      </w:r>
    </w:p>
    <w:p w:rsidR="009635D8" w:rsidRDefault="00EF4903" w:rsidP="00DC0D4E">
      <w:pPr>
        <w:tabs>
          <w:tab w:val="left" w:pos="1440"/>
        </w:tabs>
        <w:spacing w:line="480" w:lineRule="atLeast"/>
        <w:ind w:firstLine="720"/>
      </w:pPr>
    </w:p>
    <w:p w:rsidR="0089621E" w:rsidRDefault="00EF4903" w:rsidP="0022203E">
      <w:pPr>
        <w:tabs>
          <w:tab w:val="left" w:pos="1440"/>
        </w:tabs>
        <w:rPr>
          <w:b/>
        </w:rPr>
      </w:pPr>
      <w:r>
        <w:rPr>
          <w:b/>
        </w:rPr>
        <w:t>WE CONCUR:</w:t>
      </w:r>
    </w:p>
    <w:p w:rsidR="00D35821" w:rsidRDefault="00EF4903" w:rsidP="0022203E">
      <w:pPr>
        <w:tabs>
          <w:tab w:val="left" w:pos="1440"/>
        </w:tabs>
        <w:rPr>
          <w:b/>
        </w:rPr>
      </w:pPr>
    </w:p>
    <w:p w:rsidR="0089621E" w:rsidRPr="0089621E" w:rsidRDefault="00EF4903" w:rsidP="0022203E">
      <w:pPr>
        <w:tabs>
          <w:tab w:val="left" w:pos="1440"/>
        </w:tabs>
        <w:rPr>
          <w:b/>
          <w:caps/>
        </w:rPr>
      </w:pPr>
      <w:r w:rsidRPr="0089621E">
        <w:rPr>
          <w:b/>
          <w:caps/>
        </w:rPr>
        <w:t>Cantil-Sakauye, C. J.</w:t>
      </w:r>
    </w:p>
    <w:p w:rsidR="0089621E" w:rsidRPr="007246F1" w:rsidRDefault="00EF4903" w:rsidP="0022203E">
      <w:pPr>
        <w:tabs>
          <w:tab w:val="left" w:pos="1440"/>
        </w:tabs>
        <w:rPr>
          <w:b/>
          <w:caps/>
          <w:lang w:val="es-ES"/>
        </w:rPr>
      </w:pPr>
      <w:r w:rsidRPr="007246F1">
        <w:rPr>
          <w:b/>
          <w:caps/>
          <w:lang w:val="es-ES"/>
        </w:rPr>
        <w:t>Chin, J.</w:t>
      </w:r>
    </w:p>
    <w:p w:rsidR="0089621E" w:rsidRPr="007246F1" w:rsidRDefault="00EF4903" w:rsidP="0022203E">
      <w:pPr>
        <w:tabs>
          <w:tab w:val="left" w:pos="1440"/>
        </w:tabs>
        <w:rPr>
          <w:b/>
          <w:caps/>
          <w:lang w:val="es-ES"/>
        </w:rPr>
      </w:pPr>
      <w:r w:rsidRPr="007246F1">
        <w:rPr>
          <w:b/>
          <w:caps/>
          <w:lang w:val="es-ES"/>
        </w:rPr>
        <w:t>Corrigan, J.</w:t>
      </w:r>
    </w:p>
    <w:p w:rsidR="00883757" w:rsidRPr="007246F1" w:rsidRDefault="00EF4903" w:rsidP="0022203E">
      <w:pPr>
        <w:tabs>
          <w:tab w:val="left" w:pos="1440"/>
        </w:tabs>
        <w:rPr>
          <w:b/>
          <w:caps/>
          <w:lang w:val="es-ES"/>
        </w:rPr>
        <w:sectPr w:rsidR="00883757" w:rsidRPr="007246F1" w:rsidSect="00645518">
          <w:footerReference w:type="default" r:id="rId8"/>
          <w:footerReference w:type="first" r:id="rId9"/>
          <w:type w:val="continuous"/>
          <w:pgSz w:w="12240" w:h="15840"/>
          <w:pgMar w:top="1440" w:right="1440" w:bottom="1440" w:left="1440" w:header="720" w:footer="720" w:gutter="0"/>
          <w:cols w:space="720"/>
          <w:titlePg/>
          <w:docGrid w:linePitch="360"/>
        </w:sectPr>
      </w:pPr>
      <w:r w:rsidRPr="007246F1">
        <w:rPr>
          <w:b/>
          <w:caps/>
          <w:lang w:val="es-ES"/>
        </w:rPr>
        <w:t>Kruger, J.</w:t>
      </w:r>
    </w:p>
    <w:p w:rsidR="003E01B4" w:rsidRPr="007246F1" w:rsidRDefault="00EF4903" w:rsidP="00883757">
      <w:pPr>
        <w:tabs>
          <w:tab w:val="left" w:pos="1440"/>
        </w:tabs>
        <w:rPr>
          <w:b/>
          <w:lang w:val="es-ES"/>
        </w:rPr>
      </w:pPr>
      <w:r w:rsidRPr="007246F1">
        <w:rPr>
          <w:b/>
          <w:caps/>
          <w:lang w:val="es-ES"/>
        </w:rPr>
        <w:t>detjen, j.</w:t>
      </w:r>
      <w:r>
        <w:rPr>
          <w:rStyle w:val="FootnoteReference"/>
          <w:b w:val="0"/>
          <w:caps/>
        </w:rPr>
        <w:footnoteReference w:id="28"/>
      </w:r>
    </w:p>
    <w:p w:rsidR="003E01B4" w:rsidRPr="007246F1" w:rsidRDefault="00EF4903" w:rsidP="003E01B4">
      <w:pPr>
        <w:tabs>
          <w:tab w:val="left" w:pos="1440"/>
          <w:tab w:val="left" w:pos="7335"/>
        </w:tabs>
        <w:spacing w:line="480" w:lineRule="atLeast"/>
        <w:rPr>
          <w:b/>
          <w:lang w:val="es-ES"/>
        </w:rPr>
      </w:pPr>
    </w:p>
    <w:p w:rsidR="003E01B4" w:rsidRPr="007246F1" w:rsidRDefault="00EF4903" w:rsidP="003E01B4">
      <w:pPr>
        <w:tabs>
          <w:tab w:val="left" w:pos="1440"/>
          <w:tab w:val="left" w:pos="7335"/>
        </w:tabs>
        <w:spacing w:line="480" w:lineRule="atLeast"/>
        <w:rPr>
          <w:b/>
          <w:lang w:val="es-ES"/>
        </w:rPr>
      </w:pPr>
    </w:p>
    <w:p w:rsidR="003E01B4" w:rsidRPr="007246F1" w:rsidRDefault="00EF4903" w:rsidP="00BE14EE">
      <w:pPr>
        <w:keepNext/>
        <w:pageBreakBefore/>
        <w:tabs>
          <w:tab w:val="left" w:pos="1440"/>
          <w:tab w:val="left" w:pos="7335"/>
        </w:tabs>
        <w:spacing w:line="480" w:lineRule="atLeast"/>
        <w:rPr>
          <w:b/>
          <w:lang w:val="es-ES"/>
        </w:rPr>
        <w:sectPr w:rsidR="003E01B4" w:rsidRPr="007246F1" w:rsidSect="00645518">
          <w:footnotePr>
            <w:numFmt w:val="chicago"/>
            <w:numRestart w:val="eachSect"/>
          </w:footnotePr>
          <w:type w:val="continuous"/>
          <w:pgSz w:w="12240" w:h="15840"/>
          <w:pgMar w:top="1440" w:right="1440" w:bottom="1440" w:left="1440" w:header="720" w:footer="720" w:gutter="0"/>
          <w:cols w:space="720"/>
          <w:titlePg/>
          <w:docGrid w:linePitch="360"/>
        </w:sectPr>
      </w:pPr>
    </w:p>
    <w:p w:rsidR="009A2C84" w:rsidRPr="009A2C84" w:rsidRDefault="00EF4903" w:rsidP="009A2C84">
      <w:pPr>
        <w:rPr>
          <w:szCs w:val="20"/>
        </w:rPr>
      </w:pPr>
      <w:bookmarkStart w:id="43" w:name="initials"/>
      <w:bookmarkEnd w:id="43"/>
    </w:p>
    <w:p w:rsidR="009A2C84" w:rsidRPr="009A2C84" w:rsidRDefault="00EF4903" w:rsidP="009A2C84">
      <w:pPr>
        <w:rPr>
          <w:szCs w:val="20"/>
        </w:rPr>
      </w:pPr>
    </w:p>
    <w:p w:rsidR="009A2C84" w:rsidRPr="009A2C84" w:rsidRDefault="00EF4903" w:rsidP="009A2C84">
      <w:pPr>
        <w:rPr>
          <w:szCs w:val="20"/>
        </w:rPr>
      </w:pPr>
    </w:p>
    <w:p w:rsidR="009A2C84" w:rsidRPr="009A2C84" w:rsidRDefault="00EF4903" w:rsidP="009A2C84">
      <w:pPr>
        <w:rPr>
          <w:b/>
          <w:caps/>
          <w:szCs w:val="20"/>
        </w:rPr>
      </w:pPr>
      <w:bookmarkStart w:id="44" w:name="plaintiff"/>
      <w:bookmarkStart w:id="45" w:name="defendant"/>
      <w:bookmarkEnd w:id="44"/>
      <w:bookmarkEnd w:id="45"/>
    </w:p>
    <w:p w:rsidR="009A2C84" w:rsidRPr="009A2C84" w:rsidRDefault="00EF4903" w:rsidP="009A2C84">
      <w:pPr>
        <w:rPr>
          <w:caps/>
          <w:szCs w:val="20"/>
        </w:rPr>
      </w:pPr>
    </w:p>
    <w:p w:rsidR="009A2C84" w:rsidRPr="009A2C84" w:rsidRDefault="00EF4903" w:rsidP="009A2C84">
      <w:pPr>
        <w:rPr>
          <w:i/>
          <w:szCs w:val="20"/>
        </w:rPr>
      </w:pPr>
      <w:bookmarkStart w:id="46" w:name="casenum"/>
      <w:bookmarkEnd w:id="46"/>
    </w:p>
    <w:p w:rsidR="009A2C84" w:rsidRPr="009A2C84" w:rsidRDefault="00EF4903" w:rsidP="009A2C84">
      <w:pPr>
        <w:rPr>
          <w:szCs w:val="20"/>
        </w:rPr>
      </w:pPr>
    </w:p>
    <w:p w:rsidR="009A2C84" w:rsidRPr="009A2C84" w:rsidRDefault="00EF4903" w:rsidP="009A2C84">
      <w:pPr>
        <w:rPr>
          <w:b/>
          <w:szCs w:val="20"/>
        </w:rPr>
      </w:pPr>
    </w:p>
    <w:p w:rsidR="009A2C84" w:rsidRPr="009A2C84" w:rsidRDefault="00EF4903" w:rsidP="009A2C84">
      <w:pPr>
        <w:jc w:val="center"/>
        <w:rPr>
          <w:b/>
          <w:caps/>
          <w:szCs w:val="20"/>
        </w:rPr>
      </w:pPr>
      <w:bookmarkStart w:id="47" w:name="opinion"/>
      <w:bookmarkEnd w:id="47"/>
      <w:r w:rsidRPr="009A2C84">
        <w:rPr>
          <w:b/>
          <w:caps/>
          <w:szCs w:val="20"/>
        </w:rPr>
        <w:t xml:space="preserve">CONCURRING AND DISSENTING OPINION BY </w:t>
      </w:r>
      <w:bookmarkStart w:id="48" w:name="justice"/>
      <w:bookmarkEnd w:id="48"/>
      <w:r w:rsidRPr="009A2C84">
        <w:rPr>
          <w:b/>
          <w:caps/>
          <w:szCs w:val="20"/>
        </w:rPr>
        <w:t>LIU, J.</w:t>
      </w:r>
    </w:p>
    <w:p w:rsidR="009A2C84" w:rsidRPr="009A2C84" w:rsidRDefault="00EF4903" w:rsidP="009A2C84">
      <w:pPr>
        <w:rPr>
          <w:szCs w:val="20"/>
        </w:rPr>
      </w:pPr>
    </w:p>
    <w:p w:rsidR="009A2C84" w:rsidRPr="009A2C84" w:rsidRDefault="00EF4903" w:rsidP="009A2C84">
      <w:pPr>
        <w:rPr>
          <w:szCs w:val="20"/>
        </w:rPr>
      </w:pPr>
    </w:p>
    <w:p w:rsidR="009A2C84" w:rsidRPr="009A2C84" w:rsidRDefault="00EF4903" w:rsidP="009A2C84">
      <w:pPr>
        <w:spacing w:line="480" w:lineRule="atLeast"/>
        <w:ind w:firstLine="720"/>
        <w:rPr>
          <w:szCs w:val="20"/>
        </w:rPr>
      </w:pPr>
      <w:r w:rsidRPr="009A2C84">
        <w:rPr>
          <w:szCs w:val="20"/>
        </w:rPr>
        <w:t xml:space="preserve">I respectfully dissent from the conclusion that there was sufficient evidence to sustain the attempted robbery special circumstance.  (Pen. Code, § 190.2, subd. (a)(17(A); see maj. opn., </w:t>
      </w:r>
      <w:r w:rsidRPr="009A2C84">
        <w:rPr>
          <w:i/>
          <w:szCs w:val="20"/>
        </w:rPr>
        <w:t>ante</w:t>
      </w:r>
      <w:r w:rsidRPr="009A2C84">
        <w:rPr>
          <w:szCs w:val="20"/>
        </w:rPr>
        <w:t>, at pp. 54–56.)  “ ‘[T]o prove a felony-murder special-circumsta</w:t>
      </w:r>
      <w:r w:rsidRPr="009A2C84">
        <w:rPr>
          <w:szCs w:val="20"/>
        </w:rPr>
        <w:t>nce allegation, the prosecution must show that the defendant had an independent purpose for the commission of the felony, that is, the commission of the felony was not merely incidental to an intended murder.’ ”  (</w:t>
      </w:r>
      <w:r w:rsidRPr="009A2C84">
        <w:rPr>
          <w:i/>
          <w:szCs w:val="20"/>
        </w:rPr>
        <w:t>People v. Horning</w:t>
      </w:r>
      <w:r w:rsidRPr="009A2C84">
        <w:rPr>
          <w:szCs w:val="20"/>
        </w:rPr>
        <w:t xml:space="preserve"> (2004) 34 Cal.4th 871, 9</w:t>
      </w:r>
      <w:r w:rsidRPr="009A2C84">
        <w:rPr>
          <w:szCs w:val="20"/>
        </w:rPr>
        <w:t>07 (</w:t>
      </w:r>
      <w:r w:rsidRPr="009A2C84">
        <w:rPr>
          <w:i/>
          <w:szCs w:val="20"/>
        </w:rPr>
        <w:t>Horning</w:t>
      </w:r>
      <w:r w:rsidRPr="009A2C84">
        <w:rPr>
          <w:szCs w:val="20"/>
        </w:rPr>
        <w:t>).)  As with the felony-murder rule, the purpose of this special circumstance is to make eligible for the most severe punishment those defendants who escalate a serious felony into a murder, thereby attempting to deter such escalation.  Here the</w:t>
      </w:r>
      <w:r w:rsidRPr="009A2C84">
        <w:rPr>
          <w:szCs w:val="20"/>
        </w:rPr>
        <w:t xml:space="preserve"> prosecution had to prove that the crime was “a murder in the commission of robbery” and not “a robbery in the commission of murder.”  (</w:t>
      </w:r>
      <w:r w:rsidRPr="009A2C84">
        <w:rPr>
          <w:i/>
          <w:szCs w:val="20"/>
        </w:rPr>
        <w:t>Ibid.</w:t>
      </w:r>
      <w:r w:rsidRPr="009A2C84">
        <w:rPr>
          <w:szCs w:val="20"/>
        </w:rPr>
        <w:t xml:space="preserve">, citing </w:t>
      </w:r>
      <w:r w:rsidRPr="009A2C84">
        <w:rPr>
          <w:i/>
          <w:szCs w:val="20"/>
        </w:rPr>
        <w:t>People v. Green</w:t>
      </w:r>
      <w:r w:rsidRPr="009A2C84">
        <w:rPr>
          <w:szCs w:val="20"/>
        </w:rPr>
        <w:t xml:space="preserve"> (1980) 27 Cal.3d 1 (</w:t>
      </w:r>
      <w:r w:rsidRPr="009A2C84">
        <w:rPr>
          <w:i/>
          <w:szCs w:val="20"/>
        </w:rPr>
        <w:t>Green</w:t>
      </w:r>
      <w:r w:rsidRPr="009A2C84">
        <w:rPr>
          <w:szCs w:val="20"/>
        </w:rPr>
        <w:t xml:space="preserve">).)  “The provision thus expressed a legislative belief that it was not unconstitutionally arbitrary to expose to the death penalty those defendants who killed in cold blood </w:t>
      </w:r>
      <w:r w:rsidRPr="009A2C84">
        <w:rPr>
          <w:i/>
          <w:szCs w:val="20"/>
        </w:rPr>
        <w:t>in order to advance an independent felonious purpose</w:t>
      </w:r>
      <w:r w:rsidRPr="009A2C84">
        <w:rPr>
          <w:szCs w:val="20"/>
        </w:rPr>
        <w:t>, e.g., who carried out an exe</w:t>
      </w:r>
      <w:r w:rsidRPr="009A2C84">
        <w:rPr>
          <w:szCs w:val="20"/>
        </w:rPr>
        <w:t>cution-style slaying of the victim of or witness to a holdup, a kidnaping, or a rape.”  (</w:t>
      </w:r>
      <w:r w:rsidRPr="009A2C84">
        <w:rPr>
          <w:i/>
          <w:szCs w:val="20"/>
        </w:rPr>
        <w:t>Green</w:t>
      </w:r>
      <w:r w:rsidRPr="009A2C84">
        <w:rPr>
          <w:szCs w:val="20"/>
        </w:rPr>
        <w:t>, at p. 61, italics added.)</w:t>
      </w:r>
    </w:p>
    <w:p w:rsidR="009A2C84" w:rsidRPr="009A2C84" w:rsidRDefault="00EF4903" w:rsidP="009A2C84">
      <w:pPr>
        <w:spacing w:line="480" w:lineRule="atLeast"/>
        <w:ind w:firstLine="720"/>
        <w:rPr>
          <w:szCs w:val="20"/>
        </w:rPr>
      </w:pPr>
      <w:r w:rsidRPr="009A2C84">
        <w:rPr>
          <w:szCs w:val="20"/>
        </w:rPr>
        <w:t>The facts do not support a finding that defendants murdered their victims “in order to advance” a robbery.  (</w:t>
      </w:r>
      <w:r w:rsidRPr="009A2C84">
        <w:rPr>
          <w:i/>
          <w:szCs w:val="20"/>
        </w:rPr>
        <w:t>Green</w:t>
      </w:r>
      <w:r w:rsidRPr="009A2C84">
        <w:rPr>
          <w:szCs w:val="20"/>
        </w:rPr>
        <w:t xml:space="preserve">, </w:t>
      </w:r>
      <w:r w:rsidRPr="009A2C84">
        <w:rPr>
          <w:i/>
          <w:szCs w:val="20"/>
        </w:rPr>
        <w:t>supra</w:t>
      </w:r>
      <w:r w:rsidRPr="009A2C84">
        <w:rPr>
          <w:szCs w:val="20"/>
        </w:rPr>
        <w:t>, 27 Cal.3d a</w:t>
      </w:r>
      <w:r w:rsidRPr="009A2C84">
        <w:rPr>
          <w:szCs w:val="20"/>
        </w:rPr>
        <w:t xml:space="preserve">t p. 61; see maj. opn., </w:t>
      </w:r>
      <w:r w:rsidRPr="009A2C84">
        <w:rPr>
          <w:i/>
          <w:szCs w:val="20"/>
        </w:rPr>
        <w:t>ante</w:t>
      </w:r>
      <w:r w:rsidRPr="009A2C84">
        <w:rPr>
          <w:szCs w:val="20"/>
        </w:rPr>
        <w:t>, at pp. 3–4, 55–56 [recounting details of the crime].)  Although there is sufficient evidence to support the jury’s finding that defendants intended to rob the victims, there is no credible evidence from which the jury could co</w:t>
      </w:r>
      <w:r w:rsidRPr="009A2C84">
        <w:rPr>
          <w:szCs w:val="20"/>
        </w:rPr>
        <w:t xml:space="preserve">nclude beyond a reasonable doubt that defendants murdered the victims in order to advance an independent felonious purpose of robbing them.  Rangel’s initial contact with one of the victims announced his and </w:t>
      </w:r>
      <w:proofErr w:type="spellStart"/>
      <w:r w:rsidRPr="009A2C84">
        <w:rPr>
          <w:szCs w:val="20"/>
        </w:rPr>
        <w:t>Mora’s</w:t>
      </w:r>
      <w:proofErr w:type="spellEnd"/>
      <w:r w:rsidRPr="009A2C84">
        <w:rPr>
          <w:szCs w:val="20"/>
        </w:rPr>
        <w:t xml:space="preserve"> lethal intent:  “Do you want to go to sle</w:t>
      </w:r>
      <w:r w:rsidRPr="009A2C84">
        <w:rPr>
          <w:szCs w:val="20"/>
        </w:rPr>
        <w:t xml:space="preserve">ep?”  Neither his further statement “check yourself, check yourself, give me your wallet” nor </w:t>
      </w:r>
      <w:proofErr w:type="spellStart"/>
      <w:r w:rsidRPr="009A2C84">
        <w:rPr>
          <w:szCs w:val="20"/>
        </w:rPr>
        <w:t>Mora’s</w:t>
      </w:r>
      <w:proofErr w:type="spellEnd"/>
      <w:r w:rsidRPr="009A2C84">
        <w:rPr>
          <w:szCs w:val="20"/>
        </w:rPr>
        <w:t xml:space="preserve"> similar request to the other victim suggests that their primary purpose in the encounter was to rob the victims.  As the record shows, the victims attempte</w:t>
      </w:r>
      <w:r w:rsidRPr="009A2C84">
        <w:rPr>
          <w:szCs w:val="20"/>
        </w:rPr>
        <w:t xml:space="preserve">d to comply with defendants’ demands for their wallets, defendants shot the victims </w:t>
      </w:r>
      <w:r w:rsidRPr="009A2C84">
        <w:rPr>
          <w:i/>
          <w:szCs w:val="20"/>
        </w:rPr>
        <w:t>before</w:t>
      </w:r>
      <w:r w:rsidRPr="009A2C84">
        <w:rPr>
          <w:szCs w:val="20"/>
        </w:rPr>
        <w:t xml:space="preserve"> the victims could comply, and defendants then fled </w:t>
      </w:r>
      <w:r w:rsidRPr="009A2C84">
        <w:rPr>
          <w:i/>
          <w:szCs w:val="20"/>
        </w:rPr>
        <w:t>without</w:t>
      </w:r>
      <w:r w:rsidRPr="009A2C84">
        <w:rPr>
          <w:szCs w:val="20"/>
        </w:rPr>
        <w:t xml:space="preserve"> the wallets.  There is no evidence that some intervening event caused defendants to abandon their plan to </w:t>
      </w:r>
      <w:r w:rsidRPr="009A2C84">
        <w:rPr>
          <w:szCs w:val="20"/>
        </w:rPr>
        <w:t>rob the victims after murdering them, nor is there evidence that defendants’ motive to kill the victims sprang from the attempted robbery.  The record here shows an attempted “robbery in the commission of murder.”  (</w:t>
      </w:r>
      <w:r w:rsidRPr="009A2C84">
        <w:rPr>
          <w:i/>
          <w:szCs w:val="20"/>
        </w:rPr>
        <w:t>Horning</w:t>
      </w:r>
      <w:r w:rsidRPr="009A2C84">
        <w:rPr>
          <w:szCs w:val="20"/>
        </w:rPr>
        <w:t xml:space="preserve">, </w:t>
      </w:r>
      <w:r w:rsidRPr="009A2C84">
        <w:rPr>
          <w:i/>
          <w:szCs w:val="20"/>
        </w:rPr>
        <w:t>supra</w:t>
      </w:r>
      <w:r w:rsidRPr="009A2C84">
        <w:rPr>
          <w:szCs w:val="20"/>
        </w:rPr>
        <w:t xml:space="preserve">, 34 Cal.4th at p. 907.)  </w:t>
      </w:r>
      <w:r w:rsidRPr="009A2C84">
        <w:rPr>
          <w:szCs w:val="20"/>
        </w:rPr>
        <w:t>Viewing the evidence in the light most favorable to the verdict, there is no “ ‘ “ ‘evidence that is reasonable, credible, and of solid value such that a reasonable jury could find’ ” ’ ” beyond a reasonable doubt (</w:t>
      </w:r>
      <w:r w:rsidRPr="009A2C84">
        <w:rPr>
          <w:i/>
          <w:szCs w:val="20"/>
        </w:rPr>
        <w:t>People v. Smith</w:t>
      </w:r>
      <w:r w:rsidRPr="009A2C84">
        <w:rPr>
          <w:szCs w:val="20"/>
        </w:rPr>
        <w:t xml:space="preserve"> (2018) 4 Cal.5th 1134, 11</w:t>
      </w:r>
      <w:r w:rsidRPr="009A2C84">
        <w:rPr>
          <w:szCs w:val="20"/>
        </w:rPr>
        <w:t xml:space="preserve">74) that the murders were committed in order to advance the robberies.  </w:t>
      </w:r>
    </w:p>
    <w:p w:rsidR="009A2C84" w:rsidRPr="009A2C84" w:rsidRDefault="00EF4903" w:rsidP="009A2C84">
      <w:pPr>
        <w:keepNext/>
        <w:spacing w:line="480" w:lineRule="atLeast"/>
        <w:ind w:firstLine="720"/>
        <w:rPr>
          <w:szCs w:val="20"/>
        </w:rPr>
      </w:pPr>
      <w:r w:rsidRPr="009A2C84">
        <w:rPr>
          <w:szCs w:val="20"/>
        </w:rPr>
        <w:t>I would therefore reverse the attempted robbery special circumstance.  Nonetheless, I agree that the death sentence must be affirmed.  The jury made a valid finding on the multiple-mu</w:t>
      </w:r>
      <w:r w:rsidRPr="009A2C84">
        <w:rPr>
          <w:szCs w:val="20"/>
        </w:rPr>
        <w:t>rder special circumstance, and the jury was permitted to consider at the penalty phase all the facts and circumstances underlying the murders.  Accordingly, the invalidation of one of the two special circumstances does not warrant reversal of the death sen</w:t>
      </w:r>
      <w:r w:rsidRPr="009A2C84">
        <w:rPr>
          <w:szCs w:val="20"/>
        </w:rPr>
        <w:t xml:space="preserve">tence.  (See </w:t>
      </w:r>
      <w:r w:rsidRPr="009A2C84">
        <w:rPr>
          <w:i/>
          <w:szCs w:val="20"/>
        </w:rPr>
        <w:t xml:space="preserve">People v. </w:t>
      </w:r>
      <w:proofErr w:type="spellStart"/>
      <w:r w:rsidRPr="009A2C84">
        <w:rPr>
          <w:i/>
          <w:szCs w:val="20"/>
        </w:rPr>
        <w:t>Hajek</w:t>
      </w:r>
      <w:proofErr w:type="spellEnd"/>
      <w:r w:rsidRPr="009A2C84">
        <w:rPr>
          <w:i/>
          <w:szCs w:val="20"/>
        </w:rPr>
        <w:t xml:space="preserve"> and Vo</w:t>
      </w:r>
      <w:r w:rsidRPr="009A2C84">
        <w:rPr>
          <w:szCs w:val="20"/>
        </w:rPr>
        <w:t xml:space="preserve"> (2014) 58 Cal.4th 1144, 1186–1187.)</w:t>
      </w:r>
    </w:p>
    <w:p w:rsidR="009A2C84" w:rsidRPr="009A2C84" w:rsidRDefault="00EF4903" w:rsidP="009A2C84">
      <w:pPr>
        <w:keepNext/>
        <w:spacing w:line="480" w:lineRule="atLeast"/>
        <w:ind w:firstLine="720"/>
        <w:rPr>
          <w:szCs w:val="20"/>
        </w:rPr>
      </w:pPr>
    </w:p>
    <w:p w:rsidR="009A2C84" w:rsidRDefault="00EF4903" w:rsidP="009A2C84">
      <w:pPr>
        <w:keepNext/>
        <w:spacing w:line="480" w:lineRule="atLeast"/>
        <w:jc w:val="center"/>
        <w:outlineLvl w:val="0"/>
      </w:pPr>
      <w:r w:rsidRPr="009A2C84">
        <w:rPr>
          <w:b/>
          <w:smallCaps/>
          <w:szCs w:val="20"/>
        </w:rPr>
        <w:tab/>
      </w:r>
      <w:r w:rsidRPr="009A2C84">
        <w:rPr>
          <w:b/>
          <w:smallCaps/>
          <w:szCs w:val="20"/>
        </w:rPr>
        <w:tab/>
      </w:r>
      <w:r w:rsidRPr="009A2C84">
        <w:rPr>
          <w:b/>
          <w:smallCaps/>
          <w:szCs w:val="20"/>
        </w:rPr>
        <w:tab/>
        <w:t>LIU, J.</w:t>
      </w:r>
    </w:p>
    <w:p w:rsidR="009A2C84" w:rsidRDefault="00EF4903" w:rsidP="00A15039">
      <w:pPr>
        <w:tabs>
          <w:tab w:val="left" w:pos="720"/>
        </w:tabs>
        <w:sectPr w:rsidR="009A2C84" w:rsidSect="009A2C8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pPr>
    </w:p>
    <w:p w:rsidR="009A2C84" w:rsidRPr="009A2C84" w:rsidRDefault="00EF4903" w:rsidP="009A2C84">
      <w:pPr>
        <w:rPr>
          <w:i/>
          <w:sz w:val="20"/>
          <w:szCs w:val="20"/>
        </w:rPr>
      </w:pPr>
      <w:r w:rsidRPr="009A2C84">
        <w:rPr>
          <w:i/>
          <w:sz w:val="20"/>
          <w:szCs w:val="20"/>
        </w:rPr>
        <w:t>See next page for addresses and telephone numbers for counsel who argued in Supreme Court.</w:t>
      </w:r>
    </w:p>
    <w:p w:rsidR="009A2C84" w:rsidRPr="009A2C84" w:rsidRDefault="00EF4903" w:rsidP="009A2C84">
      <w:pPr>
        <w:rPr>
          <w:i/>
          <w:sz w:val="20"/>
          <w:szCs w:val="20"/>
        </w:rPr>
      </w:pPr>
    </w:p>
    <w:p w:rsidR="009A2C84" w:rsidRPr="009A2C84" w:rsidRDefault="00EF4903" w:rsidP="009A2C84">
      <w:pPr>
        <w:rPr>
          <w:bCs/>
          <w:i/>
          <w:sz w:val="20"/>
          <w:szCs w:val="20"/>
        </w:rPr>
      </w:pPr>
      <w:r w:rsidRPr="009A2C84">
        <w:rPr>
          <w:b/>
          <w:sz w:val="20"/>
          <w:szCs w:val="20"/>
        </w:rPr>
        <w:t>Name of Opinion</w:t>
      </w:r>
      <w:r w:rsidRPr="009A2C84">
        <w:rPr>
          <w:sz w:val="20"/>
          <w:szCs w:val="20"/>
        </w:rPr>
        <w:t xml:space="preserve"> People v. </w:t>
      </w:r>
      <w:proofErr w:type="spellStart"/>
      <w:r w:rsidRPr="009A2C84">
        <w:rPr>
          <w:sz w:val="20"/>
          <w:szCs w:val="20"/>
        </w:rPr>
        <w:t>Mora</w:t>
      </w:r>
      <w:proofErr w:type="spellEnd"/>
      <w:r w:rsidRPr="009A2C84">
        <w:rPr>
          <w:sz w:val="20"/>
          <w:szCs w:val="20"/>
        </w:rPr>
        <w:t xml:space="preserve"> and Rangel</w:t>
      </w:r>
    </w:p>
    <w:p w:rsidR="009A2C84" w:rsidRPr="009A2C84" w:rsidRDefault="00EF4903" w:rsidP="009A2C84">
      <w:pPr>
        <w:rPr>
          <w:b/>
          <w:sz w:val="20"/>
          <w:szCs w:val="20"/>
        </w:rPr>
      </w:pPr>
      <w:r w:rsidRPr="009A2C84">
        <w:rPr>
          <w:b/>
          <w:sz w:val="20"/>
          <w:szCs w:val="20"/>
        </w:rPr>
        <w:t>__________________________________________________________________________________</w:t>
      </w:r>
    </w:p>
    <w:p w:rsidR="009A2C84" w:rsidRPr="009A2C84" w:rsidRDefault="00EF4903" w:rsidP="009A2C84">
      <w:pPr>
        <w:rPr>
          <w:b/>
          <w:sz w:val="20"/>
          <w:szCs w:val="20"/>
        </w:rPr>
      </w:pPr>
    </w:p>
    <w:p w:rsidR="009A2C84" w:rsidRPr="009A2C84" w:rsidRDefault="00EF4903" w:rsidP="009A2C84">
      <w:pPr>
        <w:rPr>
          <w:bCs/>
          <w:sz w:val="20"/>
          <w:szCs w:val="20"/>
        </w:rPr>
      </w:pPr>
      <w:r w:rsidRPr="009A2C84">
        <w:rPr>
          <w:b/>
          <w:sz w:val="20"/>
          <w:szCs w:val="20"/>
        </w:rPr>
        <w:t>Unpublished Opinion</w:t>
      </w:r>
    </w:p>
    <w:p w:rsidR="009A2C84" w:rsidRPr="009A2C84" w:rsidRDefault="00EF4903" w:rsidP="009A2C84">
      <w:pPr>
        <w:rPr>
          <w:sz w:val="20"/>
          <w:szCs w:val="20"/>
        </w:rPr>
      </w:pPr>
      <w:r w:rsidRPr="009A2C84">
        <w:rPr>
          <w:b/>
          <w:sz w:val="20"/>
          <w:szCs w:val="20"/>
        </w:rPr>
        <w:t>Original Appeal</w:t>
      </w:r>
      <w:r w:rsidRPr="009A2C84">
        <w:rPr>
          <w:sz w:val="20"/>
          <w:szCs w:val="20"/>
        </w:rPr>
        <w:t xml:space="preserve"> XXX</w:t>
      </w:r>
    </w:p>
    <w:p w:rsidR="009A2C84" w:rsidRPr="009A2C84" w:rsidRDefault="00EF4903" w:rsidP="009A2C84">
      <w:pPr>
        <w:rPr>
          <w:sz w:val="20"/>
          <w:szCs w:val="20"/>
        </w:rPr>
      </w:pPr>
      <w:r w:rsidRPr="009A2C84">
        <w:rPr>
          <w:b/>
          <w:sz w:val="20"/>
          <w:szCs w:val="20"/>
        </w:rPr>
        <w:t>Original Proceeding</w:t>
      </w:r>
    </w:p>
    <w:p w:rsidR="009A2C84" w:rsidRPr="009A2C84" w:rsidRDefault="00EF4903" w:rsidP="009A2C84">
      <w:pPr>
        <w:rPr>
          <w:sz w:val="20"/>
          <w:szCs w:val="20"/>
        </w:rPr>
      </w:pPr>
      <w:r w:rsidRPr="009A2C84">
        <w:rPr>
          <w:b/>
          <w:sz w:val="20"/>
          <w:szCs w:val="20"/>
        </w:rPr>
        <w:t>Review Granted</w:t>
      </w:r>
    </w:p>
    <w:p w:rsidR="009A2C84" w:rsidRPr="009A2C84" w:rsidRDefault="00EF4903" w:rsidP="009A2C84">
      <w:pPr>
        <w:rPr>
          <w:b/>
          <w:sz w:val="20"/>
          <w:szCs w:val="20"/>
        </w:rPr>
      </w:pPr>
      <w:r w:rsidRPr="009A2C84">
        <w:rPr>
          <w:b/>
          <w:sz w:val="20"/>
          <w:szCs w:val="20"/>
        </w:rPr>
        <w:t>Rehearing Granted</w:t>
      </w:r>
    </w:p>
    <w:p w:rsidR="009A2C84" w:rsidRPr="009A2C84" w:rsidRDefault="00EF4903" w:rsidP="009A2C84">
      <w:pPr>
        <w:rPr>
          <w:b/>
          <w:sz w:val="20"/>
          <w:szCs w:val="20"/>
        </w:rPr>
      </w:pPr>
    </w:p>
    <w:p w:rsidR="009A2C84" w:rsidRPr="009A2C84" w:rsidRDefault="00EF4903" w:rsidP="009A2C84">
      <w:pPr>
        <w:rPr>
          <w:b/>
          <w:sz w:val="20"/>
          <w:szCs w:val="20"/>
        </w:rPr>
      </w:pPr>
      <w:r w:rsidRPr="009A2C84">
        <w:rPr>
          <w:b/>
          <w:sz w:val="20"/>
          <w:szCs w:val="20"/>
        </w:rPr>
        <w:t>__________________________________________________________________________________</w:t>
      </w:r>
    </w:p>
    <w:p w:rsidR="009A2C84" w:rsidRPr="009A2C84" w:rsidRDefault="00EF4903" w:rsidP="009A2C84">
      <w:pPr>
        <w:rPr>
          <w:b/>
          <w:sz w:val="20"/>
          <w:szCs w:val="20"/>
        </w:rPr>
      </w:pPr>
    </w:p>
    <w:p w:rsidR="009A2C84" w:rsidRPr="009A2C84" w:rsidRDefault="00EF4903" w:rsidP="009A2C84">
      <w:pPr>
        <w:rPr>
          <w:bCs/>
          <w:sz w:val="20"/>
          <w:szCs w:val="20"/>
        </w:rPr>
      </w:pPr>
      <w:r w:rsidRPr="009A2C84">
        <w:rPr>
          <w:b/>
          <w:sz w:val="20"/>
          <w:szCs w:val="20"/>
        </w:rPr>
        <w:t>Opinion No.</w:t>
      </w:r>
      <w:r w:rsidRPr="009A2C84">
        <w:rPr>
          <w:sz w:val="20"/>
          <w:szCs w:val="20"/>
        </w:rPr>
        <w:t xml:space="preserve"> S079925</w:t>
      </w:r>
    </w:p>
    <w:p w:rsidR="009A2C84" w:rsidRPr="009A2C84" w:rsidRDefault="00EF4903" w:rsidP="009A2C84">
      <w:pPr>
        <w:rPr>
          <w:bCs/>
          <w:sz w:val="20"/>
          <w:szCs w:val="20"/>
        </w:rPr>
      </w:pPr>
      <w:r w:rsidRPr="009A2C84">
        <w:rPr>
          <w:b/>
          <w:sz w:val="20"/>
          <w:szCs w:val="20"/>
        </w:rPr>
        <w:t>Date Filed:</w:t>
      </w:r>
      <w:r w:rsidRPr="009A2C84">
        <w:rPr>
          <w:sz w:val="20"/>
          <w:szCs w:val="20"/>
        </w:rPr>
        <w:t xml:space="preserve"> July 2, 2018</w:t>
      </w:r>
    </w:p>
    <w:p w:rsidR="009A2C84" w:rsidRPr="009A2C84" w:rsidRDefault="00EF4903" w:rsidP="009A2C84">
      <w:pPr>
        <w:rPr>
          <w:b/>
          <w:sz w:val="20"/>
          <w:szCs w:val="20"/>
        </w:rPr>
      </w:pPr>
      <w:r w:rsidRPr="009A2C84">
        <w:rPr>
          <w:b/>
          <w:sz w:val="20"/>
          <w:szCs w:val="20"/>
        </w:rPr>
        <w:t>__________________________________________________________________________________</w:t>
      </w:r>
    </w:p>
    <w:p w:rsidR="009A2C84" w:rsidRPr="009A2C84" w:rsidRDefault="00EF4903" w:rsidP="009A2C84">
      <w:pPr>
        <w:rPr>
          <w:b/>
          <w:sz w:val="20"/>
          <w:szCs w:val="20"/>
        </w:rPr>
      </w:pPr>
    </w:p>
    <w:p w:rsidR="009A2C84" w:rsidRPr="009A2C84" w:rsidRDefault="00EF4903" w:rsidP="009A2C84">
      <w:pPr>
        <w:rPr>
          <w:bCs/>
          <w:sz w:val="20"/>
          <w:szCs w:val="20"/>
        </w:rPr>
      </w:pPr>
      <w:r w:rsidRPr="009A2C84">
        <w:rPr>
          <w:b/>
          <w:sz w:val="20"/>
          <w:szCs w:val="20"/>
        </w:rPr>
        <w:t xml:space="preserve">Court: </w:t>
      </w:r>
      <w:r w:rsidRPr="009A2C84">
        <w:rPr>
          <w:sz w:val="20"/>
          <w:szCs w:val="20"/>
        </w:rPr>
        <w:t>Superior</w:t>
      </w:r>
    </w:p>
    <w:p w:rsidR="009A2C84" w:rsidRPr="009A2C84" w:rsidRDefault="00EF4903" w:rsidP="009A2C84">
      <w:pPr>
        <w:rPr>
          <w:bCs/>
          <w:sz w:val="20"/>
          <w:szCs w:val="20"/>
        </w:rPr>
      </w:pPr>
      <w:r w:rsidRPr="009A2C84">
        <w:rPr>
          <w:b/>
          <w:sz w:val="20"/>
          <w:szCs w:val="20"/>
        </w:rPr>
        <w:t>County:</w:t>
      </w:r>
      <w:r w:rsidRPr="009A2C84">
        <w:rPr>
          <w:sz w:val="20"/>
          <w:szCs w:val="20"/>
        </w:rPr>
        <w:t xml:space="preserve"> Los Angeles</w:t>
      </w:r>
    </w:p>
    <w:p w:rsidR="009A2C84" w:rsidRPr="009A2C84" w:rsidRDefault="00EF4903" w:rsidP="009A2C84">
      <w:pPr>
        <w:ind w:left="720" w:hanging="720"/>
        <w:rPr>
          <w:b/>
          <w:bCs/>
          <w:sz w:val="20"/>
          <w:szCs w:val="20"/>
        </w:rPr>
      </w:pPr>
      <w:r w:rsidRPr="009A2C84">
        <w:rPr>
          <w:b/>
          <w:sz w:val="20"/>
          <w:szCs w:val="20"/>
        </w:rPr>
        <w:t>Judge:</w:t>
      </w:r>
      <w:r w:rsidRPr="009A2C84">
        <w:rPr>
          <w:sz w:val="20"/>
          <w:szCs w:val="20"/>
        </w:rPr>
        <w:t xml:space="preserve"> </w:t>
      </w:r>
      <w:r w:rsidRPr="009A2C84">
        <w:rPr>
          <w:sz w:val="20"/>
          <w:szCs w:val="20"/>
        </w:rPr>
        <w:t>Victoria M. Chavez</w:t>
      </w:r>
    </w:p>
    <w:p w:rsidR="009A2C84" w:rsidRPr="009A2C84" w:rsidRDefault="00EF4903" w:rsidP="009A2C84">
      <w:pPr>
        <w:rPr>
          <w:b/>
          <w:sz w:val="20"/>
          <w:szCs w:val="20"/>
        </w:rPr>
      </w:pPr>
    </w:p>
    <w:p w:rsidR="009A2C84" w:rsidRPr="009A2C84" w:rsidRDefault="00EF4903" w:rsidP="009A2C84">
      <w:pPr>
        <w:rPr>
          <w:b/>
          <w:sz w:val="20"/>
          <w:szCs w:val="20"/>
        </w:rPr>
      </w:pPr>
      <w:r w:rsidRPr="009A2C84">
        <w:rPr>
          <w:b/>
          <w:sz w:val="20"/>
          <w:szCs w:val="20"/>
        </w:rPr>
        <w:t>__________________________________________________________________________________</w:t>
      </w:r>
    </w:p>
    <w:p w:rsidR="009A2C84" w:rsidRPr="009A2C84" w:rsidRDefault="00EF4903" w:rsidP="009A2C84">
      <w:pPr>
        <w:rPr>
          <w:b/>
          <w:sz w:val="20"/>
          <w:szCs w:val="20"/>
        </w:rPr>
      </w:pPr>
    </w:p>
    <w:p w:rsidR="009A2C84" w:rsidRPr="009A2C84" w:rsidRDefault="00EF4903" w:rsidP="009A2C84">
      <w:pPr>
        <w:rPr>
          <w:b/>
          <w:sz w:val="20"/>
          <w:szCs w:val="20"/>
        </w:rPr>
      </w:pPr>
      <w:r w:rsidRPr="009A2C84">
        <w:rPr>
          <w:b/>
          <w:sz w:val="20"/>
          <w:szCs w:val="20"/>
        </w:rPr>
        <w:t>Counsel:</w:t>
      </w:r>
    </w:p>
    <w:p w:rsidR="009A2C84" w:rsidRPr="009A2C84" w:rsidRDefault="00EF4903" w:rsidP="009A2C84">
      <w:pPr>
        <w:rPr>
          <w:b/>
          <w:sz w:val="20"/>
          <w:szCs w:val="20"/>
        </w:rPr>
      </w:pPr>
    </w:p>
    <w:p w:rsidR="009A2C84" w:rsidRPr="009A2C84" w:rsidRDefault="00EF4903" w:rsidP="009A2C84">
      <w:pPr>
        <w:rPr>
          <w:sz w:val="20"/>
          <w:szCs w:val="20"/>
        </w:rPr>
      </w:pPr>
      <w:r w:rsidRPr="009A2C84">
        <w:rPr>
          <w:sz w:val="20"/>
          <w:szCs w:val="20"/>
        </w:rPr>
        <w:t xml:space="preserve">Michael J. </w:t>
      </w:r>
      <w:proofErr w:type="spellStart"/>
      <w:r w:rsidRPr="009A2C84">
        <w:rPr>
          <w:sz w:val="20"/>
          <w:szCs w:val="20"/>
        </w:rPr>
        <w:t>Hersek</w:t>
      </w:r>
      <w:proofErr w:type="spellEnd"/>
      <w:r w:rsidRPr="009A2C84">
        <w:rPr>
          <w:sz w:val="20"/>
          <w:szCs w:val="20"/>
        </w:rPr>
        <w:t xml:space="preserve">, State Public Defender, under appointment by the Supreme Court, and Peter R. </w:t>
      </w:r>
      <w:proofErr w:type="spellStart"/>
      <w:r w:rsidRPr="009A2C84">
        <w:rPr>
          <w:sz w:val="20"/>
          <w:szCs w:val="20"/>
        </w:rPr>
        <w:t>Silten</w:t>
      </w:r>
      <w:proofErr w:type="spellEnd"/>
      <w:r w:rsidRPr="009A2C84">
        <w:rPr>
          <w:sz w:val="20"/>
          <w:szCs w:val="20"/>
        </w:rPr>
        <w:t xml:space="preserve">, Deputy State Public Defender, for </w:t>
      </w:r>
      <w:r w:rsidRPr="009A2C84">
        <w:rPr>
          <w:sz w:val="20"/>
          <w:szCs w:val="20"/>
        </w:rPr>
        <w:t xml:space="preserve">Defendant and Appellant Joseph Adam </w:t>
      </w:r>
      <w:proofErr w:type="spellStart"/>
      <w:r w:rsidRPr="009A2C84">
        <w:rPr>
          <w:sz w:val="20"/>
          <w:szCs w:val="20"/>
        </w:rPr>
        <w:t>Mora</w:t>
      </w:r>
      <w:proofErr w:type="spellEnd"/>
      <w:r w:rsidRPr="009A2C84">
        <w:rPr>
          <w:sz w:val="20"/>
          <w:szCs w:val="20"/>
        </w:rPr>
        <w:t>.</w:t>
      </w:r>
    </w:p>
    <w:p w:rsidR="009A2C84" w:rsidRPr="009A2C84" w:rsidRDefault="00EF4903" w:rsidP="009A2C84">
      <w:pPr>
        <w:rPr>
          <w:sz w:val="20"/>
          <w:szCs w:val="20"/>
        </w:rPr>
      </w:pPr>
    </w:p>
    <w:p w:rsidR="009A2C84" w:rsidRPr="009A2C84" w:rsidRDefault="00EF4903" w:rsidP="009A2C84">
      <w:pPr>
        <w:rPr>
          <w:sz w:val="20"/>
          <w:szCs w:val="20"/>
        </w:rPr>
      </w:pPr>
      <w:r w:rsidRPr="009A2C84">
        <w:rPr>
          <w:sz w:val="20"/>
          <w:szCs w:val="20"/>
        </w:rPr>
        <w:t xml:space="preserve">Tara K. </w:t>
      </w:r>
      <w:proofErr w:type="spellStart"/>
      <w:r w:rsidRPr="009A2C84">
        <w:rPr>
          <w:sz w:val="20"/>
          <w:szCs w:val="20"/>
        </w:rPr>
        <w:t>Hoveland</w:t>
      </w:r>
      <w:proofErr w:type="spellEnd"/>
      <w:r w:rsidRPr="009A2C84">
        <w:rPr>
          <w:sz w:val="20"/>
          <w:szCs w:val="20"/>
        </w:rPr>
        <w:t>, under appointment by the Supreme Court, for Defendant and Appellant Ruben Rangel.</w:t>
      </w:r>
    </w:p>
    <w:p w:rsidR="009A2C84" w:rsidRPr="009A2C84" w:rsidRDefault="00EF4903" w:rsidP="009A2C84">
      <w:pPr>
        <w:rPr>
          <w:sz w:val="20"/>
          <w:szCs w:val="20"/>
        </w:rPr>
      </w:pPr>
    </w:p>
    <w:p w:rsidR="009A2C84" w:rsidRPr="009A2C84" w:rsidRDefault="00EF4903" w:rsidP="009A2C84">
      <w:pPr>
        <w:rPr>
          <w:sz w:val="20"/>
          <w:szCs w:val="20"/>
        </w:rPr>
      </w:pPr>
      <w:r w:rsidRPr="009A2C84">
        <w:rPr>
          <w:sz w:val="20"/>
          <w:szCs w:val="20"/>
        </w:rPr>
        <w:t>Kamala D. Harris and Xavier Becerra, Attorneys General, Dane R. Gillette, Chief Assistant Attorney General, Pame</w:t>
      </w:r>
      <w:r w:rsidRPr="009A2C84">
        <w:rPr>
          <w:sz w:val="20"/>
          <w:szCs w:val="20"/>
        </w:rPr>
        <w:t xml:space="preserve">la C. </w:t>
      </w:r>
      <w:proofErr w:type="spellStart"/>
      <w:r w:rsidRPr="009A2C84">
        <w:rPr>
          <w:sz w:val="20"/>
          <w:szCs w:val="20"/>
        </w:rPr>
        <w:t>Hamanaka</w:t>
      </w:r>
      <w:proofErr w:type="spellEnd"/>
      <w:r w:rsidRPr="009A2C84">
        <w:rPr>
          <w:sz w:val="20"/>
          <w:szCs w:val="20"/>
        </w:rPr>
        <w:t>, Assistant Attorney General, Joseph P. Lee and John Yang, Deputy Attorneys General, for Plaintiff and Respondent.</w:t>
      </w:r>
    </w:p>
    <w:p w:rsidR="009A2C84" w:rsidRPr="009A2C84" w:rsidRDefault="00EF4903" w:rsidP="009A2C84">
      <w:pPr>
        <w:rPr>
          <w:b/>
          <w:sz w:val="20"/>
          <w:szCs w:val="20"/>
        </w:rPr>
      </w:pPr>
    </w:p>
    <w:p w:rsidR="009A2C84" w:rsidRPr="009A2C84" w:rsidRDefault="00EF4903" w:rsidP="009A2C84">
      <w:pPr>
        <w:rPr>
          <w:b/>
          <w:sz w:val="20"/>
          <w:szCs w:val="20"/>
        </w:rPr>
      </w:pPr>
    </w:p>
    <w:p w:rsidR="009A2C84" w:rsidRPr="009A2C84" w:rsidRDefault="00EF4903" w:rsidP="009A2C84">
      <w:pPr>
        <w:rPr>
          <w:b/>
          <w:sz w:val="20"/>
          <w:szCs w:val="20"/>
        </w:rPr>
      </w:pPr>
    </w:p>
    <w:p w:rsidR="009A2C84" w:rsidRPr="009A2C84" w:rsidRDefault="00EF4903" w:rsidP="009A2C84">
      <w:pPr>
        <w:rPr>
          <w:b/>
          <w:sz w:val="20"/>
          <w:szCs w:val="20"/>
        </w:rPr>
      </w:pPr>
    </w:p>
    <w:p w:rsidR="009A2C84" w:rsidRPr="009A2C84" w:rsidRDefault="00EF4903" w:rsidP="009A2C84">
      <w:pPr>
        <w:rPr>
          <w:b/>
          <w:sz w:val="20"/>
          <w:szCs w:val="20"/>
        </w:rPr>
      </w:pPr>
      <w:r w:rsidRPr="009A2C84">
        <w:rPr>
          <w:b/>
          <w:sz w:val="20"/>
          <w:szCs w:val="20"/>
        </w:rPr>
        <w:br w:type="page"/>
      </w:r>
    </w:p>
    <w:p w:rsidR="009A2C84" w:rsidRPr="009A2C84" w:rsidRDefault="00EF4903" w:rsidP="009A2C84">
      <w:pPr>
        <w:rPr>
          <w:b/>
          <w:sz w:val="20"/>
          <w:szCs w:val="20"/>
        </w:rPr>
      </w:pPr>
    </w:p>
    <w:p w:rsidR="009A2C84" w:rsidRPr="009A2C84" w:rsidRDefault="00EF4903" w:rsidP="009A2C84">
      <w:pPr>
        <w:rPr>
          <w:b/>
          <w:sz w:val="20"/>
          <w:szCs w:val="20"/>
        </w:rPr>
      </w:pPr>
    </w:p>
    <w:p w:rsidR="009A2C84" w:rsidRPr="009A2C84" w:rsidRDefault="00EF4903" w:rsidP="009A2C84">
      <w:pPr>
        <w:rPr>
          <w:b/>
          <w:sz w:val="20"/>
          <w:szCs w:val="20"/>
        </w:rPr>
      </w:pPr>
    </w:p>
    <w:p w:rsidR="009A2C84" w:rsidRPr="009A2C84" w:rsidRDefault="00EF4903" w:rsidP="009A2C84">
      <w:pPr>
        <w:rPr>
          <w:b/>
          <w:sz w:val="20"/>
          <w:szCs w:val="20"/>
        </w:rPr>
      </w:pPr>
      <w:r w:rsidRPr="009A2C84">
        <w:rPr>
          <w:b/>
          <w:sz w:val="20"/>
          <w:szCs w:val="20"/>
        </w:rPr>
        <w:t>Counsel who argued in Supreme Court (not intended for publication with opinion):</w:t>
      </w:r>
    </w:p>
    <w:p w:rsidR="009A2C84" w:rsidRPr="009A2C84" w:rsidRDefault="00EF4903" w:rsidP="009A2C84">
      <w:pPr>
        <w:rPr>
          <w:b/>
          <w:sz w:val="20"/>
          <w:szCs w:val="20"/>
        </w:rPr>
      </w:pPr>
    </w:p>
    <w:p w:rsidR="009A2C84" w:rsidRPr="009A2C84" w:rsidRDefault="00EF4903" w:rsidP="009A2C84">
      <w:pPr>
        <w:rPr>
          <w:sz w:val="20"/>
          <w:szCs w:val="20"/>
        </w:rPr>
      </w:pPr>
      <w:r w:rsidRPr="009A2C84">
        <w:rPr>
          <w:sz w:val="20"/>
          <w:szCs w:val="20"/>
        </w:rPr>
        <w:t xml:space="preserve">Peter R. </w:t>
      </w:r>
      <w:proofErr w:type="spellStart"/>
      <w:r w:rsidRPr="009A2C84">
        <w:rPr>
          <w:sz w:val="20"/>
          <w:szCs w:val="20"/>
        </w:rPr>
        <w:t>Silten</w:t>
      </w:r>
      <w:proofErr w:type="spellEnd"/>
    </w:p>
    <w:p w:rsidR="009A2C84" w:rsidRPr="009A2C84" w:rsidRDefault="00EF4903" w:rsidP="009A2C84">
      <w:pPr>
        <w:rPr>
          <w:sz w:val="20"/>
          <w:szCs w:val="20"/>
        </w:rPr>
      </w:pPr>
      <w:r w:rsidRPr="009A2C84">
        <w:rPr>
          <w:sz w:val="20"/>
          <w:szCs w:val="20"/>
        </w:rPr>
        <w:t xml:space="preserve">Deputy State Public </w:t>
      </w:r>
      <w:r w:rsidRPr="009A2C84">
        <w:rPr>
          <w:sz w:val="20"/>
          <w:szCs w:val="20"/>
        </w:rPr>
        <w:t>Defender</w:t>
      </w:r>
    </w:p>
    <w:p w:rsidR="009A2C84" w:rsidRPr="009A2C84" w:rsidRDefault="00EF4903" w:rsidP="009A2C84">
      <w:pPr>
        <w:rPr>
          <w:sz w:val="20"/>
          <w:szCs w:val="20"/>
        </w:rPr>
      </w:pPr>
      <w:r w:rsidRPr="009A2C84">
        <w:rPr>
          <w:sz w:val="20"/>
          <w:szCs w:val="20"/>
        </w:rPr>
        <w:t>1111 Broadway, 10th Floor</w:t>
      </w:r>
    </w:p>
    <w:p w:rsidR="009A2C84" w:rsidRPr="009A2C84" w:rsidRDefault="00EF4903" w:rsidP="009A2C84">
      <w:pPr>
        <w:rPr>
          <w:sz w:val="20"/>
          <w:szCs w:val="20"/>
        </w:rPr>
      </w:pPr>
      <w:r w:rsidRPr="009A2C84">
        <w:rPr>
          <w:sz w:val="20"/>
          <w:szCs w:val="20"/>
        </w:rPr>
        <w:t>Oakland, CA  94607-4139</w:t>
      </w:r>
    </w:p>
    <w:p w:rsidR="009A2C84" w:rsidRPr="009A2C84" w:rsidRDefault="00EF4903" w:rsidP="009A2C84">
      <w:pPr>
        <w:rPr>
          <w:sz w:val="20"/>
          <w:szCs w:val="20"/>
        </w:rPr>
      </w:pPr>
      <w:r w:rsidRPr="009A2C84">
        <w:rPr>
          <w:sz w:val="20"/>
          <w:szCs w:val="20"/>
        </w:rPr>
        <w:t>(510) 267-3300</w:t>
      </w:r>
    </w:p>
    <w:p w:rsidR="009A2C84" w:rsidRPr="009A2C84" w:rsidRDefault="00EF4903" w:rsidP="009A2C84">
      <w:pPr>
        <w:rPr>
          <w:sz w:val="20"/>
          <w:szCs w:val="20"/>
        </w:rPr>
      </w:pPr>
    </w:p>
    <w:p w:rsidR="009A2C84" w:rsidRPr="009A2C84" w:rsidRDefault="00EF4903" w:rsidP="009A2C84">
      <w:pPr>
        <w:rPr>
          <w:sz w:val="20"/>
          <w:szCs w:val="20"/>
        </w:rPr>
      </w:pPr>
      <w:r w:rsidRPr="009A2C84">
        <w:rPr>
          <w:sz w:val="20"/>
          <w:szCs w:val="20"/>
        </w:rPr>
        <w:t xml:space="preserve">Tara K. </w:t>
      </w:r>
      <w:proofErr w:type="spellStart"/>
      <w:r w:rsidRPr="009A2C84">
        <w:rPr>
          <w:sz w:val="20"/>
          <w:szCs w:val="20"/>
        </w:rPr>
        <w:t>Hoveland</w:t>
      </w:r>
      <w:proofErr w:type="spellEnd"/>
    </w:p>
    <w:p w:rsidR="009A2C84" w:rsidRPr="009A2C84" w:rsidRDefault="00EF4903" w:rsidP="009A2C84">
      <w:pPr>
        <w:rPr>
          <w:sz w:val="20"/>
          <w:szCs w:val="20"/>
        </w:rPr>
      </w:pPr>
      <w:r w:rsidRPr="009A2C84">
        <w:rPr>
          <w:sz w:val="20"/>
          <w:szCs w:val="20"/>
        </w:rPr>
        <w:t>1034 Emerald Bay Road, #235</w:t>
      </w:r>
    </w:p>
    <w:p w:rsidR="009A2C84" w:rsidRPr="009A2C84" w:rsidRDefault="00EF4903" w:rsidP="009A2C84">
      <w:pPr>
        <w:rPr>
          <w:sz w:val="20"/>
          <w:szCs w:val="20"/>
        </w:rPr>
      </w:pPr>
      <w:r w:rsidRPr="009A2C84">
        <w:rPr>
          <w:sz w:val="20"/>
          <w:szCs w:val="20"/>
        </w:rPr>
        <w:t>South Lake Tahoe, CA  96150</w:t>
      </w:r>
    </w:p>
    <w:p w:rsidR="009A2C84" w:rsidRPr="009A2C84" w:rsidRDefault="00EF4903" w:rsidP="009A2C84">
      <w:pPr>
        <w:rPr>
          <w:sz w:val="20"/>
          <w:szCs w:val="20"/>
        </w:rPr>
      </w:pPr>
      <w:r w:rsidRPr="009A2C84">
        <w:rPr>
          <w:sz w:val="20"/>
          <w:szCs w:val="20"/>
        </w:rPr>
        <w:t>(530) 541-2505</w:t>
      </w:r>
    </w:p>
    <w:p w:rsidR="009A2C84" w:rsidRPr="009A2C84" w:rsidRDefault="00EF4903" w:rsidP="009A2C84">
      <w:pPr>
        <w:rPr>
          <w:sz w:val="20"/>
          <w:szCs w:val="20"/>
        </w:rPr>
      </w:pPr>
    </w:p>
    <w:p w:rsidR="009A2C84" w:rsidRPr="009A2C84" w:rsidRDefault="00EF4903" w:rsidP="009A2C84">
      <w:pPr>
        <w:rPr>
          <w:sz w:val="20"/>
          <w:szCs w:val="20"/>
        </w:rPr>
      </w:pPr>
      <w:r w:rsidRPr="009A2C84">
        <w:rPr>
          <w:sz w:val="20"/>
          <w:szCs w:val="20"/>
        </w:rPr>
        <w:t>John Yang</w:t>
      </w:r>
    </w:p>
    <w:p w:rsidR="009A2C84" w:rsidRPr="009A2C84" w:rsidRDefault="00EF4903" w:rsidP="009A2C84">
      <w:pPr>
        <w:rPr>
          <w:sz w:val="20"/>
          <w:szCs w:val="20"/>
        </w:rPr>
      </w:pPr>
      <w:r w:rsidRPr="009A2C84">
        <w:rPr>
          <w:sz w:val="20"/>
          <w:szCs w:val="20"/>
        </w:rPr>
        <w:t>Deputy Attorney General</w:t>
      </w:r>
    </w:p>
    <w:p w:rsidR="009A2C84" w:rsidRPr="009A2C84" w:rsidRDefault="00EF4903" w:rsidP="009A2C84">
      <w:pPr>
        <w:rPr>
          <w:sz w:val="20"/>
          <w:szCs w:val="20"/>
        </w:rPr>
      </w:pPr>
      <w:r w:rsidRPr="009A2C84">
        <w:rPr>
          <w:sz w:val="20"/>
          <w:szCs w:val="20"/>
        </w:rPr>
        <w:t>1300 I Street, Suite 125</w:t>
      </w:r>
    </w:p>
    <w:p w:rsidR="009A2C84" w:rsidRPr="009A2C84" w:rsidRDefault="00EF4903" w:rsidP="009A2C84">
      <w:pPr>
        <w:rPr>
          <w:sz w:val="20"/>
          <w:szCs w:val="20"/>
        </w:rPr>
      </w:pPr>
      <w:r w:rsidRPr="009A2C84">
        <w:rPr>
          <w:sz w:val="20"/>
          <w:szCs w:val="20"/>
        </w:rPr>
        <w:t>Sacramento, CA  94244-2550</w:t>
      </w:r>
    </w:p>
    <w:p w:rsidR="009A2C84" w:rsidRPr="009A2C84" w:rsidRDefault="00EF4903" w:rsidP="009A2C84">
      <w:pPr>
        <w:rPr>
          <w:b/>
          <w:sz w:val="20"/>
          <w:szCs w:val="20"/>
        </w:rPr>
      </w:pPr>
      <w:r w:rsidRPr="009A2C84">
        <w:rPr>
          <w:sz w:val="20"/>
          <w:szCs w:val="20"/>
        </w:rPr>
        <w:t xml:space="preserve">(916) </w:t>
      </w:r>
      <w:r w:rsidRPr="009A2C84">
        <w:rPr>
          <w:sz w:val="20"/>
          <w:szCs w:val="20"/>
        </w:rPr>
        <w:t>445-9555</w:t>
      </w:r>
    </w:p>
    <w:p w:rsidR="00F05A90" w:rsidRPr="009A2C84" w:rsidRDefault="00EF4903" w:rsidP="00A15039">
      <w:pPr>
        <w:tabs>
          <w:tab w:val="left" w:pos="720"/>
        </w:tabs>
      </w:pPr>
      <w:bookmarkStart w:id="49" w:name="_GoBack"/>
      <w:bookmarkEnd w:id="49"/>
    </w:p>
    <w:sectPr w:rsidR="00F05A90" w:rsidRPr="009A2C84">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4903">
      <w:r>
        <w:separator/>
      </w:r>
    </w:p>
  </w:endnote>
  <w:endnote w:type="continuationSeparator" w:id="0">
    <w:p w:rsidR="00000000" w:rsidRDefault="00E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D3" w:rsidRDefault="00EF4903">
    <w:pPr>
      <w:pStyle w:val="Footer"/>
      <w:jc w:val="center"/>
    </w:pPr>
    <w:r>
      <w:fldChar w:fldCharType="begin"/>
    </w:r>
    <w:r>
      <w:instrText xml:space="preserve"> PAGE   \* MERGEFORMAT </w:instrText>
    </w:r>
    <w:r>
      <w:fldChar w:fldCharType="separate"/>
    </w:r>
    <w:r>
      <w:rPr>
        <w:noProof/>
      </w:rPr>
      <w:t>94</w:t>
    </w:r>
    <w:r>
      <w:rPr>
        <w:noProof/>
      </w:rPr>
      <w:fldChar w:fldCharType="end"/>
    </w:r>
  </w:p>
  <w:p w:rsidR="007463D3" w:rsidRDefault="00EF4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1E" w:rsidRDefault="00EF4903" w:rsidP="0089621E">
    <w:pPr>
      <w:pStyle w:val="Footer"/>
      <w:jc w:val="center"/>
    </w:pPr>
    <w:r>
      <w:t>SEE CONCURRING AND DISSENTING OPINION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8" w:rsidRDefault="00EF49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605978"/>
      <w:docPartObj>
        <w:docPartGallery w:val="Page Numbers (Bottom of Page)"/>
        <w:docPartUnique/>
      </w:docPartObj>
    </w:sdtPr>
    <w:sdtEndPr>
      <w:rPr>
        <w:noProof/>
      </w:rPr>
    </w:sdtEndPr>
    <w:sdtContent>
      <w:p w:rsidR="009A2C84" w:rsidRDefault="00EF490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463D3" w:rsidRDefault="00EF49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8" w:rsidRDefault="00EF49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84" w:rsidRDefault="00EF49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A6" w:rsidRDefault="00EF4903" w:rsidP="009E6980">
      <w:r>
        <w:separator/>
      </w:r>
    </w:p>
  </w:footnote>
  <w:footnote w:type="continuationSeparator" w:id="0">
    <w:p w:rsidR="004065A6" w:rsidRDefault="00EF4903" w:rsidP="009E6980">
      <w:r>
        <w:continuationSeparator/>
      </w:r>
    </w:p>
  </w:footnote>
  <w:footnote w:type="continuationNotice" w:id="1">
    <w:p w:rsidR="004065A6" w:rsidRDefault="00EF4903"/>
  </w:footnote>
  <w:footnote w:id="2">
    <w:p w:rsidR="007463D3" w:rsidRDefault="00EF4903" w:rsidP="00A908D2">
      <w:pPr>
        <w:pStyle w:val="FootnoteText"/>
      </w:pPr>
      <w:r>
        <w:rPr>
          <w:rStyle w:val="FootnoteReference"/>
        </w:rPr>
        <w:footnoteRef/>
      </w:r>
      <w:r>
        <w:tab/>
        <w:t xml:space="preserve">All subsequent statutory cites are to the Penal Code unless otherwise noted. </w:t>
      </w:r>
    </w:p>
  </w:footnote>
  <w:footnote w:id="3">
    <w:p w:rsidR="007463D3" w:rsidRDefault="00EF4903" w:rsidP="00F31AC3">
      <w:pPr>
        <w:pStyle w:val="FootnoteText"/>
      </w:pPr>
      <w:r>
        <w:rPr>
          <w:rStyle w:val="FootnoteReference"/>
        </w:rPr>
        <w:footnoteRef/>
      </w:r>
      <w:r>
        <w:t xml:space="preserve"> </w:t>
      </w:r>
      <w:r>
        <w:tab/>
        <w:t xml:space="preserve">Defendants </w:t>
      </w:r>
      <w:proofErr w:type="spellStart"/>
      <w:r>
        <w:t>Mora</w:t>
      </w:r>
      <w:proofErr w:type="spellEnd"/>
      <w:r>
        <w:t xml:space="preserve"> and Rangel were referred to both by name and nickname throughout their trial.  For ease of reference we refer to them by their given last na</w:t>
      </w:r>
      <w:r>
        <w:t xml:space="preserve">me here, but note that </w:t>
      </w:r>
      <w:proofErr w:type="spellStart"/>
      <w:r>
        <w:t>Mora’s</w:t>
      </w:r>
      <w:proofErr w:type="spellEnd"/>
      <w:r>
        <w:t xml:space="preserve"> nickname is Joker, and Rangel’s is Stranger.  </w:t>
      </w:r>
    </w:p>
  </w:footnote>
  <w:footnote w:id="4">
    <w:p w:rsidR="007463D3" w:rsidRDefault="00EF4903" w:rsidP="00825894">
      <w:pPr>
        <w:pStyle w:val="FootnoteText"/>
      </w:pPr>
      <w:r>
        <w:rPr>
          <w:rStyle w:val="FootnoteReference"/>
        </w:rPr>
        <w:footnoteRef/>
      </w:r>
      <w:r>
        <w:t xml:space="preserve"> </w:t>
      </w:r>
      <w:r>
        <w:tab/>
        <w:t>Several days before testifying, Youngblood identified a different individual in a photographic array shown to him by the prosecutor.  Upon testifying, Youngblood explained that</w:t>
      </w:r>
      <w:r>
        <w:t xml:space="preserve"> the man in the photograph he initially identified “just doesn’t look like the guy,” claiming instead that he was “positive” the man he saw on August 24, 1997, was Rangel.  </w:t>
      </w:r>
    </w:p>
    <w:p w:rsidR="007463D3" w:rsidRDefault="00EF4903" w:rsidP="00825894">
      <w:pPr>
        <w:pStyle w:val="FootnoteText"/>
      </w:pPr>
    </w:p>
  </w:footnote>
  <w:footnote w:id="5">
    <w:p w:rsidR="007463D3" w:rsidRDefault="00EF4903">
      <w:pPr>
        <w:pStyle w:val="FootnoteText"/>
      </w:pPr>
      <w:r>
        <w:rPr>
          <w:rStyle w:val="FootnoteReference"/>
        </w:rPr>
        <w:footnoteRef/>
      </w:r>
      <w:r>
        <w:t xml:space="preserve"> </w:t>
      </w:r>
      <w:r>
        <w:tab/>
        <w:t xml:space="preserve">Candy Lopez confirmed that the car was not formally registered with the DMV. </w:t>
      </w:r>
      <w:proofErr w:type="spellStart"/>
      <w:r>
        <w:t>M</w:t>
      </w:r>
      <w:r>
        <w:t>ora</w:t>
      </w:r>
      <w:proofErr w:type="spellEnd"/>
      <w:r>
        <w:t xml:space="preserve"> paid for the car, but used his cousin’s name on the bill of sale because he lacked automobile insurance.  </w:t>
      </w:r>
    </w:p>
    <w:p w:rsidR="007463D3" w:rsidRDefault="00EF4903">
      <w:pPr>
        <w:pStyle w:val="FootnoteText"/>
      </w:pPr>
    </w:p>
  </w:footnote>
  <w:footnote w:id="6">
    <w:p w:rsidR="007463D3" w:rsidRDefault="00EF4903">
      <w:pPr>
        <w:pStyle w:val="FootnoteText"/>
      </w:pPr>
      <w:r>
        <w:rPr>
          <w:rStyle w:val="FootnoteReference"/>
        </w:rPr>
        <w:footnoteRef/>
      </w:r>
      <w:r>
        <w:t xml:space="preserve"> </w:t>
      </w:r>
      <w:r>
        <w:tab/>
        <w:t xml:space="preserve">Officer </w:t>
      </w:r>
      <w:proofErr w:type="spellStart"/>
      <w:r>
        <w:t>Ed’ourd</w:t>
      </w:r>
      <w:proofErr w:type="spellEnd"/>
      <w:r>
        <w:t xml:space="preserve"> Peters testified that Gregorio made only one identification, of </w:t>
      </w:r>
      <w:proofErr w:type="spellStart"/>
      <w:r>
        <w:t>Mora</w:t>
      </w:r>
      <w:proofErr w:type="spellEnd"/>
      <w:r>
        <w:t>, during the field lineup, although Gregorio testified th</w:t>
      </w:r>
      <w:r>
        <w:t xml:space="preserve">at he identified both </w:t>
      </w:r>
      <w:proofErr w:type="spellStart"/>
      <w:r>
        <w:t>Mora</w:t>
      </w:r>
      <w:proofErr w:type="spellEnd"/>
      <w:r>
        <w:t xml:space="preserve"> and Rangel during that lineup.  Gregorio positively identified both </w:t>
      </w:r>
      <w:proofErr w:type="spellStart"/>
      <w:r>
        <w:t>Mora</w:t>
      </w:r>
      <w:proofErr w:type="spellEnd"/>
      <w:r>
        <w:t xml:space="preserve"> and Rangel during the preliminary hearing, and confirmed at trial that he was able to, and did, identify Rangel as well as </w:t>
      </w:r>
      <w:proofErr w:type="spellStart"/>
      <w:r>
        <w:t>Mora</w:t>
      </w:r>
      <w:proofErr w:type="spellEnd"/>
      <w:r>
        <w:t xml:space="preserve">.  </w:t>
      </w:r>
    </w:p>
    <w:p w:rsidR="007463D3" w:rsidRPr="000A77E6" w:rsidRDefault="00EF4903">
      <w:pPr>
        <w:pStyle w:val="FootnoteText"/>
        <w:rPr>
          <w:sz w:val="12"/>
          <w:szCs w:val="12"/>
        </w:rPr>
      </w:pPr>
    </w:p>
  </w:footnote>
  <w:footnote w:id="7">
    <w:p w:rsidR="007463D3" w:rsidRDefault="00EF4903">
      <w:pPr>
        <w:pStyle w:val="FootnoteText"/>
        <w:rPr>
          <w:szCs w:val="26"/>
        </w:rPr>
      </w:pPr>
      <w:r>
        <w:rPr>
          <w:rStyle w:val="FootnoteReference"/>
        </w:rPr>
        <w:footnoteRef/>
      </w:r>
      <w:r>
        <w:t xml:space="preserve"> </w:t>
      </w:r>
      <w:r>
        <w:tab/>
      </w:r>
      <w:r w:rsidRPr="001246BE">
        <w:rPr>
          <w:szCs w:val="26"/>
        </w:rPr>
        <w:t xml:space="preserve">Officer </w:t>
      </w:r>
      <w:proofErr w:type="spellStart"/>
      <w:r w:rsidRPr="001246BE">
        <w:rPr>
          <w:szCs w:val="26"/>
        </w:rPr>
        <w:t>Zembal</w:t>
      </w:r>
      <w:proofErr w:type="spellEnd"/>
      <w:r w:rsidRPr="001246BE">
        <w:rPr>
          <w:szCs w:val="26"/>
        </w:rPr>
        <w:t xml:space="preserve"> testif</w:t>
      </w:r>
      <w:r w:rsidRPr="001246BE">
        <w:rPr>
          <w:szCs w:val="26"/>
        </w:rPr>
        <w:t xml:space="preserve">ied that Rangel is a “hard core gang member” with a wanton disregard for life, as evidenced by his numerous, highly visible tattoos.  </w:t>
      </w:r>
    </w:p>
    <w:p w:rsidR="007463D3" w:rsidRDefault="00EF4903">
      <w:pPr>
        <w:pStyle w:val="FootnoteText"/>
      </w:pPr>
    </w:p>
  </w:footnote>
  <w:footnote w:id="8">
    <w:p w:rsidR="007463D3" w:rsidRDefault="00EF4903">
      <w:pPr>
        <w:pStyle w:val="FootnoteText"/>
      </w:pPr>
      <w:r>
        <w:rPr>
          <w:rStyle w:val="FootnoteReference"/>
        </w:rPr>
        <w:footnoteRef/>
      </w:r>
      <w:r>
        <w:t xml:space="preserve"> </w:t>
      </w:r>
      <w:r>
        <w:tab/>
        <w:t>Jose Jimenez will be referred to throughout as “Jose” to avoid confusion with Yesenia Jimenez (referred to throughout</w:t>
      </w:r>
      <w:r>
        <w:t xml:space="preserve"> as Jimenez), the friend of Paula Beltran whose house on </w:t>
      </w:r>
      <w:proofErr w:type="spellStart"/>
      <w:r>
        <w:t>Castlegate</w:t>
      </w:r>
      <w:proofErr w:type="spellEnd"/>
      <w:r>
        <w:t xml:space="preserve"> was the site of initial contact between defendants and the victims, and to avoid confusion with the partygoer at Lopez’s house, also named Jose Jimenez.</w:t>
      </w:r>
    </w:p>
  </w:footnote>
  <w:footnote w:id="9">
    <w:p w:rsidR="007463D3" w:rsidRDefault="00EF4903">
      <w:pPr>
        <w:pStyle w:val="FootnoteText"/>
      </w:pPr>
      <w:r>
        <w:rPr>
          <w:rStyle w:val="FootnoteReference"/>
        </w:rPr>
        <w:footnoteRef/>
      </w:r>
      <w:r>
        <w:t xml:space="preserve"> </w:t>
      </w:r>
      <w:r>
        <w:tab/>
        <w:t xml:space="preserve">Detective </w:t>
      </w:r>
      <w:proofErr w:type="spellStart"/>
      <w:r>
        <w:t>Piaz</w:t>
      </w:r>
      <w:proofErr w:type="spellEnd"/>
      <w:r>
        <w:t xml:space="preserve"> replaced Detectiv</w:t>
      </w:r>
      <w:r>
        <w:t xml:space="preserve">e Marvin </w:t>
      </w:r>
      <w:proofErr w:type="spellStart"/>
      <w:r>
        <w:t>Branscomb</w:t>
      </w:r>
      <w:proofErr w:type="spellEnd"/>
      <w:r>
        <w:t xml:space="preserve"> as the lead detective on this case on April 1, 1998.  The jury was advised that Detective </w:t>
      </w:r>
      <w:proofErr w:type="spellStart"/>
      <w:r>
        <w:t>Piaz</w:t>
      </w:r>
      <w:proofErr w:type="spellEnd"/>
      <w:r>
        <w:t xml:space="preserve"> would be assisting the prosecutor throughout the trial.  </w:t>
      </w:r>
    </w:p>
  </w:footnote>
  <w:footnote w:id="10">
    <w:p w:rsidR="007463D3" w:rsidRDefault="00EF4903">
      <w:pPr>
        <w:pStyle w:val="FootnoteText"/>
      </w:pPr>
      <w:r>
        <w:rPr>
          <w:rStyle w:val="FootnoteReference"/>
        </w:rPr>
        <w:footnoteRef/>
      </w:r>
      <w:r>
        <w:t xml:space="preserve"> </w:t>
      </w:r>
      <w:r>
        <w:tab/>
        <w:t xml:space="preserve">At the conclusion of the first day of resumed proceedings, four of the witnesses </w:t>
      </w:r>
      <w:r>
        <w:t>identified in the previously undisclosed report appeared in court in response to a prosecution subpoena.  One of the witnesses, John Youngblood, testified for the prosecution later in the proceedings.  Rangel raised claims regarding his alleged inability t</w:t>
      </w:r>
      <w:r>
        <w:t xml:space="preserve">o prepare for cross-examination, addressed in section II.A.2., </w:t>
      </w:r>
      <w:r>
        <w:rPr>
          <w:i/>
        </w:rPr>
        <w:t>post</w:t>
      </w:r>
      <w:r>
        <w:t>.</w:t>
      </w:r>
    </w:p>
  </w:footnote>
  <w:footnote w:id="11">
    <w:p w:rsidR="007463D3" w:rsidRPr="00516D72" w:rsidRDefault="00EF4903" w:rsidP="008E1CD8">
      <w:pPr>
        <w:pStyle w:val="FootnoteText"/>
      </w:pPr>
      <w:r>
        <w:rPr>
          <w:rStyle w:val="FootnoteReference"/>
        </w:rPr>
        <w:footnoteRef/>
      </w:r>
      <w:r>
        <w:t xml:space="preserve"> </w:t>
      </w:r>
      <w:r>
        <w:tab/>
      </w:r>
      <w:r>
        <w:rPr>
          <w:i/>
        </w:rPr>
        <w:t>Brady v. Maryland</w:t>
      </w:r>
      <w:r>
        <w:t xml:space="preserve"> (1963) 373 U.S. 83 (</w:t>
      </w:r>
      <w:r>
        <w:rPr>
          <w:i/>
        </w:rPr>
        <w:t>Brady</w:t>
      </w:r>
      <w:r>
        <w:t>).</w:t>
      </w:r>
    </w:p>
  </w:footnote>
  <w:footnote w:id="12">
    <w:p w:rsidR="007463D3" w:rsidRDefault="00EF4903" w:rsidP="00BB40EF">
      <w:pPr>
        <w:pStyle w:val="FootnoteText"/>
      </w:pPr>
      <w:r>
        <w:rPr>
          <w:rStyle w:val="FootnoteReference"/>
        </w:rPr>
        <w:footnoteRef/>
      </w:r>
      <w:r>
        <w:tab/>
        <w:t>In its entirety, the proposed instruction stated, “In this case the Prosecution violated the Discovery Laws by failing to turn over to t</w:t>
      </w:r>
      <w:r>
        <w:t>he Defense, police reports involving this case, and other evidence.  The law requires that all discovery must be reciprocal and given to the defense 30 days prior to the start of trial.  [¶]  This violation was unfair to the defense and put them in a posit</w:t>
      </w:r>
      <w:r>
        <w:t>ion where they have had to continue to investigate this case during the course of the trial.  [¶]  This violation was largely attributed to the Investigative officers and Detectives from the Compton Police Department who withheld these reports from the Def</w:t>
      </w:r>
      <w:r>
        <w:t xml:space="preserve">ense.  [¶]  You may consider this violation and give it whatever weight and/or significance you believe it deserves in your deliberations.”  </w:t>
      </w:r>
    </w:p>
    <w:p w:rsidR="007463D3" w:rsidRPr="009A14FF" w:rsidRDefault="00EF4903" w:rsidP="00BB40EF">
      <w:pPr>
        <w:pStyle w:val="FootnoteText"/>
        <w:rPr>
          <w:sz w:val="12"/>
          <w:szCs w:val="12"/>
        </w:rPr>
      </w:pPr>
    </w:p>
  </w:footnote>
  <w:footnote w:id="13">
    <w:p w:rsidR="007463D3" w:rsidRDefault="00EF4903" w:rsidP="00BB40EF">
      <w:pPr>
        <w:pStyle w:val="FootnoteText"/>
      </w:pPr>
      <w:r>
        <w:rPr>
          <w:rStyle w:val="FootnoteReference"/>
        </w:rPr>
        <w:footnoteRef/>
      </w:r>
      <w:r>
        <w:t xml:space="preserve"> </w:t>
      </w:r>
      <w:r>
        <w:tab/>
      </w:r>
      <w:r>
        <w:t xml:space="preserve">The instruction given by the court stated, in its entirety, “The prosecution and the defense are required to disclose to each other before trial the evidence each intends to present at trial so as to promote the ascertainment of the truth, save court time </w:t>
      </w:r>
      <w:r>
        <w:t>and avoid any surprise which may arise during the course of the trial.  Delay in the disclosure of evidence may deny a party a sufficient opportunity to subpoena necessary witnesses or produce evidence which may exist to rebut the non-complying party’s evi</w:t>
      </w:r>
      <w:r>
        <w:t>dence.  [¶]  Disclosures of evidence are required to be made at least 30 days in advance of trial.  Any new evidence discovered within 30 days of trial must be disclosed immediately.  In this case, the Compton Police Department failed to timely disclose th</w:t>
      </w:r>
      <w:r>
        <w:t xml:space="preserve">e following evidence:  [¶] 1) Witness statements elicited from people residing on </w:t>
      </w:r>
      <w:proofErr w:type="spellStart"/>
      <w:r>
        <w:t>Castlegate</w:t>
      </w:r>
      <w:proofErr w:type="spellEnd"/>
      <w:r>
        <w:t xml:space="preserve"> Avenue on August 24, 1997, including a statement from John Youngblood; and [¶] 2) Fingerprint analysis report dated December 3, 1997.  [¶]  Although the Compton Po</w:t>
      </w:r>
      <w:r>
        <w:t>lice Department’s failure to timely disclose evidence was without lawful justification, the Court has, under the law, permitted the production of this evidence during the trial.  [¶]  The weight and significance of any delayed disclosure are matters for yo</w:t>
      </w:r>
      <w:r>
        <w:t xml:space="preserve">ur consideration.  However, you should consider whether the untimely disclosed evidence pertains to a fact of importance, something trivial or subject matters already established by other credible evidence.”  </w:t>
      </w:r>
    </w:p>
    <w:p w:rsidR="007463D3" w:rsidRPr="00571D7D" w:rsidRDefault="00EF4903" w:rsidP="00BB40EF">
      <w:pPr>
        <w:pStyle w:val="FootnoteText"/>
        <w:rPr>
          <w:sz w:val="12"/>
          <w:szCs w:val="12"/>
        </w:rPr>
      </w:pPr>
    </w:p>
  </w:footnote>
  <w:footnote w:id="14">
    <w:p w:rsidR="007463D3" w:rsidRDefault="00EF4903" w:rsidP="00B307A5">
      <w:pPr>
        <w:pStyle w:val="FootnoteText"/>
      </w:pPr>
      <w:r>
        <w:rPr>
          <w:rStyle w:val="FootnoteReference"/>
        </w:rPr>
        <w:footnoteRef/>
      </w:r>
      <w:r>
        <w:t xml:space="preserve"> </w:t>
      </w:r>
      <w:r>
        <w:tab/>
      </w:r>
      <w:r>
        <w:t>When Rangel initially requested the beer can be brought to court to aid in witness testimony, he was misinformed by a member of the Compton Police Department that the can could not be located.  In fact, the prosecution did know the location of the can and,</w:t>
      </w:r>
      <w:r>
        <w:t xml:space="preserve"> once Rangel requested it, made sure the can was retrieved and brought to court later that same day.  </w:t>
      </w:r>
    </w:p>
  </w:footnote>
  <w:footnote w:id="15">
    <w:p w:rsidR="007463D3" w:rsidRDefault="00EF4903" w:rsidP="00E7016C">
      <w:pPr>
        <w:pStyle w:val="FootnoteText"/>
      </w:pPr>
      <w:r>
        <w:rPr>
          <w:rStyle w:val="FootnoteReference"/>
        </w:rPr>
        <w:footnoteRef/>
      </w:r>
      <w:r>
        <w:t xml:space="preserve"> </w:t>
      </w:r>
      <w:r>
        <w:tab/>
        <w:t>At this point in the sidebar with the bench, Rangel shifted strategies and told the court Youngblood’s rap sheet should be run to determine whether he</w:t>
      </w:r>
      <w:r>
        <w:t xml:space="preserve"> had prior felony convictions.  The court</w:t>
      </w:r>
      <w:r w:rsidRPr="00297EF0">
        <w:t xml:space="preserve"> </w:t>
      </w:r>
      <w:r>
        <w:t>declined to inconvenience the witness further by having the rap sheet run before completing his testimony, although the court and parties agreed that Youngblood would remain on call should the need arise to questio</w:t>
      </w:r>
      <w:r>
        <w:t>n him further regarding any prior felonies.  The prosecution also agreed to stipulate to any felony conviction in Youngblood’s past.  Rangel argued, with respect to the court’s failure to provide a continuance to review the six-page report and run Youngblo</w:t>
      </w:r>
      <w:r>
        <w:t xml:space="preserve">od’s rap sheet before cross-examination that “this is a denial of Mr. Rangel’s right to have a fair trial, due process of law and equal protection.”  The court did not directly respond to this statement.  </w:t>
      </w:r>
    </w:p>
  </w:footnote>
  <w:footnote w:id="16">
    <w:p w:rsidR="007463D3" w:rsidRDefault="00EF4903" w:rsidP="00944E99">
      <w:pPr>
        <w:pStyle w:val="FootnoteText"/>
      </w:pPr>
      <w:r>
        <w:rPr>
          <w:rStyle w:val="FootnoteReference"/>
        </w:rPr>
        <w:footnoteRef/>
      </w:r>
      <w:r>
        <w:t xml:space="preserve"> </w:t>
      </w:r>
      <w:r>
        <w:tab/>
        <w:t>Section 32 provides, “Every person who, after a</w:t>
      </w:r>
      <w:r>
        <w:t xml:space="preserve"> felony has been committed, harbors, conceals or aids a principal in such felony, with the intent that said principal may avoid or escape from arrest, trial, conviction or punishment, having knowledge that said principal has committed such felony or has be</w:t>
      </w:r>
      <w:r>
        <w:t>en charged with such felony or convicted thereof, is an accessory to such felony.”</w:t>
      </w:r>
    </w:p>
  </w:footnote>
  <w:footnote w:id="17">
    <w:p w:rsidR="007463D3" w:rsidRDefault="00EF4903" w:rsidP="00391309">
      <w:pPr>
        <w:pStyle w:val="FootnoteText"/>
      </w:pPr>
      <w:r>
        <w:rPr>
          <w:rStyle w:val="FootnoteReference"/>
        </w:rPr>
        <w:footnoteRef/>
      </w:r>
      <w:r>
        <w:t xml:space="preserve"> </w:t>
      </w:r>
      <w:r>
        <w:tab/>
        <w:t xml:space="preserve">Although not discussed in conjunction with the trial court’s denial of a requested accessory after the fact instruction, the trial court in </w:t>
      </w:r>
      <w:proofErr w:type="spellStart"/>
      <w:r>
        <w:rPr>
          <w:i/>
        </w:rPr>
        <w:t>Whisenhunt</w:t>
      </w:r>
      <w:proofErr w:type="spellEnd"/>
      <w:r>
        <w:t xml:space="preserve"> also instructed the</w:t>
      </w:r>
      <w:r>
        <w:t xml:space="preserve"> jury pursuant to CALJIC No. 2.03.  We rejected the argument in that appeal that CALJIC No. 2.03 was impermissibly argumentative or allowed the jury to draw irrational inferences.  (</w:t>
      </w:r>
      <w:proofErr w:type="spellStart"/>
      <w:r>
        <w:rPr>
          <w:i/>
        </w:rPr>
        <w:t>Whisenhunt</w:t>
      </w:r>
      <w:proofErr w:type="spellEnd"/>
      <w:r>
        <w:t xml:space="preserve">, </w:t>
      </w:r>
      <w:r>
        <w:rPr>
          <w:i/>
        </w:rPr>
        <w:t>supra</w:t>
      </w:r>
      <w:r>
        <w:t>, 44 Cal.4th at pp. 221–222.)</w:t>
      </w:r>
    </w:p>
    <w:p w:rsidR="007463D3" w:rsidRPr="0089071F" w:rsidRDefault="00EF4903" w:rsidP="00391309">
      <w:pPr>
        <w:pStyle w:val="FootnoteText"/>
        <w:rPr>
          <w:sz w:val="12"/>
          <w:szCs w:val="12"/>
        </w:rPr>
      </w:pPr>
    </w:p>
  </w:footnote>
  <w:footnote w:id="18">
    <w:p w:rsidR="007463D3" w:rsidRDefault="00EF4903">
      <w:pPr>
        <w:pStyle w:val="FootnoteText"/>
      </w:pPr>
      <w:r>
        <w:rPr>
          <w:rStyle w:val="FootnoteReference"/>
        </w:rPr>
        <w:footnoteRef/>
      </w:r>
      <w:r>
        <w:t xml:space="preserve"> </w:t>
      </w:r>
      <w:r>
        <w:tab/>
        <w:t>CALJIC No. 2.03, as giv</w:t>
      </w:r>
      <w:r>
        <w:t xml:space="preserve">en regarding </w:t>
      </w:r>
      <w:proofErr w:type="spellStart"/>
      <w:r>
        <w:t>Mora</w:t>
      </w:r>
      <w:proofErr w:type="spellEnd"/>
      <w:r>
        <w:t xml:space="preserve"> only, stated, “If you find that before this trial a defendant made a willfully false or deliberately misleading statement concerning the crimes for which he is now being tried, you may consider that statement as a circumstance tending to </w:t>
      </w:r>
      <w:r>
        <w:t xml:space="preserve">prove a consciousness of guilt.  However, that conduct is not sufficient by itself to prove guilt, and its weight and significance, if any, are for you to decide.”  </w:t>
      </w:r>
    </w:p>
  </w:footnote>
  <w:footnote w:id="19">
    <w:p w:rsidR="007463D3" w:rsidRDefault="00EF4903" w:rsidP="003D074D">
      <w:pPr>
        <w:pStyle w:val="FootnoteText"/>
      </w:pPr>
      <w:r>
        <w:rPr>
          <w:rStyle w:val="FootnoteReference"/>
        </w:rPr>
        <w:footnoteRef/>
      </w:r>
      <w:r>
        <w:t xml:space="preserve"> </w:t>
      </w:r>
      <w:r>
        <w:tab/>
        <w:t>In its entirety, Special Instruction No. 1 stated, “To prove the felony murder of first</w:t>
      </w:r>
      <w:r>
        <w:t xml:space="preserve"> degree murder, the prosecution must prove beyond a reasonable doubt that the attempted robbery was done for the independent purpose of committing the felony rather than for the purpose of committing the homicide.  [¶]  If the defendant’s primary purpose w</w:t>
      </w:r>
      <w:r>
        <w:t>as to kill or if he committed the attempted robbery to facilitate or conceal the homicide, then there was no independent felonious purpose.  If from all the evidence you have a reasonable doubt that the defendant committed the attempted robbery for such in</w:t>
      </w:r>
      <w:r>
        <w:t xml:space="preserve">dependent felonious purpose, you must find the defendant not guilt[y] on the felony murder theory.” </w:t>
      </w:r>
      <w:r w:rsidRPr="008B7F4B">
        <w:t xml:space="preserve"> </w:t>
      </w:r>
    </w:p>
  </w:footnote>
  <w:footnote w:id="20">
    <w:p w:rsidR="007463D3" w:rsidRDefault="00EF4903">
      <w:pPr>
        <w:pStyle w:val="FootnoteText"/>
      </w:pPr>
      <w:r>
        <w:rPr>
          <w:rStyle w:val="FootnoteReference"/>
        </w:rPr>
        <w:footnoteRef/>
      </w:r>
      <w:r>
        <w:t xml:space="preserve"> </w:t>
      </w:r>
      <w:r>
        <w:tab/>
        <w:t>CALJIC No. 8.27, as given, states, “If a human being is killed by any one of several persons engaged in the commission or attempted commission of the c</w:t>
      </w:r>
      <w:r>
        <w:t>rime of attempted robbery, all persons who either directly and actively commit the act constituting that crime, or who with knowledge of the unlawful purpose of the perpetrator of the crime and with the intent or purpose of committing, encouraging, or faci</w:t>
      </w:r>
      <w:r>
        <w:t>litating the commission of the offense, aid, promote, encourage, or instigate by act or advise its commission, are guilty of murder of the first degree, whether the killing is intentional, unintentional, or accidental.  [¶]  In order to be guilty of murder</w:t>
      </w:r>
      <w:r>
        <w:t>, as an aider and abettor to a felony murder, the accused and the killer must have been jointly engaged in the commission of the attempted robbery at the time the fatal wound was inflicted.  However an aider and abettor may still be jointly responsible for</w:t>
      </w:r>
      <w:r>
        <w:t xml:space="preserve"> the commission of the underlying attempted robbery based upon other principles of law which will be given to you.”  </w:t>
      </w:r>
    </w:p>
  </w:footnote>
  <w:footnote w:id="21">
    <w:p w:rsidR="007463D3" w:rsidRDefault="00EF4903">
      <w:pPr>
        <w:pStyle w:val="FootnoteText"/>
      </w:pPr>
      <w:r>
        <w:rPr>
          <w:rStyle w:val="FootnoteReference"/>
        </w:rPr>
        <w:footnoteRef/>
      </w:r>
      <w:r>
        <w:t xml:space="preserve"> </w:t>
      </w:r>
      <w:r>
        <w:tab/>
        <w:t xml:space="preserve">On the court’s own motion, the jury was instructed pursuant to CALJIC No. 8.88.  </w:t>
      </w:r>
    </w:p>
    <w:p w:rsidR="007463D3" w:rsidRPr="00685E67" w:rsidRDefault="00EF4903">
      <w:pPr>
        <w:pStyle w:val="FootnoteText"/>
        <w:rPr>
          <w:sz w:val="12"/>
          <w:szCs w:val="12"/>
        </w:rPr>
      </w:pPr>
    </w:p>
  </w:footnote>
  <w:footnote w:id="22">
    <w:p w:rsidR="007463D3" w:rsidRPr="00685E67" w:rsidRDefault="00EF4903" w:rsidP="0083424B">
      <w:pPr>
        <w:pStyle w:val="FootnoteText"/>
      </w:pPr>
      <w:r>
        <w:rPr>
          <w:rStyle w:val="FootnoteReference"/>
        </w:rPr>
        <w:footnoteRef/>
      </w:r>
      <w:r>
        <w:t xml:space="preserve"> </w:t>
      </w:r>
      <w:r>
        <w:tab/>
      </w:r>
      <w:proofErr w:type="spellStart"/>
      <w:r>
        <w:t>Mora</w:t>
      </w:r>
      <w:proofErr w:type="spellEnd"/>
      <w:r>
        <w:t xml:space="preserve"> raises this instructional error argument in </w:t>
      </w:r>
      <w:r>
        <w:t>the context of his numerous claims of similar error, while Rangel raises it in connection with his argument that the “circumstances of the crime” language in section 190.3, subdivision (a) is unconstitutionally vague and overbroad.  The remainder of Rangel</w:t>
      </w:r>
      <w:r>
        <w:t xml:space="preserve">’s argument regarding the constitutionality of section 190.3, subdivision (a) is discussed in section II.B.4., </w:t>
      </w:r>
      <w:r>
        <w:rPr>
          <w:i/>
        </w:rPr>
        <w:t>post</w:t>
      </w:r>
      <w:r>
        <w:t>.</w:t>
      </w:r>
    </w:p>
    <w:p w:rsidR="007463D3" w:rsidRPr="00685E67" w:rsidRDefault="00EF4903" w:rsidP="0083424B">
      <w:pPr>
        <w:pStyle w:val="FootnoteText"/>
        <w:rPr>
          <w:sz w:val="12"/>
          <w:szCs w:val="12"/>
        </w:rPr>
      </w:pPr>
    </w:p>
  </w:footnote>
  <w:footnote w:id="23">
    <w:p w:rsidR="007463D3" w:rsidRDefault="00EF4903">
      <w:pPr>
        <w:pStyle w:val="FootnoteText"/>
      </w:pPr>
      <w:r>
        <w:rPr>
          <w:rStyle w:val="FootnoteReference"/>
        </w:rPr>
        <w:footnoteRef/>
      </w:r>
      <w:r>
        <w:t xml:space="preserve"> </w:t>
      </w:r>
      <w:r>
        <w:tab/>
        <w:t>Rangel’s requested special instruction stated, “Evidence has been introduced for the purpose of showing specific harm caused by the def</w:t>
      </w:r>
      <w:r>
        <w:t>endant’s crime.  Such evidence, if believed, was not received and may not be considered by you to divert your attention from your proper role of deciding whether the defendant should live or die.  You must face this obligation soberly and rationally, and y</w:t>
      </w:r>
      <w:r>
        <w:t xml:space="preserve">ou may not impose the ultimate sanction as a result of irrational, purely subjective response to emotional evidence and argument.”  </w:t>
      </w:r>
      <w:proofErr w:type="spellStart"/>
      <w:r>
        <w:t>Mora’s</w:t>
      </w:r>
      <w:proofErr w:type="spellEnd"/>
      <w:r>
        <w:t xml:space="preserve"> requested special instruction added a sentence to the end of the foregoing, stating, “On the other hand, evidence and</w:t>
      </w:r>
      <w:r>
        <w:t xml:space="preserve"> argument on emotional though relevant subjects may provide legitimate reasons to sway the jury to show mercy.”  </w:t>
      </w:r>
    </w:p>
  </w:footnote>
  <w:footnote w:id="24">
    <w:p w:rsidR="007463D3" w:rsidRDefault="00EF4903">
      <w:pPr>
        <w:pStyle w:val="FootnoteText"/>
      </w:pPr>
      <w:r>
        <w:rPr>
          <w:rStyle w:val="FootnoteReference"/>
        </w:rPr>
        <w:footnoteRef/>
      </w:r>
      <w:r>
        <w:t xml:space="preserve"> </w:t>
      </w:r>
      <w:r>
        <w:tab/>
        <w:t xml:space="preserve">Rangel’s claim of instructional error is addressed in section II.B.2., </w:t>
      </w:r>
      <w:r w:rsidRPr="001321FF">
        <w:rPr>
          <w:i/>
        </w:rPr>
        <w:t>ante</w:t>
      </w:r>
      <w:r>
        <w:t>.</w:t>
      </w:r>
    </w:p>
    <w:p w:rsidR="007463D3" w:rsidRPr="001E0126" w:rsidRDefault="00EF4903">
      <w:pPr>
        <w:pStyle w:val="FootnoteText"/>
        <w:rPr>
          <w:sz w:val="12"/>
          <w:szCs w:val="12"/>
        </w:rPr>
      </w:pPr>
    </w:p>
  </w:footnote>
  <w:footnote w:id="25">
    <w:p w:rsidR="007463D3" w:rsidRDefault="00EF4903" w:rsidP="007D45BD">
      <w:pPr>
        <w:pStyle w:val="FootnoteText"/>
      </w:pPr>
      <w:r>
        <w:rPr>
          <w:rStyle w:val="FootnoteReference"/>
        </w:rPr>
        <w:footnoteRef/>
      </w:r>
      <w:r>
        <w:t xml:space="preserve"> </w:t>
      </w:r>
      <w:r>
        <w:tab/>
        <w:t>Rangel raises a single challenge with regard to victim imp</w:t>
      </w:r>
      <w:r>
        <w:t xml:space="preserve">act evidence concerning </w:t>
      </w:r>
      <w:proofErr w:type="spellStart"/>
      <w:r>
        <w:t>Urrutia</w:t>
      </w:r>
      <w:proofErr w:type="spellEnd"/>
      <w:r>
        <w:t xml:space="preserve">:  he claims that the victim impact phase was too much like a memorial service, as evinced when the court permitted </w:t>
      </w:r>
      <w:proofErr w:type="spellStart"/>
      <w:r>
        <w:t>Urrutia’s</w:t>
      </w:r>
      <w:proofErr w:type="spellEnd"/>
      <w:r>
        <w:t xml:space="preserve"> sister to be recalled, over objection, to describe an event during which </w:t>
      </w:r>
      <w:proofErr w:type="spellStart"/>
      <w:r>
        <w:t>Urrutia</w:t>
      </w:r>
      <w:proofErr w:type="spellEnd"/>
      <w:r>
        <w:t xml:space="preserve"> dressed as a giant</w:t>
      </w:r>
      <w:r>
        <w:t xml:space="preserve"> pancake.  We conclude the trial court did not abuse its discretion in permitting the introduction of this testimony, which lasted just minutes.  The court noted that while the victims’ family members experience benefit in talking about their loss, “it has</w:t>
      </w:r>
      <w:r>
        <w:t xml:space="preserve"> to stop somewhere.”  The prosecution agreed that this witness would be the last, and her testimony would be brief.  Particularly when considered in contrast with </w:t>
      </w:r>
      <w:r>
        <w:rPr>
          <w:i/>
        </w:rPr>
        <w:t>People v. Brady</w:t>
      </w:r>
      <w:r>
        <w:t>, in which we affirmed the propriety of victim impact testimony comprised of n</w:t>
      </w:r>
      <w:r>
        <w:t>ine witnesses providing hours of testimony over the course of two days, this single witness being recalled to provide a minutes-long anecdote did not render the penalty phase unconstitutional or fundamentally unfair.  (</w:t>
      </w:r>
      <w:r>
        <w:rPr>
          <w:i/>
        </w:rPr>
        <w:t>People v. Brady</w:t>
      </w:r>
      <w:r w:rsidRPr="005C1048">
        <w:t>,</w:t>
      </w:r>
      <w:r>
        <w:rPr>
          <w:i/>
        </w:rPr>
        <w:t xml:space="preserve"> supra</w:t>
      </w:r>
      <w:r w:rsidRPr="005C1048">
        <w:t xml:space="preserve">, </w:t>
      </w:r>
      <w:r>
        <w:t>50 Cal.4th at</w:t>
      </w:r>
      <w:r>
        <w:t xml:space="preserve"> pp. 573–578.)</w:t>
      </w:r>
    </w:p>
  </w:footnote>
  <w:footnote w:id="26">
    <w:p w:rsidR="007463D3" w:rsidRDefault="00EF4903" w:rsidP="00CE7CF4">
      <w:pPr>
        <w:pStyle w:val="FootnoteText"/>
      </w:pPr>
      <w:r>
        <w:rPr>
          <w:rStyle w:val="FootnoteReference"/>
        </w:rPr>
        <w:footnoteRef/>
      </w:r>
      <w:r>
        <w:t xml:space="preserve"> </w:t>
      </w:r>
      <w:r>
        <w:tab/>
        <w:t>In its entirety, section 1054.1 provides, “The prosecuting attorney shall disclose to the defendant or his or her attorney all of the following materials and information, if it is in the possession of the prosecuting attorney or if the pr</w:t>
      </w:r>
      <w:r>
        <w:t>osecuting attorney knows it to be in the possession of the investigating agencies:  [¶]  (a) The names and addresses of persons the prosecutor intends to call as witnesses at trial.  [¶]  (b) Statements of all defendants.  [¶]  (c) All relevant real eviden</w:t>
      </w:r>
      <w:r>
        <w:t>ce seized or obtained as a part of the investigation of the offenses charged.  [¶]  (d) The existence of a felony conviction of any material witness whose credibility is likely to be critical to the outcome of the trial.  [¶]  (e) Any exculpatory evidence.</w:t>
      </w:r>
      <w:r>
        <w:t xml:space="preserve">  [¶]  (f) Relevant written or recorded statements of witnesses or reports of the statements of witnesses whom the prosecutor intends to call at the trial, including any reports or statements of experts made in conjunction with the case, including the resu</w:t>
      </w:r>
      <w:r>
        <w:t>lts of physical or mental examinations, scientific tests, experiments, or comparisons which the prosecutor intends to offer in evidence at the trial.”</w:t>
      </w:r>
    </w:p>
  </w:footnote>
  <w:footnote w:id="27">
    <w:p w:rsidR="007463D3" w:rsidRDefault="00EF4903" w:rsidP="001322E9">
      <w:pPr>
        <w:pStyle w:val="FootnoteText"/>
      </w:pPr>
      <w:r>
        <w:rPr>
          <w:rStyle w:val="FootnoteReference"/>
        </w:rPr>
        <w:footnoteRef/>
      </w:r>
      <w:r>
        <w:t xml:space="preserve"> </w:t>
      </w:r>
      <w:r>
        <w:tab/>
        <w:t>We note that the People assert that Rangel forfeited any right to raise this issue on appeal because h</w:t>
      </w:r>
      <w:r>
        <w:t xml:space="preserve">e did not raise juror misconduct in his motion for new trial or interpose an objection based on this ground at trial.  Rangel did, however, join </w:t>
      </w:r>
      <w:proofErr w:type="spellStart"/>
      <w:r>
        <w:t>Mora’s</w:t>
      </w:r>
      <w:proofErr w:type="spellEnd"/>
      <w:r>
        <w:t xml:space="preserve"> initial new trial motion based on alleged juror misconduct.  Because we conclude that the trial court di</w:t>
      </w:r>
      <w:r>
        <w:t>d not err by declining to hold an evidentiary hearing or by denying the motions for new trial based on juror misconduct, there is no need to reach the issue of Rangel’s potential forfeiture.</w:t>
      </w:r>
    </w:p>
  </w:footnote>
  <w:footnote w:id="28">
    <w:p w:rsidR="00883757" w:rsidRDefault="00EF4903">
      <w:pPr>
        <w:pStyle w:val="FootnoteText"/>
      </w:pPr>
      <w:r>
        <w:rPr>
          <w:rStyle w:val="FootnoteReference"/>
        </w:rPr>
        <w:footnoteRef/>
      </w:r>
      <w:r>
        <w:t xml:space="preserve"> </w:t>
      </w:r>
      <w:r>
        <w:tab/>
      </w:r>
      <w:r w:rsidRPr="00D30BC4">
        <w:t xml:space="preserve">Associate Justice of the Court of Appeal, Fifth Appellate </w:t>
      </w:r>
      <w:r w:rsidRPr="00D30BC4">
        <w:t>District,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8" w:rsidRDefault="00EF4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8" w:rsidRPr="00BE14EE" w:rsidRDefault="00EF4903" w:rsidP="00BE1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58" w:rsidRDefault="00EF4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B0BFD"/>
    <w:multiLevelType w:val="hybridMultilevel"/>
    <w:tmpl w:val="A142DC26"/>
    <w:lvl w:ilvl="0" w:tplc="925447D2">
      <w:start w:val="1"/>
      <w:numFmt w:val="decimal"/>
      <w:lvlText w:val="%1."/>
      <w:lvlJc w:val="left"/>
      <w:pPr>
        <w:ind w:left="1440" w:hanging="360"/>
      </w:pPr>
      <w:rPr>
        <w:b w:val="0"/>
      </w:rPr>
    </w:lvl>
    <w:lvl w:ilvl="1" w:tplc="ACBC2442" w:tentative="1">
      <w:start w:val="1"/>
      <w:numFmt w:val="lowerLetter"/>
      <w:lvlText w:val="%2."/>
      <w:lvlJc w:val="left"/>
      <w:pPr>
        <w:ind w:left="2160" w:hanging="360"/>
      </w:pPr>
    </w:lvl>
    <w:lvl w:ilvl="2" w:tplc="7EA28248" w:tentative="1">
      <w:start w:val="1"/>
      <w:numFmt w:val="lowerRoman"/>
      <w:lvlText w:val="%3."/>
      <w:lvlJc w:val="right"/>
      <w:pPr>
        <w:ind w:left="2880" w:hanging="180"/>
      </w:pPr>
    </w:lvl>
    <w:lvl w:ilvl="3" w:tplc="A9883B28" w:tentative="1">
      <w:start w:val="1"/>
      <w:numFmt w:val="decimal"/>
      <w:lvlText w:val="%4."/>
      <w:lvlJc w:val="left"/>
      <w:pPr>
        <w:ind w:left="3600" w:hanging="360"/>
      </w:pPr>
    </w:lvl>
    <w:lvl w:ilvl="4" w:tplc="D1D44392" w:tentative="1">
      <w:start w:val="1"/>
      <w:numFmt w:val="lowerLetter"/>
      <w:lvlText w:val="%5."/>
      <w:lvlJc w:val="left"/>
      <w:pPr>
        <w:ind w:left="4320" w:hanging="360"/>
      </w:pPr>
    </w:lvl>
    <w:lvl w:ilvl="5" w:tplc="CDAA7C4E" w:tentative="1">
      <w:start w:val="1"/>
      <w:numFmt w:val="lowerRoman"/>
      <w:lvlText w:val="%6."/>
      <w:lvlJc w:val="right"/>
      <w:pPr>
        <w:ind w:left="5040" w:hanging="180"/>
      </w:pPr>
    </w:lvl>
    <w:lvl w:ilvl="6" w:tplc="51A235EE" w:tentative="1">
      <w:start w:val="1"/>
      <w:numFmt w:val="decimal"/>
      <w:lvlText w:val="%7."/>
      <w:lvlJc w:val="left"/>
      <w:pPr>
        <w:ind w:left="5760" w:hanging="360"/>
      </w:pPr>
    </w:lvl>
    <w:lvl w:ilvl="7" w:tplc="537C3050" w:tentative="1">
      <w:start w:val="1"/>
      <w:numFmt w:val="lowerLetter"/>
      <w:lvlText w:val="%8."/>
      <w:lvlJc w:val="left"/>
      <w:pPr>
        <w:ind w:left="6480" w:hanging="360"/>
      </w:pPr>
    </w:lvl>
    <w:lvl w:ilvl="8" w:tplc="E4B23E78"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DB"/>
    <w:rsid w:val="00E739DB"/>
    <w:rsid w:val="00EF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586A"/>
    <w:rPr>
      <w:sz w:val="26"/>
      <w:szCs w:val="24"/>
    </w:rPr>
  </w:style>
  <w:style w:type="paragraph" w:styleId="Heading1">
    <w:name w:val="heading 1"/>
    <w:basedOn w:val="Normal"/>
    <w:next w:val="Normal"/>
    <w:link w:val="Heading1Char"/>
    <w:qFormat/>
    <w:rsid w:val="0093586A"/>
    <w:pPr>
      <w:keepNext/>
      <w:spacing w:before="240" w:after="60"/>
      <w:outlineLvl w:val="0"/>
    </w:pPr>
    <w:rPr>
      <w:rFonts w:ascii="Arial" w:eastAsia="MS Gothic" w:hAnsi="Arial"/>
      <w:b/>
      <w:bCs/>
      <w:kern w:val="32"/>
      <w:sz w:val="32"/>
      <w:szCs w:val="32"/>
    </w:rPr>
  </w:style>
  <w:style w:type="paragraph" w:styleId="Heading2">
    <w:name w:val="heading 2"/>
    <w:basedOn w:val="Normal"/>
    <w:next w:val="Normal"/>
    <w:link w:val="Heading2Char"/>
    <w:qFormat/>
    <w:rsid w:val="0093586A"/>
    <w:pPr>
      <w:keepNext/>
      <w:spacing w:before="240" w:after="60"/>
      <w:outlineLvl w:val="1"/>
    </w:pPr>
    <w:rPr>
      <w:rFonts w:ascii="Arial" w:eastAsia="MS Gothic" w:hAnsi="Arial"/>
      <w:b/>
      <w:bCs/>
      <w:i/>
      <w:iCs/>
      <w:sz w:val="28"/>
      <w:szCs w:val="28"/>
    </w:rPr>
  </w:style>
  <w:style w:type="paragraph" w:styleId="Heading3">
    <w:name w:val="heading 3"/>
    <w:basedOn w:val="Normal"/>
    <w:next w:val="Normal"/>
    <w:link w:val="Heading3Char"/>
    <w:uiPriority w:val="9"/>
    <w:qFormat/>
    <w:rsid w:val="0093586A"/>
    <w:pPr>
      <w:keepNext/>
      <w:spacing w:before="240" w:after="60"/>
      <w:outlineLvl w:val="2"/>
    </w:pPr>
    <w:rPr>
      <w:rFonts w:ascii="Arial" w:eastAsia="MS Gothic" w:hAnsi="Arial"/>
      <w:b/>
      <w:bCs/>
      <w:szCs w:val="26"/>
    </w:rPr>
  </w:style>
  <w:style w:type="paragraph" w:styleId="Heading4">
    <w:name w:val="heading 4"/>
    <w:basedOn w:val="Normal"/>
    <w:next w:val="Normal"/>
    <w:link w:val="Heading4Char"/>
    <w:uiPriority w:val="9"/>
    <w:unhideWhenUsed/>
    <w:rsid w:val="00F31AC3"/>
    <w:pPr>
      <w:keepNext/>
      <w:keepLines/>
      <w:spacing w:before="200"/>
      <w:outlineLvl w:val="3"/>
    </w:pPr>
    <w:rPr>
      <w:rFonts w:ascii="Arial" w:eastAsia="MS Gothic" w:hAnsi="Arial"/>
      <w:b/>
      <w:bCs/>
      <w:i/>
      <w:iCs/>
      <w:color w:val="4F81BD"/>
    </w:rPr>
  </w:style>
  <w:style w:type="paragraph" w:styleId="Heading5">
    <w:name w:val="heading 5"/>
    <w:basedOn w:val="Normal"/>
    <w:next w:val="Normal"/>
    <w:link w:val="Heading5Char"/>
    <w:uiPriority w:val="9"/>
    <w:unhideWhenUsed/>
    <w:rsid w:val="00582512"/>
    <w:pPr>
      <w:keepNext/>
      <w:keepLines/>
      <w:spacing w:before="200"/>
      <w:outlineLvl w:val="4"/>
    </w:pPr>
    <w:rPr>
      <w:rFonts w:ascii="Arial" w:eastAsia="MS Gothic" w:hAnsi="Arial"/>
      <w:color w:val="243F60"/>
    </w:rPr>
  </w:style>
  <w:style w:type="paragraph" w:styleId="Heading6">
    <w:name w:val="heading 6"/>
    <w:basedOn w:val="Normal"/>
    <w:next w:val="Normal"/>
    <w:link w:val="Heading6Char"/>
    <w:uiPriority w:val="9"/>
    <w:semiHidden/>
    <w:unhideWhenUsed/>
    <w:qFormat/>
    <w:rsid w:val="0093586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93586A"/>
    <w:pPr>
      <w:spacing w:before="240" w:after="60"/>
      <w:outlineLvl w:val="6"/>
    </w:pPr>
    <w:rPr>
      <w:sz w:val="24"/>
    </w:rPr>
  </w:style>
  <w:style w:type="paragraph" w:styleId="Heading8">
    <w:name w:val="heading 8"/>
    <w:basedOn w:val="Normal"/>
    <w:next w:val="Normal"/>
    <w:link w:val="Heading8Char"/>
    <w:uiPriority w:val="9"/>
    <w:semiHidden/>
    <w:unhideWhenUsed/>
    <w:qFormat/>
    <w:rsid w:val="0093586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3586A"/>
    <w:pPr>
      <w:spacing w:before="240" w:after="60"/>
      <w:outlineLvl w:val="8"/>
    </w:pPr>
    <w:rPr>
      <w:rFonts w:ascii="Arial" w:eastAsia="MS Gothic"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586A"/>
    <w:rPr>
      <w:rFonts w:ascii="Arial" w:eastAsia="MS Gothic" w:hAnsi="Arial"/>
      <w:b/>
      <w:bCs/>
      <w:kern w:val="32"/>
      <w:sz w:val="32"/>
      <w:szCs w:val="32"/>
    </w:rPr>
  </w:style>
  <w:style w:type="character" w:customStyle="1" w:styleId="Heading2Char">
    <w:name w:val="Heading 2 Char"/>
    <w:link w:val="Heading2"/>
    <w:uiPriority w:val="9"/>
    <w:rsid w:val="0093586A"/>
    <w:rPr>
      <w:rFonts w:ascii="Arial" w:eastAsia="MS Gothic" w:hAnsi="Arial"/>
      <w:b/>
      <w:bCs/>
      <w:i/>
      <w:iCs/>
      <w:sz w:val="28"/>
      <w:szCs w:val="28"/>
    </w:rPr>
  </w:style>
  <w:style w:type="character" w:customStyle="1" w:styleId="Heading3Char">
    <w:name w:val="Heading 3 Char"/>
    <w:link w:val="Heading3"/>
    <w:uiPriority w:val="9"/>
    <w:rsid w:val="0093586A"/>
    <w:rPr>
      <w:rFonts w:ascii="Arial" w:eastAsia="MS Gothic" w:hAnsi="Arial"/>
      <w:b/>
      <w:bCs/>
    </w:rPr>
  </w:style>
  <w:style w:type="character" w:customStyle="1" w:styleId="Heading6Char">
    <w:name w:val="Heading 6 Char"/>
    <w:link w:val="Heading6"/>
    <w:uiPriority w:val="9"/>
    <w:semiHidden/>
    <w:rsid w:val="0093586A"/>
    <w:rPr>
      <w:b/>
      <w:bCs/>
    </w:rPr>
  </w:style>
  <w:style w:type="character" w:customStyle="1" w:styleId="Heading7Char">
    <w:name w:val="Heading 7 Char"/>
    <w:link w:val="Heading7"/>
    <w:uiPriority w:val="9"/>
    <w:semiHidden/>
    <w:rsid w:val="0093586A"/>
    <w:rPr>
      <w:sz w:val="24"/>
      <w:szCs w:val="24"/>
    </w:rPr>
  </w:style>
  <w:style w:type="character" w:customStyle="1" w:styleId="Heading8Char">
    <w:name w:val="Heading 8 Char"/>
    <w:link w:val="Heading8"/>
    <w:uiPriority w:val="9"/>
    <w:semiHidden/>
    <w:rsid w:val="0093586A"/>
    <w:rPr>
      <w:i/>
      <w:iCs/>
      <w:sz w:val="24"/>
      <w:szCs w:val="24"/>
    </w:rPr>
  </w:style>
  <w:style w:type="character" w:customStyle="1" w:styleId="Heading9Char">
    <w:name w:val="Heading 9 Char"/>
    <w:link w:val="Heading9"/>
    <w:uiPriority w:val="9"/>
    <w:semiHidden/>
    <w:rsid w:val="0093586A"/>
    <w:rPr>
      <w:rFonts w:ascii="Arial" w:eastAsia="MS Gothic" w:hAnsi="Arial"/>
    </w:rPr>
  </w:style>
  <w:style w:type="paragraph" w:styleId="Title">
    <w:name w:val="Title"/>
    <w:basedOn w:val="Normal"/>
    <w:next w:val="Normal"/>
    <w:link w:val="TitleChar"/>
    <w:uiPriority w:val="10"/>
    <w:qFormat/>
    <w:rsid w:val="0093586A"/>
    <w:pPr>
      <w:spacing w:before="240" w:after="60"/>
      <w:jc w:val="center"/>
      <w:outlineLvl w:val="0"/>
    </w:pPr>
    <w:rPr>
      <w:rFonts w:ascii="Arial" w:eastAsia="MS Gothic" w:hAnsi="Arial"/>
      <w:b/>
      <w:bCs/>
      <w:kern w:val="28"/>
      <w:sz w:val="32"/>
      <w:szCs w:val="32"/>
    </w:rPr>
  </w:style>
  <w:style w:type="character" w:customStyle="1" w:styleId="TitleChar">
    <w:name w:val="Title Char"/>
    <w:link w:val="Title"/>
    <w:uiPriority w:val="10"/>
    <w:rsid w:val="0093586A"/>
    <w:rPr>
      <w:rFonts w:ascii="Arial" w:eastAsia="MS Gothic" w:hAnsi="Arial"/>
      <w:b/>
      <w:bCs/>
      <w:kern w:val="28"/>
      <w:sz w:val="32"/>
      <w:szCs w:val="32"/>
    </w:rPr>
  </w:style>
  <w:style w:type="paragraph" w:styleId="Subtitle">
    <w:name w:val="Subtitle"/>
    <w:basedOn w:val="Normal"/>
    <w:next w:val="Normal"/>
    <w:link w:val="SubtitleChar"/>
    <w:uiPriority w:val="11"/>
    <w:qFormat/>
    <w:rsid w:val="0093586A"/>
    <w:pPr>
      <w:spacing w:after="60"/>
      <w:jc w:val="center"/>
      <w:outlineLvl w:val="1"/>
    </w:pPr>
    <w:rPr>
      <w:rFonts w:ascii="Arial" w:eastAsia="MS Gothic" w:hAnsi="Arial"/>
      <w:sz w:val="24"/>
    </w:rPr>
  </w:style>
  <w:style w:type="character" w:customStyle="1" w:styleId="SubtitleChar">
    <w:name w:val="Subtitle Char"/>
    <w:link w:val="Subtitle"/>
    <w:uiPriority w:val="11"/>
    <w:rsid w:val="0093586A"/>
    <w:rPr>
      <w:rFonts w:ascii="Arial" w:eastAsia="MS Gothic" w:hAnsi="Arial"/>
      <w:sz w:val="24"/>
      <w:szCs w:val="24"/>
    </w:rPr>
  </w:style>
  <w:style w:type="paragraph" w:styleId="TOCHeading">
    <w:name w:val="TOC Heading"/>
    <w:basedOn w:val="Heading1"/>
    <w:next w:val="Normal"/>
    <w:uiPriority w:val="39"/>
    <w:semiHidden/>
    <w:unhideWhenUsed/>
    <w:qFormat/>
    <w:rsid w:val="0093586A"/>
    <w:pPr>
      <w:outlineLvl w:val="9"/>
    </w:pPr>
  </w:style>
  <w:style w:type="character" w:styleId="FootnoteReference">
    <w:name w:val="footnote reference"/>
    <w:semiHidden/>
    <w:rsid w:val="009E6980"/>
    <w:rPr>
      <w:b/>
      <w:position w:val="6"/>
      <w:sz w:val="20"/>
    </w:rPr>
  </w:style>
  <w:style w:type="paragraph" w:styleId="FootnoteText">
    <w:name w:val="footnote text"/>
    <w:basedOn w:val="Normal"/>
    <w:link w:val="FootnoteTextChar"/>
    <w:semiHidden/>
    <w:rsid w:val="009E6980"/>
    <w:rPr>
      <w:szCs w:val="20"/>
    </w:rPr>
  </w:style>
  <w:style w:type="character" w:customStyle="1" w:styleId="FootnoteTextChar">
    <w:name w:val="Footnote Text Char"/>
    <w:link w:val="FootnoteText"/>
    <w:semiHidden/>
    <w:rsid w:val="009E6980"/>
    <w:rPr>
      <w:rFonts w:ascii="Times New Roman" w:eastAsia="Times New Roman" w:hAnsi="Times New Roman"/>
      <w:szCs w:val="20"/>
    </w:rPr>
  </w:style>
  <w:style w:type="character" w:customStyle="1" w:styleId="Heading4Char">
    <w:name w:val="Heading 4 Char"/>
    <w:link w:val="Heading4"/>
    <w:uiPriority w:val="9"/>
    <w:rsid w:val="00F31AC3"/>
    <w:rPr>
      <w:rFonts w:ascii="Arial" w:eastAsia="MS Gothic" w:hAnsi="Arial" w:cs="Times New Roman"/>
      <w:b/>
      <w:bCs/>
      <w:i/>
      <w:iCs/>
      <w:color w:val="4F81BD"/>
      <w:szCs w:val="24"/>
    </w:rPr>
  </w:style>
  <w:style w:type="paragraph" w:styleId="Header">
    <w:name w:val="header"/>
    <w:basedOn w:val="Normal"/>
    <w:link w:val="HeaderChar"/>
    <w:uiPriority w:val="99"/>
    <w:unhideWhenUsed/>
    <w:rsid w:val="00877671"/>
    <w:pPr>
      <w:tabs>
        <w:tab w:val="center" w:pos="4680"/>
        <w:tab w:val="right" w:pos="9360"/>
      </w:tabs>
    </w:pPr>
  </w:style>
  <w:style w:type="character" w:customStyle="1" w:styleId="HeaderChar">
    <w:name w:val="Header Char"/>
    <w:link w:val="Header"/>
    <w:uiPriority w:val="99"/>
    <w:rsid w:val="00877671"/>
    <w:rPr>
      <w:szCs w:val="24"/>
    </w:rPr>
  </w:style>
  <w:style w:type="paragraph" w:styleId="Footer">
    <w:name w:val="footer"/>
    <w:basedOn w:val="Normal"/>
    <w:link w:val="FooterChar"/>
    <w:uiPriority w:val="99"/>
    <w:unhideWhenUsed/>
    <w:rsid w:val="00877671"/>
    <w:pPr>
      <w:tabs>
        <w:tab w:val="center" w:pos="4680"/>
        <w:tab w:val="right" w:pos="9360"/>
      </w:tabs>
    </w:pPr>
  </w:style>
  <w:style w:type="character" w:customStyle="1" w:styleId="FooterChar">
    <w:name w:val="Footer Char"/>
    <w:link w:val="Footer"/>
    <w:uiPriority w:val="99"/>
    <w:rsid w:val="00877671"/>
    <w:rPr>
      <w:szCs w:val="24"/>
    </w:rPr>
  </w:style>
  <w:style w:type="paragraph" w:styleId="TOC1">
    <w:name w:val="toc 1"/>
    <w:basedOn w:val="Normal"/>
    <w:next w:val="Normal"/>
    <w:autoRedefine/>
    <w:uiPriority w:val="39"/>
    <w:unhideWhenUsed/>
    <w:rsid w:val="00E13290"/>
    <w:pPr>
      <w:spacing w:after="100"/>
    </w:pPr>
  </w:style>
  <w:style w:type="paragraph" w:styleId="TOC2">
    <w:name w:val="toc 2"/>
    <w:basedOn w:val="Normal"/>
    <w:next w:val="Normal"/>
    <w:autoRedefine/>
    <w:uiPriority w:val="39"/>
    <w:unhideWhenUsed/>
    <w:rsid w:val="00E13290"/>
    <w:pPr>
      <w:spacing w:after="100"/>
      <w:ind w:left="260"/>
    </w:pPr>
  </w:style>
  <w:style w:type="paragraph" w:styleId="TOC3">
    <w:name w:val="toc 3"/>
    <w:basedOn w:val="Normal"/>
    <w:next w:val="Normal"/>
    <w:autoRedefine/>
    <w:uiPriority w:val="39"/>
    <w:unhideWhenUsed/>
    <w:rsid w:val="00DC44B2"/>
    <w:pPr>
      <w:tabs>
        <w:tab w:val="left" w:pos="1100"/>
        <w:tab w:val="right" w:leader="dot" w:pos="9350"/>
      </w:tabs>
      <w:spacing w:after="100"/>
      <w:ind w:left="520"/>
    </w:pPr>
  </w:style>
  <w:style w:type="character" w:styleId="Hyperlink">
    <w:name w:val="Hyperlink"/>
    <w:uiPriority w:val="99"/>
    <w:unhideWhenUsed/>
    <w:rsid w:val="00E13290"/>
    <w:rPr>
      <w:color w:val="0000FF"/>
      <w:u w:val="single"/>
    </w:rPr>
  </w:style>
  <w:style w:type="paragraph" w:styleId="BalloonText">
    <w:name w:val="Balloon Text"/>
    <w:basedOn w:val="Normal"/>
    <w:link w:val="BalloonTextChar"/>
    <w:uiPriority w:val="99"/>
    <w:semiHidden/>
    <w:unhideWhenUsed/>
    <w:rsid w:val="00E13290"/>
    <w:rPr>
      <w:rFonts w:ascii="Tahoma" w:hAnsi="Tahoma" w:cs="Tahoma"/>
      <w:sz w:val="16"/>
      <w:szCs w:val="16"/>
    </w:rPr>
  </w:style>
  <w:style w:type="character" w:customStyle="1" w:styleId="BalloonTextChar">
    <w:name w:val="Balloon Text Char"/>
    <w:link w:val="BalloonText"/>
    <w:uiPriority w:val="99"/>
    <w:semiHidden/>
    <w:rsid w:val="00E13290"/>
    <w:rPr>
      <w:rFonts w:ascii="Tahoma" w:hAnsi="Tahoma" w:cs="Tahoma"/>
      <w:sz w:val="16"/>
      <w:szCs w:val="16"/>
    </w:rPr>
  </w:style>
  <w:style w:type="character" w:customStyle="1" w:styleId="Heading5Char">
    <w:name w:val="Heading 5 Char"/>
    <w:link w:val="Heading5"/>
    <w:uiPriority w:val="9"/>
    <w:rsid w:val="00582512"/>
    <w:rPr>
      <w:rFonts w:ascii="Arial" w:eastAsia="MS Gothic" w:hAnsi="Arial" w:cs="Times New Roman"/>
      <w:color w:val="243F60"/>
      <w:szCs w:val="24"/>
    </w:rPr>
  </w:style>
  <w:style w:type="character" w:styleId="CommentReference">
    <w:name w:val="annotation reference"/>
    <w:uiPriority w:val="99"/>
    <w:semiHidden/>
    <w:unhideWhenUsed/>
    <w:rsid w:val="00AB4A8A"/>
    <w:rPr>
      <w:sz w:val="16"/>
      <w:szCs w:val="16"/>
    </w:rPr>
  </w:style>
  <w:style w:type="paragraph" w:styleId="CommentText">
    <w:name w:val="annotation text"/>
    <w:basedOn w:val="Normal"/>
    <w:link w:val="CommentTextChar"/>
    <w:uiPriority w:val="99"/>
    <w:semiHidden/>
    <w:unhideWhenUsed/>
    <w:rsid w:val="00AB4A8A"/>
    <w:rPr>
      <w:sz w:val="20"/>
      <w:szCs w:val="20"/>
    </w:rPr>
  </w:style>
  <w:style w:type="character" w:customStyle="1" w:styleId="CommentTextChar">
    <w:name w:val="Comment Text Char"/>
    <w:link w:val="CommentText"/>
    <w:uiPriority w:val="99"/>
    <w:semiHidden/>
    <w:rsid w:val="00AB4A8A"/>
    <w:rPr>
      <w:sz w:val="20"/>
      <w:szCs w:val="20"/>
    </w:rPr>
  </w:style>
  <w:style w:type="paragraph" w:styleId="CommentSubject">
    <w:name w:val="annotation subject"/>
    <w:basedOn w:val="CommentText"/>
    <w:next w:val="CommentText"/>
    <w:link w:val="CommentSubjectChar"/>
    <w:uiPriority w:val="99"/>
    <w:semiHidden/>
    <w:unhideWhenUsed/>
    <w:rsid w:val="00AB4A8A"/>
    <w:rPr>
      <w:b/>
      <w:bCs/>
    </w:rPr>
  </w:style>
  <w:style w:type="character" w:customStyle="1" w:styleId="CommentSubjectChar">
    <w:name w:val="Comment Subject Char"/>
    <w:link w:val="CommentSubject"/>
    <w:uiPriority w:val="99"/>
    <w:semiHidden/>
    <w:rsid w:val="00AB4A8A"/>
    <w:rPr>
      <w:b/>
      <w:bCs/>
      <w:sz w:val="20"/>
      <w:szCs w:val="20"/>
    </w:rPr>
  </w:style>
  <w:style w:type="paragraph" w:styleId="Revision">
    <w:name w:val="Revision"/>
    <w:hidden/>
    <w:uiPriority w:val="99"/>
    <w:semiHidden/>
    <w:rsid w:val="00AD5773"/>
    <w:rPr>
      <w:sz w:val="26"/>
      <w:szCs w:val="24"/>
    </w:rPr>
  </w:style>
  <w:style w:type="paragraph" w:styleId="ListParagraph">
    <w:name w:val="List Paragraph"/>
    <w:basedOn w:val="Normal"/>
    <w:uiPriority w:val="34"/>
    <w:qFormat/>
    <w:rsid w:val="003529F5"/>
    <w:pPr>
      <w:ind w:left="720"/>
      <w:contextualSpacing/>
    </w:pPr>
    <w:rPr>
      <w:szCs w:val="20"/>
    </w:rPr>
  </w:style>
  <w:style w:type="paragraph" w:styleId="BodyTextIndent">
    <w:name w:val="Body Text Indent"/>
    <w:basedOn w:val="Normal"/>
    <w:link w:val="BodyTextIndentChar"/>
    <w:uiPriority w:val="99"/>
    <w:unhideWhenUsed/>
    <w:rsid w:val="00E739DB"/>
    <w:pPr>
      <w:widowControl w:val="0"/>
      <w:tabs>
        <w:tab w:val="left" w:pos="1440"/>
      </w:tabs>
      <w:spacing w:line="480" w:lineRule="atLeast"/>
      <w:ind w:firstLine="720"/>
    </w:pPr>
    <w:rPr>
      <w:szCs w:val="26"/>
    </w:rPr>
  </w:style>
  <w:style w:type="character" w:customStyle="1" w:styleId="BodyTextIndentChar">
    <w:name w:val="Body Text Indent Char"/>
    <w:basedOn w:val="DefaultParagraphFont"/>
    <w:link w:val="BodyTextIndent"/>
    <w:uiPriority w:val="99"/>
    <w:rsid w:val="00E739DB"/>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586A"/>
    <w:rPr>
      <w:sz w:val="26"/>
      <w:szCs w:val="24"/>
    </w:rPr>
  </w:style>
  <w:style w:type="paragraph" w:styleId="Heading1">
    <w:name w:val="heading 1"/>
    <w:basedOn w:val="Normal"/>
    <w:next w:val="Normal"/>
    <w:link w:val="Heading1Char"/>
    <w:qFormat/>
    <w:rsid w:val="0093586A"/>
    <w:pPr>
      <w:keepNext/>
      <w:spacing w:before="240" w:after="60"/>
      <w:outlineLvl w:val="0"/>
    </w:pPr>
    <w:rPr>
      <w:rFonts w:ascii="Arial" w:eastAsia="MS Gothic" w:hAnsi="Arial"/>
      <w:b/>
      <w:bCs/>
      <w:kern w:val="32"/>
      <w:sz w:val="32"/>
      <w:szCs w:val="32"/>
    </w:rPr>
  </w:style>
  <w:style w:type="paragraph" w:styleId="Heading2">
    <w:name w:val="heading 2"/>
    <w:basedOn w:val="Normal"/>
    <w:next w:val="Normal"/>
    <w:link w:val="Heading2Char"/>
    <w:qFormat/>
    <w:rsid w:val="0093586A"/>
    <w:pPr>
      <w:keepNext/>
      <w:spacing w:before="240" w:after="60"/>
      <w:outlineLvl w:val="1"/>
    </w:pPr>
    <w:rPr>
      <w:rFonts w:ascii="Arial" w:eastAsia="MS Gothic" w:hAnsi="Arial"/>
      <w:b/>
      <w:bCs/>
      <w:i/>
      <w:iCs/>
      <w:sz w:val="28"/>
      <w:szCs w:val="28"/>
    </w:rPr>
  </w:style>
  <w:style w:type="paragraph" w:styleId="Heading3">
    <w:name w:val="heading 3"/>
    <w:basedOn w:val="Normal"/>
    <w:next w:val="Normal"/>
    <w:link w:val="Heading3Char"/>
    <w:uiPriority w:val="9"/>
    <w:qFormat/>
    <w:rsid w:val="0093586A"/>
    <w:pPr>
      <w:keepNext/>
      <w:spacing w:before="240" w:after="60"/>
      <w:outlineLvl w:val="2"/>
    </w:pPr>
    <w:rPr>
      <w:rFonts w:ascii="Arial" w:eastAsia="MS Gothic" w:hAnsi="Arial"/>
      <w:b/>
      <w:bCs/>
      <w:szCs w:val="26"/>
    </w:rPr>
  </w:style>
  <w:style w:type="paragraph" w:styleId="Heading4">
    <w:name w:val="heading 4"/>
    <w:basedOn w:val="Normal"/>
    <w:next w:val="Normal"/>
    <w:link w:val="Heading4Char"/>
    <w:uiPriority w:val="9"/>
    <w:unhideWhenUsed/>
    <w:rsid w:val="00F31AC3"/>
    <w:pPr>
      <w:keepNext/>
      <w:keepLines/>
      <w:spacing w:before="200"/>
      <w:outlineLvl w:val="3"/>
    </w:pPr>
    <w:rPr>
      <w:rFonts w:ascii="Arial" w:eastAsia="MS Gothic" w:hAnsi="Arial"/>
      <w:b/>
      <w:bCs/>
      <w:i/>
      <w:iCs/>
      <w:color w:val="4F81BD"/>
    </w:rPr>
  </w:style>
  <w:style w:type="paragraph" w:styleId="Heading5">
    <w:name w:val="heading 5"/>
    <w:basedOn w:val="Normal"/>
    <w:next w:val="Normal"/>
    <w:link w:val="Heading5Char"/>
    <w:uiPriority w:val="9"/>
    <w:unhideWhenUsed/>
    <w:rsid w:val="00582512"/>
    <w:pPr>
      <w:keepNext/>
      <w:keepLines/>
      <w:spacing w:before="200"/>
      <w:outlineLvl w:val="4"/>
    </w:pPr>
    <w:rPr>
      <w:rFonts w:ascii="Arial" w:eastAsia="MS Gothic" w:hAnsi="Arial"/>
      <w:color w:val="243F60"/>
    </w:rPr>
  </w:style>
  <w:style w:type="paragraph" w:styleId="Heading6">
    <w:name w:val="heading 6"/>
    <w:basedOn w:val="Normal"/>
    <w:next w:val="Normal"/>
    <w:link w:val="Heading6Char"/>
    <w:uiPriority w:val="9"/>
    <w:semiHidden/>
    <w:unhideWhenUsed/>
    <w:qFormat/>
    <w:rsid w:val="0093586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93586A"/>
    <w:pPr>
      <w:spacing w:before="240" w:after="60"/>
      <w:outlineLvl w:val="6"/>
    </w:pPr>
    <w:rPr>
      <w:sz w:val="24"/>
    </w:rPr>
  </w:style>
  <w:style w:type="paragraph" w:styleId="Heading8">
    <w:name w:val="heading 8"/>
    <w:basedOn w:val="Normal"/>
    <w:next w:val="Normal"/>
    <w:link w:val="Heading8Char"/>
    <w:uiPriority w:val="9"/>
    <w:semiHidden/>
    <w:unhideWhenUsed/>
    <w:qFormat/>
    <w:rsid w:val="0093586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3586A"/>
    <w:pPr>
      <w:spacing w:before="240" w:after="60"/>
      <w:outlineLvl w:val="8"/>
    </w:pPr>
    <w:rPr>
      <w:rFonts w:ascii="Arial" w:eastAsia="MS Gothic"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586A"/>
    <w:rPr>
      <w:rFonts w:ascii="Arial" w:eastAsia="MS Gothic" w:hAnsi="Arial"/>
      <w:b/>
      <w:bCs/>
      <w:kern w:val="32"/>
      <w:sz w:val="32"/>
      <w:szCs w:val="32"/>
    </w:rPr>
  </w:style>
  <w:style w:type="character" w:customStyle="1" w:styleId="Heading2Char">
    <w:name w:val="Heading 2 Char"/>
    <w:link w:val="Heading2"/>
    <w:uiPriority w:val="9"/>
    <w:rsid w:val="0093586A"/>
    <w:rPr>
      <w:rFonts w:ascii="Arial" w:eastAsia="MS Gothic" w:hAnsi="Arial"/>
      <w:b/>
      <w:bCs/>
      <w:i/>
      <w:iCs/>
      <w:sz w:val="28"/>
      <w:szCs w:val="28"/>
    </w:rPr>
  </w:style>
  <w:style w:type="character" w:customStyle="1" w:styleId="Heading3Char">
    <w:name w:val="Heading 3 Char"/>
    <w:link w:val="Heading3"/>
    <w:uiPriority w:val="9"/>
    <w:rsid w:val="0093586A"/>
    <w:rPr>
      <w:rFonts w:ascii="Arial" w:eastAsia="MS Gothic" w:hAnsi="Arial"/>
      <w:b/>
      <w:bCs/>
    </w:rPr>
  </w:style>
  <w:style w:type="character" w:customStyle="1" w:styleId="Heading6Char">
    <w:name w:val="Heading 6 Char"/>
    <w:link w:val="Heading6"/>
    <w:uiPriority w:val="9"/>
    <w:semiHidden/>
    <w:rsid w:val="0093586A"/>
    <w:rPr>
      <w:b/>
      <w:bCs/>
    </w:rPr>
  </w:style>
  <w:style w:type="character" w:customStyle="1" w:styleId="Heading7Char">
    <w:name w:val="Heading 7 Char"/>
    <w:link w:val="Heading7"/>
    <w:uiPriority w:val="9"/>
    <w:semiHidden/>
    <w:rsid w:val="0093586A"/>
    <w:rPr>
      <w:sz w:val="24"/>
      <w:szCs w:val="24"/>
    </w:rPr>
  </w:style>
  <w:style w:type="character" w:customStyle="1" w:styleId="Heading8Char">
    <w:name w:val="Heading 8 Char"/>
    <w:link w:val="Heading8"/>
    <w:uiPriority w:val="9"/>
    <w:semiHidden/>
    <w:rsid w:val="0093586A"/>
    <w:rPr>
      <w:i/>
      <w:iCs/>
      <w:sz w:val="24"/>
      <w:szCs w:val="24"/>
    </w:rPr>
  </w:style>
  <w:style w:type="character" w:customStyle="1" w:styleId="Heading9Char">
    <w:name w:val="Heading 9 Char"/>
    <w:link w:val="Heading9"/>
    <w:uiPriority w:val="9"/>
    <w:semiHidden/>
    <w:rsid w:val="0093586A"/>
    <w:rPr>
      <w:rFonts w:ascii="Arial" w:eastAsia="MS Gothic" w:hAnsi="Arial"/>
    </w:rPr>
  </w:style>
  <w:style w:type="paragraph" w:styleId="Title">
    <w:name w:val="Title"/>
    <w:basedOn w:val="Normal"/>
    <w:next w:val="Normal"/>
    <w:link w:val="TitleChar"/>
    <w:uiPriority w:val="10"/>
    <w:qFormat/>
    <w:rsid w:val="0093586A"/>
    <w:pPr>
      <w:spacing w:before="240" w:after="60"/>
      <w:jc w:val="center"/>
      <w:outlineLvl w:val="0"/>
    </w:pPr>
    <w:rPr>
      <w:rFonts w:ascii="Arial" w:eastAsia="MS Gothic" w:hAnsi="Arial"/>
      <w:b/>
      <w:bCs/>
      <w:kern w:val="28"/>
      <w:sz w:val="32"/>
      <w:szCs w:val="32"/>
    </w:rPr>
  </w:style>
  <w:style w:type="character" w:customStyle="1" w:styleId="TitleChar">
    <w:name w:val="Title Char"/>
    <w:link w:val="Title"/>
    <w:uiPriority w:val="10"/>
    <w:rsid w:val="0093586A"/>
    <w:rPr>
      <w:rFonts w:ascii="Arial" w:eastAsia="MS Gothic" w:hAnsi="Arial"/>
      <w:b/>
      <w:bCs/>
      <w:kern w:val="28"/>
      <w:sz w:val="32"/>
      <w:szCs w:val="32"/>
    </w:rPr>
  </w:style>
  <w:style w:type="paragraph" w:styleId="Subtitle">
    <w:name w:val="Subtitle"/>
    <w:basedOn w:val="Normal"/>
    <w:next w:val="Normal"/>
    <w:link w:val="SubtitleChar"/>
    <w:uiPriority w:val="11"/>
    <w:qFormat/>
    <w:rsid w:val="0093586A"/>
    <w:pPr>
      <w:spacing w:after="60"/>
      <w:jc w:val="center"/>
      <w:outlineLvl w:val="1"/>
    </w:pPr>
    <w:rPr>
      <w:rFonts w:ascii="Arial" w:eastAsia="MS Gothic" w:hAnsi="Arial"/>
      <w:sz w:val="24"/>
    </w:rPr>
  </w:style>
  <w:style w:type="character" w:customStyle="1" w:styleId="SubtitleChar">
    <w:name w:val="Subtitle Char"/>
    <w:link w:val="Subtitle"/>
    <w:uiPriority w:val="11"/>
    <w:rsid w:val="0093586A"/>
    <w:rPr>
      <w:rFonts w:ascii="Arial" w:eastAsia="MS Gothic" w:hAnsi="Arial"/>
      <w:sz w:val="24"/>
      <w:szCs w:val="24"/>
    </w:rPr>
  </w:style>
  <w:style w:type="paragraph" w:styleId="TOCHeading">
    <w:name w:val="TOC Heading"/>
    <w:basedOn w:val="Heading1"/>
    <w:next w:val="Normal"/>
    <w:uiPriority w:val="39"/>
    <w:semiHidden/>
    <w:unhideWhenUsed/>
    <w:qFormat/>
    <w:rsid w:val="0093586A"/>
    <w:pPr>
      <w:outlineLvl w:val="9"/>
    </w:pPr>
  </w:style>
  <w:style w:type="character" w:styleId="FootnoteReference">
    <w:name w:val="footnote reference"/>
    <w:semiHidden/>
    <w:rsid w:val="009E6980"/>
    <w:rPr>
      <w:b/>
      <w:position w:val="6"/>
      <w:sz w:val="20"/>
    </w:rPr>
  </w:style>
  <w:style w:type="paragraph" w:styleId="FootnoteText">
    <w:name w:val="footnote text"/>
    <w:basedOn w:val="Normal"/>
    <w:link w:val="FootnoteTextChar"/>
    <w:semiHidden/>
    <w:rsid w:val="009E6980"/>
    <w:rPr>
      <w:szCs w:val="20"/>
    </w:rPr>
  </w:style>
  <w:style w:type="character" w:customStyle="1" w:styleId="FootnoteTextChar">
    <w:name w:val="Footnote Text Char"/>
    <w:link w:val="FootnoteText"/>
    <w:semiHidden/>
    <w:rsid w:val="009E6980"/>
    <w:rPr>
      <w:rFonts w:ascii="Times New Roman" w:eastAsia="Times New Roman" w:hAnsi="Times New Roman"/>
      <w:szCs w:val="20"/>
    </w:rPr>
  </w:style>
  <w:style w:type="character" w:customStyle="1" w:styleId="Heading4Char">
    <w:name w:val="Heading 4 Char"/>
    <w:link w:val="Heading4"/>
    <w:uiPriority w:val="9"/>
    <w:rsid w:val="00F31AC3"/>
    <w:rPr>
      <w:rFonts w:ascii="Arial" w:eastAsia="MS Gothic" w:hAnsi="Arial" w:cs="Times New Roman"/>
      <w:b/>
      <w:bCs/>
      <w:i/>
      <w:iCs/>
      <w:color w:val="4F81BD"/>
      <w:szCs w:val="24"/>
    </w:rPr>
  </w:style>
  <w:style w:type="paragraph" w:styleId="Header">
    <w:name w:val="header"/>
    <w:basedOn w:val="Normal"/>
    <w:link w:val="HeaderChar"/>
    <w:uiPriority w:val="99"/>
    <w:unhideWhenUsed/>
    <w:rsid w:val="00877671"/>
    <w:pPr>
      <w:tabs>
        <w:tab w:val="center" w:pos="4680"/>
        <w:tab w:val="right" w:pos="9360"/>
      </w:tabs>
    </w:pPr>
  </w:style>
  <w:style w:type="character" w:customStyle="1" w:styleId="HeaderChar">
    <w:name w:val="Header Char"/>
    <w:link w:val="Header"/>
    <w:uiPriority w:val="99"/>
    <w:rsid w:val="00877671"/>
    <w:rPr>
      <w:szCs w:val="24"/>
    </w:rPr>
  </w:style>
  <w:style w:type="paragraph" w:styleId="Footer">
    <w:name w:val="footer"/>
    <w:basedOn w:val="Normal"/>
    <w:link w:val="FooterChar"/>
    <w:uiPriority w:val="99"/>
    <w:unhideWhenUsed/>
    <w:rsid w:val="00877671"/>
    <w:pPr>
      <w:tabs>
        <w:tab w:val="center" w:pos="4680"/>
        <w:tab w:val="right" w:pos="9360"/>
      </w:tabs>
    </w:pPr>
  </w:style>
  <w:style w:type="character" w:customStyle="1" w:styleId="FooterChar">
    <w:name w:val="Footer Char"/>
    <w:link w:val="Footer"/>
    <w:uiPriority w:val="99"/>
    <w:rsid w:val="00877671"/>
    <w:rPr>
      <w:szCs w:val="24"/>
    </w:rPr>
  </w:style>
  <w:style w:type="paragraph" w:styleId="TOC1">
    <w:name w:val="toc 1"/>
    <w:basedOn w:val="Normal"/>
    <w:next w:val="Normal"/>
    <w:autoRedefine/>
    <w:uiPriority w:val="39"/>
    <w:unhideWhenUsed/>
    <w:rsid w:val="00E13290"/>
    <w:pPr>
      <w:spacing w:after="100"/>
    </w:pPr>
  </w:style>
  <w:style w:type="paragraph" w:styleId="TOC2">
    <w:name w:val="toc 2"/>
    <w:basedOn w:val="Normal"/>
    <w:next w:val="Normal"/>
    <w:autoRedefine/>
    <w:uiPriority w:val="39"/>
    <w:unhideWhenUsed/>
    <w:rsid w:val="00E13290"/>
    <w:pPr>
      <w:spacing w:after="100"/>
      <w:ind w:left="260"/>
    </w:pPr>
  </w:style>
  <w:style w:type="paragraph" w:styleId="TOC3">
    <w:name w:val="toc 3"/>
    <w:basedOn w:val="Normal"/>
    <w:next w:val="Normal"/>
    <w:autoRedefine/>
    <w:uiPriority w:val="39"/>
    <w:unhideWhenUsed/>
    <w:rsid w:val="00DC44B2"/>
    <w:pPr>
      <w:tabs>
        <w:tab w:val="left" w:pos="1100"/>
        <w:tab w:val="right" w:leader="dot" w:pos="9350"/>
      </w:tabs>
      <w:spacing w:after="100"/>
      <w:ind w:left="520"/>
    </w:pPr>
  </w:style>
  <w:style w:type="character" w:styleId="Hyperlink">
    <w:name w:val="Hyperlink"/>
    <w:uiPriority w:val="99"/>
    <w:unhideWhenUsed/>
    <w:rsid w:val="00E13290"/>
    <w:rPr>
      <w:color w:val="0000FF"/>
      <w:u w:val="single"/>
    </w:rPr>
  </w:style>
  <w:style w:type="paragraph" w:styleId="BalloonText">
    <w:name w:val="Balloon Text"/>
    <w:basedOn w:val="Normal"/>
    <w:link w:val="BalloonTextChar"/>
    <w:uiPriority w:val="99"/>
    <w:semiHidden/>
    <w:unhideWhenUsed/>
    <w:rsid w:val="00E13290"/>
    <w:rPr>
      <w:rFonts w:ascii="Tahoma" w:hAnsi="Tahoma" w:cs="Tahoma"/>
      <w:sz w:val="16"/>
      <w:szCs w:val="16"/>
    </w:rPr>
  </w:style>
  <w:style w:type="character" w:customStyle="1" w:styleId="BalloonTextChar">
    <w:name w:val="Balloon Text Char"/>
    <w:link w:val="BalloonText"/>
    <w:uiPriority w:val="99"/>
    <w:semiHidden/>
    <w:rsid w:val="00E13290"/>
    <w:rPr>
      <w:rFonts w:ascii="Tahoma" w:hAnsi="Tahoma" w:cs="Tahoma"/>
      <w:sz w:val="16"/>
      <w:szCs w:val="16"/>
    </w:rPr>
  </w:style>
  <w:style w:type="character" w:customStyle="1" w:styleId="Heading5Char">
    <w:name w:val="Heading 5 Char"/>
    <w:link w:val="Heading5"/>
    <w:uiPriority w:val="9"/>
    <w:rsid w:val="00582512"/>
    <w:rPr>
      <w:rFonts w:ascii="Arial" w:eastAsia="MS Gothic" w:hAnsi="Arial" w:cs="Times New Roman"/>
      <w:color w:val="243F60"/>
      <w:szCs w:val="24"/>
    </w:rPr>
  </w:style>
  <w:style w:type="character" w:styleId="CommentReference">
    <w:name w:val="annotation reference"/>
    <w:uiPriority w:val="99"/>
    <w:semiHidden/>
    <w:unhideWhenUsed/>
    <w:rsid w:val="00AB4A8A"/>
    <w:rPr>
      <w:sz w:val="16"/>
      <w:szCs w:val="16"/>
    </w:rPr>
  </w:style>
  <w:style w:type="paragraph" w:styleId="CommentText">
    <w:name w:val="annotation text"/>
    <w:basedOn w:val="Normal"/>
    <w:link w:val="CommentTextChar"/>
    <w:uiPriority w:val="99"/>
    <w:semiHidden/>
    <w:unhideWhenUsed/>
    <w:rsid w:val="00AB4A8A"/>
    <w:rPr>
      <w:sz w:val="20"/>
      <w:szCs w:val="20"/>
    </w:rPr>
  </w:style>
  <w:style w:type="character" w:customStyle="1" w:styleId="CommentTextChar">
    <w:name w:val="Comment Text Char"/>
    <w:link w:val="CommentText"/>
    <w:uiPriority w:val="99"/>
    <w:semiHidden/>
    <w:rsid w:val="00AB4A8A"/>
    <w:rPr>
      <w:sz w:val="20"/>
      <w:szCs w:val="20"/>
    </w:rPr>
  </w:style>
  <w:style w:type="paragraph" w:styleId="CommentSubject">
    <w:name w:val="annotation subject"/>
    <w:basedOn w:val="CommentText"/>
    <w:next w:val="CommentText"/>
    <w:link w:val="CommentSubjectChar"/>
    <w:uiPriority w:val="99"/>
    <w:semiHidden/>
    <w:unhideWhenUsed/>
    <w:rsid w:val="00AB4A8A"/>
    <w:rPr>
      <w:b/>
      <w:bCs/>
    </w:rPr>
  </w:style>
  <w:style w:type="character" w:customStyle="1" w:styleId="CommentSubjectChar">
    <w:name w:val="Comment Subject Char"/>
    <w:link w:val="CommentSubject"/>
    <w:uiPriority w:val="99"/>
    <w:semiHidden/>
    <w:rsid w:val="00AB4A8A"/>
    <w:rPr>
      <w:b/>
      <w:bCs/>
      <w:sz w:val="20"/>
      <w:szCs w:val="20"/>
    </w:rPr>
  </w:style>
  <w:style w:type="paragraph" w:styleId="Revision">
    <w:name w:val="Revision"/>
    <w:hidden/>
    <w:uiPriority w:val="99"/>
    <w:semiHidden/>
    <w:rsid w:val="00AD5773"/>
    <w:rPr>
      <w:sz w:val="26"/>
      <w:szCs w:val="24"/>
    </w:rPr>
  </w:style>
  <w:style w:type="paragraph" w:styleId="ListParagraph">
    <w:name w:val="List Paragraph"/>
    <w:basedOn w:val="Normal"/>
    <w:uiPriority w:val="34"/>
    <w:qFormat/>
    <w:rsid w:val="003529F5"/>
    <w:pPr>
      <w:ind w:left="720"/>
      <w:contextualSpacing/>
    </w:pPr>
    <w:rPr>
      <w:szCs w:val="20"/>
    </w:rPr>
  </w:style>
  <w:style w:type="paragraph" w:styleId="BodyTextIndent">
    <w:name w:val="Body Text Indent"/>
    <w:basedOn w:val="Normal"/>
    <w:link w:val="BodyTextIndentChar"/>
    <w:uiPriority w:val="99"/>
    <w:unhideWhenUsed/>
    <w:rsid w:val="00E739DB"/>
    <w:pPr>
      <w:widowControl w:val="0"/>
      <w:tabs>
        <w:tab w:val="left" w:pos="1440"/>
      </w:tabs>
      <w:spacing w:line="480" w:lineRule="atLeast"/>
      <w:ind w:firstLine="720"/>
    </w:pPr>
    <w:rPr>
      <w:szCs w:val="26"/>
    </w:rPr>
  </w:style>
  <w:style w:type="character" w:customStyle="1" w:styleId="BodyTextIndentChar">
    <w:name w:val="Body Text Indent Char"/>
    <w:basedOn w:val="DefaultParagraphFont"/>
    <w:link w:val="BodyTextIndent"/>
    <w:uiPriority w:val="99"/>
    <w:rsid w:val="00E739DB"/>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28613</Words>
  <Characters>163095</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2018-06-29T22:38:00Z</dcterms:created>
  <dcterms:modified xsi:type="dcterms:W3CDTF">2018-07-02T16:47:00Z</dcterms:modified>
</cp:coreProperties>
</file>